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22AB" w14:textId="77777777" w:rsidR="006168AD" w:rsidRDefault="006168AD"/>
    <w:p w14:paraId="322BB84A" w14:textId="3B0921E4" w:rsidR="006168AD" w:rsidRPr="009F7366" w:rsidRDefault="006168AD" w:rsidP="009F7366">
      <w:pPr>
        <w:pStyle w:val="Title"/>
        <w:spacing w:before="1080"/>
        <w:rPr>
          <w:szCs w:val="48"/>
        </w:rPr>
      </w:pPr>
      <w:r w:rsidRPr="009F7366">
        <w:rPr>
          <w:szCs w:val="48"/>
        </w:rPr>
        <w:t>Prostheses List Reform</w:t>
      </w:r>
      <w:r w:rsidR="00A40826">
        <w:rPr>
          <w:szCs w:val="48"/>
        </w:rPr>
        <w:t xml:space="preserve"> </w:t>
      </w:r>
      <w:r w:rsidRPr="009F7366">
        <w:rPr>
          <w:szCs w:val="48"/>
        </w:rPr>
        <w:t xml:space="preserve">Consultation </w:t>
      </w:r>
      <w:r w:rsidRPr="00A40826">
        <w:rPr>
          <w:szCs w:val="48"/>
        </w:rPr>
        <w:t xml:space="preserve">Paper </w:t>
      </w:r>
      <w:r w:rsidR="00CF715E" w:rsidRPr="00A40826">
        <w:rPr>
          <w:szCs w:val="48"/>
        </w:rPr>
        <w:t>6</w:t>
      </w:r>
      <w:r w:rsidR="005D6BF8" w:rsidRPr="00A40826">
        <w:rPr>
          <w:szCs w:val="48"/>
        </w:rPr>
        <w:t>(</w:t>
      </w:r>
      <w:r w:rsidR="008B7CDF" w:rsidRPr="00A40826">
        <w:rPr>
          <w:szCs w:val="48"/>
        </w:rPr>
        <w:t>a</w:t>
      </w:r>
      <w:r w:rsidR="005D6BF8">
        <w:rPr>
          <w:szCs w:val="48"/>
        </w:rPr>
        <w:t>)</w:t>
      </w:r>
    </w:p>
    <w:p w14:paraId="19086A0B" w14:textId="56707514" w:rsidR="006168AD" w:rsidRDefault="00D30664" w:rsidP="006168AD">
      <w:pPr>
        <w:pStyle w:val="Subtitle"/>
        <w:rPr>
          <w:spacing w:val="0"/>
          <w:szCs w:val="40"/>
        </w:rPr>
      </w:pPr>
      <w:r>
        <w:rPr>
          <w:spacing w:val="0"/>
          <w:szCs w:val="40"/>
        </w:rPr>
        <w:t xml:space="preserve">Proposed </w:t>
      </w:r>
      <w:r w:rsidR="00CF715E">
        <w:rPr>
          <w:spacing w:val="0"/>
          <w:szCs w:val="40"/>
        </w:rPr>
        <w:t>Listing Criteria</w:t>
      </w:r>
    </w:p>
    <w:p w14:paraId="5249CE31" w14:textId="14F513E1" w:rsidR="00837F8B" w:rsidRPr="00837F8B" w:rsidRDefault="00837F8B" w:rsidP="00837F8B">
      <w:pPr>
        <w:sectPr w:rsidR="00837F8B" w:rsidRPr="00837F8B" w:rsidSect="006168AD">
          <w:headerReference w:type="default" r:id="rId8"/>
          <w:footerReference w:type="default" r:id="rId9"/>
          <w:headerReference w:type="first" r:id="rId10"/>
          <w:pgSz w:w="11906" w:h="16838"/>
          <w:pgMar w:top="1701" w:right="1418" w:bottom="1418" w:left="1418" w:header="850" w:footer="709" w:gutter="0"/>
          <w:cols w:space="708"/>
          <w:titlePg/>
          <w:docGrid w:linePitch="360"/>
        </w:sectPr>
      </w:pPr>
    </w:p>
    <w:p w14:paraId="506E6616" w14:textId="77777777" w:rsidR="009F7366" w:rsidRPr="00354E84" w:rsidRDefault="009F7366" w:rsidP="00FD72BF">
      <w:pPr>
        <w:pStyle w:val="PolicyStatement"/>
        <w:pBdr>
          <w:left w:val="single" w:sz="4" w:space="0" w:color="F2F2F2" w:themeColor="background1" w:themeShade="F2"/>
        </w:pBdr>
        <w:spacing w:before="0" w:line="240" w:lineRule="auto"/>
        <w:rPr>
          <w:rFonts w:ascii="Arial" w:hAnsi="Arial" w:cs="Arial"/>
          <w:b/>
          <w:bCs/>
          <w:color w:val="358189"/>
          <w:sz w:val="32"/>
          <w:szCs w:val="32"/>
        </w:rPr>
      </w:pPr>
      <w:r w:rsidRPr="00354E84">
        <w:rPr>
          <w:rFonts w:ascii="Arial" w:hAnsi="Arial" w:cs="Arial"/>
          <w:b/>
          <w:bCs/>
          <w:color w:val="358189"/>
          <w:sz w:val="32"/>
          <w:szCs w:val="32"/>
        </w:rPr>
        <w:lastRenderedPageBreak/>
        <w:t>Context for the consultation paper</w:t>
      </w:r>
    </w:p>
    <w:p w14:paraId="73987668" w14:textId="6F9D3ED1" w:rsidR="00233628" w:rsidRDefault="00233628" w:rsidP="00FD72BF">
      <w:pPr>
        <w:pStyle w:val="PolicyStatement"/>
        <w:pBdr>
          <w:left w:val="single" w:sz="4" w:space="0" w:color="F2F2F2" w:themeColor="background1" w:themeShade="F2"/>
        </w:pBdr>
        <w:spacing w:before="120" w:line="240" w:lineRule="auto"/>
        <w:rPr>
          <w:rFonts w:ascii="Arial" w:hAnsi="Arial" w:cs="Arial"/>
          <w:sz w:val="21"/>
          <w:szCs w:val="21"/>
        </w:rPr>
      </w:pPr>
      <w:r w:rsidRPr="00233628">
        <w:rPr>
          <w:rFonts w:ascii="Arial" w:hAnsi="Arial" w:cs="Arial"/>
          <w:sz w:val="21"/>
          <w:szCs w:val="21"/>
        </w:rPr>
        <w:t>Building on the previous reform activities, the Government has agreed to maintain the Prostheses List, with some improvements.</w:t>
      </w:r>
    </w:p>
    <w:p w14:paraId="364F3DF3" w14:textId="265C418A" w:rsidR="009F7366" w:rsidRPr="00354E84" w:rsidRDefault="009F7366" w:rsidP="00FD72BF">
      <w:pPr>
        <w:pStyle w:val="PolicyStatement"/>
        <w:pBdr>
          <w:left w:val="single" w:sz="4" w:space="0" w:color="F2F2F2" w:themeColor="background1" w:themeShade="F2"/>
        </w:pBdr>
        <w:spacing w:before="120" w:line="240" w:lineRule="auto"/>
        <w:rPr>
          <w:rFonts w:ascii="Arial" w:hAnsi="Arial" w:cs="Arial"/>
          <w:sz w:val="21"/>
          <w:szCs w:val="21"/>
        </w:rPr>
      </w:pPr>
      <w:r w:rsidRPr="00AA7291">
        <w:rPr>
          <w:rFonts w:ascii="Arial" w:hAnsi="Arial" w:cs="Arial"/>
          <w:sz w:val="21"/>
          <w:szCs w:val="21"/>
        </w:rPr>
        <w:t xml:space="preserve">Following extensive consultation over recent years, this consultation paper will canvass views on proposed implementation of improvements to the Prostheses List as announced in the Budget. The Government considers these improvements are necessary to benefit consumers, because </w:t>
      </w:r>
      <w:r w:rsidR="00A40826" w:rsidRPr="00AA7291">
        <w:rPr>
          <w:rFonts w:ascii="Arial" w:hAnsi="Arial" w:cs="Arial"/>
          <w:sz w:val="21"/>
          <w:szCs w:val="21"/>
        </w:rPr>
        <w:t>several</w:t>
      </w:r>
      <w:r w:rsidRPr="00AA7291">
        <w:rPr>
          <w:rFonts w:ascii="Arial" w:hAnsi="Arial" w:cs="Arial"/>
          <w:sz w:val="21"/>
          <w:szCs w:val="21"/>
        </w:rPr>
        <w:t xml:space="preserve"> reviews of the system have consistently found a high variance in the prices on the </w:t>
      </w:r>
      <w:r w:rsidR="00387B80">
        <w:rPr>
          <w:rFonts w:ascii="Arial" w:hAnsi="Arial" w:cs="Arial"/>
          <w:sz w:val="21"/>
          <w:szCs w:val="21"/>
        </w:rPr>
        <w:t xml:space="preserve">Prostheses List </w:t>
      </w:r>
      <w:r w:rsidRPr="00AA7291">
        <w:rPr>
          <w:rFonts w:ascii="Arial" w:hAnsi="Arial" w:cs="Arial"/>
          <w:sz w:val="21"/>
          <w:szCs w:val="21"/>
        </w:rPr>
        <w:t>compared to prices paid in the public hospital system, with a limited ability for market forces to exert a downward pressure that would benefit consumers.</w:t>
      </w:r>
      <w:r w:rsidRPr="00354E84">
        <w:rPr>
          <w:rFonts w:ascii="Arial" w:hAnsi="Arial" w:cs="Arial"/>
          <w:sz w:val="21"/>
          <w:szCs w:val="21"/>
        </w:rPr>
        <w:t xml:space="preserve"> </w:t>
      </w:r>
    </w:p>
    <w:p w14:paraId="6AABC316" w14:textId="548B1BB0" w:rsidR="00FF461C" w:rsidRPr="00FF461C" w:rsidRDefault="00FF461C" w:rsidP="00FD72BF">
      <w:pPr>
        <w:pStyle w:val="PolicyStatement"/>
        <w:pBdr>
          <w:left w:val="single" w:sz="4" w:space="0" w:color="F2F2F2" w:themeColor="background1" w:themeShade="F2"/>
        </w:pBdr>
        <w:spacing w:before="120"/>
        <w:rPr>
          <w:rFonts w:ascii="Arial" w:hAnsi="Arial" w:cs="Arial"/>
          <w:sz w:val="21"/>
          <w:szCs w:val="21"/>
        </w:rPr>
      </w:pPr>
      <w:r w:rsidRPr="00FF461C">
        <w:rPr>
          <w:rFonts w:ascii="Arial" w:hAnsi="Arial" w:cs="Arial"/>
          <w:sz w:val="21"/>
          <w:szCs w:val="21"/>
        </w:rPr>
        <w:t xml:space="preserve">The </w:t>
      </w:r>
      <w:r w:rsidR="00387B80" w:rsidRPr="00AA7291">
        <w:rPr>
          <w:rFonts w:ascii="Arial" w:hAnsi="Arial" w:cs="Arial"/>
          <w:sz w:val="21"/>
          <w:szCs w:val="21"/>
        </w:rPr>
        <w:t>Prostheses List</w:t>
      </w:r>
      <w:r w:rsidRPr="00FF461C">
        <w:rPr>
          <w:rFonts w:ascii="Arial" w:hAnsi="Arial" w:cs="Arial"/>
          <w:sz w:val="21"/>
          <w:szCs w:val="21"/>
        </w:rPr>
        <w:t xml:space="preserve"> is the primary mechanism governing the reimbursement for the medical devices </w:t>
      </w:r>
      <w:r w:rsidR="00F82D31">
        <w:rPr>
          <w:rFonts w:ascii="Arial" w:hAnsi="Arial" w:cs="Arial"/>
          <w:sz w:val="21"/>
          <w:szCs w:val="21"/>
        </w:rPr>
        <w:t xml:space="preserve">and human tissue products </w:t>
      </w:r>
      <w:r w:rsidRPr="00FF461C">
        <w:rPr>
          <w:rFonts w:ascii="Arial" w:hAnsi="Arial" w:cs="Arial"/>
          <w:sz w:val="21"/>
          <w:szCs w:val="21"/>
        </w:rPr>
        <w:t>as part of the private health system in Australia.</w:t>
      </w:r>
    </w:p>
    <w:p w14:paraId="5A680107" w14:textId="2087A364" w:rsidR="00FF461C" w:rsidRPr="00FF461C" w:rsidRDefault="00FF461C" w:rsidP="00FD72BF">
      <w:pPr>
        <w:pStyle w:val="PolicyStatement"/>
        <w:pBdr>
          <w:left w:val="single" w:sz="4" w:space="0" w:color="F2F2F2" w:themeColor="background1" w:themeShade="F2"/>
        </w:pBdr>
        <w:spacing w:before="120"/>
        <w:rPr>
          <w:rFonts w:ascii="Arial" w:hAnsi="Arial" w:cs="Arial"/>
          <w:sz w:val="21"/>
          <w:szCs w:val="21"/>
        </w:rPr>
      </w:pPr>
      <w:r w:rsidRPr="00FF461C">
        <w:rPr>
          <w:rFonts w:ascii="Arial" w:hAnsi="Arial" w:cs="Arial"/>
          <w:sz w:val="21"/>
          <w:szCs w:val="21"/>
        </w:rPr>
        <w:t xml:space="preserve">The </w:t>
      </w:r>
      <w:r w:rsidR="00387B80" w:rsidRPr="00AA7291">
        <w:rPr>
          <w:rFonts w:ascii="Arial" w:hAnsi="Arial" w:cs="Arial"/>
          <w:sz w:val="21"/>
          <w:szCs w:val="21"/>
        </w:rPr>
        <w:t>Prostheses List</w:t>
      </w:r>
      <w:r w:rsidRPr="00FF461C">
        <w:rPr>
          <w:rFonts w:ascii="Arial" w:hAnsi="Arial" w:cs="Arial"/>
          <w:sz w:val="21"/>
          <w:szCs w:val="21"/>
        </w:rPr>
        <w:t xml:space="preserve"> specifies a set benefit amount for listed prostheses. The </w:t>
      </w:r>
      <w:r w:rsidR="00387B80" w:rsidRPr="00AA7291">
        <w:rPr>
          <w:rFonts w:ascii="Arial" w:hAnsi="Arial" w:cs="Arial"/>
          <w:sz w:val="21"/>
          <w:szCs w:val="21"/>
        </w:rPr>
        <w:t>Prostheses List</w:t>
      </w:r>
      <w:r w:rsidRPr="00FF461C">
        <w:rPr>
          <w:rFonts w:ascii="Arial" w:hAnsi="Arial" w:cs="Arial"/>
          <w:sz w:val="21"/>
          <w:szCs w:val="21"/>
        </w:rPr>
        <w:t xml:space="preserve"> benefit is payable to appropriately covered privately insured patients that receive a prosthesis as part of treatment, where there is a Medicare benefit payable for the medical service associated with the provision of the prosthesis. The treatment can be delivered in a private or public hospital, or in a hospital substitute setting. </w:t>
      </w:r>
    </w:p>
    <w:p w14:paraId="4430F4F2" w14:textId="6955D929" w:rsidR="00B94528" w:rsidRPr="00FD72BF" w:rsidRDefault="00FF461C" w:rsidP="0088363E">
      <w:pPr>
        <w:pStyle w:val="PolicyStatement"/>
        <w:pBdr>
          <w:left w:val="single" w:sz="4" w:space="0" w:color="F2F2F2" w:themeColor="background1" w:themeShade="F2"/>
        </w:pBdr>
        <w:spacing w:before="120"/>
        <w:rPr>
          <w:rFonts w:ascii="Arial" w:hAnsi="Arial" w:cs="Arial"/>
          <w:sz w:val="21"/>
          <w:szCs w:val="21"/>
        </w:rPr>
      </w:pPr>
      <w:r w:rsidRPr="00FF461C">
        <w:rPr>
          <w:rFonts w:ascii="Arial" w:hAnsi="Arial" w:cs="Arial"/>
          <w:sz w:val="21"/>
          <w:szCs w:val="21"/>
        </w:rPr>
        <w:t xml:space="preserve">The </w:t>
      </w:r>
      <w:r w:rsidRPr="00FF461C">
        <w:rPr>
          <w:rFonts w:ascii="Arial" w:hAnsi="Arial" w:cs="Arial"/>
          <w:i/>
          <w:iCs/>
          <w:sz w:val="21"/>
          <w:szCs w:val="21"/>
        </w:rPr>
        <w:t>Private Health Insurance (Prostheses) Rules</w:t>
      </w:r>
      <w:r w:rsidRPr="00FF461C">
        <w:rPr>
          <w:rFonts w:ascii="Arial" w:hAnsi="Arial" w:cs="Arial"/>
          <w:sz w:val="21"/>
          <w:szCs w:val="21"/>
        </w:rPr>
        <w:t xml:space="preserve"> (</w:t>
      </w:r>
      <w:r w:rsidRPr="001E7A6D">
        <w:rPr>
          <w:rFonts w:ascii="Arial" w:hAnsi="Arial" w:cs="Arial"/>
          <w:b/>
          <w:bCs/>
          <w:sz w:val="21"/>
          <w:szCs w:val="21"/>
        </w:rPr>
        <w:t>the Prostheses Rules</w:t>
      </w:r>
      <w:r w:rsidRPr="00FF461C">
        <w:rPr>
          <w:rFonts w:ascii="Arial" w:hAnsi="Arial" w:cs="Arial"/>
          <w:sz w:val="21"/>
          <w:szCs w:val="21"/>
        </w:rPr>
        <w:t xml:space="preserve">) is a legislative instrument made under the </w:t>
      </w:r>
      <w:r w:rsidR="00F17056" w:rsidRPr="00D85937">
        <w:rPr>
          <w:rFonts w:ascii="Arial" w:hAnsi="Arial" w:cs="Arial"/>
          <w:i/>
          <w:iCs/>
          <w:sz w:val="21"/>
          <w:szCs w:val="21"/>
        </w:rPr>
        <w:t>Private Health Insurance Act 2007</w:t>
      </w:r>
      <w:r w:rsidR="00F17056">
        <w:rPr>
          <w:rFonts w:ascii="Arial" w:hAnsi="Arial" w:cs="Arial"/>
          <w:sz w:val="21"/>
          <w:szCs w:val="21"/>
        </w:rPr>
        <w:t xml:space="preserve"> (</w:t>
      </w:r>
      <w:r w:rsidRPr="001E7A6D">
        <w:rPr>
          <w:rFonts w:ascii="Arial" w:hAnsi="Arial" w:cs="Arial"/>
          <w:b/>
          <w:bCs/>
          <w:sz w:val="21"/>
          <w:szCs w:val="21"/>
        </w:rPr>
        <w:t>PHI Act</w:t>
      </w:r>
      <w:r w:rsidR="00F17056">
        <w:rPr>
          <w:rFonts w:ascii="Arial" w:hAnsi="Arial" w:cs="Arial"/>
          <w:sz w:val="21"/>
          <w:szCs w:val="21"/>
        </w:rPr>
        <w:t>)</w:t>
      </w:r>
      <w:r w:rsidRPr="00FF461C">
        <w:rPr>
          <w:rFonts w:ascii="Arial" w:hAnsi="Arial" w:cs="Arial"/>
          <w:sz w:val="21"/>
          <w:szCs w:val="21"/>
        </w:rPr>
        <w:t xml:space="preserve">, that sets up requirements in relation to provision of minimum price for prostheses. The Schedule to the Prostheses Rules is known as the </w:t>
      </w:r>
      <w:r w:rsidR="00387B80" w:rsidRPr="00AA7291">
        <w:rPr>
          <w:rFonts w:ascii="Arial" w:hAnsi="Arial" w:cs="Arial"/>
          <w:sz w:val="21"/>
          <w:szCs w:val="21"/>
        </w:rPr>
        <w:t>Prostheses List</w:t>
      </w:r>
      <w:r w:rsidRPr="00FF461C">
        <w:rPr>
          <w:rFonts w:ascii="Arial" w:hAnsi="Arial" w:cs="Arial"/>
          <w:sz w:val="21"/>
          <w:szCs w:val="21"/>
        </w:rPr>
        <w:t>.</w:t>
      </w:r>
      <w:r w:rsidR="00233628" w:rsidRPr="00FD72BF">
        <w:rPr>
          <w:rFonts w:ascii="Arial" w:hAnsi="Arial" w:cs="Arial"/>
          <w:sz w:val="21"/>
          <w:szCs w:val="21"/>
        </w:rPr>
        <w:t xml:space="preserve"> </w:t>
      </w:r>
      <w:r w:rsidR="0088363E" w:rsidRPr="00FD72BF">
        <w:rPr>
          <w:rFonts w:ascii="Arial" w:hAnsi="Arial" w:cs="Arial"/>
          <w:sz w:val="21"/>
          <w:szCs w:val="21"/>
        </w:rPr>
        <w:t xml:space="preserve"> </w:t>
      </w:r>
    </w:p>
    <w:p w14:paraId="3C0EED26" w14:textId="34307EE9" w:rsidR="006168AD" w:rsidRDefault="006168AD" w:rsidP="00AD644A">
      <w:pPr>
        <w:pStyle w:val="Heading1"/>
      </w:pPr>
      <w:r>
        <w:t>Purpose</w:t>
      </w:r>
    </w:p>
    <w:p w14:paraId="3B5E04BB" w14:textId="5B0BDF35" w:rsidR="00387A8A" w:rsidRPr="00233628" w:rsidRDefault="00387A8A" w:rsidP="00387A8A">
      <w:pPr>
        <w:pStyle w:val="ListBullet"/>
        <w:numPr>
          <w:ilvl w:val="0"/>
          <w:numId w:val="0"/>
        </w:numPr>
      </w:pPr>
      <w:bookmarkStart w:id="0" w:name="_Hlk86151727"/>
      <w:r w:rsidRPr="000D4E16">
        <w:t xml:space="preserve">The purpose of this paper is to </w:t>
      </w:r>
      <w:r>
        <w:t xml:space="preserve">provide additional information about the listing criteria that are proposed to </w:t>
      </w:r>
      <w:r w:rsidR="00512026">
        <w:t xml:space="preserve">apply for </w:t>
      </w:r>
      <w:r w:rsidR="00640D7B">
        <w:t xml:space="preserve">medical devices and human tissue products </w:t>
      </w:r>
      <w:r w:rsidR="00596EA2">
        <w:t>included</w:t>
      </w:r>
      <w:r w:rsidR="00512026">
        <w:t xml:space="preserve"> in the </w:t>
      </w:r>
      <w:r w:rsidR="00640D7B" w:rsidRPr="00F571E7">
        <w:rPr>
          <w:i/>
          <w:iCs/>
        </w:rPr>
        <w:t>Private Health Insurance (Medical Devices and Human Tissue Products) Rules</w:t>
      </w:r>
      <w:r w:rsidR="00640D7B" w:rsidRPr="00233628">
        <w:t xml:space="preserve"> (the Rules)</w:t>
      </w:r>
      <w:r w:rsidR="00512026">
        <w:t xml:space="preserve">. </w:t>
      </w:r>
      <w:r>
        <w:t xml:space="preserve">The Department is seeking feedback on the proposed </w:t>
      </w:r>
      <w:r w:rsidRPr="00233628">
        <w:t>listing criteria, including any related evidence or data</w:t>
      </w:r>
      <w:r w:rsidR="001F4D70" w:rsidRPr="00233628">
        <w:t xml:space="preserve"> supporting this feedback</w:t>
      </w:r>
      <w:r w:rsidRPr="00233628">
        <w:t>.</w:t>
      </w:r>
    </w:p>
    <w:p w14:paraId="4A206930" w14:textId="54921FF9" w:rsidR="00387B80" w:rsidRPr="00233628" w:rsidRDefault="00387B80" w:rsidP="00953DE4">
      <w:pPr>
        <w:pStyle w:val="ListBullet"/>
        <w:numPr>
          <w:ilvl w:val="0"/>
          <w:numId w:val="0"/>
        </w:numPr>
        <w:spacing w:before="120"/>
      </w:pPr>
      <w:r w:rsidRPr="00233628">
        <w:t>From 1 July 2023</w:t>
      </w:r>
      <w:r w:rsidR="00233628" w:rsidRPr="00233628">
        <w:t>, t</w:t>
      </w:r>
      <w:r w:rsidRPr="00233628">
        <w:t xml:space="preserve">he </w:t>
      </w:r>
      <w:r w:rsidR="00B94528" w:rsidRPr="00E43E5D">
        <w:rPr>
          <w:rFonts w:cs="Arial"/>
          <w:i/>
          <w:iCs/>
          <w:szCs w:val="21"/>
        </w:rPr>
        <w:t>Private Health Insurance Act 2007</w:t>
      </w:r>
      <w:r w:rsidR="00B94528">
        <w:rPr>
          <w:rFonts w:cs="Arial"/>
          <w:szCs w:val="21"/>
        </w:rPr>
        <w:t xml:space="preserve"> (</w:t>
      </w:r>
      <w:r w:rsidR="00B94528" w:rsidRPr="00E4156A">
        <w:rPr>
          <w:rFonts w:cs="Arial"/>
          <w:bCs w:val="0"/>
          <w:szCs w:val="21"/>
        </w:rPr>
        <w:t>PHI Act</w:t>
      </w:r>
      <w:r w:rsidR="00B94528">
        <w:rPr>
          <w:rFonts w:cs="Arial"/>
          <w:szCs w:val="21"/>
        </w:rPr>
        <w:t xml:space="preserve">) </w:t>
      </w:r>
      <w:r w:rsidRPr="00233628">
        <w:t xml:space="preserve">provides for the </w:t>
      </w:r>
      <w:r w:rsidR="00F571E7">
        <w:t xml:space="preserve">Rules </w:t>
      </w:r>
      <w:r w:rsidRPr="00233628">
        <w:t xml:space="preserve">to specify benefits that must be paid for medical devices and human tissue products </w:t>
      </w:r>
      <w:r w:rsidR="00596EA2" w:rsidRPr="00233628">
        <w:t>included</w:t>
      </w:r>
      <w:r w:rsidRPr="00233628">
        <w:t xml:space="preserve"> in the Rules. </w:t>
      </w:r>
      <w:r w:rsidR="00D8214C" w:rsidRPr="00233628">
        <w:t xml:space="preserve">These benefits will be specified for each medical device or human tissue product in </w:t>
      </w:r>
      <w:r w:rsidR="00D8214C">
        <w:t>a s</w:t>
      </w:r>
      <w:r w:rsidR="00D8214C" w:rsidRPr="00233628">
        <w:t>chedule to the Rules.</w:t>
      </w:r>
    </w:p>
    <w:p w14:paraId="61553858" w14:textId="5544EBAC" w:rsidR="00387B80" w:rsidRPr="00233628" w:rsidRDefault="00387B80" w:rsidP="00953DE4">
      <w:pPr>
        <w:pStyle w:val="ListBullet"/>
        <w:numPr>
          <w:ilvl w:val="0"/>
          <w:numId w:val="0"/>
        </w:numPr>
        <w:spacing w:before="120"/>
      </w:pPr>
      <w:r w:rsidRPr="00233628">
        <w:t xml:space="preserve">The PHI Act also provides for the Rules to </w:t>
      </w:r>
      <w:r w:rsidR="00DA100A" w:rsidRPr="00233628">
        <w:t xml:space="preserve">set out </w:t>
      </w:r>
      <w:r w:rsidRPr="00233628">
        <w:t>listing criteria</w:t>
      </w:r>
      <w:r w:rsidR="00DA100A" w:rsidRPr="00233628">
        <w:t xml:space="preserve"> </w:t>
      </w:r>
      <w:r w:rsidR="00B94528">
        <w:t xml:space="preserve">(see subsection 72-10(6) of the PHI Act). </w:t>
      </w:r>
      <w:r w:rsidRPr="00233628">
        <w:t xml:space="preserve">These criteria must be satisfied </w:t>
      </w:r>
      <w:r w:rsidR="008B7CDF" w:rsidRPr="00233628">
        <w:t>for</w:t>
      </w:r>
      <w:r w:rsidRPr="00233628">
        <w:t xml:space="preserve"> an application to be granted. The Minister must not grant a listing application if any applicable listing criteria are not satisfied in relation to the application</w:t>
      </w:r>
      <w:r w:rsidR="00DA100A" w:rsidRPr="00233628">
        <w:t xml:space="preserve"> (see subsection 72-10(7))</w:t>
      </w:r>
      <w:r w:rsidRPr="00233628">
        <w:t>.</w:t>
      </w:r>
    </w:p>
    <w:p w14:paraId="497A9914" w14:textId="36706D56" w:rsidR="00B94528" w:rsidRPr="00852E80" w:rsidRDefault="00DA100A" w:rsidP="00DA100A">
      <w:pPr>
        <w:pStyle w:val="Heading1"/>
        <w:rPr>
          <w:rFonts w:eastAsiaTheme="minorHAnsi" w:cstheme="minorBidi"/>
          <w:color w:val="000000" w:themeColor="text1"/>
          <w:kern w:val="0"/>
          <w:sz w:val="21"/>
          <w:szCs w:val="22"/>
        </w:rPr>
      </w:pPr>
      <w:r w:rsidRPr="00852E80">
        <w:rPr>
          <w:rFonts w:eastAsiaTheme="minorHAnsi" w:cstheme="minorBidi"/>
          <w:color w:val="000000" w:themeColor="text1"/>
          <w:kern w:val="0"/>
          <w:sz w:val="21"/>
          <w:szCs w:val="22"/>
        </w:rPr>
        <w:t>From 1 July 2023</w:t>
      </w:r>
      <w:r w:rsidR="00233628" w:rsidRPr="00852E80">
        <w:rPr>
          <w:rFonts w:eastAsiaTheme="minorHAnsi" w:cstheme="minorBidi"/>
          <w:color w:val="000000" w:themeColor="text1"/>
          <w:kern w:val="0"/>
          <w:sz w:val="21"/>
          <w:szCs w:val="22"/>
        </w:rPr>
        <w:t>, t</w:t>
      </w:r>
      <w:r w:rsidR="00387B80" w:rsidRPr="00852E80">
        <w:rPr>
          <w:rFonts w:eastAsiaTheme="minorHAnsi" w:cstheme="minorBidi"/>
          <w:color w:val="000000" w:themeColor="text1"/>
          <w:kern w:val="0"/>
          <w:sz w:val="21"/>
          <w:szCs w:val="22"/>
        </w:rPr>
        <w:t xml:space="preserve">he PHI Act includes definitions for ‘medical device’ and ‘human tissue product’. The definitions in the PHI Act and the listing criteria in the Rules operate together to define the kinds of medical devices and human tissue products that are eligible for inclusion in the </w:t>
      </w:r>
      <w:r w:rsidR="003F7D1F" w:rsidRPr="00852E80">
        <w:rPr>
          <w:rFonts w:eastAsiaTheme="minorHAnsi" w:cstheme="minorBidi"/>
          <w:color w:val="000000" w:themeColor="text1"/>
          <w:kern w:val="0"/>
          <w:sz w:val="21"/>
          <w:szCs w:val="22"/>
        </w:rPr>
        <w:t>Schedule to the Rules</w:t>
      </w:r>
      <w:r w:rsidR="00387B80" w:rsidRPr="00852E80">
        <w:rPr>
          <w:rFonts w:eastAsiaTheme="minorHAnsi" w:cstheme="minorBidi"/>
          <w:color w:val="000000" w:themeColor="text1"/>
          <w:kern w:val="0"/>
          <w:sz w:val="21"/>
          <w:szCs w:val="22"/>
        </w:rPr>
        <w:t>, and for which set benefits must be paid.</w:t>
      </w:r>
    </w:p>
    <w:p w14:paraId="20E8404B" w14:textId="50121547" w:rsidR="00387A8A" w:rsidRPr="00DA100A" w:rsidRDefault="002A11EC" w:rsidP="00DA100A">
      <w:pPr>
        <w:pStyle w:val="Heading1"/>
      </w:pPr>
      <w:r w:rsidRPr="00DA100A">
        <w:t>Primary Legislation</w:t>
      </w:r>
    </w:p>
    <w:p w14:paraId="6971C3E8" w14:textId="12EDAC09" w:rsidR="00387B80" w:rsidRPr="000257F5" w:rsidRDefault="002A11EC" w:rsidP="002A11EC">
      <w:pPr>
        <w:pStyle w:val="ListBullet"/>
        <w:numPr>
          <w:ilvl w:val="0"/>
          <w:numId w:val="0"/>
        </w:numPr>
      </w:pPr>
      <w:r>
        <w:t xml:space="preserve">The Private Health Insurance Legislation Amendment (Medical Device and Human Tissue Product List and Cost Recovery) </w:t>
      </w:r>
      <w:r w:rsidR="000257F5">
        <w:t>Act 2023</w:t>
      </w:r>
      <w:r>
        <w:t xml:space="preserve"> (</w:t>
      </w:r>
      <w:r w:rsidRPr="003F7D1F">
        <w:t>the PHI</w:t>
      </w:r>
      <w:r w:rsidRPr="001E7A6D">
        <w:rPr>
          <w:b/>
          <w:bCs w:val="0"/>
        </w:rPr>
        <w:t xml:space="preserve"> </w:t>
      </w:r>
      <w:r w:rsidR="00332B9D" w:rsidRPr="000257F5">
        <w:t>Amendment Act</w:t>
      </w:r>
      <w:r w:rsidR="000257F5" w:rsidRPr="000257F5">
        <w:t>)</w:t>
      </w:r>
      <w:r w:rsidRPr="000257F5">
        <w:t xml:space="preserve"> introduces definitions of ‘medical device’ and ‘human tissue product’ into the PHI Act. </w:t>
      </w:r>
      <w:r w:rsidR="00E55601" w:rsidRPr="000257F5">
        <w:t>The PHI Amendment Act commences on 1 July 2023.</w:t>
      </w:r>
    </w:p>
    <w:p w14:paraId="398D7A9F" w14:textId="2EB6A594" w:rsidR="000D6EEB" w:rsidRDefault="002A11EC" w:rsidP="00387A8A">
      <w:pPr>
        <w:pStyle w:val="ListBullet"/>
        <w:numPr>
          <w:ilvl w:val="0"/>
          <w:numId w:val="0"/>
        </w:numPr>
      </w:pPr>
      <w:r w:rsidRPr="000257F5">
        <w:t xml:space="preserve">The PHI </w:t>
      </w:r>
      <w:r w:rsidR="00E55601" w:rsidRPr="000257F5">
        <w:t xml:space="preserve">Amendment Act </w:t>
      </w:r>
      <w:r w:rsidRPr="000257F5">
        <w:t>removes current references to ‘prosthesis’ and ‘prostheses’ in the PHI Act and replaces them with ‘medical device’ and ‘human tissue product’.</w:t>
      </w:r>
    </w:p>
    <w:p w14:paraId="19E3A566" w14:textId="2FFADC6F" w:rsidR="002A11EC" w:rsidRDefault="002A11EC" w:rsidP="00387A8A">
      <w:pPr>
        <w:pStyle w:val="ListBullet"/>
        <w:numPr>
          <w:ilvl w:val="0"/>
          <w:numId w:val="0"/>
        </w:numPr>
      </w:pPr>
      <w:r w:rsidRPr="000257F5">
        <w:t xml:space="preserve">The PHI </w:t>
      </w:r>
      <w:r w:rsidR="00E339EC" w:rsidRPr="000257F5">
        <w:t xml:space="preserve">Amendment Act </w:t>
      </w:r>
      <w:r w:rsidRPr="000257F5">
        <w:t>also renames the ‘Private Health Insurance (Prostheses) Rules’ to the ‘Private Health Insurance (Medical Devices</w:t>
      </w:r>
      <w:r>
        <w:t xml:space="preserve"> and Human Tissue Products) Rules</w:t>
      </w:r>
      <w:r w:rsidR="004922CC">
        <w:t>’</w:t>
      </w:r>
      <w:r>
        <w:t xml:space="preserve">. The Schedule to these rules is to </w:t>
      </w:r>
      <w:r>
        <w:lastRenderedPageBreak/>
        <w:t>be known as the ‘</w:t>
      </w:r>
      <w:r w:rsidRPr="00387A8A">
        <w:t>Prescribed List of Benefits for Medical Devices and Human Tissue Products (Prescribed List</w:t>
      </w:r>
      <w:r w:rsidR="001F4D70">
        <w:t>)</w:t>
      </w:r>
      <w:r>
        <w:t>.</w:t>
      </w:r>
      <w:r w:rsidR="00653BA1">
        <w:t xml:space="preserve"> The following table describes these changes.</w:t>
      </w:r>
    </w:p>
    <w:tbl>
      <w:tblPr>
        <w:tblStyle w:val="TableGrid"/>
        <w:tblW w:w="8221" w:type="dxa"/>
        <w:tblInd w:w="846" w:type="dxa"/>
        <w:tblLook w:val="04A0" w:firstRow="1" w:lastRow="0" w:firstColumn="1" w:lastColumn="0" w:noHBand="0" w:noVBand="1"/>
      </w:tblPr>
      <w:tblGrid>
        <w:gridCol w:w="3685"/>
        <w:gridCol w:w="4536"/>
      </w:tblGrid>
      <w:tr w:rsidR="002A11EC" w:rsidRPr="002A11EC" w14:paraId="488F6608" w14:textId="77777777" w:rsidTr="00AB07FA">
        <w:tc>
          <w:tcPr>
            <w:tcW w:w="3685" w:type="dxa"/>
            <w:shd w:val="clear" w:color="auto" w:fill="D9D9D9" w:themeFill="background1" w:themeFillShade="D9"/>
          </w:tcPr>
          <w:p w14:paraId="45118AC0" w14:textId="5127577F" w:rsidR="002A11EC" w:rsidRPr="002A11EC" w:rsidRDefault="002A11EC" w:rsidP="00387A8A">
            <w:pPr>
              <w:pStyle w:val="ListBullet"/>
              <w:numPr>
                <w:ilvl w:val="0"/>
                <w:numId w:val="0"/>
              </w:numPr>
              <w:rPr>
                <w:b/>
                <w:bCs w:val="0"/>
              </w:rPr>
            </w:pPr>
            <w:r w:rsidRPr="002A11EC">
              <w:rPr>
                <w:b/>
                <w:bCs w:val="0"/>
              </w:rPr>
              <w:t>Old Law</w:t>
            </w:r>
            <w:r w:rsidR="001F4D70">
              <w:rPr>
                <w:b/>
                <w:bCs w:val="0"/>
              </w:rPr>
              <w:t xml:space="preserve"> terms</w:t>
            </w:r>
          </w:p>
        </w:tc>
        <w:tc>
          <w:tcPr>
            <w:tcW w:w="4536" w:type="dxa"/>
            <w:shd w:val="clear" w:color="auto" w:fill="D9D9D9" w:themeFill="background1" w:themeFillShade="D9"/>
          </w:tcPr>
          <w:p w14:paraId="4D04B48D" w14:textId="008743D2" w:rsidR="002A11EC" w:rsidRPr="002A11EC" w:rsidRDefault="002A11EC" w:rsidP="00387A8A">
            <w:pPr>
              <w:pStyle w:val="ListBullet"/>
              <w:numPr>
                <w:ilvl w:val="0"/>
                <w:numId w:val="0"/>
              </w:numPr>
              <w:rPr>
                <w:b/>
                <w:bCs w:val="0"/>
              </w:rPr>
            </w:pPr>
            <w:r w:rsidRPr="002A11EC">
              <w:rPr>
                <w:b/>
                <w:bCs w:val="0"/>
              </w:rPr>
              <w:t>New Law</w:t>
            </w:r>
            <w:r w:rsidR="001F4D70">
              <w:rPr>
                <w:b/>
                <w:bCs w:val="0"/>
              </w:rPr>
              <w:t xml:space="preserve"> terms</w:t>
            </w:r>
          </w:p>
        </w:tc>
      </w:tr>
      <w:tr w:rsidR="002A11EC" w14:paraId="1027B9C6" w14:textId="77777777" w:rsidTr="00DF310D">
        <w:tc>
          <w:tcPr>
            <w:tcW w:w="3685" w:type="dxa"/>
          </w:tcPr>
          <w:p w14:paraId="404A0E75" w14:textId="3B702DF4" w:rsidR="002A11EC" w:rsidRDefault="004922CC" w:rsidP="00387A8A">
            <w:pPr>
              <w:pStyle w:val="ListBullet"/>
              <w:numPr>
                <w:ilvl w:val="0"/>
                <w:numId w:val="0"/>
              </w:numPr>
            </w:pPr>
            <w:r>
              <w:t>p</w:t>
            </w:r>
            <w:r w:rsidR="002A11EC">
              <w:t xml:space="preserve">rostheses or </w:t>
            </w:r>
            <w:proofErr w:type="gramStart"/>
            <w:r w:rsidR="002A11EC">
              <w:t>prosthesis</w:t>
            </w:r>
            <w:proofErr w:type="gramEnd"/>
          </w:p>
        </w:tc>
        <w:tc>
          <w:tcPr>
            <w:tcW w:w="4536" w:type="dxa"/>
          </w:tcPr>
          <w:p w14:paraId="74197844" w14:textId="3CDD9793" w:rsidR="002A11EC" w:rsidRDefault="001E7A6D" w:rsidP="00387A8A">
            <w:pPr>
              <w:pStyle w:val="ListBullet"/>
              <w:numPr>
                <w:ilvl w:val="0"/>
                <w:numId w:val="0"/>
              </w:numPr>
            </w:pPr>
            <w:r>
              <w:t>m</w:t>
            </w:r>
            <w:r w:rsidR="002A11EC">
              <w:t>edical device or human tissue product</w:t>
            </w:r>
          </w:p>
        </w:tc>
      </w:tr>
      <w:tr w:rsidR="002A11EC" w14:paraId="37ECD16A" w14:textId="77777777" w:rsidTr="00DF310D">
        <w:tc>
          <w:tcPr>
            <w:tcW w:w="3685" w:type="dxa"/>
          </w:tcPr>
          <w:p w14:paraId="12640049" w14:textId="40D9FE2E" w:rsidR="002A11EC" w:rsidRDefault="004922CC" w:rsidP="00387A8A">
            <w:pPr>
              <w:pStyle w:val="ListBullet"/>
              <w:numPr>
                <w:ilvl w:val="0"/>
                <w:numId w:val="0"/>
              </w:numPr>
            </w:pPr>
            <w:r>
              <w:t>Private Health Insurance (Prostheses) Rules (</w:t>
            </w:r>
            <w:r w:rsidRPr="001E7A6D">
              <w:rPr>
                <w:b/>
                <w:bCs w:val="0"/>
              </w:rPr>
              <w:t>Prostheses Rules</w:t>
            </w:r>
            <w:r>
              <w:t>)</w:t>
            </w:r>
          </w:p>
        </w:tc>
        <w:tc>
          <w:tcPr>
            <w:tcW w:w="4536" w:type="dxa"/>
          </w:tcPr>
          <w:p w14:paraId="216B9982" w14:textId="79A06156" w:rsidR="002A11EC" w:rsidRDefault="004922CC" w:rsidP="00387A8A">
            <w:pPr>
              <w:pStyle w:val="ListBullet"/>
              <w:numPr>
                <w:ilvl w:val="0"/>
                <w:numId w:val="0"/>
              </w:numPr>
            </w:pPr>
            <w:bookmarkStart w:id="1" w:name="_Hlk126238022"/>
            <w:bookmarkStart w:id="2" w:name="_Hlk129176432"/>
            <w:r>
              <w:t>Private Health Insurance (Medical Devices and Human Tissue Products) Rules</w:t>
            </w:r>
            <w:bookmarkEnd w:id="1"/>
            <w:r w:rsidR="001E7A6D">
              <w:t xml:space="preserve"> </w:t>
            </w:r>
            <w:bookmarkEnd w:id="2"/>
            <w:r w:rsidR="001E7A6D">
              <w:t>(</w:t>
            </w:r>
            <w:r w:rsidR="00387B80" w:rsidRPr="00387B80">
              <w:rPr>
                <w:b/>
                <w:bCs w:val="0"/>
              </w:rPr>
              <w:t>the</w:t>
            </w:r>
            <w:r w:rsidR="001E7A6D" w:rsidRPr="001E7A6D">
              <w:rPr>
                <w:b/>
                <w:bCs w:val="0"/>
              </w:rPr>
              <w:t xml:space="preserve"> Rules</w:t>
            </w:r>
            <w:r w:rsidR="001E7A6D">
              <w:t>)</w:t>
            </w:r>
          </w:p>
        </w:tc>
      </w:tr>
      <w:tr w:rsidR="002A11EC" w14:paraId="0C8FA5FB" w14:textId="77777777" w:rsidTr="00DF310D">
        <w:tc>
          <w:tcPr>
            <w:tcW w:w="3685" w:type="dxa"/>
          </w:tcPr>
          <w:p w14:paraId="7C379FF3" w14:textId="156DABAF" w:rsidR="002A11EC" w:rsidRDefault="004922CC" w:rsidP="00387A8A">
            <w:pPr>
              <w:pStyle w:val="ListBullet"/>
              <w:numPr>
                <w:ilvl w:val="0"/>
                <w:numId w:val="0"/>
              </w:numPr>
            </w:pPr>
            <w:r>
              <w:t>Prostheses List (</w:t>
            </w:r>
            <w:r w:rsidR="00B50F71">
              <w:t>S</w:t>
            </w:r>
            <w:r>
              <w:t>chedule to the</w:t>
            </w:r>
            <w:r w:rsidR="00B50F71">
              <w:t xml:space="preserve"> Prostheses Rules)</w:t>
            </w:r>
          </w:p>
        </w:tc>
        <w:tc>
          <w:tcPr>
            <w:tcW w:w="4536" w:type="dxa"/>
          </w:tcPr>
          <w:p w14:paraId="7D0038CA" w14:textId="2348A482" w:rsidR="002A11EC" w:rsidRDefault="004922CC" w:rsidP="00387A8A">
            <w:pPr>
              <w:pStyle w:val="ListBullet"/>
              <w:numPr>
                <w:ilvl w:val="0"/>
                <w:numId w:val="0"/>
              </w:numPr>
            </w:pPr>
            <w:r w:rsidRPr="004922CC">
              <w:t>Prescribed List of Benefits for Medical Devices and Human Tissue Products (</w:t>
            </w:r>
            <w:r w:rsidRPr="00640D7B">
              <w:rPr>
                <w:b/>
                <w:bCs w:val="0"/>
              </w:rPr>
              <w:t>Prescribed List</w:t>
            </w:r>
            <w:r w:rsidRPr="004922CC">
              <w:t>)</w:t>
            </w:r>
            <w:r w:rsidR="003548DF">
              <w:t xml:space="preserve"> </w:t>
            </w:r>
            <w:r w:rsidR="00DF310D">
              <w:t>(Schedule to the Rules)</w:t>
            </w:r>
          </w:p>
        </w:tc>
      </w:tr>
    </w:tbl>
    <w:p w14:paraId="060103C0" w14:textId="77777777" w:rsidR="00F75EA2" w:rsidRDefault="00F75EA2" w:rsidP="004A23AD">
      <w:pPr>
        <w:pStyle w:val="ListBullet"/>
        <w:numPr>
          <w:ilvl w:val="0"/>
          <w:numId w:val="0"/>
        </w:numPr>
      </w:pPr>
    </w:p>
    <w:p w14:paraId="568BB6CF" w14:textId="56A5A6AF" w:rsidR="00F75EA2" w:rsidRDefault="00F75EA2" w:rsidP="004A23AD">
      <w:pPr>
        <w:pStyle w:val="ListBullet"/>
        <w:numPr>
          <w:ilvl w:val="0"/>
          <w:numId w:val="0"/>
        </w:numPr>
        <w:rPr>
          <w:rFonts w:eastAsia="Times New Roman" w:cs="Arial"/>
          <w:color w:val="3F4A75"/>
          <w:kern w:val="28"/>
          <w:sz w:val="36"/>
          <w:szCs w:val="36"/>
        </w:rPr>
      </w:pPr>
      <w:r>
        <w:t xml:space="preserve">In this document we use ‘Prescribed List’ </w:t>
      </w:r>
      <w:r w:rsidR="00DF310D">
        <w:t xml:space="preserve">to refer to the Schedule to the </w:t>
      </w:r>
      <w:r w:rsidR="00DF310D" w:rsidRPr="00DF310D">
        <w:t xml:space="preserve">Private Health Insurance (Medical Devices and Human Tissue Products) Rules </w:t>
      </w:r>
      <w:r w:rsidR="00DF310D">
        <w:t xml:space="preserve">and </w:t>
      </w:r>
      <w:r>
        <w:t>‘Prostheses List’ to refer to the current</w:t>
      </w:r>
      <w:r w:rsidR="00DF310D">
        <w:t xml:space="preserve"> Schedule to the Prostheses Rules</w:t>
      </w:r>
      <w:r>
        <w:t>.</w:t>
      </w:r>
    </w:p>
    <w:p w14:paraId="477511EF" w14:textId="6FF9A068" w:rsidR="004E36A3" w:rsidRPr="00DA100A" w:rsidRDefault="004E36A3" w:rsidP="0061797B">
      <w:pPr>
        <w:pStyle w:val="Heading1"/>
      </w:pPr>
      <w:r w:rsidRPr="007C2DD9">
        <w:t>Listing Criteria</w:t>
      </w:r>
      <w:r w:rsidRPr="00DA100A">
        <w:t xml:space="preserve"> Legislative Context</w:t>
      </w:r>
    </w:p>
    <w:p w14:paraId="76B7ABD1" w14:textId="2B600575" w:rsidR="00ED3D4B" w:rsidRPr="007820FA" w:rsidRDefault="00ED3D4B" w:rsidP="00ED3D4B">
      <w:pPr>
        <w:pStyle w:val="ListBullet"/>
        <w:numPr>
          <w:ilvl w:val="0"/>
          <w:numId w:val="0"/>
        </w:numPr>
      </w:pPr>
      <w:r>
        <w:t>T</w:t>
      </w:r>
      <w:r w:rsidRPr="007820FA">
        <w:t xml:space="preserve">he </w:t>
      </w:r>
      <w:r>
        <w:t xml:space="preserve">proposed </w:t>
      </w:r>
      <w:r w:rsidRPr="007820FA">
        <w:t xml:space="preserve">listing criteria </w:t>
      </w:r>
      <w:r>
        <w:t xml:space="preserve">operate with all the provisions in the </w:t>
      </w:r>
      <w:r w:rsidRPr="007820FA">
        <w:t>PHI Act</w:t>
      </w:r>
      <w:r>
        <w:t>, including the definitions</w:t>
      </w:r>
      <w:r w:rsidR="00DA100A">
        <w:t xml:space="preserve"> of ‘medical device’ and ‘human tissue product’</w:t>
      </w:r>
      <w:r w:rsidRPr="007820FA">
        <w:t>.</w:t>
      </w:r>
    </w:p>
    <w:p w14:paraId="49EE8894" w14:textId="356177FC" w:rsidR="00582EED" w:rsidRPr="00DA100A" w:rsidRDefault="00582EED" w:rsidP="00A40826">
      <w:pPr>
        <w:pStyle w:val="Heading2"/>
      </w:pPr>
      <w:r w:rsidRPr="00DA100A">
        <w:t>Definitions in the PHI Act</w:t>
      </w:r>
    </w:p>
    <w:p w14:paraId="5B8B663B" w14:textId="04372829" w:rsidR="00DE3FED" w:rsidRDefault="004A23AD" w:rsidP="004A23AD">
      <w:pPr>
        <w:pStyle w:val="ListBullet"/>
        <w:numPr>
          <w:ilvl w:val="0"/>
          <w:numId w:val="0"/>
        </w:numPr>
      </w:pPr>
      <w:r>
        <w:t>The</w:t>
      </w:r>
      <w:r w:rsidR="00387A8A">
        <w:t xml:space="preserve"> </w:t>
      </w:r>
      <w:r>
        <w:t xml:space="preserve">definitions </w:t>
      </w:r>
      <w:r w:rsidR="00387A8A">
        <w:t xml:space="preserve">in the PHI Act </w:t>
      </w:r>
      <w:r>
        <w:t xml:space="preserve">along with </w:t>
      </w:r>
      <w:r w:rsidR="00B41102">
        <w:t xml:space="preserve">the </w:t>
      </w:r>
      <w:r>
        <w:t xml:space="preserve">listing criteria in the </w:t>
      </w:r>
      <w:r w:rsidR="00B41102">
        <w:t xml:space="preserve">Rules </w:t>
      </w:r>
      <w:r>
        <w:t xml:space="preserve">establish the eligibility requirements for </w:t>
      </w:r>
      <w:r w:rsidR="004C40DB">
        <w:t>including medical devices and human tissue products</w:t>
      </w:r>
      <w:r w:rsidR="00B41102">
        <w:t xml:space="preserve"> in the </w:t>
      </w:r>
      <w:r w:rsidR="00B00A82">
        <w:t>P</w:t>
      </w:r>
      <w:r w:rsidR="003F7D1F">
        <w:t>rescribed List</w:t>
      </w:r>
      <w:r w:rsidR="00B00A82">
        <w:t>.</w:t>
      </w:r>
      <w:r>
        <w:t xml:space="preserve"> This ensure</w:t>
      </w:r>
      <w:r w:rsidR="00F17056">
        <w:t>s</w:t>
      </w:r>
      <w:r>
        <w:t xml:space="preserve"> that </w:t>
      </w:r>
      <w:r w:rsidR="005449D4">
        <w:t xml:space="preserve">all </w:t>
      </w:r>
      <w:r w:rsidR="002B493A">
        <w:t xml:space="preserve">devices and </w:t>
      </w:r>
      <w:r w:rsidR="00A40826">
        <w:t>products</w:t>
      </w:r>
      <w:r w:rsidR="002B493A">
        <w:t xml:space="preserve"> </w:t>
      </w:r>
      <w:r>
        <w:t xml:space="preserve">that are </w:t>
      </w:r>
      <w:r w:rsidR="004C40DB">
        <w:t>included</w:t>
      </w:r>
      <w:r>
        <w:t xml:space="preserve"> </w:t>
      </w:r>
      <w:r w:rsidR="00F17056">
        <w:t>in the P</w:t>
      </w:r>
      <w:r w:rsidR="003F7D1F">
        <w:t>rescribed List</w:t>
      </w:r>
      <w:r w:rsidR="00F17056">
        <w:t xml:space="preserve"> </w:t>
      </w:r>
      <w:r>
        <w:t xml:space="preserve">meet the purpose and scope of the </w:t>
      </w:r>
      <w:r w:rsidR="003F7D1F">
        <w:t>Rules</w:t>
      </w:r>
      <w:r>
        <w:t>.</w:t>
      </w:r>
      <w:r w:rsidR="00B41102">
        <w:t xml:space="preserve"> </w:t>
      </w:r>
    </w:p>
    <w:p w14:paraId="6E3939D3" w14:textId="23A235B4" w:rsidR="00E25154" w:rsidRDefault="00653BA1" w:rsidP="00114BC9">
      <w:pPr>
        <w:pStyle w:val="ListBullet"/>
        <w:numPr>
          <w:ilvl w:val="0"/>
          <w:numId w:val="0"/>
        </w:numPr>
      </w:pPr>
      <w:r>
        <w:t xml:space="preserve">Importantly, while the definition of ‘medical device’ </w:t>
      </w:r>
      <w:r w:rsidR="007376AF">
        <w:t xml:space="preserve">in the PHI Act </w:t>
      </w:r>
      <w:r>
        <w:t xml:space="preserve">is consistent with the definition of ‘medical device’ in the </w:t>
      </w:r>
      <w:r w:rsidRPr="007376AF">
        <w:rPr>
          <w:i/>
          <w:iCs/>
        </w:rPr>
        <w:t>Therapeutic Goods Act 1989</w:t>
      </w:r>
      <w:r w:rsidR="001F4D70">
        <w:t>,</w:t>
      </w:r>
      <w:r>
        <w:t xml:space="preserve"> there </w:t>
      </w:r>
      <w:r w:rsidR="007376AF">
        <w:t xml:space="preserve">is an </w:t>
      </w:r>
      <w:r>
        <w:t xml:space="preserve">important </w:t>
      </w:r>
      <w:r w:rsidR="00D85937">
        <w:t>distinction</w:t>
      </w:r>
      <w:r>
        <w:t xml:space="preserve">. </w:t>
      </w:r>
      <w:r w:rsidR="00DE07DB">
        <w:t xml:space="preserve">Unlike the definition of ‘medical device’ in the </w:t>
      </w:r>
      <w:r w:rsidR="00DE07DB">
        <w:rPr>
          <w:i/>
          <w:iCs/>
        </w:rPr>
        <w:t>Therapeutic Goods Act 1989</w:t>
      </w:r>
      <w:r w:rsidR="00DE07DB">
        <w:t>,</w:t>
      </w:r>
      <w:r w:rsidR="00DE07DB">
        <w:rPr>
          <w:i/>
          <w:iCs/>
        </w:rPr>
        <w:t xml:space="preserve"> </w:t>
      </w:r>
      <w:r w:rsidR="00DE07DB">
        <w:t>t</w:t>
      </w:r>
      <w:r w:rsidR="007376AF">
        <w:t xml:space="preserve">he definition in the PHI Act </w:t>
      </w:r>
      <w:r w:rsidR="007376AF" w:rsidRPr="005343EB">
        <w:t>does not include medical devices used for diagnostic purposes</w:t>
      </w:r>
      <w:r w:rsidR="00930C59">
        <w:t xml:space="preserve"> and is limited to the medical devices that meet the criteria for listing</w:t>
      </w:r>
      <w:r w:rsidR="007376AF" w:rsidRPr="005343EB">
        <w:t xml:space="preserve">. </w:t>
      </w:r>
      <w:bookmarkEnd w:id="0"/>
      <w:r w:rsidR="007376AF">
        <w:t xml:space="preserve">Similarly, </w:t>
      </w:r>
      <w:r w:rsidR="007376AF" w:rsidRPr="007376AF">
        <w:t>the definition of ‘</w:t>
      </w:r>
      <w:r w:rsidR="007376AF">
        <w:t>human tissue product</w:t>
      </w:r>
      <w:r w:rsidR="007376AF" w:rsidRPr="007376AF">
        <w:t>’ in the PHI Act is consistent with the definition of ‘</w:t>
      </w:r>
      <w:r w:rsidR="007376AF">
        <w:t>biological</w:t>
      </w:r>
      <w:r w:rsidR="007376AF" w:rsidRPr="007376AF">
        <w:t xml:space="preserve">’ in the </w:t>
      </w:r>
      <w:r w:rsidR="007376AF" w:rsidRPr="007376AF">
        <w:rPr>
          <w:i/>
          <w:iCs/>
        </w:rPr>
        <w:t>Therapeutic Goods Act 1989</w:t>
      </w:r>
      <w:r w:rsidR="007376AF" w:rsidRPr="007376AF">
        <w:t xml:space="preserve"> </w:t>
      </w:r>
      <w:r w:rsidR="007376AF">
        <w:t xml:space="preserve">but </w:t>
      </w:r>
      <w:r w:rsidR="00930C59">
        <w:t>only includes human tissue products</w:t>
      </w:r>
      <w:r w:rsidR="007376AF" w:rsidRPr="007376AF">
        <w:t>.</w:t>
      </w:r>
    </w:p>
    <w:p w14:paraId="7B720AEF" w14:textId="4A51092D" w:rsidR="00F17056" w:rsidRDefault="007441FA" w:rsidP="00114BC9">
      <w:pPr>
        <w:pStyle w:val="ListBullet"/>
        <w:numPr>
          <w:ilvl w:val="0"/>
          <w:numId w:val="0"/>
        </w:numPr>
      </w:pPr>
      <w:r>
        <w:t xml:space="preserve">The definitions of ‘medical device’ and ‘human tissue product’ in private health insurance legislation </w:t>
      </w:r>
      <w:r w:rsidR="00E25154">
        <w:t xml:space="preserve">reflect the </w:t>
      </w:r>
      <w:r w:rsidR="003F7D1F">
        <w:t>kinds</w:t>
      </w:r>
      <w:r w:rsidR="00FE77CE">
        <w:t xml:space="preserve"> </w:t>
      </w:r>
      <w:r w:rsidR="00E25154">
        <w:t xml:space="preserve">of devices and </w:t>
      </w:r>
      <w:r w:rsidR="00930C59">
        <w:t xml:space="preserve">human tissue </w:t>
      </w:r>
      <w:r w:rsidR="00E25154">
        <w:t xml:space="preserve">products that are </w:t>
      </w:r>
      <w:r w:rsidR="00E25154" w:rsidRPr="007376AF">
        <w:t xml:space="preserve">intended to be included in the </w:t>
      </w:r>
      <w:r w:rsidR="00E25154">
        <w:t>P</w:t>
      </w:r>
      <w:r w:rsidR="003F7D1F">
        <w:t xml:space="preserve">rescribed List </w:t>
      </w:r>
      <w:r w:rsidR="001A5035" w:rsidRPr="00A9086C">
        <w:t xml:space="preserve">and excludes those devices and products that </w:t>
      </w:r>
      <w:r w:rsidR="00930C59">
        <w:t xml:space="preserve">are not eligible to </w:t>
      </w:r>
      <w:r w:rsidR="001A5035" w:rsidRPr="00A9086C">
        <w:t xml:space="preserve">be included in the </w:t>
      </w:r>
      <w:r w:rsidR="003F7D1F">
        <w:t>Prescribed List</w:t>
      </w:r>
      <w:r w:rsidR="00E25154" w:rsidRPr="00A9086C">
        <w:t>.</w:t>
      </w:r>
    </w:p>
    <w:p w14:paraId="78C0A1AD" w14:textId="115C13CD" w:rsidR="00582EED" w:rsidRPr="00DA100A" w:rsidRDefault="00582EED" w:rsidP="00A40826">
      <w:pPr>
        <w:pStyle w:val="Heading2"/>
      </w:pPr>
      <w:r w:rsidRPr="00DA100A">
        <w:t>Additional Legislative Context</w:t>
      </w:r>
    </w:p>
    <w:p w14:paraId="7709C6F1" w14:textId="7DC2A7F7" w:rsidR="00894F8A" w:rsidRDefault="00894F8A" w:rsidP="00894F8A">
      <w:pPr>
        <w:pStyle w:val="ListBullet"/>
        <w:numPr>
          <w:ilvl w:val="0"/>
          <w:numId w:val="0"/>
        </w:numPr>
      </w:pPr>
      <w:r>
        <w:t xml:space="preserve">Under the PHI Act, private health insurers </w:t>
      </w:r>
      <w:r w:rsidR="003F7D1F">
        <w:t>will be</w:t>
      </w:r>
      <w:r>
        <w:t xml:space="preserve"> required to pay benefits for </w:t>
      </w:r>
      <w:r w:rsidR="00E25154">
        <w:t xml:space="preserve">medical devices and human tissue products </w:t>
      </w:r>
      <w:r>
        <w:t xml:space="preserve">that are included </w:t>
      </w:r>
      <w:r w:rsidR="003F7D1F">
        <w:t>i</w:t>
      </w:r>
      <w:r>
        <w:t xml:space="preserve">n the </w:t>
      </w:r>
      <w:r w:rsidR="00B00A82">
        <w:t>P</w:t>
      </w:r>
      <w:r w:rsidR="003F7D1F">
        <w:t>rescribed List</w:t>
      </w:r>
      <w:r w:rsidR="00B00A82">
        <w:t>:</w:t>
      </w:r>
    </w:p>
    <w:p w14:paraId="4D2206BB" w14:textId="7E4012A4" w:rsidR="00894F8A" w:rsidRDefault="00894F8A" w:rsidP="00894F8A">
      <w:pPr>
        <w:pStyle w:val="ListBullet"/>
      </w:pPr>
      <w:r>
        <w:t xml:space="preserve">for which an insured person has appropriate </w:t>
      </w:r>
      <w:proofErr w:type="gramStart"/>
      <w:r>
        <w:t>cover</w:t>
      </w:r>
      <w:r w:rsidR="00DE07DB">
        <w:t>;</w:t>
      </w:r>
      <w:proofErr w:type="gramEnd"/>
    </w:p>
    <w:p w14:paraId="2D692574" w14:textId="652D9CF7" w:rsidR="00894F8A" w:rsidRDefault="00894F8A" w:rsidP="00894F8A">
      <w:pPr>
        <w:pStyle w:val="ListBullet"/>
      </w:pPr>
      <w:r>
        <w:t>that are provided as part of an episode of hospital treatment or hospital-substitute treatment</w:t>
      </w:r>
      <w:r w:rsidR="00DE07DB">
        <w:t>; and</w:t>
      </w:r>
    </w:p>
    <w:p w14:paraId="616B89D9" w14:textId="189A8710" w:rsidR="00582EED" w:rsidRDefault="00894F8A" w:rsidP="00894F8A">
      <w:pPr>
        <w:pStyle w:val="ListBullet"/>
      </w:pPr>
      <w:r>
        <w:t xml:space="preserve">for which a Medicare benefit is payable for the professional service associated with the provision of the </w:t>
      </w:r>
      <w:r w:rsidR="001C7F43">
        <w:t>medical device or human tissue product</w:t>
      </w:r>
      <w:r>
        <w:t>.</w:t>
      </w:r>
    </w:p>
    <w:p w14:paraId="21CFDA25" w14:textId="20F30E03" w:rsidR="00582EED" w:rsidRDefault="005D13C7" w:rsidP="00114BC9">
      <w:pPr>
        <w:pStyle w:val="ListBullet"/>
        <w:numPr>
          <w:ilvl w:val="0"/>
          <w:numId w:val="0"/>
        </w:numPr>
      </w:pPr>
      <w:r w:rsidRPr="005D13C7">
        <w:t xml:space="preserve">This is a requirement of item 4 of the table in subsection 72-1(2) of the </w:t>
      </w:r>
      <w:r w:rsidR="00894F8A">
        <w:t>PHI Act</w:t>
      </w:r>
      <w:r w:rsidR="00DE07DB">
        <w:t>.</w:t>
      </w:r>
      <w:r w:rsidR="00894F8A">
        <w:t xml:space="preserve"> </w:t>
      </w:r>
      <w:r w:rsidR="00DE07DB">
        <w:t>T</w:t>
      </w:r>
      <w:r w:rsidR="00894F8A">
        <w:t>he proposed listing criteria do not and cannot alter this requirement. There is no need for the proposed listing criteria to duplicate this requirement because it applies irrespective of any listing criteria</w:t>
      </w:r>
      <w:r w:rsidR="00E25154">
        <w:t xml:space="preserve"> that may be specified</w:t>
      </w:r>
      <w:r w:rsidR="00894F8A">
        <w:t>.</w:t>
      </w:r>
    </w:p>
    <w:p w14:paraId="51A785A8" w14:textId="77777777" w:rsidR="005449D4" w:rsidRDefault="005449D4" w:rsidP="00114BC9">
      <w:pPr>
        <w:pStyle w:val="ListBullet"/>
        <w:numPr>
          <w:ilvl w:val="0"/>
          <w:numId w:val="0"/>
        </w:numPr>
      </w:pPr>
    </w:p>
    <w:p w14:paraId="65DCE176" w14:textId="276D57D7" w:rsidR="00E866D8" w:rsidRDefault="007820FA" w:rsidP="00E866D8">
      <w:pPr>
        <w:pStyle w:val="Heading1"/>
      </w:pPr>
      <w:r>
        <w:lastRenderedPageBreak/>
        <w:t>Proposed listing criteria</w:t>
      </w:r>
    </w:p>
    <w:p w14:paraId="721A1390" w14:textId="32308284" w:rsidR="007820FA" w:rsidRDefault="007820FA" w:rsidP="00E866D8">
      <w:pPr>
        <w:pStyle w:val="Paragraphtext"/>
      </w:pPr>
      <w:r>
        <w:t>In developing the proposed listing criteria</w:t>
      </w:r>
      <w:r w:rsidR="00E25154">
        <w:t>,</w:t>
      </w:r>
      <w:r>
        <w:t xml:space="preserve"> </w:t>
      </w:r>
      <w:r w:rsidR="00AF24E8">
        <w:t xml:space="preserve">the Department </w:t>
      </w:r>
      <w:r w:rsidR="004E36A3">
        <w:t>has sought to:</w:t>
      </w:r>
    </w:p>
    <w:p w14:paraId="131790C6" w14:textId="28CFA946" w:rsidR="004E36A3" w:rsidRDefault="00EE6B1E" w:rsidP="00D85937">
      <w:pPr>
        <w:pStyle w:val="ListBullet"/>
      </w:pPr>
      <w:r>
        <w:t>ensure the criteria are consistent with measures in the PHI Act</w:t>
      </w:r>
    </w:p>
    <w:p w14:paraId="4540B5D4" w14:textId="419DB7EC" w:rsidR="00894F8A" w:rsidRDefault="00EE6B1E" w:rsidP="00D85937">
      <w:pPr>
        <w:pStyle w:val="ListBullet"/>
      </w:pPr>
      <w:r>
        <w:t>align the criteria with the current administrative practices used for listing items</w:t>
      </w:r>
    </w:p>
    <w:p w14:paraId="4B0C55F2" w14:textId="58B37966" w:rsidR="001126D5" w:rsidRDefault="00894F8A" w:rsidP="00D85937">
      <w:pPr>
        <w:pStyle w:val="ListBullet"/>
      </w:pPr>
      <w:r>
        <w:t>preserve the three parts of the current P</w:t>
      </w:r>
      <w:r w:rsidR="006E6725">
        <w:t>rostheses List</w:t>
      </w:r>
      <w:r w:rsidR="00CA39B3">
        <w:t xml:space="preserve"> (Part</w:t>
      </w:r>
      <w:r w:rsidR="00DA100A">
        <w:t>s</w:t>
      </w:r>
      <w:r w:rsidR="00CA39B3">
        <w:t xml:space="preserve"> A, B and C)</w:t>
      </w:r>
      <w:r w:rsidR="00930C59">
        <w:t xml:space="preserve"> [Part D </w:t>
      </w:r>
      <w:r w:rsidR="00447726">
        <w:t>would</w:t>
      </w:r>
      <w:r w:rsidR="00930C59">
        <w:t xml:space="preserve"> be removed from the PL in July 2023]</w:t>
      </w:r>
    </w:p>
    <w:p w14:paraId="7B51E779" w14:textId="34AE59EE" w:rsidR="003B6E26" w:rsidRDefault="00CA39B3" w:rsidP="00D85937">
      <w:pPr>
        <w:pStyle w:val="ListBullet"/>
      </w:pPr>
      <w:r>
        <w:t>develop</w:t>
      </w:r>
      <w:r w:rsidR="001126D5">
        <w:t xml:space="preserve"> criteria that are </w:t>
      </w:r>
      <w:r>
        <w:t>as objective as possible</w:t>
      </w:r>
      <w:r w:rsidR="001126D5">
        <w:t xml:space="preserve">, </w:t>
      </w:r>
      <w:r w:rsidR="00DA100A">
        <w:t xml:space="preserve">recognising </w:t>
      </w:r>
      <w:r w:rsidR="00E25154">
        <w:t xml:space="preserve">that </w:t>
      </w:r>
      <w:r w:rsidR="001126D5">
        <w:t>these criteria would be included in a legislative instrument (rather than guidance material)</w:t>
      </w:r>
    </w:p>
    <w:p w14:paraId="07B76B6B" w14:textId="02ECA531" w:rsidR="00EE6B1E" w:rsidRDefault="008B7CDF" w:rsidP="00D85937">
      <w:pPr>
        <w:pStyle w:val="ListBullet"/>
      </w:pPr>
      <w:r>
        <w:t>consider</w:t>
      </w:r>
      <w:r w:rsidR="003B6E26">
        <w:t xml:space="preserve"> issues previously raised about the criteria</w:t>
      </w:r>
      <w:r w:rsidR="00EE6B1E">
        <w:t>.</w:t>
      </w:r>
    </w:p>
    <w:p w14:paraId="6C7C4924" w14:textId="77777777" w:rsidR="001C7F43" w:rsidRDefault="00322156" w:rsidP="00E866D8">
      <w:pPr>
        <w:pStyle w:val="Paragraphtext"/>
      </w:pPr>
      <w:r w:rsidRPr="00322156">
        <w:t>The proposed listing criteria are</w:t>
      </w:r>
      <w:r>
        <w:t xml:space="preserve"> described as</w:t>
      </w:r>
      <w:r w:rsidR="001C7F43">
        <w:t>:</w:t>
      </w:r>
    </w:p>
    <w:p w14:paraId="5618E77E" w14:textId="4B89FAA1" w:rsidR="001C7F43" w:rsidRDefault="00322156" w:rsidP="001C7F43">
      <w:pPr>
        <w:pStyle w:val="ListBullet"/>
      </w:pPr>
      <w:r>
        <w:t>a general listing criterion</w:t>
      </w:r>
      <w:r w:rsidR="001C7F43">
        <w:t xml:space="preserve">, </w:t>
      </w:r>
      <w:r>
        <w:t>applicable to all items listed in the P</w:t>
      </w:r>
      <w:r w:rsidR="007C1106">
        <w:t>rescribed List</w:t>
      </w:r>
      <w:r w:rsidR="001C7F43">
        <w:t>;</w:t>
      </w:r>
      <w:r>
        <w:t xml:space="preserve"> and</w:t>
      </w:r>
    </w:p>
    <w:p w14:paraId="4BD5CEC9" w14:textId="0760C451" w:rsidR="0026346F" w:rsidRDefault="00322156" w:rsidP="001C7F43">
      <w:pPr>
        <w:pStyle w:val="ListBullet"/>
      </w:pPr>
      <w:r>
        <w:t>specific listing criteria that would apply for each of the three parts of the P</w:t>
      </w:r>
      <w:r w:rsidR="003F7D1F">
        <w:t>rescribed List</w:t>
      </w:r>
      <w:r>
        <w:t>. Parts A and C of the P</w:t>
      </w:r>
      <w:r w:rsidR="003F7D1F">
        <w:t>rescribed List</w:t>
      </w:r>
      <w:r>
        <w:t xml:space="preserve"> are only relevant for medical devices and Part B of the P</w:t>
      </w:r>
      <w:r w:rsidR="003F7D1F">
        <w:t>rescribed List</w:t>
      </w:r>
      <w:r>
        <w:t xml:space="preserve"> is only relevant for human tissue products.</w:t>
      </w:r>
    </w:p>
    <w:p w14:paraId="660093DB" w14:textId="59694B93" w:rsidR="0084538F" w:rsidRDefault="0026346F" w:rsidP="00C4197B">
      <w:pPr>
        <w:pStyle w:val="Paragraphtext"/>
      </w:pPr>
      <w:r>
        <w:t>The proposed listing criteria are consistent with the current administrative approach for listing items</w:t>
      </w:r>
      <w:r w:rsidR="004E36CC">
        <w:t xml:space="preserve"> </w:t>
      </w:r>
      <w:r>
        <w:t>in the P</w:t>
      </w:r>
      <w:r w:rsidR="007C1106">
        <w:t xml:space="preserve">rostheses List. </w:t>
      </w:r>
    </w:p>
    <w:p w14:paraId="1699C509" w14:textId="26580908" w:rsidR="00A357FD" w:rsidRPr="0026346F" w:rsidRDefault="001B28D0" w:rsidP="00A40826">
      <w:pPr>
        <w:pStyle w:val="Heading2"/>
      </w:pPr>
      <w:r>
        <w:t xml:space="preserve">Proposed </w:t>
      </w:r>
      <w:r w:rsidR="0084538F" w:rsidRPr="0026346F">
        <w:t xml:space="preserve">General Listing </w:t>
      </w:r>
      <w:r w:rsidR="00A357FD" w:rsidRPr="0026346F">
        <w:t>Criterion</w:t>
      </w:r>
    </w:p>
    <w:p w14:paraId="33B62681" w14:textId="77777777" w:rsidR="006E6725" w:rsidRDefault="006E6725" w:rsidP="00884F2D">
      <w:pPr>
        <w:pStyle w:val="Paragraphtext"/>
      </w:pPr>
      <w:r>
        <w:t>The general listing criterion is the following:</w:t>
      </w:r>
    </w:p>
    <w:p w14:paraId="5F871FEA" w14:textId="0F1CAD92" w:rsidR="006E6725" w:rsidRPr="00A1770B" w:rsidRDefault="006C39DC" w:rsidP="006C39DC">
      <w:pPr>
        <w:pStyle w:val="Paragraphtext"/>
        <w:ind w:left="567" w:right="508"/>
        <w:rPr>
          <w:highlight w:val="yellow"/>
        </w:rPr>
      </w:pPr>
      <w:r w:rsidRPr="00A1770B">
        <w:t xml:space="preserve">It is a </w:t>
      </w:r>
      <w:r w:rsidR="006E6725" w:rsidRPr="00A1770B">
        <w:t xml:space="preserve">listing criterion for listing in the Rules that a medical device or human tissue product must be included </w:t>
      </w:r>
      <w:r w:rsidR="00930C59">
        <w:t>i</w:t>
      </w:r>
      <w:r w:rsidR="00930C59" w:rsidRPr="00A1770B">
        <w:t xml:space="preserve">n </w:t>
      </w:r>
      <w:r w:rsidR="006E6725" w:rsidRPr="00A1770B">
        <w:t xml:space="preserve">the Australian Register of Therapeutic Goods (ARTG), within the meaning in section 3 of the </w:t>
      </w:r>
      <w:r w:rsidR="006E6725" w:rsidRPr="003B2A28">
        <w:rPr>
          <w:i/>
          <w:iCs/>
        </w:rPr>
        <w:t>Therapeutic Goods Act 1989</w:t>
      </w:r>
      <w:r w:rsidR="006E6725" w:rsidRPr="00A1770B">
        <w:t xml:space="preserve"> (TG Act) (see Part 4-5 of the TG Act).</w:t>
      </w:r>
    </w:p>
    <w:p w14:paraId="262AF88B" w14:textId="6265BA2F" w:rsidR="0026346F" w:rsidRDefault="001A5E81" w:rsidP="00E866D8">
      <w:pPr>
        <w:pStyle w:val="Paragraphtext"/>
      </w:pPr>
      <w:r>
        <w:t xml:space="preserve">The general listing criterion applies to all </w:t>
      </w:r>
      <w:r w:rsidR="00D64C89">
        <w:t xml:space="preserve">medical devices and human tissue products </w:t>
      </w:r>
      <w:r>
        <w:t xml:space="preserve">for </w:t>
      </w:r>
      <w:r w:rsidR="004C40DB">
        <w:t>inclusion</w:t>
      </w:r>
      <w:r>
        <w:t xml:space="preserve"> in the P</w:t>
      </w:r>
      <w:r w:rsidR="003F7D1F">
        <w:t>rescribed List (the Schedule to the Rules)</w:t>
      </w:r>
      <w:r>
        <w:t xml:space="preserve">. </w:t>
      </w:r>
      <w:r w:rsidR="00A357FD">
        <w:t>The criterion refers to</w:t>
      </w:r>
      <w:r w:rsidR="00D64C89">
        <w:t xml:space="preserve"> medical devices or human tissue products </w:t>
      </w:r>
      <w:r w:rsidR="00A357FD">
        <w:t xml:space="preserve">included </w:t>
      </w:r>
      <w:r w:rsidR="00777071">
        <w:t>i</w:t>
      </w:r>
      <w:r w:rsidR="00A357FD">
        <w:t xml:space="preserve">n the ARTG </w:t>
      </w:r>
      <w:r>
        <w:t xml:space="preserve">because </w:t>
      </w:r>
      <w:r w:rsidR="00322156">
        <w:t>verify</w:t>
      </w:r>
      <w:r w:rsidR="00C16B54">
        <w:t>ing</w:t>
      </w:r>
      <w:r w:rsidR="00322156">
        <w:t xml:space="preserve"> </w:t>
      </w:r>
      <w:r w:rsidR="00C16B54">
        <w:t xml:space="preserve">and long-term monitoring </w:t>
      </w:r>
      <w:r w:rsidR="00322156">
        <w:t xml:space="preserve">other kinds of approvals that </w:t>
      </w:r>
      <w:r w:rsidR="00756398">
        <w:t xml:space="preserve">may </w:t>
      </w:r>
      <w:r w:rsidR="00322156">
        <w:t>authorise supply of medical devices or human tissue products in Australia</w:t>
      </w:r>
      <w:r w:rsidR="00C16B54">
        <w:t xml:space="preserve"> is practicably difficult and time consuming</w:t>
      </w:r>
      <w:r w:rsidR="00322156">
        <w:t>.</w:t>
      </w:r>
    </w:p>
    <w:p w14:paraId="7614907C" w14:textId="1A5F34D3" w:rsidR="007820FA" w:rsidRPr="0026346F" w:rsidRDefault="001B28D0" w:rsidP="0061797B">
      <w:pPr>
        <w:pStyle w:val="Heading2"/>
      </w:pPr>
      <w:r>
        <w:t xml:space="preserve">Proposed </w:t>
      </w:r>
      <w:r w:rsidR="0026346F" w:rsidRPr="0026346F">
        <w:t>Part A Criteria</w:t>
      </w:r>
    </w:p>
    <w:p w14:paraId="36AFE0CC" w14:textId="16B5802E" w:rsidR="006E6725" w:rsidRDefault="006E6725" w:rsidP="00E866D8">
      <w:pPr>
        <w:pStyle w:val="Paragraphtext"/>
      </w:pPr>
      <w:r w:rsidRPr="006E6725">
        <w:t xml:space="preserve">All these listing criteria apply to a medical device for listing in Part A of the </w:t>
      </w:r>
      <w:r w:rsidR="003F7D1F">
        <w:t>Prescribed List</w:t>
      </w:r>
      <w:r w:rsidRPr="006E6725">
        <w:t>.</w:t>
      </w:r>
    </w:p>
    <w:p w14:paraId="7908E6AB" w14:textId="517A4FFA" w:rsidR="007820FA" w:rsidRPr="00E5725B" w:rsidRDefault="0084538F" w:rsidP="005D619F">
      <w:pPr>
        <w:pStyle w:val="Heading4"/>
      </w:pPr>
      <w:r w:rsidRPr="00E5725B">
        <w:t xml:space="preserve">Part A </w:t>
      </w:r>
      <w:r w:rsidR="00A357FD" w:rsidRPr="00E5725B">
        <w:t xml:space="preserve">Criterion </w:t>
      </w:r>
      <w:r w:rsidRPr="00E5725B">
        <w:t>1</w:t>
      </w:r>
    </w:p>
    <w:p w14:paraId="29E4F69D" w14:textId="43F161A3" w:rsidR="006E6725" w:rsidRDefault="006E6725" w:rsidP="004E36CC">
      <w:pPr>
        <w:pStyle w:val="Paragraphtext"/>
        <w:rPr>
          <w:highlight w:val="yellow"/>
        </w:rPr>
      </w:pPr>
      <w:bookmarkStart w:id="3" w:name="_Hlk126160709"/>
      <w:r>
        <w:t>In this criterion, a</w:t>
      </w:r>
      <w:r w:rsidRPr="006E6725">
        <w:t xml:space="preserve">n ‘implantable medical device’ has the same meaning as in the </w:t>
      </w:r>
      <w:r w:rsidRPr="00A1770B">
        <w:rPr>
          <w:i/>
          <w:iCs/>
        </w:rPr>
        <w:t>Therapeutic Goods (Medical Devices) Regulations 2002</w:t>
      </w:r>
      <w:r w:rsidRPr="006E6725">
        <w:t>.</w:t>
      </w:r>
    </w:p>
    <w:p w14:paraId="43B3C7ED" w14:textId="77777777" w:rsidR="006E6725" w:rsidRPr="00A1770B" w:rsidRDefault="006E6725" w:rsidP="006E6725">
      <w:pPr>
        <w:pStyle w:val="Paragraphtext"/>
      </w:pPr>
      <w:r>
        <w:t>1.</w:t>
      </w:r>
      <w:r>
        <w:tab/>
      </w:r>
      <w:r w:rsidRPr="00A1770B">
        <w:t>It is a listing criterion that the medical device must be:</w:t>
      </w:r>
    </w:p>
    <w:p w14:paraId="027AF755" w14:textId="77777777" w:rsidR="006E6725" w:rsidRPr="00A1770B" w:rsidRDefault="006E6725" w:rsidP="006E6725">
      <w:pPr>
        <w:pStyle w:val="Paragraphtext"/>
        <w:ind w:firstLine="720"/>
      </w:pPr>
      <w:r w:rsidRPr="00A1770B">
        <w:t>a.</w:t>
      </w:r>
      <w:r w:rsidRPr="00A1770B">
        <w:tab/>
        <w:t>An implantable medical device designed to:</w:t>
      </w:r>
    </w:p>
    <w:p w14:paraId="426F1EC4" w14:textId="77777777" w:rsidR="006E6725" w:rsidRPr="00A1770B" w:rsidRDefault="006E6725" w:rsidP="006E6725">
      <w:pPr>
        <w:pStyle w:val="Paragraphtext"/>
        <w:ind w:left="720" w:firstLine="720"/>
      </w:pPr>
      <w:r w:rsidRPr="00A1770B">
        <w:t>i.</w:t>
      </w:r>
      <w:r w:rsidRPr="00A1770B">
        <w:tab/>
      </w:r>
      <w:proofErr w:type="gramStart"/>
      <w:r w:rsidRPr="00A1770B">
        <w:t>replace</w:t>
      </w:r>
      <w:proofErr w:type="gramEnd"/>
      <w:r w:rsidRPr="00A1770B">
        <w:t xml:space="preserve"> an anatomical body part; or</w:t>
      </w:r>
    </w:p>
    <w:p w14:paraId="3BFC2976" w14:textId="77777777" w:rsidR="006E6725" w:rsidRPr="00A1770B" w:rsidRDefault="006E6725" w:rsidP="006E6725">
      <w:pPr>
        <w:pStyle w:val="Paragraphtext"/>
        <w:ind w:left="720" w:firstLine="720"/>
      </w:pPr>
      <w:r w:rsidRPr="00A1770B">
        <w:t>ii.</w:t>
      </w:r>
      <w:r w:rsidRPr="00A1770B">
        <w:tab/>
        <w:t>combat a pathological process; or</w:t>
      </w:r>
    </w:p>
    <w:p w14:paraId="53CF5FB2" w14:textId="77777777" w:rsidR="006E6725" w:rsidRPr="00A1770B" w:rsidRDefault="006E6725" w:rsidP="006E6725">
      <w:pPr>
        <w:pStyle w:val="Paragraphtext"/>
        <w:ind w:left="720" w:firstLine="720"/>
      </w:pPr>
      <w:r w:rsidRPr="00A1770B">
        <w:t>iii.</w:t>
      </w:r>
      <w:r w:rsidRPr="00A1770B">
        <w:tab/>
        <w:t xml:space="preserve">modulate a physiological </w:t>
      </w:r>
      <w:proofErr w:type="gramStart"/>
      <w:r w:rsidRPr="00A1770B">
        <w:t>process;</w:t>
      </w:r>
      <w:proofErr w:type="gramEnd"/>
      <w:r w:rsidRPr="00A1770B">
        <w:t xml:space="preserve"> </w:t>
      </w:r>
    </w:p>
    <w:p w14:paraId="5597029C" w14:textId="77777777" w:rsidR="006E6725" w:rsidRPr="00A1770B" w:rsidRDefault="006E6725" w:rsidP="000D6EEB">
      <w:pPr>
        <w:pStyle w:val="Paragraphtext"/>
        <w:spacing w:before="0" w:after="0" w:line="240" w:lineRule="auto"/>
        <w:ind w:firstLine="720"/>
      </w:pPr>
      <w:r w:rsidRPr="00A1770B">
        <w:t>or</w:t>
      </w:r>
    </w:p>
    <w:p w14:paraId="1D4BF76F" w14:textId="5C5B150B" w:rsidR="006E6725" w:rsidRPr="00A1770B" w:rsidRDefault="006E6725" w:rsidP="006E6725">
      <w:pPr>
        <w:pStyle w:val="Paragraphtext"/>
        <w:ind w:left="1418" w:hanging="698"/>
      </w:pPr>
      <w:r w:rsidRPr="00A1770B">
        <w:t>b.</w:t>
      </w:r>
      <w:r w:rsidRPr="00A1770B">
        <w:tab/>
        <w:t xml:space="preserve">essential to and specifically designed as an integral single-use aid for implanting a medical </w:t>
      </w:r>
      <w:r w:rsidRPr="00C9352A">
        <w:t xml:space="preserve">device in (a) above, which is only </w:t>
      </w:r>
      <w:bookmarkStart w:id="4" w:name="_Hlk129319686"/>
      <w:r w:rsidRPr="00C9352A">
        <w:t>suitable for use with the patient in whom the medical</w:t>
      </w:r>
      <w:r w:rsidRPr="00A1770B">
        <w:t xml:space="preserve"> device is </w:t>
      </w:r>
      <w:proofErr w:type="gramStart"/>
      <w:r w:rsidRPr="00A1770B">
        <w:t>implanted</w:t>
      </w:r>
      <w:bookmarkEnd w:id="4"/>
      <w:r w:rsidRPr="00A1770B">
        <w:t>;</w:t>
      </w:r>
      <w:proofErr w:type="gramEnd"/>
    </w:p>
    <w:p w14:paraId="06603239" w14:textId="77777777" w:rsidR="006E6725" w:rsidRPr="00A1770B" w:rsidRDefault="006E6725" w:rsidP="000D6EEB">
      <w:pPr>
        <w:pStyle w:val="Paragraphtext"/>
        <w:spacing w:before="0" w:after="0" w:line="240" w:lineRule="auto"/>
        <w:ind w:firstLine="720"/>
      </w:pPr>
      <w:r w:rsidRPr="00A1770B">
        <w:t>or</w:t>
      </w:r>
    </w:p>
    <w:p w14:paraId="54DD767F" w14:textId="68EF26B3" w:rsidR="006E6725" w:rsidRPr="00A1770B" w:rsidRDefault="006E6725" w:rsidP="006E6725">
      <w:pPr>
        <w:pStyle w:val="Paragraphtext"/>
        <w:ind w:left="1418" w:hanging="698"/>
        <w:rPr>
          <w:highlight w:val="yellow"/>
        </w:rPr>
      </w:pPr>
      <w:r w:rsidRPr="00A1770B">
        <w:t>c.</w:t>
      </w:r>
      <w:r w:rsidRPr="00A1770B">
        <w:tab/>
        <w:t xml:space="preserve">critical to the continuing function of the surgically implantable medical device to achieve (a) (i), (ii) or (iii) above and which is only suitable for use by the patient in whom </w:t>
      </w:r>
      <w:r w:rsidR="00F571E7">
        <w:t>the</w:t>
      </w:r>
      <w:r w:rsidR="00F571E7" w:rsidRPr="00A1770B">
        <w:t xml:space="preserve"> </w:t>
      </w:r>
      <w:r w:rsidRPr="00A1770B">
        <w:t>medical device is implanted.</w:t>
      </w:r>
    </w:p>
    <w:p w14:paraId="4F905A45" w14:textId="2D431E10" w:rsidR="00A357FD" w:rsidRDefault="007C1106" w:rsidP="00E866D8">
      <w:pPr>
        <w:pStyle w:val="Paragraphtext"/>
      </w:pPr>
      <w:bookmarkStart w:id="5" w:name="_Hlk126227261"/>
      <w:bookmarkEnd w:id="3"/>
      <w:r w:rsidRPr="00097BFB">
        <w:t xml:space="preserve">This criterion reflects what is currently applied administratively for </w:t>
      </w:r>
      <w:r w:rsidR="00503FB4">
        <w:t>including</w:t>
      </w:r>
      <w:r w:rsidRPr="00097BFB">
        <w:t xml:space="preserve"> </w:t>
      </w:r>
      <w:r w:rsidR="00503FB4">
        <w:t xml:space="preserve">medical devices and human tissue products </w:t>
      </w:r>
      <w:r w:rsidRPr="00097BFB">
        <w:t>in the Prostheses List.</w:t>
      </w:r>
    </w:p>
    <w:p w14:paraId="34C17911" w14:textId="02E52834" w:rsidR="005066AB" w:rsidRDefault="00E94FEE" w:rsidP="00447726">
      <w:pPr>
        <w:pStyle w:val="Paragraphtext"/>
      </w:pPr>
      <w:r>
        <w:t>The word ‘surgically’ has been chosen to convey the intention that the product be provided through an interventional process, and ‘implanted’ has been chosen to convey that the interventional process breaches the interface (or integument) between the body and the outside world (</w:t>
      </w:r>
      <w:proofErr w:type="gramStart"/>
      <w:r>
        <w:t>i.e.</w:t>
      </w:r>
      <w:proofErr w:type="gramEnd"/>
      <w:r>
        <w:t xml:space="preserve"> the skin or other epithelial surfaces, such as the rectal mucosa).</w:t>
      </w:r>
    </w:p>
    <w:p w14:paraId="79D0B807" w14:textId="229D6B0E" w:rsidR="00E94FEE" w:rsidRDefault="00E94FEE" w:rsidP="00E94FEE">
      <w:pPr>
        <w:pStyle w:val="Paragraphtext"/>
      </w:pPr>
      <w:r w:rsidRPr="00E94FEE">
        <w:t xml:space="preserve">‘Modulating a physiological process’ can </w:t>
      </w:r>
      <w:r w:rsidR="004C7062">
        <w:t>include</w:t>
      </w:r>
      <w:r w:rsidRPr="00E94FEE">
        <w:t xml:space="preserve"> blocking or facilitating a process. Examples are pacemakers (to regulate heartbeat) and </w:t>
      </w:r>
      <w:r w:rsidR="00F571E7">
        <w:t xml:space="preserve">sacral </w:t>
      </w:r>
      <w:r w:rsidRPr="00E94FEE">
        <w:t xml:space="preserve">nerve stimulators </w:t>
      </w:r>
      <w:r w:rsidR="00F571E7">
        <w:t>to improve bladder and bowel function</w:t>
      </w:r>
      <w:r>
        <w:t>.</w:t>
      </w:r>
    </w:p>
    <w:p w14:paraId="40E94443" w14:textId="08DCB965" w:rsidR="00E94FEE" w:rsidRDefault="00E94FEE" w:rsidP="00E94FEE">
      <w:pPr>
        <w:pStyle w:val="Paragraphtext"/>
      </w:pPr>
      <w:r>
        <w:t xml:space="preserve">This criterion is </w:t>
      </w:r>
      <w:r w:rsidR="001B28D0">
        <w:t xml:space="preserve">also </w:t>
      </w:r>
      <w:r>
        <w:t>for associated products that are essential and manufactured specifically to enable the delivery of a product that meets the criteria above.</w:t>
      </w:r>
    </w:p>
    <w:p w14:paraId="4FEC8C90" w14:textId="77777777" w:rsidR="00E94FEE" w:rsidRDefault="00E94FEE" w:rsidP="00E94FEE">
      <w:pPr>
        <w:pStyle w:val="Paragraphtext"/>
      </w:pPr>
      <w:r>
        <w:t>Associated products (as opposed to equipment) are only for use once in a patient, have a unique and direct connection to the product and are integral to implanting the product into the patient. This does not include products whose use is of a more general nature (</w:t>
      </w:r>
      <w:proofErr w:type="gramStart"/>
      <w:r>
        <w:t>e.g.</w:t>
      </w:r>
      <w:proofErr w:type="gramEnd"/>
      <w:r>
        <w:t xml:space="preserve"> sutures, scalpels, trocars).</w:t>
      </w:r>
    </w:p>
    <w:p w14:paraId="40D9626E" w14:textId="5CA4A202" w:rsidR="00E94FEE" w:rsidRDefault="00E94FEE" w:rsidP="00E94FEE">
      <w:pPr>
        <w:pStyle w:val="Paragraphtext"/>
      </w:pPr>
      <w:r>
        <w:t>‘</w:t>
      </w:r>
      <w:r w:rsidR="001B28D0">
        <w:t>Single-use</w:t>
      </w:r>
      <w:r>
        <w:t xml:space="preserve">’ means that, once used, the product </w:t>
      </w:r>
      <w:r w:rsidR="008E6772">
        <w:t>cannot be used again</w:t>
      </w:r>
      <w:r>
        <w:t xml:space="preserve"> and may only be discarded. It does not have a general-purpose use. An example is a preloaded coronary stent that is supplied fixed on a balloon catheter that is needed for positioning and implanting the stent. Without the balloon catheter, the stent is unable to be satisfactorily implanted. The catheter is specific and integral to the </w:t>
      </w:r>
      <w:proofErr w:type="gramStart"/>
      <w:r>
        <w:t>particular stent</w:t>
      </w:r>
      <w:proofErr w:type="gramEnd"/>
      <w:r>
        <w:t>.</w:t>
      </w:r>
    </w:p>
    <w:p w14:paraId="23D39322" w14:textId="13389417" w:rsidR="00E94FEE" w:rsidRDefault="00C55EEA" w:rsidP="00E94FEE">
      <w:pPr>
        <w:pStyle w:val="Paragraphtext"/>
      </w:pPr>
      <w:r>
        <w:t>I</w:t>
      </w:r>
      <w:r w:rsidR="00E94FEE">
        <w:t>f the product can be reused or has a purpose that is not specific to the implanted product (</w:t>
      </w:r>
      <w:proofErr w:type="gramStart"/>
      <w:r w:rsidR="00E94FEE">
        <w:t>e.g.</w:t>
      </w:r>
      <w:proofErr w:type="gramEnd"/>
      <w:r w:rsidR="00E94FEE">
        <w:t xml:space="preserve"> a screwdriver is of a general nature and not specific), then the criterion is not met.</w:t>
      </w:r>
    </w:p>
    <w:p w14:paraId="64733332" w14:textId="16D9B75E" w:rsidR="00E94FEE" w:rsidRDefault="00E94FEE" w:rsidP="00E94FEE">
      <w:pPr>
        <w:pStyle w:val="Paragraphtext"/>
      </w:pPr>
      <w:r>
        <w:t xml:space="preserve">This criterion is </w:t>
      </w:r>
      <w:r w:rsidR="001B28D0">
        <w:t xml:space="preserve">also </w:t>
      </w:r>
      <w:r>
        <w:t xml:space="preserve">for associated products that can only be used by the patient for whom they are provided because of their connection to the product that has been implanted in the patient. These products are critical to the continuing function of the implanted prosthesis </w:t>
      </w:r>
      <w:r w:rsidR="000D6EEB" w:rsidRPr="000D6EEB">
        <w:t>(medical device or human tissue product)</w:t>
      </w:r>
      <w:r w:rsidR="000D6EEB">
        <w:t xml:space="preserve"> </w:t>
      </w:r>
      <w:r>
        <w:t>and remain with the patient, as part of the prosthesis</w:t>
      </w:r>
      <w:r w:rsidR="000D6EEB">
        <w:t xml:space="preserve"> (medical device or human tissue product)</w:t>
      </w:r>
      <w:r>
        <w:t>, after the episode of hospital treatment or hospital-substitute treatment. On their own, these products would not otherwise meet the criteria for listing on the Prostheses List. Examples are processors that are a critical element of the functioning of the implanted product, such as cochlear speech processors and patient-controlled products for pacemakers.</w:t>
      </w:r>
    </w:p>
    <w:p w14:paraId="6282FCF6" w14:textId="6CA4A05D" w:rsidR="00E94FEE" w:rsidRDefault="00E94FEE" w:rsidP="00E94FEE">
      <w:pPr>
        <w:pStyle w:val="Paragraphtext"/>
      </w:pPr>
      <w:r>
        <w:t>Under this criterion, the associated product must have an ongoing role in the function of the implanted product and not be a</w:t>
      </w:r>
      <w:r w:rsidR="00F571E7">
        <w:t xml:space="preserve"> </w:t>
      </w:r>
      <w:r>
        <w:t xml:space="preserve">disposable or consumable item. Batteries, catheters, </w:t>
      </w:r>
      <w:proofErr w:type="gramStart"/>
      <w:r>
        <w:t>cannulas</w:t>
      </w:r>
      <w:proofErr w:type="gramEnd"/>
      <w:r>
        <w:t xml:space="preserve"> and similar accessories whose association with the implanted product is not ongoing are considered to be disposable products under this criterion.</w:t>
      </w:r>
    </w:p>
    <w:p w14:paraId="1670806F" w14:textId="3C29E630" w:rsidR="00E94FEE" w:rsidRDefault="00E94FEE" w:rsidP="00E94FEE">
      <w:pPr>
        <w:pStyle w:val="Paragraphtext"/>
      </w:pPr>
      <w:r w:rsidRPr="00E94FEE">
        <w:t>The product’s use is also restricted to an individual patient; the product cannot be one that may be used by more than one patient. For example, office-based equipment to read and download information from implanted ECG loop recorders, which is used in multiple patients, would not meet this criterion</w:t>
      </w:r>
      <w:r>
        <w:t>.</w:t>
      </w:r>
    </w:p>
    <w:bookmarkEnd w:id="5"/>
    <w:p w14:paraId="372A24BB" w14:textId="575BBD38" w:rsidR="00A357FD" w:rsidRPr="00E5725B" w:rsidRDefault="0084538F" w:rsidP="005D619F">
      <w:pPr>
        <w:pStyle w:val="Heading4"/>
      </w:pPr>
      <w:r w:rsidRPr="00E5725B">
        <w:t>Part A Criterion 2</w:t>
      </w:r>
    </w:p>
    <w:p w14:paraId="55FDFBAF" w14:textId="36D92DC3" w:rsidR="0035779A" w:rsidRPr="00A1770B" w:rsidRDefault="0035779A" w:rsidP="0035779A">
      <w:pPr>
        <w:ind w:left="709" w:hanging="709"/>
        <w:contextualSpacing/>
        <w:rPr>
          <w:rFonts w:asciiTheme="minorHAnsi" w:eastAsiaTheme="minorHAnsi" w:hAnsiTheme="minorHAnsi" w:cstheme="minorHAnsi"/>
          <w:sz w:val="24"/>
        </w:rPr>
      </w:pPr>
      <w:r w:rsidRPr="0035779A">
        <w:rPr>
          <w:rFonts w:eastAsiaTheme="minorHAnsi" w:cstheme="minorBidi"/>
          <w:color w:val="000000" w:themeColor="text1"/>
          <w:sz w:val="21"/>
          <w:szCs w:val="22"/>
        </w:rPr>
        <w:t>2</w:t>
      </w:r>
      <w:r>
        <w:rPr>
          <w:rFonts w:eastAsiaTheme="minorHAnsi" w:cstheme="minorBidi"/>
          <w:color w:val="000000" w:themeColor="text1"/>
          <w:sz w:val="21"/>
          <w:szCs w:val="22"/>
        </w:rPr>
        <w:t xml:space="preserve">. </w:t>
      </w:r>
      <w:r w:rsidRPr="008B7CDF">
        <w:rPr>
          <w:rFonts w:eastAsiaTheme="minorHAnsi" w:cstheme="minorBidi"/>
          <w:color w:val="000000" w:themeColor="text1"/>
          <w:sz w:val="21"/>
          <w:szCs w:val="21"/>
        </w:rPr>
        <w:tab/>
      </w:r>
      <w:r w:rsidRPr="008B7CDF">
        <w:rPr>
          <w:rFonts w:eastAsiaTheme="minorHAnsi" w:cs="Arial"/>
          <w:sz w:val="21"/>
          <w:szCs w:val="21"/>
        </w:rPr>
        <w:t xml:space="preserve">It is a listing criterion that the medical device must be a medical device that is not used solely for diagnosis, </w:t>
      </w:r>
      <w:proofErr w:type="gramStart"/>
      <w:r w:rsidRPr="008B7CDF">
        <w:rPr>
          <w:rFonts w:eastAsiaTheme="minorHAnsi" w:cs="Arial"/>
          <w:sz w:val="21"/>
          <w:szCs w:val="21"/>
        </w:rPr>
        <w:t>prediction</w:t>
      </w:r>
      <w:proofErr w:type="gramEnd"/>
      <w:r w:rsidRPr="008B7CDF">
        <w:rPr>
          <w:rFonts w:eastAsiaTheme="minorHAnsi" w:cs="Arial"/>
          <w:sz w:val="21"/>
          <w:szCs w:val="21"/>
        </w:rPr>
        <w:t xml:space="preserve"> or prognosis.</w:t>
      </w:r>
    </w:p>
    <w:p w14:paraId="7576E6BB" w14:textId="4AD20AC6" w:rsidR="0084538F" w:rsidRDefault="00C64C38" w:rsidP="00E866D8">
      <w:pPr>
        <w:pStyle w:val="Paragraphtext"/>
      </w:pPr>
      <w:r w:rsidRPr="00A9086C">
        <w:t xml:space="preserve">This criterion reflects </w:t>
      </w:r>
      <w:r w:rsidR="0084538F" w:rsidRPr="00A9086C">
        <w:t>the new definition of medical device in the PHI Act but refines the scope of eligible items further</w:t>
      </w:r>
      <w:r w:rsidR="007808DB" w:rsidRPr="00A9086C">
        <w:t xml:space="preserve"> to exclude devices used solely for the purposes of diagnosis, </w:t>
      </w:r>
      <w:proofErr w:type="gramStart"/>
      <w:r w:rsidR="007808DB" w:rsidRPr="00A9086C">
        <w:t>prediction</w:t>
      </w:r>
      <w:proofErr w:type="gramEnd"/>
      <w:r w:rsidR="007808DB" w:rsidRPr="00A9086C">
        <w:t xml:space="preserve"> or prognosis. </w:t>
      </w:r>
      <w:r w:rsidR="0026346F" w:rsidRPr="00A9086C">
        <w:t xml:space="preserve">The criterion only excludes a medical device from </w:t>
      </w:r>
      <w:r w:rsidR="00503FB4" w:rsidRPr="00A9086C">
        <w:t>inclusion in the P</w:t>
      </w:r>
      <w:r w:rsidR="00216A08">
        <w:t>rescribed List</w:t>
      </w:r>
      <w:r w:rsidR="00503FB4" w:rsidRPr="00A9086C">
        <w:t xml:space="preserve"> </w:t>
      </w:r>
      <w:r w:rsidR="0026346F" w:rsidRPr="00A9086C">
        <w:t xml:space="preserve">where the medical device is used </w:t>
      </w:r>
      <w:r w:rsidR="0026346F" w:rsidRPr="00A9086C">
        <w:rPr>
          <w:u w:val="single"/>
        </w:rPr>
        <w:t>solely for</w:t>
      </w:r>
      <w:r w:rsidR="0026346F" w:rsidRPr="00A9086C">
        <w:t xml:space="preserve"> diagnosis, </w:t>
      </w:r>
      <w:proofErr w:type="gramStart"/>
      <w:r w:rsidR="0026346F" w:rsidRPr="00A9086C">
        <w:t>prediction</w:t>
      </w:r>
      <w:proofErr w:type="gramEnd"/>
      <w:r w:rsidR="0026346F" w:rsidRPr="00A9086C">
        <w:t xml:space="preserve"> or prognosis. </w:t>
      </w:r>
      <w:r w:rsidR="008E6772">
        <w:t xml:space="preserve">Whilst such devices are important, they are funded through other mechanisms. </w:t>
      </w:r>
      <w:r w:rsidR="007808DB" w:rsidRPr="00A9086C">
        <w:t>These excluded devices are not intended to be included in the P</w:t>
      </w:r>
      <w:r w:rsidR="00216A08">
        <w:t>rescribed List</w:t>
      </w:r>
      <w:r w:rsidR="007808DB" w:rsidRPr="00A9086C">
        <w:t>.</w:t>
      </w:r>
      <w:r w:rsidR="00E819B0" w:rsidRPr="00A9086C">
        <w:t xml:space="preserve"> The definition of ‘medical device’ may already exclude devices used for </w:t>
      </w:r>
      <w:r w:rsidR="0026346F" w:rsidRPr="00A9086C">
        <w:t xml:space="preserve">the purposes of </w:t>
      </w:r>
      <w:r w:rsidR="00E819B0" w:rsidRPr="00A9086C">
        <w:t xml:space="preserve">diagnosis but the criterion makes that clear. Medical devices used for prognosis or prediction are included in the </w:t>
      </w:r>
      <w:r w:rsidR="00E819B0" w:rsidRPr="00A9086C">
        <w:lastRenderedPageBreak/>
        <w:t>definition of ‘medical device</w:t>
      </w:r>
      <w:r w:rsidR="008B7CDF" w:rsidRPr="00A9086C">
        <w:t>’,</w:t>
      </w:r>
      <w:r w:rsidR="00E819B0" w:rsidRPr="00A9086C">
        <w:t xml:space="preserve"> but the listing criterion would exclude</w:t>
      </w:r>
      <w:r w:rsidR="0026346F" w:rsidRPr="00A9086C">
        <w:t xml:space="preserve"> the devices from </w:t>
      </w:r>
      <w:r w:rsidR="00503FB4" w:rsidRPr="00A9086C">
        <w:t xml:space="preserve">inclusion </w:t>
      </w:r>
      <w:r w:rsidR="0026346F" w:rsidRPr="00A9086C">
        <w:t>in the P</w:t>
      </w:r>
      <w:r w:rsidR="00216A08">
        <w:t>rescribed List</w:t>
      </w:r>
      <w:r w:rsidR="0035779A" w:rsidRPr="00A9086C">
        <w:t xml:space="preserve"> </w:t>
      </w:r>
      <w:r w:rsidR="0035779A" w:rsidRPr="00A9086C">
        <w:rPr>
          <w:u w:val="single"/>
        </w:rPr>
        <w:t>if</w:t>
      </w:r>
      <w:r w:rsidR="0035779A" w:rsidRPr="00A9086C">
        <w:t xml:space="preserve"> they </w:t>
      </w:r>
      <w:proofErr w:type="gramStart"/>
      <w:r w:rsidR="0035779A" w:rsidRPr="00A9086C">
        <w:t>are</w:t>
      </w:r>
      <w:proofErr w:type="gramEnd"/>
      <w:r w:rsidR="0035779A" w:rsidRPr="00A9086C">
        <w:t xml:space="preserve"> used solely for prediction or prognosis</w:t>
      </w:r>
      <w:r w:rsidR="0026346F" w:rsidRPr="00A9086C">
        <w:t xml:space="preserve">. </w:t>
      </w:r>
      <w:r w:rsidR="00E819B0" w:rsidRPr="00A9086C">
        <w:t xml:space="preserve">This criterion reflects </w:t>
      </w:r>
      <w:r w:rsidR="008E6772">
        <w:t>current</w:t>
      </w:r>
      <w:r w:rsidR="008E6772" w:rsidRPr="00A9086C">
        <w:t xml:space="preserve"> </w:t>
      </w:r>
      <w:r w:rsidR="00E819B0" w:rsidRPr="00A9086C">
        <w:t xml:space="preserve">administrative </w:t>
      </w:r>
      <w:r w:rsidR="008E6772">
        <w:t>arrangements</w:t>
      </w:r>
      <w:r w:rsidR="008B7CDF">
        <w:t>.</w:t>
      </w:r>
    </w:p>
    <w:p w14:paraId="4B892BF0" w14:textId="2F7195DC" w:rsidR="00A357FD" w:rsidRPr="00E5725B" w:rsidRDefault="0084538F" w:rsidP="005D619F">
      <w:pPr>
        <w:pStyle w:val="Heading4"/>
      </w:pPr>
      <w:r w:rsidRPr="00E5725B">
        <w:t xml:space="preserve">Part A </w:t>
      </w:r>
      <w:r w:rsidR="00A357FD" w:rsidRPr="00E5725B">
        <w:t>Criterion 3</w:t>
      </w:r>
    </w:p>
    <w:p w14:paraId="0883AC12" w14:textId="238CDC76" w:rsidR="00C1202C" w:rsidRPr="00A1770B" w:rsidRDefault="00C1202C" w:rsidP="00E866D8">
      <w:pPr>
        <w:pStyle w:val="Paragraphtext"/>
      </w:pPr>
      <w:r w:rsidRPr="00C1202C">
        <w:t>3.</w:t>
      </w:r>
      <w:r w:rsidRPr="00C1202C">
        <w:tab/>
      </w:r>
      <w:r w:rsidRPr="00A1770B">
        <w:t>It is a listing criterion that the medical device must be for a specific treatment and indication.</w:t>
      </w:r>
    </w:p>
    <w:p w14:paraId="657D947A" w14:textId="4FD6597D" w:rsidR="00A357FD" w:rsidRPr="00A9086C" w:rsidRDefault="0026346F" w:rsidP="00E866D8">
      <w:pPr>
        <w:pStyle w:val="Paragraphtext"/>
      </w:pPr>
      <w:r w:rsidRPr="00A9086C">
        <w:t xml:space="preserve">The purpose of this criterion is to reflect </w:t>
      </w:r>
      <w:r w:rsidR="00C64C38" w:rsidRPr="00A9086C">
        <w:t xml:space="preserve">the </w:t>
      </w:r>
      <w:r w:rsidRPr="00A9086C">
        <w:t xml:space="preserve">current administrative practice and </w:t>
      </w:r>
      <w:r w:rsidR="0084538F" w:rsidRPr="00A9086C">
        <w:t>exclude general use items</w:t>
      </w:r>
      <w:r w:rsidRPr="00A9086C">
        <w:t xml:space="preserve"> from </w:t>
      </w:r>
      <w:r w:rsidR="00503FB4" w:rsidRPr="00A9086C">
        <w:t xml:space="preserve">inclusion </w:t>
      </w:r>
      <w:r w:rsidRPr="00A9086C">
        <w:t>in the P</w:t>
      </w:r>
      <w:r w:rsidR="00216A08">
        <w:t>rescribed List</w:t>
      </w:r>
      <w:r w:rsidRPr="00A9086C">
        <w:t xml:space="preserve">. </w:t>
      </w:r>
      <w:r w:rsidR="00D323AD">
        <w:t>General items</w:t>
      </w:r>
      <w:r w:rsidRPr="00A9086C">
        <w:t xml:space="preserve"> </w:t>
      </w:r>
      <w:r w:rsidR="0084538F" w:rsidRPr="00A9086C">
        <w:t xml:space="preserve">will be funded by </w:t>
      </w:r>
      <w:r w:rsidR="007808DB" w:rsidRPr="00A9086C">
        <w:t xml:space="preserve">an </w:t>
      </w:r>
      <w:r w:rsidR="00B94528" w:rsidRPr="00A9086C">
        <w:t>alternative funding arrangement for a transitional period</w:t>
      </w:r>
      <w:r w:rsidR="007808DB" w:rsidRPr="00A9086C">
        <w:t>.</w:t>
      </w:r>
      <w:r w:rsidR="00DF2026" w:rsidRPr="00A9086C">
        <w:t xml:space="preserve"> This issue is being dealt with separately through the Private Health Insurance (Benefit Requirements) Rules</w:t>
      </w:r>
      <w:r w:rsidR="00852E80">
        <w:t xml:space="preserve">. Please refer to the </w:t>
      </w:r>
      <w:hyperlink r:id="rId11" w:history="1">
        <w:r w:rsidR="00852E80">
          <w:rPr>
            <w:rStyle w:val="Hyperlink"/>
          </w:rPr>
          <w:t>Prostheses List Reforms - Consultation Paper 5 - Bundling of Benefits for General Use Items</w:t>
        </w:r>
      </w:hyperlink>
      <w:r w:rsidR="00852E80">
        <w:t xml:space="preserve"> to provide your feedback on this issue</w:t>
      </w:r>
      <w:r w:rsidR="008609F9">
        <w:t xml:space="preserve"> (by 27 March 2023).</w:t>
      </w:r>
    </w:p>
    <w:p w14:paraId="5AB38FF8" w14:textId="3796E905" w:rsidR="005C0031" w:rsidRPr="00A9086C" w:rsidRDefault="005C0031" w:rsidP="005C0031">
      <w:pPr>
        <w:pStyle w:val="Paragraphtext"/>
      </w:pPr>
      <w:r w:rsidRPr="00A9086C">
        <w:t xml:space="preserve">To meet this criterion a medical device must be </w:t>
      </w:r>
      <w:r w:rsidR="008560BA">
        <w:t xml:space="preserve">designed to be </w:t>
      </w:r>
      <w:r w:rsidRPr="00A9086C">
        <w:t xml:space="preserve">used for a specific treatment and indication. Devices used for multiple kinds of treatment or in multiple circumstances would be general use items and these general use items would not be eligible for </w:t>
      </w:r>
      <w:r w:rsidR="00503FB4" w:rsidRPr="00A9086C">
        <w:t xml:space="preserve">inclusion </w:t>
      </w:r>
      <w:r w:rsidRPr="00A9086C">
        <w:t>in Part A.</w:t>
      </w:r>
    </w:p>
    <w:p w14:paraId="24465C56" w14:textId="2E4DB7BE" w:rsidR="00F571E7" w:rsidRPr="008609F9" w:rsidRDefault="005C0031" w:rsidP="00F571E7">
      <w:pPr>
        <w:pStyle w:val="CommentText"/>
        <w:rPr>
          <w:rFonts w:eastAsiaTheme="minorHAnsi" w:cstheme="minorBidi"/>
          <w:color w:val="000000" w:themeColor="text1"/>
          <w:sz w:val="21"/>
          <w:szCs w:val="22"/>
        </w:rPr>
      </w:pPr>
      <w:r w:rsidRPr="008609F9">
        <w:rPr>
          <w:rFonts w:eastAsiaTheme="minorHAnsi" w:cstheme="minorBidi"/>
          <w:color w:val="000000" w:themeColor="text1"/>
          <w:sz w:val="21"/>
          <w:szCs w:val="22"/>
        </w:rPr>
        <w:t xml:space="preserve">For example, fibrin sealants can be used in multiple procedures where there is a risk of internal bleeding. These sealants are general use items as they are used for a variety of indications. </w:t>
      </w:r>
      <w:r w:rsidR="00F571E7" w:rsidRPr="008609F9">
        <w:rPr>
          <w:rFonts w:eastAsiaTheme="minorHAnsi" w:cstheme="minorBidi"/>
          <w:color w:val="000000" w:themeColor="text1"/>
          <w:sz w:val="21"/>
          <w:szCs w:val="22"/>
        </w:rPr>
        <w:t xml:space="preserve">Sutures are ineligible because they can be used in multiple body sites in a variety of procedures, hence are considered general use items. Coronary stents are eligible because they are designed for coronary </w:t>
      </w:r>
      <w:proofErr w:type="gramStart"/>
      <w:r w:rsidR="00F571E7" w:rsidRPr="008609F9">
        <w:rPr>
          <w:rFonts w:eastAsiaTheme="minorHAnsi" w:cstheme="minorBidi"/>
          <w:color w:val="000000" w:themeColor="text1"/>
          <w:sz w:val="21"/>
          <w:szCs w:val="22"/>
        </w:rPr>
        <w:t>vessels, and</w:t>
      </w:r>
      <w:proofErr w:type="gramEnd"/>
      <w:r w:rsidR="00F571E7" w:rsidRPr="008609F9">
        <w:rPr>
          <w:rFonts w:eastAsiaTheme="minorHAnsi" w:cstheme="minorBidi"/>
          <w:color w:val="000000" w:themeColor="text1"/>
          <w:sz w:val="21"/>
          <w:szCs w:val="22"/>
        </w:rPr>
        <w:t xml:space="preserve"> treat the condition coronary artery disease which causes vessel narrowing and occlusion.</w:t>
      </w:r>
    </w:p>
    <w:p w14:paraId="18EA73EF" w14:textId="3A51239D" w:rsidR="005C0031" w:rsidRDefault="005C0031" w:rsidP="005C0031">
      <w:pPr>
        <w:pStyle w:val="Paragraphtext"/>
      </w:pPr>
      <w:r w:rsidRPr="00F571E7">
        <w:rPr>
          <w:rFonts w:eastAsia="Times New Roman" w:cs="Times New Roman"/>
          <w:color w:val="auto"/>
          <w:sz w:val="20"/>
          <w:szCs w:val="20"/>
        </w:rPr>
        <w:t>However, some sealants are for a specific indication or specific treatment (for example, vascular sealants</w:t>
      </w:r>
      <w:r w:rsidRPr="00A9086C">
        <w:t>) and would not be considered general use items.</w:t>
      </w:r>
    </w:p>
    <w:p w14:paraId="6BA66C76" w14:textId="1BC4D9BD" w:rsidR="00A357FD" w:rsidRPr="00E5725B" w:rsidRDefault="0084538F" w:rsidP="005D619F">
      <w:pPr>
        <w:pStyle w:val="Heading4"/>
      </w:pPr>
      <w:r w:rsidRPr="00E5725B">
        <w:t>Part A Criterion 4</w:t>
      </w:r>
    </w:p>
    <w:p w14:paraId="541FCA29" w14:textId="77777777" w:rsidR="00C1202C" w:rsidRPr="00A1770B" w:rsidRDefault="00C1202C" w:rsidP="00C1202C">
      <w:pPr>
        <w:pStyle w:val="Paragraphtext"/>
      </w:pPr>
      <w:bookmarkStart w:id="6" w:name="_Hlk126058287"/>
      <w:r>
        <w:t>4.</w:t>
      </w:r>
      <w:r>
        <w:tab/>
      </w:r>
      <w:r w:rsidRPr="00A1770B">
        <w:t>It is a listing criterion that:</w:t>
      </w:r>
    </w:p>
    <w:p w14:paraId="01CEB073" w14:textId="77777777" w:rsidR="00C1202C" w:rsidRPr="00A1770B" w:rsidRDefault="00C1202C" w:rsidP="00C1202C">
      <w:pPr>
        <w:pStyle w:val="Paragraphtext"/>
        <w:ind w:firstLine="720"/>
      </w:pPr>
      <w:r w:rsidRPr="00A1770B">
        <w:t>a.</w:t>
      </w:r>
      <w:r w:rsidRPr="00A1770B">
        <w:tab/>
        <w:t>the medical device must have been compared to either of the following:</w:t>
      </w:r>
    </w:p>
    <w:p w14:paraId="7153E5FE" w14:textId="77777777" w:rsidR="00C1202C" w:rsidRPr="00A1770B" w:rsidRDefault="00C1202C" w:rsidP="00C1202C">
      <w:pPr>
        <w:pStyle w:val="Paragraphtext"/>
        <w:ind w:left="720" w:firstLine="720"/>
      </w:pPr>
      <w:r w:rsidRPr="00A1770B">
        <w:t>i.</w:t>
      </w:r>
      <w:r w:rsidRPr="00A1770B">
        <w:tab/>
        <w:t xml:space="preserve">alternative devices listed in the Schedule to the Rules; or </w:t>
      </w:r>
    </w:p>
    <w:p w14:paraId="3AAB46A6" w14:textId="77777777" w:rsidR="00C1202C" w:rsidRPr="00A1770B" w:rsidRDefault="00C1202C" w:rsidP="00C1202C">
      <w:pPr>
        <w:pStyle w:val="Paragraphtext"/>
        <w:ind w:left="720" w:firstLine="720"/>
      </w:pPr>
      <w:r w:rsidRPr="00A1770B">
        <w:t>ii.</w:t>
      </w:r>
      <w:r w:rsidRPr="00A1770B">
        <w:tab/>
        <w:t>alternative treatments; and</w:t>
      </w:r>
    </w:p>
    <w:p w14:paraId="57C22525" w14:textId="77777777" w:rsidR="00C1202C" w:rsidRPr="00A1770B" w:rsidRDefault="00C1202C" w:rsidP="00C1202C">
      <w:pPr>
        <w:pStyle w:val="Paragraphtext"/>
        <w:ind w:firstLine="720"/>
      </w:pPr>
      <w:r w:rsidRPr="00A1770B">
        <w:t>b.</w:t>
      </w:r>
      <w:r w:rsidRPr="00A1770B">
        <w:tab/>
        <w:t>the comparison specifies:</w:t>
      </w:r>
    </w:p>
    <w:p w14:paraId="4E17EA49" w14:textId="4F346DEB" w:rsidR="00C1202C" w:rsidRPr="00A1770B" w:rsidRDefault="00C1202C" w:rsidP="00C1202C">
      <w:pPr>
        <w:pStyle w:val="Paragraphtext"/>
        <w:ind w:left="2127" w:hanging="687"/>
      </w:pPr>
      <w:r w:rsidRPr="00A1770B">
        <w:t>i.</w:t>
      </w:r>
      <w:r w:rsidRPr="00A1770B">
        <w:tab/>
        <w:t>the medical device is no less clinically effective than the alternative devices or treatments; and</w:t>
      </w:r>
    </w:p>
    <w:p w14:paraId="125E53C9" w14:textId="7E66BDD8" w:rsidR="00C1202C" w:rsidRPr="00024076" w:rsidRDefault="00C1202C" w:rsidP="00C1202C">
      <w:pPr>
        <w:pStyle w:val="Paragraphtext"/>
        <w:ind w:left="2127" w:hanging="687"/>
      </w:pPr>
      <w:r w:rsidRPr="00A1770B">
        <w:t>ii.</w:t>
      </w:r>
      <w:r w:rsidRPr="00A1770B">
        <w:tab/>
        <w:t>the benefit amount for the medical device is proportionate to the clinical effectiveness of that device.</w:t>
      </w:r>
    </w:p>
    <w:bookmarkEnd w:id="6"/>
    <w:p w14:paraId="7F61826F" w14:textId="468E105D" w:rsidR="00F555C3" w:rsidRDefault="00F555C3" w:rsidP="00F555C3">
      <w:pPr>
        <w:pStyle w:val="Paragraphtext"/>
      </w:pPr>
      <w:r w:rsidRPr="00532ECB">
        <w:t xml:space="preserve">This criterion reflects what is currently applied administratively for </w:t>
      </w:r>
      <w:r w:rsidR="00503FB4">
        <w:t>including</w:t>
      </w:r>
      <w:r w:rsidRPr="00532ECB">
        <w:t xml:space="preserve"> items in the Prostheses List</w:t>
      </w:r>
      <w:r w:rsidR="001B28D0">
        <w:t>.</w:t>
      </w:r>
    </w:p>
    <w:p w14:paraId="7EC7B079" w14:textId="37A89B26" w:rsidR="002D1F1F" w:rsidRDefault="002D1F1F" w:rsidP="002D1F1F">
      <w:pPr>
        <w:pStyle w:val="Paragraphtext"/>
      </w:pPr>
      <w:r>
        <w:t xml:space="preserve">This criterion is included with the intention that </w:t>
      </w:r>
      <w:r w:rsidR="0049404D">
        <w:t xml:space="preserve">comparative </w:t>
      </w:r>
      <w:r>
        <w:t>clinical effectiveness and relative cost be considered.</w:t>
      </w:r>
    </w:p>
    <w:p w14:paraId="4DCA0858" w14:textId="5CA541F3" w:rsidR="002D1F1F" w:rsidRDefault="002D1F1F" w:rsidP="002D1F1F">
      <w:pPr>
        <w:pStyle w:val="Paragraphtext"/>
      </w:pPr>
      <w:r>
        <w:t>The term ‘alternative treatments’ is included to allow for entirely new products or technology to be compared with current treatments for the same clinical condition, as it is anticipated that not all products to be considered will have an existing counterpart on the Prostheses List. For example, when cochlear implants were first introduced, the comparator would have been a conventional hearing aid or no hearing assistance at all; when pins and plates were introduced to treat fractured femurs, the comparator would have been use of an external splint and bed rest for 10 weeks.</w:t>
      </w:r>
      <w:r w:rsidR="0049404D">
        <w:t xml:space="preserve"> </w:t>
      </w:r>
      <w:bookmarkStart w:id="7" w:name="_Hlk129321893"/>
      <w:r w:rsidR="0049404D">
        <w:t>The alternative treatment is generally expected to be the current standard of care for the condition or indication.</w:t>
      </w:r>
      <w:bookmarkEnd w:id="7"/>
    </w:p>
    <w:p w14:paraId="5AAEF182" w14:textId="3F54A5CA" w:rsidR="002D1F1F" w:rsidRDefault="002D1F1F" w:rsidP="002D1F1F">
      <w:pPr>
        <w:pStyle w:val="Paragraphtext"/>
      </w:pPr>
      <w:r>
        <w:t>The word</w:t>
      </w:r>
      <w:r w:rsidR="00BD3DA2">
        <w:t>ing</w:t>
      </w:r>
      <w:r>
        <w:t xml:space="preserve"> ‘</w:t>
      </w:r>
      <w:r w:rsidR="00BD3DA2">
        <w:t>no less clinically effective</w:t>
      </w:r>
      <w:r>
        <w:t xml:space="preserve">’ is used because </w:t>
      </w:r>
      <w:r w:rsidR="0049404D">
        <w:t xml:space="preserve">products are rarely </w:t>
      </w:r>
      <w:proofErr w:type="gramStart"/>
      <w:r w:rsidR="0049404D">
        <w:t>identical</w:t>
      </w:r>
      <w:proofErr w:type="gramEnd"/>
      <w:r w:rsidR="0049404D">
        <w:t xml:space="preserve"> and a range of factors may need to be balanced against each other when compar</w:t>
      </w:r>
      <w:r>
        <w:t>ing clinical effectiveness.</w:t>
      </w:r>
    </w:p>
    <w:p w14:paraId="4B691A29" w14:textId="7CC5F3D4" w:rsidR="002D1F1F" w:rsidRDefault="006A3FAD" w:rsidP="00F555C3">
      <w:pPr>
        <w:pStyle w:val="Paragraphtext"/>
      </w:pPr>
      <w:r>
        <w:t>A</w:t>
      </w:r>
      <w:r w:rsidR="002D1F1F">
        <w:t xml:space="preserve"> product’s cost should be</w:t>
      </w:r>
      <w:r w:rsidR="000E5565">
        <w:t xml:space="preserve"> compared to alternative treatments and considered in relation to its clinical benefits.</w:t>
      </w:r>
    </w:p>
    <w:p w14:paraId="126DD1E5" w14:textId="15E261D0" w:rsidR="0084538F" w:rsidRPr="0026346F" w:rsidRDefault="001B28D0" w:rsidP="0061797B">
      <w:pPr>
        <w:pStyle w:val="Heading2"/>
      </w:pPr>
      <w:r>
        <w:lastRenderedPageBreak/>
        <w:t xml:space="preserve">Proposed </w:t>
      </w:r>
      <w:r w:rsidR="0084538F" w:rsidRPr="0026346F">
        <w:t>Part B</w:t>
      </w:r>
      <w:r w:rsidR="0026346F" w:rsidRPr="0026346F">
        <w:t xml:space="preserve"> Criterion</w:t>
      </w:r>
    </w:p>
    <w:p w14:paraId="74995C97" w14:textId="001132F8" w:rsidR="0060673B" w:rsidRDefault="0060673B" w:rsidP="0060673B">
      <w:pPr>
        <w:pStyle w:val="Paragraphtext"/>
      </w:pPr>
      <w:r>
        <w:t xml:space="preserve">This listing criterion applies to a human tissue product for listing in Part B of the </w:t>
      </w:r>
      <w:r w:rsidR="00216A08">
        <w:t>Prescribed List</w:t>
      </w:r>
      <w:r>
        <w:t>.</w:t>
      </w:r>
    </w:p>
    <w:p w14:paraId="28E2D9B8" w14:textId="77777777" w:rsidR="0060673B" w:rsidRPr="00DD0B82" w:rsidRDefault="0060673B" w:rsidP="0060673B">
      <w:pPr>
        <w:pStyle w:val="Paragraphtext"/>
      </w:pPr>
      <w:r w:rsidRPr="00DD0B82">
        <w:t>It is a listing criterion that a human tissue product must be human tissue. Human tissue includes but is not limited to:</w:t>
      </w:r>
    </w:p>
    <w:p w14:paraId="6EC90673" w14:textId="77777777" w:rsidR="0060673B" w:rsidRPr="00DD0B82" w:rsidRDefault="0060673B" w:rsidP="0060673B">
      <w:pPr>
        <w:pStyle w:val="Paragraphtext"/>
        <w:ind w:left="1418" w:hanging="709"/>
      </w:pPr>
      <w:r w:rsidRPr="00DD0B82">
        <w:t>a.</w:t>
      </w:r>
      <w:r w:rsidRPr="00DD0B82">
        <w:tab/>
        <w:t>human tissue that is substantially derived from human tissue that has been subjected to processing or treatments; and</w:t>
      </w:r>
    </w:p>
    <w:p w14:paraId="32BFA869" w14:textId="31095CDE" w:rsidR="0060673B" w:rsidRPr="00DD0B82" w:rsidRDefault="0060673B" w:rsidP="0060673B">
      <w:pPr>
        <w:pStyle w:val="Paragraphtext"/>
        <w:ind w:left="1418" w:hanging="709"/>
        <w:rPr>
          <w:highlight w:val="yellow"/>
        </w:rPr>
      </w:pPr>
      <w:r w:rsidRPr="00DD0B82">
        <w:t>b.</w:t>
      </w:r>
      <w:r w:rsidRPr="00DD0B82">
        <w:tab/>
        <w:t>human tissue for which the supply (however described, including trade, sell, give or gift) is regulated by state or territory law.</w:t>
      </w:r>
    </w:p>
    <w:p w14:paraId="0A1E7DA0" w14:textId="6A3D4AD3" w:rsidR="007808DB" w:rsidRDefault="00532ECB" w:rsidP="007808DB">
      <w:pPr>
        <w:pStyle w:val="Paragraphtext"/>
      </w:pPr>
      <w:r>
        <w:t>This criterion reflects what is administratively applied now for human tissue products.</w:t>
      </w:r>
    </w:p>
    <w:p w14:paraId="708637E0" w14:textId="106D534C" w:rsidR="0026346F" w:rsidRPr="0026346F" w:rsidRDefault="001B28D0" w:rsidP="0061797B">
      <w:pPr>
        <w:pStyle w:val="Heading2"/>
      </w:pPr>
      <w:r>
        <w:t xml:space="preserve">Proposed </w:t>
      </w:r>
      <w:r w:rsidR="0026346F" w:rsidRPr="0026346F">
        <w:t>Part C Criteria</w:t>
      </w:r>
    </w:p>
    <w:p w14:paraId="18A46970" w14:textId="5316943A" w:rsidR="003E6FA2" w:rsidRDefault="003E6FA2" w:rsidP="003E6FA2">
      <w:pPr>
        <w:pStyle w:val="Paragraphtext"/>
      </w:pPr>
      <w:r>
        <w:t xml:space="preserve">All these listing criteria apply to a medical device for listing in Part C of the </w:t>
      </w:r>
      <w:r w:rsidR="00640D7B">
        <w:t>Prescribed List (Schedule to the Rules)</w:t>
      </w:r>
      <w:r>
        <w:t>.</w:t>
      </w:r>
    </w:p>
    <w:p w14:paraId="745CB959" w14:textId="77777777" w:rsidR="0054643C" w:rsidRPr="00E5725B" w:rsidRDefault="0054643C" w:rsidP="005D619F">
      <w:pPr>
        <w:pStyle w:val="Heading4"/>
      </w:pPr>
      <w:r w:rsidRPr="00E5725B">
        <w:t>Part C Criterion 1</w:t>
      </w:r>
    </w:p>
    <w:p w14:paraId="6722D60C" w14:textId="77777777" w:rsidR="003E6FA2" w:rsidRPr="00DD0B82" w:rsidRDefault="003E6FA2" w:rsidP="00193576">
      <w:pPr>
        <w:pStyle w:val="Paragraphtext"/>
        <w:ind w:left="709" w:hanging="709"/>
      </w:pPr>
      <w:r>
        <w:t>1.</w:t>
      </w:r>
      <w:r>
        <w:tab/>
      </w:r>
      <w:r w:rsidRPr="00DD0B82">
        <w:t>It is a listing criterion that the medical device must be a medical device that does not meet all the criteria for listing in Part A of the Schedule to the Rules (</w:t>
      </w:r>
      <w:proofErr w:type="gramStart"/>
      <w:r w:rsidRPr="00DD0B82">
        <w:t>i.e.</w:t>
      </w:r>
      <w:proofErr w:type="gramEnd"/>
      <w:r w:rsidRPr="00DD0B82">
        <w:t xml:space="preserve"> ineligible for listing in Part A of the Schedule to the Rules).</w:t>
      </w:r>
    </w:p>
    <w:p w14:paraId="3C0D5DD0" w14:textId="2EB59234" w:rsidR="0054643C" w:rsidRDefault="00F555C3" w:rsidP="0054643C">
      <w:pPr>
        <w:pStyle w:val="Paragraphtext"/>
      </w:pPr>
      <w:r>
        <w:t xml:space="preserve">The purpose of this criterion is to create a clear distinction between medical devices that may be </w:t>
      </w:r>
      <w:r w:rsidR="00503FB4">
        <w:t>included</w:t>
      </w:r>
      <w:r>
        <w:t xml:space="preserve"> in Part A and those that may be </w:t>
      </w:r>
      <w:r w:rsidR="00503FB4">
        <w:t>included</w:t>
      </w:r>
      <w:r>
        <w:t xml:space="preserve"> in Part C. A medical device can only be </w:t>
      </w:r>
      <w:r w:rsidR="00503FB4">
        <w:t>included</w:t>
      </w:r>
      <w:r>
        <w:t xml:space="preserve"> in Part C if it does not meet all the criteria for listing in Part A. This reflects </w:t>
      </w:r>
      <w:r w:rsidR="008609F9">
        <w:t>current administrative arrangements</w:t>
      </w:r>
      <w:r>
        <w:t>.</w:t>
      </w:r>
    </w:p>
    <w:p w14:paraId="147C6A5A" w14:textId="77777777" w:rsidR="0054643C" w:rsidRPr="00E5725B" w:rsidRDefault="0054643C" w:rsidP="005D619F">
      <w:pPr>
        <w:pStyle w:val="Heading4"/>
      </w:pPr>
      <w:r w:rsidRPr="00E5725B">
        <w:t>Part C Criterion 2</w:t>
      </w:r>
    </w:p>
    <w:p w14:paraId="7CC99780" w14:textId="77777777" w:rsidR="003E6FA2" w:rsidRPr="00DD0B82" w:rsidRDefault="003E6FA2" w:rsidP="003E6FA2">
      <w:pPr>
        <w:pStyle w:val="Paragraphtext"/>
      </w:pPr>
      <w:r>
        <w:t>2.</w:t>
      </w:r>
      <w:r>
        <w:tab/>
      </w:r>
      <w:r w:rsidRPr="00DD0B82">
        <w:t>It is a listing criterion that:</w:t>
      </w:r>
    </w:p>
    <w:p w14:paraId="5CC6050E" w14:textId="77777777" w:rsidR="003E6FA2" w:rsidRPr="00DD0B82" w:rsidRDefault="003E6FA2" w:rsidP="0054643C">
      <w:pPr>
        <w:pStyle w:val="Paragraphtext"/>
        <w:ind w:firstLine="720"/>
      </w:pPr>
      <w:r w:rsidRPr="00DD0B82">
        <w:t>a.</w:t>
      </w:r>
      <w:r w:rsidRPr="00DD0B82">
        <w:tab/>
        <w:t>the medical device must have been compared to either of the following:</w:t>
      </w:r>
    </w:p>
    <w:p w14:paraId="33BCD828" w14:textId="77777777" w:rsidR="003E6FA2" w:rsidRPr="00DD0B82" w:rsidRDefault="003E6FA2" w:rsidP="0054643C">
      <w:pPr>
        <w:pStyle w:val="Paragraphtext"/>
        <w:ind w:left="720" w:firstLine="720"/>
      </w:pPr>
      <w:r w:rsidRPr="00DD0B82">
        <w:t>i.</w:t>
      </w:r>
      <w:r w:rsidRPr="00DD0B82">
        <w:tab/>
        <w:t xml:space="preserve">alternative devices listed in the Schedule to the Rules; or </w:t>
      </w:r>
    </w:p>
    <w:p w14:paraId="6EBD49D9" w14:textId="77777777" w:rsidR="003E6FA2" w:rsidRPr="00DD0B82" w:rsidRDefault="003E6FA2" w:rsidP="0054643C">
      <w:pPr>
        <w:pStyle w:val="Paragraphtext"/>
        <w:ind w:left="720" w:firstLine="720"/>
      </w:pPr>
      <w:r w:rsidRPr="00DD0B82">
        <w:t>ii.</w:t>
      </w:r>
      <w:r w:rsidRPr="00DD0B82">
        <w:tab/>
        <w:t>alternative treatments; and</w:t>
      </w:r>
    </w:p>
    <w:p w14:paraId="6EC7096F" w14:textId="77777777" w:rsidR="003E6FA2" w:rsidRPr="00DD0B82" w:rsidRDefault="003E6FA2" w:rsidP="0054643C">
      <w:pPr>
        <w:pStyle w:val="Paragraphtext"/>
        <w:ind w:firstLine="720"/>
      </w:pPr>
      <w:r w:rsidRPr="00DD0B82">
        <w:t>b.</w:t>
      </w:r>
      <w:r w:rsidRPr="00DD0B82">
        <w:tab/>
        <w:t>the comparison specifies:</w:t>
      </w:r>
    </w:p>
    <w:p w14:paraId="64C1CE0D" w14:textId="77777777" w:rsidR="003E6FA2" w:rsidRPr="00DD0B82" w:rsidRDefault="003E6FA2" w:rsidP="0054643C">
      <w:pPr>
        <w:pStyle w:val="Paragraphtext"/>
        <w:ind w:left="2127" w:hanging="687"/>
      </w:pPr>
      <w:r w:rsidRPr="00DD0B82">
        <w:t>i.</w:t>
      </w:r>
      <w:r w:rsidRPr="00DD0B82">
        <w:tab/>
        <w:t>the medical device is no less clinically effective than the alternative devices or treatments; and</w:t>
      </w:r>
    </w:p>
    <w:p w14:paraId="7A0AA3C2" w14:textId="77777777" w:rsidR="003E6FA2" w:rsidRPr="00024076" w:rsidRDefault="003E6FA2" w:rsidP="0054643C">
      <w:pPr>
        <w:pStyle w:val="Paragraphtext"/>
        <w:ind w:left="2127" w:hanging="687"/>
      </w:pPr>
      <w:r w:rsidRPr="00DD0B82">
        <w:t>ii.</w:t>
      </w:r>
      <w:r w:rsidRPr="00DD0B82">
        <w:tab/>
        <w:t>the benefit amount for the medical device is proportionate to the clinical effectiveness of that device.</w:t>
      </w:r>
    </w:p>
    <w:p w14:paraId="5D0F9408" w14:textId="06B6AE6F" w:rsidR="002D1F1F" w:rsidRDefault="00F555C3" w:rsidP="002D1F1F">
      <w:pPr>
        <w:pStyle w:val="Paragraphtext"/>
      </w:pPr>
      <w:r w:rsidRPr="00532ECB">
        <w:t xml:space="preserve">This criterion reflects what is currently applied administratively for </w:t>
      </w:r>
      <w:r w:rsidR="00503FB4">
        <w:t>including</w:t>
      </w:r>
      <w:r w:rsidRPr="00532ECB">
        <w:t xml:space="preserve"> items in the Prostheses List. </w:t>
      </w:r>
      <w:r w:rsidR="002D1F1F">
        <w:t>This criterion is included with the intention that clinical effectiveness and relative cost be considered.</w:t>
      </w:r>
    </w:p>
    <w:p w14:paraId="39AED46B" w14:textId="5128027A" w:rsidR="002D1F1F" w:rsidRDefault="002D1F1F" w:rsidP="002D1F1F">
      <w:pPr>
        <w:pStyle w:val="Paragraphtext"/>
      </w:pPr>
      <w:r>
        <w:t xml:space="preserve">The term ‘alternative treatments’ is included to allow for entirely new products or technology to be compared with current treatments for the same clinical condition, as it is anticipated that not all products to be considered will have an existing counterpart on the Prostheses List. </w:t>
      </w:r>
      <w:r w:rsidR="00F056E7" w:rsidRPr="00F056E7">
        <w:t>The alternative treatment is generally expected to be the current standard of care for the condition or indication.</w:t>
      </w:r>
    </w:p>
    <w:p w14:paraId="0317DABA" w14:textId="1F92EB0B" w:rsidR="002D1F1F" w:rsidRDefault="002D1F1F" w:rsidP="002D1F1F">
      <w:pPr>
        <w:pStyle w:val="Paragraphtext"/>
      </w:pPr>
      <w:r>
        <w:t>The word</w:t>
      </w:r>
      <w:r w:rsidR="008F498A">
        <w:t>ing</w:t>
      </w:r>
      <w:r>
        <w:t xml:space="preserve"> ‘</w:t>
      </w:r>
      <w:r w:rsidR="008F498A">
        <w:t>no less clinically effective</w:t>
      </w:r>
      <w:r>
        <w:t>’ is used because it is impossible to state that one product is exactly ‘equal’ to another product when considering clinical effectiveness.</w:t>
      </w:r>
    </w:p>
    <w:p w14:paraId="5398D4FE" w14:textId="33DC2843" w:rsidR="002D1F1F" w:rsidRDefault="003F7AB5" w:rsidP="0054643C">
      <w:pPr>
        <w:pStyle w:val="Paragraphtext"/>
      </w:pPr>
      <w:r>
        <w:t>A</w:t>
      </w:r>
      <w:r w:rsidR="002D1F1F">
        <w:t xml:space="preserve"> product’s cost should be considered relative to alternative products or treatments, and relative to its clinical effectiveness compared with those alternative products or treatments.</w:t>
      </w:r>
    </w:p>
    <w:p w14:paraId="1D2F8E53" w14:textId="77777777" w:rsidR="00926121" w:rsidRPr="00E5725B" w:rsidRDefault="00926121" w:rsidP="005D619F">
      <w:pPr>
        <w:pStyle w:val="Heading4"/>
      </w:pPr>
      <w:r w:rsidRPr="00E5725B">
        <w:t>Part C Criterion 3</w:t>
      </w:r>
    </w:p>
    <w:p w14:paraId="00091E57" w14:textId="5B3EAF0A" w:rsidR="003E6FA2" w:rsidRPr="00640D7B" w:rsidRDefault="003E6FA2" w:rsidP="003E6FA2">
      <w:pPr>
        <w:pStyle w:val="Paragraphtext"/>
      </w:pPr>
      <w:r>
        <w:t>3.</w:t>
      </w:r>
      <w:r>
        <w:tab/>
      </w:r>
      <w:r w:rsidRPr="00DD0B82">
        <w:t xml:space="preserve">It is a listing criterion that there must be exceptional circumstances for listing of the medical device. Exceptional circumstances include that the medical device </w:t>
      </w:r>
      <w:r w:rsidR="004108A0">
        <w:t xml:space="preserve">is </w:t>
      </w:r>
      <w:r w:rsidR="00640D7B">
        <w:t xml:space="preserve">or does </w:t>
      </w:r>
      <w:r w:rsidRPr="00640D7B">
        <w:t>any of the following:</w:t>
      </w:r>
    </w:p>
    <w:p w14:paraId="6B053FF2" w14:textId="23BAFAE8" w:rsidR="003E6FA2" w:rsidRPr="006D31A3" w:rsidRDefault="003E6FA2" w:rsidP="00926121">
      <w:pPr>
        <w:pStyle w:val="Paragraphtext"/>
        <w:ind w:left="709"/>
      </w:pPr>
      <w:r w:rsidRPr="00640D7B">
        <w:lastRenderedPageBreak/>
        <w:t>a.</w:t>
      </w:r>
      <w:r w:rsidRPr="00640D7B">
        <w:tab/>
      </w:r>
      <w:r w:rsidR="006D31A3">
        <w:t xml:space="preserve">is </w:t>
      </w:r>
      <w:r w:rsidRPr="006D31A3">
        <w:t>less invasive than the alternative device or treatment; or</w:t>
      </w:r>
    </w:p>
    <w:p w14:paraId="437310F0" w14:textId="77777777" w:rsidR="003E6FA2" w:rsidRPr="006D31A3" w:rsidRDefault="003E6FA2" w:rsidP="00926121">
      <w:pPr>
        <w:pStyle w:val="Paragraphtext"/>
        <w:ind w:left="709"/>
      </w:pPr>
      <w:r w:rsidRPr="006D31A3">
        <w:t>b.</w:t>
      </w:r>
      <w:r w:rsidRPr="006D31A3">
        <w:tab/>
        <w:t>delivers better care to patients than the alternative device; or</w:t>
      </w:r>
    </w:p>
    <w:p w14:paraId="305DA1ED" w14:textId="77777777" w:rsidR="003E6FA2" w:rsidRPr="006D31A3" w:rsidRDefault="003E6FA2" w:rsidP="00926121">
      <w:pPr>
        <w:pStyle w:val="Paragraphtext"/>
        <w:ind w:left="709"/>
      </w:pPr>
      <w:r w:rsidRPr="006D31A3">
        <w:t>c.</w:t>
      </w:r>
      <w:r w:rsidRPr="006D31A3">
        <w:tab/>
        <w:t>improves patient access to beneficial therapies; or</w:t>
      </w:r>
    </w:p>
    <w:p w14:paraId="1319D9AA" w14:textId="77777777" w:rsidR="003E6FA2" w:rsidRPr="006D31A3" w:rsidRDefault="003E6FA2" w:rsidP="00926121">
      <w:pPr>
        <w:pStyle w:val="Paragraphtext"/>
        <w:ind w:left="709"/>
      </w:pPr>
      <w:r w:rsidRPr="006D31A3">
        <w:t>d.</w:t>
      </w:r>
      <w:r w:rsidRPr="006D31A3">
        <w:tab/>
        <w:t>is a significantly lower cost than the alternative device; or</w:t>
      </w:r>
    </w:p>
    <w:p w14:paraId="61C01D0E" w14:textId="77777777" w:rsidR="003E6FA2" w:rsidRPr="00024076" w:rsidRDefault="003E6FA2" w:rsidP="00926121">
      <w:pPr>
        <w:pStyle w:val="Paragraphtext"/>
        <w:ind w:left="709"/>
      </w:pPr>
      <w:r w:rsidRPr="006D31A3">
        <w:t>e.</w:t>
      </w:r>
      <w:r w:rsidRPr="006D31A3">
        <w:tab/>
        <w:t>improves access or acceptability of treatment for a patient group.</w:t>
      </w:r>
      <w:r w:rsidRPr="00024076">
        <w:t xml:space="preserve"> </w:t>
      </w:r>
    </w:p>
    <w:p w14:paraId="34C2C61B" w14:textId="703CD4D3" w:rsidR="00926121" w:rsidRDefault="00F555C3" w:rsidP="00926121">
      <w:pPr>
        <w:pStyle w:val="Paragraphtext"/>
      </w:pPr>
      <w:r>
        <w:t xml:space="preserve">The purpose of this criterion is to provide the basis for </w:t>
      </w:r>
      <w:r w:rsidR="00503FB4">
        <w:t>including</w:t>
      </w:r>
      <w:r>
        <w:t xml:space="preserve"> medical devices in Part C and the kinds of exceptional circumstances that may warrant </w:t>
      </w:r>
      <w:r w:rsidR="00503FB4">
        <w:t>inclusion</w:t>
      </w:r>
      <w:r>
        <w:t xml:space="preserve"> in Part C. The criterion refers to exceptional circumstances for </w:t>
      </w:r>
      <w:r w:rsidR="00503FB4">
        <w:t xml:space="preserve">including medical devices </w:t>
      </w:r>
      <w:r>
        <w:t xml:space="preserve">and the matters specified </w:t>
      </w:r>
      <w:r w:rsidR="004108A0">
        <w:t>in p</w:t>
      </w:r>
      <w:r>
        <w:t xml:space="preserve">aragraphs (a) to (e) are not exclusive but merely indicative of the kinds of circumstances where </w:t>
      </w:r>
      <w:r w:rsidR="00503FB4">
        <w:t>inclusion</w:t>
      </w:r>
      <w:r>
        <w:t xml:space="preserve"> in Part C may be appropriate. The specified matters in paragraphs (a) to (e) should not be seen as the only circumstances where </w:t>
      </w:r>
      <w:r w:rsidR="00503FB4">
        <w:t xml:space="preserve">including a medical device </w:t>
      </w:r>
      <w:r>
        <w:t xml:space="preserve">for exceptional circumstances should be exercised. </w:t>
      </w:r>
      <w:r w:rsidR="00532ECB">
        <w:t xml:space="preserve">The criterion reflects </w:t>
      </w:r>
      <w:r w:rsidR="00532ECB" w:rsidRPr="00532ECB">
        <w:t xml:space="preserve">what is </w:t>
      </w:r>
      <w:r w:rsidR="008609F9">
        <w:t xml:space="preserve">currently </w:t>
      </w:r>
      <w:r w:rsidR="00532ECB" w:rsidRPr="00532ECB">
        <w:t>applied administratively</w:t>
      </w:r>
      <w:r w:rsidR="00532ECB">
        <w:t>.</w:t>
      </w:r>
    </w:p>
    <w:p w14:paraId="50B7287C" w14:textId="68BD9D4F" w:rsidR="00E25154" w:rsidRDefault="00E25154" w:rsidP="00E25154">
      <w:pPr>
        <w:pStyle w:val="Heading1"/>
      </w:pPr>
      <w:r>
        <w:t>How w</w:t>
      </w:r>
      <w:r w:rsidR="004F0CB7">
        <w:t>ould</w:t>
      </w:r>
      <w:r>
        <w:t xml:space="preserve"> the listing criteria </w:t>
      </w:r>
      <w:proofErr w:type="gramStart"/>
      <w:r>
        <w:t>apply</w:t>
      </w:r>
      <w:proofErr w:type="gramEnd"/>
    </w:p>
    <w:p w14:paraId="67ED52A3" w14:textId="3794A461" w:rsidR="006A70CB" w:rsidRDefault="006A70CB" w:rsidP="006A70CB">
      <w:pPr>
        <w:pStyle w:val="Paragraphtext"/>
      </w:pPr>
      <w:r>
        <w:t>The listing criteria would apply from 1 July 2023. The proposed listing criteria would apply for:</w:t>
      </w:r>
    </w:p>
    <w:p w14:paraId="525538B2" w14:textId="528CF1D6" w:rsidR="006A70CB" w:rsidRDefault="006A70CB" w:rsidP="006D31A3">
      <w:pPr>
        <w:pStyle w:val="ListBullet"/>
      </w:pPr>
      <w:r>
        <w:t xml:space="preserve">a listing application made </w:t>
      </w:r>
      <w:r w:rsidR="00B11E3C">
        <w:t xml:space="preserve">on or </w:t>
      </w:r>
      <w:r>
        <w:t xml:space="preserve">after </w:t>
      </w:r>
      <w:r w:rsidR="007017BE">
        <w:t>made on or after 1 July 2023</w:t>
      </w:r>
      <w:r>
        <w:t>; and</w:t>
      </w:r>
    </w:p>
    <w:p w14:paraId="531EFC37" w14:textId="4D48C6E0" w:rsidR="006A70CB" w:rsidRDefault="006A70CB" w:rsidP="006D31A3">
      <w:pPr>
        <w:pStyle w:val="ListBullet"/>
      </w:pPr>
      <w:r>
        <w:t xml:space="preserve">any kind of medical device or human tissue product </w:t>
      </w:r>
      <w:r w:rsidR="00B11E3C">
        <w:t xml:space="preserve">included </w:t>
      </w:r>
      <w:r>
        <w:t>in the P</w:t>
      </w:r>
      <w:r w:rsidR="004108A0">
        <w:t>rescribed List</w:t>
      </w:r>
      <w:r>
        <w:t xml:space="preserve"> (ongoing listing)</w:t>
      </w:r>
      <w:r w:rsidR="004108A0">
        <w:t>.</w:t>
      </w:r>
    </w:p>
    <w:p w14:paraId="1C06F0F2" w14:textId="439D4BFA" w:rsidR="00D047BB" w:rsidRPr="006A70CB" w:rsidRDefault="006A70CB" w:rsidP="005D619F">
      <w:pPr>
        <w:pStyle w:val="Heading2"/>
      </w:pPr>
      <w:r w:rsidRPr="006A70CB">
        <w:t xml:space="preserve">Listing </w:t>
      </w:r>
      <w:r w:rsidR="00D047BB" w:rsidRPr="006A70CB">
        <w:t>Application</w:t>
      </w:r>
    </w:p>
    <w:p w14:paraId="620100A7" w14:textId="01D4BCC4" w:rsidR="00DA100A" w:rsidRDefault="009C5617" w:rsidP="009C5617">
      <w:pPr>
        <w:pStyle w:val="Paragraphtext"/>
      </w:pPr>
      <w:r>
        <w:t xml:space="preserve">The listing criteria </w:t>
      </w:r>
      <w:r w:rsidR="004E36CC">
        <w:t xml:space="preserve">would </w:t>
      </w:r>
      <w:r>
        <w:t xml:space="preserve">apply </w:t>
      </w:r>
      <w:r w:rsidR="00DA100A">
        <w:t xml:space="preserve">for </w:t>
      </w:r>
      <w:r>
        <w:t>deciding to grant an application made under subsection 72-10(2) of the PHI Act</w:t>
      </w:r>
      <w:r w:rsidR="00DA100A">
        <w:t>.</w:t>
      </w:r>
      <w:r w:rsidR="00DA100A" w:rsidRPr="00DA100A">
        <w:t xml:space="preserve"> These criteria must be satisfied </w:t>
      </w:r>
      <w:r w:rsidR="008609F9" w:rsidRPr="00DA100A">
        <w:t>for</w:t>
      </w:r>
      <w:r w:rsidR="00DA100A" w:rsidRPr="00DA100A">
        <w:t xml:space="preserve"> an application to be granted. The Minister must not grant a listing application if any applicable listing criteria are not satisfied in relation to the application (see subsection 72-10(7)).</w:t>
      </w:r>
    </w:p>
    <w:p w14:paraId="7DE55F48" w14:textId="46F10D93" w:rsidR="00D047BB" w:rsidRPr="00D047BB" w:rsidRDefault="00D047BB" w:rsidP="005D619F">
      <w:pPr>
        <w:pStyle w:val="Heading2"/>
      </w:pPr>
      <w:r w:rsidRPr="00D047BB">
        <w:t>Ongoing listing</w:t>
      </w:r>
    </w:p>
    <w:p w14:paraId="023F9B26" w14:textId="7075093D" w:rsidR="003B6E26" w:rsidRDefault="004108A0" w:rsidP="009C5617">
      <w:pPr>
        <w:pStyle w:val="Paragraphtext"/>
      </w:pPr>
      <w:r>
        <w:t>From 1 July 2023, t</w:t>
      </w:r>
      <w:r w:rsidR="00DA100A">
        <w:t xml:space="preserve">he listing criteria </w:t>
      </w:r>
      <w:r w:rsidR="004E36CC">
        <w:t xml:space="preserve">would </w:t>
      </w:r>
      <w:r>
        <w:t xml:space="preserve">also </w:t>
      </w:r>
      <w:r w:rsidR="00DA100A">
        <w:t>apply for a</w:t>
      </w:r>
      <w:r w:rsidR="00503FB4">
        <w:t xml:space="preserve"> medical device or human tissue product that is already included </w:t>
      </w:r>
      <w:r w:rsidR="00DA100A">
        <w:t>in the P</w:t>
      </w:r>
      <w:r>
        <w:t>rescribed List</w:t>
      </w:r>
      <w:r w:rsidR="00DA100A">
        <w:t xml:space="preserve">. </w:t>
      </w:r>
      <w:r w:rsidR="009C5617">
        <w:t xml:space="preserve">This would mean that if </w:t>
      </w:r>
      <w:r w:rsidR="00DA100A">
        <w:t xml:space="preserve">the listing criteria are no longer </w:t>
      </w:r>
      <w:r w:rsidR="009C5617">
        <w:t xml:space="preserve">satisfied for a </w:t>
      </w:r>
      <w:r w:rsidR="004C40DB">
        <w:t>kind of medical device or human tissue product in the P</w:t>
      </w:r>
      <w:r>
        <w:t>rescribed List</w:t>
      </w:r>
      <w:r w:rsidR="004C40DB">
        <w:t xml:space="preserve"> t</w:t>
      </w:r>
      <w:r w:rsidR="009C5617">
        <w:t xml:space="preserve">hen this would form the basis to remove the kind of device or product from the </w:t>
      </w:r>
      <w:r w:rsidR="004E36CC">
        <w:t>P</w:t>
      </w:r>
      <w:r>
        <w:t>rescribed List</w:t>
      </w:r>
      <w:r w:rsidR="009C5617">
        <w:t>.</w:t>
      </w:r>
      <w:r w:rsidR="004F0CB7">
        <w:t xml:space="preserve"> The authority for </w:t>
      </w:r>
      <w:r w:rsidR="004E36CC">
        <w:t xml:space="preserve">removing a </w:t>
      </w:r>
      <w:r w:rsidR="004C40DB">
        <w:t xml:space="preserve">kind of medical device or human tissue product </w:t>
      </w:r>
      <w:r w:rsidR="00503FB4">
        <w:t xml:space="preserve">from </w:t>
      </w:r>
      <w:r w:rsidR="004C40DB">
        <w:t>the P</w:t>
      </w:r>
      <w:r>
        <w:t>rescribed List</w:t>
      </w:r>
      <w:r w:rsidR="004E36CC">
        <w:t xml:space="preserve"> </w:t>
      </w:r>
      <w:r w:rsidR="004F0CB7">
        <w:t xml:space="preserve">is </w:t>
      </w:r>
      <w:r w:rsidR="004F0CB7" w:rsidRPr="004F0CB7">
        <w:t>based on s</w:t>
      </w:r>
      <w:r w:rsidR="004F0CB7">
        <w:t>ection</w:t>
      </w:r>
      <w:r w:rsidR="004F0CB7" w:rsidRPr="004F0CB7">
        <w:t xml:space="preserve"> 333-20 of the PHI Act</w:t>
      </w:r>
      <w:r w:rsidR="004F0CB7">
        <w:t xml:space="preserve"> (which provides for the making of the Rules)</w:t>
      </w:r>
      <w:r w:rsidR="004F0CB7" w:rsidRPr="004F0CB7">
        <w:t>, together with s</w:t>
      </w:r>
      <w:r w:rsidR="004F0CB7">
        <w:t>ubsection</w:t>
      </w:r>
      <w:r w:rsidR="004F0CB7" w:rsidRPr="004F0CB7">
        <w:t xml:space="preserve"> 33(3) of the </w:t>
      </w:r>
      <w:r w:rsidR="004F0CB7" w:rsidRPr="004F0CB7">
        <w:rPr>
          <w:i/>
          <w:iCs/>
        </w:rPr>
        <w:t>Acts Interpretation Act 1901</w:t>
      </w:r>
      <w:r w:rsidR="004F0CB7" w:rsidRPr="004F0CB7">
        <w:t xml:space="preserve"> (</w:t>
      </w:r>
      <w:r w:rsidR="004F0CB7">
        <w:t>which deals with the power to vary, revoke etc. an instrument</w:t>
      </w:r>
      <w:r w:rsidR="004F0CB7" w:rsidRPr="004F0CB7">
        <w:t>).</w:t>
      </w:r>
    </w:p>
    <w:p w14:paraId="02862ED9" w14:textId="595A6F76" w:rsidR="004108A0" w:rsidRDefault="003B6E26" w:rsidP="008B4700">
      <w:pPr>
        <w:pStyle w:val="Paragraphtext"/>
      </w:pPr>
      <w:r w:rsidRPr="008B4700">
        <w:t>The PHI Act does not provide for a</w:t>
      </w:r>
      <w:r w:rsidRPr="003F16EF">
        <w:t xml:space="preserve">n application to be made to the Administrative Appeals Tribunal for the review of a decision to remove </w:t>
      </w:r>
      <w:bookmarkStart w:id="8" w:name="_Hlk128466852"/>
      <w:r w:rsidRPr="003F16EF">
        <w:t xml:space="preserve">a </w:t>
      </w:r>
      <w:r w:rsidR="004C40DB" w:rsidRPr="003F16EF">
        <w:t xml:space="preserve">kind of medical device or human tissue product </w:t>
      </w:r>
      <w:r w:rsidR="00503FB4" w:rsidRPr="003F16EF">
        <w:t>from</w:t>
      </w:r>
      <w:r w:rsidR="004C40DB" w:rsidRPr="003F16EF">
        <w:t xml:space="preserve"> the P</w:t>
      </w:r>
      <w:r w:rsidR="004108A0">
        <w:t>rostheses Rules</w:t>
      </w:r>
      <w:bookmarkEnd w:id="8"/>
      <w:r w:rsidRPr="003F16EF">
        <w:t xml:space="preserve"> (section 328-5 of the PHI Act). This includes where a decision </w:t>
      </w:r>
      <w:r w:rsidR="00F821AD" w:rsidRPr="003F16EF">
        <w:t xml:space="preserve">may </w:t>
      </w:r>
      <w:r w:rsidRPr="003F16EF">
        <w:t xml:space="preserve">currently </w:t>
      </w:r>
      <w:r w:rsidR="00F821AD" w:rsidRPr="003F16EF">
        <w:t xml:space="preserve">be </w:t>
      </w:r>
      <w:r w:rsidRPr="003F16EF">
        <w:t>made to remove a</w:t>
      </w:r>
      <w:r w:rsidR="004C40DB" w:rsidRPr="003F16EF">
        <w:t xml:space="preserve"> kind of medical device or human tissue product </w:t>
      </w:r>
      <w:r w:rsidR="00503FB4" w:rsidRPr="003F16EF">
        <w:t>from</w:t>
      </w:r>
      <w:r w:rsidR="004C40DB" w:rsidRPr="003F16EF">
        <w:t xml:space="preserve"> the P</w:t>
      </w:r>
      <w:r w:rsidR="004108A0">
        <w:t>rostheses Rules</w:t>
      </w:r>
      <w:r w:rsidRPr="003F16EF">
        <w:t xml:space="preserve"> because of unpaid listing fees (subsection 72-15 (3)</w:t>
      </w:r>
      <w:r w:rsidR="004108A0">
        <w:t>)</w:t>
      </w:r>
      <w:r w:rsidRPr="003F16EF">
        <w:t>. This is because the</w:t>
      </w:r>
      <w:r w:rsidR="00F821AD" w:rsidRPr="003F16EF">
        <w:t xml:space="preserve"> making of the </w:t>
      </w:r>
      <w:r w:rsidR="004108A0">
        <w:t xml:space="preserve">current </w:t>
      </w:r>
      <w:r w:rsidR="00F821AD" w:rsidRPr="003F16EF">
        <w:t>Prostheses Rules are legislation-like decisions of broad application</w:t>
      </w:r>
      <w:r w:rsidR="004108A0">
        <w:t xml:space="preserve"> and </w:t>
      </w:r>
      <w:r w:rsidR="00F821AD" w:rsidRPr="003F16EF">
        <w:t xml:space="preserve">there is more than one </w:t>
      </w:r>
      <w:r w:rsidR="004C40DB" w:rsidRPr="003F16EF">
        <w:t xml:space="preserve">kind of medical device or human tissue product in the </w:t>
      </w:r>
      <w:r w:rsidR="004108A0">
        <w:t>Prostheses Rules</w:t>
      </w:r>
      <w:r w:rsidR="00F821AD" w:rsidRPr="003F16EF">
        <w:t xml:space="preserve"> that is varied, </w:t>
      </w:r>
      <w:proofErr w:type="gramStart"/>
      <w:r w:rsidR="00F821AD" w:rsidRPr="003F16EF">
        <w:t>added</w:t>
      </w:r>
      <w:proofErr w:type="gramEnd"/>
      <w:r w:rsidR="00F821AD" w:rsidRPr="003F16EF">
        <w:t xml:space="preserve"> or </w:t>
      </w:r>
      <w:r w:rsidR="00503FB4" w:rsidRPr="003F16EF">
        <w:t xml:space="preserve">removed </w:t>
      </w:r>
      <w:r w:rsidR="004108A0">
        <w:t xml:space="preserve">each time the </w:t>
      </w:r>
      <w:r w:rsidR="00F821AD" w:rsidRPr="003F16EF">
        <w:t>Prostheses Rules</w:t>
      </w:r>
      <w:r w:rsidR="004108A0">
        <w:t xml:space="preserve"> are made.</w:t>
      </w:r>
    </w:p>
    <w:p w14:paraId="369B6F65" w14:textId="7D72EDEA" w:rsidR="0049532D" w:rsidRDefault="004108A0" w:rsidP="0049532D">
      <w:pPr>
        <w:pStyle w:val="Paragraphtext"/>
      </w:pPr>
      <w:r>
        <w:t>The same arrangements apply for t</w:t>
      </w:r>
      <w:r w:rsidRPr="003F16EF">
        <w:t xml:space="preserve">he </w:t>
      </w:r>
      <w:bookmarkStart w:id="9" w:name="_Hlk126238312"/>
      <w:r w:rsidRPr="003F16EF">
        <w:t>Private Health Insurance (Medical Devices and Human Tissue Products) Rules</w:t>
      </w:r>
      <w:bookmarkEnd w:id="9"/>
      <w:r>
        <w:t xml:space="preserve"> from 1 July 2023</w:t>
      </w:r>
      <w:r w:rsidR="00F821AD" w:rsidRPr="003F16EF">
        <w:t>.</w:t>
      </w:r>
      <w:r>
        <w:t xml:space="preserve"> However, </w:t>
      </w:r>
      <w:r w:rsidR="005D68D4">
        <w:t xml:space="preserve">from 1 July 2023, </w:t>
      </w:r>
      <w:r w:rsidR="00282CCD">
        <w:t xml:space="preserve">new </w:t>
      </w:r>
      <w:r w:rsidR="0049532D" w:rsidRPr="0049532D">
        <w:t xml:space="preserve">section 72-20 </w:t>
      </w:r>
      <w:r w:rsidR="0049532D">
        <w:t xml:space="preserve">of the PHI Act </w:t>
      </w:r>
      <w:r w:rsidR="00282CCD">
        <w:t xml:space="preserve">continues to </w:t>
      </w:r>
      <w:r w:rsidR="0049532D" w:rsidRPr="0049532D">
        <w:t xml:space="preserve">provide for the removal of </w:t>
      </w:r>
      <w:r w:rsidR="0049532D" w:rsidRPr="003F16EF">
        <w:t>a kind of medical device or human tissue product from the P</w:t>
      </w:r>
      <w:r w:rsidR="0049532D">
        <w:t>rostheses Rule</w:t>
      </w:r>
      <w:r w:rsidR="0049532D" w:rsidRPr="0049532D">
        <w:t xml:space="preserve"> if there are unpaid fees or levies</w:t>
      </w:r>
      <w:r w:rsidR="008609F9">
        <w:t>;</w:t>
      </w:r>
      <w:r w:rsidR="0049532D" w:rsidRPr="0049532D">
        <w:t xml:space="preserve"> and </w:t>
      </w:r>
      <w:r w:rsidR="00282CCD">
        <w:t xml:space="preserve">new </w:t>
      </w:r>
      <w:r w:rsidR="0049532D" w:rsidRPr="0049532D">
        <w:t>section 72-25 provides that the Minister may refuse to carry out or direct a person not to carry out specified activities until unpaid fees or levies are paid.</w:t>
      </w:r>
      <w:r w:rsidR="0049532D">
        <w:t xml:space="preserve"> When exercising the powers in sections 72-20 and 72-25 the Minister must have regard to:</w:t>
      </w:r>
    </w:p>
    <w:p w14:paraId="040D41D3" w14:textId="0D7E6789" w:rsidR="0049532D" w:rsidRPr="003A5543" w:rsidRDefault="0049532D" w:rsidP="0061797B">
      <w:pPr>
        <w:pStyle w:val="ListBullet"/>
        <w:ind w:left="357" w:hanging="357"/>
        <w:contextualSpacing/>
      </w:pPr>
      <w:r w:rsidRPr="003A5543">
        <w:t xml:space="preserve">whether the exercise of these powers would be detrimental to the interests of insured persons (patients); and </w:t>
      </w:r>
    </w:p>
    <w:p w14:paraId="78C24AA9" w14:textId="35B30BE1" w:rsidR="00E25154" w:rsidRPr="003A5543" w:rsidRDefault="0049532D" w:rsidP="0061797B">
      <w:pPr>
        <w:pStyle w:val="ListBullet"/>
        <w:ind w:left="357" w:hanging="357"/>
        <w:contextualSpacing/>
        <w:rPr>
          <w:bCs w:val="0"/>
        </w:rPr>
      </w:pPr>
      <w:r w:rsidRPr="003A5543">
        <w:lastRenderedPageBreak/>
        <w:t>whether the exercise of these powers would significantly limit the professional freedom of medical practitioners (clinicians) to identify and provide appropriate treatments.</w:t>
      </w:r>
    </w:p>
    <w:p w14:paraId="542D3EEA" w14:textId="77777777" w:rsidR="00435A1E" w:rsidRPr="004F0CB7" w:rsidRDefault="00435A1E" w:rsidP="004F0CB7">
      <w:pPr>
        <w:pStyle w:val="Heading1"/>
      </w:pPr>
      <w:r w:rsidRPr="004F0CB7">
        <w:t>Anticipated stakeholder impact</w:t>
      </w:r>
    </w:p>
    <w:p w14:paraId="1C59B21E" w14:textId="07A7C9D4" w:rsidR="00EE6B1E" w:rsidRDefault="003F16EF" w:rsidP="00435A1E">
      <w:pPr>
        <w:pStyle w:val="Paragraphtext"/>
      </w:pPr>
      <w:r>
        <w:t>T</w:t>
      </w:r>
      <w:r w:rsidR="00EE6B1E" w:rsidRPr="00EE6B1E">
        <w:t>he proposed listing criteria are not expected to result in any additional impact</w:t>
      </w:r>
      <w:r>
        <w:t xml:space="preserve"> </w:t>
      </w:r>
      <w:r w:rsidR="00EE6B1E">
        <w:t xml:space="preserve">because the </w:t>
      </w:r>
      <w:r w:rsidR="00F1389A">
        <w:t xml:space="preserve">proposed listing </w:t>
      </w:r>
      <w:r w:rsidR="00EE6B1E">
        <w:t xml:space="preserve">criteria reflect the current administrative practice for </w:t>
      </w:r>
      <w:r w:rsidR="004C40DB">
        <w:t>including</w:t>
      </w:r>
      <w:r w:rsidR="00EE6B1E">
        <w:t xml:space="preserve"> items in the P</w:t>
      </w:r>
      <w:r w:rsidR="00F1389A">
        <w:t>rostheses List</w:t>
      </w:r>
      <w:r w:rsidR="003F7AB5">
        <w:t xml:space="preserve"> but moves the listing criteria from a guidance document into subordinate legislation</w:t>
      </w:r>
      <w:r w:rsidR="00EE6B1E">
        <w:t>.</w:t>
      </w:r>
      <w:r w:rsidR="00502260">
        <w:t xml:space="preserve"> </w:t>
      </w:r>
      <w:r w:rsidR="00502260" w:rsidRPr="00852E80">
        <w:t>The Department is seeking specific comment on this including supporting information.</w:t>
      </w:r>
    </w:p>
    <w:p w14:paraId="2F5D14E7" w14:textId="26BDA583" w:rsidR="001E7A6D" w:rsidRPr="004F0CB7" w:rsidRDefault="001E7A6D" w:rsidP="004F0CB7">
      <w:pPr>
        <w:pStyle w:val="Heading1"/>
      </w:pPr>
      <w:r w:rsidRPr="004F0CB7">
        <w:t>Next Steps</w:t>
      </w:r>
    </w:p>
    <w:p w14:paraId="3636B225" w14:textId="77777777" w:rsidR="001E7A6D" w:rsidRDefault="001E7A6D" w:rsidP="00435A1E">
      <w:pPr>
        <w:pStyle w:val="Paragraphtext"/>
      </w:pPr>
      <w:r>
        <w:t>The Department will consider comments provided as part of this consultation.</w:t>
      </w:r>
    </w:p>
    <w:p w14:paraId="70F05B89" w14:textId="30DB79BA" w:rsidR="001E7A6D" w:rsidRDefault="001E7A6D" w:rsidP="00435A1E">
      <w:pPr>
        <w:pStyle w:val="Paragraphtext"/>
      </w:pPr>
      <w:r>
        <w:t xml:space="preserve">Any proposed listing criteria would then </w:t>
      </w:r>
      <w:r w:rsidR="00ED3D4B">
        <w:t xml:space="preserve">need to </w:t>
      </w:r>
      <w:r>
        <w:t xml:space="preserve">be </w:t>
      </w:r>
      <w:r w:rsidR="00ED3D4B">
        <w:t>considered by</w:t>
      </w:r>
      <w:r>
        <w:t xml:space="preserve"> the Minister</w:t>
      </w:r>
      <w:r w:rsidR="00BD7B53">
        <w:t xml:space="preserve"> for Health and Aged Care</w:t>
      </w:r>
      <w:r w:rsidR="00ED3D4B">
        <w:t xml:space="preserve"> and if supported, </w:t>
      </w:r>
      <w:r w:rsidR="00BD7B53">
        <w:t xml:space="preserve">will </w:t>
      </w:r>
      <w:r w:rsidR="00ED3D4B">
        <w:t xml:space="preserve">then be included </w:t>
      </w:r>
      <w:r>
        <w:t xml:space="preserve">in the </w:t>
      </w:r>
      <w:r w:rsidR="00AC18B6" w:rsidRPr="00AC18B6">
        <w:t>Private Health Insurance (Medical Devices and Human Tissue Products) Rules</w:t>
      </w:r>
      <w:r w:rsidR="00AC18B6">
        <w:t xml:space="preserve"> (the Rules)</w:t>
      </w:r>
      <w:r>
        <w:t>.</w:t>
      </w:r>
    </w:p>
    <w:p w14:paraId="160A91EE" w14:textId="254DFFFE" w:rsidR="001E7A6D" w:rsidRDefault="00112D0D" w:rsidP="00435A1E">
      <w:pPr>
        <w:pStyle w:val="Paragraphtext"/>
      </w:pPr>
      <w:r>
        <w:t xml:space="preserve">The Rules are a legislative instrument and the making of this instrument and any amendments to this instrument are subject to Parliamentary Scrutiny under the </w:t>
      </w:r>
      <w:r w:rsidRPr="00112D0D">
        <w:rPr>
          <w:i/>
          <w:iCs/>
        </w:rPr>
        <w:t>Legislation Act 2003</w:t>
      </w:r>
      <w:r>
        <w:t>.</w:t>
      </w:r>
      <w:r w:rsidR="005D68D4">
        <w:t xml:space="preserve"> This includes disallowance by either House of the Commonwealth Parliament.</w:t>
      </w:r>
    </w:p>
    <w:p w14:paraId="07A7C633" w14:textId="1E0AAF75" w:rsidR="005209AD" w:rsidRDefault="005209AD" w:rsidP="005209AD">
      <w:pPr>
        <w:pStyle w:val="Heading1"/>
      </w:pPr>
      <w:r>
        <w:t>What we invite you to do</w:t>
      </w:r>
    </w:p>
    <w:p w14:paraId="6E48BF40" w14:textId="2ECD8BB1" w:rsidR="000A48CC" w:rsidRDefault="000A48CC" w:rsidP="000A48CC">
      <w:pPr>
        <w:pStyle w:val="Paragraphtext"/>
      </w:pPr>
      <w:r w:rsidRPr="00150F1E">
        <w:t xml:space="preserve">We ask that stakeholders provide feedback on the </w:t>
      </w:r>
      <w:r w:rsidR="00AF24E8">
        <w:t>proposed</w:t>
      </w:r>
      <w:r w:rsidR="00956EBF">
        <w:t xml:space="preserve"> listing</w:t>
      </w:r>
      <w:r w:rsidR="00AF24E8">
        <w:t xml:space="preserve"> criteria</w:t>
      </w:r>
      <w:r w:rsidRPr="00150F1E">
        <w:t xml:space="preserve"> and any ideas they have regarding the above issues via the consultation hub.</w:t>
      </w:r>
      <w:r>
        <w:t xml:space="preserve"> </w:t>
      </w:r>
      <w:r w:rsidRPr="00150F1E">
        <w:t xml:space="preserve">This feedback will then be used to inform </w:t>
      </w:r>
      <w:r w:rsidR="00AF24E8">
        <w:t>any further refinement of the listing criteria</w:t>
      </w:r>
      <w:r w:rsidRPr="00150F1E">
        <w:t>.</w:t>
      </w:r>
    </w:p>
    <w:p w14:paraId="454E9F5B" w14:textId="31E670D4" w:rsidR="001C7F43" w:rsidRPr="000A48CC" w:rsidRDefault="001C7F43" w:rsidP="001C7F43">
      <w:pPr>
        <w:pStyle w:val="Paragraphtext"/>
      </w:pPr>
      <w:bookmarkStart w:id="10" w:name="_Hlk129959116"/>
      <w:r w:rsidRPr="00364405">
        <w:t>The Department intends to publish the submissions so stakeholders should clearly identify commercial in confidence information preferably under a separate attachment, noting it may still be accessible under Freedom of Information processes.</w:t>
      </w:r>
    </w:p>
    <w:bookmarkEnd w:id="10"/>
    <w:p w14:paraId="173375B5" w14:textId="74444643" w:rsidR="000A48CC" w:rsidRPr="000A48CC" w:rsidRDefault="001C7F43" w:rsidP="001C7F43">
      <w:pPr>
        <w:pStyle w:val="Paragraphtext"/>
      </w:pPr>
      <w:r>
        <w:rPr>
          <w:szCs w:val="21"/>
        </w:rPr>
        <w:t>In preparing a submission, stakeholder feedback is sought on the following matters:</w:t>
      </w:r>
    </w:p>
    <w:p w14:paraId="30C3E144" w14:textId="63FA4D13" w:rsidR="00824AD4" w:rsidRPr="007C2DD9" w:rsidRDefault="002F3A3F" w:rsidP="000A48CC">
      <w:pPr>
        <w:pStyle w:val="ListParagraph"/>
        <w:numPr>
          <w:ilvl w:val="0"/>
          <w:numId w:val="26"/>
        </w:numPr>
        <w:spacing w:before="120" w:after="60" w:line="276" w:lineRule="auto"/>
        <w:rPr>
          <w:sz w:val="21"/>
          <w:szCs w:val="21"/>
        </w:rPr>
      </w:pPr>
      <w:r>
        <w:rPr>
          <w:sz w:val="21"/>
          <w:szCs w:val="21"/>
        </w:rPr>
        <w:t xml:space="preserve">Do you agree that there is no impact </w:t>
      </w:r>
      <w:r w:rsidR="007150D4">
        <w:rPr>
          <w:sz w:val="21"/>
          <w:szCs w:val="21"/>
        </w:rPr>
        <w:t xml:space="preserve">for </w:t>
      </w:r>
      <w:r w:rsidR="00824AD4" w:rsidRPr="007C2DD9">
        <w:rPr>
          <w:sz w:val="21"/>
          <w:szCs w:val="21"/>
        </w:rPr>
        <w:t xml:space="preserve">each </w:t>
      </w:r>
      <w:r>
        <w:rPr>
          <w:sz w:val="21"/>
          <w:szCs w:val="21"/>
        </w:rPr>
        <w:t xml:space="preserve">proposed </w:t>
      </w:r>
      <w:r w:rsidR="00AF24E8" w:rsidRPr="007C2DD9">
        <w:rPr>
          <w:sz w:val="21"/>
          <w:szCs w:val="21"/>
        </w:rPr>
        <w:t>listing criterion</w:t>
      </w:r>
      <w:r w:rsidR="00824AD4" w:rsidRPr="007C2DD9">
        <w:rPr>
          <w:sz w:val="21"/>
          <w:szCs w:val="21"/>
        </w:rPr>
        <w:t>?</w:t>
      </w:r>
      <w:r w:rsidR="001A5035" w:rsidRPr="007C2DD9">
        <w:rPr>
          <w:sz w:val="21"/>
          <w:szCs w:val="21"/>
        </w:rPr>
        <w:t xml:space="preserve">  </w:t>
      </w:r>
      <w:r w:rsidR="00D30664">
        <w:rPr>
          <w:sz w:val="21"/>
          <w:szCs w:val="21"/>
        </w:rPr>
        <w:t xml:space="preserve">Please provide the justification for any alternative view on the impacts of each proposed listing criterion. </w:t>
      </w:r>
    </w:p>
    <w:p w14:paraId="41981495" w14:textId="24FC564F" w:rsidR="0047378A" w:rsidRPr="007C2DD9" w:rsidRDefault="002F3A3F" w:rsidP="000A48CC">
      <w:pPr>
        <w:pStyle w:val="ListParagraph"/>
        <w:numPr>
          <w:ilvl w:val="0"/>
          <w:numId w:val="26"/>
        </w:numPr>
        <w:spacing w:before="120" w:after="60" w:line="276" w:lineRule="auto"/>
        <w:rPr>
          <w:sz w:val="21"/>
          <w:szCs w:val="21"/>
        </w:rPr>
      </w:pPr>
      <w:r>
        <w:rPr>
          <w:sz w:val="21"/>
          <w:szCs w:val="21"/>
        </w:rPr>
        <w:t xml:space="preserve">Provide suggestions of </w:t>
      </w:r>
      <w:r w:rsidR="00AF24E8" w:rsidRPr="007C2DD9">
        <w:rPr>
          <w:sz w:val="21"/>
          <w:szCs w:val="21"/>
        </w:rPr>
        <w:t xml:space="preserve">additional listing criteria </w:t>
      </w:r>
      <w:r>
        <w:rPr>
          <w:sz w:val="21"/>
          <w:szCs w:val="21"/>
        </w:rPr>
        <w:t xml:space="preserve">to </w:t>
      </w:r>
      <w:r w:rsidR="00AF24E8" w:rsidRPr="007C2DD9">
        <w:rPr>
          <w:sz w:val="21"/>
          <w:szCs w:val="21"/>
        </w:rPr>
        <w:t>be included</w:t>
      </w:r>
      <w:r>
        <w:rPr>
          <w:sz w:val="21"/>
          <w:szCs w:val="21"/>
        </w:rPr>
        <w:t>, along with the justification for these suggestions</w:t>
      </w:r>
      <w:r w:rsidR="00AF24E8" w:rsidRPr="007C2DD9">
        <w:rPr>
          <w:sz w:val="21"/>
          <w:szCs w:val="21"/>
        </w:rPr>
        <w:t xml:space="preserve">? </w:t>
      </w:r>
    </w:p>
    <w:p w14:paraId="037B7622" w14:textId="6C50E298" w:rsidR="000A48CC" w:rsidRPr="00D30664" w:rsidRDefault="00AF24E8" w:rsidP="00FD72BF">
      <w:pPr>
        <w:pStyle w:val="ListParagraph"/>
        <w:numPr>
          <w:ilvl w:val="0"/>
          <w:numId w:val="26"/>
        </w:numPr>
        <w:spacing w:before="120" w:after="60" w:line="276" w:lineRule="auto"/>
        <w:rPr>
          <w:sz w:val="21"/>
          <w:szCs w:val="21"/>
        </w:rPr>
      </w:pPr>
      <w:r w:rsidRPr="00D30664">
        <w:rPr>
          <w:sz w:val="21"/>
          <w:szCs w:val="21"/>
        </w:rPr>
        <w:t>How often should the listing criteria be</w:t>
      </w:r>
      <w:r w:rsidR="0039545D" w:rsidRPr="00D30664">
        <w:rPr>
          <w:sz w:val="21"/>
          <w:szCs w:val="21"/>
        </w:rPr>
        <w:t xml:space="preserve"> reviewed</w:t>
      </w:r>
      <w:r w:rsidR="00824AD4" w:rsidRPr="00D30664">
        <w:rPr>
          <w:sz w:val="21"/>
          <w:szCs w:val="21"/>
        </w:rPr>
        <w:t>?</w:t>
      </w:r>
      <w:r w:rsidR="00BA5CA2" w:rsidRPr="00D30664">
        <w:rPr>
          <w:sz w:val="21"/>
          <w:szCs w:val="21"/>
        </w:rPr>
        <w:t xml:space="preserve">  </w:t>
      </w:r>
    </w:p>
    <w:p w14:paraId="06BA7010" w14:textId="653D1746" w:rsidR="0061797B" w:rsidRPr="0061797B" w:rsidRDefault="002F3A3F" w:rsidP="0061797B">
      <w:pPr>
        <w:pStyle w:val="ListParagraph"/>
        <w:numPr>
          <w:ilvl w:val="0"/>
          <w:numId w:val="26"/>
        </w:numPr>
        <w:spacing w:before="120" w:after="60" w:line="276" w:lineRule="auto"/>
        <w:rPr>
          <w:sz w:val="21"/>
          <w:szCs w:val="21"/>
        </w:rPr>
      </w:pPr>
      <w:r w:rsidRPr="00D30664">
        <w:rPr>
          <w:sz w:val="21"/>
          <w:szCs w:val="21"/>
        </w:rPr>
        <w:t>Should we include notes in the legislative instrument to refer to measures that the PHI Act imposes?</w:t>
      </w:r>
    </w:p>
    <w:p w14:paraId="7E6057E1" w14:textId="3A342974" w:rsidR="000A48CC" w:rsidRPr="0061797B" w:rsidRDefault="0061797B" w:rsidP="0061797B">
      <w:pPr>
        <w:pStyle w:val="Boxtype"/>
        <w:ind w:left="0"/>
      </w:pPr>
      <w:r w:rsidRPr="00A5523A">
        <w:rPr>
          <w:b/>
          <w:bCs/>
        </w:rPr>
        <w:t>This paper will close for consultation on 1 May 2023.</w:t>
      </w:r>
      <w:r>
        <w:t xml:space="preserve"> Stakeholders are encouraged to attend an information webinar on 3 April if they have questions regarding this paper, where the Department will be available to provide more information on Consultation Papers 6(a) and 6(b).</w:t>
      </w:r>
      <w:r>
        <w:t xml:space="preserve"> </w:t>
      </w:r>
      <w:hyperlink r:id="rId12" w:history="1">
        <w:r w:rsidRPr="00AC2AD0">
          <w:rPr>
            <w:rStyle w:val="Hyperlink"/>
          </w:rPr>
          <w:t>Register here</w:t>
        </w:r>
      </w:hyperlink>
      <w:r>
        <w:t>.</w:t>
      </w:r>
    </w:p>
    <w:sectPr w:rsidR="000A48CC" w:rsidRPr="0061797B" w:rsidSect="003652C6">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1486" w14:textId="77777777" w:rsidR="00BD1F97" w:rsidRDefault="00BD1F97" w:rsidP="006168AD">
      <w:r>
        <w:separator/>
      </w:r>
    </w:p>
  </w:endnote>
  <w:endnote w:type="continuationSeparator" w:id="0">
    <w:p w14:paraId="00E8C687" w14:textId="77777777" w:rsidR="00BD1F97" w:rsidRDefault="00BD1F97" w:rsidP="006168AD">
      <w:r>
        <w:continuationSeparator/>
      </w:r>
    </w:p>
  </w:endnote>
  <w:endnote w:type="continuationNotice" w:id="1">
    <w:p w14:paraId="26C3D051" w14:textId="77777777" w:rsidR="00BD1F97" w:rsidRDefault="00BD1F97" w:rsidP="00B87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385460"/>
      <w:docPartObj>
        <w:docPartGallery w:val="Page Numbers (Bottom of Page)"/>
        <w:docPartUnique/>
      </w:docPartObj>
    </w:sdtPr>
    <w:sdtEndPr>
      <w:rPr>
        <w:noProof/>
      </w:rPr>
    </w:sdtEndPr>
    <w:sdtContent>
      <w:p w14:paraId="535B248B" w14:textId="1069969B" w:rsidR="005402FD" w:rsidRPr="009F7366" w:rsidRDefault="005402FD">
        <w:pPr>
          <w:pStyle w:val="Footer"/>
          <w:jc w:val="right"/>
        </w:pPr>
        <w:r w:rsidRPr="009F7366">
          <w:fldChar w:fldCharType="begin"/>
        </w:r>
        <w:r w:rsidRPr="009F7366">
          <w:instrText xml:space="preserve"> PAGE   \* MERGEFORMAT </w:instrText>
        </w:r>
        <w:r w:rsidRPr="009F7366">
          <w:fldChar w:fldCharType="separate"/>
        </w:r>
        <w:r w:rsidRPr="009F7366">
          <w:rPr>
            <w:noProof/>
          </w:rPr>
          <w:t>2</w:t>
        </w:r>
        <w:r w:rsidRPr="009F7366">
          <w:rPr>
            <w:noProof/>
          </w:rPr>
          <w:fldChar w:fldCharType="end"/>
        </w:r>
      </w:p>
    </w:sdtContent>
  </w:sdt>
  <w:p w14:paraId="1B0D5984" w14:textId="7FD6B44F" w:rsidR="005402FD" w:rsidRPr="00065C80" w:rsidRDefault="009F7366">
    <w:pPr>
      <w:pStyle w:val="Footer"/>
    </w:pPr>
    <w:r w:rsidRPr="009F7366">
      <w:t>PL</w:t>
    </w:r>
    <w:r w:rsidR="005402FD" w:rsidRPr="009F7366">
      <w:t xml:space="preserve"> Reform – Consultation Paper</w:t>
    </w:r>
    <w:r w:rsidR="00065C80">
      <w:t xml:space="preserve"> </w:t>
    </w:r>
    <w:r w:rsidR="00AF24E8">
      <w:t>6</w:t>
    </w:r>
    <w:r w:rsidR="00A40826">
      <w:t>(a)</w:t>
    </w:r>
    <w:r w:rsidR="000226F6">
      <w:t xml:space="preserve"> –</w:t>
    </w:r>
    <w:r w:rsidR="006E7D0F" w:rsidRPr="006E7D0F">
      <w:t xml:space="preserve"> </w:t>
    </w:r>
    <w:r w:rsidR="00D30664">
      <w:t xml:space="preserve">Proposed </w:t>
    </w:r>
    <w:r w:rsidR="00AF24E8">
      <w:t>Listing Criteria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CA115" w14:textId="77777777" w:rsidR="00BD1F97" w:rsidRDefault="00BD1F97" w:rsidP="006168AD">
      <w:r>
        <w:separator/>
      </w:r>
    </w:p>
  </w:footnote>
  <w:footnote w:type="continuationSeparator" w:id="0">
    <w:p w14:paraId="4326831C" w14:textId="77777777" w:rsidR="00BD1F97" w:rsidRDefault="00BD1F97" w:rsidP="006168AD">
      <w:r>
        <w:continuationSeparator/>
      </w:r>
    </w:p>
  </w:footnote>
  <w:footnote w:type="continuationNotice" w:id="1">
    <w:p w14:paraId="5EDA862A" w14:textId="77777777" w:rsidR="00BD1F97" w:rsidRDefault="00BD1F97" w:rsidP="00B876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95D9" w14:textId="76F287CB" w:rsidR="00823BF8" w:rsidRDefault="00823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FE48" w14:textId="478491C3" w:rsidR="005402FD" w:rsidRDefault="00A40826">
    <w:pPr>
      <w:pStyle w:val="Header"/>
    </w:pPr>
    <w:r>
      <w:rPr>
        <w:noProof/>
      </w:rPr>
      <w:drawing>
        <wp:anchor distT="0" distB="0" distL="114300" distR="114300" simplePos="0" relativeHeight="251659776" behindDoc="0" locked="0" layoutInCell="1" allowOverlap="1" wp14:anchorId="43D8BA36" wp14:editId="4F74C363">
          <wp:simplePos x="0" y="0"/>
          <wp:positionH relativeFrom="margin">
            <wp:posOffset>-526211</wp:posOffset>
          </wp:positionH>
          <wp:positionV relativeFrom="topMargin">
            <wp:align>bottom</wp:align>
          </wp:positionV>
          <wp:extent cx="2462560" cy="741872"/>
          <wp:effectExtent l="0" t="0" r="0" b="127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62560" cy="741872"/>
                  </a:xfrm>
                  <a:prstGeom prst="rect">
                    <a:avLst/>
                  </a:prstGeom>
                </pic:spPr>
              </pic:pic>
            </a:graphicData>
          </a:graphic>
        </wp:anchor>
      </w:drawing>
    </w:r>
    <w:r w:rsidR="0052132E">
      <w:rPr>
        <w:noProof/>
        <w:lang w:eastAsia="en-AU"/>
      </w:rPr>
      <w:drawing>
        <wp:anchor distT="0" distB="0" distL="114300" distR="114300" simplePos="0" relativeHeight="251656704" behindDoc="1" locked="0" layoutInCell="1" allowOverlap="1" wp14:anchorId="7321235D" wp14:editId="47B538C9">
          <wp:simplePos x="0" y="0"/>
          <wp:positionH relativeFrom="page">
            <wp:posOffset>6985</wp:posOffset>
          </wp:positionH>
          <wp:positionV relativeFrom="page">
            <wp:posOffset>3824605</wp:posOffset>
          </wp:positionV>
          <wp:extent cx="7559040" cy="6677025"/>
          <wp:effectExtent l="0" t="0" r="3810" b="952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2" cstate="print">
                    <a:extLst>
                      <a:ext uri="{28A0092B-C50C-407E-A947-70E740481C1C}">
                        <a14:useLocalDpi xmlns:a14="http://schemas.microsoft.com/office/drawing/2010/main" val="0"/>
                      </a:ext>
                    </a:extLst>
                  </a:blip>
                  <a:srcRect t="32873" b="4680"/>
                  <a:stretch/>
                </pic:blipFill>
                <pic:spPr bwMode="auto">
                  <a:xfrm>
                    <a:off x="0" y="0"/>
                    <a:ext cx="7559040" cy="6677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F03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ECC2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F1E210A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A8A6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93E086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D303BC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23152D"/>
    <w:multiLevelType w:val="hybridMultilevel"/>
    <w:tmpl w:val="3FA896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4F1D61"/>
    <w:multiLevelType w:val="hybridMultilevel"/>
    <w:tmpl w:val="FF7495C6"/>
    <w:lvl w:ilvl="0" w:tplc="8AAC53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7A3015"/>
    <w:multiLevelType w:val="hybridMultilevel"/>
    <w:tmpl w:val="5778317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363506"/>
    <w:multiLevelType w:val="hybridMultilevel"/>
    <w:tmpl w:val="5F78E896"/>
    <w:lvl w:ilvl="0" w:tplc="ACE8F38E">
      <w:start w:val="1"/>
      <w:numFmt w:val="bullet"/>
      <w:pStyle w:val="ListBullet"/>
      <w:lvlText w:val=""/>
      <w:lvlJc w:val="left"/>
      <w:pPr>
        <w:ind w:left="360" w:hanging="360"/>
      </w:pPr>
      <w:rPr>
        <w:rFonts w:ascii="Symbol" w:hAnsi="Symbol" w:hint="default"/>
        <w:color w:val="auto"/>
      </w:rPr>
    </w:lvl>
    <w:lvl w:ilvl="1" w:tplc="85DE0EC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844ABF"/>
    <w:multiLevelType w:val="hybridMultilevel"/>
    <w:tmpl w:val="8DD00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CD50FD"/>
    <w:multiLevelType w:val="hybridMultilevel"/>
    <w:tmpl w:val="2EC6E5F4"/>
    <w:lvl w:ilvl="0" w:tplc="E1921B6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59C55FC"/>
    <w:multiLevelType w:val="hybridMultilevel"/>
    <w:tmpl w:val="DD548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EA1E2E"/>
    <w:multiLevelType w:val="hybridMultilevel"/>
    <w:tmpl w:val="F83A9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E6799B"/>
    <w:multiLevelType w:val="hybridMultilevel"/>
    <w:tmpl w:val="9258E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931024"/>
    <w:multiLevelType w:val="hybridMultilevel"/>
    <w:tmpl w:val="444EEC26"/>
    <w:lvl w:ilvl="0" w:tplc="6E4CED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478D2D73"/>
    <w:multiLevelType w:val="hybridMultilevel"/>
    <w:tmpl w:val="5DC6FE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9BA7F17"/>
    <w:multiLevelType w:val="hybridMultilevel"/>
    <w:tmpl w:val="EF346308"/>
    <w:lvl w:ilvl="0" w:tplc="E96C518A">
      <w:start w:val="1"/>
      <w:numFmt w:val="bullet"/>
      <w:lvlText w:val=""/>
      <w:lvlJc w:val="left"/>
      <w:pPr>
        <w:ind w:left="360" w:hanging="360"/>
      </w:pPr>
      <w:rPr>
        <w:rFonts w:ascii="Symbol" w:hAnsi="Symbol" w:hint="default"/>
        <w:color w:val="auto"/>
      </w:rPr>
    </w:lvl>
    <w:lvl w:ilvl="1" w:tplc="D56056B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BC81D8D"/>
    <w:multiLevelType w:val="hybridMultilevel"/>
    <w:tmpl w:val="0C7EB3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B42D75"/>
    <w:multiLevelType w:val="hybridMultilevel"/>
    <w:tmpl w:val="88E098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9E5D47"/>
    <w:multiLevelType w:val="hybridMultilevel"/>
    <w:tmpl w:val="88CC6562"/>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23"/>
  </w:num>
  <w:num w:numId="3">
    <w:abstractNumId w:val="27"/>
  </w:num>
  <w:num w:numId="4">
    <w:abstractNumId w:val="9"/>
  </w:num>
  <w:num w:numId="5">
    <w:abstractNumId w:val="30"/>
  </w:num>
  <w:num w:numId="6">
    <w:abstractNumId w:val="16"/>
  </w:num>
  <w:num w:numId="7">
    <w:abstractNumId w:val="29"/>
  </w:num>
  <w:num w:numId="8">
    <w:abstractNumId w:val="24"/>
  </w:num>
  <w:num w:numId="9">
    <w:abstractNumId w:val="7"/>
  </w:num>
  <w:num w:numId="10">
    <w:abstractNumId w:val="9"/>
    <w:lvlOverride w:ilvl="0">
      <w:startOverride w:val="1"/>
    </w:lvlOverride>
  </w:num>
  <w:num w:numId="11">
    <w:abstractNumId w:val="10"/>
  </w:num>
  <w:num w:numId="12">
    <w:abstractNumId w:val="21"/>
  </w:num>
  <w:num w:numId="13">
    <w:abstractNumId w:val="25"/>
  </w:num>
  <w:num w:numId="14">
    <w:abstractNumId w:val="5"/>
  </w:num>
  <w:num w:numId="15">
    <w:abstractNumId w:val="4"/>
  </w:num>
  <w:num w:numId="16">
    <w:abstractNumId w:val="3"/>
  </w:num>
  <w:num w:numId="17">
    <w:abstractNumId w:val="2"/>
  </w:num>
  <w:num w:numId="18">
    <w:abstractNumId w:val="6"/>
  </w:num>
  <w:num w:numId="19">
    <w:abstractNumId w:val="1"/>
  </w:num>
  <w:num w:numId="20">
    <w:abstractNumId w:val="0"/>
  </w:num>
  <w:num w:numId="21">
    <w:abstractNumId w:val="14"/>
  </w:num>
  <w:num w:numId="22">
    <w:abstractNumId w:val="13"/>
  </w:num>
  <w:num w:numId="23">
    <w:abstractNumId w:val="15"/>
  </w:num>
  <w:num w:numId="24">
    <w:abstractNumId w:val="28"/>
  </w:num>
  <w:num w:numId="25">
    <w:abstractNumId w:val="26"/>
  </w:num>
  <w:num w:numId="26">
    <w:abstractNumId w:val="22"/>
  </w:num>
  <w:num w:numId="27">
    <w:abstractNumId w:val="8"/>
  </w:num>
  <w:num w:numId="28">
    <w:abstractNumId w:val="11"/>
  </w:num>
  <w:num w:numId="29">
    <w:abstractNumId w:val="13"/>
  </w:num>
  <w:num w:numId="30">
    <w:abstractNumId w:val="20"/>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8"/>
  </w:num>
  <w:num w:numId="40">
    <w:abstractNumId w:val="12"/>
  </w:num>
  <w:num w:numId="41">
    <w:abstractNumId w:val="13"/>
  </w:num>
  <w:num w:numId="42">
    <w:abstractNumId w:val="13"/>
  </w:num>
  <w:num w:numId="43">
    <w:abstractNumId w:val="17"/>
  </w:num>
  <w:num w:numId="44">
    <w:abstractNumId w:val="13"/>
  </w:num>
  <w:num w:numId="45">
    <w:abstractNumId w:val="13"/>
  </w:num>
  <w:num w:numId="4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AD"/>
    <w:rsid w:val="00000EF3"/>
    <w:rsid w:val="00001AEB"/>
    <w:rsid w:val="00005DF4"/>
    <w:rsid w:val="00014FA7"/>
    <w:rsid w:val="00016153"/>
    <w:rsid w:val="000226F6"/>
    <w:rsid w:val="00024076"/>
    <w:rsid w:val="000257F5"/>
    <w:rsid w:val="00036425"/>
    <w:rsid w:val="00037B08"/>
    <w:rsid w:val="00040A6B"/>
    <w:rsid w:val="00043864"/>
    <w:rsid w:val="00047E05"/>
    <w:rsid w:val="00050E67"/>
    <w:rsid w:val="0005748F"/>
    <w:rsid w:val="00065562"/>
    <w:rsid w:val="0006567B"/>
    <w:rsid w:val="00065C80"/>
    <w:rsid w:val="0007364D"/>
    <w:rsid w:val="00083825"/>
    <w:rsid w:val="00083AE4"/>
    <w:rsid w:val="00087B63"/>
    <w:rsid w:val="00090151"/>
    <w:rsid w:val="00090857"/>
    <w:rsid w:val="00097BFB"/>
    <w:rsid w:val="000A0617"/>
    <w:rsid w:val="000A1D80"/>
    <w:rsid w:val="000A48CC"/>
    <w:rsid w:val="000B5CBE"/>
    <w:rsid w:val="000C1803"/>
    <w:rsid w:val="000C1E25"/>
    <w:rsid w:val="000D4E16"/>
    <w:rsid w:val="000D4E55"/>
    <w:rsid w:val="000D554E"/>
    <w:rsid w:val="000D6EEB"/>
    <w:rsid w:val="000E3CDD"/>
    <w:rsid w:val="000E5565"/>
    <w:rsid w:val="000F37DB"/>
    <w:rsid w:val="000F481B"/>
    <w:rsid w:val="001116D5"/>
    <w:rsid w:val="001126D5"/>
    <w:rsid w:val="00112D0D"/>
    <w:rsid w:val="00114BC9"/>
    <w:rsid w:val="0011595C"/>
    <w:rsid w:val="00115981"/>
    <w:rsid w:val="00120616"/>
    <w:rsid w:val="00120A09"/>
    <w:rsid w:val="00126A53"/>
    <w:rsid w:val="00131746"/>
    <w:rsid w:val="0013584F"/>
    <w:rsid w:val="00137E4E"/>
    <w:rsid w:val="00140104"/>
    <w:rsid w:val="001413D1"/>
    <w:rsid w:val="00141BC7"/>
    <w:rsid w:val="00145D31"/>
    <w:rsid w:val="00150F1E"/>
    <w:rsid w:val="001605E0"/>
    <w:rsid w:val="00163B19"/>
    <w:rsid w:val="00165C50"/>
    <w:rsid w:val="00174B9C"/>
    <w:rsid w:val="001756CF"/>
    <w:rsid w:val="00180032"/>
    <w:rsid w:val="00180A3D"/>
    <w:rsid w:val="00191200"/>
    <w:rsid w:val="001924DA"/>
    <w:rsid w:val="00192EFF"/>
    <w:rsid w:val="00193576"/>
    <w:rsid w:val="001938C1"/>
    <w:rsid w:val="00194911"/>
    <w:rsid w:val="001A1CF4"/>
    <w:rsid w:val="001A2193"/>
    <w:rsid w:val="001A25B0"/>
    <w:rsid w:val="001A5035"/>
    <w:rsid w:val="001A5E81"/>
    <w:rsid w:val="001A7988"/>
    <w:rsid w:val="001B1FC7"/>
    <w:rsid w:val="001B28D0"/>
    <w:rsid w:val="001B5ED5"/>
    <w:rsid w:val="001C055C"/>
    <w:rsid w:val="001C2711"/>
    <w:rsid w:val="001C7F43"/>
    <w:rsid w:val="001D0671"/>
    <w:rsid w:val="001D2B14"/>
    <w:rsid w:val="001D4F1D"/>
    <w:rsid w:val="001D7567"/>
    <w:rsid w:val="001E3E97"/>
    <w:rsid w:val="001E7A6D"/>
    <w:rsid w:val="001F4822"/>
    <w:rsid w:val="001F4D70"/>
    <w:rsid w:val="00202B11"/>
    <w:rsid w:val="002132D2"/>
    <w:rsid w:val="00216A08"/>
    <w:rsid w:val="00222079"/>
    <w:rsid w:val="00226905"/>
    <w:rsid w:val="00230CF6"/>
    <w:rsid w:val="00232D83"/>
    <w:rsid w:val="00233628"/>
    <w:rsid w:val="00234BC2"/>
    <w:rsid w:val="00237CB0"/>
    <w:rsid w:val="00241223"/>
    <w:rsid w:val="00247303"/>
    <w:rsid w:val="00255103"/>
    <w:rsid w:val="0026346F"/>
    <w:rsid w:val="00266F60"/>
    <w:rsid w:val="00276073"/>
    <w:rsid w:val="00281493"/>
    <w:rsid w:val="00282CCD"/>
    <w:rsid w:val="0028431B"/>
    <w:rsid w:val="0028722A"/>
    <w:rsid w:val="00296534"/>
    <w:rsid w:val="002A11EC"/>
    <w:rsid w:val="002A1B2F"/>
    <w:rsid w:val="002B493A"/>
    <w:rsid w:val="002D1F1F"/>
    <w:rsid w:val="002E1273"/>
    <w:rsid w:val="002E2328"/>
    <w:rsid w:val="002F30A5"/>
    <w:rsid w:val="002F3A3F"/>
    <w:rsid w:val="002F6452"/>
    <w:rsid w:val="003032C0"/>
    <w:rsid w:val="003070A7"/>
    <w:rsid w:val="00314402"/>
    <w:rsid w:val="00322156"/>
    <w:rsid w:val="00322561"/>
    <w:rsid w:val="00323BAD"/>
    <w:rsid w:val="00324B61"/>
    <w:rsid w:val="00327CD7"/>
    <w:rsid w:val="00327D24"/>
    <w:rsid w:val="00332B9D"/>
    <w:rsid w:val="00336C83"/>
    <w:rsid w:val="00336F71"/>
    <w:rsid w:val="00340969"/>
    <w:rsid w:val="003548DF"/>
    <w:rsid w:val="00354E84"/>
    <w:rsid w:val="00356E62"/>
    <w:rsid w:val="0035779A"/>
    <w:rsid w:val="00362FC4"/>
    <w:rsid w:val="00364405"/>
    <w:rsid w:val="003652C6"/>
    <w:rsid w:val="0036583E"/>
    <w:rsid w:val="00371F70"/>
    <w:rsid w:val="003729A2"/>
    <w:rsid w:val="003841BC"/>
    <w:rsid w:val="00386020"/>
    <w:rsid w:val="00387A8A"/>
    <w:rsid w:val="00387B80"/>
    <w:rsid w:val="0039545D"/>
    <w:rsid w:val="003A5543"/>
    <w:rsid w:val="003B2A28"/>
    <w:rsid w:val="003B3A2A"/>
    <w:rsid w:val="003B4F31"/>
    <w:rsid w:val="003B6E26"/>
    <w:rsid w:val="003B7AA9"/>
    <w:rsid w:val="003C3787"/>
    <w:rsid w:val="003E47E7"/>
    <w:rsid w:val="003E578C"/>
    <w:rsid w:val="003E6FA2"/>
    <w:rsid w:val="003F0297"/>
    <w:rsid w:val="003F16EF"/>
    <w:rsid w:val="003F654A"/>
    <w:rsid w:val="003F7AB5"/>
    <w:rsid w:val="003F7D1F"/>
    <w:rsid w:val="004064FD"/>
    <w:rsid w:val="004108A0"/>
    <w:rsid w:val="004111B6"/>
    <w:rsid w:val="00411213"/>
    <w:rsid w:val="00412C11"/>
    <w:rsid w:val="004227A6"/>
    <w:rsid w:val="00422813"/>
    <w:rsid w:val="00431380"/>
    <w:rsid w:val="00435A1E"/>
    <w:rsid w:val="00442685"/>
    <w:rsid w:val="00443547"/>
    <w:rsid w:val="004443B8"/>
    <w:rsid w:val="00446BA8"/>
    <w:rsid w:val="0044740F"/>
    <w:rsid w:val="00447726"/>
    <w:rsid w:val="00452663"/>
    <w:rsid w:val="00454838"/>
    <w:rsid w:val="00454FCA"/>
    <w:rsid w:val="004674D4"/>
    <w:rsid w:val="0047378A"/>
    <w:rsid w:val="004822D9"/>
    <w:rsid w:val="00482342"/>
    <w:rsid w:val="00482510"/>
    <w:rsid w:val="00484FCA"/>
    <w:rsid w:val="0048603C"/>
    <w:rsid w:val="004917C6"/>
    <w:rsid w:val="004922CC"/>
    <w:rsid w:val="0049404D"/>
    <w:rsid w:val="0049532D"/>
    <w:rsid w:val="004A23AD"/>
    <w:rsid w:val="004A6B54"/>
    <w:rsid w:val="004B76B6"/>
    <w:rsid w:val="004B7F12"/>
    <w:rsid w:val="004C40DB"/>
    <w:rsid w:val="004C5B82"/>
    <w:rsid w:val="004C7062"/>
    <w:rsid w:val="004D11ED"/>
    <w:rsid w:val="004E36A3"/>
    <w:rsid w:val="004E36CC"/>
    <w:rsid w:val="004E7E60"/>
    <w:rsid w:val="004F0CB7"/>
    <w:rsid w:val="004F532B"/>
    <w:rsid w:val="0050011C"/>
    <w:rsid w:val="00502260"/>
    <w:rsid w:val="00503FB4"/>
    <w:rsid w:val="005066AB"/>
    <w:rsid w:val="00511354"/>
    <w:rsid w:val="00512026"/>
    <w:rsid w:val="00512693"/>
    <w:rsid w:val="00512A32"/>
    <w:rsid w:val="005209AD"/>
    <w:rsid w:val="0052132E"/>
    <w:rsid w:val="00525E16"/>
    <w:rsid w:val="00532ECB"/>
    <w:rsid w:val="005402FD"/>
    <w:rsid w:val="00540752"/>
    <w:rsid w:val="00541549"/>
    <w:rsid w:val="005449D4"/>
    <w:rsid w:val="005449DB"/>
    <w:rsid w:val="00545282"/>
    <w:rsid w:val="00545392"/>
    <w:rsid w:val="0054643C"/>
    <w:rsid w:val="005476DF"/>
    <w:rsid w:val="0056240E"/>
    <w:rsid w:val="0056539B"/>
    <w:rsid w:val="00571BF5"/>
    <w:rsid w:val="00580886"/>
    <w:rsid w:val="0058206F"/>
    <w:rsid w:val="00582E35"/>
    <w:rsid w:val="00582EED"/>
    <w:rsid w:val="00585F16"/>
    <w:rsid w:val="00596855"/>
    <w:rsid w:val="00596EA2"/>
    <w:rsid w:val="00597B09"/>
    <w:rsid w:val="005A2446"/>
    <w:rsid w:val="005A2767"/>
    <w:rsid w:val="005A32AB"/>
    <w:rsid w:val="005A59CC"/>
    <w:rsid w:val="005B3616"/>
    <w:rsid w:val="005C0031"/>
    <w:rsid w:val="005C7DF8"/>
    <w:rsid w:val="005D13C7"/>
    <w:rsid w:val="005D619F"/>
    <w:rsid w:val="005D68D4"/>
    <w:rsid w:val="005D6BF8"/>
    <w:rsid w:val="005E17D8"/>
    <w:rsid w:val="005E2220"/>
    <w:rsid w:val="005E3B05"/>
    <w:rsid w:val="005E5688"/>
    <w:rsid w:val="005F3DD0"/>
    <w:rsid w:val="005F6D99"/>
    <w:rsid w:val="00602105"/>
    <w:rsid w:val="0060673B"/>
    <w:rsid w:val="006168AD"/>
    <w:rsid w:val="0061797B"/>
    <w:rsid w:val="006219FD"/>
    <w:rsid w:val="0063178F"/>
    <w:rsid w:val="00636470"/>
    <w:rsid w:val="00637381"/>
    <w:rsid w:val="00640D7B"/>
    <w:rsid w:val="00642BEF"/>
    <w:rsid w:val="0064485C"/>
    <w:rsid w:val="00650E03"/>
    <w:rsid w:val="00651D5F"/>
    <w:rsid w:val="0065228B"/>
    <w:rsid w:val="00653BA1"/>
    <w:rsid w:val="00653FD0"/>
    <w:rsid w:val="00654430"/>
    <w:rsid w:val="00655193"/>
    <w:rsid w:val="00661D90"/>
    <w:rsid w:val="006739D0"/>
    <w:rsid w:val="00676814"/>
    <w:rsid w:val="00680FA8"/>
    <w:rsid w:val="0068472F"/>
    <w:rsid w:val="00690D4B"/>
    <w:rsid w:val="00692810"/>
    <w:rsid w:val="00694ED5"/>
    <w:rsid w:val="00696FC5"/>
    <w:rsid w:val="006A3B1F"/>
    <w:rsid w:val="006A3FAD"/>
    <w:rsid w:val="006A610F"/>
    <w:rsid w:val="006A70CB"/>
    <w:rsid w:val="006A7CA2"/>
    <w:rsid w:val="006C36BF"/>
    <w:rsid w:val="006C39DC"/>
    <w:rsid w:val="006D31A3"/>
    <w:rsid w:val="006D3EFB"/>
    <w:rsid w:val="006D4C9E"/>
    <w:rsid w:val="006E3F89"/>
    <w:rsid w:val="006E6725"/>
    <w:rsid w:val="006E791D"/>
    <w:rsid w:val="006E7D0F"/>
    <w:rsid w:val="007017BE"/>
    <w:rsid w:val="00701DCA"/>
    <w:rsid w:val="007150D4"/>
    <w:rsid w:val="007376AF"/>
    <w:rsid w:val="00741CF6"/>
    <w:rsid w:val="007441FA"/>
    <w:rsid w:val="00750800"/>
    <w:rsid w:val="007510EF"/>
    <w:rsid w:val="00756398"/>
    <w:rsid w:val="00757799"/>
    <w:rsid w:val="0077313E"/>
    <w:rsid w:val="00777071"/>
    <w:rsid w:val="007808DB"/>
    <w:rsid w:val="007820FA"/>
    <w:rsid w:val="00790234"/>
    <w:rsid w:val="00792239"/>
    <w:rsid w:val="00792800"/>
    <w:rsid w:val="007B4CD8"/>
    <w:rsid w:val="007B52F4"/>
    <w:rsid w:val="007B78E0"/>
    <w:rsid w:val="007C1106"/>
    <w:rsid w:val="007C2DD9"/>
    <w:rsid w:val="007D5063"/>
    <w:rsid w:val="007D6CD3"/>
    <w:rsid w:val="007F15C6"/>
    <w:rsid w:val="007F4A32"/>
    <w:rsid w:val="008169C8"/>
    <w:rsid w:val="008171DD"/>
    <w:rsid w:val="00822E33"/>
    <w:rsid w:val="00823BF8"/>
    <w:rsid w:val="00824AD4"/>
    <w:rsid w:val="00831665"/>
    <w:rsid w:val="00836363"/>
    <w:rsid w:val="00837F8B"/>
    <w:rsid w:val="00842F0C"/>
    <w:rsid w:val="00844331"/>
    <w:rsid w:val="0084538F"/>
    <w:rsid w:val="00852E80"/>
    <w:rsid w:val="008536F7"/>
    <w:rsid w:val="008560BA"/>
    <w:rsid w:val="00856BC6"/>
    <w:rsid w:val="008609F9"/>
    <w:rsid w:val="0086339A"/>
    <w:rsid w:val="00866BEC"/>
    <w:rsid w:val="0087083B"/>
    <w:rsid w:val="00874155"/>
    <w:rsid w:val="00876DB2"/>
    <w:rsid w:val="00880771"/>
    <w:rsid w:val="008829DB"/>
    <w:rsid w:val="0088363E"/>
    <w:rsid w:val="00883E13"/>
    <w:rsid w:val="00884F2D"/>
    <w:rsid w:val="00885914"/>
    <w:rsid w:val="00893B5F"/>
    <w:rsid w:val="00894F8A"/>
    <w:rsid w:val="008A5DDA"/>
    <w:rsid w:val="008B040B"/>
    <w:rsid w:val="008B4700"/>
    <w:rsid w:val="008B768C"/>
    <w:rsid w:val="008B7CDF"/>
    <w:rsid w:val="008C133B"/>
    <w:rsid w:val="008C7533"/>
    <w:rsid w:val="008D0706"/>
    <w:rsid w:val="008D0FB6"/>
    <w:rsid w:val="008E4B83"/>
    <w:rsid w:val="008E57BF"/>
    <w:rsid w:val="008E6772"/>
    <w:rsid w:val="008F0B67"/>
    <w:rsid w:val="008F498A"/>
    <w:rsid w:val="008F49DB"/>
    <w:rsid w:val="00901EC8"/>
    <w:rsid w:val="00903A55"/>
    <w:rsid w:val="00906390"/>
    <w:rsid w:val="00926121"/>
    <w:rsid w:val="0092671E"/>
    <w:rsid w:val="00930C59"/>
    <w:rsid w:val="009420BD"/>
    <w:rsid w:val="0094238F"/>
    <w:rsid w:val="00942A97"/>
    <w:rsid w:val="0094739D"/>
    <w:rsid w:val="0095062D"/>
    <w:rsid w:val="00950FE8"/>
    <w:rsid w:val="00953274"/>
    <w:rsid w:val="00953DE4"/>
    <w:rsid w:val="00956EBF"/>
    <w:rsid w:val="00960F8F"/>
    <w:rsid w:val="00960FED"/>
    <w:rsid w:val="009631A0"/>
    <w:rsid w:val="00965DDA"/>
    <w:rsid w:val="009727B1"/>
    <w:rsid w:val="00974501"/>
    <w:rsid w:val="00976083"/>
    <w:rsid w:val="00976626"/>
    <w:rsid w:val="00976B01"/>
    <w:rsid w:val="00977632"/>
    <w:rsid w:val="0097796B"/>
    <w:rsid w:val="009858D9"/>
    <w:rsid w:val="00993006"/>
    <w:rsid w:val="009A382A"/>
    <w:rsid w:val="009A615B"/>
    <w:rsid w:val="009B0650"/>
    <w:rsid w:val="009B5AF2"/>
    <w:rsid w:val="009C5617"/>
    <w:rsid w:val="009C6219"/>
    <w:rsid w:val="009C7BDC"/>
    <w:rsid w:val="009D12FB"/>
    <w:rsid w:val="009D2A2B"/>
    <w:rsid w:val="009D5054"/>
    <w:rsid w:val="009D684D"/>
    <w:rsid w:val="009D6FA5"/>
    <w:rsid w:val="009F0728"/>
    <w:rsid w:val="009F1956"/>
    <w:rsid w:val="009F3DB0"/>
    <w:rsid w:val="009F70E4"/>
    <w:rsid w:val="009F7366"/>
    <w:rsid w:val="009F7DD9"/>
    <w:rsid w:val="00A116AB"/>
    <w:rsid w:val="00A13540"/>
    <w:rsid w:val="00A1460F"/>
    <w:rsid w:val="00A150B0"/>
    <w:rsid w:val="00A1770B"/>
    <w:rsid w:val="00A2461D"/>
    <w:rsid w:val="00A274E3"/>
    <w:rsid w:val="00A2766A"/>
    <w:rsid w:val="00A276E1"/>
    <w:rsid w:val="00A27A6F"/>
    <w:rsid w:val="00A32219"/>
    <w:rsid w:val="00A336C4"/>
    <w:rsid w:val="00A357FD"/>
    <w:rsid w:val="00A405E0"/>
    <w:rsid w:val="00A40826"/>
    <w:rsid w:val="00A4107A"/>
    <w:rsid w:val="00A46E50"/>
    <w:rsid w:val="00A50EE8"/>
    <w:rsid w:val="00A5542B"/>
    <w:rsid w:val="00A612C5"/>
    <w:rsid w:val="00A617FD"/>
    <w:rsid w:val="00A6300F"/>
    <w:rsid w:val="00A67EC3"/>
    <w:rsid w:val="00A8085C"/>
    <w:rsid w:val="00A860B6"/>
    <w:rsid w:val="00A9086C"/>
    <w:rsid w:val="00A93B97"/>
    <w:rsid w:val="00AA242E"/>
    <w:rsid w:val="00AA7291"/>
    <w:rsid w:val="00AB07FA"/>
    <w:rsid w:val="00AB346D"/>
    <w:rsid w:val="00AB6D38"/>
    <w:rsid w:val="00AB77D4"/>
    <w:rsid w:val="00AC1148"/>
    <w:rsid w:val="00AC18B6"/>
    <w:rsid w:val="00AC52F3"/>
    <w:rsid w:val="00AD644A"/>
    <w:rsid w:val="00AD7BB7"/>
    <w:rsid w:val="00AF24E8"/>
    <w:rsid w:val="00AF50C4"/>
    <w:rsid w:val="00B00A82"/>
    <w:rsid w:val="00B01C6E"/>
    <w:rsid w:val="00B05F53"/>
    <w:rsid w:val="00B07304"/>
    <w:rsid w:val="00B11E3C"/>
    <w:rsid w:val="00B276B5"/>
    <w:rsid w:val="00B357C9"/>
    <w:rsid w:val="00B35DBC"/>
    <w:rsid w:val="00B36E8C"/>
    <w:rsid w:val="00B41102"/>
    <w:rsid w:val="00B4401E"/>
    <w:rsid w:val="00B442DA"/>
    <w:rsid w:val="00B50F71"/>
    <w:rsid w:val="00B56A81"/>
    <w:rsid w:val="00B648ED"/>
    <w:rsid w:val="00B8227E"/>
    <w:rsid w:val="00B82BAF"/>
    <w:rsid w:val="00B87640"/>
    <w:rsid w:val="00B90F14"/>
    <w:rsid w:val="00B94528"/>
    <w:rsid w:val="00BA3FF4"/>
    <w:rsid w:val="00BA5CA2"/>
    <w:rsid w:val="00BC0EDD"/>
    <w:rsid w:val="00BC13E9"/>
    <w:rsid w:val="00BC6E02"/>
    <w:rsid w:val="00BD1F97"/>
    <w:rsid w:val="00BD3DA2"/>
    <w:rsid w:val="00BD4C00"/>
    <w:rsid w:val="00BD6D8B"/>
    <w:rsid w:val="00BD7B53"/>
    <w:rsid w:val="00BE191E"/>
    <w:rsid w:val="00BE6AE1"/>
    <w:rsid w:val="00BF07FA"/>
    <w:rsid w:val="00BF5536"/>
    <w:rsid w:val="00C0589F"/>
    <w:rsid w:val="00C06CAC"/>
    <w:rsid w:val="00C1202C"/>
    <w:rsid w:val="00C1660F"/>
    <w:rsid w:val="00C16B54"/>
    <w:rsid w:val="00C21816"/>
    <w:rsid w:val="00C271E9"/>
    <w:rsid w:val="00C27C93"/>
    <w:rsid w:val="00C36807"/>
    <w:rsid w:val="00C373C2"/>
    <w:rsid w:val="00C40B0E"/>
    <w:rsid w:val="00C4197B"/>
    <w:rsid w:val="00C4228C"/>
    <w:rsid w:val="00C42359"/>
    <w:rsid w:val="00C45844"/>
    <w:rsid w:val="00C55EEA"/>
    <w:rsid w:val="00C648A3"/>
    <w:rsid w:val="00C64C38"/>
    <w:rsid w:val="00C67685"/>
    <w:rsid w:val="00C71461"/>
    <w:rsid w:val="00C83AC9"/>
    <w:rsid w:val="00C83CD2"/>
    <w:rsid w:val="00C86FBB"/>
    <w:rsid w:val="00C9352A"/>
    <w:rsid w:val="00CA1100"/>
    <w:rsid w:val="00CA39B3"/>
    <w:rsid w:val="00CB71D8"/>
    <w:rsid w:val="00CD36DA"/>
    <w:rsid w:val="00CD71D5"/>
    <w:rsid w:val="00CD793A"/>
    <w:rsid w:val="00CE0A5B"/>
    <w:rsid w:val="00CF42B8"/>
    <w:rsid w:val="00CF715E"/>
    <w:rsid w:val="00D047BB"/>
    <w:rsid w:val="00D07E13"/>
    <w:rsid w:val="00D12CA8"/>
    <w:rsid w:val="00D12EB0"/>
    <w:rsid w:val="00D13DF3"/>
    <w:rsid w:val="00D30664"/>
    <w:rsid w:val="00D3088E"/>
    <w:rsid w:val="00D323AD"/>
    <w:rsid w:val="00D32E10"/>
    <w:rsid w:val="00D41F1D"/>
    <w:rsid w:val="00D427D7"/>
    <w:rsid w:val="00D5131B"/>
    <w:rsid w:val="00D539EF"/>
    <w:rsid w:val="00D54B2D"/>
    <w:rsid w:val="00D55A55"/>
    <w:rsid w:val="00D55ACE"/>
    <w:rsid w:val="00D56B13"/>
    <w:rsid w:val="00D61D4C"/>
    <w:rsid w:val="00D62B22"/>
    <w:rsid w:val="00D64C89"/>
    <w:rsid w:val="00D66800"/>
    <w:rsid w:val="00D713C4"/>
    <w:rsid w:val="00D759CF"/>
    <w:rsid w:val="00D77B06"/>
    <w:rsid w:val="00D81A29"/>
    <w:rsid w:val="00D8214C"/>
    <w:rsid w:val="00D85937"/>
    <w:rsid w:val="00DA025B"/>
    <w:rsid w:val="00DA100A"/>
    <w:rsid w:val="00DA2CC0"/>
    <w:rsid w:val="00DA54A9"/>
    <w:rsid w:val="00DB5210"/>
    <w:rsid w:val="00DD0B82"/>
    <w:rsid w:val="00DD0CCB"/>
    <w:rsid w:val="00DD4535"/>
    <w:rsid w:val="00DD7F7A"/>
    <w:rsid w:val="00DE07DB"/>
    <w:rsid w:val="00DE3FED"/>
    <w:rsid w:val="00DE563C"/>
    <w:rsid w:val="00DF0345"/>
    <w:rsid w:val="00DF16DB"/>
    <w:rsid w:val="00DF2026"/>
    <w:rsid w:val="00DF30A7"/>
    <w:rsid w:val="00DF310D"/>
    <w:rsid w:val="00DF54EB"/>
    <w:rsid w:val="00E01386"/>
    <w:rsid w:val="00E0227D"/>
    <w:rsid w:val="00E0712C"/>
    <w:rsid w:val="00E11254"/>
    <w:rsid w:val="00E159CB"/>
    <w:rsid w:val="00E17597"/>
    <w:rsid w:val="00E2189C"/>
    <w:rsid w:val="00E24393"/>
    <w:rsid w:val="00E25154"/>
    <w:rsid w:val="00E26710"/>
    <w:rsid w:val="00E301E3"/>
    <w:rsid w:val="00E331D8"/>
    <w:rsid w:val="00E339EC"/>
    <w:rsid w:val="00E37ECF"/>
    <w:rsid w:val="00E4349A"/>
    <w:rsid w:val="00E445FE"/>
    <w:rsid w:val="00E55601"/>
    <w:rsid w:val="00E5600D"/>
    <w:rsid w:val="00E5725B"/>
    <w:rsid w:val="00E57593"/>
    <w:rsid w:val="00E57AAC"/>
    <w:rsid w:val="00E64B0B"/>
    <w:rsid w:val="00E655E3"/>
    <w:rsid w:val="00E65AF2"/>
    <w:rsid w:val="00E71255"/>
    <w:rsid w:val="00E766AF"/>
    <w:rsid w:val="00E772DE"/>
    <w:rsid w:val="00E819B0"/>
    <w:rsid w:val="00E842EC"/>
    <w:rsid w:val="00E866D8"/>
    <w:rsid w:val="00E8735D"/>
    <w:rsid w:val="00E93B83"/>
    <w:rsid w:val="00E94FEE"/>
    <w:rsid w:val="00EA7DC6"/>
    <w:rsid w:val="00EB1C3B"/>
    <w:rsid w:val="00EC44C2"/>
    <w:rsid w:val="00EC7B44"/>
    <w:rsid w:val="00EC7DB8"/>
    <w:rsid w:val="00EC7DF1"/>
    <w:rsid w:val="00ED3D4B"/>
    <w:rsid w:val="00ED70D9"/>
    <w:rsid w:val="00EE3AF1"/>
    <w:rsid w:val="00EE5DC1"/>
    <w:rsid w:val="00EE6B1E"/>
    <w:rsid w:val="00EF039B"/>
    <w:rsid w:val="00EF4E39"/>
    <w:rsid w:val="00F00D8F"/>
    <w:rsid w:val="00F01DDE"/>
    <w:rsid w:val="00F056E7"/>
    <w:rsid w:val="00F07179"/>
    <w:rsid w:val="00F131E5"/>
    <w:rsid w:val="00F1389A"/>
    <w:rsid w:val="00F168A8"/>
    <w:rsid w:val="00F17056"/>
    <w:rsid w:val="00F30FED"/>
    <w:rsid w:val="00F3321A"/>
    <w:rsid w:val="00F555C3"/>
    <w:rsid w:val="00F56306"/>
    <w:rsid w:val="00F571E7"/>
    <w:rsid w:val="00F62190"/>
    <w:rsid w:val="00F6302B"/>
    <w:rsid w:val="00F63884"/>
    <w:rsid w:val="00F641C1"/>
    <w:rsid w:val="00F75EA2"/>
    <w:rsid w:val="00F77C5B"/>
    <w:rsid w:val="00F808BD"/>
    <w:rsid w:val="00F821AD"/>
    <w:rsid w:val="00F82B90"/>
    <w:rsid w:val="00F82D31"/>
    <w:rsid w:val="00F837C7"/>
    <w:rsid w:val="00F92F8D"/>
    <w:rsid w:val="00F95D0C"/>
    <w:rsid w:val="00FA5D4E"/>
    <w:rsid w:val="00FB0A5A"/>
    <w:rsid w:val="00FB26AB"/>
    <w:rsid w:val="00FB2858"/>
    <w:rsid w:val="00FB3189"/>
    <w:rsid w:val="00FC058E"/>
    <w:rsid w:val="00FC1413"/>
    <w:rsid w:val="00FC5AD4"/>
    <w:rsid w:val="00FC6D44"/>
    <w:rsid w:val="00FD4DDA"/>
    <w:rsid w:val="00FD72BF"/>
    <w:rsid w:val="00FD7EEA"/>
    <w:rsid w:val="00FE0BC2"/>
    <w:rsid w:val="00FE2A19"/>
    <w:rsid w:val="00FE77CE"/>
    <w:rsid w:val="00FE7D98"/>
    <w:rsid w:val="00FF30C3"/>
    <w:rsid w:val="00FF461C"/>
    <w:rsid w:val="00FF670C"/>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95E356"/>
  <w15:chartTrackingRefBased/>
  <w15:docId w15:val="{D37B15A8-27CB-4571-B5EF-097B47E9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2DA"/>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5E17D8"/>
    <w:pPr>
      <w:keepNext/>
      <w:spacing w:before="240" w:after="60"/>
      <w:outlineLvl w:val="0"/>
    </w:pPr>
    <w:rPr>
      <w:rFonts w:cs="Arial"/>
      <w:bCs/>
      <w:color w:val="3F4A75"/>
      <w:kern w:val="28"/>
      <w:sz w:val="36"/>
      <w:szCs w:val="36"/>
    </w:rPr>
  </w:style>
  <w:style w:type="paragraph" w:styleId="Heading2">
    <w:name w:val="heading 2"/>
    <w:next w:val="Paragraphtext"/>
    <w:link w:val="Heading2Char"/>
    <w:qFormat/>
    <w:rsid w:val="004227A6"/>
    <w:pPr>
      <w:keepNext/>
      <w:spacing w:before="360" w:after="60" w:line="240" w:lineRule="auto"/>
      <w:outlineLvl w:val="1"/>
    </w:pPr>
    <w:rPr>
      <w:rFonts w:ascii="Arial" w:eastAsia="Times New Roman" w:hAnsi="Arial" w:cs="Arial"/>
      <w:b/>
      <w:bCs/>
      <w:iCs/>
      <w:color w:val="358189"/>
      <w:sz w:val="32"/>
      <w:szCs w:val="28"/>
    </w:rPr>
  </w:style>
  <w:style w:type="paragraph" w:styleId="Heading3">
    <w:name w:val="heading 3"/>
    <w:next w:val="Normal"/>
    <w:link w:val="Heading3Char"/>
    <w:qFormat/>
    <w:rsid w:val="005E17D8"/>
    <w:pPr>
      <w:keepNext/>
      <w:spacing w:before="180" w:after="60" w:line="240" w:lineRule="auto"/>
      <w:outlineLvl w:val="2"/>
    </w:pPr>
    <w:rPr>
      <w:rFonts w:ascii="Arial" w:eastAsia="Times New Roman" w:hAnsi="Arial" w:cs="Arial"/>
      <w:bCs/>
      <w:color w:val="358189"/>
      <w:sz w:val="28"/>
      <w:szCs w:val="26"/>
    </w:rPr>
  </w:style>
  <w:style w:type="paragraph" w:styleId="Heading4">
    <w:name w:val="heading 4"/>
    <w:basedOn w:val="Normal"/>
    <w:next w:val="Normal"/>
    <w:link w:val="Heading4Char"/>
    <w:qFormat/>
    <w:rsid w:val="005E17D8"/>
    <w:pPr>
      <w:keepNext/>
      <w:spacing w:before="240" w:after="60"/>
      <w:outlineLvl w:val="3"/>
    </w:pPr>
    <w:rPr>
      <w:b/>
      <w:bCs/>
      <w:i/>
      <w:color w:val="414141"/>
      <w:sz w:val="24"/>
      <w:szCs w:val="28"/>
    </w:rPr>
  </w:style>
  <w:style w:type="paragraph" w:styleId="Heading5">
    <w:name w:val="heading 5"/>
    <w:basedOn w:val="Normal"/>
    <w:next w:val="Normal"/>
    <w:link w:val="Heading5Char"/>
    <w:rsid w:val="005E17D8"/>
    <w:pPr>
      <w:keepNext/>
      <w:spacing w:before="240" w:after="60"/>
      <w:outlineLvl w:val="4"/>
    </w:pPr>
    <w:rPr>
      <w:b/>
      <w:bCs/>
      <w:iCs/>
      <w:szCs w:val="26"/>
    </w:rPr>
  </w:style>
  <w:style w:type="paragraph" w:styleId="Heading6">
    <w:name w:val="heading 6"/>
    <w:basedOn w:val="Normal"/>
    <w:next w:val="Normal"/>
    <w:link w:val="Heading6Char"/>
    <w:rsid w:val="004227A6"/>
    <w:pPr>
      <w:keepNext/>
      <w:spacing w:before="240" w:after="60" w:line="259" w:lineRule="auto"/>
      <w:outlineLvl w:val="5"/>
    </w:pPr>
    <w:rPr>
      <w:rFonts w:asciiTheme="minorHAnsi" w:eastAsiaTheme="minorHAnsi" w:hAnsiTheme="minorHAnsi" w:cstheme="minorBidi"/>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0886"/>
    <w:rPr>
      <w:rFonts w:ascii="Arial" w:eastAsia="Times New Roman" w:hAnsi="Arial" w:cs="Arial"/>
      <w:b/>
      <w:bCs/>
      <w:iCs/>
      <w:color w:val="358189"/>
      <w:sz w:val="32"/>
      <w:szCs w:val="28"/>
    </w:rPr>
  </w:style>
  <w:style w:type="character" w:customStyle="1" w:styleId="Heading3Char">
    <w:name w:val="Heading 3 Char"/>
    <w:basedOn w:val="DefaultParagraphFont"/>
    <w:link w:val="Heading3"/>
    <w:rsid w:val="00866BEC"/>
    <w:rPr>
      <w:rFonts w:ascii="Arial" w:eastAsia="Times New Roman" w:hAnsi="Arial" w:cs="Arial"/>
      <w:bCs/>
      <w:color w:val="358189"/>
      <w:sz w:val="28"/>
      <w:szCs w:val="26"/>
    </w:rPr>
  </w:style>
  <w:style w:type="paragraph" w:customStyle="1" w:styleId="Paragraphtext">
    <w:name w:val="Paragraph text"/>
    <w:basedOn w:val="Normal"/>
    <w:qFormat/>
    <w:rsid w:val="00191200"/>
    <w:pPr>
      <w:spacing w:before="120" w:after="60" w:line="276" w:lineRule="auto"/>
    </w:pPr>
    <w:rPr>
      <w:rFonts w:eastAsiaTheme="minorHAnsi" w:cstheme="minorBidi"/>
      <w:color w:val="000000" w:themeColor="text1"/>
      <w:sz w:val="21"/>
      <w:szCs w:val="22"/>
    </w:rPr>
  </w:style>
  <w:style w:type="paragraph" w:styleId="Subtitle">
    <w:name w:val="Subtitle"/>
    <w:next w:val="Normal"/>
    <w:link w:val="SubtitleChar"/>
    <w:qFormat/>
    <w:rsid w:val="005E17D8"/>
    <w:pPr>
      <w:numPr>
        <w:ilvl w:val="1"/>
      </w:numPr>
      <w:spacing w:before="120" w:after="60" w:line="240" w:lineRule="auto"/>
    </w:pPr>
    <w:rPr>
      <w:rFonts w:ascii="Arial" w:eastAsiaTheme="majorEastAsia" w:hAnsi="Arial" w:cstheme="majorBidi"/>
      <w:iCs/>
      <w:color w:val="3F4A75"/>
      <w:spacing w:val="15"/>
      <w:sz w:val="40"/>
      <w:szCs w:val="24"/>
    </w:rPr>
  </w:style>
  <w:style w:type="character" w:customStyle="1" w:styleId="SubtitleChar">
    <w:name w:val="Subtitle Char"/>
    <w:basedOn w:val="DefaultParagraphFont"/>
    <w:link w:val="Subtitle"/>
    <w:rsid w:val="005E17D8"/>
    <w:rPr>
      <w:rFonts w:ascii="Arial" w:eastAsiaTheme="majorEastAsia" w:hAnsi="Arial" w:cstheme="majorBidi"/>
      <w:iCs/>
      <w:color w:val="3F4A75"/>
      <w:spacing w:val="15"/>
      <w:sz w:val="40"/>
      <w:szCs w:val="24"/>
    </w:rPr>
  </w:style>
  <w:style w:type="paragraph" w:styleId="Title">
    <w:name w:val="Title"/>
    <w:basedOn w:val="Normal"/>
    <w:next w:val="Paragraphtext"/>
    <w:link w:val="TitleChar"/>
    <w:qFormat/>
    <w:rsid w:val="005E17D8"/>
    <w:pPr>
      <w:spacing w:before="2160" w:after="120"/>
      <w:contextualSpacing/>
    </w:pPr>
    <w:rPr>
      <w:rFonts w:eastAsiaTheme="majorEastAsia" w:cstheme="majorBidi"/>
      <w:b/>
      <w:color w:val="3F4A75"/>
      <w:kern w:val="28"/>
      <w:sz w:val="48"/>
      <w:szCs w:val="52"/>
    </w:rPr>
  </w:style>
  <w:style w:type="character" w:customStyle="1" w:styleId="TitleChar">
    <w:name w:val="Title Char"/>
    <w:basedOn w:val="DefaultParagraphFont"/>
    <w:link w:val="Title"/>
    <w:rsid w:val="005E17D8"/>
    <w:rPr>
      <w:rFonts w:ascii="Arial" w:eastAsiaTheme="majorEastAsia" w:hAnsi="Arial" w:cstheme="majorBidi"/>
      <w:b/>
      <w:color w:val="3F4A75"/>
      <w:kern w:val="28"/>
      <w:sz w:val="48"/>
      <w:szCs w:val="52"/>
    </w:rPr>
  </w:style>
  <w:style w:type="paragraph" w:styleId="ListBullet">
    <w:name w:val="List Bullet"/>
    <w:basedOn w:val="Normal"/>
    <w:qFormat/>
    <w:rsid w:val="00B07304"/>
    <w:pPr>
      <w:numPr>
        <w:numId w:val="1"/>
      </w:numPr>
      <w:spacing w:before="60" w:after="60" w:line="276" w:lineRule="auto"/>
    </w:pPr>
    <w:rPr>
      <w:rFonts w:eastAsiaTheme="minorHAnsi" w:cstheme="minorBidi"/>
      <w:bCs/>
      <w:color w:val="000000" w:themeColor="text1"/>
      <w:sz w:val="21"/>
      <w:szCs w:val="22"/>
    </w:rPr>
  </w:style>
  <w:style w:type="paragraph" w:styleId="Header">
    <w:name w:val="header"/>
    <w:basedOn w:val="Normal"/>
    <w:link w:val="HeaderChar"/>
    <w:qFormat/>
    <w:rsid w:val="005E17D8"/>
    <w:pPr>
      <w:tabs>
        <w:tab w:val="center" w:pos="4513"/>
        <w:tab w:val="right" w:pos="9026"/>
      </w:tabs>
    </w:pPr>
  </w:style>
  <w:style w:type="character" w:customStyle="1" w:styleId="HeaderChar">
    <w:name w:val="Header Char"/>
    <w:basedOn w:val="DefaultParagraphFont"/>
    <w:link w:val="Header"/>
    <w:rsid w:val="005E17D8"/>
    <w:rPr>
      <w:rFonts w:ascii="Arial" w:eastAsia="Times New Roman" w:hAnsi="Arial" w:cs="Times New Roman"/>
      <w:szCs w:val="24"/>
    </w:rPr>
  </w:style>
  <w:style w:type="character" w:styleId="Hyperlink">
    <w:name w:val="Hyperlink"/>
    <w:basedOn w:val="DefaultParagraphFont"/>
    <w:uiPriority w:val="99"/>
    <w:qFormat/>
    <w:rsid w:val="005E17D8"/>
    <w:rPr>
      <w:color w:val="0563C1" w:themeColor="hyperlink"/>
      <w:u w:val="single"/>
    </w:rPr>
  </w:style>
  <w:style w:type="paragraph" w:styleId="FootnoteText">
    <w:name w:val="footnote text"/>
    <w:basedOn w:val="Normal"/>
    <w:link w:val="FootnoteTextChar"/>
    <w:rsid w:val="005E17D8"/>
    <w:rPr>
      <w:sz w:val="20"/>
      <w:szCs w:val="20"/>
    </w:rPr>
  </w:style>
  <w:style w:type="character" w:customStyle="1" w:styleId="FootnoteTextChar">
    <w:name w:val="Footnote Text Char"/>
    <w:basedOn w:val="DefaultParagraphFont"/>
    <w:link w:val="FootnoteText"/>
    <w:rsid w:val="005E17D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168AD"/>
    <w:rPr>
      <w:vertAlign w:val="superscript"/>
    </w:rPr>
  </w:style>
  <w:style w:type="character" w:styleId="UnresolvedMention">
    <w:name w:val="Unresolved Mention"/>
    <w:basedOn w:val="DefaultParagraphFont"/>
    <w:uiPriority w:val="99"/>
    <w:semiHidden/>
    <w:unhideWhenUsed/>
    <w:rsid w:val="006168AD"/>
    <w:rPr>
      <w:color w:val="605E5C"/>
      <w:shd w:val="clear" w:color="auto" w:fill="E1DFDD"/>
    </w:rPr>
  </w:style>
  <w:style w:type="paragraph" w:styleId="ListParagraph">
    <w:name w:val="List Paragraph"/>
    <w:basedOn w:val="Normal"/>
    <w:uiPriority w:val="34"/>
    <w:rsid w:val="005E17D8"/>
    <w:pPr>
      <w:ind w:left="720"/>
      <w:contextualSpacing/>
    </w:pPr>
  </w:style>
  <w:style w:type="table" w:styleId="TableGrid">
    <w:name w:val="Table Grid"/>
    <w:basedOn w:val="TableNormal"/>
    <w:rsid w:val="005E17D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17D8"/>
    <w:pPr>
      <w:spacing w:before="100" w:beforeAutospacing="1" w:after="100" w:afterAutospacing="1"/>
    </w:pPr>
    <w:rPr>
      <w:rFonts w:ascii="Times New Roman" w:hAnsi="Times New Roman"/>
      <w:sz w:val="24"/>
      <w:lang w:eastAsia="en-AU"/>
    </w:rPr>
  </w:style>
  <w:style w:type="paragraph" w:styleId="BalloonText">
    <w:name w:val="Balloon Text"/>
    <w:basedOn w:val="Normal"/>
    <w:link w:val="BalloonTextChar"/>
    <w:rsid w:val="005E17D8"/>
    <w:rPr>
      <w:rFonts w:ascii="Tahoma" w:hAnsi="Tahoma" w:cs="Tahoma"/>
      <w:sz w:val="16"/>
      <w:szCs w:val="16"/>
    </w:rPr>
  </w:style>
  <w:style w:type="character" w:customStyle="1" w:styleId="BalloonTextChar">
    <w:name w:val="Balloon Text Char"/>
    <w:basedOn w:val="DefaultParagraphFont"/>
    <w:link w:val="BalloonText"/>
    <w:rsid w:val="005E17D8"/>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A32219"/>
    <w:rPr>
      <w:sz w:val="20"/>
      <w:szCs w:val="20"/>
    </w:rPr>
  </w:style>
  <w:style w:type="character" w:customStyle="1" w:styleId="CommentTextChar">
    <w:name w:val="Comment Text Char"/>
    <w:basedOn w:val="DefaultParagraphFont"/>
    <w:link w:val="CommentText"/>
    <w:uiPriority w:val="99"/>
    <w:semiHidden/>
    <w:rsid w:val="00A32219"/>
    <w:rPr>
      <w:sz w:val="20"/>
      <w:szCs w:val="20"/>
    </w:rPr>
  </w:style>
  <w:style w:type="character" w:styleId="CommentReference">
    <w:name w:val="annotation reference"/>
    <w:basedOn w:val="DefaultParagraphFont"/>
    <w:uiPriority w:val="99"/>
    <w:semiHidden/>
    <w:unhideWhenUsed/>
    <w:rsid w:val="00A32219"/>
    <w:rPr>
      <w:sz w:val="16"/>
      <w:szCs w:val="16"/>
    </w:rPr>
  </w:style>
  <w:style w:type="character" w:customStyle="1" w:styleId="Heading1Char">
    <w:name w:val="Heading 1 Char"/>
    <w:basedOn w:val="DefaultParagraphFont"/>
    <w:link w:val="Heading1"/>
    <w:rsid w:val="00866BEC"/>
    <w:rPr>
      <w:rFonts w:ascii="Arial" w:eastAsia="Times New Roman" w:hAnsi="Arial" w:cs="Arial"/>
      <w:bCs/>
      <w:color w:val="3F4A75"/>
      <w:kern w:val="28"/>
      <w:sz w:val="36"/>
      <w:szCs w:val="36"/>
    </w:rPr>
  </w:style>
  <w:style w:type="paragraph" w:styleId="CommentSubject">
    <w:name w:val="annotation subject"/>
    <w:basedOn w:val="CommentText"/>
    <w:next w:val="CommentText"/>
    <w:link w:val="CommentSubjectChar"/>
    <w:uiPriority w:val="99"/>
    <w:semiHidden/>
    <w:unhideWhenUsed/>
    <w:rsid w:val="00036425"/>
    <w:rPr>
      <w:b/>
      <w:bCs/>
    </w:rPr>
  </w:style>
  <w:style w:type="character" w:customStyle="1" w:styleId="CommentSubjectChar">
    <w:name w:val="Comment Subject Char"/>
    <w:basedOn w:val="CommentTextChar"/>
    <w:link w:val="CommentSubject"/>
    <w:uiPriority w:val="99"/>
    <w:semiHidden/>
    <w:rsid w:val="00036425"/>
    <w:rPr>
      <w:b/>
      <w:bCs/>
      <w:sz w:val="20"/>
      <w:szCs w:val="20"/>
    </w:rPr>
  </w:style>
  <w:style w:type="paragraph" w:styleId="Footer">
    <w:name w:val="footer"/>
    <w:basedOn w:val="Normal"/>
    <w:link w:val="FooterChar"/>
    <w:uiPriority w:val="99"/>
    <w:qFormat/>
    <w:rsid w:val="005E17D8"/>
    <w:pPr>
      <w:tabs>
        <w:tab w:val="center" w:pos="4513"/>
        <w:tab w:val="right" w:pos="9026"/>
      </w:tabs>
    </w:pPr>
    <w:rPr>
      <w:sz w:val="20"/>
    </w:rPr>
  </w:style>
  <w:style w:type="character" w:customStyle="1" w:styleId="FooterChar">
    <w:name w:val="Footer Char"/>
    <w:basedOn w:val="DefaultParagraphFont"/>
    <w:link w:val="Footer"/>
    <w:uiPriority w:val="99"/>
    <w:rsid w:val="005E17D8"/>
    <w:rPr>
      <w:rFonts w:ascii="Arial" w:eastAsia="Times New Roman" w:hAnsi="Arial" w:cs="Times New Roman"/>
      <w:sz w:val="20"/>
      <w:szCs w:val="24"/>
    </w:rPr>
  </w:style>
  <w:style w:type="character" w:customStyle="1" w:styleId="Heading4Char">
    <w:name w:val="Heading 4 Char"/>
    <w:basedOn w:val="DefaultParagraphFont"/>
    <w:link w:val="Heading4"/>
    <w:rsid w:val="002E2328"/>
    <w:rPr>
      <w:rFonts w:ascii="Arial" w:eastAsia="Times New Roman" w:hAnsi="Arial" w:cs="Times New Roman"/>
      <w:b/>
      <w:bCs/>
      <w:i/>
      <w:color w:val="414141"/>
      <w:sz w:val="24"/>
      <w:szCs w:val="28"/>
    </w:rPr>
  </w:style>
  <w:style w:type="paragraph" w:customStyle="1" w:styleId="Default">
    <w:name w:val="Default"/>
    <w:rsid w:val="00866BE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420BD"/>
    <w:rPr>
      <w:color w:val="954F72" w:themeColor="followedHyperlink"/>
      <w:u w:val="single"/>
    </w:rPr>
  </w:style>
  <w:style w:type="character" w:customStyle="1" w:styleId="Heading5Char">
    <w:name w:val="Heading 5 Char"/>
    <w:basedOn w:val="DefaultParagraphFont"/>
    <w:link w:val="Heading5"/>
    <w:rsid w:val="00281493"/>
    <w:rPr>
      <w:rFonts w:ascii="Arial" w:eastAsia="Times New Roman" w:hAnsi="Arial" w:cs="Times New Roman"/>
      <w:b/>
      <w:bCs/>
      <w:iCs/>
      <w:szCs w:val="26"/>
    </w:rPr>
  </w:style>
  <w:style w:type="character" w:customStyle="1" w:styleId="Heading6Char">
    <w:name w:val="Heading 6 Char"/>
    <w:basedOn w:val="DefaultParagraphFont"/>
    <w:link w:val="Heading6"/>
    <w:rsid w:val="00281493"/>
    <w:rPr>
      <w:b/>
      <w:bCs/>
      <w:i/>
    </w:rPr>
  </w:style>
  <w:style w:type="character" w:styleId="Emphasis">
    <w:name w:val="Emphasis"/>
    <w:basedOn w:val="DefaultParagraphFont"/>
    <w:rsid w:val="005E17D8"/>
    <w:rPr>
      <w:i/>
      <w:iCs/>
    </w:rPr>
  </w:style>
  <w:style w:type="character" w:styleId="Strong">
    <w:name w:val="Strong"/>
    <w:basedOn w:val="DefaultParagraphFont"/>
    <w:rsid w:val="005E17D8"/>
    <w:rPr>
      <w:b/>
      <w:bCs/>
    </w:rPr>
  </w:style>
  <w:style w:type="paragraph" w:styleId="NoSpacing">
    <w:name w:val="No Spacing"/>
    <w:uiPriority w:val="1"/>
    <w:rsid w:val="005E17D8"/>
    <w:pPr>
      <w:spacing w:after="0"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rsid w:val="005E17D8"/>
    <w:rPr>
      <w:i/>
      <w:iCs/>
      <w:color w:val="808080" w:themeColor="text1" w:themeTint="7F"/>
    </w:rPr>
  </w:style>
  <w:style w:type="character" w:styleId="IntenseEmphasis">
    <w:name w:val="Intense Emphasis"/>
    <w:basedOn w:val="DefaultParagraphFont"/>
    <w:uiPriority w:val="21"/>
    <w:rsid w:val="005E17D8"/>
    <w:rPr>
      <w:b/>
      <w:bCs/>
      <w:i/>
      <w:iCs/>
      <w:color w:val="4472C4" w:themeColor="accent1"/>
    </w:rPr>
  </w:style>
  <w:style w:type="paragraph" w:styleId="Quote">
    <w:name w:val="Quote"/>
    <w:next w:val="Normal"/>
    <w:link w:val="QuoteChar"/>
    <w:uiPriority w:val="29"/>
    <w:qFormat/>
    <w:rsid w:val="005E17D8"/>
    <w:pPr>
      <w:spacing w:after="0" w:line="240" w:lineRule="auto"/>
      <w:ind w:left="720"/>
    </w:pPr>
    <w:rPr>
      <w:rFonts w:ascii="Arial" w:eastAsia="Times New Roman" w:hAnsi="Arial" w:cs="Times New Roman"/>
      <w:i/>
      <w:iCs/>
      <w:color w:val="000000" w:themeColor="text1"/>
      <w:szCs w:val="24"/>
    </w:rPr>
  </w:style>
  <w:style w:type="character" w:customStyle="1" w:styleId="QuoteChar">
    <w:name w:val="Quote Char"/>
    <w:basedOn w:val="DefaultParagraphFont"/>
    <w:link w:val="Quote"/>
    <w:uiPriority w:val="29"/>
    <w:rsid w:val="005E17D8"/>
    <w:rPr>
      <w:rFonts w:ascii="Arial" w:eastAsia="Times New Roman" w:hAnsi="Arial" w:cs="Times New Roman"/>
      <w:i/>
      <w:iCs/>
      <w:color w:val="000000" w:themeColor="text1"/>
      <w:szCs w:val="24"/>
    </w:rPr>
  </w:style>
  <w:style w:type="paragraph" w:styleId="IntenseQuote">
    <w:name w:val="Intense Quote"/>
    <w:basedOn w:val="Normal"/>
    <w:next w:val="Normal"/>
    <w:link w:val="IntenseQuoteChar"/>
    <w:uiPriority w:val="30"/>
    <w:rsid w:val="005E17D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E17D8"/>
    <w:rPr>
      <w:rFonts w:ascii="Arial" w:eastAsia="Times New Roman" w:hAnsi="Arial" w:cs="Times New Roman"/>
      <w:b/>
      <w:bCs/>
      <w:i/>
      <w:iCs/>
      <w:color w:val="4472C4" w:themeColor="accent1"/>
      <w:szCs w:val="24"/>
    </w:rPr>
  </w:style>
  <w:style w:type="character" w:styleId="SubtleReference">
    <w:name w:val="Subtle Reference"/>
    <w:basedOn w:val="DefaultParagraphFont"/>
    <w:uiPriority w:val="31"/>
    <w:rsid w:val="005E17D8"/>
    <w:rPr>
      <w:smallCaps/>
      <w:color w:val="ED7D31" w:themeColor="accent2"/>
      <w:u w:val="single"/>
    </w:rPr>
  </w:style>
  <w:style w:type="character" w:styleId="IntenseReference">
    <w:name w:val="Intense Reference"/>
    <w:basedOn w:val="DefaultParagraphFont"/>
    <w:uiPriority w:val="32"/>
    <w:rsid w:val="005E17D8"/>
    <w:rPr>
      <w:b/>
      <w:bCs/>
      <w:i/>
      <w:smallCaps/>
      <w:color w:val="ED7D31" w:themeColor="accent2"/>
      <w:spacing w:val="5"/>
      <w:u w:val="none"/>
    </w:rPr>
  </w:style>
  <w:style w:type="paragraph" w:styleId="ListBullet2">
    <w:name w:val="List Bullet 2"/>
    <w:basedOn w:val="ListNumber2"/>
    <w:rsid w:val="005E17D8"/>
    <w:pPr>
      <w:numPr>
        <w:numId w:val="5"/>
      </w:numPr>
      <w:ind w:left="568" w:hanging="284"/>
    </w:pPr>
  </w:style>
  <w:style w:type="paragraph" w:styleId="ListNumber2">
    <w:name w:val="List Number 2"/>
    <w:basedOn w:val="ListBullet"/>
    <w:qFormat/>
    <w:rsid w:val="005E17D8"/>
    <w:pPr>
      <w:numPr>
        <w:numId w:val="6"/>
      </w:numPr>
    </w:pPr>
  </w:style>
  <w:style w:type="paragraph" w:styleId="ListNumber3">
    <w:name w:val="List Number 3"/>
    <w:aliases w:val="List Third Level"/>
    <w:basedOn w:val="ListNumber2"/>
    <w:rsid w:val="004227A6"/>
    <w:pPr>
      <w:numPr>
        <w:numId w:val="2"/>
      </w:numPr>
      <w:tabs>
        <w:tab w:val="num" w:pos="1440"/>
      </w:tabs>
      <w:ind w:left="924" w:hanging="357"/>
    </w:pPr>
    <w:rPr>
      <w:rFonts w:eastAsia="Cambria"/>
      <w:color w:val="auto"/>
      <w:lang w:val="en-US"/>
    </w:rPr>
  </w:style>
  <w:style w:type="paragraph" w:customStyle="1" w:styleId="ImageTitle">
    <w:name w:val="Image Title"/>
    <w:locked/>
    <w:rsid w:val="005E17D8"/>
    <w:pPr>
      <w:tabs>
        <w:tab w:val="num" w:pos="1080"/>
      </w:tabs>
      <w:spacing w:before="120" w:after="0" w:line="240" w:lineRule="exact"/>
    </w:pPr>
    <w:rPr>
      <w:rFonts w:ascii="Arial" w:eastAsia="Times New Roman" w:hAnsi="Arial" w:cs="Times New Roman"/>
      <w:color w:val="000000" w:themeColor="text1"/>
      <w:szCs w:val="24"/>
    </w:rPr>
  </w:style>
  <w:style w:type="table" w:styleId="TableColumns3">
    <w:name w:val="Table Columns 3"/>
    <w:basedOn w:val="TableNormal"/>
    <w:rsid w:val="005E17D8"/>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left">
    <w:name w:val="Table text left"/>
    <w:autoRedefine/>
    <w:qFormat/>
    <w:locked/>
    <w:rsid w:val="005E17D8"/>
    <w:pPr>
      <w:spacing w:before="60" w:after="60" w:line="240" w:lineRule="auto"/>
    </w:pPr>
    <w:rPr>
      <w:rFonts w:ascii="Arial" w:eastAsia="Times New Roman" w:hAnsi="Arial" w:cs="Times New Roman"/>
      <w:color w:val="000000" w:themeColor="text1"/>
      <w:sz w:val="21"/>
      <w:szCs w:val="24"/>
    </w:rPr>
  </w:style>
  <w:style w:type="table" w:styleId="TableColumns2">
    <w:name w:val="Table Columns 2"/>
    <w:basedOn w:val="TableNormal"/>
    <w:rsid w:val="005E17D8"/>
    <w:pPr>
      <w:spacing w:before="120" w:after="0" w:line="240" w:lineRule="exact"/>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5E17D8"/>
    <w:pPr>
      <w:spacing w:after="0" w:line="240" w:lineRule="auto"/>
    </w:pPr>
    <w:rPr>
      <w:rFonts w:ascii="Times New Roman" w:eastAsia="Times New Roman" w:hAnsi="Times New Roman" w:cs="Times New Roman"/>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E17D8"/>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rsid w:val="005E17D8"/>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rsid w:val="005E17D8"/>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4227A6"/>
    <w:pPr>
      <w:spacing w:before="360" w:after="120" w:line="240" w:lineRule="auto"/>
    </w:pPr>
    <w:rPr>
      <w:rFonts w:ascii="Arial" w:eastAsia="Times New Roman" w:hAnsi="Arial" w:cs="Times New Roman"/>
      <w:b/>
      <w:color w:val="000000" w:themeColor="text1"/>
      <w:szCs w:val="24"/>
      <w:lang w:val="en-US"/>
    </w:rPr>
  </w:style>
  <w:style w:type="paragraph" w:customStyle="1" w:styleId="TableHeaderWhite">
    <w:name w:val="Table Header White"/>
    <w:basedOn w:val="Normal"/>
    <w:next w:val="Tabletextleft"/>
    <w:qFormat/>
    <w:rsid w:val="004227A6"/>
    <w:pPr>
      <w:spacing w:before="80" w:after="80" w:line="259" w:lineRule="auto"/>
    </w:pPr>
    <w:rPr>
      <w:rFonts w:asciiTheme="minorHAnsi" w:eastAsia="Cambria" w:hAnsiTheme="minorHAnsi" w:cstheme="minorBidi"/>
      <w:b/>
      <w:color w:val="FFFFFF" w:themeColor="background1"/>
      <w:szCs w:val="22"/>
      <w:lang w:val="en-US"/>
    </w:rPr>
  </w:style>
  <w:style w:type="table" w:styleId="TableGrid7">
    <w:name w:val="Table Grid 7"/>
    <w:basedOn w:val="TableNormal"/>
    <w:rsid w:val="005E17D8"/>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5E17D8"/>
    <w:pPr>
      <w:spacing w:before="60" w:after="60"/>
    </w:pPr>
    <w:rPr>
      <w:rFonts w:cs="Arial"/>
      <w:b/>
      <w:sz w:val="20"/>
    </w:rPr>
  </w:style>
  <w:style w:type="paragraph" w:customStyle="1" w:styleId="FigureTitle">
    <w:name w:val="Figure Title"/>
    <w:basedOn w:val="Normal"/>
    <w:next w:val="Paragraphtext"/>
    <w:qFormat/>
    <w:rsid w:val="00192EFF"/>
    <w:pPr>
      <w:spacing w:before="360" w:after="160" w:line="259" w:lineRule="auto"/>
    </w:pPr>
    <w:rPr>
      <w:rFonts w:eastAsiaTheme="minorHAnsi" w:cs="Arial"/>
      <w:b/>
      <w:bCs/>
      <w:iCs/>
      <w:color w:val="000000" w:themeColor="text1"/>
      <w:sz w:val="21"/>
      <w:szCs w:val="22"/>
    </w:rPr>
  </w:style>
  <w:style w:type="paragraph" w:customStyle="1" w:styleId="Headertext">
    <w:name w:val="Header text"/>
    <w:basedOn w:val="Normal"/>
    <w:rsid w:val="005E17D8"/>
    <w:pPr>
      <w:jc w:val="right"/>
    </w:pPr>
    <w:rPr>
      <w:sz w:val="20"/>
    </w:rPr>
  </w:style>
  <w:style w:type="table" w:customStyle="1" w:styleId="PHNGreyTable">
    <w:name w:val="PHN Grey Table"/>
    <w:basedOn w:val="TableNormal"/>
    <w:uiPriority w:val="99"/>
    <w:rsid w:val="005E17D8"/>
    <w:pPr>
      <w:spacing w:before="120" w:after="120" w:line="240" w:lineRule="auto"/>
    </w:pPr>
    <w:rPr>
      <w:rFonts w:ascii="Arial" w:eastAsia="Times New Roman" w:hAnsi="Arial" w:cs="Times New Roman"/>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Heading1Purple">
    <w:name w:val="Heading 1 Purple"/>
    <w:basedOn w:val="Heading1"/>
    <w:next w:val="Paragraphtext"/>
    <w:rsid w:val="005E17D8"/>
    <w:rPr>
      <w:color w:val="8D188D"/>
    </w:rPr>
  </w:style>
  <w:style w:type="paragraph" w:customStyle="1" w:styleId="Heading2Purple">
    <w:name w:val="Heading 2 Purple"/>
    <w:basedOn w:val="Heading2"/>
    <w:next w:val="Paragraphtext"/>
    <w:rsid w:val="005E17D8"/>
    <w:pPr>
      <w:spacing w:before="180"/>
    </w:pPr>
    <w:rPr>
      <w:color w:val="8D188D"/>
    </w:rPr>
  </w:style>
  <w:style w:type="paragraph" w:customStyle="1" w:styleId="Tablelistbullet">
    <w:name w:val="Table list bullet"/>
    <w:basedOn w:val="Tabletextleft"/>
    <w:qFormat/>
    <w:rsid w:val="005E17D8"/>
    <w:pPr>
      <w:numPr>
        <w:numId w:val="3"/>
      </w:numPr>
      <w:ind w:left="284" w:hanging="284"/>
    </w:pPr>
    <w:rPr>
      <w:szCs w:val="20"/>
    </w:rPr>
  </w:style>
  <w:style w:type="paragraph" w:customStyle="1" w:styleId="Tablelistnumber">
    <w:name w:val="Table list number"/>
    <w:basedOn w:val="Tabletextleft"/>
    <w:qFormat/>
    <w:rsid w:val="005E17D8"/>
    <w:pPr>
      <w:numPr>
        <w:numId w:val="10"/>
      </w:numPr>
    </w:pPr>
    <w:rPr>
      <w:bCs/>
      <w14:numSpacing w14:val="proportional"/>
    </w:rPr>
  </w:style>
  <w:style w:type="paragraph" w:customStyle="1" w:styleId="TableHeader">
    <w:name w:val="Table Header"/>
    <w:basedOn w:val="Normal"/>
    <w:next w:val="Tabletextleft"/>
    <w:qFormat/>
    <w:rsid w:val="004227A6"/>
    <w:pPr>
      <w:spacing w:before="80" w:after="80" w:line="259" w:lineRule="auto"/>
    </w:pPr>
    <w:rPr>
      <w:rFonts w:asciiTheme="minorHAnsi" w:eastAsia="Cambria" w:hAnsiTheme="minorHAnsi" w:cstheme="minorBidi"/>
      <w:b/>
      <w:color w:val="FFFFFF" w:themeColor="background1"/>
      <w:szCs w:val="22"/>
      <w:lang w:val="en-US"/>
    </w:rPr>
  </w:style>
  <w:style w:type="paragraph" w:customStyle="1" w:styleId="SectionHeading">
    <w:name w:val="Section Heading"/>
    <w:basedOn w:val="Heading1"/>
    <w:next w:val="Paragraphtext"/>
    <w:rsid w:val="005E17D8"/>
    <w:rPr>
      <w:szCs w:val="32"/>
    </w:rPr>
  </w:style>
  <w:style w:type="paragraph" w:customStyle="1" w:styleId="Heading1Orange">
    <w:name w:val="Heading 1 Orange"/>
    <w:basedOn w:val="Heading1"/>
    <w:next w:val="Paragraphtext"/>
    <w:rsid w:val="005E17D8"/>
    <w:rPr>
      <w:color w:val="D72F0D"/>
    </w:rPr>
  </w:style>
  <w:style w:type="paragraph" w:customStyle="1" w:styleId="Heading2Orange">
    <w:name w:val="Heading 2 Orange"/>
    <w:basedOn w:val="Heading2"/>
    <w:rsid w:val="005E17D8"/>
    <w:rPr>
      <w:color w:val="D72F0D"/>
    </w:rPr>
  </w:style>
  <w:style w:type="paragraph" w:styleId="Caption">
    <w:name w:val="caption"/>
    <w:basedOn w:val="Normal"/>
    <w:next w:val="Normal"/>
    <w:unhideWhenUsed/>
    <w:rsid w:val="005E17D8"/>
    <w:pPr>
      <w:spacing w:after="200"/>
    </w:pPr>
    <w:rPr>
      <w:b/>
      <w:bCs/>
      <w:color w:val="4472C4" w:themeColor="accent1"/>
      <w:sz w:val="18"/>
      <w:szCs w:val="18"/>
    </w:rPr>
  </w:style>
  <w:style w:type="paragraph" w:customStyle="1" w:styleId="VisionBox">
    <w:name w:val="VisionBox"/>
    <w:basedOn w:val="Normal"/>
    <w:qFormat/>
    <w:rsid w:val="004227A6"/>
    <w:pPr>
      <w:pBdr>
        <w:top w:val="single" w:sz="4" w:space="15" w:color="358189"/>
        <w:bottom w:val="single" w:sz="4" w:space="10" w:color="358189"/>
      </w:pBdr>
      <w:spacing w:before="240" w:after="240" w:line="340" w:lineRule="exact"/>
    </w:pPr>
    <w:rPr>
      <w:rFonts w:asciiTheme="minorHAnsi" w:eastAsiaTheme="minorHAnsi" w:hAnsiTheme="minorHAnsi" w:cstheme="minorBidi"/>
      <w:color w:val="358189"/>
      <w:szCs w:val="22"/>
    </w:rPr>
  </w:style>
  <w:style w:type="paragraph" w:customStyle="1" w:styleId="Style1">
    <w:name w:val="Style1"/>
    <w:next w:val="Normal"/>
    <w:rsid w:val="005E17D8"/>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eastAsia="Times New Roman" w:hAnsi="Arial" w:cs="Arial"/>
      <w:color w:val="000000" w:themeColor="text1"/>
      <w:sz w:val="21"/>
      <w:szCs w:val="24"/>
      <w:lang w:val="en"/>
    </w:rPr>
  </w:style>
  <w:style w:type="character" w:customStyle="1" w:styleId="BoldAllCaps">
    <w:name w:val="Bold All Caps"/>
    <w:basedOn w:val="DefaultParagraphFont"/>
    <w:uiPriority w:val="1"/>
    <w:qFormat/>
    <w:rsid w:val="005E17D8"/>
    <w:rPr>
      <w:b/>
      <w:caps/>
      <w:smallCaps w:val="0"/>
      <w:color w:val="358189"/>
      <w:bdr w:val="none" w:sz="0" w:space="0" w:color="auto"/>
    </w:rPr>
  </w:style>
  <w:style w:type="paragraph" w:customStyle="1" w:styleId="PolicyStatement">
    <w:name w:val="PolicyStatement"/>
    <w:basedOn w:val="Normal"/>
    <w:qFormat/>
    <w:rsid w:val="004227A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after="160" w:line="259" w:lineRule="auto"/>
      <w:ind w:left="227" w:right="227"/>
    </w:pPr>
    <w:rPr>
      <w:rFonts w:asciiTheme="minorHAnsi" w:eastAsiaTheme="minorHAnsi" w:hAnsiTheme="minorHAnsi" w:cstheme="minorBidi"/>
      <w:szCs w:val="22"/>
    </w:rPr>
  </w:style>
  <w:style w:type="table" w:customStyle="1" w:styleId="DepartmentofHealthtable">
    <w:name w:val="Department of Health table"/>
    <w:basedOn w:val="TableNormal"/>
    <w:uiPriority w:val="99"/>
    <w:rsid w:val="005E17D8"/>
    <w:pPr>
      <w:spacing w:after="0" w:line="240" w:lineRule="auto"/>
    </w:pPr>
    <w:rPr>
      <w:rFonts w:ascii="Arial" w:eastAsia="Times New Roman" w:hAnsi="Arial" w:cs="Times New Roman"/>
      <w:color w:val="000000" w:themeColor="text1"/>
      <w:sz w:val="21"/>
      <w:szCs w:val="20"/>
      <w:lang w:eastAsia="en-AU"/>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TableTitleChar">
    <w:name w:val="Table Title Char"/>
    <w:basedOn w:val="DefaultParagraphFont"/>
    <w:link w:val="TableTitle"/>
    <w:rsid w:val="005E17D8"/>
    <w:rPr>
      <w:rFonts w:ascii="Arial" w:eastAsia="Times New Roman" w:hAnsi="Arial" w:cs="Times New Roman"/>
      <w:b/>
      <w:color w:val="000000" w:themeColor="text1"/>
      <w:szCs w:val="24"/>
      <w:lang w:val="en-US"/>
    </w:rPr>
  </w:style>
  <w:style w:type="paragraph" w:customStyle="1" w:styleId="IntroPara">
    <w:name w:val="Intro Para"/>
    <w:basedOn w:val="Paragraphtext"/>
    <w:next w:val="Paragraphtext"/>
    <w:qFormat/>
    <w:rsid w:val="005E17D8"/>
    <w:pPr>
      <w:spacing w:before="480" w:line="400" w:lineRule="exact"/>
    </w:pPr>
    <w:rPr>
      <w:color w:val="358189"/>
      <w:sz w:val="28"/>
    </w:rPr>
  </w:style>
  <w:style w:type="paragraph" w:customStyle="1" w:styleId="TableTextright">
    <w:name w:val="Table Text right"/>
    <w:basedOn w:val="Tabletextleft"/>
    <w:rsid w:val="005E17D8"/>
    <w:pPr>
      <w:jc w:val="right"/>
    </w:pPr>
  </w:style>
  <w:style w:type="paragraph" w:customStyle="1" w:styleId="Tabletextright0">
    <w:name w:val="Table text right"/>
    <w:basedOn w:val="Tabletextleft"/>
    <w:rsid w:val="005E17D8"/>
    <w:pPr>
      <w:jc w:val="right"/>
    </w:pPr>
  </w:style>
  <w:style w:type="paragraph" w:customStyle="1" w:styleId="Tabletextcentre">
    <w:name w:val="Table text centre"/>
    <w:basedOn w:val="Tabletextleft"/>
    <w:rsid w:val="005E17D8"/>
    <w:pPr>
      <w:jc w:val="center"/>
    </w:pPr>
  </w:style>
  <w:style w:type="paragraph" w:customStyle="1" w:styleId="Boxheading">
    <w:name w:val="Box heading"/>
    <w:basedOn w:val="Boxtype"/>
    <w:rsid w:val="005E17D8"/>
    <w:pPr>
      <w:spacing w:before="240"/>
    </w:pPr>
    <w:rPr>
      <w:rFonts w:cs="Times New Roman"/>
      <w:b/>
      <w:bCs/>
      <w:caps/>
      <w:color w:val="358189"/>
      <w:szCs w:val="20"/>
    </w:rPr>
  </w:style>
  <w:style w:type="paragraph" w:customStyle="1" w:styleId="Boxtype">
    <w:name w:val="Box type"/>
    <w:next w:val="Normal"/>
    <w:qFormat/>
    <w:rsid w:val="005E17D8"/>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eastAsia="Times New Roman" w:hAnsi="Arial" w:cs="Arial"/>
      <w:color w:val="000000" w:themeColor="text1"/>
      <w:sz w:val="21"/>
      <w:szCs w:val="24"/>
      <w:lang w:val="en"/>
    </w:rPr>
  </w:style>
  <w:style w:type="paragraph" w:styleId="Revision">
    <w:name w:val="Revision"/>
    <w:hidden/>
    <w:uiPriority w:val="99"/>
    <w:semiHidden/>
    <w:rsid w:val="00B87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2118">
      <w:bodyDiv w:val="1"/>
      <w:marLeft w:val="0"/>
      <w:marRight w:val="0"/>
      <w:marTop w:val="0"/>
      <w:marBottom w:val="0"/>
      <w:divBdr>
        <w:top w:val="none" w:sz="0" w:space="0" w:color="auto"/>
        <w:left w:val="none" w:sz="0" w:space="0" w:color="auto"/>
        <w:bottom w:val="none" w:sz="0" w:space="0" w:color="auto"/>
        <w:right w:val="none" w:sz="0" w:space="0" w:color="auto"/>
      </w:divBdr>
    </w:div>
    <w:div w:id="85351071">
      <w:bodyDiv w:val="1"/>
      <w:marLeft w:val="0"/>
      <w:marRight w:val="0"/>
      <w:marTop w:val="0"/>
      <w:marBottom w:val="0"/>
      <w:divBdr>
        <w:top w:val="none" w:sz="0" w:space="0" w:color="auto"/>
        <w:left w:val="none" w:sz="0" w:space="0" w:color="auto"/>
        <w:bottom w:val="none" w:sz="0" w:space="0" w:color="auto"/>
        <w:right w:val="none" w:sz="0" w:space="0" w:color="auto"/>
      </w:divBdr>
      <w:divsChild>
        <w:div w:id="1530684917">
          <w:marLeft w:val="274"/>
          <w:marRight w:val="0"/>
          <w:marTop w:val="0"/>
          <w:marBottom w:val="0"/>
          <w:divBdr>
            <w:top w:val="none" w:sz="0" w:space="0" w:color="auto"/>
            <w:left w:val="none" w:sz="0" w:space="0" w:color="auto"/>
            <w:bottom w:val="none" w:sz="0" w:space="0" w:color="auto"/>
            <w:right w:val="none" w:sz="0" w:space="0" w:color="auto"/>
          </w:divBdr>
        </w:div>
        <w:div w:id="2032492921">
          <w:marLeft w:val="274"/>
          <w:marRight w:val="0"/>
          <w:marTop w:val="0"/>
          <w:marBottom w:val="0"/>
          <w:divBdr>
            <w:top w:val="none" w:sz="0" w:space="0" w:color="auto"/>
            <w:left w:val="none" w:sz="0" w:space="0" w:color="auto"/>
            <w:bottom w:val="none" w:sz="0" w:space="0" w:color="auto"/>
            <w:right w:val="none" w:sz="0" w:space="0" w:color="auto"/>
          </w:divBdr>
        </w:div>
        <w:div w:id="1204364334">
          <w:marLeft w:val="274"/>
          <w:marRight w:val="0"/>
          <w:marTop w:val="0"/>
          <w:marBottom w:val="0"/>
          <w:divBdr>
            <w:top w:val="none" w:sz="0" w:space="0" w:color="auto"/>
            <w:left w:val="none" w:sz="0" w:space="0" w:color="auto"/>
            <w:bottom w:val="none" w:sz="0" w:space="0" w:color="auto"/>
            <w:right w:val="none" w:sz="0" w:space="0" w:color="auto"/>
          </w:divBdr>
        </w:div>
        <w:div w:id="1904221626">
          <w:marLeft w:val="274"/>
          <w:marRight w:val="0"/>
          <w:marTop w:val="0"/>
          <w:marBottom w:val="0"/>
          <w:divBdr>
            <w:top w:val="none" w:sz="0" w:space="0" w:color="auto"/>
            <w:left w:val="none" w:sz="0" w:space="0" w:color="auto"/>
            <w:bottom w:val="none" w:sz="0" w:space="0" w:color="auto"/>
            <w:right w:val="none" w:sz="0" w:space="0" w:color="auto"/>
          </w:divBdr>
        </w:div>
      </w:divsChild>
    </w:div>
    <w:div w:id="145321172">
      <w:bodyDiv w:val="1"/>
      <w:marLeft w:val="0"/>
      <w:marRight w:val="0"/>
      <w:marTop w:val="0"/>
      <w:marBottom w:val="0"/>
      <w:divBdr>
        <w:top w:val="none" w:sz="0" w:space="0" w:color="auto"/>
        <w:left w:val="none" w:sz="0" w:space="0" w:color="auto"/>
        <w:bottom w:val="none" w:sz="0" w:space="0" w:color="auto"/>
        <w:right w:val="none" w:sz="0" w:space="0" w:color="auto"/>
      </w:divBdr>
    </w:div>
    <w:div w:id="147671335">
      <w:bodyDiv w:val="1"/>
      <w:marLeft w:val="0"/>
      <w:marRight w:val="0"/>
      <w:marTop w:val="0"/>
      <w:marBottom w:val="0"/>
      <w:divBdr>
        <w:top w:val="none" w:sz="0" w:space="0" w:color="auto"/>
        <w:left w:val="none" w:sz="0" w:space="0" w:color="auto"/>
        <w:bottom w:val="none" w:sz="0" w:space="0" w:color="auto"/>
        <w:right w:val="none" w:sz="0" w:space="0" w:color="auto"/>
      </w:divBdr>
      <w:divsChild>
        <w:div w:id="1027559067">
          <w:marLeft w:val="274"/>
          <w:marRight w:val="0"/>
          <w:marTop w:val="0"/>
          <w:marBottom w:val="0"/>
          <w:divBdr>
            <w:top w:val="none" w:sz="0" w:space="0" w:color="auto"/>
            <w:left w:val="none" w:sz="0" w:space="0" w:color="auto"/>
            <w:bottom w:val="none" w:sz="0" w:space="0" w:color="auto"/>
            <w:right w:val="none" w:sz="0" w:space="0" w:color="auto"/>
          </w:divBdr>
        </w:div>
        <w:div w:id="451824021">
          <w:marLeft w:val="274"/>
          <w:marRight w:val="0"/>
          <w:marTop w:val="0"/>
          <w:marBottom w:val="0"/>
          <w:divBdr>
            <w:top w:val="none" w:sz="0" w:space="0" w:color="auto"/>
            <w:left w:val="none" w:sz="0" w:space="0" w:color="auto"/>
            <w:bottom w:val="none" w:sz="0" w:space="0" w:color="auto"/>
            <w:right w:val="none" w:sz="0" w:space="0" w:color="auto"/>
          </w:divBdr>
        </w:div>
        <w:div w:id="160585954">
          <w:marLeft w:val="274"/>
          <w:marRight w:val="0"/>
          <w:marTop w:val="0"/>
          <w:marBottom w:val="0"/>
          <w:divBdr>
            <w:top w:val="none" w:sz="0" w:space="0" w:color="auto"/>
            <w:left w:val="none" w:sz="0" w:space="0" w:color="auto"/>
            <w:bottom w:val="none" w:sz="0" w:space="0" w:color="auto"/>
            <w:right w:val="none" w:sz="0" w:space="0" w:color="auto"/>
          </w:divBdr>
        </w:div>
        <w:div w:id="1887176358">
          <w:marLeft w:val="274"/>
          <w:marRight w:val="0"/>
          <w:marTop w:val="0"/>
          <w:marBottom w:val="0"/>
          <w:divBdr>
            <w:top w:val="none" w:sz="0" w:space="0" w:color="auto"/>
            <w:left w:val="none" w:sz="0" w:space="0" w:color="auto"/>
            <w:bottom w:val="none" w:sz="0" w:space="0" w:color="auto"/>
            <w:right w:val="none" w:sz="0" w:space="0" w:color="auto"/>
          </w:divBdr>
        </w:div>
      </w:divsChild>
    </w:div>
    <w:div w:id="205532617">
      <w:bodyDiv w:val="1"/>
      <w:marLeft w:val="0"/>
      <w:marRight w:val="0"/>
      <w:marTop w:val="0"/>
      <w:marBottom w:val="0"/>
      <w:divBdr>
        <w:top w:val="none" w:sz="0" w:space="0" w:color="auto"/>
        <w:left w:val="none" w:sz="0" w:space="0" w:color="auto"/>
        <w:bottom w:val="none" w:sz="0" w:space="0" w:color="auto"/>
        <w:right w:val="none" w:sz="0" w:space="0" w:color="auto"/>
      </w:divBdr>
      <w:divsChild>
        <w:div w:id="867107261">
          <w:marLeft w:val="274"/>
          <w:marRight w:val="0"/>
          <w:marTop w:val="0"/>
          <w:marBottom w:val="0"/>
          <w:divBdr>
            <w:top w:val="none" w:sz="0" w:space="0" w:color="auto"/>
            <w:left w:val="none" w:sz="0" w:space="0" w:color="auto"/>
            <w:bottom w:val="none" w:sz="0" w:space="0" w:color="auto"/>
            <w:right w:val="none" w:sz="0" w:space="0" w:color="auto"/>
          </w:divBdr>
        </w:div>
        <w:div w:id="1157186790">
          <w:marLeft w:val="274"/>
          <w:marRight w:val="0"/>
          <w:marTop w:val="0"/>
          <w:marBottom w:val="0"/>
          <w:divBdr>
            <w:top w:val="none" w:sz="0" w:space="0" w:color="auto"/>
            <w:left w:val="none" w:sz="0" w:space="0" w:color="auto"/>
            <w:bottom w:val="none" w:sz="0" w:space="0" w:color="auto"/>
            <w:right w:val="none" w:sz="0" w:space="0" w:color="auto"/>
          </w:divBdr>
        </w:div>
        <w:div w:id="220210669">
          <w:marLeft w:val="274"/>
          <w:marRight w:val="0"/>
          <w:marTop w:val="0"/>
          <w:marBottom w:val="0"/>
          <w:divBdr>
            <w:top w:val="none" w:sz="0" w:space="0" w:color="auto"/>
            <w:left w:val="none" w:sz="0" w:space="0" w:color="auto"/>
            <w:bottom w:val="none" w:sz="0" w:space="0" w:color="auto"/>
            <w:right w:val="none" w:sz="0" w:space="0" w:color="auto"/>
          </w:divBdr>
        </w:div>
      </w:divsChild>
    </w:div>
    <w:div w:id="261843896">
      <w:bodyDiv w:val="1"/>
      <w:marLeft w:val="0"/>
      <w:marRight w:val="0"/>
      <w:marTop w:val="0"/>
      <w:marBottom w:val="0"/>
      <w:divBdr>
        <w:top w:val="none" w:sz="0" w:space="0" w:color="auto"/>
        <w:left w:val="none" w:sz="0" w:space="0" w:color="auto"/>
        <w:bottom w:val="none" w:sz="0" w:space="0" w:color="auto"/>
        <w:right w:val="none" w:sz="0" w:space="0" w:color="auto"/>
      </w:divBdr>
    </w:div>
    <w:div w:id="272327938">
      <w:bodyDiv w:val="1"/>
      <w:marLeft w:val="0"/>
      <w:marRight w:val="0"/>
      <w:marTop w:val="0"/>
      <w:marBottom w:val="0"/>
      <w:divBdr>
        <w:top w:val="none" w:sz="0" w:space="0" w:color="auto"/>
        <w:left w:val="none" w:sz="0" w:space="0" w:color="auto"/>
        <w:bottom w:val="none" w:sz="0" w:space="0" w:color="auto"/>
        <w:right w:val="none" w:sz="0" w:space="0" w:color="auto"/>
      </w:divBdr>
      <w:divsChild>
        <w:div w:id="1131024044">
          <w:marLeft w:val="274"/>
          <w:marRight w:val="0"/>
          <w:marTop w:val="200"/>
          <w:marBottom w:val="0"/>
          <w:divBdr>
            <w:top w:val="none" w:sz="0" w:space="0" w:color="auto"/>
            <w:left w:val="none" w:sz="0" w:space="0" w:color="auto"/>
            <w:bottom w:val="none" w:sz="0" w:space="0" w:color="auto"/>
            <w:right w:val="none" w:sz="0" w:space="0" w:color="auto"/>
          </w:divBdr>
        </w:div>
        <w:div w:id="1416591174">
          <w:marLeft w:val="274"/>
          <w:marRight w:val="0"/>
          <w:marTop w:val="200"/>
          <w:marBottom w:val="0"/>
          <w:divBdr>
            <w:top w:val="none" w:sz="0" w:space="0" w:color="auto"/>
            <w:left w:val="none" w:sz="0" w:space="0" w:color="auto"/>
            <w:bottom w:val="none" w:sz="0" w:space="0" w:color="auto"/>
            <w:right w:val="none" w:sz="0" w:space="0" w:color="auto"/>
          </w:divBdr>
        </w:div>
        <w:div w:id="1948585692">
          <w:marLeft w:val="274"/>
          <w:marRight w:val="0"/>
          <w:marTop w:val="200"/>
          <w:marBottom w:val="0"/>
          <w:divBdr>
            <w:top w:val="none" w:sz="0" w:space="0" w:color="auto"/>
            <w:left w:val="none" w:sz="0" w:space="0" w:color="auto"/>
            <w:bottom w:val="none" w:sz="0" w:space="0" w:color="auto"/>
            <w:right w:val="none" w:sz="0" w:space="0" w:color="auto"/>
          </w:divBdr>
        </w:div>
        <w:div w:id="649408823">
          <w:marLeft w:val="274"/>
          <w:marRight w:val="0"/>
          <w:marTop w:val="200"/>
          <w:marBottom w:val="0"/>
          <w:divBdr>
            <w:top w:val="none" w:sz="0" w:space="0" w:color="auto"/>
            <w:left w:val="none" w:sz="0" w:space="0" w:color="auto"/>
            <w:bottom w:val="none" w:sz="0" w:space="0" w:color="auto"/>
            <w:right w:val="none" w:sz="0" w:space="0" w:color="auto"/>
          </w:divBdr>
        </w:div>
        <w:div w:id="236325101">
          <w:marLeft w:val="274"/>
          <w:marRight w:val="0"/>
          <w:marTop w:val="200"/>
          <w:marBottom w:val="0"/>
          <w:divBdr>
            <w:top w:val="none" w:sz="0" w:space="0" w:color="auto"/>
            <w:left w:val="none" w:sz="0" w:space="0" w:color="auto"/>
            <w:bottom w:val="none" w:sz="0" w:space="0" w:color="auto"/>
            <w:right w:val="none" w:sz="0" w:space="0" w:color="auto"/>
          </w:divBdr>
        </w:div>
        <w:div w:id="1965767891">
          <w:marLeft w:val="274"/>
          <w:marRight w:val="0"/>
          <w:marTop w:val="200"/>
          <w:marBottom w:val="0"/>
          <w:divBdr>
            <w:top w:val="none" w:sz="0" w:space="0" w:color="auto"/>
            <w:left w:val="none" w:sz="0" w:space="0" w:color="auto"/>
            <w:bottom w:val="none" w:sz="0" w:space="0" w:color="auto"/>
            <w:right w:val="none" w:sz="0" w:space="0" w:color="auto"/>
          </w:divBdr>
        </w:div>
      </w:divsChild>
    </w:div>
    <w:div w:id="704335682">
      <w:bodyDiv w:val="1"/>
      <w:marLeft w:val="0"/>
      <w:marRight w:val="0"/>
      <w:marTop w:val="0"/>
      <w:marBottom w:val="0"/>
      <w:divBdr>
        <w:top w:val="none" w:sz="0" w:space="0" w:color="auto"/>
        <w:left w:val="none" w:sz="0" w:space="0" w:color="auto"/>
        <w:bottom w:val="none" w:sz="0" w:space="0" w:color="auto"/>
        <w:right w:val="none" w:sz="0" w:space="0" w:color="auto"/>
      </w:divBdr>
      <w:divsChild>
        <w:div w:id="262345517">
          <w:marLeft w:val="274"/>
          <w:marRight w:val="0"/>
          <w:marTop w:val="0"/>
          <w:marBottom w:val="0"/>
          <w:divBdr>
            <w:top w:val="none" w:sz="0" w:space="0" w:color="auto"/>
            <w:left w:val="none" w:sz="0" w:space="0" w:color="auto"/>
            <w:bottom w:val="none" w:sz="0" w:space="0" w:color="auto"/>
            <w:right w:val="none" w:sz="0" w:space="0" w:color="auto"/>
          </w:divBdr>
        </w:div>
      </w:divsChild>
    </w:div>
    <w:div w:id="740520141">
      <w:bodyDiv w:val="1"/>
      <w:marLeft w:val="0"/>
      <w:marRight w:val="0"/>
      <w:marTop w:val="0"/>
      <w:marBottom w:val="0"/>
      <w:divBdr>
        <w:top w:val="none" w:sz="0" w:space="0" w:color="auto"/>
        <w:left w:val="none" w:sz="0" w:space="0" w:color="auto"/>
        <w:bottom w:val="none" w:sz="0" w:space="0" w:color="auto"/>
        <w:right w:val="none" w:sz="0" w:space="0" w:color="auto"/>
      </w:divBdr>
    </w:div>
    <w:div w:id="758991464">
      <w:bodyDiv w:val="1"/>
      <w:marLeft w:val="0"/>
      <w:marRight w:val="0"/>
      <w:marTop w:val="0"/>
      <w:marBottom w:val="0"/>
      <w:divBdr>
        <w:top w:val="none" w:sz="0" w:space="0" w:color="auto"/>
        <w:left w:val="none" w:sz="0" w:space="0" w:color="auto"/>
        <w:bottom w:val="none" w:sz="0" w:space="0" w:color="auto"/>
        <w:right w:val="none" w:sz="0" w:space="0" w:color="auto"/>
      </w:divBdr>
    </w:div>
    <w:div w:id="822893567">
      <w:bodyDiv w:val="1"/>
      <w:marLeft w:val="0"/>
      <w:marRight w:val="0"/>
      <w:marTop w:val="0"/>
      <w:marBottom w:val="0"/>
      <w:divBdr>
        <w:top w:val="none" w:sz="0" w:space="0" w:color="auto"/>
        <w:left w:val="none" w:sz="0" w:space="0" w:color="auto"/>
        <w:bottom w:val="none" w:sz="0" w:space="0" w:color="auto"/>
        <w:right w:val="none" w:sz="0" w:space="0" w:color="auto"/>
      </w:divBdr>
    </w:div>
    <w:div w:id="898057011">
      <w:bodyDiv w:val="1"/>
      <w:marLeft w:val="0"/>
      <w:marRight w:val="0"/>
      <w:marTop w:val="0"/>
      <w:marBottom w:val="0"/>
      <w:divBdr>
        <w:top w:val="none" w:sz="0" w:space="0" w:color="auto"/>
        <w:left w:val="none" w:sz="0" w:space="0" w:color="auto"/>
        <w:bottom w:val="none" w:sz="0" w:space="0" w:color="auto"/>
        <w:right w:val="none" w:sz="0" w:space="0" w:color="auto"/>
      </w:divBdr>
      <w:divsChild>
        <w:div w:id="493377650">
          <w:marLeft w:val="0"/>
          <w:marRight w:val="0"/>
          <w:marTop w:val="0"/>
          <w:marBottom w:val="0"/>
          <w:divBdr>
            <w:top w:val="none" w:sz="0" w:space="0" w:color="auto"/>
            <w:left w:val="none" w:sz="0" w:space="0" w:color="auto"/>
            <w:bottom w:val="none" w:sz="0" w:space="0" w:color="auto"/>
            <w:right w:val="none" w:sz="0" w:space="0" w:color="auto"/>
          </w:divBdr>
          <w:divsChild>
            <w:div w:id="12937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5703">
      <w:bodyDiv w:val="1"/>
      <w:marLeft w:val="0"/>
      <w:marRight w:val="0"/>
      <w:marTop w:val="0"/>
      <w:marBottom w:val="0"/>
      <w:divBdr>
        <w:top w:val="none" w:sz="0" w:space="0" w:color="auto"/>
        <w:left w:val="none" w:sz="0" w:space="0" w:color="auto"/>
        <w:bottom w:val="none" w:sz="0" w:space="0" w:color="auto"/>
        <w:right w:val="none" w:sz="0" w:space="0" w:color="auto"/>
      </w:divBdr>
      <w:divsChild>
        <w:div w:id="116068788">
          <w:marLeft w:val="274"/>
          <w:marRight w:val="0"/>
          <w:marTop w:val="0"/>
          <w:marBottom w:val="0"/>
          <w:divBdr>
            <w:top w:val="none" w:sz="0" w:space="0" w:color="auto"/>
            <w:left w:val="none" w:sz="0" w:space="0" w:color="auto"/>
            <w:bottom w:val="none" w:sz="0" w:space="0" w:color="auto"/>
            <w:right w:val="none" w:sz="0" w:space="0" w:color="auto"/>
          </w:divBdr>
        </w:div>
        <w:div w:id="1813399306">
          <w:marLeft w:val="274"/>
          <w:marRight w:val="0"/>
          <w:marTop w:val="0"/>
          <w:marBottom w:val="0"/>
          <w:divBdr>
            <w:top w:val="none" w:sz="0" w:space="0" w:color="auto"/>
            <w:left w:val="none" w:sz="0" w:space="0" w:color="auto"/>
            <w:bottom w:val="none" w:sz="0" w:space="0" w:color="auto"/>
            <w:right w:val="none" w:sz="0" w:space="0" w:color="auto"/>
          </w:divBdr>
        </w:div>
        <w:div w:id="1140459047">
          <w:marLeft w:val="274"/>
          <w:marRight w:val="0"/>
          <w:marTop w:val="0"/>
          <w:marBottom w:val="0"/>
          <w:divBdr>
            <w:top w:val="none" w:sz="0" w:space="0" w:color="auto"/>
            <w:left w:val="none" w:sz="0" w:space="0" w:color="auto"/>
            <w:bottom w:val="none" w:sz="0" w:space="0" w:color="auto"/>
            <w:right w:val="none" w:sz="0" w:space="0" w:color="auto"/>
          </w:divBdr>
        </w:div>
        <w:div w:id="1117219595">
          <w:marLeft w:val="274"/>
          <w:marRight w:val="0"/>
          <w:marTop w:val="0"/>
          <w:marBottom w:val="0"/>
          <w:divBdr>
            <w:top w:val="none" w:sz="0" w:space="0" w:color="auto"/>
            <w:left w:val="none" w:sz="0" w:space="0" w:color="auto"/>
            <w:bottom w:val="none" w:sz="0" w:space="0" w:color="auto"/>
            <w:right w:val="none" w:sz="0" w:space="0" w:color="auto"/>
          </w:divBdr>
        </w:div>
      </w:divsChild>
    </w:div>
    <w:div w:id="1068455888">
      <w:bodyDiv w:val="1"/>
      <w:marLeft w:val="0"/>
      <w:marRight w:val="0"/>
      <w:marTop w:val="0"/>
      <w:marBottom w:val="0"/>
      <w:divBdr>
        <w:top w:val="none" w:sz="0" w:space="0" w:color="auto"/>
        <w:left w:val="none" w:sz="0" w:space="0" w:color="auto"/>
        <w:bottom w:val="none" w:sz="0" w:space="0" w:color="auto"/>
        <w:right w:val="none" w:sz="0" w:space="0" w:color="auto"/>
      </w:divBdr>
      <w:divsChild>
        <w:div w:id="798760200">
          <w:marLeft w:val="274"/>
          <w:marRight w:val="0"/>
          <w:marTop w:val="0"/>
          <w:marBottom w:val="0"/>
          <w:divBdr>
            <w:top w:val="none" w:sz="0" w:space="0" w:color="auto"/>
            <w:left w:val="none" w:sz="0" w:space="0" w:color="auto"/>
            <w:bottom w:val="none" w:sz="0" w:space="0" w:color="auto"/>
            <w:right w:val="none" w:sz="0" w:space="0" w:color="auto"/>
          </w:divBdr>
        </w:div>
      </w:divsChild>
    </w:div>
    <w:div w:id="1074664898">
      <w:bodyDiv w:val="1"/>
      <w:marLeft w:val="0"/>
      <w:marRight w:val="0"/>
      <w:marTop w:val="0"/>
      <w:marBottom w:val="0"/>
      <w:divBdr>
        <w:top w:val="none" w:sz="0" w:space="0" w:color="auto"/>
        <w:left w:val="none" w:sz="0" w:space="0" w:color="auto"/>
        <w:bottom w:val="none" w:sz="0" w:space="0" w:color="auto"/>
        <w:right w:val="none" w:sz="0" w:space="0" w:color="auto"/>
      </w:divBdr>
    </w:div>
    <w:div w:id="1136407668">
      <w:bodyDiv w:val="1"/>
      <w:marLeft w:val="0"/>
      <w:marRight w:val="0"/>
      <w:marTop w:val="0"/>
      <w:marBottom w:val="0"/>
      <w:divBdr>
        <w:top w:val="none" w:sz="0" w:space="0" w:color="auto"/>
        <w:left w:val="none" w:sz="0" w:space="0" w:color="auto"/>
        <w:bottom w:val="none" w:sz="0" w:space="0" w:color="auto"/>
        <w:right w:val="none" w:sz="0" w:space="0" w:color="auto"/>
      </w:divBdr>
      <w:divsChild>
        <w:div w:id="325864573">
          <w:marLeft w:val="547"/>
          <w:marRight w:val="0"/>
          <w:marTop w:val="0"/>
          <w:marBottom w:val="0"/>
          <w:divBdr>
            <w:top w:val="none" w:sz="0" w:space="0" w:color="auto"/>
            <w:left w:val="none" w:sz="0" w:space="0" w:color="auto"/>
            <w:bottom w:val="none" w:sz="0" w:space="0" w:color="auto"/>
            <w:right w:val="none" w:sz="0" w:space="0" w:color="auto"/>
          </w:divBdr>
        </w:div>
        <w:div w:id="687296773">
          <w:marLeft w:val="547"/>
          <w:marRight w:val="0"/>
          <w:marTop w:val="0"/>
          <w:marBottom w:val="0"/>
          <w:divBdr>
            <w:top w:val="none" w:sz="0" w:space="0" w:color="auto"/>
            <w:left w:val="none" w:sz="0" w:space="0" w:color="auto"/>
            <w:bottom w:val="none" w:sz="0" w:space="0" w:color="auto"/>
            <w:right w:val="none" w:sz="0" w:space="0" w:color="auto"/>
          </w:divBdr>
        </w:div>
      </w:divsChild>
    </w:div>
    <w:div w:id="1281953033">
      <w:bodyDiv w:val="1"/>
      <w:marLeft w:val="0"/>
      <w:marRight w:val="0"/>
      <w:marTop w:val="0"/>
      <w:marBottom w:val="0"/>
      <w:divBdr>
        <w:top w:val="none" w:sz="0" w:space="0" w:color="auto"/>
        <w:left w:val="none" w:sz="0" w:space="0" w:color="auto"/>
        <w:bottom w:val="none" w:sz="0" w:space="0" w:color="auto"/>
        <w:right w:val="none" w:sz="0" w:space="0" w:color="auto"/>
      </w:divBdr>
    </w:div>
    <w:div w:id="1316488765">
      <w:bodyDiv w:val="1"/>
      <w:marLeft w:val="0"/>
      <w:marRight w:val="0"/>
      <w:marTop w:val="0"/>
      <w:marBottom w:val="0"/>
      <w:divBdr>
        <w:top w:val="none" w:sz="0" w:space="0" w:color="auto"/>
        <w:left w:val="none" w:sz="0" w:space="0" w:color="auto"/>
        <w:bottom w:val="none" w:sz="0" w:space="0" w:color="auto"/>
        <w:right w:val="none" w:sz="0" w:space="0" w:color="auto"/>
      </w:divBdr>
      <w:divsChild>
        <w:div w:id="568156626">
          <w:marLeft w:val="0"/>
          <w:marRight w:val="0"/>
          <w:marTop w:val="0"/>
          <w:marBottom w:val="0"/>
          <w:divBdr>
            <w:top w:val="none" w:sz="0" w:space="0" w:color="auto"/>
            <w:left w:val="none" w:sz="0" w:space="0" w:color="auto"/>
            <w:bottom w:val="none" w:sz="0" w:space="0" w:color="auto"/>
            <w:right w:val="none" w:sz="0" w:space="0" w:color="auto"/>
          </w:divBdr>
          <w:divsChild>
            <w:div w:id="11787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4895">
      <w:bodyDiv w:val="1"/>
      <w:marLeft w:val="0"/>
      <w:marRight w:val="0"/>
      <w:marTop w:val="0"/>
      <w:marBottom w:val="0"/>
      <w:divBdr>
        <w:top w:val="none" w:sz="0" w:space="0" w:color="auto"/>
        <w:left w:val="none" w:sz="0" w:space="0" w:color="auto"/>
        <w:bottom w:val="none" w:sz="0" w:space="0" w:color="auto"/>
        <w:right w:val="none" w:sz="0" w:space="0" w:color="auto"/>
      </w:divBdr>
      <w:divsChild>
        <w:div w:id="1470592566">
          <w:marLeft w:val="274"/>
          <w:marRight w:val="0"/>
          <w:marTop w:val="200"/>
          <w:marBottom w:val="0"/>
          <w:divBdr>
            <w:top w:val="none" w:sz="0" w:space="0" w:color="auto"/>
            <w:left w:val="none" w:sz="0" w:space="0" w:color="auto"/>
            <w:bottom w:val="none" w:sz="0" w:space="0" w:color="auto"/>
            <w:right w:val="none" w:sz="0" w:space="0" w:color="auto"/>
          </w:divBdr>
        </w:div>
        <w:div w:id="1452824714">
          <w:marLeft w:val="274"/>
          <w:marRight w:val="0"/>
          <w:marTop w:val="200"/>
          <w:marBottom w:val="0"/>
          <w:divBdr>
            <w:top w:val="none" w:sz="0" w:space="0" w:color="auto"/>
            <w:left w:val="none" w:sz="0" w:space="0" w:color="auto"/>
            <w:bottom w:val="none" w:sz="0" w:space="0" w:color="auto"/>
            <w:right w:val="none" w:sz="0" w:space="0" w:color="auto"/>
          </w:divBdr>
        </w:div>
        <w:div w:id="1462114192">
          <w:marLeft w:val="576"/>
          <w:marRight w:val="0"/>
          <w:marTop w:val="120"/>
          <w:marBottom w:val="0"/>
          <w:divBdr>
            <w:top w:val="none" w:sz="0" w:space="0" w:color="auto"/>
            <w:left w:val="none" w:sz="0" w:space="0" w:color="auto"/>
            <w:bottom w:val="none" w:sz="0" w:space="0" w:color="auto"/>
            <w:right w:val="none" w:sz="0" w:space="0" w:color="auto"/>
          </w:divBdr>
        </w:div>
        <w:div w:id="858785260">
          <w:marLeft w:val="576"/>
          <w:marRight w:val="0"/>
          <w:marTop w:val="120"/>
          <w:marBottom w:val="0"/>
          <w:divBdr>
            <w:top w:val="none" w:sz="0" w:space="0" w:color="auto"/>
            <w:left w:val="none" w:sz="0" w:space="0" w:color="auto"/>
            <w:bottom w:val="none" w:sz="0" w:space="0" w:color="auto"/>
            <w:right w:val="none" w:sz="0" w:space="0" w:color="auto"/>
          </w:divBdr>
        </w:div>
        <w:div w:id="1203664250">
          <w:marLeft w:val="576"/>
          <w:marRight w:val="0"/>
          <w:marTop w:val="120"/>
          <w:marBottom w:val="0"/>
          <w:divBdr>
            <w:top w:val="none" w:sz="0" w:space="0" w:color="auto"/>
            <w:left w:val="none" w:sz="0" w:space="0" w:color="auto"/>
            <w:bottom w:val="none" w:sz="0" w:space="0" w:color="auto"/>
            <w:right w:val="none" w:sz="0" w:space="0" w:color="auto"/>
          </w:divBdr>
        </w:div>
        <w:div w:id="1150443438">
          <w:marLeft w:val="576"/>
          <w:marRight w:val="0"/>
          <w:marTop w:val="120"/>
          <w:marBottom w:val="0"/>
          <w:divBdr>
            <w:top w:val="none" w:sz="0" w:space="0" w:color="auto"/>
            <w:left w:val="none" w:sz="0" w:space="0" w:color="auto"/>
            <w:bottom w:val="none" w:sz="0" w:space="0" w:color="auto"/>
            <w:right w:val="none" w:sz="0" w:space="0" w:color="auto"/>
          </w:divBdr>
        </w:div>
        <w:div w:id="1127354762">
          <w:marLeft w:val="576"/>
          <w:marRight w:val="0"/>
          <w:marTop w:val="120"/>
          <w:marBottom w:val="0"/>
          <w:divBdr>
            <w:top w:val="none" w:sz="0" w:space="0" w:color="auto"/>
            <w:left w:val="none" w:sz="0" w:space="0" w:color="auto"/>
            <w:bottom w:val="none" w:sz="0" w:space="0" w:color="auto"/>
            <w:right w:val="none" w:sz="0" w:space="0" w:color="auto"/>
          </w:divBdr>
        </w:div>
        <w:div w:id="869028617">
          <w:marLeft w:val="576"/>
          <w:marRight w:val="0"/>
          <w:marTop w:val="120"/>
          <w:marBottom w:val="0"/>
          <w:divBdr>
            <w:top w:val="none" w:sz="0" w:space="0" w:color="auto"/>
            <w:left w:val="none" w:sz="0" w:space="0" w:color="auto"/>
            <w:bottom w:val="none" w:sz="0" w:space="0" w:color="auto"/>
            <w:right w:val="none" w:sz="0" w:space="0" w:color="auto"/>
          </w:divBdr>
        </w:div>
        <w:div w:id="1237518191">
          <w:marLeft w:val="576"/>
          <w:marRight w:val="0"/>
          <w:marTop w:val="120"/>
          <w:marBottom w:val="0"/>
          <w:divBdr>
            <w:top w:val="none" w:sz="0" w:space="0" w:color="auto"/>
            <w:left w:val="none" w:sz="0" w:space="0" w:color="auto"/>
            <w:bottom w:val="none" w:sz="0" w:space="0" w:color="auto"/>
            <w:right w:val="none" w:sz="0" w:space="0" w:color="auto"/>
          </w:divBdr>
        </w:div>
        <w:div w:id="39062808">
          <w:marLeft w:val="274"/>
          <w:marRight w:val="0"/>
          <w:marTop w:val="200"/>
          <w:marBottom w:val="0"/>
          <w:divBdr>
            <w:top w:val="none" w:sz="0" w:space="0" w:color="auto"/>
            <w:left w:val="none" w:sz="0" w:space="0" w:color="auto"/>
            <w:bottom w:val="none" w:sz="0" w:space="0" w:color="auto"/>
            <w:right w:val="none" w:sz="0" w:space="0" w:color="auto"/>
          </w:divBdr>
        </w:div>
        <w:div w:id="758793612">
          <w:marLeft w:val="274"/>
          <w:marRight w:val="0"/>
          <w:marTop w:val="200"/>
          <w:marBottom w:val="0"/>
          <w:divBdr>
            <w:top w:val="none" w:sz="0" w:space="0" w:color="auto"/>
            <w:left w:val="none" w:sz="0" w:space="0" w:color="auto"/>
            <w:bottom w:val="none" w:sz="0" w:space="0" w:color="auto"/>
            <w:right w:val="none" w:sz="0" w:space="0" w:color="auto"/>
          </w:divBdr>
        </w:div>
        <w:div w:id="1343162474">
          <w:marLeft w:val="274"/>
          <w:marRight w:val="0"/>
          <w:marTop w:val="200"/>
          <w:marBottom w:val="0"/>
          <w:divBdr>
            <w:top w:val="none" w:sz="0" w:space="0" w:color="auto"/>
            <w:left w:val="none" w:sz="0" w:space="0" w:color="auto"/>
            <w:bottom w:val="none" w:sz="0" w:space="0" w:color="auto"/>
            <w:right w:val="none" w:sz="0" w:space="0" w:color="auto"/>
          </w:divBdr>
        </w:div>
      </w:divsChild>
    </w:div>
    <w:div w:id="1425225588">
      <w:bodyDiv w:val="1"/>
      <w:marLeft w:val="0"/>
      <w:marRight w:val="0"/>
      <w:marTop w:val="0"/>
      <w:marBottom w:val="0"/>
      <w:divBdr>
        <w:top w:val="none" w:sz="0" w:space="0" w:color="auto"/>
        <w:left w:val="none" w:sz="0" w:space="0" w:color="auto"/>
        <w:bottom w:val="none" w:sz="0" w:space="0" w:color="auto"/>
        <w:right w:val="none" w:sz="0" w:space="0" w:color="auto"/>
      </w:divBdr>
    </w:div>
    <w:div w:id="1460025311">
      <w:bodyDiv w:val="1"/>
      <w:marLeft w:val="0"/>
      <w:marRight w:val="0"/>
      <w:marTop w:val="0"/>
      <w:marBottom w:val="0"/>
      <w:divBdr>
        <w:top w:val="none" w:sz="0" w:space="0" w:color="auto"/>
        <w:left w:val="none" w:sz="0" w:space="0" w:color="auto"/>
        <w:bottom w:val="none" w:sz="0" w:space="0" w:color="auto"/>
        <w:right w:val="none" w:sz="0" w:space="0" w:color="auto"/>
      </w:divBdr>
      <w:divsChild>
        <w:div w:id="2060282166">
          <w:marLeft w:val="0"/>
          <w:marRight w:val="0"/>
          <w:marTop w:val="0"/>
          <w:marBottom w:val="0"/>
          <w:divBdr>
            <w:top w:val="none" w:sz="0" w:space="0" w:color="auto"/>
            <w:left w:val="none" w:sz="0" w:space="0" w:color="auto"/>
            <w:bottom w:val="none" w:sz="0" w:space="0" w:color="auto"/>
            <w:right w:val="none" w:sz="0" w:space="0" w:color="auto"/>
          </w:divBdr>
        </w:div>
      </w:divsChild>
    </w:div>
    <w:div w:id="1566061518">
      <w:bodyDiv w:val="1"/>
      <w:marLeft w:val="0"/>
      <w:marRight w:val="0"/>
      <w:marTop w:val="0"/>
      <w:marBottom w:val="0"/>
      <w:divBdr>
        <w:top w:val="none" w:sz="0" w:space="0" w:color="auto"/>
        <w:left w:val="none" w:sz="0" w:space="0" w:color="auto"/>
        <w:bottom w:val="none" w:sz="0" w:space="0" w:color="auto"/>
        <w:right w:val="none" w:sz="0" w:space="0" w:color="auto"/>
      </w:divBdr>
    </w:div>
    <w:div w:id="1662393807">
      <w:bodyDiv w:val="1"/>
      <w:marLeft w:val="0"/>
      <w:marRight w:val="0"/>
      <w:marTop w:val="0"/>
      <w:marBottom w:val="0"/>
      <w:divBdr>
        <w:top w:val="none" w:sz="0" w:space="0" w:color="auto"/>
        <w:left w:val="none" w:sz="0" w:space="0" w:color="auto"/>
        <w:bottom w:val="none" w:sz="0" w:space="0" w:color="auto"/>
        <w:right w:val="none" w:sz="0" w:space="0" w:color="auto"/>
      </w:divBdr>
    </w:div>
    <w:div w:id="1738935426">
      <w:bodyDiv w:val="1"/>
      <w:marLeft w:val="0"/>
      <w:marRight w:val="0"/>
      <w:marTop w:val="0"/>
      <w:marBottom w:val="0"/>
      <w:divBdr>
        <w:top w:val="none" w:sz="0" w:space="0" w:color="auto"/>
        <w:left w:val="none" w:sz="0" w:space="0" w:color="auto"/>
        <w:bottom w:val="none" w:sz="0" w:space="0" w:color="auto"/>
        <w:right w:val="none" w:sz="0" w:space="0" w:color="auto"/>
      </w:divBdr>
    </w:div>
    <w:div w:id="1820459180">
      <w:bodyDiv w:val="1"/>
      <w:marLeft w:val="0"/>
      <w:marRight w:val="0"/>
      <w:marTop w:val="0"/>
      <w:marBottom w:val="0"/>
      <w:divBdr>
        <w:top w:val="none" w:sz="0" w:space="0" w:color="auto"/>
        <w:left w:val="none" w:sz="0" w:space="0" w:color="auto"/>
        <w:bottom w:val="none" w:sz="0" w:space="0" w:color="auto"/>
        <w:right w:val="none" w:sz="0" w:space="0" w:color="auto"/>
      </w:divBdr>
      <w:divsChild>
        <w:div w:id="1093361797">
          <w:marLeft w:val="547"/>
          <w:marRight w:val="0"/>
          <w:marTop w:val="0"/>
          <w:marBottom w:val="0"/>
          <w:divBdr>
            <w:top w:val="none" w:sz="0" w:space="0" w:color="auto"/>
            <w:left w:val="none" w:sz="0" w:space="0" w:color="auto"/>
            <w:bottom w:val="none" w:sz="0" w:space="0" w:color="auto"/>
            <w:right w:val="none" w:sz="0" w:space="0" w:color="auto"/>
          </w:divBdr>
        </w:div>
        <w:div w:id="1741512383">
          <w:marLeft w:val="547"/>
          <w:marRight w:val="0"/>
          <w:marTop w:val="0"/>
          <w:marBottom w:val="0"/>
          <w:divBdr>
            <w:top w:val="none" w:sz="0" w:space="0" w:color="auto"/>
            <w:left w:val="none" w:sz="0" w:space="0" w:color="auto"/>
            <w:bottom w:val="none" w:sz="0" w:space="0" w:color="auto"/>
            <w:right w:val="none" w:sz="0" w:space="0" w:color="auto"/>
          </w:divBdr>
        </w:div>
      </w:divsChild>
    </w:div>
    <w:div w:id="1893039025">
      <w:bodyDiv w:val="1"/>
      <w:marLeft w:val="0"/>
      <w:marRight w:val="0"/>
      <w:marTop w:val="0"/>
      <w:marBottom w:val="0"/>
      <w:divBdr>
        <w:top w:val="none" w:sz="0" w:space="0" w:color="auto"/>
        <w:left w:val="none" w:sz="0" w:space="0" w:color="auto"/>
        <w:bottom w:val="none" w:sz="0" w:space="0" w:color="auto"/>
        <w:right w:val="none" w:sz="0" w:space="0" w:color="auto"/>
      </w:divBdr>
    </w:div>
    <w:div w:id="1915820689">
      <w:bodyDiv w:val="1"/>
      <w:marLeft w:val="0"/>
      <w:marRight w:val="0"/>
      <w:marTop w:val="0"/>
      <w:marBottom w:val="0"/>
      <w:divBdr>
        <w:top w:val="none" w:sz="0" w:space="0" w:color="auto"/>
        <w:left w:val="none" w:sz="0" w:space="0" w:color="auto"/>
        <w:bottom w:val="none" w:sz="0" w:space="0" w:color="auto"/>
        <w:right w:val="none" w:sz="0" w:space="0" w:color="auto"/>
      </w:divBdr>
      <w:divsChild>
        <w:div w:id="1717847381">
          <w:marLeft w:val="274"/>
          <w:marRight w:val="0"/>
          <w:marTop w:val="0"/>
          <w:marBottom w:val="0"/>
          <w:divBdr>
            <w:top w:val="none" w:sz="0" w:space="0" w:color="auto"/>
            <w:left w:val="none" w:sz="0" w:space="0" w:color="auto"/>
            <w:bottom w:val="none" w:sz="0" w:space="0" w:color="auto"/>
            <w:right w:val="none" w:sz="0" w:space="0" w:color="auto"/>
          </w:divBdr>
        </w:div>
        <w:div w:id="2071417455">
          <w:marLeft w:val="274"/>
          <w:marRight w:val="0"/>
          <w:marTop w:val="0"/>
          <w:marBottom w:val="0"/>
          <w:divBdr>
            <w:top w:val="none" w:sz="0" w:space="0" w:color="auto"/>
            <w:left w:val="none" w:sz="0" w:space="0" w:color="auto"/>
            <w:bottom w:val="none" w:sz="0" w:space="0" w:color="auto"/>
            <w:right w:val="none" w:sz="0" w:space="0" w:color="auto"/>
          </w:divBdr>
        </w:div>
        <w:div w:id="411855188">
          <w:marLeft w:val="274"/>
          <w:marRight w:val="0"/>
          <w:marTop w:val="0"/>
          <w:marBottom w:val="0"/>
          <w:divBdr>
            <w:top w:val="none" w:sz="0" w:space="0" w:color="auto"/>
            <w:left w:val="none" w:sz="0" w:space="0" w:color="auto"/>
            <w:bottom w:val="none" w:sz="0" w:space="0" w:color="auto"/>
            <w:right w:val="none" w:sz="0" w:space="0" w:color="auto"/>
          </w:divBdr>
        </w:div>
      </w:divsChild>
    </w:div>
    <w:div w:id="1916040754">
      <w:bodyDiv w:val="1"/>
      <w:marLeft w:val="0"/>
      <w:marRight w:val="0"/>
      <w:marTop w:val="0"/>
      <w:marBottom w:val="0"/>
      <w:divBdr>
        <w:top w:val="none" w:sz="0" w:space="0" w:color="auto"/>
        <w:left w:val="none" w:sz="0" w:space="0" w:color="auto"/>
        <w:bottom w:val="none" w:sz="0" w:space="0" w:color="auto"/>
        <w:right w:val="none" w:sz="0" w:space="0" w:color="auto"/>
      </w:divBdr>
    </w:div>
    <w:div w:id="19505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alth-au.webex.com/weblink/register/rc7db7a9913157fee06cfe6efdf0f65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s.health.gov.au/technology-assessment-access-division/prostheses-list-reforms-consultation-paper-5-bund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DBRB\AppData\Local\Microsoft\Windows\INetCache\Content.Outlook\EJ6LSEW9\Department%20of%20Health%20-%20Short%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1A767-3CE0-4FFC-85CD-A3A6E097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Health - Short document template.dotx</Template>
  <TotalTime>13</TotalTime>
  <Pages>9</Pages>
  <Words>4005</Words>
  <Characters>22830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 Nicola</dc:creator>
  <cp:keywords/>
  <dc:description/>
  <cp:lastModifiedBy>RODRIGUEZ DELGADO, Claudia</cp:lastModifiedBy>
  <cp:revision>5</cp:revision>
  <cp:lastPrinted>2023-03-14T01:52:00Z</cp:lastPrinted>
  <dcterms:created xsi:type="dcterms:W3CDTF">2023-03-17T03:24:00Z</dcterms:created>
  <dcterms:modified xsi:type="dcterms:W3CDTF">2023-03-17T04:45:00Z</dcterms:modified>
</cp:coreProperties>
</file>