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22AB" w14:textId="77777777" w:rsidR="006168AD" w:rsidRDefault="006168AD"/>
    <w:p w14:paraId="322BB84A" w14:textId="4B096379" w:rsidR="006168AD" w:rsidRPr="009F7366" w:rsidRDefault="006168AD" w:rsidP="009F7366">
      <w:pPr>
        <w:pStyle w:val="Title"/>
        <w:spacing w:before="1080"/>
        <w:rPr>
          <w:szCs w:val="48"/>
        </w:rPr>
      </w:pPr>
      <w:r w:rsidRPr="00771392">
        <w:rPr>
          <w:szCs w:val="48"/>
        </w:rPr>
        <w:t>Prostheses</w:t>
      </w:r>
      <w:r w:rsidRPr="009F7366">
        <w:rPr>
          <w:szCs w:val="48"/>
        </w:rPr>
        <w:t xml:space="preserve"> List Reforms – Consultation Paper </w:t>
      </w:r>
      <w:r w:rsidR="00D179A4">
        <w:rPr>
          <w:szCs w:val="48"/>
        </w:rPr>
        <w:t>7</w:t>
      </w:r>
    </w:p>
    <w:p w14:paraId="19086A0B" w14:textId="152123FD" w:rsidR="006168AD" w:rsidRDefault="007226C3" w:rsidP="006168AD">
      <w:pPr>
        <w:pStyle w:val="Subtitle"/>
        <w:rPr>
          <w:spacing w:val="0"/>
          <w:szCs w:val="40"/>
        </w:rPr>
      </w:pPr>
      <w:r>
        <w:rPr>
          <w:spacing w:val="0"/>
          <w:szCs w:val="40"/>
        </w:rPr>
        <w:t>Proposed measures for c</w:t>
      </w:r>
      <w:r w:rsidR="00D35D97">
        <w:rPr>
          <w:spacing w:val="0"/>
          <w:szCs w:val="40"/>
        </w:rPr>
        <w:t xml:space="preserve">ompliance, </w:t>
      </w:r>
      <w:r>
        <w:rPr>
          <w:spacing w:val="0"/>
          <w:szCs w:val="40"/>
        </w:rPr>
        <w:t>a</w:t>
      </w:r>
      <w:r w:rsidR="00D35D97">
        <w:rPr>
          <w:spacing w:val="0"/>
          <w:szCs w:val="40"/>
        </w:rPr>
        <w:t xml:space="preserve">ssurance and </w:t>
      </w:r>
      <w:r>
        <w:rPr>
          <w:spacing w:val="0"/>
          <w:szCs w:val="40"/>
        </w:rPr>
        <w:t>i</w:t>
      </w:r>
      <w:r w:rsidR="00D35D97">
        <w:rPr>
          <w:spacing w:val="0"/>
          <w:szCs w:val="40"/>
        </w:rPr>
        <w:t xml:space="preserve">nformation </w:t>
      </w:r>
      <w:r>
        <w:rPr>
          <w:spacing w:val="0"/>
          <w:szCs w:val="40"/>
        </w:rPr>
        <w:t>s</w:t>
      </w:r>
      <w:r w:rsidR="00D35D97">
        <w:rPr>
          <w:spacing w:val="0"/>
          <w:szCs w:val="40"/>
        </w:rPr>
        <w:t>haring</w:t>
      </w:r>
    </w:p>
    <w:p w14:paraId="5249CE31" w14:textId="14F513E1" w:rsidR="00837F8B" w:rsidRPr="00837F8B" w:rsidRDefault="00837F8B" w:rsidP="00837F8B">
      <w:pPr>
        <w:sectPr w:rsidR="00837F8B" w:rsidRPr="00837F8B" w:rsidSect="006168AD">
          <w:footerReference w:type="default" r:id="rId8"/>
          <w:headerReference w:type="first" r:id="rId9"/>
          <w:pgSz w:w="11906" w:h="16838"/>
          <w:pgMar w:top="1701" w:right="1418" w:bottom="1418" w:left="1418" w:header="850" w:footer="709" w:gutter="0"/>
          <w:cols w:space="708"/>
          <w:titlePg/>
          <w:docGrid w:linePitch="360"/>
        </w:sectPr>
      </w:pPr>
    </w:p>
    <w:p w14:paraId="506E6616" w14:textId="77777777" w:rsidR="009F7366" w:rsidRPr="00354E84" w:rsidRDefault="009F7366" w:rsidP="00FD72BF">
      <w:pPr>
        <w:pStyle w:val="PolicyStatement"/>
        <w:pBdr>
          <w:left w:val="single" w:sz="4" w:space="0" w:color="F2F2F2" w:themeColor="background1" w:themeShade="F2"/>
        </w:pBdr>
        <w:spacing w:before="0" w:line="240" w:lineRule="auto"/>
        <w:rPr>
          <w:rFonts w:ascii="Arial" w:hAnsi="Arial" w:cs="Arial"/>
          <w:b/>
          <w:bCs/>
          <w:color w:val="358189"/>
          <w:sz w:val="32"/>
          <w:szCs w:val="32"/>
        </w:rPr>
      </w:pPr>
      <w:r w:rsidRPr="00354E84">
        <w:rPr>
          <w:rFonts w:ascii="Arial" w:hAnsi="Arial" w:cs="Arial"/>
          <w:b/>
          <w:bCs/>
          <w:color w:val="358189"/>
          <w:sz w:val="32"/>
          <w:szCs w:val="32"/>
        </w:rPr>
        <w:lastRenderedPageBreak/>
        <w:t>Context for the consultation paper</w:t>
      </w:r>
    </w:p>
    <w:p w14:paraId="09181DF9" w14:textId="58926595" w:rsidR="00D50EB6" w:rsidRDefault="00D50EB6" w:rsidP="00FD72BF">
      <w:pPr>
        <w:pStyle w:val="PolicyStatement"/>
        <w:pBdr>
          <w:left w:val="single" w:sz="4" w:space="0" w:color="F2F2F2" w:themeColor="background1" w:themeShade="F2"/>
        </w:pBdr>
        <w:spacing w:before="120" w:line="240" w:lineRule="auto"/>
        <w:rPr>
          <w:rFonts w:ascii="Arial" w:hAnsi="Arial" w:cs="Arial"/>
          <w:sz w:val="21"/>
          <w:szCs w:val="21"/>
        </w:rPr>
      </w:pPr>
      <w:r w:rsidRPr="00233628">
        <w:rPr>
          <w:rFonts w:ascii="Arial" w:hAnsi="Arial" w:cs="Arial"/>
          <w:sz w:val="21"/>
          <w:szCs w:val="21"/>
        </w:rPr>
        <w:t xml:space="preserve">Building on the previous reform activities, the Government has agreed to maintain the </w:t>
      </w:r>
      <w:hyperlink r:id="rId10" w:history="1">
        <w:r w:rsidR="00111208">
          <w:rPr>
            <w:rStyle w:val="Hyperlink"/>
            <w:rFonts w:ascii="Arial" w:hAnsi="Arial" w:cs="Arial"/>
            <w:sz w:val="21"/>
            <w:szCs w:val="21"/>
          </w:rPr>
          <w:t>Prescribed</w:t>
        </w:r>
        <w:r w:rsidRPr="00CB4A87">
          <w:rPr>
            <w:rStyle w:val="Hyperlink"/>
            <w:rFonts w:ascii="Arial" w:hAnsi="Arial" w:cs="Arial"/>
            <w:sz w:val="21"/>
            <w:szCs w:val="21"/>
          </w:rPr>
          <w:t xml:space="preserve"> List</w:t>
        </w:r>
      </w:hyperlink>
      <w:r w:rsidRPr="00233628">
        <w:rPr>
          <w:rFonts w:ascii="Arial" w:hAnsi="Arial" w:cs="Arial"/>
          <w:sz w:val="21"/>
          <w:szCs w:val="21"/>
        </w:rPr>
        <w:t>, with some improvements.</w:t>
      </w:r>
    </w:p>
    <w:p w14:paraId="364F3DF3" w14:textId="13708293" w:rsidR="009F7366" w:rsidRPr="00354E84" w:rsidRDefault="009F7366" w:rsidP="00FD72BF">
      <w:pPr>
        <w:pStyle w:val="PolicyStatement"/>
        <w:pBdr>
          <w:left w:val="single" w:sz="4" w:space="0" w:color="F2F2F2" w:themeColor="background1" w:themeShade="F2"/>
        </w:pBdr>
        <w:spacing w:before="120" w:line="240" w:lineRule="auto"/>
        <w:rPr>
          <w:rFonts w:ascii="Arial" w:hAnsi="Arial" w:cs="Arial"/>
          <w:sz w:val="21"/>
          <w:szCs w:val="21"/>
        </w:rPr>
      </w:pPr>
      <w:r w:rsidRPr="00AA7291">
        <w:rPr>
          <w:rFonts w:ascii="Arial" w:hAnsi="Arial" w:cs="Arial"/>
          <w:sz w:val="21"/>
          <w:szCs w:val="21"/>
        </w:rPr>
        <w:t xml:space="preserve">Following extensive consultation over recent years, this consultation paper will canvass views on proposed implementation of improvements to the </w:t>
      </w:r>
      <w:r w:rsidR="00111208">
        <w:rPr>
          <w:rFonts w:ascii="Arial" w:hAnsi="Arial" w:cs="Arial"/>
          <w:sz w:val="21"/>
          <w:szCs w:val="21"/>
        </w:rPr>
        <w:t>Prescribed</w:t>
      </w:r>
      <w:r w:rsidRPr="00AA7291">
        <w:rPr>
          <w:rFonts w:ascii="Arial" w:hAnsi="Arial" w:cs="Arial"/>
          <w:sz w:val="21"/>
          <w:szCs w:val="21"/>
        </w:rPr>
        <w:t xml:space="preserve"> List. The Government considers these improvements are necessary to benefit consumers, because a number of reviews of the system have consistently found a high variance in the prices on the </w:t>
      </w:r>
      <w:r w:rsidR="00111208">
        <w:rPr>
          <w:rFonts w:ascii="Arial" w:hAnsi="Arial" w:cs="Arial"/>
          <w:sz w:val="21"/>
          <w:szCs w:val="21"/>
        </w:rPr>
        <w:t>Prescribed</w:t>
      </w:r>
      <w:r w:rsidR="00387B80">
        <w:rPr>
          <w:rFonts w:ascii="Arial" w:hAnsi="Arial" w:cs="Arial"/>
          <w:sz w:val="21"/>
          <w:szCs w:val="21"/>
        </w:rPr>
        <w:t xml:space="preserve"> List </w:t>
      </w:r>
      <w:r w:rsidRPr="00AA7291">
        <w:rPr>
          <w:rFonts w:ascii="Arial" w:hAnsi="Arial" w:cs="Arial"/>
          <w:sz w:val="21"/>
          <w:szCs w:val="21"/>
        </w:rPr>
        <w:t>compared to prices paid in the public hospital system, with a limited ability for market forces to exert a downward pressure that would benefit consumers.</w:t>
      </w:r>
      <w:r w:rsidRPr="00354E84">
        <w:rPr>
          <w:rFonts w:ascii="Arial" w:hAnsi="Arial" w:cs="Arial"/>
          <w:sz w:val="21"/>
          <w:szCs w:val="21"/>
        </w:rPr>
        <w:t xml:space="preserve"> </w:t>
      </w:r>
    </w:p>
    <w:p w14:paraId="6AABC316" w14:textId="0E0526CB" w:rsidR="00FF461C" w:rsidRPr="00FF461C" w:rsidRDefault="00FF461C" w:rsidP="00FD72BF">
      <w:pPr>
        <w:pStyle w:val="PolicyStatement"/>
        <w:pBdr>
          <w:left w:val="single" w:sz="4" w:space="0" w:color="F2F2F2" w:themeColor="background1" w:themeShade="F2"/>
        </w:pBdr>
        <w:spacing w:before="120"/>
        <w:rPr>
          <w:rFonts w:ascii="Arial" w:hAnsi="Arial" w:cs="Arial"/>
          <w:sz w:val="21"/>
          <w:szCs w:val="21"/>
        </w:rPr>
      </w:pPr>
      <w:r w:rsidRPr="00FF461C">
        <w:rPr>
          <w:rFonts w:ascii="Arial" w:hAnsi="Arial" w:cs="Arial"/>
          <w:sz w:val="21"/>
          <w:szCs w:val="21"/>
        </w:rPr>
        <w:t xml:space="preserve">The </w:t>
      </w:r>
      <w:r w:rsidR="00111208">
        <w:rPr>
          <w:rFonts w:ascii="Arial" w:hAnsi="Arial" w:cs="Arial"/>
          <w:sz w:val="21"/>
          <w:szCs w:val="21"/>
        </w:rPr>
        <w:t>Prescribed</w:t>
      </w:r>
      <w:r w:rsidR="00387B80" w:rsidRPr="00AA7291">
        <w:rPr>
          <w:rFonts w:ascii="Arial" w:hAnsi="Arial" w:cs="Arial"/>
          <w:sz w:val="21"/>
          <w:szCs w:val="21"/>
        </w:rPr>
        <w:t xml:space="preserve"> List</w:t>
      </w:r>
      <w:r w:rsidRPr="00FF461C">
        <w:rPr>
          <w:rFonts w:ascii="Arial" w:hAnsi="Arial" w:cs="Arial"/>
          <w:sz w:val="21"/>
          <w:szCs w:val="21"/>
        </w:rPr>
        <w:t xml:space="preserve"> is the primary mechanism governing the reimbursement for medical devices </w:t>
      </w:r>
      <w:r w:rsidR="00F82D31">
        <w:rPr>
          <w:rFonts w:ascii="Arial" w:hAnsi="Arial" w:cs="Arial"/>
          <w:sz w:val="21"/>
          <w:szCs w:val="21"/>
        </w:rPr>
        <w:t xml:space="preserve">and human tissue products </w:t>
      </w:r>
      <w:r w:rsidRPr="00FF461C">
        <w:rPr>
          <w:rFonts w:ascii="Arial" w:hAnsi="Arial" w:cs="Arial"/>
          <w:sz w:val="21"/>
          <w:szCs w:val="21"/>
        </w:rPr>
        <w:t>as part of the private health system in Australia.</w:t>
      </w:r>
    </w:p>
    <w:p w14:paraId="5A680107" w14:textId="405BA748" w:rsidR="00FF461C" w:rsidRPr="00771392" w:rsidRDefault="00FF461C" w:rsidP="00FD72BF">
      <w:pPr>
        <w:pStyle w:val="PolicyStatement"/>
        <w:pBdr>
          <w:left w:val="single" w:sz="4" w:space="0" w:color="F2F2F2" w:themeColor="background1" w:themeShade="F2"/>
        </w:pBdr>
        <w:spacing w:before="120"/>
        <w:rPr>
          <w:rFonts w:ascii="Arial" w:hAnsi="Arial" w:cs="Arial"/>
          <w:i/>
          <w:iCs/>
          <w:sz w:val="21"/>
          <w:szCs w:val="21"/>
        </w:rPr>
      </w:pPr>
      <w:r w:rsidRPr="00FF461C">
        <w:rPr>
          <w:rFonts w:ascii="Arial" w:hAnsi="Arial" w:cs="Arial"/>
          <w:sz w:val="21"/>
          <w:szCs w:val="21"/>
        </w:rPr>
        <w:t xml:space="preserve">The </w:t>
      </w:r>
      <w:r w:rsidR="00111208">
        <w:rPr>
          <w:rFonts w:ascii="Arial" w:hAnsi="Arial" w:cs="Arial"/>
          <w:sz w:val="21"/>
          <w:szCs w:val="21"/>
        </w:rPr>
        <w:t>Prescribed</w:t>
      </w:r>
      <w:r w:rsidR="00387B80" w:rsidRPr="00AA7291">
        <w:rPr>
          <w:rFonts w:ascii="Arial" w:hAnsi="Arial" w:cs="Arial"/>
          <w:sz w:val="21"/>
          <w:szCs w:val="21"/>
        </w:rPr>
        <w:t xml:space="preserve"> List</w:t>
      </w:r>
      <w:r w:rsidRPr="00FF461C">
        <w:rPr>
          <w:rFonts w:ascii="Arial" w:hAnsi="Arial" w:cs="Arial"/>
          <w:sz w:val="21"/>
          <w:szCs w:val="21"/>
        </w:rPr>
        <w:t xml:space="preserve"> specifies a set benefit amount for listed </w:t>
      </w:r>
      <w:r w:rsidR="00111208">
        <w:rPr>
          <w:rFonts w:ascii="Arial" w:hAnsi="Arial" w:cs="Arial"/>
          <w:sz w:val="21"/>
          <w:szCs w:val="21"/>
        </w:rPr>
        <w:t>medical devices and human tissue products</w:t>
      </w:r>
      <w:r w:rsidRPr="00FF461C">
        <w:rPr>
          <w:rFonts w:ascii="Arial" w:hAnsi="Arial" w:cs="Arial"/>
          <w:sz w:val="21"/>
          <w:szCs w:val="21"/>
        </w:rPr>
        <w:t xml:space="preserve">. The </w:t>
      </w:r>
      <w:r w:rsidR="00111208">
        <w:rPr>
          <w:rFonts w:ascii="Arial" w:hAnsi="Arial" w:cs="Arial"/>
          <w:sz w:val="21"/>
          <w:szCs w:val="21"/>
        </w:rPr>
        <w:t>Prescribed</w:t>
      </w:r>
      <w:r w:rsidR="00387B80" w:rsidRPr="00AA7291">
        <w:rPr>
          <w:rFonts w:ascii="Arial" w:hAnsi="Arial" w:cs="Arial"/>
          <w:sz w:val="21"/>
          <w:szCs w:val="21"/>
        </w:rPr>
        <w:t xml:space="preserve"> List</w:t>
      </w:r>
      <w:r w:rsidRPr="00FF461C">
        <w:rPr>
          <w:rFonts w:ascii="Arial" w:hAnsi="Arial" w:cs="Arial"/>
          <w:sz w:val="21"/>
          <w:szCs w:val="21"/>
        </w:rPr>
        <w:t xml:space="preserve"> benefit is payable to appropriately covered privately insured patients that receive a </w:t>
      </w:r>
      <w:r w:rsidR="00440DB7">
        <w:rPr>
          <w:rFonts w:ascii="Arial" w:hAnsi="Arial" w:cs="Arial"/>
          <w:sz w:val="21"/>
          <w:szCs w:val="21"/>
        </w:rPr>
        <w:t>medical device or human tissue product</w:t>
      </w:r>
      <w:r w:rsidRPr="00FF461C">
        <w:rPr>
          <w:rFonts w:ascii="Arial" w:hAnsi="Arial" w:cs="Arial"/>
          <w:sz w:val="21"/>
          <w:szCs w:val="21"/>
        </w:rPr>
        <w:t xml:space="preserve"> as part of treatment, where there is a Medicare benefit payable for the medical service associated with the provision of the </w:t>
      </w:r>
      <w:r w:rsidR="001E6055">
        <w:rPr>
          <w:rFonts w:ascii="Arial" w:hAnsi="Arial" w:cs="Arial"/>
          <w:sz w:val="21"/>
          <w:szCs w:val="21"/>
        </w:rPr>
        <w:t>medical device or human tissue product</w:t>
      </w:r>
      <w:r w:rsidRPr="00FF461C">
        <w:rPr>
          <w:rFonts w:ascii="Arial" w:hAnsi="Arial" w:cs="Arial"/>
          <w:sz w:val="21"/>
          <w:szCs w:val="21"/>
        </w:rPr>
        <w:t xml:space="preserve">. The treatment can be delivered in a private or public hospital, or in a </w:t>
      </w:r>
      <w:r w:rsidRPr="00771392">
        <w:rPr>
          <w:rFonts w:ascii="Arial" w:hAnsi="Arial" w:cs="Arial"/>
          <w:sz w:val="21"/>
          <w:szCs w:val="21"/>
        </w:rPr>
        <w:t xml:space="preserve">hospital substitute setting. </w:t>
      </w:r>
    </w:p>
    <w:p w14:paraId="7E91373A" w14:textId="4E5DE44B" w:rsidR="007D5063" w:rsidRPr="00FD72BF" w:rsidRDefault="00FF461C" w:rsidP="00D50EB6">
      <w:pPr>
        <w:pStyle w:val="PolicyStatement"/>
        <w:pBdr>
          <w:left w:val="single" w:sz="4" w:space="0" w:color="F2F2F2" w:themeColor="background1" w:themeShade="F2"/>
        </w:pBdr>
        <w:spacing w:before="120"/>
        <w:rPr>
          <w:rFonts w:ascii="Arial" w:hAnsi="Arial" w:cs="Arial"/>
          <w:sz w:val="21"/>
          <w:szCs w:val="21"/>
        </w:rPr>
      </w:pPr>
      <w:r w:rsidRPr="00771392">
        <w:rPr>
          <w:rFonts w:ascii="Arial" w:hAnsi="Arial" w:cs="Arial"/>
          <w:i/>
          <w:iCs/>
          <w:sz w:val="21"/>
          <w:szCs w:val="21"/>
        </w:rPr>
        <w:t xml:space="preserve">The </w:t>
      </w:r>
      <w:hyperlink r:id="rId11" w:history="1">
        <w:r w:rsidR="00436A0D" w:rsidRPr="00771392">
          <w:rPr>
            <w:rStyle w:val="Hyperlink"/>
            <w:rFonts w:ascii="Arial" w:hAnsi="Arial" w:cs="Arial"/>
            <w:i/>
            <w:iCs/>
            <w:sz w:val="21"/>
            <w:szCs w:val="21"/>
          </w:rPr>
          <w:t>Private Health Insurance (Medical Devices and Human Tissue Products) Rules</w:t>
        </w:r>
      </w:hyperlink>
      <w:r w:rsidR="00436A0D" w:rsidRPr="00771392">
        <w:rPr>
          <w:rFonts w:ascii="Arial" w:hAnsi="Arial" w:cs="Arial"/>
          <w:sz w:val="21"/>
          <w:szCs w:val="21"/>
        </w:rPr>
        <w:t xml:space="preserve"> (</w:t>
      </w:r>
      <w:r w:rsidR="00436A0D" w:rsidRPr="00771392">
        <w:rPr>
          <w:rFonts w:ascii="Arial" w:hAnsi="Arial" w:cs="Arial"/>
          <w:b/>
          <w:bCs/>
          <w:sz w:val="21"/>
          <w:szCs w:val="21"/>
        </w:rPr>
        <w:t>the MDHTP Rules</w:t>
      </w:r>
      <w:r w:rsidR="00436A0D" w:rsidRPr="00771392">
        <w:rPr>
          <w:rFonts w:ascii="Arial" w:hAnsi="Arial" w:cs="Arial"/>
          <w:sz w:val="21"/>
          <w:szCs w:val="21"/>
        </w:rPr>
        <w:t>)</w:t>
      </w:r>
      <w:r w:rsidRPr="00771392">
        <w:rPr>
          <w:rFonts w:ascii="Arial" w:hAnsi="Arial" w:cs="Arial"/>
          <w:sz w:val="21"/>
          <w:szCs w:val="21"/>
        </w:rPr>
        <w:t xml:space="preserve"> is a legislative instrument made under the </w:t>
      </w:r>
      <w:hyperlink r:id="rId12" w:history="1">
        <w:r w:rsidR="00F17056" w:rsidRPr="00771392">
          <w:rPr>
            <w:rStyle w:val="Hyperlink"/>
            <w:rFonts w:ascii="Arial" w:hAnsi="Arial" w:cs="Arial"/>
            <w:i/>
            <w:iCs/>
            <w:sz w:val="21"/>
            <w:szCs w:val="21"/>
          </w:rPr>
          <w:t>Private Health Insurance Act 2007</w:t>
        </w:r>
      </w:hyperlink>
      <w:r w:rsidR="00F17056" w:rsidRPr="00771392">
        <w:rPr>
          <w:rFonts w:ascii="Arial" w:hAnsi="Arial" w:cs="Arial"/>
          <w:sz w:val="21"/>
          <w:szCs w:val="21"/>
        </w:rPr>
        <w:t xml:space="preserve"> (</w:t>
      </w:r>
      <w:r w:rsidRPr="00771392">
        <w:rPr>
          <w:rFonts w:ascii="Arial" w:hAnsi="Arial" w:cs="Arial"/>
          <w:b/>
          <w:bCs/>
          <w:sz w:val="21"/>
          <w:szCs w:val="21"/>
        </w:rPr>
        <w:t>PHI Act</w:t>
      </w:r>
      <w:r w:rsidR="00F17056" w:rsidRPr="00771392">
        <w:rPr>
          <w:rFonts w:ascii="Arial" w:hAnsi="Arial" w:cs="Arial"/>
          <w:sz w:val="21"/>
          <w:szCs w:val="21"/>
        </w:rPr>
        <w:t>)</w:t>
      </w:r>
      <w:r w:rsidRPr="00771392">
        <w:rPr>
          <w:rFonts w:ascii="Arial" w:hAnsi="Arial" w:cs="Arial"/>
          <w:sz w:val="21"/>
          <w:szCs w:val="21"/>
        </w:rPr>
        <w:t>, that sets up requirements in relation to</w:t>
      </w:r>
      <w:r w:rsidR="00B9712D">
        <w:rPr>
          <w:rFonts w:ascii="Arial" w:hAnsi="Arial" w:cs="Arial"/>
          <w:sz w:val="21"/>
          <w:szCs w:val="21"/>
        </w:rPr>
        <w:t xml:space="preserve"> the</w:t>
      </w:r>
      <w:r w:rsidRPr="00771392">
        <w:rPr>
          <w:rFonts w:ascii="Arial" w:hAnsi="Arial" w:cs="Arial"/>
          <w:sz w:val="21"/>
          <w:szCs w:val="21"/>
        </w:rPr>
        <w:t xml:space="preserve"> provision of </w:t>
      </w:r>
      <w:r w:rsidR="00B9712D">
        <w:rPr>
          <w:rFonts w:ascii="Arial" w:hAnsi="Arial" w:cs="Arial"/>
          <w:sz w:val="21"/>
          <w:szCs w:val="21"/>
        </w:rPr>
        <w:t xml:space="preserve">a </w:t>
      </w:r>
      <w:r w:rsidRPr="00771392">
        <w:rPr>
          <w:rFonts w:ascii="Arial" w:hAnsi="Arial" w:cs="Arial"/>
          <w:sz w:val="21"/>
          <w:szCs w:val="21"/>
        </w:rPr>
        <w:t xml:space="preserve">minimum price for </w:t>
      </w:r>
      <w:r w:rsidR="00771392">
        <w:rPr>
          <w:rFonts w:ascii="Arial" w:hAnsi="Arial" w:cs="Arial"/>
          <w:sz w:val="21"/>
          <w:szCs w:val="21"/>
        </w:rPr>
        <w:t>medical devices and human tissue</w:t>
      </w:r>
      <w:r w:rsidR="002959E1">
        <w:rPr>
          <w:rFonts w:ascii="Arial" w:hAnsi="Arial" w:cs="Arial"/>
          <w:sz w:val="21"/>
          <w:szCs w:val="21"/>
        </w:rPr>
        <w:t xml:space="preserve"> product</w:t>
      </w:r>
      <w:r w:rsidR="00771392">
        <w:rPr>
          <w:rFonts w:ascii="Arial" w:hAnsi="Arial" w:cs="Arial"/>
          <w:sz w:val="21"/>
          <w:szCs w:val="21"/>
        </w:rPr>
        <w:t>s</w:t>
      </w:r>
      <w:r w:rsidRPr="00771392">
        <w:rPr>
          <w:rFonts w:ascii="Arial" w:hAnsi="Arial" w:cs="Arial"/>
          <w:sz w:val="21"/>
          <w:szCs w:val="21"/>
        </w:rPr>
        <w:t xml:space="preserve">. The Schedule to the </w:t>
      </w:r>
      <w:r w:rsidR="00771392" w:rsidRPr="00771392">
        <w:rPr>
          <w:rFonts w:ascii="Arial" w:hAnsi="Arial" w:cs="Arial"/>
          <w:sz w:val="21"/>
          <w:szCs w:val="21"/>
        </w:rPr>
        <w:t xml:space="preserve">MDHTP </w:t>
      </w:r>
      <w:r w:rsidRPr="00771392">
        <w:rPr>
          <w:rFonts w:ascii="Arial" w:hAnsi="Arial" w:cs="Arial"/>
          <w:sz w:val="21"/>
          <w:szCs w:val="21"/>
        </w:rPr>
        <w:t xml:space="preserve">Rules is known as the </w:t>
      </w:r>
      <w:hyperlink r:id="rId13" w:history="1">
        <w:r w:rsidR="00387B80" w:rsidRPr="00771392">
          <w:rPr>
            <w:rStyle w:val="Hyperlink"/>
            <w:rFonts w:ascii="Arial" w:hAnsi="Arial" w:cs="Arial"/>
            <w:sz w:val="21"/>
            <w:szCs w:val="21"/>
          </w:rPr>
          <w:t>Pr</w:t>
        </w:r>
        <w:r w:rsidR="00771392" w:rsidRPr="00771392">
          <w:rPr>
            <w:rStyle w:val="Hyperlink"/>
            <w:rFonts w:ascii="Arial" w:hAnsi="Arial" w:cs="Arial"/>
            <w:sz w:val="21"/>
            <w:szCs w:val="21"/>
          </w:rPr>
          <w:t>escribed</w:t>
        </w:r>
        <w:r w:rsidR="00387B80" w:rsidRPr="00771392">
          <w:rPr>
            <w:rStyle w:val="Hyperlink"/>
            <w:rFonts w:ascii="Arial" w:hAnsi="Arial" w:cs="Arial"/>
            <w:sz w:val="21"/>
            <w:szCs w:val="21"/>
          </w:rPr>
          <w:t xml:space="preserve"> List</w:t>
        </w:r>
      </w:hyperlink>
      <w:r w:rsidRPr="00771392">
        <w:rPr>
          <w:rFonts w:ascii="Arial" w:hAnsi="Arial" w:cs="Arial"/>
          <w:sz w:val="21"/>
          <w:szCs w:val="21"/>
        </w:rPr>
        <w:t>.</w:t>
      </w:r>
    </w:p>
    <w:p w14:paraId="3C0EED26" w14:textId="34307EE9" w:rsidR="006168AD" w:rsidRDefault="006168AD" w:rsidP="00AD644A">
      <w:pPr>
        <w:pStyle w:val="Heading1"/>
      </w:pPr>
      <w:r>
        <w:t>Purpose</w:t>
      </w:r>
    </w:p>
    <w:p w14:paraId="01B96288" w14:textId="48E7CECF" w:rsidR="00BF6A83" w:rsidRDefault="00387A8A" w:rsidP="00387A8A">
      <w:pPr>
        <w:pStyle w:val="ListBullet"/>
        <w:numPr>
          <w:ilvl w:val="0"/>
          <w:numId w:val="0"/>
        </w:numPr>
      </w:pPr>
      <w:bookmarkStart w:id="0" w:name="_Hlk86151727"/>
      <w:r w:rsidRPr="000D4E16">
        <w:t xml:space="preserve">The purpose of this paper is to </w:t>
      </w:r>
      <w:r>
        <w:t>provide information about</w:t>
      </w:r>
      <w:r w:rsidR="00735D70">
        <w:t>:</w:t>
      </w:r>
    </w:p>
    <w:p w14:paraId="32A99FC1" w14:textId="77777777" w:rsidR="00BF6A83" w:rsidRDefault="00D35D97" w:rsidP="00BF6A83">
      <w:pPr>
        <w:pStyle w:val="ListBullet"/>
        <w:numPr>
          <w:ilvl w:val="0"/>
          <w:numId w:val="49"/>
        </w:numPr>
      </w:pPr>
      <w:r>
        <w:t>proposed compliance and assurance measures</w:t>
      </w:r>
      <w:r w:rsidR="00BF6A83">
        <w:t>;</w:t>
      </w:r>
      <w:r>
        <w:t xml:space="preserve"> and</w:t>
      </w:r>
    </w:p>
    <w:p w14:paraId="5D769B6D" w14:textId="164FBD90" w:rsidR="00BF6A83" w:rsidRDefault="00D35D97" w:rsidP="00BF6A83">
      <w:pPr>
        <w:pStyle w:val="ListBullet"/>
        <w:numPr>
          <w:ilvl w:val="0"/>
          <w:numId w:val="49"/>
        </w:numPr>
      </w:pPr>
      <w:r>
        <w:t xml:space="preserve">proposed measures to promote information sharing among government agencies about medical devices and human tissue products </w:t>
      </w:r>
      <w:r w:rsidR="00596EA2">
        <w:t>included</w:t>
      </w:r>
      <w:r w:rsidR="00512026">
        <w:t xml:space="preserve"> in the </w:t>
      </w:r>
      <w:r w:rsidR="00436A0D">
        <w:t>MD</w:t>
      </w:r>
      <w:r w:rsidR="00771392">
        <w:t>HTP</w:t>
      </w:r>
      <w:r w:rsidR="00387B80" w:rsidRPr="00AA7291">
        <w:rPr>
          <w:rFonts w:cs="Arial"/>
          <w:szCs w:val="21"/>
        </w:rPr>
        <w:t xml:space="preserve"> </w:t>
      </w:r>
      <w:r w:rsidR="0048603C">
        <w:rPr>
          <w:rFonts w:cs="Arial"/>
          <w:szCs w:val="21"/>
        </w:rPr>
        <w:t>Rules</w:t>
      </w:r>
      <w:r w:rsidR="00512026">
        <w:t xml:space="preserve">. </w:t>
      </w:r>
    </w:p>
    <w:p w14:paraId="3B5E04BB" w14:textId="4C330C95" w:rsidR="00387A8A" w:rsidRDefault="00387A8A" w:rsidP="001D286C">
      <w:pPr>
        <w:pStyle w:val="ListBullet"/>
        <w:numPr>
          <w:ilvl w:val="0"/>
          <w:numId w:val="0"/>
        </w:numPr>
      </w:pPr>
      <w:r>
        <w:t>The Department is seeking feedback on the propos</w:t>
      </w:r>
      <w:r w:rsidR="00D35D97">
        <w:t>als</w:t>
      </w:r>
      <w:r>
        <w:t xml:space="preserve">, </w:t>
      </w:r>
      <w:r w:rsidRPr="005E5688">
        <w:t>including any related evidence or data.</w:t>
      </w:r>
    </w:p>
    <w:p w14:paraId="750A9F43" w14:textId="14607E2B" w:rsidR="002646EE" w:rsidRDefault="00D25919" w:rsidP="00387B80">
      <w:pPr>
        <w:pStyle w:val="ListBullet"/>
        <w:numPr>
          <w:ilvl w:val="0"/>
          <w:numId w:val="0"/>
        </w:numPr>
      </w:pPr>
      <w:r>
        <w:t xml:space="preserve">This paper builds on the information in the </w:t>
      </w:r>
      <w:r w:rsidR="0065601C">
        <w:t xml:space="preserve">proposed </w:t>
      </w:r>
      <w:hyperlink r:id="rId14" w:history="1">
        <w:r w:rsidR="00111208">
          <w:rPr>
            <w:rStyle w:val="Hyperlink"/>
          </w:rPr>
          <w:t>Prescribed</w:t>
        </w:r>
        <w:r w:rsidRPr="00D11858">
          <w:rPr>
            <w:rStyle w:val="Hyperlink"/>
          </w:rPr>
          <w:t xml:space="preserve"> List Compliance Strategy</w:t>
        </w:r>
      </w:hyperlink>
      <w:r w:rsidR="008D7C30">
        <w:t xml:space="preserve">, including the principles which govern the compliance, assurance and enforcement functions. </w:t>
      </w:r>
      <w:r w:rsidR="00737CFE">
        <w:t xml:space="preserve">Please read the information in that paper </w:t>
      </w:r>
      <w:r w:rsidR="002646EE">
        <w:t>alongside the proposals in this paper.</w:t>
      </w:r>
    </w:p>
    <w:p w14:paraId="553542DC" w14:textId="47993B80" w:rsidR="00F16869" w:rsidRDefault="00D25919" w:rsidP="00F16869">
      <w:pPr>
        <w:pStyle w:val="ListBullet"/>
        <w:numPr>
          <w:ilvl w:val="0"/>
          <w:numId w:val="0"/>
        </w:numPr>
      </w:pPr>
      <w:r>
        <w:t>Th</w:t>
      </w:r>
      <w:r w:rsidR="002646EE">
        <w:t xml:space="preserve">e </w:t>
      </w:r>
      <w:r w:rsidR="008D7C30">
        <w:t xml:space="preserve">proposals </w:t>
      </w:r>
      <w:r w:rsidR="002646EE">
        <w:t xml:space="preserve">in this paper </w:t>
      </w:r>
      <w:r w:rsidR="00FA2B69">
        <w:t xml:space="preserve">support the </w:t>
      </w:r>
      <w:hyperlink r:id="rId15" w:history="1">
        <w:r w:rsidR="00FA2B69" w:rsidRPr="00D11858">
          <w:rPr>
            <w:rStyle w:val="Hyperlink"/>
          </w:rPr>
          <w:t>Post-Listing Review Framework</w:t>
        </w:r>
      </w:hyperlink>
      <w:r w:rsidR="00FA2B69">
        <w:t xml:space="preserve"> and </w:t>
      </w:r>
      <w:r w:rsidR="002646EE">
        <w:t>represent a significant departure from some previous compliance proposals, as we have refined the proposed measures after taking into account comments</w:t>
      </w:r>
      <w:r w:rsidR="00735D70">
        <w:t xml:space="preserve"> and feedback</w:t>
      </w:r>
      <w:r w:rsidR="002646EE">
        <w:t xml:space="preserve"> from stak</w:t>
      </w:r>
      <w:r w:rsidR="00737CFE">
        <w:t>e</w:t>
      </w:r>
      <w:r w:rsidR="002646EE">
        <w:t>holders.</w:t>
      </w:r>
    </w:p>
    <w:p w14:paraId="4D6604EF" w14:textId="0865A315" w:rsidR="00F16869" w:rsidRDefault="00735D70" w:rsidP="00F16869">
      <w:pPr>
        <w:pStyle w:val="ListBullet"/>
        <w:numPr>
          <w:ilvl w:val="0"/>
          <w:numId w:val="0"/>
        </w:numPr>
      </w:pPr>
      <w:r>
        <w:t>T</w:t>
      </w:r>
      <w:r w:rsidRPr="00F16869">
        <w:t>here are many nuances with designing and implementing compliance measures</w:t>
      </w:r>
      <w:r>
        <w:t>, therefore t</w:t>
      </w:r>
      <w:r w:rsidR="00F16869" w:rsidRPr="00F16869">
        <w:t xml:space="preserve">he Department </w:t>
      </w:r>
      <w:r>
        <w:t xml:space="preserve">is keen to </w:t>
      </w:r>
      <w:r w:rsidR="00F16869" w:rsidRPr="00F16869">
        <w:t xml:space="preserve">engage stakeholders directly on the proposed measures. The measures must be ‘fit for the purpose of safeguarding the </w:t>
      </w:r>
      <w:r w:rsidR="00111208">
        <w:t>Prescribed</w:t>
      </w:r>
      <w:r w:rsidR="00D50EB6">
        <w:t xml:space="preserve"> List</w:t>
      </w:r>
      <w:r w:rsidR="00F16869" w:rsidRPr="00F16869">
        <w:t xml:space="preserve">’ and this may require some customising of the </w:t>
      </w:r>
      <w:r w:rsidR="00BF6A83">
        <w:t xml:space="preserve">proposed </w:t>
      </w:r>
      <w:r w:rsidR="00F16869" w:rsidRPr="00F16869">
        <w:t>measures</w:t>
      </w:r>
      <w:r w:rsidR="00905EBA">
        <w:t xml:space="preserve"> </w:t>
      </w:r>
      <w:r>
        <w:t xml:space="preserve">based on input from </w:t>
      </w:r>
      <w:r w:rsidR="00905EBA">
        <w:t>stakeholders</w:t>
      </w:r>
      <w:r w:rsidR="00F16869" w:rsidRPr="00F16869">
        <w:t xml:space="preserve">. </w:t>
      </w:r>
      <w:r w:rsidR="00FB6C3E">
        <w:t xml:space="preserve">This engagement is particularly important as the proposed measures </w:t>
      </w:r>
      <w:r w:rsidR="00C8559A">
        <w:t xml:space="preserve">could </w:t>
      </w:r>
      <w:r w:rsidR="00FB6C3E">
        <w:t>constitute</w:t>
      </w:r>
      <w:r w:rsidR="00236BFC">
        <w:t xml:space="preserve"> </w:t>
      </w:r>
      <w:r w:rsidR="00FB6C3E">
        <w:t xml:space="preserve">new </w:t>
      </w:r>
      <w:r w:rsidR="00236BFC">
        <w:t xml:space="preserve">obligations </w:t>
      </w:r>
      <w:r w:rsidR="00FB6C3E">
        <w:t>for some stakeholders.</w:t>
      </w:r>
    </w:p>
    <w:p w14:paraId="06DF4759" w14:textId="12580C5C" w:rsidR="005A7B03" w:rsidRDefault="005A7B03" w:rsidP="00387B80">
      <w:pPr>
        <w:pStyle w:val="ListBullet"/>
        <w:numPr>
          <w:ilvl w:val="0"/>
          <w:numId w:val="0"/>
        </w:numPr>
      </w:pPr>
      <w:r>
        <w:t xml:space="preserve">In considering the proposals, please note that </w:t>
      </w:r>
      <w:r w:rsidR="0093560F">
        <w:t xml:space="preserve">legislative </w:t>
      </w:r>
      <w:r>
        <w:t xml:space="preserve">drafting of measures may mean </w:t>
      </w:r>
      <w:r w:rsidR="008D51D0">
        <w:t xml:space="preserve">that </w:t>
      </w:r>
      <w:r>
        <w:t xml:space="preserve">a different approach </w:t>
      </w:r>
      <w:r w:rsidR="00735D70">
        <w:t xml:space="preserve">is necessary and may therefore differ slightly to </w:t>
      </w:r>
      <w:r>
        <w:t>th</w:t>
      </w:r>
      <w:r w:rsidR="00AA0BFA">
        <w:t xml:space="preserve">e examples or suggestions </w:t>
      </w:r>
      <w:r w:rsidR="008D51D0">
        <w:t>in this paper</w:t>
      </w:r>
      <w:r>
        <w:t>.</w:t>
      </w:r>
    </w:p>
    <w:p w14:paraId="20E8404B" w14:textId="56DEE4A9" w:rsidR="00387A8A" w:rsidRPr="00DA100A" w:rsidRDefault="002A11EC" w:rsidP="00DA100A">
      <w:pPr>
        <w:pStyle w:val="Heading1"/>
      </w:pPr>
      <w:r w:rsidRPr="00DA100A">
        <w:t>Primary Legislation</w:t>
      </w:r>
    </w:p>
    <w:p w14:paraId="6971C3E8" w14:textId="277D7390" w:rsidR="00387B80" w:rsidRPr="003436AB" w:rsidRDefault="002A11EC" w:rsidP="002A11EC">
      <w:pPr>
        <w:pStyle w:val="ListBullet"/>
        <w:numPr>
          <w:ilvl w:val="0"/>
          <w:numId w:val="0"/>
        </w:numPr>
      </w:pPr>
      <w:r>
        <w:t xml:space="preserve">The </w:t>
      </w:r>
      <w:hyperlink r:id="rId16" w:history="1">
        <w:r w:rsidRPr="00853A28">
          <w:rPr>
            <w:rStyle w:val="Hyperlink"/>
            <w:i/>
            <w:iCs/>
          </w:rPr>
          <w:t xml:space="preserve">Private Health Insurance Legislation Amendment (Medical Device and Human Tissue Product List and Cost Recovery) </w:t>
        </w:r>
        <w:r w:rsidR="00D50EB6" w:rsidRPr="00853A28">
          <w:rPr>
            <w:rStyle w:val="Hyperlink"/>
            <w:i/>
            <w:iCs/>
          </w:rPr>
          <w:t>Act 2023</w:t>
        </w:r>
      </w:hyperlink>
      <w:r w:rsidRPr="00D50EB6">
        <w:t xml:space="preserve"> (</w:t>
      </w:r>
      <w:r w:rsidR="00332B9D" w:rsidRPr="00D50EB6">
        <w:t>PHI Amendment Act</w:t>
      </w:r>
      <w:r w:rsidR="00D50EB6" w:rsidRPr="00D50EB6">
        <w:t>)</w:t>
      </w:r>
      <w:r w:rsidRPr="00D50EB6">
        <w:t xml:space="preserve"> introduces</w:t>
      </w:r>
      <w:r>
        <w:t xml:space="preserve"> definitions of ‘medical device’ and ‘human tissue product’ into the PHI Act</w:t>
      </w:r>
      <w:r w:rsidRPr="003436AB">
        <w:t xml:space="preserve">. </w:t>
      </w:r>
      <w:r w:rsidR="00E55601" w:rsidRPr="003436AB">
        <w:t>The PHI Amendment Act commences on 1 July 2023.</w:t>
      </w:r>
    </w:p>
    <w:p w14:paraId="0BBD3900" w14:textId="13DE30F0" w:rsidR="002A11EC" w:rsidRDefault="002A11EC" w:rsidP="002A11EC">
      <w:pPr>
        <w:pStyle w:val="ListBullet"/>
        <w:numPr>
          <w:ilvl w:val="0"/>
          <w:numId w:val="0"/>
        </w:numPr>
      </w:pPr>
      <w:r w:rsidRPr="003436AB">
        <w:lastRenderedPageBreak/>
        <w:t xml:space="preserve">The PHI </w:t>
      </w:r>
      <w:r w:rsidR="00E55601" w:rsidRPr="003436AB">
        <w:t xml:space="preserve">Amendment Act </w:t>
      </w:r>
      <w:r w:rsidRPr="003436AB">
        <w:t xml:space="preserve">removes current references to ‘prosthesis’ and ‘prostheses’ in the PHI Act and replaces them with ‘medical device’ and ‘human tissue product’. The PHI </w:t>
      </w:r>
      <w:r w:rsidR="00E339EC" w:rsidRPr="003436AB">
        <w:t xml:space="preserve">Amendment Act </w:t>
      </w:r>
      <w:r w:rsidRPr="003436AB">
        <w:t>also</w:t>
      </w:r>
      <w:r>
        <w:t xml:space="preserve"> renames the ‘Private Health Insurance (Prostheses) Rules’ to the ‘Private Health Insurance (Medical Devices and Human Tissue Products) Rules</w:t>
      </w:r>
      <w:r w:rsidR="004922CC">
        <w:t>’</w:t>
      </w:r>
      <w:r>
        <w:t>. The Schedule to these rules is to be known as the ‘</w:t>
      </w:r>
      <w:r w:rsidRPr="00387A8A">
        <w:t>Prescribed List of</w:t>
      </w:r>
      <w:r w:rsidR="00B15B67">
        <w:t xml:space="preserve"> </w:t>
      </w:r>
      <w:r w:rsidRPr="00387A8A">
        <w:t>Medical Devices and Human Tissue Products (Prescribed List)</w:t>
      </w:r>
      <w:r>
        <w:t>.</w:t>
      </w:r>
      <w:r w:rsidR="00653BA1">
        <w:t xml:space="preserve"> The following table describes these changes. </w:t>
      </w:r>
    </w:p>
    <w:p w14:paraId="19E3A566" w14:textId="0B103D84" w:rsidR="002A11EC" w:rsidRDefault="002A11EC" w:rsidP="00387A8A">
      <w:pPr>
        <w:pStyle w:val="ListBullet"/>
        <w:numPr>
          <w:ilvl w:val="0"/>
          <w:numId w:val="0"/>
        </w:numPr>
      </w:pPr>
    </w:p>
    <w:tbl>
      <w:tblPr>
        <w:tblStyle w:val="TableGrid"/>
        <w:tblW w:w="8364" w:type="dxa"/>
        <w:tblInd w:w="562" w:type="dxa"/>
        <w:tblLook w:val="04A0" w:firstRow="1" w:lastRow="0" w:firstColumn="1" w:lastColumn="0" w:noHBand="0" w:noVBand="1"/>
      </w:tblPr>
      <w:tblGrid>
        <w:gridCol w:w="3686"/>
        <w:gridCol w:w="4678"/>
      </w:tblGrid>
      <w:tr w:rsidR="002A11EC" w:rsidRPr="002A11EC" w14:paraId="488F6608" w14:textId="77777777" w:rsidTr="002D50BD">
        <w:tc>
          <w:tcPr>
            <w:tcW w:w="3686" w:type="dxa"/>
          </w:tcPr>
          <w:p w14:paraId="45118AC0" w14:textId="21108F27" w:rsidR="002A11EC" w:rsidRPr="002A11EC" w:rsidRDefault="002A11EC" w:rsidP="00387A8A">
            <w:pPr>
              <w:pStyle w:val="ListBullet"/>
              <w:numPr>
                <w:ilvl w:val="0"/>
                <w:numId w:val="0"/>
              </w:numPr>
              <w:rPr>
                <w:b/>
                <w:bCs w:val="0"/>
              </w:rPr>
            </w:pPr>
            <w:r w:rsidRPr="002A11EC">
              <w:rPr>
                <w:b/>
                <w:bCs w:val="0"/>
              </w:rPr>
              <w:t>Old Law</w:t>
            </w:r>
            <w:r w:rsidR="00D50EB6">
              <w:rPr>
                <w:b/>
                <w:bCs w:val="0"/>
              </w:rPr>
              <w:t xml:space="preserve"> terms</w:t>
            </w:r>
          </w:p>
        </w:tc>
        <w:tc>
          <w:tcPr>
            <w:tcW w:w="4678" w:type="dxa"/>
          </w:tcPr>
          <w:p w14:paraId="4D04B48D" w14:textId="1C866225" w:rsidR="002A11EC" w:rsidRPr="002A11EC" w:rsidRDefault="002A11EC" w:rsidP="00387A8A">
            <w:pPr>
              <w:pStyle w:val="ListBullet"/>
              <w:numPr>
                <w:ilvl w:val="0"/>
                <w:numId w:val="0"/>
              </w:numPr>
              <w:rPr>
                <w:b/>
                <w:bCs w:val="0"/>
              </w:rPr>
            </w:pPr>
            <w:r w:rsidRPr="002A11EC">
              <w:rPr>
                <w:b/>
                <w:bCs w:val="0"/>
              </w:rPr>
              <w:t>New Law</w:t>
            </w:r>
            <w:r w:rsidR="00D50EB6">
              <w:rPr>
                <w:b/>
                <w:bCs w:val="0"/>
              </w:rPr>
              <w:t xml:space="preserve"> terms</w:t>
            </w:r>
          </w:p>
        </w:tc>
      </w:tr>
      <w:tr w:rsidR="002A11EC" w14:paraId="1027B9C6" w14:textId="77777777" w:rsidTr="002D50BD">
        <w:tc>
          <w:tcPr>
            <w:tcW w:w="3686" w:type="dxa"/>
          </w:tcPr>
          <w:p w14:paraId="404A0E75" w14:textId="3B702DF4" w:rsidR="002A11EC" w:rsidRDefault="004922CC" w:rsidP="00387A8A">
            <w:pPr>
              <w:pStyle w:val="ListBullet"/>
              <w:numPr>
                <w:ilvl w:val="0"/>
                <w:numId w:val="0"/>
              </w:numPr>
            </w:pPr>
            <w:r>
              <w:t>p</w:t>
            </w:r>
            <w:r w:rsidR="002A11EC">
              <w:t>rostheses or prosthesis</w:t>
            </w:r>
          </w:p>
        </w:tc>
        <w:tc>
          <w:tcPr>
            <w:tcW w:w="4678" w:type="dxa"/>
          </w:tcPr>
          <w:p w14:paraId="74197844" w14:textId="3CDD9793" w:rsidR="002A11EC" w:rsidRDefault="001E7A6D" w:rsidP="00387A8A">
            <w:pPr>
              <w:pStyle w:val="ListBullet"/>
              <w:numPr>
                <w:ilvl w:val="0"/>
                <w:numId w:val="0"/>
              </w:numPr>
            </w:pPr>
            <w:r>
              <w:t>m</w:t>
            </w:r>
            <w:r w:rsidR="002A11EC">
              <w:t>edical device or human tissue product</w:t>
            </w:r>
          </w:p>
        </w:tc>
      </w:tr>
      <w:tr w:rsidR="002A11EC" w14:paraId="37ECD16A" w14:textId="77777777" w:rsidTr="002D50BD">
        <w:tc>
          <w:tcPr>
            <w:tcW w:w="3686" w:type="dxa"/>
          </w:tcPr>
          <w:p w14:paraId="12640049" w14:textId="40D9FE2E" w:rsidR="002A11EC" w:rsidRDefault="004922CC" w:rsidP="00387A8A">
            <w:pPr>
              <w:pStyle w:val="ListBullet"/>
              <w:numPr>
                <w:ilvl w:val="0"/>
                <w:numId w:val="0"/>
              </w:numPr>
            </w:pPr>
            <w:r>
              <w:t>Private Health Insurance (Prostheses) Rules (</w:t>
            </w:r>
            <w:r w:rsidRPr="001E7A6D">
              <w:rPr>
                <w:b/>
                <w:bCs w:val="0"/>
              </w:rPr>
              <w:t>Prostheses Rules</w:t>
            </w:r>
            <w:r>
              <w:t>)</w:t>
            </w:r>
          </w:p>
        </w:tc>
        <w:bookmarkStart w:id="1" w:name="_Hlk126238022"/>
        <w:tc>
          <w:tcPr>
            <w:tcW w:w="4678" w:type="dxa"/>
          </w:tcPr>
          <w:p w14:paraId="216B9982" w14:textId="42FA6C89" w:rsidR="002A11EC" w:rsidRDefault="0008304F" w:rsidP="00387A8A">
            <w:pPr>
              <w:pStyle w:val="ListBullet"/>
              <w:numPr>
                <w:ilvl w:val="0"/>
                <w:numId w:val="0"/>
              </w:numPr>
            </w:pPr>
            <w:r>
              <w:fldChar w:fldCharType="begin"/>
            </w:r>
            <w:r>
              <w:instrText xml:space="preserve"> HYPERLINK "https://www.legislation.gov.au/Details/F2023L00796" </w:instrText>
            </w:r>
            <w:r>
              <w:fldChar w:fldCharType="separate"/>
            </w:r>
            <w:r w:rsidR="004922CC" w:rsidRPr="0008304F">
              <w:rPr>
                <w:rStyle w:val="Hyperlink"/>
              </w:rPr>
              <w:t>Private Health Insurance (Medical Devices and Human Tissue Products) Rules</w:t>
            </w:r>
            <w:bookmarkEnd w:id="1"/>
            <w:r>
              <w:fldChar w:fldCharType="end"/>
            </w:r>
            <w:r w:rsidR="001E7A6D">
              <w:t xml:space="preserve"> (</w:t>
            </w:r>
            <w:r w:rsidR="00387B80" w:rsidRPr="00387B80">
              <w:rPr>
                <w:b/>
                <w:bCs w:val="0"/>
              </w:rPr>
              <w:t>the</w:t>
            </w:r>
            <w:r w:rsidR="001E7A6D" w:rsidRPr="001E7A6D">
              <w:rPr>
                <w:b/>
                <w:bCs w:val="0"/>
              </w:rPr>
              <w:t xml:space="preserve"> </w:t>
            </w:r>
            <w:r w:rsidR="00FC6394">
              <w:rPr>
                <w:b/>
                <w:bCs w:val="0"/>
              </w:rPr>
              <w:t xml:space="preserve">MDHTP </w:t>
            </w:r>
            <w:r w:rsidR="001E7A6D" w:rsidRPr="001E7A6D">
              <w:rPr>
                <w:b/>
                <w:bCs w:val="0"/>
              </w:rPr>
              <w:t>Rules</w:t>
            </w:r>
            <w:r w:rsidR="001E7A6D">
              <w:t>)</w:t>
            </w:r>
          </w:p>
        </w:tc>
      </w:tr>
      <w:tr w:rsidR="002A11EC" w14:paraId="0C8FA5FB" w14:textId="77777777" w:rsidTr="002D50BD">
        <w:tc>
          <w:tcPr>
            <w:tcW w:w="3686" w:type="dxa"/>
          </w:tcPr>
          <w:p w14:paraId="7C379FF3" w14:textId="5C9CA8C0" w:rsidR="002A11EC" w:rsidRDefault="004922CC" w:rsidP="00387A8A">
            <w:pPr>
              <w:pStyle w:val="ListBullet"/>
              <w:numPr>
                <w:ilvl w:val="0"/>
                <w:numId w:val="0"/>
              </w:numPr>
            </w:pPr>
            <w:r>
              <w:t>Prostheses List (</w:t>
            </w:r>
            <w:r w:rsidR="00B50F71">
              <w:t>S</w:t>
            </w:r>
            <w:r>
              <w:t>chedule to the</w:t>
            </w:r>
            <w:r w:rsidR="00B50F71">
              <w:t xml:space="preserve"> Prostheses Rules)</w:t>
            </w:r>
            <w:r>
              <w:t xml:space="preserve"> </w:t>
            </w:r>
          </w:p>
        </w:tc>
        <w:tc>
          <w:tcPr>
            <w:tcW w:w="4678" w:type="dxa"/>
          </w:tcPr>
          <w:p w14:paraId="7D0038CA" w14:textId="179243B1" w:rsidR="002A11EC" w:rsidRDefault="00C53F8B" w:rsidP="00387A8A">
            <w:pPr>
              <w:pStyle w:val="ListBullet"/>
              <w:numPr>
                <w:ilvl w:val="0"/>
                <w:numId w:val="0"/>
              </w:numPr>
            </w:pPr>
            <w:hyperlink r:id="rId17" w:history="1">
              <w:r w:rsidR="004922CC" w:rsidRPr="0008304F">
                <w:rPr>
                  <w:rStyle w:val="Hyperlink"/>
                </w:rPr>
                <w:t>Prescribed List of Medical Devices and Human Tissue Products (Prescribed List)</w:t>
              </w:r>
              <w:r w:rsidR="001A5E81" w:rsidRPr="0008304F">
                <w:rPr>
                  <w:rStyle w:val="Hyperlink"/>
                </w:rPr>
                <w:t>(</w:t>
              </w:r>
              <w:r w:rsidR="00D50EB6" w:rsidRPr="0008304F">
                <w:rPr>
                  <w:rStyle w:val="Hyperlink"/>
                </w:rPr>
                <w:t xml:space="preserve">Schedule to the </w:t>
              </w:r>
              <w:r w:rsidR="002D50BD" w:rsidRPr="0008304F">
                <w:rPr>
                  <w:rStyle w:val="Hyperlink"/>
                </w:rPr>
                <w:t xml:space="preserve">MDHTP </w:t>
              </w:r>
              <w:r w:rsidR="00D50EB6" w:rsidRPr="0008304F">
                <w:rPr>
                  <w:rStyle w:val="Hyperlink"/>
                </w:rPr>
                <w:t>Rules</w:t>
              </w:r>
              <w:r w:rsidR="001A5E81" w:rsidRPr="0008304F">
                <w:rPr>
                  <w:rStyle w:val="Hyperlink"/>
                </w:rPr>
                <w:t>)</w:t>
              </w:r>
            </w:hyperlink>
          </w:p>
        </w:tc>
      </w:tr>
      <w:tr w:rsidR="002D50BD" w14:paraId="760E5226" w14:textId="77777777" w:rsidTr="002D50BD">
        <w:tc>
          <w:tcPr>
            <w:tcW w:w="3686" w:type="dxa"/>
          </w:tcPr>
          <w:p w14:paraId="3D1AB9DA" w14:textId="3FF70CEC" w:rsidR="002D50BD" w:rsidRDefault="002D50BD" w:rsidP="00592363">
            <w:pPr>
              <w:pStyle w:val="ListBullet"/>
              <w:numPr>
                <w:ilvl w:val="0"/>
                <w:numId w:val="0"/>
              </w:numPr>
            </w:pPr>
            <w:r>
              <w:t>listed prosthesis (a kind of prosthesis listed in the Schedule to the Prostheses Rules)</w:t>
            </w:r>
          </w:p>
        </w:tc>
        <w:tc>
          <w:tcPr>
            <w:tcW w:w="4678" w:type="dxa"/>
          </w:tcPr>
          <w:p w14:paraId="4558ADBF" w14:textId="43085370" w:rsidR="002D50BD" w:rsidRDefault="002D50BD" w:rsidP="00592363">
            <w:pPr>
              <w:pStyle w:val="ListBullet"/>
              <w:numPr>
                <w:ilvl w:val="0"/>
                <w:numId w:val="0"/>
              </w:numPr>
            </w:pPr>
            <w:r>
              <w:t>listed device or product (a kind of medical device or human tissue product listed in the Schedule to the MDHTP Rules)</w:t>
            </w:r>
          </w:p>
        </w:tc>
      </w:tr>
    </w:tbl>
    <w:p w14:paraId="060103C0" w14:textId="77777777" w:rsidR="00F75EA2" w:rsidRDefault="00F75EA2" w:rsidP="004A23AD">
      <w:pPr>
        <w:pStyle w:val="ListBullet"/>
        <w:numPr>
          <w:ilvl w:val="0"/>
          <w:numId w:val="0"/>
        </w:numPr>
      </w:pPr>
    </w:p>
    <w:p w14:paraId="477511EF" w14:textId="67EBDCFF" w:rsidR="004E36A3" w:rsidRPr="00DA100A" w:rsidRDefault="00D35D97" w:rsidP="004A23AD">
      <w:pPr>
        <w:pStyle w:val="ListBullet"/>
        <w:numPr>
          <w:ilvl w:val="0"/>
          <w:numId w:val="0"/>
        </w:numPr>
        <w:rPr>
          <w:rFonts w:eastAsia="Times New Roman" w:cs="Arial"/>
          <w:color w:val="3F4A75"/>
          <w:kern w:val="28"/>
          <w:sz w:val="36"/>
          <w:szCs w:val="36"/>
        </w:rPr>
      </w:pPr>
      <w:r>
        <w:rPr>
          <w:rFonts w:eastAsia="Times New Roman" w:cs="Arial"/>
          <w:color w:val="3F4A75"/>
          <w:kern w:val="28"/>
          <w:sz w:val="36"/>
          <w:szCs w:val="36"/>
        </w:rPr>
        <w:t xml:space="preserve">Current </w:t>
      </w:r>
      <w:r w:rsidR="004E36A3" w:rsidRPr="00DA100A">
        <w:rPr>
          <w:rFonts w:eastAsia="Times New Roman" w:cs="Arial"/>
          <w:color w:val="3F4A75"/>
          <w:kern w:val="28"/>
          <w:sz w:val="36"/>
          <w:szCs w:val="36"/>
        </w:rPr>
        <w:t>Legislative Context</w:t>
      </w:r>
    </w:p>
    <w:p w14:paraId="581491E7" w14:textId="3377FC00" w:rsidR="008D7C30" w:rsidRDefault="00737CFE" w:rsidP="00ED3D4B">
      <w:pPr>
        <w:pStyle w:val="ListBullet"/>
        <w:numPr>
          <w:ilvl w:val="0"/>
          <w:numId w:val="0"/>
        </w:numPr>
      </w:pPr>
      <w:r>
        <w:t xml:space="preserve">As outlined in the </w:t>
      </w:r>
      <w:hyperlink r:id="rId18" w:history="1">
        <w:r w:rsidRPr="00B556E9">
          <w:rPr>
            <w:rStyle w:val="Hyperlink"/>
          </w:rPr>
          <w:t>Compliance Strategy</w:t>
        </w:r>
      </w:hyperlink>
      <w:r w:rsidR="008D7C30">
        <w:t>, a number of obligations and expectations already apply to stakeholders (insurers, sponsors, hospitals)</w:t>
      </w:r>
      <w:r w:rsidR="009B4C50">
        <w:t xml:space="preserve"> under private health insurance legislation</w:t>
      </w:r>
      <w:r w:rsidR="008D7C30">
        <w:t>. These include:</w:t>
      </w:r>
    </w:p>
    <w:p w14:paraId="62242299" w14:textId="2F0A3ED1" w:rsidR="008D7C30" w:rsidRDefault="009B4C50" w:rsidP="008D7C30">
      <w:pPr>
        <w:pStyle w:val="ListBullet"/>
        <w:numPr>
          <w:ilvl w:val="0"/>
          <w:numId w:val="32"/>
        </w:numPr>
      </w:pPr>
      <w:r>
        <w:t>r</w:t>
      </w:r>
      <w:r w:rsidR="008D7C30">
        <w:t xml:space="preserve">equirements in the </w:t>
      </w:r>
      <w:hyperlink r:id="rId19" w:history="1">
        <w:r w:rsidR="008D7C30" w:rsidRPr="00853A28">
          <w:rPr>
            <w:rStyle w:val="Hyperlink"/>
            <w:i/>
            <w:iCs/>
          </w:rPr>
          <w:t>Therapeutic Goods Act 1989</w:t>
        </w:r>
      </w:hyperlink>
      <w:r w:rsidR="008D7C30">
        <w:t>, as they relate to conformity assessment, inclusion of medical devices and biologicals in the Australian Register of Therapeutic Goods (ARTG), compliance with the essential principles, as well as advertising, labelling, and product appearance</w:t>
      </w:r>
      <w:r w:rsidR="00EF1DB2">
        <w:t>;</w:t>
      </w:r>
    </w:p>
    <w:p w14:paraId="6A26401D" w14:textId="7E73BDF3" w:rsidR="008D7C30" w:rsidRDefault="00EF1DB2" w:rsidP="008D7C30">
      <w:pPr>
        <w:pStyle w:val="ListBullet"/>
        <w:numPr>
          <w:ilvl w:val="0"/>
          <w:numId w:val="32"/>
        </w:numPr>
      </w:pPr>
      <w:r>
        <w:t>t</w:t>
      </w:r>
      <w:r w:rsidR="008D7C30">
        <w:t xml:space="preserve">he Australian Consumer Law (ACL) in Schedule 2 to the </w:t>
      </w:r>
      <w:hyperlink r:id="rId20" w:history="1">
        <w:r w:rsidR="008D7C30" w:rsidRPr="00853A28">
          <w:rPr>
            <w:rStyle w:val="Hyperlink"/>
            <w:i/>
            <w:iCs/>
          </w:rPr>
          <w:t>Competition and Consumer Act 2010</w:t>
        </w:r>
      </w:hyperlink>
      <w:r w:rsidR="008D7C30">
        <w:t xml:space="preserve"> (Cth)</w:t>
      </w:r>
      <w:r>
        <w:t>, including in relation to misleading or deceptive conduct and remedies for loss or damage arising from misleading or deceptive conduct; and</w:t>
      </w:r>
    </w:p>
    <w:p w14:paraId="0C2E24B2" w14:textId="3F6D19A8" w:rsidR="008D7C30" w:rsidRDefault="00EF1DB2" w:rsidP="008D7C30">
      <w:pPr>
        <w:pStyle w:val="ListBullet"/>
        <w:numPr>
          <w:ilvl w:val="0"/>
          <w:numId w:val="32"/>
        </w:numPr>
      </w:pPr>
      <w:r>
        <w:t>t</w:t>
      </w:r>
      <w:r w:rsidR="008D7C30">
        <w:t xml:space="preserve">he Criminal Code </w:t>
      </w:r>
      <w:r>
        <w:t xml:space="preserve">(Schedule to the </w:t>
      </w:r>
      <w:hyperlink r:id="rId21" w:history="1">
        <w:r w:rsidRPr="00853A28">
          <w:rPr>
            <w:rStyle w:val="Hyperlink"/>
            <w:i/>
            <w:iCs/>
          </w:rPr>
          <w:t xml:space="preserve">Criminal Code </w:t>
        </w:r>
        <w:r w:rsidR="008D7C30" w:rsidRPr="00853A28">
          <w:rPr>
            <w:rStyle w:val="Hyperlink"/>
            <w:i/>
            <w:iCs/>
          </w:rPr>
          <w:t>Act 1995</w:t>
        </w:r>
      </w:hyperlink>
      <w:r w:rsidR="008D7C30">
        <w:t xml:space="preserve"> (Cth) (the Criminal Code) </w:t>
      </w:r>
      <w:r>
        <w:t xml:space="preserve">that </w:t>
      </w:r>
      <w:r w:rsidR="008D7C30">
        <w:t xml:space="preserve">may apply to </w:t>
      </w:r>
      <w:r>
        <w:t xml:space="preserve">providing </w:t>
      </w:r>
      <w:r w:rsidR="00D47146">
        <w:t xml:space="preserve">false or </w:t>
      </w:r>
      <w:r w:rsidR="008D7C30">
        <w:t>misleading information to the Department.</w:t>
      </w:r>
    </w:p>
    <w:p w14:paraId="1412BDF4" w14:textId="0AD30EF7" w:rsidR="0003576B" w:rsidRDefault="001D286C" w:rsidP="00ED3D4B">
      <w:pPr>
        <w:pStyle w:val="ListBullet"/>
        <w:numPr>
          <w:ilvl w:val="0"/>
          <w:numId w:val="0"/>
        </w:numPr>
      </w:pPr>
      <w:r w:rsidRPr="005247EE">
        <w:t xml:space="preserve">The Department considers that there is scope to consider a more cooperative approach for safeguarding the </w:t>
      </w:r>
      <w:r w:rsidR="00111208">
        <w:t>Prescribed</w:t>
      </w:r>
      <w:r w:rsidRPr="005247EE">
        <w:t xml:space="preserve"> List with greater reliance on promoting a shared responsibility between government, sponsors, hospitals and insurers.</w:t>
      </w:r>
      <w:r w:rsidR="001A2CF6" w:rsidRPr="005247EE">
        <w:t xml:space="preserve"> The Department considers that this </w:t>
      </w:r>
      <w:r w:rsidR="00236BFC" w:rsidRPr="005247EE">
        <w:t xml:space="preserve">preventative </w:t>
      </w:r>
      <w:r w:rsidR="001A2CF6" w:rsidRPr="005247EE">
        <w:t xml:space="preserve">approach </w:t>
      </w:r>
      <w:r w:rsidR="00C8559A" w:rsidRPr="005247EE">
        <w:t>would</w:t>
      </w:r>
      <w:r w:rsidR="001A2CF6" w:rsidRPr="005247EE">
        <w:t xml:space="preserve"> result in less emphasis on punitive measures</w:t>
      </w:r>
      <w:r w:rsidR="00C720A0" w:rsidRPr="005247EE">
        <w:t>, while recognising that punitive measures will still need to be available.</w:t>
      </w:r>
    </w:p>
    <w:p w14:paraId="29A8AFC8" w14:textId="29FEB23F" w:rsidR="0003576B" w:rsidRPr="0003576B" w:rsidRDefault="0003576B" w:rsidP="00ED3D4B">
      <w:pPr>
        <w:pStyle w:val="ListBullet"/>
        <w:numPr>
          <w:ilvl w:val="0"/>
          <w:numId w:val="0"/>
        </w:numPr>
        <w:rPr>
          <w:rFonts w:eastAsia="Times New Roman" w:cs="Arial"/>
          <w:color w:val="3F4A75"/>
          <w:kern w:val="28"/>
          <w:sz w:val="36"/>
          <w:szCs w:val="36"/>
        </w:rPr>
      </w:pPr>
      <w:r w:rsidRPr="0003576B">
        <w:rPr>
          <w:rFonts w:eastAsia="Times New Roman" w:cs="Arial"/>
          <w:color w:val="3F4A75"/>
          <w:kern w:val="28"/>
          <w:sz w:val="36"/>
          <w:szCs w:val="36"/>
        </w:rPr>
        <w:t>Policy Context</w:t>
      </w:r>
    </w:p>
    <w:p w14:paraId="0FA54631" w14:textId="1E4393FC" w:rsidR="0077153F" w:rsidRPr="0077153F" w:rsidRDefault="00111208" w:rsidP="00ED3D4B">
      <w:pPr>
        <w:pStyle w:val="ListBullet"/>
        <w:numPr>
          <w:ilvl w:val="0"/>
          <w:numId w:val="0"/>
        </w:numPr>
        <w:rPr>
          <w:b/>
          <w:bCs w:val="0"/>
        </w:rPr>
      </w:pPr>
      <w:r>
        <w:rPr>
          <w:b/>
          <w:bCs w:val="0"/>
        </w:rPr>
        <w:t>Prescribed</w:t>
      </w:r>
      <w:r w:rsidR="0077153F" w:rsidRPr="0077153F">
        <w:rPr>
          <w:b/>
          <w:bCs w:val="0"/>
        </w:rPr>
        <w:t xml:space="preserve"> List</w:t>
      </w:r>
    </w:p>
    <w:p w14:paraId="58664E16" w14:textId="0E380D3C" w:rsidR="0003576B" w:rsidRDefault="0003576B" w:rsidP="00ED3D4B">
      <w:pPr>
        <w:pStyle w:val="ListBullet"/>
        <w:numPr>
          <w:ilvl w:val="0"/>
          <w:numId w:val="0"/>
        </w:numPr>
      </w:pPr>
      <w:r>
        <w:t xml:space="preserve">The </w:t>
      </w:r>
      <w:hyperlink r:id="rId22" w:history="1">
        <w:r w:rsidRPr="00853A28">
          <w:rPr>
            <w:rStyle w:val="Hyperlink"/>
            <w:i/>
            <w:iCs/>
          </w:rPr>
          <w:t>Private Health Insurance Act 2007</w:t>
        </w:r>
      </w:hyperlink>
      <w:r>
        <w:t xml:space="preserve"> (PHI Act) is about private health insurance (see section 3-1 of the PHI Act)</w:t>
      </w:r>
      <w:r w:rsidR="0005544C">
        <w:t xml:space="preserve"> and specifically, encouraging people to have private health insurance and rules governing private health insurance products.</w:t>
      </w:r>
    </w:p>
    <w:p w14:paraId="7BCCB9DE" w14:textId="3B35BA0F" w:rsidR="0003576B" w:rsidRDefault="0005544C" w:rsidP="00ED3D4B">
      <w:pPr>
        <w:pStyle w:val="ListBullet"/>
        <w:numPr>
          <w:ilvl w:val="0"/>
          <w:numId w:val="0"/>
        </w:numPr>
      </w:pPr>
      <w:r>
        <w:t xml:space="preserve">Within this context, the </w:t>
      </w:r>
      <w:hyperlink r:id="rId23" w:history="1">
        <w:r w:rsidR="00111208">
          <w:rPr>
            <w:rStyle w:val="Hyperlink"/>
          </w:rPr>
          <w:t>Prescribed</w:t>
        </w:r>
        <w:r w:rsidR="00FC6394" w:rsidRPr="000B3AE9">
          <w:rPr>
            <w:rStyle w:val="Hyperlink"/>
          </w:rPr>
          <w:t xml:space="preserve"> List</w:t>
        </w:r>
      </w:hyperlink>
      <w:r>
        <w:t xml:space="preserve"> represents a unique arrangement where applicants (who are not insurers) voluntarily apply to </w:t>
      </w:r>
      <w:r w:rsidR="00FC6394">
        <w:t>include</w:t>
      </w:r>
      <w:r>
        <w:t xml:space="preserve"> a </w:t>
      </w:r>
      <w:r w:rsidR="00FC6394">
        <w:t xml:space="preserve">medical </w:t>
      </w:r>
      <w:r>
        <w:t xml:space="preserve">device or </w:t>
      </w:r>
      <w:r w:rsidR="00FC6394">
        <w:t xml:space="preserve">human tissue </w:t>
      </w:r>
      <w:r>
        <w:t xml:space="preserve">product in the </w:t>
      </w:r>
      <w:r w:rsidR="00111208">
        <w:t>Prescribed</w:t>
      </w:r>
      <w:r w:rsidR="00FC6394">
        <w:t xml:space="preserve"> List </w:t>
      </w:r>
      <w:r>
        <w:t xml:space="preserve">and a benefit is specified for that device or product. A device or product is included in the </w:t>
      </w:r>
      <w:r w:rsidR="00111208">
        <w:t>Prescribed</w:t>
      </w:r>
      <w:r w:rsidR="00FC6394">
        <w:t xml:space="preserve"> List i</w:t>
      </w:r>
      <w:r>
        <w:t xml:space="preserve">f among other things, it </w:t>
      </w:r>
      <w:r w:rsidR="000D7357">
        <w:t xml:space="preserve">demonstrates comparative </w:t>
      </w:r>
      <w:r>
        <w:t>clinical effective</w:t>
      </w:r>
      <w:r w:rsidR="000D7357">
        <w:t>ness</w:t>
      </w:r>
      <w:r>
        <w:t xml:space="preserve"> and the benefit is proportionate to </w:t>
      </w:r>
      <w:r>
        <w:lastRenderedPageBreak/>
        <w:t>the clinical effectiveness.</w:t>
      </w:r>
      <w:r w:rsidR="005700AC">
        <w:t xml:space="preserve"> The benefit that is derived is not necessarily the same as the price of that device.</w:t>
      </w:r>
    </w:p>
    <w:p w14:paraId="364B321B" w14:textId="3CB38600" w:rsidR="0049054A" w:rsidRDefault="0005544C" w:rsidP="00ED3D4B">
      <w:pPr>
        <w:pStyle w:val="ListBullet"/>
        <w:numPr>
          <w:ilvl w:val="0"/>
          <w:numId w:val="0"/>
        </w:numPr>
      </w:pPr>
      <w:r>
        <w:t xml:space="preserve">Once included in the </w:t>
      </w:r>
      <w:r w:rsidR="00111208">
        <w:t>Prescribed</w:t>
      </w:r>
      <w:r w:rsidR="00FC6394">
        <w:t xml:space="preserve"> List </w:t>
      </w:r>
      <w:r>
        <w:t xml:space="preserve">there are limited detailed requirements (other than the general measures above) that then apply. This leaves the ongoing maintenance of the </w:t>
      </w:r>
      <w:r w:rsidR="00111208">
        <w:t>Prescribed</w:t>
      </w:r>
      <w:r w:rsidR="00FC6394">
        <w:t xml:space="preserve"> List </w:t>
      </w:r>
      <w:r>
        <w:t>to ad hoc reviews by the Department</w:t>
      </w:r>
      <w:r w:rsidR="00304C1E">
        <w:t>,</w:t>
      </w:r>
      <w:r w:rsidR="0049054A">
        <w:t xml:space="preserve"> or </w:t>
      </w:r>
      <w:r>
        <w:t>voluntary representations or applications from sponsors</w:t>
      </w:r>
      <w:r w:rsidR="0049054A">
        <w:t>.</w:t>
      </w:r>
    </w:p>
    <w:p w14:paraId="3C3C787F" w14:textId="3CF85E02" w:rsidR="0003576B" w:rsidRDefault="00BF6A83" w:rsidP="00ED3D4B">
      <w:pPr>
        <w:pStyle w:val="ListBullet"/>
        <w:numPr>
          <w:ilvl w:val="0"/>
          <w:numId w:val="0"/>
        </w:numPr>
      </w:pPr>
      <w:r>
        <w:t xml:space="preserve">Currently, </w:t>
      </w:r>
      <w:r w:rsidR="0049054A">
        <w:t xml:space="preserve">there is no need </w:t>
      </w:r>
      <w:r w:rsidR="005A7B03">
        <w:t xml:space="preserve">for sponsors </w:t>
      </w:r>
      <w:r w:rsidR="0049054A">
        <w:t xml:space="preserve">to keep records relevant to a device or product in the </w:t>
      </w:r>
      <w:r w:rsidR="00111208">
        <w:t>Prescribed</w:t>
      </w:r>
      <w:r w:rsidR="00FC6394">
        <w:t xml:space="preserve"> List</w:t>
      </w:r>
      <w:r w:rsidR="0049054A">
        <w:t>, or to provide information to the Department when relevant new information becomes available (‘relevant information’ is discussed below). This means that t</w:t>
      </w:r>
      <w:r w:rsidR="0049054A" w:rsidRPr="0049054A">
        <w:t xml:space="preserve">here </w:t>
      </w:r>
      <w:r w:rsidR="0049054A">
        <w:t>is</w:t>
      </w:r>
      <w:r w:rsidR="0049054A" w:rsidRPr="0049054A">
        <w:t xml:space="preserve"> limited scope for monitoring the clinical or cost effectiveness of </w:t>
      </w:r>
      <w:r w:rsidR="00304C1E">
        <w:t xml:space="preserve">listed </w:t>
      </w:r>
      <w:r w:rsidR="0049054A" w:rsidRPr="0049054A">
        <w:t xml:space="preserve">devices </w:t>
      </w:r>
      <w:r w:rsidR="0049054A">
        <w:t xml:space="preserve">and products </w:t>
      </w:r>
      <w:r w:rsidR="0049054A" w:rsidRPr="0049054A">
        <w:t xml:space="preserve">and their appropriate use after they are </w:t>
      </w:r>
      <w:r w:rsidR="00FC6394">
        <w:t xml:space="preserve">included in the </w:t>
      </w:r>
      <w:r w:rsidR="00111208">
        <w:t>Prescribed</w:t>
      </w:r>
      <w:r w:rsidR="00FC6394">
        <w:t xml:space="preserve"> List</w:t>
      </w:r>
      <w:r w:rsidR="0049054A" w:rsidRPr="0049054A">
        <w:t>.</w:t>
      </w:r>
    </w:p>
    <w:p w14:paraId="7697A021" w14:textId="427EBD29" w:rsidR="0077153F" w:rsidRPr="0077153F" w:rsidRDefault="0077153F" w:rsidP="00ED3D4B">
      <w:pPr>
        <w:pStyle w:val="ListBullet"/>
        <w:numPr>
          <w:ilvl w:val="0"/>
          <w:numId w:val="0"/>
        </w:numPr>
        <w:rPr>
          <w:b/>
          <w:bCs w:val="0"/>
        </w:rPr>
      </w:pPr>
      <w:r w:rsidRPr="0077153F">
        <w:rPr>
          <w:b/>
          <w:bCs w:val="0"/>
        </w:rPr>
        <w:t xml:space="preserve">Safeguarding the </w:t>
      </w:r>
      <w:r w:rsidR="00111208">
        <w:rPr>
          <w:b/>
          <w:bCs w:val="0"/>
        </w:rPr>
        <w:t>Prescribed</w:t>
      </w:r>
      <w:r w:rsidRPr="0077153F">
        <w:rPr>
          <w:b/>
          <w:bCs w:val="0"/>
        </w:rPr>
        <w:t xml:space="preserve"> List</w:t>
      </w:r>
    </w:p>
    <w:p w14:paraId="026195C6" w14:textId="2026084D" w:rsidR="00924BAC" w:rsidRDefault="008D51D0" w:rsidP="005A7B03">
      <w:pPr>
        <w:pStyle w:val="ListBullet"/>
        <w:numPr>
          <w:ilvl w:val="0"/>
          <w:numId w:val="0"/>
        </w:numPr>
      </w:pPr>
      <w:r>
        <w:t>Recognising the limitations of the current approach</w:t>
      </w:r>
      <w:r w:rsidR="003B5587">
        <w:t xml:space="preserve"> of relying on general measures in other legislation</w:t>
      </w:r>
      <w:r>
        <w:t xml:space="preserve">, </w:t>
      </w:r>
      <w:r w:rsidR="003B5587">
        <w:t xml:space="preserve">new </w:t>
      </w:r>
      <w:r w:rsidR="005A7B03">
        <w:t xml:space="preserve">measures </w:t>
      </w:r>
      <w:r w:rsidR="00BF6A83">
        <w:t xml:space="preserve">are proposed </w:t>
      </w:r>
      <w:r w:rsidR="005A7B03">
        <w:t xml:space="preserve">to safeguard the integrity of the </w:t>
      </w:r>
      <w:r w:rsidR="00111208">
        <w:t>Prescribed</w:t>
      </w:r>
      <w:r w:rsidR="00FC6394">
        <w:t xml:space="preserve"> List</w:t>
      </w:r>
      <w:r w:rsidR="00304C1E">
        <w:t xml:space="preserve">. The measures are intended to </w:t>
      </w:r>
      <w:r w:rsidR="005A7B03">
        <w:t>assure p</w:t>
      </w:r>
      <w:r w:rsidR="008D7701">
        <w:t xml:space="preserve">rivately </w:t>
      </w:r>
      <w:r w:rsidR="005A7B03" w:rsidRPr="00C8559A">
        <w:t>insured persons</w:t>
      </w:r>
      <w:r w:rsidR="005A7B03" w:rsidRPr="008D7701">
        <w:t xml:space="preserve"> that devices</w:t>
      </w:r>
      <w:r w:rsidR="005A7B03">
        <w:t xml:space="preserve"> and products </w:t>
      </w:r>
      <w:r w:rsidR="00B33937">
        <w:t xml:space="preserve">in the </w:t>
      </w:r>
      <w:r w:rsidR="00111208">
        <w:t>Prescribed</w:t>
      </w:r>
      <w:r w:rsidR="00FC6394">
        <w:t xml:space="preserve"> List r</w:t>
      </w:r>
      <w:r w:rsidR="005A7B03">
        <w:t xml:space="preserve">emain safe, </w:t>
      </w:r>
      <w:bookmarkStart w:id="2" w:name="_Hlk130368132"/>
      <w:r w:rsidR="005A7B03">
        <w:t xml:space="preserve">clinically effective and that the specified benefit for a device or product is proportionate to its clinical effectiveness. </w:t>
      </w:r>
      <w:bookmarkEnd w:id="2"/>
      <w:r w:rsidR="005A7B03">
        <w:t xml:space="preserve">This includes ensuring that information in the </w:t>
      </w:r>
      <w:r w:rsidR="00111208">
        <w:t>Prescribed</w:t>
      </w:r>
      <w:r w:rsidR="00FC6394">
        <w:t xml:space="preserve"> List </w:t>
      </w:r>
      <w:r w:rsidR="005A7B03">
        <w:t xml:space="preserve">about </w:t>
      </w:r>
      <w:r w:rsidR="00B33937">
        <w:t xml:space="preserve">a </w:t>
      </w:r>
      <w:r w:rsidR="005A7B03">
        <w:t>device or product is correct and current.</w:t>
      </w:r>
    </w:p>
    <w:p w14:paraId="63231426" w14:textId="1CA3035A" w:rsidR="005A7B03" w:rsidRDefault="00924BAC" w:rsidP="00924BAC">
      <w:pPr>
        <w:pStyle w:val="ListBullet"/>
        <w:numPr>
          <w:ilvl w:val="0"/>
          <w:numId w:val="0"/>
        </w:numPr>
      </w:pPr>
      <w:r>
        <w:t xml:space="preserve">The </w:t>
      </w:r>
      <w:r w:rsidR="0093560F">
        <w:t>D</w:t>
      </w:r>
      <w:r>
        <w:t xml:space="preserve">epartment considers that this purpose </w:t>
      </w:r>
      <w:r w:rsidR="00D21837">
        <w:t>would be</w:t>
      </w:r>
      <w:r w:rsidR="005A7B03">
        <w:t xml:space="preserve"> achieved through: </w:t>
      </w:r>
    </w:p>
    <w:p w14:paraId="53C8D8B6" w14:textId="4F4B7387" w:rsidR="005A7B03" w:rsidRDefault="005A7B03" w:rsidP="005A7B03">
      <w:pPr>
        <w:pStyle w:val="ListBullet"/>
      </w:pPr>
      <w:r>
        <w:t>further encouraging sponsors to actively manage listed devices and products for which sponsors are responsible;</w:t>
      </w:r>
    </w:p>
    <w:p w14:paraId="5B2E8EF7" w14:textId="24D321CE" w:rsidR="005A7B03" w:rsidRDefault="005A7B03" w:rsidP="005A7B03">
      <w:pPr>
        <w:pStyle w:val="ListBullet"/>
      </w:pPr>
      <w:bookmarkStart w:id="3" w:name="_Hlk128553608"/>
      <w:r>
        <w:t>continuing to provide for informed decision making about listed devices and products based on the most contemporary and accurate information</w:t>
      </w:r>
      <w:bookmarkEnd w:id="3"/>
      <w:r>
        <w:t>;</w:t>
      </w:r>
    </w:p>
    <w:p w14:paraId="242F7332" w14:textId="69FAC2CE" w:rsidR="005A7B03" w:rsidRDefault="005A7B03" w:rsidP="005A7B03">
      <w:pPr>
        <w:pStyle w:val="ListBullet"/>
      </w:pPr>
      <w:r>
        <w:t>ensuring the Minister can respond to, and inform other relevant agencies of, issues or concerns about listed devices or products</w:t>
      </w:r>
      <w:r w:rsidR="008D7701">
        <w:t>;</w:t>
      </w:r>
    </w:p>
    <w:p w14:paraId="4B631A5B" w14:textId="3ECB9F33" w:rsidR="005A7B03" w:rsidRPr="008D7701" w:rsidRDefault="005A7B03" w:rsidP="005A7B03">
      <w:pPr>
        <w:pStyle w:val="ListBullet"/>
      </w:pPr>
      <w:r w:rsidRPr="008D7701">
        <w:t xml:space="preserve">increasing transparency about listed devices and products by publishing information about </w:t>
      </w:r>
      <w:r w:rsidR="008D7701" w:rsidRPr="008D7701">
        <w:t xml:space="preserve">relevant </w:t>
      </w:r>
      <w:r w:rsidRPr="008D7701">
        <w:t>items in a Public Summary Document (PSD).</w:t>
      </w:r>
    </w:p>
    <w:p w14:paraId="15F780DB" w14:textId="63525297" w:rsidR="00DE308A" w:rsidRPr="0077153F" w:rsidRDefault="0077153F" w:rsidP="00DE308A">
      <w:pPr>
        <w:pStyle w:val="ListBullet"/>
        <w:numPr>
          <w:ilvl w:val="0"/>
          <w:numId w:val="0"/>
        </w:numPr>
        <w:ind w:left="360" w:hanging="360"/>
        <w:rPr>
          <w:b/>
          <w:bCs w:val="0"/>
        </w:rPr>
      </w:pPr>
      <w:r w:rsidRPr="0077153F">
        <w:rPr>
          <w:b/>
          <w:bCs w:val="0"/>
        </w:rPr>
        <w:t xml:space="preserve">Active Management of </w:t>
      </w:r>
      <w:r>
        <w:rPr>
          <w:b/>
          <w:bCs w:val="0"/>
        </w:rPr>
        <w:t>Listed Devices and Products</w:t>
      </w:r>
    </w:p>
    <w:p w14:paraId="5F1FE6AD" w14:textId="79B61423" w:rsidR="00E26B2D" w:rsidRDefault="0077153F" w:rsidP="00E26B2D">
      <w:pPr>
        <w:pStyle w:val="ListBullet"/>
        <w:numPr>
          <w:ilvl w:val="0"/>
          <w:numId w:val="0"/>
        </w:numPr>
      </w:pPr>
      <w:r>
        <w:t xml:space="preserve">Modernising and improving the </w:t>
      </w:r>
      <w:r w:rsidR="00111208">
        <w:t>Prescribed</w:t>
      </w:r>
      <w:r w:rsidR="00D50EB6">
        <w:t xml:space="preserve"> List</w:t>
      </w:r>
      <w:r>
        <w:t xml:space="preserve"> includes modernising and improving the management of the </w:t>
      </w:r>
      <w:r w:rsidR="00111208">
        <w:t>Prescribed</w:t>
      </w:r>
      <w:r w:rsidR="00D50EB6">
        <w:t xml:space="preserve"> List</w:t>
      </w:r>
      <w:r>
        <w:t xml:space="preserve">. </w:t>
      </w:r>
      <w:r w:rsidRPr="0077153F">
        <w:t xml:space="preserve">Maintaining the </w:t>
      </w:r>
      <w:r w:rsidR="00111208">
        <w:t>Prescribed</w:t>
      </w:r>
      <w:r w:rsidR="00D50EB6">
        <w:t xml:space="preserve"> List</w:t>
      </w:r>
      <w:r w:rsidRPr="0077153F">
        <w:t xml:space="preserve"> is a shared responsibility between sponsors and government</w:t>
      </w:r>
      <w:r w:rsidR="00E26B2D">
        <w:t xml:space="preserve">. The </w:t>
      </w:r>
      <w:r w:rsidR="00111208">
        <w:t>Prescribed</w:t>
      </w:r>
      <w:r w:rsidR="00D50EB6">
        <w:t xml:space="preserve"> List</w:t>
      </w:r>
      <w:r w:rsidR="00E26B2D">
        <w:t xml:space="preserve"> includes approximately 1</w:t>
      </w:r>
      <w:r w:rsidR="0098164B">
        <w:t>1</w:t>
      </w:r>
      <w:r w:rsidR="00E26B2D">
        <w:t xml:space="preserve">,000 listed devices and products and the only </w:t>
      </w:r>
      <w:r w:rsidR="00A023D7">
        <w:t xml:space="preserve">practical and </w:t>
      </w:r>
      <w:r w:rsidR="00E26B2D">
        <w:t>sustainable means of maintaining such a list is for sponsors and government to share the role of maintaining it.</w:t>
      </w:r>
    </w:p>
    <w:p w14:paraId="050D8FF4" w14:textId="51C66873" w:rsidR="00E26B2D" w:rsidRDefault="00A023D7" w:rsidP="00E26B2D">
      <w:pPr>
        <w:pStyle w:val="ListBullet"/>
        <w:numPr>
          <w:ilvl w:val="0"/>
          <w:numId w:val="0"/>
        </w:numPr>
      </w:pPr>
      <w:r>
        <w:t>Many s</w:t>
      </w:r>
      <w:r w:rsidR="00E26B2D">
        <w:t xml:space="preserve">ponsors have demonstrated their commitment to maintaining the </w:t>
      </w:r>
      <w:r w:rsidR="00111208">
        <w:t>Prescribed</w:t>
      </w:r>
      <w:r w:rsidR="00D50EB6">
        <w:t xml:space="preserve"> List</w:t>
      </w:r>
      <w:r w:rsidR="00E26B2D">
        <w:t xml:space="preserve"> through </w:t>
      </w:r>
      <w:r w:rsidR="00304C1E">
        <w:t xml:space="preserve">voluntarily </w:t>
      </w:r>
      <w:r w:rsidR="00E26B2D">
        <w:t>applying to vary information about listed devices and products</w:t>
      </w:r>
      <w:r w:rsidR="003B5587">
        <w:t xml:space="preserve"> in the </w:t>
      </w:r>
      <w:r w:rsidR="00111208">
        <w:t>Prescribed</w:t>
      </w:r>
      <w:r w:rsidR="003B5587">
        <w:t xml:space="preserve"> List (e.g. updating sponsor names</w:t>
      </w:r>
      <w:r w:rsidR="0098164B">
        <w:t>, changes to catalogue items etc)</w:t>
      </w:r>
      <w:r w:rsidR="003B5587">
        <w:t xml:space="preserve">. These actions have </w:t>
      </w:r>
      <w:r w:rsidR="00304C1E">
        <w:t xml:space="preserve">supported </w:t>
      </w:r>
      <w:r w:rsidR="00E26B2D">
        <w:t xml:space="preserve">the </w:t>
      </w:r>
      <w:r w:rsidR="00304C1E">
        <w:t xml:space="preserve">maintenance of the </w:t>
      </w:r>
      <w:r w:rsidR="00111208">
        <w:t>Prescribed</w:t>
      </w:r>
      <w:r w:rsidR="00D50EB6">
        <w:t xml:space="preserve"> List</w:t>
      </w:r>
      <w:r w:rsidR="00AA0BFA">
        <w:t xml:space="preserve">. In addition, </w:t>
      </w:r>
      <w:r w:rsidR="003B5587">
        <w:t xml:space="preserve">voluntary </w:t>
      </w:r>
      <w:r w:rsidR="00E26B2D">
        <w:t xml:space="preserve">industry initiatives </w:t>
      </w:r>
      <w:r w:rsidR="00AA0BFA">
        <w:t xml:space="preserve">(memoranda of understanding) </w:t>
      </w:r>
      <w:r w:rsidR="00E26B2D">
        <w:t xml:space="preserve">have </w:t>
      </w:r>
      <w:r>
        <w:t xml:space="preserve">ensured that specified benefits for medical devices have remained proportionate to their clinical effectiveness. These initiatives have </w:t>
      </w:r>
      <w:r w:rsidR="00304C1E">
        <w:t xml:space="preserve">also maintained the currency of the </w:t>
      </w:r>
      <w:r w:rsidR="00111208">
        <w:t>Prescribed</w:t>
      </w:r>
      <w:r w:rsidR="00304C1E">
        <w:t xml:space="preserve"> List and </w:t>
      </w:r>
      <w:r w:rsidR="00E26B2D">
        <w:t xml:space="preserve">delivered tangible benefit reductions </w:t>
      </w:r>
      <w:r w:rsidR="00E2371F">
        <w:t xml:space="preserve">for listed devices and products, </w:t>
      </w:r>
      <w:r w:rsidR="00E26B2D">
        <w:t xml:space="preserve">and </w:t>
      </w:r>
      <w:r w:rsidR="00E2371F">
        <w:t xml:space="preserve">subsequently </w:t>
      </w:r>
      <w:r w:rsidR="00E26B2D">
        <w:t xml:space="preserve">reduced costs for policy holders. </w:t>
      </w:r>
    </w:p>
    <w:p w14:paraId="637CB4FB" w14:textId="7C0D51AB" w:rsidR="00923737" w:rsidRPr="00923737" w:rsidRDefault="00923737" w:rsidP="00E26B2D">
      <w:pPr>
        <w:pStyle w:val="ListBullet"/>
        <w:numPr>
          <w:ilvl w:val="0"/>
          <w:numId w:val="0"/>
        </w:numPr>
        <w:rPr>
          <w:color w:val="auto"/>
        </w:rPr>
      </w:pPr>
      <w:r w:rsidRPr="00923737">
        <w:rPr>
          <w:color w:val="auto"/>
        </w:rPr>
        <w:t>As part of actively managing listed devices and products, the Department is considering periodic benchmarking of benefits in the PL</w:t>
      </w:r>
      <w:r w:rsidR="009903AE">
        <w:rPr>
          <w:color w:val="auto"/>
        </w:rPr>
        <w:t>,</w:t>
      </w:r>
      <w:r w:rsidRPr="00923737">
        <w:rPr>
          <w:color w:val="auto"/>
        </w:rPr>
        <w:t xml:space="preserve"> including against public prices for the same or similar devices or products.  This will help identify benefits that have grown beyond the rate of growth for similar devices and products in the public system. This information can then be used to identify potential post-listing review targets where the benefits appear to be superior for some devices and products that no longer demonstrate superior comparative clinical effectiveness.</w:t>
      </w:r>
    </w:p>
    <w:p w14:paraId="50A06F08" w14:textId="4A0CAE04" w:rsidR="0077153F" w:rsidRDefault="003B5587" w:rsidP="00E26B2D">
      <w:pPr>
        <w:pStyle w:val="ListBullet"/>
        <w:numPr>
          <w:ilvl w:val="0"/>
          <w:numId w:val="0"/>
        </w:numPr>
      </w:pPr>
      <w:r>
        <w:t xml:space="preserve">To complement these voluntary initiatives, the Department is proposing </w:t>
      </w:r>
      <w:r w:rsidR="00AA0BFA">
        <w:t>specific l</w:t>
      </w:r>
      <w:r w:rsidR="00B0591A">
        <w:t xml:space="preserve">egislative </w:t>
      </w:r>
      <w:r w:rsidR="00E2371F">
        <w:t>measures to f</w:t>
      </w:r>
      <w:r w:rsidR="00E26B2D">
        <w:t xml:space="preserve">urther </w:t>
      </w:r>
      <w:r w:rsidR="0077153F" w:rsidRPr="0077153F">
        <w:t>encourag</w:t>
      </w:r>
      <w:r w:rsidR="00E26B2D">
        <w:t>e</w:t>
      </w:r>
      <w:r w:rsidR="0077153F" w:rsidRPr="0077153F">
        <w:t xml:space="preserve"> </w:t>
      </w:r>
      <w:r w:rsidR="00A023D7" w:rsidRPr="003B5587">
        <w:rPr>
          <w:u w:val="single"/>
        </w:rPr>
        <w:t>all</w:t>
      </w:r>
      <w:r w:rsidR="00A023D7">
        <w:t xml:space="preserve"> </w:t>
      </w:r>
      <w:r w:rsidR="0077153F" w:rsidRPr="0077153F">
        <w:t xml:space="preserve">sponsors to actively manage </w:t>
      </w:r>
      <w:r w:rsidR="001B001A">
        <w:t xml:space="preserve">their </w:t>
      </w:r>
      <w:r w:rsidR="0077153F" w:rsidRPr="0077153F">
        <w:t>listed devices and products</w:t>
      </w:r>
      <w:r w:rsidR="00E26B2D">
        <w:t>.</w:t>
      </w:r>
      <w:r w:rsidR="00E2371F">
        <w:t xml:space="preserve"> These </w:t>
      </w:r>
      <w:r w:rsidR="00E91C68">
        <w:t xml:space="preserve">proposed measures </w:t>
      </w:r>
      <w:r w:rsidR="00E2371F">
        <w:t>are set out below.</w:t>
      </w:r>
    </w:p>
    <w:p w14:paraId="17FE3CA7" w14:textId="40961D12" w:rsidR="0077153F" w:rsidRPr="0077153F" w:rsidRDefault="0077153F" w:rsidP="00DE308A">
      <w:pPr>
        <w:pStyle w:val="ListBullet"/>
        <w:numPr>
          <w:ilvl w:val="0"/>
          <w:numId w:val="0"/>
        </w:numPr>
        <w:ind w:left="360" w:hanging="360"/>
        <w:rPr>
          <w:b/>
          <w:bCs w:val="0"/>
        </w:rPr>
      </w:pPr>
      <w:r w:rsidRPr="0077153F">
        <w:rPr>
          <w:b/>
          <w:bCs w:val="0"/>
        </w:rPr>
        <w:lastRenderedPageBreak/>
        <w:t>Informed Decision Making</w:t>
      </w:r>
    </w:p>
    <w:p w14:paraId="67A2BCA4" w14:textId="32F3B141" w:rsidR="00B0591A" w:rsidRDefault="00B0591A" w:rsidP="00B0591A">
      <w:pPr>
        <w:pStyle w:val="ListBullet"/>
        <w:numPr>
          <w:ilvl w:val="0"/>
          <w:numId w:val="0"/>
        </w:numPr>
      </w:pPr>
      <w:r>
        <w:t xml:space="preserve">Informed decision making depends on </w:t>
      </w:r>
      <w:r w:rsidR="00E91C68">
        <w:t xml:space="preserve">correct </w:t>
      </w:r>
      <w:r>
        <w:t xml:space="preserve">information being </w:t>
      </w:r>
      <w:r w:rsidR="00A023D7">
        <w:t xml:space="preserve">readily </w:t>
      </w:r>
      <w:r>
        <w:t>available.</w:t>
      </w:r>
      <w:r w:rsidR="0065601C">
        <w:t xml:space="preserve"> This </w:t>
      </w:r>
      <w:r w:rsidR="00E91C68">
        <w:t xml:space="preserve">is necessary to </w:t>
      </w:r>
      <w:r w:rsidR="0065601C">
        <w:t>provide for a proportionate, responsive and risk-based approach</w:t>
      </w:r>
      <w:r w:rsidR="00A023D7">
        <w:t xml:space="preserve"> to maintaining the </w:t>
      </w:r>
      <w:r w:rsidR="00111208">
        <w:t>Prescribed</w:t>
      </w:r>
      <w:r w:rsidR="00D50EB6">
        <w:t xml:space="preserve"> List</w:t>
      </w:r>
      <w:r w:rsidR="0065601C">
        <w:t>.</w:t>
      </w:r>
    </w:p>
    <w:p w14:paraId="48FE8A9A" w14:textId="63F61410" w:rsidR="00A023D7" w:rsidRDefault="0065601C" w:rsidP="00B0591A">
      <w:pPr>
        <w:pStyle w:val="ListBullet"/>
        <w:numPr>
          <w:ilvl w:val="0"/>
          <w:numId w:val="0"/>
        </w:numPr>
      </w:pPr>
      <w:r>
        <w:t>In practice, t</w:t>
      </w:r>
      <w:r w:rsidR="00B0591A">
        <w:t xml:space="preserve">his means that </w:t>
      </w:r>
      <w:r w:rsidR="00E91C68">
        <w:t xml:space="preserve">certain </w:t>
      </w:r>
      <w:r w:rsidR="00B0591A">
        <w:t xml:space="preserve">information needs to be kept and provided when it is needed, so decisions can be made on the most contemporary </w:t>
      </w:r>
      <w:r w:rsidR="00C74EC8">
        <w:t xml:space="preserve">and reliable </w:t>
      </w:r>
      <w:r w:rsidR="00B0591A">
        <w:t>information.</w:t>
      </w:r>
    </w:p>
    <w:p w14:paraId="601D3D31" w14:textId="4489C14A" w:rsidR="00B0591A" w:rsidRDefault="00B0591A" w:rsidP="00B0591A">
      <w:pPr>
        <w:pStyle w:val="ListBullet"/>
        <w:numPr>
          <w:ilvl w:val="0"/>
          <w:numId w:val="0"/>
        </w:numPr>
      </w:pPr>
      <w:r>
        <w:t xml:space="preserve">It also means that information must not be false or misleading. False or misleading information has the potential to </w:t>
      </w:r>
      <w:r w:rsidR="00A023D7">
        <w:t xml:space="preserve">seriously undermine public confidence in the </w:t>
      </w:r>
      <w:r w:rsidR="00111208">
        <w:t>Prescribed</w:t>
      </w:r>
      <w:r w:rsidR="00D50EB6" w:rsidRPr="004577BD">
        <w:t xml:space="preserve"> List</w:t>
      </w:r>
      <w:r w:rsidR="00A023D7">
        <w:t>. Specific l</w:t>
      </w:r>
      <w:r w:rsidR="002B022F">
        <w:t xml:space="preserve">egislative measures are </w:t>
      </w:r>
      <w:r w:rsidR="00A023D7">
        <w:t xml:space="preserve">therefore proposed </w:t>
      </w:r>
      <w:r w:rsidR="002B022F">
        <w:t xml:space="preserve">to </w:t>
      </w:r>
      <w:r w:rsidR="00A023D7">
        <w:t xml:space="preserve">discourage </w:t>
      </w:r>
      <w:r w:rsidR="00E870A0">
        <w:t>the provi</w:t>
      </w:r>
      <w:r w:rsidR="00AA0BFA">
        <w:t xml:space="preserve">sion </w:t>
      </w:r>
      <w:r w:rsidR="00E870A0">
        <w:t>of false or misleading information</w:t>
      </w:r>
      <w:r w:rsidR="00A023D7">
        <w:t>, including in listing applications</w:t>
      </w:r>
      <w:r w:rsidR="00E870A0">
        <w:t>.</w:t>
      </w:r>
    </w:p>
    <w:p w14:paraId="0F24BC88" w14:textId="7B417387" w:rsidR="0077153F" w:rsidRDefault="00B0591A" w:rsidP="00B0591A">
      <w:pPr>
        <w:pStyle w:val="ListBullet"/>
        <w:numPr>
          <w:ilvl w:val="0"/>
          <w:numId w:val="0"/>
        </w:numPr>
      </w:pPr>
      <w:r>
        <w:t xml:space="preserve">The exchange of information </w:t>
      </w:r>
      <w:r w:rsidR="00A023D7">
        <w:t xml:space="preserve">for informed decision making </w:t>
      </w:r>
      <w:r>
        <w:t>will need to be carefully managed as h</w:t>
      </w:r>
      <w:r w:rsidR="0077153F">
        <w:t xml:space="preserve">ealth information </w:t>
      </w:r>
      <w:r>
        <w:t>is sensitive information.</w:t>
      </w:r>
      <w:r w:rsidR="00E870A0">
        <w:t xml:space="preserve"> Legislative changes will need to reflect this.</w:t>
      </w:r>
    </w:p>
    <w:p w14:paraId="026CEB5C" w14:textId="25EDBA11" w:rsidR="00B0591A" w:rsidRDefault="00B0591A" w:rsidP="00B0591A">
      <w:pPr>
        <w:pStyle w:val="ListBullet"/>
        <w:numPr>
          <w:ilvl w:val="0"/>
          <w:numId w:val="0"/>
        </w:numPr>
      </w:pPr>
      <w:r>
        <w:t xml:space="preserve">Legislative measures are proposed to </w:t>
      </w:r>
      <w:r w:rsidRPr="0077153F">
        <w:t>provide for informed decision making about listed devices and products based on the most contemporary and accurate information</w:t>
      </w:r>
      <w:r>
        <w:t>.</w:t>
      </w:r>
    </w:p>
    <w:p w14:paraId="3892D4A1" w14:textId="13348B10" w:rsidR="00DE308A" w:rsidRPr="0077153F" w:rsidRDefault="0077153F" w:rsidP="00DE308A">
      <w:pPr>
        <w:pStyle w:val="ListBullet"/>
        <w:numPr>
          <w:ilvl w:val="0"/>
          <w:numId w:val="0"/>
        </w:numPr>
        <w:ind w:left="360" w:hanging="360"/>
        <w:rPr>
          <w:b/>
          <w:bCs w:val="0"/>
        </w:rPr>
      </w:pPr>
      <w:r w:rsidRPr="0077153F">
        <w:rPr>
          <w:b/>
          <w:bCs w:val="0"/>
        </w:rPr>
        <w:t>Responding</w:t>
      </w:r>
    </w:p>
    <w:p w14:paraId="6E999A6A" w14:textId="6F272EAF" w:rsidR="00DE308A" w:rsidRDefault="00E870A0" w:rsidP="00E870A0">
      <w:pPr>
        <w:pStyle w:val="ListBullet"/>
        <w:numPr>
          <w:ilvl w:val="0"/>
          <w:numId w:val="0"/>
        </w:numPr>
      </w:pPr>
      <w:r>
        <w:t>Information collected through private health insurance legislation may be of relevance to other agencies, particularly in relation to information about listed devices and products and their use in Australia’s health system. The community expects that government agencies work together to manage risks</w:t>
      </w:r>
      <w:r w:rsidR="00E91C68">
        <w:t xml:space="preserve"> in Australia’s health system</w:t>
      </w:r>
      <w:r>
        <w:t xml:space="preserve">. This means that information collected through private health insurance legislation should be able to be shared with other government agencies so that ‘government’ generally </w:t>
      </w:r>
      <w:r w:rsidR="0077153F" w:rsidRPr="0077153F">
        <w:t>can respond to</w:t>
      </w:r>
      <w:r>
        <w:t xml:space="preserve"> </w:t>
      </w:r>
      <w:r w:rsidR="0077153F" w:rsidRPr="0077153F">
        <w:t xml:space="preserve">issues or concerns about </w:t>
      </w:r>
      <w:r>
        <w:t xml:space="preserve">the use of </w:t>
      </w:r>
      <w:r w:rsidR="0077153F" w:rsidRPr="0077153F">
        <w:t>listed devices or products</w:t>
      </w:r>
      <w:r>
        <w:t>.</w:t>
      </w:r>
    </w:p>
    <w:p w14:paraId="3CCFB611" w14:textId="67792088" w:rsidR="005700AC" w:rsidRDefault="00E870A0" w:rsidP="00E870A0">
      <w:pPr>
        <w:pStyle w:val="ListBullet"/>
        <w:numPr>
          <w:ilvl w:val="0"/>
          <w:numId w:val="0"/>
        </w:numPr>
      </w:pPr>
      <w:r>
        <w:t xml:space="preserve">Legislative measures are </w:t>
      </w:r>
      <w:r w:rsidR="00E91C68">
        <w:t xml:space="preserve">therefore </w:t>
      </w:r>
      <w:r>
        <w:t xml:space="preserve">proposed to </w:t>
      </w:r>
      <w:r w:rsidRPr="00E870A0">
        <w:t>ensur</w:t>
      </w:r>
      <w:r>
        <w:t>e</w:t>
      </w:r>
      <w:r w:rsidRPr="00E870A0">
        <w:t xml:space="preserve"> the Minister can respond to, and inform other relevant </w:t>
      </w:r>
      <w:r w:rsidR="00A023D7">
        <w:t xml:space="preserve">government </w:t>
      </w:r>
      <w:r w:rsidRPr="00E870A0">
        <w:t>agencies of, issues or concerns about listed devices or products</w:t>
      </w:r>
      <w:r w:rsidR="0093560F">
        <w:t>.</w:t>
      </w:r>
      <w:r w:rsidR="005700AC">
        <w:t xml:space="preserve"> There is also a direct benefit to applicants if they only need to submit information once.</w:t>
      </w:r>
    </w:p>
    <w:p w14:paraId="01C404E4" w14:textId="1650C35F" w:rsidR="002D0A92" w:rsidRPr="002D0A92" w:rsidRDefault="002D0A92" w:rsidP="002D0A92">
      <w:pPr>
        <w:pStyle w:val="ListBullet"/>
        <w:numPr>
          <w:ilvl w:val="0"/>
          <w:numId w:val="0"/>
        </w:numPr>
        <w:rPr>
          <w:b/>
          <w:bCs w:val="0"/>
        </w:rPr>
      </w:pPr>
      <w:r w:rsidRPr="002D0A92">
        <w:rPr>
          <w:b/>
          <w:bCs w:val="0"/>
        </w:rPr>
        <w:t>Principles</w:t>
      </w:r>
    </w:p>
    <w:p w14:paraId="733BC93B" w14:textId="77777777" w:rsidR="0093560F" w:rsidRDefault="00924BAC" w:rsidP="0093560F">
      <w:pPr>
        <w:pStyle w:val="ListBullet"/>
        <w:numPr>
          <w:ilvl w:val="0"/>
          <w:numId w:val="0"/>
        </w:numPr>
      </w:pPr>
      <w:r>
        <w:t xml:space="preserve">In developing the proposed measures, the </w:t>
      </w:r>
      <w:r w:rsidR="0093560F">
        <w:t>D</w:t>
      </w:r>
      <w:r>
        <w:t>epartment has</w:t>
      </w:r>
      <w:r w:rsidR="0093560F">
        <w:t xml:space="preserve"> considered a number of references. These include:</w:t>
      </w:r>
    </w:p>
    <w:p w14:paraId="3054EA85" w14:textId="5F915C66" w:rsidR="0093560F" w:rsidRDefault="0093560F" w:rsidP="0093560F">
      <w:pPr>
        <w:pStyle w:val="ListBullet"/>
        <w:numPr>
          <w:ilvl w:val="0"/>
          <w:numId w:val="48"/>
        </w:numPr>
      </w:pPr>
      <w:r>
        <w:t xml:space="preserve">the </w:t>
      </w:r>
      <w:hyperlink r:id="rId24" w:history="1">
        <w:r w:rsidRPr="003D0F46">
          <w:rPr>
            <w:rStyle w:val="Hyperlink"/>
          </w:rPr>
          <w:t>Health Regulatory Policy Framework</w:t>
        </w:r>
      </w:hyperlink>
      <w:r>
        <w:t>; and</w:t>
      </w:r>
    </w:p>
    <w:p w14:paraId="355455DB" w14:textId="7C11DA4E" w:rsidR="0093560F" w:rsidRDefault="0093560F" w:rsidP="0093560F">
      <w:pPr>
        <w:pStyle w:val="ListBullet"/>
        <w:numPr>
          <w:ilvl w:val="0"/>
          <w:numId w:val="48"/>
        </w:numPr>
      </w:pPr>
      <w:r>
        <w:t>‘</w:t>
      </w:r>
      <w:hyperlink r:id="rId25" w:history="1">
        <w:r w:rsidRPr="001742AE">
          <w:rPr>
            <w:rStyle w:val="Hyperlink"/>
          </w:rPr>
          <w:t>A G</w:t>
        </w:r>
        <w:r w:rsidR="00602759" w:rsidRPr="001742AE">
          <w:rPr>
            <w:rStyle w:val="Hyperlink"/>
          </w:rPr>
          <w:t>uide</w:t>
        </w:r>
        <w:r w:rsidRPr="001742AE">
          <w:rPr>
            <w:rStyle w:val="Hyperlink"/>
          </w:rPr>
          <w:t xml:space="preserve"> </w:t>
        </w:r>
        <w:r w:rsidR="00602759" w:rsidRPr="001742AE">
          <w:rPr>
            <w:rStyle w:val="Hyperlink"/>
          </w:rPr>
          <w:t>to</w:t>
        </w:r>
        <w:r w:rsidRPr="001742AE">
          <w:rPr>
            <w:rStyle w:val="Hyperlink"/>
          </w:rPr>
          <w:t xml:space="preserve"> F</w:t>
        </w:r>
        <w:r w:rsidR="00602759" w:rsidRPr="001742AE">
          <w:rPr>
            <w:rStyle w:val="Hyperlink"/>
          </w:rPr>
          <w:t>raming</w:t>
        </w:r>
        <w:r w:rsidRPr="001742AE">
          <w:rPr>
            <w:rStyle w:val="Hyperlink"/>
          </w:rPr>
          <w:t xml:space="preserve"> C</w:t>
        </w:r>
        <w:r w:rsidR="00602759" w:rsidRPr="001742AE">
          <w:rPr>
            <w:rStyle w:val="Hyperlink"/>
          </w:rPr>
          <w:t>ommonwealth</w:t>
        </w:r>
        <w:r w:rsidRPr="001742AE">
          <w:rPr>
            <w:rStyle w:val="Hyperlink"/>
          </w:rPr>
          <w:t xml:space="preserve"> O</w:t>
        </w:r>
        <w:r w:rsidR="00602759" w:rsidRPr="001742AE">
          <w:rPr>
            <w:rStyle w:val="Hyperlink"/>
          </w:rPr>
          <w:t>ffences</w:t>
        </w:r>
        <w:r w:rsidRPr="001742AE">
          <w:rPr>
            <w:rStyle w:val="Hyperlink"/>
          </w:rPr>
          <w:t>, I</w:t>
        </w:r>
        <w:r w:rsidR="00602759" w:rsidRPr="001742AE">
          <w:rPr>
            <w:rStyle w:val="Hyperlink"/>
          </w:rPr>
          <w:t>nfringement</w:t>
        </w:r>
        <w:r w:rsidRPr="001742AE">
          <w:rPr>
            <w:rStyle w:val="Hyperlink"/>
          </w:rPr>
          <w:t xml:space="preserve"> N</w:t>
        </w:r>
        <w:r w:rsidR="00602759" w:rsidRPr="001742AE">
          <w:rPr>
            <w:rStyle w:val="Hyperlink"/>
          </w:rPr>
          <w:t>otices</w:t>
        </w:r>
        <w:r w:rsidRPr="001742AE">
          <w:rPr>
            <w:rStyle w:val="Hyperlink"/>
          </w:rPr>
          <w:t xml:space="preserve"> </w:t>
        </w:r>
        <w:r w:rsidR="00602759" w:rsidRPr="001742AE">
          <w:rPr>
            <w:rStyle w:val="Hyperlink"/>
          </w:rPr>
          <w:t>and</w:t>
        </w:r>
        <w:r w:rsidRPr="001742AE">
          <w:rPr>
            <w:rStyle w:val="Hyperlink"/>
          </w:rPr>
          <w:t xml:space="preserve"> E</w:t>
        </w:r>
        <w:r w:rsidR="00602759" w:rsidRPr="001742AE">
          <w:rPr>
            <w:rStyle w:val="Hyperlink"/>
          </w:rPr>
          <w:t>nforcement</w:t>
        </w:r>
        <w:r w:rsidRPr="001742AE">
          <w:rPr>
            <w:rStyle w:val="Hyperlink"/>
          </w:rPr>
          <w:t xml:space="preserve"> P</w:t>
        </w:r>
        <w:r w:rsidR="00602759" w:rsidRPr="001742AE">
          <w:rPr>
            <w:rStyle w:val="Hyperlink"/>
          </w:rPr>
          <w:t>owers</w:t>
        </w:r>
      </w:hyperlink>
      <w:r>
        <w:t>’</w:t>
      </w:r>
      <w:r w:rsidR="00AA0BFA">
        <w:t>.</w:t>
      </w:r>
    </w:p>
    <w:p w14:paraId="33F7030E" w14:textId="7A250EFC" w:rsidR="005A7B03" w:rsidRDefault="0093560F" w:rsidP="0093560F">
      <w:pPr>
        <w:pStyle w:val="ListBullet"/>
        <w:numPr>
          <w:ilvl w:val="0"/>
          <w:numId w:val="0"/>
        </w:numPr>
      </w:pPr>
      <w:r>
        <w:t xml:space="preserve">To guide the further development of the proposed measures, the Department has </w:t>
      </w:r>
      <w:r w:rsidR="009C0AC2">
        <w:t xml:space="preserve">developed and </w:t>
      </w:r>
      <w:r w:rsidR="00924BAC">
        <w:t xml:space="preserve">used the following </w:t>
      </w:r>
      <w:r w:rsidR="005A7B03">
        <w:t xml:space="preserve">principles: </w:t>
      </w:r>
    </w:p>
    <w:p w14:paraId="263CFC71" w14:textId="698BF4B8" w:rsidR="005A7B03" w:rsidRDefault="00924BAC" w:rsidP="005A7B03">
      <w:pPr>
        <w:pStyle w:val="ListBullet"/>
      </w:pPr>
      <w:r>
        <w:t>t</w:t>
      </w:r>
      <w:r w:rsidR="005A7B03">
        <w:t>o implement preventative measures with the intention of ‘assuring’ compliance and reducing the need for punitive measures</w:t>
      </w:r>
    </w:p>
    <w:p w14:paraId="0CAD320D" w14:textId="452DB584" w:rsidR="005A7B03" w:rsidRDefault="00924BAC" w:rsidP="005A7B03">
      <w:pPr>
        <w:pStyle w:val="ListBullet"/>
      </w:pPr>
      <w:r>
        <w:t>t</w:t>
      </w:r>
      <w:r w:rsidR="005A7B03">
        <w:t>o transparently specify the obligations for entities, so responsibilities are clear</w:t>
      </w:r>
      <w:r w:rsidR="00304C1E">
        <w:t xml:space="preserve"> and apply equally to all relevant entities</w:t>
      </w:r>
    </w:p>
    <w:p w14:paraId="6B65DCA2" w14:textId="435D8735" w:rsidR="005A7B03" w:rsidRDefault="00924BAC" w:rsidP="005A7B03">
      <w:pPr>
        <w:pStyle w:val="ListBullet"/>
      </w:pPr>
      <w:r>
        <w:t>t</w:t>
      </w:r>
      <w:r w:rsidR="005A7B03">
        <w:t xml:space="preserve">o provide for proportionate responses to </w:t>
      </w:r>
      <w:r w:rsidR="001B001A">
        <w:t xml:space="preserve">suspected </w:t>
      </w:r>
      <w:r w:rsidR="005A7B03">
        <w:t>non-compliance, based on accurate information that is readily available</w:t>
      </w:r>
    </w:p>
    <w:p w14:paraId="3DCE30BB" w14:textId="7618D38B" w:rsidR="005A7B03" w:rsidRDefault="00924BAC" w:rsidP="005A7B03">
      <w:pPr>
        <w:pStyle w:val="ListBullet"/>
      </w:pPr>
      <w:r>
        <w:t>t</w:t>
      </w:r>
      <w:r w:rsidR="005A7B03">
        <w:t>o provide that entities are regulated consistently under the PHI Act, so that equivalent measures (including penalties) apply to insurers and healthcare providers (hospitals and sponsors), while recognising the ‘tool’ for imposing the measures may be different</w:t>
      </w:r>
    </w:p>
    <w:p w14:paraId="2A3055C5" w14:textId="28684D75" w:rsidR="005A7B03" w:rsidRDefault="00924BAC" w:rsidP="005A7B03">
      <w:pPr>
        <w:pStyle w:val="ListBullet"/>
      </w:pPr>
      <w:r>
        <w:t>t</w:t>
      </w:r>
      <w:r w:rsidR="005A7B03">
        <w:t xml:space="preserve">o align with therapeutic goods legislation and existing measures in the PHI Act </w:t>
      </w:r>
      <w:r w:rsidR="006E04A3">
        <w:t xml:space="preserve">where this </w:t>
      </w:r>
      <w:r w:rsidR="005A7B03">
        <w:t>minimise</w:t>
      </w:r>
      <w:r w:rsidR="006E04A3">
        <w:t>s</w:t>
      </w:r>
      <w:r w:rsidR="005A7B03">
        <w:t xml:space="preserve"> regulatory burden and promote</w:t>
      </w:r>
      <w:r w:rsidR="006E04A3">
        <w:t>s</w:t>
      </w:r>
      <w:r w:rsidR="005A7B03">
        <w:t xml:space="preserve"> compliance, so regulated entities can comply with proposed measures as part of other existing regulatory requirements (rather than </w:t>
      </w:r>
      <w:r w:rsidR="006E04A3">
        <w:t xml:space="preserve">new measures </w:t>
      </w:r>
      <w:r w:rsidR="005A7B03">
        <w:t xml:space="preserve">being an ‘add on’ to </w:t>
      </w:r>
      <w:r w:rsidR="006E04A3">
        <w:t>current</w:t>
      </w:r>
      <w:r w:rsidR="005A7B03">
        <w:t xml:space="preserve"> regulatory requirements)</w:t>
      </w:r>
    </w:p>
    <w:p w14:paraId="1B572642" w14:textId="254507B3" w:rsidR="005A7B03" w:rsidRDefault="00924BAC" w:rsidP="005A7B03">
      <w:pPr>
        <w:pStyle w:val="ListBullet"/>
      </w:pPr>
      <w:r>
        <w:t>t</w:t>
      </w:r>
      <w:r w:rsidR="005A7B03">
        <w:t>o constrain proposed measures to listed devices or products</w:t>
      </w:r>
      <w:r>
        <w:t xml:space="preserve"> in the </w:t>
      </w:r>
      <w:hyperlink r:id="rId26" w:history="1">
        <w:r w:rsidR="00111208">
          <w:rPr>
            <w:rStyle w:val="Hyperlink"/>
          </w:rPr>
          <w:t>Prescribed</w:t>
        </w:r>
        <w:r w:rsidR="00D50EB6" w:rsidRPr="009945D6">
          <w:rPr>
            <w:rStyle w:val="Hyperlink"/>
          </w:rPr>
          <w:t xml:space="preserve"> List</w:t>
        </w:r>
      </w:hyperlink>
      <w:r w:rsidR="005A7B03">
        <w:t>, or circumstances in connection with listed devices or products</w:t>
      </w:r>
      <w:r>
        <w:t xml:space="preserve"> in the </w:t>
      </w:r>
      <w:r w:rsidR="00111208">
        <w:t>Prescribed</w:t>
      </w:r>
      <w:r w:rsidR="00D50EB6">
        <w:t xml:space="preserve"> List</w:t>
      </w:r>
      <w:r w:rsidR="005A7B03">
        <w:t>, to minimise impacts on other provisions in the PHI Act, including regulatory impacts</w:t>
      </w:r>
      <w:r w:rsidR="009C0AC2">
        <w:t>.</w:t>
      </w:r>
    </w:p>
    <w:p w14:paraId="2A0B6B51" w14:textId="31786CCA" w:rsidR="0003576B" w:rsidRDefault="0003576B" w:rsidP="005A7B03">
      <w:pPr>
        <w:pStyle w:val="ListBullet"/>
        <w:numPr>
          <w:ilvl w:val="0"/>
          <w:numId w:val="0"/>
        </w:numPr>
      </w:pPr>
    </w:p>
    <w:p w14:paraId="5FBB8AC3" w14:textId="77777777" w:rsidR="000D3C47" w:rsidRDefault="000D3C47">
      <w:pPr>
        <w:spacing w:after="160" w:line="259" w:lineRule="auto"/>
        <w:rPr>
          <w:rFonts w:eastAsiaTheme="minorHAnsi" w:cstheme="minorBidi"/>
          <w:b/>
          <w:color w:val="000000" w:themeColor="text1"/>
          <w:sz w:val="21"/>
          <w:szCs w:val="22"/>
        </w:rPr>
      </w:pPr>
      <w:r>
        <w:rPr>
          <w:b/>
          <w:bCs/>
        </w:rPr>
        <w:br w:type="page"/>
      </w:r>
    </w:p>
    <w:p w14:paraId="4F1C3353" w14:textId="3CE2B160" w:rsidR="00E870A0" w:rsidRPr="00E870A0" w:rsidRDefault="00E870A0" w:rsidP="00ED3D4B">
      <w:pPr>
        <w:pStyle w:val="ListBullet"/>
        <w:numPr>
          <w:ilvl w:val="0"/>
          <w:numId w:val="0"/>
        </w:numPr>
        <w:rPr>
          <w:b/>
          <w:bCs w:val="0"/>
        </w:rPr>
      </w:pPr>
      <w:r w:rsidRPr="00E870A0">
        <w:rPr>
          <w:b/>
          <w:bCs w:val="0"/>
        </w:rPr>
        <w:lastRenderedPageBreak/>
        <w:t>Proposed Measures</w:t>
      </w:r>
    </w:p>
    <w:p w14:paraId="69A72850" w14:textId="7ED1BBBD" w:rsidR="0003576B" w:rsidRDefault="00652FC1" w:rsidP="00ED3D4B">
      <w:pPr>
        <w:pStyle w:val="ListBullet"/>
        <w:numPr>
          <w:ilvl w:val="0"/>
          <w:numId w:val="0"/>
        </w:numPr>
      </w:pPr>
      <w:r>
        <w:t>The proposed measures are in three parts:</w:t>
      </w:r>
    </w:p>
    <w:p w14:paraId="4CB050FE" w14:textId="4A4A2191" w:rsidR="00652FC1" w:rsidRDefault="00652FC1" w:rsidP="00652FC1">
      <w:pPr>
        <w:pStyle w:val="ListBullet"/>
        <w:numPr>
          <w:ilvl w:val="0"/>
          <w:numId w:val="47"/>
        </w:numPr>
      </w:pPr>
      <w:r>
        <w:t>Proposed compliance and assurance measures.</w:t>
      </w:r>
    </w:p>
    <w:p w14:paraId="4E95574A" w14:textId="18F69B2F" w:rsidR="00652FC1" w:rsidRDefault="00652FC1" w:rsidP="00652FC1">
      <w:pPr>
        <w:pStyle w:val="ListBullet"/>
        <w:numPr>
          <w:ilvl w:val="0"/>
          <w:numId w:val="47"/>
        </w:numPr>
      </w:pPr>
      <w:r>
        <w:t>Proposed information sharing measures.</w:t>
      </w:r>
    </w:p>
    <w:p w14:paraId="31F8812A" w14:textId="47AC15F1" w:rsidR="00652FC1" w:rsidRDefault="00652FC1" w:rsidP="00652FC1">
      <w:pPr>
        <w:pStyle w:val="ListBullet"/>
        <w:numPr>
          <w:ilvl w:val="0"/>
          <w:numId w:val="47"/>
        </w:numPr>
      </w:pPr>
      <w:r>
        <w:t>Proposed additional measures.</w:t>
      </w:r>
    </w:p>
    <w:p w14:paraId="445D32B6" w14:textId="47070CDE" w:rsidR="00E870A0" w:rsidRDefault="00E870A0" w:rsidP="00E870A0">
      <w:pPr>
        <w:pStyle w:val="ListBullet"/>
        <w:numPr>
          <w:ilvl w:val="0"/>
          <w:numId w:val="0"/>
        </w:numPr>
      </w:pPr>
      <w:r>
        <w:t xml:space="preserve">In the proposed measures there are some terms used and the following represents a key </w:t>
      </w:r>
      <w:r w:rsidR="0093560F">
        <w:t xml:space="preserve">or glossary </w:t>
      </w:r>
      <w:r>
        <w:t xml:space="preserve">for these terms. </w:t>
      </w:r>
    </w:p>
    <w:tbl>
      <w:tblPr>
        <w:tblStyle w:val="TableGrid"/>
        <w:tblW w:w="0" w:type="auto"/>
        <w:tblLook w:val="04A0" w:firstRow="1" w:lastRow="0" w:firstColumn="1" w:lastColumn="0" w:noHBand="0" w:noVBand="1"/>
      </w:tblPr>
      <w:tblGrid>
        <w:gridCol w:w="1696"/>
        <w:gridCol w:w="7938"/>
      </w:tblGrid>
      <w:tr w:rsidR="00E870A0" w14:paraId="6B38CAE7" w14:textId="77777777" w:rsidTr="0001249D">
        <w:tc>
          <w:tcPr>
            <w:tcW w:w="1696" w:type="dxa"/>
            <w:shd w:val="clear" w:color="auto" w:fill="E7E6E6" w:themeFill="background2"/>
          </w:tcPr>
          <w:p w14:paraId="466F4097" w14:textId="73F24D6F" w:rsidR="00E870A0" w:rsidRDefault="00E870A0" w:rsidP="00FB06AD">
            <w:pPr>
              <w:pStyle w:val="ListBullet"/>
              <w:numPr>
                <w:ilvl w:val="0"/>
                <w:numId w:val="0"/>
              </w:numPr>
            </w:pPr>
            <w:r>
              <w:t>A</w:t>
            </w:r>
            <w:r w:rsidRPr="00E32D56">
              <w:t>pplicant</w:t>
            </w:r>
          </w:p>
        </w:tc>
        <w:tc>
          <w:tcPr>
            <w:tcW w:w="7938" w:type="dxa"/>
          </w:tcPr>
          <w:p w14:paraId="350DBDD8" w14:textId="39816DBD" w:rsidR="00E870A0" w:rsidRDefault="00E870A0" w:rsidP="00FB06AD">
            <w:pPr>
              <w:pStyle w:val="ListBullet"/>
              <w:numPr>
                <w:ilvl w:val="0"/>
                <w:numId w:val="0"/>
              </w:numPr>
            </w:pPr>
            <w:r w:rsidRPr="00E32D56">
              <w:t>person who has applied to list a medical device or human tissue product in the</w:t>
            </w:r>
            <w:r>
              <w:t xml:space="preserve"> Pr</w:t>
            </w:r>
            <w:r w:rsidR="00D50EB6">
              <w:t>escribed List</w:t>
            </w:r>
            <w:r>
              <w:t xml:space="preserve"> </w:t>
            </w:r>
            <w:r w:rsidRPr="00E32D56">
              <w:t>(see ‘sponsor’ below)</w:t>
            </w:r>
          </w:p>
        </w:tc>
      </w:tr>
      <w:tr w:rsidR="00E870A0" w14:paraId="6C4D8D76" w14:textId="77777777" w:rsidTr="0001249D">
        <w:tc>
          <w:tcPr>
            <w:tcW w:w="1696" w:type="dxa"/>
            <w:shd w:val="clear" w:color="auto" w:fill="E7E6E6" w:themeFill="background2"/>
          </w:tcPr>
          <w:p w14:paraId="7CCCEC09" w14:textId="77777777" w:rsidR="00E870A0" w:rsidRDefault="00E870A0" w:rsidP="00FB06AD">
            <w:pPr>
              <w:pStyle w:val="ListBullet"/>
              <w:numPr>
                <w:ilvl w:val="0"/>
                <w:numId w:val="0"/>
              </w:numPr>
            </w:pPr>
            <w:r>
              <w:t>A</w:t>
            </w:r>
            <w:r w:rsidRPr="00E32D56">
              <w:t>pproved form</w:t>
            </w:r>
          </w:p>
        </w:tc>
        <w:tc>
          <w:tcPr>
            <w:tcW w:w="7938" w:type="dxa"/>
          </w:tcPr>
          <w:p w14:paraId="5C8819AB" w14:textId="77777777" w:rsidR="00E870A0" w:rsidRDefault="00E870A0" w:rsidP="00FB06AD">
            <w:pPr>
              <w:pStyle w:val="ListBullet"/>
              <w:numPr>
                <w:ilvl w:val="0"/>
                <w:numId w:val="0"/>
              </w:numPr>
            </w:pPr>
            <w:r w:rsidRPr="00E32D56">
              <w:t>form that meets the requirements in Section 333-10 of the PHI Act</w:t>
            </w:r>
          </w:p>
        </w:tc>
      </w:tr>
      <w:tr w:rsidR="00E870A0" w14:paraId="2632B22B" w14:textId="77777777" w:rsidTr="0001249D">
        <w:tc>
          <w:tcPr>
            <w:tcW w:w="1696" w:type="dxa"/>
            <w:shd w:val="clear" w:color="auto" w:fill="E7E6E6" w:themeFill="background2"/>
          </w:tcPr>
          <w:p w14:paraId="7638C79F" w14:textId="77777777" w:rsidR="00E870A0" w:rsidRPr="009360A0" w:rsidRDefault="00E870A0" w:rsidP="00FB06AD">
            <w:pPr>
              <w:pStyle w:val="ListBullet"/>
              <w:numPr>
                <w:ilvl w:val="0"/>
                <w:numId w:val="0"/>
              </w:numPr>
            </w:pPr>
            <w:r w:rsidRPr="009360A0">
              <w:t>Guide</w:t>
            </w:r>
          </w:p>
        </w:tc>
        <w:tc>
          <w:tcPr>
            <w:tcW w:w="7938" w:type="dxa"/>
          </w:tcPr>
          <w:p w14:paraId="7B4F245B" w14:textId="1853FB5E" w:rsidR="00E870A0" w:rsidRPr="009360A0" w:rsidRDefault="00C53F8B" w:rsidP="00FB06AD">
            <w:pPr>
              <w:pStyle w:val="ListBullet"/>
              <w:numPr>
                <w:ilvl w:val="0"/>
                <w:numId w:val="0"/>
              </w:numPr>
            </w:pPr>
            <w:hyperlink r:id="rId27" w:history="1">
              <w:r w:rsidR="0093560F" w:rsidRPr="00A94C5C">
                <w:rPr>
                  <w:rStyle w:val="Hyperlink"/>
                </w:rPr>
                <w:t xml:space="preserve">A </w:t>
              </w:r>
              <w:r w:rsidR="00E870A0" w:rsidRPr="00A94C5C">
                <w:rPr>
                  <w:rStyle w:val="Hyperlink"/>
                </w:rPr>
                <w:t>Guide to Framing Commonwealth Offences, Infringement Notices and Enforcement Powers</w:t>
              </w:r>
            </w:hyperlink>
            <w:r w:rsidR="00E870A0" w:rsidRPr="009360A0">
              <w:t xml:space="preserve"> (Dated September 2011 and published 9 January 2013)</w:t>
            </w:r>
          </w:p>
        </w:tc>
      </w:tr>
      <w:tr w:rsidR="00E870A0" w14:paraId="72914403" w14:textId="77777777" w:rsidTr="0001249D">
        <w:tc>
          <w:tcPr>
            <w:tcW w:w="1696" w:type="dxa"/>
            <w:shd w:val="clear" w:color="auto" w:fill="E7E6E6" w:themeFill="background2"/>
          </w:tcPr>
          <w:p w14:paraId="01E9DFE3" w14:textId="77777777" w:rsidR="00E870A0" w:rsidRPr="00652FC1" w:rsidRDefault="00E870A0" w:rsidP="00FB06AD">
            <w:pPr>
              <w:pStyle w:val="ListBullet"/>
              <w:numPr>
                <w:ilvl w:val="0"/>
                <w:numId w:val="0"/>
              </w:numPr>
              <w:rPr>
                <w:highlight w:val="yellow"/>
              </w:rPr>
            </w:pPr>
            <w:r>
              <w:t>H</w:t>
            </w:r>
            <w:r w:rsidRPr="00E039EA">
              <w:t>uman tissue product</w:t>
            </w:r>
          </w:p>
        </w:tc>
        <w:tc>
          <w:tcPr>
            <w:tcW w:w="7938" w:type="dxa"/>
          </w:tcPr>
          <w:p w14:paraId="043EA6CA" w14:textId="77777777" w:rsidR="00E870A0" w:rsidRPr="00652FC1" w:rsidRDefault="00E870A0" w:rsidP="00FB06AD">
            <w:pPr>
              <w:pStyle w:val="ListBullet"/>
              <w:numPr>
                <w:ilvl w:val="0"/>
                <w:numId w:val="0"/>
              </w:numPr>
              <w:rPr>
                <w:highlight w:val="yellow"/>
              </w:rPr>
            </w:pPr>
            <w:r w:rsidRPr="009C0AC2">
              <w:t>ha</w:t>
            </w:r>
            <w:r>
              <w:t>s</w:t>
            </w:r>
            <w:r w:rsidRPr="009C0AC2">
              <w:t xml:space="preserve"> the meaning in the PHI Act (as amended)(not the same as in the </w:t>
            </w:r>
            <w:r w:rsidRPr="009C0AC2">
              <w:rPr>
                <w:i/>
                <w:iCs/>
              </w:rPr>
              <w:t>Therapeutic Goods Act 1989</w:t>
            </w:r>
            <w:r w:rsidRPr="009C0AC2">
              <w:t>)</w:t>
            </w:r>
          </w:p>
        </w:tc>
      </w:tr>
      <w:tr w:rsidR="00E870A0" w14:paraId="7D09914E" w14:textId="77777777" w:rsidTr="0001249D">
        <w:tc>
          <w:tcPr>
            <w:tcW w:w="1696" w:type="dxa"/>
            <w:shd w:val="clear" w:color="auto" w:fill="E7E6E6" w:themeFill="background2"/>
          </w:tcPr>
          <w:p w14:paraId="49EB1380" w14:textId="77777777" w:rsidR="00E870A0" w:rsidRDefault="00E870A0" w:rsidP="00FB06AD">
            <w:pPr>
              <w:pStyle w:val="ListBullet"/>
              <w:numPr>
                <w:ilvl w:val="0"/>
                <w:numId w:val="0"/>
              </w:numPr>
            </w:pPr>
            <w:r>
              <w:t>I</w:t>
            </w:r>
            <w:r w:rsidRPr="00E32D56">
              <w:t>nformation</w:t>
            </w:r>
          </w:p>
        </w:tc>
        <w:tc>
          <w:tcPr>
            <w:tcW w:w="7938" w:type="dxa"/>
          </w:tcPr>
          <w:p w14:paraId="5A58001F" w14:textId="77777777" w:rsidR="00E870A0" w:rsidRDefault="00E870A0" w:rsidP="00FB06AD">
            <w:pPr>
              <w:pStyle w:val="ListBullet"/>
              <w:numPr>
                <w:ilvl w:val="0"/>
                <w:numId w:val="0"/>
              </w:numPr>
            </w:pPr>
            <w:r w:rsidRPr="00E32D56">
              <w:t>includes a statement, notice, application or document</w:t>
            </w:r>
          </w:p>
        </w:tc>
      </w:tr>
      <w:tr w:rsidR="00E870A0" w14:paraId="38271EE4" w14:textId="77777777" w:rsidTr="0001249D">
        <w:tc>
          <w:tcPr>
            <w:tcW w:w="1696" w:type="dxa"/>
            <w:shd w:val="clear" w:color="auto" w:fill="E7E6E6" w:themeFill="background2"/>
          </w:tcPr>
          <w:p w14:paraId="73185AB0" w14:textId="77777777" w:rsidR="00E870A0" w:rsidRDefault="00E870A0" w:rsidP="00FB06AD">
            <w:pPr>
              <w:pStyle w:val="ListBullet"/>
              <w:numPr>
                <w:ilvl w:val="0"/>
                <w:numId w:val="0"/>
              </w:numPr>
            </w:pPr>
            <w:bookmarkStart w:id="4" w:name="_Hlk128484850"/>
            <w:r>
              <w:t>L</w:t>
            </w:r>
            <w:r w:rsidRPr="00E039EA">
              <w:t>isted device or product</w:t>
            </w:r>
            <w:bookmarkEnd w:id="4"/>
          </w:p>
        </w:tc>
        <w:tc>
          <w:tcPr>
            <w:tcW w:w="7938" w:type="dxa"/>
          </w:tcPr>
          <w:p w14:paraId="085C0DCC" w14:textId="3A059A98" w:rsidR="00E870A0" w:rsidRDefault="00E870A0" w:rsidP="00FB06AD">
            <w:pPr>
              <w:pStyle w:val="ListBullet"/>
              <w:numPr>
                <w:ilvl w:val="0"/>
                <w:numId w:val="0"/>
              </w:numPr>
            </w:pPr>
            <w:r>
              <w:t>medical device or human tissue product listed in the P</w:t>
            </w:r>
            <w:r w:rsidR="00D50EB6">
              <w:t>rescribed List</w:t>
            </w:r>
            <w:r>
              <w:t xml:space="preserve"> and includes:</w:t>
            </w:r>
          </w:p>
          <w:p w14:paraId="4E8A0853" w14:textId="77777777" w:rsidR="00E870A0" w:rsidRDefault="00E870A0" w:rsidP="00FB06AD">
            <w:pPr>
              <w:pStyle w:val="ListBullet"/>
              <w:numPr>
                <w:ilvl w:val="0"/>
                <w:numId w:val="0"/>
              </w:numPr>
              <w:ind w:left="360"/>
            </w:pPr>
            <w:r>
              <w:t>o</w:t>
            </w:r>
            <w:r>
              <w:tab/>
              <w:t>the amounts of benefits (minimum and if relevant maximum); and</w:t>
            </w:r>
          </w:p>
          <w:p w14:paraId="206E415B" w14:textId="77777777" w:rsidR="00E870A0" w:rsidRDefault="00E870A0" w:rsidP="00FB06AD">
            <w:pPr>
              <w:pStyle w:val="ListBullet"/>
              <w:numPr>
                <w:ilvl w:val="0"/>
                <w:numId w:val="0"/>
              </w:numPr>
              <w:ind w:left="360"/>
            </w:pPr>
            <w:r>
              <w:t>o</w:t>
            </w:r>
            <w:r>
              <w:tab/>
              <w:t>the method for working out the amount of benefits (minimum and if relevant maximum); and</w:t>
            </w:r>
          </w:p>
          <w:p w14:paraId="40CDF46F" w14:textId="77777777" w:rsidR="00E870A0" w:rsidRDefault="00E870A0" w:rsidP="00FB06AD">
            <w:pPr>
              <w:pStyle w:val="ListBullet"/>
              <w:numPr>
                <w:ilvl w:val="0"/>
                <w:numId w:val="0"/>
              </w:numPr>
              <w:ind w:left="360"/>
            </w:pPr>
            <w:r>
              <w:t>o</w:t>
            </w:r>
            <w:r>
              <w:tab/>
              <w:t>any conditions for the provision of that device or product</w:t>
            </w:r>
          </w:p>
        </w:tc>
      </w:tr>
      <w:tr w:rsidR="00E870A0" w14:paraId="429E58F9" w14:textId="77777777" w:rsidTr="0001249D">
        <w:tc>
          <w:tcPr>
            <w:tcW w:w="1696" w:type="dxa"/>
            <w:shd w:val="clear" w:color="auto" w:fill="E7E6E6" w:themeFill="background2"/>
          </w:tcPr>
          <w:p w14:paraId="4FD8DF21" w14:textId="77777777" w:rsidR="00E870A0" w:rsidRDefault="00E870A0" w:rsidP="00FB06AD">
            <w:pPr>
              <w:pStyle w:val="ListBullet"/>
              <w:numPr>
                <w:ilvl w:val="0"/>
                <w:numId w:val="0"/>
              </w:numPr>
            </w:pPr>
            <w:r>
              <w:t xml:space="preserve">MDHTP </w:t>
            </w:r>
            <w:r w:rsidRPr="00781B4D">
              <w:t>Rules</w:t>
            </w:r>
          </w:p>
        </w:tc>
        <w:tc>
          <w:tcPr>
            <w:tcW w:w="7938" w:type="dxa"/>
          </w:tcPr>
          <w:p w14:paraId="4DF4C7B5" w14:textId="15E96CA1" w:rsidR="00E870A0" w:rsidRDefault="00C53F8B" w:rsidP="00FB06AD">
            <w:pPr>
              <w:pStyle w:val="ListBullet"/>
              <w:numPr>
                <w:ilvl w:val="0"/>
                <w:numId w:val="0"/>
              </w:numPr>
            </w:pPr>
            <w:hyperlink r:id="rId28" w:history="1">
              <w:r w:rsidR="00E870A0" w:rsidRPr="00A94C5C">
                <w:rPr>
                  <w:rStyle w:val="Hyperlink"/>
                </w:rPr>
                <w:t>Private Health Insurance (Medical Devices and Human Tissue Products) Rules</w:t>
              </w:r>
            </w:hyperlink>
            <w:r w:rsidR="00E870A0" w:rsidRPr="00781B4D">
              <w:t xml:space="preserve"> made for the purposes of item 4 of the table in subsection 72 1(2) under the power in item 4 of the table to subsection 333-20(1)</w:t>
            </w:r>
            <w:r w:rsidR="00EB6557">
              <w:t xml:space="preserve"> of the PHI Act (as amended)</w:t>
            </w:r>
          </w:p>
        </w:tc>
      </w:tr>
      <w:tr w:rsidR="00E870A0" w14:paraId="733889B8" w14:textId="77777777" w:rsidTr="0001249D">
        <w:tc>
          <w:tcPr>
            <w:tcW w:w="1696" w:type="dxa"/>
            <w:shd w:val="clear" w:color="auto" w:fill="E7E6E6" w:themeFill="background2"/>
          </w:tcPr>
          <w:p w14:paraId="4FC829B7" w14:textId="77777777" w:rsidR="00E870A0" w:rsidRDefault="00E870A0" w:rsidP="00FB06AD">
            <w:pPr>
              <w:pStyle w:val="ListBullet"/>
              <w:numPr>
                <w:ilvl w:val="0"/>
                <w:numId w:val="0"/>
              </w:numPr>
            </w:pPr>
            <w:r>
              <w:t>M</w:t>
            </w:r>
            <w:r w:rsidRPr="00E039EA">
              <w:t>edical device</w:t>
            </w:r>
          </w:p>
        </w:tc>
        <w:tc>
          <w:tcPr>
            <w:tcW w:w="7938" w:type="dxa"/>
          </w:tcPr>
          <w:p w14:paraId="4CF5227A" w14:textId="77777777" w:rsidR="00E870A0" w:rsidRDefault="00E870A0" w:rsidP="00FB06AD">
            <w:pPr>
              <w:pStyle w:val="ListBullet"/>
              <w:numPr>
                <w:ilvl w:val="0"/>
                <w:numId w:val="0"/>
              </w:numPr>
            </w:pPr>
            <w:r w:rsidRPr="00E039EA">
              <w:t>ha</w:t>
            </w:r>
            <w:r>
              <w:t>s</w:t>
            </w:r>
            <w:r w:rsidRPr="00E039EA">
              <w:t xml:space="preserve"> the meaning in the PHI Act (as amended)(not the same as in the </w:t>
            </w:r>
            <w:r w:rsidRPr="00FC6394">
              <w:rPr>
                <w:i/>
                <w:iCs/>
              </w:rPr>
              <w:t>Therapeutic Goods Act 1989</w:t>
            </w:r>
            <w:r w:rsidRPr="00E039EA">
              <w:t>)</w:t>
            </w:r>
          </w:p>
        </w:tc>
      </w:tr>
      <w:tr w:rsidR="00E870A0" w14:paraId="4E0A44F9" w14:textId="77777777" w:rsidTr="0001249D">
        <w:tc>
          <w:tcPr>
            <w:tcW w:w="1696" w:type="dxa"/>
            <w:shd w:val="clear" w:color="auto" w:fill="E7E6E6" w:themeFill="background2"/>
          </w:tcPr>
          <w:p w14:paraId="5B084B28" w14:textId="77777777" w:rsidR="00E870A0" w:rsidRDefault="00E870A0" w:rsidP="00FB06AD">
            <w:pPr>
              <w:pStyle w:val="ListBullet"/>
              <w:numPr>
                <w:ilvl w:val="0"/>
                <w:numId w:val="0"/>
              </w:numPr>
            </w:pPr>
            <w:r w:rsidRPr="00E039EA">
              <w:t>PHI Act</w:t>
            </w:r>
          </w:p>
        </w:tc>
        <w:tc>
          <w:tcPr>
            <w:tcW w:w="7938" w:type="dxa"/>
          </w:tcPr>
          <w:p w14:paraId="68382C59" w14:textId="21E43B04" w:rsidR="00E870A0" w:rsidRPr="00E039EA" w:rsidRDefault="00C53F8B" w:rsidP="00FB06AD">
            <w:pPr>
              <w:pStyle w:val="ListBullet"/>
              <w:numPr>
                <w:ilvl w:val="0"/>
                <w:numId w:val="0"/>
              </w:numPr>
              <w:rPr>
                <w:i/>
                <w:iCs/>
              </w:rPr>
            </w:pPr>
            <w:hyperlink r:id="rId29" w:history="1">
              <w:r w:rsidR="00E870A0" w:rsidRPr="00A94C5C">
                <w:rPr>
                  <w:rStyle w:val="Hyperlink"/>
                  <w:i/>
                  <w:iCs/>
                </w:rPr>
                <w:t>Private Health Insurance Act 2007</w:t>
              </w:r>
            </w:hyperlink>
          </w:p>
        </w:tc>
      </w:tr>
      <w:tr w:rsidR="00E870A0" w14:paraId="0AD22B94" w14:textId="77777777" w:rsidTr="009D38F9">
        <w:tc>
          <w:tcPr>
            <w:tcW w:w="1696" w:type="dxa"/>
            <w:shd w:val="clear" w:color="auto" w:fill="E7E6E6" w:themeFill="background2"/>
          </w:tcPr>
          <w:p w14:paraId="7B04DAD9" w14:textId="77777777" w:rsidR="00E870A0" w:rsidRDefault="00E870A0" w:rsidP="00FB06AD">
            <w:pPr>
              <w:pStyle w:val="ListBullet"/>
              <w:numPr>
                <w:ilvl w:val="0"/>
                <w:numId w:val="0"/>
              </w:numPr>
            </w:pPr>
            <w:r w:rsidRPr="002E16FE">
              <w:t>Regulations</w:t>
            </w:r>
          </w:p>
        </w:tc>
        <w:tc>
          <w:tcPr>
            <w:tcW w:w="7938" w:type="dxa"/>
          </w:tcPr>
          <w:p w14:paraId="044CA13C" w14:textId="43D00199" w:rsidR="00E870A0" w:rsidRDefault="00E870A0" w:rsidP="00FB06AD">
            <w:pPr>
              <w:pStyle w:val="ListBullet"/>
              <w:numPr>
                <w:ilvl w:val="0"/>
                <w:numId w:val="0"/>
              </w:numPr>
            </w:pPr>
            <w:r w:rsidRPr="002E16FE">
              <w:t xml:space="preserve">regulations that may be made for the </w:t>
            </w:r>
            <w:r w:rsidRPr="002E16FE">
              <w:rPr>
                <w:i/>
                <w:iCs/>
              </w:rPr>
              <w:t>Private Health Insurance Act 2007</w:t>
            </w:r>
            <w:r w:rsidRPr="002E16FE">
              <w:t xml:space="preserve"> (PHI</w:t>
            </w:r>
            <w:r w:rsidR="009D38F9">
              <w:t> </w:t>
            </w:r>
            <w:r w:rsidRPr="002E16FE">
              <w:t>Act)</w:t>
            </w:r>
            <w:r w:rsidR="009D38F9">
              <w:t xml:space="preserve"> </w:t>
            </w:r>
            <w:r>
              <w:t>(section 333-30 of the PHI Act)</w:t>
            </w:r>
          </w:p>
        </w:tc>
      </w:tr>
      <w:tr w:rsidR="00E870A0" w14:paraId="35658BAB" w14:textId="77777777" w:rsidTr="009D38F9">
        <w:tc>
          <w:tcPr>
            <w:tcW w:w="1696" w:type="dxa"/>
            <w:shd w:val="clear" w:color="auto" w:fill="E7E6E6" w:themeFill="background2"/>
          </w:tcPr>
          <w:p w14:paraId="3BDE89C2" w14:textId="77777777" w:rsidR="00E870A0" w:rsidRDefault="00E870A0" w:rsidP="00FB06AD">
            <w:pPr>
              <w:pStyle w:val="ListBullet"/>
              <w:numPr>
                <w:ilvl w:val="0"/>
                <w:numId w:val="0"/>
              </w:numPr>
            </w:pPr>
            <w:r>
              <w:t>S</w:t>
            </w:r>
            <w:r w:rsidRPr="00F26DB4">
              <w:t>ponsor</w:t>
            </w:r>
          </w:p>
        </w:tc>
        <w:tc>
          <w:tcPr>
            <w:tcW w:w="7938" w:type="dxa"/>
          </w:tcPr>
          <w:p w14:paraId="6357ABC5" w14:textId="7B942A9D" w:rsidR="00E870A0" w:rsidRDefault="00815777" w:rsidP="00FB06AD">
            <w:pPr>
              <w:pStyle w:val="ListBullet"/>
              <w:numPr>
                <w:ilvl w:val="0"/>
                <w:numId w:val="0"/>
              </w:numPr>
            </w:pPr>
            <w:r>
              <w:t>S</w:t>
            </w:r>
            <w:r w:rsidRPr="00815777">
              <w:t xml:space="preserve">ponsor, for a listed </w:t>
            </w:r>
            <w:r>
              <w:t>device or product,</w:t>
            </w:r>
            <w:r w:rsidRPr="00815777">
              <w:t xml:space="preserve"> means the person who made the listing application as a result of which the </w:t>
            </w:r>
            <w:r>
              <w:t>device or product w</w:t>
            </w:r>
            <w:r w:rsidRPr="00815777">
              <w:t xml:space="preserve">as listed in </w:t>
            </w:r>
            <w:r>
              <w:t xml:space="preserve">MDHTP Rules (i.e. </w:t>
            </w:r>
            <w:r w:rsidR="000B026A">
              <w:t>the person responsible for a listing of a device or product in the PL</w:t>
            </w:r>
            <w:r>
              <w:t>)</w:t>
            </w:r>
            <w:r w:rsidR="000B026A">
              <w:t xml:space="preserve">. </w:t>
            </w:r>
          </w:p>
        </w:tc>
      </w:tr>
      <w:tr w:rsidR="00E870A0" w14:paraId="03656786" w14:textId="77777777" w:rsidTr="0001249D">
        <w:tc>
          <w:tcPr>
            <w:tcW w:w="1696" w:type="dxa"/>
            <w:shd w:val="clear" w:color="auto" w:fill="E7E6E6" w:themeFill="background2"/>
          </w:tcPr>
          <w:p w14:paraId="13ABF691" w14:textId="77777777" w:rsidR="00E870A0" w:rsidRDefault="00E870A0" w:rsidP="00FB06AD">
            <w:pPr>
              <w:pStyle w:val="ListBullet"/>
              <w:numPr>
                <w:ilvl w:val="0"/>
                <w:numId w:val="0"/>
              </w:numPr>
            </w:pPr>
            <w:r w:rsidRPr="003570F3">
              <w:t>TG Act</w:t>
            </w:r>
          </w:p>
        </w:tc>
        <w:tc>
          <w:tcPr>
            <w:tcW w:w="7938" w:type="dxa"/>
          </w:tcPr>
          <w:p w14:paraId="471ECB2D" w14:textId="08426C62" w:rsidR="00E870A0" w:rsidRPr="003570F3" w:rsidRDefault="00C53F8B" w:rsidP="00FB06AD">
            <w:pPr>
              <w:pStyle w:val="ListBullet"/>
              <w:numPr>
                <w:ilvl w:val="0"/>
                <w:numId w:val="0"/>
              </w:numPr>
              <w:tabs>
                <w:tab w:val="left" w:pos="1553"/>
              </w:tabs>
              <w:rPr>
                <w:i/>
                <w:iCs/>
              </w:rPr>
            </w:pPr>
            <w:hyperlink r:id="rId30" w:history="1">
              <w:r w:rsidR="00E870A0" w:rsidRPr="00A94C5C">
                <w:rPr>
                  <w:rStyle w:val="Hyperlink"/>
                  <w:i/>
                  <w:iCs/>
                </w:rPr>
                <w:t>Therapeutic Goods Act 1989</w:t>
              </w:r>
            </w:hyperlink>
          </w:p>
        </w:tc>
      </w:tr>
    </w:tbl>
    <w:p w14:paraId="644141EA" w14:textId="77777777" w:rsidR="00E870A0" w:rsidRDefault="00E870A0" w:rsidP="00E870A0">
      <w:pPr>
        <w:pStyle w:val="ListBullet"/>
        <w:numPr>
          <w:ilvl w:val="0"/>
          <w:numId w:val="0"/>
        </w:numPr>
      </w:pPr>
    </w:p>
    <w:p w14:paraId="7C421A77" w14:textId="77777777" w:rsidR="008C4F86" w:rsidRDefault="008C4F86">
      <w:pPr>
        <w:spacing w:after="160" w:line="259" w:lineRule="auto"/>
        <w:rPr>
          <w:rFonts w:cs="Arial"/>
          <w:bCs/>
          <w:color w:val="3F4A75"/>
          <w:kern w:val="28"/>
          <w:sz w:val="36"/>
          <w:szCs w:val="36"/>
        </w:rPr>
      </w:pPr>
      <w:r>
        <w:rPr>
          <w:rFonts w:cs="Arial"/>
          <w:color w:val="3F4A75"/>
          <w:kern w:val="28"/>
          <w:sz w:val="36"/>
          <w:szCs w:val="36"/>
        </w:rPr>
        <w:br w:type="page"/>
      </w:r>
    </w:p>
    <w:p w14:paraId="56802627" w14:textId="194EB9FF" w:rsidR="00D21837" w:rsidRPr="00D21837" w:rsidRDefault="00D21837" w:rsidP="00ED3D4B">
      <w:pPr>
        <w:pStyle w:val="ListBullet"/>
        <w:numPr>
          <w:ilvl w:val="0"/>
          <w:numId w:val="0"/>
        </w:numPr>
        <w:rPr>
          <w:rFonts w:eastAsia="Times New Roman" w:cs="Arial"/>
          <w:color w:val="3F4A75"/>
          <w:kern w:val="28"/>
          <w:sz w:val="36"/>
          <w:szCs w:val="36"/>
        </w:rPr>
      </w:pPr>
      <w:r w:rsidRPr="00D21837">
        <w:rPr>
          <w:rFonts w:eastAsia="Times New Roman" w:cs="Arial"/>
          <w:color w:val="3F4A75"/>
          <w:kern w:val="28"/>
          <w:sz w:val="36"/>
          <w:szCs w:val="36"/>
        </w:rPr>
        <w:lastRenderedPageBreak/>
        <w:t xml:space="preserve">Proposed </w:t>
      </w:r>
      <w:r w:rsidR="002D0A92">
        <w:rPr>
          <w:rFonts w:eastAsia="Times New Roman" w:cs="Arial"/>
          <w:color w:val="3F4A75"/>
          <w:kern w:val="28"/>
          <w:sz w:val="36"/>
          <w:szCs w:val="36"/>
        </w:rPr>
        <w:t xml:space="preserve">Compliance and Assurance </w:t>
      </w:r>
      <w:r w:rsidRPr="00D21837">
        <w:rPr>
          <w:rFonts w:eastAsia="Times New Roman" w:cs="Arial"/>
          <w:color w:val="3F4A75"/>
          <w:kern w:val="28"/>
          <w:sz w:val="36"/>
          <w:szCs w:val="36"/>
        </w:rPr>
        <w:t>Measures</w:t>
      </w:r>
    </w:p>
    <w:p w14:paraId="52217921" w14:textId="60BEF95C" w:rsidR="002836E2" w:rsidRDefault="002836E2" w:rsidP="002836E2">
      <w:pPr>
        <w:pStyle w:val="ListBullet"/>
        <w:numPr>
          <w:ilvl w:val="0"/>
          <w:numId w:val="0"/>
        </w:numPr>
      </w:pPr>
      <w:r>
        <w:t>The proposed compliance and assurance measures represent ‘proposed policy’. The focus of the</w:t>
      </w:r>
      <w:r w:rsidR="006E04A3">
        <w:t>se</w:t>
      </w:r>
      <w:r>
        <w:t xml:space="preserve"> measures is the policy and purpose of the measures, rather than the ‘tool’ </w:t>
      </w:r>
      <w:r w:rsidR="004E7DF5">
        <w:t xml:space="preserve">or enforcement power </w:t>
      </w:r>
      <w:r>
        <w:t>for giving effect to the policy. In some cases, th</w:t>
      </w:r>
      <w:r w:rsidR="004871C5">
        <w:t>is</w:t>
      </w:r>
      <w:r>
        <w:t xml:space="preserve"> </w:t>
      </w:r>
      <w:r w:rsidR="004E7DF5">
        <w:t xml:space="preserve">enforcement power </w:t>
      </w:r>
      <w:r>
        <w:t>is included in the proposal (for example, the proposed measure for ‘offences’ for providing false or misleading information)</w:t>
      </w:r>
      <w:r w:rsidR="0093560F">
        <w:t>, as this may assist stakeholders in considering the policy proposal.</w:t>
      </w:r>
    </w:p>
    <w:p w14:paraId="0F1E8758" w14:textId="4B5DF546" w:rsidR="0065601C" w:rsidRDefault="002836E2" w:rsidP="002836E2">
      <w:pPr>
        <w:pStyle w:val="ListBullet"/>
        <w:numPr>
          <w:ilvl w:val="0"/>
          <w:numId w:val="0"/>
        </w:numPr>
      </w:pPr>
      <w:r>
        <w:t xml:space="preserve">In many cases, the appropriate </w:t>
      </w:r>
      <w:r w:rsidR="004871C5">
        <w:t>measure</w:t>
      </w:r>
      <w:r>
        <w:t xml:space="preserve"> for giving effect to the </w:t>
      </w:r>
      <w:r w:rsidR="006E04A3">
        <w:t xml:space="preserve">proposed </w:t>
      </w:r>
      <w:r>
        <w:t xml:space="preserve">policy may simply be education. </w:t>
      </w:r>
      <w:r w:rsidR="0065601C">
        <w:t xml:space="preserve">Please see the </w:t>
      </w:r>
      <w:r w:rsidR="0065601C" w:rsidRPr="0065601C">
        <w:t xml:space="preserve">proposed </w:t>
      </w:r>
      <w:hyperlink r:id="rId31" w:history="1">
        <w:r w:rsidR="00111208">
          <w:rPr>
            <w:rStyle w:val="Hyperlink"/>
          </w:rPr>
          <w:t>Prescribed</w:t>
        </w:r>
        <w:r w:rsidR="0065601C" w:rsidRPr="00D82590">
          <w:rPr>
            <w:rStyle w:val="Hyperlink"/>
          </w:rPr>
          <w:t xml:space="preserve"> List Compliance Strategy</w:t>
        </w:r>
      </w:hyperlink>
      <w:r w:rsidR="0065601C">
        <w:t xml:space="preserve"> for more information about this and the proposed enforcement model. </w:t>
      </w:r>
    </w:p>
    <w:p w14:paraId="52330232" w14:textId="5244A37F" w:rsidR="002836E2" w:rsidRDefault="002836E2" w:rsidP="002836E2">
      <w:pPr>
        <w:pStyle w:val="ListBullet"/>
        <w:numPr>
          <w:ilvl w:val="0"/>
          <w:numId w:val="0"/>
        </w:numPr>
      </w:pPr>
      <w:r>
        <w:t>In some cases, specific legislat</w:t>
      </w:r>
      <w:r w:rsidR="006E04A3">
        <w:t>ed</w:t>
      </w:r>
      <w:r>
        <w:t xml:space="preserve"> </w:t>
      </w:r>
      <w:r w:rsidR="004871C5">
        <w:t>enforcement powers</w:t>
      </w:r>
      <w:r>
        <w:t xml:space="preserve"> may be necessary </w:t>
      </w:r>
      <w:r w:rsidR="00EB6557">
        <w:t xml:space="preserve">for transparency and </w:t>
      </w:r>
      <w:r>
        <w:t xml:space="preserve">to ensure an adequate response </w:t>
      </w:r>
      <w:r w:rsidR="00EB6557">
        <w:t xml:space="preserve">to alleged non-compliance </w:t>
      </w:r>
      <w:r>
        <w:t xml:space="preserve">can be implemented. </w:t>
      </w:r>
      <w:r w:rsidR="0065601C">
        <w:t>In other regulatory schemes, t</w:t>
      </w:r>
      <w:r>
        <w:t xml:space="preserve">hese </w:t>
      </w:r>
      <w:r w:rsidR="004871C5">
        <w:t>enforcement powers</w:t>
      </w:r>
      <w:r>
        <w:t xml:space="preserve"> can take different forms, including:</w:t>
      </w:r>
    </w:p>
    <w:p w14:paraId="51565927" w14:textId="3CA793AC" w:rsidR="002836E2" w:rsidRDefault="002836E2" w:rsidP="002836E2">
      <w:pPr>
        <w:pStyle w:val="ListBullet"/>
        <w:numPr>
          <w:ilvl w:val="0"/>
          <w:numId w:val="47"/>
        </w:numPr>
      </w:pPr>
      <w:r>
        <w:t>Injunctions</w:t>
      </w:r>
    </w:p>
    <w:p w14:paraId="514116C5" w14:textId="67C808F5" w:rsidR="002836E2" w:rsidRDefault="002836E2" w:rsidP="002836E2">
      <w:pPr>
        <w:pStyle w:val="ListBullet"/>
        <w:numPr>
          <w:ilvl w:val="0"/>
          <w:numId w:val="47"/>
        </w:numPr>
      </w:pPr>
      <w:r>
        <w:t>Enforceable undertakings</w:t>
      </w:r>
    </w:p>
    <w:p w14:paraId="043A48A4" w14:textId="77777777" w:rsidR="0065601C" w:rsidRDefault="002836E2" w:rsidP="002836E2">
      <w:pPr>
        <w:pStyle w:val="ListBullet"/>
        <w:numPr>
          <w:ilvl w:val="0"/>
          <w:numId w:val="47"/>
        </w:numPr>
      </w:pPr>
      <w:r>
        <w:t>Infringement notices</w:t>
      </w:r>
    </w:p>
    <w:p w14:paraId="3EA41622" w14:textId="3DA6B56C" w:rsidR="0065601C" w:rsidRDefault="006E04A3" w:rsidP="002836E2">
      <w:pPr>
        <w:pStyle w:val="ListBullet"/>
        <w:numPr>
          <w:ilvl w:val="0"/>
          <w:numId w:val="47"/>
        </w:numPr>
      </w:pPr>
      <w:r>
        <w:t>A</w:t>
      </w:r>
      <w:r w:rsidR="0065601C">
        <w:t>dministrative sanctions like cancelling licences etc</w:t>
      </w:r>
    </w:p>
    <w:p w14:paraId="597ECA61" w14:textId="77777777" w:rsidR="0065601C" w:rsidRDefault="0065601C" w:rsidP="002836E2">
      <w:pPr>
        <w:pStyle w:val="ListBullet"/>
        <w:numPr>
          <w:ilvl w:val="0"/>
          <w:numId w:val="47"/>
        </w:numPr>
      </w:pPr>
      <w:r>
        <w:t>Civil proceedings</w:t>
      </w:r>
    </w:p>
    <w:p w14:paraId="4956D710" w14:textId="0B7B6CC4" w:rsidR="002836E2" w:rsidRDefault="0065601C" w:rsidP="002836E2">
      <w:pPr>
        <w:pStyle w:val="ListBullet"/>
        <w:numPr>
          <w:ilvl w:val="0"/>
          <w:numId w:val="47"/>
        </w:numPr>
      </w:pPr>
      <w:r>
        <w:t xml:space="preserve">Criminal proceedings </w:t>
      </w:r>
    </w:p>
    <w:p w14:paraId="19F755B4" w14:textId="3191832D" w:rsidR="00E90847" w:rsidRDefault="00E90847" w:rsidP="002836E2">
      <w:pPr>
        <w:pStyle w:val="ListBullet"/>
        <w:numPr>
          <w:ilvl w:val="0"/>
          <w:numId w:val="0"/>
        </w:numPr>
      </w:pPr>
      <w:r>
        <w:t xml:space="preserve">Some of these </w:t>
      </w:r>
      <w:r w:rsidR="006E04A3">
        <w:t xml:space="preserve">kinds of </w:t>
      </w:r>
      <w:r w:rsidR="004871C5">
        <w:t>powers</w:t>
      </w:r>
      <w:r>
        <w:t xml:space="preserve"> are already provided for in the PHI Act but </w:t>
      </w:r>
      <w:r w:rsidR="00311E6F">
        <w:t xml:space="preserve">only </w:t>
      </w:r>
      <w:r w:rsidR="0093560F">
        <w:t xml:space="preserve">currently </w:t>
      </w:r>
      <w:r>
        <w:t>apply to insurers (not sponsors or hospitals).</w:t>
      </w:r>
    </w:p>
    <w:p w14:paraId="4CD13767" w14:textId="5C3EF50C" w:rsidR="002836E2" w:rsidRDefault="002836E2" w:rsidP="002836E2">
      <w:pPr>
        <w:pStyle w:val="ListBullet"/>
        <w:numPr>
          <w:ilvl w:val="0"/>
          <w:numId w:val="0"/>
        </w:numPr>
      </w:pPr>
      <w:r>
        <w:t xml:space="preserve">In considering the proposed </w:t>
      </w:r>
      <w:r w:rsidR="006E04A3">
        <w:t xml:space="preserve">compliance and assurance </w:t>
      </w:r>
      <w:r>
        <w:t xml:space="preserve">measures, stakeholders are asked to also consider if they would support </w:t>
      </w:r>
      <w:r w:rsidR="004871C5">
        <w:t xml:space="preserve">enforcement powers </w:t>
      </w:r>
      <w:r>
        <w:t xml:space="preserve">such as injunctions, enforceable undertakings or infringement notices </w:t>
      </w:r>
      <w:r w:rsidR="00E90847">
        <w:t xml:space="preserve">being available to </w:t>
      </w:r>
      <w:r w:rsidR="004871C5">
        <w:t>support</w:t>
      </w:r>
      <w:r w:rsidR="00E90847">
        <w:t xml:space="preserve"> </w:t>
      </w:r>
      <w:r>
        <w:t>the proposed measures</w:t>
      </w:r>
      <w:r w:rsidR="006E04A3">
        <w:t xml:space="preserve">. These </w:t>
      </w:r>
      <w:r w:rsidR="004E7DF5">
        <w:t xml:space="preserve">enforcement powers </w:t>
      </w:r>
      <w:r w:rsidR="006E04A3">
        <w:t xml:space="preserve">would provide more </w:t>
      </w:r>
      <w:r w:rsidR="00E90847">
        <w:t xml:space="preserve">flexibility in introducing what </w:t>
      </w:r>
      <w:r w:rsidR="0093560F">
        <w:t>c</w:t>
      </w:r>
      <w:r w:rsidR="00E90847">
        <w:t xml:space="preserve">ould be </w:t>
      </w:r>
      <w:r w:rsidR="00D50EB6">
        <w:t xml:space="preserve">considered </w:t>
      </w:r>
      <w:r w:rsidR="00E90847">
        <w:t>new requirements for some stakeholders.</w:t>
      </w:r>
      <w:r w:rsidR="00EB6557">
        <w:t xml:space="preserve"> </w:t>
      </w:r>
      <w:r w:rsidR="006E04A3">
        <w:t xml:space="preserve">If these measures were supported then they </w:t>
      </w:r>
      <w:r w:rsidR="00EB6557">
        <w:t>would need to be legislated in the PHI Act</w:t>
      </w:r>
      <w:r w:rsidR="00C1386A">
        <w:t>. T</w:t>
      </w:r>
      <w:r w:rsidR="00EB6557">
        <w:t>hey could not be provided for in delegated legislation (like ‘Rules’)</w:t>
      </w:r>
      <w:r w:rsidR="00C1386A">
        <w:t>, although the detail about specific requirements (like record keeping) could be specified in delegated legislation</w:t>
      </w:r>
      <w:r w:rsidR="00EB6557">
        <w:t>.</w:t>
      </w:r>
    </w:p>
    <w:p w14:paraId="565A9830" w14:textId="620A1F56" w:rsidR="00FB6C3E" w:rsidRDefault="00311E6F" w:rsidP="002836E2">
      <w:pPr>
        <w:pStyle w:val="ListBullet"/>
        <w:numPr>
          <w:ilvl w:val="0"/>
          <w:numId w:val="0"/>
        </w:numPr>
      </w:pPr>
      <w:r>
        <w:t xml:space="preserve">While compliance </w:t>
      </w:r>
      <w:r w:rsidR="00C45BFC">
        <w:t xml:space="preserve">and assurance </w:t>
      </w:r>
      <w:r>
        <w:t xml:space="preserve">measures apply </w:t>
      </w:r>
      <w:r w:rsidR="00EB6557">
        <w:t>for</w:t>
      </w:r>
      <w:r>
        <w:t xml:space="preserve"> most regulatory schemes, there is always a degree of ‘customisation’ to reflect the nature of the </w:t>
      </w:r>
      <w:r w:rsidR="00FB6C3E">
        <w:t xml:space="preserve">particular regulatory </w:t>
      </w:r>
      <w:r>
        <w:t>scheme</w:t>
      </w:r>
      <w:r w:rsidR="00FB6C3E">
        <w:t xml:space="preserve">. This </w:t>
      </w:r>
      <w:r w:rsidR="006E04A3">
        <w:t xml:space="preserve">customisation includes considering </w:t>
      </w:r>
      <w:r>
        <w:t>the regulated entities</w:t>
      </w:r>
      <w:r w:rsidR="00FB6C3E">
        <w:t xml:space="preserve"> in the scheme, </w:t>
      </w:r>
      <w:r>
        <w:t>contemporary drafting practice</w:t>
      </w:r>
      <w:r w:rsidR="00FB6C3E">
        <w:t xml:space="preserve"> and contemporary Parliamentary scrutiny principles. This means that it is not always possible or desirable to use ‘provisions’ from other regulatory schemes when developing </w:t>
      </w:r>
      <w:r w:rsidR="00C45BFC">
        <w:t>new compliance and assurance measures</w:t>
      </w:r>
      <w:r w:rsidR="00FB6C3E">
        <w:t xml:space="preserve">. </w:t>
      </w:r>
    </w:p>
    <w:p w14:paraId="17F7E46A" w14:textId="3E54CD48" w:rsidR="00FB6C3E" w:rsidRDefault="00311E6F" w:rsidP="002836E2">
      <w:pPr>
        <w:pStyle w:val="ListBullet"/>
        <w:numPr>
          <w:ilvl w:val="0"/>
          <w:numId w:val="0"/>
        </w:numPr>
      </w:pPr>
      <w:r>
        <w:t xml:space="preserve">With that in mind, the Department has proposed </w:t>
      </w:r>
      <w:r w:rsidR="00C45BFC">
        <w:t xml:space="preserve">compliance and assurance </w:t>
      </w:r>
      <w:r>
        <w:t>measures that are</w:t>
      </w:r>
      <w:r w:rsidR="00FB6C3E">
        <w:t xml:space="preserve"> </w:t>
      </w:r>
      <w:r>
        <w:t xml:space="preserve">considered to be </w:t>
      </w:r>
      <w:r w:rsidRPr="00311E6F">
        <w:t xml:space="preserve">‘fit for the purpose of safeguarding the </w:t>
      </w:r>
      <w:r w:rsidR="00111208">
        <w:t>Prescribed</w:t>
      </w:r>
      <w:r w:rsidR="00D50EB6">
        <w:t xml:space="preserve"> List</w:t>
      </w:r>
      <w:r w:rsidRPr="00311E6F">
        <w:t>’</w:t>
      </w:r>
      <w:r>
        <w:t>.</w:t>
      </w:r>
      <w:r w:rsidR="00FB6C3E">
        <w:t xml:space="preserve"> </w:t>
      </w:r>
      <w:r w:rsidRPr="00311E6F">
        <w:t xml:space="preserve">The </w:t>
      </w:r>
      <w:r>
        <w:t xml:space="preserve">proposed measures have been developed </w:t>
      </w:r>
      <w:r w:rsidR="00FB6C3E">
        <w:t xml:space="preserve">with the intention of imposing new obligations </w:t>
      </w:r>
      <w:r w:rsidR="00C45BFC">
        <w:t xml:space="preserve">in a way </w:t>
      </w:r>
      <w:r w:rsidR="00FB6C3E">
        <w:t xml:space="preserve">that would </w:t>
      </w:r>
      <w:r w:rsidR="00EB6557">
        <w:t xml:space="preserve">or may </w:t>
      </w:r>
      <w:r w:rsidR="00FB6C3E">
        <w:t>be familiar to stakeholders.</w:t>
      </w:r>
      <w:r w:rsidR="00C1386A">
        <w:t xml:space="preserve"> However, as stated above, they represent ‘proposed policy’ for the purposes of engaging stakeholders about compliance and assurance measures</w:t>
      </w:r>
      <w:r w:rsidR="004E7DF5">
        <w:t xml:space="preserve">, with the view that the measures </w:t>
      </w:r>
      <w:r w:rsidR="00D84713">
        <w:t xml:space="preserve">may need to be </w:t>
      </w:r>
      <w:r w:rsidR="004E7DF5">
        <w:t xml:space="preserve">customised for the purpose of safeguarding the </w:t>
      </w:r>
      <w:hyperlink r:id="rId32" w:history="1">
        <w:r w:rsidR="00111208">
          <w:rPr>
            <w:rStyle w:val="Hyperlink"/>
          </w:rPr>
          <w:t>Prescribed</w:t>
        </w:r>
        <w:r w:rsidR="004E7DF5" w:rsidRPr="009945D6">
          <w:rPr>
            <w:rStyle w:val="Hyperlink"/>
          </w:rPr>
          <w:t xml:space="preserve"> List</w:t>
        </w:r>
      </w:hyperlink>
      <w:r w:rsidR="00C1386A">
        <w:t>.</w:t>
      </w:r>
    </w:p>
    <w:p w14:paraId="78BFB402" w14:textId="68C2E694" w:rsidR="00F8691F" w:rsidRDefault="00F8691F" w:rsidP="002836E2">
      <w:pPr>
        <w:pStyle w:val="ListBullet"/>
        <w:numPr>
          <w:ilvl w:val="0"/>
          <w:numId w:val="0"/>
        </w:numPr>
      </w:pPr>
    </w:p>
    <w:p w14:paraId="1814BD9E" w14:textId="6EBB27EB" w:rsidR="00883394" w:rsidRDefault="00883394" w:rsidP="002836E2">
      <w:pPr>
        <w:pStyle w:val="ListBullet"/>
        <w:numPr>
          <w:ilvl w:val="0"/>
          <w:numId w:val="0"/>
        </w:numPr>
      </w:pPr>
    </w:p>
    <w:p w14:paraId="1CF75431" w14:textId="57658BFB" w:rsidR="00883394" w:rsidRDefault="00883394" w:rsidP="002836E2">
      <w:pPr>
        <w:pStyle w:val="ListBullet"/>
        <w:numPr>
          <w:ilvl w:val="0"/>
          <w:numId w:val="0"/>
        </w:numPr>
      </w:pPr>
    </w:p>
    <w:p w14:paraId="6DB7EE27" w14:textId="4438436E" w:rsidR="00883394" w:rsidRDefault="00883394" w:rsidP="002836E2">
      <w:pPr>
        <w:pStyle w:val="ListBullet"/>
        <w:numPr>
          <w:ilvl w:val="0"/>
          <w:numId w:val="0"/>
        </w:numPr>
      </w:pPr>
    </w:p>
    <w:p w14:paraId="3D7FB724" w14:textId="67A1B44C" w:rsidR="00883394" w:rsidRDefault="00883394" w:rsidP="002836E2">
      <w:pPr>
        <w:pStyle w:val="ListBullet"/>
        <w:numPr>
          <w:ilvl w:val="0"/>
          <w:numId w:val="0"/>
        </w:numPr>
      </w:pPr>
    </w:p>
    <w:p w14:paraId="418EA7BE" w14:textId="18C5FF97" w:rsidR="00883394" w:rsidRDefault="00883394" w:rsidP="002836E2">
      <w:pPr>
        <w:pStyle w:val="ListBullet"/>
        <w:numPr>
          <w:ilvl w:val="0"/>
          <w:numId w:val="0"/>
        </w:numPr>
      </w:pPr>
    </w:p>
    <w:p w14:paraId="7EEAF5FB" w14:textId="16EB8BE2" w:rsidR="00883394" w:rsidRDefault="00883394" w:rsidP="002836E2">
      <w:pPr>
        <w:pStyle w:val="ListBullet"/>
        <w:numPr>
          <w:ilvl w:val="0"/>
          <w:numId w:val="0"/>
        </w:numPr>
      </w:pPr>
    </w:p>
    <w:p w14:paraId="65620D94" w14:textId="7DAFD49B" w:rsidR="00883394" w:rsidRDefault="00883394" w:rsidP="002836E2">
      <w:pPr>
        <w:pStyle w:val="ListBullet"/>
        <w:numPr>
          <w:ilvl w:val="0"/>
          <w:numId w:val="0"/>
        </w:numPr>
      </w:pPr>
    </w:p>
    <w:p w14:paraId="5D7C4973" w14:textId="77777777" w:rsidR="00883394" w:rsidRDefault="00883394" w:rsidP="002836E2">
      <w:pPr>
        <w:pStyle w:val="ListBullet"/>
        <w:numPr>
          <w:ilvl w:val="0"/>
          <w:numId w:val="0"/>
        </w:numPr>
      </w:pPr>
    </w:p>
    <w:p w14:paraId="0B2188EF" w14:textId="70133676" w:rsidR="002D0A92" w:rsidRPr="002D0A92" w:rsidRDefault="002D0A92" w:rsidP="002D0A92">
      <w:pPr>
        <w:pStyle w:val="ListBullet"/>
        <w:numPr>
          <w:ilvl w:val="0"/>
          <w:numId w:val="38"/>
        </w:numPr>
        <w:ind w:hanging="720"/>
        <w:rPr>
          <w:b/>
          <w:bCs w:val="0"/>
        </w:rPr>
      </w:pPr>
      <w:r w:rsidRPr="002D0A92">
        <w:rPr>
          <w:b/>
          <w:bCs w:val="0"/>
        </w:rPr>
        <w:lastRenderedPageBreak/>
        <w:t>Proposed measure</w:t>
      </w:r>
      <w:r w:rsidR="0086752F">
        <w:rPr>
          <w:b/>
          <w:bCs w:val="0"/>
        </w:rPr>
        <w:t>s</w:t>
      </w:r>
      <w:r w:rsidRPr="002D0A92">
        <w:rPr>
          <w:b/>
          <w:bCs w:val="0"/>
        </w:rPr>
        <w:t xml:space="preserve"> for sponsors</w:t>
      </w:r>
    </w:p>
    <w:p w14:paraId="4F229307" w14:textId="0D709CA4" w:rsidR="000D3C47" w:rsidRDefault="002D0A92" w:rsidP="00883394">
      <w:pPr>
        <w:pStyle w:val="ListBullet"/>
        <w:numPr>
          <w:ilvl w:val="0"/>
          <w:numId w:val="0"/>
        </w:numPr>
        <w:rPr>
          <w:bCs w:val="0"/>
        </w:rPr>
      </w:pPr>
      <w:r>
        <w:t>T</w:t>
      </w:r>
      <w:r w:rsidR="00C95CF3">
        <w:t xml:space="preserve">he PHI Act be amended to introduce </w:t>
      </w:r>
      <w:r w:rsidR="007F2450">
        <w:t xml:space="preserve">new </w:t>
      </w:r>
      <w:r w:rsidR="00EB4EAE">
        <w:t xml:space="preserve">record keeping </w:t>
      </w:r>
      <w:r w:rsidR="007149BF">
        <w:t xml:space="preserve">and notification </w:t>
      </w:r>
      <w:r>
        <w:t xml:space="preserve">obligations for sponsors. </w:t>
      </w:r>
      <w:bookmarkStart w:id="5" w:name="_Hlk128483412"/>
    </w:p>
    <w:p w14:paraId="15B13D78" w14:textId="434F611B" w:rsidR="0022182B" w:rsidRDefault="002D0A92" w:rsidP="0022182B">
      <w:pPr>
        <w:pStyle w:val="ListBullet"/>
        <w:numPr>
          <w:ilvl w:val="0"/>
          <w:numId w:val="0"/>
        </w:numPr>
      </w:pPr>
      <w:r>
        <w:t xml:space="preserve">These obligations would </w:t>
      </w:r>
      <w:r w:rsidR="0022182B">
        <w:t>require a sponsor to:</w:t>
      </w:r>
    </w:p>
    <w:p w14:paraId="67052BDB" w14:textId="62866DF3" w:rsidR="0022182B" w:rsidRDefault="0022182B" w:rsidP="001C2A36">
      <w:pPr>
        <w:pStyle w:val="ListBullet"/>
        <w:numPr>
          <w:ilvl w:val="0"/>
          <w:numId w:val="0"/>
        </w:numPr>
        <w:ind w:left="851" w:hanging="284"/>
      </w:pPr>
      <w:r>
        <w:t>a.</w:t>
      </w:r>
      <w:r>
        <w:tab/>
        <w:t xml:space="preserve">make and keep records </w:t>
      </w:r>
      <w:r w:rsidR="007F2450">
        <w:t xml:space="preserve">about a listed device or product with the </w:t>
      </w:r>
      <w:r>
        <w:t xml:space="preserve">kinds of information </w:t>
      </w:r>
      <w:r w:rsidR="007F2450">
        <w:t xml:space="preserve">to </w:t>
      </w:r>
      <w:r>
        <w:t xml:space="preserve">be specified in the </w:t>
      </w:r>
      <w:hyperlink r:id="rId33" w:history="1">
        <w:r w:rsidRPr="00836717">
          <w:rPr>
            <w:rStyle w:val="Hyperlink"/>
          </w:rPr>
          <w:t>MDHTP Rules</w:t>
        </w:r>
      </w:hyperlink>
      <w:r w:rsidR="001C2A36">
        <w:t xml:space="preserve"> (see below</w:t>
      </w:r>
      <w:r w:rsidR="00EB6557">
        <w:t xml:space="preserve"> for examples</w:t>
      </w:r>
      <w:r w:rsidR="001C2A36">
        <w:t>);</w:t>
      </w:r>
    </w:p>
    <w:p w14:paraId="4C70703C" w14:textId="2307E4B9" w:rsidR="0022182B" w:rsidRDefault="0086752F" w:rsidP="001C2A36">
      <w:pPr>
        <w:pStyle w:val="ListBullet"/>
        <w:numPr>
          <w:ilvl w:val="0"/>
          <w:numId w:val="0"/>
        </w:numPr>
        <w:ind w:left="851" w:hanging="284"/>
      </w:pPr>
      <w:r>
        <w:t>b</w:t>
      </w:r>
      <w:r w:rsidR="0022182B">
        <w:t>.</w:t>
      </w:r>
      <w:r w:rsidR="0022182B">
        <w:tab/>
        <w:t xml:space="preserve">provide records </w:t>
      </w:r>
      <w:r w:rsidR="007F2450">
        <w:t xml:space="preserve">about a listed device or product with the kinds of records to be </w:t>
      </w:r>
      <w:r w:rsidR="0022182B">
        <w:t xml:space="preserve">specified in the </w:t>
      </w:r>
      <w:hyperlink r:id="rId34" w:history="1">
        <w:r w:rsidR="0022182B" w:rsidRPr="009945D6">
          <w:rPr>
            <w:rStyle w:val="Hyperlink"/>
          </w:rPr>
          <w:t>MDHTP Rules</w:t>
        </w:r>
      </w:hyperlink>
      <w:r w:rsidR="00EB6557">
        <w:t xml:space="preserve"> (see below</w:t>
      </w:r>
      <w:r w:rsidR="00EB4EAE">
        <w:t xml:space="preserve"> for more information</w:t>
      </w:r>
      <w:r w:rsidR="00EB6557">
        <w:t>)</w:t>
      </w:r>
      <w:r w:rsidR="0022182B">
        <w:t>, including when these records are to be provided by the sponsor</w:t>
      </w:r>
      <w:r w:rsidR="00373AE6">
        <w:t xml:space="preserve"> (so the obligation is not overly onerous)</w:t>
      </w:r>
      <w:r w:rsidR="001C2A36">
        <w:t>;</w:t>
      </w:r>
    </w:p>
    <w:p w14:paraId="108E9B6C" w14:textId="7F1B59F3" w:rsidR="0022182B" w:rsidRDefault="0086752F" w:rsidP="001C2A36">
      <w:pPr>
        <w:pStyle w:val="ListBullet"/>
        <w:numPr>
          <w:ilvl w:val="0"/>
          <w:numId w:val="0"/>
        </w:numPr>
        <w:ind w:left="851" w:hanging="284"/>
      </w:pPr>
      <w:r>
        <w:t>c</w:t>
      </w:r>
      <w:r w:rsidR="0022182B">
        <w:t>.</w:t>
      </w:r>
      <w:r w:rsidR="0022182B">
        <w:tab/>
        <w:t xml:space="preserve">provide ‘relevant information’ </w:t>
      </w:r>
      <w:r w:rsidR="007F2450">
        <w:t xml:space="preserve">about a listed device or product </w:t>
      </w:r>
      <w:r w:rsidR="0022182B">
        <w:t>(see ‘relevant information’ below)</w:t>
      </w:r>
      <w:r w:rsidR="001C2A36">
        <w:t>;</w:t>
      </w:r>
    </w:p>
    <w:p w14:paraId="49ED27BF" w14:textId="5756AD7F" w:rsidR="0022182B" w:rsidRDefault="0086752F" w:rsidP="001C2A36">
      <w:pPr>
        <w:pStyle w:val="ListBullet"/>
        <w:numPr>
          <w:ilvl w:val="0"/>
          <w:numId w:val="0"/>
        </w:numPr>
        <w:ind w:left="851" w:hanging="284"/>
      </w:pPr>
      <w:r>
        <w:t>d</w:t>
      </w:r>
      <w:r w:rsidR="0022182B">
        <w:t>.</w:t>
      </w:r>
      <w:r w:rsidR="0022182B">
        <w:tab/>
        <w:t xml:space="preserve">provide correct information </w:t>
      </w:r>
      <w:r w:rsidR="007F2450">
        <w:t xml:space="preserve">about a listed device or product </w:t>
      </w:r>
      <w:r w:rsidR="0022182B">
        <w:t>if incorrect information has previously been provided by the sponsor</w:t>
      </w:r>
      <w:r w:rsidR="001C2A36">
        <w:t>;</w:t>
      </w:r>
    </w:p>
    <w:p w14:paraId="2A1A95FE" w14:textId="3B30C5D2" w:rsidR="0022182B" w:rsidRDefault="0086752F" w:rsidP="001C2A36">
      <w:pPr>
        <w:pStyle w:val="ListBullet"/>
        <w:numPr>
          <w:ilvl w:val="0"/>
          <w:numId w:val="0"/>
        </w:numPr>
        <w:ind w:left="851" w:hanging="284"/>
      </w:pPr>
      <w:r>
        <w:t>e</w:t>
      </w:r>
      <w:r w:rsidR="0022182B">
        <w:t>.</w:t>
      </w:r>
      <w:r w:rsidR="0022182B">
        <w:tab/>
        <w:t xml:space="preserve">ensure records made, kept or provided </w:t>
      </w:r>
      <w:r w:rsidR="007F2450">
        <w:t xml:space="preserve">about a listed device or product are </w:t>
      </w:r>
      <w:r w:rsidR="0022182B">
        <w:t>in the approved form</w:t>
      </w:r>
      <w:r w:rsidR="001C2A36">
        <w:t>;</w:t>
      </w:r>
    </w:p>
    <w:p w14:paraId="58F8EF50" w14:textId="32B6E013" w:rsidR="0022182B" w:rsidRDefault="0086752F" w:rsidP="001C2A36">
      <w:pPr>
        <w:pStyle w:val="ListBullet"/>
        <w:numPr>
          <w:ilvl w:val="0"/>
          <w:numId w:val="0"/>
        </w:numPr>
        <w:ind w:left="851" w:hanging="284"/>
      </w:pPr>
      <w:r>
        <w:t>f</w:t>
      </w:r>
      <w:r w:rsidR="0022182B">
        <w:t>.</w:t>
      </w:r>
      <w:r w:rsidR="0022182B">
        <w:tab/>
      </w:r>
      <w:r w:rsidR="00B14896">
        <w:t xml:space="preserve">provide </w:t>
      </w:r>
      <w:r w:rsidR="0022182B">
        <w:t xml:space="preserve">any other </w:t>
      </w:r>
      <w:r w:rsidR="007F2450">
        <w:t xml:space="preserve">information-related </w:t>
      </w:r>
      <w:r w:rsidR="0022182B">
        <w:t xml:space="preserve">obligations </w:t>
      </w:r>
      <w:r w:rsidR="007F2450">
        <w:t xml:space="preserve">about listed devices or products that are </w:t>
      </w:r>
      <w:r w:rsidR="0022182B">
        <w:t xml:space="preserve">specified in the </w:t>
      </w:r>
      <w:hyperlink r:id="rId35" w:history="1">
        <w:r w:rsidR="0022182B" w:rsidRPr="00836717">
          <w:rPr>
            <w:rStyle w:val="Hyperlink"/>
          </w:rPr>
          <w:t>MDHTP Rules</w:t>
        </w:r>
      </w:hyperlink>
      <w:r w:rsidR="0022182B">
        <w:t>.</w:t>
      </w:r>
      <w:bookmarkEnd w:id="5"/>
    </w:p>
    <w:p w14:paraId="4CD05E0B" w14:textId="0463B70B" w:rsidR="00DE308A" w:rsidRDefault="00DE308A" w:rsidP="00DE308A">
      <w:pPr>
        <w:pStyle w:val="ListBullet"/>
        <w:numPr>
          <w:ilvl w:val="0"/>
          <w:numId w:val="0"/>
        </w:numPr>
      </w:pPr>
      <w:r>
        <w:t xml:space="preserve">The purpose of these obligations is to ensure that current and accurate information is available to demonstrate </w:t>
      </w:r>
      <w:r w:rsidRPr="00AA1CA0">
        <w:t xml:space="preserve">that </w:t>
      </w:r>
      <w:r>
        <w:t xml:space="preserve">listed </w:t>
      </w:r>
      <w:r w:rsidRPr="00AA1CA0">
        <w:t xml:space="preserve">devices and products remain safe, clinically effective and that the specified benefit for </w:t>
      </w:r>
      <w:r>
        <w:t>the</w:t>
      </w:r>
      <w:r w:rsidRPr="00AA1CA0">
        <w:t xml:space="preserve"> device or product is proportionate to its clinical effectiveness</w:t>
      </w:r>
      <w:r>
        <w:t>.</w:t>
      </w:r>
      <w:r w:rsidRPr="007F2450">
        <w:t xml:space="preserve"> </w:t>
      </w:r>
      <w:r>
        <w:t xml:space="preserve">The obligations are intended to </w:t>
      </w:r>
      <w:r w:rsidRPr="007F2450">
        <w:t>further encourag</w:t>
      </w:r>
      <w:r>
        <w:t>e</w:t>
      </w:r>
      <w:r w:rsidRPr="007F2450">
        <w:t xml:space="preserve"> sponsors to actively manage listed devices and products for which sponsors are responsible</w:t>
      </w:r>
      <w:r>
        <w:t>.</w:t>
      </w:r>
    </w:p>
    <w:p w14:paraId="70B4A156" w14:textId="183CE5CD" w:rsidR="00DE308A" w:rsidRDefault="00DE308A" w:rsidP="00DE308A">
      <w:pPr>
        <w:pStyle w:val="ListBullet"/>
        <w:numPr>
          <w:ilvl w:val="0"/>
          <w:numId w:val="0"/>
        </w:numPr>
      </w:pPr>
      <w:bookmarkStart w:id="6" w:name="_Hlk128553794"/>
      <w:r>
        <w:t xml:space="preserve">Maintaining the </w:t>
      </w:r>
      <w:r w:rsidR="00111208">
        <w:t>Prescribed</w:t>
      </w:r>
      <w:r w:rsidR="00C1386A">
        <w:t xml:space="preserve"> List</w:t>
      </w:r>
      <w:r>
        <w:t xml:space="preserve"> is a shared responsibility between sponsors and government and the proposed new obligations for making, keeping and providing records and other information </w:t>
      </w:r>
      <w:r w:rsidR="00EB6557">
        <w:t xml:space="preserve">are intended to further </w:t>
      </w:r>
      <w:r>
        <w:t>that objective</w:t>
      </w:r>
      <w:r w:rsidR="00EB6557">
        <w:t xml:space="preserve"> and promote public confidence in the </w:t>
      </w:r>
      <w:r w:rsidR="00111208">
        <w:t>Prescribed</w:t>
      </w:r>
      <w:r w:rsidR="00C1386A">
        <w:t xml:space="preserve"> List</w:t>
      </w:r>
      <w:r>
        <w:t>.</w:t>
      </w:r>
      <w:bookmarkEnd w:id="6"/>
    </w:p>
    <w:p w14:paraId="530C49CC" w14:textId="6A9041C7" w:rsidR="0022182B" w:rsidRPr="0022182B" w:rsidRDefault="00A23182" w:rsidP="002D0A92">
      <w:pPr>
        <w:pStyle w:val="ListBullet"/>
        <w:numPr>
          <w:ilvl w:val="0"/>
          <w:numId w:val="0"/>
        </w:numPr>
        <w:rPr>
          <w:i/>
          <w:iCs/>
        </w:rPr>
      </w:pPr>
      <w:r>
        <w:rPr>
          <w:i/>
          <w:iCs/>
        </w:rPr>
        <w:t xml:space="preserve">1.1 </w:t>
      </w:r>
      <w:r w:rsidR="0022182B" w:rsidRPr="0022182B">
        <w:rPr>
          <w:i/>
          <w:iCs/>
        </w:rPr>
        <w:t>Implementation of these obligations</w:t>
      </w:r>
    </w:p>
    <w:p w14:paraId="7346CAED" w14:textId="6DD26F20" w:rsidR="0022182B" w:rsidRDefault="002D0A92" w:rsidP="002D0A92">
      <w:pPr>
        <w:pStyle w:val="ListBullet"/>
        <w:numPr>
          <w:ilvl w:val="0"/>
          <w:numId w:val="0"/>
        </w:numPr>
      </w:pPr>
      <w:r>
        <w:t xml:space="preserve">Should this </w:t>
      </w:r>
      <w:r w:rsidR="00EB6557">
        <w:t xml:space="preserve">proposed </w:t>
      </w:r>
      <w:r>
        <w:t>measure proceed, the means of implementing th</w:t>
      </w:r>
      <w:r w:rsidR="00DC5BA9">
        <w:t xml:space="preserve">ese </w:t>
      </w:r>
      <w:r>
        <w:t>obligation</w:t>
      </w:r>
      <w:r w:rsidR="00DC5BA9">
        <w:t>s</w:t>
      </w:r>
      <w:r>
        <w:t xml:space="preserve"> will need to be discussed with the Office of Parliamentary Counsel. One possible means of implementing this measure would be to introduce </w:t>
      </w:r>
      <w:r w:rsidR="00C95CF3">
        <w:t xml:space="preserve">conditions of listing (or a similar obligation that would operate in a manner that is similar to </w:t>
      </w:r>
      <w:r w:rsidR="00652FC1">
        <w:t xml:space="preserve">conditions </w:t>
      </w:r>
      <w:r w:rsidR="00C95CF3">
        <w:t xml:space="preserve">for </w:t>
      </w:r>
      <w:r w:rsidR="00DC5BA9">
        <w:t xml:space="preserve">inclusion in the </w:t>
      </w:r>
      <w:r w:rsidR="00C95CF3">
        <w:t xml:space="preserve">ARTG </w:t>
      </w:r>
      <w:r w:rsidR="00C1386A">
        <w:t xml:space="preserve">– see section 41FN of </w:t>
      </w:r>
      <w:r w:rsidR="00C95CF3">
        <w:t xml:space="preserve">the TG Act). These ‘conditions of listing’ would be separate and completely independent from the current conditions </w:t>
      </w:r>
      <w:r w:rsidR="00C95CF3" w:rsidRPr="002D0A92">
        <w:rPr>
          <w:u w:val="single"/>
        </w:rPr>
        <w:t>for the provision of a listed item</w:t>
      </w:r>
      <w:r w:rsidR="00C95CF3">
        <w:t xml:space="preserve"> (See item 4 of the table to subsection 72-1(2)</w:t>
      </w:r>
      <w:r w:rsidR="00EB6557">
        <w:t xml:space="preserve"> of the PHI Act</w:t>
      </w:r>
      <w:r w:rsidR="00C95CF3">
        <w:t xml:space="preserve">). </w:t>
      </w:r>
    </w:p>
    <w:p w14:paraId="5E66F69B" w14:textId="77777777" w:rsidR="00C1386A" w:rsidRDefault="00C95CF3" w:rsidP="002D0A92">
      <w:pPr>
        <w:pStyle w:val="ListBullet"/>
        <w:numPr>
          <w:ilvl w:val="0"/>
          <w:numId w:val="0"/>
        </w:numPr>
      </w:pPr>
      <w:r>
        <w:t xml:space="preserve">These conditions </w:t>
      </w:r>
      <w:r w:rsidR="00652FC1">
        <w:t xml:space="preserve">of listing </w:t>
      </w:r>
      <w:r w:rsidR="00C1386A">
        <w:t>c</w:t>
      </w:r>
      <w:r>
        <w:t>ould operate like the conditions on declarations of hospitals</w:t>
      </w:r>
      <w:r w:rsidR="00DE50F5">
        <w:t xml:space="preserve"> in Division 121 of the PHI Act.</w:t>
      </w:r>
      <w:r w:rsidR="00DC5BA9">
        <w:t xml:space="preserve"> The intention is to implement the obligations in a manner that is familiar to sponsors and consistent with the </w:t>
      </w:r>
      <w:r w:rsidR="00E90847">
        <w:t xml:space="preserve">current </w:t>
      </w:r>
      <w:r w:rsidR="00DC5BA9">
        <w:t>regulatory approach in the PHI Act</w:t>
      </w:r>
      <w:r w:rsidR="00EB6557">
        <w:t xml:space="preserve"> for other regulated entities</w:t>
      </w:r>
      <w:r w:rsidR="00DC5BA9">
        <w:t xml:space="preserve">. </w:t>
      </w:r>
    </w:p>
    <w:p w14:paraId="0F878BEF" w14:textId="5E2C5B73" w:rsidR="00C06E26" w:rsidRDefault="00C1386A" w:rsidP="002D0A92">
      <w:pPr>
        <w:pStyle w:val="ListBullet"/>
        <w:numPr>
          <w:ilvl w:val="0"/>
          <w:numId w:val="0"/>
        </w:numPr>
      </w:pPr>
      <w:r>
        <w:t xml:space="preserve">Alternatively, another means of implementing this policy would be to specify these obligations in the </w:t>
      </w:r>
      <w:hyperlink r:id="rId36" w:history="1">
        <w:r w:rsidRPr="00836717">
          <w:rPr>
            <w:rStyle w:val="Hyperlink"/>
          </w:rPr>
          <w:t>MDHTP Rules</w:t>
        </w:r>
      </w:hyperlink>
      <w:r>
        <w:t xml:space="preserve"> and require compliance with these obligations through a criminal offence (in the PHI Act or regulations).</w:t>
      </w:r>
    </w:p>
    <w:p w14:paraId="6D1CD7FF" w14:textId="31736786" w:rsidR="00DC5BA9" w:rsidRDefault="00C06E26" w:rsidP="002D0A92">
      <w:pPr>
        <w:pStyle w:val="ListBullet"/>
        <w:numPr>
          <w:ilvl w:val="0"/>
          <w:numId w:val="0"/>
        </w:numPr>
      </w:pPr>
      <w:r>
        <w:t xml:space="preserve">The Department requests comment from stakeholders on </w:t>
      </w:r>
      <w:r w:rsidRPr="00C06E26">
        <w:t>the concept of introducing ‘conditions of listing’ as a means on introducing new obligations on sponsors</w:t>
      </w:r>
      <w:r>
        <w:t xml:space="preserve">, particularly if </w:t>
      </w:r>
      <w:r w:rsidRPr="00C06E26">
        <w:t xml:space="preserve">sponsors </w:t>
      </w:r>
      <w:r>
        <w:t xml:space="preserve">would </w:t>
      </w:r>
      <w:r w:rsidRPr="00C06E26">
        <w:t>readily differentiate these ‘conditions of listing’ from the current ‘conditions for the provision of a listed device or product’</w:t>
      </w:r>
      <w:r>
        <w:t>.</w:t>
      </w:r>
    </w:p>
    <w:p w14:paraId="14FB62F7" w14:textId="267F9B74" w:rsidR="0022182B" w:rsidRDefault="00A23182" w:rsidP="002D0A92">
      <w:pPr>
        <w:pStyle w:val="ListBullet"/>
        <w:numPr>
          <w:ilvl w:val="0"/>
          <w:numId w:val="0"/>
        </w:numPr>
        <w:ind w:left="360" w:hanging="360"/>
        <w:rPr>
          <w:i/>
          <w:iCs/>
        </w:rPr>
      </w:pPr>
      <w:bookmarkStart w:id="7" w:name="_Hlk128483731"/>
      <w:r>
        <w:rPr>
          <w:i/>
          <w:iCs/>
        </w:rPr>
        <w:t xml:space="preserve">1.2 </w:t>
      </w:r>
      <w:r w:rsidR="0022182B" w:rsidRPr="00DE50F5">
        <w:rPr>
          <w:i/>
          <w:iCs/>
        </w:rPr>
        <w:t xml:space="preserve">Kinds of records to be specified in the </w:t>
      </w:r>
      <w:hyperlink r:id="rId37" w:history="1">
        <w:r w:rsidR="0022182B" w:rsidRPr="00836717">
          <w:rPr>
            <w:rStyle w:val="Hyperlink"/>
            <w:i/>
            <w:iCs/>
          </w:rPr>
          <w:t>MDHTP Rules</w:t>
        </w:r>
      </w:hyperlink>
    </w:p>
    <w:p w14:paraId="32D06814" w14:textId="19D47825" w:rsidR="00555B91" w:rsidRDefault="00555B91" w:rsidP="002D0A92">
      <w:pPr>
        <w:pStyle w:val="ListBullet"/>
        <w:numPr>
          <w:ilvl w:val="0"/>
          <w:numId w:val="0"/>
        </w:numPr>
        <w:ind w:left="360" w:hanging="360"/>
      </w:pPr>
      <w:r w:rsidRPr="00555B91">
        <w:t xml:space="preserve">It is anticipated that the kinds of records to be kept, made and provided would include: </w:t>
      </w:r>
    </w:p>
    <w:p w14:paraId="3FA45956" w14:textId="77777777" w:rsidR="00555B91" w:rsidRPr="00555B91" w:rsidRDefault="00555B91" w:rsidP="00DC5BA9">
      <w:pPr>
        <w:numPr>
          <w:ilvl w:val="0"/>
          <w:numId w:val="39"/>
        </w:numPr>
        <w:spacing w:after="160" w:line="259" w:lineRule="auto"/>
        <w:rPr>
          <w:rFonts w:eastAsiaTheme="minorHAnsi" w:cstheme="minorBidi"/>
          <w:bCs/>
          <w:color w:val="000000" w:themeColor="text1"/>
          <w:sz w:val="21"/>
          <w:szCs w:val="22"/>
        </w:rPr>
      </w:pPr>
      <w:r w:rsidRPr="00555B91">
        <w:rPr>
          <w:rFonts w:eastAsiaTheme="minorHAnsi" w:cstheme="minorBidi"/>
          <w:bCs/>
          <w:color w:val="000000" w:themeColor="text1"/>
          <w:sz w:val="21"/>
          <w:szCs w:val="22"/>
        </w:rPr>
        <w:t>clinical records in connection with the provision (use) of a listed device or product that are sufficient to demonstrate the clinical effectiveness of the listed device or product, including a comparison of the clinical effectiveness for the listed device or product with a medical device or human tissue product or treatment that could be used instead of the listed device or product; and</w:t>
      </w:r>
    </w:p>
    <w:p w14:paraId="1F041408" w14:textId="77777777" w:rsidR="00555B91" w:rsidRPr="00555B91" w:rsidRDefault="00555B91" w:rsidP="00555B91">
      <w:pPr>
        <w:numPr>
          <w:ilvl w:val="0"/>
          <w:numId w:val="39"/>
        </w:numPr>
        <w:spacing w:after="160" w:line="259" w:lineRule="auto"/>
        <w:rPr>
          <w:rFonts w:eastAsiaTheme="minorHAnsi" w:cstheme="minorBidi"/>
          <w:bCs/>
          <w:color w:val="000000" w:themeColor="text1"/>
          <w:sz w:val="21"/>
          <w:szCs w:val="22"/>
        </w:rPr>
      </w:pPr>
      <w:r w:rsidRPr="00555B91">
        <w:rPr>
          <w:rFonts w:eastAsiaTheme="minorHAnsi" w:cstheme="minorBidi"/>
          <w:bCs/>
          <w:color w:val="000000" w:themeColor="text1"/>
          <w:sz w:val="21"/>
          <w:szCs w:val="22"/>
        </w:rPr>
        <w:t>records of the costs of the provision of a listed device or product, as well as costs associated with the use of the listed device or product in other markets both overseas or within Australia; and</w:t>
      </w:r>
    </w:p>
    <w:p w14:paraId="7A813DEF" w14:textId="77777777" w:rsidR="00555B91" w:rsidRPr="00555B91" w:rsidRDefault="00555B91" w:rsidP="00555B91">
      <w:pPr>
        <w:numPr>
          <w:ilvl w:val="0"/>
          <w:numId w:val="39"/>
        </w:numPr>
        <w:spacing w:after="160" w:line="259" w:lineRule="auto"/>
        <w:rPr>
          <w:rFonts w:eastAsiaTheme="minorHAnsi" w:cstheme="minorBidi"/>
          <w:bCs/>
          <w:color w:val="000000" w:themeColor="text1"/>
          <w:sz w:val="21"/>
          <w:szCs w:val="22"/>
        </w:rPr>
      </w:pPr>
      <w:r w:rsidRPr="00555B91">
        <w:rPr>
          <w:rFonts w:eastAsiaTheme="minorHAnsi" w:cstheme="minorBidi"/>
          <w:bCs/>
          <w:color w:val="000000" w:themeColor="text1"/>
          <w:sz w:val="21"/>
          <w:szCs w:val="22"/>
        </w:rPr>
        <w:t xml:space="preserve">records that are sufficient to demonstrate that the cost of the listed device or product is proportionate to the clinical effectiveness of the listed device or product, when compared with a </w:t>
      </w:r>
      <w:r w:rsidRPr="00555B91">
        <w:rPr>
          <w:rFonts w:eastAsiaTheme="minorHAnsi" w:cstheme="minorBidi"/>
          <w:bCs/>
          <w:color w:val="000000" w:themeColor="text1"/>
          <w:sz w:val="21"/>
          <w:szCs w:val="22"/>
        </w:rPr>
        <w:lastRenderedPageBreak/>
        <w:t>medical device or human tissue product or treatment that could be used instead of the listed device or product; and</w:t>
      </w:r>
    </w:p>
    <w:p w14:paraId="4B320185" w14:textId="451487E8" w:rsidR="00555B91" w:rsidRDefault="00AA1CA0" w:rsidP="00555B91">
      <w:pPr>
        <w:numPr>
          <w:ilvl w:val="0"/>
          <w:numId w:val="39"/>
        </w:numPr>
        <w:spacing w:after="160" w:line="259" w:lineRule="auto"/>
        <w:rPr>
          <w:rFonts w:eastAsiaTheme="minorHAnsi" w:cstheme="minorBidi"/>
          <w:bCs/>
          <w:color w:val="000000" w:themeColor="text1"/>
          <w:sz w:val="21"/>
          <w:szCs w:val="22"/>
        </w:rPr>
      </w:pPr>
      <w:r w:rsidRPr="00AA1CA0">
        <w:rPr>
          <w:rFonts w:eastAsiaTheme="minorHAnsi" w:cstheme="minorBidi"/>
          <w:bCs/>
          <w:color w:val="000000" w:themeColor="text1"/>
          <w:sz w:val="21"/>
          <w:szCs w:val="22"/>
        </w:rPr>
        <w:t xml:space="preserve">a specified </w:t>
      </w:r>
      <w:r w:rsidR="00555B91" w:rsidRPr="00555B91">
        <w:rPr>
          <w:rFonts w:eastAsiaTheme="minorHAnsi" w:cstheme="minorBidi"/>
          <w:bCs/>
          <w:color w:val="000000" w:themeColor="text1"/>
          <w:sz w:val="21"/>
          <w:szCs w:val="22"/>
        </w:rPr>
        <w:t xml:space="preserve">period of time that </w:t>
      </w:r>
      <w:r w:rsidR="00306775">
        <w:rPr>
          <w:rFonts w:eastAsiaTheme="minorHAnsi" w:cstheme="minorBidi"/>
          <w:bCs/>
          <w:color w:val="000000" w:themeColor="text1"/>
          <w:sz w:val="21"/>
          <w:szCs w:val="22"/>
        </w:rPr>
        <w:t xml:space="preserve">specified </w:t>
      </w:r>
      <w:r w:rsidR="00555B91" w:rsidRPr="00555B91">
        <w:rPr>
          <w:rFonts w:eastAsiaTheme="minorHAnsi" w:cstheme="minorBidi"/>
          <w:bCs/>
          <w:color w:val="000000" w:themeColor="text1"/>
          <w:sz w:val="21"/>
          <w:szCs w:val="22"/>
        </w:rPr>
        <w:t>records are to be kept.</w:t>
      </w:r>
    </w:p>
    <w:p w14:paraId="23E57C5C" w14:textId="25C711D8" w:rsidR="00C06E26" w:rsidRPr="00C06E26" w:rsidRDefault="00C06E26" w:rsidP="00C06E26">
      <w:pPr>
        <w:spacing w:after="160" w:line="259" w:lineRule="auto"/>
        <w:rPr>
          <w:rFonts w:eastAsiaTheme="minorHAnsi" w:cstheme="minorBidi"/>
          <w:bCs/>
          <w:color w:val="000000" w:themeColor="text1"/>
          <w:sz w:val="21"/>
          <w:szCs w:val="22"/>
        </w:rPr>
      </w:pPr>
      <w:r w:rsidRPr="00C06E26">
        <w:rPr>
          <w:rFonts w:eastAsiaTheme="minorHAnsi" w:cstheme="minorBidi"/>
          <w:bCs/>
          <w:color w:val="000000" w:themeColor="text1"/>
          <w:sz w:val="21"/>
          <w:szCs w:val="22"/>
        </w:rPr>
        <w:t xml:space="preserve">For this measure, </w:t>
      </w:r>
      <w:r>
        <w:rPr>
          <w:rFonts w:eastAsiaTheme="minorHAnsi" w:cstheme="minorBidi"/>
          <w:bCs/>
          <w:color w:val="000000" w:themeColor="text1"/>
          <w:sz w:val="21"/>
          <w:szCs w:val="22"/>
        </w:rPr>
        <w:t>the Department requests comment from stakeholders on whether these records are sub</w:t>
      </w:r>
      <w:r w:rsidRPr="00C06E26">
        <w:rPr>
          <w:rFonts w:eastAsiaTheme="minorHAnsi" w:cstheme="minorBidi"/>
          <w:bCs/>
          <w:color w:val="000000" w:themeColor="text1"/>
          <w:sz w:val="21"/>
          <w:szCs w:val="22"/>
        </w:rPr>
        <w:t>stantially different from the records that sponsors already keep</w:t>
      </w:r>
      <w:r>
        <w:rPr>
          <w:rFonts w:eastAsiaTheme="minorHAnsi" w:cstheme="minorBidi"/>
          <w:bCs/>
          <w:color w:val="000000" w:themeColor="text1"/>
          <w:sz w:val="21"/>
          <w:szCs w:val="22"/>
        </w:rPr>
        <w:t>.</w:t>
      </w:r>
    </w:p>
    <w:p w14:paraId="778086F6" w14:textId="4EBB3190" w:rsidR="0022182B" w:rsidRPr="00DE50F5" w:rsidRDefault="00A23182" w:rsidP="002D0A92">
      <w:pPr>
        <w:pStyle w:val="ListBullet"/>
        <w:numPr>
          <w:ilvl w:val="0"/>
          <w:numId w:val="0"/>
        </w:numPr>
        <w:ind w:left="360" w:hanging="360"/>
        <w:rPr>
          <w:i/>
          <w:iCs/>
        </w:rPr>
      </w:pPr>
      <w:r>
        <w:rPr>
          <w:i/>
          <w:iCs/>
        </w:rPr>
        <w:t xml:space="preserve">1.3 </w:t>
      </w:r>
      <w:r w:rsidR="0022182B" w:rsidRPr="00DE50F5">
        <w:rPr>
          <w:i/>
          <w:iCs/>
        </w:rPr>
        <w:t>Rele</w:t>
      </w:r>
      <w:r w:rsidR="00DE50F5" w:rsidRPr="00DE50F5">
        <w:rPr>
          <w:i/>
          <w:iCs/>
        </w:rPr>
        <w:t>v</w:t>
      </w:r>
      <w:r w:rsidR="0022182B" w:rsidRPr="00DE50F5">
        <w:rPr>
          <w:i/>
          <w:iCs/>
        </w:rPr>
        <w:t>ant information</w:t>
      </w:r>
    </w:p>
    <w:p w14:paraId="3B076685" w14:textId="6A30BABC" w:rsidR="00EB538C" w:rsidRDefault="00DC5BA9" w:rsidP="00EB538C">
      <w:pPr>
        <w:pStyle w:val="ListBullet"/>
        <w:numPr>
          <w:ilvl w:val="0"/>
          <w:numId w:val="0"/>
        </w:numPr>
      </w:pPr>
      <w:r>
        <w:t>For the proposed measures, ‘r</w:t>
      </w:r>
      <w:r w:rsidR="00EB538C">
        <w:t>elevant information</w:t>
      </w:r>
      <w:r>
        <w:t>’</w:t>
      </w:r>
      <w:r w:rsidR="00EB538C">
        <w:t xml:space="preserve"> </w:t>
      </w:r>
      <w:r>
        <w:t>would be</w:t>
      </w:r>
      <w:r w:rsidR="00072A94">
        <w:t xml:space="preserve"> information that could be considered ‘adverse’ for a listed device or product and include</w:t>
      </w:r>
      <w:r w:rsidR="00EB538C">
        <w:t>:</w:t>
      </w:r>
    </w:p>
    <w:p w14:paraId="25F4C825" w14:textId="7D877532" w:rsidR="00EB538C" w:rsidRPr="007A4D38" w:rsidRDefault="00EB538C" w:rsidP="007A4D38">
      <w:pPr>
        <w:numPr>
          <w:ilvl w:val="0"/>
          <w:numId w:val="39"/>
        </w:numPr>
        <w:spacing w:after="160" w:line="259" w:lineRule="auto"/>
        <w:rPr>
          <w:rFonts w:eastAsiaTheme="minorHAnsi" w:cstheme="minorBidi"/>
          <w:bCs/>
          <w:color w:val="000000" w:themeColor="text1"/>
          <w:sz w:val="21"/>
          <w:szCs w:val="22"/>
        </w:rPr>
      </w:pPr>
      <w:r w:rsidRPr="007A4D38">
        <w:rPr>
          <w:rFonts w:eastAsiaTheme="minorHAnsi" w:cstheme="minorBidi"/>
          <w:bCs/>
          <w:color w:val="000000" w:themeColor="text1"/>
          <w:sz w:val="21"/>
          <w:szCs w:val="22"/>
        </w:rPr>
        <w:t>information that a listed device or product may no longer meet the listing criteria (e.g. no longer included in the ARTG)</w:t>
      </w:r>
    </w:p>
    <w:p w14:paraId="3AAF0663" w14:textId="575B9223" w:rsidR="00EB538C" w:rsidRPr="007A4D38" w:rsidRDefault="00EB538C" w:rsidP="007A4D38">
      <w:pPr>
        <w:numPr>
          <w:ilvl w:val="0"/>
          <w:numId w:val="39"/>
        </w:numPr>
        <w:spacing w:after="160" w:line="259" w:lineRule="auto"/>
        <w:rPr>
          <w:rFonts w:eastAsiaTheme="minorHAnsi" w:cstheme="minorBidi"/>
          <w:bCs/>
          <w:color w:val="000000" w:themeColor="text1"/>
          <w:sz w:val="21"/>
          <w:szCs w:val="22"/>
        </w:rPr>
      </w:pPr>
      <w:r w:rsidRPr="007A4D38">
        <w:rPr>
          <w:rFonts w:eastAsiaTheme="minorHAnsi" w:cstheme="minorBidi"/>
          <w:bCs/>
          <w:color w:val="000000" w:themeColor="text1"/>
          <w:sz w:val="21"/>
          <w:szCs w:val="22"/>
        </w:rPr>
        <w:t>information in an application, statement, notice or document provided to the Department that was incomplete or incorrect, irrespective of whether the application has been decided or not</w:t>
      </w:r>
    </w:p>
    <w:p w14:paraId="6794E0B9" w14:textId="0134D702" w:rsidR="00EB538C" w:rsidRPr="007A4D38" w:rsidRDefault="00EB538C" w:rsidP="007A4D38">
      <w:pPr>
        <w:numPr>
          <w:ilvl w:val="0"/>
          <w:numId w:val="39"/>
        </w:numPr>
        <w:spacing w:after="160" w:line="259" w:lineRule="auto"/>
        <w:rPr>
          <w:rFonts w:eastAsiaTheme="minorHAnsi" w:cstheme="minorBidi"/>
          <w:bCs/>
          <w:color w:val="000000" w:themeColor="text1"/>
          <w:sz w:val="21"/>
          <w:szCs w:val="22"/>
        </w:rPr>
      </w:pPr>
      <w:r w:rsidRPr="007A4D38">
        <w:rPr>
          <w:rFonts w:eastAsiaTheme="minorHAnsi" w:cstheme="minorBidi"/>
          <w:bCs/>
          <w:color w:val="000000" w:themeColor="text1"/>
          <w:sz w:val="21"/>
          <w:szCs w:val="22"/>
        </w:rPr>
        <w:t xml:space="preserve">information that the </w:t>
      </w:r>
      <w:hyperlink r:id="rId38" w:history="1">
        <w:r w:rsidRPr="00836717">
          <w:rPr>
            <w:rStyle w:val="Hyperlink"/>
            <w:rFonts w:eastAsiaTheme="minorHAnsi" w:cstheme="minorBidi"/>
            <w:bCs/>
            <w:sz w:val="21"/>
            <w:szCs w:val="22"/>
          </w:rPr>
          <w:t>MDHTP Rules</w:t>
        </w:r>
      </w:hyperlink>
      <w:r w:rsidRPr="007A4D38">
        <w:rPr>
          <w:rFonts w:eastAsiaTheme="minorHAnsi" w:cstheme="minorBidi"/>
          <w:bCs/>
          <w:color w:val="000000" w:themeColor="text1"/>
          <w:sz w:val="21"/>
          <w:szCs w:val="22"/>
        </w:rPr>
        <w:t xml:space="preserve"> contain incorrect or incomplete information about a listed device or product</w:t>
      </w:r>
    </w:p>
    <w:p w14:paraId="557E1477" w14:textId="08957B83" w:rsidR="00EB538C" w:rsidRPr="007A4D38" w:rsidRDefault="00EB538C" w:rsidP="007A4D38">
      <w:pPr>
        <w:numPr>
          <w:ilvl w:val="0"/>
          <w:numId w:val="39"/>
        </w:numPr>
        <w:spacing w:after="160" w:line="259" w:lineRule="auto"/>
        <w:rPr>
          <w:rFonts w:eastAsiaTheme="minorHAnsi" w:cstheme="minorBidi"/>
          <w:bCs/>
          <w:color w:val="000000" w:themeColor="text1"/>
          <w:sz w:val="21"/>
          <w:szCs w:val="22"/>
        </w:rPr>
      </w:pPr>
      <w:r w:rsidRPr="007A4D38">
        <w:rPr>
          <w:rFonts w:eastAsiaTheme="minorHAnsi" w:cstheme="minorBidi"/>
          <w:bCs/>
          <w:color w:val="000000" w:themeColor="text1"/>
          <w:sz w:val="21"/>
          <w:szCs w:val="22"/>
        </w:rPr>
        <w:t>information that contradicts either:</w:t>
      </w:r>
    </w:p>
    <w:p w14:paraId="60E3EB5A" w14:textId="432508AB" w:rsidR="00EB538C" w:rsidRDefault="00EB538C" w:rsidP="00DC5BA9">
      <w:pPr>
        <w:pStyle w:val="ListBullet"/>
        <w:numPr>
          <w:ilvl w:val="0"/>
          <w:numId w:val="0"/>
        </w:numPr>
        <w:ind w:left="720"/>
      </w:pPr>
      <w:r>
        <w:t>o</w:t>
      </w:r>
      <w:r>
        <w:tab/>
        <w:t xml:space="preserve">information contained in the </w:t>
      </w:r>
      <w:hyperlink r:id="rId39" w:history="1">
        <w:r w:rsidRPr="009945D6">
          <w:rPr>
            <w:rStyle w:val="Hyperlink"/>
          </w:rPr>
          <w:t>MDHTP Rules</w:t>
        </w:r>
      </w:hyperlink>
      <w:r>
        <w:t xml:space="preserve"> about a listed device or product; or</w:t>
      </w:r>
    </w:p>
    <w:p w14:paraId="22C8B889" w14:textId="77777777" w:rsidR="00EB538C" w:rsidRDefault="00EB538C" w:rsidP="00DC5BA9">
      <w:pPr>
        <w:pStyle w:val="ListBullet"/>
        <w:numPr>
          <w:ilvl w:val="0"/>
          <w:numId w:val="0"/>
        </w:numPr>
        <w:ind w:left="720"/>
      </w:pPr>
      <w:r>
        <w:t>o</w:t>
      </w:r>
      <w:r>
        <w:tab/>
        <w:t xml:space="preserve">information previously provided to the Department about a listed device or product. </w:t>
      </w:r>
    </w:p>
    <w:p w14:paraId="26B67F1F" w14:textId="28FC3AEE" w:rsidR="0022182B" w:rsidRPr="001359D5" w:rsidRDefault="00EB538C" w:rsidP="007A4D38">
      <w:pPr>
        <w:numPr>
          <w:ilvl w:val="0"/>
          <w:numId w:val="39"/>
        </w:numPr>
        <w:spacing w:after="160" w:line="259" w:lineRule="auto"/>
        <w:rPr>
          <w:rFonts w:eastAsiaTheme="minorHAnsi" w:cstheme="minorBidi"/>
          <w:bCs/>
          <w:color w:val="000000" w:themeColor="text1"/>
          <w:sz w:val="21"/>
          <w:szCs w:val="22"/>
        </w:rPr>
      </w:pPr>
      <w:r w:rsidRPr="004650F4">
        <w:rPr>
          <w:rFonts w:eastAsiaTheme="minorHAnsi" w:cstheme="minorBidi"/>
          <w:bCs/>
          <w:color w:val="000000" w:themeColor="text1"/>
          <w:sz w:val="21"/>
          <w:szCs w:val="22"/>
        </w:rPr>
        <w:t xml:space="preserve">other information of a kind specified in the </w:t>
      </w:r>
      <w:hyperlink r:id="rId40" w:history="1">
        <w:r w:rsidRPr="00836717">
          <w:rPr>
            <w:rStyle w:val="Hyperlink"/>
            <w:rFonts w:eastAsiaTheme="minorHAnsi" w:cstheme="minorBidi"/>
            <w:bCs/>
            <w:sz w:val="21"/>
            <w:szCs w:val="22"/>
          </w:rPr>
          <w:t>MDHTP Rules</w:t>
        </w:r>
      </w:hyperlink>
      <w:r w:rsidRPr="004650F4">
        <w:rPr>
          <w:rFonts w:eastAsiaTheme="minorHAnsi" w:cstheme="minorBidi"/>
          <w:bCs/>
          <w:color w:val="000000" w:themeColor="text1"/>
          <w:sz w:val="21"/>
          <w:szCs w:val="22"/>
        </w:rPr>
        <w:t xml:space="preserve"> </w:t>
      </w:r>
    </w:p>
    <w:bookmarkEnd w:id="7"/>
    <w:p w14:paraId="40EA8ADD" w14:textId="2DF3D615" w:rsidR="002D0A92" w:rsidRPr="00DC5BA9" w:rsidRDefault="002D0A92" w:rsidP="00DC5BA9">
      <w:pPr>
        <w:pStyle w:val="ListBullet"/>
        <w:numPr>
          <w:ilvl w:val="0"/>
          <w:numId w:val="38"/>
        </w:numPr>
        <w:ind w:hanging="720"/>
        <w:rPr>
          <w:b/>
          <w:bCs w:val="0"/>
        </w:rPr>
      </w:pPr>
      <w:r w:rsidRPr="00DC5BA9">
        <w:rPr>
          <w:b/>
          <w:bCs w:val="0"/>
        </w:rPr>
        <w:t>Proposed measures for hospitals</w:t>
      </w:r>
    </w:p>
    <w:p w14:paraId="5252C665" w14:textId="77777777" w:rsidR="00F8691F" w:rsidRPr="00A75610" w:rsidRDefault="00F8691F" w:rsidP="00F8691F">
      <w:pPr>
        <w:pStyle w:val="ListBullet"/>
        <w:numPr>
          <w:ilvl w:val="0"/>
          <w:numId w:val="0"/>
        </w:numPr>
        <w:rPr>
          <w:color w:val="auto"/>
        </w:rPr>
      </w:pPr>
      <w:r w:rsidRPr="00A75610">
        <w:rPr>
          <w:color w:val="auto"/>
        </w:rPr>
        <w:t xml:space="preserve">The PHI Act be amended to require hospitals to make, keep and provide records about listed devices and products. These obligations would require a hospital to:  </w:t>
      </w:r>
    </w:p>
    <w:p w14:paraId="4C91EA74" w14:textId="4D9CB42F" w:rsidR="00F8691F" w:rsidRPr="00A75610" w:rsidRDefault="00F8691F" w:rsidP="00F8691F">
      <w:pPr>
        <w:pStyle w:val="ListBullet"/>
        <w:numPr>
          <w:ilvl w:val="0"/>
          <w:numId w:val="51"/>
        </w:numPr>
        <w:rPr>
          <w:color w:val="auto"/>
        </w:rPr>
      </w:pPr>
      <w:r w:rsidRPr="00A75610">
        <w:rPr>
          <w:color w:val="auto"/>
        </w:rPr>
        <w:t xml:space="preserve">make and keep records about listed devices and products with the kinds of records to be specified in the </w:t>
      </w:r>
      <w:hyperlink r:id="rId41" w:history="1">
        <w:r w:rsidRPr="00762563">
          <w:rPr>
            <w:rStyle w:val="Hyperlink"/>
          </w:rPr>
          <w:t>Private Health Insurance (Health Insurance Business) Rules</w:t>
        </w:r>
      </w:hyperlink>
      <w:r w:rsidRPr="00A75610">
        <w:rPr>
          <w:color w:val="auto"/>
        </w:rPr>
        <w:t xml:space="preserve"> (the current relevant rules for conditions for these hospital declarations);  </w:t>
      </w:r>
    </w:p>
    <w:p w14:paraId="14DC5536" w14:textId="2F845909" w:rsidR="00F8691F" w:rsidRPr="00A75610" w:rsidRDefault="00F8691F" w:rsidP="00F8691F">
      <w:pPr>
        <w:pStyle w:val="ListBullet"/>
        <w:numPr>
          <w:ilvl w:val="0"/>
          <w:numId w:val="51"/>
        </w:numPr>
        <w:rPr>
          <w:color w:val="auto"/>
        </w:rPr>
      </w:pPr>
      <w:r w:rsidRPr="00A75610">
        <w:rPr>
          <w:color w:val="auto"/>
        </w:rPr>
        <w:t xml:space="preserve">provide records about listed devices and products with the kinds of records to be specified in the </w:t>
      </w:r>
      <w:hyperlink r:id="rId42" w:history="1">
        <w:r w:rsidRPr="009945D6">
          <w:rPr>
            <w:rStyle w:val="Hyperlink"/>
          </w:rPr>
          <w:t>Private Health Insurance (Health Insurance Business) Rules</w:t>
        </w:r>
      </w:hyperlink>
      <w:r w:rsidRPr="00A75610">
        <w:rPr>
          <w:color w:val="auto"/>
        </w:rPr>
        <w:t>, including when these records are to be provided by the hospital;</w:t>
      </w:r>
    </w:p>
    <w:p w14:paraId="63BDAFC3" w14:textId="77777777" w:rsidR="00F8691F" w:rsidRPr="00A75610" w:rsidRDefault="00F8691F" w:rsidP="00F8691F">
      <w:pPr>
        <w:pStyle w:val="ListBullet"/>
        <w:numPr>
          <w:ilvl w:val="0"/>
          <w:numId w:val="51"/>
        </w:numPr>
        <w:rPr>
          <w:color w:val="auto"/>
        </w:rPr>
      </w:pPr>
      <w:r w:rsidRPr="00A75610">
        <w:rPr>
          <w:color w:val="auto"/>
        </w:rPr>
        <w:t>provide ‘relevant information’ (see ‘relevant information’ above);</w:t>
      </w:r>
    </w:p>
    <w:p w14:paraId="7F0CC00D" w14:textId="77777777" w:rsidR="00F8691F" w:rsidRPr="00A75610" w:rsidRDefault="00F8691F" w:rsidP="00F8691F">
      <w:pPr>
        <w:pStyle w:val="ListBullet"/>
        <w:numPr>
          <w:ilvl w:val="0"/>
          <w:numId w:val="51"/>
        </w:numPr>
        <w:rPr>
          <w:color w:val="auto"/>
        </w:rPr>
      </w:pPr>
      <w:r w:rsidRPr="00A75610">
        <w:rPr>
          <w:color w:val="auto"/>
        </w:rPr>
        <w:t>provide correct information if incorrect information has previously been provided by the hospital;</w:t>
      </w:r>
    </w:p>
    <w:p w14:paraId="2730A85D" w14:textId="77777777" w:rsidR="00F8691F" w:rsidRPr="00A75610" w:rsidRDefault="00F8691F" w:rsidP="00F8691F">
      <w:pPr>
        <w:pStyle w:val="ListBullet"/>
        <w:numPr>
          <w:ilvl w:val="0"/>
          <w:numId w:val="51"/>
        </w:numPr>
        <w:rPr>
          <w:color w:val="auto"/>
        </w:rPr>
      </w:pPr>
      <w:r w:rsidRPr="00A75610">
        <w:rPr>
          <w:color w:val="auto"/>
        </w:rPr>
        <w:t>ensure records made, kept or provided must be in the approved form;</w:t>
      </w:r>
    </w:p>
    <w:p w14:paraId="10B7B228" w14:textId="0905735F" w:rsidR="00F8691F" w:rsidRPr="00A75610" w:rsidRDefault="00F8691F" w:rsidP="00F8691F">
      <w:pPr>
        <w:pStyle w:val="ListBullet"/>
        <w:numPr>
          <w:ilvl w:val="0"/>
          <w:numId w:val="51"/>
        </w:numPr>
        <w:rPr>
          <w:color w:val="auto"/>
        </w:rPr>
      </w:pPr>
      <w:r w:rsidRPr="00A75610">
        <w:rPr>
          <w:color w:val="auto"/>
        </w:rPr>
        <w:t xml:space="preserve">any other obligations that could be specified in the </w:t>
      </w:r>
      <w:hyperlink r:id="rId43" w:history="1">
        <w:r w:rsidRPr="009945D6">
          <w:rPr>
            <w:rStyle w:val="Hyperlink"/>
          </w:rPr>
          <w:t>Private Health Insurance (Health Insurance Business) Rules</w:t>
        </w:r>
      </w:hyperlink>
      <w:r w:rsidRPr="00A75610">
        <w:rPr>
          <w:color w:val="auto"/>
        </w:rPr>
        <w:t>.</w:t>
      </w:r>
    </w:p>
    <w:p w14:paraId="723A6F1C" w14:textId="77777777" w:rsidR="00F8691F" w:rsidRDefault="00F8691F" w:rsidP="00F8691F"/>
    <w:p w14:paraId="46C5896C" w14:textId="454975F9" w:rsidR="00F8691F" w:rsidRPr="00F8691F" w:rsidRDefault="00F8691F" w:rsidP="00F8691F">
      <w:pPr>
        <w:spacing w:before="60" w:after="60"/>
        <w:rPr>
          <w:sz w:val="21"/>
          <w:szCs w:val="21"/>
        </w:rPr>
      </w:pPr>
      <w:r w:rsidRPr="00F8691F">
        <w:rPr>
          <w:sz w:val="21"/>
          <w:szCs w:val="21"/>
        </w:rPr>
        <w:t xml:space="preserve">In addition to keeping records about listed devices and products, hospitals would also be required to maintain a register of non-financial gifts and benefits that they received throughout the financial year.  The gifts and benefits would only be in relation to the provision and procurement of devices and products listed on the </w:t>
      </w:r>
      <w:hyperlink r:id="rId44" w:history="1">
        <w:r w:rsidR="00111208">
          <w:rPr>
            <w:rStyle w:val="Hyperlink"/>
            <w:sz w:val="21"/>
            <w:szCs w:val="21"/>
          </w:rPr>
          <w:t>Prescribed</w:t>
        </w:r>
        <w:r w:rsidRPr="00827E78">
          <w:rPr>
            <w:rStyle w:val="Hyperlink"/>
            <w:sz w:val="21"/>
            <w:szCs w:val="21"/>
          </w:rPr>
          <w:t xml:space="preserve"> List</w:t>
        </w:r>
      </w:hyperlink>
      <w:r w:rsidRPr="00F8691F">
        <w:rPr>
          <w:sz w:val="21"/>
          <w:szCs w:val="21"/>
        </w:rPr>
        <w:t xml:space="preserve"> and would then be submitted to the Department on an annual basis.</w:t>
      </w:r>
    </w:p>
    <w:p w14:paraId="5FDF5B37" w14:textId="1DD45A2B" w:rsidR="00F8691F" w:rsidRPr="00F8691F" w:rsidRDefault="00F8691F" w:rsidP="00F8691F">
      <w:pPr>
        <w:spacing w:before="60" w:after="60"/>
        <w:rPr>
          <w:sz w:val="21"/>
          <w:szCs w:val="21"/>
        </w:rPr>
      </w:pPr>
      <w:r w:rsidRPr="00F8691F">
        <w:rPr>
          <w:sz w:val="21"/>
          <w:szCs w:val="21"/>
        </w:rPr>
        <w:t xml:space="preserve">Hospitals would only be required to report their gifts and benefits if that gift or benefit was a device or product on the </w:t>
      </w:r>
      <w:r w:rsidR="00111208">
        <w:rPr>
          <w:sz w:val="21"/>
          <w:szCs w:val="21"/>
        </w:rPr>
        <w:t>Prescribed</w:t>
      </w:r>
      <w:r w:rsidRPr="00827E78">
        <w:rPr>
          <w:sz w:val="21"/>
          <w:szCs w:val="21"/>
        </w:rPr>
        <w:t xml:space="preserve"> List</w:t>
      </w:r>
      <w:r w:rsidRPr="00F8691F">
        <w:rPr>
          <w:sz w:val="21"/>
          <w:szCs w:val="21"/>
        </w:rPr>
        <w:t xml:space="preserve">.  Any gift or benefit received by a hospital that is not an item on the </w:t>
      </w:r>
      <w:r w:rsidR="00111208">
        <w:rPr>
          <w:sz w:val="21"/>
          <w:szCs w:val="21"/>
        </w:rPr>
        <w:t>Prescribed</w:t>
      </w:r>
      <w:r w:rsidRPr="00F8691F">
        <w:rPr>
          <w:sz w:val="21"/>
          <w:szCs w:val="21"/>
        </w:rPr>
        <w:t xml:space="preserve"> List, such as a monetary benefit, would not need to be reported.</w:t>
      </w:r>
    </w:p>
    <w:p w14:paraId="25799034" w14:textId="25BD318F" w:rsidR="00F8691F" w:rsidRPr="00F8691F" w:rsidRDefault="00F8691F" w:rsidP="00F8691F">
      <w:pPr>
        <w:spacing w:before="60" w:after="60"/>
        <w:rPr>
          <w:sz w:val="21"/>
          <w:szCs w:val="21"/>
        </w:rPr>
      </w:pPr>
      <w:r w:rsidRPr="00F8691F">
        <w:rPr>
          <w:sz w:val="21"/>
          <w:szCs w:val="21"/>
        </w:rPr>
        <w:t xml:space="preserve">The purpose of reporting non-financial benefits is not to impinge on normal commercial arrangements, such as receiving discounts for items bought in bulk, but to reduce the number of claims for benefits for items on the </w:t>
      </w:r>
      <w:r w:rsidR="00111208">
        <w:rPr>
          <w:sz w:val="21"/>
          <w:szCs w:val="21"/>
        </w:rPr>
        <w:t>Prescribed</w:t>
      </w:r>
      <w:r w:rsidRPr="00827E78">
        <w:rPr>
          <w:sz w:val="21"/>
          <w:szCs w:val="21"/>
        </w:rPr>
        <w:t xml:space="preserve"> List</w:t>
      </w:r>
      <w:r w:rsidRPr="00F8691F">
        <w:rPr>
          <w:sz w:val="21"/>
          <w:szCs w:val="21"/>
        </w:rPr>
        <w:t xml:space="preserve"> when there was never any outlay for the device or product.</w:t>
      </w:r>
    </w:p>
    <w:p w14:paraId="1B21D9DF" w14:textId="05F00F0D" w:rsidR="00F8691F" w:rsidRPr="00F8691F" w:rsidRDefault="00F8691F" w:rsidP="00883394">
      <w:pPr>
        <w:spacing w:before="60" w:after="60"/>
        <w:rPr>
          <w:sz w:val="21"/>
          <w:szCs w:val="21"/>
        </w:rPr>
      </w:pPr>
      <w:r w:rsidRPr="00F8691F">
        <w:rPr>
          <w:sz w:val="21"/>
          <w:szCs w:val="21"/>
        </w:rPr>
        <w:t xml:space="preserve">A scenario would be if a sponsor </w:t>
      </w:r>
      <w:r w:rsidR="00640AEB">
        <w:rPr>
          <w:sz w:val="21"/>
          <w:szCs w:val="21"/>
        </w:rPr>
        <w:t>incentivised</w:t>
      </w:r>
      <w:r w:rsidRPr="00F8691F">
        <w:rPr>
          <w:sz w:val="21"/>
          <w:szCs w:val="21"/>
        </w:rPr>
        <w:t xml:space="preserve"> a hospital to supply their listed item over a competitor’s by offering them a free supplementary item which was also listed on the </w:t>
      </w:r>
      <w:r w:rsidR="00111208">
        <w:rPr>
          <w:sz w:val="21"/>
          <w:szCs w:val="21"/>
        </w:rPr>
        <w:t>Prescribed</w:t>
      </w:r>
      <w:r w:rsidRPr="00F8691F">
        <w:rPr>
          <w:sz w:val="21"/>
          <w:szCs w:val="21"/>
        </w:rPr>
        <w:t xml:space="preserve"> List.  But when it came to </w:t>
      </w:r>
      <w:r w:rsidRPr="00F8691F">
        <w:rPr>
          <w:sz w:val="21"/>
          <w:szCs w:val="21"/>
        </w:rPr>
        <w:lastRenderedPageBreak/>
        <w:t xml:space="preserve">claiming the </w:t>
      </w:r>
      <w:r w:rsidR="00111208">
        <w:rPr>
          <w:sz w:val="21"/>
          <w:szCs w:val="21"/>
        </w:rPr>
        <w:t>Prescribed</w:t>
      </w:r>
      <w:r w:rsidRPr="00F8691F">
        <w:rPr>
          <w:sz w:val="21"/>
          <w:szCs w:val="21"/>
        </w:rPr>
        <w:t xml:space="preserve"> List benefit from the insurer, the hospital claimed a benefit for both items, even though there was never any outlay for the second item.</w:t>
      </w:r>
    </w:p>
    <w:p w14:paraId="05D4CBCF" w14:textId="327F80DB" w:rsidR="00F8691F" w:rsidRPr="00F8691F" w:rsidRDefault="00F8691F" w:rsidP="00883394">
      <w:pPr>
        <w:spacing w:before="60" w:after="120"/>
        <w:rPr>
          <w:sz w:val="21"/>
          <w:szCs w:val="21"/>
        </w:rPr>
      </w:pPr>
      <w:r w:rsidRPr="00F8691F">
        <w:rPr>
          <w:sz w:val="21"/>
          <w:szCs w:val="21"/>
        </w:rPr>
        <w:t xml:space="preserve">The proposed measures would require a hospital to report any non-financial benefit they received that was a device or product listed on the </w:t>
      </w:r>
      <w:r w:rsidR="00111208">
        <w:rPr>
          <w:sz w:val="21"/>
          <w:szCs w:val="21"/>
        </w:rPr>
        <w:t>Prescribed</w:t>
      </w:r>
      <w:r w:rsidRPr="00F8691F">
        <w:rPr>
          <w:sz w:val="21"/>
          <w:szCs w:val="21"/>
        </w:rPr>
        <w:t xml:space="preserve"> List.  Information they may be required to provide about each transaction could include:</w:t>
      </w:r>
    </w:p>
    <w:p w14:paraId="4F9B7C2C" w14:textId="77777777" w:rsidR="00F8691F" w:rsidRPr="00F8691F" w:rsidRDefault="00F8691F" w:rsidP="00F8691F">
      <w:pPr>
        <w:pStyle w:val="ListParagraph"/>
        <w:numPr>
          <w:ilvl w:val="0"/>
          <w:numId w:val="55"/>
        </w:numPr>
        <w:spacing w:after="120"/>
        <w:contextualSpacing w:val="0"/>
        <w:rPr>
          <w:sz w:val="21"/>
          <w:szCs w:val="21"/>
        </w:rPr>
      </w:pPr>
      <w:r w:rsidRPr="00F8691F">
        <w:rPr>
          <w:sz w:val="21"/>
          <w:szCs w:val="21"/>
        </w:rPr>
        <w:t>Date of the transaction</w:t>
      </w:r>
    </w:p>
    <w:p w14:paraId="1AF771C3" w14:textId="77777777" w:rsidR="00F8691F" w:rsidRPr="00F8691F" w:rsidRDefault="00F8691F" w:rsidP="00F8691F">
      <w:pPr>
        <w:pStyle w:val="ListParagraph"/>
        <w:numPr>
          <w:ilvl w:val="0"/>
          <w:numId w:val="55"/>
        </w:numPr>
        <w:spacing w:after="120"/>
        <w:contextualSpacing w:val="0"/>
        <w:rPr>
          <w:sz w:val="21"/>
          <w:szCs w:val="21"/>
        </w:rPr>
      </w:pPr>
      <w:r w:rsidRPr="00F8691F">
        <w:rPr>
          <w:sz w:val="21"/>
          <w:szCs w:val="21"/>
        </w:rPr>
        <w:t>Name of the hospital in receipt of the gift or benefit</w:t>
      </w:r>
    </w:p>
    <w:p w14:paraId="21D40E26" w14:textId="77777777" w:rsidR="00F8691F" w:rsidRPr="00F8691F" w:rsidRDefault="00F8691F" w:rsidP="00F8691F">
      <w:pPr>
        <w:pStyle w:val="ListParagraph"/>
        <w:numPr>
          <w:ilvl w:val="0"/>
          <w:numId w:val="55"/>
        </w:numPr>
        <w:spacing w:after="120"/>
        <w:contextualSpacing w:val="0"/>
        <w:rPr>
          <w:sz w:val="21"/>
          <w:szCs w:val="21"/>
        </w:rPr>
      </w:pPr>
      <w:r w:rsidRPr="00F8691F">
        <w:rPr>
          <w:sz w:val="21"/>
          <w:szCs w:val="21"/>
        </w:rPr>
        <w:t>Name of the organisation offering the gift or benefit</w:t>
      </w:r>
    </w:p>
    <w:p w14:paraId="5F2F8625" w14:textId="77777777" w:rsidR="00F8691F" w:rsidRPr="00F8691F" w:rsidRDefault="00F8691F" w:rsidP="00F8691F">
      <w:pPr>
        <w:pStyle w:val="ListParagraph"/>
        <w:numPr>
          <w:ilvl w:val="0"/>
          <w:numId w:val="55"/>
        </w:numPr>
        <w:spacing w:after="120"/>
        <w:contextualSpacing w:val="0"/>
        <w:rPr>
          <w:sz w:val="21"/>
          <w:szCs w:val="21"/>
        </w:rPr>
      </w:pPr>
      <w:r w:rsidRPr="00F8691F">
        <w:rPr>
          <w:sz w:val="21"/>
          <w:szCs w:val="21"/>
        </w:rPr>
        <w:t>Description of the gift or benefit</w:t>
      </w:r>
    </w:p>
    <w:p w14:paraId="3D3A1814" w14:textId="77777777" w:rsidR="00F8691F" w:rsidRPr="00F8691F" w:rsidRDefault="00F8691F" w:rsidP="00F8691F">
      <w:pPr>
        <w:pStyle w:val="ListParagraph"/>
        <w:numPr>
          <w:ilvl w:val="0"/>
          <w:numId w:val="55"/>
        </w:numPr>
        <w:spacing w:after="120"/>
        <w:contextualSpacing w:val="0"/>
        <w:rPr>
          <w:sz w:val="21"/>
          <w:szCs w:val="21"/>
        </w:rPr>
      </w:pPr>
      <w:r w:rsidRPr="00F8691F">
        <w:rPr>
          <w:sz w:val="21"/>
          <w:szCs w:val="21"/>
        </w:rPr>
        <w:t>Reason for the offer</w:t>
      </w:r>
    </w:p>
    <w:p w14:paraId="78BA7A8C" w14:textId="77777777" w:rsidR="00F8691F" w:rsidRPr="00F8691F" w:rsidRDefault="00F8691F" w:rsidP="00F8691F">
      <w:pPr>
        <w:pStyle w:val="ListParagraph"/>
        <w:numPr>
          <w:ilvl w:val="0"/>
          <w:numId w:val="55"/>
        </w:numPr>
        <w:spacing w:after="120"/>
        <w:contextualSpacing w:val="0"/>
        <w:rPr>
          <w:sz w:val="21"/>
          <w:szCs w:val="21"/>
        </w:rPr>
      </w:pPr>
      <w:r w:rsidRPr="00F8691F">
        <w:rPr>
          <w:sz w:val="21"/>
          <w:szCs w:val="21"/>
        </w:rPr>
        <w:t>Estimated value</w:t>
      </w:r>
    </w:p>
    <w:p w14:paraId="24FC5169" w14:textId="0635A1D2" w:rsidR="00F8691F" w:rsidRPr="00F8691F" w:rsidRDefault="00111208" w:rsidP="00F8691F">
      <w:pPr>
        <w:pStyle w:val="ListParagraph"/>
        <w:numPr>
          <w:ilvl w:val="0"/>
          <w:numId w:val="55"/>
        </w:numPr>
        <w:spacing w:after="120"/>
        <w:contextualSpacing w:val="0"/>
        <w:rPr>
          <w:sz w:val="21"/>
          <w:szCs w:val="21"/>
        </w:rPr>
      </w:pPr>
      <w:r>
        <w:rPr>
          <w:sz w:val="21"/>
          <w:szCs w:val="21"/>
        </w:rPr>
        <w:t>Prescribed</w:t>
      </w:r>
      <w:r w:rsidR="00F8691F" w:rsidRPr="00F8691F">
        <w:rPr>
          <w:sz w:val="21"/>
          <w:szCs w:val="21"/>
        </w:rPr>
        <w:t xml:space="preserve"> List billing codes</w:t>
      </w:r>
    </w:p>
    <w:p w14:paraId="7ECBE90E" w14:textId="2139A5BD" w:rsidR="00F8691F" w:rsidRPr="00F8691F" w:rsidRDefault="00F8691F" w:rsidP="00F8691F">
      <w:pPr>
        <w:rPr>
          <w:sz w:val="21"/>
          <w:szCs w:val="21"/>
        </w:rPr>
      </w:pPr>
      <w:r w:rsidRPr="00F8691F">
        <w:rPr>
          <w:sz w:val="21"/>
          <w:szCs w:val="21"/>
        </w:rPr>
        <w:t xml:space="preserve">All items on the </w:t>
      </w:r>
      <w:r w:rsidR="00111208">
        <w:rPr>
          <w:sz w:val="21"/>
          <w:szCs w:val="21"/>
        </w:rPr>
        <w:t>Prescribed</w:t>
      </w:r>
      <w:r w:rsidRPr="00F8691F">
        <w:rPr>
          <w:sz w:val="21"/>
          <w:szCs w:val="21"/>
        </w:rPr>
        <w:t xml:space="preserve"> List that were received with no expenditure by the receiving hospital would be expected to be reported.</w:t>
      </w:r>
    </w:p>
    <w:p w14:paraId="1D0FD291" w14:textId="42852B3A" w:rsidR="00F8691F" w:rsidRPr="00F8691F" w:rsidRDefault="00F8691F" w:rsidP="00F8691F">
      <w:pPr>
        <w:pStyle w:val="ListBullet"/>
        <w:numPr>
          <w:ilvl w:val="0"/>
          <w:numId w:val="0"/>
        </w:numPr>
        <w:rPr>
          <w:color w:val="auto"/>
          <w:szCs w:val="21"/>
        </w:rPr>
      </w:pPr>
      <w:r w:rsidRPr="00F8691F">
        <w:rPr>
          <w:color w:val="auto"/>
          <w:szCs w:val="21"/>
        </w:rPr>
        <w:t>There is no proposal to include any sanctions or penalties regarding any gifts or benefits, however there would be an obligation to provide the information each year and there would be penalties for giving false or misleading information as described in Proposed Measures 6 and 7 below.  The Department may also decide to publish the annual reports each year</w:t>
      </w:r>
      <w:r w:rsidR="00640AEB">
        <w:rPr>
          <w:color w:val="auto"/>
          <w:szCs w:val="21"/>
        </w:rPr>
        <w:t>, and/or an analysis of the annual reports</w:t>
      </w:r>
      <w:r w:rsidRPr="00F8691F">
        <w:rPr>
          <w:color w:val="auto"/>
          <w:szCs w:val="21"/>
        </w:rPr>
        <w:t>.</w:t>
      </w:r>
    </w:p>
    <w:p w14:paraId="4235ECA1" w14:textId="65569509" w:rsidR="00F8691F" w:rsidRPr="00F8691F" w:rsidRDefault="00F8691F" w:rsidP="00F8691F">
      <w:pPr>
        <w:pStyle w:val="ListBullet"/>
        <w:numPr>
          <w:ilvl w:val="0"/>
          <w:numId w:val="0"/>
        </w:numPr>
        <w:rPr>
          <w:color w:val="auto"/>
        </w:rPr>
      </w:pPr>
      <w:r w:rsidRPr="00F8691F">
        <w:rPr>
          <w:color w:val="auto"/>
        </w:rPr>
        <w:t xml:space="preserve">These obligations would only apply in relation to listed devices and products. It may already be possible to specify these obligations in the </w:t>
      </w:r>
      <w:hyperlink r:id="rId45" w:history="1">
        <w:r w:rsidRPr="00827E78">
          <w:rPr>
            <w:rStyle w:val="Hyperlink"/>
          </w:rPr>
          <w:t>Private Health Insurance (Health Insurance Business) Rules</w:t>
        </w:r>
      </w:hyperlink>
      <w:r w:rsidRPr="00F8691F">
        <w:rPr>
          <w:color w:val="auto"/>
        </w:rPr>
        <w:t xml:space="preserve"> but legislating these requirements in the PHI Act would provide for more transparency. For example, these obligations could be implemented by amending the PHI Act to specifically provide that conditions on declarations for hospitals (see Division 121 of the PHI Act) include the obligations above.</w:t>
      </w:r>
    </w:p>
    <w:p w14:paraId="29C3C491" w14:textId="26C7D09D" w:rsidR="00F8691F" w:rsidRPr="00F8691F" w:rsidRDefault="00F8691F" w:rsidP="00F8691F">
      <w:pPr>
        <w:pStyle w:val="ListBullet"/>
        <w:numPr>
          <w:ilvl w:val="0"/>
          <w:numId w:val="0"/>
        </w:numPr>
        <w:rPr>
          <w:color w:val="auto"/>
        </w:rPr>
      </w:pPr>
      <w:r w:rsidRPr="00F8691F">
        <w:rPr>
          <w:color w:val="auto"/>
        </w:rPr>
        <w:t xml:space="preserve">The purpose of these obligations is to ensure that current and accurate information is available to demonstrate that devices and products in the </w:t>
      </w:r>
      <w:r w:rsidR="00111208">
        <w:rPr>
          <w:color w:val="auto"/>
        </w:rPr>
        <w:t>Prescribed</w:t>
      </w:r>
      <w:r w:rsidRPr="00F8691F">
        <w:rPr>
          <w:color w:val="auto"/>
        </w:rPr>
        <w:t xml:space="preserve"> List remain safe, clinically effective, that the specified benefit for a device or product is proportionate to its clinical effectiveness, and to promote transparency behind claims on the </w:t>
      </w:r>
      <w:r w:rsidR="00111208">
        <w:rPr>
          <w:color w:val="auto"/>
        </w:rPr>
        <w:t>Prescribed</w:t>
      </w:r>
      <w:r w:rsidRPr="00F8691F">
        <w:rPr>
          <w:color w:val="auto"/>
        </w:rPr>
        <w:t xml:space="preserve"> List.</w:t>
      </w:r>
    </w:p>
    <w:p w14:paraId="5658C49E" w14:textId="77777777" w:rsidR="00F8691F" w:rsidRPr="00F8691F" w:rsidRDefault="00F8691F" w:rsidP="00F8691F">
      <w:pPr>
        <w:pStyle w:val="ListBullet"/>
        <w:numPr>
          <w:ilvl w:val="0"/>
          <w:numId w:val="0"/>
        </w:numPr>
        <w:rPr>
          <w:color w:val="auto"/>
        </w:rPr>
      </w:pPr>
    </w:p>
    <w:p w14:paraId="267BC85A" w14:textId="235F92EA" w:rsidR="00F8691F" w:rsidRPr="00F8691F" w:rsidRDefault="00F8691F" w:rsidP="00F8691F">
      <w:pPr>
        <w:pStyle w:val="ListBullet"/>
        <w:numPr>
          <w:ilvl w:val="0"/>
          <w:numId w:val="0"/>
        </w:numPr>
        <w:ind w:left="360" w:hanging="360"/>
        <w:rPr>
          <w:i/>
          <w:iCs/>
          <w:color w:val="auto"/>
        </w:rPr>
      </w:pPr>
      <w:r w:rsidRPr="00F8691F">
        <w:rPr>
          <w:i/>
          <w:iCs/>
          <w:color w:val="auto"/>
        </w:rPr>
        <w:t xml:space="preserve">2.1 Kinds of records to be specified in the </w:t>
      </w:r>
      <w:hyperlink r:id="rId46" w:history="1">
        <w:r w:rsidRPr="00762563">
          <w:rPr>
            <w:rStyle w:val="Hyperlink"/>
            <w:i/>
            <w:iCs/>
          </w:rPr>
          <w:t>Private Health Insurance (Health Insurance Business) Rules</w:t>
        </w:r>
      </w:hyperlink>
    </w:p>
    <w:p w14:paraId="75C1EE32" w14:textId="77777777" w:rsidR="00F8691F" w:rsidRPr="00F8691F" w:rsidRDefault="00F8691F" w:rsidP="00F8691F">
      <w:pPr>
        <w:pStyle w:val="ListBullet"/>
        <w:numPr>
          <w:ilvl w:val="0"/>
          <w:numId w:val="0"/>
        </w:numPr>
        <w:ind w:left="360" w:hanging="360"/>
        <w:rPr>
          <w:color w:val="auto"/>
        </w:rPr>
      </w:pPr>
      <w:r w:rsidRPr="00F8691F">
        <w:rPr>
          <w:color w:val="auto"/>
        </w:rPr>
        <w:t xml:space="preserve">It is anticipated that the kinds of records to be kept, made and provided by a hospital would include: </w:t>
      </w:r>
    </w:p>
    <w:p w14:paraId="2BDBFBA3" w14:textId="77777777" w:rsidR="00F8691F" w:rsidRPr="00F8691F" w:rsidRDefault="00F8691F" w:rsidP="00F8691F">
      <w:pPr>
        <w:numPr>
          <w:ilvl w:val="0"/>
          <w:numId w:val="39"/>
        </w:numPr>
        <w:spacing w:after="160" w:line="259" w:lineRule="auto"/>
        <w:rPr>
          <w:rFonts w:cstheme="minorBidi"/>
          <w:bCs/>
          <w:sz w:val="21"/>
        </w:rPr>
      </w:pPr>
      <w:r w:rsidRPr="00F8691F">
        <w:rPr>
          <w:rFonts w:cstheme="minorBidi"/>
          <w:bCs/>
          <w:sz w:val="21"/>
        </w:rPr>
        <w:t>clinical records in connection with the provision (use) of a listed device or product; and</w:t>
      </w:r>
    </w:p>
    <w:p w14:paraId="31515F47" w14:textId="77777777" w:rsidR="00F8691F" w:rsidRPr="00F8691F" w:rsidRDefault="00F8691F" w:rsidP="00F8691F">
      <w:pPr>
        <w:numPr>
          <w:ilvl w:val="0"/>
          <w:numId w:val="39"/>
        </w:numPr>
        <w:spacing w:after="160" w:line="259" w:lineRule="auto"/>
        <w:rPr>
          <w:rFonts w:cstheme="minorBidi"/>
          <w:bCs/>
          <w:sz w:val="21"/>
        </w:rPr>
      </w:pPr>
      <w:r w:rsidRPr="00F8691F">
        <w:rPr>
          <w:rFonts w:cstheme="minorBidi"/>
          <w:bCs/>
          <w:sz w:val="21"/>
        </w:rPr>
        <w:t>records of the costs of the provision of a listed device or product; and</w:t>
      </w:r>
    </w:p>
    <w:p w14:paraId="19C0F013" w14:textId="77777777" w:rsidR="00F8691F" w:rsidRPr="00F8691F" w:rsidRDefault="00F8691F" w:rsidP="00F8691F">
      <w:pPr>
        <w:numPr>
          <w:ilvl w:val="0"/>
          <w:numId w:val="39"/>
        </w:numPr>
        <w:spacing w:after="160" w:line="259" w:lineRule="auto"/>
        <w:rPr>
          <w:rFonts w:cstheme="minorBidi"/>
          <w:bCs/>
          <w:sz w:val="21"/>
        </w:rPr>
      </w:pPr>
      <w:r w:rsidRPr="00F8691F">
        <w:rPr>
          <w:rFonts w:cstheme="minorBidi"/>
          <w:bCs/>
          <w:sz w:val="21"/>
        </w:rPr>
        <w:t>details about non-financial benefits received that are a listed device or product; and</w:t>
      </w:r>
    </w:p>
    <w:p w14:paraId="19C6D51B" w14:textId="77777777" w:rsidR="00F8691F" w:rsidRPr="00F8691F" w:rsidRDefault="00F8691F" w:rsidP="00F8691F">
      <w:pPr>
        <w:numPr>
          <w:ilvl w:val="0"/>
          <w:numId w:val="39"/>
        </w:numPr>
        <w:spacing w:after="160" w:line="259" w:lineRule="auto"/>
        <w:rPr>
          <w:rFonts w:cstheme="minorBidi"/>
          <w:bCs/>
          <w:sz w:val="21"/>
        </w:rPr>
      </w:pPr>
      <w:r w:rsidRPr="00F8691F">
        <w:rPr>
          <w:rFonts w:cstheme="minorBidi"/>
          <w:bCs/>
          <w:sz w:val="21"/>
        </w:rPr>
        <w:t>a specified period of time that records are to be kept.</w:t>
      </w:r>
    </w:p>
    <w:p w14:paraId="7BEA3C3B" w14:textId="77777777" w:rsidR="00F8691F" w:rsidRDefault="00F8691F" w:rsidP="00F8691F">
      <w:pPr>
        <w:spacing w:after="120"/>
      </w:pPr>
    </w:p>
    <w:p w14:paraId="641591F3" w14:textId="77777777" w:rsidR="00F8691F" w:rsidRPr="00A75610" w:rsidRDefault="00F8691F" w:rsidP="00F8691F">
      <w:pPr>
        <w:pStyle w:val="ListBullet"/>
        <w:numPr>
          <w:ilvl w:val="0"/>
          <w:numId w:val="0"/>
        </w:numPr>
        <w:ind w:left="360" w:hanging="360"/>
        <w:rPr>
          <w:i/>
          <w:iCs/>
          <w:color w:val="auto"/>
        </w:rPr>
      </w:pPr>
      <w:r w:rsidRPr="00A75610">
        <w:rPr>
          <w:i/>
          <w:iCs/>
          <w:color w:val="auto"/>
        </w:rPr>
        <w:t>2.2 Relevant information</w:t>
      </w:r>
    </w:p>
    <w:p w14:paraId="2A8D147C" w14:textId="77777777" w:rsidR="00F8691F" w:rsidRPr="00A75610" w:rsidRDefault="00F8691F" w:rsidP="00F8691F">
      <w:pPr>
        <w:pStyle w:val="ListBullet"/>
        <w:numPr>
          <w:ilvl w:val="0"/>
          <w:numId w:val="0"/>
        </w:numPr>
        <w:rPr>
          <w:color w:val="auto"/>
        </w:rPr>
      </w:pPr>
      <w:r w:rsidRPr="00A75610">
        <w:rPr>
          <w:color w:val="auto"/>
        </w:rPr>
        <w:t>For the proposed measures, ‘relevant information’ would be:</w:t>
      </w:r>
    </w:p>
    <w:p w14:paraId="0157A088" w14:textId="77777777" w:rsidR="00F8691F" w:rsidRPr="00A75610" w:rsidRDefault="00F8691F" w:rsidP="00F8691F">
      <w:pPr>
        <w:numPr>
          <w:ilvl w:val="0"/>
          <w:numId w:val="39"/>
        </w:numPr>
        <w:spacing w:after="160" w:line="259" w:lineRule="auto"/>
        <w:rPr>
          <w:rFonts w:cstheme="minorBidi"/>
          <w:bCs/>
          <w:sz w:val="21"/>
        </w:rPr>
      </w:pPr>
      <w:r w:rsidRPr="00A75610">
        <w:rPr>
          <w:rFonts w:cstheme="minorBidi"/>
          <w:bCs/>
          <w:sz w:val="21"/>
        </w:rPr>
        <w:t>information that a listed device or product may no longer meet the listing criteria (e.g. no longer included in the ARTG)</w:t>
      </w:r>
    </w:p>
    <w:p w14:paraId="19B63FD3" w14:textId="77777777" w:rsidR="00F8691F" w:rsidRPr="00A75610" w:rsidRDefault="00F8691F" w:rsidP="00F8691F">
      <w:pPr>
        <w:numPr>
          <w:ilvl w:val="0"/>
          <w:numId w:val="39"/>
        </w:numPr>
        <w:spacing w:after="160" w:line="259" w:lineRule="auto"/>
        <w:rPr>
          <w:rFonts w:cstheme="minorBidi"/>
          <w:bCs/>
          <w:sz w:val="21"/>
        </w:rPr>
      </w:pPr>
      <w:r w:rsidRPr="00A75610">
        <w:rPr>
          <w:rFonts w:cstheme="minorBidi"/>
          <w:bCs/>
          <w:sz w:val="21"/>
        </w:rPr>
        <w:t>information in a statement, notice or document provided to the Department that was incomplete or incorrect</w:t>
      </w:r>
    </w:p>
    <w:p w14:paraId="7FBB40E4" w14:textId="4C7D36B4" w:rsidR="00F8691F" w:rsidRPr="00A75610" w:rsidRDefault="00F8691F" w:rsidP="00F8691F">
      <w:pPr>
        <w:numPr>
          <w:ilvl w:val="0"/>
          <w:numId w:val="39"/>
        </w:numPr>
        <w:spacing w:after="160" w:line="259" w:lineRule="auto"/>
        <w:rPr>
          <w:rFonts w:cstheme="minorBidi"/>
          <w:bCs/>
          <w:sz w:val="21"/>
        </w:rPr>
      </w:pPr>
      <w:r w:rsidRPr="00A75610">
        <w:rPr>
          <w:rFonts w:cstheme="minorBidi"/>
          <w:bCs/>
          <w:sz w:val="21"/>
        </w:rPr>
        <w:t xml:space="preserve">information that the </w:t>
      </w:r>
      <w:hyperlink r:id="rId47" w:history="1">
        <w:r w:rsidRPr="00836717">
          <w:rPr>
            <w:rStyle w:val="Hyperlink"/>
            <w:rFonts w:cstheme="minorBidi"/>
            <w:bCs/>
            <w:sz w:val="21"/>
          </w:rPr>
          <w:t>MDHTP Rules</w:t>
        </w:r>
      </w:hyperlink>
      <w:r w:rsidRPr="00A75610">
        <w:rPr>
          <w:rFonts w:cstheme="minorBidi"/>
          <w:bCs/>
          <w:sz w:val="21"/>
        </w:rPr>
        <w:t xml:space="preserve"> contain incorrect or incomplete information about a listed device or product</w:t>
      </w:r>
    </w:p>
    <w:p w14:paraId="4DB55BDB" w14:textId="77777777" w:rsidR="00F8691F" w:rsidRPr="00A75610" w:rsidRDefault="00F8691F" w:rsidP="00F8691F">
      <w:pPr>
        <w:numPr>
          <w:ilvl w:val="0"/>
          <w:numId w:val="39"/>
        </w:numPr>
        <w:spacing w:after="160" w:line="259" w:lineRule="auto"/>
        <w:rPr>
          <w:rFonts w:cstheme="minorBidi"/>
          <w:bCs/>
          <w:sz w:val="21"/>
        </w:rPr>
      </w:pPr>
      <w:r w:rsidRPr="00A75610">
        <w:rPr>
          <w:rFonts w:cstheme="minorBidi"/>
          <w:bCs/>
          <w:sz w:val="21"/>
        </w:rPr>
        <w:t>information that contradicts either:</w:t>
      </w:r>
    </w:p>
    <w:p w14:paraId="4191CDE1" w14:textId="59196192" w:rsidR="00F8691F" w:rsidRPr="00A75610" w:rsidRDefault="00F8691F" w:rsidP="00F8691F">
      <w:pPr>
        <w:pStyle w:val="ListBullet"/>
        <w:numPr>
          <w:ilvl w:val="0"/>
          <w:numId w:val="0"/>
        </w:numPr>
        <w:ind w:left="720"/>
        <w:rPr>
          <w:color w:val="auto"/>
        </w:rPr>
      </w:pPr>
      <w:r w:rsidRPr="00A75610">
        <w:rPr>
          <w:color w:val="auto"/>
        </w:rPr>
        <w:lastRenderedPageBreak/>
        <w:t>o</w:t>
      </w:r>
      <w:r w:rsidRPr="00A75610">
        <w:rPr>
          <w:color w:val="auto"/>
        </w:rPr>
        <w:tab/>
        <w:t xml:space="preserve">information contained in the </w:t>
      </w:r>
      <w:hyperlink r:id="rId48" w:history="1">
        <w:r w:rsidRPr="00836717">
          <w:rPr>
            <w:rStyle w:val="Hyperlink"/>
          </w:rPr>
          <w:t>MDHTP Rules</w:t>
        </w:r>
      </w:hyperlink>
      <w:r w:rsidRPr="00A75610">
        <w:rPr>
          <w:color w:val="auto"/>
        </w:rPr>
        <w:t xml:space="preserve"> about a listed device or product; or</w:t>
      </w:r>
    </w:p>
    <w:p w14:paraId="11940B1B" w14:textId="77777777" w:rsidR="00F8691F" w:rsidRPr="00A75610" w:rsidRDefault="00F8691F" w:rsidP="00F8691F">
      <w:pPr>
        <w:pStyle w:val="ListBullet"/>
        <w:numPr>
          <w:ilvl w:val="0"/>
          <w:numId w:val="0"/>
        </w:numPr>
        <w:ind w:left="720"/>
        <w:rPr>
          <w:color w:val="auto"/>
        </w:rPr>
      </w:pPr>
      <w:r w:rsidRPr="00A75610">
        <w:rPr>
          <w:color w:val="auto"/>
        </w:rPr>
        <w:t>o</w:t>
      </w:r>
      <w:r w:rsidRPr="00A75610">
        <w:rPr>
          <w:color w:val="auto"/>
        </w:rPr>
        <w:tab/>
        <w:t xml:space="preserve">information previously provided to the Department about a listed device or product. </w:t>
      </w:r>
    </w:p>
    <w:p w14:paraId="777AC087" w14:textId="51AF9615" w:rsidR="00F8691F" w:rsidRPr="00A75610" w:rsidRDefault="00F8691F" w:rsidP="00F8691F">
      <w:pPr>
        <w:numPr>
          <w:ilvl w:val="0"/>
          <w:numId w:val="39"/>
        </w:numPr>
        <w:spacing w:after="160" w:line="259" w:lineRule="auto"/>
        <w:rPr>
          <w:rFonts w:cstheme="minorBidi"/>
          <w:bCs/>
          <w:sz w:val="21"/>
        </w:rPr>
      </w:pPr>
      <w:r w:rsidRPr="00A75610">
        <w:rPr>
          <w:rFonts w:cstheme="minorBidi"/>
          <w:bCs/>
          <w:sz w:val="21"/>
        </w:rPr>
        <w:t xml:space="preserve">other information of a kind specified in the </w:t>
      </w:r>
      <w:hyperlink r:id="rId49" w:history="1">
        <w:r w:rsidRPr="00827E78">
          <w:rPr>
            <w:rStyle w:val="Hyperlink"/>
          </w:rPr>
          <w:t>Private Health Insurance (Health Insurance Business) Rules</w:t>
        </w:r>
      </w:hyperlink>
      <w:r w:rsidRPr="00A75610">
        <w:rPr>
          <w:rFonts w:cstheme="minorBidi"/>
          <w:bCs/>
          <w:sz w:val="21"/>
        </w:rPr>
        <w:t xml:space="preserve"> </w:t>
      </w:r>
    </w:p>
    <w:p w14:paraId="6EF3B408" w14:textId="0BA19EB9" w:rsidR="00A01DC9" w:rsidRPr="001359D5" w:rsidRDefault="00A01DC9" w:rsidP="00883394">
      <w:pPr>
        <w:spacing w:after="160" w:line="259" w:lineRule="auto"/>
        <w:ind w:left="360"/>
        <w:rPr>
          <w:rFonts w:eastAsiaTheme="minorHAnsi" w:cstheme="minorBidi"/>
          <w:bCs/>
          <w:color w:val="000000" w:themeColor="text1"/>
          <w:sz w:val="21"/>
          <w:szCs w:val="22"/>
        </w:rPr>
      </w:pPr>
      <w:r w:rsidRPr="004650F4">
        <w:rPr>
          <w:rFonts w:eastAsiaTheme="minorHAnsi" w:cstheme="minorBidi"/>
          <w:bCs/>
          <w:color w:val="000000" w:themeColor="text1"/>
          <w:sz w:val="21"/>
          <w:szCs w:val="22"/>
        </w:rPr>
        <w:t xml:space="preserve"> </w:t>
      </w:r>
    </w:p>
    <w:p w14:paraId="23C8EB38" w14:textId="2990C74A" w:rsidR="002D0A92" w:rsidRPr="00DC5BA9" w:rsidRDefault="002D0A92" w:rsidP="00DC5BA9">
      <w:pPr>
        <w:pStyle w:val="ListBullet"/>
        <w:numPr>
          <w:ilvl w:val="0"/>
          <w:numId w:val="38"/>
        </w:numPr>
        <w:ind w:hanging="720"/>
        <w:rPr>
          <w:b/>
          <w:bCs w:val="0"/>
        </w:rPr>
      </w:pPr>
      <w:r w:rsidRPr="00DC5BA9">
        <w:rPr>
          <w:b/>
          <w:bCs w:val="0"/>
        </w:rPr>
        <w:t xml:space="preserve">Proposed </w:t>
      </w:r>
      <w:r w:rsidR="00072A94">
        <w:rPr>
          <w:b/>
          <w:bCs w:val="0"/>
        </w:rPr>
        <w:t>m</w:t>
      </w:r>
      <w:r w:rsidRPr="00DC5BA9">
        <w:rPr>
          <w:b/>
          <w:bCs w:val="0"/>
        </w:rPr>
        <w:t xml:space="preserve">easures for </w:t>
      </w:r>
      <w:r w:rsidR="00072A94">
        <w:rPr>
          <w:b/>
          <w:bCs w:val="0"/>
        </w:rPr>
        <w:t>i</w:t>
      </w:r>
      <w:r w:rsidRPr="00DC5BA9">
        <w:rPr>
          <w:b/>
          <w:bCs w:val="0"/>
        </w:rPr>
        <w:t>nsurers</w:t>
      </w:r>
    </w:p>
    <w:p w14:paraId="73A41637" w14:textId="76D6F995" w:rsidR="00F16869" w:rsidRDefault="000F41CB" w:rsidP="000F41CB">
      <w:pPr>
        <w:pStyle w:val="ListBullet"/>
        <w:numPr>
          <w:ilvl w:val="0"/>
          <w:numId w:val="0"/>
        </w:numPr>
      </w:pPr>
      <w:r>
        <w:t xml:space="preserve">Amend the PHI Act to provide that the </w:t>
      </w:r>
      <w:hyperlink r:id="rId50" w:history="1">
        <w:r w:rsidRPr="00762563">
          <w:rPr>
            <w:rStyle w:val="Hyperlink"/>
          </w:rPr>
          <w:t>Private Health Insurance (Complying Product) Rules</w:t>
        </w:r>
      </w:hyperlink>
      <w:r>
        <w:t xml:space="preserve"> may specify </w:t>
      </w:r>
      <w:r w:rsidR="00072A94">
        <w:t xml:space="preserve">record keeping </w:t>
      </w:r>
      <w:r w:rsidR="00501CFE">
        <w:t xml:space="preserve">and notification </w:t>
      </w:r>
      <w:r>
        <w:t xml:space="preserve">requirements consistent with </w:t>
      </w:r>
      <w:r w:rsidR="00072A94">
        <w:t xml:space="preserve">the requirements in </w:t>
      </w:r>
      <w:r>
        <w:t xml:space="preserve">Proposed Measure 1 and 2 </w:t>
      </w:r>
      <w:r w:rsidR="00072A94">
        <w:t xml:space="preserve">above </w:t>
      </w:r>
      <w:r>
        <w:t xml:space="preserve">but </w:t>
      </w:r>
      <w:r w:rsidR="00072A94">
        <w:t xml:space="preserve">only </w:t>
      </w:r>
      <w:r w:rsidR="00D829BB">
        <w:t xml:space="preserve">for records that </w:t>
      </w:r>
      <w:r>
        <w:t>would be relevant for insurers</w:t>
      </w:r>
      <w:r w:rsidR="00072A94">
        <w:t xml:space="preserve"> to keep and provide</w:t>
      </w:r>
      <w:r>
        <w:t>.</w:t>
      </w:r>
      <w:r w:rsidR="009E6DCD">
        <w:t xml:space="preserve"> These obligations would include the making, keeping and providing of records about listed </w:t>
      </w:r>
      <w:r w:rsidR="00D829BB">
        <w:t xml:space="preserve">devices and products, as well as </w:t>
      </w:r>
      <w:r w:rsidR="005024AC">
        <w:t>the provision of relevant information (see above)</w:t>
      </w:r>
      <w:r w:rsidR="00072A94">
        <w:t xml:space="preserve">. These obligations </w:t>
      </w:r>
      <w:r w:rsidR="009E6DCD">
        <w:t xml:space="preserve">would be specified in the </w:t>
      </w:r>
      <w:hyperlink r:id="rId51" w:history="1">
        <w:r w:rsidR="009E6DCD" w:rsidRPr="00827E78">
          <w:rPr>
            <w:rStyle w:val="Hyperlink"/>
          </w:rPr>
          <w:t>Private Health Insurance (Complying Product) Rules</w:t>
        </w:r>
      </w:hyperlink>
      <w:r w:rsidR="005024AC">
        <w:t>.</w:t>
      </w:r>
      <w:r w:rsidR="00D829BB" w:rsidRPr="00D829BB">
        <w:t xml:space="preserve"> </w:t>
      </w:r>
    </w:p>
    <w:p w14:paraId="64FBBF84" w14:textId="130A9F8C" w:rsidR="002D0A92" w:rsidRDefault="00D829BB" w:rsidP="000F41CB">
      <w:pPr>
        <w:pStyle w:val="ListBullet"/>
        <w:numPr>
          <w:ilvl w:val="0"/>
          <w:numId w:val="0"/>
        </w:numPr>
      </w:pPr>
      <w:r w:rsidRPr="00D829BB">
        <w:t xml:space="preserve">It may already be possible to specify these obligations in the </w:t>
      </w:r>
      <w:hyperlink r:id="rId52" w:history="1">
        <w:r w:rsidRPr="00827E78">
          <w:rPr>
            <w:rStyle w:val="Hyperlink"/>
          </w:rPr>
          <w:t>Private Health Insurance (Complying Product) Rules</w:t>
        </w:r>
      </w:hyperlink>
      <w:r w:rsidRPr="00D829BB">
        <w:t xml:space="preserve"> but legislating these requirements in the PHI Act would provide for more transparency.</w:t>
      </w:r>
    </w:p>
    <w:p w14:paraId="43287CA6" w14:textId="24A576E9" w:rsidR="005024AC" w:rsidRPr="007940A8" w:rsidRDefault="005024AC" w:rsidP="007940A8">
      <w:pPr>
        <w:pStyle w:val="ListBullet"/>
        <w:numPr>
          <w:ilvl w:val="0"/>
          <w:numId w:val="38"/>
        </w:numPr>
        <w:ind w:hanging="720"/>
        <w:rPr>
          <w:b/>
          <w:bCs w:val="0"/>
        </w:rPr>
      </w:pPr>
      <w:bookmarkStart w:id="8" w:name="_Hlk128484424"/>
      <w:r w:rsidRPr="007940A8">
        <w:rPr>
          <w:b/>
          <w:bCs w:val="0"/>
        </w:rPr>
        <w:t xml:space="preserve">Specific </w:t>
      </w:r>
      <w:r w:rsidR="00072A94">
        <w:rPr>
          <w:b/>
          <w:bCs w:val="0"/>
        </w:rPr>
        <w:t>o</w:t>
      </w:r>
      <w:r w:rsidRPr="007940A8">
        <w:rPr>
          <w:b/>
          <w:bCs w:val="0"/>
        </w:rPr>
        <w:t>ffences applicable to insurers and health care providers</w:t>
      </w:r>
      <w:bookmarkEnd w:id="8"/>
    </w:p>
    <w:p w14:paraId="3A2CC00A" w14:textId="77777777" w:rsidR="001D6FE7" w:rsidRDefault="004A2BA7" w:rsidP="00FB03E4">
      <w:pPr>
        <w:pStyle w:val="ListBullet"/>
        <w:numPr>
          <w:ilvl w:val="0"/>
          <w:numId w:val="0"/>
        </w:numPr>
      </w:pPr>
      <w:r>
        <w:t xml:space="preserve">It is proposed that offences for refusing or failing to comply with the obligations above NOT be included in the PHI Act, as this would be inconsistent with the current approach for hospital declaration conditions in Division 121 of the PHI Act. </w:t>
      </w:r>
    </w:p>
    <w:p w14:paraId="79BCD7ED" w14:textId="3E019FE1" w:rsidR="00FB03E4" w:rsidRDefault="009379F0" w:rsidP="001D6FE7">
      <w:pPr>
        <w:pStyle w:val="ListBullet"/>
        <w:numPr>
          <w:ilvl w:val="0"/>
          <w:numId w:val="0"/>
        </w:numPr>
      </w:pPr>
      <w:r>
        <w:t>However, i</w:t>
      </w:r>
      <w:r w:rsidR="004A2BA7">
        <w:t xml:space="preserve">t is recognised that that the PHI Act </w:t>
      </w:r>
      <w:r w:rsidR="00072A94">
        <w:t xml:space="preserve">already </w:t>
      </w:r>
      <w:r w:rsidR="004A2BA7">
        <w:t>includes such offences for insurers in relation to refusing or failing to comply with record keeping</w:t>
      </w:r>
      <w:r w:rsidR="001D6FE7">
        <w:t>.</w:t>
      </w:r>
      <w:r w:rsidR="004A2BA7">
        <w:t xml:space="preserve"> </w:t>
      </w:r>
      <w:r w:rsidR="001D6FE7">
        <w:t xml:space="preserve">For this reason, it is proposed that the PHI Act be amended to </w:t>
      </w:r>
      <w:r w:rsidR="00FB03E4">
        <w:t xml:space="preserve">provide that the regulations may prescribe </w:t>
      </w:r>
      <w:r w:rsidR="00E90847">
        <w:t>the following</w:t>
      </w:r>
      <w:r w:rsidR="00E93E7D">
        <w:t>:</w:t>
      </w:r>
      <w:r w:rsidR="00FB03E4">
        <w:t xml:space="preserve"> </w:t>
      </w:r>
    </w:p>
    <w:p w14:paraId="5CB48513" w14:textId="5B38271A" w:rsidR="00FB03E4" w:rsidRDefault="00FB03E4" w:rsidP="00E93E7D">
      <w:pPr>
        <w:pStyle w:val="ListBullet"/>
        <w:numPr>
          <w:ilvl w:val="0"/>
          <w:numId w:val="0"/>
        </w:numPr>
        <w:ind w:left="1134" w:hanging="414"/>
      </w:pPr>
      <w:r>
        <w:t>a.</w:t>
      </w:r>
      <w:r>
        <w:tab/>
      </w:r>
      <w:r w:rsidR="00420736">
        <w:t xml:space="preserve">requirements for </w:t>
      </w:r>
      <w:r>
        <w:t xml:space="preserve">the making, keeping and providing of records about listed </w:t>
      </w:r>
      <w:r w:rsidR="00E93E7D" w:rsidRPr="00E039EA">
        <w:t>device</w:t>
      </w:r>
      <w:r w:rsidR="00E93E7D">
        <w:t>s</w:t>
      </w:r>
      <w:r w:rsidR="00E93E7D" w:rsidRPr="00E039EA">
        <w:t xml:space="preserve"> or product</w:t>
      </w:r>
      <w:r w:rsidR="00E93E7D">
        <w:t>s</w:t>
      </w:r>
      <w:r>
        <w:t xml:space="preserve"> or in connection with listed </w:t>
      </w:r>
      <w:r w:rsidR="00E93E7D">
        <w:t>devices or products</w:t>
      </w:r>
      <w:r>
        <w:t xml:space="preserve">; </w:t>
      </w:r>
    </w:p>
    <w:p w14:paraId="14620BFD" w14:textId="191847D1" w:rsidR="00FB03E4" w:rsidRDefault="00FB03E4" w:rsidP="00E93E7D">
      <w:pPr>
        <w:pStyle w:val="ListBullet"/>
        <w:numPr>
          <w:ilvl w:val="0"/>
          <w:numId w:val="0"/>
        </w:numPr>
        <w:ind w:left="1134" w:hanging="414"/>
      </w:pPr>
      <w:r>
        <w:t>b.</w:t>
      </w:r>
      <w:r>
        <w:tab/>
      </w:r>
      <w:r w:rsidR="00420736">
        <w:t xml:space="preserve">requirements for </w:t>
      </w:r>
      <w:r>
        <w:t>the provision of relevant information</w:t>
      </w:r>
      <w:r w:rsidR="00E93E7D">
        <w:t xml:space="preserve"> about listed devices or products</w:t>
      </w:r>
      <w:r>
        <w:t xml:space="preserve">; </w:t>
      </w:r>
    </w:p>
    <w:p w14:paraId="539F64F6" w14:textId="77777777" w:rsidR="00420736" w:rsidRDefault="00FB03E4" w:rsidP="00E93E7D">
      <w:pPr>
        <w:pStyle w:val="ListBullet"/>
        <w:numPr>
          <w:ilvl w:val="0"/>
          <w:numId w:val="0"/>
        </w:numPr>
        <w:ind w:left="1134" w:hanging="414"/>
      </w:pPr>
      <w:r>
        <w:t>c.</w:t>
      </w:r>
      <w:r>
        <w:tab/>
      </w:r>
      <w:r w:rsidR="00420736">
        <w:t xml:space="preserve">requirements for </w:t>
      </w:r>
      <w:r>
        <w:t xml:space="preserve">the provision of corrected information about </w:t>
      </w:r>
      <w:r w:rsidR="00E93E7D" w:rsidRPr="00E039EA">
        <w:t>listed device</w:t>
      </w:r>
      <w:r w:rsidR="00E93E7D">
        <w:t>s</w:t>
      </w:r>
      <w:r w:rsidR="00E93E7D" w:rsidRPr="00E039EA">
        <w:t xml:space="preserve"> or product</w:t>
      </w:r>
      <w:r w:rsidR="00E93E7D">
        <w:t>s</w:t>
      </w:r>
      <w:r w:rsidR="00420736">
        <w:t>;</w:t>
      </w:r>
    </w:p>
    <w:p w14:paraId="10729379" w14:textId="30728794" w:rsidR="00FB03E4" w:rsidRDefault="00420736" w:rsidP="00E93E7D">
      <w:pPr>
        <w:pStyle w:val="ListBullet"/>
        <w:numPr>
          <w:ilvl w:val="0"/>
          <w:numId w:val="0"/>
        </w:numPr>
        <w:ind w:left="1134" w:hanging="414"/>
      </w:pPr>
      <w:r>
        <w:t xml:space="preserve">d. </w:t>
      </w:r>
      <w:r>
        <w:tab/>
      </w:r>
      <w:r w:rsidRPr="00420736">
        <w:t>offences</w:t>
      </w:r>
      <w:r>
        <w:t>,</w:t>
      </w:r>
      <w:r w:rsidRPr="00420736">
        <w:t xml:space="preserve"> not exceeding 20 penalty units</w:t>
      </w:r>
      <w:r>
        <w:t>,</w:t>
      </w:r>
      <w:r w:rsidRPr="00420736">
        <w:t xml:space="preserve"> for refusing or failing to comply with a prescribed requirement in the regulations</w:t>
      </w:r>
      <w:r w:rsidR="00FB03E4">
        <w:t>.</w:t>
      </w:r>
    </w:p>
    <w:p w14:paraId="584AB6B7" w14:textId="34C807D1" w:rsidR="008C6C8C" w:rsidRDefault="00E93E7D" w:rsidP="00B53C67">
      <w:pPr>
        <w:pStyle w:val="ListBullet"/>
        <w:numPr>
          <w:ilvl w:val="0"/>
          <w:numId w:val="0"/>
        </w:numPr>
      </w:pPr>
      <w:r>
        <w:t>This proposed measure would allow the r</w:t>
      </w:r>
      <w:r w:rsidR="00FB03E4">
        <w:t xml:space="preserve">egulations </w:t>
      </w:r>
      <w:r w:rsidR="008C6C8C">
        <w:t xml:space="preserve">made under the PHI Act </w:t>
      </w:r>
      <w:r w:rsidR="00FB03E4">
        <w:t xml:space="preserve">to </w:t>
      </w:r>
      <w:r w:rsidR="00072A94">
        <w:t xml:space="preserve">also </w:t>
      </w:r>
      <w:r w:rsidR="00FB03E4">
        <w:t xml:space="preserve">prescribe </w:t>
      </w:r>
      <w:r w:rsidR="000E50AF">
        <w:t>record keeping and information requirements</w:t>
      </w:r>
      <w:r w:rsidR="00FB03E4">
        <w:t xml:space="preserve"> that </w:t>
      </w:r>
      <w:r w:rsidR="00501CFE">
        <w:t>could</w:t>
      </w:r>
      <w:r w:rsidR="00FB03E4">
        <w:t xml:space="preserve"> be specified in the </w:t>
      </w:r>
      <w:r>
        <w:t xml:space="preserve">rules made </w:t>
      </w:r>
      <w:r w:rsidR="00FB03E4">
        <w:t xml:space="preserve">under the PHI Act. </w:t>
      </w:r>
      <w:r w:rsidR="00072A94">
        <w:t xml:space="preserve">This measure would also provide that the regulations may prescribe </w:t>
      </w:r>
      <w:bookmarkStart w:id="9" w:name="_Hlk130367499"/>
      <w:r w:rsidR="00072A94">
        <w:t>offences not exceeding 20 penalty units for refusing or failing to comply with a prescribed requirement in the regulations</w:t>
      </w:r>
      <w:bookmarkEnd w:id="9"/>
      <w:r w:rsidR="00072A94">
        <w:t xml:space="preserve">. The combined effect of these measures would be to provide for the record keeping </w:t>
      </w:r>
      <w:r w:rsidR="00501CFE">
        <w:t>and notification obligations</w:t>
      </w:r>
      <w:r w:rsidR="00072A94">
        <w:t xml:space="preserve"> and the </w:t>
      </w:r>
      <w:r w:rsidR="00420736">
        <w:t xml:space="preserve">criminal </w:t>
      </w:r>
      <w:r w:rsidR="00072A94">
        <w:t>penalty to be co-located in the one legislative instrument.</w:t>
      </w:r>
    </w:p>
    <w:p w14:paraId="16904308" w14:textId="59D7C91C" w:rsidR="00FB03E4" w:rsidRDefault="008C6C8C" w:rsidP="00B53C67">
      <w:pPr>
        <w:pStyle w:val="ListBullet"/>
        <w:numPr>
          <w:ilvl w:val="0"/>
          <w:numId w:val="0"/>
        </w:numPr>
      </w:pPr>
      <w:r>
        <w:t xml:space="preserve">These regulations would only be made if </w:t>
      </w:r>
      <w:r w:rsidR="00FB03E4">
        <w:t xml:space="preserve">administrative sanctions </w:t>
      </w:r>
      <w:r>
        <w:t xml:space="preserve">(see below) </w:t>
      </w:r>
      <w:r w:rsidR="00FB03E4">
        <w:t xml:space="preserve">were </w:t>
      </w:r>
      <w:r w:rsidR="00E93E7D">
        <w:t xml:space="preserve">found to be </w:t>
      </w:r>
      <w:r w:rsidR="00FB03E4">
        <w:t>insufficient or inappropriate</w:t>
      </w:r>
      <w:r w:rsidR="00501CFE">
        <w:t xml:space="preserve"> for achieving compliance with the record keeping and notification obligations</w:t>
      </w:r>
      <w:r w:rsidR="00FB03E4">
        <w:t>.</w:t>
      </w:r>
      <w:r>
        <w:t xml:space="preserve"> This </w:t>
      </w:r>
      <w:r w:rsidR="000E50AF">
        <w:t xml:space="preserve">policy </w:t>
      </w:r>
      <w:r>
        <w:t xml:space="preserve">would operate in practice by repealing any record keeping </w:t>
      </w:r>
      <w:r w:rsidR="000E50AF">
        <w:t xml:space="preserve">or </w:t>
      </w:r>
      <w:r w:rsidR="00501CFE">
        <w:t>notification</w:t>
      </w:r>
      <w:r w:rsidR="000E50AF">
        <w:t xml:space="preserve"> </w:t>
      </w:r>
      <w:r>
        <w:t xml:space="preserve">obligations from the relevant ‘Rules’ and prescribing both the record keeping </w:t>
      </w:r>
      <w:r w:rsidR="000E50AF">
        <w:t xml:space="preserve">and information </w:t>
      </w:r>
      <w:r>
        <w:t xml:space="preserve">obligations and any offences in the regulations. </w:t>
      </w:r>
      <w:r w:rsidR="00DC7CF6">
        <w:t>Regulations may prescribe offences but ‘Rules’ cannot specify offences.</w:t>
      </w:r>
    </w:p>
    <w:p w14:paraId="70C255BF" w14:textId="0CDB4F06" w:rsidR="00E93E7D" w:rsidRDefault="00E93E7D" w:rsidP="00B53C67">
      <w:pPr>
        <w:pStyle w:val="ListBullet"/>
        <w:numPr>
          <w:ilvl w:val="0"/>
          <w:numId w:val="0"/>
        </w:numPr>
      </w:pPr>
      <w:r>
        <w:t>Th</w:t>
      </w:r>
      <w:r w:rsidR="008C6C8C">
        <w:t>is</w:t>
      </w:r>
      <w:r>
        <w:t xml:space="preserve"> measure would only apply for </w:t>
      </w:r>
      <w:r w:rsidR="00465862">
        <w:t xml:space="preserve">records and </w:t>
      </w:r>
      <w:r w:rsidR="00501CFE">
        <w:t xml:space="preserve">notification of </w:t>
      </w:r>
      <w:r w:rsidR="00465862">
        <w:t xml:space="preserve">information about </w:t>
      </w:r>
      <w:r>
        <w:t>listed devices and products.</w:t>
      </w:r>
    </w:p>
    <w:p w14:paraId="5DCAC4FE" w14:textId="4FF840BF" w:rsidR="00E93E7D" w:rsidRDefault="00FB03E4" w:rsidP="00B53C67">
      <w:pPr>
        <w:pStyle w:val="ListBullet"/>
        <w:numPr>
          <w:ilvl w:val="0"/>
          <w:numId w:val="0"/>
        </w:numPr>
      </w:pPr>
      <w:r>
        <w:t xml:space="preserve">In the event of an inconsistency between a requirement in </w:t>
      </w:r>
      <w:r w:rsidR="00E93E7D">
        <w:t>any rules or the r</w:t>
      </w:r>
      <w:r>
        <w:t>egulations</w:t>
      </w:r>
      <w:r w:rsidR="001D6FE7">
        <w:t xml:space="preserve"> then</w:t>
      </w:r>
      <w:r>
        <w:t xml:space="preserve"> the matter in the </w:t>
      </w:r>
      <w:r w:rsidR="00E93E7D">
        <w:t>r</w:t>
      </w:r>
      <w:r>
        <w:t xml:space="preserve">egulations </w:t>
      </w:r>
      <w:r w:rsidR="00E93E7D">
        <w:t xml:space="preserve">would </w:t>
      </w:r>
      <w:r>
        <w:t xml:space="preserve">prevail. </w:t>
      </w:r>
    </w:p>
    <w:p w14:paraId="28DCE044" w14:textId="77777777" w:rsidR="00DC7CF6" w:rsidRDefault="00E93E7D" w:rsidP="00B53C67">
      <w:pPr>
        <w:pStyle w:val="ListBullet"/>
        <w:numPr>
          <w:ilvl w:val="0"/>
          <w:numId w:val="0"/>
        </w:numPr>
      </w:pPr>
      <w:r>
        <w:t xml:space="preserve">This measure may never be needed </w:t>
      </w:r>
      <w:r w:rsidR="00B53C67">
        <w:t xml:space="preserve">(and regulations may not be required) </w:t>
      </w:r>
      <w:r>
        <w:t xml:space="preserve">if substantial compliance with the measures above is demonstrated. </w:t>
      </w:r>
      <w:r w:rsidR="00373AE6">
        <w:t>However, it provides a safeguard for the future that would allow criminal offences to be prescribed should these be considered necessary.</w:t>
      </w:r>
    </w:p>
    <w:p w14:paraId="3E2E2D77" w14:textId="5DB10751" w:rsidR="00E93E7D" w:rsidRDefault="00DC7CF6" w:rsidP="00B53C67">
      <w:pPr>
        <w:pStyle w:val="ListBullet"/>
        <w:numPr>
          <w:ilvl w:val="0"/>
          <w:numId w:val="0"/>
        </w:numPr>
      </w:pPr>
      <w:r>
        <w:t xml:space="preserve">This measure could be implemented alongside the introduction of infringement notices in the PHI Act, so that there would be </w:t>
      </w:r>
      <w:r w:rsidR="00501CFE">
        <w:t xml:space="preserve">a </w:t>
      </w:r>
      <w:r>
        <w:t xml:space="preserve">graduated means of implementing the new record keeping </w:t>
      </w:r>
      <w:r w:rsidR="00501CFE">
        <w:t xml:space="preserve">and notification </w:t>
      </w:r>
      <w:r>
        <w:t>obligations and criminal offences</w:t>
      </w:r>
      <w:r w:rsidR="00501CFE">
        <w:t xml:space="preserve"> for not complying with these obligations</w:t>
      </w:r>
      <w:r>
        <w:t>.</w:t>
      </w:r>
    </w:p>
    <w:p w14:paraId="39E9F49F" w14:textId="0D4C3950" w:rsidR="000F41CB" w:rsidRPr="00B53C67" w:rsidRDefault="00FB03E4" w:rsidP="00B53C67">
      <w:pPr>
        <w:pStyle w:val="ListBullet"/>
        <w:numPr>
          <w:ilvl w:val="0"/>
          <w:numId w:val="38"/>
        </w:numPr>
        <w:ind w:hanging="720"/>
        <w:rPr>
          <w:b/>
          <w:bCs w:val="0"/>
        </w:rPr>
      </w:pPr>
      <w:r>
        <w:rPr>
          <w:b/>
          <w:bCs w:val="0"/>
        </w:rPr>
        <w:lastRenderedPageBreak/>
        <w:t xml:space="preserve">Administrative sanctions for </w:t>
      </w:r>
      <w:r w:rsidRPr="007940A8">
        <w:rPr>
          <w:b/>
          <w:bCs w:val="0"/>
        </w:rPr>
        <w:t>health care providers</w:t>
      </w:r>
    </w:p>
    <w:p w14:paraId="17DD6030" w14:textId="43C5EF3E" w:rsidR="00401C39" w:rsidRPr="00401C39" w:rsidRDefault="00A23182" w:rsidP="00B53C67">
      <w:pPr>
        <w:pStyle w:val="ListBullet"/>
        <w:numPr>
          <w:ilvl w:val="0"/>
          <w:numId w:val="0"/>
        </w:numPr>
        <w:rPr>
          <w:i/>
          <w:iCs/>
        </w:rPr>
      </w:pPr>
      <w:r>
        <w:rPr>
          <w:i/>
          <w:iCs/>
        </w:rPr>
        <w:t xml:space="preserve">5.1 </w:t>
      </w:r>
      <w:r w:rsidR="00401C39" w:rsidRPr="00401C39">
        <w:rPr>
          <w:i/>
          <w:iCs/>
        </w:rPr>
        <w:t>Sponsor</w:t>
      </w:r>
    </w:p>
    <w:p w14:paraId="2E9245DB" w14:textId="0CD029EC" w:rsidR="00C95CF3" w:rsidRDefault="00B53C67" w:rsidP="00B53C67">
      <w:pPr>
        <w:pStyle w:val="ListBullet"/>
        <w:numPr>
          <w:ilvl w:val="0"/>
          <w:numId w:val="0"/>
        </w:numPr>
      </w:pPr>
      <w:r>
        <w:t>T</w:t>
      </w:r>
      <w:r w:rsidR="00C95CF3">
        <w:t xml:space="preserve">he PHI Act be amended to provide for the removal of a listed </w:t>
      </w:r>
      <w:r w:rsidR="000E50AF">
        <w:t>device or product</w:t>
      </w:r>
      <w:r w:rsidR="00C95CF3">
        <w:t xml:space="preserve"> from the </w:t>
      </w:r>
      <w:hyperlink r:id="rId53" w:history="1">
        <w:r w:rsidR="00C95CF3" w:rsidRPr="00836717">
          <w:rPr>
            <w:rStyle w:val="Hyperlink"/>
          </w:rPr>
          <w:t>MDHTP Rules</w:t>
        </w:r>
      </w:hyperlink>
      <w:r w:rsidR="00C95CF3">
        <w:t xml:space="preserve"> if the </w:t>
      </w:r>
      <w:r>
        <w:t xml:space="preserve">sponsor </w:t>
      </w:r>
      <w:r w:rsidR="00C95CF3">
        <w:t xml:space="preserve">refuses or fails to comply with the </w:t>
      </w:r>
      <w:r w:rsidR="00501CFE">
        <w:t xml:space="preserve">record keeping and notification </w:t>
      </w:r>
      <w:r w:rsidR="00401C39">
        <w:t xml:space="preserve">obligations in </w:t>
      </w:r>
      <w:r w:rsidR="00F63FD6">
        <w:t>P</w:t>
      </w:r>
      <w:r w:rsidR="00401C39">
        <w:t xml:space="preserve">roposed </w:t>
      </w:r>
      <w:r w:rsidR="00F63FD6">
        <w:t>M</w:t>
      </w:r>
      <w:r w:rsidR="00401C39">
        <w:t xml:space="preserve">easure 1 above. This would be subject to </w:t>
      </w:r>
      <w:r w:rsidR="000E50AF">
        <w:t>Administrative Appeals Tribunal r</w:t>
      </w:r>
      <w:r w:rsidR="00401C39">
        <w:t>eview.</w:t>
      </w:r>
    </w:p>
    <w:p w14:paraId="220715D1" w14:textId="35E695A2" w:rsidR="00401C39" w:rsidRPr="00401C39" w:rsidRDefault="00A23182" w:rsidP="00B53C67">
      <w:pPr>
        <w:pStyle w:val="ListBullet"/>
        <w:numPr>
          <w:ilvl w:val="0"/>
          <w:numId w:val="0"/>
        </w:numPr>
        <w:rPr>
          <w:i/>
          <w:iCs/>
        </w:rPr>
      </w:pPr>
      <w:r>
        <w:rPr>
          <w:i/>
          <w:iCs/>
        </w:rPr>
        <w:t xml:space="preserve">5.2 </w:t>
      </w:r>
      <w:r w:rsidR="00401C39" w:rsidRPr="00401C39">
        <w:rPr>
          <w:i/>
          <w:iCs/>
        </w:rPr>
        <w:t>Hospital</w:t>
      </w:r>
    </w:p>
    <w:p w14:paraId="1280C184" w14:textId="277DADD1" w:rsidR="00401C39" w:rsidRDefault="00401C39" w:rsidP="00E1322B">
      <w:pPr>
        <w:pStyle w:val="ListBullet"/>
        <w:numPr>
          <w:ilvl w:val="0"/>
          <w:numId w:val="0"/>
        </w:numPr>
      </w:pPr>
      <w:r>
        <w:t xml:space="preserve">The PHI Act be amended to provide that </w:t>
      </w:r>
      <w:r w:rsidR="00C95CF3">
        <w:t>a declaration for a hospital may be revoked if</w:t>
      </w:r>
      <w:r w:rsidR="00E1322B">
        <w:t xml:space="preserve"> </w:t>
      </w:r>
      <w:r w:rsidR="00C95CF3">
        <w:t xml:space="preserve">the holder of the declaration refuses or fails to comply with </w:t>
      </w:r>
      <w:r w:rsidR="00E1322B">
        <w:t xml:space="preserve">the </w:t>
      </w:r>
      <w:r w:rsidR="00501CFE">
        <w:t xml:space="preserve">record keeping and notifications </w:t>
      </w:r>
      <w:r w:rsidR="00E1322B">
        <w:t xml:space="preserve">obligations in </w:t>
      </w:r>
      <w:r w:rsidR="00F63FD6">
        <w:t>P</w:t>
      </w:r>
      <w:r w:rsidR="00E1322B">
        <w:t xml:space="preserve">roposed </w:t>
      </w:r>
      <w:r w:rsidR="00F63FD6">
        <w:t>M</w:t>
      </w:r>
      <w:r w:rsidR="00E1322B">
        <w:t>easure 2 above.</w:t>
      </w:r>
      <w:r>
        <w:t xml:space="preserve"> </w:t>
      </w:r>
    </w:p>
    <w:p w14:paraId="7F2AE870" w14:textId="321CA21E" w:rsidR="00FB03E4" w:rsidRDefault="00401C39" w:rsidP="00401C39">
      <w:pPr>
        <w:pStyle w:val="ListBullet"/>
        <w:numPr>
          <w:ilvl w:val="0"/>
          <w:numId w:val="0"/>
        </w:numPr>
      </w:pPr>
      <w:r>
        <w:t xml:space="preserve">The proposed new power to revoke a declaration would only apply </w:t>
      </w:r>
      <w:r w:rsidR="00E1322B">
        <w:t xml:space="preserve">to the obligations in </w:t>
      </w:r>
      <w:r w:rsidR="00DC7CF6">
        <w:t>P</w:t>
      </w:r>
      <w:r w:rsidR="00E1322B">
        <w:t xml:space="preserve">roposed </w:t>
      </w:r>
      <w:r w:rsidR="00DC7CF6">
        <w:t>M</w:t>
      </w:r>
      <w:r w:rsidR="00E1322B">
        <w:t>easure 2</w:t>
      </w:r>
      <w:r w:rsidR="00555C5A">
        <w:t xml:space="preserve"> above</w:t>
      </w:r>
      <w:r w:rsidR="00E1322B">
        <w:t>.</w:t>
      </w:r>
      <w:r>
        <w:t xml:space="preserve"> Revoking a declaration of a hospital is already </w:t>
      </w:r>
      <w:r w:rsidR="00C95CF3">
        <w:t xml:space="preserve">subject to </w:t>
      </w:r>
      <w:r w:rsidR="000E50AF">
        <w:t xml:space="preserve">Administrative Appeals Tribunal </w:t>
      </w:r>
      <w:r w:rsidR="00C95CF3">
        <w:t>review</w:t>
      </w:r>
      <w:r>
        <w:t xml:space="preserve"> and this proposed measure would not change that.</w:t>
      </w:r>
    </w:p>
    <w:p w14:paraId="435647BC" w14:textId="5ECDB68B" w:rsidR="00555C5A" w:rsidRDefault="00555C5A" w:rsidP="00401C39">
      <w:pPr>
        <w:pStyle w:val="ListBullet"/>
        <w:numPr>
          <w:ilvl w:val="0"/>
          <w:numId w:val="0"/>
        </w:numPr>
      </w:pPr>
      <w:r>
        <w:t>These administrative sanctions are necessary to ensure that health care providers</w:t>
      </w:r>
      <w:r w:rsidR="00B03BA7">
        <w:t xml:space="preserve"> comply with the proposed obligations.</w:t>
      </w:r>
      <w:r w:rsidR="00D829BB">
        <w:t xml:space="preserve"> These measures should be legislated in the PHI Act for transparency and </w:t>
      </w:r>
      <w:r w:rsidR="004F1413">
        <w:t xml:space="preserve">the availability of </w:t>
      </w:r>
      <w:r w:rsidR="000E50AF">
        <w:t>Administrative Appeals Tribunal</w:t>
      </w:r>
      <w:r w:rsidR="004F1413">
        <w:t xml:space="preserve"> review would </w:t>
      </w:r>
      <w:r w:rsidR="000E50AF">
        <w:t xml:space="preserve">also </w:t>
      </w:r>
      <w:r w:rsidR="004F1413">
        <w:t xml:space="preserve">be legislated. </w:t>
      </w:r>
    </w:p>
    <w:p w14:paraId="7F904E07" w14:textId="6B729380" w:rsidR="00465862" w:rsidRDefault="00465862" w:rsidP="00401C39">
      <w:pPr>
        <w:pStyle w:val="ListBullet"/>
        <w:numPr>
          <w:ilvl w:val="0"/>
          <w:numId w:val="0"/>
        </w:numPr>
      </w:pPr>
      <w:bookmarkStart w:id="10" w:name="_Hlk128558796"/>
      <w:r>
        <w:t>This measure may be implemented more proportionately through providing for injunctions or enforceable undertakings</w:t>
      </w:r>
      <w:r w:rsidR="009D009B">
        <w:t xml:space="preserve"> for not complying with the obligations</w:t>
      </w:r>
      <w:r>
        <w:t xml:space="preserve">, rather than through revoking a declaration or removing a listed device or product. Stakeholders may wish to comment on </w:t>
      </w:r>
      <w:r w:rsidR="001D6FE7">
        <w:t xml:space="preserve">the use of </w:t>
      </w:r>
      <w:r w:rsidR="004871C5">
        <w:t>enforcement powers</w:t>
      </w:r>
      <w:r w:rsidR="000E50AF">
        <w:t xml:space="preserve"> such as injunctions and enforceable undertakings</w:t>
      </w:r>
      <w:r w:rsidR="001D6FE7">
        <w:t xml:space="preserve">, recognising that the </w:t>
      </w:r>
      <w:r w:rsidR="00501CFE">
        <w:t xml:space="preserve">wider </w:t>
      </w:r>
      <w:r w:rsidR="001D6FE7">
        <w:t>availability of these measures would need to be legislated for in the PHI Act</w:t>
      </w:r>
      <w:r>
        <w:t>.</w:t>
      </w:r>
      <w:bookmarkEnd w:id="10"/>
    </w:p>
    <w:p w14:paraId="430C08FC" w14:textId="19341068" w:rsidR="00900DD4" w:rsidRDefault="00900DD4" w:rsidP="00401C39">
      <w:pPr>
        <w:pStyle w:val="ListBullet"/>
        <w:numPr>
          <w:ilvl w:val="0"/>
          <w:numId w:val="0"/>
        </w:numPr>
      </w:pPr>
      <w:r>
        <w:t>Stakeholders may also wish to comment on whether these administrative sanctions s</w:t>
      </w:r>
      <w:r w:rsidRPr="00900DD4">
        <w:t xml:space="preserve">hould </w:t>
      </w:r>
      <w:r>
        <w:t xml:space="preserve">be subject to </w:t>
      </w:r>
      <w:r w:rsidRPr="00900DD4">
        <w:t xml:space="preserve">additional considerations before removing a listed device or product or </w:t>
      </w:r>
      <w:r>
        <w:t xml:space="preserve">before </w:t>
      </w:r>
      <w:r w:rsidRPr="00900DD4">
        <w:t>revoking a hospital declaration</w:t>
      </w:r>
      <w:r>
        <w:t xml:space="preserve">. </w:t>
      </w:r>
      <w:r w:rsidRPr="00900DD4">
        <w:t xml:space="preserve">For example, should any detriment to insured persons </w:t>
      </w:r>
      <w:r>
        <w:t>be considered before r</w:t>
      </w:r>
      <w:r w:rsidRPr="00900DD4">
        <w:t>emoving a listed device or product or revoking a hospital declaration?</w:t>
      </w:r>
    </w:p>
    <w:p w14:paraId="5C0A4696" w14:textId="1DF94082" w:rsidR="00FB03E4" w:rsidRPr="00FB03E4" w:rsidRDefault="00FB03E4" w:rsidP="00B03BA7">
      <w:pPr>
        <w:pStyle w:val="ListBullet"/>
        <w:numPr>
          <w:ilvl w:val="0"/>
          <w:numId w:val="38"/>
        </w:numPr>
        <w:ind w:hanging="720"/>
        <w:rPr>
          <w:b/>
          <w:bCs w:val="0"/>
        </w:rPr>
      </w:pPr>
      <w:r w:rsidRPr="00FB03E4">
        <w:rPr>
          <w:b/>
          <w:bCs w:val="0"/>
        </w:rPr>
        <w:t>False or misleading information - administrative sanctions</w:t>
      </w:r>
    </w:p>
    <w:p w14:paraId="4C08C750" w14:textId="1644CCE4" w:rsidR="00FB03E4" w:rsidRPr="00E1322B" w:rsidRDefault="00A23182" w:rsidP="00FB03E4">
      <w:pPr>
        <w:pStyle w:val="ListBullet"/>
        <w:numPr>
          <w:ilvl w:val="0"/>
          <w:numId w:val="0"/>
        </w:numPr>
        <w:ind w:left="360" w:hanging="360"/>
        <w:rPr>
          <w:i/>
          <w:iCs/>
        </w:rPr>
      </w:pPr>
      <w:r>
        <w:rPr>
          <w:i/>
          <w:iCs/>
        </w:rPr>
        <w:t xml:space="preserve">6.1 </w:t>
      </w:r>
      <w:r w:rsidR="00E1322B" w:rsidRPr="00E1322B">
        <w:rPr>
          <w:i/>
          <w:iCs/>
        </w:rPr>
        <w:t>Sponsor</w:t>
      </w:r>
    </w:p>
    <w:p w14:paraId="488881A0" w14:textId="1143E124" w:rsidR="00C95CF3" w:rsidRDefault="00A337B7" w:rsidP="00A337B7">
      <w:pPr>
        <w:pStyle w:val="ListBullet"/>
        <w:numPr>
          <w:ilvl w:val="0"/>
          <w:numId w:val="0"/>
        </w:numPr>
      </w:pPr>
      <w:r>
        <w:t>T</w:t>
      </w:r>
      <w:r w:rsidR="00C95CF3">
        <w:t xml:space="preserve">he PHI Act be amended to provide for the removal of a listed </w:t>
      </w:r>
      <w:r w:rsidR="00587756">
        <w:t>device or product</w:t>
      </w:r>
      <w:r w:rsidR="00C95CF3">
        <w:t xml:space="preserve"> from the </w:t>
      </w:r>
      <w:hyperlink r:id="rId54" w:history="1">
        <w:r w:rsidR="00C95CF3" w:rsidRPr="00836717">
          <w:rPr>
            <w:rStyle w:val="Hyperlink"/>
          </w:rPr>
          <w:t>MDHTP Rules</w:t>
        </w:r>
      </w:hyperlink>
      <w:r w:rsidR="00C95CF3">
        <w:t xml:space="preserve"> if the </w:t>
      </w:r>
      <w:r>
        <w:t xml:space="preserve">sponsor </w:t>
      </w:r>
      <w:r w:rsidR="00C95CF3">
        <w:t xml:space="preserve">provides false or misleading information about </w:t>
      </w:r>
      <w:r w:rsidR="00587756">
        <w:t>the listed device or product</w:t>
      </w:r>
      <w:r>
        <w:t xml:space="preserve">. The exercise of this </w:t>
      </w:r>
      <w:r w:rsidR="001D6FE7">
        <w:t xml:space="preserve">specific </w:t>
      </w:r>
      <w:r>
        <w:t xml:space="preserve">power </w:t>
      </w:r>
      <w:r w:rsidR="001D6FE7">
        <w:t xml:space="preserve">to remove a listed device or product from the </w:t>
      </w:r>
      <w:hyperlink r:id="rId55" w:history="1">
        <w:r w:rsidR="001D6FE7" w:rsidRPr="00836717">
          <w:rPr>
            <w:rStyle w:val="Hyperlink"/>
          </w:rPr>
          <w:t>MDHTP Rules</w:t>
        </w:r>
      </w:hyperlink>
      <w:r w:rsidR="001D6FE7">
        <w:t xml:space="preserve"> </w:t>
      </w:r>
      <w:r>
        <w:t xml:space="preserve">would be subject to </w:t>
      </w:r>
      <w:r w:rsidR="009D009B">
        <w:t>Administrative Appeals Tribunal</w:t>
      </w:r>
      <w:r>
        <w:t xml:space="preserve"> review. </w:t>
      </w:r>
    </w:p>
    <w:p w14:paraId="0A2BF4BB" w14:textId="5D59C9DD" w:rsidR="00EC6D81" w:rsidRDefault="00EC6D81" w:rsidP="00A337B7">
      <w:pPr>
        <w:pStyle w:val="ListBullet"/>
        <w:numPr>
          <w:ilvl w:val="0"/>
          <w:numId w:val="0"/>
        </w:numPr>
      </w:pPr>
      <w:r>
        <w:t xml:space="preserve">Currently, a listed device or product could be removed if false or misleading information was provided </w:t>
      </w:r>
      <w:r w:rsidRPr="00EC6D81">
        <w:rPr>
          <w:u w:val="single"/>
        </w:rPr>
        <w:t>and</w:t>
      </w:r>
      <w:r>
        <w:t xml:space="preserve"> the exclusion of this information meant that the listed device or product no longer met the </w:t>
      </w:r>
      <w:r w:rsidR="00F63FD6">
        <w:t xml:space="preserve">requirements for </w:t>
      </w:r>
      <w:r>
        <w:t>listing (e.g. no longer clinically effective). However, this current approach would require a complete new evaluation of the listed device or product</w:t>
      </w:r>
      <w:r w:rsidR="001305B7">
        <w:t xml:space="preserve"> with no means of imposing the costs of this new evaluation on the sponsor. This means that other sponsors would be cross-subsidising this activity. The proposed measure addresses this by providing for the removal of a listed device or product if false or misleading information was provided, without the need to conduct a complete new evaluation.</w:t>
      </w:r>
    </w:p>
    <w:p w14:paraId="54042544" w14:textId="3E168030" w:rsidR="000D3C47" w:rsidRDefault="000D3C47" w:rsidP="00A337B7">
      <w:pPr>
        <w:pStyle w:val="ListBullet"/>
        <w:numPr>
          <w:ilvl w:val="0"/>
          <w:numId w:val="0"/>
        </w:numPr>
      </w:pPr>
    </w:p>
    <w:p w14:paraId="0999B4FF" w14:textId="5163408B" w:rsidR="00E1322B" w:rsidRPr="00E1322B" w:rsidRDefault="00A23182" w:rsidP="00E1322B">
      <w:pPr>
        <w:pStyle w:val="ListBullet"/>
        <w:numPr>
          <w:ilvl w:val="0"/>
          <w:numId w:val="0"/>
        </w:numPr>
        <w:ind w:left="360" w:hanging="360"/>
        <w:rPr>
          <w:i/>
          <w:iCs/>
        </w:rPr>
      </w:pPr>
      <w:r>
        <w:rPr>
          <w:i/>
          <w:iCs/>
        </w:rPr>
        <w:t xml:space="preserve">6.2 </w:t>
      </w:r>
      <w:r w:rsidR="00E1322B" w:rsidRPr="00E1322B">
        <w:rPr>
          <w:i/>
          <w:iCs/>
        </w:rPr>
        <w:t>Hospital</w:t>
      </w:r>
    </w:p>
    <w:p w14:paraId="37E1BDB4" w14:textId="5A671B90" w:rsidR="00C95CF3" w:rsidRDefault="00A337B7" w:rsidP="00A337B7">
      <w:pPr>
        <w:pStyle w:val="ListBullet"/>
        <w:numPr>
          <w:ilvl w:val="0"/>
          <w:numId w:val="0"/>
        </w:numPr>
      </w:pPr>
      <w:r>
        <w:t xml:space="preserve">The PHI </w:t>
      </w:r>
      <w:r w:rsidR="00E90847">
        <w:t xml:space="preserve">Act </w:t>
      </w:r>
      <w:r>
        <w:t xml:space="preserve">be amended to provide that </w:t>
      </w:r>
      <w:r w:rsidR="00C95CF3">
        <w:t xml:space="preserve">a declaration for a hospital may be revoked if the holder of the declaration provides false or misleading information about a listed </w:t>
      </w:r>
      <w:r w:rsidR="00587756">
        <w:t>device or product</w:t>
      </w:r>
      <w:r>
        <w:t xml:space="preserve">. </w:t>
      </w:r>
      <w:r w:rsidRPr="00A337B7">
        <w:t xml:space="preserve">The exercise of this power would be subject to </w:t>
      </w:r>
      <w:r w:rsidR="009D009B">
        <w:t>Administrative Appeals Tribunal</w:t>
      </w:r>
      <w:r w:rsidRPr="00A337B7">
        <w:t xml:space="preserve"> review.</w:t>
      </w:r>
    </w:p>
    <w:p w14:paraId="018FA4C6" w14:textId="647523E6" w:rsidR="00465862" w:rsidRDefault="00B03BA7" w:rsidP="00B03BA7">
      <w:pPr>
        <w:pStyle w:val="ListBullet"/>
        <w:numPr>
          <w:ilvl w:val="0"/>
          <w:numId w:val="0"/>
        </w:numPr>
      </w:pPr>
      <w:r w:rsidRPr="00B03BA7">
        <w:t xml:space="preserve">The administrative sanctions </w:t>
      </w:r>
      <w:r w:rsidR="001D6FE7">
        <w:t xml:space="preserve">above </w:t>
      </w:r>
      <w:r w:rsidRPr="00B03BA7">
        <w:t xml:space="preserve">are necessary to ensure that health care providers </w:t>
      </w:r>
      <w:r>
        <w:t>do not provide false or misleading information</w:t>
      </w:r>
      <w:r w:rsidR="00587756">
        <w:t xml:space="preserve"> about listed devices or products</w:t>
      </w:r>
      <w:r>
        <w:t>.</w:t>
      </w:r>
      <w:r w:rsidR="00D829BB" w:rsidRPr="00D829BB">
        <w:t xml:space="preserve"> </w:t>
      </w:r>
      <w:r w:rsidR="00D829BB">
        <w:t xml:space="preserve">These measures should be legislated in the PHI Act for transparency and </w:t>
      </w:r>
      <w:r w:rsidR="004F1413">
        <w:t xml:space="preserve">the availability of </w:t>
      </w:r>
      <w:r w:rsidR="009D009B">
        <w:t>Administrative Appeals Tribunal</w:t>
      </w:r>
      <w:r w:rsidR="00D829BB">
        <w:t xml:space="preserve"> review</w:t>
      </w:r>
      <w:r w:rsidR="004F1413">
        <w:t xml:space="preserve"> would be legislated</w:t>
      </w:r>
      <w:r w:rsidR="00D829BB">
        <w:t>.</w:t>
      </w:r>
      <w:r w:rsidR="00465862" w:rsidRPr="00465862">
        <w:t xml:space="preserve"> </w:t>
      </w:r>
    </w:p>
    <w:p w14:paraId="520E9033" w14:textId="5EF7155F" w:rsidR="00587756" w:rsidRDefault="00465862" w:rsidP="00B03BA7">
      <w:pPr>
        <w:pStyle w:val="ListBullet"/>
        <w:numPr>
          <w:ilvl w:val="0"/>
          <w:numId w:val="0"/>
        </w:numPr>
      </w:pPr>
      <w:r w:rsidRPr="00465862">
        <w:t xml:space="preserve">This measure may be implemented more proportionately through providing for injunctions or enforceable undertakings, rather than through revoking a declaration or removing a listed device or product. </w:t>
      </w:r>
      <w:r w:rsidR="001D6FE7">
        <w:lastRenderedPageBreak/>
        <w:t xml:space="preserve">Stakeholders may wish to comment on the use of </w:t>
      </w:r>
      <w:r w:rsidR="009D009B">
        <w:t>injunctions or enforceable undertakings</w:t>
      </w:r>
      <w:r w:rsidR="001D6FE7">
        <w:t>, recognising that the availability of these measures would need to be legislated for in the PHI Act.</w:t>
      </w:r>
    </w:p>
    <w:p w14:paraId="47FBBF5E" w14:textId="28BDC1E0" w:rsidR="00900DD4" w:rsidRDefault="00900DD4" w:rsidP="00B03BA7">
      <w:pPr>
        <w:pStyle w:val="ListBullet"/>
        <w:numPr>
          <w:ilvl w:val="0"/>
          <w:numId w:val="0"/>
        </w:numPr>
      </w:pPr>
      <w:r w:rsidRPr="00900DD4">
        <w:t xml:space="preserve">Stakeholders may also wish to comment on whether these administrative sanctions should be subject to additional considerations before removing a listed device or product or </w:t>
      </w:r>
      <w:r>
        <w:t xml:space="preserve">before </w:t>
      </w:r>
      <w:r w:rsidRPr="00900DD4">
        <w:t>revoking a hospital declaration. For example, should any detriment to insured persons be considered before removing a listed device or product or revoking a hospital declaration?</w:t>
      </w:r>
    </w:p>
    <w:p w14:paraId="0BACD532" w14:textId="7AB3ECDD" w:rsidR="00FB03E4" w:rsidRPr="00FB03E4" w:rsidRDefault="00FB03E4" w:rsidP="00B03BA7">
      <w:pPr>
        <w:pStyle w:val="ListBullet"/>
        <w:numPr>
          <w:ilvl w:val="0"/>
          <w:numId w:val="38"/>
        </w:numPr>
        <w:ind w:hanging="720"/>
        <w:rPr>
          <w:b/>
          <w:bCs w:val="0"/>
        </w:rPr>
      </w:pPr>
      <w:r w:rsidRPr="00FB03E4">
        <w:rPr>
          <w:b/>
          <w:bCs w:val="0"/>
        </w:rPr>
        <w:t>False or misleading information – criminal sanctions</w:t>
      </w:r>
    </w:p>
    <w:p w14:paraId="7E915FFF" w14:textId="04C7ABB4" w:rsidR="00C95CF3" w:rsidRPr="009D009B" w:rsidRDefault="00A64D96" w:rsidP="00026761">
      <w:pPr>
        <w:pStyle w:val="ListBullet"/>
        <w:numPr>
          <w:ilvl w:val="0"/>
          <w:numId w:val="0"/>
        </w:numPr>
        <w:rPr>
          <w:szCs w:val="21"/>
        </w:rPr>
      </w:pPr>
      <w:r w:rsidRPr="009D009B">
        <w:rPr>
          <w:color w:val="000000"/>
          <w:szCs w:val="21"/>
          <w:shd w:val="clear" w:color="auto" w:fill="FFFFFF"/>
        </w:rPr>
        <w:t>Giving false or misleading information is a serious offence</w:t>
      </w:r>
      <w:r w:rsidR="006E063D" w:rsidRPr="009D009B">
        <w:rPr>
          <w:color w:val="000000"/>
          <w:szCs w:val="21"/>
          <w:shd w:val="clear" w:color="auto" w:fill="FFFFFF"/>
        </w:rPr>
        <w:t xml:space="preserve">. The </w:t>
      </w:r>
      <w:hyperlink r:id="rId56" w:history="1">
        <w:r w:rsidR="006E063D" w:rsidRPr="00640AEB">
          <w:rPr>
            <w:rStyle w:val="Hyperlink"/>
            <w:szCs w:val="21"/>
            <w:shd w:val="clear" w:color="auto" w:fill="FFFFFF"/>
          </w:rPr>
          <w:t xml:space="preserve">Criminal Code (Schedule to the </w:t>
        </w:r>
        <w:r w:rsidR="006E063D" w:rsidRPr="00640AEB">
          <w:rPr>
            <w:rStyle w:val="Hyperlink"/>
            <w:i/>
            <w:iCs/>
            <w:szCs w:val="21"/>
            <w:shd w:val="clear" w:color="auto" w:fill="FFFFFF"/>
          </w:rPr>
          <w:t>Criminal Code Act 1995</w:t>
        </w:r>
        <w:r w:rsidR="006E063D" w:rsidRPr="00640AEB">
          <w:rPr>
            <w:rStyle w:val="Hyperlink"/>
            <w:szCs w:val="21"/>
            <w:shd w:val="clear" w:color="auto" w:fill="FFFFFF"/>
          </w:rPr>
          <w:t xml:space="preserve"> (Cth)</w:t>
        </w:r>
        <w:r w:rsidR="0086752F" w:rsidRPr="00640AEB">
          <w:rPr>
            <w:rStyle w:val="Hyperlink"/>
            <w:szCs w:val="21"/>
            <w:shd w:val="clear" w:color="auto" w:fill="FFFFFF"/>
          </w:rPr>
          <w:t>)</w:t>
        </w:r>
      </w:hyperlink>
      <w:r w:rsidR="006E063D" w:rsidRPr="009D009B">
        <w:rPr>
          <w:color w:val="000000"/>
          <w:szCs w:val="21"/>
          <w:shd w:val="clear" w:color="auto" w:fill="FFFFFF"/>
        </w:rPr>
        <w:t xml:space="preserve"> </w:t>
      </w:r>
      <w:r w:rsidR="00F63FD6">
        <w:rPr>
          <w:color w:val="000000"/>
          <w:szCs w:val="21"/>
          <w:shd w:val="clear" w:color="auto" w:fill="FFFFFF"/>
        </w:rPr>
        <w:t>currently applies</w:t>
      </w:r>
      <w:r w:rsidR="006E063D" w:rsidRPr="009D009B">
        <w:rPr>
          <w:color w:val="000000"/>
          <w:szCs w:val="21"/>
          <w:shd w:val="clear" w:color="auto" w:fill="FFFFFF"/>
        </w:rPr>
        <w:t xml:space="preserve"> to providing false</w:t>
      </w:r>
      <w:r w:rsidR="0094053F">
        <w:rPr>
          <w:color w:val="000000"/>
          <w:szCs w:val="21"/>
          <w:shd w:val="clear" w:color="auto" w:fill="FFFFFF"/>
        </w:rPr>
        <w:t xml:space="preserve"> or misleading</w:t>
      </w:r>
      <w:r w:rsidR="006E063D" w:rsidRPr="009D009B">
        <w:rPr>
          <w:color w:val="000000"/>
          <w:szCs w:val="21"/>
          <w:shd w:val="clear" w:color="auto" w:fill="FFFFFF"/>
        </w:rPr>
        <w:t xml:space="preserve"> information to the Department. </w:t>
      </w:r>
      <w:r w:rsidR="00B31871" w:rsidRPr="009D009B">
        <w:rPr>
          <w:color w:val="000000"/>
          <w:szCs w:val="21"/>
          <w:shd w:val="clear" w:color="auto" w:fill="FFFFFF"/>
        </w:rPr>
        <w:t xml:space="preserve">Recognising the seriousness of providing false or misleading information, </w:t>
      </w:r>
      <w:r w:rsidRPr="009D009B">
        <w:rPr>
          <w:szCs w:val="21"/>
        </w:rPr>
        <w:t>it is proposed that t</w:t>
      </w:r>
      <w:r w:rsidR="00026761" w:rsidRPr="009D009B">
        <w:rPr>
          <w:szCs w:val="21"/>
        </w:rPr>
        <w:t xml:space="preserve">he </w:t>
      </w:r>
      <w:r w:rsidR="00C95CF3" w:rsidRPr="009D009B">
        <w:rPr>
          <w:szCs w:val="21"/>
        </w:rPr>
        <w:t xml:space="preserve">PHI Act </w:t>
      </w:r>
      <w:r w:rsidR="00026761" w:rsidRPr="009D009B">
        <w:rPr>
          <w:szCs w:val="21"/>
        </w:rPr>
        <w:t xml:space="preserve">be amended to include </w:t>
      </w:r>
      <w:r w:rsidR="00C95CF3" w:rsidRPr="009D009B">
        <w:rPr>
          <w:szCs w:val="21"/>
        </w:rPr>
        <w:t>offences (aggravated, underlying and strict liability) for providing false or misleading</w:t>
      </w:r>
      <w:r w:rsidR="00026761" w:rsidRPr="009D009B">
        <w:rPr>
          <w:szCs w:val="21"/>
        </w:rPr>
        <w:t xml:space="preserve"> information</w:t>
      </w:r>
      <w:r w:rsidR="00C95CF3" w:rsidRPr="009D009B">
        <w:rPr>
          <w:szCs w:val="21"/>
        </w:rPr>
        <w:t>:</w:t>
      </w:r>
    </w:p>
    <w:p w14:paraId="2C03B3FE" w14:textId="47F4184F" w:rsidR="00C95CF3" w:rsidRDefault="00C95CF3" w:rsidP="00902954">
      <w:pPr>
        <w:pStyle w:val="ListBullet"/>
        <w:numPr>
          <w:ilvl w:val="0"/>
          <w:numId w:val="44"/>
        </w:numPr>
      </w:pPr>
      <w:r>
        <w:t xml:space="preserve">in connection with a listed </w:t>
      </w:r>
      <w:r w:rsidR="00026761">
        <w:t>device or product</w:t>
      </w:r>
      <w:r>
        <w:t>; or</w:t>
      </w:r>
    </w:p>
    <w:p w14:paraId="251CD05F" w14:textId="62689FF4" w:rsidR="00C95CF3" w:rsidRDefault="00C95CF3" w:rsidP="00902954">
      <w:pPr>
        <w:pStyle w:val="ListBullet"/>
        <w:numPr>
          <w:ilvl w:val="0"/>
          <w:numId w:val="44"/>
        </w:numPr>
      </w:pPr>
      <w:r>
        <w:t xml:space="preserve">in a listing application (an application to list a medical device or human tissue product in the </w:t>
      </w:r>
      <w:hyperlink r:id="rId57" w:history="1">
        <w:r w:rsidRPr="00836717">
          <w:rPr>
            <w:rStyle w:val="Hyperlink"/>
          </w:rPr>
          <w:t>MDHTP Rules</w:t>
        </w:r>
      </w:hyperlink>
      <w:r>
        <w:t>).</w:t>
      </w:r>
    </w:p>
    <w:p w14:paraId="58A7EBCA" w14:textId="0391A974" w:rsidR="00026761" w:rsidRDefault="00A64D96" w:rsidP="00026761">
      <w:pPr>
        <w:pStyle w:val="ListBullet"/>
        <w:numPr>
          <w:ilvl w:val="0"/>
          <w:numId w:val="0"/>
        </w:numPr>
      </w:pPr>
      <w:r>
        <w:rPr>
          <w:color w:val="000000"/>
          <w:sz w:val="22"/>
          <w:shd w:val="clear" w:color="auto" w:fill="FFFFFF"/>
        </w:rPr>
        <w:t>T</w:t>
      </w:r>
      <w:r w:rsidR="00026761">
        <w:t xml:space="preserve">hese provisions would </w:t>
      </w:r>
      <w:r w:rsidR="00D829BB">
        <w:t xml:space="preserve">only </w:t>
      </w:r>
      <w:r w:rsidR="00026761">
        <w:t>apply to persons that provide information</w:t>
      </w:r>
      <w:r w:rsidR="00902954">
        <w:t xml:space="preserve"> about a listed device or product.</w:t>
      </w:r>
      <w:r w:rsidR="00863A4F">
        <w:t xml:space="preserve"> The measures would only apply for information that is false or misleading in a material particular</w:t>
      </w:r>
      <w:r w:rsidR="00393E49">
        <w:t>. T</w:t>
      </w:r>
      <w:r w:rsidR="00863A4F">
        <w:t xml:space="preserve">hat is, the information is false or misleading and </w:t>
      </w:r>
      <w:r w:rsidR="00393E49">
        <w:t xml:space="preserve">the information </w:t>
      </w:r>
      <w:r w:rsidR="00863A4F">
        <w:t xml:space="preserve">is relevant to </w:t>
      </w:r>
      <w:r w:rsidR="00393E49">
        <w:t xml:space="preserve">determining whether the medical device or human tissue product is </w:t>
      </w:r>
      <w:r w:rsidR="00863A4F" w:rsidRPr="00863A4F">
        <w:t xml:space="preserve">clinically effective and that the specified benefit for </w:t>
      </w:r>
      <w:r w:rsidR="00393E49">
        <w:t xml:space="preserve">the </w:t>
      </w:r>
      <w:r w:rsidR="00863A4F" w:rsidRPr="00863A4F">
        <w:t>device or product is proportionate to its clinical effectiveness.</w:t>
      </w:r>
    </w:p>
    <w:p w14:paraId="45F22A1E" w14:textId="41BC54C2" w:rsidR="00FB03E4" w:rsidRDefault="00026761" w:rsidP="00026761">
      <w:pPr>
        <w:pStyle w:val="ListBullet"/>
        <w:numPr>
          <w:ilvl w:val="0"/>
          <w:numId w:val="0"/>
        </w:numPr>
      </w:pPr>
      <w:r>
        <w:t xml:space="preserve">The aggravated offence would </w:t>
      </w:r>
      <w:r w:rsidR="00E90847">
        <w:t xml:space="preserve">only </w:t>
      </w:r>
      <w:r>
        <w:t xml:space="preserve">apply if </w:t>
      </w:r>
      <w:r w:rsidRPr="00026761">
        <w:t>the information has resulted in, will result in, or is likely to result in, the provision of a benefit that is, or may be, significantly detrimental to the interests of insured persons</w:t>
      </w:r>
      <w:r>
        <w:t xml:space="preserve">. This mirrors the aggravated offence in the </w:t>
      </w:r>
      <w:hyperlink r:id="rId58" w:history="1">
        <w:r w:rsidRPr="00640AEB">
          <w:rPr>
            <w:rStyle w:val="Hyperlink"/>
            <w:i/>
            <w:iCs/>
          </w:rPr>
          <w:t>Private Health Insurance (Prudential Supervision) Act 2015</w:t>
        </w:r>
      </w:hyperlink>
      <w:r>
        <w:t>.</w:t>
      </w:r>
      <w:r w:rsidR="004F1413">
        <w:t xml:space="preserve"> The proposed penalty </w:t>
      </w:r>
      <w:r w:rsidR="00E90847">
        <w:t>for</w:t>
      </w:r>
      <w:r w:rsidR="004F1413">
        <w:t xml:space="preserve"> this offence would be 1000 penalty units (equal to the highest penalty currently imposed under the PHI Act – see section 84-1).</w:t>
      </w:r>
      <w:r>
        <w:t xml:space="preserve"> </w:t>
      </w:r>
    </w:p>
    <w:p w14:paraId="6C079879" w14:textId="1201E23F" w:rsidR="00D829BB" w:rsidRDefault="00026761" w:rsidP="00902954">
      <w:pPr>
        <w:pStyle w:val="ListBullet"/>
        <w:numPr>
          <w:ilvl w:val="0"/>
          <w:numId w:val="0"/>
        </w:numPr>
      </w:pPr>
      <w:r>
        <w:t xml:space="preserve">The underlying offence would be comparable to the offence in the Criminal Code for providing false or misleading information but the penalty would be higher to reflect the seriousness of providing false or misleading information about a listed device or </w:t>
      </w:r>
      <w:r w:rsidR="004F1413">
        <w:t>p</w:t>
      </w:r>
      <w:r>
        <w:t>roduct.</w:t>
      </w:r>
      <w:r w:rsidR="004F1413">
        <w:t xml:space="preserve"> A penalty of the order of 300 penalty units is proposed</w:t>
      </w:r>
      <w:r w:rsidR="00E90847">
        <w:t xml:space="preserve">. This amount is </w:t>
      </w:r>
      <w:r w:rsidR="004F1413">
        <w:t xml:space="preserve">between the maximum penalty that can currently be imposed under the PHI Act (1000 penalty units) and the highest penalty for a strict liability offence in the </w:t>
      </w:r>
      <w:hyperlink r:id="rId59" w:history="1">
        <w:r w:rsidR="00A94C5C" w:rsidRPr="00827E78">
          <w:rPr>
            <w:rStyle w:val="Hyperlink"/>
          </w:rPr>
          <w:t>Guide to Framing Commonwealth Offences, Infringement Notices and Enforcement Powers</w:t>
        </w:r>
      </w:hyperlink>
      <w:r w:rsidR="00A94C5C">
        <w:t xml:space="preserve"> (the Guide)</w:t>
      </w:r>
      <w:r w:rsidR="004F1413">
        <w:t xml:space="preserve"> (60 penalty units).</w:t>
      </w:r>
      <w:r w:rsidR="001E632A">
        <w:t xml:space="preserve"> The </w:t>
      </w:r>
      <w:hyperlink r:id="rId60" w:history="1">
        <w:r w:rsidR="001E632A" w:rsidRPr="00827E78">
          <w:rPr>
            <w:rStyle w:val="Hyperlink"/>
          </w:rPr>
          <w:t>Criminal Code</w:t>
        </w:r>
      </w:hyperlink>
      <w:r w:rsidR="001E632A">
        <w:t xml:space="preserve"> offence for providing false or misleading information would continue to apply and would remain available if the circumstances warranted it. </w:t>
      </w:r>
      <w:r w:rsidR="003C0500">
        <w:t xml:space="preserve">For this reason, the Department requests comment on the value </w:t>
      </w:r>
      <w:r w:rsidR="00A03077">
        <w:t xml:space="preserve">of a separate underlying offence for providing false or misleading information, given the </w:t>
      </w:r>
      <w:r w:rsidR="00F63FD6">
        <w:t xml:space="preserve">availability of the </w:t>
      </w:r>
      <w:r w:rsidR="00A03077">
        <w:t xml:space="preserve">current offences in the </w:t>
      </w:r>
      <w:hyperlink r:id="rId61" w:history="1">
        <w:r w:rsidR="00A03077" w:rsidRPr="00836717">
          <w:rPr>
            <w:rStyle w:val="Hyperlink"/>
          </w:rPr>
          <w:t>Criminal Code</w:t>
        </w:r>
      </w:hyperlink>
      <w:r w:rsidR="00A03077">
        <w:t>.</w:t>
      </w:r>
      <w:r w:rsidR="001E632A">
        <w:t xml:space="preserve"> </w:t>
      </w:r>
    </w:p>
    <w:p w14:paraId="74053D57" w14:textId="429888C6" w:rsidR="004F1413" w:rsidRDefault="00D829BB" w:rsidP="00902954">
      <w:pPr>
        <w:pStyle w:val="ListBullet"/>
        <w:numPr>
          <w:ilvl w:val="0"/>
          <w:numId w:val="0"/>
        </w:numPr>
      </w:pPr>
      <w:r>
        <w:t xml:space="preserve">The strict liability offence </w:t>
      </w:r>
      <w:r w:rsidR="00A03077">
        <w:t>c</w:t>
      </w:r>
      <w:r>
        <w:t xml:space="preserve">ould provide for a graduated and proportionate response to providing false or misleading information and the penalty would not </w:t>
      </w:r>
      <w:r w:rsidR="004F1413">
        <w:t>b</w:t>
      </w:r>
      <w:r>
        <w:t xml:space="preserve">e more than 60 penalty units (as per </w:t>
      </w:r>
      <w:hyperlink r:id="rId62" w:history="1">
        <w:r w:rsidRPr="00827E78">
          <w:rPr>
            <w:rStyle w:val="Hyperlink"/>
          </w:rPr>
          <w:t>the Guide</w:t>
        </w:r>
      </w:hyperlink>
      <w:r>
        <w:t xml:space="preserve">). </w:t>
      </w:r>
      <w:r w:rsidR="00A03077">
        <w:t xml:space="preserve">The Department requests comment on the value of a separate strict liability offence for providing false or misleading information, given the current offences in the </w:t>
      </w:r>
      <w:hyperlink r:id="rId63" w:history="1">
        <w:r w:rsidR="00A03077" w:rsidRPr="00836717">
          <w:rPr>
            <w:rStyle w:val="Hyperlink"/>
          </w:rPr>
          <w:t>Criminal Code</w:t>
        </w:r>
      </w:hyperlink>
      <w:r w:rsidR="00A03077">
        <w:t>.</w:t>
      </w:r>
    </w:p>
    <w:p w14:paraId="10895205" w14:textId="01B37A1B" w:rsidR="00026761" w:rsidRDefault="004F1413" w:rsidP="00902954">
      <w:pPr>
        <w:pStyle w:val="ListBullet"/>
        <w:numPr>
          <w:ilvl w:val="0"/>
          <w:numId w:val="0"/>
        </w:numPr>
      </w:pPr>
      <w:r>
        <w:t xml:space="preserve">These penalties are different from those that may apply under other legislation because they need to reflect the current penalties in the PHI Act. </w:t>
      </w:r>
      <w:r w:rsidR="00B4264F">
        <w:t xml:space="preserve">Providing false or misleading information has the potential to seriously undermine public confidence in the </w:t>
      </w:r>
      <w:r w:rsidR="00111208">
        <w:t>Prescribed</w:t>
      </w:r>
      <w:r w:rsidR="00A03077">
        <w:t xml:space="preserve"> List</w:t>
      </w:r>
      <w:r w:rsidR="00B4264F">
        <w:t xml:space="preserve"> and the proposed measures are intended to ensure that appropriate regulatory action can be taken against persons that wish to engage in such activity. </w:t>
      </w:r>
      <w:r w:rsidR="00D829BB">
        <w:t xml:space="preserve"> </w:t>
      </w:r>
    </w:p>
    <w:p w14:paraId="0B6F1012" w14:textId="10A7B52C" w:rsidR="00FB03E4" w:rsidRPr="00FB03E4" w:rsidRDefault="00FB03E4" w:rsidP="00EC6A85">
      <w:pPr>
        <w:pStyle w:val="ListBullet"/>
        <w:numPr>
          <w:ilvl w:val="0"/>
          <w:numId w:val="38"/>
        </w:numPr>
        <w:ind w:hanging="720"/>
        <w:rPr>
          <w:b/>
          <w:bCs w:val="0"/>
        </w:rPr>
      </w:pPr>
      <w:r w:rsidRPr="00FB03E4">
        <w:rPr>
          <w:b/>
          <w:bCs w:val="0"/>
        </w:rPr>
        <w:t xml:space="preserve">Information gathering about listed </w:t>
      </w:r>
      <w:r w:rsidR="00C17E17">
        <w:rPr>
          <w:b/>
          <w:bCs w:val="0"/>
        </w:rPr>
        <w:t>devices and products</w:t>
      </w:r>
      <w:r w:rsidRPr="00FB03E4">
        <w:rPr>
          <w:b/>
          <w:bCs w:val="0"/>
        </w:rPr>
        <w:t xml:space="preserve"> – persons </w:t>
      </w:r>
      <w:r w:rsidR="00A17F02">
        <w:rPr>
          <w:b/>
          <w:bCs w:val="0"/>
        </w:rPr>
        <w:t>with information about listed devices or products</w:t>
      </w:r>
    </w:p>
    <w:p w14:paraId="5DDD7F12" w14:textId="4311E002" w:rsidR="00EC6A85" w:rsidRDefault="00EC6A85" w:rsidP="00902954">
      <w:pPr>
        <w:pStyle w:val="ListBullet"/>
        <w:numPr>
          <w:ilvl w:val="0"/>
          <w:numId w:val="0"/>
        </w:numPr>
      </w:pPr>
      <w:r>
        <w:t xml:space="preserve">The </w:t>
      </w:r>
      <w:r w:rsidR="00C95CF3">
        <w:t xml:space="preserve">PHI Act be amended to </w:t>
      </w:r>
      <w:r w:rsidR="00311E6F">
        <w:t>provide for</w:t>
      </w:r>
      <w:r w:rsidR="00C95CF3">
        <w:t xml:space="preserve"> a </w:t>
      </w:r>
      <w:r w:rsidR="00327589">
        <w:t>‘</w:t>
      </w:r>
      <w:r w:rsidR="00C95CF3">
        <w:t>notice to attend or produce</w:t>
      </w:r>
      <w:r w:rsidR="00327589">
        <w:t>’</w:t>
      </w:r>
      <w:r w:rsidR="00C95CF3">
        <w:t xml:space="preserve"> </w:t>
      </w:r>
      <w:r w:rsidR="00311E6F">
        <w:t xml:space="preserve">that would </w:t>
      </w:r>
      <w:r w:rsidR="00C95CF3">
        <w:t>requir</w:t>
      </w:r>
      <w:r w:rsidR="00311E6F">
        <w:t>e</w:t>
      </w:r>
      <w:r w:rsidR="00C95CF3">
        <w:t xml:space="preserve"> a person to provide information or to attend to answer questions about</w:t>
      </w:r>
      <w:r>
        <w:t>:</w:t>
      </w:r>
    </w:p>
    <w:p w14:paraId="5A793E3D" w14:textId="5AA90D30" w:rsidR="00EC6A85" w:rsidRDefault="00C95CF3" w:rsidP="00D179A4">
      <w:pPr>
        <w:pStyle w:val="ListBullet"/>
        <w:numPr>
          <w:ilvl w:val="0"/>
          <w:numId w:val="44"/>
        </w:numPr>
      </w:pPr>
      <w:r>
        <w:t xml:space="preserve">a listed </w:t>
      </w:r>
      <w:r w:rsidR="00EC6A85">
        <w:t xml:space="preserve">device or product; </w:t>
      </w:r>
      <w:r>
        <w:t>or</w:t>
      </w:r>
    </w:p>
    <w:p w14:paraId="0BC0FFCF" w14:textId="226BE1A7" w:rsidR="00EC6A85" w:rsidRDefault="00C95CF3" w:rsidP="00D179A4">
      <w:pPr>
        <w:pStyle w:val="ListBullet"/>
        <w:numPr>
          <w:ilvl w:val="0"/>
          <w:numId w:val="44"/>
        </w:numPr>
      </w:pPr>
      <w:r>
        <w:lastRenderedPageBreak/>
        <w:t xml:space="preserve">in connection with a listed </w:t>
      </w:r>
      <w:r w:rsidR="003628C3">
        <w:t>device or product</w:t>
      </w:r>
      <w:r w:rsidR="00EC6A85">
        <w:t>;</w:t>
      </w:r>
      <w:r>
        <w:t xml:space="preserve"> or</w:t>
      </w:r>
    </w:p>
    <w:p w14:paraId="298F57AA" w14:textId="10B3880C" w:rsidR="001D7AEE" w:rsidRDefault="00C95CF3" w:rsidP="00D179A4">
      <w:pPr>
        <w:pStyle w:val="ListBullet"/>
        <w:numPr>
          <w:ilvl w:val="0"/>
          <w:numId w:val="44"/>
        </w:numPr>
      </w:pPr>
      <w:r>
        <w:t xml:space="preserve">in a listing application. </w:t>
      </w:r>
    </w:p>
    <w:p w14:paraId="02CF9BCC" w14:textId="15997819" w:rsidR="001D7AEE" w:rsidRDefault="00373AE6" w:rsidP="00373AE6">
      <w:pPr>
        <w:pStyle w:val="ListBullet"/>
        <w:numPr>
          <w:ilvl w:val="0"/>
          <w:numId w:val="0"/>
        </w:numPr>
      </w:pPr>
      <w:r>
        <w:t>This kind of ‘notice to produce or attend’ provision is a legislative provision that allows an agency to require a person to produce information or documents, or to appear before an officer of an agency at a hearing to answer questions. This is a common mechanism used to assist in the administration of Commonwealth legislation</w:t>
      </w:r>
      <w:r w:rsidR="00D829BB">
        <w:t xml:space="preserve"> (</w:t>
      </w:r>
      <w:r w:rsidR="00A03077">
        <w:t xml:space="preserve">see </w:t>
      </w:r>
      <w:hyperlink r:id="rId64" w:history="1">
        <w:r w:rsidR="00D829BB" w:rsidRPr="00836717">
          <w:rPr>
            <w:rStyle w:val="Hyperlink"/>
          </w:rPr>
          <w:t>the Guide</w:t>
        </w:r>
      </w:hyperlink>
      <w:r w:rsidR="00D829BB">
        <w:t>)</w:t>
      </w:r>
      <w:r>
        <w:t>.</w:t>
      </w:r>
    </w:p>
    <w:p w14:paraId="3D580BC8" w14:textId="4BFC52BE" w:rsidR="00373AE6" w:rsidRDefault="003628C3" w:rsidP="003628C3">
      <w:pPr>
        <w:pStyle w:val="ListBullet"/>
        <w:numPr>
          <w:ilvl w:val="0"/>
          <w:numId w:val="0"/>
        </w:numPr>
      </w:pPr>
      <w:r>
        <w:t xml:space="preserve">A notice to produce or attend would only be issued where the issuer (a Senior Executive Service Officer) reasonably believes that the person required to produce documents or information or </w:t>
      </w:r>
      <w:r w:rsidR="00A03077">
        <w:t xml:space="preserve">to </w:t>
      </w:r>
      <w:r>
        <w:t xml:space="preserve">answer questions has custody or control of documents, information or knowledge, which will assist the effective administration of the </w:t>
      </w:r>
      <w:hyperlink r:id="rId65" w:history="1">
        <w:r w:rsidR="00111208">
          <w:rPr>
            <w:rStyle w:val="Hyperlink"/>
          </w:rPr>
          <w:t>Prescribed</w:t>
        </w:r>
        <w:r w:rsidR="00A03077" w:rsidRPr="00827E78">
          <w:rPr>
            <w:rStyle w:val="Hyperlink"/>
          </w:rPr>
          <w:t xml:space="preserve"> List</w:t>
        </w:r>
      </w:hyperlink>
      <w:r>
        <w:t xml:space="preserve"> (</w:t>
      </w:r>
      <w:r w:rsidR="00837493">
        <w:t xml:space="preserve">in relation to </w:t>
      </w:r>
      <w:r>
        <w:t>listed devices or products).</w:t>
      </w:r>
    </w:p>
    <w:p w14:paraId="2F14806C" w14:textId="07183FA8" w:rsidR="0095409C" w:rsidRDefault="0095409C" w:rsidP="0095409C">
      <w:pPr>
        <w:pStyle w:val="ListBullet"/>
        <w:numPr>
          <w:ilvl w:val="0"/>
          <w:numId w:val="0"/>
        </w:numPr>
      </w:pPr>
      <w:r>
        <w:t xml:space="preserve">Non-compliance with a notice to produce or attend </w:t>
      </w:r>
      <w:r w:rsidR="001E632A">
        <w:t xml:space="preserve">would </w:t>
      </w:r>
      <w:r>
        <w:t xml:space="preserve">be an offence and the privilege against self-incrimination </w:t>
      </w:r>
      <w:r w:rsidR="001E632A">
        <w:t xml:space="preserve">would </w:t>
      </w:r>
      <w:r>
        <w:t>be overridden. However, a ‘use and derivative use’ immunity provision would be included to provide a degree of protection for the rights of individuals (but not bodies corporate).</w:t>
      </w:r>
      <w:r w:rsidR="00D829BB">
        <w:t xml:space="preserve"> See </w:t>
      </w:r>
      <w:hyperlink r:id="rId66" w:history="1">
        <w:r w:rsidR="00D829BB" w:rsidRPr="00836717">
          <w:rPr>
            <w:rStyle w:val="Hyperlink"/>
          </w:rPr>
          <w:t>the Guide</w:t>
        </w:r>
      </w:hyperlink>
      <w:r w:rsidR="00327589">
        <w:t xml:space="preserve"> for more information about these kinds of notices</w:t>
      </w:r>
      <w:r w:rsidR="00D829BB">
        <w:t>.</w:t>
      </w:r>
    </w:p>
    <w:p w14:paraId="7D674397" w14:textId="5292DD0B" w:rsidR="0073296B" w:rsidRDefault="0073296B" w:rsidP="0095409C">
      <w:pPr>
        <w:pStyle w:val="ListBullet"/>
        <w:numPr>
          <w:ilvl w:val="0"/>
          <w:numId w:val="0"/>
        </w:numPr>
      </w:pPr>
      <w:r>
        <w:t>This kind of notice already applies for insurers under the PHI Act (see Division 197) and sponsors would be familiar with similar provisions in the TG Act (</w:t>
      </w:r>
      <w:r w:rsidR="00587756">
        <w:t xml:space="preserve">for example, </w:t>
      </w:r>
      <w:r>
        <w:t xml:space="preserve">Part 4-8 in Chapter 4 of the TG Act). </w:t>
      </w:r>
      <w:r w:rsidR="00465862">
        <w:t xml:space="preserve">A contemporary example of a provision of this kind can be found in Part 4A of the </w:t>
      </w:r>
      <w:hyperlink r:id="rId67" w:history="1">
        <w:r w:rsidR="00465862" w:rsidRPr="009179E6">
          <w:rPr>
            <w:rStyle w:val="Hyperlink"/>
            <w:i/>
            <w:iCs/>
          </w:rPr>
          <w:t>Dental Benefits Act 2008</w:t>
        </w:r>
      </w:hyperlink>
      <w:r w:rsidR="00465862">
        <w:t xml:space="preserve">. </w:t>
      </w:r>
      <w:r>
        <w:t xml:space="preserve">  </w:t>
      </w:r>
    </w:p>
    <w:p w14:paraId="2E1758A6" w14:textId="6D699A5F" w:rsidR="00EC6A85" w:rsidRDefault="001E13C6" w:rsidP="003628C3">
      <w:pPr>
        <w:pStyle w:val="ListBullet"/>
        <w:numPr>
          <w:ilvl w:val="0"/>
          <w:numId w:val="0"/>
        </w:numPr>
      </w:pPr>
      <w:r w:rsidRPr="001E13C6">
        <w:t>The purpose of th</w:t>
      </w:r>
      <w:r>
        <w:t>is notice is to continue to provide for informed decision making about listed devices and products based on the most contemporary and accurate information</w:t>
      </w:r>
      <w:r w:rsidR="001E632A">
        <w:t xml:space="preserve">, which </w:t>
      </w:r>
      <w:r w:rsidR="00837493">
        <w:t xml:space="preserve">may </w:t>
      </w:r>
      <w:r w:rsidR="001E632A">
        <w:t xml:space="preserve">only be available to the person to which the notice </w:t>
      </w:r>
      <w:r w:rsidR="00837493">
        <w:t>would be</w:t>
      </w:r>
      <w:r w:rsidR="001E632A">
        <w:t xml:space="preserve"> issued.</w:t>
      </w:r>
    </w:p>
    <w:p w14:paraId="07543337" w14:textId="77777777" w:rsidR="00F8691F" w:rsidRDefault="00F8691F" w:rsidP="003628C3">
      <w:pPr>
        <w:pStyle w:val="ListBullet"/>
        <w:numPr>
          <w:ilvl w:val="0"/>
          <w:numId w:val="0"/>
        </w:numPr>
      </w:pPr>
    </w:p>
    <w:p w14:paraId="0589102C" w14:textId="78323DF3" w:rsidR="001D7AEE" w:rsidRPr="002D0A92" w:rsidRDefault="002D0A92" w:rsidP="00ED3D4B">
      <w:pPr>
        <w:pStyle w:val="ListBullet"/>
        <w:numPr>
          <w:ilvl w:val="0"/>
          <w:numId w:val="0"/>
        </w:numPr>
        <w:rPr>
          <w:rFonts w:eastAsia="Times New Roman" w:cs="Arial"/>
          <w:color w:val="3F4A75"/>
          <w:kern w:val="28"/>
          <w:sz w:val="36"/>
          <w:szCs w:val="36"/>
        </w:rPr>
      </w:pPr>
      <w:r w:rsidRPr="002D0A92">
        <w:rPr>
          <w:rFonts w:eastAsia="Times New Roman" w:cs="Arial"/>
          <w:color w:val="3F4A75"/>
          <w:kern w:val="28"/>
          <w:sz w:val="36"/>
          <w:szCs w:val="36"/>
        </w:rPr>
        <w:t>Proposed Information Sharing Measures</w:t>
      </w:r>
    </w:p>
    <w:p w14:paraId="64D290AB" w14:textId="1C2538C3" w:rsidR="004A2AAB" w:rsidRPr="004A2AAB" w:rsidRDefault="004A2AAB" w:rsidP="004A2AAB">
      <w:pPr>
        <w:pStyle w:val="ListBullet"/>
        <w:numPr>
          <w:ilvl w:val="0"/>
          <w:numId w:val="38"/>
        </w:numPr>
        <w:ind w:hanging="720"/>
        <w:rPr>
          <w:b/>
          <w:bCs w:val="0"/>
        </w:rPr>
      </w:pPr>
      <w:r w:rsidRPr="004A2AAB">
        <w:rPr>
          <w:b/>
          <w:bCs w:val="0"/>
        </w:rPr>
        <w:t xml:space="preserve">Disclosure of </w:t>
      </w:r>
      <w:r w:rsidR="00745B54">
        <w:rPr>
          <w:b/>
          <w:bCs w:val="0"/>
        </w:rPr>
        <w:t>P</w:t>
      </w:r>
      <w:r w:rsidRPr="004A2AAB">
        <w:rPr>
          <w:b/>
          <w:bCs w:val="0"/>
        </w:rPr>
        <w:t>rotected Information</w:t>
      </w:r>
    </w:p>
    <w:p w14:paraId="40ABA951" w14:textId="216618CF" w:rsidR="00092A8F" w:rsidRDefault="00092A8F" w:rsidP="00092A8F">
      <w:pPr>
        <w:pStyle w:val="ListBullet"/>
        <w:numPr>
          <w:ilvl w:val="0"/>
          <w:numId w:val="0"/>
        </w:numPr>
      </w:pPr>
      <w:r>
        <w:t xml:space="preserve">It is proposed to allow the sharing of information with nominated entities in prescribed circumstances. </w:t>
      </w:r>
    </w:p>
    <w:p w14:paraId="148B553B" w14:textId="5AFF5878" w:rsidR="00092A8F" w:rsidRDefault="00092A8F" w:rsidP="00092A8F">
      <w:pPr>
        <w:pStyle w:val="ListBullet"/>
        <w:numPr>
          <w:ilvl w:val="0"/>
          <w:numId w:val="0"/>
        </w:numPr>
      </w:pPr>
      <w:r>
        <w:t>Information about a listed device or product is likely to be ‘protected information’ and the disclosure of that information is dealt with in Division 323 of the PHI Act. Section 323-5 already authorises the sharing of information for official duties with APRA, the Private Health Insurance Ombudsman and agencies administering ‘medicare programs’. Division 323 also provides for further disclosure to be authorised if that is in the public interest.</w:t>
      </w:r>
    </w:p>
    <w:p w14:paraId="11FD3284" w14:textId="10F1E650" w:rsidR="00092A8F" w:rsidRDefault="00092A8F" w:rsidP="00092A8F">
      <w:pPr>
        <w:pStyle w:val="ListBullet"/>
        <w:numPr>
          <w:ilvl w:val="0"/>
          <w:numId w:val="0"/>
        </w:numPr>
      </w:pPr>
      <w:r>
        <w:t xml:space="preserve">While Division 323 of the PHI Act already provides for information sharing with some government agencies, there is scope to share information with </w:t>
      </w:r>
      <w:r w:rsidR="00837493">
        <w:t>additional</w:t>
      </w:r>
      <w:r>
        <w:t xml:space="preserve"> Commonwealth, State and Territory agencies so that these agencies can use the information to perform their functions (such as approving a medical device) and exercise powers (such as revoking an approval for a device). </w:t>
      </w:r>
      <w:r w:rsidR="00905EBA">
        <w:t>It is appropriate that this policy be legislated in the PHI Act, even though the PHI Act may already provide a means for sharing information with other agencies where that is in the public interest.</w:t>
      </w:r>
    </w:p>
    <w:p w14:paraId="405172E1" w14:textId="1F8C126F" w:rsidR="00092A8F" w:rsidRDefault="00092A8F" w:rsidP="00092A8F">
      <w:pPr>
        <w:pStyle w:val="ListBullet"/>
        <w:numPr>
          <w:ilvl w:val="0"/>
          <w:numId w:val="0"/>
        </w:numPr>
      </w:pPr>
      <w:r>
        <w:t>The agencies would include those agencies that regulate the:</w:t>
      </w:r>
    </w:p>
    <w:p w14:paraId="0FB0EF4B" w14:textId="77777777" w:rsidR="00092A8F" w:rsidRDefault="00092A8F" w:rsidP="00092A8F">
      <w:pPr>
        <w:pStyle w:val="ListBullet"/>
        <w:numPr>
          <w:ilvl w:val="0"/>
          <w:numId w:val="0"/>
        </w:numPr>
        <w:ind w:left="360"/>
      </w:pPr>
      <w:r>
        <w:t>-</w:t>
      </w:r>
      <w:r>
        <w:tab/>
        <w:t>supply of a listed device or product (e.g. TGA); or</w:t>
      </w:r>
    </w:p>
    <w:p w14:paraId="11D8C3A6" w14:textId="6D2BEA8C" w:rsidR="00092A8F" w:rsidRDefault="00092A8F" w:rsidP="00092A8F">
      <w:pPr>
        <w:pStyle w:val="ListBullet"/>
        <w:numPr>
          <w:ilvl w:val="0"/>
          <w:numId w:val="0"/>
        </w:numPr>
        <w:ind w:left="360"/>
      </w:pPr>
      <w:r>
        <w:t>-</w:t>
      </w:r>
      <w:r>
        <w:tab/>
        <w:t xml:space="preserve">treatment with a listed device or product (e.g. </w:t>
      </w:r>
      <w:r w:rsidR="00837493">
        <w:t xml:space="preserve">by </w:t>
      </w:r>
      <w:r>
        <w:t>health care providers); or</w:t>
      </w:r>
    </w:p>
    <w:p w14:paraId="43D68202" w14:textId="77777777" w:rsidR="00092A8F" w:rsidRDefault="00092A8F" w:rsidP="00092A8F">
      <w:pPr>
        <w:pStyle w:val="ListBullet"/>
        <w:numPr>
          <w:ilvl w:val="0"/>
          <w:numId w:val="0"/>
        </w:numPr>
        <w:ind w:left="360"/>
      </w:pPr>
      <w:r>
        <w:t>-</w:t>
      </w:r>
      <w:r>
        <w:tab/>
        <w:t xml:space="preserve">benefits paid for treatment with a listed device or product. </w:t>
      </w:r>
    </w:p>
    <w:p w14:paraId="1746643D" w14:textId="1495127C" w:rsidR="00092A8F" w:rsidRDefault="00092A8F" w:rsidP="009B4DE7">
      <w:pPr>
        <w:spacing w:after="160" w:line="259" w:lineRule="auto"/>
      </w:pPr>
      <w:bookmarkStart w:id="11" w:name="_Hlk134515564"/>
      <w:r>
        <w:t>The authority in Division 323 could be extended to include additional relevant government agencies and this would involve amending the PHI Act to authorise disclosure of protected information:</w:t>
      </w:r>
    </w:p>
    <w:p w14:paraId="429089AA" w14:textId="3C70C4D2" w:rsidR="00092A8F" w:rsidRDefault="00092A8F" w:rsidP="004A672E">
      <w:pPr>
        <w:pStyle w:val="ListBullet"/>
      </w:pPr>
      <w:r>
        <w:t xml:space="preserve">to the Independent Health and Aged Care Pricing Authority (part of the Department of Health and Aged Care) to enable a person to perform functions under a provision of the </w:t>
      </w:r>
      <w:hyperlink r:id="rId68" w:history="1">
        <w:r w:rsidRPr="009179E6">
          <w:rPr>
            <w:rStyle w:val="Hyperlink"/>
            <w:i/>
            <w:iCs/>
          </w:rPr>
          <w:t>National Health Reform Act 2011</w:t>
        </w:r>
      </w:hyperlink>
      <w:r>
        <w:t xml:space="preserve"> (Independent Health and Aged Care Pricing Authority or the Australian Commission on Safety and Quality in Health Care)</w:t>
      </w:r>
    </w:p>
    <w:p w14:paraId="0E0AB05E" w14:textId="5D825731" w:rsidR="00092A8F" w:rsidRPr="00EB06DE" w:rsidRDefault="00092A8F" w:rsidP="004A672E">
      <w:pPr>
        <w:pStyle w:val="ListBullet"/>
      </w:pPr>
      <w:r w:rsidRPr="005247EE">
        <w:t xml:space="preserve">to the Therapeutic Goods Administration (Part of the Department of Health and Aged Care) to enable a person to perform or exercise a duty, function or power under the </w:t>
      </w:r>
      <w:hyperlink r:id="rId69" w:history="1">
        <w:r w:rsidRPr="009179E6">
          <w:rPr>
            <w:rStyle w:val="Hyperlink"/>
            <w:i/>
            <w:iCs/>
          </w:rPr>
          <w:t>Therapeutic Goods Act 1989</w:t>
        </w:r>
      </w:hyperlink>
    </w:p>
    <w:p w14:paraId="4B1CC05F" w14:textId="29B50523" w:rsidR="00092A8F" w:rsidRPr="00EB06DE" w:rsidRDefault="00092A8F" w:rsidP="00092A8F">
      <w:pPr>
        <w:pStyle w:val="ListBullet"/>
      </w:pPr>
      <w:r w:rsidRPr="00EB06DE">
        <w:lastRenderedPageBreak/>
        <w:t xml:space="preserve">to the ACCC to enable a person to perform or exercise a duty, function or power under the </w:t>
      </w:r>
      <w:hyperlink r:id="rId70" w:history="1">
        <w:r w:rsidRPr="009179E6">
          <w:rPr>
            <w:rStyle w:val="Hyperlink"/>
            <w:i/>
            <w:iCs/>
          </w:rPr>
          <w:t>Competition and Consumer Act 2010</w:t>
        </w:r>
      </w:hyperlink>
      <w:r w:rsidRPr="00EB06DE">
        <w:t xml:space="preserve"> </w:t>
      </w:r>
    </w:p>
    <w:p w14:paraId="290CCC2A" w14:textId="3D97A634" w:rsidR="00092A8F" w:rsidRPr="00EB06DE" w:rsidRDefault="00092A8F" w:rsidP="00092A8F">
      <w:pPr>
        <w:pStyle w:val="ListBullet"/>
      </w:pPr>
      <w:r w:rsidRPr="005247EE">
        <w:t xml:space="preserve">to the Chief Executive Medicare to enable a person to perform functions or exercise powers under the </w:t>
      </w:r>
      <w:hyperlink r:id="rId71" w:history="1">
        <w:r w:rsidRPr="009179E6">
          <w:rPr>
            <w:rStyle w:val="Hyperlink"/>
            <w:i/>
            <w:iCs/>
          </w:rPr>
          <w:t>Human Services (Medicare) Act 1973</w:t>
        </w:r>
      </w:hyperlink>
      <w:r w:rsidRPr="005247EE">
        <w:t xml:space="preserve"> (potentially amending 323-5</w:t>
      </w:r>
      <w:r w:rsidRPr="00EB06DE">
        <w:t>)</w:t>
      </w:r>
    </w:p>
    <w:p w14:paraId="6B011DF4" w14:textId="405AF3B7" w:rsidR="00092A8F" w:rsidRPr="00EB06DE" w:rsidRDefault="00092A8F" w:rsidP="00092A8F">
      <w:pPr>
        <w:pStyle w:val="ListBullet"/>
      </w:pPr>
      <w:r w:rsidRPr="005247EE">
        <w:t xml:space="preserve">to an authority of the Commonwealth, a State or a Territory that has functions relating to health care providers but only if the disclosure is made for the purpose of enabling a person to perform or exercise duties, functions or powers under a Commonwealth, State or Territory law that </w:t>
      </w:r>
      <w:r w:rsidRPr="00EB06DE">
        <w:t>deals with complaints about health care providers</w:t>
      </w:r>
      <w:r w:rsidR="009B4DE7" w:rsidRPr="00EB06DE">
        <w:t xml:space="preserve"> or </w:t>
      </w:r>
      <w:r w:rsidRPr="00EB06DE">
        <w:t xml:space="preserve">regulates, licences, registers, accredits or otherwise approves health care providers (potentially amending section 323-5) </w:t>
      </w:r>
    </w:p>
    <w:p w14:paraId="6C6A2B78" w14:textId="77777777" w:rsidR="00D552CF" w:rsidRPr="005247EE" w:rsidRDefault="00D552CF" w:rsidP="009F1809">
      <w:pPr>
        <w:pStyle w:val="ListBullet"/>
      </w:pPr>
      <w:r w:rsidRPr="005247EE">
        <w:t>to an authority of the Commonwealth, a State or a Territory that has functions relating to human tissue products but only if the disclosure is made for the purpose of enabling a person to perform or exercise duties, functions or powers under a Commonwealth, State or Territory law that regulates, licences, registers, accredits or otherwise approves human tissue products</w:t>
      </w:r>
    </w:p>
    <w:p w14:paraId="30DDF9DD" w14:textId="7E96947F" w:rsidR="00092A8F" w:rsidRPr="005247EE" w:rsidRDefault="00092A8F" w:rsidP="00EC1898">
      <w:pPr>
        <w:pStyle w:val="ListBullet"/>
        <w:numPr>
          <w:ilvl w:val="0"/>
          <w:numId w:val="0"/>
        </w:numPr>
      </w:pPr>
    </w:p>
    <w:p w14:paraId="5145523B" w14:textId="77777777" w:rsidR="00092A8F" w:rsidRPr="004A2AAB" w:rsidRDefault="00092A8F" w:rsidP="004A2AAB">
      <w:pPr>
        <w:pStyle w:val="ListBullet"/>
        <w:numPr>
          <w:ilvl w:val="0"/>
          <w:numId w:val="38"/>
        </w:numPr>
        <w:ind w:hanging="720"/>
        <w:rPr>
          <w:b/>
          <w:bCs w:val="0"/>
        </w:rPr>
      </w:pPr>
      <w:bookmarkStart w:id="12" w:name="_Hlk134515626"/>
      <w:bookmarkEnd w:id="11"/>
      <w:r w:rsidRPr="004A2AAB">
        <w:rPr>
          <w:b/>
          <w:bCs w:val="0"/>
        </w:rPr>
        <w:t>Public Summary Documents</w:t>
      </w:r>
    </w:p>
    <w:p w14:paraId="7BEF40DB" w14:textId="7C05812E" w:rsidR="00674ADA" w:rsidRDefault="00092A8F" w:rsidP="00674ADA">
      <w:pPr>
        <w:pStyle w:val="ListBullet"/>
        <w:numPr>
          <w:ilvl w:val="0"/>
          <w:numId w:val="0"/>
        </w:numPr>
      </w:pPr>
      <w:r>
        <w:t xml:space="preserve">It is proposed to allow for certain information </w:t>
      </w:r>
      <w:r w:rsidR="00674ADA">
        <w:t xml:space="preserve">about listed devices and products </w:t>
      </w:r>
      <w:r>
        <w:t xml:space="preserve">to be included in a ‘Public Summary Document’. The publication of this information is </w:t>
      </w:r>
      <w:r w:rsidR="00B52BC3">
        <w:t xml:space="preserve">proposed </w:t>
      </w:r>
      <w:r>
        <w:t>to be introduced gradually by requiring applicants to complete a Public Summary Document template</w:t>
      </w:r>
      <w:r w:rsidR="00905EBA">
        <w:t xml:space="preserve">. This would be completed by the applicant as </w:t>
      </w:r>
      <w:r>
        <w:t xml:space="preserve">part of the approved form for </w:t>
      </w:r>
      <w:r w:rsidR="00B52BC3">
        <w:t xml:space="preserve">certain kinds of </w:t>
      </w:r>
      <w:r>
        <w:t>application</w:t>
      </w:r>
      <w:r w:rsidR="00B52BC3">
        <w:t>s</w:t>
      </w:r>
      <w:r>
        <w:t xml:space="preserve"> to include a medical device or human tissue product in the </w:t>
      </w:r>
      <w:hyperlink r:id="rId72" w:history="1">
        <w:r w:rsidRPr="00836717">
          <w:rPr>
            <w:rStyle w:val="Hyperlink"/>
          </w:rPr>
          <w:t>MDHTP Rules</w:t>
        </w:r>
      </w:hyperlink>
      <w:r>
        <w:t xml:space="preserve">. </w:t>
      </w:r>
    </w:p>
    <w:p w14:paraId="12A37815" w14:textId="77777777" w:rsidR="00674ADA" w:rsidRDefault="00674ADA" w:rsidP="00674ADA">
      <w:pPr>
        <w:pStyle w:val="ListBullet"/>
        <w:numPr>
          <w:ilvl w:val="0"/>
          <w:numId w:val="0"/>
        </w:numPr>
      </w:pPr>
      <w:r>
        <w:t>This may not require any legislative amendments and is included in this document for completeness.</w:t>
      </w:r>
    </w:p>
    <w:p w14:paraId="371910EA" w14:textId="3AC0FEEF" w:rsidR="00674ADA" w:rsidRDefault="00674ADA" w:rsidP="00674ADA">
      <w:pPr>
        <w:pStyle w:val="ListBullet"/>
        <w:numPr>
          <w:ilvl w:val="0"/>
          <w:numId w:val="0"/>
        </w:numPr>
      </w:pPr>
      <w:r>
        <w:t xml:space="preserve">This proposed measure involves </w:t>
      </w:r>
      <w:r w:rsidR="00092A8F">
        <w:t>releas</w:t>
      </w:r>
      <w:r>
        <w:t>ing</w:t>
      </w:r>
      <w:r w:rsidR="00092A8F">
        <w:t xml:space="preserve"> information to the public </w:t>
      </w:r>
      <w:r>
        <w:t>about listed devices and products</w:t>
      </w:r>
      <w:r w:rsidR="00905EBA">
        <w:t xml:space="preserve"> to promote public confidence in the </w:t>
      </w:r>
      <w:hyperlink r:id="rId73" w:history="1">
        <w:r w:rsidR="00111208">
          <w:rPr>
            <w:rStyle w:val="Hyperlink"/>
          </w:rPr>
          <w:t>Prescribed</w:t>
        </w:r>
        <w:r w:rsidR="00940F79" w:rsidRPr="00827E78">
          <w:rPr>
            <w:rStyle w:val="Hyperlink"/>
          </w:rPr>
          <w:t xml:space="preserve"> List</w:t>
        </w:r>
      </w:hyperlink>
      <w:r w:rsidR="00905EBA">
        <w:t xml:space="preserve">. The information would not </w:t>
      </w:r>
      <w:r w:rsidR="004F1413">
        <w:t xml:space="preserve">include information </w:t>
      </w:r>
      <w:r>
        <w:t>provided to the Department in confidence</w:t>
      </w:r>
      <w:r w:rsidR="00905EBA">
        <w:t xml:space="preserve">, and the applicant can </w:t>
      </w:r>
      <w:r w:rsidR="00940F79">
        <w:t xml:space="preserve">control and </w:t>
      </w:r>
      <w:r w:rsidR="00905EBA">
        <w:t>ensure this as part of completing the proposed Public Summary Document template</w:t>
      </w:r>
      <w:r w:rsidR="00B52BC3">
        <w:t xml:space="preserve"> in the approved form for the application</w:t>
      </w:r>
      <w:r w:rsidR="00905EBA">
        <w:t>.</w:t>
      </w:r>
      <w:r>
        <w:t xml:space="preserve"> </w:t>
      </w:r>
    </w:p>
    <w:p w14:paraId="6F8F6E83" w14:textId="5632ACFA" w:rsidR="00092A8F" w:rsidRDefault="00674ADA" w:rsidP="00092A8F">
      <w:pPr>
        <w:pStyle w:val="ListBullet"/>
        <w:numPr>
          <w:ilvl w:val="0"/>
          <w:numId w:val="0"/>
        </w:numPr>
      </w:pPr>
      <w:bookmarkStart w:id="13" w:name="_Hlk139466784"/>
      <w:r>
        <w:t xml:space="preserve">If legislative amendments are required </w:t>
      </w:r>
      <w:r w:rsidR="00905EBA">
        <w:t xml:space="preserve">to implement this policy </w:t>
      </w:r>
      <w:r>
        <w:t xml:space="preserve">then this may require the </w:t>
      </w:r>
      <w:r w:rsidR="004F1413">
        <w:t xml:space="preserve">kinds of </w:t>
      </w:r>
      <w:r>
        <w:t xml:space="preserve">publicly available information to be specified in the </w:t>
      </w:r>
      <w:r w:rsidR="00092A8F">
        <w:t>Private Health Insurance (Information Disclosure) Rules as information that may be released to the public</w:t>
      </w:r>
      <w:bookmarkEnd w:id="13"/>
      <w:r w:rsidR="00092A8F">
        <w:t xml:space="preserve">. </w:t>
      </w:r>
      <w:r>
        <w:t>T</w:t>
      </w:r>
      <w:r w:rsidR="00092A8F">
        <w:t xml:space="preserve">hese rules could be updated incrementally to reflect the kinds of information to </w:t>
      </w:r>
      <w:r w:rsidR="004F1413">
        <w:t xml:space="preserve">be made </w:t>
      </w:r>
      <w:r w:rsidR="00092A8F">
        <w:t>public</w:t>
      </w:r>
      <w:r w:rsidR="00B52BC3">
        <w:t xml:space="preserve"> (</w:t>
      </w:r>
      <w:r w:rsidR="00940F79">
        <w:t>i.</w:t>
      </w:r>
      <w:r w:rsidR="00B52BC3">
        <w:t>e. the kinds of medical devices for which a Public Summary Document would be appropriate)</w:t>
      </w:r>
      <w:r>
        <w:t xml:space="preserve">. </w:t>
      </w:r>
      <w:r w:rsidR="00092A8F">
        <w:t>The relevant provisions could</w:t>
      </w:r>
      <w:r w:rsidR="00905EBA">
        <w:t>, for example,</w:t>
      </w:r>
      <w:r w:rsidR="00092A8F">
        <w:t xml:space="preserve"> mirror subsections 61(5C) and 61(5D) of the </w:t>
      </w:r>
      <w:hyperlink r:id="rId74" w:history="1">
        <w:r w:rsidR="00092A8F" w:rsidRPr="009179E6">
          <w:rPr>
            <w:rStyle w:val="Hyperlink"/>
            <w:i/>
            <w:iCs/>
          </w:rPr>
          <w:t>Therapeutic Goods Act 1989</w:t>
        </w:r>
      </w:hyperlink>
      <w:r w:rsidR="00092A8F">
        <w:t>.</w:t>
      </w:r>
    </w:p>
    <w:p w14:paraId="037706DF" w14:textId="77777777" w:rsidR="00F8691F" w:rsidRDefault="00F8691F" w:rsidP="00092A8F">
      <w:pPr>
        <w:pStyle w:val="ListBullet"/>
        <w:numPr>
          <w:ilvl w:val="0"/>
          <w:numId w:val="0"/>
        </w:numPr>
      </w:pPr>
    </w:p>
    <w:p w14:paraId="79F2F5A0" w14:textId="7804D657" w:rsidR="00674ADA" w:rsidRPr="00CB2CE1" w:rsidRDefault="007820FA" w:rsidP="009B4DE7">
      <w:pPr>
        <w:pStyle w:val="Paragraphtext"/>
      </w:pPr>
      <w:bookmarkStart w:id="14" w:name="_Hlk134515689"/>
      <w:bookmarkEnd w:id="0"/>
      <w:bookmarkEnd w:id="12"/>
      <w:r w:rsidRPr="00CB2CE1">
        <w:rPr>
          <w:rFonts w:eastAsia="Times New Roman" w:cs="Arial"/>
          <w:bCs/>
          <w:color w:val="3F4A75"/>
          <w:kern w:val="28"/>
          <w:sz w:val="36"/>
          <w:szCs w:val="36"/>
        </w:rPr>
        <w:t xml:space="preserve">Proposed </w:t>
      </w:r>
      <w:r w:rsidR="00674ADA" w:rsidRPr="00CB2CE1">
        <w:rPr>
          <w:rFonts w:eastAsia="Times New Roman" w:cs="Arial"/>
          <w:bCs/>
          <w:color w:val="3F4A75"/>
          <w:kern w:val="28"/>
          <w:sz w:val="36"/>
          <w:szCs w:val="36"/>
        </w:rPr>
        <w:t>Additional Measures</w:t>
      </w:r>
    </w:p>
    <w:p w14:paraId="1AF678F7" w14:textId="1E41273C" w:rsidR="00652FC1" w:rsidRPr="00652FC1" w:rsidRDefault="00652FC1" w:rsidP="00652FC1">
      <w:pPr>
        <w:pStyle w:val="Paragraphtext"/>
        <w:numPr>
          <w:ilvl w:val="0"/>
          <w:numId w:val="38"/>
        </w:numPr>
        <w:ind w:hanging="720"/>
        <w:rPr>
          <w:b/>
          <w:bCs/>
        </w:rPr>
      </w:pPr>
      <w:r w:rsidRPr="00652FC1">
        <w:rPr>
          <w:b/>
          <w:bCs/>
        </w:rPr>
        <w:t>Objects of the PHI Act</w:t>
      </w:r>
    </w:p>
    <w:p w14:paraId="7C8B4C0E" w14:textId="77777777" w:rsidR="00652FC1" w:rsidRDefault="00652FC1" w:rsidP="00652FC1">
      <w:pPr>
        <w:pStyle w:val="Paragraphtext"/>
      </w:pPr>
      <w:r>
        <w:t xml:space="preserve">The proposed measures above may mean it would be appropriate to extend the objects of the PHI Act, as these measures impose obligations on persons other than insurers. Reflecting this, it may be appropriate to amend section 3-1 of the PHI Act to include objects consistent with the new obligations (noting that the current objects are focussed on rules governing private health insurance). </w:t>
      </w:r>
    </w:p>
    <w:p w14:paraId="06F1BB5C" w14:textId="279E4E06" w:rsidR="00652FC1" w:rsidRDefault="004F1413" w:rsidP="00652FC1">
      <w:pPr>
        <w:pStyle w:val="Paragraphtext"/>
      </w:pPr>
      <w:r>
        <w:t>An</w:t>
      </w:r>
      <w:r w:rsidR="00652FC1">
        <w:t xml:space="preserve"> additional object may include:</w:t>
      </w:r>
    </w:p>
    <w:p w14:paraId="50719DAC" w14:textId="02AD7F15" w:rsidR="00652FC1" w:rsidRPr="00652FC1" w:rsidRDefault="00652FC1" w:rsidP="00652FC1">
      <w:pPr>
        <w:pStyle w:val="Paragraphtext"/>
        <w:ind w:left="567" w:right="1075"/>
        <w:rPr>
          <w:i/>
          <w:iCs/>
        </w:rPr>
      </w:pPr>
      <w:r w:rsidRPr="00652FC1">
        <w:rPr>
          <w:i/>
          <w:iCs/>
        </w:rPr>
        <w:t>regulating benefits payable under health insurance products to provide a clinically-effective, transparent, sustainable and predictable environment for private health insurers, health care providers (including the medical technology industry, hospitals and clinicians), policy holders and patients [insured persons].</w:t>
      </w:r>
    </w:p>
    <w:bookmarkEnd w:id="14"/>
    <w:p w14:paraId="1B2CFDEC" w14:textId="16E51E0A" w:rsidR="006F0885" w:rsidRPr="00D179A4" w:rsidRDefault="006F0885" w:rsidP="00E866D8">
      <w:pPr>
        <w:pStyle w:val="Paragraphtext"/>
      </w:pPr>
      <w:r w:rsidRPr="00D179A4">
        <w:rPr>
          <w:rFonts w:eastAsia="Times New Roman" w:cs="Arial"/>
          <w:bCs/>
          <w:color w:val="3F4A75"/>
          <w:kern w:val="28"/>
          <w:sz w:val="36"/>
          <w:szCs w:val="36"/>
        </w:rPr>
        <w:t>Implementation</w:t>
      </w:r>
    </w:p>
    <w:p w14:paraId="56CF5FFF" w14:textId="39F1386F" w:rsidR="006F0885" w:rsidRPr="00D179A4" w:rsidRDefault="006F0885" w:rsidP="006F0885">
      <w:pPr>
        <w:rPr>
          <w:sz w:val="21"/>
          <w:szCs w:val="21"/>
        </w:rPr>
      </w:pPr>
      <w:r w:rsidRPr="00D179A4">
        <w:rPr>
          <w:sz w:val="21"/>
          <w:szCs w:val="21"/>
        </w:rPr>
        <w:t>The proposed measures could be implemented in an incremental manner over a period of time, for example:</w:t>
      </w:r>
    </w:p>
    <w:p w14:paraId="335CA85D" w14:textId="77777777" w:rsidR="006F0885" w:rsidRPr="00D179A4" w:rsidRDefault="006F0885" w:rsidP="006F0885">
      <w:pPr>
        <w:rPr>
          <w:sz w:val="21"/>
          <w:szCs w:val="21"/>
        </w:rPr>
      </w:pPr>
    </w:p>
    <w:p w14:paraId="4785C195" w14:textId="31005732" w:rsidR="006F0885" w:rsidRPr="00D179A4" w:rsidRDefault="006F0885" w:rsidP="006F0885">
      <w:pPr>
        <w:pStyle w:val="ListParagraph"/>
        <w:numPr>
          <w:ilvl w:val="0"/>
          <w:numId w:val="50"/>
        </w:numPr>
        <w:contextualSpacing w:val="0"/>
        <w:rPr>
          <w:sz w:val="21"/>
          <w:szCs w:val="21"/>
        </w:rPr>
      </w:pPr>
      <w:r w:rsidRPr="00D179A4">
        <w:rPr>
          <w:sz w:val="21"/>
          <w:szCs w:val="21"/>
        </w:rPr>
        <w:t xml:space="preserve">From Royal Assent of the legislation for compliance, assurance and information sharing measures, the measures for information sharing (Proposed Measure 9), the notice to produce or attend (Proposed Measure 8) and amendment of the objects (Proposed Measure 11) could commence and apply.  </w:t>
      </w:r>
    </w:p>
    <w:p w14:paraId="01222F13" w14:textId="2B1D4210" w:rsidR="006F0885" w:rsidRPr="00D179A4" w:rsidRDefault="006F0885" w:rsidP="006F0885">
      <w:pPr>
        <w:pStyle w:val="ListParagraph"/>
        <w:numPr>
          <w:ilvl w:val="0"/>
          <w:numId w:val="50"/>
        </w:numPr>
        <w:contextualSpacing w:val="0"/>
        <w:rPr>
          <w:sz w:val="21"/>
          <w:szCs w:val="21"/>
        </w:rPr>
      </w:pPr>
      <w:r w:rsidRPr="00D179A4">
        <w:rPr>
          <w:sz w:val="21"/>
          <w:szCs w:val="21"/>
        </w:rPr>
        <w:t>From 1 July 2024 (when the levy commences)</w:t>
      </w:r>
      <w:r w:rsidR="007149BF" w:rsidRPr="00D179A4">
        <w:rPr>
          <w:sz w:val="21"/>
          <w:szCs w:val="21"/>
        </w:rPr>
        <w:t xml:space="preserve">, </w:t>
      </w:r>
      <w:r w:rsidRPr="00D179A4">
        <w:rPr>
          <w:sz w:val="21"/>
          <w:szCs w:val="21"/>
        </w:rPr>
        <w:t>the obligations for record keeping and notification</w:t>
      </w:r>
      <w:r w:rsidR="007149BF" w:rsidRPr="00D179A4">
        <w:rPr>
          <w:sz w:val="21"/>
          <w:szCs w:val="21"/>
        </w:rPr>
        <w:t xml:space="preserve"> obligation</w:t>
      </w:r>
      <w:r w:rsidRPr="00D179A4">
        <w:rPr>
          <w:sz w:val="21"/>
          <w:szCs w:val="21"/>
        </w:rPr>
        <w:t>s (Proposed Measures 1, 2 and 3) could apply without any change to compliance powers in the PHI Act</w:t>
      </w:r>
      <w:r w:rsidR="00D179A4" w:rsidRPr="00D179A4">
        <w:rPr>
          <w:sz w:val="21"/>
          <w:szCs w:val="21"/>
        </w:rPr>
        <w:t>.</w:t>
      </w:r>
      <w:r w:rsidRPr="00D179A4">
        <w:rPr>
          <w:sz w:val="21"/>
          <w:szCs w:val="21"/>
        </w:rPr>
        <w:t xml:space="preserve"> </w:t>
      </w:r>
    </w:p>
    <w:p w14:paraId="1774AAEB" w14:textId="1E35D1E9" w:rsidR="006F0885" w:rsidRPr="00D179A4" w:rsidRDefault="006F0885" w:rsidP="006F0885">
      <w:pPr>
        <w:pStyle w:val="ListParagraph"/>
        <w:numPr>
          <w:ilvl w:val="0"/>
          <w:numId w:val="50"/>
        </w:numPr>
        <w:contextualSpacing w:val="0"/>
        <w:rPr>
          <w:sz w:val="21"/>
          <w:szCs w:val="21"/>
        </w:rPr>
      </w:pPr>
      <w:r w:rsidRPr="00D179A4">
        <w:rPr>
          <w:sz w:val="21"/>
          <w:szCs w:val="21"/>
        </w:rPr>
        <w:t>From 1 July 2025 – administrative sanctions (injunctions and enforceable undertakings) for not complying with record keeping and notification</w:t>
      </w:r>
      <w:r w:rsidR="007149BF" w:rsidRPr="00D179A4">
        <w:rPr>
          <w:sz w:val="21"/>
          <w:szCs w:val="21"/>
        </w:rPr>
        <w:t xml:space="preserve"> obligation</w:t>
      </w:r>
      <w:r w:rsidRPr="00D179A4">
        <w:rPr>
          <w:sz w:val="21"/>
          <w:szCs w:val="21"/>
        </w:rPr>
        <w:t>s would apply (Proposed Measures 1, 2 and 3)</w:t>
      </w:r>
      <w:r w:rsidR="00BB73E9" w:rsidRPr="00D179A4">
        <w:rPr>
          <w:sz w:val="21"/>
          <w:szCs w:val="21"/>
        </w:rPr>
        <w:t xml:space="preserve">.  This would mean that these administrative sanctions would not commence until 12 months after the </w:t>
      </w:r>
      <w:r w:rsidR="00236BFC" w:rsidRPr="00D179A4">
        <w:rPr>
          <w:sz w:val="21"/>
          <w:szCs w:val="21"/>
        </w:rPr>
        <w:t xml:space="preserve">commencement of the record keeping and notification obligations. </w:t>
      </w:r>
      <w:r w:rsidR="00BB73E9" w:rsidRPr="00D179A4">
        <w:rPr>
          <w:sz w:val="21"/>
          <w:szCs w:val="21"/>
        </w:rPr>
        <w:t xml:space="preserve">At the same time, </w:t>
      </w:r>
      <w:r w:rsidRPr="00D179A4">
        <w:rPr>
          <w:sz w:val="21"/>
          <w:szCs w:val="21"/>
        </w:rPr>
        <w:t xml:space="preserve">administrative sanctions </w:t>
      </w:r>
      <w:r w:rsidR="00BB73E9" w:rsidRPr="00D179A4">
        <w:rPr>
          <w:sz w:val="21"/>
          <w:szCs w:val="21"/>
        </w:rPr>
        <w:t xml:space="preserve">would commence for </w:t>
      </w:r>
      <w:r w:rsidRPr="00D179A4">
        <w:rPr>
          <w:sz w:val="21"/>
          <w:szCs w:val="21"/>
        </w:rPr>
        <w:t xml:space="preserve">removing a listing for </w:t>
      </w:r>
      <w:r w:rsidR="00D42243" w:rsidRPr="00D179A4">
        <w:rPr>
          <w:sz w:val="21"/>
          <w:szCs w:val="21"/>
        </w:rPr>
        <w:t xml:space="preserve">either not complying with record keeping and notification </w:t>
      </w:r>
      <w:r w:rsidR="007149BF" w:rsidRPr="00D179A4">
        <w:rPr>
          <w:sz w:val="21"/>
          <w:szCs w:val="21"/>
        </w:rPr>
        <w:t xml:space="preserve">obligations </w:t>
      </w:r>
      <w:r w:rsidR="00D42243" w:rsidRPr="00D179A4">
        <w:rPr>
          <w:sz w:val="21"/>
          <w:szCs w:val="21"/>
        </w:rPr>
        <w:t xml:space="preserve">or for </w:t>
      </w:r>
      <w:r w:rsidRPr="00D179A4">
        <w:rPr>
          <w:sz w:val="21"/>
          <w:szCs w:val="21"/>
        </w:rPr>
        <w:t xml:space="preserve">providing false or misleading information (Proposed Measures </w:t>
      </w:r>
      <w:r w:rsidR="00D42243" w:rsidRPr="00D179A4">
        <w:rPr>
          <w:sz w:val="21"/>
          <w:szCs w:val="21"/>
        </w:rPr>
        <w:t>5 and 6)</w:t>
      </w:r>
      <w:r w:rsidR="00BB73E9" w:rsidRPr="00D179A4">
        <w:rPr>
          <w:sz w:val="21"/>
          <w:szCs w:val="21"/>
        </w:rPr>
        <w:t xml:space="preserve">. </w:t>
      </w:r>
    </w:p>
    <w:p w14:paraId="71CDC9FE" w14:textId="4C876F45" w:rsidR="006F0885" w:rsidRPr="00D179A4" w:rsidRDefault="00D42243" w:rsidP="006F0885">
      <w:pPr>
        <w:pStyle w:val="ListParagraph"/>
        <w:numPr>
          <w:ilvl w:val="0"/>
          <w:numId w:val="50"/>
        </w:numPr>
        <w:contextualSpacing w:val="0"/>
        <w:rPr>
          <w:sz w:val="21"/>
          <w:szCs w:val="21"/>
        </w:rPr>
      </w:pPr>
      <w:r w:rsidRPr="00D179A4">
        <w:rPr>
          <w:sz w:val="21"/>
          <w:szCs w:val="21"/>
        </w:rPr>
        <w:t xml:space="preserve">From </w:t>
      </w:r>
      <w:r w:rsidR="006F0885" w:rsidRPr="00D179A4">
        <w:rPr>
          <w:sz w:val="21"/>
          <w:szCs w:val="21"/>
        </w:rPr>
        <w:t xml:space="preserve">1 July 2026 – providing for criminal offences and civil penalty provisions to apply for not complying with obligations, along with infringement notices that </w:t>
      </w:r>
      <w:r w:rsidRPr="00D179A4">
        <w:rPr>
          <w:sz w:val="21"/>
          <w:szCs w:val="21"/>
        </w:rPr>
        <w:t>c</w:t>
      </w:r>
      <w:r w:rsidR="006F0885" w:rsidRPr="00D179A4">
        <w:rPr>
          <w:sz w:val="21"/>
          <w:szCs w:val="21"/>
        </w:rPr>
        <w:t xml:space="preserve">ould </w:t>
      </w:r>
      <w:r w:rsidRPr="00D179A4">
        <w:rPr>
          <w:sz w:val="21"/>
          <w:szCs w:val="21"/>
        </w:rPr>
        <w:t xml:space="preserve">apply for </w:t>
      </w:r>
      <w:r w:rsidR="006F0885" w:rsidRPr="00D179A4">
        <w:rPr>
          <w:sz w:val="21"/>
          <w:szCs w:val="21"/>
        </w:rPr>
        <w:t xml:space="preserve">strict liability offences </w:t>
      </w:r>
      <w:r w:rsidRPr="00D179A4">
        <w:rPr>
          <w:sz w:val="21"/>
          <w:szCs w:val="21"/>
        </w:rPr>
        <w:t>(Proposed Measures 4 and 7)</w:t>
      </w:r>
      <w:r w:rsidR="006F0885" w:rsidRPr="00D179A4">
        <w:rPr>
          <w:sz w:val="21"/>
          <w:szCs w:val="21"/>
        </w:rPr>
        <w:t xml:space="preserve">. </w:t>
      </w:r>
    </w:p>
    <w:p w14:paraId="02C47CF1" w14:textId="2B9ECF0D" w:rsidR="00BB73E9" w:rsidRPr="00D179A4" w:rsidRDefault="00BB73E9" w:rsidP="006F0885">
      <w:pPr>
        <w:pStyle w:val="ListParagraph"/>
        <w:numPr>
          <w:ilvl w:val="0"/>
          <w:numId w:val="50"/>
        </w:numPr>
        <w:contextualSpacing w:val="0"/>
        <w:rPr>
          <w:sz w:val="21"/>
          <w:szCs w:val="21"/>
        </w:rPr>
      </w:pPr>
      <w:r w:rsidRPr="00D179A4">
        <w:rPr>
          <w:sz w:val="21"/>
          <w:szCs w:val="21"/>
        </w:rPr>
        <w:t>Proposed measure 10 would be introduced administratively through changes to the approved forms for applications</w:t>
      </w:r>
      <w:r w:rsidR="00986840" w:rsidRPr="00D179A4">
        <w:rPr>
          <w:sz w:val="21"/>
          <w:szCs w:val="21"/>
        </w:rPr>
        <w:t>, and this would occur incrementally from 1 July 2024</w:t>
      </w:r>
      <w:r w:rsidRPr="00D179A4">
        <w:rPr>
          <w:sz w:val="21"/>
          <w:szCs w:val="21"/>
        </w:rPr>
        <w:t>.</w:t>
      </w:r>
    </w:p>
    <w:p w14:paraId="542D3EEA" w14:textId="77EDF65D" w:rsidR="00435A1E" w:rsidRPr="004F0CB7" w:rsidRDefault="00435A1E" w:rsidP="004F0CB7">
      <w:pPr>
        <w:pStyle w:val="Heading1"/>
      </w:pPr>
      <w:r w:rsidRPr="004F0CB7">
        <w:t>Anticipated stakeholder impact</w:t>
      </w:r>
    </w:p>
    <w:p w14:paraId="5EBC3A33" w14:textId="2C0D32C7" w:rsidR="00652FC1" w:rsidRDefault="00EE6B1E" w:rsidP="00435A1E">
      <w:pPr>
        <w:pStyle w:val="Paragraphtext"/>
      </w:pPr>
      <w:r w:rsidRPr="00EE6B1E">
        <w:t xml:space="preserve">In summary, </w:t>
      </w:r>
      <w:r w:rsidR="00DC7CF6">
        <w:t>P</w:t>
      </w:r>
      <w:r w:rsidRPr="00EE6B1E">
        <w:t xml:space="preserve">roposed </w:t>
      </w:r>
      <w:r w:rsidR="00DC7CF6">
        <w:t>M</w:t>
      </w:r>
      <w:r w:rsidR="0049054A">
        <w:t xml:space="preserve">easures </w:t>
      </w:r>
      <w:r w:rsidR="001E632A">
        <w:t xml:space="preserve">1, 2 and 3 </w:t>
      </w:r>
      <w:r w:rsidR="0049054A">
        <w:t>are expected to increase regulatory costs</w:t>
      </w:r>
      <w:r w:rsidR="00652FC1">
        <w:t xml:space="preserve">, specifically for the record keeping </w:t>
      </w:r>
      <w:r w:rsidR="007149BF">
        <w:t xml:space="preserve">and notification </w:t>
      </w:r>
      <w:r w:rsidR="00652FC1">
        <w:t xml:space="preserve">measures. </w:t>
      </w:r>
      <w:r w:rsidR="001E632A">
        <w:t>Proposed measure 10 (</w:t>
      </w:r>
      <w:r w:rsidR="00B52BC3">
        <w:t>P</w:t>
      </w:r>
      <w:r w:rsidR="001E632A">
        <w:t xml:space="preserve">ublic </w:t>
      </w:r>
      <w:r w:rsidR="00B52BC3">
        <w:t>S</w:t>
      </w:r>
      <w:r w:rsidR="001E632A">
        <w:t>ummar</w:t>
      </w:r>
      <w:r w:rsidR="00B52BC3">
        <w:t>y Documents</w:t>
      </w:r>
      <w:r w:rsidR="001E632A">
        <w:t xml:space="preserve">) may also have implementation costs. </w:t>
      </w:r>
      <w:r w:rsidR="00652FC1">
        <w:t>The</w:t>
      </w:r>
      <w:r w:rsidR="00B52BC3">
        <w:t xml:space="preserve"> Department considers that the</w:t>
      </w:r>
      <w:r w:rsidR="00652FC1">
        <w:t xml:space="preserve">se costs can be significantly mitigated if the measures are implemented </w:t>
      </w:r>
      <w:r w:rsidR="00EB4EAE">
        <w:t>to align with</w:t>
      </w:r>
      <w:r w:rsidR="00652FC1">
        <w:t xml:space="preserve"> existing regulatory measures</w:t>
      </w:r>
      <w:r w:rsidR="001E632A">
        <w:t xml:space="preserve"> and implemented in a graduated manner</w:t>
      </w:r>
      <w:r w:rsidR="00652FC1">
        <w:t>.</w:t>
      </w:r>
    </w:p>
    <w:p w14:paraId="36C6939C" w14:textId="17122936" w:rsidR="00652FC1" w:rsidRDefault="00652FC1" w:rsidP="00435A1E">
      <w:pPr>
        <w:pStyle w:val="Paragraphtext"/>
      </w:pPr>
      <w:r>
        <w:t>No costs are expected for the other proposed measures.</w:t>
      </w:r>
    </w:p>
    <w:p w14:paraId="2F5D14E7" w14:textId="26BDA583" w:rsidR="001E7A6D" w:rsidRPr="004F0CB7" w:rsidRDefault="001E7A6D" w:rsidP="004F0CB7">
      <w:pPr>
        <w:pStyle w:val="Heading1"/>
      </w:pPr>
      <w:r w:rsidRPr="004F0CB7">
        <w:t>Next Steps</w:t>
      </w:r>
    </w:p>
    <w:p w14:paraId="556B76B5" w14:textId="57C0000B" w:rsidR="00F16869" w:rsidRDefault="00F16869" w:rsidP="00435A1E">
      <w:pPr>
        <w:pStyle w:val="Paragraphtext"/>
      </w:pPr>
      <w:r>
        <w:t>The Department would like to engage stakeholders directly on these proposed measures. The measures must be ‘fit for the purpose of safeguarding the PL’ and this may require some customising of the measures</w:t>
      </w:r>
      <w:r w:rsidR="00905EBA">
        <w:t xml:space="preserve"> with stakeholders</w:t>
      </w:r>
      <w:r>
        <w:t xml:space="preserve">. This </w:t>
      </w:r>
      <w:r w:rsidR="00905EBA">
        <w:t xml:space="preserve">will </w:t>
      </w:r>
      <w:r>
        <w:t xml:space="preserve">ensure that the policy is clear and the </w:t>
      </w:r>
      <w:r w:rsidR="00B52BC3">
        <w:t xml:space="preserve">legislative </w:t>
      </w:r>
      <w:r>
        <w:t xml:space="preserve">drafting can give effect to the policy. </w:t>
      </w:r>
    </w:p>
    <w:p w14:paraId="3636B225" w14:textId="159BFAF0" w:rsidR="001E7A6D" w:rsidRDefault="001E7A6D" w:rsidP="00435A1E">
      <w:pPr>
        <w:pStyle w:val="Paragraphtext"/>
      </w:pPr>
      <w:r>
        <w:t>The Department will consider comments provided as part of this consultation</w:t>
      </w:r>
      <w:r w:rsidR="001600C9">
        <w:t>, as a basis for further engagement with stakeholders about specific details for compliance, assurance and information sharing measures</w:t>
      </w:r>
      <w:r>
        <w:t>.</w:t>
      </w:r>
    </w:p>
    <w:p w14:paraId="70F05B89" w14:textId="251EF0B1" w:rsidR="001E7A6D" w:rsidRDefault="001E7A6D" w:rsidP="00435A1E">
      <w:pPr>
        <w:pStyle w:val="Paragraphtext"/>
      </w:pPr>
      <w:r>
        <w:t xml:space="preserve">Any </w:t>
      </w:r>
      <w:r w:rsidR="001600C9">
        <w:t xml:space="preserve">subsequent </w:t>
      </w:r>
      <w:r>
        <w:t xml:space="preserve">proposed </w:t>
      </w:r>
      <w:r w:rsidR="00643B41">
        <w:t>measures</w:t>
      </w:r>
      <w:r>
        <w:t xml:space="preserve"> would </w:t>
      </w:r>
      <w:r w:rsidR="00ED3D4B">
        <w:t xml:space="preserve">need to </w:t>
      </w:r>
      <w:r>
        <w:t xml:space="preserve">be </w:t>
      </w:r>
      <w:r w:rsidR="001600C9">
        <w:t xml:space="preserve">considered by Government and if supported, </w:t>
      </w:r>
      <w:r w:rsidR="00ED3D4B">
        <w:t xml:space="preserve">would be included </w:t>
      </w:r>
      <w:r>
        <w:t xml:space="preserve">in </w:t>
      </w:r>
      <w:r w:rsidR="00643B41">
        <w:t>further legislative amendments</w:t>
      </w:r>
      <w:r w:rsidR="00B52BC3">
        <w:t xml:space="preserve"> for consideration by the Parliament</w:t>
      </w:r>
      <w:r w:rsidR="00643B41">
        <w:t xml:space="preserve">. </w:t>
      </w:r>
    </w:p>
    <w:p w14:paraId="07A7C633" w14:textId="1E0AAF75" w:rsidR="005209AD" w:rsidRDefault="005209AD" w:rsidP="005209AD">
      <w:pPr>
        <w:pStyle w:val="Heading1"/>
      </w:pPr>
      <w:r>
        <w:t>What we invite you to do</w:t>
      </w:r>
    </w:p>
    <w:p w14:paraId="18BDC4E3" w14:textId="74ECB09B" w:rsidR="009074D6" w:rsidRDefault="000A48CC" w:rsidP="000A48CC">
      <w:pPr>
        <w:pStyle w:val="Paragraphtext"/>
      </w:pPr>
      <w:r w:rsidRPr="00150F1E">
        <w:t xml:space="preserve">We ask that stakeholders provide feedback on the </w:t>
      </w:r>
      <w:r w:rsidR="00AF24E8">
        <w:t xml:space="preserve">proposed </w:t>
      </w:r>
      <w:r w:rsidR="00F86475">
        <w:t>measures</w:t>
      </w:r>
      <w:r w:rsidRPr="00150F1E">
        <w:t xml:space="preserve"> and any ideas they have </w:t>
      </w:r>
      <w:r w:rsidR="009074D6">
        <w:t xml:space="preserve">to address </w:t>
      </w:r>
      <w:r w:rsidRPr="00150F1E">
        <w:t>the issues via the consultation hub.</w:t>
      </w:r>
      <w:r>
        <w:t xml:space="preserve"> </w:t>
      </w:r>
      <w:r w:rsidRPr="00150F1E">
        <w:t xml:space="preserve">This feedback will be used to inform </w:t>
      </w:r>
      <w:r w:rsidR="00AF24E8">
        <w:t xml:space="preserve">any further refinement of the </w:t>
      </w:r>
      <w:r w:rsidR="00F86475">
        <w:t>measures</w:t>
      </w:r>
      <w:r w:rsidR="001600C9">
        <w:t xml:space="preserve"> </w:t>
      </w:r>
      <w:r w:rsidR="009074D6">
        <w:t xml:space="preserve">as well as </w:t>
      </w:r>
      <w:r w:rsidR="001600C9">
        <w:t>subsequent consultation</w:t>
      </w:r>
      <w:r w:rsidRPr="00150F1E">
        <w:t>.</w:t>
      </w:r>
    </w:p>
    <w:p w14:paraId="173375B5" w14:textId="3740165B" w:rsidR="000A48CC" w:rsidRPr="000A48CC" w:rsidRDefault="000A48CC" w:rsidP="000A48CC">
      <w:pPr>
        <w:pStyle w:val="Paragraphtext"/>
      </w:pPr>
      <w:r w:rsidRPr="000A48CC">
        <w:t>The Department intends to publish the submissions so stakeholders should not include commercial in confidence information or should put it under a separate attachment, noting it may still be accessible under FOI processes.</w:t>
      </w:r>
    </w:p>
    <w:p w14:paraId="01E34A58" w14:textId="1EF9F566" w:rsidR="005209AD" w:rsidRDefault="005209AD" w:rsidP="005209AD">
      <w:pPr>
        <w:spacing w:before="120" w:after="60" w:line="276" w:lineRule="auto"/>
        <w:rPr>
          <w:sz w:val="21"/>
          <w:szCs w:val="21"/>
        </w:rPr>
      </w:pPr>
      <w:r w:rsidRPr="00083825">
        <w:rPr>
          <w:sz w:val="21"/>
          <w:szCs w:val="21"/>
        </w:rPr>
        <w:t>Please consider the questions below and provide your responses, and any other comments</w:t>
      </w:r>
      <w:r>
        <w:rPr>
          <w:sz w:val="21"/>
          <w:szCs w:val="21"/>
        </w:rPr>
        <w:t xml:space="preserve"> </w:t>
      </w:r>
      <w:r w:rsidR="009074D6">
        <w:rPr>
          <w:sz w:val="21"/>
          <w:szCs w:val="21"/>
        </w:rPr>
        <w:t>about</w:t>
      </w:r>
      <w:r w:rsidRPr="00083825">
        <w:rPr>
          <w:sz w:val="21"/>
          <w:szCs w:val="21"/>
        </w:rPr>
        <w:t xml:space="preserve"> the matter in this consultation paper.</w:t>
      </w:r>
    </w:p>
    <w:p w14:paraId="5D1BEF47" w14:textId="51013F41" w:rsidR="00D6753E" w:rsidRPr="00D179A4" w:rsidRDefault="00E91C68" w:rsidP="00D179A4">
      <w:pPr>
        <w:pStyle w:val="ListParagraph"/>
        <w:numPr>
          <w:ilvl w:val="0"/>
          <w:numId w:val="26"/>
        </w:numPr>
        <w:spacing w:before="120" w:after="120"/>
        <w:ind w:left="714" w:hanging="357"/>
        <w:contextualSpacing w:val="0"/>
        <w:rPr>
          <w:sz w:val="21"/>
          <w:szCs w:val="21"/>
        </w:rPr>
      </w:pPr>
      <w:r w:rsidRPr="00D179A4">
        <w:rPr>
          <w:sz w:val="21"/>
          <w:szCs w:val="21"/>
        </w:rPr>
        <w:lastRenderedPageBreak/>
        <w:t xml:space="preserve">Do you support the </w:t>
      </w:r>
      <w:r w:rsidR="00D6753E" w:rsidRPr="00D179A4">
        <w:rPr>
          <w:sz w:val="21"/>
          <w:szCs w:val="21"/>
        </w:rPr>
        <w:t xml:space="preserve">concept of a ‘shared responsibility’ for safeguarding the </w:t>
      </w:r>
      <w:r w:rsidR="00111208">
        <w:rPr>
          <w:sz w:val="21"/>
          <w:szCs w:val="21"/>
        </w:rPr>
        <w:t>Prescribed</w:t>
      </w:r>
      <w:r w:rsidR="00D6753E" w:rsidRPr="00D179A4">
        <w:rPr>
          <w:sz w:val="21"/>
          <w:szCs w:val="21"/>
        </w:rPr>
        <w:t xml:space="preserve"> List? If not then why not?</w:t>
      </w:r>
    </w:p>
    <w:p w14:paraId="5544F444" w14:textId="51C1F6C1" w:rsidR="0086752F" w:rsidRPr="00D179A4" w:rsidRDefault="0086752F" w:rsidP="00D179A4">
      <w:pPr>
        <w:pStyle w:val="ListParagraph"/>
        <w:numPr>
          <w:ilvl w:val="0"/>
          <w:numId w:val="26"/>
        </w:numPr>
        <w:spacing w:before="120" w:after="120"/>
        <w:ind w:left="714" w:hanging="357"/>
        <w:contextualSpacing w:val="0"/>
        <w:rPr>
          <w:sz w:val="21"/>
          <w:szCs w:val="21"/>
        </w:rPr>
      </w:pPr>
      <w:r w:rsidRPr="00D179A4">
        <w:rPr>
          <w:sz w:val="21"/>
          <w:szCs w:val="21"/>
        </w:rPr>
        <w:t>Do you consider that</w:t>
      </w:r>
      <w:r w:rsidR="009074D6" w:rsidRPr="00D179A4">
        <w:rPr>
          <w:sz w:val="21"/>
          <w:szCs w:val="21"/>
        </w:rPr>
        <w:t xml:space="preserve"> the role of </w:t>
      </w:r>
      <w:r w:rsidRPr="00D179A4">
        <w:rPr>
          <w:sz w:val="21"/>
          <w:szCs w:val="21"/>
        </w:rPr>
        <w:t xml:space="preserve">insurers, sponsors and hospitals </w:t>
      </w:r>
      <w:r w:rsidR="009074D6" w:rsidRPr="00D179A4">
        <w:rPr>
          <w:sz w:val="21"/>
          <w:szCs w:val="21"/>
        </w:rPr>
        <w:t xml:space="preserve">in </w:t>
      </w:r>
      <w:r w:rsidRPr="00D179A4">
        <w:rPr>
          <w:sz w:val="21"/>
          <w:szCs w:val="21"/>
        </w:rPr>
        <w:t xml:space="preserve">safeguarding the </w:t>
      </w:r>
      <w:r w:rsidR="00111208">
        <w:rPr>
          <w:sz w:val="21"/>
          <w:szCs w:val="21"/>
        </w:rPr>
        <w:t>Prescribed</w:t>
      </w:r>
      <w:r w:rsidRPr="00D179A4">
        <w:rPr>
          <w:sz w:val="21"/>
          <w:szCs w:val="21"/>
        </w:rPr>
        <w:t xml:space="preserve"> List</w:t>
      </w:r>
      <w:r w:rsidR="009074D6" w:rsidRPr="00D179A4">
        <w:rPr>
          <w:sz w:val="21"/>
          <w:szCs w:val="21"/>
        </w:rPr>
        <w:t xml:space="preserve"> needs to be expanded</w:t>
      </w:r>
      <w:r w:rsidRPr="00D179A4">
        <w:rPr>
          <w:sz w:val="21"/>
          <w:szCs w:val="21"/>
        </w:rPr>
        <w:t xml:space="preserve">? </w:t>
      </w:r>
      <w:r w:rsidR="009074D6" w:rsidRPr="00D179A4">
        <w:rPr>
          <w:sz w:val="21"/>
          <w:szCs w:val="21"/>
        </w:rPr>
        <w:t>If so, w</w:t>
      </w:r>
      <w:r w:rsidRPr="00D179A4">
        <w:rPr>
          <w:sz w:val="21"/>
          <w:szCs w:val="21"/>
        </w:rPr>
        <w:t>hat additional obligations do you consider are necessary and why?</w:t>
      </w:r>
    </w:p>
    <w:p w14:paraId="22CEC5EE" w14:textId="05CF335A" w:rsidR="00E91C68" w:rsidRDefault="00D6753E" w:rsidP="00D179A4">
      <w:pPr>
        <w:pStyle w:val="ListParagraph"/>
        <w:numPr>
          <w:ilvl w:val="0"/>
          <w:numId w:val="26"/>
        </w:numPr>
        <w:spacing w:before="120" w:after="120"/>
        <w:ind w:left="714" w:hanging="357"/>
        <w:contextualSpacing w:val="0"/>
        <w:rPr>
          <w:sz w:val="21"/>
          <w:szCs w:val="21"/>
        </w:rPr>
      </w:pPr>
      <w:r>
        <w:rPr>
          <w:sz w:val="21"/>
          <w:szCs w:val="21"/>
        </w:rPr>
        <w:t xml:space="preserve">Do you agree with the </w:t>
      </w:r>
      <w:r w:rsidR="00E91C68">
        <w:rPr>
          <w:sz w:val="21"/>
          <w:szCs w:val="21"/>
        </w:rPr>
        <w:t>p</w:t>
      </w:r>
      <w:r w:rsidR="00F22B60">
        <w:rPr>
          <w:sz w:val="21"/>
          <w:szCs w:val="21"/>
        </w:rPr>
        <w:t xml:space="preserve">olicy </w:t>
      </w:r>
      <w:r w:rsidR="00E91C68">
        <w:rPr>
          <w:sz w:val="21"/>
          <w:szCs w:val="21"/>
        </w:rPr>
        <w:t>principles used for developing the proposed measures</w:t>
      </w:r>
      <w:r w:rsidR="001600C9">
        <w:rPr>
          <w:sz w:val="21"/>
          <w:szCs w:val="21"/>
        </w:rPr>
        <w:t>?</w:t>
      </w:r>
    </w:p>
    <w:p w14:paraId="2F34A045" w14:textId="62EEE605" w:rsidR="00E91C68" w:rsidRDefault="00E91C68" w:rsidP="00D179A4">
      <w:pPr>
        <w:pStyle w:val="ListParagraph"/>
        <w:numPr>
          <w:ilvl w:val="0"/>
          <w:numId w:val="26"/>
        </w:numPr>
        <w:spacing w:before="120" w:after="120"/>
        <w:ind w:left="714" w:hanging="357"/>
        <w:contextualSpacing w:val="0"/>
        <w:rPr>
          <w:sz w:val="21"/>
          <w:szCs w:val="21"/>
        </w:rPr>
      </w:pPr>
      <w:r>
        <w:rPr>
          <w:sz w:val="21"/>
          <w:szCs w:val="21"/>
        </w:rPr>
        <w:t xml:space="preserve">What additional resources </w:t>
      </w:r>
      <w:r w:rsidR="00F22B60">
        <w:rPr>
          <w:sz w:val="21"/>
          <w:szCs w:val="21"/>
        </w:rPr>
        <w:t xml:space="preserve">would be useful to consider </w:t>
      </w:r>
      <w:r>
        <w:rPr>
          <w:sz w:val="21"/>
          <w:szCs w:val="21"/>
        </w:rPr>
        <w:t>in developing the proposed measures?</w:t>
      </w:r>
    </w:p>
    <w:p w14:paraId="56F892A0" w14:textId="1C1E9ED8" w:rsidR="00F86475" w:rsidRDefault="00824AD4" w:rsidP="00D179A4">
      <w:pPr>
        <w:pStyle w:val="ListParagraph"/>
        <w:numPr>
          <w:ilvl w:val="0"/>
          <w:numId w:val="26"/>
        </w:numPr>
        <w:spacing w:before="120" w:after="120"/>
        <w:ind w:left="714" w:hanging="357"/>
        <w:contextualSpacing w:val="0"/>
        <w:rPr>
          <w:sz w:val="21"/>
          <w:szCs w:val="21"/>
        </w:rPr>
      </w:pPr>
      <w:r>
        <w:rPr>
          <w:sz w:val="21"/>
          <w:szCs w:val="21"/>
        </w:rPr>
        <w:t xml:space="preserve">What </w:t>
      </w:r>
      <w:r w:rsidR="00F22B60">
        <w:rPr>
          <w:sz w:val="21"/>
          <w:szCs w:val="21"/>
        </w:rPr>
        <w:t xml:space="preserve">are the likely </w:t>
      </w:r>
      <w:r>
        <w:rPr>
          <w:sz w:val="21"/>
          <w:szCs w:val="21"/>
        </w:rPr>
        <w:t>impact</w:t>
      </w:r>
      <w:r w:rsidR="00F22B60">
        <w:rPr>
          <w:sz w:val="21"/>
          <w:szCs w:val="21"/>
        </w:rPr>
        <w:t>s</w:t>
      </w:r>
      <w:r>
        <w:rPr>
          <w:sz w:val="21"/>
          <w:szCs w:val="21"/>
        </w:rPr>
        <w:t xml:space="preserve"> of each </w:t>
      </w:r>
      <w:r w:rsidR="00F86475">
        <w:rPr>
          <w:sz w:val="21"/>
          <w:szCs w:val="21"/>
        </w:rPr>
        <w:t>proposed measure</w:t>
      </w:r>
      <w:r w:rsidR="00501CFE">
        <w:rPr>
          <w:sz w:val="21"/>
          <w:szCs w:val="21"/>
        </w:rPr>
        <w:t xml:space="preserve"> from your perspective</w:t>
      </w:r>
      <w:r>
        <w:rPr>
          <w:sz w:val="21"/>
          <w:szCs w:val="21"/>
        </w:rPr>
        <w:t>?</w:t>
      </w:r>
    </w:p>
    <w:p w14:paraId="25717656" w14:textId="5DC07699" w:rsidR="00EC60EF" w:rsidRDefault="00F86475" w:rsidP="00D179A4">
      <w:pPr>
        <w:pStyle w:val="ListParagraph"/>
        <w:numPr>
          <w:ilvl w:val="0"/>
          <w:numId w:val="26"/>
        </w:numPr>
        <w:spacing w:before="120" w:after="120"/>
        <w:ind w:left="714" w:hanging="357"/>
        <w:contextualSpacing w:val="0"/>
        <w:rPr>
          <w:sz w:val="21"/>
          <w:szCs w:val="21"/>
        </w:rPr>
      </w:pPr>
      <w:r>
        <w:rPr>
          <w:sz w:val="21"/>
          <w:szCs w:val="21"/>
        </w:rPr>
        <w:t>How might these impacts be mitigated?</w:t>
      </w:r>
    </w:p>
    <w:p w14:paraId="3DD7F712" w14:textId="3B92A9EB" w:rsidR="00C45BFC" w:rsidRDefault="00C45BFC" w:rsidP="00D179A4">
      <w:pPr>
        <w:pStyle w:val="ListParagraph"/>
        <w:numPr>
          <w:ilvl w:val="0"/>
          <w:numId w:val="26"/>
        </w:numPr>
        <w:spacing w:before="120" w:after="120"/>
        <w:ind w:left="714" w:hanging="357"/>
        <w:contextualSpacing w:val="0"/>
        <w:rPr>
          <w:sz w:val="21"/>
          <w:szCs w:val="21"/>
        </w:rPr>
      </w:pPr>
      <w:r>
        <w:rPr>
          <w:sz w:val="21"/>
          <w:szCs w:val="21"/>
        </w:rPr>
        <w:t>What do you think of the concept of introducing ‘conditions of listing’ as a means o</w:t>
      </w:r>
      <w:r w:rsidR="00F22B60">
        <w:rPr>
          <w:sz w:val="21"/>
          <w:szCs w:val="21"/>
        </w:rPr>
        <w:t>f</w:t>
      </w:r>
      <w:r>
        <w:rPr>
          <w:sz w:val="21"/>
          <w:szCs w:val="21"/>
        </w:rPr>
        <w:t xml:space="preserve"> introducing new obligations on sponsors? I</w:t>
      </w:r>
      <w:r w:rsidR="007149BF">
        <w:rPr>
          <w:sz w:val="21"/>
          <w:szCs w:val="21"/>
        </w:rPr>
        <w:t>n your view, i</w:t>
      </w:r>
      <w:r>
        <w:rPr>
          <w:sz w:val="21"/>
          <w:szCs w:val="21"/>
        </w:rPr>
        <w:t xml:space="preserve">s it possible to </w:t>
      </w:r>
      <w:r w:rsidR="007149BF">
        <w:rPr>
          <w:sz w:val="21"/>
          <w:szCs w:val="21"/>
        </w:rPr>
        <w:t xml:space="preserve">readily </w:t>
      </w:r>
      <w:r>
        <w:rPr>
          <w:sz w:val="21"/>
          <w:szCs w:val="21"/>
        </w:rPr>
        <w:t>differentiate these ‘conditions of listing’ from the current ‘conditions for the provision of a listed device or product’?</w:t>
      </w:r>
    </w:p>
    <w:p w14:paraId="65AD3FA8" w14:textId="048D6A27" w:rsidR="00FF5831" w:rsidRDefault="00FF5831" w:rsidP="00D179A4">
      <w:pPr>
        <w:pStyle w:val="ListParagraph"/>
        <w:numPr>
          <w:ilvl w:val="0"/>
          <w:numId w:val="26"/>
        </w:numPr>
        <w:spacing w:before="120" w:after="120"/>
        <w:ind w:left="714" w:hanging="357"/>
        <w:contextualSpacing w:val="0"/>
        <w:rPr>
          <w:sz w:val="21"/>
          <w:szCs w:val="21"/>
        </w:rPr>
      </w:pPr>
      <w:r w:rsidRPr="00FF5831">
        <w:rPr>
          <w:sz w:val="21"/>
          <w:szCs w:val="21"/>
        </w:rPr>
        <w:t xml:space="preserve">One point that stakeholders may wish to comment on would be the use of different ‘Rules’ for specifying the record keeping </w:t>
      </w:r>
      <w:r w:rsidR="007149BF">
        <w:rPr>
          <w:sz w:val="21"/>
          <w:szCs w:val="21"/>
        </w:rPr>
        <w:t xml:space="preserve">and notification </w:t>
      </w:r>
      <w:r w:rsidRPr="00FF5831">
        <w:rPr>
          <w:sz w:val="21"/>
          <w:szCs w:val="21"/>
        </w:rPr>
        <w:t>requirements</w:t>
      </w:r>
      <w:r>
        <w:rPr>
          <w:sz w:val="21"/>
          <w:szCs w:val="21"/>
        </w:rPr>
        <w:t xml:space="preserve"> in Proposed Measures 1, 2 and 3</w:t>
      </w:r>
      <w:r w:rsidRPr="00FF5831">
        <w:rPr>
          <w:sz w:val="21"/>
          <w:szCs w:val="21"/>
        </w:rPr>
        <w:t>. Should the</w:t>
      </w:r>
      <w:r w:rsidR="007149BF">
        <w:rPr>
          <w:sz w:val="21"/>
          <w:szCs w:val="21"/>
        </w:rPr>
        <w:t xml:space="preserve">se </w:t>
      </w:r>
      <w:r w:rsidRPr="00FF5831">
        <w:rPr>
          <w:sz w:val="21"/>
          <w:szCs w:val="21"/>
        </w:rPr>
        <w:t>requirements for listed devices and products be specified in the MDHTP Rules</w:t>
      </w:r>
      <w:r w:rsidR="00863A4F" w:rsidRPr="00863A4F">
        <w:rPr>
          <w:sz w:val="21"/>
          <w:szCs w:val="21"/>
        </w:rPr>
        <w:t xml:space="preserve"> </w:t>
      </w:r>
      <w:r w:rsidR="00863A4F" w:rsidRPr="00FF5831">
        <w:rPr>
          <w:sz w:val="21"/>
          <w:szCs w:val="21"/>
        </w:rPr>
        <w:t xml:space="preserve">for </w:t>
      </w:r>
      <w:r w:rsidR="00863A4F" w:rsidRPr="00FF5831">
        <w:rPr>
          <w:sz w:val="21"/>
          <w:szCs w:val="21"/>
          <w:u w:val="single"/>
        </w:rPr>
        <w:t>all</w:t>
      </w:r>
      <w:r w:rsidR="00863A4F" w:rsidRPr="00FF5831">
        <w:rPr>
          <w:sz w:val="21"/>
          <w:szCs w:val="21"/>
        </w:rPr>
        <w:t xml:space="preserve"> stakeholders</w:t>
      </w:r>
      <w:r w:rsidRPr="00FF5831">
        <w:rPr>
          <w:sz w:val="21"/>
          <w:szCs w:val="21"/>
        </w:rPr>
        <w:t>, or should different Rules include these obligations?</w:t>
      </w:r>
    </w:p>
    <w:p w14:paraId="30C3E144" w14:textId="3F2DA2E0" w:rsidR="00824AD4" w:rsidRDefault="00A023D7" w:rsidP="00D179A4">
      <w:pPr>
        <w:pStyle w:val="ListParagraph"/>
        <w:numPr>
          <w:ilvl w:val="0"/>
          <w:numId w:val="26"/>
        </w:numPr>
        <w:spacing w:before="120" w:after="120"/>
        <w:ind w:left="714" w:hanging="357"/>
        <w:contextualSpacing w:val="0"/>
        <w:rPr>
          <w:sz w:val="21"/>
          <w:szCs w:val="21"/>
        </w:rPr>
      </w:pPr>
      <w:r>
        <w:rPr>
          <w:sz w:val="21"/>
          <w:szCs w:val="21"/>
        </w:rPr>
        <w:t xml:space="preserve">Should additional considerations </w:t>
      </w:r>
      <w:r w:rsidR="001600C9">
        <w:rPr>
          <w:sz w:val="21"/>
          <w:szCs w:val="21"/>
        </w:rPr>
        <w:t xml:space="preserve">apply </w:t>
      </w:r>
      <w:r>
        <w:rPr>
          <w:sz w:val="21"/>
          <w:szCs w:val="21"/>
        </w:rPr>
        <w:t>before</w:t>
      </w:r>
      <w:r w:rsidR="00EC60EF">
        <w:rPr>
          <w:sz w:val="21"/>
          <w:szCs w:val="21"/>
        </w:rPr>
        <w:t xml:space="preserve"> removing a list</w:t>
      </w:r>
      <w:r w:rsidR="00EC6D81">
        <w:rPr>
          <w:sz w:val="21"/>
          <w:szCs w:val="21"/>
        </w:rPr>
        <w:t>ed device or product</w:t>
      </w:r>
      <w:r w:rsidR="00EC60EF">
        <w:rPr>
          <w:sz w:val="21"/>
          <w:szCs w:val="21"/>
        </w:rPr>
        <w:t xml:space="preserve"> or revoking a hospital declaration for providing either false or misleading information or not complying with record keeping obligations? For example, </w:t>
      </w:r>
      <w:r w:rsidR="007149BF">
        <w:rPr>
          <w:sz w:val="21"/>
          <w:szCs w:val="21"/>
        </w:rPr>
        <w:t xml:space="preserve">should </w:t>
      </w:r>
      <w:r w:rsidR="00EC60EF">
        <w:rPr>
          <w:sz w:val="21"/>
          <w:szCs w:val="21"/>
        </w:rPr>
        <w:t xml:space="preserve">any detriment to insured persons from removing a </w:t>
      </w:r>
      <w:r w:rsidR="00EC6D81">
        <w:rPr>
          <w:sz w:val="21"/>
          <w:szCs w:val="21"/>
        </w:rPr>
        <w:t>listed device or product</w:t>
      </w:r>
      <w:r w:rsidR="00EC60EF">
        <w:rPr>
          <w:sz w:val="21"/>
          <w:szCs w:val="21"/>
        </w:rPr>
        <w:t xml:space="preserve"> or revoking a hospital declaration</w:t>
      </w:r>
      <w:r w:rsidR="007149BF">
        <w:rPr>
          <w:sz w:val="21"/>
          <w:szCs w:val="21"/>
        </w:rPr>
        <w:t xml:space="preserve"> be considered</w:t>
      </w:r>
      <w:r w:rsidR="00EC60EF">
        <w:rPr>
          <w:sz w:val="21"/>
          <w:szCs w:val="21"/>
        </w:rPr>
        <w:t>?</w:t>
      </w:r>
    </w:p>
    <w:p w14:paraId="4170DC5F" w14:textId="54CE4A02" w:rsidR="00700E7A" w:rsidRDefault="00700E7A" w:rsidP="00D179A4">
      <w:pPr>
        <w:pStyle w:val="ListParagraph"/>
        <w:numPr>
          <w:ilvl w:val="0"/>
          <w:numId w:val="26"/>
        </w:numPr>
        <w:spacing w:before="120" w:after="120"/>
        <w:ind w:left="714" w:hanging="357"/>
        <w:contextualSpacing w:val="0"/>
        <w:rPr>
          <w:sz w:val="21"/>
          <w:szCs w:val="21"/>
        </w:rPr>
      </w:pPr>
      <w:r>
        <w:rPr>
          <w:sz w:val="21"/>
          <w:szCs w:val="21"/>
        </w:rPr>
        <w:t>Should the offences in the Criminal Code continue</w:t>
      </w:r>
      <w:r w:rsidR="00863A4F">
        <w:rPr>
          <w:sz w:val="21"/>
          <w:szCs w:val="21"/>
        </w:rPr>
        <w:t xml:space="preserve"> to be relied on as the only means for dealing with false or misleading information?</w:t>
      </w:r>
    </w:p>
    <w:p w14:paraId="33CD1137" w14:textId="08FA1861" w:rsidR="00700E7A" w:rsidRDefault="00700E7A" w:rsidP="00D179A4">
      <w:pPr>
        <w:pStyle w:val="ListParagraph"/>
        <w:numPr>
          <w:ilvl w:val="0"/>
          <w:numId w:val="26"/>
        </w:numPr>
        <w:spacing w:before="120" w:after="120"/>
        <w:ind w:left="714" w:hanging="357"/>
        <w:contextualSpacing w:val="0"/>
        <w:rPr>
          <w:sz w:val="21"/>
          <w:szCs w:val="21"/>
        </w:rPr>
      </w:pPr>
      <w:r>
        <w:rPr>
          <w:sz w:val="21"/>
          <w:szCs w:val="21"/>
        </w:rPr>
        <w:t>In Proposed Measure 7, what is the value of a new strict liability offence and a new underlying offence for providing false or misleading information when the Criminal Code already applies?</w:t>
      </w:r>
    </w:p>
    <w:p w14:paraId="41981495" w14:textId="04EEA74A" w:rsidR="0047378A" w:rsidRPr="00824AD4" w:rsidRDefault="0047378A" w:rsidP="00D179A4">
      <w:pPr>
        <w:pStyle w:val="ListParagraph"/>
        <w:numPr>
          <w:ilvl w:val="0"/>
          <w:numId w:val="26"/>
        </w:numPr>
        <w:spacing w:before="120" w:after="120"/>
        <w:ind w:left="714" w:hanging="357"/>
        <w:contextualSpacing w:val="0"/>
        <w:rPr>
          <w:sz w:val="21"/>
          <w:szCs w:val="21"/>
        </w:rPr>
      </w:pPr>
      <w:r>
        <w:rPr>
          <w:sz w:val="21"/>
          <w:szCs w:val="21"/>
        </w:rPr>
        <w:t xml:space="preserve">Should </w:t>
      </w:r>
      <w:r w:rsidR="00AF24E8">
        <w:rPr>
          <w:sz w:val="21"/>
          <w:szCs w:val="21"/>
        </w:rPr>
        <w:t xml:space="preserve">additional </w:t>
      </w:r>
      <w:r w:rsidR="00230416">
        <w:rPr>
          <w:sz w:val="21"/>
          <w:szCs w:val="21"/>
        </w:rPr>
        <w:t xml:space="preserve">compliance </w:t>
      </w:r>
      <w:r w:rsidR="00F86475">
        <w:rPr>
          <w:sz w:val="21"/>
          <w:szCs w:val="21"/>
        </w:rPr>
        <w:t>measures be considered</w:t>
      </w:r>
      <w:r w:rsidR="00AF24E8">
        <w:rPr>
          <w:sz w:val="21"/>
          <w:szCs w:val="21"/>
        </w:rPr>
        <w:t xml:space="preserve">? </w:t>
      </w:r>
      <w:r w:rsidR="007149BF">
        <w:rPr>
          <w:sz w:val="21"/>
          <w:szCs w:val="21"/>
        </w:rPr>
        <w:t>Please provide the basis for these additional measures.</w:t>
      </w:r>
    </w:p>
    <w:p w14:paraId="0811B95E" w14:textId="2BAF4632" w:rsidR="00C17E17" w:rsidRDefault="00311E6F" w:rsidP="00D179A4">
      <w:pPr>
        <w:pStyle w:val="ListParagraph"/>
        <w:numPr>
          <w:ilvl w:val="0"/>
          <w:numId w:val="26"/>
        </w:numPr>
        <w:spacing w:before="120" w:after="120"/>
        <w:ind w:left="714" w:hanging="357"/>
        <w:contextualSpacing w:val="0"/>
        <w:rPr>
          <w:sz w:val="21"/>
          <w:szCs w:val="21"/>
        </w:rPr>
      </w:pPr>
      <w:r>
        <w:rPr>
          <w:sz w:val="21"/>
          <w:szCs w:val="21"/>
        </w:rPr>
        <w:t>Do you think there are other agencies that should be authorised for disclosure of protected information?</w:t>
      </w:r>
      <w:r w:rsidR="00A023D7">
        <w:rPr>
          <w:sz w:val="21"/>
          <w:szCs w:val="21"/>
        </w:rPr>
        <w:t xml:space="preserve"> For example, professional associations</w:t>
      </w:r>
      <w:r w:rsidR="003C0500">
        <w:rPr>
          <w:sz w:val="21"/>
          <w:szCs w:val="21"/>
        </w:rPr>
        <w:t xml:space="preserve"> for health care providers</w:t>
      </w:r>
      <w:r w:rsidR="00A023D7">
        <w:rPr>
          <w:sz w:val="21"/>
          <w:szCs w:val="21"/>
        </w:rPr>
        <w:t>?</w:t>
      </w:r>
    </w:p>
    <w:p w14:paraId="037B7622" w14:textId="620E9F92" w:rsidR="000A48CC" w:rsidRDefault="004F1413" w:rsidP="00D179A4">
      <w:pPr>
        <w:pStyle w:val="ListParagraph"/>
        <w:numPr>
          <w:ilvl w:val="0"/>
          <w:numId w:val="26"/>
        </w:numPr>
        <w:spacing w:before="120" w:after="120"/>
        <w:ind w:left="714" w:hanging="357"/>
        <w:contextualSpacing w:val="0"/>
        <w:rPr>
          <w:sz w:val="21"/>
          <w:szCs w:val="21"/>
        </w:rPr>
      </w:pPr>
      <w:r>
        <w:rPr>
          <w:sz w:val="21"/>
          <w:szCs w:val="21"/>
        </w:rPr>
        <w:t xml:space="preserve">Do you think the objects of the Act should be amended to recognise the </w:t>
      </w:r>
      <w:r w:rsidR="001600C9">
        <w:rPr>
          <w:sz w:val="21"/>
          <w:szCs w:val="21"/>
        </w:rPr>
        <w:t xml:space="preserve">expanded </w:t>
      </w:r>
      <w:r>
        <w:rPr>
          <w:sz w:val="21"/>
          <w:szCs w:val="21"/>
        </w:rPr>
        <w:t xml:space="preserve">scope </w:t>
      </w:r>
      <w:r w:rsidR="00940F79">
        <w:rPr>
          <w:sz w:val="21"/>
          <w:szCs w:val="21"/>
        </w:rPr>
        <w:t xml:space="preserve">contemplated in the </w:t>
      </w:r>
      <w:r>
        <w:rPr>
          <w:sz w:val="21"/>
          <w:szCs w:val="21"/>
        </w:rPr>
        <w:t xml:space="preserve">proposed measures? </w:t>
      </w:r>
      <w:r w:rsidR="007149BF">
        <w:rPr>
          <w:sz w:val="21"/>
          <w:szCs w:val="21"/>
        </w:rPr>
        <w:t>What do you think of the proposed additional object for the PHI Act?</w:t>
      </w:r>
    </w:p>
    <w:p w14:paraId="37BEE244" w14:textId="5D9409B9" w:rsidR="004F0CB7" w:rsidRDefault="00E91C68" w:rsidP="00D179A4">
      <w:pPr>
        <w:pStyle w:val="ListParagraph"/>
        <w:numPr>
          <w:ilvl w:val="0"/>
          <w:numId w:val="26"/>
        </w:numPr>
        <w:spacing w:before="120" w:after="120"/>
        <w:ind w:left="714" w:hanging="357"/>
        <w:contextualSpacing w:val="0"/>
        <w:rPr>
          <w:sz w:val="21"/>
          <w:szCs w:val="21"/>
        </w:rPr>
      </w:pPr>
      <w:r>
        <w:rPr>
          <w:sz w:val="21"/>
          <w:szCs w:val="21"/>
        </w:rPr>
        <w:t>How might Public Summary Documents be introduced</w:t>
      </w:r>
      <w:r w:rsidR="001600C9">
        <w:rPr>
          <w:sz w:val="21"/>
          <w:szCs w:val="21"/>
        </w:rPr>
        <w:t xml:space="preserve"> in an incremental manner</w:t>
      </w:r>
      <w:r w:rsidR="004F0CB7">
        <w:rPr>
          <w:sz w:val="21"/>
          <w:szCs w:val="21"/>
        </w:rPr>
        <w:t>?</w:t>
      </w:r>
      <w:r w:rsidR="007149BF">
        <w:rPr>
          <w:sz w:val="21"/>
          <w:szCs w:val="21"/>
        </w:rPr>
        <w:t xml:space="preserve"> For example, what kinds of devices or products should first be required to have a Public Summary Document? </w:t>
      </w:r>
    </w:p>
    <w:p w14:paraId="2D256CEA" w14:textId="77777777" w:rsidR="007149BF" w:rsidRDefault="007149BF" w:rsidP="00D179A4">
      <w:pPr>
        <w:pStyle w:val="ListParagraph"/>
        <w:numPr>
          <w:ilvl w:val="0"/>
          <w:numId w:val="26"/>
        </w:numPr>
        <w:spacing w:before="120" w:after="120"/>
        <w:ind w:left="714" w:hanging="357"/>
        <w:contextualSpacing w:val="0"/>
        <w:rPr>
          <w:sz w:val="21"/>
          <w:szCs w:val="21"/>
        </w:rPr>
      </w:pPr>
      <w:r>
        <w:rPr>
          <w:sz w:val="21"/>
          <w:szCs w:val="21"/>
        </w:rPr>
        <w:t xml:space="preserve">What do you think of the proposed incremental implementation of the proposed measures? </w:t>
      </w:r>
    </w:p>
    <w:p w14:paraId="427664FB" w14:textId="440FCB49" w:rsidR="00137E4E" w:rsidRDefault="001237B2" w:rsidP="00D179A4">
      <w:pPr>
        <w:pStyle w:val="ListParagraph"/>
        <w:numPr>
          <w:ilvl w:val="0"/>
          <w:numId w:val="26"/>
        </w:numPr>
        <w:spacing w:before="120" w:after="120"/>
        <w:contextualSpacing w:val="0"/>
        <w:rPr>
          <w:sz w:val="21"/>
          <w:szCs w:val="21"/>
        </w:rPr>
      </w:pPr>
      <w:r>
        <w:rPr>
          <w:sz w:val="21"/>
          <w:szCs w:val="21"/>
        </w:rPr>
        <w:t>The department is considering whether a statutory review should be provided for in the PHI Act so that there is an independent review of the measures introduced as part of the reforms. Would you support such a review and what would be important elements of the review from your perspective</w:t>
      </w:r>
      <w:r w:rsidR="00137E4E">
        <w:rPr>
          <w:sz w:val="21"/>
          <w:szCs w:val="21"/>
        </w:rPr>
        <w:t>?</w:t>
      </w:r>
    </w:p>
    <w:p w14:paraId="2CF677FA" w14:textId="0BF7F4BF" w:rsidR="0041104B" w:rsidRPr="00F01DDE" w:rsidRDefault="0041104B" w:rsidP="00D179A4">
      <w:pPr>
        <w:pStyle w:val="ListParagraph"/>
        <w:numPr>
          <w:ilvl w:val="0"/>
          <w:numId w:val="26"/>
        </w:numPr>
        <w:spacing w:before="120" w:after="120"/>
        <w:contextualSpacing w:val="0"/>
        <w:rPr>
          <w:sz w:val="21"/>
          <w:szCs w:val="21"/>
        </w:rPr>
      </w:pPr>
      <w:r>
        <w:rPr>
          <w:sz w:val="21"/>
          <w:szCs w:val="21"/>
        </w:rPr>
        <w:t xml:space="preserve">Do you consider that disqualifying criteria should apply for sponsors of listed devices or products in that if the sponsor has been convicted of a criminal offence then should the sponsor be disqualified from being a sponsor for a listed device or product? </w:t>
      </w:r>
    </w:p>
    <w:p w14:paraId="7E6057E1" w14:textId="77777777" w:rsidR="000A48CC" w:rsidRPr="000A48CC" w:rsidRDefault="000A48CC" w:rsidP="000A48CC">
      <w:pPr>
        <w:spacing w:before="120" w:after="60" w:line="276" w:lineRule="auto"/>
        <w:rPr>
          <w:sz w:val="21"/>
          <w:szCs w:val="21"/>
        </w:rPr>
      </w:pPr>
    </w:p>
    <w:sectPr w:rsidR="000A48CC" w:rsidRPr="000A48CC" w:rsidSect="003652C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0052" w14:textId="77777777" w:rsidR="001E4BB2" w:rsidRDefault="001E4BB2" w:rsidP="006168AD">
      <w:r>
        <w:separator/>
      </w:r>
    </w:p>
  </w:endnote>
  <w:endnote w:type="continuationSeparator" w:id="0">
    <w:p w14:paraId="3DD4DFFF" w14:textId="77777777" w:rsidR="001E4BB2" w:rsidRDefault="001E4BB2" w:rsidP="006168AD">
      <w:r>
        <w:continuationSeparator/>
      </w:r>
    </w:p>
  </w:endnote>
  <w:endnote w:type="continuationNotice" w:id="1">
    <w:p w14:paraId="2425DFC6" w14:textId="77777777" w:rsidR="001E4BB2" w:rsidRDefault="001E4BB2" w:rsidP="00B8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85460"/>
      <w:docPartObj>
        <w:docPartGallery w:val="Page Numbers (Bottom of Page)"/>
        <w:docPartUnique/>
      </w:docPartObj>
    </w:sdtPr>
    <w:sdtEndPr>
      <w:rPr>
        <w:noProof/>
      </w:rPr>
    </w:sdtEndPr>
    <w:sdtContent>
      <w:p w14:paraId="535B248B" w14:textId="1069969B" w:rsidR="005402FD" w:rsidRPr="009F7366" w:rsidRDefault="005402FD">
        <w:pPr>
          <w:pStyle w:val="Footer"/>
          <w:jc w:val="right"/>
        </w:pPr>
        <w:r w:rsidRPr="009F7366">
          <w:fldChar w:fldCharType="begin"/>
        </w:r>
        <w:r w:rsidRPr="009F7366">
          <w:instrText xml:space="preserve"> PAGE   \* MERGEFORMAT </w:instrText>
        </w:r>
        <w:r w:rsidRPr="009F7366">
          <w:fldChar w:fldCharType="separate"/>
        </w:r>
        <w:r w:rsidRPr="009F7366">
          <w:rPr>
            <w:noProof/>
          </w:rPr>
          <w:t>2</w:t>
        </w:r>
        <w:r w:rsidRPr="009F7366">
          <w:rPr>
            <w:noProof/>
          </w:rPr>
          <w:fldChar w:fldCharType="end"/>
        </w:r>
      </w:p>
    </w:sdtContent>
  </w:sdt>
  <w:p w14:paraId="1B0D5984" w14:textId="3EB606C7" w:rsidR="005402FD" w:rsidRPr="000226F6" w:rsidRDefault="009F7366">
    <w:pPr>
      <w:pStyle w:val="Footer"/>
      <w:rPr>
        <w:iCs/>
      </w:rPr>
    </w:pPr>
    <w:r w:rsidRPr="009F7366">
      <w:t>PL</w:t>
    </w:r>
    <w:r w:rsidR="005402FD" w:rsidRPr="009F7366">
      <w:t xml:space="preserve"> Reforms – Consultation Paper N</w:t>
    </w:r>
    <w:r w:rsidR="005402FD" w:rsidRPr="009F7366">
      <w:rPr>
        <w:vertAlign w:val="superscript"/>
      </w:rPr>
      <w:t>o</w:t>
    </w:r>
    <w:r w:rsidR="00CB2CE1">
      <w:t>7</w:t>
    </w:r>
    <w:r w:rsidR="000226F6">
      <w:t>–</w:t>
    </w:r>
    <w:r w:rsidR="005402FD">
      <w:t xml:space="preserve"> </w:t>
    </w:r>
    <w:r w:rsidR="000226F6">
      <w:t>Pr</w:t>
    </w:r>
    <w:r w:rsidR="00EA522D">
      <w:t>escribed</w:t>
    </w:r>
    <w:r w:rsidR="000226F6">
      <w:t xml:space="preserve"> List –</w:t>
    </w:r>
    <w:r w:rsidR="006E7D0F" w:rsidRPr="006E7D0F">
      <w:t xml:space="preserve"> </w:t>
    </w:r>
    <w:r w:rsidR="00E93E7D">
      <w:t>Compliance, Assurance and Information Sharing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4C69" w14:textId="77777777" w:rsidR="001E4BB2" w:rsidRDefault="001E4BB2" w:rsidP="006168AD">
      <w:r>
        <w:separator/>
      </w:r>
    </w:p>
  </w:footnote>
  <w:footnote w:type="continuationSeparator" w:id="0">
    <w:p w14:paraId="37EB4209" w14:textId="77777777" w:rsidR="001E4BB2" w:rsidRDefault="001E4BB2" w:rsidP="006168AD">
      <w:r>
        <w:continuationSeparator/>
      </w:r>
    </w:p>
  </w:footnote>
  <w:footnote w:type="continuationNotice" w:id="1">
    <w:p w14:paraId="5CDE03A4" w14:textId="77777777" w:rsidR="001E4BB2" w:rsidRDefault="001E4BB2" w:rsidP="00B87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FE48" w14:textId="7421DBF3" w:rsidR="005402FD" w:rsidRDefault="0052132E">
    <w:pPr>
      <w:pStyle w:val="Header"/>
    </w:pPr>
    <w:r>
      <w:rPr>
        <w:noProof/>
        <w:lang w:eastAsia="en-AU"/>
      </w:rPr>
      <w:drawing>
        <wp:anchor distT="0" distB="0" distL="114300" distR="114300" simplePos="0" relativeHeight="251659264" behindDoc="1" locked="0" layoutInCell="1" allowOverlap="1" wp14:anchorId="7321235D" wp14:editId="47B538C9">
          <wp:simplePos x="0" y="0"/>
          <wp:positionH relativeFrom="page">
            <wp:posOffset>6985</wp:posOffset>
          </wp:positionH>
          <wp:positionV relativeFrom="page">
            <wp:posOffset>3824605</wp:posOffset>
          </wp:positionV>
          <wp:extent cx="7559040" cy="6677025"/>
          <wp:effectExtent l="0" t="0" r="3810" b="952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32873" b="4680"/>
                  <a:stretch/>
                </pic:blipFill>
                <pic:spPr bwMode="auto">
                  <a:xfrm>
                    <a:off x="0" y="0"/>
                    <a:ext cx="7559040" cy="667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6D5">
      <w:rPr>
        <w:noProof/>
      </w:rPr>
      <w:drawing>
        <wp:anchor distT="0" distB="0" distL="114300" distR="114300" simplePos="0" relativeHeight="251660288" behindDoc="0" locked="0" layoutInCell="1" allowOverlap="1" wp14:anchorId="3FFCDE8E" wp14:editId="3AE9F4E5">
          <wp:simplePos x="0" y="0"/>
          <wp:positionH relativeFrom="column">
            <wp:posOffset>-814705</wp:posOffset>
          </wp:positionH>
          <wp:positionV relativeFrom="paragraph">
            <wp:posOffset>-263525</wp:posOffset>
          </wp:positionV>
          <wp:extent cx="2657475" cy="1209675"/>
          <wp:effectExtent l="0" t="0" r="9525"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57475" cy="12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23152D"/>
    <w:multiLevelType w:val="hybridMultilevel"/>
    <w:tmpl w:val="3FA896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45B3A32"/>
    <w:multiLevelType w:val="hybridMultilevel"/>
    <w:tmpl w:val="5808C722"/>
    <w:lvl w:ilvl="0" w:tplc="8AAC539C">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F83117"/>
    <w:multiLevelType w:val="hybridMultilevel"/>
    <w:tmpl w:val="02CCA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935EA0"/>
    <w:multiLevelType w:val="hybridMultilevel"/>
    <w:tmpl w:val="CF94F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F1D61"/>
    <w:multiLevelType w:val="hybridMultilevel"/>
    <w:tmpl w:val="FF7495C6"/>
    <w:lvl w:ilvl="0" w:tplc="8AAC53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1756D0"/>
    <w:multiLevelType w:val="hybridMultilevel"/>
    <w:tmpl w:val="5862FBF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3363506"/>
    <w:multiLevelType w:val="hybridMultilevel"/>
    <w:tmpl w:val="5F78E896"/>
    <w:lvl w:ilvl="0" w:tplc="ACE8F38E">
      <w:start w:val="1"/>
      <w:numFmt w:val="bullet"/>
      <w:pStyle w:val="ListBullet"/>
      <w:lvlText w:val=""/>
      <w:lvlJc w:val="left"/>
      <w:pPr>
        <w:ind w:left="360" w:hanging="360"/>
      </w:pPr>
      <w:rPr>
        <w:rFonts w:ascii="Symbol" w:hAnsi="Symbol" w:hint="default"/>
        <w:color w:val="auto"/>
      </w:rPr>
    </w:lvl>
    <w:lvl w:ilvl="1" w:tplc="85DE0EC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9352C"/>
    <w:multiLevelType w:val="hybridMultilevel"/>
    <w:tmpl w:val="B72472F4"/>
    <w:lvl w:ilvl="0" w:tplc="E4A6547E">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AE2B0C"/>
    <w:multiLevelType w:val="hybridMultilevel"/>
    <w:tmpl w:val="EB00D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4A55F1"/>
    <w:multiLevelType w:val="hybridMultilevel"/>
    <w:tmpl w:val="97A6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844ABF"/>
    <w:multiLevelType w:val="hybridMultilevel"/>
    <w:tmpl w:val="8DD0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3C931024"/>
    <w:multiLevelType w:val="hybridMultilevel"/>
    <w:tmpl w:val="444EEC26"/>
    <w:lvl w:ilvl="0" w:tplc="6E4CED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78D2D73"/>
    <w:multiLevelType w:val="hybridMultilevel"/>
    <w:tmpl w:val="5DC6F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600837"/>
    <w:multiLevelType w:val="hybridMultilevel"/>
    <w:tmpl w:val="B210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ED4D5F"/>
    <w:multiLevelType w:val="hybridMultilevel"/>
    <w:tmpl w:val="2DA6BB32"/>
    <w:lvl w:ilvl="0" w:tplc="FFE0D58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902C7B"/>
    <w:multiLevelType w:val="hybridMultilevel"/>
    <w:tmpl w:val="76949C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C40363"/>
    <w:multiLevelType w:val="hybridMultilevel"/>
    <w:tmpl w:val="2486872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1" w15:restartNumberingAfterBreak="0">
    <w:nsid w:val="59BA7F17"/>
    <w:multiLevelType w:val="hybridMultilevel"/>
    <w:tmpl w:val="EF346308"/>
    <w:lvl w:ilvl="0" w:tplc="E96C518A">
      <w:start w:val="1"/>
      <w:numFmt w:val="bullet"/>
      <w:lvlText w:val=""/>
      <w:lvlJc w:val="left"/>
      <w:pPr>
        <w:ind w:left="360" w:hanging="360"/>
      </w:pPr>
      <w:rPr>
        <w:rFonts w:ascii="Symbol" w:hAnsi="Symbol" w:hint="default"/>
        <w:color w:val="auto"/>
      </w:rPr>
    </w:lvl>
    <w:lvl w:ilvl="1" w:tplc="D56056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E166E9"/>
    <w:multiLevelType w:val="hybridMultilevel"/>
    <w:tmpl w:val="A10CEE92"/>
    <w:lvl w:ilvl="0" w:tplc="8AAC539C">
      <w:numFmt w:val="bullet"/>
      <w:lvlText w:val="-"/>
      <w:lvlJc w:val="left"/>
      <w:pPr>
        <w:ind w:left="360" w:hanging="360"/>
      </w:pPr>
      <w:rPr>
        <w:rFonts w:ascii="Arial" w:eastAsiaTheme="minorHAnsi" w:hAnsi="Arial" w:cs="Arial" w:hint="default"/>
        <w:color w:val="auto"/>
      </w:rPr>
    </w:lvl>
    <w:lvl w:ilvl="1" w:tplc="85DE0EC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BC81D8D"/>
    <w:multiLevelType w:val="hybridMultilevel"/>
    <w:tmpl w:val="0C7EB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42D75"/>
    <w:multiLevelType w:val="hybridMultilevel"/>
    <w:tmpl w:val="88E09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543A30"/>
    <w:multiLevelType w:val="hybridMultilevel"/>
    <w:tmpl w:val="D94CD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9E5D47"/>
    <w:multiLevelType w:val="hybridMultilevel"/>
    <w:tmpl w:val="88CC656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CBF05F2"/>
    <w:multiLevelType w:val="hybridMultilevel"/>
    <w:tmpl w:val="98D0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7F5B1E4B"/>
    <w:multiLevelType w:val="hybridMultilevel"/>
    <w:tmpl w:val="443E58A6"/>
    <w:lvl w:ilvl="0" w:tplc="282478A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5"/>
  </w:num>
  <w:num w:numId="4">
    <w:abstractNumId w:val="9"/>
  </w:num>
  <w:num w:numId="5">
    <w:abstractNumId w:val="40"/>
  </w:num>
  <w:num w:numId="6">
    <w:abstractNumId w:val="22"/>
  </w:num>
  <w:num w:numId="7">
    <w:abstractNumId w:val="38"/>
  </w:num>
  <w:num w:numId="8">
    <w:abstractNumId w:val="31"/>
  </w:num>
  <w:num w:numId="9">
    <w:abstractNumId w:val="7"/>
  </w:num>
  <w:num w:numId="10">
    <w:abstractNumId w:val="9"/>
    <w:lvlOverride w:ilvl="0">
      <w:startOverride w:val="1"/>
    </w:lvlOverride>
  </w:num>
  <w:num w:numId="11">
    <w:abstractNumId w:val="13"/>
  </w:num>
  <w:num w:numId="12">
    <w:abstractNumId w:val="24"/>
  </w:num>
  <w:num w:numId="13">
    <w:abstractNumId w:val="33"/>
  </w:num>
  <w:num w:numId="14">
    <w:abstractNumId w:val="5"/>
  </w:num>
  <w:num w:numId="15">
    <w:abstractNumId w:val="4"/>
  </w:num>
  <w:num w:numId="16">
    <w:abstractNumId w:val="3"/>
  </w:num>
  <w:num w:numId="17">
    <w:abstractNumId w:val="2"/>
  </w:num>
  <w:num w:numId="18">
    <w:abstractNumId w:val="6"/>
  </w:num>
  <w:num w:numId="19">
    <w:abstractNumId w:val="1"/>
  </w:num>
  <w:num w:numId="20">
    <w:abstractNumId w:val="0"/>
  </w:num>
  <w:num w:numId="21">
    <w:abstractNumId w:val="18"/>
  </w:num>
  <w:num w:numId="22">
    <w:abstractNumId w:val="16"/>
  </w:num>
  <w:num w:numId="23">
    <w:abstractNumId w:val="21"/>
  </w:num>
  <w:num w:numId="24">
    <w:abstractNumId w:val="36"/>
  </w:num>
  <w:num w:numId="25">
    <w:abstractNumId w:val="34"/>
  </w:num>
  <w:num w:numId="26">
    <w:abstractNumId w:val="25"/>
  </w:num>
  <w:num w:numId="27">
    <w:abstractNumId w:val="8"/>
  </w:num>
  <w:num w:numId="28">
    <w:abstractNumId w:val="14"/>
  </w:num>
  <w:num w:numId="29">
    <w:abstractNumId w:val="16"/>
  </w:num>
  <w:num w:numId="30">
    <w:abstractNumId w:val="23"/>
  </w:num>
  <w:num w:numId="31">
    <w:abstractNumId w:val="12"/>
  </w:num>
  <w:num w:numId="32">
    <w:abstractNumId w:val="19"/>
  </w:num>
  <w:num w:numId="33">
    <w:abstractNumId w:val="16"/>
  </w:num>
  <w:num w:numId="34">
    <w:abstractNumId w:val="16"/>
  </w:num>
  <w:num w:numId="35">
    <w:abstractNumId w:val="16"/>
  </w:num>
  <w:num w:numId="36">
    <w:abstractNumId w:val="37"/>
  </w:num>
  <w:num w:numId="37">
    <w:abstractNumId w:val="16"/>
  </w:num>
  <w:num w:numId="38">
    <w:abstractNumId w:val="11"/>
  </w:num>
  <w:num w:numId="39">
    <w:abstractNumId w:val="41"/>
  </w:num>
  <w:num w:numId="40">
    <w:abstractNumId w:val="16"/>
  </w:num>
  <w:num w:numId="41">
    <w:abstractNumId w:val="16"/>
  </w:num>
  <w:num w:numId="42">
    <w:abstractNumId w:val="16"/>
  </w:num>
  <w:num w:numId="43">
    <w:abstractNumId w:val="16"/>
  </w:num>
  <w:num w:numId="44">
    <w:abstractNumId w:val="32"/>
  </w:num>
  <w:num w:numId="45">
    <w:abstractNumId w:val="16"/>
  </w:num>
  <w:num w:numId="46">
    <w:abstractNumId w:val="16"/>
  </w:num>
  <w:num w:numId="47">
    <w:abstractNumId w:val="10"/>
  </w:num>
  <w:num w:numId="48">
    <w:abstractNumId w:val="27"/>
  </w:num>
  <w:num w:numId="49">
    <w:abstractNumId w:val="30"/>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39"/>
  </w:num>
  <w:num w:numId="54">
    <w:abstractNumId w:val="20"/>
  </w:num>
  <w:num w:numId="55">
    <w:abstractNumId w:val="26"/>
  </w:num>
  <w:num w:numId="56">
    <w:abstractNumId w:val="16"/>
  </w:num>
  <w:num w:numId="5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D"/>
    <w:rsid w:val="00000EF3"/>
    <w:rsid w:val="00001AEB"/>
    <w:rsid w:val="00005DF4"/>
    <w:rsid w:val="0001249D"/>
    <w:rsid w:val="00014FA7"/>
    <w:rsid w:val="00016153"/>
    <w:rsid w:val="000226F6"/>
    <w:rsid w:val="00026761"/>
    <w:rsid w:val="0003576B"/>
    <w:rsid w:val="00036425"/>
    <w:rsid w:val="00037B08"/>
    <w:rsid w:val="00040A6B"/>
    <w:rsid w:val="00042335"/>
    <w:rsid w:val="00043864"/>
    <w:rsid w:val="00047E05"/>
    <w:rsid w:val="00050E67"/>
    <w:rsid w:val="0005544C"/>
    <w:rsid w:val="0005748F"/>
    <w:rsid w:val="00065562"/>
    <w:rsid w:val="0006567B"/>
    <w:rsid w:val="00072A94"/>
    <w:rsid w:val="0007364D"/>
    <w:rsid w:val="0008304F"/>
    <w:rsid w:val="00083825"/>
    <w:rsid w:val="00083AE4"/>
    <w:rsid w:val="00090151"/>
    <w:rsid w:val="00092A8F"/>
    <w:rsid w:val="00097BFB"/>
    <w:rsid w:val="000A0617"/>
    <w:rsid w:val="000A1D80"/>
    <w:rsid w:val="000A48CC"/>
    <w:rsid w:val="000B026A"/>
    <w:rsid w:val="000B3AE9"/>
    <w:rsid w:val="000B5CBE"/>
    <w:rsid w:val="000C1803"/>
    <w:rsid w:val="000C1E25"/>
    <w:rsid w:val="000C7140"/>
    <w:rsid w:val="000D3C47"/>
    <w:rsid w:val="000D4E16"/>
    <w:rsid w:val="000D554E"/>
    <w:rsid w:val="000D7357"/>
    <w:rsid w:val="000E3CDD"/>
    <w:rsid w:val="000E50AF"/>
    <w:rsid w:val="000E5B93"/>
    <w:rsid w:val="000F37DB"/>
    <w:rsid w:val="000F41CB"/>
    <w:rsid w:val="000F481B"/>
    <w:rsid w:val="00111208"/>
    <w:rsid w:val="001116D5"/>
    <w:rsid w:val="001126D5"/>
    <w:rsid w:val="00112D0D"/>
    <w:rsid w:val="00114BC9"/>
    <w:rsid w:val="00114EF8"/>
    <w:rsid w:val="0011595C"/>
    <w:rsid w:val="00115981"/>
    <w:rsid w:val="00120616"/>
    <w:rsid w:val="00120A09"/>
    <w:rsid w:val="001237B2"/>
    <w:rsid w:val="00126A53"/>
    <w:rsid w:val="001305B7"/>
    <w:rsid w:val="00131746"/>
    <w:rsid w:val="0013584F"/>
    <w:rsid w:val="001359D5"/>
    <w:rsid w:val="00137E4E"/>
    <w:rsid w:val="00140104"/>
    <w:rsid w:val="001413D1"/>
    <w:rsid w:val="00141BC7"/>
    <w:rsid w:val="00145D31"/>
    <w:rsid w:val="00150F1E"/>
    <w:rsid w:val="00157BF3"/>
    <w:rsid w:val="001600C9"/>
    <w:rsid w:val="001605E0"/>
    <w:rsid w:val="00163B19"/>
    <w:rsid w:val="00164409"/>
    <w:rsid w:val="00165C50"/>
    <w:rsid w:val="001742AE"/>
    <w:rsid w:val="00174B9C"/>
    <w:rsid w:val="001756CF"/>
    <w:rsid w:val="00180032"/>
    <w:rsid w:val="00180A3D"/>
    <w:rsid w:val="00191200"/>
    <w:rsid w:val="001924DA"/>
    <w:rsid w:val="001925DE"/>
    <w:rsid w:val="00192EFF"/>
    <w:rsid w:val="00193576"/>
    <w:rsid w:val="001938C1"/>
    <w:rsid w:val="00194911"/>
    <w:rsid w:val="00194F89"/>
    <w:rsid w:val="00196AF3"/>
    <w:rsid w:val="001A1CF4"/>
    <w:rsid w:val="001A2193"/>
    <w:rsid w:val="001A25B0"/>
    <w:rsid w:val="001A2CF6"/>
    <w:rsid w:val="001A5035"/>
    <w:rsid w:val="001A547C"/>
    <w:rsid w:val="001A5E81"/>
    <w:rsid w:val="001A72CC"/>
    <w:rsid w:val="001A7988"/>
    <w:rsid w:val="001B001A"/>
    <w:rsid w:val="001B0134"/>
    <w:rsid w:val="001B1FC7"/>
    <w:rsid w:val="001B5C30"/>
    <w:rsid w:val="001B5ED5"/>
    <w:rsid w:val="001C055C"/>
    <w:rsid w:val="001C183A"/>
    <w:rsid w:val="001C2711"/>
    <w:rsid w:val="001C2A36"/>
    <w:rsid w:val="001D0671"/>
    <w:rsid w:val="001D286C"/>
    <w:rsid w:val="001D2B14"/>
    <w:rsid w:val="001D4F1D"/>
    <w:rsid w:val="001D6FE7"/>
    <w:rsid w:val="001D7AEE"/>
    <w:rsid w:val="001E13C6"/>
    <w:rsid w:val="001E2056"/>
    <w:rsid w:val="001E3E97"/>
    <w:rsid w:val="001E4BB2"/>
    <w:rsid w:val="001E6055"/>
    <w:rsid w:val="001E632A"/>
    <w:rsid w:val="001E7A6D"/>
    <w:rsid w:val="001F4822"/>
    <w:rsid w:val="00202B11"/>
    <w:rsid w:val="002132D2"/>
    <w:rsid w:val="0022182B"/>
    <w:rsid w:val="00222079"/>
    <w:rsid w:val="002222DB"/>
    <w:rsid w:val="00226905"/>
    <w:rsid w:val="00230416"/>
    <w:rsid w:val="00230CF6"/>
    <w:rsid w:val="00231E0C"/>
    <w:rsid w:val="00232D83"/>
    <w:rsid w:val="00234BC2"/>
    <w:rsid w:val="00236BFC"/>
    <w:rsid w:val="00237AAB"/>
    <w:rsid w:val="00241223"/>
    <w:rsid w:val="00252B89"/>
    <w:rsid w:val="00255103"/>
    <w:rsid w:val="0026346F"/>
    <w:rsid w:val="002646EE"/>
    <w:rsid w:val="00266F60"/>
    <w:rsid w:val="00276073"/>
    <w:rsid w:val="00281493"/>
    <w:rsid w:val="002836E2"/>
    <w:rsid w:val="0028431B"/>
    <w:rsid w:val="0028722A"/>
    <w:rsid w:val="002959E1"/>
    <w:rsid w:val="00296534"/>
    <w:rsid w:val="00297FF4"/>
    <w:rsid w:val="002A11EC"/>
    <w:rsid w:val="002B022F"/>
    <w:rsid w:val="002D0A92"/>
    <w:rsid w:val="002D50BD"/>
    <w:rsid w:val="002E1273"/>
    <w:rsid w:val="002E16FE"/>
    <w:rsid w:val="002E2328"/>
    <w:rsid w:val="002F30A5"/>
    <w:rsid w:val="002F6452"/>
    <w:rsid w:val="003032C0"/>
    <w:rsid w:val="00304C1E"/>
    <w:rsid w:val="00306775"/>
    <w:rsid w:val="00311E6F"/>
    <w:rsid w:val="00314402"/>
    <w:rsid w:val="00322156"/>
    <w:rsid w:val="00322561"/>
    <w:rsid w:val="00323BAD"/>
    <w:rsid w:val="00324B61"/>
    <w:rsid w:val="003270F6"/>
    <w:rsid w:val="00327589"/>
    <w:rsid w:val="00332B9D"/>
    <w:rsid w:val="00336C83"/>
    <w:rsid w:val="00336F71"/>
    <w:rsid w:val="003436AB"/>
    <w:rsid w:val="00344B3A"/>
    <w:rsid w:val="003540F9"/>
    <w:rsid w:val="00354E84"/>
    <w:rsid w:val="00356E62"/>
    <w:rsid w:val="003570F3"/>
    <w:rsid w:val="0035779A"/>
    <w:rsid w:val="003628C3"/>
    <w:rsid w:val="00362FC4"/>
    <w:rsid w:val="003632BD"/>
    <w:rsid w:val="003652C6"/>
    <w:rsid w:val="0036583E"/>
    <w:rsid w:val="00371F70"/>
    <w:rsid w:val="003729A2"/>
    <w:rsid w:val="00373AE6"/>
    <w:rsid w:val="003841BC"/>
    <w:rsid w:val="00387A8A"/>
    <w:rsid w:val="00387B80"/>
    <w:rsid w:val="00393E49"/>
    <w:rsid w:val="00394952"/>
    <w:rsid w:val="003A27C3"/>
    <w:rsid w:val="003B3A2A"/>
    <w:rsid w:val="003B4F31"/>
    <w:rsid w:val="003B5587"/>
    <w:rsid w:val="003B6DC4"/>
    <w:rsid w:val="003B6E26"/>
    <w:rsid w:val="003B7AA9"/>
    <w:rsid w:val="003C0500"/>
    <w:rsid w:val="003C3787"/>
    <w:rsid w:val="003C5D89"/>
    <w:rsid w:val="003D0F46"/>
    <w:rsid w:val="003D7B6D"/>
    <w:rsid w:val="003E47E7"/>
    <w:rsid w:val="003E6FA2"/>
    <w:rsid w:val="003F613C"/>
    <w:rsid w:val="00401C39"/>
    <w:rsid w:val="004064FD"/>
    <w:rsid w:val="0041104B"/>
    <w:rsid w:val="004111B6"/>
    <w:rsid w:val="00411213"/>
    <w:rsid w:val="00412C11"/>
    <w:rsid w:val="00412F8E"/>
    <w:rsid w:val="00420736"/>
    <w:rsid w:val="004227A6"/>
    <w:rsid w:val="00422813"/>
    <w:rsid w:val="00426003"/>
    <w:rsid w:val="00431380"/>
    <w:rsid w:val="00435A1E"/>
    <w:rsid w:val="00436A0D"/>
    <w:rsid w:val="00440DB7"/>
    <w:rsid w:val="00441E01"/>
    <w:rsid w:val="00442685"/>
    <w:rsid w:val="00443399"/>
    <w:rsid w:val="00443547"/>
    <w:rsid w:val="004443B8"/>
    <w:rsid w:val="00446BA8"/>
    <w:rsid w:val="0044740F"/>
    <w:rsid w:val="00452663"/>
    <w:rsid w:val="00454838"/>
    <w:rsid w:val="00454FCA"/>
    <w:rsid w:val="004568B4"/>
    <w:rsid w:val="004577BD"/>
    <w:rsid w:val="004650F4"/>
    <w:rsid w:val="00465862"/>
    <w:rsid w:val="0047378A"/>
    <w:rsid w:val="004822D9"/>
    <w:rsid w:val="00482342"/>
    <w:rsid w:val="00482510"/>
    <w:rsid w:val="00484FCA"/>
    <w:rsid w:val="0048603C"/>
    <w:rsid w:val="004871C5"/>
    <w:rsid w:val="0049054A"/>
    <w:rsid w:val="004922CC"/>
    <w:rsid w:val="004A23AD"/>
    <w:rsid w:val="004A2AAB"/>
    <w:rsid w:val="004A2BA7"/>
    <w:rsid w:val="004A40AB"/>
    <w:rsid w:val="004A69C2"/>
    <w:rsid w:val="004A6B54"/>
    <w:rsid w:val="004B76B6"/>
    <w:rsid w:val="004B7F12"/>
    <w:rsid w:val="004C40DB"/>
    <w:rsid w:val="004C5B82"/>
    <w:rsid w:val="004D11ED"/>
    <w:rsid w:val="004E36A3"/>
    <w:rsid w:val="004E36CC"/>
    <w:rsid w:val="004E7DF5"/>
    <w:rsid w:val="004F0CB7"/>
    <w:rsid w:val="004F1413"/>
    <w:rsid w:val="004F532B"/>
    <w:rsid w:val="0050011C"/>
    <w:rsid w:val="00501CFE"/>
    <w:rsid w:val="005024AC"/>
    <w:rsid w:val="00503FB4"/>
    <w:rsid w:val="00506342"/>
    <w:rsid w:val="00511354"/>
    <w:rsid w:val="00512026"/>
    <w:rsid w:val="00512A32"/>
    <w:rsid w:val="00514C9B"/>
    <w:rsid w:val="005209AD"/>
    <w:rsid w:val="0052132E"/>
    <w:rsid w:val="005247EE"/>
    <w:rsid w:val="00524E0E"/>
    <w:rsid w:val="00525E16"/>
    <w:rsid w:val="00531652"/>
    <w:rsid w:val="00532ECB"/>
    <w:rsid w:val="00533E33"/>
    <w:rsid w:val="005402FD"/>
    <w:rsid w:val="00541549"/>
    <w:rsid w:val="005449DB"/>
    <w:rsid w:val="00545282"/>
    <w:rsid w:val="00545392"/>
    <w:rsid w:val="0054643C"/>
    <w:rsid w:val="005476DF"/>
    <w:rsid w:val="00555B91"/>
    <w:rsid w:val="00555C5A"/>
    <w:rsid w:val="00560B1C"/>
    <w:rsid w:val="0056240E"/>
    <w:rsid w:val="0056539B"/>
    <w:rsid w:val="005700AC"/>
    <w:rsid w:val="00571BF5"/>
    <w:rsid w:val="005773D5"/>
    <w:rsid w:val="00580886"/>
    <w:rsid w:val="0058206F"/>
    <w:rsid w:val="00582E35"/>
    <w:rsid w:val="00582EED"/>
    <w:rsid w:val="00585F16"/>
    <w:rsid w:val="00587756"/>
    <w:rsid w:val="00596855"/>
    <w:rsid w:val="00596EA2"/>
    <w:rsid w:val="00597B09"/>
    <w:rsid w:val="005A2767"/>
    <w:rsid w:val="005A32AB"/>
    <w:rsid w:val="005A59CC"/>
    <w:rsid w:val="005A7B03"/>
    <w:rsid w:val="005A7F6A"/>
    <w:rsid w:val="005B0233"/>
    <w:rsid w:val="005B3616"/>
    <w:rsid w:val="005C0031"/>
    <w:rsid w:val="005C7DF8"/>
    <w:rsid w:val="005D00E7"/>
    <w:rsid w:val="005D13C7"/>
    <w:rsid w:val="005D7EF6"/>
    <w:rsid w:val="005E17D8"/>
    <w:rsid w:val="005E2220"/>
    <w:rsid w:val="005E3B05"/>
    <w:rsid w:val="005E5688"/>
    <w:rsid w:val="005F3DD0"/>
    <w:rsid w:val="005F6D99"/>
    <w:rsid w:val="00602105"/>
    <w:rsid w:val="00602759"/>
    <w:rsid w:val="0060673B"/>
    <w:rsid w:val="00613A68"/>
    <w:rsid w:val="006168AD"/>
    <w:rsid w:val="006219FD"/>
    <w:rsid w:val="006228BC"/>
    <w:rsid w:val="00636470"/>
    <w:rsid w:val="00637381"/>
    <w:rsid w:val="00640AEB"/>
    <w:rsid w:val="00642BEF"/>
    <w:rsid w:val="00643B41"/>
    <w:rsid w:val="0064485C"/>
    <w:rsid w:val="00650E03"/>
    <w:rsid w:val="00651D5F"/>
    <w:rsid w:val="0065228B"/>
    <w:rsid w:val="00652FC1"/>
    <w:rsid w:val="00653BA1"/>
    <w:rsid w:val="00653FD0"/>
    <w:rsid w:val="00654430"/>
    <w:rsid w:val="00655193"/>
    <w:rsid w:val="0065601C"/>
    <w:rsid w:val="00661D90"/>
    <w:rsid w:val="006739D0"/>
    <w:rsid w:val="00674ADA"/>
    <w:rsid w:val="00676814"/>
    <w:rsid w:val="00680FA8"/>
    <w:rsid w:val="0068472F"/>
    <w:rsid w:val="00690D4B"/>
    <w:rsid w:val="00692810"/>
    <w:rsid w:val="00694ED5"/>
    <w:rsid w:val="0069681B"/>
    <w:rsid w:val="006A3B1F"/>
    <w:rsid w:val="006A5E31"/>
    <w:rsid w:val="006A610F"/>
    <w:rsid w:val="006A70CB"/>
    <w:rsid w:val="006A7CA2"/>
    <w:rsid w:val="006C36BF"/>
    <w:rsid w:val="006C39DC"/>
    <w:rsid w:val="006D3EFB"/>
    <w:rsid w:val="006D4C9E"/>
    <w:rsid w:val="006E04A3"/>
    <w:rsid w:val="006E063D"/>
    <w:rsid w:val="006E3F89"/>
    <w:rsid w:val="006E57CD"/>
    <w:rsid w:val="006E6725"/>
    <w:rsid w:val="006E791D"/>
    <w:rsid w:val="006E7D0F"/>
    <w:rsid w:val="006F0885"/>
    <w:rsid w:val="00700E7A"/>
    <w:rsid w:val="00701DCA"/>
    <w:rsid w:val="007102D8"/>
    <w:rsid w:val="007149BF"/>
    <w:rsid w:val="00721496"/>
    <w:rsid w:val="007226C3"/>
    <w:rsid w:val="00724437"/>
    <w:rsid w:val="0073296B"/>
    <w:rsid w:val="00735D70"/>
    <w:rsid w:val="007376AF"/>
    <w:rsid w:val="00737CFE"/>
    <w:rsid w:val="007441FA"/>
    <w:rsid w:val="00745B54"/>
    <w:rsid w:val="00750800"/>
    <w:rsid w:val="007510EF"/>
    <w:rsid w:val="00752AF6"/>
    <w:rsid w:val="00756398"/>
    <w:rsid w:val="00757799"/>
    <w:rsid w:val="00762563"/>
    <w:rsid w:val="00771392"/>
    <w:rsid w:val="0077153F"/>
    <w:rsid w:val="0077313E"/>
    <w:rsid w:val="00777071"/>
    <w:rsid w:val="007808DB"/>
    <w:rsid w:val="00781B4D"/>
    <w:rsid w:val="007820FA"/>
    <w:rsid w:val="00790234"/>
    <w:rsid w:val="00792239"/>
    <w:rsid w:val="00792800"/>
    <w:rsid w:val="007940A8"/>
    <w:rsid w:val="007A0D4D"/>
    <w:rsid w:val="007A167F"/>
    <w:rsid w:val="007A4D38"/>
    <w:rsid w:val="007B4CD8"/>
    <w:rsid w:val="007B52F4"/>
    <w:rsid w:val="007B5F09"/>
    <w:rsid w:val="007B78E0"/>
    <w:rsid w:val="007C1106"/>
    <w:rsid w:val="007D5063"/>
    <w:rsid w:val="007D6CD3"/>
    <w:rsid w:val="007F15C6"/>
    <w:rsid w:val="007F2450"/>
    <w:rsid w:val="007F4A32"/>
    <w:rsid w:val="00811A46"/>
    <w:rsid w:val="00815777"/>
    <w:rsid w:val="008169C8"/>
    <w:rsid w:val="008171DD"/>
    <w:rsid w:val="00824AD4"/>
    <w:rsid w:val="00824F94"/>
    <w:rsid w:val="00827E78"/>
    <w:rsid w:val="00831665"/>
    <w:rsid w:val="00836363"/>
    <w:rsid w:val="00836717"/>
    <w:rsid w:val="00837493"/>
    <w:rsid w:val="00837F8B"/>
    <w:rsid w:val="00844331"/>
    <w:rsid w:val="0084538F"/>
    <w:rsid w:val="008460C8"/>
    <w:rsid w:val="008536F7"/>
    <w:rsid w:val="00853A28"/>
    <w:rsid w:val="00856BC6"/>
    <w:rsid w:val="0086339A"/>
    <w:rsid w:val="00863A4F"/>
    <w:rsid w:val="008650F0"/>
    <w:rsid w:val="00866BEC"/>
    <w:rsid w:val="0086752F"/>
    <w:rsid w:val="0087083B"/>
    <w:rsid w:val="00874155"/>
    <w:rsid w:val="00876DB2"/>
    <w:rsid w:val="0088013E"/>
    <w:rsid w:val="00880771"/>
    <w:rsid w:val="008829DB"/>
    <w:rsid w:val="00883394"/>
    <w:rsid w:val="00883E13"/>
    <w:rsid w:val="00884F2D"/>
    <w:rsid w:val="00885914"/>
    <w:rsid w:val="00893B5F"/>
    <w:rsid w:val="00894F8A"/>
    <w:rsid w:val="008A5154"/>
    <w:rsid w:val="008A5DDA"/>
    <w:rsid w:val="008B040B"/>
    <w:rsid w:val="008B768C"/>
    <w:rsid w:val="008C133B"/>
    <w:rsid w:val="008C4F86"/>
    <w:rsid w:val="008C6C8C"/>
    <w:rsid w:val="008C7533"/>
    <w:rsid w:val="008C7DA2"/>
    <w:rsid w:val="008D0706"/>
    <w:rsid w:val="008D0FB6"/>
    <w:rsid w:val="008D51D0"/>
    <w:rsid w:val="008D7701"/>
    <w:rsid w:val="008D7C30"/>
    <w:rsid w:val="008E57BF"/>
    <w:rsid w:val="008F0B67"/>
    <w:rsid w:val="008F3E5A"/>
    <w:rsid w:val="00900DD4"/>
    <w:rsid w:val="00901EC8"/>
    <w:rsid w:val="00902954"/>
    <w:rsid w:val="00903A55"/>
    <w:rsid w:val="00905EBA"/>
    <w:rsid w:val="009074D6"/>
    <w:rsid w:val="00913740"/>
    <w:rsid w:val="009179E6"/>
    <w:rsid w:val="009207F4"/>
    <w:rsid w:val="00923737"/>
    <w:rsid w:val="00924BAC"/>
    <w:rsid w:val="00926003"/>
    <w:rsid w:val="00926121"/>
    <w:rsid w:val="0092671E"/>
    <w:rsid w:val="0093560F"/>
    <w:rsid w:val="009360A0"/>
    <w:rsid w:val="009379F0"/>
    <w:rsid w:val="0094053F"/>
    <w:rsid w:val="00940F79"/>
    <w:rsid w:val="009420BD"/>
    <w:rsid w:val="00942A97"/>
    <w:rsid w:val="00943C47"/>
    <w:rsid w:val="0095062D"/>
    <w:rsid w:val="00950FE8"/>
    <w:rsid w:val="00953274"/>
    <w:rsid w:val="0095409C"/>
    <w:rsid w:val="00960F8F"/>
    <w:rsid w:val="00960FED"/>
    <w:rsid w:val="009631A0"/>
    <w:rsid w:val="00965DDA"/>
    <w:rsid w:val="009727B1"/>
    <w:rsid w:val="00974501"/>
    <w:rsid w:val="00976083"/>
    <w:rsid w:val="00976B01"/>
    <w:rsid w:val="0097796B"/>
    <w:rsid w:val="00981044"/>
    <w:rsid w:val="0098164B"/>
    <w:rsid w:val="009858D9"/>
    <w:rsid w:val="00986840"/>
    <w:rsid w:val="00986A48"/>
    <w:rsid w:val="009903AE"/>
    <w:rsid w:val="00993006"/>
    <w:rsid w:val="009945D6"/>
    <w:rsid w:val="00995D9A"/>
    <w:rsid w:val="009978A9"/>
    <w:rsid w:val="009A382A"/>
    <w:rsid w:val="009A615B"/>
    <w:rsid w:val="009A77B5"/>
    <w:rsid w:val="009B0650"/>
    <w:rsid w:val="009B4C50"/>
    <w:rsid w:val="009B4DE7"/>
    <w:rsid w:val="009C0AC2"/>
    <w:rsid w:val="009C5617"/>
    <w:rsid w:val="009C6219"/>
    <w:rsid w:val="009C7BDC"/>
    <w:rsid w:val="009D009B"/>
    <w:rsid w:val="009D12FB"/>
    <w:rsid w:val="009D2A2B"/>
    <w:rsid w:val="009D38F9"/>
    <w:rsid w:val="009D5054"/>
    <w:rsid w:val="009D684D"/>
    <w:rsid w:val="009D6FA5"/>
    <w:rsid w:val="009E661E"/>
    <w:rsid w:val="009E6DCD"/>
    <w:rsid w:val="009E723D"/>
    <w:rsid w:val="009F0728"/>
    <w:rsid w:val="009F1956"/>
    <w:rsid w:val="009F70E4"/>
    <w:rsid w:val="009F7366"/>
    <w:rsid w:val="009F7DD9"/>
    <w:rsid w:val="00A01DC9"/>
    <w:rsid w:val="00A023D7"/>
    <w:rsid w:val="00A03077"/>
    <w:rsid w:val="00A116AB"/>
    <w:rsid w:val="00A13540"/>
    <w:rsid w:val="00A1460F"/>
    <w:rsid w:val="00A150B0"/>
    <w:rsid w:val="00A17F02"/>
    <w:rsid w:val="00A23182"/>
    <w:rsid w:val="00A2461D"/>
    <w:rsid w:val="00A247B2"/>
    <w:rsid w:val="00A2766A"/>
    <w:rsid w:val="00A27A6F"/>
    <w:rsid w:val="00A32219"/>
    <w:rsid w:val="00A336C4"/>
    <w:rsid w:val="00A337B7"/>
    <w:rsid w:val="00A357FD"/>
    <w:rsid w:val="00A4107A"/>
    <w:rsid w:val="00A46E50"/>
    <w:rsid w:val="00A5456C"/>
    <w:rsid w:val="00A5542B"/>
    <w:rsid w:val="00A612C5"/>
    <w:rsid w:val="00A6300F"/>
    <w:rsid w:val="00A64D96"/>
    <w:rsid w:val="00A64DF8"/>
    <w:rsid w:val="00A67EC3"/>
    <w:rsid w:val="00A8085C"/>
    <w:rsid w:val="00A860B6"/>
    <w:rsid w:val="00A93B97"/>
    <w:rsid w:val="00A94C5C"/>
    <w:rsid w:val="00AA0BFA"/>
    <w:rsid w:val="00AA1CA0"/>
    <w:rsid w:val="00AA242E"/>
    <w:rsid w:val="00AA7291"/>
    <w:rsid w:val="00AB0241"/>
    <w:rsid w:val="00AB066E"/>
    <w:rsid w:val="00AB4193"/>
    <w:rsid w:val="00AB6D38"/>
    <w:rsid w:val="00AB77D4"/>
    <w:rsid w:val="00AC1148"/>
    <w:rsid w:val="00AC18B6"/>
    <w:rsid w:val="00AC52F3"/>
    <w:rsid w:val="00AD0C56"/>
    <w:rsid w:val="00AD644A"/>
    <w:rsid w:val="00AE21FD"/>
    <w:rsid w:val="00AF0393"/>
    <w:rsid w:val="00AF24E8"/>
    <w:rsid w:val="00B00BEC"/>
    <w:rsid w:val="00B01C6E"/>
    <w:rsid w:val="00B03BA7"/>
    <w:rsid w:val="00B0591A"/>
    <w:rsid w:val="00B05F53"/>
    <w:rsid w:val="00B07304"/>
    <w:rsid w:val="00B11E3C"/>
    <w:rsid w:val="00B14896"/>
    <w:rsid w:val="00B15B67"/>
    <w:rsid w:val="00B16A89"/>
    <w:rsid w:val="00B276B5"/>
    <w:rsid w:val="00B31871"/>
    <w:rsid w:val="00B33937"/>
    <w:rsid w:val="00B357C9"/>
    <w:rsid w:val="00B35A9D"/>
    <w:rsid w:val="00B35DBC"/>
    <w:rsid w:val="00B4046B"/>
    <w:rsid w:val="00B41102"/>
    <w:rsid w:val="00B41A3D"/>
    <w:rsid w:val="00B4264F"/>
    <w:rsid w:val="00B4401E"/>
    <w:rsid w:val="00B442DA"/>
    <w:rsid w:val="00B50F71"/>
    <w:rsid w:val="00B52331"/>
    <w:rsid w:val="00B52BC3"/>
    <w:rsid w:val="00B53C67"/>
    <w:rsid w:val="00B548BB"/>
    <w:rsid w:val="00B556E9"/>
    <w:rsid w:val="00B56A81"/>
    <w:rsid w:val="00B60182"/>
    <w:rsid w:val="00B648ED"/>
    <w:rsid w:val="00B8227E"/>
    <w:rsid w:val="00B82BAF"/>
    <w:rsid w:val="00B8371C"/>
    <w:rsid w:val="00B87640"/>
    <w:rsid w:val="00B90F14"/>
    <w:rsid w:val="00B9712D"/>
    <w:rsid w:val="00BA3FF4"/>
    <w:rsid w:val="00BB2CA0"/>
    <w:rsid w:val="00BB73E9"/>
    <w:rsid w:val="00BC0EDD"/>
    <w:rsid w:val="00BC13E9"/>
    <w:rsid w:val="00BC6E02"/>
    <w:rsid w:val="00BD4C00"/>
    <w:rsid w:val="00BD6D8B"/>
    <w:rsid w:val="00BD79F5"/>
    <w:rsid w:val="00BE104A"/>
    <w:rsid w:val="00BE191E"/>
    <w:rsid w:val="00BF07FA"/>
    <w:rsid w:val="00BF5536"/>
    <w:rsid w:val="00BF6A83"/>
    <w:rsid w:val="00C01BD2"/>
    <w:rsid w:val="00C02747"/>
    <w:rsid w:val="00C05197"/>
    <w:rsid w:val="00C0589F"/>
    <w:rsid w:val="00C06CAC"/>
    <w:rsid w:val="00C06E26"/>
    <w:rsid w:val="00C1202C"/>
    <w:rsid w:val="00C1386A"/>
    <w:rsid w:val="00C14C59"/>
    <w:rsid w:val="00C1660F"/>
    <w:rsid w:val="00C17E17"/>
    <w:rsid w:val="00C21816"/>
    <w:rsid w:val="00C271E9"/>
    <w:rsid w:val="00C27C93"/>
    <w:rsid w:val="00C36807"/>
    <w:rsid w:val="00C40B0E"/>
    <w:rsid w:val="00C4228C"/>
    <w:rsid w:val="00C42359"/>
    <w:rsid w:val="00C45844"/>
    <w:rsid w:val="00C45BFC"/>
    <w:rsid w:val="00C508EB"/>
    <w:rsid w:val="00C50A3F"/>
    <w:rsid w:val="00C53F8B"/>
    <w:rsid w:val="00C648A3"/>
    <w:rsid w:val="00C64C38"/>
    <w:rsid w:val="00C71461"/>
    <w:rsid w:val="00C720A0"/>
    <w:rsid w:val="00C74EC8"/>
    <w:rsid w:val="00C83AC9"/>
    <w:rsid w:val="00C83CD2"/>
    <w:rsid w:val="00C851EB"/>
    <w:rsid w:val="00C8559A"/>
    <w:rsid w:val="00C86FBB"/>
    <w:rsid w:val="00C95CF3"/>
    <w:rsid w:val="00CA1100"/>
    <w:rsid w:val="00CA39B3"/>
    <w:rsid w:val="00CB2CE1"/>
    <w:rsid w:val="00CB4A87"/>
    <w:rsid w:val="00CB71D8"/>
    <w:rsid w:val="00CC2AEC"/>
    <w:rsid w:val="00CD36DA"/>
    <w:rsid w:val="00CD71D5"/>
    <w:rsid w:val="00CD793A"/>
    <w:rsid w:val="00CF42B8"/>
    <w:rsid w:val="00CF715E"/>
    <w:rsid w:val="00D047BB"/>
    <w:rsid w:val="00D07E13"/>
    <w:rsid w:val="00D11858"/>
    <w:rsid w:val="00D12CA8"/>
    <w:rsid w:val="00D12EB0"/>
    <w:rsid w:val="00D179A4"/>
    <w:rsid w:val="00D21837"/>
    <w:rsid w:val="00D25919"/>
    <w:rsid w:val="00D3088E"/>
    <w:rsid w:val="00D32E10"/>
    <w:rsid w:val="00D35D97"/>
    <w:rsid w:val="00D41F1D"/>
    <w:rsid w:val="00D42243"/>
    <w:rsid w:val="00D427D7"/>
    <w:rsid w:val="00D427F6"/>
    <w:rsid w:val="00D47146"/>
    <w:rsid w:val="00D50EB6"/>
    <w:rsid w:val="00D5131B"/>
    <w:rsid w:val="00D54B2D"/>
    <w:rsid w:val="00D552CF"/>
    <w:rsid w:val="00D55A55"/>
    <w:rsid w:val="00D56B13"/>
    <w:rsid w:val="00D61D4C"/>
    <w:rsid w:val="00D62B22"/>
    <w:rsid w:val="00D64C89"/>
    <w:rsid w:val="00D66800"/>
    <w:rsid w:val="00D6753E"/>
    <w:rsid w:val="00D713C4"/>
    <w:rsid w:val="00D759CF"/>
    <w:rsid w:val="00D7760A"/>
    <w:rsid w:val="00D77B06"/>
    <w:rsid w:val="00D81A29"/>
    <w:rsid w:val="00D82590"/>
    <w:rsid w:val="00D829BB"/>
    <w:rsid w:val="00D84713"/>
    <w:rsid w:val="00D84EF9"/>
    <w:rsid w:val="00DA025B"/>
    <w:rsid w:val="00DA100A"/>
    <w:rsid w:val="00DA2CC0"/>
    <w:rsid w:val="00DA54A9"/>
    <w:rsid w:val="00DB0358"/>
    <w:rsid w:val="00DB5210"/>
    <w:rsid w:val="00DC5BA9"/>
    <w:rsid w:val="00DC7CF6"/>
    <w:rsid w:val="00DD0CCB"/>
    <w:rsid w:val="00DD4535"/>
    <w:rsid w:val="00DD7F7A"/>
    <w:rsid w:val="00DE308A"/>
    <w:rsid w:val="00DE3FED"/>
    <w:rsid w:val="00DE50F5"/>
    <w:rsid w:val="00DE563C"/>
    <w:rsid w:val="00DF0345"/>
    <w:rsid w:val="00DF16DB"/>
    <w:rsid w:val="00DF2026"/>
    <w:rsid w:val="00DF30A7"/>
    <w:rsid w:val="00DF54EB"/>
    <w:rsid w:val="00E01386"/>
    <w:rsid w:val="00E0227D"/>
    <w:rsid w:val="00E039EA"/>
    <w:rsid w:val="00E0712C"/>
    <w:rsid w:val="00E11254"/>
    <w:rsid w:val="00E1322B"/>
    <w:rsid w:val="00E159CB"/>
    <w:rsid w:val="00E17597"/>
    <w:rsid w:val="00E2189C"/>
    <w:rsid w:val="00E22E95"/>
    <w:rsid w:val="00E2371F"/>
    <w:rsid w:val="00E24393"/>
    <w:rsid w:val="00E25154"/>
    <w:rsid w:val="00E26710"/>
    <w:rsid w:val="00E26B2D"/>
    <w:rsid w:val="00E27165"/>
    <w:rsid w:val="00E301E3"/>
    <w:rsid w:val="00E32D56"/>
    <w:rsid w:val="00E331D8"/>
    <w:rsid w:val="00E339EC"/>
    <w:rsid w:val="00E37ECF"/>
    <w:rsid w:val="00E4349A"/>
    <w:rsid w:val="00E445FE"/>
    <w:rsid w:val="00E55601"/>
    <w:rsid w:val="00E5725B"/>
    <w:rsid w:val="00E57593"/>
    <w:rsid w:val="00E57AAC"/>
    <w:rsid w:val="00E64B0B"/>
    <w:rsid w:val="00E65AF2"/>
    <w:rsid w:val="00E6611E"/>
    <w:rsid w:val="00E71255"/>
    <w:rsid w:val="00E732DB"/>
    <w:rsid w:val="00E753EC"/>
    <w:rsid w:val="00E766AF"/>
    <w:rsid w:val="00E819B0"/>
    <w:rsid w:val="00E842EC"/>
    <w:rsid w:val="00E866D8"/>
    <w:rsid w:val="00E870A0"/>
    <w:rsid w:val="00E8735D"/>
    <w:rsid w:val="00E90847"/>
    <w:rsid w:val="00E91C68"/>
    <w:rsid w:val="00E93B83"/>
    <w:rsid w:val="00E93E7D"/>
    <w:rsid w:val="00E9658D"/>
    <w:rsid w:val="00EA522D"/>
    <w:rsid w:val="00EB06DE"/>
    <w:rsid w:val="00EB1C3B"/>
    <w:rsid w:val="00EB4EAE"/>
    <w:rsid w:val="00EB538C"/>
    <w:rsid w:val="00EB6557"/>
    <w:rsid w:val="00EC0734"/>
    <w:rsid w:val="00EC1898"/>
    <w:rsid w:val="00EC2F31"/>
    <w:rsid w:val="00EC44C2"/>
    <w:rsid w:val="00EC60EF"/>
    <w:rsid w:val="00EC6A85"/>
    <w:rsid w:val="00EC6D81"/>
    <w:rsid w:val="00EC7B44"/>
    <w:rsid w:val="00EC7DB8"/>
    <w:rsid w:val="00ED3D4B"/>
    <w:rsid w:val="00ED70D9"/>
    <w:rsid w:val="00EE3AF1"/>
    <w:rsid w:val="00EE5DC1"/>
    <w:rsid w:val="00EE6B1E"/>
    <w:rsid w:val="00EF1DB2"/>
    <w:rsid w:val="00EF4E39"/>
    <w:rsid w:val="00F01DDE"/>
    <w:rsid w:val="00F07179"/>
    <w:rsid w:val="00F131E5"/>
    <w:rsid w:val="00F1389A"/>
    <w:rsid w:val="00F16869"/>
    <w:rsid w:val="00F168A8"/>
    <w:rsid w:val="00F17056"/>
    <w:rsid w:val="00F22B60"/>
    <w:rsid w:val="00F2333B"/>
    <w:rsid w:val="00F26DB4"/>
    <w:rsid w:val="00F30FED"/>
    <w:rsid w:val="00F3321A"/>
    <w:rsid w:val="00F368C7"/>
    <w:rsid w:val="00F555C3"/>
    <w:rsid w:val="00F56306"/>
    <w:rsid w:val="00F63884"/>
    <w:rsid w:val="00F63FD6"/>
    <w:rsid w:val="00F641C1"/>
    <w:rsid w:val="00F731D3"/>
    <w:rsid w:val="00F735DE"/>
    <w:rsid w:val="00F75EA2"/>
    <w:rsid w:val="00F77C5B"/>
    <w:rsid w:val="00F808BD"/>
    <w:rsid w:val="00F821AD"/>
    <w:rsid w:val="00F82B90"/>
    <w:rsid w:val="00F82D31"/>
    <w:rsid w:val="00F837C7"/>
    <w:rsid w:val="00F86475"/>
    <w:rsid w:val="00F8691F"/>
    <w:rsid w:val="00F92F8D"/>
    <w:rsid w:val="00F95D0C"/>
    <w:rsid w:val="00FA2B69"/>
    <w:rsid w:val="00FA5D4E"/>
    <w:rsid w:val="00FB03E4"/>
    <w:rsid w:val="00FB0A5A"/>
    <w:rsid w:val="00FB1ABD"/>
    <w:rsid w:val="00FB26AB"/>
    <w:rsid w:val="00FB2858"/>
    <w:rsid w:val="00FB6C3E"/>
    <w:rsid w:val="00FC058E"/>
    <w:rsid w:val="00FC1413"/>
    <w:rsid w:val="00FC5AD4"/>
    <w:rsid w:val="00FC6394"/>
    <w:rsid w:val="00FC6D44"/>
    <w:rsid w:val="00FD4DDA"/>
    <w:rsid w:val="00FD61E4"/>
    <w:rsid w:val="00FD72BF"/>
    <w:rsid w:val="00FD7E93"/>
    <w:rsid w:val="00FD7EEA"/>
    <w:rsid w:val="00FE0BC2"/>
    <w:rsid w:val="00FE209E"/>
    <w:rsid w:val="00FE2A19"/>
    <w:rsid w:val="00FE3A71"/>
    <w:rsid w:val="00FE7D98"/>
    <w:rsid w:val="00FF30C3"/>
    <w:rsid w:val="00FF461C"/>
    <w:rsid w:val="00FF5831"/>
    <w:rsid w:val="00FF670C"/>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5E356"/>
  <w15:chartTrackingRefBased/>
  <w15:docId w15:val="{D37B15A8-27CB-4571-B5EF-097B47E9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B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E17D8"/>
    <w:pPr>
      <w:keepNext/>
      <w:spacing w:before="240" w:after="60"/>
      <w:outlineLvl w:val="0"/>
    </w:pPr>
    <w:rPr>
      <w:rFonts w:cs="Arial"/>
      <w:bCs/>
      <w:color w:val="3F4A75"/>
      <w:kern w:val="28"/>
      <w:sz w:val="36"/>
      <w:szCs w:val="36"/>
    </w:rPr>
  </w:style>
  <w:style w:type="paragraph" w:styleId="Heading2">
    <w:name w:val="heading 2"/>
    <w:next w:val="Paragraphtext"/>
    <w:link w:val="Heading2Char"/>
    <w:qFormat/>
    <w:rsid w:val="004227A6"/>
    <w:pPr>
      <w:keepNext/>
      <w:spacing w:before="360" w:after="60" w:line="240" w:lineRule="auto"/>
      <w:outlineLvl w:val="1"/>
    </w:pPr>
    <w:rPr>
      <w:rFonts w:ascii="Arial" w:eastAsia="Times New Roman" w:hAnsi="Arial" w:cs="Arial"/>
      <w:b/>
      <w:bCs/>
      <w:iCs/>
      <w:color w:val="358189"/>
      <w:sz w:val="32"/>
      <w:szCs w:val="28"/>
    </w:rPr>
  </w:style>
  <w:style w:type="paragraph" w:styleId="Heading3">
    <w:name w:val="heading 3"/>
    <w:next w:val="Normal"/>
    <w:link w:val="Heading3Char"/>
    <w:qFormat/>
    <w:rsid w:val="005E17D8"/>
    <w:pPr>
      <w:keepNext/>
      <w:spacing w:before="180" w:after="60" w:line="240" w:lineRule="auto"/>
      <w:outlineLvl w:val="2"/>
    </w:pPr>
    <w:rPr>
      <w:rFonts w:ascii="Arial" w:eastAsia="Times New Roman" w:hAnsi="Arial" w:cs="Arial"/>
      <w:bCs/>
      <w:color w:val="358189"/>
      <w:sz w:val="28"/>
      <w:szCs w:val="26"/>
    </w:rPr>
  </w:style>
  <w:style w:type="paragraph" w:styleId="Heading4">
    <w:name w:val="heading 4"/>
    <w:basedOn w:val="Normal"/>
    <w:next w:val="Normal"/>
    <w:link w:val="Heading4Char"/>
    <w:qFormat/>
    <w:rsid w:val="005E17D8"/>
    <w:pPr>
      <w:keepNext/>
      <w:spacing w:before="240" w:after="60"/>
      <w:outlineLvl w:val="3"/>
    </w:pPr>
    <w:rPr>
      <w:b/>
      <w:bCs/>
      <w:i/>
      <w:color w:val="414141"/>
      <w:sz w:val="24"/>
      <w:szCs w:val="28"/>
    </w:rPr>
  </w:style>
  <w:style w:type="paragraph" w:styleId="Heading5">
    <w:name w:val="heading 5"/>
    <w:basedOn w:val="Normal"/>
    <w:next w:val="Normal"/>
    <w:link w:val="Heading5Char"/>
    <w:rsid w:val="005E17D8"/>
    <w:pPr>
      <w:keepNext/>
      <w:spacing w:before="240" w:after="60"/>
      <w:outlineLvl w:val="4"/>
    </w:pPr>
    <w:rPr>
      <w:b/>
      <w:bCs/>
      <w:iCs/>
      <w:szCs w:val="26"/>
    </w:rPr>
  </w:style>
  <w:style w:type="paragraph" w:styleId="Heading6">
    <w:name w:val="heading 6"/>
    <w:basedOn w:val="Normal"/>
    <w:next w:val="Normal"/>
    <w:link w:val="Heading6Char"/>
    <w:rsid w:val="004227A6"/>
    <w:pPr>
      <w:keepNext/>
      <w:spacing w:before="240" w:after="60" w:line="259" w:lineRule="auto"/>
      <w:outlineLvl w:val="5"/>
    </w:pPr>
    <w:rPr>
      <w:rFonts w:asciiTheme="minorHAnsi" w:eastAsiaTheme="minorHAnsi" w:hAnsiTheme="minorHAnsi" w:cstheme="min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886"/>
    <w:rPr>
      <w:rFonts w:ascii="Arial" w:eastAsia="Times New Roman" w:hAnsi="Arial" w:cs="Arial"/>
      <w:b/>
      <w:bCs/>
      <w:iCs/>
      <w:color w:val="358189"/>
      <w:sz w:val="32"/>
      <w:szCs w:val="28"/>
    </w:rPr>
  </w:style>
  <w:style w:type="character" w:customStyle="1" w:styleId="Heading3Char">
    <w:name w:val="Heading 3 Char"/>
    <w:basedOn w:val="DefaultParagraphFont"/>
    <w:link w:val="Heading3"/>
    <w:rsid w:val="00866BEC"/>
    <w:rPr>
      <w:rFonts w:ascii="Arial" w:eastAsia="Times New Roman" w:hAnsi="Arial" w:cs="Arial"/>
      <w:bCs/>
      <w:color w:val="358189"/>
      <w:sz w:val="28"/>
      <w:szCs w:val="26"/>
    </w:rPr>
  </w:style>
  <w:style w:type="paragraph" w:customStyle="1" w:styleId="Paragraphtext">
    <w:name w:val="Paragraph text"/>
    <w:basedOn w:val="Normal"/>
    <w:qFormat/>
    <w:rsid w:val="00191200"/>
    <w:pPr>
      <w:spacing w:before="120" w:after="60" w:line="276" w:lineRule="auto"/>
    </w:pPr>
    <w:rPr>
      <w:rFonts w:eastAsiaTheme="minorHAnsi" w:cstheme="minorBidi"/>
      <w:color w:val="000000" w:themeColor="text1"/>
      <w:sz w:val="21"/>
      <w:szCs w:val="22"/>
    </w:rPr>
  </w:style>
  <w:style w:type="paragraph" w:styleId="Subtitle">
    <w:name w:val="Subtitle"/>
    <w:next w:val="Normal"/>
    <w:link w:val="SubtitleChar"/>
    <w:qFormat/>
    <w:rsid w:val="005E17D8"/>
    <w:pPr>
      <w:numPr>
        <w:ilvl w:val="1"/>
      </w:numPr>
      <w:spacing w:before="120" w:after="60" w:line="240" w:lineRule="auto"/>
    </w:pPr>
    <w:rPr>
      <w:rFonts w:ascii="Arial" w:eastAsiaTheme="majorEastAsia" w:hAnsi="Arial" w:cstheme="majorBidi"/>
      <w:iCs/>
      <w:color w:val="3F4A75"/>
      <w:spacing w:val="15"/>
      <w:sz w:val="40"/>
      <w:szCs w:val="24"/>
    </w:rPr>
  </w:style>
  <w:style w:type="character" w:customStyle="1" w:styleId="SubtitleChar">
    <w:name w:val="Subtitle Char"/>
    <w:basedOn w:val="DefaultParagraphFont"/>
    <w:link w:val="Subtitle"/>
    <w:rsid w:val="005E17D8"/>
    <w:rPr>
      <w:rFonts w:ascii="Arial" w:eastAsiaTheme="majorEastAsia" w:hAnsi="Arial" w:cstheme="majorBidi"/>
      <w:iCs/>
      <w:color w:val="3F4A75"/>
      <w:spacing w:val="15"/>
      <w:sz w:val="40"/>
      <w:szCs w:val="24"/>
    </w:rPr>
  </w:style>
  <w:style w:type="paragraph" w:styleId="Title">
    <w:name w:val="Title"/>
    <w:basedOn w:val="Normal"/>
    <w:next w:val="Paragraphtext"/>
    <w:link w:val="TitleChar"/>
    <w:qFormat/>
    <w:rsid w:val="005E17D8"/>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5E17D8"/>
    <w:rPr>
      <w:rFonts w:ascii="Arial" w:eastAsiaTheme="majorEastAsia" w:hAnsi="Arial" w:cstheme="majorBidi"/>
      <w:b/>
      <w:color w:val="3F4A75"/>
      <w:kern w:val="28"/>
      <w:sz w:val="48"/>
      <w:szCs w:val="52"/>
    </w:rPr>
  </w:style>
  <w:style w:type="paragraph" w:styleId="ListBullet">
    <w:name w:val="List Bullet"/>
    <w:basedOn w:val="Normal"/>
    <w:qFormat/>
    <w:rsid w:val="00B07304"/>
    <w:pPr>
      <w:numPr>
        <w:numId w:val="1"/>
      </w:numPr>
      <w:spacing w:before="60" w:after="60" w:line="276" w:lineRule="auto"/>
    </w:pPr>
    <w:rPr>
      <w:rFonts w:eastAsiaTheme="minorHAnsi" w:cstheme="minorBidi"/>
      <w:bCs/>
      <w:color w:val="000000" w:themeColor="text1"/>
      <w:sz w:val="21"/>
      <w:szCs w:val="22"/>
    </w:rPr>
  </w:style>
  <w:style w:type="paragraph" w:styleId="Header">
    <w:name w:val="header"/>
    <w:basedOn w:val="Normal"/>
    <w:link w:val="HeaderChar"/>
    <w:qFormat/>
    <w:rsid w:val="005E17D8"/>
    <w:pPr>
      <w:tabs>
        <w:tab w:val="center" w:pos="4513"/>
        <w:tab w:val="right" w:pos="9026"/>
      </w:tabs>
    </w:pPr>
  </w:style>
  <w:style w:type="character" w:customStyle="1" w:styleId="HeaderChar">
    <w:name w:val="Header Char"/>
    <w:basedOn w:val="DefaultParagraphFont"/>
    <w:link w:val="Header"/>
    <w:rsid w:val="005E17D8"/>
    <w:rPr>
      <w:rFonts w:ascii="Arial" w:eastAsia="Times New Roman" w:hAnsi="Arial" w:cs="Times New Roman"/>
      <w:szCs w:val="24"/>
    </w:rPr>
  </w:style>
  <w:style w:type="character" w:styleId="Hyperlink">
    <w:name w:val="Hyperlink"/>
    <w:basedOn w:val="DefaultParagraphFont"/>
    <w:uiPriority w:val="99"/>
    <w:qFormat/>
    <w:rsid w:val="005E17D8"/>
    <w:rPr>
      <w:color w:val="0563C1" w:themeColor="hyperlink"/>
      <w:u w:val="single"/>
    </w:rPr>
  </w:style>
  <w:style w:type="paragraph" w:styleId="FootnoteText">
    <w:name w:val="footnote text"/>
    <w:basedOn w:val="Normal"/>
    <w:link w:val="FootnoteTextChar"/>
    <w:rsid w:val="005E17D8"/>
    <w:rPr>
      <w:sz w:val="20"/>
      <w:szCs w:val="20"/>
    </w:rPr>
  </w:style>
  <w:style w:type="character" w:customStyle="1" w:styleId="FootnoteTextChar">
    <w:name w:val="Footnote Text Char"/>
    <w:basedOn w:val="DefaultParagraphFont"/>
    <w:link w:val="FootnoteText"/>
    <w:rsid w:val="005E17D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168AD"/>
    <w:rPr>
      <w:vertAlign w:val="superscript"/>
    </w:rPr>
  </w:style>
  <w:style w:type="character" w:styleId="UnresolvedMention">
    <w:name w:val="Unresolved Mention"/>
    <w:basedOn w:val="DefaultParagraphFont"/>
    <w:uiPriority w:val="99"/>
    <w:semiHidden/>
    <w:unhideWhenUsed/>
    <w:rsid w:val="006168AD"/>
    <w:rPr>
      <w:color w:val="605E5C"/>
      <w:shd w:val="clear" w:color="auto" w:fill="E1DFDD"/>
    </w:rPr>
  </w:style>
  <w:style w:type="paragraph" w:styleId="ListParagraph">
    <w:name w:val="List Paragraph"/>
    <w:basedOn w:val="Normal"/>
    <w:uiPriority w:val="34"/>
    <w:qFormat/>
    <w:rsid w:val="005E17D8"/>
    <w:pPr>
      <w:ind w:left="720"/>
      <w:contextualSpacing/>
    </w:pPr>
  </w:style>
  <w:style w:type="table" w:styleId="TableGrid">
    <w:name w:val="Table Grid"/>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7D8"/>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5E17D8"/>
    <w:rPr>
      <w:rFonts w:ascii="Tahoma" w:hAnsi="Tahoma" w:cs="Tahoma"/>
      <w:sz w:val="16"/>
      <w:szCs w:val="16"/>
    </w:rPr>
  </w:style>
  <w:style w:type="character" w:customStyle="1" w:styleId="BalloonTextChar">
    <w:name w:val="Balloon Text Char"/>
    <w:basedOn w:val="DefaultParagraphFont"/>
    <w:link w:val="BalloonText"/>
    <w:rsid w:val="005E17D8"/>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A32219"/>
    <w:rPr>
      <w:sz w:val="20"/>
      <w:szCs w:val="20"/>
    </w:rPr>
  </w:style>
  <w:style w:type="character" w:customStyle="1" w:styleId="CommentTextChar">
    <w:name w:val="Comment Text Char"/>
    <w:basedOn w:val="DefaultParagraphFont"/>
    <w:link w:val="CommentText"/>
    <w:uiPriority w:val="99"/>
    <w:semiHidden/>
    <w:rsid w:val="00A32219"/>
    <w:rPr>
      <w:sz w:val="20"/>
      <w:szCs w:val="20"/>
    </w:rPr>
  </w:style>
  <w:style w:type="character" w:styleId="CommentReference">
    <w:name w:val="annotation reference"/>
    <w:basedOn w:val="DefaultParagraphFont"/>
    <w:uiPriority w:val="99"/>
    <w:semiHidden/>
    <w:unhideWhenUsed/>
    <w:rsid w:val="00A32219"/>
    <w:rPr>
      <w:sz w:val="16"/>
      <w:szCs w:val="16"/>
    </w:rPr>
  </w:style>
  <w:style w:type="character" w:customStyle="1" w:styleId="Heading1Char">
    <w:name w:val="Heading 1 Char"/>
    <w:basedOn w:val="DefaultParagraphFont"/>
    <w:link w:val="Heading1"/>
    <w:rsid w:val="00866BEC"/>
    <w:rPr>
      <w:rFonts w:ascii="Arial" w:eastAsia="Times New Roman" w:hAnsi="Arial" w:cs="Arial"/>
      <w:bCs/>
      <w:color w:val="3F4A75"/>
      <w:kern w:val="28"/>
      <w:sz w:val="36"/>
      <w:szCs w:val="36"/>
    </w:rPr>
  </w:style>
  <w:style w:type="paragraph" w:styleId="CommentSubject">
    <w:name w:val="annotation subject"/>
    <w:basedOn w:val="CommentText"/>
    <w:next w:val="CommentText"/>
    <w:link w:val="CommentSubjectChar"/>
    <w:uiPriority w:val="99"/>
    <w:semiHidden/>
    <w:unhideWhenUsed/>
    <w:rsid w:val="00036425"/>
    <w:rPr>
      <w:b/>
      <w:bCs/>
    </w:rPr>
  </w:style>
  <w:style w:type="character" w:customStyle="1" w:styleId="CommentSubjectChar">
    <w:name w:val="Comment Subject Char"/>
    <w:basedOn w:val="CommentTextChar"/>
    <w:link w:val="CommentSubject"/>
    <w:uiPriority w:val="99"/>
    <w:semiHidden/>
    <w:rsid w:val="00036425"/>
    <w:rPr>
      <w:b/>
      <w:bCs/>
      <w:sz w:val="20"/>
      <w:szCs w:val="20"/>
    </w:rPr>
  </w:style>
  <w:style w:type="paragraph" w:styleId="Footer">
    <w:name w:val="footer"/>
    <w:basedOn w:val="Normal"/>
    <w:link w:val="FooterChar"/>
    <w:uiPriority w:val="99"/>
    <w:qFormat/>
    <w:rsid w:val="005E17D8"/>
    <w:pPr>
      <w:tabs>
        <w:tab w:val="center" w:pos="4513"/>
        <w:tab w:val="right" w:pos="9026"/>
      </w:tabs>
    </w:pPr>
    <w:rPr>
      <w:sz w:val="20"/>
    </w:rPr>
  </w:style>
  <w:style w:type="character" w:customStyle="1" w:styleId="FooterChar">
    <w:name w:val="Footer Char"/>
    <w:basedOn w:val="DefaultParagraphFont"/>
    <w:link w:val="Footer"/>
    <w:uiPriority w:val="99"/>
    <w:rsid w:val="005E17D8"/>
    <w:rPr>
      <w:rFonts w:ascii="Arial" w:eastAsia="Times New Roman" w:hAnsi="Arial" w:cs="Times New Roman"/>
      <w:sz w:val="20"/>
      <w:szCs w:val="24"/>
    </w:rPr>
  </w:style>
  <w:style w:type="character" w:customStyle="1" w:styleId="Heading4Char">
    <w:name w:val="Heading 4 Char"/>
    <w:basedOn w:val="DefaultParagraphFont"/>
    <w:link w:val="Heading4"/>
    <w:rsid w:val="002E2328"/>
    <w:rPr>
      <w:rFonts w:ascii="Arial" w:eastAsia="Times New Roman" w:hAnsi="Arial" w:cs="Times New Roman"/>
      <w:b/>
      <w:bCs/>
      <w:i/>
      <w:color w:val="414141"/>
      <w:sz w:val="24"/>
      <w:szCs w:val="28"/>
    </w:rPr>
  </w:style>
  <w:style w:type="paragraph" w:customStyle="1" w:styleId="Default">
    <w:name w:val="Default"/>
    <w:rsid w:val="00866B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20BD"/>
    <w:rPr>
      <w:color w:val="954F72" w:themeColor="followedHyperlink"/>
      <w:u w:val="single"/>
    </w:rPr>
  </w:style>
  <w:style w:type="character" w:customStyle="1" w:styleId="Heading5Char">
    <w:name w:val="Heading 5 Char"/>
    <w:basedOn w:val="DefaultParagraphFont"/>
    <w:link w:val="Heading5"/>
    <w:rsid w:val="00281493"/>
    <w:rPr>
      <w:rFonts w:ascii="Arial" w:eastAsia="Times New Roman" w:hAnsi="Arial" w:cs="Times New Roman"/>
      <w:b/>
      <w:bCs/>
      <w:iCs/>
      <w:szCs w:val="26"/>
    </w:rPr>
  </w:style>
  <w:style w:type="character" w:customStyle="1" w:styleId="Heading6Char">
    <w:name w:val="Heading 6 Char"/>
    <w:basedOn w:val="DefaultParagraphFont"/>
    <w:link w:val="Heading6"/>
    <w:rsid w:val="00281493"/>
    <w:rPr>
      <w:b/>
      <w:bCs/>
      <w:i/>
    </w:rPr>
  </w:style>
  <w:style w:type="character" w:styleId="Emphasis">
    <w:name w:val="Emphasis"/>
    <w:basedOn w:val="DefaultParagraphFont"/>
    <w:rsid w:val="005E17D8"/>
    <w:rPr>
      <w:i/>
      <w:iCs/>
    </w:rPr>
  </w:style>
  <w:style w:type="character" w:styleId="Strong">
    <w:name w:val="Strong"/>
    <w:basedOn w:val="DefaultParagraphFont"/>
    <w:rsid w:val="005E17D8"/>
    <w:rPr>
      <w:b/>
      <w:bCs/>
    </w:rPr>
  </w:style>
  <w:style w:type="paragraph" w:styleId="NoSpacing">
    <w:name w:val="No Spacing"/>
    <w:uiPriority w:val="1"/>
    <w:rsid w:val="005E17D8"/>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rsid w:val="005E17D8"/>
    <w:rPr>
      <w:i/>
      <w:iCs/>
      <w:color w:val="808080" w:themeColor="text1" w:themeTint="7F"/>
    </w:rPr>
  </w:style>
  <w:style w:type="character" w:styleId="IntenseEmphasis">
    <w:name w:val="Intense Emphasis"/>
    <w:basedOn w:val="DefaultParagraphFont"/>
    <w:uiPriority w:val="21"/>
    <w:rsid w:val="005E17D8"/>
    <w:rPr>
      <w:b/>
      <w:bCs/>
      <w:i/>
      <w:iCs/>
      <w:color w:val="4472C4" w:themeColor="accent1"/>
    </w:rPr>
  </w:style>
  <w:style w:type="paragraph" w:styleId="Quote">
    <w:name w:val="Quote"/>
    <w:next w:val="Normal"/>
    <w:link w:val="QuoteChar"/>
    <w:uiPriority w:val="29"/>
    <w:qFormat/>
    <w:rsid w:val="005E17D8"/>
    <w:pPr>
      <w:spacing w:after="0" w:line="240" w:lineRule="auto"/>
      <w:ind w:left="720"/>
    </w:pPr>
    <w:rPr>
      <w:rFonts w:ascii="Arial" w:eastAsia="Times New Roman" w:hAnsi="Arial" w:cs="Times New Roman"/>
      <w:i/>
      <w:iCs/>
      <w:color w:val="000000" w:themeColor="text1"/>
      <w:szCs w:val="24"/>
    </w:rPr>
  </w:style>
  <w:style w:type="character" w:customStyle="1" w:styleId="QuoteChar">
    <w:name w:val="Quote Char"/>
    <w:basedOn w:val="DefaultParagraphFont"/>
    <w:link w:val="Quote"/>
    <w:uiPriority w:val="29"/>
    <w:rsid w:val="005E17D8"/>
    <w:rPr>
      <w:rFonts w:ascii="Arial" w:eastAsia="Times New Roman" w:hAnsi="Arial" w:cs="Times New Roman"/>
      <w:i/>
      <w:iCs/>
      <w:color w:val="000000" w:themeColor="text1"/>
      <w:szCs w:val="24"/>
    </w:rPr>
  </w:style>
  <w:style w:type="paragraph" w:styleId="IntenseQuote">
    <w:name w:val="Intense Quote"/>
    <w:basedOn w:val="Normal"/>
    <w:next w:val="Normal"/>
    <w:link w:val="IntenseQuoteChar"/>
    <w:uiPriority w:val="30"/>
    <w:rsid w:val="005E17D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17D8"/>
    <w:rPr>
      <w:rFonts w:ascii="Arial" w:eastAsia="Times New Roman" w:hAnsi="Arial" w:cs="Times New Roman"/>
      <w:b/>
      <w:bCs/>
      <w:i/>
      <w:iCs/>
      <w:color w:val="4472C4" w:themeColor="accent1"/>
      <w:szCs w:val="24"/>
    </w:rPr>
  </w:style>
  <w:style w:type="character" w:styleId="SubtleReference">
    <w:name w:val="Subtle Reference"/>
    <w:basedOn w:val="DefaultParagraphFont"/>
    <w:uiPriority w:val="31"/>
    <w:rsid w:val="005E17D8"/>
    <w:rPr>
      <w:smallCaps/>
      <w:color w:val="ED7D31" w:themeColor="accent2"/>
      <w:u w:val="single"/>
    </w:rPr>
  </w:style>
  <w:style w:type="character" w:styleId="IntenseReference">
    <w:name w:val="Intense Reference"/>
    <w:basedOn w:val="DefaultParagraphFont"/>
    <w:uiPriority w:val="32"/>
    <w:rsid w:val="005E17D8"/>
    <w:rPr>
      <w:b/>
      <w:bCs/>
      <w:i/>
      <w:smallCaps/>
      <w:color w:val="ED7D31" w:themeColor="accent2"/>
      <w:spacing w:val="5"/>
      <w:u w:val="none"/>
    </w:rPr>
  </w:style>
  <w:style w:type="paragraph" w:styleId="ListBullet2">
    <w:name w:val="List Bullet 2"/>
    <w:basedOn w:val="ListNumber2"/>
    <w:rsid w:val="005E17D8"/>
    <w:pPr>
      <w:numPr>
        <w:numId w:val="5"/>
      </w:numPr>
      <w:ind w:left="568" w:hanging="284"/>
    </w:pPr>
  </w:style>
  <w:style w:type="paragraph" w:styleId="ListNumber2">
    <w:name w:val="List Number 2"/>
    <w:basedOn w:val="ListBullet"/>
    <w:qFormat/>
    <w:rsid w:val="005E17D8"/>
    <w:pPr>
      <w:numPr>
        <w:numId w:val="6"/>
      </w:numPr>
    </w:pPr>
  </w:style>
  <w:style w:type="paragraph" w:styleId="ListNumber3">
    <w:name w:val="List Number 3"/>
    <w:aliases w:val="List Third Level"/>
    <w:basedOn w:val="ListNumber2"/>
    <w:rsid w:val="004227A6"/>
    <w:pPr>
      <w:numPr>
        <w:numId w:val="2"/>
      </w:numPr>
      <w:tabs>
        <w:tab w:val="num" w:pos="1440"/>
      </w:tabs>
      <w:ind w:left="924" w:hanging="357"/>
    </w:pPr>
    <w:rPr>
      <w:rFonts w:eastAsia="Cambria"/>
      <w:color w:val="auto"/>
      <w:lang w:val="en-US"/>
    </w:rPr>
  </w:style>
  <w:style w:type="paragraph" w:customStyle="1" w:styleId="ImageTitle">
    <w:name w:val="Image Title"/>
    <w:locked/>
    <w:rsid w:val="005E17D8"/>
    <w:pPr>
      <w:tabs>
        <w:tab w:val="num" w:pos="1080"/>
      </w:tabs>
      <w:spacing w:before="120" w:after="0" w:line="240" w:lineRule="exact"/>
    </w:pPr>
    <w:rPr>
      <w:rFonts w:ascii="Arial" w:eastAsia="Times New Roman" w:hAnsi="Arial" w:cs="Times New Roman"/>
      <w:color w:val="000000" w:themeColor="text1"/>
      <w:szCs w:val="24"/>
    </w:rPr>
  </w:style>
  <w:style w:type="table" w:styleId="TableColumns3">
    <w:name w:val="Table Columns 3"/>
    <w:basedOn w:val="TableNormal"/>
    <w:rsid w:val="005E17D8"/>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5E17D8"/>
    <w:pPr>
      <w:spacing w:before="60" w:after="60" w:line="240" w:lineRule="auto"/>
    </w:pPr>
    <w:rPr>
      <w:rFonts w:ascii="Arial" w:eastAsia="Times New Roman" w:hAnsi="Arial" w:cs="Times New Roman"/>
      <w:color w:val="000000" w:themeColor="text1"/>
      <w:sz w:val="21"/>
      <w:szCs w:val="24"/>
    </w:rPr>
  </w:style>
  <w:style w:type="table" w:styleId="TableColumns2">
    <w:name w:val="Table Columns 2"/>
    <w:basedOn w:val="TableNormal"/>
    <w:rsid w:val="005E17D8"/>
    <w:pPr>
      <w:spacing w:before="120" w:after="0" w:line="240" w:lineRule="exac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5E17D8"/>
    <w:pPr>
      <w:spacing w:after="0" w:line="240" w:lineRule="auto"/>
    </w:pPr>
    <w:rPr>
      <w:rFonts w:ascii="Times New Roman" w:eastAsia="Times New Roman" w:hAnsi="Times New Roman" w:cs="Times New Roman"/>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4227A6"/>
    <w:pPr>
      <w:spacing w:before="360" w:after="120" w:line="240" w:lineRule="auto"/>
    </w:pPr>
    <w:rPr>
      <w:rFonts w:ascii="Arial" w:eastAsia="Times New Roman" w:hAnsi="Arial" w:cs="Times New Roman"/>
      <w:b/>
      <w:color w:val="000000" w:themeColor="text1"/>
      <w:szCs w:val="24"/>
      <w:lang w:val="en-US"/>
    </w:rPr>
  </w:style>
  <w:style w:type="paragraph" w:customStyle="1" w:styleId="TableHeaderWhite">
    <w:name w:val="Table Header White"/>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table" w:styleId="TableGrid7">
    <w:name w:val="Table Grid 7"/>
    <w:basedOn w:val="TableNormal"/>
    <w:rsid w:val="005E17D8"/>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5E17D8"/>
    <w:pPr>
      <w:spacing w:before="60" w:after="60"/>
    </w:pPr>
    <w:rPr>
      <w:rFonts w:cs="Arial"/>
      <w:b/>
      <w:sz w:val="20"/>
    </w:rPr>
  </w:style>
  <w:style w:type="paragraph" w:customStyle="1" w:styleId="FigureTitle">
    <w:name w:val="Figure Title"/>
    <w:basedOn w:val="Normal"/>
    <w:next w:val="Paragraphtext"/>
    <w:qFormat/>
    <w:rsid w:val="00192EFF"/>
    <w:pPr>
      <w:spacing w:before="360" w:after="160" w:line="259" w:lineRule="auto"/>
    </w:pPr>
    <w:rPr>
      <w:rFonts w:eastAsiaTheme="minorHAnsi" w:cs="Arial"/>
      <w:b/>
      <w:bCs/>
      <w:iCs/>
      <w:color w:val="000000" w:themeColor="text1"/>
      <w:sz w:val="21"/>
      <w:szCs w:val="22"/>
    </w:rPr>
  </w:style>
  <w:style w:type="paragraph" w:customStyle="1" w:styleId="Headertext">
    <w:name w:val="Header text"/>
    <w:basedOn w:val="Normal"/>
    <w:rsid w:val="005E17D8"/>
    <w:pPr>
      <w:jc w:val="right"/>
    </w:pPr>
    <w:rPr>
      <w:sz w:val="20"/>
    </w:rPr>
  </w:style>
  <w:style w:type="table" w:customStyle="1" w:styleId="PHNGreyTable">
    <w:name w:val="PHN Grey Table"/>
    <w:basedOn w:val="TableNormal"/>
    <w:uiPriority w:val="99"/>
    <w:rsid w:val="005E17D8"/>
    <w:pPr>
      <w:spacing w:before="120" w:after="120" w:line="240" w:lineRule="auto"/>
    </w:pPr>
    <w:rPr>
      <w:rFonts w:ascii="Arial" w:eastAsia="Times New Roman" w:hAnsi="Arial" w:cs="Times New Roman"/>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5E17D8"/>
    <w:rPr>
      <w:color w:val="8D188D"/>
    </w:rPr>
  </w:style>
  <w:style w:type="paragraph" w:customStyle="1" w:styleId="Heading2Purple">
    <w:name w:val="Heading 2 Purple"/>
    <w:basedOn w:val="Heading2"/>
    <w:next w:val="Paragraphtext"/>
    <w:rsid w:val="005E17D8"/>
    <w:pPr>
      <w:spacing w:before="180"/>
    </w:pPr>
    <w:rPr>
      <w:color w:val="8D188D"/>
    </w:rPr>
  </w:style>
  <w:style w:type="paragraph" w:customStyle="1" w:styleId="Tablelistbullet">
    <w:name w:val="Table list bullet"/>
    <w:basedOn w:val="Tabletextleft"/>
    <w:qFormat/>
    <w:rsid w:val="005E17D8"/>
    <w:pPr>
      <w:numPr>
        <w:numId w:val="3"/>
      </w:numPr>
      <w:ind w:left="284" w:hanging="284"/>
    </w:pPr>
    <w:rPr>
      <w:szCs w:val="20"/>
    </w:rPr>
  </w:style>
  <w:style w:type="paragraph" w:customStyle="1" w:styleId="Tablelistnumber">
    <w:name w:val="Table list number"/>
    <w:basedOn w:val="Tabletextleft"/>
    <w:qFormat/>
    <w:rsid w:val="005E17D8"/>
    <w:pPr>
      <w:numPr>
        <w:numId w:val="10"/>
      </w:numPr>
    </w:pPr>
    <w:rPr>
      <w:bCs/>
      <w14:numSpacing w14:val="proportional"/>
    </w:rPr>
  </w:style>
  <w:style w:type="paragraph" w:customStyle="1" w:styleId="TableHeader">
    <w:name w:val="Table Header"/>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paragraph" w:customStyle="1" w:styleId="SectionHeading">
    <w:name w:val="Section Heading"/>
    <w:basedOn w:val="Heading1"/>
    <w:next w:val="Paragraphtext"/>
    <w:rsid w:val="005E17D8"/>
    <w:rPr>
      <w:szCs w:val="32"/>
    </w:rPr>
  </w:style>
  <w:style w:type="paragraph" w:customStyle="1" w:styleId="Heading1Orange">
    <w:name w:val="Heading 1 Orange"/>
    <w:basedOn w:val="Heading1"/>
    <w:next w:val="Paragraphtext"/>
    <w:rsid w:val="005E17D8"/>
    <w:rPr>
      <w:color w:val="D72F0D"/>
    </w:rPr>
  </w:style>
  <w:style w:type="paragraph" w:customStyle="1" w:styleId="Heading2Orange">
    <w:name w:val="Heading 2 Orange"/>
    <w:basedOn w:val="Heading2"/>
    <w:rsid w:val="005E17D8"/>
    <w:rPr>
      <w:color w:val="D72F0D"/>
    </w:rPr>
  </w:style>
  <w:style w:type="paragraph" w:styleId="Caption">
    <w:name w:val="caption"/>
    <w:basedOn w:val="Normal"/>
    <w:next w:val="Normal"/>
    <w:unhideWhenUsed/>
    <w:rsid w:val="005E17D8"/>
    <w:pPr>
      <w:spacing w:after="200"/>
    </w:pPr>
    <w:rPr>
      <w:b/>
      <w:bCs/>
      <w:color w:val="4472C4" w:themeColor="accent1"/>
      <w:sz w:val="18"/>
      <w:szCs w:val="18"/>
    </w:rPr>
  </w:style>
  <w:style w:type="paragraph" w:customStyle="1" w:styleId="VisionBox">
    <w:name w:val="VisionBox"/>
    <w:basedOn w:val="Normal"/>
    <w:qFormat/>
    <w:rsid w:val="004227A6"/>
    <w:pPr>
      <w:pBdr>
        <w:top w:val="single" w:sz="4" w:space="15" w:color="358189"/>
        <w:bottom w:val="single" w:sz="4" w:space="10" w:color="358189"/>
      </w:pBdr>
      <w:spacing w:before="240" w:after="240" w:line="340" w:lineRule="exact"/>
    </w:pPr>
    <w:rPr>
      <w:rFonts w:asciiTheme="minorHAnsi" w:eastAsiaTheme="minorHAnsi" w:hAnsiTheme="minorHAnsi" w:cstheme="minorBidi"/>
      <w:color w:val="358189"/>
      <w:szCs w:val="22"/>
    </w:rPr>
  </w:style>
  <w:style w:type="paragraph" w:customStyle="1" w:styleId="Style1">
    <w:name w:val="Style1"/>
    <w:next w:val="Normal"/>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character" w:customStyle="1" w:styleId="BoldAllCaps">
    <w:name w:val="Bold All Caps"/>
    <w:basedOn w:val="DefaultParagraphFont"/>
    <w:uiPriority w:val="1"/>
    <w:qFormat/>
    <w:rsid w:val="005E17D8"/>
    <w:rPr>
      <w:b/>
      <w:caps/>
      <w:smallCaps w:val="0"/>
      <w:color w:val="358189"/>
      <w:bdr w:val="none" w:sz="0" w:space="0" w:color="auto"/>
    </w:rPr>
  </w:style>
  <w:style w:type="paragraph" w:customStyle="1" w:styleId="PolicyStatement">
    <w:name w:val="PolicyStatement"/>
    <w:basedOn w:val="Normal"/>
    <w:qFormat/>
    <w:rsid w:val="004227A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after="160" w:line="259" w:lineRule="auto"/>
      <w:ind w:left="227" w:right="227"/>
    </w:pPr>
    <w:rPr>
      <w:rFonts w:asciiTheme="minorHAnsi" w:eastAsiaTheme="minorHAnsi" w:hAnsiTheme="minorHAnsi" w:cstheme="minorBidi"/>
      <w:szCs w:val="22"/>
    </w:rPr>
  </w:style>
  <w:style w:type="table" w:customStyle="1" w:styleId="DepartmentofHealthtable">
    <w:name w:val="Department of Health table"/>
    <w:basedOn w:val="TableNormal"/>
    <w:uiPriority w:val="99"/>
    <w:rsid w:val="005E17D8"/>
    <w:pPr>
      <w:spacing w:after="0" w:line="240" w:lineRule="auto"/>
    </w:pPr>
    <w:rPr>
      <w:rFonts w:ascii="Arial" w:eastAsia="Times New Roman" w:hAnsi="Arial" w:cs="Times New Roman"/>
      <w:color w:val="000000" w:themeColor="text1"/>
      <w:sz w:val="21"/>
      <w:szCs w:val="20"/>
      <w:lang w:eastAsia="en-AU"/>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5E17D8"/>
    <w:rPr>
      <w:rFonts w:ascii="Arial" w:eastAsia="Times New Roman" w:hAnsi="Arial" w:cs="Times New Roman"/>
      <w:b/>
      <w:color w:val="000000" w:themeColor="text1"/>
      <w:szCs w:val="24"/>
      <w:lang w:val="en-US"/>
    </w:rPr>
  </w:style>
  <w:style w:type="paragraph" w:customStyle="1" w:styleId="IntroPara">
    <w:name w:val="Intro Para"/>
    <w:basedOn w:val="Paragraphtext"/>
    <w:next w:val="Paragraphtext"/>
    <w:qFormat/>
    <w:rsid w:val="005E17D8"/>
    <w:pPr>
      <w:spacing w:before="480" w:line="400" w:lineRule="exact"/>
    </w:pPr>
    <w:rPr>
      <w:color w:val="358189"/>
      <w:sz w:val="28"/>
    </w:rPr>
  </w:style>
  <w:style w:type="paragraph" w:customStyle="1" w:styleId="TableTextright">
    <w:name w:val="Table Text right"/>
    <w:basedOn w:val="Tabletextleft"/>
    <w:rsid w:val="005E17D8"/>
    <w:pPr>
      <w:jc w:val="right"/>
    </w:pPr>
  </w:style>
  <w:style w:type="paragraph" w:customStyle="1" w:styleId="Tabletextright0">
    <w:name w:val="Table text right"/>
    <w:basedOn w:val="Tabletextleft"/>
    <w:rsid w:val="005E17D8"/>
    <w:pPr>
      <w:jc w:val="right"/>
    </w:pPr>
  </w:style>
  <w:style w:type="paragraph" w:customStyle="1" w:styleId="Tabletextcentre">
    <w:name w:val="Table text centre"/>
    <w:basedOn w:val="Tabletextleft"/>
    <w:rsid w:val="005E17D8"/>
    <w:pPr>
      <w:jc w:val="center"/>
    </w:pPr>
  </w:style>
  <w:style w:type="paragraph" w:customStyle="1" w:styleId="Boxheading">
    <w:name w:val="Box heading"/>
    <w:basedOn w:val="Boxtype"/>
    <w:rsid w:val="005E17D8"/>
    <w:pPr>
      <w:spacing w:before="240"/>
    </w:pPr>
    <w:rPr>
      <w:rFonts w:cs="Times New Roman"/>
      <w:b/>
      <w:bCs/>
      <w:caps/>
      <w:color w:val="358189"/>
      <w:szCs w:val="20"/>
    </w:rPr>
  </w:style>
  <w:style w:type="paragraph" w:customStyle="1" w:styleId="Boxtype">
    <w:name w:val="Box type"/>
    <w:next w:val="Normal"/>
    <w:qFormat/>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paragraph" w:styleId="Revision">
    <w:name w:val="Revision"/>
    <w:hidden/>
    <w:uiPriority w:val="99"/>
    <w:semiHidden/>
    <w:rsid w:val="00B8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118">
      <w:bodyDiv w:val="1"/>
      <w:marLeft w:val="0"/>
      <w:marRight w:val="0"/>
      <w:marTop w:val="0"/>
      <w:marBottom w:val="0"/>
      <w:divBdr>
        <w:top w:val="none" w:sz="0" w:space="0" w:color="auto"/>
        <w:left w:val="none" w:sz="0" w:space="0" w:color="auto"/>
        <w:bottom w:val="none" w:sz="0" w:space="0" w:color="auto"/>
        <w:right w:val="none" w:sz="0" w:space="0" w:color="auto"/>
      </w:divBdr>
    </w:div>
    <w:div w:id="85351071">
      <w:bodyDiv w:val="1"/>
      <w:marLeft w:val="0"/>
      <w:marRight w:val="0"/>
      <w:marTop w:val="0"/>
      <w:marBottom w:val="0"/>
      <w:divBdr>
        <w:top w:val="none" w:sz="0" w:space="0" w:color="auto"/>
        <w:left w:val="none" w:sz="0" w:space="0" w:color="auto"/>
        <w:bottom w:val="none" w:sz="0" w:space="0" w:color="auto"/>
        <w:right w:val="none" w:sz="0" w:space="0" w:color="auto"/>
      </w:divBdr>
      <w:divsChild>
        <w:div w:id="1530684917">
          <w:marLeft w:val="274"/>
          <w:marRight w:val="0"/>
          <w:marTop w:val="0"/>
          <w:marBottom w:val="0"/>
          <w:divBdr>
            <w:top w:val="none" w:sz="0" w:space="0" w:color="auto"/>
            <w:left w:val="none" w:sz="0" w:space="0" w:color="auto"/>
            <w:bottom w:val="none" w:sz="0" w:space="0" w:color="auto"/>
            <w:right w:val="none" w:sz="0" w:space="0" w:color="auto"/>
          </w:divBdr>
        </w:div>
        <w:div w:id="2032492921">
          <w:marLeft w:val="274"/>
          <w:marRight w:val="0"/>
          <w:marTop w:val="0"/>
          <w:marBottom w:val="0"/>
          <w:divBdr>
            <w:top w:val="none" w:sz="0" w:space="0" w:color="auto"/>
            <w:left w:val="none" w:sz="0" w:space="0" w:color="auto"/>
            <w:bottom w:val="none" w:sz="0" w:space="0" w:color="auto"/>
            <w:right w:val="none" w:sz="0" w:space="0" w:color="auto"/>
          </w:divBdr>
        </w:div>
        <w:div w:id="1204364334">
          <w:marLeft w:val="274"/>
          <w:marRight w:val="0"/>
          <w:marTop w:val="0"/>
          <w:marBottom w:val="0"/>
          <w:divBdr>
            <w:top w:val="none" w:sz="0" w:space="0" w:color="auto"/>
            <w:left w:val="none" w:sz="0" w:space="0" w:color="auto"/>
            <w:bottom w:val="none" w:sz="0" w:space="0" w:color="auto"/>
            <w:right w:val="none" w:sz="0" w:space="0" w:color="auto"/>
          </w:divBdr>
        </w:div>
        <w:div w:id="1904221626">
          <w:marLeft w:val="274"/>
          <w:marRight w:val="0"/>
          <w:marTop w:val="0"/>
          <w:marBottom w:val="0"/>
          <w:divBdr>
            <w:top w:val="none" w:sz="0" w:space="0" w:color="auto"/>
            <w:left w:val="none" w:sz="0" w:space="0" w:color="auto"/>
            <w:bottom w:val="none" w:sz="0" w:space="0" w:color="auto"/>
            <w:right w:val="none" w:sz="0" w:space="0" w:color="auto"/>
          </w:divBdr>
        </w:div>
      </w:divsChild>
    </w:div>
    <w:div w:id="145321172">
      <w:bodyDiv w:val="1"/>
      <w:marLeft w:val="0"/>
      <w:marRight w:val="0"/>
      <w:marTop w:val="0"/>
      <w:marBottom w:val="0"/>
      <w:divBdr>
        <w:top w:val="none" w:sz="0" w:space="0" w:color="auto"/>
        <w:left w:val="none" w:sz="0" w:space="0" w:color="auto"/>
        <w:bottom w:val="none" w:sz="0" w:space="0" w:color="auto"/>
        <w:right w:val="none" w:sz="0" w:space="0" w:color="auto"/>
      </w:divBdr>
    </w:div>
    <w:div w:id="147671335">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274"/>
          <w:marRight w:val="0"/>
          <w:marTop w:val="0"/>
          <w:marBottom w:val="0"/>
          <w:divBdr>
            <w:top w:val="none" w:sz="0" w:space="0" w:color="auto"/>
            <w:left w:val="none" w:sz="0" w:space="0" w:color="auto"/>
            <w:bottom w:val="none" w:sz="0" w:space="0" w:color="auto"/>
            <w:right w:val="none" w:sz="0" w:space="0" w:color="auto"/>
          </w:divBdr>
        </w:div>
        <w:div w:id="451824021">
          <w:marLeft w:val="274"/>
          <w:marRight w:val="0"/>
          <w:marTop w:val="0"/>
          <w:marBottom w:val="0"/>
          <w:divBdr>
            <w:top w:val="none" w:sz="0" w:space="0" w:color="auto"/>
            <w:left w:val="none" w:sz="0" w:space="0" w:color="auto"/>
            <w:bottom w:val="none" w:sz="0" w:space="0" w:color="auto"/>
            <w:right w:val="none" w:sz="0" w:space="0" w:color="auto"/>
          </w:divBdr>
        </w:div>
        <w:div w:id="160585954">
          <w:marLeft w:val="274"/>
          <w:marRight w:val="0"/>
          <w:marTop w:val="0"/>
          <w:marBottom w:val="0"/>
          <w:divBdr>
            <w:top w:val="none" w:sz="0" w:space="0" w:color="auto"/>
            <w:left w:val="none" w:sz="0" w:space="0" w:color="auto"/>
            <w:bottom w:val="none" w:sz="0" w:space="0" w:color="auto"/>
            <w:right w:val="none" w:sz="0" w:space="0" w:color="auto"/>
          </w:divBdr>
        </w:div>
        <w:div w:id="1887176358">
          <w:marLeft w:val="274"/>
          <w:marRight w:val="0"/>
          <w:marTop w:val="0"/>
          <w:marBottom w:val="0"/>
          <w:divBdr>
            <w:top w:val="none" w:sz="0" w:space="0" w:color="auto"/>
            <w:left w:val="none" w:sz="0" w:space="0" w:color="auto"/>
            <w:bottom w:val="none" w:sz="0" w:space="0" w:color="auto"/>
            <w:right w:val="none" w:sz="0" w:space="0" w:color="auto"/>
          </w:divBdr>
        </w:div>
      </w:divsChild>
    </w:div>
    <w:div w:id="205532617">
      <w:bodyDiv w:val="1"/>
      <w:marLeft w:val="0"/>
      <w:marRight w:val="0"/>
      <w:marTop w:val="0"/>
      <w:marBottom w:val="0"/>
      <w:divBdr>
        <w:top w:val="none" w:sz="0" w:space="0" w:color="auto"/>
        <w:left w:val="none" w:sz="0" w:space="0" w:color="auto"/>
        <w:bottom w:val="none" w:sz="0" w:space="0" w:color="auto"/>
        <w:right w:val="none" w:sz="0" w:space="0" w:color="auto"/>
      </w:divBdr>
      <w:divsChild>
        <w:div w:id="867107261">
          <w:marLeft w:val="274"/>
          <w:marRight w:val="0"/>
          <w:marTop w:val="0"/>
          <w:marBottom w:val="0"/>
          <w:divBdr>
            <w:top w:val="none" w:sz="0" w:space="0" w:color="auto"/>
            <w:left w:val="none" w:sz="0" w:space="0" w:color="auto"/>
            <w:bottom w:val="none" w:sz="0" w:space="0" w:color="auto"/>
            <w:right w:val="none" w:sz="0" w:space="0" w:color="auto"/>
          </w:divBdr>
        </w:div>
        <w:div w:id="1157186790">
          <w:marLeft w:val="274"/>
          <w:marRight w:val="0"/>
          <w:marTop w:val="0"/>
          <w:marBottom w:val="0"/>
          <w:divBdr>
            <w:top w:val="none" w:sz="0" w:space="0" w:color="auto"/>
            <w:left w:val="none" w:sz="0" w:space="0" w:color="auto"/>
            <w:bottom w:val="none" w:sz="0" w:space="0" w:color="auto"/>
            <w:right w:val="none" w:sz="0" w:space="0" w:color="auto"/>
          </w:divBdr>
        </w:div>
        <w:div w:id="220210669">
          <w:marLeft w:val="274"/>
          <w:marRight w:val="0"/>
          <w:marTop w:val="0"/>
          <w:marBottom w:val="0"/>
          <w:divBdr>
            <w:top w:val="none" w:sz="0" w:space="0" w:color="auto"/>
            <w:left w:val="none" w:sz="0" w:space="0" w:color="auto"/>
            <w:bottom w:val="none" w:sz="0" w:space="0" w:color="auto"/>
            <w:right w:val="none" w:sz="0" w:space="0" w:color="auto"/>
          </w:divBdr>
        </w:div>
      </w:divsChild>
    </w:div>
    <w:div w:id="261843896">
      <w:bodyDiv w:val="1"/>
      <w:marLeft w:val="0"/>
      <w:marRight w:val="0"/>
      <w:marTop w:val="0"/>
      <w:marBottom w:val="0"/>
      <w:divBdr>
        <w:top w:val="none" w:sz="0" w:space="0" w:color="auto"/>
        <w:left w:val="none" w:sz="0" w:space="0" w:color="auto"/>
        <w:bottom w:val="none" w:sz="0" w:space="0" w:color="auto"/>
        <w:right w:val="none" w:sz="0" w:space="0" w:color="auto"/>
      </w:divBdr>
    </w:div>
    <w:div w:id="272327938">
      <w:bodyDiv w:val="1"/>
      <w:marLeft w:val="0"/>
      <w:marRight w:val="0"/>
      <w:marTop w:val="0"/>
      <w:marBottom w:val="0"/>
      <w:divBdr>
        <w:top w:val="none" w:sz="0" w:space="0" w:color="auto"/>
        <w:left w:val="none" w:sz="0" w:space="0" w:color="auto"/>
        <w:bottom w:val="none" w:sz="0" w:space="0" w:color="auto"/>
        <w:right w:val="none" w:sz="0" w:space="0" w:color="auto"/>
      </w:divBdr>
      <w:divsChild>
        <w:div w:id="1131024044">
          <w:marLeft w:val="274"/>
          <w:marRight w:val="0"/>
          <w:marTop w:val="200"/>
          <w:marBottom w:val="0"/>
          <w:divBdr>
            <w:top w:val="none" w:sz="0" w:space="0" w:color="auto"/>
            <w:left w:val="none" w:sz="0" w:space="0" w:color="auto"/>
            <w:bottom w:val="none" w:sz="0" w:space="0" w:color="auto"/>
            <w:right w:val="none" w:sz="0" w:space="0" w:color="auto"/>
          </w:divBdr>
        </w:div>
        <w:div w:id="1416591174">
          <w:marLeft w:val="274"/>
          <w:marRight w:val="0"/>
          <w:marTop w:val="200"/>
          <w:marBottom w:val="0"/>
          <w:divBdr>
            <w:top w:val="none" w:sz="0" w:space="0" w:color="auto"/>
            <w:left w:val="none" w:sz="0" w:space="0" w:color="auto"/>
            <w:bottom w:val="none" w:sz="0" w:space="0" w:color="auto"/>
            <w:right w:val="none" w:sz="0" w:space="0" w:color="auto"/>
          </w:divBdr>
        </w:div>
        <w:div w:id="1948585692">
          <w:marLeft w:val="274"/>
          <w:marRight w:val="0"/>
          <w:marTop w:val="200"/>
          <w:marBottom w:val="0"/>
          <w:divBdr>
            <w:top w:val="none" w:sz="0" w:space="0" w:color="auto"/>
            <w:left w:val="none" w:sz="0" w:space="0" w:color="auto"/>
            <w:bottom w:val="none" w:sz="0" w:space="0" w:color="auto"/>
            <w:right w:val="none" w:sz="0" w:space="0" w:color="auto"/>
          </w:divBdr>
        </w:div>
        <w:div w:id="649408823">
          <w:marLeft w:val="274"/>
          <w:marRight w:val="0"/>
          <w:marTop w:val="200"/>
          <w:marBottom w:val="0"/>
          <w:divBdr>
            <w:top w:val="none" w:sz="0" w:space="0" w:color="auto"/>
            <w:left w:val="none" w:sz="0" w:space="0" w:color="auto"/>
            <w:bottom w:val="none" w:sz="0" w:space="0" w:color="auto"/>
            <w:right w:val="none" w:sz="0" w:space="0" w:color="auto"/>
          </w:divBdr>
        </w:div>
        <w:div w:id="236325101">
          <w:marLeft w:val="274"/>
          <w:marRight w:val="0"/>
          <w:marTop w:val="200"/>
          <w:marBottom w:val="0"/>
          <w:divBdr>
            <w:top w:val="none" w:sz="0" w:space="0" w:color="auto"/>
            <w:left w:val="none" w:sz="0" w:space="0" w:color="auto"/>
            <w:bottom w:val="none" w:sz="0" w:space="0" w:color="auto"/>
            <w:right w:val="none" w:sz="0" w:space="0" w:color="auto"/>
          </w:divBdr>
        </w:div>
        <w:div w:id="1965767891">
          <w:marLeft w:val="274"/>
          <w:marRight w:val="0"/>
          <w:marTop w:val="200"/>
          <w:marBottom w:val="0"/>
          <w:divBdr>
            <w:top w:val="none" w:sz="0" w:space="0" w:color="auto"/>
            <w:left w:val="none" w:sz="0" w:space="0" w:color="auto"/>
            <w:bottom w:val="none" w:sz="0" w:space="0" w:color="auto"/>
            <w:right w:val="none" w:sz="0" w:space="0" w:color="auto"/>
          </w:divBdr>
        </w:div>
      </w:divsChild>
    </w:div>
    <w:div w:id="557016509">
      <w:bodyDiv w:val="1"/>
      <w:marLeft w:val="0"/>
      <w:marRight w:val="0"/>
      <w:marTop w:val="0"/>
      <w:marBottom w:val="0"/>
      <w:divBdr>
        <w:top w:val="none" w:sz="0" w:space="0" w:color="auto"/>
        <w:left w:val="none" w:sz="0" w:space="0" w:color="auto"/>
        <w:bottom w:val="none" w:sz="0" w:space="0" w:color="auto"/>
        <w:right w:val="none" w:sz="0" w:space="0" w:color="auto"/>
      </w:divBdr>
    </w:div>
    <w:div w:id="638344312">
      <w:bodyDiv w:val="1"/>
      <w:marLeft w:val="0"/>
      <w:marRight w:val="0"/>
      <w:marTop w:val="0"/>
      <w:marBottom w:val="0"/>
      <w:divBdr>
        <w:top w:val="none" w:sz="0" w:space="0" w:color="auto"/>
        <w:left w:val="none" w:sz="0" w:space="0" w:color="auto"/>
        <w:bottom w:val="none" w:sz="0" w:space="0" w:color="auto"/>
        <w:right w:val="none" w:sz="0" w:space="0" w:color="auto"/>
      </w:divBdr>
    </w:div>
    <w:div w:id="704335682">
      <w:bodyDiv w:val="1"/>
      <w:marLeft w:val="0"/>
      <w:marRight w:val="0"/>
      <w:marTop w:val="0"/>
      <w:marBottom w:val="0"/>
      <w:divBdr>
        <w:top w:val="none" w:sz="0" w:space="0" w:color="auto"/>
        <w:left w:val="none" w:sz="0" w:space="0" w:color="auto"/>
        <w:bottom w:val="none" w:sz="0" w:space="0" w:color="auto"/>
        <w:right w:val="none" w:sz="0" w:space="0" w:color="auto"/>
      </w:divBdr>
      <w:divsChild>
        <w:div w:id="262345517">
          <w:marLeft w:val="274"/>
          <w:marRight w:val="0"/>
          <w:marTop w:val="0"/>
          <w:marBottom w:val="0"/>
          <w:divBdr>
            <w:top w:val="none" w:sz="0" w:space="0" w:color="auto"/>
            <w:left w:val="none" w:sz="0" w:space="0" w:color="auto"/>
            <w:bottom w:val="none" w:sz="0" w:space="0" w:color="auto"/>
            <w:right w:val="none" w:sz="0" w:space="0" w:color="auto"/>
          </w:divBdr>
        </w:div>
      </w:divsChild>
    </w:div>
    <w:div w:id="740520141">
      <w:bodyDiv w:val="1"/>
      <w:marLeft w:val="0"/>
      <w:marRight w:val="0"/>
      <w:marTop w:val="0"/>
      <w:marBottom w:val="0"/>
      <w:divBdr>
        <w:top w:val="none" w:sz="0" w:space="0" w:color="auto"/>
        <w:left w:val="none" w:sz="0" w:space="0" w:color="auto"/>
        <w:bottom w:val="none" w:sz="0" w:space="0" w:color="auto"/>
        <w:right w:val="none" w:sz="0" w:space="0" w:color="auto"/>
      </w:divBdr>
    </w:div>
    <w:div w:id="758991464">
      <w:bodyDiv w:val="1"/>
      <w:marLeft w:val="0"/>
      <w:marRight w:val="0"/>
      <w:marTop w:val="0"/>
      <w:marBottom w:val="0"/>
      <w:divBdr>
        <w:top w:val="none" w:sz="0" w:space="0" w:color="auto"/>
        <w:left w:val="none" w:sz="0" w:space="0" w:color="auto"/>
        <w:bottom w:val="none" w:sz="0" w:space="0" w:color="auto"/>
        <w:right w:val="none" w:sz="0" w:space="0" w:color="auto"/>
      </w:divBdr>
    </w:div>
    <w:div w:id="822893567">
      <w:bodyDiv w:val="1"/>
      <w:marLeft w:val="0"/>
      <w:marRight w:val="0"/>
      <w:marTop w:val="0"/>
      <w:marBottom w:val="0"/>
      <w:divBdr>
        <w:top w:val="none" w:sz="0" w:space="0" w:color="auto"/>
        <w:left w:val="none" w:sz="0" w:space="0" w:color="auto"/>
        <w:bottom w:val="none" w:sz="0" w:space="0" w:color="auto"/>
        <w:right w:val="none" w:sz="0" w:space="0" w:color="auto"/>
      </w:divBdr>
    </w:div>
    <w:div w:id="898057011">
      <w:bodyDiv w:val="1"/>
      <w:marLeft w:val="0"/>
      <w:marRight w:val="0"/>
      <w:marTop w:val="0"/>
      <w:marBottom w:val="0"/>
      <w:divBdr>
        <w:top w:val="none" w:sz="0" w:space="0" w:color="auto"/>
        <w:left w:val="none" w:sz="0" w:space="0" w:color="auto"/>
        <w:bottom w:val="none" w:sz="0" w:space="0" w:color="auto"/>
        <w:right w:val="none" w:sz="0" w:space="0" w:color="auto"/>
      </w:divBdr>
      <w:divsChild>
        <w:div w:id="493377650">
          <w:marLeft w:val="0"/>
          <w:marRight w:val="0"/>
          <w:marTop w:val="0"/>
          <w:marBottom w:val="0"/>
          <w:divBdr>
            <w:top w:val="none" w:sz="0" w:space="0" w:color="auto"/>
            <w:left w:val="none" w:sz="0" w:space="0" w:color="auto"/>
            <w:bottom w:val="none" w:sz="0" w:space="0" w:color="auto"/>
            <w:right w:val="none" w:sz="0" w:space="0" w:color="auto"/>
          </w:divBdr>
          <w:divsChild>
            <w:div w:id="12937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703">
      <w:bodyDiv w:val="1"/>
      <w:marLeft w:val="0"/>
      <w:marRight w:val="0"/>
      <w:marTop w:val="0"/>
      <w:marBottom w:val="0"/>
      <w:divBdr>
        <w:top w:val="none" w:sz="0" w:space="0" w:color="auto"/>
        <w:left w:val="none" w:sz="0" w:space="0" w:color="auto"/>
        <w:bottom w:val="none" w:sz="0" w:space="0" w:color="auto"/>
        <w:right w:val="none" w:sz="0" w:space="0" w:color="auto"/>
      </w:divBdr>
      <w:divsChild>
        <w:div w:id="116068788">
          <w:marLeft w:val="274"/>
          <w:marRight w:val="0"/>
          <w:marTop w:val="0"/>
          <w:marBottom w:val="0"/>
          <w:divBdr>
            <w:top w:val="none" w:sz="0" w:space="0" w:color="auto"/>
            <w:left w:val="none" w:sz="0" w:space="0" w:color="auto"/>
            <w:bottom w:val="none" w:sz="0" w:space="0" w:color="auto"/>
            <w:right w:val="none" w:sz="0" w:space="0" w:color="auto"/>
          </w:divBdr>
        </w:div>
        <w:div w:id="1813399306">
          <w:marLeft w:val="274"/>
          <w:marRight w:val="0"/>
          <w:marTop w:val="0"/>
          <w:marBottom w:val="0"/>
          <w:divBdr>
            <w:top w:val="none" w:sz="0" w:space="0" w:color="auto"/>
            <w:left w:val="none" w:sz="0" w:space="0" w:color="auto"/>
            <w:bottom w:val="none" w:sz="0" w:space="0" w:color="auto"/>
            <w:right w:val="none" w:sz="0" w:space="0" w:color="auto"/>
          </w:divBdr>
        </w:div>
        <w:div w:id="1140459047">
          <w:marLeft w:val="274"/>
          <w:marRight w:val="0"/>
          <w:marTop w:val="0"/>
          <w:marBottom w:val="0"/>
          <w:divBdr>
            <w:top w:val="none" w:sz="0" w:space="0" w:color="auto"/>
            <w:left w:val="none" w:sz="0" w:space="0" w:color="auto"/>
            <w:bottom w:val="none" w:sz="0" w:space="0" w:color="auto"/>
            <w:right w:val="none" w:sz="0" w:space="0" w:color="auto"/>
          </w:divBdr>
        </w:div>
        <w:div w:id="1117219595">
          <w:marLeft w:val="274"/>
          <w:marRight w:val="0"/>
          <w:marTop w:val="0"/>
          <w:marBottom w:val="0"/>
          <w:divBdr>
            <w:top w:val="none" w:sz="0" w:space="0" w:color="auto"/>
            <w:left w:val="none" w:sz="0" w:space="0" w:color="auto"/>
            <w:bottom w:val="none" w:sz="0" w:space="0" w:color="auto"/>
            <w:right w:val="none" w:sz="0" w:space="0" w:color="auto"/>
          </w:divBdr>
        </w:div>
      </w:divsChild>
    </w:div>
    <w:div w:id="1068455888">
      <w:bodyDiv w:val="1"/>
      <w:marLeft w:val="0"/>
      <w:marRight w:val="0"/>
      <w:marTop w:val="0"/>
      <w:marBottom w:val="0"/>
      <w:divBdr>
        <w:top w:val="none" w:sz="0" w:space="0" w:color="auto"/>
        <w:left w:val="none" w:sz="0" w:space="0" w:color="auto"/>
        <w:bottom w:val="none" w:sz="0" w:space="0" w:color="auto"/>
        <w:right w:val="none" w:sz="0" w:space="0" w:color="auto"/>
      </w:divBdr>
      <w:divsChild>
        <w:div w:id="798760200">
          <w:marLeft w:val="274"/>
          <w:marRight w:val="0"/>
          <w:marTop w:val="0"/>
          <w:marBottom w:val="0"/>
          <w:divBdr>
            <w:top w:val="none" w:sz="0" w:space="0" w:color="auto"/>
            <w:left w:val="none" w:sz="0" w:space="0" w:color="auto"/>
            <w:bottom w:val="none" w:sz="0" w:space="0" w:color="auto"/>
            <w:right w:val="none" w:sz="0" w:space="0" w:color="auto"/>
          </w:divBdr>
        </w:div>
      </w:divsChild>
    </w:div>
    <w:div w:id="1074664898">
      <w:bodyDiv w:val="1"/>
      <w:marLeft w:val="0"/>
      <w:marRight w:val="0"/>
      <w:marTop w:val="0"/>
      <w:marBottom w:val="0"/>
      <w:divBdr>
        <w:top w:val="none" w:sz="0" w:space="0" w:color="auto"/>
        <w:left w:val="none" w:sz="0" w:space="0" w:color="auto"/>
        <w:bottom w:val="none" w:sz="0" w:space="0" w:color="auto"/>
        <w:right w:val="none" w:sz="0" w:space="0" w:color="auto"/>
      </w:divBdr>
    </w:div>
    <w:div w:id="1136407668">
      <w:bodyDiv w:val="1"/>
      <w:marLeft w:val="0"/>
      <w:marRight w:val="0"/>
      <w:marTop w:val="0"/>
      <w:marBottom w:val="0"/>
      <w:divBdr>
        <w:top w:val="none" w:sz="0" w:space="0" w:color="auto"/>
        <w:left w:val="none" w:sz="0" w:space="0" w:color="auto"/>
        <w:bottom w:val="none" w:sz="0" w:space="0" w:color="auto"/>
        <w:right w:val="none" w:sz="0" w:space="0" w:color="auto"/>
      </w:divBdr>
      <w:divsChild>
        <w:div w:id="325864573">
          <w:marLeft w:val="547"/>
          <w:marRight w:val="0"/>
          <w:marTop w:val="0"/>
          <w:marBottom w:val="0"/>
          <w:divBdr>
            <w:top w:val="none" w:sz="0" w:space="0" w:color="auto"/>
            <w:left w:val="none" w:sz="0" w:space="0" w:color="auto"/>
            <w:bottom w:val="none" w:sz="0" w:space="0" w:color="auto"/>
            <w:right w:val="none" w:sz="0" w:space="0" w:color="auto"/>
          </w:divBdr>
        </w:div>
        <w:div w:id="687296773">
          <w:marLeft w:val="547"/>
          <w:marRight w:val="0"/>
          <w:marTop w:val="0"/>
          <w:marBottom w:val="0"/>
          <w:divBdr>
            <w:top w:val="none" w:sz="0" w:space="0" w:color="auto"/>
            <w:left w:val="none" w:sz="0" w:space="0" w:color="auto"/>
            <w:bottom w:val="none" w:sz="0" w:space="0" w:color="auto"/>
            <w:right w:val="none" w:sz="0" w:space="0" w:color="auto"/>
          </w:divBdr>
        </w:div>
      </w:divsChild>
    </w:div>
    <w:div w:id="1281953033">
      <w:bodyDiv w:val="1"/>
      <w:marLeft w:val="0"/>
      <w:marRight w:val="0"/>
      <w:marTop w:val="0"/>
      <w:marBottom w:val="0"/>
      <w:divBdr>
        <w:top w:val="none" w:sz="0" w:space="0" w:color="auto"/>
        <w:left w:val="none" w:sz="0" w:space="0" w:color="auto"/>
        <w:bottom w:val="none" w:sz="0" w:space="0" w:color="auto"/>
        <w:right w:val="none" w:sz="0" w:space="0" w:color="auto"/>
      </w:divBdr>
    </w:div>
    <w:div w:id="1316488765">
      <w:bodyDiv w:val="1"/>
      <w:marLeft w:val="0"/>
      <w:marRight w:val="0"/>
      <w:marTop w:val="0"/>
      <w:marBottom w:val="0"/>
      <w:divBdr>
        <w:top w:val="none" w:sz="0" w:space="0" w:color="auto"/>
        <w:left w:val="none" w:sz="0" w:space="0" w:color="auto"/>
        <w:bottom w:val="none" w:sz="0" w:space="0" w:color="auto"/>
        <w:right w:val="none" w:sz="0" w:space="0" w:color="auto"/>
      </w:divBdr>
      <w:divsChild>
        <w:div w:id="568156626">
          <w:marLeft w:val="0"/>
          <w:marRight w:val="0"/>
          <w:marTop w:val="0"/>
          <w:marBottom w:val="0"/>
          <w:divBdr>
            <w:top w:val="none" w:sz="0" w:space="0" w:color="auto"/>
            <w:left w:val="none" w:sz="0" w:space="0" w:color="auto"/>
            <w:bottom w:val="none" w:sz="0" w:space="0" w:color="auto"/>
            <w:right w:val="none" w:sz="0" w:space="0" w:color="auto"/>
          </w:divBdr>
          <w:divsChild>
            <w:div w:id="11787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4895">
      <w:bodyDiv w:val="1"/>
      <w:marLeft w:val="0"/>
      <w:marRight w:val="0"/>
      <w:marTop w:val="0"/>
      <w:marBottom w:val="0"/>
      <w:divBdr>
        <w:top w:val="none" w:sz="0" w:space="0" w:color="auto"/>
        <w:left w:val="none" w:sz="0" w:space="0" w:color="auto"/>
        <w:bottom w:val="none" w:sz="0" w:space="0" w:color="auto"/>
        <w:right w:val="none" w:sz="0" w:space="0" w:color="auto"/>
      </w:divBdr>
      <w:divsChild>
        <w:div w:id="1470592566">
          <w:marLeft w:val="274"/>
          <w:marRight w:val="0"/>
          <w:marTop w:val="200"/>
          <w:marBottom w:val="0"/>
          <w:divBdr>
            <w:top w:val="none" w:sz="0" w:space="0" w:color="auto"/>
            <w:left w:val="none" w:sz="0" w:space="0" w:color="auto"/>
            <w:bottom w:val="none" w:sz="0" w:space="0" w:color="auto"/>
            <w:right w:val="none" w:sz="0" w:space="0" w:color="auto"/>
          </w:divBdr>
        </w:div>
        <w:div w:id="1452824714">
          <w:marLeft w:val="274"/>
          <w:marRight w:val="0"/>
          <w:marTop w:val="200"/>
          <w:marBottom w:val="0"/>
          <w:divBdr>
            <w:top w:val="none" w:sz="0" w:space="0" w:color="auto"/>
            <w:left w:val="none" w:sz="0" w:space="0" w:color="auto"/>
            <w:bottom w:val="none" w:sz="0" w:space="0" w:color="auto"/>
            <w:right w:val="none" w:sz="0" w:space="0" w:color="auto"/>
          </w:divBdr>
        </w:div>
        <w:div w:id="1462114192">
          <w:marLeft w:val="576"/>
          <w:marRight w:val="0"/>
          <w:marTop w:val="120"/>
          <w:marBottom w:val="0"/>
          <w:divBdr>
            <w:top w:val="none" w:sz="0" w:space="0" w:color="auto"/>
            <w:left w:val="none" w:sz="0" w:space="0" w:color="auto"/>
            <w:bottom w:val="none" w:sz="0" w:space="0" w:color="auto"/>
            <w:right w:val="none" w:sz="0" w:space="0" w:color="auto"/>
          </w:divBdr>
        </w:div>
        <w:div w:id="858785260">
          <w:marLeft w:val="576"/>
          <w:marRight w:val="0"/>
          <w:marTop w:val="120"/>
          <w:marBottom w:val="0"/>
          <w:divBdr>
            <w:top w:val="none" w:sz="0" w:space="0" w:color="auto"/>
            <w:left w:val="none" w:sz="0" w:space="0" w:color="auto"/>
            <w:bottom w:val="none" w:sz="0" w:space="0" w:color="auto"/>
            <w:right w:val="none" w:sz="0" w:space="0" w:color="auto"/>
          </w:divBdr>
        </w:div>
        <w:div w:id="1203664250">
          <w:marLeft w:val="576"/>
          <w:marRight w:val="0"/>
          <w:marTop w:val="120"/>
          <w:marBottom w:val="0"/>
          <w:divBdr>
            <w:top w:val="none" w:sz="0" w:space="0" w:color="auto"/>
            <w:left w:val="none" w:sz="0" w:space="0" w:color="auto"/>
            <w:bottom w:val="none" w:sz="0" w:space="0" w:color="auto"/>
            <w:right w:val="none" w:sz="0" w:space="0" w:color="auto"/>
          </w:divBdr>
        </w:div>
        <w:div w:id="1150443438">
          <w:marLeft w:val="576"/>
          <w:marRight w:val="0"/>
          <w:marTop w:val="120"/>
          <w:marBottom w:val="0"/>
          <w:divBdr>
            <w:top w:val="none" w:sz="0" w:space="0" w:color="auto"/>
            <w:left w:val="none" w:sz="0" w:space="0" w:color="auto"/>
            <w:bottom w:val="none" w:sz="0" w:space="0" w:color="auto"/>
            <w:right w:val="none" w:sz="0" w:space="0" w:color="auto"/>
          </w:divBdr>
        </w:div>
        <w:div w:id="1127354762">
          <w:marLeft w:val="576"/>
          <w:marRight w:val="0"/>
          <w:marTop w:val="120"/>
          <w:marBottom w:val="0"/>
          <w:divBdr>
            <w:top w:val="none" w:sz="0" w:space="0" w:color="auto"/>
            <w:left w:val="none" w:sz="0" w:space="0" w:color="auto"/>
            <w:bottom w:val="none" w:sz="0" w:space="0" w:color="auto"/>
            <w:right w:val="none" w:sz="0" w:space="0" w:color="auto"/>
          </w:divBdr>
        </w:div>
        <w:div w:id="869028617">
          <w:marLeft w:val="576"/>
          <w:marRight w:val="0"/>
          <w:marTop w:val="120"/>
          <w:marBottom w:val="0"/>
          <w:divBdr>
            <w:top w:val="none" w:sz="0" w:space="0" w:color="auto"/>
            <w:left w:val="none" w:sz="0" w:space="0" w:color="auto"/>
            <w:bottom w:val="none" w:sz="0" w:space="0" w:color="auto"/>
            <w:right w:val="none" w:sz="0" w:space="0" w:color="auto"/>
          </w:divBdr>
        </w:div>
        <w:div w:id="1237518191">
          <w:marLeft w:val="576"/>
          <w:marRight w:val="0"/>
          <w:marTop w:val="120"/>
          <w:marBottom w:val="0"/>
          <w:divBdr>
            <w:top w:val="none" w:sz="0" w:space="0" w:color="auto"/>
            <w:left w:val="none" w:sz="0" w:space="0" w:color="auto"/>
            <w:bottom w:val="none" w:sz="0" w:space="0" w:color="auto"/>
            <w:right w:val="none" w:sz="0" w:space="0" w:color="auto"/>
          </w:divBdr>
        </w:div>
        <w:div w:id="39062808">
          <w:marLeft w:val="274"/>
          <w:marRight w:val="0"/>
          <w:marTop w:val="200"/>
          <w:marBottom w:val="0"/>
          <w:divBdr>
            <w:top w:val="none" w:sz="0" w:space="0" w:color="auto"/>
            <w:left w:val="none" w:sz="0" w:space="0" w:color="auto"/>
            <w:bottom w:val="none" w:sz="0" w:space="0" w:color="auto"/>
            <w:right w:val="none" w:sz="0" w:space="0" w:color="auto"/>
          </w:divBdr>
        </w:div>
        <w:div w:id="758793612">
          <w:marLeft w:val="274"/>
          <w:marRight w:val="0"/>
          <w:marTop w:val="200"/>
          <w:marBottom w:val="0"/>
          <w:divBdr>
            <w:top w:val="none" w:sz="0" w:space="0" w:color="auto"/>
            <w:left w:val="none" w:sz="0" w:space="0" w:color="auto"/>
            <w:bottom w:val="none" w:sz="0" w:space="0" w:color="auto"/>
            <w:right w:val="none" w:sz="0" w:space="0" w:color="auto"/>
          </w:divBdr>
        </w:div>
        <w:div w:id="1343162474">
          <w:marLeft w:val="274"/>
          <w:marRight w:val="0"/>
          <w:marTop w:val="200"/>
          <w:marBottom w:val="0"/>
          <w:divBdr>
            <w:top w:val="none" w:sz="0" w:space="0" w:color="auto"/>
            <w:left w:val="none" w:sz="0" w:space="0" w:color="auto"/>
            <w:bottom w:val="none" w:sz="0" w:space="0" w:color="auto"/>
            <w:right w:val="none" w:sz="0" w:space="0" w:color="auto"/>
          </w:divBdr>
        </w:div>
      </w:divsChild>
    </w:div>
    <w:div w:id="1425225588">
      <w:bodyDiv w:val="1"/>
      <w:marLeft w:val="0"/>
      <w:marRight w:val="0"/>
      <w:marTop w:val="0"/>
      <w:marBottom w:val="0"/>
      <w:divBdr>
        <w:top w:val="none" w:sz="0" w:space="0" w:color="auto"/>
        <w:left w:val="none" w:sz="0" w:space="0" w:color="auto"/>
        <w:bottom w:val="none" w:sz="0" w:space="0" w:color="auto"/>
        <w:right w:val="none" w:sz="0" w:space="0" w:color="auto"/>
      </w:divBdr>
    </w:div>
    <w:div w:id="1460025311">
      <w:bodyDiv w:val="1"/>
      <w:marLeft w:val="0"/>
      <w:marRight w:val="0"/>
      <w:marTop w:val="0"/>
      <w:marBottom w:val="0"/>
      <w:divBdr>
        <w:top w:val="none" w:sz="0" w:space="0" w:color="auto"/>
        <w:left w:val="none" w:sz="0" w:space="0" w:color="auto"/>
        <w:bottom w:val="none" w:sz="0" w:space="0" w:color="auto"/>
        <w:right w:val="none" w:sz="0" w:space="0" w:color="auto"/>
      </w:divBdr>
      <w:divsChild>
        <w:div w:id="2060282166">
          <w:marLeft w:val="0"/>
          <w:marRight w:val="0"/>
          <w:marTop w:val="0"/>
          <w:marBottom w:val="0"/>
          <w:divBdr>
            <w:top w:val="none" w:sz="0" w:space="0" w:color="auto"/>
            <w:left w:val="none" w:sz="0" w:space="0" w:color="auto"/>
            <w:bottom w:val="none" w:sz="0" w:space="0" w:color="auto"/>
            <w:right w:val="none" w:sz="0" w:space="0" w:color="auto"/>
          </w:divBdr>
        </w:div>
      </w:divsChild>
    </w:div>
    <w:div w:id="1566061518">
      <w:bodyDiv w:val="1"/>
      <w:marLeft w:val="0"/>
      <w:marRight w:val="0"/>
      <w:marTop w:val="0"/>
      <w:marBottom w:val="0"/>
      <w:divBdr>
        <w:top w:val="none" w:sz="0" w:space="0" w:color="auto"/>
        <w:left w:val="none" w:sz="0" w:space="0" w:color="auto"/>
        <w:bottom w:val="none" w:sz="0" w:space="0" w:color="auto"/>
        <w:right w:val="none" w:sz="0" w:space="0" w:color="auto"/>
      </w:divBdr>
    </w:div>
    <w:div w:id="1662393807">
      <w:bodyDiv w:val="1"/>
      <w:marLeft w:val="0"/>
      <w:marRight w:val="0"/>
      <w:marTop w:val="0"/>
      <w:marBottom w:val="0"/>
      <w:divBdr>
        <w:top w:val="none" w:sz="0" w:space="0" w:color="auto"/>
        <w:left w:val="none" w:sz="0" w:space="0" w:color="auto"/>
        <w:bottom w:val="none" w:sz="0" w:space="0" w:color="auto"/>
        <w:right w:val="none" w:sz="0" w:space="0" w:color="auto"/>
      </w:divBdr>
    </w:div>
    <w:div w:id="1738935426">
      <w:bodyDiv w:val="1"/>
      <w:marLeft w:val="0"/>
      <w:marRight w:val="0"/>
      <w:marTop w:val="0"/>
      <w:marBottom w:val="0"/>
      <w:divBdr>
        <w:top w:val="none" w:sz="0" w:space="0" w:color="auto"/>
        <w:left w:val="none" w:sz="0" w:space="0" w:color="auto"/>
        <w:bottom w:val="none" w:sz="0" w:space="0" w:color="auto"/>
        <w:right w:val="none" w:sz="0" w:space="0" w:color="auto"/>
      </w:divBdr>
    </w:div>
    <w:div w:id="1820459180">
      <w:bodyDiv w:val="1"/>
      <w:marLeft w:val="0"/>
      <w:marRight w:val="0"/>
      <w:marTop w:val="0"/>
      <w:marBottom w:val="0"/>
      <w:divBdr>
        <w:top w:val="none" w:sz="0" w:space="0" w:color="auto"/>
        <w:left w:val="none" w:sz="0" w:space="0" w:color="auto"/>
        <w:bottom w:val="none" w:sz="0" w:space="0" w:color="auto"/>
        <w:right w:val="none" w:sz="0" w:space="0" w:color="auto"/>
      </w:divBdr>
      <w:divsChild>
        <w:div w:id="1093361797">
          <w:marLeft w:val="547"/>
          <w:marRight w:val="0"/>
          <w:marTop w:val="0"/>
          <w:marBottom w:val="0"/>
          <w:divBdr>
            <w:top w:val="none" w:sz="0" w:space="0" w:color="auto"/>
            <w:left w:val="none" w:sz="0" w:space="0" w:color="auto"/>
            <w:bottom w:val="none" w:sz="0" w:space="0" w:color="auto"/>
            <w:right w:val="none" w:sz="0" w:space="0" w:color="auto"/>
          </w:divBdr>
        </w:div>
        <w:div w:id="1741512383">
          <w:marLeft w:val="547"/>
          <w:marRight w:val="0"/>
          <w:marTop w:val="0"/>
          <w:marBottom w:val="0"/>
          <w:divBdr>
            <w:top w:val="none" w:sz="0" w:space="0" w:color="auto"/>
            <w:left w:val="none" w:sz="0" w:space="0" w:color="auto"/>
            <w:bottom w:val="none" w:sz="0" w:space="0" w:color="auto"/>
            <w:right w:val="none" w:sz="0" w:space="0" w:color="auto"/>
          </w:divBdr>
        </w:div>
      </w:divsChild>
    </w:div>
    <w:div w:id="1893039025">
      <w:bodyDiv w:val="1"/>
      <w:marLeft w:val="0"/>
      <w:marRight w:val="0"/>
      <w:marTop w:val="0"/>
      <w:marBottom w:val="0"/>
      <w:divBdr>
        <w:top w:val="none" w:sz="0" w:space="0" w:color="auto"/>
        <w:left w:val="none" w:sz="0" w:space="0" w:color="auto"/>
        <w:bottom w:val="none" w:sz="0" w:space="0" w:color="auto"/>
        <w:right w:val="none" w:sz="0" w:space="0" w:color="auto"/>
      </w:divBdr>
    </w:div>
    <w:div w:id="1915820689">
      <w:bodyDiv w:val="1"/>
      <w:marLeft w:val="0"/>
      <w:marRight w:val="0"/>
      <w:marTop w:val="0"/>
      <w:marBottom w:val="0"/>
      <w:divBdr>
        <w:top w:val="none" w:sz="0" w:space="0" w:color="auto"/>
        <w:left w:val="none" w:sz="0" w:space="0" w:color="auto"/>
        <w:bottom w:val="none" w:sz="0" w:space="0" w:color="auto"/>
        <w:right w:val="none" w:sz="0" w:space="0" w:color="auto"/>
      </w:divBdr>
      <w:divsChild>
        <w:div w:id="1717847381">
          <w:marLeft w:val="274"/>
          <w:marRight w:val="0"/>
          <w:marTop w:val="0"/>
          <w:marBottom w:val="0"/>
          <w:divBdr>
            <w:top w:val="none" w:sz="0" w:space="0" w:color="auto"/>
            <w:left w:val="none" w:sz="0" w:space="0" w:color="auto"/>
            <w:bottom w:val="none" w:sz="0" w:space="0" w:color="auto"/>
            <w:right w:val="none" w:sz="0" w:space="0" w:color="auto"/>
          </w:divBdr>
        </w:div>
        <w:div w:id="2071417455">
          <w:marLeft w:val="274"/>
          <w:marRight w:val="0"/>
          <w:marTop w:val="0"/>
          <w:marBottom w:val="0"/>
          <w:divBdr>
            <w:top w:val="none" w:sz="0" w:space="0" w:color="auto"/>
            <w:left w:val="none" w:sz="0" w:space="0" w:color="auto"/>
            <w:bottom w:val="none" w:sz="0" w:space="0" w:color="auto"/>
            <w:right w:val="none" w:sz="0" w:space="0" w:color="auto"/>
          </w:divBdr>
        </w:div>
        <w:div w:id="411855188">
          <w:marLeft w:val="274"/>
          <w:marRight w:val="0"/>
          <w:marTop w:val="0"/>
          <w:marBottom w:val="0"/>
          <w:divBdr>
            <w:top w:val="none" w:sz="0" w:space="0" w:color="auto"/>
            <w:left w:val="none" w:sz="0" w:space="0" w:color="auto"/>
            <w:bottom w:val="none" w:sz="0" w:space="0" w:color="auto"/>
            <w:right w:val="none" w:sz="0" w:space="0" w:color="auto"/>
          </w:divBdr>
        </w:div>
      </w:divsChild>
    </w:div>
    <w:div w:id="1916040754">
      <w:bodyDiv w:val="1"/>
      <w:marLeft w:val="0"/>
      <w:marRight w:val="0"/>
      <w:marTop w:val="0"/>
      <w:marBottom w:val="0"/>
      <w:divBdr>
        <w:top w:val="none" w:sz="0" w:space="0" w:color="auto"/>
        <w:left w:val="none" w:sz="0" w:space="0" w:color="auto"/>
        <w:bottom w:val="none" w:sz="0" w:space="0" w:color="auto"/>
        <w:right w:val="none" w:sz="0" w:space="0" w:color="auto"/>
      </w:divBdr>
    </w:div>
    <w:div w:id="19505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resources/publications/prescribed-list-of-medical-devices-and-human-tissue-products?language=en" TargetMode="External"/><Relationship Id="rId18" Type="http://schemas.openxmlformats.org/officeDocument/2006/relationships/hyperlink" Target="https://www.health.gov.au/resources/publications/prostheses-list-compliance-strategy-safeguarding-the-prostheses-list?language=en" TargetMode="External"/><Relationship Id="rId26" Type="http://schemas.openxmlformats.org/officeDocument/2006/relationships/hyperlink" Target="https://www.health.gov.au/resources/publications/prescribed-list-of-medical-devices-and-human-tissue-products?language=en" TargetMode="External"/><Relationship Id="rId39" Type="http://schemas.openxmlformats.org/officeDocument/2006/relationships/hyperlink" Target="https://www.legislation.gov.au/Details/F2023L00796" TargetMode="External"/><Relationship Id="rId21" Type="http://schemas.openxmlformats.org/officeDocument/2006/relationships/hyperlink" Target="https://www.legislation.gov.au/Details/C2022C00324" TargetMode="External"/><Relationship Id="rId34" Type="http://schemas.openxmlformats.org/officeDocument/2006/relationships/hyperlink" Target="https://www.legislation.gov.au/Details/F2023L00796" TargetMode="External"/><Relationship Id="rId42" Type="http://schemas.openxmlformats.org/officeDocument/2006/relationships/hyperlink" Target="https://www.legislation.gov.au/Details/F2022C00798" TargetMode="External"/><Relationship Id="rId47" Type="http://schemas.openxmlformats.org/officeDocument/2006/relationships/hyperlink" Target="https://www.legislation.gov.au/Details/F2023L00796" TargetMode="External"/><Relationship Id="rId50" Type="http://schemas.openxmlformats.org/officeDocument/2006/relationships/hyperlink" Target="https://www.legislation.gov.au/Details/F2023C00301" TargetMode="External"/><Relationship Id="rId55" Type="http://schemas.openxmlformats.org/officeDocument/2006/relationships/hyperlink" Target="https://www.legislation.gov.au/Details/F2023L00796" TargetMode="External"/><Relationship Id="rId63" Type="http://schemas.openxmlformats.org/officeDocument/2006/relationships/hyperlink" Target="https://www.legislation.gov.au/Details/C2022C00324" TargetMode="External"/><Relationship Id="rId68" Type="http://schemas.openxmlformats.org/officeDocument/2006/relationships/hyperlink" Target="https://www.legislation.gov.au/Details/C2022C0023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ion.gov.au/Details/C2020C00382" TargetMode="External"/><Relationship Id="rId2" Type="http://schemas.openxmlformats.org/officeDocument/2006/relationships/numbering" Target="numbering.xml"/><Relationship Id="rId16" Type="http://schemas.openxmlformats.org/officeDocument/2006/relationships/hyperlink" Target="https://www.legislation.gov.au/Details/C2023A00008" TargetMode="External"/><Relationship Id="rId29" Type="http://schemas.openxmlformats.org/officeDocument/2006/relationships/hyperlink" Target="https://www.legislation.gov.au/Details/C2023C00107" TargetMode="External"/><Relationship Id="rId11" Type="http://schemas.openxmlformats.org/officeDocument/2006/relationships/hyperlink" Target="https://www.legislation.gov.au/Details/F2023L00796" TargetMode="External"/><Relationship Id="rId24" Type="http://schemas.openxmlformats.org/officeDocument/2006/relationships/hyperlink" Target="https://www.health.gov.au/resources/publications/health-regulatory-policy-framework" TargetMode="External"/><Relationship Id="rId32" Type="http://schemas.openxmlformats.org/officeDocument/2006/relationships/hyperlink" Target="https://www.health.gov.au/resources/publications/prescribed-list-of-medical-devices-and-human-tissue-products?language=en" TargetMode="External"/><Relationship Id="rId37" Type="http://schemas.openxmlformats.org/officeDocument/2006/relationships/hyperlink" Target="https://www.legislation.gov.au/Details/F2023L00796" TargetMode="External"/><Relationship Id="rId40" Type="http://schemas.openxmlformats.org/officeDocument/2006/relationships/hyperlink" Target="https://www.legislation.gov.au/Details/F2023L00796" TargetMode="External"/><Relationship Id="rId45" Type="http://schemas.openxmlformats.org/officeDocument/2006/relationships/hyperlink" Target="https://www.legislation.gov.au/Details/F2022C00798" TargetMode="External"/><Relationship Id="rId53" Type="http://schemas.openxmlformats.org/officeDocument/2006/relationships/hyperlink" Target="https://www.legislation.gov.au/Details/F2023L00796" TargetMode="External"/><Relationship Id="rId58" Type="http://schemas.openxmlformats.org/officeDocument/2006/relationships/hyperlink" Target="https://www.legislation.gov.au/Details/C2021C00255" TargetMode="External"/><Relationship Id="rId66" Type="http://schemas.openxmlformats.org/officeDocument/2006/relationships/hyperlink" Target="https://www.ag.gov.au/legal-system/publications/guide-framing-commonwealth-offences-infringement-notices-and-enforcement-powers" TargetMode="External"/><Relationship Id="rId74" Type="http://schemas.openxmlformats.org/officeDocument/2006/relationships/hyperlink" Target="https://www.legislation.gov.au/Details/C2023C00102" TargetMode="External"/><Relationship Id="rId5" Type="http://schemas.openxmlformats.org/officeDocument/2006/relationships/webSettings" Target="webSettings.xml"/><Relationship Id="rId15" Type="http://schemas.openxmlformats.org/officeDocument/2006/relationships/hyperlink" Target="https://www.health.gov.au/resources/publications/prostheses-list-post-listing-review-framework" TargetMode="External"/><Relationship Id="rId23" Type="http://schemas.openxmlformats.org/officeDocument/2006/relationships/hyperlink" Target="https://www.health.gov.au/resources/publications/prescribed-list-of-medical-devices-and-human-tissue-products?language=en" TargetMode="External"/><Relationship Id="rId28" Type="http://schemas.openxmlformats.org/officeDocument/2006/relationships/hyperlink" Target="https://www.legislation.gov.au/Details/F2023L00796" TargetMode="External"/><Relationship Id="rId36" Type="http://schemas.openxmlformats.org/officeDocument/2006/relationships/hyperlink" Target="https://www.legislation.gov.au/Details/F2023L00796" TargetMode="External"/><Relationship Id="rId49" Type="http://schemas.openxmlformats.org/officeDocument/2006/relationships/hyperlink" Target="https://www.legislation.gov.au/Details/F2022C00798" TargetMode="External"/><Relationship Id="rId57" Type="http://schemas.openxmlformats.org/officeDocument/2006/relationships/hyperlink" Target="https://www.legislation.gov.au/Details/F2023L00796" TargetMode="External"/><Relationship Id="rId61" Type="http://schemas.openxmlformats.org/officeDocument/2006/relationships/hyperlink" Target="https://www.legislation.gov.au/Details/C2022C00324" TargetMode="External"/><Relationship Id="rId10" Type="http://schemas.openxmlformats.org/officeDocument/2006/relationships/hyperlink" Target="https://www.health.gov.au/resources/publications/prescribed-list-of-medical-devices-and-human-tissue-products?language=en" TargetMode="External"/><Relationship Id="rId19" Type="http://schemas.openxmlformats.org/officeDocument/2006/relationships/hyperlink" Target="https://www.legislation.gov.au/Details/C2023C00102" TargetMode="External"/><Relationship Id="rId31" Type="http://schemas.openxmlformats.org/officeDocument/2006/relationships/hyperlink" Target="https://www.health.gov.au/resources/publications/prostheses-list-compliance-strategy-safeguarding-the-prostheses-list?language=en" TargetMode="External"/><Relationship Id="rId44" Type="http://schemas.openxmlformats.org/officeDocument/2006/relationships/hyperlink" Target="https://www.health.gov.au/resources/publications/prescribed-list-of-medical-devices-and-human-tissue-products?language=en" TargetMode="External"/><Relationship Id="rId52" Type="http://schemas.openxmlformats.org/officeDocument/2006/relationships/hyperlink" Target="https://www.legislation.gov.au/Details/F2023C00301" TargetMode="External"/><Relationship Id="rId60" Type="http://schemas.openxmlformats.org/officeDocument/2006/relationships/hyperlink" Target="https://www.legislation.gov.au/Details/C2022C00324" TargetMode="External"/><Relationship Id="rId65" Type="http://schemas.openxmlformats.org/officeDocument/2006/relationships/hyperlink" Target="https://www.health.gov.au/resources/publications/prescribed-list-of-medical-devices-and-human-tissue-products?language=en" TargetMode="External"/><Relationship Id="rId73" Type="http://schemas.openxmlformats.org/officeDocument/2006/relationships/hyperlink" Target="https://www.health.gov.au/resources/publications/prescribed-list-of-medical-devices-and-human-tissue-products?language=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gov.au/resources/publications/prostheses-list-compliance-strategy-safeguarding-the-prostheses-list?language=en" TargetMode="External"/><Relationship Id="rId22" Type="http://schemas.openxmlformats.org/officeDocument/2006/relationships/hyperlink" Target="https://www.legislation.gov.au/Details/C2023C00107" TargetMode="External"/><Relationship Id="rId27" Type="http://schemas.openxmlformats.org/officeDocument/2006/relationships/hyperlink" Target="https://www.ag.gov.au/legal-system/publications/guide-framing-commonwealth-offences-infringement-notices-and-enforcement-powers" TargetMode="External"/><Relationship Id="rId30" Type="http://schemas.openxmlformats.org/officeDocument/2006/relationships/hyperlink" Target="https://www.legislation.gov.au/Details/C2023C00102" TargetMode="External"/><Relationship Id="rId35" Type="http://schemas.openxmlformats.org/officeDocument/2006/relationships/hyperlink" Target="https://www.legislation.gov.au/Details/F2023L00796" TargetMode="External"/><Relationship Id="rId43" Type="http://schemas.openxmlformats.org/officeDocument/2006/relationships/hyperlink" Target="https://www.legislation.gov.au/Details/F2022C00798" TargetMode="External"/><Relationship Id="rId48" Type="http://schemas.openxmlformats.org/officeDocument/2006/relationships/hyperlink" Target="https://www.legislation.gov.au/Details/F2023L00796" TargetMode="External"/><Relationship Id="rId56" Type="http://schemas.openxmlformats.org/officeDocument/2006/relationships/hyperlink" Target="https://www.legislation.gov.au/Details/C2022C00324" TargetMode="External"/><Relationship Id="rId64" Type="http://schemas.openxmlformats.org/officeDocument/2006/relationships/hyperlink" Target="https://www.ag.gov.au/legal-system/publications/guide-framing-commonwealth-offences-infringement-notices-and-enforcement-powers" TargetMode="External"/><Relationship Id="rId69" Type="http://schemas.openxmlformats.org/officeDocument/2006/relationships/hyperlink" Target="https://www.legislation.gov.au/Details/C2023C00102" TargetMode="External"/><Relationship Id="rId8" Type="http://schemas.openxmlformats.org/officeDocument/2006/relationships/footer" Target="footer1.xml"/><Relationship Id="rId51" Type="http://schemas.openxmlformats.org/officeDocument/2006/relationships/hyperlink" Target="https://www.legislation.gov.au/Details/F2023C00301" TargetMode="External"/><Relationship Id="rId72" Type="http://schemas.openxmlformats.org/officeDocument/2006/relationships/hyperlink" Target="https://www.legislation.gov.au/Details/F2023L00796" TargetMode="External"/><Relationship Id="rId3" Type="http://schemas.openxmlformats.org/officeDocument/2006/relationships/styles" Target="styles.xml"/><Relationship Id="rId12" Type="http://schemas.openxmlformats.org/officeDocument/2006/relationships/hyperlink" Target="https://www.legislation.gov.au/Details/C2023C00107" TargetMode="External"/><Relationship Id="rId17" Type="http://schemas.openxmlformats.org/officeDocument/2006/relationships/hyperlink" Target="https://www.health.gov.au/resources/publications/prescribed-list-of-medical-devices-and-human-tissue-products?language=en" TargetMode="External"/><Relationship Id="rId25" Type="http://schemas.openxmlformats.org/officeDocument/2006/relationships/hyperlink" Target="https://www.ag.gov.au/legal-system/publications/guide-framing-commonwealth-offences-infringement-notices-and-enforcement-powers" TargetMode="External"/><Relationship Id="rId33" Type="http://schemas.openxmlformats.org/officeDocument/2006/relationships/hyperlink" Target="https://www.legislation.gov.au/Details/F2023L00796" TargetMode="External"/><Relationship Id="rId38" Type="http://schemas.openxmlformats.org/officeDocument/2006/relationships/hyperlink" Target="https://www.legislation.gov.au/Details/F2023L00796" TargetMode="External"/><Relationship Id="rId46" Type="http://schemas.openxmlformats.org/officeDocument/2006/relationships/hyperlink" Target="https://www.legislation.gov.au/Details/F2022C00798" TargetMode="External"/><Relationship Id="rId59" Type="http://schemas.openxmlformats.org/officeDocument/2006/relationships/hyperlink" Target="https://www.ag.gov.au/legal-system/publications/guide-framing-commonwealth-offences-infringement-notices-and-enforcement-powers" TargetMode="External"/><Relationship Id="rId67" Type="http://schemas.openxmlformats.org/officeDocument/2006/relationships/hyperlink" Target="https://www.legislation.gov.au/Details/C2022C00339" TargetMode="External"/><Relationship Id="rId20" Type="http://schemas.openxmlformats.org/officeDocument/2006/relationships/hyperlink" Target="https://www.legislation.gov.au/Details/C2023C00043" TargetMode="External"/><Relationship Id="rId41" Type="http://schemas.openxmlformats.org/officeDocument/2006/relationships/hyperlink" Target="https://www.legislation.gov.au/Details/F2022C00798" TargetMode="External"/><Relationship Id="rId54" Type="http://schemas.openxmlformats.org/officeDocument/2006/relationships/hyperlink" Target="https://www.legislation.gov.au/Details/F2023L00796" TargetMode="External"/><Relationship Id="rId62" Type="http://schemas.openxmlformats.org/officeDocument/2006/relationships/hyperlink" Target="https://www.ag.gov.au/legal-system/publications/guide-framing-commonwealth-offences-infringement-notices-and-enforcement-powers" TargetMode="External"/><Relationship Id="rId70" Type="http://schemas.openxmlformats.org/officeDocument/2006/relationships/hyperlink" Target="https://www.legislation.gov.au/Details/C2023C0004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BRB\AppData\Local\Microsoft\Windows\INetCache\Content.Outlook\EJ6LSEW9\Department%20of%20Health%20-%20Short%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A767-3CE0-4FFC-85CD-A3A6E097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Health - Short document template.dotx</Template>
  <TotalTime>0</TotalTime>
  <Pages>17</Pages>
  <Words>9268</Words>
  <Characters>52834</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Nicola</dc:creator>
  <cp:keywords/>
  <dc:description/>
  <cp:lastModifiedBy>HAPGOOD, Kelly</cp:lastModifiedBy>
  <cp:revision>2</cp:revision>
  <dcterms:created xsi:type="dcterms:W3CDTF">2023-07-12T01:49:00Z</dcterms:created>
  <dcterms:modified xsi:type="dcterms:W3CDTF">2023-07-12T01:49:00Z</dcterms:modified>
</cp:coreProperties>
</file>