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C22AB" w14:textId="77777777" w:rsidR="006168AD" w:rsidRDefault="006168AD"/>
    <w:p w14:paraId="322BB84A" w14:textId="38731773" w:rsidR="006168AD" w:rsidRPr="009F7366" w:rsidRDefault="006168AD" w:rsidP="009F7366">
      <w:pPr>
        <w:pStyle w:val="Title"/>
        <w:spacing w:before="1080"/>
        <w:rPr>
          <w:szCs w:val="48"/>
        </w:rPr>
      </w:pPr>
      <w:r w:rsidRPr="009F7366">
        <w:rPr>
          <w:szCs w:val="48"/>
        </w:rPr>
        <w:t>Prostheses List Reforms – Consultation Paper N</w:t>
      </w:r>
      <w:r w:rsidRPr="009F7366">
        <w:rPr>
          <w:szCs w:val="48"/>
          <w:vertAlign w:val="superscript"/>
        </w:rPr>
        <w:t>o</w:t>
      </w:r>
      <w:r w:rsidRPr="009F7366">
        <w:rPr>
          <w:szCs w:val="48"/>
        </w:rPr>
        <w:t xml:space="preserve"> </w:t>
      </w:r>
      <w:r w:rsidR="001F4822">
        <w:rPr>
          <w:szCs w:val="48"/>
        </w:rPr>
        <w:t>5</w:t>
      </w:r>
    </w:p>
    <w:p w14:paraId="19086A0B" w14:textId="1C709F81" w:rsidR="006168AD" w:rsidRDefault="006168AD" w:rsidP="006168AD">
      <w:pPr>
        <w:pStyle w:val="Subtitle"/>
        <w:rPr>
          <w:spacing w:val="0"/>
          <w:szCs w:val="40"/>
        </w:rPr>
      </w:pPr>
      <w:r w:rsidRPr="003A2D7A">
        <w:rPr>
          <w:spacing w:val="0"/>
          <w:szCs w:val="40"/>
        </w:rPr>
        <w:t xml:space="preserve">Prostheses List – </w:t>
      </w:r>
      <w:r w:rsidR="0052132E">
        <w:rPr>
          <w:spacing w:val="0"/>
          <w:szCs w:val="40"/>
        </w:rPr>
        <w:t xml:space="preserve">Bundling of Benefits for </w:t>
      </w:r>
      <w:r w:rsidR="001116D5">
        <w:rPr>
          <w:spacing w:val="0"/>
          <w:szCs w:val="40"/>
        </w:rPr>
        <w:t>General Use Item</w:t>
      </w:r>
      <w:r w:rsidR="0052132E">
        <w:rPr>
          <w:spacing w:val="0"/>
          <w:szCs w:val="40"/>
        </w:rPr>
        <w:t>s</w:t>
      </w:r>
    </w:p>
    <w:p w14:paraId="5249CE31" w14:textId="14F513E1" w:rsidR="00837F8B" w:rsidRPr="00837F8B" w:rsidRDefault="00837F8B" w:rsidP="00837F8B">
      <w:pPr>
        <w:sectPr w:rsidR="00837F8B" w:rsidRPr="00837F8B" w:rsidSect="006168AD">
          <w:headerReference w:type="even" r:id="rId8"/>
          <w:headerReference w:type="default" r:id="rId9"/>
          <w:footerReference w:type="even" r:id="rId10"/>
          <w:footerReference w:type="default" r:id="rId11"/>
          <w:headerReference w:type="first" r:id="rId12"/>
          <w:footerReference w:type="first" r:id="rId13"/>
          <w:pgSz w:w="11906" w:h="16838"/>
          <w:pgMar w:top="1701" w:right="1418" w:bottom="1418" w:left="1418" w:header="850" w:footer="709" w:gutter="0"/>
          <w:cols w:space="708"/>
          <w:titlePg/>
          <w:docGrid w:linePitch="360"/>
        </w:sectPr>
      </w:pPr>
    </w:p>
    <w:p w14:paraId="506E6616" w14:textId="77777777" w:rsidR="009F7366" w:rsidRPr="00354E84" w:rsidRDefault="009F7366" w:rsidP="00FD72BF">
      <w:pPr>
        <w:pStyle w:val="PolicyStatement"/>
        <w:pBdr>
          <w:left w:val="single" w:sz="4" w:space="0" w:color="F2F2F2" w:themeColor="background1" w:themeShade="F2"/>
        </w:pBdr>
        <w:spacing w:before="0" w:line="240" w:lineRule="auto"/>
        <w:rPr>
          <w:rFonts w:ascii="Arial" w:hAnsi="Arial" w:cs="Arial"/>
          <w:b/>
          <w:bCs/>
          <w:color w:val="358189"/>
          <w:sz w:val="32"/>
          <w:szCs w:val="32"/>
        </w:rPr>
      </w:pPr>
      <w:r w:rsidRPr="00354E84">
        <w:rPr>
          <w:rFonts w:ascii="Arial" w:hAnsi="Arial" w:cs="Arial"/>
          <w:b/>
          <w:bCs/>
          <w:color w:val="358189"/>
          <w:sz w:val="32"/>
          <w:szCs w:val="32"/>
        </w:rPr>
        <w:lastRenderedPageBreak/>
        <w:t>Context for the consultation paper</w:t>
      </w:r>
    </w:p>
    <w:p w14:paraId="364F3DF3" w14:textId="104DB501" w:rsidR="009F7366" w:rsidRPr="00354E84" w:rsidRDefault="009F7366" w:rsidP="00FD72BF">
      <w:pPr>
        <w:pStyle w:val="PolicyStatement"/>
        <w:pBdr>
          <w:left w:val="single" w:sz="4" w:space="0" w:color="F2F2F2" w:themeColor="background1" w:themeShade="F2"/>
        </w:pBdr>
        <w:spacing w:before="120" w:line="240" w:lineRule="auto"/>
        <w:rPr>
          <w:rFonts w:ascii="Arial" w:hAnsi="Arial" w:cs="Arial"/>
          <w:sz w:val="21"/>
          <w:szCs w:val="21"/>
        </w:rPr>
      </w:pPr>
      <w:r w:rsidRPr="00AA7291">
        <w:rPr>
          <w:rFonts w:ascii="Arial" w:hAnsi="Arial" w:cs="Arial"/>
          <w:sz w:val="21"/>
          <w:szCs w:val="21"/>
        </w:rPr>
        <w:t xml:space="preserve">In the 2021-22 Federal Budget, the Australian Government committed $22 million over four years for the </w:t>
      </w:r>
      <w:hyperlink r:id="rId14" w:history="1">
        <w:r w:rsidRPr="00A46E50">
          <w:rPr>
            <w:rStyle w:val="Hyperlink"/>
            <w:rFonts w:ascii="Arial" w:hAnsi="Arial" w:cs="Arial"/>
            <w:i/>
            <w:sz w:val="21"/>
            <w:szCs w:val="21"/>
          </w:rPr>
          <w:t xml:space="preserve">Modernising and Improving the Private Health Insurance Prostheses List </w:t>
        </w:r>
        <w:r w:rsidRPr="00A46E50">
          <w:rPr>
            <w:rStyle w:val="Hyperlink"/>
            <w:rFonts w:ascii="Arial" w:hAnsi="Arial" w:cs="Arial"/>
            <w:sz w:val="21"/>
            <w:szCs w:val="21"/>
          </w:rPr>
          <w:t>measure</w:t>
        </w:r>
      </w:hyperlink>
      <w:r w:rsidRPr="00AA7291">
        <w:rPr>
          <w:rFonts w:ascii="Arial" w:hAnsi="Arial" w:cs="Arial"/>
          <w:sz w:val="21"/>
          <w:szCs w:val="21"/>
        </w:rPr>
        <w:t xml:space="preserve">. Following extensive consultation over recent years, this consultation paper will canvass views on proposed implementation of improvements to the Prostheses List (PL) as announced in the Budget. The Government considers these improvements are necessary to benefit consumers, because </w:t>
      </w:r>
      <w:proofErr w:type="gramStart"/>
      <w:r w:rsidRPr="00AA7291">
        <w:rPr>
          <w:rFonts w:ascii="Arial" w:hAnsi="Arial" w:cs="Arial"/>
          <w:sz w:val="21"/>
          <w:szCs w:val="21"/>
        </w:rPr>
        <w:t>a number of</w:t>
      </w:r>
      <w:proofErr w:type="gramEnd"/>
      <w:r w:rsidRPr="00AA7291">
        <w:rPr>
          <w:rFonts w:ascii="Arial" w:hAnsi="Arial" w:cs="Arial"/>
          <w:sz w:val="21"/>
          <w:szCs w:val="21"/>
        </w:rPr>
        <w:t xml:space="preserve"> reviews of the system have consistently found a high variance in the prices on the PL compared to prices paid in the public hospital system, with a limited ability for market forces to exert a downward pressure that would benefit consumers.</w:t>
      </w:r>
    </w:p>
    <w:p w14:paraId="7E91373A" w14:textId="3651268C" w:rsidR="007D5063" w:rsidRDefault="00083825" w:rsidP="00FD72BF">
      <w:pPr>
        <w:pStyle w:val="PolicyStatement"/>
        <w:pBdr>
          <w:left w:val="single" w:sz="4" w:space="0" w:color="F2F2F2" w:themeColor="background1" w:themeShade="F2"/>
        </w:pBdr>
        <w:spacing w:before="120" w:line="240" w:lineRule="auto"/>
        <w:rPr>
          <w:rFonts w:ascii="Arial" w:hAnsi="Arial" w:cs="Arial"/>
          <w:sz w:val="21"/>
          <w:szCs w:val="21"/>
        </w:rPr>
      </w:pPr>
      <w:r w:rsidRPr="00FD72BF">
        <w:rPr>
          <w:rFonts w:ascii="Arial" w:hAnsi="Arial" w:cs="Arial"/>
          <w:sz w:val="21"/>
          <w:szCs w:val="21"/>
        </w:rPr>
        <w:t>This consultation</w:t>
      </w:r>
      <w:r w:rsidR="007D5063" w:rsidRPr="00FD72BF">
        <w:rPr>
          <w:rFonts w:ascii="Arial" w:hAnsi="Arial" w:cs="Arial"/>
          <w:sz w:val="21"/>
          <w:szCs w:val="21"/>
        </w:rPr>
        <w:t xml:space="preserve"> paper</w:t>
      </w:r>
      <w:r w:rsidRPr="00FD72BF">
        <w:rPr>
          <w:rFonts w:ascii="Arial" w:hAnsi="Arial" w:cs="Arial"/>
          <w:sz w:val="21"/>
          <w:szCs w:val="21"/>
        </w:rPr>
        <w:t xml:space="preserve"> builds upon the</w:t>
      </w:r>
      <w:hyperlink r:id="rId15" w:history="1">
        <w:r w:rsidRPr="00FA5D4E">
          <w:rPr>
            <w:rStyle w:val="Hyperlink"/>
            <w:rFonts w:ascii="Arial" w:hAnsi="Arial" w:cs="Arial"/>
            <w:sz w:val="21"/>
            <w:szCs w:val="21"/>
            <w:u w:val="none"/>
          </w:rPr>
          <w:t xml:space="preserve"> </w:t>
        </w:r>
        <w:r w:rsidR="00824AD4" w:rsidRPr="00FD72BF">
          <w:rPr>
            <w:rStyle w:val="Hyperlink"/>
            <w:rFonts w:ascii="Arial" w:hAnsi="Arial" w:cs="Arial"/>
            <w:sz w:val="21"/>
            <w:szCs w:val="21"/>
          </w:rPr>
          <w:t>previous consultations</w:t>
        </w:r>
      </w:hyperlink>
      <w:r w:rsidR="00FD72BF" w:rsidRPr="00FD72BF">
        <w:rPr>
          <w:rFonts w:ascii="Arial" w:hAnsi="Arial" w:cs="Arial"/>
          <w:sz w:val="21"/>
          <w:szCs w:val="21"/>
        </w:rPr>
        <w:t xml:space="preserve"> and furthers the Government </w:t>
      </w:r>
      <w:r w:rsidR="00F82D31">
        <w:rPr>
          <w:rFonts w:ascii="Arial" w:hAnsi="Arial" w:cs="Arial"/>
          <w:sz w:val="21"/>
          <w:szCs w:val="21"/>
        </w:rPr>
        <w:t>reforms</w:t>
      </w:r>
      <w:r w:rsidR="00FD72BF" w:rsidRPr="00FD72BF">
        <w:rPr>
          <w:rFonts w:ascii="Arial" w:hAnsi="Arial" w:cs="Arial"/>
          <w:sz w:val="21"/>
          <w:szCs w:val="21"/>
        </w:rPr>
        <w:t xml:space="preserve"> to the PL, with improvements</w:t>
      </w:r>
      <w:r w:rsidR="00FD72BF">
        <w:rPr>
          <w:rFonts w:ascii="Arial" w:hAnsi="Arial" w:cs="Arial"/>
          <w:sz w:val="21"/>
          <w:szCs w:val="21"/>
        </w:rPr>
        <w:t xml:space="preserve"> </w:t>
      </w:r>
      <w:r w:rsidR="00FD72BF" w:rsidRPr="00FD72BF">
        <w:rPr>
          <w:rFonts w:ascii="Arial" w:hAnsi="Arial" w:cs="Arial"/>
          <w:sz w:val="21"/>
          <w:szCs w:val="21"/>
        </w:rPr>
        <w:t>to reduce the cost of medical devices used in the private health sector.</w:t>
      </w:r>
    </w:p>
    <w:p w14:paraId="3EE5EA86" w14:textId="54E3D651" w:rsidR="003E210E" w:rsidRPr="00FD72BF" w:rsidRDefault="003E210E" w:rsidP="00FD72BF">
      <w:pPr>
        <w:pStyle w:val="PolicyStatement"/>
        <w:pBdr>
          <w:left w:val="single" w:sz="4" w:space="0" w:color="F2F2F2" w:themeColor="background1" w:themeShade="F2"/>
        </w:pBdr>
        <w:spacing w:before="120" w:line="240" w:lineRule="auto"/>
        <w:rPr>
          <w:rFonts w:ascii="Arial" w:hAnsi="Arial" w:cs="Arial"/>
          <w:sz w:val="21"/>
          <w:szCs w:val="21"/>
        </w:rPr>
      </w:pPr>
      <w:r>
        <w:rPr>
          <w:rFonts w:ascii="Arial" w:hAnsi="Arial" w:cs="Arial"/>
          <w:sz w:val="21"/>
          <w:szCs w:val="21"/>
        </w:rPr>
        <w:t xml:space="preserve">This consultation paper needs to be considered in conjunction with the </w:t>
      </w:r>
      <w:hyperlink r:id="rId16" w:history="1">
        <w:r w:rsidRPr="003E210E">
          <w:rPr>
            <w:rStyle w:val="Hyperlink"/>
            <w:rFonts w:ascii="Arial" w:hAnsi="Arial" w:cs="Arial"/>
            <w:sz w:val="21"/>
            <w:szCs w:val="21"/>
          </w:rPr>
          <w:t>IHACPA Advice on Bundling Arrangements</w:t>
        </w:r>
      </w:hyperlink>
      <w:r>
        <w:rPr>
          <w:rFonts w:ascii="Arial" w:hAnsi="Arial" w:cs="Arial"/>
          <w:sz w:val="21"/>
          <w:szCs w:val="21"/>
        </w:rPr>
        <w:t>.</w:t>
      </w:r>
    </w:p>
    <w:p w14:paraId="3C0EED26" w14:textId="34307EE9" w:rsidR="006168AD" w:rsidRDefault="006168AD" w:rsidP="00AD644A">
      <w:pPr>
        <w:pStyle w:val="Heading1"/>
      </w:pPr>
      <w:r>
        <w:t>Purpose</w:t>
      </w:r>
    </w:p>
    <w:p w14:paraId="68CC2212" w14:textId="1898BF91" w:rsidR="00AA7291" w:rsidRDefault="00AA7291" w:rsidP="0068472F">
      <w:pPr>
        <w:pStyle w:val="ListBullet"/>
        <w:numPr>
          <w:ilvl w:val="0"/>
          <w:numId w:val="0"/>
        </w:numPr>
      </w:pPr>
      <w:bookmarkStart w:id="0" w:name="_Hlk86151727"/>
      <w:r>
        <w:t xml:space="preserve">A key element of the structural reforms to the PL is to improve definitions for items that qualify for listing </w:t>
      </w:r>
      <w:r w:rsidR="00FB2858">
        <w:t xml:space="preserve">and </w:t>
      </w:r>
      <w:r>
        <w:t xml:space="preserve">therefore providing greater clarity and certainty over what products can be included. Consequently, a group of </w:t>
      </w:r>
      <w:r w:rsidR="003E210E">
        <w:t>around</w:t>
      </w:r>
      <w:r>
        <w:t xml:space="preserve"> 500 general use and consumable products </w:t>
      </w:r>
      <w:r w:rsidR="004F6888">
        <w:t xml:space="preserve">(General Use Items (GUIs)) </w:t>
      </w:r>
      <w:r>
        <w:t>have been identified for removal from the PL because they either do not meet the current criteria or will not meet the new definition</w:t>
      </w:r>
      <w:r w:rsidR="0068472F">
        <w:t xml:space="preserve"> (</w:t>
      </w:r>
      <w:hyperlink r:id="rId17" w:history="1">
        <w:r w:rsidR="0068472F" w:rsidRPr="0068472F">
          <w:rPr>
            <w:rStyle w:val="Hyperlink"/>
          </w:rPr>
          <w:t>Prostheses List Reforms – Consultation Paper No 1</w:t>
        </w:r>
      </w:hyperlink>
      <w:r w:rsidR="0068472F">
        <w:t>)</w:t>
      </w:r>
      <w:r w:rsidR="00AC52F3">
        <w:t xml:space="preserve">. From 1 March 2023, there will be a </w:t>
      </w:r>
      <w:r w:rsidR="00F82D31">
        <w:t xml:space="preserve">scheduled </w:t>
      </w:r>
      <w:r w:rsidR="00AC52F3">
        <w:t xml:space="preserve">reduction in </w:t>
      </w:r>
      <w:r w:rsidR="00F82D31">
        <w:t xml:space="preserve">the PL benefit </w:t>
      </w:r>
      <w:r w:rsidR="00AC52F3">
        <w:t>for these items</w:t>
      </w:r>
      <w:r w:rsidR="0068472F">
        <w:t xml:space="preserve"> (</w:t>
      </w:r>
      <w:hyperlink r:id="rId18" w:history="1">
        <w:r w:rsidR="0068472F" w:rsidRPr="0068472F">
          <w:rPr>
            <w:rStyle w:val="Hyperlink"/>
          </w:rPr>
          <w:t>Memorandum of Understanding for the policy parameters of the Prostheses List Reforms</w:t>
        </w:r>
      </w:hyperlink>
      <w:r w:rsidR="0068472F">
        <w:t>)</w:t>
      </w:r>
      <w:r w:rsidR="00AC52F3">
        <w:t>.</w:t>
      </w:r>
    </w:p>
    <w:bookmarkEnd w:id="0"/>
    <w:p w14:paraId="0789006C" w14:textId="4C9A081C" w:rsidR="00AA7291" w:rsidRDefault="00AA7291" w:rsidP="00AA7291">
      <w:pPr>
        <w:pStyle w:val="Paragraphtext"/>
      </w:pPr>
      <w:r>
        <w:t xml:space="preserve">The Department engaged the Independent Health and Aged Care Pricing Authority (IHACPA) to develop advice on appropriate bundling arrangements for </w:t>
      </w:r>
      <w:r w:rsidR="003E210E">
        <w:t xml:space="preserve">around </w:t>
      </w:r>
      <w:r>
        <w:t xml:space="preserve">500 </w:t>
      </w:r>
      <w:r w:rsidR="004F6888">
        <w:t>GUIs</w:t>
      </w:r>
      <w:r w:rsidR="009D12FB">
        <w:t xml:space="preserve"> </w:t>
      </w:r>
      <w:r>
        <w:t>that have been identified for removal from the PL from 1 July 2023.</w:t>
      </w:r>
    </w:p>
    <w:p w14:paraId="3029B13D" w14:textId="456A94CC" w:rsidR="004F6888" w:rsidRDefault="00AA7291" w:rsidP="00AA7291">
      <w:pPr>
        <w:pStyle w:val="Paragraphtext"/>
      </w:pPr>
      <w:r>
        <w:t xml:space="preserve">The IHACPA advice on bundling of </w:t>
      </w:r>
      <w:r w:rsidR="009D12FB">
        <w:t>GUI</w:t>
      </w:r>
      <w:r w:rsidR="00F82D31">
        <w:t>s</w:t>
      </w:r>
      <w:r w:rsidR="009D12FB">
        <w:t xml:space="preserve"> </w:t>
      </w:r>
      <w:r w:rsidR="00DD0CCB">
        <w:t xml:space="preserve">is </w:t>
      </w:r>
      <w:r>
        <w:t xml:space="preserve">defined so that the overall benefits paid remains consistent with benefits paid </w:t>
      </w:r>
      <w:r w:rsidR="00F82D31">
        <w:t xml:space="preserve">for GUIs specified on the PL </w:t>
      </w:r>
      <w:r>
        <w:t>prior to the</w:t>
      </w:r>
      <w:r w:rsidR="00E71255">
        <w:t>ir</w:t>
      </w:r>
      <w:r>
        <w:t xml:space="preserve"> removal. </w:t>
      </w:r>
    </w:p>
    <w:p w14:paraId="0F54F317" w14:textId="05196DFE" w:rsidR="00AC52F3" w:rsidRDefault="00AC52F3" w:rsidP="00AA7291">
      <w:pPr>
        <w:pStyle w:val="Paragraphtext"/>
      </w:pPr>
      <w:r w:rsidRPr="00AC52F3">
        <w:t xml:space="preserve">The </w:t>
      </w:r>
      <w:hyperlink r:id="rId19" w:history="1">
        <w:r w:rsidRPr="00B35DBC">
          <w:rPr>
            <w:rStyle w:val="Hyperlink"/>
          </w:rPr>
          <w:t>Minister agreed</w:t>
        </w:r>
      </w:hyperlink>
      <w:r w:rsidRPr="00AC52F3">
        <w:t xml:space="preserve"> to </w:t>
      </w:r>
      <w:r w:rsidR="004F6888">
        <w:t>r</w:t>
      </w:r>
      <w:r w:rsidRPr="00AC52F3">
        <w:t xml:space="preserve">equire the </w:t>
      </w:r>
      <w:r w:rsidR="009D12FB">
        <w:t>GUI</w:t>
      </w:r>
      <w:r w:rsidR="004F6888">
        <w:t>s</w:t>
      </w:r>
      <w:r w:rsidRPr="00AC52F3">
        <w:t xml:space="preserve"> to be funded by insurers under the </w:t>
      </w:r>
      <w:r w:rsidRPr="00AC52F3">
        <w:rPr>
          <w:i/>
          <w:iCs/>
        </w:rPr>
        <w:t>Private Health Insurance (Benefit Requirement</w:t>
      </w:r>
      <w:r w:rsidR="00241223">
        <w:rPr>
          <w:i/>
          <w:iCs/>
        </w:rPr>
        <w:t>s</w:t>
      </w:r>
      <w:r w:rsidRPr="00AC52F3">
        <w:rPr>
          <w:i/>
          <w:iCs/>
        </w:rPr>
        <w:t>) Rules 2011</w:t>
      </w:r>
      <w:r>
        <w:rPr>
          <w:i/>
          <w:iCs/>
        </w:rPr>
        <w:t xml:space="preserve"> </w:t>
      </w:r>
      <w:r>
        <w:t>(</w:t>
      </w:r>
      <w:r w:rsidR="00114BC9">
        <w:t xml:space="preserve">the </w:t>
      </w:r>
      <w:r>
        <w:t>Benefit Requirement</w:t>
      </w:r>
      <w:r w:rsidR="00241223">
        <w:t>s</w:t>
      </w:r>
      <w:r>
        <w:t xml:space="preserve"> Rules)</w:t>
      </w:r>
      <w:r w:rsidRPr="00AC52F3">
        <w:t>, similar in concept to minimum benefits for theatre and accommodation paid by insurers to hospitals</w:t>
      </w:r>
      <w:r>
        <w:t>.</w:t>
      </w:r>
    </w:p>
    <w:p w14:paraId="274331AF" w14:textId="4E27535E" w:rsidR="00AD058B" w:rsidRDefault="00AD058B" w:rsidP="00AA7291">
      <w:pPr>
        <w:pStyle w:val="Paragraphtext"/>
      </w:pPr>
      <w:r w:rsidRPr="00AD058B">
        <w:t xml:space="preserve">The Benefit Requirements Rules is a legislative instrument made under the </w:t>
      </w:r>
      <w:r>
        <w:rPr>
          <w:i/>
          <w:iCs/>
        </w:rPr>
        <w:t xml:space="preserve">Private Health Insurance Act </w:t>
      </w:r>
      <w:r w:rsidRPr="00AD058B">
        <w:t>2007</w:t>
      </w:r>
      <w:r>
        <w:t xml:space="preserve"> (</w:t>
      </w:r>
      <w:r w:rsidRPr="00AD058B">
        <w:t>PHI Act</w:t>
      </w:r>
      <w:r>
        <w:t>)</w:t>
      </w:r>
      <w:r w:rsidRPr="00AD058B">
        <w:t>, that sets up requirements in relation to provision of minimum benefits paid by private health insurers.</w:t>
      </w:r>
    </w:p>
    <w:p w14:paraId="42BA8E01" w14:textId="70A75086" w:rsidR="00AA7291" w:rsidRPr="00AC52F3" w:rsidRDefault="00960FED" w:rsidP="00114BC9">
      <w:pPr>
        <w:pStyle w:val="ListBullet"/>
        <w:numPr>
          <w:ilvl w:val="0"/>
          <w:numId w:val="0"/>
        </w:numPr>
      </w:pPr>
      <w:r w:rsidRPr="000D4E16">
        <w:t xml:space="preserve">The purpose of this paper is to </w:t>
      </w:r>
      <w:r>
        <w:t xml:space="preserve">provide </w:t>
      </w:r>
      <w:r w:rsidR="001F4822">
        <w:t>options</w:t>
      </w:r>
      <w:r>
        <w:t xml:space="preserve"> for th</w:t>
      </w:r>
      <w:r w:rsidR="00AC52F3">
        <w:t>is</w:t>
      </w:r>
      <w:r>
        <w:t xml:space="preserve"> new </w:t>
      </w:r>
      <w:r w:rsidR="00AA7291">
        <w:t xml:space="preserve">arrangement </w:t>
      </w:r>
      <w:r>
        <w:t>which will</w:t>
      </w:r>
      <w:r w:rsidR="00AA7291">
        <w:t xml:space="preserve"> requir</w:t>
      </w:r>
      <w:r>
        <w:t>e</w:t>
      </w:r>
      <w:r w:rsidR="00AA7291">
        <w:t xml:space="preserve"> </w:t>
      </w:r>
      <w:r w:rsidR="009D12FB">
        <w:t>GUI</w:t>
      </w:r>
      <w:r w:rsidR="004F6888">
        <w:t>s</w:t>
      </w:r>
      <w:r w:rsidR="009D12FB">
        <w:t xml:space="preserve"> to </w:t>
      </w:r>
      <w:r w:rsidR="00AA7291">
        <w:t xml:space="preserve">be funded by insurers under the </w:t>
      </w:r>
      <w:r w:rsidR="00AA7291" w:rsidRPr="00AC52F3">
        <w:t>Benefit Requirement</w:t>
      </w:r>
      <w:r w:rsidR="00241223">
        <w:t>s</w:t>
      </w:r>
      <w:r w:rsidR="00AA7291" w:rsidRPr="00AC52F3">
        <w:t xml:space="preserve"> Rules</w:t>
      </w:r>
      <w:r w:rsidR="00AC52F3" w:rsidRPr="00AC52F3">
        <w:t>.</w:t>
      </w:r>
      <w:r w:rsidR="001F4822">
        <w:t xml:space="preserve"> </w:t>
      </w:r>
      <w:r w:rsidR="00FB2858">
        <w:t>The Department is</w:t>
      </w:r>
      <w:r w:rsidR="001F4822">
        <w:t xml:space="preserve"> seeking feedback on the options outlined below, </w:t>
      </w:r>
      <w:r w:rsidR="001F4822" w:rsidRPr="005E5688">
        <w:t>including any</w:t>
      </w:r>
      <w:r w:rsidR="005E5688" w:rsidRPr="005E5688">
        <w:t xml:space="preserve"> related</w:t>
      </w:r>
      <w:r w:rsidR="001F4822" w:rsidRPr="005E5688">
        <w:t xml:space="preserve"> evidence or data</w:t>
      </w:r>
      <w:r w:rsidR="005E5688" w:rsidRPr="005E5688">
        <w:t>.</w:t>
      </w:r>
    </w:p>
    <w:p w14:paraId="19257920" w14:textId="77777777" w:rsidR="00731498" w:rsidRDefault="00731498" w:rsidP="00E866D8">
      <w:pPr>
        <w:pStyle w:val="Heading1"/>
      </w:pPr>
      <w:r>
        <w:br w:type="page"/>
      </w:r>
    </w:p>
    <w:p w14:paraId="65DCE176" w14:textId="5CD95883" w:rsidR="00E866D8" w:rsidRDefault="00FF461C" w:rsidP="00E866D8">
      <w:pPr>
        <w:pStyle w:val="Heading1"/>
      </w:pPr>
      <w:r>
        <w:lastRenderedPageBreak/>
        <w:t>N</w:t>
      </w:r>
      <w:r w:rsidR="00E866D8">
        <w:t xml:space="preserve">ew </w:t>
      </w:r>
      <w:r w:rsidR="000A48CC">
        <w:t>a</w:t>
      </w:r>
      <w:r w:rsidR="00E866D8">
        <w:t>rrangement</w:t>
      </w:r>
      <w:r w:rsidR="000A48CC">
        <w:t xml:space="preserve">: </w:t>
      </w:r>
      <w:r w:rsidR="00DD0CCB">
        <w:t>GUI</w:t>
      </w:r>
      <w:r w:rsidR="000A48CC">
        <w:t xml:space="preserve"> Bundles</w:t>
      </w:r>
    </w:p>
    <w:p w14:paraId="334AC708" w14:textId="18EF80CF" w:rsidR="00E866D8" w:rsidRDefault="00114BC9" w:rsidP="00E866D8">
      <w:pPr>
        <w:pStyle w:val="Paragraphtext"/>
      </w:pPr>
      <w:r>
        <w:t xml:space="preserve">A transitional </w:t>
      </w:r>
      <w:r w:rsidR="00E866D8">
        <w:t xml:space="preserve">arrangement </w:t>
      </w:r>
      <w:r>
        <w:t xml:space="preserve">will be implemented to facilitate the removal of the </w:t>
      </w:r>
      <w:r w:rsidR="009858D9">
        <w:t xml:space="preserve">GUIs </w:t>
      </w:r>
      <w:r>
        <w:t>from the PL. This arrangement will</w:t>
      </w:r>
      <w:r w:rsidR="00E866D8">
        <w:t xml:space="preserve"> temporarily requir</w:t>
      </w:r>
      <w:r>
        <w:t>e</w:t>
      </w:r>
      <w:r w:rsidR="00E866D8">
        <w:t xml:space="preserve"> </w:t>
      </w:r>
      <w:r w:rsidR="00DD0CCB">
        <w:t xml:space="preserve">GUI </w:t>
      </w:r>
      <w:r w:rsidR="00E866D8">
        <w:t>Bundles</w:t>
      </w:r>
      <w:r w:rsidR="009858D9">
        <w:t xml:space="preserve"> </w:t>
      </w:r>
      <w:r w:rsidR="00DD0CCB">
        <w:t xml:space="preserve">to </w:t>
      </w:r>
      <w:r w:rsidR="00E866D8">
        <w:t>be funded by insurers under the Benefit Requirement</w:t>
      </w:r>
      <w:r w:rsidR="00241223">
        <w:t>s</w:t>
      </w:r>
      <w:r w:rsidR="00E866D8">
        <w:t xml:space="preserve"> Rules</w:t>
      </w:r>
      <w:r>
        <w:t>.</w:t>
      </w:r>
      <w:r w:rsidR="00356E62">
        <w:t xml:space="preserve"> Minimum</w:t>
      </w:r>
      <w:r w:rsidR="00E866D8">
        <w:t xml:space="preserve"> Benefits for the </w:t>
      </w:r>
      <w:r w:rsidR="009858D9">
        <w:t>GU</w:t>
      </w:r>
      <w:r w:rsidR="00DD0CCB">
        <w:t xml:space="preserve">I </w:t>
      </w:r>
      <w:r w:rsidR="009858D9">
        <w:t>B</w:t>
      </w:r>
      <w:r w:rsidR="00DD0CCB">
        <w:t>undle</w:t>
      </w:r>
      <w:r w:rsidR="009858D9">
        <w:t>s</w:t>
      </w:r>
      <w:r w:rsidR="00E866D8">
        <w:t xml:space="preserve">, based on </w:t>
      </w:r>
      <w:hyperlink r:id="rId20" w:history="1">
        <w:r w:rsidR="00E866D8" w:rsidRPr="003E210E">
          <w:rPr>
            <w:rStyle w:val="Hyperlink"/>
          </w:rPr>
          <w:t>IHACPA’s work</w:t>
        </w:r>
      </w:hyperlink>
      <w:r w:rsidR="00E866D8">
        <w:t xml:space="preserve">, </w:t>
      </w:r>
      <w:r w:rsidR="00356E62">
        <w:t>will</w:t>
      </w:r>
      <w:r w:rsidR="00E866D8">
        <w:t xml:space="preserve"> be included in a new schedule of minimum benefits under the Benefit</w:t>
      </w:r>
      <w:r w:rsidR="00356E62">
        <w:t xml:space="preserve"> Requirement</w:t>
      </w:r>
      <w:r w:rsidR="00241223">
        <w:t>s</w:t>
      </w:r>
      <w:r w:rsidR="00E866D8">
        <w:t xml:space="preserve"> Rules</w:t>
      </w:r>
      <w:r w:rsidR="00AD058B">
        <w:t>.</w:t>
      </w:r>
    </w:p>
    <w:p w14:paraId="3F27E232" w14:textId="77777777" w:rsidR="004F6888" w:rsidRDefault="00E866D8" w:rsidP="00E866D8">
      <w:pPr>
        <w:pStyle w:val="Paragraphtext"/>
      </w:pPr>
      <w:r>
        <w:t xml:space="preserve">Inclusion of the </w:t>
      </w:r>
      <w:r w:rsidR="009858D9">
        <w:t>GU</w:t>
      </w:r>
      <w:r w:rsidR="00DD0CCB">
        <w:t xml:space="preserve">I </w:t>
      </w:r>
      <w:r w:rsidR="009858D9">
        <w:t>B</w:t>
      </w:r>
      <w:r w:rsidR="00DD0CCB">
        <w:t>undle</w:t>
      </w:r>
      <w:r w:rsidR="009858D9">
        <w:t>s</w:t>
      </w:r>
      <w:r>
        <w:t xml:space="preserve"> in the </w:t>
      </w:r>
      <w:r w:rsidRPr="00241223">
        <w:t>Benefit</w:t>
      </w:r>
      <w:r>
        <w:t xml:space="preserve"> </w:t>
      </w:r>
      <w:r w:rsidR="00241223">
        <w:t xml:space="preserve">Requirements </w:t>
      </w:r>
      <w:r>
        <w:t xml:space="preserve">Rules </w:t>
      </w:r>
      <w:r w:rsidR="00356E62">
        <w:t>will</w:t>
      </w:r>
      <w:r>
        <w:t xml:space="preserve"> result in all </w:t>
      </w:r>
      <w:r w:rsidR="00FB2858">
        <w:t xml:space="preserve">declared </w:t>
      </w:r>
      <w:r>
        <w:t>hospitals (public and private) being eligible to receive the regulated payment</w:t>
      </w:r>
      <w:r w:rsidR="00DD0CCB">
        <w:t>s</w:t>
      </w:r>
      <w:r>
        <w:t>.</w:t>
      </w:r>
      <w:r w:rsidR="00356E62">
        <w:t xml:space="preserve"> </w:t>
      </w:r>
      <w:r>
        <w:t>The payment</w:t>
      </w:r>
      <w:r w:rsidR="00DD0CCB">
        <w:t>s</w:t>
      </w:r>
      <w:r>
        <w:t xml:space="preserve"> would be</w:t>
      </w:r>
      <w:r w:rsidR="004F6888">
        <w:t>:</w:t>
      </w:r>
    </w:p>
    <w:p w14:paraId="77FEE8EE" w14:textId="5DC9136C" w:rsidR="004F6888" w:rsidRDefault="00E866D8" w:rsidP="004F6888">
      <w:pPr>
        <w:pStyle w:val="Paragraphtext"/>
        <w:numPr>
          <w:ilvl w:val="0"/>
          <w:numId w:val="28"/>
        </w:numPr>
      </w:pPr>
      <w:r>
        <w:t>in addition to other regulated hospital payments (</w:t>
      </w:r>
      <w:proofErr w:type="gramStart"/>
      <w:r>
        <w:t>i.e.</w:t>
      </w:r>
      <w:proofErr w:type="gramEnd"/>
      <w:r>
        <w:t xml:space="preserve"> minimum accommodation benefits</w:t>
      </w:r>
    </w:p>
    <w:p w14:paraId="156AD4A5" w14:textId="62DD3D1A" w:rsidR="00AD058B" w:rsidRDefault="004F6888" w:rsidP="004F6888">
      <w:pPr>
        <w:pStyle w:val="Paragraphtext"/>
        <w:numPr>
          <w:ilvl w:val="0"/>
          <w:numId w:val="28"/>
        </w:numPr>
      </w:pPr>
      <w:r>
        <w:t xml:space="preserve">linked to broad ‘product </w:t>
      </w:r>
      <w:proofErr w:type="spellStart"/>
      <w:r>
        <w:t>class’</w:t>
      </w:r>
      <w:proofErr w:type="spellEnd"/>
      <w:r>
        <w:t xml:space="preserve"> descriptions that would cover both products currently on the PL and new general use products not currently </w:t>
      </w:r>
      <w:proofErr w:type="spellStart"/>
      <w:r>
        <w:t>n</w:t>
      </w:r>
      <w:proofErr w:type="spellEnd"/>
      <w:r>
        <w:t xml:space="preserve"> the PL (where they meet those descriptions)</w:t>
      </w:r>
    </w:p>
    <w:p w14:paraId="558E44EF" w14:textId="3BFE3597" w:rsidR="004F6888" w:rsidRDefault="004F6888" w:rsidP="004F6888">
      <w:pPr>
        <w:pStyle w:val="Paragraphtext"/>
        <w:numPr>
          <w:ilvl w:val="0"/>
          <w:numId w:val="28"/>
        </w:numPr>
      </w:pPr>
      <w:r>
        <w:t>Subject to the same ‘no gap’ arrangements as benefits under the PL and the same application of excess as benefits under the Benefit Requirements Rules</w:t>
      </w:r>
    </w:p>
    <w:p w14:paraId="225AA7B1" w14:textId="30738F09" w:rsidR="004F6888" w:rsidRDefault="004F6888" w:rsidP="004F6888">
      <w:pPr>
        <w:pStyle w:val="Paragraphtext"/>
        <w:numPr>
          <w:ilvl w:val="0"/>
          <w:numId w:val="28"/>
        </w:numPr>
      </w:pPr>
      <w:r>
        <w:t>Subject to contracting arrangements, where they exist</w:t>
      </w:r>
    </w:p>
    <w:p w14:paraId="5C432702" w14:textId="6779AF7D" w:rsidR="004F6888" w:rsidRDefault="004F6888" w:rsidP="004F6888">
      <w:pPr>
        <w:pStyle w:val="Paragraphtext"/>
        <w:numPr>
          <w:ilvl w:val="0"/>
          <w:numId w:val="28"/>
        </w:numPr>
      </w:pPr>
      <w:r>
        <w:t>A transition arrangement to support the move to funding of GUIs in contracts between insurers and hospitals for a period of two years, anticipated to lapse no later than 20 June 2025</w:t>
      </w:r>
    </w:p>
    <w:p w14:paraId="424E2A1F" w14:textId="34F0A544" w:rsidR="004F6888" w:rsidRDefault="004F6888" w:rsidP="004F6888">
      <w:pPr>
        <w:pStyle w:val="Paragraphtext"/>
        <w:numPr>
          <w:ilvl w:val="0"/>
          <w:numId w:val="28"/>
        </w:numPr>
      </w:pPr>
      <w:r>
        <w:t>Fixed for the term of the transition period.</w:t>
      </w:r>
    </w:p>
    <w:p w14:paraId="0F00F9AC" w14:textId="40CE6C04" w:rsidR="004F6888" w:rsidRDefault="004F6888" w:rsidP="00082B75">
      <w:pPr>
        <w:pStyle w:val="Paragraphtext"/>
      </w:pPr>
      <w:r>
        <w:t xml:space="preserve">The outcomes are expected to be </w:t>
      </w:r>
      <w:proofErr w:type="gramStart"/>
      <w:r>
        <w:t>similar to</w:t>
      </w:r>
      <w:proofErr w:type="gramEnd"/>
      <w:r>
        <w:t xml:space="preserve"> regulating payments for the products included in the GUI bundles under the Prostheses List.</w:t>
      </w:r>
    </w:p>
    <w:p w14:paraId="25C0772F" w14:textId="681C4978" w:rsidR="00E866D8" w:rsidRDefault="00AD058B" w:rsidP="00E866D8">
      <w:pPr>
        <w:pStyle w:val="Paragraphtext"/>
      </w:pPr>
      <w:r>
        <w:t xml:space="preserve">IHACPA has produced a GUI bundling software tool to assist </w:t>
      </w:r>
      <w:r w:rsidR="00D14CA3">
        <w:t xml:space="preserve">stakeholders </w:t>
      </w:r>
      <w:r>
        <w:t xml:space="preserve">to identify the appropriate bundles and benefits. The tool also enables </w:t>
      </w:r>
      <w:r w:rsidR="00D14CA3">
        <w:t xml:space="preserve">stakeholders </w:t>
      </w:r>
      <w:r>
        <w:t>to analyse the payments under the bundling arrangements compared to existing arrangements under the PL, including information on variation from the average in both benefit</w:t>
      </w:r>
      <w:r w:rsidR="001E1B3D">
        <w:t>s</w:t>
      </w:r>
      <w:r>
        <w:t xml:space="preserve"> and utilisation. </w:t>
      </w:r>
      <w:r w:rsidR="00D14CA3">
        <w:t xml:space="preserve">Evaluation of the GUI transition arrangements will form part of the broader evaluation of prostheses reforms. </w:t>
      </w:r>
      <w:r w:rsidR="00FB2858">
        <w:t>The Department intends to</w:t>
      </w:r>
      <w:r w:rsidR="00BC13E9">
        <w:t xml:space="preserve"> commission IHACPA to undertake further data collection and analysis to see if the</w:t>
      </w:r>
      <w:r w:rsidR="001E1B3D">
        <w:t xml:space="preserve"> reform results in </w:t>
      </w:r>
      <w:r w:rsidR="00BC13E9">
        <w:t xml:space="preserve">significant </w:t>
      </w:r>
      <w:r w:rsidR="001E1B3D">
        <w:t xml:space="preserve">changes in </w:t>
      </w:r>
      <w:r>
        <w:t>benefit</w:t>
      </w:r>
      <w:r w:rsidR="001E1B3D">
        <w:t>s</w:t>
      </w:r>
      <w:r>
        <w:t xml:space="preserve"> or utilisation</w:t>
      </w:r>
      <w:r w:rsidR="00BC13E9">
        <w:t>.</w:t>
      </w:r>
    </w:p>
    <w:p w14:paraId="54358B89" w14:textId="01FDEFEE" w:rsidR="001C055C" w:rsidRDefault="001C055C" w:rsidP="001C055C">
      <w:pPr>
        <w:pStyle w:val="Heading1"/>
      </w:pPr>
      <w:r>
        <w:t xml:space="preserve">Mandated </w:t>
      </w:r>
      <w:r w:rsidR="000A48CC">
        <w:t>m</w:t>
      </w:r>
      <w:r>
        <w:t xml:space="preserve">inimum </w:t>
      </w:r>
      <w:r w:rsidR="000A48CC">
        <w:t>b</w:t>
      </w:r>
      <w:r>
        <w:t>enefits</w:t>
      </w:r>
    </w:p>
    <w:p w14:paraId="2C3D45FE" w14:textId="77777777" w:rsidR="00D14CA3" w:rsidRDefault="00B648ED" w:rsidP="00B648ED">
      <w:pPr>
        <w:pStyle w:val="Paragraphtext"/>
      </w:pPr>
      <w:r>
        <w:t xml:space="preserve">IHACPA’s advice defines three types of </w:t>
      </w:r>
      <w:r w:rsidR="009858D9">
        <w:rPr>
          <w:sz w:val="22"/>
        </w:rPr>
        <w:t xml:space="preserve">GUI </w:t>
      </w:r>
      <w:r w:rsidR="00DD0CCB">
        <w:rPr>
          <w:sz w:val="22"/>
        </w:rPr>
        <w:t>B</w:t>
      </w:r>
      <w:r w:rsidR="009858D9">
        <w:rPr>
          <w:sz w:val="22"/>
        </w:rPr>
        <w:t>undle variants</w:t>
      </w:r>
      <w:r w:rsidR="00D14CA3">
        <w:rPr>
          <w:sz w:val="22"/>
        </w:rPr>
        <w:t xml:space="preserve"> by the classification of GUI products in 24 ‘product classes’ based on the existing classification structure of the PL</w:t>
      </w:r>
      <w:r>
        <w:t xml:space="preserve">. These three </w:t>
      </w:r>
      <w:r w:rsidR="009858D9">
        <w:t>bundle</w:t>
      </w:r>
      <w:r>
        <w:t xml:space="preserve"> </w:t>
      </w:r>
      <w:r w:rsidR="009858D9">
        <w:t>variants</w:t>
      </w:r>
      <w:r>
        <w:t xml:space="preserve"> capture different sources of variation in the utilisation of </w:t>
      </w:r>
      <w:r w:rsidR="009858D9">
        <w:t xml:space="preserve">GUIs </w:t>
      </w:r>
      <w:r>
        <w:t>and their associated PL benefits.</w:t>
      </w:r>
    </w:p>
    <w:p w14:paraId="35B2F3DF" w14:textId="3444B913" w:rsidR="00D14CA3" w:rsidRDefault="00D14CA3" w:rsidP="00B648ED">
      <w:pPr>
        <w:pStyle w:val="Paragraphtext"/>
      </w:pPr>
      <w:r>
        <w:t xml:space="preserve">For each of the 24 GUI product classes, a GUI Bundle is defined as the collection of all items from the product class used within an individual ‘episode of admitted care’. It </w:t>
      </w:r>
      <w:r w:rsidRPr="00D32E10">
        <w:t>is possible for multiple GU</w:t>
      </w:r>
      <w:r>
        <w:t xml:space="preserve">I </w:t>
      </w:r>
      <w:r w:rsidRPr="00D32E10">
        <w:t>B</w:t>
      </w:r>
      <w:r>
        <w:t>undles</w:t>
      </w:r>
      <w:r w:rsidRPr="00D32E10">
        <w:t xml:space="preserve"> to be identified against a single admitted episode. This occurs in cases where items across multiple product classes are used within the same episode. However, a single episode cannot have multiple GU</w:t>
      </w:r>
      <w:r>
        <w:t xml:space="preserve">I </w:t>
      </w:r>
      <w:r w:rsidRPr="00D32E10">
        <w:t>B</w:t>
      </w:r>
      <w:r>
        <w:t>undle</w:t>
      </w:r>
      <w:r w:rsidRPr="00D32E10">
        <w:t xml:space="preserve">s charges raised for a single GUI product class. </w:t>
      </w:r>
      <w:proofErr w:type="gramStart"/>
      <w:r>
        <w:t>Therefore</w:t>
      </w:r>
      <w:proofErr w:type="gramEnd"/>
      <w:r>
        <w:t xml:space="preserve"> only </w:t>
      </w:r>
      <w:r w:rsidR="009858D9">
        <w:t xml:space="preserve">one bundle type can be applied </w:t>
      </w:r>
      <w:r>
        <w:t xml:space="preserve">per </w:t>
      </w:r>
      <w:r w:rsidR="00650E03">
        <w:t xml:space="preserve">product class </w:t>
      </w:r>
      <w:r>
        <w:t xml:space="preserve">per </w:t>
      </w:r>
      <w:r w:rsidR="006801F2">
        <w:t>‘</w:t>
      </w:r>
      <w:r w:rsidR="009858D9">
        <w:t xml:space="preserve">episode of </w:t>
      </w:r>
      <w:r w:rsidR="006801F2">
        <w:t xml:space="preserve">admitted </w:t>
      </w:r>
      <w:r w:rsidR="009858D9">
        <w:t>care</w:t>
      </w:r>
      <w:r w:rsidR="006801F2">
        <w:t>’</w:t>
      </w:r>
      <w:r w:rsidR="009858D9">
        <w:t>.</w:t>
      </w:r>
    </w:p>
    <w:p w14:paraId="4DC8355E" w14:textId="3BD7401C" w:rsidR="00B648ED" w:rsidRDefault="006801F2" w:rsidP="00B648ED">
      <w:pPr>
        <w:pStyle w:val="Paragraphtext"/>
      </w:pPr>
      <w:r>
        <w:t xml:space="preserve">For the purposes of GUI </w:t>
      </w:r>
      <w:r w:rsidR="00D14CA3">
        <w:t>B</w:t>
      </w:r>
      <w:r>
        <w:t>undle benefits</w:t>
      </w:r>
      <w:r w:rsidR="00A752D7">
        <w:t>,</w:t>
      </w:r>
      <w:r>
        <w:t xml:space="preserve"> an episode of admitted care </w:t>
      </w:r>
      <w:r w:rsidR="00D14CA3">
        <w:t xml:space="preserve">is proposed to </w:t>
      </w:r>
      <w:r>
        <w:t xml:space="preserve">be defined </w:t>
      </w:r>
      <w:r w:rsidR="00A752D7">
        <w:t xml:space="preserve">in the Benefit Requirements Rules </w:t>
      </w:r>
      <w:r>
        <w:t>as the period of admitted care between a formal or statistical admission and a formal or statistical separation</w:t>
      </w:r>
      <w:r w:rsidR="00A752D7">
        <w:t xml:space="preserve"> characterised by only one care type</w:t>
      </w:r>
      <w:r w:rsidR="000A6D58">
        <w:t>, consistent with HCP data reporting by hospitals to insurers</w:t>
      </w:r>
      <w:r w:rsidR="00A752D7">
        <w:t>.</w:t>
      </w:r>
    </w:p>
    <w:p w14:paraId="428C00E3" w14:textId="6B19271F" w:rsidR="00BF5536" w:rsidRDefault="00BF5536" w:rsidP="00BF5536">
      <w:pPr>
        <w:pStyle w:val="Paragraphtext"/>
      </w:pPr>
      <w:r>
        <w:t xml:space="preserve">To </w:t>
      </w:r>
      <w:r w:rsidR="00F01DDE">
        <w:t xml:space="preserve">help </w:t>
      </w:r>
      <w:r>
        <w:t xml:space="preserve">demonstrate the benefits of each bundle variant type, </w:t>
      </w:r>
      <w:r w:rsidRPr="00C40B0E">
        <w:t xml:space="preserve">Table 1 </w:t>
      </w:r>
      <w:r>
        <w:t xml:space="preserve">(below) </w:t>
      </w:r>
      <w:r w:rsidRPr="00C40B0E">
        <w:t>details the complete set of variants associated with the ‘Matrix’ GUI product class</w:t>
      </w:r>
      <w:r w:rsidR="00057CB3">
        <w:t xml:space="preserve"> from the </w:t>
      </w:r>
      <w:r w:rsidR="00057CB3" w:rsidRPr="00BF5536">
        <w:rPr>
          <w:szCs w:val="21"/>
        </w:rPr>
        <w:t xml:space="preserve">IHACPA report </w:t>
      </w:r>
      <w:hyperlink r:id="rId21" w:history="1">
        <w:r w:rsidR="00057CB3" w:rsidRPr="00BF5536">
          <w:rPr>
            <w:rStyle w:val="Hyperlink"/>
            <w:szCs w:val="21"/>
          </w:rPr>
          <w:t>‘Advice on Bundling Arrangements for General Use Items on the Prostheses List – December 2022’</w:t>
        </w:r>
      </w:hyperlink>
      <w:r w:rsidR="00057CB3">
        <w:t xml:space="preserve">. </w:t>
      </w:r>
      <w:r w:rsidR="00057CB3" w:rsidRPr="00BF5536">
        <w:rPr>
          <w:szCs w:val="21"/>
        </w:rPr>
        <w:t>For more information and precise details on the bundle types, please refer to th</w:t>
      </w:r>
      <w:r w:rsidR="00057CB3">
        <w:rPr>
          <w:szCs w:val="21"/>
        </w:rPr>
        <w:t>is report.</w:t>
      </w:r>
    </w:p>
    <w:p w14:paraId="5DD09936" w14:textId="77777777" w:rsidR="00BF5536" w:rsidRDefault="00BF5536" w:rsidP="00BF5536">
      <w:pPr>
        <w:pStyle w:val="Paragraphtext"/>
      </w:pPr>
    </w:p>
    <w:tbl>
      <w:tblPr>
        <w:tblStyle w:val="TableGrid"/>
        <w:tblW w:w="0" w:type="auto"/>
        <w:jc w:val="center"/>
        <w:tblLook w:val="04A0" w:firstRow="1" w:lastRow="0" w:firstColumn="1" w:lastColumn="0" w:noHBand="0" w:noVBand="1"/>
      </w:tblPr>
      <w:tblGrid>
        <w:gridCol w:w="1276"/>
        <w:gridCol w:w="1980"/>
        <w:gridCol w:w="4394"/>
        <w:gridCol w:w="1281"/>
      </w:tblGrid>
      <w:tr w:rsidR="00BF5536" w:rsidRPr="00BF5536" w14:paraId="09C8E17D" w14:textId="77777777" w:rsidTr="00355089">
        <w:trPr>
          <w:jc w:val="center"/>
        </w:trPr>
        <w:tc>
          <w:tcPr>
            <w:tcW w:w="8931" w:type="dxa"/>
            <w:gridSpan w:val="4"/>
            <w:tcBorders>
              <w:top w:val="nil"/>
              <w:left w:val="nil"/>
              <w:bottom w:val="single" w:sz="4" w:space="0" w:color="auto"/>
              <w:right w:val="nil"/>
            </w:tcBorders>
            <w:shd w:val="clear" w:color="auto" w:fill="auto"/>
          </w:tcPr>
          <w:p w14:paraId="100ACF8C" w14:textId="3DB99FE0" w:rsidR="00BF5536" w:rsidRPr="00BF5536" w:rsidRDefault="00BF5536" w:rsidP="00355089">
            <w:pPr>
              <w:pStyle w:val="Paragraphtext"/>
              <w:keepNext/>
              <w:rPr>
                <w:b/>
                <w:bCs/>
                <w:color w:val="auto"/>
                <w:szCs w:val="21"/>
              </w:rPr>
            </w:pPr>
            <w:r w:rsidRPr="00BF5536">
              <w:rPr>
                <w:b/>
                <w:bCs/>
                <w:color w:val="auto"/>
                <w:szCs w:val="21"/>
              </w:rPr>
              <w:lastRenderedPageBreak/>
              <w:t xml:space="preserve">Table 1. </w:t>
            </w:r>
            <w:r w:rsidR="00650E03">
              <w:rPr>
                <w:b/>
                <w:bCs/>
                <w:color w:val="auto"/>
                <w:szCs w:val="21"/>
              </w:rPr>
              <w:t xml:space="preserve">GUI </w:t>
            </w:r>
            <w:r w:rsidRPr="00BF5536">
              <w:rPr>
                <w:b/>
                <w:bCs/>
                <w:color w:val="auto"/>
                <w:szCs w:val="21"/>
              </w:rPr>
              <w:t xml:space="preserve">Bundles and Benefits – Matrix </w:t>
            </w:r>
            <w:r w:rsidR="00650E03">
              <w:rPr>
                <w:b/>
                <w:bCs/>
                <w:color w:val="auto"/>
                <w:szCs w:val="21"/>
              </w:rPr>
              <w:t xml:space="preserve">GUI </w:t>
            </w:r>
            <w:r w:rsidRPr="00BF5536">
              <w:rPr>
                <w:b/>
                <w:bCs/>
                <w:color w:val="auto"/>
                <w:szCs w:val="21"/>
              </w:rPr>
              <w:t>Product Class</w:t>
            </w:r>
          </w:p>
        </w:tc>
      </w:tr>
      <w:tr w:rsidR="00BF5536" w:rsidRPr="00BF5536" w14:paraId="6F598932" w14:textId="77777777" w:rsidTr="00355089">
        <w:trPr>
          <w:jc w:val="center"/>
        </w:trPr>
        <w:tc>
          <w:tcPr>
            <w:tcW w:w="1276" w:type="dxa"/>
            <w:tcBorders>
              <w:top w:val="single" w:sz="4" w:space="0" w:color="auto"/>
            </w:tcBorders>
            <w:shd w:val="clear" w:color="auto" w:fill="4472C4" w:themeFill="accent1"/>
          </w:tcPr>
          <w:p w14:paraId="7A7F31A7" w14:textId="77777777" w:rsidR="00BF5536" w:rsidRPr="00BF5536" w:rsidRDefault="00BF5536" w:rsidP="00355089">
            <w:pPr>
              <w:pStyle w:val="Paragraphtext"/>
              <w:keepNext/>
              <w:jc w:val="center"/>
              <w:rPr>
                <w:b/>
                <w:bCs/>
                <w:color w:val="FFFFFF" w:themeColor="background1"/>
                <w:szCs w:val="21"/>
              </w:rPr>
            </w:pPr>
            <w:r w:rsidRPr="00BF5536">
              <w:rPr>
                <w:b/>
                <w:bCs/>
                <w:color w:val="FFFFFF" w:themeColor="background1"/>
                <w:szCs w:val="21"/>
              </w:rPr>
              <w:t>Product Class</w:t>
            </w:r>
          </w:p>
        </w:tc>
        <w:tc>
          <w:tcPr>
            <w:tcW w:w="1980" w:type="dxa"/>
            <w:tcBorders>
              <w:top w:val="single" w:sz="4" w:space="0" w:color="auto"/>
            </w:tcBorders>
            <w:shd w:val="clear" w:color="auto" w:fill="4472C4" w:themeFill="accent1"/>
          </w:tcPr>
          <w:p w14:paraId="7CA0CB2D" w14:textId="77777777" w:rsidR="00BF5536" w:rsidRPr="00BF5536" w:rsidRDefault="00BF5536" w:rsidP="00355089">
            <w:pPr>
              <w:pStyle w:val="Paragraphtext"/>
              <w:keepNext/>
              <w:jc w:val="center"/>
              <w:rPr>
                <w:b/>
                <w:bCs/>
                <w:color w:val="FFFFFF" w:themeColor="background1"/>
                <w:szCs w:val="21"/>
              </w:rPr>
            </w:pPr>
            <w:r w:rsidRPr="00BF5536">
              <w:rPr>
                <w:b/>
                <w:bCs/>
                <w:color w:val="FFFFFF" w:themeColor="background1"/>
                <w:szCs w:val="21"/>
              </w:rPr>
              <w:t>Variant Type</w:t>
            </w:r>
          </w:p>
        </w:tc>
        <w:tc>
          <w:tcPr>
            <w:tcW w:w="4394" w:type="dxa"/>
            <w:tcBorders>
              <w:top w:val="single" w:sz="4" w:space="0" w:color="auto"/>
            </w:tcBorders>
            <w:shd w:val="clear" w:color="auto" w:fill="4472C4" w:themeFill="accent1"/>
          </w:tcPr>
          <w:p w14:paraId="3F9F72C3" w14:textId="77777777" w:rsidR="00BF5536" w:rsidRPr="00BF5536" w:rsidRDefault="00BF5536" w:rsidP="00355089">
            <w:pPr>
              <w:pStyle w:val="Paragraphtext"/>
              <w:keepNext/>
              <w:jc w:val="center"/>
              <w:rPr>
                <w:b/>
                <w:bCs/>
                <w:color w:val="FFFFFF" w:themeColor="background1"/>
                <w:szCs w:val="21"/>
              </w:rPr>
            </w:pPr>
            <w:r w:rsidRPr="00BF5536">
              <w:rPr>
                <w:b/>
                <w:bCs/>
                <w:color w:val="FFFFFF" w:themeColor="background1"/>
                <w:szCs w:val="21"/>
              </w:rPr>
              <w:t>Bundle Variant</w:t>
            </w:r>
          </w:p>
        </w:tc>
        <w:tc>
          <w:tcPr>
            <w:tcW w:w="1281" w:type="dxa"/>
            <w:tcBorders>
              <w:top w:val="single" w:sz="4" w:space="0" w:color="auto"/>
            </w:tcBorders>
            <w:shd w:val="clear" w:color="auto" w:fill="4472C4" w:themeFill="accent1"/>
          </w:tcPr>
          <w:p w14:paraId="63026E97" w14:textId="77777777" w:rsidR="00BF5536" w:rsidRPr="00BF5536" w:rsidRDefault="00BF5536" w:rsidP="00355089">
            <w:pPr>
              <w:pStyle w:val="Paragraphtext"/>
              <w:keepNext/>
              <w:jc w:val="center"/>
              <w:rPr>
                <w:b/>
                <w:bCs/>
                <w:color w:val="FFFFFF" w:themeColor="background1"/>
                <w:szCs w:val="21"/>
              </w:rPr>
            </w:pPr>
            <w:r w:rsidRPr="00BF5536">
              <w:rPr>
                <w:b/>
                <w:bCs/>
                <w:color w:val="FFFFFF" w:themeColor="background1"/>
                <w:szCs w:val="21"/>
              </w:rPr>
              <w:t>Bundle Benefit</w:t>
            </w:r>
          </w:p>
        </w:tc>
      </w:tr>
      <w:tr w:rsidR="00BF5536" w:rsidRPr="00BF5536" w14:paraId="443B60DA" w14:textId="77777777" w:rsidTr="00355089">
        <w:trPr>
          <w:jc w:val="center"/>
        </w:trPr>
        <w:tc>
          <w:tcPr>
            <w:tcW w:w="1276" w:type="dxa"/>
            <w:vMerge w:val="restart"/>
          </w:tcPr>
          <w:p w14:paraId="58F1240C" w14:textId="77777777" w:rsidR="00BF5536" w:rsidRPr="00BF5536" w:rsidRDefault="00BF5536" w:rsidP="00355089">
            <w:pPr>
              <w:pStyle w:val="Paragraphtext"/>
              <w:keepNext/>
              <w:jc w:val="center"/>
              <w:rPr>
                <w:szCs w:val="21"/>
              </w:rPr>
            </w:pPr>
          </w:p>
          <w:p w14:paraId="3600B4F4" w14:textId="77777777" w:rsidR="00BF5536" w:rsidRPr="00BF5536" w:rsidRDefault="00BF5536" w:rsidP="00355089">
            <w:pPr>
              <w:pStyle w:val="Paragraphtext"/>
              <w:keepNext/>
              <w:jc w:val="center"/>
              <w:rPr>
                <w:szCs w:val="21"/>
              </w:rPr>
            </w:pPr>
          </w:p>
          <w:p w14:paraId="542AD140" w14:textId="77777777" w:rsidR="00BF5536" w:rsidRPr="00BF5536" w:rsidRDefault="00BF5536" w:rsidP="00355089">
            <w:pPr>
              <w:pStyle w:val="Paragraphtext"/>
              <w:keepNext/>
              <w:jc w:val="center"/>
              <w:rPr>
                <w:szCs w:val="21"/>
              </w:rPr>
            </w:pPr>
          </w:p>
          <w:p w14:paraId="09AA7193" w14:textId="77777777" w:rsidR="00BF5536" w:rsidRPr="00BF5536" w:rsidRDefault="00BF5536" w:rsidP="00355089">
            <w:pPr>
              <w:pStyle w:val="Paragraphtext"/>
              <w:keepNext/>
              <w:jc w:val="center"/>
              <w:rPr>
                <w:szCs w:val="21"/>
              </w:rPr>
            </w:pPr>
          </w:p>
          <w:p w14:paraId="6AD3C866" w14:textId="77777777" w:rsidR="00BF5536" w:rsidRPr="00BF5536" w:rsidRDefault="00BF5536" w:rsidP="00355089">
            <w:pPr>
              <w:pStyle w:val="Paragraphtext"/>
              <w:keepNext/>
              <w:jc w:val="center"/>
              <w:rPr>
                <w:szCs w:val="21"/>
              </w:rPr>
            </w:pPr>
            <w:r w:rsidRPr="00BF5536">
              <w:rPr>
                <w:szCs w:val="21"/>
              </w:rPr>
              <w:t>A45 Matrix</w:t>
            </w:r>
          </w:p>
        </w:tc>
        <w:tc>
          <w:tcPr>
            <w:tcW w:w="1980" w:type="dxa"/>
          </w:tcPr>
          <w:p w14:paraId="59BBF381" w14:textId="77777777" w:rsidR="00BF5536" w:rsidRPr="00BF5536" w:rsidRDefault="00BF5536" w:rsidP="00355089">
            <w:pPr>
              <w:pStyle w:val="Paragraphtext"/>
              <w:keepNext/>
              <w:jc w:val="center"/>
              <w:rPr>
                <w:szCs w:val="21"/>
              </w:rPr>
            </w:pPr>
            <w:r w:rsidRPr="00BF5536">
              <w:rPr>
                <w:szCs w:val="21"/>
              </w:rPr>
              <w:t>A</w:t>
            </w:r>
          </w:p>
          <w:p w14:paraId="1A797ED9" w14:textId="77777777" w:rsidR="00BF5536" w:rsidRPr="00BF5536" w:rsidRDefault="00BF5536" w:rsidP="00355089">
            <w:pPr>
              <w:pStyle w:val="Paragraphtext"/>
              <w:keepNext/>
              <w:jc w:val="center"/>
              <w:rPr>
                <w:szCs w:val="21"/>
              </w:rPr>
            </w:pPr>
            <w:r w:rsidRPr="00BF5536">
              <w:rPr>
                <w:szCs w:val="21"/>
              </w:rPr>
              <w:t>Product Only</w:t>
            </w:r>
          </w:p>
        </w:tc>
        <w:tc>
          <w:tcPr>
            <w:tcW w:w="4394" w:type="dxa"/>
          </w:tcPr>
          <w:p w14:paraId="4203FC49" w14:textId="77777777" w:rsidR="00BF5536" w:rsidRPr="00BF5536" w:rsidRDefault="00BF5536" w:rsidP="00355089">
            <w:pPr>
              <w:pStyle w:val="Paragraphtext"/>
              <w:keepNext/>
              <w:rPr>
                <w:szCs w:val="21"/>
              </w:rPr>
            </w:pPr>
            <w:r w:rsidRPr="00BF5536">
              <w:rPr>
                <w:szCs w:val="21"/>
              </w:rPr>
              <w:t>A45A1 Matrix</w:t>
            </w:r>
          </w:p>
        </w:tc>
        <w:tc>
          <w:tcPr>
            <w:tcW w:w="1281" w:type="dxa"/>
          </w:tcPr>
          <w:p w14:paraId="2DF251DD" w14:textId="77777777" w:rsidR="00BF5536" w:rsidRPr="00BF5536" w:rsidRDefault="00BF5536" w:rsidP="00355089">
            <w:pPr>
              <w:pStyle w:val="Paragraphtext"/>
              <w:keepNext/>
              <w:jc w:val="right"/>
              <w:rPr>
                <w:szCs w:val="21"/>
              </w:rPr>
            </w:pPr>
            <w:r w:rsidRPr="00BF5536">
              <w:rPr>
                <w:szCs w:val="21"/>
              </w:rPr>
              <w:t>$698.62</w:t>
            </w:r>
          </w:p>
        </w:tc>
      </w:tr>
      <w:tr w:rsidR="00BF5536" w:rsidRPr="00BF5536" w14:paraId="39CB1FA4" w14:textId="77777777" w:rsidTr="00355089">
        <w:trPr>
          <w:jc w:val="center"/>
        </w:trPr>
        <w:tc>
          <w:tcPr>
            <w:tcW w:w="1276" w:type="dxa"/>
            <w:vMerge/>
          </w:tcPr>
          <w:p w14:paraId="34FF75AB" w14:textId="77777777" w:rsidR="00BF5536" w:rsidRPr="00BF5536" w:rsidRDefault="00BF5536" w:rsidP="00355089">
            <w:pPr>
              <w:pStyle w:val="Paragraphtext"/>
              <w:keepNext/>
              <w:jc w:val="center"/>
              <w:rPr>
                <w:szCs w:val="21"/>
              </w:rPr>
            </w:pPr>
          </w:p>
        </w:tc>
        <w:tc>
          <w:tcPr>
            <w:tcW w:w="1980" w:type="dxa"/>
            <w:vMerge w:val="restart"/>
          </w:tcPr>
          <w:p w14:paraId="4751FF3B" w14:textId="77777777" w:rsidR="00BF5536" w:rsidRPr="00BF5536" w:rsidRDefault="00BF5536" w:rsidP="00355089">
            <w:pPr>
              <w:pStyle w:val="Paragraphtext"/>
              <w:keepNext/>
              <w:jc w:val="center"/>
              <w:rPr>
                <w:szCs w:val="21"/>
              </w:rPr>
            </w:pPr>
            <w:r w:rsidRPr="00BF5536">
              <w:rPr>
                <w:szCs w:val="21"/>
              </w:rPr>
              <w:t>B</w:t>
            </w:r>
          </w:p>
          <w:p w14:paraId="2FB959AB" w14:textId="77777777" w:rsidR="00BF5536" w:rsidRPr="00BF5536" w:rsidRDefault="00BF5536" w:rsidP="00355089">
            <w:pPr>
              <w:pStyle w:val="Paragraphtext"/>
              <w:keepNext/>
              <w:jc w:val="center"/>
              <w:rPr>
                <w:szCs w:val="21"/>
              </w:rPr>
            </w:pPr>
            <w:r w:rsidRPr="00BF5536">
              <w:rPr>
                <w:szCs w:val="21"/>
              </w:rPr>
              <w:t>Facility Type</w:t>
            </w:r>
          </w:p>
        </w:tc>
        <w:tc>
          <w:tcPr>
            <w:tcW w:w="4394" w:type="dxa"/>
          </w:tcPr>
          <w:p w14:paraId="74B1C9CA" w14:textId="77777777" w:rsidR="00BF5536" w:rsidRPr="00BF5536" w:rsidRDefault="00BF5536" w:rsidP="00355089">
            <w:pPr>
              <w:pStyle w:val="Paragraphtext"/>
              <w:keepNext/>
              <w:rPr>
                <w:szCs w:val="21"/>
              </w:rPr>
            </w:pPr>
            <w:r w:rsidRPr="00BF5536">
              <w:rPr>
                <w:szCs w:val="21"/>
              </w:rPr>
              <w:t>145B1 Matrix – Private Overnight Facilities</w:t>
            </w:r>
          </w:p>
        </w:tc>
        <w:tc>
          <w:tcPr>
            <w:tcW w:w="1281" w:type="dxa"/>
          </w:tcPr>
          <w:p w14:paraId="63972DF6" w14:textId="77777777" w:rsidR="00BF5536" w:rsidRPr="00BF5536" w:rsidRDefault="00BF5536" w:rsidP="00355089">
            <w:pPr>
              <w:pStyle w:val="Paragraphtext"/>
              <w:keepNext/>
              <w:jc w:val="right"/>
              <w:rPr>
                <w:szCs w:val="21"/>
              </w:rPr>
            </w:pPr>
            <w:r w:rsidRPr="00BF5536">
              <w:rPr>
                <w:szCs w:val="21"/>
              </w:rPr>
              <w:t>$700.89</w:t>
            </w:r>
          </w:p>
        </w:tc>
      </w:tr>
      <w:tr w:rsidR="00BF5536" w:rsidRPr="00BF5536" w14:paraId="3996788A" w14:textId="77777777" w:rsidTr="00355089">
        <w:trPr>
          <w:jc w:val="center"/>
        </w:trPr>
        <w:tc>
          <w:tcPr>
            <w:tcW w:w="1276" w:type="dxa"/>
            <w:vMerge/>
          </w:tcPr>
          <w:p w14:paraId="4089B849" w14:textId="77777777" w:rsidR="00BF5536" w:rsidRPr="00BF5536" w:rsidRDefault="00BF5536" w:rsidP="00355089">
            <w:pPr>
              <w:pStyle w:val="Paragraphtext"/>
              <w:keepNext/>
              <w:jc w:val="center"/>
              <w:rPr>
                <w:szCs w:val="21"/>
              </w:rPr>
            </w:pPr>
          </w:p>
        </w:tc>
        <w:tc>
          <w:tcPr>
            <w:tcW w:w="1980" w:type="dxa"/>
            <w:vMerge/>
          </w:tcPr>
          <w:p w14:paraId="7E6F9CF6" w14:textId="77777777" w:rsidR="00BF5536" w:rsidRPr="00BF5536" w:rsidRDefault="00BF5536" w:rsidP="00355089">
            <w:pPr>
              <w:pStyle w:val="Paragraphtext"/>
              <w:keepNext/>
              <w:jc w:val="center"/>
              <w:rPr>
                <w:szCs w:val="21"/>
              </w:rPr>
            </w:pPr>
          </w:p>
        </w:tc>
        <w:tc>
          <w:tcPr>
            <w:tcW w:w="4394" w:type="dxa"/>
          </w:tcPr>
          <w:p w14:paraId="1AE57E68" w14:textId="77777777" w:rsidR="00BF5536" w:rsidRPr="00BF5536" w:rsidRDefault="00BF5536" w:rsidP="00355089">
            <w:pPr>
              <w:pStyle w:val="Paragraphtext"/>
              <w:keepNext/>
              <w:rPr>
                <w:szCs w:val="21"/>
              </w:rPr>
            </w:pPr>
            <w:r w:rsidRPr="00BF5536">
              <w:rPr>
                <w:szCs w:val="21"/>
              </w:rPr>
              <w:t>A45B2 Matrix – Private Day Facilities</w:t>
            </w:r>
          </w:p>
        </w:tc>
        <w:tc>
          <w:tcPr>
            <w:tcW w:w="1281" w:type="dxa"/>
          </w:tcPr>
          <w:p w14:paraId="712F2B21" w14:textId="77777777" w:rsidR="00BF5536" w:rsidRPr="00BF5536" w:rsidRDefault="00BF5536" w:rsidP="00355089">
            <w:pPr>
              <w:pStyle w:val="Paragraphtext"/>
              <w:keepNext/>
              <w:jc w:val="right"/>
              <w:rPr>
                <w:szCs w:val="21"/>
              </w:rPr>
            </w:pPr>
            <w:r w:rsidRPr="00BF5536">
              <w:rPr>
                <w:szCs w:val="21"/>
              </w:rPr>
              <w:t>$440.11</w:t>
            </w:r>
          </w:p>
        </w:tc>
      </w:tr>
      <w:tr w:rsidR="00BF5536" w:rsidRPr="00BF5536" w14:paraId="62840DE3" w14:textId="77777777" w:rsidTr="00355089">
        <w:trPr>
          <w:jc w:val="center"/>
        </w:trPr>
        <w:tc>
          <w:tcPr>
            <w:tcW w:w="1276" w:type="dxa"/>
            <w:vMerge/>
          </w:tcPr>
          <w:p w14:paraId="5C9B212B" w14:textId="77777777" w:rsidR="00BF5536" w:rsidRPr="00BF5536" w:rsidRDefault="00BF5536" w:rsidP="00355089">
            <w:pPr>
              <w:pStyle w:val="Paragraphtext"/>
              <w:keepNext/>
              <w:jc w:val="center"/>
              <w:rPr>
                <w:szCs w:val="21"/>
              </w:rPr>
            </w:pPr>
          </w:p>
        </w:tc>
        <w:tc>
          <w:tcPr>
            <w:tcW w:w="1980" w:type="dxa"/>
            <w:vMerge/>
          </w:tcPr>
          <w:p w14:paraId="4654630F" w14:textId="77777777" w:rsidR="00BF5536" w:rsidRPr="00BF5536" w:rsidRDefault="00BF5536" w:rsidP="00355089">
            <w:pPr>
              <w:pStyle w:val="Paragraphtext"/>
              <w:keepNext/>
              <w:jc w:val="center"/>
              <w:rPr>
                <w:szCs w:val="21"/>
              </w:rPr>
            </w:pPr>
          </w:p>
        </w:tc>
        <w:tc>
          <w:tcPr>
            <w:tcW w:w="4394" w:type="dxa"/>
          </w:tcPr>
          <w:p w14:paraId="2E691AA1" w14:textId="77777777" w:rsidR="00BF5536" w:rsidRPr="00BF5536" w:rsidRDefault="00BF5536" w:rsidP="00355089">
            <w:pPr>
              <w:pStyle w:val="Paragraphtext"/>
              <w:keepNext/>
              <w:rPr>
                <w:szCs w:val="21"/>
              </w:rPr>
            </w:pPr>
            <w:r w:rsidRPr="00BF5536">
              <w:rPr>
                <w:szCs w:val="21"/>
              </w:rPr>
              <w:t>A45B3 Matrix – Public Facilities</w:t>
            </w:r>
          </w:p>
        </w:tc>
        <w:tc>
          <w:tcPr>
            <w:tcW w:w="1281" w:type="dxa"/>
          </w:tcPr>
          <w:p w14:paraId="112F66B6" w14:textId="77777777" w:rsidR="00BF5536" w:rsidRPr="00BF5536" w:rsidRDefault="00BF5536" w:rsidP="00355089">
            <w:pPr>
              <w:pStyle w:val="Paragraphtext"/>
              <w:keepNext/>
              <w:jc w:val="right"/>
              <w:rPr>
                <w:szCs w:val="21"/>
              </w:rPr>
            </w:pPr>
            <w:r w:rsidRPr="00BF5536">
              <w:rPr>
                <w:szCs w:val="21"/>
              </w:rPr>
              <w:t>$634.20</w:t>
            </w:r>
          </w:p>
        </w:tc>
      </w:tr>
      <w:tr w:rsidR="00BF5536" w:rsidRPr="00BF5536" w14:paraId="773D0D27" w14:textId="77777777" w:rsidTr="00355089">
        <w:trPr>
          <w:jc w:val="center"/>
        </w:trPr>
        <w:tc>
          <w:tcPr>
            <w:tcW w:w="1276" w:type="dxa"/>
            <w:vMerge/>
          </w:tcPr>
          <w:p w14:paraId="7F159906" w14:textId="77777777" w:rsidR="00BF5536" w:rsidRPr="00BF5536" w:rsidRDefault="00BF5536" w:rsidP="00355089">
            <w:pPr>
              <w:pStyle w:val="Paragraphtext"/>
              <w:keepNext/>
              <w:jc w:val="center"/>
              <w:rPr>
                <w:szCs w:val="21"/>
              </w:rPr>
            </w:pPr>
          </w:p>
        </w:tc>
        <w:tc>
          <w:tcPr>
            <w:tcW w:w="1980" w:type="dxa"/>
            <w:vMerge w:val="restart"/>
          </w:tcPr>
          <w:p w14:paraId="7A9C7A08" w14:textId="77777777" w:rsidR="00BF5536" w:rsidRPr="00BF5536" w:rsidRDefault="00BF5536" w:rsidP="00355089">
            <w:pPr>
              <w:pStyle w:val="Paragraphtext"/>
              <w:keepNext/>
              <w:jc w:val="center"/>
              <w:rPr>
                <w:szCs w:val="21"/>
              </w:rPr>
            </w:pPr>
            <w:r w:rsidRPr="00BF5536">
              <w:rPr>
                <w:szCs w:val="21"/>
              </w:rPr>
              <w:t>C</w:t>
            </w:r>
          </w:p>
          <w:p w14:paraId="600272AD" w14:textId="77777777" w:rsidR="00BF5536" w:rsidRPr="00BF5536" w:rsidRDefault="00BF5536" w:rsidP="00355089">
            <w:pPr>
              <w:pStyle w:val="Paragraphtext"/>
              <w:keepNext/>
              <w:jc w:val="center"/>
              <w:rPr>
                <w:szCs w:val="21"/>
              </w:rPr>
            </w:pPr>
            <w:r w:rsidRPr="00BF5536">
              <w:rPr>
                <w:szCs w:val="21"/>
              </w:rPr>
              <w:t>Major Diagnostic Category Grouping</w:t>
            </w:r>
          </w:p>
        </w:tc>
        <w:tc>
          <w:tcPr>
            <w:tcW w:w="4394" w:type="dxa"/>
          </w:tcPr>
          <w:p w14:paraId="58F634BB" w14:textId="77777777" w:rsidR="00BF5536" w:rsidRPr="00BF5536" w:rsidRDefault="00BF5536" w:rsidP="00355089">
            <w:pPr>
              <w:pStyle w:val="Paragraphtext"/>
              <w:keepNext/>
              <w:rPr>
                <w:szCs w:val="21"/>
              </w:rPr>
            </w:pPr>
            <w:r w:rsidRPr="00BF5536">
              <w:rPr>
                <w:szCs w:val="21"/>
              </w:rPr>
              <w:t>A45C1 Matrix – Very High MDC Grouping</w:t>
            </w:r>
          </w:p>
        </w:tc>
        <w:tc>
          <w:tcPr>
            <w:tcW w:w="1281" w:type="dxa"/>
          </w:tcPr>
          <w:p w14:paraId="7851DA9F" w14:textId="77777777" w:rsidR="00BF5536" w:rsidRPr="00BF5536" w:rsidRDefault="00BF5536" w:rsidP="00355089">
            <w:pPr>
              <w:pStyle w:val="Paragraphtext"/>
              <w:keepNext/>
              <w:jc w:val="right"/>
              <w:rPr>
                <w:szCs w:val="21"/>
              </w:rPr>
            </w:pPr>
            <w:r w:rsidRPr="00BF5536">
              <w:rPr>
                <w:szCs w:val="21"/>
              </w:rPr>
              <w:t>$833.05</w:t>
            </w:r>
          </w:p>
        </w:tc>
      </w:tr>
      <w:tr w:rsidR="00BF5536" w:rsidRPr="00BF5536" w14:paraId="74AA8727" w14:textId="77777777" w:rsidTr="00355089">
        <w:trPr>
          <w:jc w:val="center"/>
        </w:trPr>
        <w:tc>
          <w:tcPr>
            <w:tcW w:w="1276" w:type="dxa"/>
            <w:vMerge/>
          </w:tcPr>
          <w:p w14:paraId="7C2E9A0F" w14:textId="77777777" w:rsidR="00BF5536" w:rsidRPr="00BF5536" w:rsidRDefault="00BF5536" w:rsidP="00355089">
            <w:pPr>
              <w:pStyle w:val="Paragraphtext"/>
              <w:keepNext/>
              <w:rPr>
                <w:szCs w:val="21"/>
              </w:rPr>
            </w:pPr>
          </w:p>
        </w:tc>
        <w:tc>
          <w:tcPr>
            <w:tcW w:w="1980" w:type="dxa"/>
            <w:vMerge/>
          </w:tcPr>
          <w:p w14:paraId="22D92C42" w14:textId="77777777" w:rsidR="00BF5536" w:rsidRPr="00BF5536" w:rsidRDefault="00BF5536" w:rsidP="00355089">
            <w:pPr>
              <w:pStyle w:val="Paragraphtext"/>
              <w:keepNext/>
              <w:rPr>
                <w:szCs w:val="21"/>
              </w:rPr>
            </w:pPr>
          </w:p>
        </w:tc>
        <w:tc>
          <w:tcPr>
            <w:tcW w:w="4394" w:type="dxa"/>
          </w:tcPr>
          <w:p w14:paraId="0083AEBB" w14:textId="77777777" w:rsidR="00BF5536" w:rsidRPr="00BF5536" w:rsidRDefault="00BF5536" w:rsidP="00355089">
            <w:pPr>
              <w:pStyle w:val="Paragraphtext"/>
              <w:keepNext/>
              <w:rPr>
                <w:szCs w:val="21"/>
              </w:rPr>
            </w:pPr>
            <w:r w:rsidRPr="00BF5536">
              <w:rPr>
                <w:szCs w:val="21"/>
              </w:rPr>
              <w:t>A45C2 Matrix – High MDC Grouping</w:t>
            </w:r>
          </w:p>
        </w:tc>
        <w:tc>
          <w:tcPr>
            <w:tcW w:w="1281" w:type="dxa"/>
          </w:tcPr>
          <w:p w14:paraId="56D2EBBD" w14:textId="77777777" w:rsidR="00BF5536" w:rsidRPr="00BF5536" w:rsidRDefault="00BF5536" w:rsidP="00355089">
            <w:pPr>
              <w:pStyle w:val="Paragraphtext"/>
              <w:keepNext/>
              <w:jc w:val="right"/>
              <w:rPr>
                <w:szCs w:val="21"/>
              </w:rPr>
            </w:pPr>
            <w:r w:rsidRPr="00BF5536">
              <w:rPr>
                <w:szCs w:val="21"/>
              </w:rPr>
              <w:t>$750.51</w:t>
            </w:r>
          </w:p>
        </w:tc>
      </w:tr>
      <w:tr w:rsidR="00BF5536" w:rsidRPr="00BF5536" w14:paraId="00F2F9AB" w14:textId="77777777" w:rsidTr="00355089">
        <w:trPr>
          <w:jc w:val="center"/>
        </w:trPr>
        <w:tc>
          <w:tcPr>
            <w:tcW w:w="1276" w:type="dxa"/>
            <w:vMerge/>
          </w:tcPr>
          <w:p w14:paraId="4D0FD223" w14:textId="77777777" w:rsidR="00BF5536" w:rsidRPr="00BF5536" w:rsidRDefault="00BF5536" w:rsidP="00355089">
            <w:pPr>
              <w:pStyle w:val="Paragraphtext"/>
              <w:keepNext/>
              <w:rPr>
                <w:szCs w:val="21"/>
              </w:rPr>
            </w:pPr>
          </w:p>
        </w:tc>
        <w:tc>
          <w:tcPr>
            <w:tcW w:w="1980" w:type="dxa"/>
            <w:vMerge/>
          </w:tcPr>
          <w:p w14:paraId="72FD6300" w14:textId="77777777" w:rsidR="00BF5536" w:rsidRPr="00BF5536" w:rsidRDefault="00BF5536" w:rsidP="00355089">
            <w:pPr>
              <w:pStyle w:val="Paragraphtext"/>
              <w:keepNext/>
              <w:rPr>
                <w:szCs w:val="21"/>
              </w:rPr>
            </w:pPr>
          </w:p>
        </w:tc>
        <w:tc>
          <w:tcPr>
            <w:tcW w:w="4394" w:type="dxa"/>
          </w:tcPr>
          <w:p w14:paraId="7DCBF27A" w14:textId="77777777" w:rsidR="00BF5536" w:rsidRPr="00BF5536" w:rsidRDefault="00BF5536" w:rsidP="00355089">
            <w:pPr>
              <w:pStyle w:val="Paragraphtext"/>
              <w:keepNext/>
              <w:rPr>
                <w:szCs w:val="21"/>
              </w:rPr>
            </w:pPr>
            <w:r w:rsidRPr="00BF5536">
              <w:rPr>
                <w:szCs w:val="21"/>
              </w:rPr>
              <w:t>A45C3 – Moderate MDC Grouping</w:t>
            </w:r>
          </w:p>
        </w:tc>
        <w:tc>
          <w:tcPr>
            <w:tcW w:w="1281" w:type="dxa"/>
          </w:tcPr>
          <w:p w14:paraId="14223FB7" w14:textId="77777777" w:rsidR="00BF5536" w:rsidRPr="00BF5536" w:rsidRDefault="00BF5536" w:rsidP="00355089">
            <w:pPr>
              <w:pStyle w:val="Paragraphtext"/>
              <w:keepNext/>
              <w:jc w:val="right"/>
              <w:rPr>
                <w:szCs w:val="21"/>
              </w:rPr>
            </w:pPr>
            <w:r w:rsidRPr="00BF5536">
              <w:rPr>
                <w:szCs w:val="21"/>
              </w:rPr>
              <w:t>$628.50</w:t>
            </w:r>
          </w:p>
        </w:tc>
      </w:tr>
      <w:tr w:rsidR="00BF5536" w:rsidRPr="00BF5536" w14:paraId="72D37B03" w14:textId="77777777" w:rsidTr="00FA5D4E">
        <w:trPr>
          <w:trHeight w:val="85"/>
          <w:jc w:val="center"/>
        </w:trPr>
        <w:tc>
          <w:tcPr>
            <w:tcW w:w="1276" w:type="dxa"/>
            <w:vMerge/>
          </w:tcPr>
          <w:p w14:paraId="0460D2B7" w14:textId="77777777" w:rsidR="00BF5536" w:rsidRPr="00BF5536" w:rsidRDefault="00BF5536" w:rsidP="00355089">
            <w:pPr>
              <w:pStyle w:val="Paragraphtext"/>
              <w:keepNext/>
              <w:rPr>
                <w:szCs w:val="21"/>
              </w:rPr>
            </w:pPr>
          </w:p>
        </w:tc>
        <w:tc>
          <w:tcPr>
            <w:tcW w:w="1980" w:type="dxa"/>
            <w:vMerge/>
          </w:tcPr>
          <w:p w14:paraId="118075CD" w14:textId="77777777" w:rsidR="00BF5536" w:rsidRPr="00BF5536" w:rsidRDefault="00BF5536" w:rsidP="00355089">
            <w:pPr>
              <w:pStyle w:val="Paragraphtext"/>
              <w:keepNext/>
              <w:rPr>
                <w:szCs w:val="21"/>
              </w:rPr>
            </w:pPr>
          </w:p>
        </w:tc>
        <w:tc>
          <w:tcPr>
            <w:tcW w:w="4394" w:type="dxa"/>
          </w:tcPr>
          <w:p w14:paraId="0833E4BE" w14:textId="77777777" w:rsidR="00BF5536" w:rsidRPr="00BF5536" w:rsidRDefault="00BF5536" w:rsidP="00355089">
            <w:pPr>
              <w:pStyle w:val="Paragraphtext"/>
              <w:keepNext/>
              <w:rPr>
                <w:szCs w:val="21"/>
              </w:rPr>
            </w:pPr>
            <w:r w:rsidRPr="00BF5536">
              <w:rPr>
                <w:szCs w:val="21"/>
              </w:rPr>
              <w:t>A45C4 Matrix – Low MDC Grouping</w:t>
            </w:r>
          </w:p>
        </w:tc>
        <w:tc>
          <w:tcPr>
            <w:tcW w:w="1281" w:type="dxa"/>
          </w:tcPr>
          <w:p w14:paraId="49DB081F" w14:textId="77777777" w:rsidR="00BF5536" w:rsidRPr="00BF5536" w:rsidRDefault="00BF5536" w:rsidP="00355089">
            <w:pPr>
              <w:pStyle w:val="Paragraphtext"/>
              <w:keepNext/>
              <w:jc w:val="right"/>
              <w:rPr>
                <w:szCs w:val="21"/>
              </w:rPr>
            </w:pPr>
            <w:r w:rsidRPr="00BF5536">
              <w:rPr>
                <w:szCs w:val="21"/>
              </w:rPr>
              <w:t>$453.37</w:t>
            </w:r>
          </w:p>
        </w:tc>
      </w:tr>
    </w:tbl>
    <w:p w14:paraId="303BFCEE" w14:textId="45C2AC1E" w:rsidR="00BF5536" w:rsidRDefault="00BF5536" w:rsidP="00BF5536">
      <w:pPr>
        <w:pStyle w:val="Paragraphtext"/>
      </w:pPr>
    </w:p>
    <w:p w14:paraId="4E466129" w14:textId="1F9C17EE" w:rsidR="00FB2858" w:rsidRDefault="00BF5536" w:rsidP="001F77DE">
      <w:pPr>
        <w:spacing w:after="160" w:line="259" w:lineRule="auto"/>
      </w:pPr>
      <w:r>
        <w:t xml:space="preserve">To determine </w:t>
      </w:r>
      <w:r w:rsidR="00FB2858">
        <w:t>the</w:t>
      </w:r>
      <w:r>
        <w:t xml:space="preserve"> preferred bundle variant type, the Department has considered the following factors:</w:t>
      </w:r>
    </w:p>
    <w:p w14:paraId="19291616" w14:textId="4BC352AE" w:rsidR="00FB2858" w:rsidRDefault="00D14CA3" w:rsidP="00FB2858">
      <w:pPr>
        <w:pStyle w:val="Paragraphtext"/>
        <w:numPr>
          <w:ilvl w:val="0"/>
          <w:numId w:val="27"/>
        </w:numPr>
      </w:pPr>
      <w:r>
        <w:t xml:space="preserve">impact on </w:t>
      </w:r>
      <w:proofErr w:type="gramStart"/>
      <w:r>
        <w:t>consumers</w:t>
      </w:r>
      <w:r w:rsidR="00FB2858">
        <w:t>;</w:t>
      </w:r>
      <w:proofErr w:type="gramEnd"/>
    </w:p>
    <w:p w14:paraId="732CDAEA" w14:textId="1D014280" w:rsidR="00FB2858" w:rsidRDefault="00D14CA3" w:rsidP="00FB2858">
      <w:pPr>
        <w:pStyle w:val="Paragraphtext"/>
        <w:numPr>
          <w:ilvl w:val="0"/>
          <w:numId w:val="27"/>
        </w:numPr>
      </w:pPr>
      <w:r>
        <w:t xml:space="preserve">alignment with current payments; and </w:t>
      </w:r>
    </w:p>
    <w:p w14:paraId="145C1A8A" w14:textId="1E56FE65" w:rsidR="00FB2858" w:rsidRDefault="00BF5536" w:rsidP="00D14CA3">
      <w:pPr>
        <w:pStyle w:val="Paragraphtext"/>
        <w:numPr>
          <w:ilvl w:val="0"/>
          <w:numId w:val="27"/>
        </w:numPr>
      </w:pPr>
      <w:r>
        <w:t>ease of implementation</w:t>
      </w:r>
      <w:r w:rsidR="00D14CA3">
        <w:t xml:space="preserve"> and administration.</w:t>
      </w:r>
    </w:p>
    <w:p w14:paraId="38D4FCB3" w14:textId="7E4A54AC" w:rsidR="00BF5536" w:rsidRDefault="00A319BA" w:rsidP="00BF5536">
      <w:pPr>
        <w:pStyle w:val="Paragraphtext"/>
      </w:pPr>
      <w:r>
        <w:t xml:space="preserve">As noted by IHACPA, under all GUI Bundle variant </w:t>
      </w:r>
      <w:proofErr w:type="gramStart"/>
      <w:r>
        <w:t>options</w:t>
      </w:r>
      <w:proofErr w:type="gramEnd"/>
      <w:r>
        <w:t xml:space="preserve"> </w:t>
      </w:r>
      <w:r w:rsidR="0002060E">
        <w:t xml:space="preserve">some </w:t>
      </w:r>
      <w:r w:rsidR="00BF5536">
        <w:t>hospitals will see a relative increase in benefits, while other hospitals will see a relative decrease. Similarly, some insurers will see relative increases or decreases.</w:t>
      </w:r>
    </w:p>
    <w:p w14:paraId="4B8DD808" w14:textId="77777777" w:rsidR="001F77DE" w:rsidRDefault="001F77DE" w:rsidP="00141BC7">
      <w:pPr>
        <w:pStyle w:val="Heading2"/>
      </w:pPr>
      <w:r>
        <w:br w:type="page"/>
      </w:r>
    </w:p>
    <w:p w14:paraId="7E233B2B" w14:textId="12C5DBCC" w:rsidR="00141BC7" w:rsidRDefault="00141BC7" w:rsidP="00141BC7">
      <w:pPr>
        <w:pStyle w:val="Heading2"/>
      </w:pPr>
      <w:r>
        <w:lastRenderedPageBreak/>
        <w:t>Preferred option: bundle variant B (Facility Type)</w:t>
      </w:r>
    </w:p>
    <w:p w14:paraId="02ECED4E" w14:textId="1502AE3A" w:rsidR="00582E35" w:rsidRDefault="00582E35" w:rsidP="00141BC7">
      <w:pPr>
        <w:pStyle w:val="Paragraphtext"/>
      </w:pPr>
      <w:r>
        <w:t>B</w:t>
      </w:r>
      <w:r w:rsidR="00BF5536" w:rsidRPr="00D32E10">
        <w:t xml:space="preserve">undle variant </w:t>
      </w:r>
      <w:r>
        <w:t xml:space="preserve">B </w:t>
      </w:r>
      <w:r w:rsidR="00BF5536" w:rsidRPr="00D32E10">
        <w:t>splits each of the 24 GUI product bundle variants based on the facility in which an episode occurs; that is, a private overnight, private day, or public hospital facility. This facility classification is based on the Commonwealth Hospital Declaration for each facility, which indicates whether a facility is a private or public facility and, for private facilities, whether it is a private overnight or private same day facility. There are a total of 72 facility-type GU</w:t>
      </w:r>
      <w:r w:rsidR="00DD0CCB">
        <w:t xml:space="preserve">I </w:t>
      </w:r>
      <w:r w:rsidR="00BF5536" w:rsidRPr="00D32E10">
        <w:t>B</w:t>
      </w:r>
      <w:r w:rsidR="00DD0CCB">
        <w:t>undle</w:t>
      </w:r>
      <w:r w:rsidR="00BF5536" w:rsidRPr="00D32E10">
        <w:t>s (</w:t>
      </w:r>
      <w:proofErr w:type="gramStart"/>
      <w:r w:rsidR="00BF5536" w:rsidRPr="00D32E10">
        <w:t>i.e.</w:t>
      </w:r>
      <w:proofErr w:type="gramEnd"/>
      <w:r w:rsidR="00BF5536" w:rsidRPr="00D32E10">
        <w:t xml:space="preserve"> 24 product </w:t>
      </w:r>
      <w:r w:rsidR="00A319BA">
        <w:t>classes</w:t>
      </w:r>
      <w:r w:rsidR="00A319BA" w:rsidRPr="00D32E10">
        <w:t xml:space="preserve"> </w:t>
      </w:r>
      <w:r w:rsidR="00BF5536" w:rsidRPr="00D32E10">
        <w:t>split into three facility types). However, it may be the case that some GUI product classes are limited in their use to only one or two facility types (</w:t>
      </w:r>
      <w:proofErr w:type="gramStart"/>
      <w:r w:rsidR="00BF5536" w:rsidRPr="00D32E10">
        <w:t>e.g.</w:t>
      </w:r>
      <w:proofErr w:type="gramEnd"/>
      <w:r w:rsidR="00BF5536" w:rsidRPr="00D32E10">
        <w:t xml:space="preserve"> a given GU</w:t>
      </w:r>
      <w:r w:rsidR="00DD0CCB">
        <w:t xml:space="preserve">I </w:t>
      </w:r>
      <w:r w:rsidR="00BF5536" w:rsidRPr="00D32E10">
        <w:t>B</w:t>
      </w:r>
      <w:r w:rsidR="00DD0CCB">
        <w:t>undle</w:t>
      </w:r>
      <w:r w:rsidR="00BF5536" w:rsidRPr="00D32E10">
        <w:t xml:space="preserve"> may have no observed occurrence within private day facilities). </w:t>
      </w:r>
    </w:p>
    <w:p w14:paraId="3100B68F" w14:textId="6C74D23B" w:rsidR="00BF5536" w:rsidRDefault="00650E03" w:rsidP="00141BC7">
      <w:pPr>
        <w:pStyle w:val="Paragraphtext"/>
      </w:pPr>
      <w:r>
        <w:t>I</w:t>
      </w:r>
      <w:r w:rsidR="00BF5536" w:rsidRPr="00D32E10">
        <w:t xml:space="preserve">mplementation of this option would be slightly </w:t>
      </w:r>
      <w:r w:rsidR="008B768C">
        <w:t xml:space="preserve">more </w:t>
      </w:r>
      <w:r w:rsidR="00BF5536" w:rsidRPr="00D32E10">
        <w:t>involved</w:t>
      </w:r>
      <w:r w:rsidR="00993006">
        <w:t xml:space="preserve"> than implementing bundle variant A</w:t>
      </w:r>
      <w:r w:rsidR="0050011C">
        <w:t xml:space="preserve"> (see below)</w:t>
      </w:r>
      <w:r w:rsidR="00BF5536" w:rsidRPr="00D32E10">
        <w:t xml:space="preserve">, however, </w:t>
      </w:r>
      <w:r w:rsidR="00976083">
        <w:t>it is relatively simple,</w:t>
      </w:r>
      <w:r w:rsidR="00B16A04">
        <w:t xml:space="preserve"> as it</w:t>
      </w:r>
      <w:r w:rsidR="00976083">
        <w:t xml:space="preserve"> is based on well understood hospital categories and </w:t>
      </w:r>
      <w:r w:rsidR="00976083" w:rsidRPr="00D32E10">
        <w:t xml:space="preserve">the impact on consumers would be </w:t>
      </w:r>
      <w:r w:rsidR="0050011C">
        <w:t>limited as benefits are in line with facility pricing currently used in the PL</w:t>
      </w:r>
      <w:r w:rsidR="00BF5536">
        <w:t>.</w:t>
      </w:r>
    </w:p>
    <w:p w14:paraId="542D3EEA" w14:textId="7659BFBA" w:rsidR="00435A1E" w:rsidRPr="00993006" w:rsidRDefault="00435A1E" w:rsidP="00435A1E">
      <w:pPr>
        <w:pStyle w:val="Paragraphtext"/>
        <w:rPr>
          <w:b/>
          <w:bCs/>
        </w:rPr>
      </w:pPr>
      <w:bookmarkStart w:id="1" w:name="_Hlk126835051"/>
      <w:r w:rsidRPr="00993006">
        <w:rPr>
          <w:b/>
          <w:bCs/>
        </w:rPr>
        <w:t>Anticipated impact</w:t>
      </w:r>
      <w:r w:rsidR="007A2FEF">
        <w:rPr>
          <w:b/>
          <w:bCs/>
        </w:rPr>
        <w:t xml:space="preserve"> on stakeholders</w:t>
      </w:r>
    </w:p>
    <w:bookmarkEnd w:id="1"/>
    <w:p w14:paraId="58539B87" w14:textId="6C2CE910" w:rsidR="00A319BA" w:rsidRDefault="00A319BA" w:rsidP="00A319BA">
      <w:pPr>
        <w:pStyle w:val="Paragraphtext"/>
      </w:pPr>
      <w:r w:rsidRPr="00993006">
        <w:rPr>
          <w:u w:val="single"/>
        </w:rPr>
        <w:t>Consumers</w:t>
      </w:r>
      <w:r w:rsidRPr="00993006">
        <w:t xml:space="preserve"> – limited impact as benefits will be </w:t>
      </w:r>
      <w:proofErr w:type="gramStart"/>
      <w:r w:rsidRPr="00993006">
        <w:t>similar to</w:t>
      </w:r>
      <w:proofErr w:type="gramEnd"/>
      <w:r w:rsidRPr="00993006">
        <w:t xml:space="preserve"> current </w:t>
      </w:r>
      <w:r>
        <w:t>benefits and no gap arrangements apply</w:t>
      </w:r>
      <w:r w:rsidRPr="00993006">
        <w:t>.</w:t>
      </w:r>
    </w:p>
    <w:p w14:paraId="0D04712B" w14:textId="11F5EAA6" w:rsidR="00435A1E" w:rsidRPr="00993006" w:rsidRDefault="00435A1E" w:rsidP="00435A1E">
      <w:pPr>
        <w:pStyle w:val="Paragraphtext"/>
      </w:pPr>
      <w:r w:rsidRPr="00993006">
        <w:rPr>
          <w:u w:val="single"/>
        </w:rPr>
        <w:t>Private health insurers</w:t>
      </w:r>
      <w:r w:rsidRPr="00993006">
        <w:t xml:space="preserve"> –</w:t>
      </w:r>
      <w:r w:rsidR="00993006" w:rsidRPr="00993006">
        <w:t xml:space="preserve"> limited impact as benefits will be </w:t>
      </w:r>
      <w:proofErr w:type="gramStart"/>
      <w:r w:rsidR="00993006" w:rsidRPr="00993006">
        <w:t>similar to</w:t>
      </w:r>
      <w:proofErr w:type="gramEnd"/>
      <w:r w:rsidR="00993006" w:rsidRPr="00993006">
        <w:t xml:space="preserve"> current </w:t>
      </w:r>
      <w:r w:rsidR="00057CB3">
        <w:t>benefits</w:t>
      </w:r>
      <w:r w:rsidR="00993006" w:rsidRPr="00993006">
        <w:t>.</w:t>
      </w:r>
    </w:p>
    <w:p w14:paraId="17AED7C8" w14:textId="0A61A4FA" w:rsidR="00435A1E" w:rsidRPr="00993006" w:rsidRDefault="00435A1E" w:rsidP="00435A1E">
      <w:pPr>
        <w:pStyle w:val="Paragraphtext"/>
      </w:pPr>
      <w:bookmarkStart w:id="2" w:name="_Hlk126835293"/>
      <w:r w:rsidRPr="00993006">
        <w:rPr>
          <w:u w:val="single"/>
        </w:rPr>
        <w:t xml:space="preserve">Private </w:t>
      </w:r>
      <w:r w:rsidR="00582E35" w:rsidRPr="00993006">
        <w:rPr>
          <w:u w:val="single"/>
        </w:rPr>
        <w:t xml:space="preserve">and public </w:t>
      </w:r>
      <w:r w:rsidRPr="00993006">
        <w:rPr>
          <w:u w:val="single"/>
        </w:rPr>
        <w:t>hospitals</w:t>
      </w:r>
      <w:r w:rsidRPr="00993006">
        <w:t xml:space="preserve"> –</w:t>
      </w:r>
      <w:r w:rsidR="00993006" w:rsidRPr="00993006">
        <w:t xml:space="preserve"> limited impact as benefits will be </w:t>
      </w:r>
      <w:proofErr w:type="gramStart"/>
      <w:r w:rsidR="00993006" w:rsidRPr="00993006">
        <w:t>similar to</w:t>
      </w:r>
      <w:proofErr w:type="gramEnd"/>
      <w:r w:rsidR="00993006" w:rsidRPr="00993006">
        <w:t xml:space="preserve"> </w:t>
      </w:r>
      <w:r w:rsidR="007A2FEF">
        <w:t xml:space="preserve">the </w:t>
      </w:r>
      <w:r w:rsidR="00993006" w:rsidRPr="00993006">
        <w:t xml:space="preserve">current </w:t>
      </w:r>
      <w:r w:rsidR="00057CB3">
        <w:t>benefits</w:t>
      </w:r>
      <w:r w:rsidR="007A2FEF">
        <w:t xml:space="preserve"> received</w:t>
      </w:r>
      <w:r w:rsidR="00993006" w:rsidRPr="00993006">
        <w:t>.</w:t>
      </w:r>
      <w:r w:rsidR="008B040B">
        <w:t xml:space="preserve"> </w:t>
      </w:r>
      <w:r w:rsidR="00A319BA">
        <w:t>H</w:t>
      </w:r>
      <w:r w:rsidR="008B040B">
        <w:t>ospitals currently receiving greater than average benefits for GUI bundles will experience overall reductions in benefits this is offset by the reduced complexity of claiming.</w:t>
      </w:r>
      <w:bookmarkEnd w:id="2"/>
    </w:p>
    <w:p w14:paraId="28A1D776" w14:textId="3F6BEE0D" w:rsidR="00141BC7" w:rsidRDefault="00A319BA" w:rsidP="00141BC7">
      <w:pPr>
        <w:pStyle w:val="Paragraphtext"/>
      </w:pPr>
      <w:r>
        <w:rPr>
          <w:u w:val="single"/>
        </w:rPr>
        <w:t>B</w:t>
      </w:r>
      <w:r w:rsidR="00141BC7" w:rsidRPr="00D32E10">
        <w:t xml:space="preserve">undling </w:t>
      </w:r>
      <w:r w:rsidR="00E44E1F">
        <w:t>variant B (</w:t>
      </w:r>
      <w:r w:rsidR="00141BC7" w:rsidRPr="00D32E10">
        <w:t>by facility type</w:t>
      </w:r>
      <w:r w:rsidR="00E44E1F">
        <w:t>)</w:t>
      </w:r>
      <w:r w:rsidR="00141BC7" w:rsidRPr="00D32E10">
        <w:t xml:space="preserve"> is the preferred option of the Department as it strikes a balance between ease of implementation and </w:t>
      </w:r>
      <w:r>
        <w:t>alignment with current payments</w:t>
      </w:r>
      <w:r w:rsidR="00141BC7" w:rsidRPr="00D32E10">
        <w:t>.</w:t>
      </w:r>
      <w:r w:rsidR="00141BC7">
        <w:t xml:space="preserve"> This form of bundling aligns with current facility type pricing</w:t>
      </w:r>
      <w:r w:rsidR="00A93B97">
        <w:t xml:space="preserve"> as reflected in the PL</w:t>
      </w:r>
      <w:r w:rsidR="00141BC7">
        <w:t xml:space="preserve"> and would cause the least amount of change for insurers and hospitals.</w:t>
      </w:r>
    </w:p>
    <w:p w14:paraId="7F173D05" w14:textId="516E0354" w:rsidR="00BF5536" w:rsidRDefault="00BF5536" w:rsidP="00BF5536">
      <w:pPr>
        <w:pStyle w:val="Heading2"/>
      </w:pPr>
      <w:r>
        <w:t>Alternate option: bundle variant A (Product Type)</w:t>
      </w:r>
    </w:p>
    <w:p w14:paraId="201E3979" w14:textId="1E369D10" w:rsidR="00582E35" w:rsidRDefault="00582E35" w:rsidP="00B648ED">
      <w:pPr>
        <w:pStyle w:val="Paragraphtext"/>
      </w:pPr>
      <w:r>
        <w:t>Bundle</w:t>
      </w:r>
      <w:r w:rsidR="00B648ED">
        <w:t xml:space="preserve"> variant</w:t>
      </w:r>
      <w:r>
        <w:t xml:space="preserve"> A</w:t>
      </w:r>
      <w:r w:rsidR="00B648ED">
        <w:t xml:space="preserve"> is defined by the classification of </w:t>
      </w:r>
      <w:r w:rsidR="009858D9">
        <w:t>GUI</w:t>
      </w:r>
      <w:r w:rsidR="00B648ED">
        <w:t xml:space="preserve"> products into 24</w:t>
      </w:r>
      <w:r w:rsidR="00A319BA">
        <w:t xml:space="preserve"> </w:t>
      </w:r>
      <w:r w:rsidR="00B648ED">
        <w:t xml:space="preserve">product classes based on the existing classification structure of the PL. </w:t>
      </w:r>
    </w:p>
    <w:p w14:paraId="62FE4698" w14:textId="0BF6423F" w:rsidR="00B648ED" w:rsidRDefault="00454FCA" w:rsidP="00B648ED">
      <w:pPr>
        <w:pStyle w:val="Paragraphtext"/>
      </w:pPr>
      <w:r w:rsidRPr="00D32E10">
        <w:t xml:space="preserve">This </w:t>
      </w:r>
      <w:r w:rsidR="00D32E10" w:rsidRPr="00D32E10">
        <w:t>would be the</w:t>
      </w:r>
      <w:r w:rsidR="0092671E" w:rsidRPr="00D32E10">
        <w:t xml:space="preserve"> simplest approach</w:t>
      </w:r>
      <w:r w:rsidR="00976083">
        <w:t xml:space="preserve">, </w:t>
      </w:r>
      <w:r w:rsidR="00B16A04">
        <w:t xml:space="preserve">as it </w:t>
      </w:r>
      <w:r w:rsidR="00976083">
        <w:t xml:space="preserve">is based on well understood product </w:t>
      </w:r>
      <w:r w:rsidR="0050011C">
        <w:t>classes</w:t>
      </w:r>
      <w:r w:rsidR="0092671E" w:rsidRPr="00D32E10">
        <w:t xml:space="preserve"> </w:t>
      </w:r>
      <w:r w:rsidR="00D32E10" w:rsidRPr="00D32E10">
        <w:t xml:space="preserve">and </w:t>
      </w:r>
      <w:r w:rsidR="00976083">
        <w:t xml:space="preserve">is </w:t>
      </w:r>
      <w:r w:rsidR="00D32E10" w:rsidRPr="00D32E10">
        <w:t xml:space="preserve">the easiest </w:t>
      </w:r>
      <w:r w:rsidR="0092671E" w:rsidRPr="00D32E10">
        <w:t>to implement</w:t>
      </w:r>
      <w:r w:rsidR="00D32E10" w:rsidRPr="00D32E10">
        <w:t>. Ho</w:t>
      </w:r>
      <w:r w:rsidR="0092671E" w:rsidRPr="00D32E10">
        <w:t>wever</w:t>
      </w:r>
      <w:r w:rsidR="00D32E10" w:rsidRPr="00D32E10">
        <w:t>,</w:t>
      </w:r>
      <w:r w:rsidR="0092671E" w:rsidRPr="00D32E10">
        <w:t xml:space="preserve"> </w:t>
      </w:r>
      <w:r w:rsidR="00D32E10" w:rsidRPr="00D32E10">
        <w:t>in many instances</w:t>
      </w:r>
      <w:r w:rsidR="00A27A6F" w:rsidRPr="00D32E10">
        <w:t xml:space="preserve"> insurers will be</w:t>
      </w:r>
      <w:r w:rsidR="00D32E10" w:rsidRPr="00D32E10">
        <w:t xml:space="preserve"> paying</w:t>
      </w:r>
      <w:r w:rsidR="00A27A6F" w:rsidRPr="00D32E10">
        <w:t xml:space="preserve"> higher </w:t>
      </w:r>
      <w:r w:rsidR="006D4C9E">
        <w:t xml:space="preserve">benefit </w:t>
      </w:r>
      <w:r w:rsidR="00A27A6F" w:rsidRPr="00D32E10">
        <w:t xml:space="preserve">amounts </w:t>
      </w:r>
      <w:r w:rsidR="006D4C9E">
        <w:t xml:space="preserve">than </w:t>
      </w:r>
      <w:r w:rsidR="00D32E10" w:rsidRPr="00D32E10">
        <w:t xml:space="preserve">currently </w:t>
      </w:r>
      <w:r w:rsidR="00BF07FA">
        <w:t>due to the overcompensation of some facilities</w:t>
      </w:r>
      <w:r w:rsidR="006D4C9E">
        <w:t xml:space="preserve">. This </w:t>
      </w:r>
      <w:r w:rsidR="006D4C9E" w:rsidRPr="00D32E10">
        <w:t>would have a negative impact on consumers</w:t>
      </w:r>
      <w:r w:rsidR="006D4C9E">
        <w:t xml:space="preserve"> through increases in premiums</w:t>
      </w:r>
      <w:r w:rsidR="00BF07FA">
        <w:t>.</w:t>
      </w:r>
    </w:p>
    <w:p w14:paraId="0BDF0754" w14:textId="77777777" w:rsidR="007A2FEF" w:rsidRPr="00993006" w:rsidRDefault="007A2FEF" w:rsidP="007A2FEF">
      <w:pPr>
        <w:pStyle w:val="Paragraphtext"/>
        <w:rPr>
          <w:b/>
          <w:bCs/>
        </w:rPr>
      </w:pPr>
      <w:r w:rsidRPr="00993006">
        <w:rPr>
          <w:b/>
          <w:bCs/>
        </w:rPr>
        <w:t>Anticipated impact</w:t>
      </w:r>
      <w:r>
        <w:rPr>
          <w:b/>
          <w:bCs/>
        </w:rPr>
        <w:t xml:space="preserve"> on stakeholders</w:t>
      </w:r>
    </w:p>
    <w:p w14:paraId="74867781" w14:textId="77777777" w:rsidR="00A319BA" w:rsidRPr="00D32E10" w:rsidRDefault="00A319BA" w:rsidP="00A319BA">
      <w:pPr>
        <w:pStyle w:val="Paragraphtext"/>
      </w:pPr>
      <w:r w:rsidRPr="00582E35">
        <w:rPr>
          <w:u w:val="single"/>
        </w:rPr>
        <w:t>Consumers</w:t>
      </w:r>
      <w:r w:rsidRPr="00582E35">
        <w:t xml:space="preserve"> – may have higher premiums </w:t>
      </w:r>
      <w:proofErr w:type="gramStart"/>
      <w:r w:rsidRPr="00582E35">
        <w:t>as a result of</w:t>
      </w:r>
      <w:proofErr w:type="gramEnd"/>
      <w:r w:rsidRPr="00582E35">
        <w:t xml:space="preserve"> increased </w:t>
      </w:r>
      <w:r>
        <w:t>benefit</w:t>
      </w:r>
      <w:r w:rsidRPr="00582E35">
        <w:t xml:space="preserve">s </w:t>
      </w:r>
      <w:r>
        <w:t xml:space="preserve">paid by </w:t>
      </w:r>
      <w:r w:rsidRPr="00582E35">
        <w:t>insurers.</w:t>
      </w:r>
    </w:p>
    <w:p w14:paraId="7EC62085" w14:textId="0AB53B87" w:rsidR="00582E35" w:rsidRPr="00582E35" w:rsidRDefault="00582E35" w:rsidP="00582E35">
      <w:pPr>
        <w:pStyle w:val="Paragraphtext"/>
      </w:pPr>
      <w:r w:rsidRPr="00582E35">
        <w:rPr>
          <w:u w:val="single"/>
        </w:rPr>
        <w:t>Private health insurers</w:t>
      </w:r>
      <w:r w:rsidRPr="00582E35">
        <w:t xml:space="preserve"> – in </w:t>
      </w:r>
      <w:r>
        <w:t>many</w:t>
      </w:r>
      <w:r w:rsidRPr="00582E35">
        <w:t xml:space="preserve"> circumstances, would have to pay higher benefits than they are currently.</w:t>
      </w:r>
    </w:p>
    <w:p w14:paraId="11DA81DC" w14:textId="776451BC" w:rsidR="00582E35" w:rsidRPr="00582E35" w:rsidRDefault="00582E35" w:rsidP="00582E35">
      <w:pPr>
        <w:pStyle w:val="Paragraphtext"/>
      </w:pPr>
      <w:r w:rsidRPr="00582E35">
        <w:rPr>
          <w:u w:val="single"/>
        </w:rPr>
        <w:t>Private and public hospitals</w:t>
      </w:r>
      <w:r w:rsidRPr="00582E35">
        <w:t xml:space="preserve"> – some facility types, especially private day facilities, would be receiving greater </w:t>
      </w:r>
      <w:r w:rsidR="00057CB3">
        <w:t>benefit</w:t>
      </w:r>
      <w:r w:rsidRPr="00582E35">
        <w:t>s th</w:t>
      </w:r>
      <w:r w:rsidR="00F01DDE">
        <w:t>a</w:t>
      </w:r>
      <w:r w:rsidRPr="00582E35">
        <w:t>n they would otherwise.</w:t>
      </w:r>
    </w:p>
    <w:p w14:paraId="1F3BF7F9" w14:textId="5AB1BD41" w:rsidR="00BF5536" w:rsidRDefault="00BF5536" w:rsidP="00BF5536">
      <w:pPr>
        <w:pStyle w:val="Heading2"/>
      </w:pPr>
      <w:r>
        <w:t>Alternate option: bundle variant C (</w:t>
      </w:r>
      <w:r w:rsidRPr="00D32E10">
        <w:t>Major Diagnostic Category</w:t>
      </w:r>
      <w:r>
        <w:t xml:space="preserve"> Grouping)</w:t>
      </w:r>
    </w:p>
    <w:p w14:paraId="3CFAC9A4" w14:textId="2016B606" w:rsidR="00582E35" w:rsidRDefault="00582E35" w:rsidP="00E866D8">
      <w:pPr>
        <w:pStyle w:val="Paragraphtext"/>
      </w:pPr>
      <w:r>
        <w:t>B</w:t>
      </w:r>
      <w:r w:rsidR="009858D9" w:rsidRPr="00D32E10">
        <w:t xml:space="preserve">undle variant </w:t>
      </w:r>
      <w:r>
        <w:t xml:space="preserve">C </w:t>
      </w:r>
      <w:r w:rsidR="00B648ED" w:rsidRPr="00D32E10">
        <w:t xml:space="preserve">splits each of the 24 </w:t>
      </w:r>
      <w:r w:rsidR="009858D9" w:rsidRPr="00D32E10">
        <w:t>GUI</w:t>
      </w:r>
      <w:r w:rsidR="00B648ED" w:rsidRPr="00D32E10">
        <w:t xml:space="preserve"> product bundle variants into up to five classes based on the Major Diagnostic Category (MDC) of the episode. MDCs are a classification of admitted episodes that form part of the Australian Refined Diagnosis Related Groups (AR-DRG) classification, and IHACPA has used AR-DRG Version 10 in the development of </w:t>
      </w:r>
      <w:r w:rsidR="00A319BA">
        <w:t xml:space="preserve">its </w:t>
      </w:r>
      <w:r w:rsidR="00B648ED" w:rsidRPr="00D32E10">
        <w:t>advice</w:t>
      </w:r>
      <w:r w:rsidR="00A319BA">
        <w:t xml:space="preserve"> on this variant</w:t>
      </w:r>
      <w:r w:rsidR="00B648ED" w:rsidRPr="00D32E10">
        <w:t xml:space="preserve">. The splitting of each </w:t>
      </w:r>
      <w:r w:rsidR="009858D9" w:rsidRPr="00D32E10">
        <w:t>GUI</w:t>
      </w:r>
      <w:r w:rsidR="00B648ED" w:rsidRPr="00D32E10">
        <w:t xml:space="preserve"> product bundle variant into MDC-based variants is dependent on observed variation in </w:t>
      </w:r>
      <w:r w:rsidR="009858D9" w:rsidRPr="00D32E10">
        <w:t>GUI</w:t>
      </w:r>
      <w:r w:rsidR="00B648ED" w:rsidRPr="00D32E10">
        <w:t xml:space="preserve"> utilisation across clinical characteristics. In particular, the more variation that is observed, the greater the number of </w:t>
      </w:r>
      <w:r w:rsidR="00B648ED" w:rsidRPr="00D32E10">
        <w:lastRenderedPageBreak/>
        <w:t xml:space="preserve">splits, and where no variation is observed, there is no split, and the resulting MDC-based variant is identical to the product bundle for that </w:t>
      </w:r>
      <w:r w:rsidR="009858D9" w:rsidRPr="00D32E10">
        <w:t>GUI</w:t>
      </w:r>
      <w:r w:rsidR="00B648ED" w:rsidRPr="00D32E10">
        <w:t xml:space="preserve"> product class. There are a total of 54 MDC-based </w:t>
      </w:r>
      <w:r w:rsidR="009858D9" w:rsidRPr="00D32E10">
        <w:t>GU</w:t>
      </w:r>
      <w:r w:rsidR="00DD0CCB">
        <w:t xml:space="preserve">I </w:t>
      </w:r>
      <w:r w:rsidR="009858D9" w:rsidRPr="00D32E10">
        <w:t>B</w:t>
      </w:r>
      <w:r w:rsidR="00DD0CCB">
        <w:t>undle</w:t>
      </w:r>
      <w:r w:rsidR="009858D9" w:rsidRPr="00D32E10">
        <w:t>s</w:t>
      </w:r>
      <w:r w:rsidR="00B648ED" w:rsidRPr="00D32E10">
        <w:t xml:space="preserve"> across the 24 </w:t>
      </w:r>
      <w:r w:rsidR="009858D9" w:rsidRPr="00D32E10">
        <w:t>GUI</w:t>
      </w:r>
      <w:r w:rsidR="00B648ED" w:rsidRPr="00D32E10">
        <w:t xml:space="preserve"> product classes.</w:t>
      </w:r>
      <w:r w:rsidR="00454FCA" w:rsidRPr="00D32E10">
        <w:t xml:space="preserve"> </w:t>
      </w:r>
    </w:p>
    <w:p w14:paraId="0E8B6C9E" w14:textId="4F5423FE" w:rsidR="00F92F8D" w:rsidRDefault="00454FCA" w:rsidP="00E866D8">
      <w:pPr>
        <w:pStyle w:val="Paragraphtext"/>
      </w:pPr>
      <w:r w:rsidRPr="00D32E10">
        <w:t>This option</w:t>
      </w:r>
      <w:r w:rsidR="006D4C9E">
        <w:t xml:space="preserve"> is the most complex</w:t>
      </w:r>
      <w:r w:rsidR="0050011C">
        <w:t xml:space="preserve"> </w:t>
      </w:r>
      <w:r w:rsidR="00E44E1F">
        <w:t xml:space="preserve">to implement </w:t>
      </w:r>
      <w:r w:rsidR="0050011C">
        <w:t xml:space="preserve">because it is </w:t>
      </w:r>
      <w:r w:rsidR="006D4C9E">
        <w:t>based on AR-DRGs which are not universally utilised by insurers or hospitals</w:t>
      </w:r>
      <w:r w:rsidR="00137E4E">
        <w:t xml:space="preserve">. </w:t>
      </w:r>
      <w:proofErr w:type="gramStart"/>
      <w:r w:rsidR="00137E4E">
        <w:t>However</w:t>
      </w:r>
      <w:proofErr w:type="gramEnd"/>
      <w:r w:rsidR="00137E4E">
        <w:t xml:space="preserve"> it </w:t>
      </w:r>
      <w:r w:rsidR="00A612C5">
        <w:t xml:space="preserve">is the best </w:t>
      </w:r>
      <w:r w:rsidR="00137E4E">
        <w:t xml:space="preserve">option </w:t>
      </w:r>
      <w:r w:rsidR="00A612C5">
        <w:t xml:space="preserve">in terms of the nuance in benefits </w:t>
      </w:r>
      <w:r w:rsidR="006D4C9E">
        <w:t xml:space="preserve">consistent with current individual listed prostheses benefits </w:t>
      </w:r>
      <w:r w:rsidR="00A612C5">
        <w:t xml:space="preserve">and would </w:t>
      </w:r>
      <w:r w:rsidR="006D4C9E">
        <w:t xml:space="preserve">likely </w:t>
      </w:r>
      <w:r w:rsidR="00A612C5">
        <w:t>have a positive impact on consumers</w:t>
      </w:r>
      <w:r w:rsidR="006D4C9E">
        <w:t xml:space="preserve"> through reduced premiums over time.</w:t>
      </w:r>
      <w:r w:rsidR="00A612C5">
        <w:t xml:space="preserve"> </w:t>
      </w:r>
      <w:r w:rsidR="00137E4E">
        <w:t xml:space="preserve">This option </w:t>
      </w:r>
      <w:r w:rsidRPr="00D32E10">
        <w:t xml:space="preserve">would be difficult to mandate as it </w:t>
      </w:r>
      <w:r w:rsidR="00A612C5">
        <w:t>requires</w:t>
      </w:r>
      <w:r w:rsidRPr="00D32E10">
        <w:t xml:space="preserve"> the determination of a threshold for sufficient clinical information. </w:t>
      </w:r>
      <w:r w:rsidR="00D32E10" w:rsidRPr="00D32E10">
        <w:t>I</w:t>
      </w:r>
      <w:r w:rsidRPr="00D32E10">
        <w:t xml:space="preserve">t would also require </w:t>
      </w:r>
      <w:r w:rsidR="0092671E" w:rsidRPr="00D32E10">
        <w:t>hospitals</w:t>
      </w:r>
      <w:r w:rsidR="00A27A6F" w:rsidRPr="00D32E10">
        <w:t xml:space="preserve"> and </w:t>
      </w:r>
      <w:r w:rsidR="0092671E" w:rsidRPr="00D32E10">
        <w:t>insurers to update their systems to use AR-DRG Version 10</w:t>
      </w:r>
      <w:r w:rsidR="00A27A6F" w:rsidRPr="00D32E10">
        <w:t xml:space="preserve"> which may involve changing the current contracts</w:t>
      </w:r>
      <w:r w:rsidR="00137E4E">
        <w:t xml:space="preserve"> and </w:t>
      </w:r>
      <w:r w:rsidR="00E44E1F">
        <w:t xml:space="preserve">is </w:t>
      </w:r>
      <w:r w:rsidR="00137E4E">
        <w:t>therefore not a viable option for a transitional arrangement</w:t>
      </w:r>
      <w:r w:rsidR="0092671E" w:rsidRPr="00D32E10">
        <w:t>.</w:t>
      </w:r>
    </w:p>
    <w:p w14:paraId="69F593EC" w14:textId="2FD64DA1" w:rsidR="00A319BA" w:rsidRDefault="00A319BA" w:rsidP="00E866D8">
      <w:pPr>
        <w:pStyle w:val="Paragraphtext"/>
      </w:pPr>
      <w:r>
        <w:t>Note that there is the potential for bundle variant C (Major Diagnostic Category Grouping) to support contract negotiations between the insurer and hospital even in the absence of it being implemented as a regulated payment.</w:t>
      </w:r>
    </w:p>
    <w:p w14:paraId="5BF244FD" w14:textId="77777777" w:rsidR="007A2FEF" w:rsidRPr="00993006" w:rsidRDefault="007A2FEF" w:rsidP="007A2FEF">
      <w:pPr>
        <w:pStyle w:val="Paragraphtext"/>
        <w:rPr>
          <w:b/>
          <w:bCs/>
        </w:rPr>
      </w:pPr>
      <w:r w:rsidRPr="00993006">
        <w:rPr>
          <w:b/>
          <w:bCs/>
        </w:rPr>
        <w:t>Anticipated impact</w:t>
      </w:r>
      <w:r>
        <w:rPr>
          <w:b/>
          <w:bCs/>
        </w:rPr>
        <w:t xml:space="preserve"> on stakeholders</w:t>
      </w:r>
    </w:p>
    <w:p w14:paraId="6BC02F42" w14:textId="77777777" w:rsidR="00A319BA" w:rsidRDefault="00A319BA" w:rsidP="00A319BA">
      <w:pPr>
        <w:pStyle w:val="Paragraphtext"/>
      </w:pPr>
      <w:r w:rsidRPr="00FA5D4E">
        <w:rPr>
          <w:u w:val="single"/>
        </w:rPr>
        <w:t>Consumers</w:t>
      </w:r>
      <w:r w:rsidRPr="00FA5D4E">
        <w:t xml:space="preserve"> – may have positive impacts through downward pressure on premiums.</w:t>
      </w:r>
    </w:p>
    <w:p w14:paraId="3B29419F" w14:textId="4ECA07AD" w:rsidR="00582E35" w:rsidRPr="00993006" w:rsidRDefault="00582E35" w:rsidP="00582E35">
      <w:pPr>
        <w:pStyle w:val="Paragraphtext"/>
      </w:pPr>
      <w:r w:rsidRPr="00993006">
        <w:rPr>
          <w:u w:val="single"/>
        </w:rPr>
        <w:t>Private health insurers</w:t>
      </w:r>
      <w:r w:rsidRPr="00993006">
        <w:t xml:space="preserve"> –</w:t>
      </w:r>
      <w:r w:rsidR="00993006" w:rsidRPr="00993006">
        <w:t xml:space="preserve"> would potentially </w:t>
      </w:r>
      <w:r w:rsidR="007B4CD8">
        <w:t xml:space="preserve">reduce </w:t>
      </w:r>
      <w:r w:rsidR="00993006" w:rsidRPr="00993006">
        <w:t>benefits if there is sufficient evidence of variation in GUI utilisation. Systems would need to be updated to use AR-DRG Version 10.</w:t>
      </w:r>
    </w:p>
    <w:p w14:paraId="38C74415" w14:textId="1B5612A2" w:rsidR="00582E35" w:rsidRPr="00993006" w:rsidRDefault="00582E35" w:rsidP="00582E35">
      <w:pPr>
        <w:pStyle w:val="Paragraphtext"/>
      </w:pPr>
      <w:r w:rsidRPr="00993006">
        <w:rPr>
          <w:u w:val="single"/>
        </w:rPr>
        <w:t>Private and public hospitals</w:t>
      </w:r>
      <w:r w:rsidRPr="00993006">
        <w:t xml:space="preserve"> – </w:t>
      </w:r>
      <w:r w:rsidR="00993006" w:rsidRPr="00993006">
        <w:t xml:space="preserve">would </w:t>
      </w:r>
      <w:r w:rsidR="00446BA8">
        <w:t xml:space="preserve">potentially </w:t>
      </w:r>
      <w:r w:rsidR="00993006" w:rsidRPr="00993006">
        <w:t xml:space="preserve">need to collect and report </w:t>
      </w:r>
      <w:r w:rsidR="00446BA8">
        <w:t xml:space="preserve">more </w:t>
      </w:r>
      <w:r w:rsidR="00993006" w:rsidRPr="00993006">
        <w:t>clinical data to determine the correct grouping</w:t>
      </w:r>
      <w:r w:rsidR="007B4CD8">
        <w:t xml:space="preserve"> but would better incentivise efficie</w:t>
      </w:r>
      <w:r w:rsidR="00FA5D4E">
        <w:t>ncy</w:t>
      </w:r>
      <w:r w:rsidR="00993006" w:rsidRPr="00993006">
        <w:t>. Systems would need to be updated to use AR</w:t>
      </w:r>
      <w:r w:rsidR="001E1B3D">
        <w:noBreakHyphen/>
      </w:r>
      <w:r w:rsidR="00993006" w:rsidRPr="00993006">
        <w:t>DRG Version 10.</w:t>
      </w:r>
    </w:p>
    <w:p w14:paraId="0739EDE1" w14:textId="77777777" w:rsidR="00057CB3" w:rsidRDefault="00057CB3">
      <w:pPr>
        <w:spacing w:after="160" w:line="259" w:lineRule="auto"/>
        <w:rPr>
          <w:rFonts w:eastAsiaTheme="minorHAnsi" w:cstheme="minorBidi"/>
          <w:color w:val="000000" w:themeColor="text1"/>
          <w:sz w:val="21"/>
          <w:szCs w:val="22"/>
        </w:rPr>
      </w:pPr>
      <w:r>
        <w:br w:type="page"/>
      </w:r>
    </w:p>
    <w:p w14:paraId="4E565022" w14:textId="77777777" w:rsidR="00582E35" w:rsidRDefault="00582E35" w:rsidP="00E866D8">
      <w:pPr>
        <w:pStyle w:val="Paragraphtext"/>
      </w:pPr>
    </w:p>
    <w:p w14:paraId="07A7C633" w14:textId="1E0AAF75" w:rsidR="005209AD" w:rsidRDefault="005209AD" w:rsidP="005209AD">
      <w:pPr>
        <w:pStyle w:val="Heading1"/>
      </w:pPr>
      <w:r>
        <w:t>What we invite you to do</w:t>
      </w:r>
    </w:p>
    <w:p w14:paraId="6C6E2B42" w14:textId="3AAD874E" w:rsidR="00416262" w:rsidRDefault="00057CB3" w:rsidP="000A48CC">
      <w:pPr>
        <w:pStyle w:val="Paragraphtext"/>
      </w:pPr>
      <w:r>
        <w:t xml:space="preserve">The Department </w:t>
      </w:r>
      <w:r w:rsidR="000A48CC" w:rsidRPr="00150F1E">
        <w:t>ask</w:t>
      </w:r>
      <w:r>
        <w:t>s</w:t>
      </w:r>
      <w:r w:rsidR="000A48CC" w:rsidRPr="00150F1E">
        <w:t xml:space="preserve"> that stakeholders provide </w:t>
      </w:r>
      <w:r w:rsidR="00A319BA">
        <w:t>submissions on the proposed a</w:t>
      </w:r>
      <w:r w:rsidR="00C2284C">
        <w:t xml:space="preserve">rrangement </w:t>
      </w:r>
      <w:r w:rsidR="000A48CC">
        <w:t>under the Benefit Requirements Rules</w:t>
      </w:r>
      <w:r w:rsidR="000A48CC" w:rsidRPr="00150F1E">
        <w:t xml:space="preserve"> </w:t>
      </w:r>
      <w:r w:rsidR="00416262">
        <w:t>via the Department of Health’s C</w:t>
      </w:r>
      <w:r w:rsidR="000A48CC" w:rsidRPr="00150F1E">
        <w:t xml:space="preserve">onsultation </w:t>
      </w:r>
      <w:r w:rsidR="00416262">
        <w:t>H</w:t>
      </w:r>
      <w:r w:rsidR="000A48CC" w:rsidRPr="00150F1E">
        <w:t>ub.</w:t>
      </w:r>
    </w:p>
    <w:p w14:paraId="173375B5" w14:textId="3F9D5D52" w:rsidR="000A48CC" w:rsidRPr="000A48CC" w:rsidRDefault="000A48CC" w:rsidP="000A48CC">
      <w:pPr>
        <w:pStyle w:val="Paragraphtext"/>
      </w:pPr>
      <w:r w:rsidRPr="000A48CC">
        <w:t xml:space="preserve">The Department intends to publish the submissions so stakeholders should </w:t>
      </w:r>
      <w:r w:rsidR="00416262">
        <w:t xml:space="preserve">clearly identify </w:t>
      </w:r>
      <w:r w:rsidRPr="000A48CC">
        <w:t xml:space="preserve">commercial in confidence information </w:t>
      </w:r>
      <w:r w:rsidR="00416262">
        <w:t xml:space="preserve">preferably </w:t>
      </w:r>
      <w:r w:rsidRPr="000A48CC">
        <w:t>under a separate attachment</w:t>
      </w:r>
      <w:r w:rsidR="00416262">
        <w:t>.</w:t>
      </w:r>
    </w:p>
    <w:p w14:paraId="2037CCB3" w14:textId="2072D776" w:rsidR="00416262" w:rsidRDefault="00416262" w:rsidP="00416262">
      <w:pPr>
        <w:spacing w:before="120" w:after="60" w:line="276" w:lineRule="auto"/>
        <w:rPr>
          <w:sz w:val="21"/>
          <w:szCs w:val="21"/>
        </w:rPr>
      </w:pPr>
      <w:r>
        <w:rPr>
          <w:sz w:val="21"/>
          <w:szCs w:val="21"/>
        </w:rPr>
        <w:t>In preparing a submission, stakeholder feedback is sought on the following matters:</w:t>
      </w:r>
    </w:p>
    <w:p w14:paraId="08BEE0DB" w14:textId="77777777" w:rsidR="00416262" w:rsidRDefault="00416262" w:rsidP="00416262">
      <w:pPr>
        <w:pStyle w:val="ListParagraph"/>
        <w:numPr>
          <w:ilvl w:val="0"/>
          <w:numId w:val="26"/>
        </w:numPr>
        <w:spacing w:before="120" w:after="60" w:line="276" w:lineRule="auto"/>
        <w:rPr>
          <w:sz w:val="21"/>
          <w:szCs w:val="21"/>
        </w:rPr>
      </w:pPr>
      <w:r>
        <w:rPr>
          <w:sz w:val="21"/>
          <w:szCs w:val="21"/>
        </w:rPr>
        <w:t>Reasons for a preferred bundle variant and why the alternative bundle variants are not preferred</w:t>
      </w:r>
    </w:p>
    <w:p w14:paraId="724BB9E8" w14:textId="77777777" w:rsidR="00416262" w:rsidRDefault="00416262" w:rsidP="00416262">
      <w:pPr>
        <w:pStyle w:val="ListParagraph"/>
        <w:numPr>
          <w:ilvl w:val="0"/>
          <w:numId w:val="26"/>
        </w:numPr>
        <w:spacing w:before="120" w:after="60" w:line="276" w:lineRule="auto"/>
        <w:rPr>
          <w:sz w:val="21"/>
          <w:szCs w:val="21"/>
        </w:rPr>
      </w:pPr>
      <w:r>
        <w:rPr>
          <w:sz w:val="21"/>
          <w:szCs w:val="21"/>
        </w:rPr>
        <w:t>The use of AR-DRF (version 10) in establishing bundle variant C</w:t>
      </w:r>
    </w:p>
    <w:p w14:paraId="732D8C5B" w14:textId="77777777" w:rsidR="00416262" w:rsidRDefault="00416262" w:rsidP="00416262">
      <w:pPr>
        <w:pStyle w:val="ListParagraph"/>
        <w:numPr>
          <w:ilvl w:val="0"/>
          <w:numId w:val="26"/>
        </w:numPr>
        <w:spacing w:before="120" w:after="60" w:line="276" w:lineRule="auto"/>
        <w:rPr>
          <w:sz w:val="21"/>
          <w:szCs w:val="21"/>
        </w:rPr>
      </w:pPr>
      <w:r>
        <w:rPr>
          <w:sz w:val="21"/>
          <w:szCs w:val="21"/>
        </w:rPr>
        <w:t>The proposed settings across all bundle variants:</w:t>
      </w:r>
    </w:p>
    <w:p w14:paraId="62527028" w14:textId="32631604" w:rsidR="00416262" w:rsidRDefault="00416262" w:rsidP="00416262">
      <w:pPr>
        <w:pStyle w:val="ListParagraph"/>
        <w:numPr>
          <w:ilvl w:val="1"/>
          <w:numId w:val="26"/>
        </w:numPr>
        <w:spacing w:before="120" w:after="60" w:line="276" w:lineRule="auto"/>
        <w:rPr>
          <w:sz w:val="21"/>
          <w:szCs w:val="21"/>
        </w:rPr>
      </w:pPr>
      <w:r>
        <w:rPr>
          <w:sz w:val="21"/>
          <w:szCs w:val="21"/>
        </w:rPr>
        <w:t xml:space="preserve">No gap </w:t>
      </w:r>
      <w:proofErr w:type="gramStart"/>
      <w:r>
        <w:rPr>
          <w:sz w:val="21"/>
          <w:szCs w:val="21"/>
        </w:rPr>
        <w:t>requirement;</w:t>
      </w:r>
      <w:proofErr w:type="gramEnd"/>
    </w:p>
    <w:p w14:paraId="42B17475" w14:textId="1E505379" w:rsidR="00416262" w:rsidRDefault="00416262" w:rsidP="00416262">
      <w:pPr>
        <w:pStyle w:val="ListParagraph"/>
        <w:numPr>
          <w:ilvl w:val="1"/>
          <w:numId w:val="26"/>
        </w:numPr>
        <w:spacing w:before="120" w:after="60" w:line="276" w:lineRule="auto"/>
        <w:rPr>
          <w:sz w:val="21"/>
          <w:szCs w:val="21"/>
        </w:rPr>
      </w:pPr>
      <w:r>
        <w:rPr>
          <w:sz w:val="21"/>
          <w:szCs w:val="21"/>
        </w:rPr>
        <w:t xml:space="preserve">Excesses can </w:t>
      </w:r>
      <w:proofErr w:type="gramStart"/>
      <w:r>
        <w:rPr>
          <w:sz w:val="21"/>
          <w:szCs w:val="21"/>
        </w:rPr>
        <w:t>apply;</w:t>
      </w:r>
      <w:proofErr w:type="gramEnd"/>
    </w:p>
    <w:p w14:paraId="33D2F3D1" w14:textId="0A9F0F65" w:rsidR="00416262" w:rsidRDefault="00416262" w:rsidP="00416262">
      <w:pPr>
        <w:pStyle w:val="ListParagraph"/>
        <w:numPr>
          <w:ilvl w:val="1"/>
          <w:numId w:val="26"/>
        </w:numPr>
        <w:spacing w:before="120" w:after="60" w:line="276" w:lineRule="auto"/>
        <w:rPr>
          <w:sz w:val="21"/>
          <w:szCs w:val="21"/>
        </w:rPr>
      </w:pPr>
      <w:r>
        <w:rPr>
          <w:sz w:val="21"/>
          <w:szCs w:val="21"/>
        </w:rPr>
        <w:t xml:space="preserve">Contracting for GUIs permitted and overrides bundle </w:t>
      </w:r>
      <w:proofErr w:type="gramStart"/>
      <w:r>
        <w:rPr>
          <w:sz w:val="21"/>
          <w:szCs w:val="21"/>
        </w:rPr>
        <w:t>benefits;</w:t>
      </w:r>
      <w:proofErr w:type="gramEnd"/>
    </w:p>
    <w:p w14:paraId="6067C39E" w14:textId="21361ABC" w:rsidR="00416262" w:rsidRDefault="00416262" w:rsidP="00416262">
      <w:pPr>
        <w:pStyle w:val="ListParagraph"/>
        <w:numPr>
          <w:ilvl w:val="1"/>
          <w:numId w:val="26"/>
        </w:numPr>
        <w:spacing w:before="120" w:after="60" w:line="276" w:lineRule="auto"/>
        <w:rPr>
          <w:sz w:val="21"/>
          <w:szCs w:val="21"/>
        </w:rPr>
      </w:pPr>
      <w:r>
        <w:rPr>
          <w:sz w:val="21"/>
          <w:szCs w:val="21"/>
        </w:rPr>
        <w:t>Transitional arrangement for two years commencing 1 July 2023; and</w:t>
      </w:r>
    </w:p>
    <w:p w14:paraId="33AC61A9" w14:textId="65DBD772" w:rsidR="00416262" w:rsidRDefault="00416262" w:rsidP="00416262">
      <w:pPr>
        <w:pStyle w:val="ListParagraph"/>
        <w:numPr>
          <w:ilvl w:val="1"/>
          <w:numId w:val="26"/>
        </w:numPr>
        <w:spacing w:before="120" w:after="60" w:line="276" w:lineRule="auto"/>
        <w:rPr>
          <w:sz w:val="21"/>
          <w:szCs w:val="21"/>
        </w:rPr>
      </w:pPr>
      <w:r>
        <w:rPr>
          <w:sz w:val="21"/>
          <w:szCs w:val="21"/>
        </w:rPr>
        <w:t>Bundle benefits fixed for transition period.</w:t>
      </w:r>
    </w:p>
    <w:p w14:paraId="3DE52D05" w14:textId="4C4AB90A" w:rsidR="00416262" w:rsidRDefault="00416262" w:rsidP="00416262">
      <w:pPr>
        <w:pStyle w:val="ListParagraph"/>
        <w:numPr>
          <w:ilvl w:val="0"/>
          <w:numId w:val="26"/>
        </w:numPr>
        <w:spacing w:before="120" w:after="60" w:line="276" w:lineRule="auto"/>
        <w:rPr>
          <w:sz w:val="21"/>
          <w:szCs w:val="21"/>
        </w:rPr>
      </w:pPr>
      <w:r>
        <w:rPr>
          <w:sz w:val="21"/>
          <w:szCs w:val="21"/>
        </w:rPr>
        <w:t>Defined terms:</w:t>
      </w:r>
    </w:p>
    <w:p w14:paraId="69A996F0" w14:textId="719D64EB" w:rsidR="00416262" w:rsidRDefault="00416262" w:rsidP="00416262">
      <w:pPr>
        <w:pStyle w:val="ListParagraph"/>
        <w:numPr>
          <w:ilvl w:val="1"/>
          <w:numId w:val="26"/>
        </w:numPr>
        <w:spacing w:before="120" w:after="60" w:line="276" w:lineRule="auto"/>
        <w:rPr>
          <w:sz w:val="21"/>
          <w:szCs w:val="21"/>
        </w:rPr>
      </w:pPr>
      <w:r>
        <w:rPr>
          <w:sz w:val="21"/>
          <w:szCs w:val="21"/>
        </w:rPr>
        <w:t>‘</w:t>
      </w:r>
      <w:proofErr w:type="gramStart"/>
      <w:r>
        <w:rPr>
          <w:sz w:val="21"/>
          <w:szCs w:val="21"/>
        </w:rPr>
        <w:t>episode</w:t>
      </w:r>
      <w:proofErr w:type="gramEnd"/>
      <w:r>
        <w:rPr>
          <w:sz w:val="21"/>
          <w:szCs w:val="21"/>
        </w:rPr>
        <w:t xml:space="preserve"> of admitted care’; and</w:t>
      </w:r>
    </w:p>
    <w:p w14:paraId="3E357565" w14:textId="0837C870" w:rsidR="00416262" w:rsidRDefault="00416262" w:rsidP="00416262">
      <w:pPr>
        <w:pStyle w:val="ListParagraph"/>
        <w:numPr>
          <w:ilvl w:val="1"/>
          <w:numId w:val="26"/>
        </w:numPr>
        <w:spacing w:before="120" w:after="60" w:line="276" w:lineRule="auto"/>
        <w:rPr>
          <w:sz w:val="21"/>
          <w:szCs w:val="21"/>
        </w:rPr>
      </w:pPr>
      <w:r>
        <w:rPr>
          <w:sz w:val="21"/>
          <w:szCs w:val="21"/>
        </w:rPr>
        <w:t>Product class descriptions</w:t>
      </w:r>
    </w:p>
    <w:p w14:paraId="2DC259C0" w14:textId="248213B8" w:rsidR="00B16A04" w:rsidRPr="00F01DDE" w:rsidRDefault="00416262" w:rsidP="00FD72BF">
      <w:pPr>
        <w:pStyle w:val="ListParagraph"/>
        <w:numPr>
          <w:ilvl w:val="0"/>
          <w:numId w:val="26"/>
        </w:numPr>
        <w:spacing w:before="120" w:after="60" w:line="276" w:lineRule="auto"/>
        <w:rPr>
          <w:sz w:val="21"/>
          <w:szCs w:val="21"/>
        </w:rPr>
      </w:pPr>
      <w:r>
        <w:rPr>
          <w:sz w:val="21"/>
          <w:szCs w:val="21"/>
        </w:rPr>
        <w:t xml:space="preserve">The </w:t>
      </w:r>
      <w:r w:rsidR="00B16A04">
        <w:rPr>
          <w:sz w:val="21"/>
          <w:szCs w:val="21"/>
        </w:rPr>
        <w:t xml:space="preserve">business readiness implications </w:t>
      </w:r>
      <w:r>
        <w:rPr>
          <w:sz w:val="21"/>
          <w:szCs w:val="21"/>
        </w:rPr>
        <w:t xml:space="preserve">of </w:t>
      </w:r>
      <w:r w:rsidR="00B16A04">
        <w:rPr>
          <w:sz w:val="21"/>
          <w:szCs w:val="21"/>
        </w:rPr>
        <w:t>implementing the new bundling arrangements effective 1</w:t>
      </w:r>
      <w:r w:rsidR="00586010">
        <w:rPr>
          <w:sz w:val="21"/>
          <w:szCs w:val="21"/>
        </w:rPr>
        <w:t> </w:t>
      </w:r>
      <w:r w:rsidR="00B16A04">
        <w:rPr>
          <w:sz w:val="21"/>
          <w:szCs w:val="21"/>
        </w:rPr>
        <w:t>July 2023.</w:t>
      </w:r>
    </w:p>
    <w:p w14:paraId="7E6057E1" w14:textId="073C3322" w:rsidR="000A48CC" w:rsidRPr="000A48CC" w:rsidRDefault="00416262" w:rsidP="00DB4913">
      <w:pPr>
        <w:pStyle w:val="Paragraphtext"/>
        <w:rPr>
          <w:szCs w:val="21"/>
        </w:rPr>
      </w:pPr>
      <w:r>
        <w:t xml:space="preserve">Submissions are due through the Consultation Hub by </w:t>
      </w:r>
      <w:r w:rsidR="000A48CC">
        <w:t xml:space="preserve">COB </w:t>
      </w:r>
      <w:r w:rsidR="00C14F79">
        <w:t xml:space="preserve">27 March </w:t>
      </w:r>
      <w:r w:rsidR="000A48CC">
        <w:t>2023.</w:t>
      </w:r>
    </w:p>
    <w:sectPr w:rsidR="000A48CC" w:rsidRPr="000A48CC" w:rsidSect="003652C6">
      <w:pgSz w:w="11906" w:h="1683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D58DB" w14:textId="77777777" w:rsidR="001019F2" w:rsidRDefault="001019F2" w:rsidP="006168AD">
      <w:r>
        <w:separator/>
      </w:r>
    </w:p>
  </w:endnote>
  <w:endnote w:type="continuationSeparator" w:id="0">
    <w:p w14:paraId="03456EDE" w14:textId="77777777" w:rsidR="001019F2" w:rsidRDefault="001019F2" w:rsidP="006168AD">
      <w:r>
        <w:continuationSeparator/>
      </w:r>
    </w:p>
  </w:endnote>
  <w:endnote w:type="continuationNotice" w:id="1">
    <w:p w14:paraId="35E6156D" w14:textId="77777777" w:rsidR="001019F2" w:rsidRDefault="001019F2" w:rsidP="00B876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C7F24" w14:textId="77777777" w:rsidR="009A382A" w:rsidRDefault="009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2385460"/>
      <w:docPartObj>
        <w:docPartGallery w:val="Page Numbers (Bottom of Page)"/>
        <w:docPartUnique/>
      </w:docPartObj>
    </w:sdtPr>
    <w:sdtEndPr>
      <w:rPr>
        <w:noProof/>
      </w:rPr>
    </w:sdtEndPr>
    <w:sdtContent>
      <w:p w14:paraId="535B248B" w14:textId="1069969B" w:rsidR="005402FD" w:rsidRPr="009F7366" w:rsidRDefault="005402FD">
        <w:pPr>
          <w:pStyle w:val="Footer"/>
          <w:jc w:val="right"/>
        </w:pPr>
        <w:r w:rsidRPr="009F7366">
          <w:fldChar w:fldCharType="begin"/>
        </w:r>
        <w:r w:rsidRPr="009F7366">
          <w:instrText xml:space="preserve"> PAGE   \* MERGEFORMAT </w:instrText>
        </w:r>
        <w:r w:rsidRPr="009F7366">
          <w:fldChar w:fldCharType="separate"/>
        </w:r>
        <w:r w:rsidRPr="009F7366">
          <w:rPr>
            <w:noProof/>
          </w:rPr>
          <w:t>2</w:t>
        </w:r>
        <w:r w:rsidRPr="009F7366">
          <w:rPr>
            <w:noProof/>
          </w:rPr>
          <w:fldChar w:fldCharType="end"/>
        </w:r>
      </w:p>
    </w:sdtContent>
  </w:sdt>
  <w:p w14:paraId="1B0D5984" w14:textId="003B5377" w:rsidR="005402FD" w:rsidRPr="000226F6" w:rsidRDefault="009F7366">
    <w:pPr>
      <w:pStyle w:val="Footer"/>
      <w:rPr>
        <w:iCs/>
      </w:rPr>
    </w:pPr>
    <w:r w:rsidRPr="009F7366">
      <w:t>PL</w:t>
    </w:r>
    <w:r w:rsidR="005402FD" w:rsidRPr="009F7366">
      <w:t xml:space="preserve"> Reforms – Consultation Paper N</w:t>
    </w:r>
    <w:r w:rsidR="005402FD" w:rsidRPr="009F7366">
      <w:rPr>
        <w:vertAlign w:val="superscript"/>
      </w:rPr>
      <w:t>o</w:t>
    </w:r>
    <w:r w:rsidR="005402FD" w:rsidRPr="009F7366">
      <w:t xml:space="preserve"> </w:t>
    </w:r>
    <w:r w:rsidR="00965DDA">
      <w:t>5</w:t>
    </w:r>
    <w:r w:rsidR="005402FD" w:rsidRPr="009F7366">
      <w:t xml:space="preserve"> </w:t>
    </w:r>
    <w:r w:rsidR="000226F6">
      <w:t>–</w:t>
    </w:r>
    <w:r w:rsidR="005402FD">
      <w:t xml:space="preserve"> </w:t>
    </w:r>
    <w:r w:rsidR="000226F6">
      <w:t>Prostheses List –</w:t>
    </w:r>
    <w:r w:rsidR="006E7D0F" w:rsidRPr="006E7D0F">
      <w:t xml:space="preserve"> </w:t>
    </w:r>
    <w:r w:rsidR="00965DDA">
      <w:t>Bundling of Benefits for General Use items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9BE7E" w14:textId="77777777" w:rsidR="009A382A" w:rsidRDefault="009A3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05CB" w14:textId="77777777" w:rsidR="001019F2" w:rsidRDefault="001019F2" w:rsidP="006168AD">
      <w:r>
        <w:separator/>
      </w:r>
    </w:p>
  </w:footnote>
  <w:footnote w:type="continuationSeparator" w:id="0">
    <w:p w14:paraId="5B9B77A1" w14:textId="77777777" w:rsidR="001019F2" w:rsidRDefault="001019F2" w:rsidP="006168AD">
      <w:r>
        <w:continuationSeparator/>
      </w:r>
    </w:p>
  </w:footnote>
  <w:footnote w:type="continuationNotice" w:id="1">
    <w:p w14:paraId="737B3312" w14:textId="77777777" w:rsidR="001019F2" w:rsidRDefault="001019F2" w:rsidP="00B876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36A6" w14:textId="77777777" w:rsidR="009A382A" w:rsidRDefault="009A3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7D85" w14:textId="77777777" w:rsidR="009A382A" w:rsidRDefault="009A3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AFE48" w14:textId="7421DBF3" w:rsidR="005402FD" w:rsidRDefault="0052132E">
    <w:pPr>
      <w:pStyle w:val="Header"/>
    </w:pPr>
    <w:r>
      <w:rPr>
        <w:noProof/>
        <w:lang w:eastAsia="en-AU"/>
      </w:rPr>
      <w:drawing>
        <wp:anchor distT="0" distB="0" distL="114300" distR="114300" simplePos="0" relativeHeight="251659264" behindDoc="1" locked="0" layoutInCell="1" allowOverlap="1" wp14:anchorId="7321235D" wp14:editId="47B538C9">
          <wp:simplePos x="0" y="0"/>
          <wp:positionH relativeFrom="page">
            <wp:posOffset>6985</wp:posOffset>
          </wp:positionH>
          <wp:positionV relativeFrom="page">
            <wp:posOffset>3824605</wp:posOffset>
          </wp:positionV>
          <wp:extent cx="7559040" cy="6677025"/>
          <wp:effectExtent l="0" t="0" r="3810" b="9525"/>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 cstate="print">
                    <a:extLst>
                      <a:ext uri="{28A0092B-C50C-407E-A947-70E740481C1C}">
                        <a14:useLocalDpi xmlns:a14="http://schemas.microsoft.com/office/drawing/2010/main" val="0"/>
                      </a:ext>
                    </a:extLst>
                  </a:blip>
                  <a:srcRect t="32873" b="4680"/>
                  <a:stretch/>
                </pic:blipFill>
                <pic:spPr bwMode="auto">
                  <a:xfrm>
                    <a:off x="0" y="0"/>
                    <a:ext cx="7559040" cy="6677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16D5">
      <w:rPr>
        <w:noProof/>
      </w:rPr>
      <w:drawing>
        <wp:anchor distT="0" distB="0" distL="114300" distR="114300" simplePos="0" relativeHeight="251660288" behindDoc="0" locked="0" layoutInCell="1" allowOverlap="1" wp14:anchorId="3FFCDE8E" wp14:editId="3AE9F4E5">
          <wp:simplePos x="0" y="0"/>
          <wp:positionH relativeFrom="column">
            <wp:posOffset>-814705</wp:posOffset>
          </wp:positionH>
          <wp:positionV relativeFrom="paragraph">
            <wp:posOffset>-263525</wp:posOffset>
          </wp:positionV>
          <wp:extent cx="2657475" cy="1209675"/>
          <wp:effectExtent l="0" t="0" r="9525" b="952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657475" cy="12096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F031A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1ECC26"/>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1E210A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84A8A6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93E086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D303BC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23152D"/>
    <w:multiLevelType w:val="hybridMultilevel"/>
    <w:tmpl w:val="3FA896C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03311526"/>
    <w:multiLevelType w:val="hybridMultilevel"/>
    <w:tmpl w:val="9BE888A2"/>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5F78E896"/>
    <w:lvl w:ilvl="0" w:tplc="ACE8F38E">
      <w:start w:val="1"/>
      <w:numFmt w:val="bullet"/>
      <w:pStyle w:val="ListBullet"/>
      <w:lvlText w:val=""/>
      <w:lvlJc w:val="left"/>
      <w:pPr>
        <w:ind w:left="360" w:hanging="360"/>
      </w:pPr>
      <w:rPr>
        <w:rFonts w:ascii="Symbol" w:hAnsi="Symbol" w:hint="default"/>
        <w:color w:val="auto"/>
      </w:rPr>
    </w:lvl>
    <w:lvl w:ilvl="1" w:tplc="85DE0EC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844ABF"/>
    <w:multiLevelType w:val="hybridMultilevel"/>
    <w:tmpl w:val="8DD004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4CD50FD"/>
    <w:multiLevelType w:val="hybridMultilevel"/>
    <w:tmpl w:val="2EC6E5F4"/>
    <w:lvl w:ilvl="0" w:tplc="E1921B6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6" w15:restartNumberingAfterBreak="0">
    <w:nsid w:val="478D2D73"/>
    <w:multiLevelType w:val="hybridMultilevel"/>
    <w:tmpl w:val="2F6817F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59BA7F17"/>
    <w:multiLevelType w:val="hybridMultilevel"/>
    <w:tmpl w:val="EF346308"/>
    <w:lvl w:ilvl="0" w:tplc="E96C518A">
      <w:start w:val="1"/>
      <w:numFmt w:val="bullet"/>
      <w:lvlText w:val=""/>
      <w:lvlJc w:val="left"/>
      <w:pPr>
        <w:ind w:left="360" w:hanging="360"/>
      </w:pPr>
      <w:rPr>
        <w:rFonts w:ascii="Symbol" w:hAnsi="Symbol" w:hint="default"/>
        <w:color w:val="auto"/>
      </w:rPr>
    </w:lvl>
    <w:lvl w:ilvl="1" w:tplc="D56056B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BC81D8D"/>
    <w:multiLevelType w:val="hybridMultilevel"/>
    <w:tmpl w:val="0C7EB3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CF8287E"/>
    <w:multiLevelType w:val="hybridMultilevel"/>
    <w:tmpl w:val="FE2A36DA"/>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B42D75"/>
    <w:multiLevelType w:val="hybridMultilevel"/>
    <w:tmpl w:val="88E098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9E5D47"/>
    <w:multiLevelType w:val="hybridMultilevel"/>
    <w:tmpl w:val="88CC6562"/>
    <w:lvl w:ilvl="0" w:tplc="0C09000F">
      <w:start w:val="1"/>
      <w:numFmt w:val="decimal"/>
      <w:lvlText w:val="%1."/>
      <w:lvlJc w:val="left"/>
      <w:pPr>
        <w:ind w:left="720" w:hanging="360"/>
      </w:pPr>
      <w:rPr>
        <w:rFonts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781C19B1"/>
    <w:multiLevelType w:val="hybridMultilevel"/>
    <w:tmpl w:val="9DF0914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5"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abstractNumId w:val="11"/>
  </w:num>
  <w:num w:numId="2">
    <w:abstractNumId w:val="17"/>
  </w:num>
  <w:num w:numId="3">
    <w:abstractNumId w:val="21"/>
  </w:num>
  <w:num w:numId="4">
    <w:abstractNumId w:val="9"/>
  </w:num>
  <w:num w:numId="5">
    <w:abstractNumId w:val="25"/>
  </w:num>
  <w:num w:numId="6">
    <w:abstractNumId w:val="14"/>
  </w:num>
  <w:num w:numId="7">
    <w:abstractNumId w:val="23"/>
  </w:num>
  <w:num w:numId="8">
    <w:abstractNumId w:val="18"/>
  </w:num>
  <w:num w:numId="9">
    <w:abstractNumId w:val="7"/>
  </w:num>
  <w:num w:numId="10">
    <w:abstractNumId w:val="9"/>
    <w:lvlOverride w:ilvl="0">
      <w:startOverride w:val="1"/>
    </w:lvlOverride>
  </w:num>
  <w:num w:numId="11">
    <w:abstractNumId w:val="10"/>
  </w:num>
  <w:num w:numId="12">
    <w:abstractNumId w:val="15"/>
  </w:num>
  <w:num w:numId="13">
    <w:abstractNumId w:val="19"/>
  </w:num>
  <w:num w:numId="14">
    <w:abstractNumId w:val="5"/>
  </w:num>
  <w:num w:numId="15">
    <w:abstractNumId w:val="4"/>
  </w:num>
  <w:num w:numId="16">
    <w:abstractNumId w:val="3"/>
  </w:num>
  <w:num w:numId="17">
    <w:abstractNumId w:val="2"/>
  </w:num>
  <w:num w:numId="18">
    <w:abstractNumId w:val="6"/>
  </w:num>
  <w:num w:numId="19">
    <w:abstractNumId w:val="1"/>
  </w:num>
  <w:num w:numId="20">
    <w:abstractNumId w:val="0"/>
  </w:num>
  <w:num w:numId="21">
    <w:abstractNumId w:val="12"/>
  </w:num>
  <w:num w:numId="22">
    <w:abstractNumId w:val="11"/>
  </w:num>
  <w:num w:numId="23">
    <w:abstractNumId w:val="13"/>
  </w:num>
  <w:num w:numId="24">
    <w:abstractNumId w:val="22"/>
  </w:num>
  <w:num w:numId="25">
    <w:abstractNumId w:val="20"/>
  </w:num>
  <w:num w:numId="26">
    <w:abstractNumId w:val="16"/>
  </w:num>
  <w:num w:numId="27">
    <w:abstractNumId w:val="8"/>
  </w:num>
  <w:num w:numId="28">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D"/>
    <w:rsid w:val="00000EF3"/>
    <w:rsid w:val="00001AEB"/>
    <w:rsid w:val="00005DF4"/>
    <w:rsid w:val="00016153"/>
    <w:rsid w:val="0002060E"/>
    <w:rsid w:val="000226F6"/>
    <w:rsid w:val="00036425"/>
    <w:rsid w:val="00037B08"/>
    <w:rsid w:val="00040A6B"/>
    <w:rsid w:val="00043864"/>
    <w:rsid w:val="00047E05"/>
    <w:rsid w:val="00050E67"/>
    <w:rsid w:val="0005748F"/>
    <w:rsid w:val="00057CB3"/>
    <w:rsid w:val="00060853"/>
    <w:rsid w:val="00065562"/>
    <w:rsid w:val="0006567B"/>
    <w:rsid w:val="0007364D"/>
    <w:rsid w:val="00082B75"/>
    <w:rsid w:val="00083825"/>
    <w:rsid w:val="00083AE4"/>
    <w:rsid w:val="00090151"/>
    <w:rsid w:val="000A0617"/>
    <w:rsid w:val="000A1D80"/>
    <w:rsid w:val="000A48CC"/>
    <w:rsid w:val="000A6D58"/>
    <w:rsid w:val="000B5CBE"/>
    <w:rsid w:val="000C1803"/>
    <w:rsid w:val="000C1E25"/>
    <w:rsid w:val="000D4E16"/>
    <w:rsid w:val="000D554E"/>
    <w:rsid w:val="000E3CDD"/>
    <w:rsid w:val="000F37DB"/>
    <w:rsid w:val="000F481B"/>
    <w:rsid w:val="001019F2"/>
    <w:rsid w:val="001116D5"/>
    <w:rsid w:val="00114BC9"/>
    <w:rsid w:val="00126A53"/>
    <w:rsid w:val="00131746"/>
    <w:rsid w:val="0013584F"/>
    <w:rsid w:val="00137E4E"/>
    <w:rsid w:val="00140104"/>
    <w:rsid w:val="001413D1"/>
    <w:rsid w:val="00141BC7"/>
    <w:rsid w:val="00145D31"/>
    <w:rsid w:val="00150F1E"/>
    <w:rsid w:val="00156E60"/>
    <w:rsid w:val="001605E0"/>
    <w:rsid w:val="00163B19"/>
    <w:rsid w:val="00165C50"/>
    <w:rsid w:val="00174B9C"/>
    <w:rsid w:val="001756CF"/>
    <w:rsid w:val="00180032"/>
    <w:rsid w:val="00180A3D"/>
    <w:rsid w:val="00191200"/>
    <w:rsid w:val="001924DA"/>
    <w:rsid w:val="00192EFF"/>
    <w:rsid w:val="00194911"/>
    <w:rsid w:val="001A1CF4"/>
    <w:rsid w:val="001A2193"/>
    <w:rsid w:val="001A25B0"/>
    <w:rsid w:val="001A7988"/>
    <w:rsid w:val="001B1FC7"/>
    <w:rsid w:val="001C055C"/>
    <w:rsid w:val="001C2711"/>
    <w:rsid w:val="001D0671"/>
    <w:rsid w:val="001D2B14"/>
    <w:rsid w:val="001D4F1D"/>
    <w:rsid w:val="001E1B3D"/>
    <w:rsid w:val="001E3E97"/>
    <w:rsid w:val="001F4822"/>
    <w:rsid w:val="001F77DE"/>
    <w:rsid w:val="00202B11"/>
    <w:rsid w:val="002132D2"/>
    <w:rsid w:val="00222079"/>
    <w:rsid w:val="00226905"/>
    <w:rsid w:val="00230CF6"/>
    <w:rsid w:val="00234BC2"/>
    <w:rsid w:val="00241223"/>
    <w:rsid w:val="00255103"/>
    <w:rsid w:val="00266F60"/>
    <w:rsid w:val="00281493"/>
    <w:rsid w:val="0028431B"/>
    <w:rsid w:val="0028722A"/>
    <w:rsid w:val="00296534"/>
    <w:rsid w:val="002E1273"/>
    <w:rsid w:val="002E2328"/>
    <w:rsid w:val="002F30A5"/>
    <w:rsid w:val="002F6452"/>
    <w:rsid w:val="003032C0"/>
    <w:rsid w:val="00314402"/>
    <w:rsid w:val="00322561"/>
    <w:rsid w:val="00323BAD"/>
    <w:rsid w:val="00324B61"/>
    <w:rsid w:val="00336C83"/>
    <w:rsid w:val="00336F71"/>
    <w:rsid w:val="003408AD"/>
    <w:rsid w:val="00354E84"/>
    <w:rsid w:val="00356E62"/>
    <w:rsid w:val="00362FC4"/>
    <w:rsid w:val="003652C6"/>
    <w:rsid w:val="0036583E"/>
    <w:rsid w:val="003729A2"/>
    <w:rsid w:val="003B4F31"/>
    <w:rsid w:val="003B7AA9"/>
    <w:rsid w:val="003C3787"/>
    <w:rsid w:val="003C6A17"/>
    <w:rsid w:val="003E210E"/>
    <w:rsid w:val="003E47E7"/>
    <w:rsid w:val="004064FD"/>
    <w:rsid w:val="004111B6"/>
    <w:rsid w:val="00411213"/>
    <w:rsid w:val="00412C11"/>
    <w:rsid w:val="00416262"/>
    <w:rsid w:val="004227A6"/>
    <w:rsid w:val="00422813"/>
    <w:rsid w:val="00431380"/>
    <w:rsid w:val="00435A1E"/>
    <w:rsid w:val="00442685"/>
    <w:rsid w:val="00443547"/>
    <w:rsid w:val="004443B8"/>
    <w:rsid w:val="00446BA8"/>
    <w:rsid w:val="0044740F"/>
    <w:rsid w:val="00452663"/>
    <w:rsid w:val="00454838"/>
    <w:rsid w:val="00454FCA"/>
    <w:rsid w:val="0047378A"/>
    <w:rsid w:val="004822D9"/>
    <w:rsid w:val="00482342"/>
    <w:rsid w:val="00482510"/>
    <w:rsid w:val="00484FCA"/>
    <w:rsid w:val="004902B0"/>
    <w:rsid w:val="004A6B54"/>
    <w:rsid w:val="004B76B6"/>
    <w:rsid w:val="004B7F12"/>
    <w:rsid w:val="004C5B82"/>
    <w:rsid w:val="004D11ED"/>
    <w:rsid w:val="004F532B"/>
    <w:rsid w:val="004F6888"/>
    <w:rsid w:val="0050011C"/>
    <w:rsid w:val="00511354"/>
    <w:rsid w:val="00512A32"/>
    <w:rsid w:val="005209AD"/>
    <w:rsid w:val="0052132E"/>
    <w:rsid w:val="00525E16"/>
    <w:rsid w:val="005402FD"/>
    <w:rsid w:val="00541549"/>
    <w:rsid w:val="005449DB"/>
    <w:rsid w:val="00545282"/>
    <w:rsid w:val="00545392"/>
    <w:rsid w:val="0056240E"/>
    <w:rsid w:val="0056539B"/>
    <w:rsid w:val="00571BF5"/>
    <w:rsid w:val="00580886"/>
    <w:rsid w:val="0058206F"/>
    <w:rsid w:val="00582E35"/>
    <w:rsid w:val="00585F16"/>
    <w:rsid w:val="00586010"/>
    <w:rsid w:val="00596855"/>
    <w:rsid w:val="00597B09"/>
    <w:rsid w:val="005A2200"/>
    <w:rsid w:val="005A2767"/>
    <w:rsid w:val="005A32AB"/>
    <w:rsid w:val="005B3616"/>
    <w:rsid w:val="005C7DF8"/>
    <w:rsid w:val="005E17D8"/>
    <w:rsid w:val="005E2220"/>
    <w:rsid w:val="005E3B05"/>
    <w:rsid w:val="005E5688"/>
    <w:rsid w:val="005F3DD0"/>
    <w:rsid w:val="005F6D99"/>
    <w:rsid w:val="00602105"/>
    <w:rsid w:val="006168AD"/>
    <w:rsid w:val="006219FD"/>
    <w:rsid w:val="00636470"/>
    <w:rsid w:val="00642BEF"/>
    <w:rsid w:val="0064485C"/>
    <w:rsid w:val="00650E03"/>
    <w:rsid w:val="00651D5F"/>
    <w:rsid w:val="0065228B"/>
    <w:rsid w:val="00653FD0"/>
    <w:rsid w:val="00654430"/>
    <w:rsid w:val="00655193"/>
    <w:rsid w:val="00661D90"/>
    <w:rsid w:val="006739D0"/>
    <w:rsid w:val="00676814"/>
    <w:rsid w:val="006801F2"/>
    <w:rsid w:val="00680FA8"/>
    <w:rsid w:val="0068472F"/>
    <w:rsid w:val="00690D4B"/>
    <w:rsid w:val="00692810"/>
    <w:rsid w:val="00694ED5"/>
    <w:rsid w:val="006A3B1F"/>
    <w:rsid w:val="006A610F"/>
    <w:rsid w:val="006C127C"/>
    <w:rsid w:val="006C36BF"/>
    <w:rsid w:val="006D3EFB"/>
    <w:rsid w:val="006D4C9E"/>
    <w:rsid w:val="006E1FA0"/>
    <w:rsid w:val="006E3F89"/>
    <w:rsid w:val="006E791D"/>
    <w:rsid w:val="006E7D0F"/>
    <w:rsid w:val="00701DCA"/>
    <w:rsid w:val="00731498"/>
    <w:rsid w:val="0074685F"/>
    <w:rsid w:val="00750800"/>
    <w:rsid w:val="007510EF"/>
    <w:rsid w:val="00757799"/>
    <w:rsid w:val="0077313E"/>
    <w:rsid w:val="00790234"/>
    <w:rsid w:val="00792239"/>
    <w:rsid w:val="00792800"/>
    <w:rsid w:val="007A2FEF"/>
    <w:rsid w:val="007B4CD8"/>
    <w:rsid w:val="007B52F4"/>
    <w:rsid w:val="007B78E0"/>
    <w:rsid w:val="007D5063"/>
    <w:rsid w:val="007D6CD3"/>
    <w:rsid w:val="007F15C6"/>
    <w:rsid w:val="007F4A32"/>
    <w:rsid w:val="008169C8"/>
    <w:rsid w:val="008171DD"/>
    <w:rsid w:val="00824AD4"/>
    <w:rsid w:val="00831665"/>
    <w:rsid w:val="00836363"/>
    <w:rsid w:val="00837F8B"/>
    <w:rsid w:val="00844331"/>
    <w:rsid w:val="008536F7"/>
    <w:rsid w:val="0086339A"/>
    <w:rsid w:val="00866BEC"/>
    <w:rsid w:val="0087083B"/>
    <w:rsid w:val="00874155"/>
    <w:rsid w:val="00876DB2"/>
    <w:rsid w:val="00880771"/>
    <w:rsid w:val="00883E13"/>
    <w:rsid w:val="00893B5F"/>
    <w:rsid w:val="008A5DDA"/>
    <w:rsid w:val="008B040B"/>
    <w:rsid w:val="008B768C"/>
    <w:rsid w:val="008C7533"/>
    <w:rsid w:val="008D0706"/>
    <w:rsid w:val="008D0FB6"/>
    <w:rsid w:val="008E57BF"/>
    <w:rsid w:val="008F0B67"/>
    <w:rsid w:val="00901EC8"/>
    <w:rsid w:val="00903A55"/>
    <w:rsid w:val="0092671E"/>
    <w:rsid w:val="00930E6D"/>
    <w:rsid w:val="009420BD"/>
    <w:rsid w:val="00942A97"/>
    <w:rsid w:val="0095062D"/>
    <w:rsid w:val="00950FE8"/>
    <w:rsid w:val="00953274"/>
    <w:rsid w:val="00960F8F"/>
    <w:rsid w:val="00960FED"/>
    <w:rsid w:val="009631A0"/>
    <w:rsid w:val="00965DDA"/>
    <w:rsid w:val="009727B1"/>
    <w:rsid w:val="00974501"/>
    <w:rsid w:val="00976083"/>
    <w:rsid w:val="00976B01"/>
    <w:rsid w:val="0097796B"/>
    <w:rsid w:val="009858D9"/>
    <w:rsid w:val="00993006"/>
    <w:rsid w:val="009A382A"/>
    <w:rsid w:val="009A615B"/>
    <w:rsid w:val="009B0650"/>
    <w:rsid w:val="009C6219"/>
    <w:rsid w:val="009C7BDC"/>
    <w:rsid w:val="009D12FB"/>
    <w:rsid w:val="009D2A2B"/>
    <w:rsid w:val="009D5054"/>
    <w:rsid w:val="009D684D"/>
    <w:rsid w:val="009D6FA5"/>
    <w:rsid w:val="009F0728"/>
    <w:rsid w:val="009F1956"/>
    <w:rsid w:val="009F70E4"/>
    <w:rsid w:val="009F7366"/>
    <w:rsid w:val="009F7DD9"/>
    <w:rsid w:val="00A116AB"/>
    <w:rsid w:val="00A13540"/>
    <w:rsid w:val="00A1460F"/>
    <w:rsid w:val="00A150B0"/>
    <w:rsid w:val="00A2461D"/>
    <w:rsid w:val="00A2766A"/>
    <w:rsid w:val="00A27A6F"/>
    <w:rsid w:val="00A319BA"/>
    <w:rsid w:val="00A32219"/>
    <w:rsid w:val="00A336C4"/>
    <w:rsid w:val="00A4107A"/>
    <w:rsid w:val="00A46E50"/>
    <w:rsid w:val="00A5542B"/>
    <w:rsid w:val="00A612C5"/>
    <w:rsid w:val="00A6300F"/>
    <w:rsid w:val="00A67EC3"/>
    <w:rsid w:val="00A752D7"/>
    <w:rsid w:val="00A860B6"/>
    <w:rsid w:val="00A93B97"/>
    <w:rsid w:val="00AA242E"/>
    <w:rsid w:val="00AA7291"/>
    <w:rsid w:val="00AB6D38"/>
    <w:rsid w:val="00AB77D4"/>
    <w:rsid w:val="00AC1148"/>
    <w:rsid w:val="00AC2110"/>
    <w:rsid w:val="00AC52F3"/>
    <w:rsid w:val="00AD058B"/>
    <w:rsid w:val="00AD644A"/>
    <w:rsid w:val="00B01C6E"/>
    <w:rsid w:val="00B05F53"/>
    <w:rsid w:val="00B07304"/>
    <w:rsid w:val="00B16A04"/>
    <w:rsid w:val="00B276B5"/>
    <w:rsid w:val="00B357C9"/>
    <w:rsid w:val="00B35DBC"/>
    <w:rsid w:val="00B4401E"/>
    <w:rsid w:val="00B442DA"/>
    <w:rsid w:val="00B56A81"/>
    <w:rsid w:val="00B648ED"/>
    <w:rsid w:val="00B8227E"/>
    <w:rsid w:val="00B82BAF"/>
    <w:rsid w:val="00B87640"/>
    <w:rsid w:val="00B90F14"/>
    <w:rsid w:val="00BA3FF4"/>
    <w:rsid w:val="00BC0EDD"/>
    <w:rsid w:val="00BC13E9"/>
    <w:rsid w:val="00BC35EC"/>
    <w:rsid w:val="00BC6E02"/>
    <w:rsid w:val="00BD4C00"/>
    <w:rsid w:val="00BD6D8B"/>
    <w:rsid w:val="00BF07FA"/>
    <w:rsid w:val="00BF5536"/>
    <w:rsid w:val="00C0589F"/>
    <w:rsid w:val="00C06CAC"/>
    <w:rsid w:val="00C14F79"/>
    <w:rsid w:val="00C1660F"/>
    <w:rsid w:val="00C16DD6"/>
    <w:rsid w:val="00C21816"/>
    <w:rsid w:val="00C2284C"/>
    <w:rsid w:val="00C271E9"/>
    <w:rsid w:val="00C27C93"/>
    <w:rsid w:val="00C36807"/>
    <w:rsid w:val="00C40B0E"/>
    <w:rsid w:val="00C4228C"/>
    <w:rsid w:val="00C42359"/>
    <w:rsid w:val="00C648A3"/>
    <w:rsid w:val="00C71461"/>
    <w:rsid w:val="00C83AC9"/>
    <w:rsid w:val="00C83CD2"/>
    <w:rsid w:val="00C86FBB"/>
    <w:rsid w:val="00CA1100"/>
    <w:rsid w:val="00CB71D8"/>
    <w:rsid w:val="00CD36DA"/>
    <w:rsid w:val="00CD71D5"/>
    <w:rsid w:val="00CD793A"/>
    <w:rsid w:val="00CF42B8"/>
    <w:rsid w:val="00D07E13"/>
    <w:rsid w:val="00D12CA8"/>
    <w:rsid w:val="00D14CA3"/>
    <w:rsid w:val="00D3088E"/>
    <w:rsid w:val="00D32E10"/>
    <w:rsid w:val="00D41F1D"/>
    <w:rsid w:val="00D427D7"/>
    <w:rsid w:val="00D5131B"/>
    <w:rsid w:val="00D54B2D"/>
    <w:rsid w:val="00D55A55"/>
    <w:rsid w:val="00D56B13"/>
    <w:rsid w:val="00D61D4C"/>
    <w:rsid w:val="00D62B22"/>
    <w:rsid w:val="00D66800"/>
    <w:rsid w:val="00D713C4"/>
    <w:rsid w:val="00D759CF"/>
    <w:rsid w:val="00D77B06"/>
    <w:rsid w:val="00D81A29"/>
    <w:rsid w:val="00DA025B"/>
    <w:rsid w:val="00DA2CC0"/>
    <w:rsid w:val="00DB4913"/>
    <w:rsid w:val="00DB5210"/>
    <w:rsid w:val="00DD0CCB"/>
    <w:rsid w:val="00DD4496"/>
    <w:rsid w:val="00DD4535"/>
    <w:rsid w:val="00DD7F7A"/>
    <w:rsid w:val="00DF0345"/>
    <w:rsid w:val="00DF16DB"/>
    <w:rsid w:val="00DF30A7"/>
    <w:rsid w:val="00DF54EB"/>
    <w:rsid w:val="00E01386"/>
    <w:rsid w:val="00E0227D"/>
    <w:rsid w:val="00E0712C"/>
    <w:rsid w:val="00E11254"/>
    <w:rsid w:val="00E159CB"/>
    <w:rsid w:val="00E17597"/>
    <w:rsid w:val="00E2189C"/>
    <w:rsid w:val="00E24393"/>
    <w:rsid w:val="00E26710"/>
    <w:rsid w:val="00E301E3"/>
    <w:rsid w:val="00E331D8"/>
    <w:rsid w:val="00E37ECF"/>
    <w:rsid w:val="00E4349A"/>
    <w:rsid w:val="00E445FE"/>
    <w:rsid w:val="00E44E1F"/>
    <w:rsid w:val="00E57AAC"/>
    <w:rsid w:val="00E64B0B"/>
    <w:rsid w:val="00E65AF2"/>
    <w:rsid w:val="00E71255"/>
    <w:rsid w:val="00E71270"/>
    <w:rsid w:val="00E766AF"/>
    <w:rsid w:val="00E842EC"/>
    <w:rsid w:val="00E866D8"/>
    <w:rsid w:val="00E8735D"/>
    <w:rsid w:val="00E93B83"/>
    <w:rsid w:val="00EB1C3B"/>
    <w:rsid w:val="00EC44C2"/>
    <w:rsid w:val="00EC7B44"/>
    <w:rsid w:val="00EC7DB8"/>
    <w:rsid w:val="00ED70D9"/>
    <w:rsid w:val="00EE3AF1"/>
    <w:rsid w:val="00EE5DC1"/>
    <w:rsid w:val="00EF4E39"/>
    <w:rsid w:val="00F01DDE"/>
    <w:rsid w:val="00F07179"/>
    <w:rsid w:val="00F131E5"/>
    <w:rsid w:val="00F168A8"/>
    <w:rsid w:val="00F30FED"/>
    <w:rsid w:val="00F3321A"/>
    <w:rsid w:val="00F51D0A"/>
    <w:rsid w:val="00F56306"/>
    <w:rsid w:val="00F63884"/>
    <w:rsid w:val="00F641C1"/>
    <w:rsid w:val="00F808BD"/>
    <w:rsid w:val="00F82B90"/>
    <w:rsid w:val="00F82D31"/>
    <w:rsid w:val="00F837C7"/>
    <w:rsid w:val="00F87CBE"/>
    <w:rsid w:val="00F92F8D"/>
    <w:rsid w:val="00F95D0C"/>
    <w:rsid w:val="00FA5D4E"/>
    <w:rsid w:val="00FB0A5A"/>
    <w:rsid w:val="00FB26AB"/>
    <w:rsid w:val="00FB2858"/>
    <w:rsid w:val="00FC058E"/>
    <w:rsid w:val="00FC1413"/>
    <w:rsid w:val="00FC5AD4"/>
    <w:rsid w:val="00FD72BF"/>
    <w:rsid w:val="00FD7EEA"/>
    <w:rsid w:val="00FE0BC2"/>
    <w:rsid w:val="00FE2A19"/>
    <w:rsid w:val="00FE7D98"/>
    <w:rsid w:val="00FF30C3"/>
    <w:rsid w:val="00FF461C"/>
    <w:rsid w:val="00FF670C"/>
    <w:rsid w:val="00FF7F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5E356"/>
  <w15:chartTrackingRefBased/>
  <w15:docId w15:val="{D37B15A8-27CB-4571-B5EF-097B47E92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iPriority="0" w:unhideWhenUsed="1"/>
    <w:lsdException w:name="Table Colorful 1" w:semiHidden="1" w:unhideWhenUsed="1"/>
    <w:lsdException w:name="Table Colorful 2" w:semiHidden="1"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0"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42DA"/>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5E17D8"/>
    <w:pPr>
      <w:keepNext/>
      <w:spacing w:before="240" w:after="60"/>
      <w:outlineLvl w:val="0"/>
    </w:pPr>
    <w:rPr>
      <w:rFonts w:cs="Arial"/>
      <w:bCs/>
      <w:color w:val="3F4A75"/>
      <w:kern w:val="28"/>
      <w:sz w:val="36"/>
      <w:szCs w:val="36"/>
    </w:rPr>
  </w:style>
  <w:style w:type="paragraph" w:styleId="Heading2">
    <w:name w:val="heading 2"/>
    <w:next w:val="Paragraphtext"/>
    <w:link w:val="Heading2Char"/>
    <w:qFormat/>
    <w:rsid w:val="004227A6"/>
    <w:pPr>
      <w:keepNext/>
      <w:spacing w:before="360" w:after="60" w:line="240" w:lineRule="auto"/>
      <w:outlineLvl w:val="1"/>
    </w:pPr>
    <w:rPr>
      <w:rFonts w:ascii="Arial" w:eastAsia="Times New Roman" w:hAnsi="Arial" w:cs="Arial"/>
      <w:b/>
      <w:bCs/>
      <w:iCs/>
      <w:color w:val="358189"/>
      <w:sz w:val="32"/>
      <w:szCs w:val="28"/>
    </w:rPr>
  </w:style>
  <w:style w:type="paragraph" w:styleId="Heading3">
    <w:name w:val="heading 3"/>
    <w:next w:val="Normal"/>
    <w:link w:val="Heading3Char"/>
    <w:qFormat/>
    <w:rsid w:val="005E17D8"/>
    <w:pPr>
      <w:keepNext/>
      <w:spacing w:before="180" w:after="60" w:line="240" w:lineRule="auto"/>
      <w:outlineLvl w:val="2"/>
    </w:pPr>
    <w:rPr>
      <w:rFonts w:ascii="Arial" w:eastAsia="Times New Roman" w:hAnsi="Arial" w:cs="Arial"/>
      <w:bCs/>
      <w:color w:val="358189"/>
      <w:sz w:val="28"/>
      <w:szCs w:val="26"/>
    </w:rPr>
  </w:style>
  <w:style w:type="paragraph" w:styleId="Heading4">
    <w:name w:val="heading 4"/>
    <w:basedOn w:val="Normal"/>
    <w:next w:val="Normal"/>
    <w:link w:val="Heading4Char"/>
    <w:qFormat/>
    <w:rsid w:val="005E17D8"/>
    <w:pPr>
      <w:keepNext/>
      <w:spacing w:before="240" w:after="60"/>
      <w:outlineLvl w:val="3"/>
    </w:pPr>
    <w:rPr>
      <w:b/>
      <w:bCs/>
      <w:i/>
      <w:color w:val="414141"/>
      <w:sz w:val="24"/>
      <w:szCs w:val="28"/>
    </w:rPr>
  </w:style>
  <w:style w:type="paragraph" w:styleId="Heading5">
    <w:name w:val="heading 5"/>
    <w:basedOn w:val="Normal"/>
    <w:next w:val="Normal"/>
    <w:link w:val="Heading5Char"/>
    <w:rsid w:val="005E17D8"/>
    <w:pPr>
      <w:keepNext/>
      <w:spacing w:before="240" w:after="60"/>
      <w:outlineLvl w:val="4"/>
    </w:pPr>
    <w:rPr>
      <w:b/>
      <w:bCs/>
      <w:iCs/>
      <w:szCs w:val="26"/>
    </w:rPr>
  </w:style>
  <w:style w:type="paragraph" w:styleId="Heading6">
    <w:name w:val="heading 6"/>
    <w:basedOn w:val="Normal"/>
    <w:next w:val="Normal"/>
    <w:link w:val="Heading6Char"/>
    <w:rsid w:val="004227A6"/>
    <w:pPr>
      <w:keepNext/>
      <w:spacing w:before="240" w:after="60" w:line="259" w:lineRule="auto"/>
      <w:outlineLvl w:val="5"/>
    </w:pPr>
    <w:rPr>
      <w:rFonts w:asciiTheme="minorHAnsi" w:eastAsiaTheme="minorHAnsi" w:hAnsiTheme="minorHAnsi" w:cstheme="minorBidi"/>
      <w:b/>
      <w:bCs/>
      <w: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80886"/>
    <w:rPr>
      <w:rFonts w:ascii="Arial" w:eastAsia="Times New Roman" w:hAnsi="Arial" w:cs="Arial"/>
      <w:b/>
      <w:bCs/>
      <w:iCs/>
      <w:color w:val="358189"/>
      <w:sz w:val="32"/>
      <w:szCs w:val="28"/>
    </w:rPr>
  </w:style>
  <w:style w:type="character" w:customStyle="1" w:styleId="Heading3Char">
    <w:name w:val="Heading 3 Char"/>
    <w:basedOn w:val="DefaultParagraphFont"/>
    <w:link w:val="Heading3"/>
    <w:rsid w:val="00866BEC"/>
    <w:rPr>
      <w:rFonts w:ascii="Arial" w:eastAsia="Times New Roman" w:hAnsi="Arial" w:cs="Arial"/>
      <w:bCs/>
      <w:color w:val="358189"/>
      <w:sz w:val="28"/>
      <w:szCs w:val="26"/>
    </w:rPr>
  </w:style>
  <w:style w:type="paragraph" w:customStyle="1" w:styleId="Paragraphtext">
    <w:name w:val="Paragraph text"/>
    <w:basedOn w:val="Normal"/>
    <w:qFormat/>
    <w:rsid w:val="00191200"/>
    <w:pPr>
      <w:spacing w:before="120" w:after="60" w:line="276" w:lineRule="auto"/>
    </w:pPr>
    <w:rPr>
      <w:rFonts w:eastAsiaTheme="minorHAnsi" w:cstheme="minorBidi"/>
      <w:color w:val="000000" w:themeColor="text1"/>
      <w:sz w:val="21"/>
      <w:szCs w:val="22"/>
    </w:rPr>
  </w:style>
  <w:style w:type="paragraph" w:styleId="Subtitle">
    <w:name w:val="Subtitle"/>
    <w:next w:val="Normal"/>
    <w:link w:val="SubtitleChar"/>
    <w:qFormat/>
    <w:rsid w:val="005E17D8"/>
    <w:pPr>
      <w:numPr>
        <w:ilvl w:val="1"/>
      </w:numPr>
      <w:spacing w:before="120" w:after="60" w:line="240" w:lineRule="auto"/>
    </w:pPr>
    <w:rPr>
      <w:rFonts w:ascii="Arial" w:eastAsiaTheme="majorEastAsia" w:hAnsi="Arial" w:cstheme="majorBidi"/>
      <w:iCs/>
      <w:color w:val="3F4A75"/>
      <w:spacing w:val="15"/>
      <w:sz w:val="40"/>
      <w:szCs w:val="24"/>
    </w:rPr>
  </w:style>
  <w:style w:type="character" w:customStyle="1" w:styleId="SubtitleChar">
    <w:name w:val="Subtitle Char"/>
    <w:basedOn w:val="DefaultParagraphFont"/>
    <w:link w:val="Subtitle"/>
    <w:rsid w:val="005E17D8"/>
    <w:rPr>
      <w:rFonts w:ascii="Arial" w:eastAsiaTheme="majorEastAsia" w:hAnsi="Arial" w:cstheme="majorBidi"/>
      <w:iCs/>
      <w:color w:val="3F4A75"/>
      <w:spacing w:val="15"/>
      <w:sz w:val="40"/>
      <w:szCs w:val="24"/>
    </w:rPr>
  </w:style>
  <w:style w:type="paragraph" w:styleId="Title">
    <w:name w:val="Title"/>
    <w:basedOn w:val="Normal"/>
    <w:next w:val="Paragraphtext"/>
    <w:link w:val="TitleChar"/>
    <w:qFormat/>
    <w:rsid w:val="005E17D8"/>
    <w:pPr>
      <w:spacing w:before="2160" w:after="120"/>
      <w:contextualSpacing/>
    </w:pPr>
    <w:rPr>
      <w:rFonts w:eastAsiaTheme="majorEastAsia" w:cstheme="majorBidi"/>
      <w:b/>
      <w:color w:val="3F4A75"/>
      <w:kern w:val="28"/>
      <w:sz w:val="48"/>
      <w:szCs w:val="52"/>
    </w:rPr>
  </w:style>
  <w:style w:type="character" w:customStyle="1" w:styleId="TitleChar">
    <w:name w:val="Title Char"/>
    <w:basedOn w:val="DefaultParagraphFont"/>
    <w:link w:val="Title"/>
    <w:rsid w:val="005E17D8"/>
    <w:rPr>
      <w:rFonts w:ascii="Arial" w:eastAsiaTheme="majorEastAsia" w:hAnsi="Arial" w:cstheme="majorBidi"/>
      <w:b/>
      <w:color w:val="3F4A75"/>
      <w:kern w:val="28"/>
      <w:sz w:val="48"/>
      <w:szCs w:val="52"/>
    </w:rPr>
  </w:style>
  <w:style w:type="paragraph" w:styleId="ListBullet">
    <w:name w:val="List Bullet"/>
    <w:basedOn w:val="Normal"/>
    <w:qFormat/>
    <w:rsid w:val="00B07304"/>
    <w:pPr>
      <w:numPr>
        <w:numId w:val="1"/>
      </w:numPr>
      <w:spacing w:before="60" w:after="60" w:line="276" w:lineRule="auto"/>
    </w:pPr>
    <w:rPr>
      <w:rFonts w:eastAsiaTheme="minorHAnsi" w:cstheme="minorBidi"/>
      <w:bCs/>
      <w:color w:val="000000" w:themeColor="text1"/>
      <w:sz w:val="21"/>
      <w:szCs w:val="22"/>
    </w:rPr>
  </w:style>
  <w:style w:type="paragraph" w:styleId="Header">
    <w:name w:val="header"/>
    <w:basedOn w:val="Normal"/>
    <w:link w:val="HeaderChar"/>
    <w:qFormat/>
    <w:rsid w:val="005E17D8"/>
    <w:pPr>
      <w:tabs>
        <w:tab w:val="center" w:pos="4513"/>
        <w:tab w:val="right" w:pos="9026"/>
      </w:tabs>
    </w:pPr>
  </w:style>
  <w:style w:type="character" w:customStyle="1" w:styleId="HeaderChar">
    <w:name w:val="Header Char"/>
    <w:basedOn w:val="DefaultParagraphFont"/>
    <w:link w:val="Header"/>
    <w:rsid w:val="005E17D8"/>
    <w:rPr>
      <w:rFonts w:ascii="Arial" w:eastAsia="Times New Roman" w:hAnsi="Arial" w:cs="Times New Roman"/>
      <w:szCs w:val="24"/>
    </w:rPr>
  </w:style>
  <w:style w:type="character" w:styleId="Hyperlink">
    <w:name w:val="Hyperlink"/>
    <w:basedOn w:val="DefaultParagraphFont"/>
    <w:uiPriority w:val="99"/>
    <w:qFormat/>
    <w:rsid w:val="005E17D8"/>
    <w:rPr>
      <w:color w:val="0563C1" w:themeColor="hyperlink"/>
      <w:u w:val="single"/>
    </w:rPr>
  </w:style>
  <w:style w:type="paragraph" w:styleId="FootnoteText">
    <w:name w:val="footnote text"/>
    <w:basedOn w:val="Normal"/>
    <w:link w:val="FootnoteTextChar"/>
    <w:rsid w:val="005E17D8"/>
    <w:rPr>
      <w:sz w:val="20"/>
      <w:szCs w:val="20"/>
    </w:rPr>
  </w:style>
  <w:style w:type="character" w:customStyle="1" w:styleId="FootnoteTextChar">
    <w:name w:val="Footnote Text Char"/>
    <w:basedOn w:val="DefaultParagraphFont"/>
    <w:link w:val="FootnoteText"/>
    <w:rsid w:val="005E17D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168AD"/>
    <w:rPr>
      <w:vertAlign w:val="superscript"/>
    </w:rPr>
  </w:style>
  <w:style w:type="character" w:styleId="UnresolvedMention">
    <w:name w:val="Unresolved Mention"/>
    <w:basedOn w:val="DefaultParagraphFont"/>
    <w:uiPriority w:val="99"/>
    <w:semiHidden/>
    <w:unhideWhenUsed/>
    <w:rsid w:val="006168AD"/>
    <w:rPr>
      <w:color w:val="605E5C"/>
      <w:shd w:val="clear" w:color="auto" w:fill="E1DFDD"/>
    </w:rPr>
  </w:style>
  <w:style w:type="paragraph" w:styleId="ListParagraph">
    <w:name w:val="List Paragraph"/>
    <w:basedOn w:val="Normal"/>
    <w:uiPriority w:val="34"/>
    <w:rsid w:val="005E17D8"/>
    <w:pPr>
      <w:ind w:left="720"/>
      <w:contextualSpacing/>
    </w:pPr>
  </w:style>
  <w:style w:type="table" w:styleId="TableGrid">
    <w:name w:val="Table Grid"/>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E17D8"/>
    <w:pPr>
      <w:spacing w:before="100" w:beforeAutospacing="1" w:after="100" w:afterAutospacing="1"/>
    </w:pPr>
    <w:rPr>
      <w:rFonts w:ascii="Times New Roman" w:hAnsi="Times New Roman"/>
      <w:sz w:val="24"/>
      <w:lang w:eastAsia="en-AU"/>
    </w:rPr>
  </w:style>
  <w:style w:type="paragraph" w:styleId="BalloonText">
    <w:name w:val="Balloon Text"/>
    <w:basedOn w:val="Normal"/>
    <w:link w:val="BalloonTextChar"/>
    <w:rsid w:val="005E17D8"/>
    <w:rPr>
      <w:rFonts w:ascii="Tahoma" w:hAnsi="Tahoma" w:cs="Tahoma"/>
      <w:sz w:val="16"/>
      <w:szCs w:val="16"/>
    </w:rPr>
  </w:style>
  <w:style w:type="character" w:customStyle="1" w:styleId="BalloonTextChar">
    <w:name w:val="Balloon Text Char"/>
    <w:basedOn w:val="DefaultParagraphFont"/>
    <w:link w:val="BalloonText"/>
    <w:rsid w:val="005E17D8"/>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A32219"/>
    <w:rPr>
      <w:sz w:val="20"/>
      <w:szCs w:val="20"/>
    </w:rPr>
  </w:style>
  <w:style w:type="character" w:customStyle="1" w:styleId="CommentTextChar">
    <w:name w:val="Comment Text Char"/>
    <w:basedOn w:val="DefaultParagraphFont"/>
    <w:link w:val="CommentText"/>
    <w:uiPriority w:val="99"/>
    <w:semiHidden/>
    <w:rsid w:val="00A32219"/>
    <w:rPr>
      <w:sz w:val="20"/>
      <w:szCs w:val="20"/>
    </w:rPr>
  </w:style>
  <w:style w:type="character" w:styleId="CommentReference">
    <w:name w:val="annotation reference"/>
    <w:basedOn w:val="DefaultParagraphFont"/>
    <w:uiPriority w:val="99"/>
    <w:semiHidden/>
    <w:unhideWhenUsed/>
    <w:rsid w:val="00A32219"/>
    <w:rPr>
      <w:sz w:val="16"/>
      <w:szCs w:val="16"/>
    </w:rPr>
  </w:style>
  <w:style w:type="character" w:customStyle="1" w:styleId="Heading1Char">
    <w:name w:val="Heading 1 Char"/>
    <w:basedOn w:val="DefaultParagraphFont"/>
    <w:link w:val="Heading1"/>
    <w:rsid w:val="00866BEC"/>
    <w:rPr>
      <w:rFonts w:ascii="Arial" w:eastAsia="Times New Roman" w:hAnsi="Arial" w:cs="Arial"/>
      <w:bCs/>
      <w:color w:val="3F4A75"/>
      <w:kern w:val="28"/>
      <w:sz w:val="36"/>
      <w:szCs w:val="36"/>
    </w:rPr>
  </w:style>
  <w:style w:type="paragraph" w:styleId="CommentSubject">
    <w:name w:val="annotation subject"/>
    <w:basedOn w:val="CommentText"/>
    <w:next w:val="CommentText"/>
    <w:link w:val="CommentSubjectChar"/>
    <w:uiPriority w:val="99"/>
    <w:semiHidden/>
    <w:unhideWhenUsed/>
    <w:rsid w:val="00036425"/>
    <w:rPr>
      <w:b/>
      <w:bCs/>
    </w:rPr>
  </w:style>
  <w:style w:type="character" w:customStyle="1" w:styleId="CommentSubjectChar">
    <w:name w:val="Comment Subject Char"/>
    <w:basedOn w:val="CommentTextChar"/>
    <w:link w:val="CommentSubject"/>
    <w:uiPriority w:val="99"/>
    <w:semiHidden/>
    <w:rsid w:val="00036425"/>
    <w:rPr>
      <w:b/>
      <w:bCs/>
      <w:sz w:val="20"/>
      <w:szCs w:val="20"/>
    </w:rPr>
  </w:style>
  <w:style w:type="paragraph" w:styleId="Footer">
    <w:name w:val="footer"/>
    <w:basedOn w:val="Normal"/>
    <w:link w:val="FooterChar"/>
    <w:uiPriority w:val="99"/>
    <w:qFormat/>
    <w:rsid w:val="005E17D8"/>
    <w:pPr>
      <w:tabs>
        <w:tab w:val="center" w:pos="4513"/>
        <w:tab w:val="right" w:pos="9026"/>
      </w:tabs>
    </w:pPr>
    <w:rPr>
      <w:sz w:val="20"/>
    </w:rPr>
  </w:style>
  <w:style w:type="character" w:customStyle="1" w:styleId="FooterChar">
    <w:name w:val="Footer Char"/>
    <w:basedOn w:val="DefaultParagraphFont"/>
    <w:link w:val="Footer"/>
    <w:uiPriority w:val="99"/>
    <w:rsid w:val="005E17D8"/>
    <w:rPr>
      <w:rFonts w:ascii="Arial" w:eastAsia="Times New Roman" w:hAnsi="Arial" w:cs="Times New Roman"/>
      <w:sz w:val="20"/>
      <w:szCs w:val="24"/>
    </w:rPr>
  </w:style>
  <w:style w:type="character" w:customStyle="1" w:styleId="Heading4Char">
    <w:name w:val="Heading 4 Char"/>
    <w:basedOn w:val="DefaultParagraphFont"/>
    <w:link w:val="Heading4"/>
    <w:rsid w:val="002E2328"/>
    <w:rPr>
      <w:rFonts w:ascii="Arial" w:eastAsia="Times New Roman" w:hAnsi="Arial" w:cs="Times New Roman"/>
      <w:b/>
      <w:bCs/>
      <w:i/>
      <w:color w:val="414141"/>
      <w:sz w:val="24"/>
      <w:szCs w:val="28"/>
    </w:rPr>
  </w:style>
  <w:style w:type="paragraph" w:customStyle="1" w:styleId="Default">
    <w:name w:val="Default"/>
    <w:rsid w:val="00866BEC"/>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420BD"/>
    <w:rPr>
      <w:color w:val="954F72" w:themeColor="followedHyperlink"/>
      <w:u w:val="single"/>
    </w:rPr>
  </w:style>
  <w:style w:type="character" w:customStyle="1" w:styleId="Heading5Char">
    <w:name w:val="Heading 5 Char"/>
    <w:basedOn w:val="DefaultParagraphFont"/>
    <w:link w:val="Heading5"/>
    <w:rsid w:val="00281493"/>
    <w:rPr>
      <w:rFonts w:ascii="Arial" w:eastAsia="Times New Roman" w:hAnsi="Arial" w:cs="Times New Roman"/>
      <w:b/>
      <w:bCs/>
      <w:iCs/>
      <w:szCs w:val="26"/>
    </w:rPr>
  </w:style>
  <w:style w:type="character" w:customStyle="1" w:styleId="Heading6Char">
    <w:name w:val="Heading 6 Char"/>
    <w:basedOn w:val="DefaultParagraphFont"/>
    <w:link w:val="Heading6"/>
    <w:rsid w:val="00281493"/>
    <w:rPr>
      <w:b/>
      <w:bCs/>
      <w:i/>
    </w:rPr>
  </w:style>
  <w:style w:type="character" w:styleId="Emphasis">
    <w:name w:val="Emphasis"/>
    <w:basedOn w:val="DefaultParagraphFont"/>
    <w:rsid w:val="005E17D8"/>
    <w:rPr>
      <w:i/>
      <w:iCs/>
    </w:rPr>
  </w:style>
  <w:style w:type="character" w:styleId="Strong">
    <w:name w:val="Strong"/>
    <w:basedOn w:val="DefaultParagraphFont"/>
    <w:rsid w:val="005E17D8"/>
    <w:rPr>
      <w:b/>
      <w:bCs/>
    </w:rPr>
  </w:style>
  <w:style w:type="paragraph" w:styleId="NoSpacing">
    <w:name w:val="No Spacing"/>
    <w:uiPriority w:val="1"/>
    <w:rsid w:val="005E17D8"/>
    <w:pPr>
      <w:spacing w:after="0" w:line="240" w:lineRule="auto"/>
    </w:pPr>
    <w:rPr>
      <w:rFonts w:ascii="Times New Roman" w:eastAsia="Times New Roman" w:hAnsi="Times New Roman" w:cs="Times New Roman"/>
      <w:sz w:val="24"/>
      <w:szCs w:val="24"/>
    </w:rPr>
  </w:style>
  <w:style w:type="character" w:styleId="SubtleEmphasis">
    <w:name w:val="Subtle Emphasis"/>
    <w:basedOn w:val="DefaultParagraphFont"/>
    <w:uiPriority w:val="19"/>
    <w:rsid w:val="005E17D8"/>
    <w:rPr>
      <w:i/>
      <w:iCs/>
      <w:color w:val="808080" w:themeColor="text1" w:themeTint="7F"/>
    </w:rPr>
  </w:style>
  <w:style w:type="character" w:styleId="IntenseEmphasis">
    <w:name w:val="Intense Emphasis"/>
    <w:basedOn w:val="DefaultParagraphFont"/>
    <w:uiPriority w:val="21"/>
    <w:rsid w:val="005E17D8"/>
    <w:rPr>
      <w:b/>
      <w:bCs/>
      <w:i/>
      <w:iCs/>
      <w:color w:val="4472C4" w:themeColor="accent1"/>
    </w:rPr>
  </w:style>
  <w:style w:type="paragraph" w:styleId="Quote">
    <w:name w:val="Quote"/>
    <w:next w:val="Normal"/>
    <w:link w:val="QuoteChar"/>
    <w:uiPriority w:val="29"/>
    <w:qFormat/>
    <w:rsid w:val="005E17D8"/>
    <w:pPr>
      <w:spacing w:after="0" w:line="240" w:lineRule="auto"/>
      <w:ind w:left="720"/>
    </w:pPr>
    <w:rPr>
      <w:rFonts w:ascii="Arial" w:eastAsia="Times New Roman" w:hAnsi="Arial" w:cs="Times New Roman"/>
      <w:i/>
      <w:iCs/>
      <w:color w:val="000000" w:themeColor="text1"/>
      <w:szCs w:val="24"/>
    </w:rPr>
  </w:style>
  <w:style w:type="character" w:customStyle="1" w:styleId="QuoteChar">
    <w:name w:val="Quote Char"/>
    <w:basedOn w:val="DefaultParagraphFont"/>
    <w:link w:val="Quote"/>
    <w:uiPriority w:val="29"/>
    <w:rsid w:val="005E17D8"/>
    <w:rPr>
      <w:rFonts w:ascii="Arial" w:eastAsia="Times New Roman" w:hAnsi="Arial" w:cs="Times New Roman"/>
      <w:i/>
      <w:iCs/>
      <w:color w:val="000000" w:themeColor="text1"/>
      <w:szCs w:val="24"/>
    </w:rPr>
  </w:style>
  <w:style w:type="paragraph" w:styleId="IntenseQuote">
    <w:name w:val="Intense Quote"/>
    <w:basedOn w:val="Normal"/>
    <w:next w:val="Normal"/>
    <w:link w:val="IntenseQuoteChar"/>
    <w:uiPriority w:val="30"/>
    <w:rsid w:val="005E17D8"/>
    <w:pPr>
      <w:pBdr>
        <w:bottom w:val="single" w:sz="4" w:space="4" w:color="4472C4" w:themeColor="accent1"/>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sid w:val="005E17D8"/>
    <w:rPr>
      <w:rFonts w:ascii="Arial" w:eastAsia="Times New Roman" w:hAnsi="Arial" w:cs="Times New Roman"/>
      <w:b/>
      <w:bCs/>
      <w:i/>
      <w:iCs/>
      <w:color w:val="4472C4" w:themeColor="accent1"/>
      <w:szCs w:val="24"/>
    </w:rPr>
  </w:style>
  <w:style w:type="character" w:styleId="SubtleReference">
    <w:name w:val="Subtle Reference"/>
    <w:basedOn w:val="DefaultParagraphFont"/>
    <w:uiPriority w:val="31"/>
    <w:rsid w:val="005E17D8"/>
    <w:rPr>
      <w:smallCaps/>
      <w:color w:val="ED7D31" w:themeColor="accent2"/>
      <w:u w:val="single"/>
    </w:rPr>
  </w:style>
  <w:style w:type="character" w:styleId="IntenseReference">
    <w:name w:val="Intense Reference"/>
    <w:basedOn w:val="DefaultParagraphFont"/>
    <w:uiPriority w:val="32"/>
    <w:rsid w:val="005E17D8"/>
    <w:rPr>
      <w:b/>
      <w:bCs/>
      <w:i/>
      <w:smallCaps/>
      <w:color w:val="ED7D31" w:themeColor="accent2"/>
      <w:spacing w:val="5"/>
      <w:u w:val="none"/>
    </w:rPr>
  </w:style>
  <w:style w:type="paragraph" w:styleId="ListBullet2">
    <w:name w:val="List Bullet 2"/>
    <w:basedOn w:val="ListNumber2"/>
    <w:rsid w:val="005E17D8"/>
    <w:pPr>
      <w:numPr>
        <w:numId w:val="5"/>
      </w:numPr>
      <w:ind w:left="568" w:hanging="284"/>
    </w:pPr>
  </w:style>
  <w:style w:type="paragraph" w:styleId="ListNumber2">
    <w:name w:val="List Number 2"/>
    <w:basedOn w:val="ListBullet"/>
    <w:qFormat/>
    <w:rsid w:val="005E17D8"/>
    <w:pPr>
      <w:numPr>
        <w:numId w:val="6"/>
      </w:numPr>
    </w:pPr>
  </w:style>
  <w:style w:type="paragraph" w:styleId="ListNumber3">
    <w:name w:val="List Number 3"/>
    <w:aliases w:val="List Third Level"/>
    <w:basedOn w:val="ListNumber2"/>
    <w:rsid w:val="004227A6"/>
    <w:pPr>
      <w:numPr>
        <w:numId w:val="2"/>
      </w:numPr>
      <w:tabs>
        <w:tab w:val="num" w:pos="1440"/>
      </w:tabs>
      <w:ind w:left="924" w:hanging="357"/>
    </w:pPr>
    <w:rPr>
      <w:rFonts w:eastAsia="Cambria"/>
      <w:color w:val="auto"/>
      <w:lang w:val="en-US"/>
    </w:rPr>
  </w:style>
  <w:style w:type="paragraph" w:customStyle="1" w:styleId="ImageTitle">
    <w:name w:val="Image Title"/>
    <w:locked/>
    <w:rsid w:val="005E17D8"/>
    <w:pPr>
      <w:tabs>
        <w:tab w:val="num" w:pos="1080"/>
      </w:tabs>
      <w:spacing w:before="120" w:after="0" w:line="240" w:lineRule="exact"/>
    </w:pPr>
    <w:rPr>
      <w:rFonts w:ascii="Arial" w:eastAsia="Times New Roman" w:hAnsi="Arial" w:cs="Times New Roman"/>
      <w:color w:val="000000" w:themeColor="text1"/>
      <w:szCs w:val="24"/>
    </w:rPr>
  </w:style>
  <w:style w:type="table" w:styleId="TableColumns3">
    <w:name w:val="Table Columns 3"/>
    <w:basedOn w:val="TableNormal"/>
    <w:rsid w:val="005E17D8"/>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left">
    <w:name w:val="Table text left"/>
    <w:autoRedefine/>
    <w:qFormat/>
    <w:locked/>
    <w:rsid w:val="005E17D8"/>
    <w:pPr>
      <w:spacing w:before="60" w:after="60" w:line="240" w:lineRule="auto"/>
    </w:pPr>
    <w:rPr>
      <w:rFonts w:ascii="Arial" w:eastAsia="Times New Roman" w:hAnsi="Arial" w:cs="Times New Roman"/>
      <w:color w:val="000000" w:themeColor="text1"/>
      <w:sz w:val="21"/>
      <w:szCs w:val="24"/>
    </w:rPr>
  </w:style>
  <w:style w:type="table" w:styleId="TableColumns2">
    <w:name w:val="Table Columns 2"/>
    <w:basedOn w:val="TableNormal"/>
    <w:rsid w:val="005E17D8"/>
    <w:pPr>
      <w:spacing w:before="120" w:after="0" w:line="240" w:lineRule="exact"/>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rsid w:val="005E17D8"/>
    <w:pPr>
      <w:spacing w:after="0" w:line="240" w:lineRule="auto"/>
    </w:pPr>
    <w:rPr>
      <w:rFonts w:ascii="Times New Roman" w:eastAsia="Times New Roman" w:hAnsi="Times New Roman" w:cs="Times New Roman"/>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rsid w:val="005E17D8"/>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4227A6"/>
    <w:pPr>
      <w:spacing w:before="360" w:after="120" w:line="240" w:lineRule="auto"/>
    </w:pPr>
    <w:rPr>
      <w:rFonts w:ascii="Arial" w:eastAsia="Times New Roman" w:hAnsi="Arial" w:cs="Times New Roman"/>
      <w:b/>
      <w:color w:val="000000" w:themeColor="text1"/>
      <w:szCs w:val="24"/>
      <w:lang w:val="en-US"/>
    </w:rPr>
  </w:style>
  <w:style w:type="paragraph" w:customStyle="1" w:styleId="TableHeaderWhite">
    <w:name w:val="Table Header White"/>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table" w:styleId="TableGrid7">
    <w:name w:val="Table Grid 7"/>
    <w:basedOn w:val="TableNormal"/>
    <w:rsid w:val="005E17D8"/>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5E17D8"/>
    <w:pPr>
      <w:spacing w:before="60" w:after="60"/>
    </w:pPr>
    <w:rPr>
      <w:rFonts w:cs="Arial"/>
      <w:b/>
      <w:sz w:val="20"/>
    </w:rPr>
  </w:style>
  <w:style w:type="paragraph" w:customStyle="1" w:styleId="FigureTitle">
    <w:name w:val="Figure Title"/>
    <w:basedOn w:val="Normal"/>
    <w:next w:val="Paragraphtext"/>
    <w:qFormat/>
    <w:rsid w:val="00192EFF"/>
    <w:pPr>
      <w:spacing w:before="360" w:after="160" w:line="259" w:lineRule="auto"/>
    </w:pPr>
    <w:rPr>
      <w:rFonts w:eastAsiaTheme="minorHAnsi" w:cs="Arial"/>
      <w:b/>
      <w:bCs/>
      <w:iCs/>
      <w:color w:val="000000" w:themeColor="text1"/>
      <w:sz w:val="21"/>
      <w:szCs w:val="22"/>
    </w:rPr>
  </w:style>
  <w:style w:type="paragraph" w:customStyle="1" w:styleId="Headertext">
    <w:name w:val="Header text"/>
    <w:basedOn w:val="Normal"/>
    <w:rsid w:val="005E17D8"/>
    <w:pPr>
      <w:jc w:val="right"/>
    </w:pPr>
    <w:rPr>
      <w:sz w:val="20"/>
    </w:rPr>
  </w:style>
  <w:style w:type="table" w:customStyle="1" w:styleId="PHNGreyTable">
    <w:name w:val="PHN Grey Table"/>
    <w:basedOn w:val="TableNormal"/>
    <w:uiPriority w:val="99"/>
    <w:rsid w:val="005E17D8"/>
    <w:pPr>
      <w:spacing w:before="120" w:after="120" w:line="240" w:lineRule="auto"/>
    </w:pPr>
    <w:rPr>
      <w:rFonts w:ascii="Arial" w:eastAsia="Times New Roman" w:hAnsi="Arial" w:cs="Times New Roman"/>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Heading1Purple">
    <w:name w:val="Heading 1 Purple"/>
    <w:basedOn w:val="Heading1"/>
    <w:next w:val="Paragraphtext"/>
    <w:rsid w:val="005E17D8"/>
    <w:rPr>
      <w:color w:val="8D188D"/>
    </w:rPr>
  </w:style>
  <w:style w:type="paragraph" w:customStyle="1" w:styleId="Heading2Purple">
    <w:name w:val="Heading 2 Purple"/>
    <w:basedOn w:val="Heading2"/>
    <w:next w:val="Paragraphtext"/>
    <w:rsid w:val="005E17D8"/>
    <w:pPr>
      <w:spacing w:before="180"/>
    </w:pPr>
    <w:rPr>
      <w:color w:val="8D188D"/>
    </w:rPr>
  </w:style>
  <w:style w:type="paragraph" w:customStyle="1" w:styleId="Tablelistbullet">
    <w:name w:val="Table list bullet"/>
    <w:basedOn w:val="Tabletextleft"/>
    <w:qFormat/>
    <w:rsid w:val="005E17D8"/>
    <w:pPr>
      <w:numPr>
        <w:numId w:val="3"/>
      </w:numPr>
      <w:ind w:left="284" w:hanging="284"/>
    </w:pPr>
    <w:rPr>
      <w:szCs w:val="20"/>
    </w:rPr>
  </w:style>
  <w:style w:type="paragraph" w:customStyle="1" w:styleId="Tablelistnumber">
    <w:name w:val="Table list number"/>
    <w:basedOn w:val="Tabletextleft"/>
    <w:qFormat/>
    <w:rsid w:val="005E17D8"/>
    <w:pPr>
      <w:numPr>
        <w:numId w:val="10"/>
      </w:numPr>
    </w:pPr>
    <w:rPr>
      <w:bCs/>
      <w14:numSpacing w14:val="proportional"/>
    </w:rPr>
  </w:style>
  <w:style w:type="paragraph" w:customStyle="1" w:styleId="TableHeader">
    <w:name w:val="Table Header"/>
    <w:basedOn w:val="Normal"/>
    <w:next w:val="Tabletextleft"/>
    <w:qFormat/>
    <w:rsid w:val="004227A6"/>
    <w:pPr>
      <w:spacing w:before="80" w:after="80" w:line="259" w:lineRule="auto"/>
    </w:pPr>
    <w:rPr>
      <w:rFonts w:asciiTheme="minorHAnsi" w:eastAsia="Cambria" w:hAnsiTheme="minorHAnsi" w:cstheme="minorBidi"/>
      <w:b/>
      <w:color w:val="FFFFFF" w:themeColor="background1"/>
      <w:szCs w:val="22"/>
      <w:lang w:val="en-US"/>
    </w:rPr>
  </w:style>
  <w:style w:type="paragraph" w:customStyle="1" w:styleId="SectionHeading">
    <w:name w:val="Section Heading"/>
    <w:basedOn w:val="Heading1"/>
    <w:next w:val="Paragraphtext"/>
    <w:rsid w:val="005E17D8"/>
    <w:rPr>
      <w:szCs w:val="32"/>
    </w:rPr>
  </w:style>
  <w:style w:type="paragraph" w:customStyle="1" w:styleId="Heading1Orange">
    <w:name w:val="Heading 1 Orange"/>
    <w:basedOn w:val="Heading1"/>
    <w:next w:val="Paragraphtext"/>
    <w:rsid w:val="005E17D8"/>
    <w:rPr>
      <w:color w:val="D72F0D"/>
    </w:rPr>
  </w:style>
  <w:style w:type="paragraph" w:customStyle="1" w:styleId="Heading2Orange">
    <w:name w:val="Heading 2 Orange"/>
    <w:basedOn w:val="Heading2"/>
    <w:rsid w:val="005E17D8"/>
    <w:rPr>
      <w:color w:val="D72F0D"/>
    </w:rPr>
  </w:style>
  <w:style w:type="paragraph" w:styleId="Caption">
    <w:name w:val="caption"/>
    <w:basedOn w:val="Normal"/>
    <w:next w:val="Normal"/>
    <w:unhideWhenUsed/>
    <w:rsid w:val="005E17D8"/>
    <w:pPr>
      <w:spacing w:after="200"/>
    </w:pPr>
    <w:rPr>
      <w:b/>
      <w:bCs/>
      <w:color w:val="4472C4" w:themeColor="accent1"/>
      <w:sz w:val="18"/>
      <w:szCs w:val="18"/>
    </w:rPr>
  </w:style>
  <w:style w:type="paragraph" w:customStyle="1" w:styleId="VisionBox">
    <w:name w:val="VisionBox"/>
    <w:basedOn w:val="Normal"/>
    <w:qFormat/>
    <w:rsid w:val="004227A6"/>
    <w:pPr>
      <w:pBdr>
        <w:top w:val="single" w:sz="4" w:space="15" w:color="358189"/>
        <w:bottom w:val="single" w:sz="4" w:space="10" w:color="358189"/>
      </w:pBdr>
      <w:spacing w:before="240" w:after="240" w:line="340" w:lineRule="exact"/>
    </w:pPr>
    <w:rPr>
      <w:rFonts w:asciiTheme="minorHAnsi" w:eastAsiaTheme="minorHAnsi" w:hAnsiTheme="minorHAnsi" w:cstheme="minorBidi"/>
      <w:color w:val="358189"/>
      <w:szCs w:val="22"/>
    </w:rPr>
  </w:style>
  <w:style w:type="paragraph" w:customStyle="1" w:styleId="Style1">
    <w:name w:val="Style1"/>
    <w:next w:val="Normal"/>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character" w:customStyle="1" w:styleId="BoldAllCaps">
    <w:name w:val="Bold All Caps"/>
    <w:basedOn w:val="DefaultParagraphFont"/>
    <w:uiPriority w:val="1"/>
    <w:qFormat/>
    <w:rsid w:val="005E17D8"/>
    <w:rPr>
      <w:b/>
      <w:caps/>
      <w:smallCaps w:val="0"/>
      <w:color w:val="358189"/>
      <w:bdr w:val="none" w:sz="0" w:space="0" w:color="auto"/>
    </w:rPr>
  </w:style>
  <w:style w:type="paragraph" w:customStyle="1" w:styleId="PolicyStatement">
    <w:name w:val="PolicyStatement"/>
    <w:basedOn w:val="Normal"/>
    <w:qFormat/>
    <w:rsid w:val="004227A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after="160" w:line="259" w:lineRule="auto"/>
      <w:ind w:left="227" w:right="227"/>
    </w:pPr>
    <w:rPr>
      <w:rFonts w:asciiTheme="minorHAnsi" w:eastAsiaTheme="minorHAnsi" w:hAnsiTheme="minorHAnsi" w:cstheme="minorBidi"/>
      <w:szCs w:val="22"/>
    </w:rPr>
  </w:style>
  <w:style w:type="table" w:customStyle="1" w:styleId="DepartmentofHealthtable">
    <w:name w:val="Department of Health table"/>
    <w:basedOn w:val="TableNormal"/>
    <w:uiPriority w:val="99"/>
    <w:rsid w:val="005E17D8"/>
    <w:pPr>
      <w:spacing w:after="0" w:line="240" w:lineRule="auto"/>
    </w:pPr>
    <w:rPr>
      <w:rFonts w:ascii="Arial" w:eastAsia="Times New Roman" w:hAnsi="Arial" w:cs="Times New Roman"/>
      <w:color w:val="000000" w:themeColor="text1"/>
      <w:sz w:val="21"/>
      <w:szCs w:val="20"/>
      <w:lang w:eastAsia="en-AU"/>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customStyle="1" w:styleId="TableTitleChar">
    <w:name w:val="Table Title Char"/>
    <w:basedOn w:val="DefaultParagraphFont"/>
    <w:link w:val="TableTitle"/>
    <w:rsid w:val="005E17D8"/>
    <w:rPr>
      <w:rFonts w:ascii="Arial" w:eastAsia="Times New Roman" w:hAnsi="Arial" w:cs="Times New Roman"/>
      <w:b/>
      <w:color w:val="000000" w:themeColor="text1"/>
      <w:szCs w:val="24"/>
      <w:lang w:val="en-US"/>
    </w:rPr>
  </w:style>
  <w:style w:type="paragraph" w:customStyle="1" w:styleId="IntroPara">
    <w:name w:val="Intro Para"/>
    <w:basedOn w:val="Paragraphtext"/>
    <w:next w:val="Paragraphtext"/>
    <w:qFormat/>
    <w:rsid w:val="005E17D8"/>
    <w:pPr>
      <w:spacing w:before="480" w:line="400" w:lineRule="exact"/>
    </w:pPr>
    <w:rPr>
      <w:color w:val="358189"/>
      <w:sz w:val="28"/>
    </w:rPr>
  </w:style>
  <w:style w:type="paragraph" w:customStyle="1" w:styleId="TableTextright">
    <w:name w:val="Table Text right"/>
    <w:basedOn w:val="Tabletextleft"/>
    <w:rsid w:val="005E17D8"/>
    <w:pPr>
      <w:jc w:val="right"/>
    </w:pPr>
  </w:style>
  <w:style w:type="paragraph" w:customStyle="1" w:styleId="Tabletextright0">
    <w:name w:val="Table text right"/>
    <w:basedOn w:val="Tabletextleft"/>
    <w:rsid w:val="005E17D8"/>
    <w:pPr>
      <w:jc w:val="right"/>
    </w:pPr>
  </w:style>
  <w:style w:type="paragraph" w:customStyle="1" w:styleId="Tabletextcentre">
    <w:name w:val="Table text centre"/>
    <w:basedOn w:val="Tabletextleft"/>
    <w:rsid w:val="005E17D8"/>
    <w:pPr>
      <w:jc w:val="center"/>
    </w:pPr>
  </w:style>
  <w:style w:type="paragraph" w:customStyle="1" w:styleId="Boxheading">
    <w:name w:val="Box heading"/>
    <w:basedOn w:val="Boxtype"/>
    <w:rsid w:val="005E17D8"/>
    <w:pPr>
      <w:spacing w:before="240"/>
    </w:pPr>
    <w:rPr>
      <w:rFonts w:cs="Times New Roman"/>
      <w:b/>
      <w:bCs/>
      <w:caps/>
      <w:color w:val="358189"/>
      <w:szCs w:val="20"/>
    </w:rPr>
  </w:style>
  <w:style w:type="paragraph" w:customStyle="1" w:styleId="Boxtype">
    <w:name w:val="Box type"/>
    <w:next w:val="Normal"/>
    <w:qFormat/>
    <w:rsid w:val="005E17D8"/>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eastAsia="Times New Roman" w:hAnsi="Arial" w:cs="Arial"/>
      <w:color w:val="000000" w:themeColor="text1"/>
      <w:sz w:val="21"/>
      <w:szCs w:val="24"/>
      <w:lang w:val="en"/>
    </w:rPr>
  </w:style>
  <w:style w:type="paragraph" w:styleId="Revision">
    <w:name w:val="Revision"/>
    <w:hidden/>
    <w:uiPriority w:val="99"/>
    <w:semiHidden/>
    <w:rsid w:val="00B8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51071">
      <w:bodyDiv w:val="1"/>
      <w:marLeft w:val="0"/>
      <w:marRight w:val="0"/>
      <w:marTop w:val="0"/>
      <w:marBottom w:val="0"/>
      <w:divBdr>
        <w:top w:val="none" w:sz="0" w:space="0" w:color="auto"/>
        <w:left w:val="none" w:sz="0" w:space="0" w:color="auto"/>
        <w:bottom w:val="none" w:sz="0" w:space="0" w:color="auto"/>
        <w:right w:val="none" w:sz="0" w:space="0" w:color="auto"/>
      </w:divBdr>
      <w:divsChild>
        <w:div w:id="1530684917">
          <w:marLeft w:val="274"/>
          <w:marRight w:val="0"/>
          <w:marTop w:val="0"/>
          <w:marBottom w:val="0"/>
          <w:divBdr>
            <w:top w:val="none" w:sz="0" w:space="0" w:color="auto"/>
            <w:left w:val="none" w:sz="0" w:space="0" w:color="auto"/>
            <w:bottom w:val="none" w:sz="0" w:space="0" w:color="auto"/>
            <w:right w:val="none" w:sz="0" w:space="0" w:color="auto"/>
          </w:divBdr>
        </w:div>
        <w:div w:id="2032492921">
          <w:marLeft w:val="274"/>
          <w:marRight w:val="0"/>
          <w:marTop w:val="0"/>
          <w:marBottom w:val="0"/>
          <w:divBdr>
            <w:top w:val="none" w:sz="0" w:space="0" w:color="auto"/>
            <w:left w:val="none" w:sz="0" w:space="0" w:color="auto"/>
            <w:bottom w:val="none" w:sz="0" w:space="0" w:color="auto"/>
            <w:right w:val="none" w:sz="0" w:space="0" w:color="auto"/>
          </w:divBdr>
        </w:div>
        <w:div w:id="1204364334">
          <w:marLeft w:val="274"/>
          <w:marRight w:val="0"/>
          <w:marTop w:val="0"/>
          <w:marBottom w:val="0"/>
          <w:divBdr>
            <w:top w:val="none" w:sz="0" w:space="0" w:color="auto"/>
            <w:left w:val="none" w:sz="0" w:space="0" w:color="auto"/>
            <w:bottom w:val="none" w:sz="0" w:space="0" w:color="auto"/>
            <w:right w:val="none" w:sz="0" w:space="0" w:color="auto"/>
          </w:divBdr>
        </w:div>
        <w:div w:id="1904221626">
          <w:marLeft w:val="274"/>
          <w:marRight w:val="0"/>
          <w:marTop w:val="0"/>
          <w:marBottom w:val="0"/>
          <w:divBdr>
            <w:top w:val="none" w:sz="0" w:space="0" w:color="auto"/>
            <w:left w:val="none" w:sz="0" w:space="0" w:color="auto"/>
            <w:bottom w:val="none" w:sz="0" w:space="0" w:color="auto"/>
            <w:right w:val="none" w:sz="0" w:space="0" w:color="auto"/>
          </w:divBdr>
        </w:div>
      </w:divsChild>
    </w:div>
    <w:div w:id="145321172">
      <w:bodyDiv w:val="1"/>
      <w:marLeft w:val="0"/>
      <w:marRight w:val="0"/>
      <w:marTop w:val="0"/>
      <w:marBottom w:val="0"/>
      <w:divBdr>
        <w:top w:val="none" w:sz="0" w:space="0" w:color="auto"/>
        <w:left w:val="none" w:sz="0" w:space="0" w:color="auto"/>
        <w:bottom w:val="none" w:sz="0" w:space="0" w:color="auto"/>
        <w:right w:val="none" w:sz="0" w:space="0" w:color="auto"/>
      </w:divBdr>
    </w:div>
    <w:div w:id="147671335">
      <w:bodyDiv w:val="1"/>
      <w:marLeft w:val="0"/>
      <w:marRight w:val="0"/>
      <w:marTop w:val="0"/>
      <w:marBottom w:val="0"/>
      <w:divBdr>
        <w:top w:val="none" w:sz="0" w:space="0" w:color="auto"/>
        <w:left w:val="none" w:sz="0" w:space="0" w:color="auto"/>
        <w:bottom w:val="none" w:sz="0" w:space="0" w:color="auto"/>
        <w:right w:val="none" w:sz="0" w:space="0" w:color="auto"/>
      </w:divBdr>
      <w:divsChild>
        <w:div w:id="1027559067">
          <w:marLeft w:val="274"/>
          <w:marRight w:val="0"/>
          <w:marTop w:val="0"/>
          <w:marBottom w:val="0"/>
          <w:divBdr>
            <w:top w:val="none" w:sz="0" w:space="0" w:color="auto"/>
            <w:left w:val="none" w:sz="0" w:space="0" w:color="auto"/>
            <w:bottom w:val="none" w:sz="0" w:space="0" w:color="auto"/>
            <w:right w:val="none" w:sz="0" w:space="0" w:color="auto"/>
          </w:divBdr>
        </w:div>
        <w:div w:id="451824021">
          <w:marLeft w:val="274"/>
          <w:marRight w:val="0"/>
          <w:marTop w:val="0"/>
          <w:marBottom w:val="0"/>
          <w:divBdr>
            <w:top w:val="none" w:sz="0" w:space="0" w:color="auto"/>
            <w:left w:val="none" w:sz="0" w:space="0" w:color="auto"/>
            <w:bottom w:val="none" w:sz="0" w:space="0" w:color="auto"/>
            <w:right w:val="none" w:sz="0" w:space="0" w:color="auto"/>
          </w:divBdr>
        </w:div>
        <w:div w:id="160585954">
          <w:marLeft w:val="274"/>
          <w:marRight w:val="0"/>
          <w:marTop w:val="0"/>
          <w:marBottom w:val="0"/>
          <w:divBdr>
            <w:top w:val="none" w:sz="0" w:space="0" w:color="auto"/>
            <w:left w:val="none" w:sz="0" w:space="0" w:color="auto"/>
            <w:bottom w:val="none" w:sz="0" w:space="0" w:color="auto"/>
            <w:right w:val="none" w:sz="0" w:space="0" w:color="auto"/>
          </w:divBdr>
        </w:div>
        <w:div w:id="1887176358">
          <w:marLeft w:val="274"/>
          <w:marRight w:val="0"/>
          <w:marTop w:val="0"/>
          <w:marBottom w:val="0"/>
          <w:divBdr>
            <w:top w:val="none" w:sz="0" w:space="0" w:color="auto"/>
            <w:left w:val="none" w:sz="0" w:space="0" w:color="auto"/>
            <w:bottom w:val="none" w:sz="0" w:space="0" w:color="auto"/>
            <w:right w:val="none" w:sz="0" w:space="0" w:color="auto"/>
          </w:divBdr>
        </w:div>
      </w:divsChild>
    </w:div>
    <w:div w:id="205532617">
      <w:bodyDiv w:val="1"/>
      <w:marLeft w:val="0"/>
      <w:marRight w:val="0"/>
      <w:marTop w:val="0"/>
      <w:marBottom w:val="0"/>
      <w:divBdr>
        <w:top w:val="none" w:sz="0" w:space="0" w:color="auto"/>
        <w:left w:val="none" w:sz="0" w:space="0" w:color="auto"/>
        <w:bottom w:val="none" w:sz="0" w:space="0" w:color="auto"/>
        <w:right w:val="none" w:sz="0" w:space="0" w:color="auto"/>
      </w:divBdr>
      <w:divsChild>
        <w:div w:id="867107261">
          <w:marLeft w:val="274"/>
          <w:marRight w:val="0"/>
          <w:marTop w:val="0"/>
          <w:marBottom w:val="0"/>
          <w:divBdr>
            <w:top w:val="none" w:sz="0" w:space="0" w:color="auto"/>
            <w:left w:val="none" w:sz="0" w:space="0" w:color="auto"/>
            <w:bottom w:val="none" w:sz="0" w:space="0" w:color="auto"/>
            <w:right w:val="none" w:sz="0" w:space="0" w:color="auto"/>
          </w:divBdr>
        </w:div>
        <w:div w:id="1157186790">
          <w:marLeft w:val="274"/>
          <w:marRight w:val="0"/>
          <w:marTop w:val="0"/>
          <w:marBottom w:val="0"/>
          <w:divBdr>
            <w:top w:val="none" w:sz="0" w:space="0" w:color="auto"/>
            <w:left w:val="none" w:sz="0" w:space="0" w:color="auto"/>
            <w:bottom w:val="none" w:sz="0" w:space="0" w:color="auto"/>
            <w:right w:val="none" w:sz="0" w:space="0" w:color="auto"/>
          </w:divBdr>
        </w:div>
        <w:div w:id="220210669">
          <w:marLeft w:val="274"/>
          <w:marRight w:val="0"/>
          <w:marTop w:val="0"/>
          <w:marBottom w:val="0"/>
          <w:divBdr>
            <w:top w:val="none" w:sz="0" w:space="0" w:color="auto"/>
            <w:left w:val="none" w:sz="0" w:space="0" w:color="auto"/>
            <w:bottom w:val="none" w:sz="0" w:space="0" w:color="auto"/>
            <w:right w:val="none" w:sz="0" w:space="0" w:color="auto"/>
          </w:divBdr>
        </w:div>
      </w:divsChild>
    </w:div>
    <w:div w:id="261843896">
      <w:bodyDiv w:val="1"/>
      <w:marLeft w:val="0"/>
      <w:marRight w:val="0"/>
      <w:marTop w:val="0"/>
      <w:marBottom w:val="0"/>
      <w:divBdr>
        <w:top w:val="none" w:sz="0" w:space="0" w:color="auto"/>
        <w:left w:val="none" w:sz="0" w:space="0" w:color="auto"/>
        <w:bottom w:val="none" w:sz="0" w:space="0" w:color="auto"/>
        <w:right w:val="none" w:sz="0" w:space="0" w:color="auto"/>
      </w:divBdr>
    </w:div>
    <w:div w:id="272327938">
      <w:bodyDiv w:val="1"/>
      <w:marLeft w:val="0"/>
      <w:marRight w:val="0"/>
      <w:marTop w:val="0"/>
      <w:marBottom w:val="0"/>
      <w:divBdr>
        <w:top w:val="none" w:sz="0" w:space="0" w:color="auto"/>
        <w:left w:val="none" w:sz="0" w:space="0" w:color="auto"/>
        <w:bottom w:val="none" w:sz="0" w:space="0" w:color="auto"/>
        <w:right w:val="none" w:sz="0" w:space="0" w:color="auto"/>
      </w:divBdr>
      <w:divsChild>
        <w:div w:id="1131024044">
          <w:marLeft w:val="274"/>
          <w:marRight w:val="0"/>
          <w:marTop w:val="200"/>
          <w:marBottom w:val="0"/>
          <w:divBdr>
            <w:top w:val="none" w:sz="0" w:space="0" w:color="auto"/>
            <w:left w:val="none" w:sz="0" w:space="0" w:color="auto"/>
            <w:bottom w:val="none" w:sz="0" w:space="0" w:color="auto"/>
            <w:right w:val="none" w:sz="0" w:space="0" w:color="auto"/>
          </w:divBdr>
        </w:div>
        <w:div w:id="1416591174">
          <w:marLeft w:val="274"/>
          <w:marRight w:val="0"/>
          <w:marTop w:val="200"/>
          <w:marBottom w:val="0"/>
          <w:divBdr>
            <w:top w:val="none" w:sz="0" w:space="0" w:color="auto"/>
            <w:left w:val="none" w:sz="0" w:space="0" w:color="auto"/>
            <w:bottom w:val="none" w:sz="0" w:space="0" w:color="auto"/>
            <w:right w:val="none" w:sz="0" w:space="0" w:color="auto"/>
          </w:divBdr>
        </w:div>
        <w:div w:id="1948585692">
          <w:marLeft w:val="274"/>
          <w:marRight w:val="0"/>
          <w:marTop w:val="200"/>
          <w:marBottom w:val="0"/>
          <w:divBdr>
            <w:top w:val="none" w:sz="0" w:space="0" w:color="auto"/>
            <w:left w:val="none" w:sz="0" w:space="0" w:color="auto"/>
            <w:bottom w:val="none" w:sz="0" w:space="0" w:color="auto"/>
            <w:right w:val="none" w:sz="0" w:space="0" w:color="auto"/>
          </w:divBdr>
        </w:div>
        <w:div w:id="649408823">
          <w:marLeft w:val="274"/>
          <w:marRight w:val="0"/>
          <w:marTop w:val="200"/>
          <w:marBottom w:val="0"/>
          <w:divBdr>
            <w:top w:val="none" w:sz="0" w:space="0" w:color="auto"/>
            <w:left w:val="none" w:sz="0" w:space="0" w:color="auto"/>
            <w:bottom w:val="none" w:sz="0" w:space="0" w:color="auto"/>
            <w:right w:val="none" w:sz="0" w:space="0" w:color="auto"/>
          </w:divBdr>
        </w:div>
        <w:div w:id="236325101">
          <w:marLeft w:val="274"/>
          <w:marRight w:val="0"/>
          <w:marTop w:val="200"/>
          <w:marBottom w:val="0"/>
          <w:divBdr>
            <w:top w:val="none" w:sz="0" w:space="0" w:color="auto"/>
            <w:left w:val="none" w:sz="0" w:space="0" w:color="auto"/>
            <w:bottom w:val="none" w:sz="0" w:space="0" w:color="auto"/>
            <w:right w:val="none" w:sz="0" w:space="0" w:color="auto"/>
          </w:divBdr>
        </w:div>
        <w:div w:id="1965767891">
          <w:marLeft w:val="274"/>
          <w:marRight w:val="0"/>
          <w:marTop w:val="200"/>
          <w:marBottom w:val="0"/>
          <w:divBdr>
            <w:top w:val="none" w:sz="0" w:space="0" w:color="auto"/>
            <w:left w:val="none" w:sz="0" w:space="0" w:color="auto"/>
            <w:bottom w:val="none" w:sz="0" w:space="0" w:color="auto"/>
            <w:right w:val="none" w:sz="0" w:space="0" w:color="auto"/>
          </w:divBdr>
        </w:div>
      </w:divsChild>
    </w:div>
    <w:div w:id="704335682">
      <w:bodyDiv w:val="1"/>
      <w:marLeft w:val="0"/>
      <w:marRight w:val="0"/>
      <w:marTop w:val="0"/>
      <w:marBottom w:val="0"/>
      <w:divBdr>
        <w:top w:val="none" w:sz="0" w:space="0" w:color="auto"/>
        <w:left w:val="none" w:sz="0" w:space="0" w:color="auto"/>
        <w:bottom w:val="none" w:sz="0" w:space="0" w:color="auto"/>
        <w:right w:val="none" w:sz="0" w:space="0" w:color="auto"/>
      </w:divBdr>
      <w:divsChild>
        <w:div w:id="262345517">
          <w:marLeft w:val="274"/>
          <w:marRight w:val="0"/>
          <w:marTop w:val="0"/>
          <w:marBottom w:val="0"/>
          <w:divBdr>
            <w:top w:val="none" w:sz="0" w:space="0" w:color="auto"/>
            <w:left w:val="none" w:sz="0" w:space="0" w:color="auto"/>
            <w:bottom w:val="none" w:sz="0" w:space="0" w:color="auto"/>
            <w:right w:val="none" w:sz="0" w:space="0" w:color="auto"/>
          </w:divBdr>
        </w:div>
      </w:divsChild>
    </w:div>
    <w:div w:id="740520141">
      <w:bodyDiv w:val="1"/>
      <w:marLeft w:val="0"/>
      <w:marRight w:val="0"/>
      <w:marTop w:val="0"/>
      <w:marBottom w:val="0"/>
      <w:divBdr>
        <w:top w:val="none" w:sz="0" w:space="0" w:color="auto"/>
        <w:left w:val="none" w:sz="0" w:space="0" w:color="auto"/>
        <w:bottom w:val="none" w:sz="0" w:space="0" w:color="auto"/>
        <w:right w:val="none" w:sz="0" w:space="0" w:color="auto"/>
      </w:divBdr>
    </w:div>
    <w:div w:id="758991464">
      <w:bodyDiv w:val="1"/>
      <w:marLeft w:val="0"/>
      <w:marRight w:val="0"/>
      <w:marTop w:val="0"/>
      <w:marBottom w:val="0"/>
      <w:divBdr>
        <w:top w:val="none" w:sz="0" w:space="0" w:color="auto"/>
        <w:left w:val="none" w:sz="0" w:space="0" w:color="auto"/>
        <w:bottom w:val="none" w:sz="0" w:space="0" w:color="auto"/>
        <w:right w:val="none" w:sz="0" w:space="0" w:color="auto"/>
      </w:divBdr>
    </w:div>
    <w:div w:id="822893567">
      <w:bodyDiv w:val="1"/>
      <w:marLeft w:val="0"/>
      <w:marRight w:val="0"/>
      <w:marTop w:val="0"/>
      <w:marBottom w:val="0"/>
      <w:divBdr>
        <w:top w:val="none" w:sz="0" w:space="0" w:color="auto"/>
        <w:left w:val="none" w:sz="0" w:space="0" w:color="auto"/>
        <w:bottom w:val="none" w:sz="0" w:space="0" w:color="auto"/>
        <w:right w:val="none" w:sz="0" w:space="0" w:color="auto"/>
      </w:divBdr>
    </w:div>
    <w:div w:id="898057011">
      <w:bodyDiv w:val="1"/>
      <w:marLeft w:val="0"/>
      <w:marRight w:val="0"/>
      <w:marTop w:val="0"/>
      <w:marBottom w:val="0"/>
      <w:divBdr>
        <w:top w:val="none" w:sz="0" w:space="0" w:color="auto"/>
        <w:left w:val="none" w:sz="0" w:space="0" w:color="auto"/>
        <w:bottom w:val="none" w:sz="0" w:space="0" w:color="auto"/>
        <w:right w:val="none" w:sz="0" w:space="0" w:color="auto"/>
      </w:divBdr>
      <w:divsChild>
        <w:div w:id="493377650">
          <w:marLeft w:val="0"/>
          <w:marRight w:val="0"/>
          <w:marTop w:val="0"/>
          <w:marBottom w:val="0"/>
          <w:divBdr>
            <w:top w:val="none" w:sz="0" w:space="0" w:color="auto"/>
            <w:left w:val="none" w:sz="0" w:space="0" w:color="auto"/>
            <w:bottom w:val="none" w:sz="0" w:space="0" w:color="auto"/>
            <w:right w:val="none" w:sz="0" w:space="0" w:color="auto"/>
          </w:divBdr>
          <w:divsChild>
            <w:div w:id="12937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5703">
      <w:bodyDiv w:val="1"/>
      <w:marLeft w:val="0"/>
      <w:marRight w:val="0"/>
      <w:marTop w:val="0"/>
      <w:marBottom w:val="0"/>
      <w:divBdr>
        <w:top w:val="none" w:sz="0" w:space="0" w:color="auto"/>
        <w:left w:val="none" w:sz="0" w:space="0" w:color="auto"/>
        <w:bottom w:val="none" w:sz="0" w:space="0" w:color="auto"/>
        <w:right w:val="none" w:sz="0" w:space="0" w:color="auto"/>
      </w:divBdr>
      <w:divsChild>
        <w:div w:id="116068788">
          <w:marLeft w:val="274"/>
          <w:marRight w:val="0"/>
          <w:marTop w:val="0"/>
          <w:marBottom w:val="0"/>
          <w:divBdr>
            <w:top w:val="none" w:sz="0" w:space="0" w:color="auto"/>
            <w:left w:val="none" w:sz="0" w:space="0" w:color="auto"/>
            <w:bottom w:val="none" w:sz="0" w:space="0" w:color="auto"/>
            <w:right w:val="none" w:sz="0" w:space="0" w:color="auto"/>
          </w:divBdr>
        </w:div>
        <w:div w:id="1813399306">
          <w:marLeft w:val="274"/>
          <w:marRight w:val="0"/>
          <w:marTop w:val="0"/>
          <w:marBottom w:val="0"/>
          <w:divBdr>
            <w:top w:val="none" w:sz="0" w:space="0" w:color="auto"/>
            <w:left w:val="none" w:sz="0" w:space="0" w:color="auto"/>
            <w:bottom w:val="none" w:sz="0" w:space="0" w:color="auto"/>
            <w:right w:val="none" w:sz="0" w:space="0" w:color="auto"/>
          </w:divBdr>
        </w:div>
        <w:div w:id="1140459047">
          <w:marLeft w:val="274"/>
          <w:marRight w:val="0"/>
          <w:marTop w:val="0"/>
          <w:marBottom w:val="0"/>
          <w:divBdr>
            <w:top w:val="none" w:sz="0" w:space="0" w:color="auto"/>
            <w:left w:val="none" w:sz="0" w:space="0" w:color="auto"/>
            <w:bottom w:val="none" w:sz="0" w:space="0" w:color="auto"/>
            <w:right w:val="none" w:sz="0" w:space="0" w:color="auto"/>
          </w:divBdr>
        </w:div>
        <w:div w:id="1117219595">
          <w:marLeft w:val="274"/>
          <w:marRight w:val="0"/>
          <w:marTop w:val="0"/>
          <w:marBottom w:val="0"/>
          <w:divBdr>
            <w:top w:val="none" w:sz="0" w:space="0" w:color="auto"/>
            <w:left w:val="none" w:sz="0" w:space="0" w:color="auto"/>
            <w:bottom w:val="none" w:sz="0" w:space="0" w:color="auto"/>
            <w:right w:val="none" w:sz="0" w:space="0" w:color="auto"/>
          </w:divBdr>
        </w:div>
      </w:divsChild>
    </w:div>
    <w:div w:id="1068455888">
      <w:bodyDiv w:val="1"/>
      <w:marLeft w:val="0"/>
      <w:marRight w:val="0"/>
      <w:marTop w:val="0"/>
      <w:marBottom w:val="0"/>
      <w:divBdr>
        <w:top w:val="none" w:sz="0" w:space="0" w:color="auto"/>
        <w:left w:val="none" w:sz="0" w:space="0" w:color="auto"/>
        <w:bottom w:val="none" w:sz="0" w:space="0" w:color="auto"/>
        <w:right w:val="none" w:sz="0" w:space="0" w:color="auto"/>
      </w:divBdr>
      <w:divsChild>
        <w:div w:id="798760200">
          <w:marLeft w:val="274"/>
          <w:marRight w:val="0"/>
          <w:marTop w:val="0"/>
          <w:marBottom w:val="0"/>
          <w:divBdr>
            <w:top w:val="none" w:sz="0" w:space="0" w:color="auto"/>
            <w:left w:val="none" w:sz="0" w:space="0" w:color="auto"/>
            <w:bottom w:val="none" w:sz="0" w:space="0" w:color="auto"/>
            <w:right w:val="none" w:sz="0" w:space="0" w:color="auto"/>
          </w:divBdr>
        </w:div>
      </w:divsChild>
    </w:div>
    <w:div w:id="1074664898">
      <w:bodyDiv w:val="1"/>
      <w:marLeft w:val="0"/>
      <w:marRight w:val="0"/>
      <w:marTop w:val="0"/>
      <w:marBottom w:val="0"/>
      <w:divBdr>
        <w:top w:val="none" w:sz="0" w:space="0" w:color="auto"/>
        <w:left w:val="none" w:sz="0" w:space="0" w:color="auto"/>
        <w:bottom w:val="none" w:sz="0" w:space="0" w:color="auto"/>
        <w:right w:val="none" w:sz="0" w:space="0" w:color="auto"/>
      </w:divBdr>
    </w:div>
    <w:div w:id="1136407668">
      <w:bodyDiv w:val="1"/>
      <w:marLeft w:val="0"/>
      <w:marRight w:val="0"/>
      <w:marTop w:val="0"/>
      <w:marBottom w:val="0"/>
      <w:divBdr>
        <w:top w:val="none" w:sz="0" w:space="0" w:color="auto"/>
        <w:left w:val="none" w:sz="0" w:space="0" w:color="auto"/>
        <w:bottom w:val="none" w:sz="0" w:space="0" w:color="auto"/>
        <w:right w:val="none" w:sz="0" w:space="0" w:color="auto"/>
      </w:divBdr>
      <w:divsChild>
        <w:div w:id="325864573">
          <w:marLeft w:val="547"/>
          <w:marRight w:val="0"/>
          <w:marTop w:val="0"/>
          <w:marBottom w:val="0"/>
          <w:divBdr>
            <w:top w:val="none" w:sz="0" w:space="0" w:color="auto"/>
            <w:left w:val="none" w:sz="0" w:space="0" w:color="auto"/>
            <w:bottom w:val="none" w:sz="0" w:space="0" w:color="auto"/>
            <w:right w:val="none" w:sz="0" w:space="0" w:color="auto"/>
          </w:divBdr>
        </w:div>
        <w:div w:id="687296773">
          <w:marLeft w:val="547"/>
          <w:marRight w:val="0"/>
          <w:marTop w:val="0"/>
          <w:marBottom w:val="0"/>
          <w:divBdr>
            <w:top w:val="none" w:sz="0" w:space="0" w:color="auto"/>
            <w:left w:val="none" w:sz="0" w:space="0" w:color="auto"/>
            <w:bottom w:val="none" w:sz="0" w:space="0" w:color="auto"/>
            <w:right w:val="none" w:sz="0" w:space="0" w:color="auto"/>
          </w:divBdr>
        </w:div>
      </w:divsChild>
    </w:div>
    <w:div w:id="1281953033">
      <w:bodyDiv w:val="1"/>
      <w:marLeft w:val="0"/>
      <w:marRight w:val="0"/>
      <w:marTop w:val="0"/>
      <w:marBottom w:val="0"/>
      <w:divBdr>
        <w:top w:val="none" w:sz="0" w:space="0" w:color="auto"/>
        <w:left w:val="none" w:sz="0" w:space="0" w:color="auto"/>
        <w:bottom w:val="none" w:sz="0" w:space="0" w:color="auto"/>
        <w:right w:val="none" w:sz="0" w:space="0" w:color="auto"/>
      </w:divBdr>
    </w:div>
    <w:div w:id="1316488765">
      <w:bodyDiv w:val="1"/>
      <w:marLeft w:val="0"/>
      <w:marRight w:val="0"/>
      <w:marTop w:val="0"/>
      <w:marBottom w:val="0"/>
      <w:divBdr>
        <w:top w:val="none" w:sz="0" w:space="0" w:color="auto"/>
        <w:left w:val="none" w:sz="0" w:space="0" w:color="auto"/>
        <w:bottom w:val="none" w:sz="0" w:space="0" w:color="auto"/>
        <w:right w:val="none" w:sz="0" w:space="0" w:color="auto"/>
      </w:divBdr>
      <w:divsChild>
        <w:div w:id="568156626">
          <w:marLeft w:val="0"/>
          <w:marRight w:val="0"/>
          <w:marTop w:val="0"/>
          <w:marBottom w:val="0"/>
          <w:divBdr>
            <w:top w:val="none" w:sz="0" w:space="0" w:color="auto"/>
            <w:left w:val="none" w:sz="0" w:space="0" w:color="auto"/>
            <w:bottom w:val="none" w:sz="0" w:space="0" w:color="auto"/>
            <w:right w:val="none" w:sz="0" w:space="0" w:color="auto"/>
          </w:divBdr>
          <w:divsChild>
            <w:div w:id="117873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64895">
      <w:bodyDiv w:val="1"/>
      <w:marLeft w:val="0"/>
      <w:marRight w:val="0"/>
      <w:marTop w:val="0"/>
      <w:marBottom w:val="0"/>
      <w:divBdr>
        <w:top w:val="none" w:sz="0" w:space="0" w:color="auto"/>
        <w:left w:val="none" w:sz="0" w:space="0" w:color="auto"/>
        <w:bottom w:val="none" w:sz="0" w:space="0" w:color="auto"/>
        <w:right w:val="none" w:sz="0" w:space="0" w:color="auto"/>
      </w:divBdr>
      <w:divsChild>
        <w:div w:id="1470592566">
          <w:marLeft w:val="274"/>
          <w:marRight w:val="0"/>
          <w:marTop w:val="200"/>
          <w:marBottom w:val="0"/>
          <w:divBdr>
            <w:top w:val="none" w:sz="0" w:space="0" w:color="auto"/>
            <w:left w:val="none" w:sz="0" w:space="0" w:color="auto"/>
            <w:bottom w:val="none" w:sz="0" w:space="0" w:color="auto"/>
            <w:right w:val="none" w:sz="0" w:space="0" w:color="auto"/>
          </w:divBdr>
        </w:div>
        <w:div w:id="1452824714">
          <w:marLeft w:val="274"/>
          <w:marRight w:val="0"/>
          <w:marTop w:val="200"/>
          <w:marBottom w:val="0"/>
          <w:divBdr>
            <w:top w:val="none" w:sz="0" w:space="0" w:color="auto"/>
            <w:left w:val="none" w:sz="0" w:space="0" w:color="auto"/>
            <w:bottom w:val="none" w:sz="0" w:space="0" w:color="auto"/>
            <w:right w:val="none" w:sz="0" w:space="0" w:color="auto"/>
          </w:divBdr>
        </w:div>
        <w:div w:id="1462114192">
          <w:marLeft w:val="576"/>
          <w:marRight w:val="0"/>
          <w:marTop w:val="120"/>
          <w:marBottom w:val="0"/>
          <w:divBdr>
            <w:top w:val="none" w:sz="0" w:space="0" w:color="auto"/>
            <w:left w:val="none" w:sz="0" w:space="0" w:color="auto"/>
            <w:bottom w:val="none" w:sz="0" w:space="0" w:color="auto"/>
            <w:right w:val="none" w:sz="0" w:space="0" w:color="auto"/>
          </w:divBdr>
        </w:div>
        <w:div w:id="858785260">
          <w:marLeft w:val="576"/>
          <w:marRight w:val="0"/>
          <w:marTop w:val="120"/>
          <w:marBottom w:val="0"/>
          <w:divBdr>
            <w:top w:val="none" w:sz="0" w:space="0" w:color="auto"/>
            <w:left w:val="none" w:sz="0" w:space="0" w:color="auto"/>
            <w:bottom w:val="none" w:sz="0" w:space="0" w:color="auto"/>
            <w:right w:val="none" w:sz="0" w:space="0" w:color="auto"/>
          </w:divBdr>
        </w:div>
        <w:div w:id="1203664250">
          <w:marLeft w:val="576"/>
          <w:marRight w:val="0"/>
          <w:marTop w:val="120"/>
          <w:marBottom w:val="0"/>
          <w:divBdr>
            <w:top w:val="none" w:sz="0" w:space="0" w:color="auto"/>
            <w:left w:val="none" w:sz="0" w:space="0" w:color="auto"/>
            <w:bottom w:val="none" w:sz="0" w:space="0" w:color="auto"/>
            <w:right w:val="none" w:sz="0" w:space="0" w:color="auto"/>
          </w:divBdr>
        </w:div>
        <w:div w:id="1150443438">
          <w:marLeft w:val="576"/>
          <w:marRight w:val="0"/>
          <w:marTop w:val="120"/>
          <w:marBottom w:val="0"/>
          <w:divBdr>
            <w:top w:val="none" w:sz="0" w:space="0" w:color="auto"/>
            <w:left w:val="none" w:sz="0" w:space="0" w:color="auto"/>
            <w:bottom w:val="none" w:sz="0" w:space="0" w:color="auto"/>
            <w:right w:val="none" w:sz="0" w:space="0" w:color="auto"/>
          </w:divBdr>
        </w:div>
        <w:div w:id="1127354762">
          <w:marLeft w:val="576"/>
          <w:marRight w:val="0"/>
          <w:marTop w:val="120"/>
          <w:marBottom w:val="0"/>
          <w:divBdr>
            <w:top w:val="none" w:sz="0" w:space="0" w:color="auto"/>
            <w:left w:val="none" w:sz="0" w:space="0" w:color="auto"/>
            <w:bottom w:val="none" w:sz="0" w:space="0" w:color="auto"/>
            <w:right w:val="none" w:sz="0" w:space="0" w:color="auto"/>
          </w:divBdr>
        </w:div>
        <w:div w:id="869028617">
          <w:marLeft w:val="576"/>
          <w:marRight w:val="0"/>
          <w:marTop w:val="120"/>
          <w:marBottom w:val="0"/>
          <w:divBdr>
            <w:top w:val="none" w:sz="0" w:space="0" w:color="auto"/>
            <w:left w:val="none" w:sz="0" w:space="0" w:color="auto"/>
            <w:bottom w:val="none" w:sz="0" w:space="0" w:color="auto"/>
            <w:right w:val="none" w:sz="0" w:space="0" w:color="auto"/>
          </w:divBdr>
        </w:div>
        <w:div w:id="1237518191">
          <w:marLeft w:val="576"/>
          <w:marRight w:val="0"/>
          <w:marTop w:val="120"/>
          <w:marBottom w:val="0"/>
          <w:divBdr>
            <w:top w:val="none" w:sz="0" w:space="0" w:color="auto"/>
            <w:left w:val="none" w:sz="0" w:space="0" w:color="auto"/>
            <w:bottom w:val="none" w:sz="0" w:space="0" w:color="auto"/>
            <w:right w:val="none" w:sz="0" w:space="0" w:color="auto"/>
          </w:divBdr>
        </w:div>
        <w:div w:id="39062808">
          <w:marLeft w:val="274"/>
          <w:marRight w:val="0"/>
          <w:marTop w:val="200"/>
          <w:marBottom w:val="0"/>
          <w:divBdr>
            <w:top w:val="none" w:sz="0" w:space="0" w:color="auto"/>
            <w:left w:val="none" w:sz="0" w:space="0" w:color="auto"/>
            <w:bottom w:val="none" w:sz="0" w:space="0" w:color="auto"/>
            <w:right w:val="none" w:sz="0" w:space="0" w:color="auto"/>
          </w:divBdr>
        </w:div>
        <w:div w:id="758793612">
          <w:marLeft w:val="274"/>
          <w:marRight w:val="0"/>
          <w:marTop w:val="200"/>
          <w:marBottom w:val="0"/>
          <w:divBdr>
            <w:top w:val="none" w:sz="0" w:space="0" w:color="auto"/>
            <w:left w:val="none" w:sz="0" w:space="0" w:color="auto"/>
            <w:bottom w:val="none" w:sz="0" w:space="0" w:color="auto"/>
            <w:right w:val="none" w:sz="0" w:space="0" w:color="auto"/>
          </w:divBdr>
        </w:div>
        <w:div w:id="1343162474">
          <w:marLeft w:val="274"/>
          <w:marRight w:val="0"/>
          <w:marTop w:val="200"/>
          <w:marBottom w:val="0"/>
          <w:divBdr>
            <w:top w:val="none" w:sz="0" w:space="0" w:color="auto"/>
            <w:left w:val="none" w:sz="0" w:space="0" w:color="auto"/>
            <w:bottom w:val="none" w:sz="0" w:space="0" w:color="auto"/>
            <w:right w:val="none" w:sz="0" w:space="0" w:color="auto"/>
          </w:divBdr>
        </w:div>
      </w:divsChild>
    </w:div>
    <w:div w:id="1425225588">
      <w:bodyDiv w:val="1"/>
      <w:marLeft w:val="0"/>
      <w:marRight w:val="0"/>
      <w:marTop w:val="0"/>
      <w:marBottom w:val="0"/>
      <w:divBdr>
        <w:top w:val="none" w:sz="0" w:space="0" w:color="auto"/>
        <w:left w:val="none" w:sz="0" w:space="0" w:color="auto"/>
        <w:bottom w:val="none" w:sz="0" w:space="0" w:color="auto"/>
        <w:right w:val="none" w:sz="0" w:space="0" w:color="auto"/>
      </w:divBdr>
    </w:div>
    <w:div w:id="1460025311">
      <w:bodyDiv w:val="1"/>
      <w:marLeft w:val="0"/>
      <w:marRight w:val="0"/>
      <w:marTop w:val="0"/>
      <w:marBottom w:val="0"/>
      <w:divBdr>
        <w:top w:val="none" w:sz="0" w:space="0" w:color="auto"/>
        <w:left w:val="none" w:sz="0" w:space="0" w:color="auto"/>
        <w:bottom w:val="none" w:sz="0" w:space="0" w:color="auto"/>
        <w:right w:val="none" w:sz="0" w:space="0" w:color="auto"/>
      </w:divBdr>
      <w:divsChild>
        <w:div w:id="2060282166">
          <w:marLeft w:val="0"/>
          <w:marRight w:val="0"/>
          <w:marTop w:val="0"/>
          <w:marBottom w:val="0"/>
          <w:divBdr>
            <w:top w:val="none" w:sz="0" w:space="0" w:color="auto"/>
            <w:left w:val="none" w:sz="0" w:space="0" w:color="auto"/>
            <w:bottom w:val="none" w:sz="0" w:space="0" w:color="auto"/>
            <w:right w:val="none" w:sz="0" w:space="0" w:color="auto"/>
          </w:divBdr>
        </w:div>
      </w:divsChild>
    </w:div>
    <w:div w:id="1566061518">
      <w:bodyDiv w:val="1"/>
      <w:marLeft w:val="0"/>
      <w:marRight w:val="0"/>
      <w:marTop w:val="0"/>
      <w:marBottom w:val="0"/>
      <w:divBdr>
        <w:top w:val="none" w:sz="0" w:space="0" w:color="auto"/>
        <w:left w:val="none" w:sz="0" w:space="0" w:color="auto"/>
        <w:bottom w:val="none" w:sz="0" w:space="0" w:color="auto"/>
        <w:right w:val="none" w:sz="0" w:space="0" w:color="auto"/>
      </w:divBdr>
    </w:div>
    <w:div w:id="1662393807">
      <w:bodyDiv w:val="1"/>
      <w:marLeft w:val="0"/>
      <w:marRight w:val="0"/>
      <w:marTop w:val="0"/>
      <w:marBottom w:val="0"/>
      <w:divBdr>
        <w:top w:val="none" w:sz="0" w:space="0" w:color="auto"/>
        <w:left w:val="none" w:sz="0" w:space="0" w:color="auto"/>
        <w:bottom w:val="none" w:sz="0" w:space="0" w:color="auto"/>
        <w:right w:val="none" w:sz="0" w:space="0" w:color="auto"/>
      </w:divBdr>
    </w:div>
    <w:div w:id="1738935426">
      <w:bodyDiv w:val="1"/>
      <w:marLeft w:val="0"/>
      <w:marRight w:val="0"/>
      <w:marTop w:val="0"/>
      <w:marBottom w:val="0"/>
      <w:divBdr>
        <w:top w:val="none" w:sz="0" w:space="0" w:color="auto"/>
        <w:left w:val="none" w:sz="0" w:space="0" w:color="auto"/>
        <w:bottom w:val="none" w:sz="0" w:space="0" w:color="auto"/>
        <w:right w:val="none" w:sz="0" w:space="0" w:color="auto"/>
      </w:divBdr>
    </w:div>
    <w:div w:id="1820459180">
      <w:bodyDiv w:val="1"/>
      <w:marLeft w:val="0"/>
      <w:marRight w:val="0"/>
      <w:marTop w:val="0"/>
      <w:marBottom w:val="0"/>
      <w:divBdr>
        <w:top w:val="none" w:sz="0" w:space="0" w:color="auto"/>
        <w:left w:val="none" w:sz="0" w:space="0" w:color="auto"/>
        <w:bottom w:val="none" w:sz="0" w:space="0" w:color="auto"/>
        <w:right w:val="none" w:sz="0" w:space="0" w:color="auto"/>
      </w:divBdr>
      <w:divsChild>
        <w:div w:id="1093361797">
          <w:marLeft w:val="547"/>
          <w:marRight w:val="0"/>
          <w:marTop w:val="0"/>
          <w:marBottom w:val="0"/>
          <w:divBdr>
            <w:top w:val="none" w:sz="0" w:space="0" w:color="auto"/>
            <w:left w:val="none" w:sz="0" w:space="0" w:color="auto"/>
            <w:bottom w:val="none" w:sz="0" w:space="0" w:color="auto"/>
            <w:right w:val="none" w:sz="0" w:space="0" w:color="auto"/>
          </w:divBdr>
        </w:div>
        <w:div w:id="1741512383">
          <w:marLeft w:val="547"/>
          <w:marRight w:val="0"/>
          <w:marTop w:val="0"/>
          <w:marBottom w:val="0"/>
          <w:divBdr>
            <w:top w:val="none" w:sz="0" w:space="0" w:color="auto"/>
            <w:left w:val="none" w:sz="0" w:space="0" w:color="auto"/>
            <w:bottom w:val="none" w:sz="0" w:space="0" w:color="auto"/>
            <w:right w:val="none" w:sz="0" w:space="0" w:color="auto"/>
          </w:divBdr>
        </w:div>
      </w:divsChild>
    </w:div>
    <w:div w:id="1893039025">
      <w:bodyDiv w:val="1"/>
      <w:marLeft w:val="0"/>
      <w:marRight w:val="0"/>
      <w:marTop w:val="0"/>
      <w:marBottom w:val="0"/>
      <w:divBdr>
        <w:top w:val="none" w:sz="0" w:space="0" w:color="auto"/>
        <w:left w:val="none" w:sz="0" w:space="0" w:color="auto"/>
        <w:bottom w:val="none" w:sz="0" w:space="0" w:color="auto"/>
        <w:right w:val="none" w:sz="0" w:space="0" w:color="auto"/>
      </w:divBdr>
    </w:div>
    <w:div w:id="1915820689">
      <w:bodyDiv w:val="1"/>
      <w:marLeft w:val="0"/>
      <w:marRight w:val="0"/>
      <w:marTop w:val="0"/>
      <w:marBottom w:val="0"/>
      <w:divBdr>
        <w:top w:val="none" w:sz="0" w:space="0" w:color="auto"/>
        <w:left w:val="none" w:sz="0" w:space="0" w:color="auto"/>
        <w:bottom w:val="none" w:sz="0" w:space="0" w:color="auto"/>
        <w:right w:val="none" w:sz="0" w:space="0" w:color="auto"/>
      </w:divBdr>
      <w:divsChild>
        <w:div w:id="1717847381">
          <w:marLeft w:val="274"/>
          <w:marRight w:val="0"/>
          <w:marTop w:val="0"/>
          <w:marBottom w:val="0"/>
          <w:divBdr>
            <w:top w:val="none" w:sz="0" w:space="0" w:color="auto"/>
            <w:left w:val="none" w:sz="0" w:space="0" w:color="auto"/>
            <w:bottom w:val="none" w:sz="0" w:space="0" w:color="auto"/>
            <w:right w:val="none" w:sz="0" w:space="0" w:color="auto"/>
          </w:divBdr>
        </w:div>
        <w:div w:id="2071417455">
          <w:marLeft w:val="274"/>
          <w:marRight w:val="0"/>
          <w:marTop w:val="0"/>
          <w:marBottom w:val="0"/>
          <w:divBdr>
            <w:top w:val="none" w:sz="0" w:space="0" w:color="auto"/>
            <w:left w:val="none" w:sz="0" w:space="0" w:color="auto"/>
            <w:bottom w:val="none" w:sz="0" w:space="0" w:color="auto"/>
            <w:right w:val="none" w:sz="0" w:space="0" w:color="auto"/>
          </w:divBdr>
        </w:div>
        <w:div w:id="411855188">
          <w:marLeft w:val="274"/>
          <w:marRight w:val="0"/>
          <w:marTop w:val="0"/>
          <w:marBottom w:val="0"/>
          <w:divBdr>
            <w:top w:val="none" w:sz="0" w:space="0" w:color="auto"/>
            <w:left w:val="none" w:sz="0" w:space="0" w:color="auto"/>
            <w:bottom w:val="none" w:sz="0" w:space="0" w:color="auto"/>
            <w:right w:val="none" w:sz="0" w:space="0" w:color="auto"/>
          </w:divBdr>
        </w:div>
      </w:divsChild>
    </w:div>
    <w:div w:id="1916040754">
      <w:bodyDiv w:val="1"/>
      <w:marLeft w:val="0"/>
      <w:marRight w:val="0"/>
      <w:marTop w:val="0"/>
      <w:marBottom w:val="0"/>
      <w:divBdr>
        <w:top w:val="none" w:sz="0" w:space="0" w:color="auto"/>
        <w:left w:val="none" w:sz="0" w:space="0" w:color="auto"/>
        <w:bottom w:val="none" w:sz="0" w:space="0" w:color="auto"/>
        <w:right w:val="none" w:sz="0" w:space="0" w:color="auto"/>
      </w:divBdr>
    </w:div>
    <w:div w:id="195050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health.gov.au/sites/default/files/documents/2022/03/memorandum-of-understanding-for-the-policy-parameters-of-the-prostheses-list-reforms.pdf" TargetMode="External"/><Relationship Id="rId3" Type="http://schemas.openxmlformats.org/officeDocument/2006/relationships/styles" Target="styles.xml"/><Relationship Id="rId21" Type="http://schemas.openxmlformats.org/officeDocument/2006/relationships/hyperlink" Target="https://www.health.gov.au/resources/collections/bundling-arrangements-for-general-use-items-on-the-prostheses-list"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ealth.gov.au/sites/default/files/documents/2021/09/prostheses-list-purpose-definitions-and-scope-consultation-paper-prostheses-list-purpose-definitions-and-scope-consultation-paper.pdf" TargetMode="External"/><Relationship Id="rId2" Type="http://schemas.openxmlformats.org/officeDocument/2006/relationships/numbering" Target="numbering.xml"/><Relationship Id="rId16" Type="http://schemas.openxmlformats.org/officeDocument/2006/relationships/hyperlink" Target="https://www.health.gov.au/resources/collections/bundling-arrangements-for-general-use-items-on-the-prostheses-list" TargetMode="External"/><Relationship Id="rId20" Type="http://schemas.openxmlformats.org/officeDocument/2006/relationships/hyperlink" Target="https://www.health.gov.au/resources/collections/bundling-arrangements-for-general-use-items-on-the-prostheses-li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health.gov.au/topics/private-health-insurance/the-prostheses-list/the-prostheses-list-reforms"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health.gov.au/ministers/the-hon-mark-butler-mp/media/new-funding-arrangement-for-surgical-consumables?language=e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health.gov.au/resources/publications/private-health-insurance-modernising-and-improving-the-private-health-insurance-prostheses-list"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DBRB\AppData\Local\Microsoft\Windows\INetCache\Content.Outlook\EJ6LSEW9\Department%20of%20Health%20-%20Short%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1A767-3CE0-4FFC-85CD-A3A6E097F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Department of Health - Short document template.dotx</Template>
  <TotalTime>1</TotalTime>
  <Pages>7</Pages>
  <Words>2278</Words>
  <Characters>12989</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Nicola</dc:creator>
  <cp:keywords/>
  <dc:description/>
  <cp:lastModifiedBy>HAPGOOD, Kelly</cp:lastModifiedBy>
  <cp:revision>2</cp:revision>
  <dcterms:created xsi:type="dcterms:W3CDTF">2023-02-13T23:57:00Z</dcterms:created>
  <dcterms:modified xsi:type="dcterms:W3CDTF">2023-02-13T23:57:00Z</dcterms:modified>
</cp:coreProperties>
</file>