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C22AB" w14:textId="77777777" w:rsidR="006168AD" w:rsidRDefault="006168AD"/>
    <w:p w14:paraId="322BB84A" w14:textId="34F85D6F" w:rsidR="006168AD" w:rsidRPr="009F7366" w:rsidRDefault="006168AD" w:rsidP="009F7366">
      <w:pPr>
        <w:pStyle w:val="Title"/>
        <w:spacing w:before="1080"/>
        <w:rPr>
          <w:szCs w:val="48"/>
        </w:rPr>
      </w:pPr>
      <w:r w:rsidRPr="009F7366">
        <w:rPr>
          <w:szCs w:val="48"/>
        </w:rPr>
        <w:t>Prostheses List Reforms – Consultation Paper N</w:t>
      </w:r>
      <w:r w:rsidRPr="009F7366">
        <w:rPr>
          <w:szCs w:val="48"/>
          <w:vertAlign w:val="superscript"/>
        </w:rPr>
        <w:t>o</w:t>
      </w:r>
      <w:r w:rsidRPr="009F7366">
        <w:rPr>
          <w:szCs w:val="48"/>
        </w:rPr>
        <w:t xml:space="preserve"> </w:t>
      </w:r>
      <w:r w:rsidR="004B76B6" w:rsidRPr="009F7366">
        <w:rPr>
          <w:szCs w:val="48"/>
        </w:rPr>
        <w:t>3</w:t>
      </w:r>
    </w:p>
    <w:p w14:paraId="19086A0B" w14:textId="77777777" w:rsidR="006168AD" w:rsidRDefault="006168AD" w:rsidP="006168AD">
      <w:pPr>
        <w:pStyle w:val="Subtitle"/>
        <w:rPr>
          <w:spacing w:val="0"/>
          <w:szCs w:val="40"/>
        </w:rPr>
      </w:pPr>
      <w:r w:rsidRPr="003A2D7A">
        <w:rPr>
          <w:spacing w:val="0"/>
          <w:szCs w:val="40"/>
        </w:rPr>
        <w:t xml:space="preserve">Prostheses List – </w:t>
      </w:r>
      <w:r>
        <w:rPr>
          <w:spacing w:val="0"/>
          <w:szCs w:val="40"/>
        </w:rPr>
        <w:t>A modern</w:t>
      </w:r>
      <w:r w:rsidR="00ED70D9">
        <w:rPr>
          <w:spacing w:val="0"/>
          <w:szCs w:val="40"/>
        </w:rPr>
        <w:t>ised fit-for-purpose</w:t>
      </w:r>
      <w:r>
        <w:rPr>
          <w:spacing w:val="0"/>
          <w:szCs w:val="40"/>
        </w:rPr>
        <w:t xml:space="preserve"> listing process</w:t>
      </w:r>
    </w:p>
    <w:p w14:paraId="5249CE31" w14:textId="14F513E1" w:rsidR="00837F8B" w:rsidRPr="00837F8B" w:rsidRDefault="00837F8B" w:rsidP="00837F8B">
      <w:pPr>
        <w:sectPr w:rsidR="00837F8B" w:rsidRPr="00837F8B" w:rsidSect="006168AD">
          <w:footerReference w:type="default" r:id="rId8"/>
          <w:headerReference w:type="first" r:id="rId9"/>
          <w:pgSz w:w="11906" w:h="16838"/>
          <w:pgMar w:top="1701" w:right="1418" w:bottom="1418" w:left="1418" w:header="850" w:footer="709" w:gutter="0"/>
          <w:cols w:space="708"/>
          <w:titlePg/>
          <w:docGrid w:linePitch="360"/>
        </w:sectPr>
      </w:pPr>
    </w:p>
    <w:p w14:paraId="506E6616" w14:textId="77777777" w:rsidR="009F7366" w:rsidRPr="00354E84" w:rsidRDefault="009F7366" w:rsidP="009F7366">
      <w:pPr>
        <w:pStyle w:val="PolicyStatement"/>
        <w:spacing w:before="0" w:line="240" w:lineRule="auto"/>
        <w:rPr>
          <w:rFonts w:ascii="Arial" w:hAnsi="Arial" w:cs="Arial"/>
          <w:b/>
          <w:bCs/>
          <w:color w:val="358189"/>
          <w:sz w:val="32"/>
          <w:szCs w:val="32"/>
        </w:rPr>
      </w:pPr>
      <w:r w:rsidRPr="00354E84">
        <w:rPr>
          <w:rFonts w:ascii="Arial" w:hAnsi="Arial" w:cs="Arial"/>
          <w:b/>
          <w:bCs/>
          <w:color w:val="358189"/>
          <w:sz w:val="32"/>
          <w:szCs w:val="32"/>
        </w:rPr>
        <w:lastRenderedPageBreak/>
        <w:t>Context for the consultation paper</w:t>
      </w:r>
    </w:p>
    <w:p w14:paraId="364F3DF3" w14:textId="04DE85A5" w:rsidR="009F7366" w:rsidRPr="00354E84" w:rsidRDefault="009F7366" w:rsidP="009F7366">
      <w:pPr>
        <w:pStyle w:val="PolicyStatement"/>
        <w:spacing w:before="120" w:line="240" w:lineRule="auto"/>
        <w:rPr>
          <w:rFonts w:ascii="Arial" w:hAnsi="Arial" w:cs="Arial"/>
          <w:sz w:val="21"/>
          <w:szCs w:val="21"/>
        </w:rPr>
      </w:pPr>
      <w:r w:rsidRPr="00354E84">
        <w:rPr>
          <w:rFonts w:ascii="Arial" w:hAnsi="Arial" w:cs="Arial"/>
          <w:sz w:val="21"/>
          <w:szCs w:val="21"/>
        </w:rPr>
        <w:t xml:space="preserve">In the 2021-22 Federal Budget, the Australian Government committed $22 million over four years for the </w:t>
      </w:r>
      <w:r w:rsidRPr="00354E84">
        <w:rPr>
          <w:rFonts w:ascii="Arial" w:hAnsi="Arial" w:cs="Arial"/>
          <w:i/>
          <w:sz w:val="21"/>
          <w:szCs w:val="21"/>
        </w:rPr>
        <w:t xml:space="preserve">Modernising and Improving the Private Health Insurance Prostheses List </w:t>
      </w:r>
      <w:r w:rsidRPr="00354E84">
        <w:rPr>
          <w:rFonts w:ascii="Arial" w:hAnsi="Arial" w:cs="Arial"/>
          <w:sz w:val="21"/>
          <w:szCs w:val="21"/>
        </w:rPr>
        <w:t xml:space="preserve">Budget measure. Following extensive consultation over recent years, this consultation paper will canvass views on proposed implementation of improvements to the Prostheses List (PL) as announced in the Budget. The Government considers these improvements are necessary to benefit consumers, because a number of reviews of the system have consistently found a high variance in the prices on the PL compared to prices paid in the public hospital system, with a limited ability for market forces to exert a downward pressure that would benefit consumers. </w:t>
      </w:r>
    </w:p>
    <w:p w14:paraId="3588BF26" w14:textId="77777777" w:rsidR="00165C50" w:rsidRPr="00354E84" w:rsidRDefault="00165C50" w:rsidP="00165C50">
      <w:pPr>
        <w:pStyle w:val="PolicyStatement"/>
        <w:spacing w:line="240" w:lineRule="auto"/>
        <w:rPr>
          <w:rFonts w:ascii="Arial" w:hAnsi="Arial" w:cs="Arial"/>
          <w:sz w:val="21"/>
          <w:szCs w:val="21"/>
        </w:rPr>
      </w:pPr>
      <w:r w:rsidRPr="00354E84">
        <w:rPr>
          <w:rFonts w:ascii="Arial" w:hAnsi="Arial" w:cs="Arial"/>
          <w:sz w:val="21"/>
          <w:szCs w:val="21"/>
        </w:rPr>
        <w:t>The PL improvements are part of a major multi-year reform to the health technology assessment (HTA) processes within the Department of Health to address capability limitations and position HTA for future needs. Central to the HTA uplift is the development of the Health Products Portal (HPP) which is a single, secure and easy to use platform through which industry can interact with Government to apply, track, pay for and manage listings for regulated and subsidised health-related products and services.</w:t>
      </w:r>
    </w:p>
    <w:p w14:paraId="710D2390" w14:textId="77777777" w:rsidR="009F7366" w:rsidRPr="00354E84" w:rsidRDefault="009F7366" w:rsidP="009F7366">
      <w:pPr>
        <w:pStyle w:val="PolicyStatement"/>
        <w:spacing w:before="120" w:line="240" w:lineRule="auto"/>
        <w:rPr>
          <w:rFonts w:ascii="Arial" w:hAnsi="Arial" w:cs="Arial"/>
          <w:sz w:val="21"/>
          <w:szCs w:val="21"/>
        </w:rPr>
      </w:pPr>
      <w:r w:rsidRPr="00354E84">
        <w:rPr>
          <w:rFonts w:ascii="Arial" w:hAnsi="Arial" w:cs="Arial"/>
          <w:sz w:val="21"/>
          <w:szCs w:val="21"/>
        </w:rPr>
        <w:t>The HPP will provide significant regulatory savings to industry, across a range of categories which build on each other over time to realise cumulative benefits. Once the project is fully implemented, the estimated savings to the pharmaceutical and medical device industry will be around $157 million annually. This estimate is based on digitisation of approximately 8,000 interactions per year between industry and government.</w:t>
      </w:r>
    </w:p>
    <w:p w14:paraId="201A3B68" w14:textId="77777777" w:rsidR="009F7366" w:rsidRPr="00354E84" w:rsidRDefault="009F7366" w:rsidP="009F7366">
      <w:pPr>
        <w:pStyle w:val="PolicyStatement"/>
        <w:spacing w:before="120" w:line="240" w:lineRule="auto"/>
        <w:rPr>
          <w:rFonts w:ascii="Arial" w:hAnsi="Arial" w:cs="Arial"/>
          <w:sz w:val="21"/>
          <w:szCs w:val="21"/>
        </w:rPr>
      </w:pPr>
      <w:r w:rsidRPr="00354E84">
        <w:rPr>
          <w:rFonts w:ascii="Arial" w:hAnsi="Arial" w:cs="Arial"/>
          <w:sz w:val="21"/>
          <w:szCs w:val="21"/>
        </w:rPr>
        <w:t>The development of the HPP together with the PL improvements, provide the opportunity for streamlining processes and ensuring the PL, which has been a feature of the Australian health system since 1985, meets consumer expectations.</w:t>
      </w:r>
    </w:p>
    <w:p w14:paraId="2965D46F" w14:textId="77777777" w:rsidR="009F7366" w:rsidRPr="00354E84" w:rsidRDefault="009F7366" w:rsidP="009F7366">
      <w:pPr>
        <w:pStyle w:val="PolicyStatement"/>
        <w:spacing w:before="120" w:line="240" w:lineRule="auto"/>
        <w:rPr>
          <w:rFonts w:ascii="Arial" w:hAnsi="Arial" w:cs="Arial"/>
          <w:sz w:val="21"/>
          <w:szCs w:val="21"/>
        </w:rPr>
      </w:pPr>
      <w:r w:rsidRPr="00354E84">
        <w:rPr>
          <w:rFonts w:ascii="Arial" w:hAnsi="Arial" w:cs="Arial"/>
          <w:sz w:val="21"/>
          <w:szCs w:val="21"/>
        </w:rPr>
        <w:t xml:space="preserve">The PL improvements propose </w:t>
      </w:r>
      <w:proofErr w:type="gramStart"/>
      <w:r w:rsidRPr="00354E84">
        <w:rPr>
          <w:rFonts w:ascii="Arial" w:hAnsi="Arial" w:cs="Arial"/>
          <w:sz w:val="21"/>
          <w:szCs w:val="21"/>
        </w:rPr>
        <w:t>a number of</w:t>
      </w:r>
      <w:proofErr w:type="gramEnd"/>
      <w:r w:rsidRPr="00354E84">
        <w:rPr>
          <w:rFonts w:ascii="Arial" w:hAnsi="Arial" w:cs="Arial"/>
          <w:sz w:val="21"/>
          <w:szCs w:val="21"/>
        </w:rPr>
        <w:t xml:space="preserve"> changes to the PL processes to improve transparency, increase consumer protection and address sustainability of the system of reimbursement through private health insurance, including:  </w:t>
      </w:r>
    </w:p>
    <w:p w14:paraId="42935D06" w14:textId="77777777" w:rsidR="009F7366" w:rsidRPr="00354E84" w:rsidRDefault="009F7366" w:rsidP="009F7366">
      <w:pPr>
        <w:pStyle w:val="PolicyStatement"/>
        <w:spacing w:before="120" w:line="240" w:lineRule="auto"/>
        <w:rPr>
          <w:rFonts w:ascii="Arial" w:hAnsi="Arial" w:cs="Arial"/>
          <w:sz w:val="21"/>
          <w:szCs w:val="21"/>
        </w:rPr>
      </w:pPr>
      <w:r w:rsidRPr="00354E84">
        <w:rPr>
          <w:rFonts w:ascii="Arial" w:hAnsi="Arial" w:cs="Arial"/>
          <w:sz w:val="21"/>
          <w:szCs w:val="21"/>
        </w:rPr>
        <w:t>•</w:t>
      </w:r>
      <w:r w:rsidRPr="00354E84">
        <w:rPr>
          <w:rFonts w:ascii="Arial" w:hAnsi="Arial" w:cs="Arial"/>
          <w:sz w:val="21"/>
          <w:szCs w:val="21"/>
        </w:rPr>
        <w:tab/>
        <w:t xml:space="preserve">clarification of the purpose, definitions, and scope (criteria for listing) of the PL </w:t>
      </w:r>
    </w:p>
    <w:p w14:paraId="2A647996" w14:textId="77777777" w:rsidR="009F7366" w:rsidRPr="00354E84" w:rsidRDefault="009F7366" w:rsidP="009F7366">
      <w:pPr>
        <w:pStyle w:val="PolicyStatement"/>
        <w:spacing w:before="120" w:line="240" w:lineRule="auto"/>
        <w:rPr>
          <w:rFonts w:ascii="Arial" w:hAnsi="Arial" w:cs="Arial"/>
          <w:sz w:val="21"/>
          <w:szCs w:val="21"/>
        </w:rPr>
      </w:pPr>
      <w:r w:rsidRPr="00354E84">
        <w:rPr>
          <w:rFonts w:ascii="Arial" w:hAnsi="Arial" w:cs="Arial"/>
          <w:sz w:val="21"/>
          <w:szCs w:val="21"/>
        </w:rPr>
        <w:t>•</w:t>
      </w:r>
      <w:r w:rsidRPr="00354E84">
        <w:rPr>
          <w:rFonts w:ascii="Arial" w:hAnsi="Arial" w:cs="Arial"/>
          <w:sz w:val="21"/>
          <w:szCs w:val="21"/>
        </w:rPr>
        <w:tab/>
        <w:t>restructured Part A and Part C of the PL with the streamlined grouping structure</w:t>
      </w:r>
    </w:p>
    <w:p w14:paraId="6B993121" w14:textId="77777777" w:rsidR="009F7366" w:rsidRPr="00354E84" w:rsidRDefault="009F7366" w:rsidP="009F7366">
      <w:pPr>
        <w:pStyle w:val="PolicyStatement"/>
        <w:spacing w:before="120" w:line="240" w:lineRule="auto"/>
        <w:rPr>
          <w:rFonts w:ascii="Arial" w:hAnsi="Arial" w:cs="Arial"/>
          <w:sz w:val="21"/>
          <w:szCs w:val="21"/>
        </w:rPr>
      </w:pPr>
      <w:r w:rsidRPr="00354E84">
        <w:rPr>
          <w:rFonts w:ascii="Arial" w:hAnsi="Arial" w:cs="Arial"/>
          <w:sz w:val="21"/>
          <w:szCs w:val="21"/>
        </w:rPr>
        <w:t>•</w:t>
      </w:r>
      <w:r w:rsidRPr="00354E84">
        <w:rPr>
          <w:rFonts w:ascii="Arial" w:hAnsi="Arial" w:cs="Arial"/>
          <w:sz w:val="21"/>
          <w:szCs w:val="21"/>
        </w:rPr>
        <w:tab/>
        <w:t>a revised Part B of the PL</w:t>
      </w:r>
    </w:p>
    <w:p w14:paraId="6EFE9D52" w14:textId="77777777" w:rsidR="009F7366" w:rsidRPr="00354E84" w:rsidRDefault="009F7366" w:rsidP="009F7366">
      <w:pPr>
        <w:pStyle w:val="PolicyStatement"/>
        <w:spacing w:before="120" w:line="240" w:lineRule="auto"/>
        <w:rPr>
          <w:rFonts w:ascii="Arial" w:hAnsi="Arial" w:cs="Arial"/>
          <w:sz w:val="21"/>
          <w:szCs w:val="21"/>
        </w:rPr>
      </w:pPr>
      <w:r w:rsidRPr="00354E84">
        <w:rPr>
          <w:rFonts w:ascii="Arial" w:hAnsi="Arial" w:cs="Arial"/>
          <w:sz w:val="21"/>
          <w:szCs w:val="21"/>
        </w:rPr>
        <w:t>•</w:t>
      </w:r>
      <w:r w:rsidRPr="00354E84">
        <w:rPr>
          <w:rFonts w:ascii="Arial" w:hAnsi="Arial" w:cs="Arial"/>
          <w:sz w:val="21"/>
          <w:szCs w:val="21"/>
        </w:rPr>
        <w:tab/>
        <w:t>a modernised fit-for-purpose listing pathway process</w:t>
      </w:r>
    </w:p>
    <w:p w14:paraId="38E64701" w14:textId="2A28C440" w:rsidR="009F7366" w:rsidRPr="00354E84" w:rsidRDefault="009F7366" w:rsidP="00C36807">
      <w:pPr>
        <w:pStyle w:val="PolicyStatement"/>
        <w:spacing w:before="120" w:line="240" w:lineRule="auto"/>
        <w:ind w:left="717" w:hanging="490"/>
        <w:rPr>
          <w:rFonts w:ascii="Arial" w:hAnsi="Arial" w:cs="Arial"/>
          <w:sz w:val="21"/>
          <w:szCs w:val="21"/>
        </w:rPr>
      </w:pPr>
      <w:r w:rsidRPr="00354E84">
        <w:rPr>
          <w:rFonts w:ascii="Arial" w:hAnsi="Arial" w:cs="Arial"/>
          <w:sz w:val="21"/>
          <w:szCs w:val="21"/>
        </w:rPr>
        <w:t>•</w:t>
      </w:r>
      <w:r w:rsidRPr="00354E84">
        <w:rPr>
          <w:rFonts w:ascii="Arial" w:hAnsi="Arial" w:cs="Arial"/>
          <w:sz w:val="21"/>
          <w:szCs w:val="21"/>
        </w:rPr>
        <w:tab/>
        <w:t>disclosing actual prices paid for PL items in the Australian public sector</w:t>
      </w:r>
    </w:p>
    <w:p w14:paraId="753EC0B6" w14:textId="78FDA037" w:rsidR="009F7366" w:rsidRPr="00354E84" w:rsidRDefault="009F7366" w:rsidP="006739D0">
      <w:pPr>
        <w:pStyle w:val="PolicyStatement"/>
        <w:spacing w:before="120" w:line="240" w:lineRule="auto"/>
        <w:ind w:left="717" w:hanging="490"/>
        <w:rPr>
          <w:rFonts w:ascii="Arial" w:hAnsi="Arial" w:cs="Arial"/>
          <w:sz w:val="21"/>
          <w:szCs w:val="21"/>
        </w:rPr>
      </w:pPr>
      <w:r w:rsidRPr="00354E84">
        <w:rPr>
          <w:rFonts w:ascii="Arial" w:hAnsi="Arial" w:cs="Arial"/>
          <w:sz w:val="21"/>
          <w:szCs w:val="21"/>
        </w:rPr>
        <w:t>•</w:t>
      </w:r>
      <w:r w:rsidRPr="00354E84">
        <w:rPr>
          <w:rFonts w:ascii="Arial" w:hAnsi="Arial" w:cs="Arial"/>
          <w:sz w:val="21"/>
          <w:szCs w:val="21"/>
        </w:rPr>
        <w:tab/>
        <w:t>comparison of PL prices with the prices in comparable international markets such as Canada,</w:t>
      </w:r>
      <w:r w:rsidR="006739D0" w:rsidRPr="00354E84">
        <w:rPr>
          <w:rFonts w:ascii="Arial" w:hAnsi="Arial" w:cs="Arial"/>
          <w:sz w:val="21"/>
          <w:szCs w:val="21"/>
        </w:rPr>
        <w:t xml:space="preserve"> </w:t>
      </w:r>
      <w:r w:rsidRPr="00354E84">
        <w:rPr>
          <w:rFonts w:ascii="Arial" w:hAnsi="Arial" w:cs="Arial"/>
          <w:sz w:val="21"/>
          <w:szCs w:val="21"/>
        </w:rPr>
        <w:t>France, New Zealand, Singapore, United Kingdom, and the United States</w:t>
      </w:r>
      <w:r w:rsidR="00E65AF2">
        <w:rPr>
          <w:rFonts w:ascii="Arial" w:hAnsi="Arial" w:cs="Arial"/>
          <w:sz w:val="21"/>
          <w:szCs w:val="21"/>
        </w:rPr>
        <w:t xml:space="preserve"> of America</w:t>
      </w:r>
    </w:p>
    <w:p w14:paraId="0373EDAC" w14:textId="77777777" w:rsidR="009F7366" w:rsidRPr="00354E84" w:rsidRDefault="009F7366" w:rsidP="006739D0">
      <w:pPr>
        <w:pStyle w:val="PolicyStatement"/>
        <w:spacing w:before="120" w:line="240" w:lineRule="auto"/>
        <w:ind w:left="717" w:hanging="490"/>
        <w:rPr>
          <w:rFonts w:ascii="Arial" w:hAnsi="Arial" w:cs="Arial"/>
          <w:sz w:val="21"/>
          <w:szCs w:val="21"/>
        </w:rPr>
      </w:pPr>
      <w:r w:rsidRPr="00354E84">
        <w:rPr>
          <w:rFonts w:ascii="Arial" w:hAnsi="Arial" w:cs="Arial"/>
          <w:sz w:val="21"/>
          <w:szCs w:val="21"/>
        </w:rPr>
        <w:t>•</w:t>
      </w:r>
      <w:r w:rsidRPr="00354E84">
        <w:rPr>
          <w:rFonts w:ascii="Arial" w:hAnsi="Arial" w:cs="Arial"/>
          <w:sz w:val="21"/>
          <w:szCs w:val="21"/>
        </w:rPr>
        <w:tab/>
        <w:t>introducing, as a part of PL application process, a declaration by companies that there will not be extra charges for the products beyond the PL price, with penalties for false declaration, to ensure no out-of-pocket expenses for consumers, and</w:t>
      </w:r>
    </w:p>
    <w:p w14:paraId="1171942A" w14:textId="77777777" w:rsidR="009F7366" w:rsidRPr="00354E84" w:rsidRDefault="009F7366" w:rsidP="009F7366">
      <w:pPr>
        <w:pStyle w:val="PolicyStatement"/>
        <w:spacing w:before="120" w:line="240" w:lineRule="auto"/>
        <w:rPr>
          <w:rFonts w:ascii="Arial" w:hAnsi="Arial" w:cs="Arial"/>
          <w:sz w:val="21"/>
          <w:szCs w:val="21"/>
        </w:rPr>
      </w:pPr>
      <w:r w:rsidRPr="00354E84">
        <w:rPr>
          <w:rFonts w:ascii="Arial" w:hAnsi="Arial" w:cs="Arial"/>
          <w:sz w:val="21"/>
          <w:szCs w:val="21"/>
        </w:rPr>
        <w:t>•</w:t>
      </w:r>
      <w:r w:rsidRPr="00354E84">
        <w:rPr>
          <w:rFonts w:ascii="Arial" w:hAnsi="Arial" w:cs="Arial"/>
          <w:sz w:val="21"/>
          <w:szCs w:val="21"/>
        </w:rPr>
        <w:tab/>
        <w:t>other suitable compliance approaches to maintain the integrity of the program.</w:t>
      </w:r>
    </w:p>
    <w:p w14:paraId="4D4DB6F8" w14:textId="77777777" w:rsidR="009F7366" w:rsidRPr="00354E84" w:rsidRDefault="009F7366" w:rsidP="009F7366">
      <w:pPr>
        <w:pStyle w:val="PolicyStatement"/>
        <w:spacing w:before="120" w:line="240" w:lineRule="auto"/>
        <w:rPr>
          <w:rFonts w:ascii="Arial" w:hAnsi="Arial" w:cs="Arial"/>
          <w:sz w:val="21"/>
          <w:szCs w:val="21"/>
        </w:rPr>
      </w:pPr>
      <w:r w:rsidRPr="00354E84">
        <w:rPr>
          <w:rFonts w:ascii="Arial" w:hAnsi="Arial" w:cs="Arial"/>
          <w:sz w:val="21"/>
          <w:szCs w:val="21"/>
        </w:rPr>
        <w:t xml:space="preserve">The PL improvements will benefit private health insurers by lowering prices paid by insurers for medical devices. This benefit will flow to Australians with private health insurance by keeping downward pressure on premiums. Doctors, private </w:t>
      </w:r>
      <w:proofErr w:type="gramStart"/>
      <w:r w:rsidRPr="00354E84">
        <w:rPr>
          <w:rFonts w:ascii="Arial" w:hAnsi="Arial" w:cs="Arial"/>
          <w:sz w:val="21"/>
          <w:szCs w:val="21"/>
        </w:rPr>
        <w:t>hospitals</w:t>
      </w:r>
      <w:proofErr w:type="gramEnd"/>
      <w:r w:rsidRPr="00354E84">
        <w:rPr>
          <w:rFonts w:ascii="Arial" w:hAnsi="Arial" w:cs="Arial"/>
          <w:sz w:val="21"/>
          <w:szCs w:val="21"/>
        </w:rPr>
        <w:t xml:space="preserve"> and privately insured patients will benefit through continued access to a comprehensive range of medical devices and certainty about their reimbursement. </w:t>
      </w:r>
    </w:p>
    <w:p w14:paraId="7478096F" w14:textId="39712C46" w:rsidR="006168AD" w:rsidRPr="00354E84" w:rsidRDefault="009F7366" w:rsidP="009F7366">
      <w:pPr>
        <w:pStyle w:val="PolicyStatement"/>
        <w:spacing w:before="120" w:line="240" w:lineRule="auto"/>
        <w:rPr>
          <w:rFonts w:ascii="Arial" w:hAnsi="Arial" w:cs="Arial"/>
          <w:sz w:val="21"/>
          <w:szCs w:val="21"/>
        </w:rPr>
      </w:pPr>
      <w:r w:rsidRPr="00354E84">
        <w:rPr>
          <w:rFonts w:ascii="Arial" w:hAnsi="Arial" w:cs="Arial"/>
          <w:sz w:val="21"/>
          <w:szCs w:val="21"/>
        </w:rPr>
        <w:t>Medical device companies will also benefit from the PL streamlined administration with new listing pathways for the PL.</w:t>
      </w:r>
    </w:p>
    <w:p w14:paraId="3C0EED26" w14:textId="34307EE9" w:rsidR="006168AD" w:rsidRDefault="006168AD" w:rsidP="00AD644A">
      <w:pPr>
        <w:pStyle w:val="Heading1"/>
      </w:pPr>
      <w:r>
        <w:lastRenderedPageBreak/>
        <w:t>Purpose</w:t>
      </w:r>
    </w:p>
    <w:p w14:paraId="23AC8E2B" w14:textId="12A84064" w:rsidR="006168AD" w:rsidRPr="000D4E16" w:rsidRDefault="006168AD" w:rsidP="001A25B0">
      <w:pPr>
        <w:pStyle w:val="Paragraphtext"/>
      </w:pPr>
      <w:bookmarkStart w:id="0" w:name="_Hlk86151727"/>
      <w:r>
        <w:t>A</w:t>
      </w:r>
      <w:r w:rsidRPr="007F3245">
        <w:t xml:space="preserve"> key element of the</w:t>
      </w:r>
      <w:r>
        <w:t>se</w:t>
      </w:r>
      <w:r w:rsidRPr="007F3245">
        <w:t xml:space="preserve"> reforms</w:t>
      </w:r>
      <w:r>
        <w:t xml:space="preserve"> is to improve the </w:t>
      </w:r>
      <w:r w:rsidRPr="007F3245">
        <w:t>administration of the PL</w:t>
      </w:r>
      <w:r>
        <w:t xml:space="preserve"> to reduce red tape</w:t>
      </w:r>
      <w:r w:rsidR="00C36807">
        <w:t xml:space="preserve"> and</w:t>
      </w:r>
      <w:r>
        <w:t xml:space="preserve"> ensure that all medical devices are listed on the </w:t>
      </w:r>
      <w:r w:rsidR="00790234">
        <w:t>Prostheses List (</w:t>
      </w:r>
      <w:r>
        <w:t>PL</w:t>
      </w:r>
      <w:r w:rsidR="00790234">
        <w:t>)</w:t>
      </w:r>
      <w:r>
        <w:t xml:space="preserve"> in line with health technology assessment guidelines while</w:t>
      </w:r>
      <w:r w:rsidRPr="007F3245">
        <w:t xml:space="preserve"> </w:t>
      </w:r>
      <w:r w:rsidRPr="000D4E16">
        <w:t>streamlining the application and listing processes.</w:t>
      </w:r>
    </w:p>
    <w:bookmarkEnd w:id="0"/>
    <w:p w14:paraId="24BBB724" w14:textId="4E18FEBF" w:rsidR="00790234" w:rsidRPr="000D4E16" w:rsidRDefault="006168AD" w:rsidP="001A25B0">
      <w:pPr>
        <w:pStyle w:val="Paragraphtext"/>
      </w:pPr>
      <w:r w:rsidRPr="000D4E16">
        <w:t>The purpose of this paper is to</w:t>
      </w:r>
      <w:r w:rsidR="004B76B6" w:rsidRPr="000D4E16">
        <w:t xml:space="preserve"> </w:t>
      </w:r>
      <w:r w:rsidR="0028722A">
        <w:t>describe</w:t>
      </w:r>
      <w:r w:rsidR="004B76B6" w:rsidRPr="000D4E16">
        <w:t xml:space="preserve"> the proposed modern</w:t>
      </w:r>
      <w:r w:rsidR="00442685">
        <w:t>ised</w:t>
      </w:r>
      <w:r w:rsidR="004B76B6" w:rsidRPr="000D4E16">
        <w:t xml:space="preserve"> listing pathways</w:t>
      </w:r>
      <w:r w:rsidR="00C36807">
        <w:t>. This paper</w:t>
      </w:r>
      <w:r w:rsidRPr="000D4E16">
        <w:t xml:space="preserve"> seek</w:t>
      </w:r>
      <w:r w:rsidR="00C36807">
        <w:t>s</w:t>
      </w:r>
      <w:r w:rsidRPr="000D4E16">
        <w:t xml:space="preserve"> stakeholder </w:t>
      </w:r>
      <w:r w:rsidR="004B76B6" w:rsidRPr="000D4E16">
        <w:t>comment</w:t>
      </w:r>
      <w:r w:rsidR="00C36807">
        <w:t xml:space="preserve"> on these modernised listing pathways which aim to provide</w:t>
      </w:r>
      <w:r w:rsidR="00C36807" w:rsidRPr="000D4E16">
        <w:t xml:space="preserve"> a contemporary fit-for-purpose process for the PL which</w:t>
      </w:r>
      <w:r w:rsidR="00C36807">
        <w:t xml:space="preserve"> will</w:t>
      </w:r>
      <w:r w:rsidR="00C36807" w:rsidRPr="000D4E16">
        <w:t xml:space="preserve"> allow for applications of differing complexity to be dealt with via different pathways</w:t>
      </w:r>
      <w:r w:rsidR="004B76B6" w:rsidRPr="000D4E16">
        <w:t xml:space="preserve">. It is </w:t>
      </w:r>
      <w:r w:rsidR="002F6452">
        <w:t>expected</w:t>
      </w:r>
      <w:r w:rsidR="004B76B6" w:rsidRPr="000D4E16">
        <w:t xml:space="preserve"> that </w:t>
      </w:r>
      <w:r w:rsidRPr="000D4E16">
        <w:t>implementation</w:t>
      </w:r>
      <w:r w:rsidR="004B76B6" w:rsidRPr="000D4E16">
        <w:t xml:space="preserve"> of the new pathways will</w:t>
      </w:r>
      <w:r w:rsidRPr="000D4E16">
        <w:t xml:space="preserve"> commence </w:t>
      </w:r>
      <w:r w:rsidR="00E445FE">
        <w:t>from</w:t>
      </w:r>
      <w:r w:rsidRPr="000D4E16">
        <w:t xml:space="preserve"> July 2022</w:t>
      </w:r>
      <w:r w:rsidR="00790234" w:rsidRPr="000D4E16">
        <w:t xml:space="preserve"> </w:t>
      </w:r>
      <w:r w:rsidR="00C36807">
        <w:t>in line with the anticipated expansion</w:t>
      </w:r>
      <w:r w:rsidR="00790234" w:rsidRPr="000D4E16">
        <w:t xml:space="preserve"> of the HPP</w:t>
      </w:r>
      <w:r w:rsidR="00C36807">
        <w:t xml:space="preserve"> to include </w:t>
      </w:r>
      <w:r w:rsidR="00701DCA" w:rsidRPr="000D4E16">
        <w:t xml:space="preserve">the </w:t>
      </w:r>
      <w:r w:rsidR="00C36807">
        <w:t>PL application process</w:t>
      </w:r>
      <w:r w:rsidR="003032C0" w:rsidRPr="003032C0">
        <w:t xml:space="preserve"> </w:t>
      </w:r>
      <w:r w:rsidR="00C36807">
        <w:t>(replacing the current use of the</w:t>
      </w:r>
      <w:r w:rsidR="002F6452" w:rsidRPr="002F6452">
        <w:t xml:space="preserve"> Prostheses List </w:t>
      </w:r>
      <w:r w:rsidR="003032C0" w:rsidRPr="003032C0">
        <w:t>Management System</w:t>
      </w:r>
      <w:r w:rsidR="003032C0">
        <w:t xml:space="preserve"> (</w:t>
      </w:r>
      <w:r w:rsidR="00701DCA" w:rsidRPr="000D4E16">
        <w:t>PLMS</w:t>
      </w:r>
      <w:r w:rsidR="002F6452" w:rsidRPr="002F6452">
        <w:t>)</w:t>
      </w:r>
      <w:r w:rsidR="00C36807">
        <w:t>)</w:t>
      </w:r>
      <w:r w:rsidR="00701DCA" w:rsidRPr="000D4E16">
        <w:t>.</w:t>
      </w:r>
      <w:r w:rsidR="00790234" w:rsidRPr="000D4E16">
        <w:t xml:space="preserve"> </w:t>
      </w:r>
    </w:p>
    <w:p w14:paraId="2B4E67C7" w14:textId="031965E6" w:rsidR="00F837C7" w:rsidRPr="000D4E16" w:rsidRDefault="003C3787" w:rsidP="001A25B0">
      <w:pPr>
        <w:pStyle w:val="Paragraphtext"/>
      </w:pPr>
      <w:r w:rsidRPr="000D4E16">
        <w:t xml:space="preserve">This paper does not explore the </w:t>
      </w:r>
      <w:r w:rsidR="00F837C7" w:rsidRPr="000D4E16">
        <w:t xml:space="preserve">following which will be addressed in future Prostheses List Reform Consultation Papers: </w:t>
      </w:r>
    </w:p>
    <w:p w14:paraId="7DFBC9C9" w14:textId="131D6D04" w:rsidR="00F837C7" w:rsidRPr="000D4E16" w:rsidRDefault="003C3787" w:rsidP="00B07304">
      <w:pPr>
        <w:pStyle w:val="ListBullet"/>
      </w:pPr>
      <w:r w:rsidRPr="000D4E16">
        <w:t>review of any governance arrangements associated with the PL listing process</w:t>
      </w:r>
    </w:p>
    <w:p w14:paraId="2D1AB097" w14:textId="77060B73" w:rsidR="00F837C7" w:rsidRPr="000D4E16" w:rsidRDefault="00194911" w:rsidP="00B07304">
      <w:pPr>
        <w:pStyle w:val="ListBullet"/>
      </w:pPr>
      <w:r w:rsidRPr="000D4E16">
        <w:t>expected timeframes</w:t>
      </w:r>
      <w:r w:rsidR="00976B01" w:rsidRPr="000D4E16">
        <w:t xml:space="preserve"> and deadlines</w:t>
      </w:r>
      <w:r w:rsidR="00701DCA" w:rsidRPr="000D4E16">
        <w:t xml:space="preserve"> of applications</w:t>
      </w:r>
      <w:r w:rsidRPr="000D4E16">
        <w:t xml:space="preserve"> </w:t>
      </w:r>
      <w:r w:rsidR="00976B01" w:rsidRPr="000D4E16">
        <w:t xml:space="preserve">submitted by sponsors </w:t>
      </w:r>
      <w:r w:rsidRPr="000D4E16">
        <w:t>for the suggested new pathway processes</w:t>
      </w:r>
    </w:p>
    <w:p w14:paraId="29F1B215" w14:textId="29B7DB8C" w:rsidR="00F56306" w:rsidRPr="000D4E16" w:rsidRDefault="0087083B" w:rsidP="00C36807">
      <w:pPr>
        <w:pStyle w:val="ListBullet"/>
      </w:pPr>
      <w:r w:rsidRPr="000D4E16">
        <w:t>detailed guidelines for each possible new pathway</w:t>
      </w:r>
      <w:r w:rsidR="00C36807" w:rsidRPr="00C36807">
        <w:t xml:space="preserve"> </w:t>
      </w:r>
      <w:r w:rsidR="00C36807">
        <w:t xml:space="preserve">(including </w:t>
      </w:r>
      <w:r w:rsidR="00C36807" w:rsidRPr="000D4E16">
        <w:t>set criteria for each proposed pathway</w:t>
      </w:r>
      <w:r w:rsidR="00C36807">
        <w:t>)</w:t>
      </w:r>
    </w:p>
    <w:p w14:paraId="2DD6C66A" w14:textId="6B0AC5AB" w:rsidR="006168AD" w:rsidRPr="00E62081" w:rsidRDefault="00F56306" w:rsidP="00B07304">
      <w:pPr>
        <w:pStyle w:val="ListBullet"/>
      </w:pPr>
      <w:r w:rsidRPr="000D4E16">
        <w:t>revised cost recovery arrangements to reflect the modern</w:t>
      </w:r>
      <w:r w:rsidR="00442685">
        <w:t>ised</w:t>
      </w:r>
      <w:r w:rsidRPr="000D4E16">
        <w:t xml:space="preserve"> listing pathways and ensure compliance with the Australian Government Charging Framework.</w:t>
      </w:r>
      <w:r>
        <w:t xml:space="preserve"> </w:t>
      </w:r>
    </w:p>
    <w:p w14:paraId="23868C3A" w14:textId="77777777" w:rsidR="006168AD" w:rsidRDefault="006168AD" w:rsidP="00AD644A">
      <w:pPr>
        <w:pStyle w:val="Heading1"/>
      </w:pPr>
      <w:r>
        <w:t>Approach</w:t>
      </w:r>
    </w:p>
    <w:p w14:paraId="7BBE5DFD" w14:textId="16B80EDA" w:rsidR="006168AD" w:rsidRPr="007F3245" w:rsidRDefault="006168AD" w:rsidP="001A25B0">
      <w:pPr>
        <w:pStyle w:val="Paragraphtext"/>
      </w:pPr>
      <w:r w:rsidRPr="007F3245">
        <w:t xml:space="preserve">This consultation paper builds on the previous reform and review activities, including the reforms under the Australian Government’s 2017 Agreement with the Medical Technology Association of Australia (MTAA Agreement), </w:t>
      </w:r>
      <w:proofErr w:type="gramStart"/>
      <w:r w:rsidRPr="007F3245">
        <w:t>in particular the</w:t>
      </w:r>
      <w:proofErr w:type="gramEnd"/>
      <w:r w:rsidRPr="007F3245">
        <w:t xml:space="preserve"> work of:</w:t>
      </w:r>
    </w:p>
    <w:p w14:paraId="5128B9B5" w14:textId="13D3FD1C" w:rsidR="006168AD" w:rsidRPr="00F837C7" w:rsidRDefault="006168AD" w:rsidP="00B07304">
      <w:pPr>
        <w:pStyle w:val="ListBullet"/>
      </w:pPr>
      <w:r w:rsidRPr="00F837C7">
        <w:t>the Quality of Information and Guidance Industry Working Group</w:t>
      </w:r>
      <w:r w:rsidR="00571BF5">
        <w:t xml:space="preserve"> (QIG)</w:t>
      </w:r>
    </w:p>
    <w:p w14:paraId="226925E7" w14:textId="19447FE8" w:rsidR="006168AD" w:rsidRPr="00F837C7" w:rsidRDefault="006168AD" w:rsidP="00B07304">
      <w:pPr>
        <w:pStyle w:val="ListBullet"/>
      </w:pPr>
      <w:r w:rsidRPr="00F837C7">
        <w:t xml:space="preserve">the Revised Benefit Setting </w:t>
      </w:r>
      <w:r w:rsidR="000D4E16">
        <w:t>and</w:t>
      </w:r>
      <w:r w:rsidRPr="00F837C7">
        <w:t xml:space="preserve"> Review Framework Industry Working Group</w:t>
      </w:r>
      <w:r w:rsidR="001A25B0">
        <w:t>.</w:t>
      </w:r>
    </w:p>
    <w:p w14:paraId="36DFDDE5" w14:textId="77777777" w:rsidR="006168AD" w:rsidRPr="00C520A7" w:rsidRDefault="006168AD" w:rsidP="001A25B0">
      <w:pPr>
        <w:pStyle w:val="Paragraphtext"/>
      </w:pPr>
      <w:r w:rsidRPr="00C520A7">
        <w:t>Other relevant references include:</w:t>
      </w:r>
    </w:p>
    <w:p w14:paraId="45505EE7" w14:textId="40C316BF" w:rsidR="006168AD" w:rsidRPr="00F837C7" w:rsidRDefault="006168AD" w:rsidP="00B07304">
      <w:pPr>
        <w:pStyle w:val="ListBullet"/>
      </w:pPr>
      <w:r w:rsidRPr="00F837C7">
        <w:t xml:space="preserve">Report of the Senate Standing Committee on Community Affairs </w:t>
      </w:r>
      <w:r w:rsidR="00F837C7">
        <w:t>–</w:t>
      </w:r>
      <w:r w:rsidRPr="00F837C7">
        <w:t xml:space="preserve"> Price regulation associated with the Prostheses List Framework</w:t>
      </w:r>
      <w:r w:rsidR="005449DB" w:rsidRPr="00F837C7">
        <w:t xml:space="preserve"> (2017)</w:t>
      </w:r>
    </w:p>
    <w:p w14:paraId="37558D0D" w14:textId="4EB6DA23" w:rsidR="006168AD" w:rsidRPr="00F837C7" w:rsidRDefault="006168AD" w:rsidP="00B07304">
      <w:pPr>
        <w:pStyle w:val="ListBullet"/>
      </w:pPr>
      <w:r w:rsidRPr="00F837C7">
        <w:t>World Health Organization Technical paper: Health technology assessment of medical devices (2011)</w:t>
      </w:r>
      <w:r w:rsidR="005449DB" w:rsidRPr="00F837C7">
        <w:t>.</w:t>
      </w:r>
    </w:p>
    <w:p w14:paraId="6810E9FC" w14:textId="77777777" w:rsidR="006168AD" w:rsidRPr="007F3245" w:rsidRDefault="006168AD" w:rsidP="001A25B0">
      <w:pPr>
        <w:pStyle w:val="Paragraphtext"/>
      </w:pPr>
      <w:r w:rsidRPr="007F3245">
        <w:t>This consultation process will inform the development of amendments to relevant policy, information technology and legislation, including the Prostheses List Guide.</w:t>
      </w:r>
    </w:p>
    <w:p w14:paraId="6BED6693" w14:textId="366A0B1A" w:rsidR="006168AD" w:rsidRPr="007F3245" w:rsidRDefault="006168AD" w:rsidP="001A25B0">
      <w:pPr>
        <w:pStyle w:val="Paragraphtext"/>
      </w:pPr>
      <w:r w:rsidRPr="007F3245">
        <w:t>Other elements of PL reform are not within the scope of this paper</w:t>
      </w:r>
      <w:r w:rsidR="00654430">
        <w:t>, for e</w:t>
      </w:r>
      <w:r w:rsidR="008C7533">
        <w:t>xample, a proposed new grouping structure for the</w:t>
      </w:r>
      <w:r w:rsidR="00654430">
        <w:t xml:space="preserve"> PL are not considered in this consultation paper</w:t>
      </w:r>
      <w:r w:rsidRPr="007F3245">
        <w:t xml:space="preserve">. However, whilst the focus of this </w:t>
      </w:r>
      <w:r w:rsidRPr="00174B9C">
        <w:t xml:space="preserve">paper </w:t>
      </w:r>
      <w:r w:rsidR="0028722A">
        <w:t>is on describing</w:t>
      </w:r>
      <w:r w:rsidR="00976B01" w:rsidRPr="00174B9C">
        <w:t xml:space="preserve"> new </w:t>
      </w:r>
      <w:r w:rsidRPr="00174B9C">
        <w:t>listing pathways</w:t>
      </w:r>
      <w:r w:rsidRPr="007F3245">
        <w:t>, implementation of any changes will include consideration of linked reforms, including:</w:t>
      </w:r>
      <w:r w:rsidR="001A25B0">
        <w:tab/>
      </w:r>
    </w:p>
    <w:p w14:paraId="0D85032D" w14:textId="1EEED0D3" w:rsidR="006168AD" w:rsidRPr="00F837C7" w:rsidRDefault="006168AD" w:rsidP="00B07304">
      <w:pPr>
        <w:pStyle w:val="ListBullet"/>
      </w:pPr>
      <w:r w:rsidRPr="001A25B0">
        <w:rPr>
          <w:b/>
        </w:rPr>
        <w:t>Deregulation</w:t>
      </w:r>
      <w:r w:rsidRPr="00F837C7">
        <w:t>: improving digital administration for the PL as part of the rollout of the HPP</w:t>
      </w:r>
    </w:p>
    <w:p w14:paraId="42D78CDF" w14:textId="2A06FA18" w:rsidR="006168AD" w:rsidRPr="00F837C7" w:rsidRDefault="006168AD" w:rsidP="00B07304">
      <w:pPr>
        <w:pStyle w:val="ListBullet"/>
      </w:pPr>
      <w:r w:rsidRPr="001A25B0">
        <w:rPr>
          <w:b/>
        </w:rPr>
        <w:t>Governance:</w:t>
      </w:r>
      <w:r w:rsidRPr="00F837C7">
        <w:t xml:space="preserve"> reviewing the purpose, </w:t>
      </w:r>
      <w:proofErr w:type="gramStart"/>
      <w:r w:rsidRPr="00F837C7">
        <w:t>functions</w:t>
      </w:r>
      <w:proofErr w:type="gramEnd"/>
      <w:r w:rsidRPr="00F837C7">
        <w:t xml:space="preserve"> and membership of the Prostheses List Advisory </w:t>
      </w:r>
      <w:r w:rsidRPr="00174B9C">
        <w:t>Committee (PLAC)</w:t>
      </w:r>
      <w:r w:rsidR="00976B01" w:rsidRPr="00174B9C">
        <w:t xml:space="preserve"> and its subcommittees </w:t>
      </w:r>
      <w:r w:rsidR="00F131E5">
        <w:t>(</w:t>
      </w:r>
      <w:r w:rsidR="00976B01" w:rsidRPr="00174B9C">
        <w:t>the Clinical Advisory Groups (CAGs) and Panel of Clinical Experts (</w:t>
      </w:r>
      <w:proofErr w:type="spellStart"/>
      <w:r w:rsidR="00976B01" w:rsidRPr="00174B9C">
        <w:t>PoCE</w:t>
      </w:r>
      <w:proofErr w:type="spellEnd"/>
      <w:r w:rsidR="00976B01" w:rsidRPr="00174B9C">
        <w:t>)</w:t>
      </w:r>
      <w:r w:rsidR="00F168A8">
        <w:t>)</w:t>
      </w:r>
      <w:r w:rsidR="00E65AF2">
        <w:t>,</w:t>
      </w:r>
      <w:r w:rsidR="00FC1413" w:rsidRPr="00FC1413">
        <w:t xml:space="preserve"> </w:t>
      </w:r>
      <w:r w:rsidR="00FC1413">
        <w:t>and any future</w:t>
      </w:r>
      <w:r w:rsidR="00FC1413" w:rsidRPr="00FC1413">
        <w:t xml:space="preserve"> </w:t>
      </w:r>
      <w:r w:rsidR="00F168A8">
        <w:t>arrangements for the advisory</w:t>
      </w:r>
      <w:r w:rsidR="00FC1413" w:rsidRPr="00FC1413">
        <w:t xml:space="preserve"> committee </w:t>
      </w:r>
      <w:r w:rsidR="00F168A8">
        <w:t xml:space="preserve">as </w:t>
      </w:r>
      <w:r w:rsidR="00FC1413">
        <w:t>applicable</w:t>
      </w:r>
    </w:p>
    <w:p w14:paraId="62441157" w14:textId="3479791C" w:rsidR="006168AD" w:rsidRPr="00F837C7" w:rsidRDefault="006168AD" w:rsidP="00B07304">
      <w:pPr>
        <w:pStyle w:val="ListBullet"/>
      </w:pPr>
      <w:r w:rsidRPr="001A25B0">
        <w:rPr>
          <w:b/>
        </w:rPr>
        <w:t>Cost:</w:t>
      </w:r>
      <w:r w:rsidRPr="00F837C7">
        <w:t xml:space="preserve"> </w:t>
      </w:r>
      <w:r w:rsidR="00174B9C">
        <w:t>u</w:t>
      </w:r>
      <w:r w:rsidRPr="00F837C7">
        <w:t>pdating the existing cost recovery arrangements to align with the Australian Government Charging Framework</w:t>
      </w:r>
    </w:p>
    <w:p w14:paraId="63BB1E9E" w14:textId="77777777" w:rsidR="008F0B67" w:rsidRDefault="006168AD" w:rsidP="00B07304">
      <w:pPr>
        <w:pStyle w:val="ListBullet"/>
      </w:pPr>
      <w:r w:rsidRPr="001A25B0">
        <w:rPr>
          <w:b/>
        </w:rPr>
        <w:t>Monitoring</w:t>
      </w:r>
      <w:r w:rsidRPr="00F837C7">
        <w:t xml:space="preserve">: </w:t>
      </w:r>
      <w:r w:rsidR="00174B9C">
        <w:t>i</w:t>
      </w:r>
      <w:r w:rsidRPr="00F837C7">
        <w:t>mproving post-listing monitoring including an enhanced program of utilisation reviews commencing in 2022 and the establishment of a compliance program in 2023 to ensure the integrity of the new arrangements.</w:t>
      </w:r>
    </w:p>
    <w:p w14:paraId="1C2555E3" w14:textId="205E7BAB" w:rsidR="006168AD" w:rsidRPr="00EC7B44" w:rsidRDefault="006168AD" w:rsidP="00FE2A19">
      <w:pPr>
        <w:pStyle w:val="Heading1"/>
      </w:pPr>
      <w:r>
        <w:lastRenderedPageBreak/>
        <w:t>Background</w:t>
      </w:r>
    </w:p>
    <w:p w14:paraId="5F5CB14A" w14:textId="77777777" w:rsidR="006168AD" w:rsidRPr="007F3245" w:rsidRDefault="006168AD" w:rsidP="001A25B0">
      <w:pPr>
        <w:pStyle w:val="Paragraphtext"/>
      </w:pPr>
      <w:r>
        <w:t>T</w:t>
      </w:r>
      <w:r w:rsidRPr="007F3245">
        <w:t>he PL</w:t>
      </w:r>
      <w:r>
        <w:t xml:space="preserve"> is the </w:t>
      </w:r>
      <w:r w:rsidRPr="007F3245">
        <w:t>primary mechanism governing the reimbursement for the medical devices as part of the private health system in Australia.</w:t>
      </w:r>
    </w:p>
    <w:p w14:paraId="020A5D32" w14:textId="1584783D" w:rsidR="006168AD" w:rsidRPr="002E6685" w:rsidRDefault="006168AD" w:rsidP="001A25B0">
      <w:pPr>
        <w:pStyle w:val="Paragraphtext"/>
      </w:pPr>
      <w:r w:rsidRPr="002E6685">
        <w:t xml:space="preserve">The PL specifies a set benefit amount for listed prostheses. The PL benefit </w:t>
      </w:r>
      <w:r w:rsidR="00976B01">
        <w:t>is payable</w:t>
      </w:r>
      <w:r w:rsidR="00976B01" w:rsidRPr="002E6685">
        <w:t xml:space="preserve"> </w:t>
      </w:r>
      <w:r w:rsidRPr="002E6685">
        <w:t xml:space="preserve">to appropriately covered privately insured patients that receive a prosthesis as part of treatment, where there is a Medicare benefit payable for the </w:t>
      </w:r>
      <w:r w:rsidR="00976B01">
        <w:t>medical service associated with the provision of the prosthesis</w:t>
      </w:r>
      <w:r w:rsidRPr="002E6685">
        <w:t>. The treatment can be delivered in a private or public hospital, or in a hospital</w:t>
      </w:r>
      <w:r w:rsidRPr="002E6685">
        <w:noBreakHyphen/>
        <w:t xml:space="preserve">substitute setting. </w:t>
      </w:r>
    </w:p>
    <w:p w14:paraId="62A5FD8F" w14:textId="5A0C6A66" w:rsidR="006168AD" w:rsidRPr="00E62081" w:rsidRDefault="006168AD" w:rsidP="001A25B0">
      <w:pPr>
        <w:pStyle w:val="Paragraphtext"/>
      </w:pPr>
      <w:r w:rsidRPr="007F3245">
        <w:t xml:space="preserve">The </w:t>
      </w:r>
      <w:r w:rsidRPr="007F3245">
        <w:rPr>
          <w:i/>
          <w:iCs/>
        </w:rPr>
        <w:t>Private Health Insurance (Prostheses) Rules</w:t>
      </w:r>
      <w:r w:rsidRPr="007F3245">
        <w:t xml:space="preserve"> (the Prostheses Rules) is a legislative instrument made under the PHI Act, that sets up requirements in relation to provision of minimum price for prostheses. The Schedule to the Prostheses Rules is known as the PL. </w:t>
      </w:r>
      <w:r>
        <w:br/>
      </w:r>
    </w:p>
    <w:p w14:paraId="14FD5236" w14:textId="6B08FBC7" w:rsidR="006168AD" w:rsidRPr="004A4034" w:rsidRDefault="006168AD" w:rsidP="00AD644A">
      <w:pPr>
        <w:pStyle w:val="Heading1"/>
      </w:pPr>
      <w:r>
        <w:t xml:space="preserve">The </w:t>
      </w:r>
      <w:r w:rsidRPr="003C3787">
        <w:t>current</w:t>
      </w:r>
      <w:r>
        <w:t xml:space="preserve"> listing process for </w:t>
      </w:r>
      <w:r w:rsidRPr="00866BEC">
        <w:t>the</w:t>
      </w:r>
      <w:r>
        <w:t xml:space="preserve"> Prostheses List</w:t>
      </w:r>
      <w:r w:rsidR="00234BC2">
        <w:br/>
      </w:r>
      <w:r>
        <w:t>– an overview</w:t>
      </w:r>
    </w:p>
    <w:p w14:paraId="5547A461" w14:textId="6401B115" w:rsidR="006168AD" w:rsidRPr="00174B9C" w:rsidRDefault="006168AD" w:rsidP="001A25B0">
      <w:pPr>
        <w:pStyle w:val="Paragraphtext"/>
      </w:pPr>
      <w:r w:rsidRPr="007F3245">
        <w:t xml:space="preserve">The Minister for Health </w:t>
      </w:r>
      <w:r w:rsidR="00654430">
        <w:t xml:space="preserve">and Aged Care </w:t>
      </w:r>
      <w:r w:rsidRPr="007F3245">
        <w:t>is responsible under the </w:t>
      </w:r>
      <w:hyperlink r:id="rId10" w:tgtFrame="_blank" w:history="1">
        <w:r w:rsidRPr="007F3245">
          <w:rPr>
            <w:i/>
            <w:iCs/>
          </w:rPr>
          <w:t>Private Health Insurance Act</w:t>
        </w:r>
        <w:r w:rsidR="00CD793A">
          <w:rPr>
            <w:i/>
            <w:iCs/>
          </w:rPr>
          <w:t> </w:t>
        </w:r>
        <w:r w:rsidRPr="007F3245">
          <w:rPr>
            <w:i/>
            <w:iCs/>
          </w:rPr>
          <w:t>2007</w:t>
        </w:r>
      </w:hyperlink>
      <w:r w:rsidRPr="007F3245">
        <w:t xml:space="preserve"> for deciding </w:t>
      </w:r>
      <w:r w:rsidRPr="00174B9C">
        <w:t xml:space="preserve">whether to list a </w:t>
      </w:r>
      <w:r w:rsidR="00CD793A" w:rsidRPr="00174B9C">
        <w:t>prosthes</w:t>
      </w:r>
      <w:r w:rsidR="00CD793A">
        <w:t>i</w:t>
      </w:r>
      <w:r w:rsidR="00CD793A" w:rsidRPr="00174B9C">
        <w:t>s on the PL. </w:t>
      </w:r>
      <w:r w:rsidR="00CD793A" w:rsidRPr="00174B9C">
        <w:rPr>
          <w:b/>
          <w:bCs/>
        </w:rPr>
        <w:t>Figure 1</w:t>
      </w:r>
      <w:r w:rsidR="00CD793A" w:rsidRPr="00174B9C">
        <w:t xml:space="preserve"> provides a visual representation of the current </w:t>
      </w:r>
      <w:r w:rsidR="00C36807">
        <w:t xml:space="preserve">PL </w:t>
      </w:r>
      <w:r w:rsidR="00CD793A" w:rsidRPr="00174B9C">
        <w:t>listing process</w:t>
      </w:r>
      <w:r w:rsidR="00CD793A">
        <w:t xml:space="preserve"> (whether </w:t>
      </w:r>
      <w:r w:rsidR="00CD793A" w:rsidRPr="00174B9C">
        <w:t xml:space="preserve">new, </w:t>
      </w:r>
      <w:r w:rsidR="00CD793A">
        <w:t>amendment</w:t>
      </w:r>
      <w:r w:rsidR="00CD793A" w:rsidRPr="00174B9C">
        <w:t xml:space="preserve">, </w:t>
      </w:r>
      <w:r w:rsidR="00CD793A">
        <w:t>compression</w:t>
      </w:r>
      <w:r w:rsidR="00CD793A" w:rsidRPr="00174B9C">
        <w:t xml:space="preserve"> and </w:t>
      </w:r>
      <w:r w:rsidR="00CD793A">
        <w:t>expansion</w:t>
      </w:r>
      <w:r w:rsidR="00CD793A" w:rsidRPr="00174B9C">
        <w:t xml:space="preserve"> applications</w:t>
      </w:r>
      <w:r w:rsidR="00CD793A">
        <w:t>)</w:t>
      </w:r>
      <w:r w:rsidR="00CD793A" w:rsidRPr="00174B9C">
        <w:t xml:space="preserve"> </w:t>
      </w:r>
      <w:r w:rsidR="00C648A3" w:rsidRPr="00174B9C">
        <w:t>which takes approximately 25</w:t>
      </w:r>
      <w:r w:rsidR="00174B9C" w:rsidRPr="00174B9C">
        <w:t> </w:t>
      </w:r>
      <w:r w:rsidR="00C648A3" w:rsidRPr="00174B9C">
        <w:t>weeks to complete</w:t>
      </w:r>
      <w:r w:rsidR="00BC6E02" w:rsidRPr="00174B9C">
        <w:t xml:space="preserve"> for a</w:t>
      </w:r>
      <w:r w:rsidR="00F131E5">
        <w:t>n</w:t>
      </w:r>
      <w:r w:rsidR="00BC6E02" w:rsidRPr="00174B9C">
        <w:t xml:space="preserve"> </w:t>
      </w:r>
      <w:r w:rsidR="009420BD" w:rsidRPr="00174B9C">
        <w:t>application</w:t>
      </w:r>
      <w:r w:rsidR="00C648A3" w:rsidRPr="00174B9C">
        <w:t xml:space="preserve"> (</w:t>
      </w:r>
      <w:r w:rsidR="009420BD" w:rsidRPr="00174B9C">
        <w:t xml:space="preserve">refer </w:t>
      </w:r>
      <w:hyperlink r:id="rId11" w:history="1">
        <w:r w:rsidR="00C648A3" w:rsidRPr="00174B9C">
          <w:rPr>
            <w:rStyle w:val="Hyperlink"/>
          </w:rPr>
          <w:t>Prostheses List: Guide to listing and setting benefits for prostheses</w:t>
        </w:r>
      </w:hyperlink>
      <w:r w:rsidR="009420BD" w:rsidRPr="00174B9C">
        <w:t xml:space="preserve"> on how to submit an application</w:t>
      </w:r>
      <w:r w:rsidR="00C648A3" w:rsidRPr="00174B9C">
        <w:t>)</w:t>
      </w:r>
      <w:r w:rsidRPr="00174B9C">
        <w:t>.</w:t>
      </w:r>
      <w:r w:rsidR="0058206F" w:rsidRPr="00174B9C">
        <w:t xml:space="preserve">  </w:t>
      </w:r>
    </w:p>
    <w:p w14:paraId="3879F102" w14:textId="664FF60F" w:rsidR="006168AD" w:rsidRPr="00831665" w:rsidRDefault="006168AD" w:rsidP="001A25B0">
      <w:pPr>
        <w:pStyle w:val="Paragraphtext"/>
        <w:rPr>
          <w:color w:val="auto"/>
        </w:rPr>
      </w:pPr>
      <w:r w:rsidRPr="00174B9C">
        <w:t>Prostheses</w:t>
      </w:r>
      <w:r w:rsidR="00C271E9" w:rsidRPr="00174B9C">
        <w:t>, like all medical devices,</w:t>
      </w:r>
      <w:r w:rsidRPr="00174B9C">
        <w:t xml:space="preserve"> are </w:t>
      </w:r>
      <w:r w:rsidR="00C36807">
        <w:t xml:space="preserve">only </w:t>
      </w:r>
      <w:r w:rsidRPr="00174B9C">
        <w:t>approved for marketing in Australia if they are found to be of acceptable quality, safety</w:t>
      </w:r>
      <w:r w:rsidR="004D11ED">
        <w:t>,</w:t>
      </w:r>
      <w:r w:rsidRPr="00174B9C">
        <w:t xml:space="preserve"> and efficacy</w:t>
      </w:r>
      <w:r w:rsidR="00CD793A">
        <w:t xml:space="preserve"> (performance)</w:t>
      </w:r>
      <w:r w:rsidR="00C36807">
        <w:t xml:space="preserve"> </w:t>
      </w:r>
      <w:r w:rsidR="00C36807" w:rsidRPr="00174B9C">
        <w:t xml:space="preserve">by the </w:t>
      </w:r>
      <w:r w:rsidR="00C36807">
        <w:t xml:space="preserve">Therapeutic Goods </w:t>
      </w:r>
      <w:r w:rsidR="00C36807" w:rsidRPr="00174B9C">
        <w:t>Administration (TGA)</w:t>
      </w:r>
      <w:r w:rsidR="00C36807">
        <w:t xml:space="preserve">. </w:t>
      </w:r>
      <w:r w:rsidRPr="00174B9C">
        <w:t>Once regulatory approval is obtained from the TGA</w:t>
      </w:r>
      <w:r w:rsidR="00CD793A">
        <w:t xml:space="preserve"> and an ARTG </w:t>
      </w:r>
      <w:r w:rsidR="00F131E5">
        <w:t xml:space="preserve">entry </w:t>
      </w:r>
      <w:r w:rsidR="00CD793A">
        <w:t>is received,</w:t>
      </w:r>
      <w:r w:rsidRPr="00174B9C">
        <w:t xml:space="preserve"> </w:t>
      </w:r>
      <w:r w:rsidR="00C271E9" w:rsidRPr="00174B9C">
        <w:t xml:space="preserve">sponsors </w:t>
      </w:r>
      <w:proofErr w:type="gramStart"/>
      <w:r w:rsidR="00C271E9" w:rsidRPr="00174B9C">
        <w:t>are able to</w:t>
      </w:r>
      <w:proofErr w:type="gramEnd"/>
      <w:r w:rsidR="00C271E9" w:rsidRPr="00174B9C">
        <w:t xml:space="preserve"> legally supply the device in Australia.</w:t>
      </w:r>
      <w:r w:rsidR="00CD793A" w:rsidRPr="00CD793A">
        <w:rPr>
          <w:color w:val="auto"/>
        </w:rPr>
        <w:t xml:space="preserve"> </w:t>
      </w:r>
    </w:p>
    <w:p w14:paraId="0CF4D535" w14:textId="15231E62" w:rsidR="00690D4B" w:rsidRDefault="00CF42B8" w:rsidP="001A25B0">
      <w:pPr>
        <w:pStyle w:val="Paragraphtext"/>
      </w:pPr>
      <w:r>
        <w:t>U</w:t>
      </w:r>
      <w:r w:rsidR="00960F8F" w:rsidRPr="00442685">
        <w:t xml:space="preserve">nder the parallel assessment process, </w:t>
      </w:r>
      <w:r w:rsidR="00690D4B" w:rsidRPr="00442685">
        <w:t xml:space="preserve">sponsors can </w:t>
      </w:r>
      <w:r w:rsidR="009727B1" w:rsidRPr="00442685">
        <w:t xml:space="preserve">submit </w:t>
      </w:r>
      <w:r w:rsidR="00960F8F" w:rsidRPr="00442685">
        <w:t xml:space="preserve">a new Prostheses List application for </w:t>
      </w:r>
      <w:r w:rsidR="00690D4B" w:rsidRPr="00442685">
        <w:t xml:space="preserve">the device </w:t>
      </w:r>
      <w:r w:rsidR="00960F8F" w:rsidRPr="00442685">
        <w:t>before they receive</w:t>
      </w:r>
      <w:r w:rsidR="00FC5AD4" w:rsidRPr="00442685">
        <w:t xml:space="preserve"> an</w:t>
      </w:r>
      <w:r w:rsidR="009727B1" w:rsidRPr="00442685">
        <w:t xml:space="preserve"> </w:t>
      </w:r>
      <w:r w:rsidR="00690D4B" w:rsidRPr="00442685">
        <w:t xml:space="preserve">ARTG </w:t>
      </w:r>
      <w:r w:rsidR="009727B1" w:rsidRPr="00442685">
        <w:t xml:space="preserve">entry, </w:t>
      </w:r>
      <w:r>
        <w:t xml:space="preserve">however, </w:t>
      </w:r>
      <w:r w:rsidR="009727B1" w:rsidRPr="00442685">
        <w:t xml:space="preserve">they must </w:t>
      </w:r>
      <w:r w:rsidR="00960F8F" w:rsidRPr="00442685">
        <w:t>provide</w:t>
      </w:r>
      <w:r w:rsidR="009727B1" w:rsidRPr="00442685">
        <w:t xml:space="preserve"> evidence of a valid application </w:t>
      </w:r>
      <w:r w:rsidR="00690D4B" w:rsidRPr="00442685">
        <w:t>to the TGA</w:t>
      </w:r>
      <w:r w:rsidR="009727B1" w:rsidRPr="00442685">
        <w:t xml:space="preserve"> </w:t>
      </w:r>
      <w:r w:rsidR="00960F8F" w:rsidRPr="00442685">
        <w:t>as part of</w:t>
      </w:r>
      <w:r w:rsidR="009727B1" w:rsidRPr="00442685">
        <w:t xml:space="preserve"> the </w:t>
      </w:r>
      <w:r w:rsidR="00FC5AD4" w:rsidRPr="00442685">
        <w:t xml:space="preserve">information submitted with the </w:t>
      </w:r>
      <w:r w:rsidR="009727B1" w:rsidRPr="00442685">
        <w:t>PL application</w:t>
      </w:r>
      <w:r w:rsidR="00690D4B" w:rsidRPr="00442685">
        <w:t xml:space="preserve">. The </w:t>
      </w:r>
      <w:r w:rsidR="00FC5AD4" w:rsidRPr="00442685">
        <w:t>PL</w:t>
      </w:r>
      <w:r w:rsidR="009727B1" w:rsidRPr="00442685">
        <w:t xml:space="preserve"> </w:t>
      </w:r>
      <w:r w:rsidR="00690D4B" w:rsidRPr="00442685">
        <w:t>application will be assessed, but</w:t>
      </w:r>
      <w:r w:rsidR="009727B1" w:rsidRPr="00442685">
        <w:t xml:space="preserve"> no decision will be made regarding listing the device on PL </w:t>
      </w:r>
      <w:r w:rsidR="00690D4B" w:rsidRPr="00442685">
        <w:t>until a valid ARTG entry is issued by the TGA. The PL application can be deferred for up to 18 months since the date when it was submitted in anticipation of the ARTG entry</w:t>
      </w:r>
      <w:r w:rsidR="0056539B">
        <w:t xml:space="preserve">. If no ARTG entry is issued during this time, the sponsor will need to re-submit </w:t>
      </w:r>
      <w:r>
        <w:t xml:space="preserve">the </w:t>
      </w:r>
      <w:r w:rsidR="0056539B">
        <w:t xml:space="preserve">PL </w:t>
      </w:r>
      <w:r w:rsidR="008169C8" w:rsidRPr="00442685">
        <w:t>application</w:t>
      </w:r>
      <w:r w:rsidR="00690D4B" w:rsidRPr="00442685">
        <w:t>.</w:t>
      </w:r>
      <w:r w:rsidR="00690D4B" w:rsidRPr="00690D4B">
        <w:t xml:space="preserve"> </w:t>
      </w:r>
    </w:p>
    <w:p w14:paraId="391FB66A" w14:textId="0EDE30D9" w:rsidR="006168AD" w:rsidRPr="00174B9C" w:rsidRDefault="006168AD" w:rsidP="001A25B0">
      <w:pPr>
        <w:pStyle w:val="Paragraphtext"/>
      </w:pPr>
      <w:r w:rsidRPr="00174B9C">
        <w:t>When applying</w:t>
      </w:r>
      <w:r w:rsidR="00CD36DA">
        <w:t xml:space="preserve"> for listing on the PL</w:t>
      </w:r>
      <w:r w:rsidRPr="00174B9C">
        <w:t xml:space="preserve">, the sponsor elects whether to request </w:t>
      </w:r>
      <w:r w:rsidR="00F131E5">
        <w:t>listing</w:t>
      </w:r>
      <w:r w:rsidRPr="00174B9C">
        <w:t xml:space="preserve"> in an existing prostheses group, usually at the same benefit, or to apply </w:t>
      </w:r>
      <w:r w:rsidR="00F07179">
        <w:t xml:space="preserve">for </w:t>
      </w:r>
      <w:r w:rsidRPr="00174B9C">
        <w:t>a higher benefit.</w:t>
      </w:r>
    </w:p>
    <w:p w14:paraId="10A5CE70" w14:textId="7D04B485" w:rsidR="006168AD" w:rsidRPr="00174B9C" w:rsidRDefault="006168AD" w:rsidP="001A25B0">
      <w:pPr>
        <w:pStyle w:val="Paragraphtext"/>
      </w:pPr>
      <w:r w:rsidRPr="00174B9C">
        <w:t xml:space="preserve">Applications are then </w:t>
      </w:r>
      <w:r w:rsidR="00047E05" w:rsidRPr="00174B9C">
        <w:t>assessed by the department with</w:t>
      </w:r>
      <w:r w:rsidR="00CD793A">
        <w:t xml:space="preserve"> input from</w:t>
      </w:r>
      <w:r w:rsidR="00047E05" w:rsidRPr="00174B9C">
        <w:t xml:space="preserve"> clinical experts </w:t>
      </w:r>
      <w:r w:rsidR="00CD793A">
        <w:t>from</w:t>
      </w:r>
      <w:r w:rsidR="00047E05" w:rsidRPr="00174B9C">
        <w:t xml:space="preserve"> </w:t>
      </w:r>
      <w:r w:rsidRPr="00174B9C">
        <w:t xml:space="preserve">the relevant CAG or the </w:t>
      </w:r>
      <w:proofErr w:type="spellStart"/>
      <w:r w:rsidRPr="00174B9C">
        <w:t>PoCE</w:t>
      </w:r>
      <w:proofErr w:type="spellEnd"/>
      <w:r w:rsidR="00047E05" w:rsidRPr="00174B9C">
        <w:t>.</w:t>
      </w:r>
      <w:r w:rsidRPr="00174B9C">
        <w:t xml:space="preserve"> The CAG</w:t>
      </w:r>
      <w:r w:rsidR="00047E05" w:rsidRPr="00174B9C">
        <w:t xml:space="preserve">s and </w:t>
      </w:r>
      <w:proofErr w:type="spellStart"/>
      <w:r w:rsidR="00047E05" w:rsidRPr="00174B9C">
        <w:t>PoCE</w:t>
      </w:r>
      <w:proofErr w:type="spellEnd"/>
      <w:r w:rsidRPr="00174B9C">
        <w:t xml:space="preserve"> </w:t>
      </w:r>
      <w:r w:rsidR="00047E05" w:rsidRPr="00174B9C">
        <w:t xml:space="preserve">consider the comparative clinical effectiveness of the device </w:t>
      </w:r>
      <w:r w:rsidRPr="00174B9C">
        <w:t xml:space="preserve">compared to </w:t>
      </w:r>
      <w:r w:rsidR="00047E05" w:rsidRPr="00174B9C">
        <w:t>similar devices on the PL</w:t>
      </w:r>
      <w:r w:rsidRPr="00174B9C">
        <w:t xml:space="preserve">, and whether the grouping requested by the </w:t>
      </w:r>
      <w:r w:rsidR="00047E05" w:rsidRPr="00174B9C">
        <w:t xml:space="preserve">sponsor </w:t>
      </w:r>
      <w:r w:rsidRPr="00174B9C">
        <w:t>is appropriate.</w:t>
      </w:r>
    </w:p>
    <w:p w14:paraId="4C9796BF" w14:textId="319F00E8" w:rsidR="004A6B54" w:rsidRDefault="00DB5210" w:rsidP="001A25B0">
      <w:pPr>
        <w:pStyle w:val="Paragraphtext"/>
        <w:rPr>
          <w:rStyle w:val="CommentReference"/>
        </w:rPr>
      </w:pPr>
      <w:r w:rsidRPr="00174B9C">
        <w:t>Recommendations</w:t>
      </w:r>
      <w:r w:rsidR="00047E05" w:rsidRPr="00174B9C">
        <w:t xml:space="preserve"> made</w:t>
      </w:r>
      <w:r w:rsidRPr="00174B9C">
        <w:t xml:space="preserve"> by the CAGs</w:t>
      </w:r>
      <w:r w:rsidR="00047E05" w:rsidRPr="00174B9C">
        <w:t xml:space="preserve">, </w:t>
      </w:r>
      <w:proofErr w:type="spellStart"/>
      <w:r w:rsidR="00047E05" w:rsidRPr="00174B9C">
        <w:t>PoCE</w:t>
      </w:r>
      <w:proofErr w:type="spellEnd"/>
      <w:r w:rsidR="00047E05" w:rsidRPr="00174B9C">
        <w:t xml:space="preserve"> and the department</w:t>
      </w:r>
      <w:r w:rsidRPr="00174B9C">
        <w:t xml:space="preserve"> are provided to the PLAC</w:t>
      </w:r>
      <w:r w:rsidR="00B8227E" w:rsidRPr="00174B9C">
        <w:t xml:space="preserve"> who considers all information provided to them, including advice from the Medical Services Advisory Committee</w:t>
      </w:r>
      <w:r w:rsidR="00174B9C" w:rsidRPr="00174B9C">
        <w:t xml:space="preserve"> (MSAC)</w:t>
      </w:r>
      <w:r w:rsidR="00CD36DA">
        <w:t xml:space="preserve"> if </w:t>
      </w:r>
      <w:r w:rsidR="00B8227E" w:rsidRPr="00174B9C">
        <w:t xml:space="preserve">an application requires a full health technology assessment. </w:t>
      </w:r>
      <w:r w:rsidR="00F07179">
        <w:t>Th</w:t>
      </w:r>
      <w:r w:rsidR="00CD36DA">
        <w:t>is</w:t>
      </w:r>
      <w:r w:rsidR="00F07179">
        <w:t xml:space="preserve"> a</w:t>
      </w:r>
      <w:r w:rsidR="00047E05" w:rsidRPr="00174B9C">
        <w:t xml:space="preserve">dvice </w:t>
      </w:r>
      <w:r w:rsidR="00D3088E" w:rsidRPr="00174B9C">
        <w:t xml:space="preserve">is then provided to </w:t>
      </w:r>
      <w:r w:rsidR="00047E05" w:rsidRPr="00174B9C">
        <w:t>the Minister</w:t>
      </w:r>
      <w:r w:rsidR="00B8227E" w:rsidRPr="00174B9C">
        <w:t xml:space="preserve"> or the Minister’s delegate</w:t>
      </w:r>
      <w:r w:rsidR="004A6B54" w:rsidRPr="00174B9C">
        <w:t xml:space="preserve"> who will </w:t>
      </w:r>
      <w:proofErr w:type="gramStart"/>
      <w:r w:rsidR="004A6B54" w:rsidRPr="00174B9C">
        <w:t>make a decision</w:t>
      </w:r>
      <w:proofErr w:type="gramEnd"/>
      <w:r w:rsidR="004A6B54" w:rsidRPr="00174B9C">
        <w:t xml:space="preserve"> on including the product </w:t>
      </w:r>
      <w:r w:rsidR="0056539B">
        <w:t>on</w:t>
      </w:r>
      <w:r w:rsidR="004A6B54" w:rsidRPr="00174B9C">
        <w:t xml:space="preserve"> the </w:t>
      </w:r>
      <w:r w:rsidR="0056539B">
        <w:t>PL</w:t>
      </w:r>
      <w:r w:rsidR="004A6B54" w:rsidRPr="00174B9C">
        <w:t>.</w:t>
      </w:r>
      <w:r w:rsidR="004A6B54">
        <w:t xml:space="preserve"> </w:t>
      </w:r>
    </w:p>
    <w:p w14:paraId="3FC7E8EA" w14:textId="635E7750" w:rsidR="004A6B54" w:rsidRPr="005935C2" w:rsidRDefault="004A6B54" w:rsidP="001A25B0">
      <w:pPr>
        <w:pStyle w:val="Paragraphtext"/>
      </w:pPr>
      <w:r w:rsidRPr="00174B9C">
        <w:t xml:space="preserve">The Department usually receives between 400 and 600 </w:t>
      </w:r>
      <w:r w:rsidR="00C83CD2">
        <w:t>new, amendment, expansion</w:t>
      </w:r>
      <w:r w:rsidR="004D11ED">
        <w:t>,</w:t>
      </w:r>
      <w:r w:rsidR="00C83CD2">
        <w:t xml:space="preserve"> and compression </w:t>
      </w:r>
      <w:r w:rsidR="00F07179">
        <w:t xml:space="preserve">type of </w:t>
      </w:r>
      <w:r w:rsidRPr="00174B9C">
        <w:t>applications for each Prostheses List update</w:t>
      </w:r>
      <w:r w:rsidR="00CD793A">
        <w:t xml:space="preserve"> (which occurs three times </w:t>
      </w:r>
      <w:r w:rsidR="00C0589F">
        <w:t>per</w:t>
      </w:r>
      <w:r w:rsidR="00CD793A">
        <w:t xml:space="preserve"> year)</w:t>
      </w:r>
      <w:r w:rsidRPr="00174B9C">
        <w:t>. In addition</w:t>
      </w:r>
      <w:r w:rsidR="000A1D80" w:rsidRPr="00174B9C">
        <w:t>,</w:t>
      </w:r>
      <w:r w:rsidRPr="00174B9C">
        <w:t xml:space="preserve"> sponsors submit about the same number of sponsors’ transfers, duplication, or deletion applications</w:t>
      </w:r>
      <w:r w:rsidR="000A1D80" w:rsidRPr="00174B9C">
        <w:t xml:space="preserve"> for each PL cycle</w:t>
      </w:r>
      <w:r w:rsidRPr="00174B9C">
        <w:t>.</w:t>
      </w:r>
    </w:p>
    <w:p w14:paraId="17806203" w14:textId="77777777" w:rsidR="004A6B54" w:rsidRDefault="004A6B54" w:rsidP="00D3088E">
      <w:pPr>
        <w:rPr>
          <w:rStyle w:val="CommentReference"/>
        </w:rPr>
      </w:pPr>
    </w:p>
    <w:p w14:paraId="7F8AC8E3" w14:textId="308E54E1" w:rsidR="00C648A3" w:rsidRDefault="00C648A3" w:rsidP="00D3088E"/>
    <w:p w14:paraId="066B3182" w14:textId="5CB50B41" w:rsidR="001A25B0" w:rsidRDefault="001A25B0" w:rsidP="001A25B0">
      <w:pPr>
        <w:pStyle w:val="FigureTitle"/>
        <w:rPr>
          <w:rStyle w:val="Heading4Char"/>
          <w:rFonts w:eastAsiaTheme="minorHAnsi" w:cs="Arial"/>
          <w:b/>
          <w:bCs/>
          <w:i w:val="0"/>
          <w:color w:val="000000" w:themeColor="text1"/>
          <w:sz w:val="22"/>
          <w:szCs w:val="22"/>
        </w:rPr>
        <w:sectPr w:rsidR="001A25B0" w:rsidSect="006168AD">
          <w:pgSz w:w="11906" w:h="16838"/>
          <w:pgMar w:top="1021" w:right="1021" w:bottom="1021" w:left="1021" w:header="709" w:footer="709" w:gutter="0"/>
          <w:cols w:space="708"/>
          <w:docGrid w:linePitch="360"/>
        </w:sectPr>
      </w:pPr>
    </w:p>
    <w:p w14:paraId="52DCC7D0" w14:textId="2797D24A" w:rsidR="001A25B0" w:rsidRPr="001A25B0" w:rsidRDefault="00C648A3" w:rsidP="001A25B0">
      <w:pPr>
        <w:pStyle w:val="FigureTitle"/>
      </w:pPr>
      <w:r w:rsidRPr="001A25B0">
        <w:rPr>
          <w:rStyle w:val="Heading4Char"/>
          <w:rFonts w:eastAsiaTheme="minorHAnsi" w:cs="Arial"/>
          <w:b/>
          <w:bCs/>
          <w:i w:val="0"/>
          <w:color w:val="000000" w:themeColor="text1"/>
          <w:sz w:val="22"/>
          <w:szCs w:val="22"/>
        </w:rPr>
        <w:lastRenderedPageBreak/>
        <w:t>Figure</w:t>
      </w:r>
      <w:r w:rsidR="006168AD" w:rsidRPr="001A25B0">
        <w:rPr>
          <w:rStyle w:val="Heading4Char"/>
          <w:rFonts w:eastAsiaTheme="minorHAnsi" w:cs="Arial"/>
          <w:b/>
          <w:bCs/>
          <w:i w:val="0"/>
          <w:color w:val="000000" w:themeColor="text1"/>
          <w:sz w:val="22"/>
          <w:szCs w:val="22"/>
        </w:rPr>
        <w:t xml:space="preserve"> 1: Overview of the</w:t>
      </w:r>
      <w:r w:rsidR="00790234" w:rsidRPr="001A25B0">
        <w:rPr>
          <w:rStyle w:val="Heading4Char"/>
          <w:rFonts w:eastAsiaTheme="minorHAnsi" w:cs="Arial"/>
          <w:b/>
          <w:bCs/>
          <w:i w:val="0"/>
          <w:color w:val="000000" w:themeColor="text1"/>
          <w:sz w:val="22"/>
          <w:szCs w:val="22"/>
        </w:rPr>
        <w:t xml:space="preserve"> current</w:t>
      </w:r>
      <w:r w:rsidR="006168AD" w:rsidRPr="001A25B0">
        <w:rPr>
          <w:rStyle w:val="Heading4Char"/>
          <w:rFonts w:eastAsiaTheme="minorHAnsi" w:cs="Arial"/>
          <w:b/>
          <w:bCs/>
          <w:i w:val="0"/>
          <w:color w:val="000000" w:themeColor="text1"/>
          <w:sz w:val="22"/>
          <w:szCs w:val="22"/>
        </w:rPr>
        <w:t xml:space="preserve"> PL application process</w:t>
      </w:r>
      <w:r w:rsidR="00790234" w:rsidRPr="001A25B0">
        <w:t xml:space="preserve"> (taken from The Prostheses List: Guide to listing and setting benefits for prostheses) </w:t>
      </w:r>
    </w:p>
    <w:p w14:paraId="0724E66E" w14:textId="3930D02A" w:rsidR="006168AD" w:rsidRDefault="00443547" w:rsidP="001A25B0">
      <w:pPr>
        <w:pStyle w:val="FigureTitle"/>
      </w:pPr>
      <w:r>
        <w:rPr>
          <w:noProof/>
        </w:rPr>
        <w:drawing>
          <wp:inline distT="0" distB="0" distL="0" distR="0" wp14:anchorId="20AEAF68" wp14:editId="59424BCC">
            <wp:extent cx="8847117" cy="12520163"/>
            <wp:effectExtent l="0" t="0" r="0" b="0"/>
            <wp:docPr id="8" name="Picture 8" descr="A flow chart outlining the steps in the prostheses listing application process." title="Prostheses List Overview of the process for submitting a new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ucidchart.com/publicSegments/view/61cb705f-35c6-4b35-81c9-3e151e1ecac8/image.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47117" cy="12520163"/>
                    </a:xfrm>
                    <a:prstGeom prst="rect">
                      <a:avLst/>
                    </a:prstGeom>
                    <a:noFill/>
                    <a:ln>
                      <a:noFill/>
                    </a:ln>
                  </pic:spPr>
                </pic:pic>
              </a:graphicData>
            </a:graphic>
          </wp:inline>
        </w:drawing>
      </w:r>
    </w:p>
    <w:p w14:paraId="53B7C5CD" w14:textId="51E0B45B" w:rsidR="00174B9C" w:rsidRPr="006739D0" w:rsidRDefault="00174B9C">
      <w:pPr>
        <w:rPr>
          <w:sz w:val="18"/>
          <w:szCs w:val="18"/>
        </w:rPr>
        <w:sectPr w:rsidR="00174B9C" w:rsidRPr="006739D0" w:rsidSect="001A25B0">
          <w:pgSz w:w="16838" w:h="23811" w:code="8"/>
          <w:pgMar w:top="1021" w:right="1021" w:bottom="1021" w:left="1021" w:header="709" w:footer="709" w:gutter="0"/>
          <w:cols w:space="708"/>
          <w:docGrid w:linePitch="360"/>
        </w:sectPr>
      </w:pPr>
      <w:r w:rsidRPr="006739D0">
        <w:rPr>
          <w:sz w:val="18"/>
          <w:szCs w:val="18"/>
        </w:rPr>
        <w:t xml:space="preserve">(Taken from </w:t>
      </w:r>
      <w:hyperlink r:id="rId13" w:history="1">
        <w:r w:rsidRPr="006739D0">
          <w:rPr>
            <w:rStyle w:val="Hyperlink"/>
            <w:sz w:val="18"/>
            <w:szCs w:val="18"/>
          </w:rPr>
          <w:t>The Prostheses List: Guide to listing and setting benefits for prostheses</w:t>
        </w:r>
      </w:hyperlink>
    </w:p>
    <w:p w14:paraId="60D185BF" w14:textId="342FA0D8" w:rsidR="00BC6E02" w:rsidRPr="00AD644A" w:rsidRDefault="00BC6E02" w:rsidP="00AD644A">
      <w:pPr>
        <w:pStyle w:val="Heading1"/>
      </w:pPr>
      <w:r w:rsidRPr="00AD644A">
        <w:lastRenderedPageBreak/>
        <w:t xml:space="preserve">The case for </w:t>
      </w:r>
      <w:r w:rsidR="002E2328" w:rsidRPr="00AD644A">
        <w:t>modern</w:t>
      </w:r>
      <w:r w:rsidR="00C83CD2">
        <w:t>ised fit-for-purpose</w:t>
      </w:r>
      <w:r w:rsidR="002E2328" w:rsidRPr="00AD644A">
        <w:t xml:space="preserve"> listing pathways</w:t>
      </w:r>
    </w:p>
    <w:p w14:paraId="6104D550" w14:textId="47136A2F" w:rsidR="00BC6E02" w:rsidRPr="007510EF" w:rsidRDefault="00234BC2" w:rsidP="00C83AC9">
      <w:pPr>
        <w:pStyle w:val="Paragraphtext"/>
      </w:pPr>
      <w:r>
        <w:br/>
      </w:r>
      <w:r w:rsidR="00BC6E02" w:rsidRPr="007510EF">
        <w:t xml:space="preserve">The PL has been in place since 1985 and </w:t>
      </w:r>
      <w:r w:rsidR="00CB71D8" w:rsidRPr="007510EF">
        <w:t xml:space="preserve">has been subject to numerous reforms, however, pathways to list an item on the PL </w:t>
      </w:r>
      <w:r w:rsidR="00BC6E02" w:rsidRPr="007510EF">
        <w:t>have not evolved at the same pace as broader changes for assessing medical technolog</w:t>
      </w:r>
      <w:r w:rsidR="009D2A2B" w:rsidRPr="007510EF">
        <w:t xml:space="preserve">ies </w:t>
      </w:r>
      <w:r w:rsidR="004C5B82" w:rsidRPr="007510EF">
        <w:t>in other Australian Government health technology assessment processes.</w:t>
      </w:r>
      <w:r w:rsidR="009D2A2B" w:rsidRPr="007510EF">
        <w:t xml:space="preserve"> </w:t>
      </w:r>
    </w:p>
    <w:p w14:paraId="25B1605B" w14:textId="1A0176D5" w:rsidR="00BC6E02" w:rsidRPr="00BC6E02" w:rsidRDefault="00BC6E02" w:rsidP="00C83AC9">
      <w:pPr>
        <w:pStyle w:val="Paragraphtext"/>
      </w:pPr>
      <w:r w:rsidRPr="007510EF">
        <w:rPr>
          <w:lang w:val="en-US"/>
        </w:rPr>
        <w:t xml:space="preserve">In 2017 </w:t>
      </w:r>
      <w:r w:rsidRPr="007510EF">
        <w:t>the Government and MTAA entered an agreement to:</w:t>
      </w:r>
    </w:p>
    <w:p w14:paraId="20CA54A8" w14:textId="4EDD790C" w:rsidR="00BC6E02" w:rsidRPr="00F837C7" w:rsidRDefault="00BC6E02" w:rsidP="00B07304">
      <w:pPr>
        <w:pStyle w:val="ListBullet"/>
      </w:pPr>
      <w:r w:rsidRPr="00F837C7">
        <w:t>promote the sustainability of privately insured health care through rebalancing the costs of medical devices to privately insured patients, to help keep private health insurance affordable for all Australians</w:t>
      </w:r>
    </w:p>
    <w:p w14:paraId="0D1E8375" w14:textId="459F52FF" w:rsidR="00BC6E02" w:rsidRPr="00F837C7" w:rsidRDefault="00BC6E02" w:rsidP="00B07304">
      <w:pPr>
        <w:pStyle w:val="ListBullet"/>
      </w:pPr>
      <w:r w:rsidRPr="00F837C7">
        <w:t xml:space="preserve">support a viable, </w:t>
      </w:r>
      <w:proofErr w:type="gramStart"/>
      <w:r w:rsidRPr="00F837C7">
        <w:t>innovative</w:t>
      </w:r>
      <w:proofErr w:type="gramEnd"/>
      <w:r w:rsidRPr="00F837C7">
        <w:t xml:space="preserve"> and diverse medical technology sector in Australia and local jobs</w:t>
      </w:r>
    </w:p>
    <w:p w14:paraId="66A5CB7C" w14:textId="20690ECC" w:rsidR="00BC6E02" w:rsidRPr="00F837C7" w:rsidRDefault="00BC6E02" w:rsidP="00B07304">
      <w:pPr>
        <w:pStyle w:val="ListBullet"/>
      </w:pPr>
      <w:r w:rsidRPr="00F837C7">
        <w:t xml:space="preserve">improve the value of private health insurance for consumers by reducing benefits for prostheses on the </w:t>
      </w:r>
      <w:r w:rsidR="007510EF">
        <w:t>PL</w:t>
      </w:r>
      <w:r w:rsidRPr="00F837C7">
        <w:t xml:space="preserve">. </w:t>
      </w:r>
    </w:p>
    <w:p w14:paraId="017C45CB" w14:textId="77777777" w:rsidR="00BC6E02" w:rsidRPr="00BC6E02" w:rsidRDefault="00BC6E02" w:rsidP="00C83AC9">
      <w:pPr>
        <w:pStyle w:val="Paragraphtext"/>
      </w:pPr>
      <w:r w:rsidRPr="00BC6E02">
        <w:t>As part of this agreement, industry and Government committed to working together to develop appropriate pathways for application and assessment of products including options for improved expedited pathways for some devices.</w:t>
      </w:r>
    </w:p>
    <w:p w14:paraId="0550469C" w14:textId="223A3FBC" w:rsidR="00BC6E02" w:rsidRPr="00BC6E02" w:rsidRDefault="00BC6E02" w:rsidP="00C83AC9">
      <w:pPr>
        <w:pStyle w:val="Paragraphtext"/>
      </w:pPr>
      <w:r w:rsidRPr="00BC6E02">
        <w:t>Under the MTAA Agreement</w:t>
      </w:r>
      <w:r w:rsidR="007510EF">
        <w:t>,</w:t>
      </w:r>
      <w:r w:rsidRPr="00BC6E02">
        <w:t xml:space="preserve"> the Quality of Information and </w:t>
      </w:r>
      <w:r w:rsidR="00F168A8">
        <w:t>Guidance</w:t>
      </w:r>
      <w:r w:rsidRPr="00BC6E02">
        <w:t xml:space="preserve"> Industry Working Group</w:t>
      </w:r>
      <w:r w:rsidR="006E3F89">
        <w:t xml:space="preserve"> (the QIG)</w:t>
      </w:r>
      <w:r w:rsidRPr="00BC6E02">
        <w:t xml:space="preserve"> was established. This group met six times between July 2018 and February 2020 and included membership from MTAA companies. </w:t>
      </w:r>
    </w:p>
    <w:p w14:paraId="73B18691" w14:textId="53D9314D" w:rsidR="00BC6E02" w:rsidRDefault="00BC6E02" w:rsidP="00C83AC9">
      <w:pPr>
        <w:pStyle w:val="Paragraphtext"/>
      </w:pPr>
      <w:r w:rsidRPr="00BC6E02">
        <w:t xml:space="preserve">The </w:t>
      </w:r>
      <w:r w:rsidR="006E3F89">
        <w:t>QIG</w:t>
      </w:r>
      <w:r w:rsidRPr="00BC6E02">
        <w:t xml:space="preserve"> was tasked with overseeing the review and update of the PL Guide and associated PL application forms, and the development of fit-for-purpose HTA pathways for the assessment of applications to the PL.</w:t>
      </w:r>
    </w:p>
    <w:p w14:paraId="03FA3879" w14:textId="473549F7" w:rsidR="006E3F89" w:rsidRDefault="006E3F89" w:rsidP="00C83AC9">
      <w:pPr>
        <w:pStyle w:val="Paragraphtext"/>
      </w:pPr>
      <w:r>
        <w:t xml:space="preserve">As part of this process, a consulting company </w:t>
      </w:r>
      <w:proofErr w:type="spellStart"/>
      <w:r>
        <w:t>ThinkPlace</w:t>
      </w:r>
      <w:proofErr w:type="spellEnd"/>
      <w:r>
        <w:t xml:space="preserve"> were engaged to facilitate the QIG meetings and conduct broader consultations on the PL pathways </w:t>
      </w:r>
      <w:r w:rsidRPr="006E3F89">
        <w:t>with a range of stakeholders, including device sponsors, private hospitals, private health insurance funds and the Department</w:t>
      </w:r>
      <w:r w:rsidR="007510EF">
        <w:t> </w:t>
      </w:r>
      <w:r w:rsidRPr="006E3F89">
        <w:t>of</w:t>
      </w:r>
      <w:r w:rsidR="007510EF">
        <w:t> </w:t>
      </w:r>
      <w:r w:rsidRPr="006E3F89">
        <w:t xml:space="preserve">Health </w:t>
      </w:r>
      <w:r>
        <w:t xml:space="preserve">PL </w:t>
      </w:r>
      <w:r w:rsidRPr="006E3F89">
        <w:t>Secretariat</w:t>
      </w:r>
      <w:r>
        <w:t>.</w:t>
      </w:r>
      <w:r w:rsidR="00636470">
        <w:t xml:space="preserve"> </w:t>
      </w:r>
      <w:r w:rsidR="00636470" w:rsidRPr="00636470">
        <w:rPr>
          <w:b/>
          <w:bCs/>
        </w:rPr>
        <w:t>Figure 2</w:t>
      </w:r>
      <w:r w:rsidR="00636470">
        <w:t xml:space="preserve"> provides some insights into the issues raised by stakeholders as part of this consultation.</w:t>
      </w:r>
    </w:p>
    <w:p w14:paraId="6F8920D6" w14:textId="77777777" w:rsidR="00037B08" w:rsidRDefault="00037B08" w:rsidP="00C83AC9">
      <w:pPr>
        <w:pStyle w:val="Paragraphtext"/>
      </w:pPr>
    </w:p>
    <w:p w14:paraId="002DC1D1" w14:textId="7671319C" w:rsidR="00037B08" w:rsidRDefault="00037B08">
      <w:pPr>
        <w:sectPr w:rsidR="00037B08" w:rsidSect="00C83AC9">
          <w:pgSz w:w="11906" w:h="16838"/>
          <w:pgMar w:top="1021" w:right="1021" w:bottom="1021" w:left="1021" w:header="709" w:footer="709" w:gutter="0"/>
          <w:cols w:space="708"/>
          <w:docGrid w:linePitch="360"/>
        </w:sectPr>
      </w:pPr>
    </w:p>
    <w:p w14:paraId="76D66616" w14:textId="78E96071" w:rsidR="00DF30A7" w:rsidRDefault="00DF30A7" w:rsidP="00C83AC9">
      <w:pPr>
        <w:pStyle w:val="FigureTitle"/>
      </w:pPr>
      <w:bookmarkStart w:id="1" w:name="_Hlk87955111"/>
      <w:r w:rsidRPr="002E2328">
        <w:lastRenderedPageBreak/>
        <w:t>Figure 2: Exploring the user experience of the PL listing pathways process</w:t>
      </w:r>
      <w:r w:rsidR="00CD36DA">
        <w:t xml:space="preserve"> (from </w:t>
      </w:r>
      <w:proofErr w:type="spellStart"/>
      <w:r w:rsidR="00CD36DA">
        <w:t>ThinkPlace</w:t>
      </w:r>
      <w:proofErr w:type="spellEnd"/>
      <w:r w:rsidR="00CD36DA">
        <w:t xml:space="preserve"> consultations)</w:t>
      </w:r>
    </w:p>
    <w:p w14:paraId="414D9AC1" w14:textId="77777777" w:rsidR="00C83AC9" w:rsidRPr="00C83AC9" w:rsidRDefault="00C83AC9" w:rsidP="00C83AC9"/>
    <w:tbl>
      <w:tblPr>
        <w:tblStyle w:val="TableGrid"/>
        <w:tblW w:w="15310" w:type="dxa"/>
        <w:tblInd w:w="-289" w:type="dxa"/>
        <w:tblBorders>
          <w:top w:val="none" w:sz="0" w:space="0" w:color="auto"/>
          <w:left w:val="single" w:sz="4" w:space="0" w:color="009999"/>
          <w:bottom w:val="none" w:sz="0" w:space="0" w:color="auto"/>
          <w:right w:val="none" w:sz="0" w:space="0" w:color="auto"/>
          <w:insideH w:val="none" w:sz="0" w:space="0" w:color="auto"/>
          <w:insideV w:val="single" w:sz="4" w:space="0" w:color="009999"/>
        </w:tblBorders>
        <w:shd w:val="clear" w:color="auto" w:fill="E7E6E6" w:themeFill="background2"/>
        <w:tblLayout w:type="fixed"/>
        <w:tblLook w:val="04A0" w:firstRow="1" w:lastRow="0" w:firstColumn="1" w:lastColumn="0" w:noHBand="0" w:noVBand="1"/>
      </w:tblPr>
      <w:tblGrid>
        <w:gridCol w:w="3261"/>
        <w:gridCol w:w="3260"/>
        <w:gridCol w:w="3159"/>
        <w:gridCol w:w="2795"/>
        <w:gridCol w:w="2835"/>
      </w:tblGrid>
      <w:tr w:rsidR="00DF30A7" w:rsidRPr="00C83AC9" w14:paraId="45CF0AAD" w14:textId="77777777" w:rsidTr="00B4401E">
        <w:tc>
          <w:tcPr>
            <w:tcW w:w="3261" w:type="dxa"/>
            <w:shd w:val="clear" w:color="auto" w:fill="F2F2F2" w:themeFill="background1" w:themeFillShade="F2"/>
          </w:tcPr>
          <w:p w14:paraId="103985CB" w14:textId="77777777" w:rsidR="00DF30A7" w:rsidRPr="00C83AC9" w:rsidRDefault="00DF30A7" w:rsidP="00DF30A7">
            <w:pPr>
              <w:tabs>
                <w:tab w:val="right" w:pos="9038"/>
              </w:tabs>
              <w:rPr>
                <w:rFonts w:cs="Arial"/>
                <w:bCs/>
                <w:color w:val="358189"/>
                <w:sz w:val="32"/>
                <w:szCs w:val="28"/>
              </w:rPr>
            </w:pPr>
            <w:r w:rsidRPr="00C83AC9">
              <w:rPr>
                <w:rFonts w:cs="Arial"/>
                <w:b/>
                <w:color w:val="358189"/>
                <w:sz w:val="32"/>
                <w:szCs w:val="28"/>
              </w:rPr>
              <w:t>Sponsors</w:t>
            </w:r>
          </w:p>
          <w:p w14:paraId="1517F0EF" w14:textId="50F5FDE5" w:rsidR="00DF30A7" w:rsidRPr="00C83AC9" w:rsidRDefault="00DF30A7" w:rsidP="00DF30A7">
            <w:pPr>
              <w:tabs>
                <w:tab w:val="right" w:pos="9038"/>
              </w:tabs>
            </w:pPr>
            <w:r w:rsidRPr="00B4401E">
              <w:rPr>
                <w:rFonts w:cs="Arial"/>
                <w:bCs/>
                <w:color w:val="000000" w:themeColor="text1"/>
              </w:rPr>
              <w:t>Applying to list prostheses</w:t>
            </w:r>
          </w:p>
        </w:tc>
        <w:tc>
          <w:tcPr>
            <w:tcW w:w="3260" w:type="dxa"/>
            <w:shd w:val="clear" w:color="auto" w:fill="F2F2F2" w:themeFill="background1" w:themeFillShade="F2"/>
          </w:tcPr>
          <w:p w14:paraId="3E36AEEC" w14:textId="3655E2DA" w:rsidR="00DF30A7" w:rsidRPr="00C83AC9" w:rsidRDefault="00DF30A7" w:rsidP="00DF30A7">
            <w:pPr>
              <w:tabs>
                <w:tab w:val="right" w:pos="9038"/>
              </w:tabs>
              <w:rPr>
                <w:rFonts w:cs="Arial"/>
                <w:b/>
                <w:color w:val="358189"/>
                <w:sz w:val="32"/>
                <w:szCs w:val="28"/>
              </w:rPr>
            </w:pPr>
            <w:r w:rsidRPr="00C83AC9">
              <w:rPr>
                <w:rFonts w:cs="Arial"/>
                <w:b/>
                <w:color w:val="358189"/>
                <w:sz w:val="32"/>
                <w:szCs w:val="28"/>
              </w:rPr>
              <w:t>Secretariat</w:t>
            </w:r>
            <w:r w:rsidR="008169C8">
              <w:rPr>
                <w:rFonts w:cs="Arial"/>
                <w:b/>
                <w:color w:val="358189"/>
                <w:sz w:val="32"/>
                <w:szCs w:val="28"/>
              </w:rPr>
              <w:t>/</w:t>
            </w:r>
            <w:r w:rsidR="00B276B5">
              <w:rPr>
                <w:rFonts w:cs="Arial"/>
                <w:b/>
                <w:color w:val="358189"/>
                <w:sz w:val="32"/>
                <w:szCs w:val="28"/>
              </w:rPr>
              <w:br/>
            </w:r>
            <w:r w:rsidR="008169C8">
              <w:rPr>
                <w:rFonts w:cs="Arial"/>
                <w:b/>
                <w:color w:val="358189"/>
                <w:sz w:val="32"/>
                <w:szCs w:val="28"/>
              </w:rPr>
              <w:t>Department</w:t>
            </w:r>
          </w:p>
          <w:p w14:paraId="5282AB02" w14:textId="6FBFA0E4" w:rsidR="00DF30A7" w:rsidRPr="00C83AC9" w:rsidRDefault="00DF30A7" w:rsidP="00DF30A7">
            <w:pPr>
              <w:tabs>
                <w:tab w:val="right" w:pos="9038"/>
              </w:tabs>
              <w:rPr>
                <w:rFonts w:cs="Arial"/>
                <w:b/>
                <w:color w:val="358189"/>
                <w:sz w:val="32"/>
                <w:szCs w:val="28"/>
              </w:rPr>
            </w:pPr>
            <w:r w:rsidRPr="00B4401E">
              <w:rPr>
                <w:rFonts w:cs="Arial"/>
                <w:bCs/>
                <w:color w:val="000000" w:themeColor="text1"/>
              </w:rPr>
              <w:t>Managing the listing process</w:t>
            </w:r>
          </w:p>
        </w:tc>
        <w:tc>
          <w:tcPr>
            <w:tcW w:w="3159" w:type="dxa"/>
            <w:shd w:val="clear" w:color="auto" w:fill="F2F2F2" w:themeFill="background1" w:themeFillShade="F2"/>
          </w:tcPr>
          <w:p w14:paraId="72B446FE" w14:textId="77777777" w:rsidR="00DF30A7" w:rsidRPr="00C83AC9" w:rsidRDefault="00DF30A7" w:rsidP="00DF30A7">
            <w:pPr>
              <w:tabs>
                <w:tab w:val="right" w:pos="9038"/>
              </w:tabs>
              <w:rPr>
                <w:rFonts w:cs="Arial"/>
                <w:b/>
                <w:color w:val="358189"/>
                <w:sz w:val="32"/>
                <w:szCs w:val="28"/>
              </w:rPr>
            </w:pPr>
            <w:r w:rsidRPr="00C83AC9">
              <w:rPr>
                <w:rFonts w:cs="Arial"/>
                <w:b/>
                <w:color w:val="358189"/>
                <w:sz w:val="32"/>
                <w:szCs w:val="28"/>
              </w:rPr>
              <w:t xml:space="preserve">CAG Clinicians </w:t>
            </w:r>
          </w:p>
          <w:p w14:paraId="0914733D" w14:textId="77777777" w:rsidR="00DF30A7" w:rsidRPr="00C83AC9" w:rsidRDefault="00DF30A7" w:rsidP="00DF30A7">
            <w:pPr>
              <w:tabs>
                <w:tab w:val="right" w:pos="9038"/>
              </w:tabs>
              <w:rPr>
                <w:rFonts w:cs="Arial"/>
                <w:bCs/>
                <w:color w:val="358189"/>
              </w:rPr>
            </w:pPr>
            <w:r w:rsidRPr="00B4401E">
              <w:rPr>
                <w:rFonts w:cs="Arial"/>
                <w:bCs/>
                <w:color w:val="000000" w:themeColor="text1"/>
              </w:rPr>
              <w:t xml:space="preserve">Assessing device applications </w:t>
            </w:r>
          </w:p>
          <w:p w14:paraId="79E74FAD" w14:textId="77777777" w:rsidR="00DF30A7" w:rsidRPr="00C83AC9" w:rsidRDefault="00DF30A7" w:rsidP="00DF30A7">
            <w:pPr>
              <w:tabs>
                <w:tab w:val="right" w:pos="9038"/>
              </w:tabs>
              <w:rPr>
                <w:rFonts w:cs="Arial"/>
                <w:b/>
                <w:color w:val="358189"/>
                <w:sz w:val="32"/>
                <w:szCs w:val="28"/>
              </w:rPr>
            </w:pPr>
          </w:p>
        </w:tc>
        <w:tc>
          <w:tcPr>
            <w:tcW w:w="2795" w:type="dxa"/>
            <w:shd w:val="clear" w:color="auto" w:fill="F2F2F2" w:themeFill="background1" w:themeFillShade="F2"/>
          </w:tcPr>
          <w:p w14:paraId="48C4D771" w14:textId="77777777" w:rsidR="00DF30A7" w:rsidRPr="00C83AC9" w:rsidRDefault="00DF30A7" w:rsidP="00DF30A7">
            <w:pPr>
              <w:tabs>
                <w:tab w:val="right" w:pos="9038"/>
              </w:tabs>
              <w:rPr>
                <w:rFonts w:cs="Arial"/>
                <w:b/>
                <w:color w:val="358189"/>
                <w:sz w:val="32"/>
                <w:szCs w:val="28"/>
              </w:rPr>
            </w:pPr>
            <w:r w:rsidRPr="00C83AC9">
              <w:rPr>
                <w:rFonts w:cs="Arial"/>
                <w:b/>
                <w:color w:val="358189"/>
                <w:sz w:val="32"/>
                <w:szCs w:val="28"/>
              </w:rPr>
              <w:t xml:space="preserve">Private hospitals </w:t>
            </w:r>
          </w:p>
          <w:p w14:paraId="4289F75F" w14:textId="77777777" w:rsidR="00DF30A7" w:rsidRPr="00C83AC9" w:rsidRDefault="00DF30A7" w:rsidP="00DF30A7">
            <w:pPr>
              <w:tabs>
                <w:tab w:val="right" w:pos="9038"/>
              </w:tabs>
              <w:rPr>
                <w:rFonts w:cs="Arial"/>
                <w:bCs/>
                <w:color w:val="358189"/>
              </w:rPr>
            </w:pPr>
            <w:r w:rsidRPr="00B4401E">
              <w:rPr>
                <w:rFonts w:cs="Arial"/>
                <w:bCs/>
                <w:color w:val="000000" w:themeColor="text1"/>
              </w:rPr>
              <w:t>Purchasing and billing for devices using the PL</w:t>
            </w:r>
          </w:p>
          <w:p w14:paraId="39E8ABE4" w14:textId="77777777" w:rsidR="00DF30A7" w:rsidRPr="00C83AC9" w:rsidRDefault="00DF30A7" w:rsidP="00DF30A7">
            <w:pPr>
              <w:tabs>
                <w:tab w:val="right" w:pos="9038"/>
              </w:tabs>
              <w:rPr>
                <w:rFonts w:cs="Arial"/>
                <w:b/>
                <w:color w:val="358189"/>
                <w:sz w:val="32"/>
                <w:szCs w:val="28"/>
              </w:rPr>
            </w:pPr>
          </w:p>
        </w:tc>
        <w:tc>
          <w:tcPr>
            <w:tcW w:w="2835" w:type="dxa"/>
            <w:shd w:val="clear" w:color="auto" w:fill="F2F2F2" w:themeFill="background1" w:themeFillShade="F2"/>
          </w:tcPr>
          <w:p w14:paraId="77C51970" w14:textId="77777777" w:rsidR="00DF30A7" w:rsidRPr="00C83AC9" w:rsidRDefault="00DF30A7" w:rsidP="00C83AC9">
            <w:pPr>
              <w:tabs>
                <w:tab w:val="right" w:pos="9038"/>
              </w:tabs>
              <w:ind w:right="-395"/>
              <w:rPr>
                <w:rFonts w:cs="Arial"/>
                <w:b/>
                <w:color w:val="358189"/>
                <w:spacing w:val="-20"/>
                <w:sz w:val="32"/>
                <w:szCs w:val="28"/>
              </w:rPr>
            </w:pPr>
            <w:r w:rsidRPr="00C83AC9">
              <w:rPr>
                <w:rFonts w:cs="Arial"/>
                <w:b/>
                <w:color w:val="358189"/>
                <w:spacing w:val="-20"/>
                <w:sz w:val="32"/>
                <w:szCs w:val="28"/>
              </w:rPr>
              <w:t>Private Insurance Funds</w:t>
            </w:r>
          </w:p>
          <w:p w14:paraId="4B0C7940" w14:textId="77777777" w:rsidR="00DF30A7" w:rsidRDefault="00DF30A7" w:rsidP="00DF30A7">
            <w:pPr>
              <w:tabs>
                <w:tab w:val="right" w:pos="9038"/>
              </w:tabs>
              <w:rPr>
                <w:rFonts w:cs="Arial"/>
                <w:bCs/>
                <w:color w:val="358189"/>
              </w:rPr>
            </w:pPr>
            <w:r w:rsidRPr="00B4401E">
              <w:rPr>
                <w:rFonts w:cs="Arial"/>
                <w:bCs/>
                <w:color w:val="000000" w:themeColor="text1"/>
              </w:rPr>
              <w:t>Reimbursing hospitals for devices using the Prostheses List</w:t>
            </w:r>
          </w:p>
          <w:p w14:paraId="2E17100A" w14:textId="280E6384" w:rsidR="00B4401E" w:rsidRPr="00C83AC9" w:rsidRDefault="00B4401E" w:rsidP="00DF30A7">
            <w:pPr>
              <w:tabs>
                <w:tab w:val="right" w:pos="9038"/>
              </w:tabs>
              <w:rPr>
                <w:rFonts w:cs="Arial"/>
                <w:bCs/>
                <w:color w:val="358189"/>
              </w:rPr>
            </w:pPr>
          </w:p>
        </w:tc>
      </w:tr>
      <w:tr w:rsidR="00DF30A7" w:rsidRPr="00C83AC9" w14:paraId="2C4CE595" w14:textId="77777777" w:rsidTr="00B4401E">
        <w:tc>
          <w:tcPr>
            <w:tcW w:w="3261" w:type="dxa"/>
            <w:shd w:val="clear" w:color="auto" w:fill="F2F2F2" w:themeFill="background1" w:themeFillShade="F2"/>
          </w:tcPr>
          <w:p w14:paraId="1B69AB1C" w14:textId="6C7E2B26" w:rsidR="00DF30A7" w:rsidRPr="00C83AC9" w:rsidRDefault="00DF30A7" w:rsidP="00DF30A7">
            <w:pPr>
              <w:rPr>
                <w:rFonts w:cstheme="minorHAnsi"/>
                <w:color w:val="000000" w:themeColor="text1"/>
                <w:kern w:val="24"/>
              </w:rPr>
            </w:pPr>
            <w:r w:rsidRPr="00C83AC9">
              <w:rPr>
                <w:rFonts w:eastAsia="+mn-ea" w:cstheme="minorHAnsi"/>
                <w:b/>
                <w:bCs/>
                <w:color w:val="2B7684"/>
                <w:kern w:val="24"/>
              </w:rPr>
              <w:t>Insight 1:</w:t>
            </w:r>
            <w:r w:rsidRPr="00C83AC9">
              <w:rPr>
                <w:rFonts w:cstheme="minorHAnsi"/>
                <w:b/>
                <w:bCs/>
                <w:color w:val="44546A" w:themeColor="text2"/>
                <w:kern w:val="24"/>
              </w:rPr>
              <w:t xml:space="preserve"> </w:t>
            </w:r>
            <w:r w:rsidRPr="00C83AC9">
              <w:rPr>
                <w:rFonts w:cstheme="minorHAnsi"/>
                <w:color w:val="000000" w:themeColor="text1"/>
                <w:kern w:val="24"/>
              </w:rPr>
              <w:t>Sponsors feel that the Prostheses List evidence requirements and assessment process are not fit for purpose.</w:t>
            </w:r>
          </w:p>
          <w:p w14:paraId="3F4A39A1" w14:textId="77777777" w:rsidR="00DF30A7" w:rsidRPr="00C83AC9" w:rsidRDefault="00DF30A7" w:rsidP="00DF30A7">
            <w:pPr>
              <w:rPr>
                <w:rFonts w:cstheme="minorHAnsi"/>
                <w:color w:val="4472C4"/>
              </w:rPr>
            </w:pPr>
          </w:p>
          <w:p w14:paraId="3FD60938" w14:textId="1C3811E3" w:rsidR="00DF30A7" w:rsidRPr="00C83AC9" w:rsidRDefault="00DF30A7" w:rsidP="00DF30A7">
            <w:pPr>
              <w:rPr>
                <w:rFonts w:cstheme="minorHAnsi"/>
                <w:color w:val="4472C4"/>
              </w:rPr>
            </w:pPr>
            <w:r w:rsidRPr="00C83AC9">
              <w:rPr>
                <w:rFonts w:eastAsia="+mn-ea" w:cstheme="minorHAnsi"/>
                <w:b/>
                <w:bCs/>
                <w:color w:val="2B7684"/>
                <w:kern w:val="24"/>
              </w:rPr>
              <w:t>Insight 2:</w:t>
            </w:r>
            <w:r w:rsidRPr="00C83AC9">
              <w:rPr>
                <w:rFonts w:cstheme="minorHAnsi"/>
                <w:b/>
                <w:bCs/>
                <w:color w:val="44546A" w:themeColor="text2"/>
                <w:kern w:val="24"/>
              </w:rPr>
              <w:t xml:space="preserve"> </w:t>
            </w:r>
            <w:r w:rsidRPr="00C83AC9">
              <w:rPr>
                <w:rFonts w:cstheme="minorHAnsi"/>
                <w:color w:val="000000" w:themeColor="text1"/>
                <w:kern w:val="24"/>
              </w:rPr>
              <w:t xml:space="preserve">Sponsors do not get adequate feedback or explanation about CAG decisions. </w:t>
            </w:r>
          </w:p>
          <w:p w14:paraId="374A1B53" w14:textId="77777777" w:rsidR="00DF30A7" w:rsidRPr="00C83AC9" w:rsidRDefault="00DF30A7" w:rsidP="00DF30A7">
            <w:pPr>
              <w:rPr>
                <w:rFonts w:cstheme="minorHAnsi"/>
                <w:b/>
                <w:bCs/>
                <w:color w:val="44546A" w:themeColor="text2"/>
                <w:kern w:val="24"/>
              </w:rPr>
            </w:pPr>
          </w:p>
          <w:p w14:paraId="112C7E17" w14:textId="67C97994" w:rsidR="00DF30A7" w:rsidRPr="00C83AC9" w:rsidRDefault="00DF30A7" w:rsidP="00DF30A7">
            <w:pPr>
              <w:rPr>
                <w:rFonts w:cstheme="minorHAnsi"/>
                <w:color w:val="4472C4"/>
              </w:rPr>
            </w:pPr>
            <w:r w:rsidRPr="00C83AC9">
              <w:rPr>
                <w:rFonts w:eastAsia="+mn-ea" w:cstheme="minorHAnsi"/>
                <w:b/>
                <w:bCs/>
                <w:color w:val="2B7684"/>
                <w:kern w:val="24"/>
              </w:rPr>
              <w:t>Insight 3:</w:t>
            </w:r>
            <w:r w:rsidRPr="00C83AC9">
              <w:rPr>
                <w:rFonts w:cstheme="minorHAnsi"/>
                <w:b/>
                <w:bCs/>
                <w:color w:val="44546A" w:themeColor="text2"/>
                <w:kern w:val="24"/>
              </w:rPr>
              <w:t xml:space="preserve"> </w:t>
            </w:r>
            <w:r w:rsidRPr="00C83AC9">
              <w:rPr>
                <w:rFonts w:cstheme="minorHAnsi"/>
                <w:color w:val="000000" w:themeColor="text1"/>
                <w:kern w:val="24"/>
              </w:rPr>
              <w:t>Sponsors claim inconsistency of evidence requirements and decision-making from CAGs.</w:t>
            </w:r>
          </w:p>
          <w:p w14:paraId="733304FF" w14:textId="77777777" w:rsidR="00DF30A7" w:rsidRPr="00C83AC9" w:rsidRDefault="00DF30A7" w:rsidP="00DF30A7">
            <w:pPr>
              <w:rPr>
                <w:rFonts w:cstheme="minorHAnsi"/>
                <w:b/>
                <w:bCs/>
                <w:color w:val="44546A" w:themeColor="text2"/>
                <w:kern w:val="24"/>
              </w:rPr>
            </w:pPr>
          </w:p>
          <w:p w14:paraId="72EDFC8A" w14:textId="0FF98A15" w:rsidR="00DF30A7" w:rsidRPr="00C83AC9" w:rsidRDefault="00DF30A7" w:rsidP="00DF30A7">
            <w:pPr>
              <w:rPr>
                <w:rFonts w:cstheme="minorHAnsi"/>
                <w:color w:val="4472C4"/>
              </w:rPr>
            </w:pPr>
            <w:r w:rsidRPr="00C83AC9">
              <w:rPr>
                <w:rFonts w:eastAsia="+mn-ea" w:cstheme="minorHAnsi"/>
                <w:b/>
                <w:bCs/>
                <w:color w:val="2B7684"/>
                <w:kern w:val="24"/>
              </w:rPr>
              <w:t>Insight 4:</w:t>
            </w:r>
            <w:r w:rsidRPr="00C83AC9">
              <w:rPr>
                <w:rFonts w:cstheme="minorHAnsi"/>
                <w:b/>
                <w:bCs/>
                <w:color w:val="44546A" w:themeColor="text2"/>
                <w:kern w:val="24"/>
              </w:rPr>
              <w:t xml:space="preserve"> </w:t>
            </w:r>
            <w:r w:rsidRPr="00C83AC9">
              <w:rPr>
                <w:rFonts w:cstheme="minorHAnsi"/>
                <w:color w:val="000000" w:themeColor="text1"/>
                <w:kern w:val="24"/>
              </w:rPr>
              <w:t xml:space="preserve">Sponsors do not get timely information and updates. This affects their organisation’s ability to </w:t>
            </w:r>
            <w:proofErr w:type="gramStart"/>
            <w:r w:rsidRPr="00C83AC9">
              <w:rPr>
                <w:rFonts w:cstheme="minorHAnsi"/>
                <w:color w:val="000000" w:themeColor="text1"/>
                <w:kern w:val="24"/>
              </w:rPr>
              <w:t>plan ahead</w:t>
            </w:r>
            <w:proofErr w:type="gramEnd"/>
            <w:r w:rsidRPr="00C83AC9">
              <w:rPr>
                <w:rFonts w:cstheme="minorHAnsi"/>
                <w:color w:val="000000" w:themeColor="text1"/>
                <w:kern w:val="24"/>
              </w:rPr>
              <w:t xml:space="preserve">.  </w:t>
            </w:r>
          </w:p>
          <w:p w14:paraId="7F7FB788" w14:textId="77777777" w:rsidR="00DF30A7" w:rsidRPr="00C83AC9" w:rsidRDefault="00DF30A7" w:rsidP="00DF30A7">
            <w:pPr>
              <w:rPr>
                <w:rFonts w:cstheme="minorHAnsi"/>
                <w:b/>
                <w:bCs/>
                <w:color w:val="44546A" w:themeColor="text2"/>
                <w:kern w:val="24"/>
              </w:rPr>
            </w:pPr>
          </w:p>
          <w:p w14:paraId="2EFE1F36" w14:textId="20D0A612" w:rsidR="00DF30A7" w:rsidRPr="00C83AC9" w:rsidRDefault="00DF30A7" w:rsidP="00DF30A7">
            <w:pPr>
              <w:rPr>
                <w:rFonts w:cstheme="minorHAnsi"/>
                <w:color w:val="4472C4"/>
              </w:rPr>
            </w:pPr>
            <w:r w:rsidRPr="00C83AC9">
              <w:rPr>
                <w:rFonts w:eastAsia="+mn-ea" w:cstheme="minorHAnsi"/>
                <w:b/>
                <w:bCs/>
                <w:color w:val="2B7684"/>
                <w:kern w:val="24"/>
              </w:rPr>
              <w:t>Insight 5:</w:t>
            </w:r>
            <w:r w:rsidRPr="00C83AC9">
              <w:rPr>
                <w:rFonts w:cstheme="minorHAnsi"/>
                <w:b/>
                <w:bCs/>
                <w:color w:val="44546A" w:themeColor="text2"/>
                <w:kern w:val="24"/>
              </w:rPr>
              <w:t xml:space="preserve"> </w:t>
            </w:r>
            <w:r w:rsidRPr="00C83AC9">
              <w:rPr>
                <w:rFonts w:cstheme="minorHAnsi"/>
                <w:color w:val="000000" w:themeColor="text1"/>
                <w:kern w:val="24"/>
              </w:rPr>
              <w:t>Inefficiencies and flaws in the listing process result in significant delays and financial losses for sponsors.</w:t>
            </w:r>
          </w:p>
          <w:p w14:paraId="0EB2CB8E" w14:textId="77777777" w:rsidR="00DF30A7" w:rsidRPr="00C83AC9" w:rsidRDefault="00DF30A7" w:rsidP="00DF30A7">
            <w:pPr>
              <w:rPr>
                <w:rFonts w:cstheme="minorHAnsi"/>
                <w:b/>
                <w:bCs/>
                <w:color w:val="44546A" w:themeColor="text2"/>
                <w:kern w:val="24"/>
              </w:rPr>
            </w:pPr>
          </w:p>
          <w:p w14:paraId="32D96DC8" w14:textId="5A20D102" w:rsidR="00DF30A7" w:rsidRPr="00C83AC9" w:rsidRDefault="00DF30A7" w:rsidP="00DF30A7">
            <w:pPr>
              <w:rPr>
                <w:rFonts w:cstheme="minorHAnsi"/>
                <w:color w:val="4472C4"/>
              </w:rPr>
            </w:pPr>
            <w:r w:rsidRPr="00C83AC9">
              <w:rPr>
                <w:rFonts w:eastAsia="+mn-ea" w:cstheme="minorHAnsi"/>
                <w:b/>
                <w:bCs/>
                <w:color w:val="2B7684"/>
                <w:kern w:val="24"/>
              </w:rPr>
              <w:t>Insight 6:</w:t>
            </w:r>
            <w:r w:rsidRPr="00C83AC9">
              <w:rPr>
                <w:rFonts w:cstheme="minorHAnsi"/>
                <w:b/>
                <w:bCs/>
                <w:color w:val="44546A" w:themeColor="text2"/>
                <w:kern w:val="24"/>
              </w:rPr>
              <w:t xml:space="preserve"> </w:t>
            </w:r>
            <w:r w:rsidRPr="00C83AC9">
              <w:rPr>
                <w:rFonts w:cstheme="minorHAnsi"/>
                <w:color w:val="000000" w:themeColor="text1"/>
                <w:kern w:val="24"/>
              </w:rPr>
              <w:t>While sponsors overall value the digitisation of the assessment process through PLMS, there are usability issues that cause frustration and inefficiencies.</w:t>
            </w:r>
          </w:p>
        </w:tc>
        <w:tc>
          <w:tcPr>
            <w:tcW w:w="3260" w:type="dxa"/>
            <w:shd w:val="clear" w:color="auto" w:fill="F2F2F2" w:themeFill="background1" w:themeFillShade="F2"/>
          </w:tcPr>
          <w:p w14:paraId="1AECDE8A" w14:textId="2FABCACB" w:rsidR="00DF30A7" w:rsidRPr="00C83AC9" w:rsidRDefault="00DF30A7" w:rsidP="00DF30A7">
            <w:pPr>
              <w:contextualSpacing/>
              <w:rPr>
                <w:rFonts w:cstheme="minorHAnsi"/>
                <w:color w:val="2B7684"/>
              </w:rPr>
            </w:pPr>
            <w:r w:rsidRPr="00C83AC9">
              <w:rPr>
                <w:rFonts w:eastAsia="+mn-ea" w:cstheme="minorHAnsi"/>
                <w:b/>
                <w:bCs/>
                <w:color w:val="2B7684"/>
                <w:kern w:val="24"/>
              </w:rPr>
              <w:t xml:space="preserve">Insight 1: </w:t>
            </w:r>
            <w:r w:rsidRPr="00C83AC9">
              <w:rPr>
                <w:rFonts w:cstheme="minorHAnsi"/>
              </w:rPr>
              <w:t xml:space="preserve">Manual handling </w:t>
            </w:r>
            <w:r w:rsidR="00DF16DB">
              <w:rPr>
                <w:rFonts w:cstheme="minorHAnsi"/>
              </w:rPr>
              <w:t xml:space="preserve">of some information </w:t>
            </w:r>
            <w:r w:rsidRPr="00C83AC9">
              <w:rPr>
                <w:rFonts w:cstheme="minorHAnsi"/>
              </w:rPr>
              <w:t xml:space="preserve">by the </w:t>
            </w:r>
            <w:r w:rsidR="00DF16DB">
              <w:rPr>
                <w:rFonts w:cstheme="minorHAnsi"/>
              </w:rPr>
              <w:t>Department</w:t>
            </w:r>
            <w:r w:rsidRPr="00C83AC9">
              <w:rPr>
                <w:rFonts w:cstheme="minorHAnsi"/>
              </w:rPr>
              <w:t xml:space="preserve"> reduces the efficiency of the process and increases the likelihood of errors</w:t>
            </w:r>
            <w:r w:rsidRPr="00C83AC9">
              <w:rPr>
                <w:rFonts w:eastAsia="+mn-ea" w:cstheme="minorHAnsi"/>
                <w:color w:val="333333"/>
                <w:kern w:val="24"/>
              </w:rPr>
              <w:t>.</w:t>
            </w:r>
          </w:p>
          <w:p w14:paraId="792C7B7D" w14:textId="77777777" w:rsidR="00DF30A7" w:rsidRPr="00C83AC9" w:rsidRDefault="00DF30A7" w:rsidP="00DF30A7">
            <w:pPr>
              <w:rPr>
                <w:rFonts w:eastAsia="+mn-ea" w:cstheme="minorHAnsi"/>
                <w:b/>
                <w:bCs/>
                <w:color w:val="2B7684"/>
                <w:kern w:val="24"/>
              </w:rPr>
            </w:pPr>
          </w:p>
          <w:p w14:paraId="5A5570D0" w14:textId="0DBAA54D" w:rsidR="00DF30A7" w:rsidRPr="00C83AC9" w:rsidRDefault="00DF30A7" w:rsidP="00DF30A7">
            <w:pPr>
              <w:rPr>
                <w:rFonts w:cstheme="minorHAnsi"/>
                <w:b/>
                <w:bCs/>
              </w:rPr>
            </w:pPr>
            <w:r w:rsidRPr="00C83AC9">
              <w:rPr>
                <w:rFonts w:eastAsia="+mn-ea" w:cstheme="minorHAnsi"/>
                <w:b/>
                <w:bCs/>
                <w:color w:val="2B7684"/>
                <w:kern w:val="24"/>
              </w:rPr>
              <w:t xml:space="preserve">Insight 2: </w:t>
            </w:r>
            <w:r w:rsidRPr="00C83AC9">
              <w:rPr>
                <w:rFonts w:cstheme="minorHAnsi"/>
              </w:rPr>
              <w:t>Irrelevant information</w:t>
            </w:r>
            <w:r w:rsidR="00C0589F">
              <w:rPr>
                <w:rFonts w:cstheme="minorHAnsi"/>
              </w:rPr>
              <w:t>/</w:t>
            </w:r>
            <w:r w:rsidR="00DF16DB">
              <w:rPr>
                <w:rFonts w:cstheme="minorHAnsi"/>
              </w:rPr>
              <w:t>very poorly presented</w:t>
            </w:r>
            <w:r w:rsidRPr="00C83AC9">
              <w:rPr>
                <w:rFonts w:cstheme="minorHAnsi"/>
              </w:rPr>
              <w:t xml:space="preserve"> provided by </w:t>
            </w:r>
            <w:r w:rsidR="00222079">
              <w:rPr>
                <w:rFonts w:cstheme="minorHAnsi"/>
              </w:rPr>
              <w:t xml:space="preserve">some </w:t>
            </w:r>
            <w:r w:rsidRPr="00C83AC9">
              <w:rPr>
                <w:rFonts w:cstheme="minorHAnsi"/>
              </w:rPr>
              <w:t>sponsors with applications is unnecessary and likely slows down the assessment process.</w:t>
            </w:r>
          </w:p>
        </w:tc>
        <w:tc>
          <w:tcPr>
            <w:tcW w:w="3159" w:type="dxa"/>
            <w:shd w:val="clear" w:color="auto" w:fill="F2F2F2" w:themeFill="background1" w:themeFillShade="F2"/>
          </w:tcPr>
          <w:p w14:paraId="05143530" w14:textId="1FB4150E" w:rsidR="00DF30A7" w:rsidRPr="00C83AC9" w:rsidRDefault="00DF30A7" w:rsidP="00DF30A7">
            <w:pPr>
              <w:contextualSpacing/>
              <w:rPr>
                <w:rFonts w:eastAsia="+mn-ea" w:cstheme="minorHAnsi"/>
                <w:color w:val="333333"/>
                <w:kern w:val="24"/>
              </w:rPr>
            </w:pPr>
            <w:r w:rsidRPr="00C83AC9">
              <w:rPr>
                <w:rFonts w:eastAsia="+mn-ea" w:cstheme="minorHAnsi"/>
                <w:b/>
                <w:bCs/>
                <w:color w:val="2B7684"/>
                <w:kern w:val="24"/>
              </w:rPr>
              <w:t xml:space="preserve">Insight 1: </w:t>
            </w:r>
            <w:r w:rsidRPr="00C83AC9">
              <w:rPr>
                <w:rFonts w:eastAsia="+mn-ea" w:cstheme="minorHAnsi"/>
                <w:color w:val="333333"/>
                <w:kern w:val="24"/>
              </w:rPr>
              <w:t>Many CAG clinicians lack clarity about their role and the purpose of their assessment particularly in relation to TGA assessment. This makes providing clear advice / feedback to sponsors difficult.</w:t>
            </w:r>
          </w:p>
          <w:p w14:paraId="5A9884F0" w14:textId="77777777" w:rsidR="00DF30A7" w:rsidRPr="00C83AC9" w:rsidRDefault="00DF30A7" w:rsidP="00DF30A7">
            <w:pPr>
              <w:contextualSpacing/>
              <w:rPr>
                <w:rFonts w:cstheme="minorHAnsi"/>
                <w:color w:val="2B7684"/>
              </w:rPr>
            </w:pPr>
          </w:p>
          <w:p w14:paraId="73491A12" w14:textId="4FBB320E" w:rsidR="00DF30A7" w:rsidRPr="00C83AC9" w:rsidRDefault="00DF30A7" w:rsidP="00DF30A7">
            <w:pPr>
              <w:contextualSpacing/>
              <w:rPr>
                <w:rFonts w:eastAsia="+mn-ea" w:cstheme="minorHAnsi"/>
                <w:color w:val="333333"/>
                <w:kern w:val="24"/>
              </w:rPr>
            </w:pPr>
            <w:r w:rsidRPr="00C83AC9">
              <w:rPr>
                <w:rFonts w:eastAsia="+mn-ea" w:cstheme="minorHAnsi"/>
                <w:b/>
                <w:bCs/>
                <w:color w:val="2B7684"/>
                <w:kern w:val="24"/>
              </w:rPr>
              <w:t xml:space="preserve">Insight 2: </w:t>
            </w:r>
            <w:r w:rsidRPr="00C83AC9">
              <w:rPr>
                <w:rFonts w:eastAsia="+mn-ea" w:cstheme="minorHAnsi"/>
                <w:color w:val="333333"/>
                <w:kern w:val="24"/>
              </w:rPr>
              <w:t xml:space="preserve">CAG clinicians </w:t>
            </w:r>
            <w:proofErr w:type="gramStart"/>
            <w:r w:rsidRPr="00C83AC9">
              <w:rPr>
                <w:rFonts w:eastAsia="+mn-ea" w:cstheme="minorHAnsi"/>
                <w:color w:val="333333"/>
                <w:kern w:val="24"/>
              </w:rPr>
              <w:t>take into account</w:t>
            </w:r>
            <w:proofErr w:type="gramEnd"/>
            <w:r w:rsidRPr="00C83AC9">
              <w:rPr>
                <w:rFonts w:eastAsia="+mn-ea" w:cstheme="minorHAnsi"/>
                <w:color w:val="333333"/>
                <w:kern w:val="24"/>
              </w:rPr>
              <w:t xml:space="preserve"> multiple factors when considering the clinical effectiveness of a device. The factors that need to be considered differ significantly from device to device.</w:t>
            </w:r>
          </w:p>
          <w:p w14:paraId="6C449FD1" w14:textId="77777777" w:rsidR="00DF30A7" w:rsidRPr="00C83AC9" w:rsidRDefault="00DF30A7" w:rsidP="00DF30A7">
            <w:pPr>
              <w:contextualSpacing/>
              <w:rPr>
                <w:rFonts w:cstheme="minorHAnsi"/>
                <w:color w:val="2B7684"/>
              </w:rPr>
            </w:pPr>
          </w:p>
          <w:p w14:paraId="567A281D" w14:textId="77777777" w:rsidR="00DF30A7" w:rsidRPr="00C83AC9" w:rsidRDefault="00DF30A7" w:rsidP="00DF30A7">
            <w:pPr>
              <w:contextualSpacing/>
              <w:rPr>
                <w:rFonts w:cstheme="minorHAnsi"/>
                <w:color w:val="2B7684"/>
              </w:rPr>
            </w:pPr>
            <w:r w:rsidRPr="00C83AC9">
              <w:rPr>
                <w:rFonts w:eastAsia="+mn-ea" w:cstheme="minorHAnsi"/>
                <w:b/>
                <w:bCs/>
                <w:color w:val="2B7684"/>
                <w:kern w:val="24"/>
              </w:rPr>
              <w:t xml:space="preserve">Insight 3: </w:t>
            </w:r>
            <w:r w:rsidRPr="00C83AC9">
              <w:rPr>
                <w:rFonts w:eastAsia="+mn-ea" w:cstheme="minorHAnsi"/>
                <w:color w:val="333333"/>
                <w:kern w:val="24"/>
              </w:rPr>
              <w:t xml:space="preserve">The quality of applications received by CAG clinicians is extremely variable. Poor quality applications include excessive, </w:t>
            </w:r>
            <w:proofErr w:type="gramStart"/>
            <w:r w:rsidRPr="00C83AC9">
              <w:rPr>
                <w:rFonts w:eastAsia="+mn-ea" w:cstheme="minorHAnsi"/>
                <w:color w:val="333333"/>
                <w:kern w:val="24"/>
              </w:rPr>
              <w:t>irrelevant</w:t>
            </w:r>
            <w:proofErr w:type="gramEnd"/>
            <w:r w:rsidRPr="00C83AC9">
              <w:rPr>
                <w:rFonts w:eastAsia="+mn-ea" w:cstheme="minorHAnsi"/>
                <w:color w:val="333333"/>
                <w:kern w:val="24"/>
              </w:rPr>
              <w:t xml:space="preserve"> or erroneous information.</w:t>
            </w:r>
          </w:p>
          <w:p w14:paraId="22E72583" w14:textId="77777777" w:rsidR="00DF30A7" w:rsidRPr="00C83AC9" w:rsidRDefault="00DF30A7" w:rsidP="00DF30A7">
            <w:pPr>
              <w:contextualSpacing/>
              <w:rPr>
                <w:rFonts w:eastAsia="+mn-ea" w:cstheme="minorHAnsi"/>
                <w:b/>
                <w:bCs/>
                <w:color w:val="2B7684"/>
                <w:kern w:val="24"/>
              </w:rPr>
            </w:pPr>
          </w:p>
          <w:p w14:paraId="1AD5CFA1" w14:textId="1B00051A" w:rsidR="00DF30A7" w:rsidRPr="00C83AC9" w:rsidRDefault="00DF30A7" w:rsidP="00DF30A7">
            <w:pPr>
              <w:contextualSpacing/>
              <w:rPr>
                <w:rFonts w:cstheme="minorHAnsi"/>
                <w:color w:val="2B7684"/>
              </w:rPr>
            </w:pPr>
            <w:r w:rsidRPr="00C83AC9">
              <w:rPr>
                <w:rFonts w:eastAsia="+mn-ea" w:cstheme="minorHAnsi"/>
                <w:b/>
                <w:bCs/>
                <w:color w:val="2B7684"/>
                <w:kern w:val="24"/>
              </w:rPr>
              <w:t xml:space="preserve">Insight 4: </w:t>
            </w:r>
            <w:r w:rsidRPr="00C83AC9">
              <w:rPr>
                <w:rFonts w:eastAsia="+mn-ea" w:cstheme="minorHAnsi"/>
                <w:color w:val="333333"/>
                <w:kern w:val="24"/>
              </w:rPr>
              <w:t>The number of applications that some CAG Clinicians must assess every list does not support thorough, quality assessment or communication</w:t>
            </w:r>
            <w:r w:rsidR="00AB6D38">
              <w:rPr>
                <w:rFonts w:eastAsia="+mn-ea" w:cstheme="minorHAnsi"/>
                <w:color w:val="333333"/>
                <w:kern w:val="24"/>
              </w:rPr>
              <w:t>.</w:t>
            </w:r>
            <w:r w:rsidRPr="00C83AC9">
              <w:rPr>
                <w:rFonts w:eastAsia="+mn-ea" w:cstheme="minorHAnsi"/>
                <w:color w:val="333333"/>
                <w:kern w:val="24"/>
              </w:rPr>
              <w:t xml:space="preserve"> </w:t>
            </w:r>
          </w:p>
        </w:tc>
        <w:tc>
          <w:tcPr>
            <w:tcW w:w="2795" w:type="dxa"/>
            <w:shd w:val="clear" w:color="auto" w:fill="F2F2F2" w:themeFill="background1" w:themeFillShade="F2"/>
          </w:tcPr>
          <w:p w14:paraId="453322AF" w14:textId="77777777" w:rsidR="00DF30A7" w:rsidRPr="00C83AC9" w:rsidRDefault="00DF30A7" w:rsidP="00DF30A7">
            <w:pPr>
              <w:contextualSpacing/>
              <w:rPr>
                <w:rFonts w:cstheme="minorHAnsi"/>
                <w:color w:val="2B7684"/>
              </w:rPr>
            </w:pPr>
            <w:r w:rsidRPr="00C83AC9">
              <w:rPr>
                <w:rFonts w:eastAsia="+mn-ea" w:cstheme="minorHAnsi"/>
                <w:b/>
                <w:bCs/>
                <w:color w:val="2B7684"/>
                <w:kern w:val="24"/>
              </w:rPr>
              <w:t xml:space="preserve">Insight 1: </w:t>
            </w:r>
            <w:r w:rsidRPr="00C83AC9">
              <w:rPr>
                <w:rFonts w:eastAsia="+mn-ea" w:cstheme="minorHAnsi"/>
                <w:color w:val="333333"/>
                <w:kern w:val="24"/>
              </w:rPr>
              <w:t xml:space="preserve">Delays in the list being published and multiple amendments makes it very difficult for private hospitals to be ready for the list effective date. </w:t>
            </w:r>
          </w:p>
          <w:p w14:paraId="74A6F0D2" w14:textId="77777777" w:rsidR="00DF30A7" w:rsidRPr="00C83AC9" w:rsidRDefault="00DF30A7" w:rsidP="00DF30A7">
            <w:pPr>
              <w:contextualSpacing/>
              <w:rPr>
                <w:rFonts w:eastAsia="+mn-ea" w:cstheme="minorHAnsi"/>
                <w:b/>
                <w:bCs/>
                <w:color w:val="2B7684"/>
                <w:kern w:val="24"/>
              </w:rPr>
            </w:pPr>
          </w:p>
          <w:p w14:paraId="55C668D7" w14:textId="2830D6A3" w:rsidR="00DF30A7" w:rsidRPr="00C83AC9" w:rsidRDefault="00DF30A7" w:rsidP="00DF30A7">
            <w:pPr>
              <w:contextualSpacing/>
              <w:rPr>
                <w:rFonts w:cstheme="minorHAnsi"/>
                <w:color w:val="2B7684"/>
              </w:rPr>
            </w:pPr>
            <w:r w:rsidRPr="00C83AC9">
              <w:rPr>
                <w:rFonts w:eastAsia="+mn-ea" w:cstheme="minorHAnsi"/>
                <w:b/>
                <w:bCs/>
                <w:color w:val="2B7684"/>
                <w:kern w:val="24"/>
              </w:rPr>
              <w:t xml:space="preserve">Insight 2: </w:t>
            </w:r>
            <w:r w:rsidRPr="00C83AC9">
              <w:rPr>
                <w:rFonts w:eastAsia="+mn-ea" w:cstheme="minorHAnsi"/>
                <w:color w:val="333333"/>
                <w:kern w:val="24"/>
              </w:rPr>
              <w:t xml:space="preserve">The format and design of the list creates significant usability issues for private hospitals.  </w:t>
            </w:r>
          </w:p>
          <w:p w14:paraId="78E12C62" w14:textId="77777777" w:rsidR="00DF30A7" w:rsidRPr="00C83AC9" w:rsidRDefault="00DF30A7" w:rsidP="00DF30A7">
            <w:pPr>
              <w:contextualSpacing/>
              <w:rPr>
                <w:rFonts w:eastAsia="+mn-ea" w:cstheme="minorHAnsi"/>
                <w:b/>
                <w:bCs/>
                <w:color w:val="2B7684"/>
                <w:kern w:val="24"/>
              </w:rPr>
            </w:pPr>
          </w:p>
          <w:p w14:paraId="37B0F512" w14:textId="25611A0B" w:rsidR="00DF30A7" w:rsidRPr="00C83AC9" w:rsidRDefault="00DF30A7" w:rsidP="00DF30A7">
            <w:pPr>
              <w:contextualSpacing/>
              <w:rPr>
                <w:rFonts w:cstheme="minorHAnsi"/>
                <w:color w:val="2B7684"/>
              </w:rPr>
            </w:pPr>
            <w:r w:rsidRPr="00C83AC9">
              <w:rPr>
                <w:rFonts w:eastAsia="+mn-ea" w:cstheme="minorHAnsi"/>
                <w:b/>
                <w:bCs/>
                <w:color w:val="2B7684"/>
                <w:kern w:val="24"/>
              </w:rPr>
              <w:t xml:space="preserve">Insight 3: </w:t>
            </w:r>
            <w:r w:rsidRPr="00C83AC9">
              <w:rPr>
                <w:rFonts w:eastAsia="+mn-ea" w:cstheme="minorHAnsi"/>
                <w:color w:val="333333"/>
                <w:kern w:val="24"/>
              </w:rPr>
              <w:t xml:space="preserve">Errors in the list and some coding and naming conventions pose significant financial risk for private hospitals. </w:t>
            </w:r>
          </w:p>
          <w:p w14:paraId="0AD4EBA7" w14:textId="77777777" w:rsidR="00DF30A7" w:rsidRPr="00C83AC9" w:rsidRDefault="00DF30A7" w:rsidP="00DF30A7">
            <w:pPr>
              <w:contextualSpacing/>
              <w:rPr>
                <w:rFonts w:eastAsia="+mn-ea" w:cstheme="minorHAnsi"/>
                <w:b/>
                <w:bCs/>
                <w:color w:val="2B7684"/>
                <w:kern w:val="24"/>
              </w:rPr>
            </w:pPr>
          </w:p>
          <w:p w14:paraId="1AB67BC6" w14:textId="7170AE20" w:rsidR="00DF30A7" w:rsidRPr="00C83AC9" w:rsidRDefault="00DF30A7" w:rsidP="00DF30A7">
            <w:pPr>
              <w:contextualSpacing/>
              <w:rPr>
                <w:rFonts w:cstheme="minorHAnsi"/>
                <w:color w:val="2B7684"/>
              </w:rPr>
            </w:pPr>
            <w:r w:rsidRPr="00C83AC9">
              <w:rPr>
                <w:rFonts w:eastAsia="+mn-ea" w:cstheme="minorHAnsi"/>
                <w:b/>
                <w:bCs/>
                <w:color w:val="2B7684"/>
                <w:kern w:val="24"/>
              </w:rPr>
              <w:t xml:space="preserve">Insight 4: </w:t>
            </w:r>
            <w:r w:rsidRPr="00C83AC9">
              <w:rPr>
                <w:rFonts w:eastAsia="+mn-ea" w:cstheme="minorHAnsi"/>
                <w:color w:val="333333"/>
                <w:kern w:val="24"/>
              </w:rPr>
              <w:t xml:space="preserve">Private hospitals </w:t>
            </w:r>
            <w:proofErr w:type="gramStart"/>
            <w:r w:rsidRPr="00C83AC9">
              <w:rPr>
                <w:rFonts w:eastAsia="+mn-ea" w:cstheme="minorHAnsi"/>
                <w:color w:val="333333"/>
                <w:kern w:val="24"/>
              </w:rPr>
              <w:t>experience difficulty</w:t>
            </w:r>
            <w:proofErr w:type="gramEnd"/>
            <w:r w:rsidRPr="00C83AC9">
              <w:rPr>
                <w:rFonts w:eastAsia="+mn-ea" w:cstheme="minorHAnsi"/>
                <w:color w:val="333333"/>
                <w:kern w:val="24"/>
              </w:rPr>
              <w:t xml:space="preserve"> managing resourcing when they don’t know publish dates well in advance</w:t>
            </w:r>
          </w:p>
          <w:p w14:paraId="178B14D4" w14:textId="77777777" w:rsidR="00DF30A7" w:rsidRPr="00C83AC9" w:rsidRDefault="00DF30A7" w:rsidP="00DF30A7">
            <w:pPr>
              <w:rPr>
                <w:rFonts w:cstheme="minorHAnsi"/>
                <w:b/>
                <w:bCs/>
              </w:rPr>
            </w:pPr>
          </w:p>
        </w:tc>
        <w:tc>
          <w:tcPr>
            <w:tcW w:w="2835" w:type="dxa"/>
            <w:shd w:val="clear" w:color="auto" w:fill="F2F2F2" w:themeFill="background1" w:themeFillShade="F2"/>
          </w:tcPr>
          <w:p w14:paraId="32D4541F" w14:textId="77777777" w:rsidR="00DF30A7" w:rsidRPr="00C83AC9" w:rsidRDefault="00DF30A7" w:rsidP="00DF30A7">
            <w:pPr>
              <w:contextualSpacing/>
              <w:rPr>
                <w:rFonts w:cstheme="minorHAnsi"/>
                <w:color w:val="2B7684"/>
              </w:rPr>
            </w:pPr>
            <w:r w:rsidRPr="00C83AC9">
              <w:rPr>
                <w:rFonts w:eastAsia="+mn-ea" w:cstheme="minorHAnsi"/>
                <w:b/>
                <w:bCs/>
                <w:color w:val="2B7684"/>
                <w:kern w:val="24"/>
              </w:rPr>
              <w:t xml:space="preserve">Insight 1: </w:t>
            </w:r>
            <w:r w:rsidRPr="00C83AC9">
              <w:rPr>
                <w:rFonts w:eastAsia="+mn-ea" w:cstheme="minorHAnsi"/>
                <w:color w:val="333333"/>
                <w:kern w:val="24"/>
              </w:rPr>
              <w:t xml:space="preserve">Changes and amendments to the list are not adequately communicated to funds and hospitals, which poses significant financial risk. </w:t>
            </w:r>
          </w:p>
          <w:p w14:paraId="0589929E" w14:textId="77777777" w:rsidR="00DF30A7" w:rsidRPr="00C83AC9" w:rsidRDefault="00DF30A7" w:rsidP="00DF30A7">
            <w:pPr>
              <w:contextualSpacing/>
              <w:rPr>
                <w:rFonts w:eastAsia="+mn-ea" w:cstheme="minorHAnsi"/>
                <w:b/>
                <w:bCs/>
                <w:color w:val="2B7684"/>
                <w:kern w:val="24"/>
              </w:rPr>
            </w:pPr>
          </w:p>
          <w:p w14:paraId="16AC0B0C" w14:textId="1930F090" w:rsidR="00DF30A7" w:rsidRPr="00C83AC9" w:rsidRDefault="00DF30A7" w:rsidP="00DF30A7">
            <w:pPr>
              <w:contextualSpacing/>
              <w:rPr>
                <w:rFonts w:cstheme="minorHAnsi"/>
                <w:color w:val="2B7684"/>
              </w:rPr>
            </w:pPr>
            <w:r w:rsidRPr="00C83AC9">
              <w:rPr>
                <w:rFonts w:eastAsia="+mn-ea" w:cstheme="minorHAnsi"/>
                <w:b/>
                <w:bCs/>
                <w:color w:val="2B7684"/>
                <w:kern w:val="24"/>
              </w:rPr>
              <w:t xml:space="preserve">Insight 2: </w:t>
            </w:r>
            <w:r w:rsidRPr="00C83AC9">
              <w:rPr>
                <w:rFonts w:eastAsia="+mn-ea" w:cstheme="minorHAnsi"/>
                <w:color w:val="333333"/>
                <w:kern w:val="24"/>
              </w:rPr>
              <w:t>Funds experience inconsistencies in communications about amendments and errors in the list.</w:t>
            </w:r>
          </w:p>
          <w:p w14:paraId="46E06B04" w14:textId="77777777" w:rsidR="00DF30A7" w:rsidRPr="00C83AC9" w:rsidRDefault="00DF30A7" w:rsidP="00DF30A7">
            <w:pPr>
              <w:contextualSpacing/>
              <w:rPr>
                <w:rFonts w:eastAsia="+mn-ea" w:cstheme="minorHAnsi"/>
                <w:b/>
                <w:bCs/>
                <w:color w:val="2B7684"/>
                <w:kern w:val="24"/>
              </w:rPr>
            </w:pPr>
          </w:p>
          <w:p w14:paraId="61308068" w14:textId="37FF1451" w:rsidR="00DF30A7" w:rsidRPr="00C83AC9" w:rsidRDefault="00DF30A7" w:rsidP="00DF30A7">
            <w:pPr>
              <w:contextualSpacing/>
              <w:rPr>
                <w:rFonts w:cstheme="minorHAnsi"/>
                <w:color w:val="2B7684"/>
              </w:rPr>
            </w:pPr>
            <w:r w:rsidRPr="00C83AC9">
              <w:rPr>
                <w:rFonts w:eastAsia="+mn-ea" w:cstheme="minorHAnsi"/>
                <w:b/>
                <w:bCs/>
                <w:color w:val="2B7684"/>
                <w:kern w:val="24"/>
              </w:rPr>
              <w:t xml:space="preserve">Insight 3: </w:t>
            </w:r>
            <w:r w:rsidRPr="00C83AC9">
              <w:rPr>
                <w:rFonts w:eastAsia="+mn-ea" w:cstheme="minorHAnsi"/>
                <w:color w:val="333333"/>
                <w:kern w:val="24"/>
              </w:rPr>
              <w:t>Errors in the list and some coding and naming conventions pose significant financial risk for funds.</w:t>
            </w:r>
          </w:p>
          <w:p w14:paraId="4DAACB7A" w14:textId="77777777" w:rsidR="00DF30A7" w:rsidRPr="00C83AC9" w:rsidRDefault="00DF30A7" w:rsidP="00DF30A7">
            <w:pPr>
              <w:rPr>
                <w:rFonts w:cstheme="minorHAnsi"/>
                <w:b/>
                <w:bCs/>
              </w:rPr>
            </w:pPr>
          </w:p>
        </w:tc>
      </w:tr>
    </w:tbl>
    <w:p w14:paraId="2E7A22CA" w14:textId="62A97BD2" w:rsidR="00DF30A7" w:rsidRDefault="00DF30A7">
      <w:pPr>
        <w:sectPr w:rsidR="00DF30A7" w:rsidSect="00C83AC9">
          <w:pgSz w:w="16838" w:h="11906" w:orient="landscape"/>
          <w:pgMar w:top="1021" w:right="1021" w:bottom="1021" w:left="1021" w:header="709" w:footer="709" w:gutter="0"/>
          <w:cols w:space="708"/>
          <w:docGrid w:linePitch="360"/>
        </w:sectPr>
      </w:pPr>
    </w:p>
    <w:p w14:paraId="6677B33C" w14:textId="4C643E1C" w:rsidR="003C3787" w:rsidRDefault="003C3787" w:rsidP="00AD644A">
      <w:pPr>
        <w:pStyle w:val="Heading2"/>
      </w:pPr>
      <w:r w:rsidRPr="003C3787">
        <w:lastRenderedPageBreak/>
        <w:t>Characteristics of a modern</w:t>
      </w:r>
      <w:r w:rsidR="0005748F">
        <w:t>ised</w:t>
      </w:r>
      <w:r w:rsidRPr="003C3787">
        <w:t xml:space="preserve"> </w:t>
      </w:r>
      <w:r w:rsidRPr="00043864">
        <w:t>listing process</w:t>
      </w:r>
      <w:r w:rsidR="00545282">
        <w:t xml:space="preserve"> proposed by QIG</w:t>
      </w:r>
    </w:p>
    <w:p w14:paraId="4083E225" w14:textId="148267B7" w:rsidR="00DF30A7" w:rsidRPr="009A615B" w:rsidRDefault="00BC6E02" w:rsidP="00000EF3">
      <w:pPr>
        <w:pStyle w:val="Paragraphtext"/>
      </w:pPr>
      <w:r w:rsidRPr="00BC6E02">
        <w:t xml:space="preserve">The </w:t>
      </w:r>
      <w:r w:rsidR="009A615B">
        <w:t>QIG</w:t>
      </w:r>
      <w:r w:rsidRPr="00BC6E02">
        <w:t xml:space="preserve"> highlighted that any new pathway for listing on the PL should</w:t>
      </w:r>
      <w:r w:rsidR="00DF30A7">
        <w:t xml:space="preserve"> b</w:t>
      </w:r>
      <w:r w:rsidR="004C5B82">
        <w:t>e</w:t>
      </w:r>
      <w:r w:rsidR="00DF30A7">
        <w:t xml:space="preserve"> </w:t>
      </w:r>
      <w:r w:rsidR="00DF30A7" w:rsidRPr="00DF30A7">
        <w:rPr>
          <w:bCs/>
        </w:rPr>
        <w:t>characterised by:</w:t>
      </w:r>
    </w:p>
    <w:p w14:paraId="1E8783EE" w14:textId="4375C379" w:rsidR="00DF30A7" w:rsidRPr="00DF30A7" w:rsidRDefault="00DF30A7" w:rsidP="00B07304">
      <w:pPr>
        <w:pStyle w:val="ListBullet"/>
      </w:pPr>
      <w:r w:rsidRPr="00DF30A7">
        <w:t>clear and specific evidence requirements</w:t>
      </w:r>
    </w:p>
    <w:p w14:paraId="4FDCF6CF" w14:textId="17D8C430" w:rsidR="00DF30A7" w:rsidRPr="00DF30A7" w:rsidRDefault="00DF30A7" w:rsidP="00B07304">
      <w:pPr>
        <w:pStyle w:val="ListBullet"/>
      </w:pPr>
      <w:r w:rsidRPr="00DF30A7">
        <w:t>transparent decision making</w:t>
      </w:r>
    </w:p>
    <w:p w14:paraId="6AF549A0" w14:textId="71EB26FF" w:rsidR="00DF30A7" w:rsidRPr="00DF30A7" w:rsidRDefault="00DF30A7" w:rsidP="00B07304">
      <w:pPr>
        <w:pStyle w:val="ListBullet"/>
      </w:pPr>
      <w:r w:rsidRPr="00DF30A7">
        <w:t>efficient use of resources</w:t>
      </w:r>
    </w:p>
    <w:p w14:paraId="5F166494" w14:textId="05116033" w:rsidR="00DF30A7" w:rsidRPr="00DF30A7" w:rsidRDefault="00DF30A7" w:rsidP="00B07304">
      <w:pPr>
        <w:pStyle w:val="ListBullet"/>
      </w:pPr>
      <w:r w:rsidRPr="00DF30A7">
        <w:t>predictable timelines</w:t>
      </w:r>
    </w:p>
    <w:p w14:paraId="791D5981" w14:textId="7DFA4CBF" w:rsidR="00DF30A7" w:rsidRDefault="00DF30A7" w:rsidP="00B07304">
      <w:pPr>
        <w:pStyle w:val="ListBullet"/>
      </w:pPr>
      <w:r w:rsidRPr="00DF30A7">
        <w:t>consistency.</w:t>
      </w:r>
    </w:p>
    <w:bookmarkEnd w:id="1"/>
    <w:p w14:paraId="19BDE422" w14:textId="74C9A6C4" w:rsidR="003C3787" w:rsidRPr="00866BEC" w:rsidRDefault="003C3787" w:rsidP="00AD644A">
      <w:pPr>
        <w:pStyle w:val="Heading2"/>
      </w:pPr>
      <w:r w:rsidRPr="00866BEC">
        <w:t>Principles for a modern</w:t>
      </w:r>
      <w:r w:rsidR="0005748F">
        <w:t>ised</w:t>
      </w:r>
      <w:r w:rsidRPr="00866BEC">
        <w:t xml:space="preserve"> listing process </w:t>
      </w:r>
    </w:p>
    <w:p w14:paraId="24E59D5B" w14:textId="77777777" w:rsidR="003C3787" w:rsidRPr="007510EF" w:rsidRDefault="003C3787" w:rsidP="00000EF3">
      <w:pPr>
        <w:pStyle w:val="Paragraphtext"/>
      </w:pPr>
      <w:r w:rsidRPr="00043864">
        <w:t xml:space="preserve">The </w:t>
      </w:r>
      <w:r w:rsidRPr="007510EF">
        <w:t>design of a modern listing process for the PL is based on six core principles:</w:t>
      </w:r>
    </w:p>
    <w:p w14:paraId="17D27DF5" w14:textId="18A7FB11" w:rsidR="003C3787" w:rsidRPr="007510EF" w:rsidRDefault="003C3787" w:rsidP="00B07304">
      <w:pPr>
        <w:pStyle w:val="ListBullet"/>
        <w:numPr>
          <w:ilvl w:val="0"/>
          <w:numId w:val="7"/>
        </w:numPr>
      </w:pPr>
      <w:r w:rsidRPr="007510EF">
        <w:t>One part of the Australian HTA system (consistency, but not duplicati</w:t>
      </w:r>
      <w:r w:rsidR="007510EF" w:rsidRPr="007510EF">
        <w:t>ve</w:t>
      </w:r>
      <w:r w:rsidRPr="007510EF">
        <w:t xml:space="preserve">) </w:t>
      </w:r>
    </w:p>
    <w:p w14:paraId="0136E7F0" w14:textId="14052B5E" w:rsidR="003C3787" w:rsidRPr="007510EF" w:rsidRDefault="001756CF" w:rsidP="00B07304">
      <w:pPr>
        <w:pStyle w:val="ListBullet"/>
        <w:numPr>
          <w:ilvl w:val="0"/>
          <w:numId w:val="7"/>
        </w:numPr>
      </w:pPr>
      <w:r w:rsidRPr="007510EF">
        <w:t>A</w:t>
      </w:r>
      <w:r w:rsidR="000A1D80" w:rsidRPr="007510EF">
        <w:t xml:space="preserve"> single departmental portal for Australian Government health technology assessment processes </w:t>
      </w:r>
    </w:p>
    <w:p w14:paraId="326CA40D" w14:textId="3D0C2E22" w:rsidR="003C3787" w:rsidRPr="007510EF" w:rsidRDefault="003C3787" w:rsidP="00B07304">
      <w:pPr>
        <w:pStyle w:val="ListBullet"/>
        <w:numPr>
          <w:ilvl w:val="0"/>
          <w:numId w:val="7"/>
        </w:numPr>
      </w:pPr>
      <w:r w:rsidRPr="007510EF">
        <w:t>Efficient for both applicants and assessors (including the use of digital options to decrease the regulatory burden</w:t>
      </w:r>
      <w:r w:rsidR="00F56306" w:rsidRPr="007510EF">
        <w:t xml:space="preserve">; cost recovery fees proportionate to </w:t>
      </w:r>
      <w:r w:rsidR="00EE5DC1">
        <w:t xml:space="preserve">the </w:t>
      </w:r>
      <w:r w:rsidR="00F56306" w:rsidRPr="007510EF">
        <w:t>services provided)</w:t>
      </w:r>
    </w:p>
    <w:p w14:paraId="0CDE539B" w14:textId="15D40119" w:rsidR="003C3787" w:rsidRPr="007510EF" w:rsidRDefault="003C3787" w:rsidP="00B07304">
      <w:pPr>
        <w:pStyle w:val="ListBullet"/>
        <w:numPr>
          <w:ilvl w:val="0"/>
          <w:numId w:val="7"/>
        </w:numPr>
      </w:pPr>
      <w:r w:rsidRPr="007510EF">
        <w:t>Globally accepted</w:t>
      </w:r>
      <w:r w:rsidR="001756CF" w:rsidRPr="007510EF">
        <w:t xml:space="preserve"> health technology assessment principles underpinning</w:t>
      </w:r>
      <w:r w:rsidRPr="007510EF">
        <w:t xml:space="preserve"> </w:t>
      </w:r>
      <w:r w:rsidR="001756CF" w:rsidRPr="007510EF">
        <w:t xml:space="preserve">Australian Government </w:t>
      </w:r>
      <w:r w:rsidRPr="007510EF">
        <w:t>process</w:t>
      </w:r>
    </w:p>
    <w:p w14:paraId="483A07DC" w14:textId="3493EBEE" w:rsidR="003C3787" w:rsidRPr="007510EF" w:rsidRDefault="003C3787" w:rsidP="00B07304">
      <w:pPr>
        <w:pStyle w:val="ListBullet"/>
        <w:numPr>
          <w:ilvl w:val="0"/>
          <w:numId w:val="7"/>
        </w:numPr>
      </w:pPr>
      <w:r w:rsidRPr="007510EF">
        <w:t xml:space="preserve">Balancing transparency (for consumers, </w:t>
      </w:r>
      <w:proofErr w:type="gramStart"/>
      <w:r w:rsidRPr="007510EF">
        <w:t>clinicians</w:t>
      </w:r>
      <w:proofErr w:type="gramEnd"/>
      <w:r w:rsidRPr="007510EF">
        <w:t xml:space="preserve"> and payers) and confidentiality (respecting privacy and commercial information)</w:t>
      </w:r>
    </w:p>
    <w:p w14:paraId="754C5AFF" w14:textId="7E8DB4F5" w:rsidR="003C3787" w:rsidRPr="00043864" w:rsidRDefault="003C3787" w:rsidP="00B07304">
      <w:pPr>
        <w:pStyle w:val="ListBullet"/>
        <w:numPr>
          <w:ilvl w:val="0"/>
          <w:numId w:val="7"/>
        </w:numPr>
      </w:pPr>
      <w:r w:rsidRPr="00043864">
        <w:t>Collaborative, not compulsory - The Australian Government cannot compel a medical technology company to seek reimbursement of a device on the PL if it does not wish to do so</w:t>
      </w:r>
      <w:r w:rsidR="00000EF3">
        <w:t>.</w:t>
      </w:r>
      <w:r w:rsidR="00234BC2">
        <w:br/>
      </w:r>
    </w:p>
    <w:p w14:paraId="50985D82" w14:textId="5E27E913" w:rsidR="00E37ECF" w:rsidRPr="00866BEC" w:rsidRDefault="00866BEC" w:rsidP="00866BEC">
      <w:pPr>
        <w:pStyle w:val="Heading1"/>
      </w:pPr>
      <w:r>
        <w:t xml:space="preserve">The importance of </w:t>
      </w:r>
      <w:r w:rsidRPr="00866BEC">
        <w:t>Hea</w:t>
      </w:r>
      <w:r>
        <w:t>lth Technology Assessment in the PL listing process</w:t>
      </w:r>
    </w:p>
    <w:p w14:paraId="4A338D1A" w14:textId="255D6627" w:rsidR="00E37ECF" w:rsidRPr="00E37ECF" w:rsidRDefault="00E37ECF" w:rsidP="00000EF3">
      <w:pPr>
        <w:pStyle w:val="Paragraphtext"/>
      </w:pPr>
      <w:r>
        <w:t>A key feature that must underpin the development of a modern PL listing process is to ensure that it aligns with world-class HTA processes</w:t>
      </w:r>
      <w:r w:rsidR="00D66800">
        <w:t>, especially for any new or novel technologies</w:t>
      </w:r>
      <w:r>
        <w:t>. The</w:t>
      </w:r>
      <w:r w:rsidRPr="00E37ECF">
        <w:t xml:space="preserve"> World Health Organization</w:t>
      </w:r>
      <w:r>
        <w:t xml:space="preserve"> (2011) defines HTA as:</w:t>
      </w:r>
      <w:r w:rsidRPr="00E37ECF">
        <w:t xml:space="preserve"> </w:t>
      </w:r>
    </w:p>
    <w:p w14:paraId="36B8FDFB" w14:textId="2FCB9805" w:rsidR="00E37ECF" w:rsidRPr="00E37ECF" w:rsidRDefault="00E37ECF" w:rsidP="00EE5DC1">
      <w:pPr>
        <w:ind w:left="426" w:right="379"/>
        <w:rPr>
          <w:bCs/>
          <w:i/>
          <w:iCs/>
        </w:rPr>
      </w:pPr>
      <w:r>
        <w:rPr>
          <w:bCs/>
          <w:i/>
          <w:iCs/>
        </w:rPr>
        <w:t>…</w:t>
      </w:r>
      <w:r w:rsidRPr="00E37ECF">
        <w:rPr>
          <w:bCs/>
          <w:i/>
          <w:iCs/>
        </w:rPr>
        <w:t xml:space="preserve">the systematic evaluation of properties, effects, and/or impacts of health technology. Its main purpose is to inform technology-related policy-making in health care, and thus improve the uptake of cost-effective new technologies; prevent the uptake of technologies that are of doubtful value for the health; and slow the uptake of technologies that seem promising but have persistent uncertainties. </w:t>
      </w:r>
    </w:p>
    <w:p w14:paraId="71F4505C" w14:textId="58E4E1C9" w:rsidR="00E37ECF" w:rsidRPr="00E37ECF" w:rsidRDefault="00E37ECF" w:rsidP="00EE5DC1">
      <w:pPr>
        <w:ind w:left="426" w:right="379"/>
        <w:rPr>
          <w:bCs/>
          <w:i/>
          <w:iCs/>
        </w:rPr>
      </w:pPr>
      <w:r w:rsidRPr="00E37ECF">
        <w:rPr>
          <w:bCs/>
          <w:i/>
          <w:iCs/>
        </w:rPr>
        <w:t>Overall, the use of HTA to inform national coverage policies leads to a more explicit and transparent resource-allocation process, improving not only technical or allocative efficiency, but also health equity.</w:t>
      </w:r>
      <w:r w:rsidR="00000EF3">
        <w:rPr>
          <w:bCs/>
          <w:i/>
          <w:iCs/>
        </w:rPr>
        <w:br/>
      </w:r>
    </w:p>
    <w:p w14:paraId="49C8D8DA" w14:textId="5CD4ED92" w:rsidR="004227A6" w:rsidRPr="00EE3AF1" w:rsidRDefault="00866BEC" w:rsidP="00EE3AF1">
      <w:pPr>
        <w:pStyle w:val="Paragraphtext"/>
      </w:pPr>
      <w:r>
        <w:t>HTA</w:t>
      </w:r>
      <w:r w:rsidRPr="00866BEC">
        <w:t xml:space="preserve"> uses scientific evidence to evaluate the quality, safety, efficacy, effectiveness and cost-effectiveness of health services and health technology. </w:t>
      </w:r>
      <w:r w:rsidR="00005DF4" w:rsidRPr="00005DF4">
        <w:t xml:space="preserve">Efficient and effective HTA processes are crucial to supporting sustainable management of subsidised health technologies. </w:t>
      </w:r>
      <w:r w:rsidR="00F808BD">
        <w:t xml:space="preserve">The below </w:t>
      </w:r>
      <w:r w:rsidR="00F808BD">
        <w:lastRenderedPageBreak/>
        <w:t>figures outline the characteristics of HTA (</w:t>
      </w:r>
      <w:r w:rsidR="00F808BD">
        <w:rPr>
          <w:b/>
          <w:bCs/>
        </w:rPr>
        <w:t xml:space="preserve">Figure </w:t>
      </w:r>
      <w:r w:rsidR="00F808BD" w:rsidRPr="00F808BD">
        <w:rPr>
          <w:b/>
          <w:bCs/>
        </w:rPr>
        <w:t>3</w:t>
      </w:r>
      <w:r w:rsidR="00F808BD">
        <w:t xml:space="preserve">) </w:t>
      </w:r>
      <w:r w:rsidR="00F808BD" w:rsidRPr="00F808BD">
        <w:t>and</w:t>
      </w:r>
      <w:r w:rsidR="00F808BD">
        <w:t xml:space="preserve"> the difference between regulation and HTA (</w:t>
      </w:r>
      <w:r w:rsidR="00F808BD">
        <w:rPr>
          <w:b/>
          <w:bCs/>
        </w:rPr>
        <w:t>Figure 4</w:t>
      </w:r>
      <w:r w:rsidR="00F808BD">
        <w:t>) as identified by</w:t>
      </w:r>
      <w:r w:rsidR="007510EF">
        <w:t xml:space="preserve"> the World Health Organisation</w:t>
      </w:r>
      <w:r w:rsidR="00F808BD">
        <w:t xml:space="preserve"> </w:t>
      </w:r>
      <w:r w:rsidR="007510EF">
        <w:t>(</w:t>
      </w:r>
      <w:r w:rsidR="00F808BD">
        <w:t>WHO</w:t>
      </w:r>
      <w:r w:rsidR="007510EF">
        <w:t>)</w:t>
      </w:r>
      <w:r w:rsidR="00F808BD">
        <w:t xml:space="preserve">. </w:t>
      </w:r>
    </w:p>
    <w:p w14:paraId="24749201" w14:textId="4CCDFF5B" w:rsidR="004227A6" w:rsidRDefault="004227A6">
      <w:pPr>
        <w:rPr>
          <w:rFonts w:cs="Arial"/>
          <w:b/>
          <w:bCs/>
          <w:iCs/>
          <w:color w:val="000000" w:themeColor="text1"/>
        </w:rPr>
      </w:pPr>
    </w:p>
    <w:p w14:paraId="5FA0C167" w14:textId="73F2EF07" w:rsidR="00F808BD" w:rsidRDefault="00F808BD" w:rsidP="00000EF3">
      <w:pPr>
        <w:pStyle w:val="FigureTitle"/>
      </w:pPr>
      <w:r>
        <w:t>Figure 3: Characteristics of Health Technology Assessment as identified by WHO</w:t>
      </w:r>
    </w:p>
    <w:tbl>
      <w:tblPr>
        <w:tblStyle w:val="TableGrid"/>
        <w:tblW w:w="0" w:type="auto"/>
        <w:tblLook w:val="04A0" w:firstRow="1" w:lastRow="0" w:firstColumn="1" w:lastColumn="0" w:noHBand="0" w:noVBand="1"/>
      </w:tblPr>
      <w:tblGrid>
        <w:gridCol w:w="1980"/>
        <w:gridCol w:w="7036"/>
      </w:tblGrid>
      <w:tr w:rsidR="00F808BD" w14:paraId="3BA17131" w14:textId="77777777" w:rsidTr="00580886">
        <w:tc>
          <w:tcPr>
            <w:tcW w:w="1980" w:type="dxa"/>
            <w:shd w:val="clear" w:color="auto" w:fill="BDE7ED"/>
          </w:tcPr>
          <w:p w14:paraId="35287FF5" w14:textId="77777777" w:rsidR="00F808BD" w:rsidRPr="00D77B06" w:rsidRDefault="00F808BD" w:rsidP="00000EF3">
            <w:pPr>
              <w:pStyle w:val="Paragraphtext"/>
            </w:pPr>
            <w:r w:rsidRPr="00D77B06">
              <w:t>Perspective</w:t>
            </w:r>
          </w:p>
        </w:tc>
        <w:tc>
          <w:tcPr>
            <w:tcW w:w="7036" w:type="dxa"/>
          </w:tcPr>
          <w:p w14:paraId="6DC1B74A" w14:textId="77777777" w:rsidR="00F808BD" w:rsidRDefault="00F808BD" w:rsidP="00000EF3">
            <w:pPr>
              <w:pStyle w:val="Paragraphtext"/>
            </w:pPr>
            <w:r>
              <w:t xml:space="preserve">Efficacy, </w:t>
            </w:r>
            <w:proofErr w:type="gramStart"/>
            <w:r>
              <w:t>effectiveness</w:t>
            </w:r>
            <w:proofErr w:type="gramEnd"/>
            <w:r>
              <w:t xml:space="preserve"> and appropriateness</w:t>
            </w:r>
          </w:p>
        </w:tc>
      </w:tr>
      <w:tr w:rsidR="00F808BD" w14:paraId="02BABD05" w14:textId="77777777" w:rsidTr="00580886">
        <w:tc>
          <w:tcPr>
            <w:tcW w:w="1980" w:type="dxa"/>
            <w:shd w:val="clear" w:color="auto" w:fill="BDE7ED"/>
          </w:tcPr>
          <w:p w14:paraId="3B804070" w14:textId="77777777" w:rsidR="00F808BD" w:rsidRPr="00D77B06" w:rsidRDefault="00F808BD" w:rsidP="00000EF3">
            <w:pPr>
              <w:pStyle w:val="Paragraphtext"/>
            </w:pPr>
            <w:r w:rsidRPr="00D77B06">
              <w:t>Orientation</w:t>
            </w:r>
          </w:p>
        </w:tc>
        <w:tc>
          <w:tcPr>
            <w:tcW w:w="7036" w:type="dxa"/>
          </w:tcPr>
          <w:p w14:paraId="4234E825" w14:textId="77777777" w:rsidR="00F808BD" w:rsidRDefault="00F808BD" w:rsidP="00000EF3">
            <w:pPr>
              <w:pStyle w:val="Paragraphtext"/>
            </w:pPr>
            <w:r>
              <w:t>Societal / population health</w:t>
            </w:r>
          </w:p>
        </w:tc>
      </w:tr>
      <w:tr w:rsidR="00F808BD" w14:paraId="2224BF98" w14:textId="77777777" w:rsidTr="00580886">
        <w:tc>
          <w:tcPr>
            <w:tcW w:w="1980" w:type="dxa"/>
            <w:shd w:val="clear" w:color="auto" w:fill="BDE7ED"/>
          </w:tcPr>
          <w:p w14:paraId="50F219AB" w14:textId="77777777" w:rsidR="00F808BD" w:rsidRPr="00D77B06" w:rsidRDefault="00F808BD" w:rsidP="00000EF3">
            <w:pPr>
              <w:pStyle w:val="Paragraphtext"/>
            </w:pPr>
            <w:r w:rsidRPr="00D77B06">
              <w:t>Method</w:t>
            </w:r>
          </w:p>
        </w:tc>
        <w:tc>
          <w:tcPr>
            <w:tcW w:w="7036" w:type="dxa"/>
          </w:tcPr>
          <w:p w14:paraId="72CF9F72" w14:textId="77777777" w:rsidR="00F808BD" w:rsidRDefault="00F808BD" w:rsidP="00000EF3">
            <w:pPr>
              <w:pStyle w:val="Paragraphtext"/>
            </w:pPr>
            <w:r>
              <w:t>Systematic critical review, meta-analysis</w:t>
            </w:r>
          </w:p>
        </w:tc>
      </w:tr>
      <w:tr w:rsidR="00F808BD" w14:paraId="5D10ACDA" w14:textId="77777777" w:rsidTr="00580886">
        <w:tc>
          <w:tcPr>
            <w:tcW w:w="1980" w:type="dxa"/>
            <w:shd w:val="clear" w:color="auto" w:fill="BDE7ED"/>
          </w:tcPr>
          <w:p w14:paraId="76D6E256" w14:textId="77777777" w:rsidR="00F808BD" w:rsidRPr="00D77B06" w:rsidRDefault="00F808BD" w:rsidP="00000EF3">
            <w:pPr>
              <w:pStyle w:val="Paragraphtext"/>
            </w:pPr>
            <w:r w:rsidRPr="00D77B06">
              <w:t>Criteria</w:t>
            </w:r>
          </w:p>
        </w:tc>
        <w:tc>
          <w:tcPr>
            <w:tcW w:w="7036" w:type="dxa"/>
          </w:tcPr>
          <w:p w14:paraId="2CB5FF52" w14:textId="77777777" w:rsidR="00F808BD" w:rsidRDefault="00F808BD" w:rsidP="00000EF3">
            <w:pPr>
              <w:pStyle w:val="Paragraphtext"/>
            </w:pPr>
            <w:r>
              <w:t>Clinical effectiveness, cost effectiveness, appropriateness</w:t>
            </w:r>
          </w:p>
        </w:tc>
      </w:tr>
      <w:tr w:rsidR="00F808BD" w14:paraId="16D61EFF" w14:textId="77777777" w:rsidTr="00580886">
        <w:tc>
          <w:tcPr>
            <w:tcW w:w="1980" w:type="dxa"/>
            <w:shd w:val="clear" w:color="auto" w:fill="BDE7ED"/>
          </w:tcPr>
          <w:p w14:paraId="63C40CA5" w14:textId="77777777" w:rsidR="00F808BD" w:rsidRPr="00D77B06" w:rsidRDefault="00F808BD" w:rsidP="00000EF3">
            <w:pPr>
              <w:pStyle w:val="Paragraphtext"/>
            </w:pPr>
            <w:r w:rsidRPr="00D77B06">
              <w:t>Outcome</w:t>
            </w:r>
          </w:p>
        </w:tc>
        <w:tc>
          <w:tcPr>
            <w:tcW w:w="7036" w:type="dxa"/>
          </w:tcPr>
          <w:p w14:paraId="732613E5" w14:textId="77777777" w:rsidR="00F808BD" w:rsidRDefault="00F808BD" w:rsidP="00000EF3">
            <w:pPr>
              <w:pStyle w:val="Paragraphtext"/>
            </w:pPr>
            <w:r>
              <w:t>Policy / decision / practice</w:t>
            </w:r>
          </w:p>
        </w:tc>
      </w:tr>
      <w:tr w:rsidR="00F808BD" w14:paraId="7D9C08D5" w14:textId="77777777" w:rsidTr="00580886">
        <w:tc>
          <w:tcPr>
            <w:tcW w:w="1980" w:type="dxa"/>
            <w:shd w:val="clear" w:color="auto" w:fill="BDE7ED"/>
          </w:tcPr>
          <w:p w14:paraId="2F6FD835" w14:textId="77777777" w:rsidR="00F808BD" w:rsidRPr="00D77B06" w:rsidRDefault="00F808BD" w:rsidP="00000EF3">
            <w:pPr>
              <w:pStyle w:val="Paragraphtext"/>
            </w:pPr>
            <w:r w:rsidRPr="00D77B06">
              <w:t>Requirement</w:t>
            </w:r>
          </w:p>
        </w:tc>
        <w:tc>
          <w:tcPr>
            <w:tcW w:w="7036" w:type="dxa"/>
          </w:tcPr>
          <w:p w14:paraId="70C62C3D" w14:textId="77777777" w:rsidR="00F808BD" w:rsidRDefault="00F808BD" w:rsidP="00000EF3">
            <w:pPr>
              <w:pStyle w:val="Paragraphtext"/>
            </w:pPr>
            <w:r>
              <w:t>Recommendation on complex technologies</w:t>
            </w:r>
          </w:p>
        </w:tc>
      </w:tr>
      <w:tr w:rsidR="00F808BD" w14:paraId="2ED86F83" w14:textId="77777777" w:rsidTr="00580886">
        <w:tc>
          <w:tcPr>
            <w:tcW w:w="1980" w:type="dxa"/>
            <w:shd w:val="clear" w:color="auto" w:fill="BDE7ED"/>
          </w:tcPr>
          <w:p w14:paraId="660BCA23" w14:textId="77777777" w:rsidR="00F808BD" w:rsidRPr="00D77B06" w:rsidRDefault="00F808BD" w:rsidP="00000EF3">
            <w:pPr>
              <w:pStyle w:val="Paragraphtext"/>
            </w:pPr>
            <w:r w:rsidRPr="00D77B06">
              <w:t>Role</w:t>
            </w:r>
          </w:p>
        </w:tc>
        <w:tc>
          <w:tcPr>
            <w:tcW w:w="7036" w:type="dxa"/>
          </w:tcPr>
          <w:p w14:paraId="6D569D2B" w14:textId="77777777" w:rsidR="00F808BD" w:rsidRDefault="00F808BD" w:rsidP="00000EF3">
            <w:pPr>
              <w:pStyle w:val="Paragraphtext"/>
            </w:pPr>
            <w:r>
              <w:t>Maximise clinical and cost effectiveness</w:t>
            </w:r>
          </w:p>
        </w:tc>
      </w:tr>
    </w:tbl>
    <w:p w14:paraId="275F4E0E" w14:textId="0B24B811" w:rsidR="00F808BD" w:rsidRDefault="00F808BD" w:rsidP="00192EFF">
      <w:pPr>
        <w:pStyle w:val="FigureTitle"/>
      </w:pPr>
      <w:bookmarkStart w:id="2" w:name="_Hlk88119969"/>
      <w:r>
        <w:t xml:space="preserve">Figure 4: The difference between </w:t>
      </w:r>
      <w:r w:rsidRPr="00192EFF">
        <w:t>Regulation</w:t>
      </w:r>
      <w:r>
        <w:t xml:space="preserve"> (i.e. TGA </w:t>
      </w:r>
      <w:r w:rsidR="00511354">
        <w:t>inclusion</w:t>
      </w:r>
      <w:r>
        <w:t>) and Health Technology Assessment (i.e. PL listing) as identified by WHO</w:t>
      </w:r>
    </w:p>
    <w:p w14:paraId="626FDF16" w14:textId="453AC31A" w:rsidR="00866BEC" w:rsidRPr="00866BEC" w:rsidRDefault="00F808BD" w:rsidP="00F808BD">
      <w:pPr>
        <w:jc w:val="center"/>
        <w:rPr>
          <w:noProof/>
        </w:rPr>
      </w:pPr>
      <w:r>
        <w:rPr>
          <w:noProof/>
        </w:rPr>
        <w:drawing>
          <wp:inline distT="0" distB="0" distL="0" distR="0" wp14:anchorId="1B7C713E" wp14:editId="42E5B9CE">
            <wp:extent cx="5646138" cy="3236979"/>
            <wp:effectExtent l="0" t="0" r="0" b="1905"/>
            <wp:docPr id="85" name="Pictur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a:extLst>
                        <a:ext uri="{C183D7F6-B498-43B3-948B-1728B52AA6E4}">
                          <adec:decorative xmlns:adec="http://schemas.microsoft.com/office/drawing/2017/decorative" val="1"/>
                        </a:ext>
                      </a:extLst>
                    </pic:cNvPr>
                    <pic:cNvPicPr/>
                  </pic:nvPicPr>
                  <pic:blipFill rotWithShape="1">
                    <a:blip r:embed="rId14"/>
                    <a:srcRect l="3161" r="6530" b="2682"/>
                    <a:stretch/>
                  </pic:blipFill>
                  <pic:spPr bwMode="auto">
                    <a:xfrm>
                      <a:off x="0" y="0"/>
                      <a:ext cx="5675007" cy="3253530"/>
                    </a:xfrm>
                    <a:prstGeom prst="rect">
                      <a:avLst/>
                    </a:prstGeom>
                    <a:ln>
                      <a:noFill/>
                    </a:ln>
                    <a:extLst>
                      <a:ext uri="{53640926-AAD7-44D8-BBD7-CCE9431645EC}">
                        <a14:shadowObscured xmlns:a14="http://schemas.microsoft.com/office/drawing/2010/main"/>
                      </a:ext>
                    </a:extLst>
                  </pic:spPr>
                </pic:pic>
              </a:graphicData>
            </a:graphic>
          </wp:inline>
        </w:drawing>
      </w:r>
      <w:bookmarkEnd w:id="2"/>
    </w:p>
    <w:p w14:paraId="78CE406E" w14:textId="59A59768" w:rsidR="00866BEC" w:rsidRPr="00866BEC" w:rsidRDefault="00866BEC" w:rsidP="00000EF3">
      <w:pPr>
        <w:pStyle w:val="Paragraphtext"/>
      </w:pPr>
      <w:r w:rsidRPr="00866BEC">
        <w:t xml:space="preserve">In Australia, several advisory and regulatory bodies provide health technology assessment: </w:t>
      </w:r>
    </w:p>
    <w:p w14:paraId="346728BF" w14:textId="7B151A1F" w:rsidR="00866BEC" w:rsidRPr="00866BEC" w:rsidRDefault="00866BEC" w:rsidP="00B07304">
      <w:pPr>
        <w:pStyle w:val="ListBullet"/>
      </w:pPr>
      <w:r w:rsidRPr="00866BEC">
        <w:t xml:space="preserve">The </w:t>
      </w:r>
      <w:r w:rsidRPr="00866BEC">
        <w:rPr>
          <w:i/>
          <w:iCs/>
        </w:rPr>
        <w:t xml:space="preserve">Medical Services Advisory Committee </w:t>
      </w:r>
      <w:r w:rsidRPr="00866BEC">
        <w:t>(MSAC) assesses the</w:t>
      </w:r>
      <w:r w:rsidR="00DB5210">
        <w:t xml:space="preserve"> comparative</w:t>
      </w:r>
      <w:r w:rsidRPr="00866BEC">
        <w:t xml:space="preserve"> safety, </w:t>
      </w:r>
      <w:r w:rsidR="00F56306">
        <w:t xml:space="preserve">clinical </w:t>
      </w:r>
      <w:r w:rsidRPr="00866BEC">
        <w:t xml:space="preserve">effectiveness and cost-effectiveness of medical technologies and procedures to inform decisions about public funding. </w:t>
      </w:r>
    </w:p>
    <w:p w14:paraId="7492FF80" w14:textId="631DB191" w:rsidR="00866BEC" w:rsidRPr="00866BEC" w:rsidRDefault="00866BEC" w:rsidP="00B07304">
      <w:pPr>
        <w:pStyle w:val="ListBullet"/>
      </w:pPr>
      <w:r w:rsidRPr="00866BEC">
        <w:t xml:space="preserve">The </w:t>
      </w:r>
      <w:r w:rsidRPr="00866BEC">
        <w:rPr>
          <w:i/>
          <w:iCs/>
        </w:rPr>
        <w:t>Pharmaceutical Benefits Advisory Committee</w:t>
      </w:r>
      <w:r w:rsidRPr="00866BEC">
        <w:t xml:space="preserve"> (PBAC) assesses the </w:t>
      </w:r>
      <w:r w:rsidR="00DB5210">
        <w:t xml:space="preserve">comparative </w:t>
      </w:r>
      <w:r w:rsidRPr="00866BEC">
        <w:t>effectiveness and cost-effectiveness of medicines and vaccines to inform decisions about public funding</w:t>
      </w:r>
      <w:r w:rsidR="00F56306">
        <w:t xml:space="preserve"> through the PBS and the NIP</w:t>
      </w:r>
      <w:r w:rsidR="00F56306" w:rsidRPr="00866BEC">
        <w:t>.</w:t>
      </w:r>
    </w:p>
    <w:p w14:paraId="091AD202" w14:textId="23C3C32A" w:rsidR="00866BEC" w:rsidRPr="00866BEC" w:rsidRDefault="00866BEC" w:rsidP="00000EF3">
      <w:pPr>
        <w:pStyle w:val="Paragraphtext"/>
      </w:pPr>
      <w:r w:rsidRPr="00005DF4">
        <w:lastRenderedPageBreak/>
        <w:t>Consistent application of evidence across Australian Government HTA processes is an important element in ensuring stakeholder confidence in the HTA framework by creating certainty in the processes and their achieved outcome.</w:t>
      </w:r>
    </w:p>
    <w:p w14:paraId="377104BD" w14:textId="75589586" w:rsidR="00005DF4" w:rsidRPr="00005DF4" w:rsidRDefault="00005DF4" w:rsidP="00000EF3">
      <w:pPr>
        <w:pStyle w:val="Paragraphtext"/>
      </w:pPr>
      <w:r w:rsidRPr="00005DF4">
        <w:t xml:space="preserve">A key outcome of the PL listing process is a decision regarding reimbursement. Therefore, it is critical that both </w:t>
      </w:r>
      <w:r w:rsidR="00D66800">
        <w:t xml:space="preserve">comparative </w:t>
      </w:r>
      <w:r w:rsidRPr="00005DF4">
        <w:t xml:space="preserve">clinical and cost-effectiveness are key arbiters for any assessment. </w:t>
      </w:r>
    </w:p>
    <w:p w14:paraId="757F14E9" w14:textId="72359CAD" w:rsidR="00876DB2" w:rsidRDefault="00005DF4" w:rsidP="00000EF3">
      <w:pPr>
        <w:pStyle w:val="Paragraphtext"/>
      </w:pPr>
      <w:r w:rsidRPr="00005DF4">
        <w:t xml:space="preserve">The PL listing </w:t>
      </w:r>
      <w:r w:rsidR="0077313E">
        <w:t xml:space="preserve">process </w:t>
      </w:r>
      <w:r w:rsidRPr="00005DF4">
        <w:t xml:space="preserve">already accommodates </w:t>
      </w:r>
      <w:r w:rsidR="0077313E">
        <w:t>the initial</w:t>
      </w:r>
      <w:r w:rsidRPr="00005DF4">
        <w:t xml:space="preserve"> HTA, which assesses the reimbursement value at the point of a new technology’s entry into the health system. However, the outcome of the PL is enduring. A regular post-market surveillance system will be established to ensure both applicants and payers can have confidence that a listed device represents value for money throughout the lifecycle of the device. To ensure the PL supports best practice reimbursement (investment) outcomes, the modern listing process will re</w:t>
      </w:r>
      <w:r w:rsidRPr="00005DF4">
        <w:noBreakHyphen/>
        <w:t>introduce rigorous methods for assessing cost</w:t>
      </w:r>
      <w:r w:rsidRPr="00005DF4">
        <w:noBreakHyphen/>
        <w:t>effectiveness, enhance post</w:t>
      </w:r>
      <w:r w:rsidRPr="00005DF4">
        <w:noBreakHyphen/>
        <w:t>market monitoring of reimbursement decisions and clarify processes for delisting (dis-investment)</w:t>
      </w:r>
      <w:r w:rsidR="0097796B">
        <w:t xml:space="preserve"> of some devices as required</w:t>
      </w:r>
      <w:r w:rsidRPr="00005DF4">
        <w:t>.</w:t>
      </w:r>
    </w:p>
    <w:p w14:paraId="0ECE41C5" w14:textId="64061512" w:rsidR="003C3787" w:rsidRDefault="003C3787" w:rsidP="00AD644A">
      <w:pPr>
        <w:pStyle w:val="Heading2"/>
      </w:pPr>
      <w:r>
        <w:t xml:space="preserve">A tiered listing </w:t>
      </w:r>
      <w:proofErr w:type="gramStart"/>
      <w:r>
        <w:t>process</w:t>
      </w:r>
      <w:proofErr w:type="gramEnd"/>
    </w:p>
    <w:p w14:paraId="2DAFBDD4" w14:textId="72CA71A3" w:rsidR="0028431B" w:rsidRDefault="00653FD0" w:rsidP="00192EFF">
      <w:pPr>
        <w:pStyle w:val="Paragraphtext"/>
      </w:pPr>
      <w:r w:rsidRPr="00BC6E02">
        <w:t xml:space="preserve">The concept of a three-tiered approach to the assessment of PL </w:t>
      </w:r>
      <w:r>
        <w:t>applications for Part A and Part</w:t>
      </w:r>
      <w:r w:rsidR="00CD36DA">
        <w:t> </w:t>
      </w:r>
      <w:r>
        <w:t xml:space="preserve">C </w:t>
      </w:r>
      <w:r w:rsidR="00883E13">
        <w:t>was introduced by</w:t>
      </w:r>
      <w:r>
        <w:t xml:space="preserve"> the work undertaken by the QIG</w:t>
      </w:r>
      <w:r w:rsidR="0077313E">
        <w:t>. T</w:t>
      </w:r>
      <w:r w:rsidR="00883E13">
        <w:t>op level principles are summarised in the Chart below</w:t>
      </w:r>
      <w:r w:rsidR="00EB1C3B">
        <w:t xml:space="preserve"> (refer </w:t>
      </w:r>
      <w:r w:rsidR="00EB1C3B" w:rsidRPr="00EB1C3B">
        <w:rPr>
          <w:b/>
          <w:bCs/>
        </w:rPr>
        <w:t>Figure 5</w:t>
      </w:r>
      <w:r w:rsidR="00EB1C3B">
        <w:t>)</w:t>
      </w:r>
      <w:r w:rsidRPr="00BC6E02">
        <w:t xml:space="preserve">. </w:t>
      </w:r>
    </w:p>
    <w:p w14:paraId="72FED972" w14:textId="6C8762FC" w:rsidR="00192EFF" w:rsidRDefault="00192EFF" w:rsidP="00192EFF">
      <w:pPr>
        <w:pStyle w:val="FigureTitle"/>
      </w:pPr>
      <w:r w:rsidRPr="00043864">
        <w:t xml:space="preserve">Figure </w:t>
      </w:r>
      <w:r>
        <w:t>5</w:t>
      </w:r>
      <w:r w:rsidRPr="00043864">
        <w:t>: Three-tiered approach</w:t>
      </w:r>
      <w:r>
        <w:t xml:space="preserve"> for assessment of </w:t>
      </w:r>
      <w:r w:rsidRPr="00043864">
        <w:t xml:space="preserve">PL </w:t>
      </w:r>
      <w:r>
        <w:t>applications</w:t>
      </w:r>
    </w:p>
    <w:p w14:paraId="7755B0B6" w14:textId="70095B86" w:rsidR="00192EFF" w:rsidRDefault="00050E67" w:rsidP="0028431B">
      <w:pPr>
        <w:pStyle w:val="Paragraphtext"/>
        <w:spacing w:before="0"/>
      </w:pPr>
      <w:r>
        <w:rPr>
          <w:noProof/>
        </w:rPr>
        <w:drawing>
          <wp:inline distT="0" distB="0" distL="0" distR="0" wp14:anchorId="32090922" wp14:editId="22D79116">
            <wp:extent cx="5855234" cy="4433687"/>
            <wp:effectExtent l="0" t="0" r="12700" b="5080"/>
            <wp:docPr id="1" name="Diagram 1" descr="Figure 5 shows a graphical representation of the 3 tiers approach. It reads: &#10;Tier 1, a new pathway. Device is medium or lower-risk, is a well-established technology, and is substantially similar in characteristics, intended use and clinical effectiveness to other devices listed on PL in the existing grouping with the benefit set up based on the reference pricing.&#10;Assessments are largely undertaken by the Department with the relevant expertise and knowledge in medical devices. &#10;Tier 2, the pathway evolving from the existing PL assessments &#10;device is of higher risk and/or is not a well-established technology (e.g. has a comparator that is a novel device/undergone HTA) and/or has claims for the improved/different characteristics compared with the existing devices listed on PL &#10;assessments include comparative clinical effectiveness and/or cost effectiveness assessments with inputs from the relevant experts.&#10;Tier 3, the pathway incorporating the MSAC processes&#10; there are no MBS items relevant for the use of the device and/or the device is a novel technology and/or there are no comparators on PL &#10; assessments include the full clinical and cost effectiveness assessments undertaken by MSAC with inputs from relevant experts as required.&#10;End of object.&#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08C6D7C" w14:textId="7861A364" w:rsidR="007510EF" w:rsidRPr="007510EF" w:rsidRDefault="00336F71" w:rsidP="0028431B">
      <w:pPr>
        <w:pStyle w:val="Paragraphtext"/>
        <w:spacing w:before="0"/>
      </w:pPr>
      <w:r>
        <w:lastRenderedPageBreak/>
        <w:t>It is anticipated that e</w:t>
      </w:r>
      <w:r w:rsidRPr="00336F71">
        <w:t>ach pathway will have specific criteria</w:t>
      </w:r>
      <w:r>
        <w:t xml:space="preserve"> which s</w:t>
      </w:r>
      <w:r w:rsidRPr="00336F71">
        <w:t>ponsors will</w:t>
      </w:r>
      <w:r>
        <w:t xml:space="preserve"> </w:t>
      </w:r>
      <w:r w:rsidR="00FC058E">
        <w:t>need</w:t>
      </w:r>
      <w:r w:rsidRPr="00336F71">
        <w:t xml:space="preserve"> </w:t>
      </w:r>
      <w:r w:rsidR="00653FD0">
        <w:t xml:space="preserve">to </w:t>
      </w:r>
      <w:r w:rsidR="00FC058E">
        <w:t>consider</w:t>
      </w:r>
      <w:r w:rsidRPr="00336F71">
        <w:t xml:space="preserve"> </w:t>
      </w:r>
      <w:r w:rsidR="00FC058E">
        <w:t>while</w:t>
      </w:r>
      <w:r w:rsidR="00FC058E" w:rsidRPr="00336F71">
        <w:t xml:space="preserve"> nominat</w:t>
      </w:r>
      <w:r w:rsidR="00FC058E">
        <w:t>ing</w:t>
      </w:r>
      <w:r w:rsidRPr="00336F71">
        <w:t xml:space="preserve"> </w:t>
      </w:r>
      <w:r>
        <w:t>the</w:t>
      </w:r>
      <w:r w:rsidRPr="00336F71">
        <w:t xml:space="preserve"> pathway</w:t>
      </w:r>
      <w:r>
        <w:t xml:space="preserve"> they believe suits their application</w:t>
      </w:r>
      <w:r w:rsidR="00653FD0" w:rsidRPr="007510EF">
        <w:t xml:space="preserve">, </w:t>
      </w:r>
      <w:r w:rsidR="00FC058E">
        <w:t>noting that there may be</w:t>
      </w:r>
      <w:r w:rsidR="00653FD0" w:rsidRPr="007510EF">
        <w:t xml:space="preserve"> </w:t>
      </w:r>
      <w:r w:rsidR="00FC058E">
        <w:t>cases where the pathway will change during the assessment.</w:t>
      </w:r>
    </w:p>
    <w:p w14:paraId="1A40798F" w14:textId="77777777" w:rsidR="00CD36DA" w:rsidRDefault="00CD36DA" w:rsidP="0028431B">
      <w:pPr>
        <w:pStyle w:val="Paragraphtext"/>
        <w:spacing w:before="0"/>
      </w:pPr>
    </w:p>
    <w:p w14:paraId="17D53C22" w14:textId="414F4CC2" w:rsidR="007510EF" w:rsidRPr="007510EF" w:rsidRDefault="00FC058E" w:rsidP="0028431B">
      <w:pPr>
        <w:pStyle w:val="Paragraphtext"/>
        <w:spacing w:before="0"/>
      </w:pPr>
      <w:r>
        <w:t>The assessment of any application will include</w:t>
      </w:r>
      <w:r w:rsidR="00653FD0" w:rsidRPr="007510EF">
        <w:t>:</w:t>
      </w:r>
    </w:p>
    <w:p w14:paraId="7DE7E194" w14:textId="528E5BE9" w:rsidR="004227A6" w:rsidRPr="00EE3AF1" w:rsidRDefault="00A4107A" w:rsidP="00B07304">
      <w:pPr>
        <w:pStyle w:val="ListBullet"/>
      </w:pPr>
      <w:r w:rsidRPr="00757799">
        <w:rPr>
          <w:b/>
        </w:rPr>
        <w:t>Eligibility</w:t>
      </w:r>
      <w:r w:rsidRPr="00A4107A">
        <w:t xml:space="preserve"> –the </w:t>
      </w:r>
      <w:r w:rsidR="00653FD0">
        <w:t>device</w:t>
      </w:r>
      <w:r w:rsidR="00653FD0" w:rsidRPr="00A4107A">
        <w:t xml:space="preserve"> </w:t>
      </w:r>
      <w:r w:rsidRPr="00A4107A">
        <w:t>meets the criteria for listing on the PL (medical device or human tissue item) as documented in the Prostheses Rules</w:t>
      </w:r>
      <w:r w:rsidRPr="00CD793A">
        <w:rPr>
          <w:vertAlign w:val="superscript"/>
        </w:rPr>
        <w:footnoteReference w:id="2"/>
      </w:r>
      <w:r w:rsidRPr="00A4107A">
        <w:t xml:space="preserve"> </w:t>
      </w:r>
      <w:r w:rsidR="00FC058E">
        <w:t xml:space="preserve">made </w:t>
      </w:r>
      <w:r w:rsidRPr="00A4107A">
        <w:t xml:space="preserve">under the </w:t>
      </w:r>
      <w:r w:rsidRPr="007510EF">
        <w:rPr>
          <w:i/>
          <w:iCs/>
        </w:rPr>
        <w:t>Private Health Insurance Act 2007</w:t>
      </w:r>
      <w:r w:rsidRPr="00A4107A">
        <w:t>.</w:t>
      </w:r>
    </w:p>
    <w:p w14:paraId="7BA39875" w14:textId="288BA474" w:rsidR="004227A6" w:rsidRPr="004227A6" w:rsidRDefault="004227A6" w:rsidP="00B07304">
      <w:pPr>
        <w:pStyle w:val="ListBullet"/>
        <w:rPr>
          <w:b/>
        </w:rPr>
      </w:pPr>
      <w:r w:rsidRPr="0028431B">
        <w:rPr>
          <w:b/>
        </w:rPr>
        <w:t>Correct pathway nominated</w:t>
      </w:r>
      <w:r w:rsidRPr="004227A6">
        <w:rPr>
          <w:b/>
        </w:rPr>
        <w:t xml:space="preserve"> </w:t>
      </w:r>
      <w:r w:rsidRPr="004227A6">
        <w:t xml:space="preserve">– the Department will </w:t>
      </w:r>
      <w:r w:rsidR="00C1660F" w:rsidRPr="00C1660F">
        <w:t xml:space="preserve">progress assessment as required </w:t>
      </w:r>
      <w:r w:rsidR="00C1660F">
        <w:t xml:space="preserve">and </w:t>
      </w:r>
      <w:r w:rsidRPr="004227A6">
        <w:t xml:space="preserve">confirm </w:t>
      </w:r>
      <w:r w:rsidR="00C1660F">
        <w:t xml:space="preserve">if </w:t>
      </w:r>
      <w:r w:rsidRPr="004227A6">
        <w:t xml:space="preserve">the sponsor has nominated the correct pathway </w:t>
      </w:r>
      <w:r w:rsidR="00FC058E">
        <w:t>(wherever possible)</w:t>
      </w:r>
      <w:r w:rsidRPr="004227A6">
        <w:t>:</w:t>
      </w:r>
    </w:p>
    <w:p w14:paraId="19BEF283" w14:textId="36773D37" w:rsidR="00A4107A" w:rsidRPr="007510EF" w:rsidRDefault="00A4107A" w:rsidP="00B07304">
      <w:pPr>
        <w:pStyle w:val="ListBullet"/>
        <w:numPr>
          <w:ilvl w:val="1"/>
          <w:numId w:val="8"/>
        </w:numPr>
      </w:pPr>
      <w:r w:rsidRPr="007510EF">
        <w:t xml:space="preserve">applications </w:t>
      </w:r>
      <w:r w:rsidR="00C1660F">
        <w:t>submitted under</w:t>
      </w:r>
      <w:r w:rsidRPr="007510EF">
        <w:t xml:space="preserve"> the Abbreviated </w:t>
      </w:r>
      <w:r w:rsidR="00EB1C3B">
        <w:t>p</w:t>
      </w:r>
      <w:r w:rsidRPr="007510EF">
        <w:t xml:space="preserve">athway </w:t>
      </w:r>
      <w:r w:rsidR="00C1660F">
        <w:t xml:space="preserve">that </w:t>
      </w:r>
      <w:r w:rsidR="00CD36DA">
        <w:t>do</w:t>
      </w:r>
      <w:r w:rsidR="00C1660F">
        <w:t xml:space="preserve"> not meet</w:t>
      </w:r>
      <w:r w:rsidRPr="007510EF">
        <w:t xml:space="preserve"> the suitability </w:t>
      </w:r>
      <w:r w:rsidR="00C1660F">
        <w:t>requirements will be rejected (and sponsors will need to submit another</w:t>
      </w:r>
      <w:r w:rsidR="00E64B0B" w:rsidRPr="007510EF">
        <w:t xml:space="preserve"> application</w:t>
      </w:r>
      <w:r w:rsidR="00C1660F">
        <w:t xml:space="preserve"> under either Clinical/Focused</w:t>
      </w:r>
      <w:r w:rsidR="00CD36DA">
        <w:t xml:space="preserve"> HTA</w:t>
      </w:r>
      <w:r w:rsidR="00C1660F">
        <w:t xml:space="preserve"> or Full</w:t>
      </w:r>
      <w:r w:rsidR="00CD36DA">
        <w:t xml:space="preserve"> HTA (</w:t>
      </w:r>
      <w:r w:rsidR="00C1660F">
        <w:t>MSAC</w:t>
      </w:r>
      <w:r w:rsidR="00CD36DA">
        <w:t>)</w:t>
      </w:r>
      <w:r w:rsidR="00C1660F">
        <w:t xml:space="preserve"> pathway</w:t>
      </w:r>
    </w:p>
    <w:p w14:paraId="4D6A3806" w14:textId="2D3D35D1" w:rsidR="00A4107A" w:rsidRPr="007510EF" w:rsidRDefault="00A4107A" w:rsidP="00B07304">
      <w:pPr>
        <w:pStyle w:val="ListBullet"/>
        <w:numPr>
          <w:ilvl w:val="1"/>
          <w:numId w:val="8"/>
        </w:numPr>
      </w:pPr>
      <w:r w:rsidRPr="007510EF">
        <w:t xml:space="preserve">applications </w:t>
      </w:r>
      <w:r w:rsidR="00C1660F">
        <w:t xml:space="preserve">made under Clinical/Focused HTA may be re-directed during the </w:t>
      </w:r>
      <w:r w:rsidRPr="007510EF">
        <w:t xml:space="preserve">assessment </w:t>
      </w:r>
      <w:r w:rsidR="00C1660F">
        <w:t>to the Full HTA</w:t>
      </w:r>
      <w:r w:rsidR="00CD36DA">
        <w:t xml:space="preserve"> (</w:t>
      </w:r>
      <w:r w:rsidR="00C1660F">
        <w:t>MSAC</w:t>
      </w:r>
      <w:r w:rsidR="00CD36DA">
        <w:t>)</w:t>
      </w:r>
      <w:r w:rsidR="00C1660F">
        <w:t xml:space="preserve"> </w:t>
      </w:r>
      <w:r w:rsidRPr="007510EF">
        <w:t xml:space="preserve">pathway </w:t>
      </w:r>
      <w:r w:rsidR="00C1660F">
        <w:t>if required</w:t>
      </w:r>
      <w:r w:rsidRPr="007510EF">
        <w:t xml:space="preserve">. </w:t>
      </w:r>
    </w:p>
    <w:p w14:paraId="66FE09F8" w14:textId="78CC95FB" w:rsidR="00A4107A" w:rsidRPr="007510EF" w:rsidRDefault="00A4107A" w:rsidP="00B07304">
      <w:pPr>
        <w:pStyle w:val="ListBullet"/>
      </w:pPr>
      <w:bookmarkStart w:id="3" w:name="_Hlk92207373"/>
      <w:r w:rsidRPr="0028431B">
        <w:rPr>
          <w:b/>
        </w:rPr>
        <w:t>Completeness of application</w:t>
      </w:r>
      <w:r w:rsidR="00F56306" w:rsidRPr="0028431B">
        <w:rPr>
          <w:b/>
        </w:rPr>
        <w:t xml:space="preserve"> check</w:t>
      </w:r>
      <w:r w:rsidRPr="007510EF">
        <w:t xml:space="preserve"> – </w:t>
      </w:r>
      <w:r w:rsidR="00F56306" w:rsidRPr="007510EF">
        <w:t>the Department will conduct a check on all applications</w:t>
      </w:r>
      <w:r w:rsidR="00E64B0B" w:rsidRPr="007510EF">
        <w:t xml:space="preserve"> to ensure completeness</w:t>
      </w:r>
      <w:r w:rsidR="00F56306" w:rsidRPr="007510EF">
        <w:t xml:space="preserve">. </w:t>
      </w:r>
      <w:r w:rsidR="00C1660F">
        <w:t xml:space="preserve">Sponsors will be required to provide further information if it is incomplete, but for the </w:t>
      </w:r>
      <w:r w:rsidR="00F56306" w:rsidRPr="007510EF">
        <w:t xml:space="preserve">applications </w:t>
      </w:r>
      <w:r w:rsidR="00C1660F">
        <w:t>submitted under</w:t>
      </w:r>
      <w:r w:rsidR="00F56306" w:rsidRPr="007510EF">
        <w:t xml:space="preserve"> the </w:t>
      </w:r>
      <w:r w:rsidR="00C1660F">
        <w:t>Abbreviated pathway, there</w:t>
      </w:r>
      <w:r w:rsidR="00F56306" w:rsidRPr="007510EF">
        <w:t xml:space="preserve"> will be </w:t>
      </w:r>
      <w:r w:rsidR="00C1660F">
        <w:t>limited opportunities for</w:t>
      </w:r>
      <w:r w:rsidR="00F56306" w:rsidRPr="007510EF">
        <w:t xml:space="preserve"> sponsors </w:t>
      </w:r>
      <w:r w:rsidR="00C1660F">
        <w:t>to do so</w:t>
      </w:r>
      <w:r w:rsidR="00F56306" w:rsidRPr="007510EF">
        <w:t xml:space="preserve">. </w:t>
      </w:r>
      <w:r w:rsidRPr="007510EF">
        <w:t xml:space="preserve">Information </w:t>
      </w:r>
      <w:bookmarkEnd w:id="3"/>
      <w:r w:rsidRPr="007510EF">
        <w:t>about the requirements for application</w:t>
      </w:r>
      <w:r w:rsidR="00C1660F">
        <w:t>s submitted under different pathways</w:t>
      </w:r>
      <w:r w:rsidRPr="007510EF">
        <w:t xml:space="preserve"> will be detailed in the PL </w:t>
      </w:r>
      <w:r w:rsidR="00974501" w:rsidRPr="007510EF">
        <w:t>Guide</w:t>
      </w:r>
      <w:r w:rsidRPr="007510EF">
        <w:t xml:space="preserve"> which will be updated as part of the PL Reforms (and, where relevant, the MSAC Guidelines).</w:t>
      </w:r>
      <w:r w:rsidR="00CD36DA">
        <w:t xml:space="preserve"> It is anticipated that the transition to the HPP will assist in ensuring that applications are as complete as possible before submission.</w:t>
      </w:r>
    </w:p>
    <w:p w14:paraId="3DD403BB" w14:textId="5577C2DA" w:rsidR="00336F71" w:rsidRPr="007510EF" w:rsidRDefault="00AA242E" w:rsidP="0028431B">
      <w:pPr>
        <w:pStyle w:val="Paragraphtext"/>
      </w:pPr>
      <w:r>
        <w:t>As noted above, t</w:t>
      </w:r>
      <w:r w:rsidRPr="00AA242E">
        <w:t xml:space="preserve">his paper does not explore the review of any governance arrangements associated </w:t>
      </w:r>
      <w:r w:rsidRPr="007510EF">
        <w:t>with the PL listing process which will be addressed in a future Prostheses List Reform Consultation Paper</w:t>
      </w:r>
      <w:r w:rsidR="006D3EFB" w:rsidRPr="007510EF">
        <w:t>.</w:t>
      </w:r>
    </w:p>
    <w:p w14:paraId="099FE1F2" w14:textId="6E7B00FB" w:rsidR="00336F71" w:rsidRDefault="009C6219" w:rsidP="0028431B">
      <w:pPr>
        <w:pStyle w:val="Paragraphtext"/>
      </w:pPr>
      <w:r w:rsidRPr="007510EF">
        <w:t xml:space="preserve">To enable flexibility in the process to allow for applications differing in complexity, </w:t>
      </w:r>
      <w:r w:rsidR="00336F71" w:rsidRPr="007510EF">
        <w:t xml:space="preserve">the evidence requirements and cost recovery fees </w:t>
      </w:r>
      <w:r w:rsidRPr="007510EF">
        <w:t>will</w:t>
      </w:r>
      <w:r w:rsidR="00336F71" w:rsidRPr="007510EF">
        <w:t xml:space="preserve"> be tailored to better reflect </w:t>
      </w:r>
      <w:r w:rsidRPr="007510EF">
        <w:t xml:space="preserve">each </w:t>
      </w:r>
      <w:r w:rsidR="00336F71" w:rsidRPr="007510EF">
        <w:t>application.</w:t>
      </w:r>
      <w:r w:rsidR="006A3B1F" w:rsidRPr="007510EF">
        <w:t xml:space="preserve"> Each pathway is explained in more detail below.</w:t>
      </w:r>
    </w:p>
    <w:p w14:paraId="3CCEE9C3" w14:textId="77777777" w:rsidR="00194911" w:rsidRPr="00336F71" w:rsidRDefault="00194911" w:rsidP="0028431B">
      <w:pPr>
        <w:pStyle w:val="Paragraphtext"/>
      </w:pPr>
    </w:p>
    <w:p w14:paraId="3754C677" w14:textId="77777777" w:rsidR="00831665" w:rsidRDefault="00831665">
      <w:pPr>
        <w:spacing w:after="160" w:line="259" w:lineRule="auto"/>
        <w:rPr>
          <w:rFonts w:cs="Arial"/>
          <w:bCs/>
          <w:color w:val="358189"/>
          <w:sz w:val="28"/>
          <w:szCs w:val="26"/>
        </w:rPr>
      </w:pPr>
      <w:r>
        <w:br w:type="page"/>
      </w:r>
    </w:p>
    <w:p w14:paraId="09972B82" w14:textId="0E00A979" w:rsidR="00043864" w:rsidRPr="0028431B" w:rsidRDefault="0028431B" w:rsidP="00AD644A">
      <w:pPr>
        <w:pStyle w:val="Heading3"/>
      </w:pPr>
      <w:r>
        <w:lastRenderedPageBreak/>
        <w:t xml:space="preserve">Tier 1 – </w:t>
      </w:r>
      <w:r w:rsidR="00336F71" w:rsidRPr="0028431B">
        <w:t xml:space="preserve">Abbreviated </w:t>
      </w:r>
      <w:r w:rsidR="002E1273">
        <w:t>p</w:t>
      </w:r>
      <w:r w:rsidR="002E1273" w:rsidRPr="0028431B">
        <w:t>athway</w:t>
      </w:r>
    </w:p>
    <w:p w14:paraId="7FEBA2E0" w14:textId="587A7847" w:rsidR="001D2B14" w:rsidRPr="00EB1C3B" w:rsidRDefault="00040A6B" w:rsidP="0028431B">
      <w:pPr>
        <w:pStyle w:val="Paragraphtext"/>
      </w:pPr>
      <w:r>
        <w:t xml:space="preserve">The Abbreviated </w:t>
      </w:r>
      <w:r w:rsidR="00EB1C3B">
        <w:t>p</w:t>
      </w:r>
      <w:r>
        <w:t xml:space="preserve">athway is </w:t>
      </w:r>
      <w:r w:rsidR="00336F71" w:rsidRPr="00336F71">
        <w:t xml:space="preserve">a new </w:t>
      </w:r>
      <w:r>
        <w:t>concept to the PL listing process</w:t>
      </w:r>
      <w:r w:rsidR="00AA242E">
        <w:t xml:space="preserve"> and as the name suggests</w:t>
      </w:r>
      <w:r w:rsidR="00EB1C3B">
        <w:t>,</w:t>
      </w:r>
      <w:r w:rsidR="00AA242E">
        <w:t xml:space="preserve"> this pathway is intended to be</w:t>
      </w:r>
      <w:r w:rsidR="00CD793A">
        <w:t xml:space="preserve"> more efficient</w:t>
      </w:r>
      <w:r w:rsidR="00FF30C3">
        <w:t xml:space="preserve">, reflecting the </w:t>
      </w:r>
      <w:r w:rsidR="00AA242E">
        <w:t xml:space="preserve">nature </w:t>
      </w:r>
      <w:r w:rsidR="00FF30C3">
        <w:t xml:space="preserve">of the device </w:t>
      </w:r>
      <w:r w:rsidR="00AA242E">
        <w:t xml:space="preserve">and </w:t>
      </w:r>
      <w:r w:rsidR="00FF30C3">
        <w:t xml:space="preserve">information the sponsor provides. The process </w:t>
      </w:r>
      <w:r w:rsidR="00DF0345">
        <w:t>aims to</w:t>
      </w:r>
      <w:r w:rsidR="00AA242E">
        <w:t xml:space="preserve"> reduce red-tape </w:t>
      </w:r>
      <w:r w:rsidR="00FF30C3">
        <w:t xml:space="preserve">for eligible applications </w:t>
      </w:r>
      <w:r w:rsidR="00AA242E">
        <w:t xml:space="preserve">and </w:t>
      </w:r>
      <w:r w:rsidR="00FF30C3">
        <w:t xml:space="preserve">potentially reduce the </w:t>
      </w:r>
      <w:r w:rsidR="00FF30C3" w:rsidRPr="00EB1C3B">
        <w:t xml:space="preserve">time for an application to be assessed and </w:t>
      </w:r>
      <w:r w:rsidR="00CD793A">
        <w:t xml:space="preserve">the device </w:t>
      </w:r>
      <w:r w:rsidR="0097796B">
        <w:t>be</w:t>
      </w:r>
      <w:r w:rsidR="00CD793A">
        <w:t xml:space="preserve"> </w:t>
      </w:r>
      <w:r w:rsidR="00FF30C3" w:rsidRPr="00EB1C3B">
        <w:t>listed on the PL.</w:t>
      </w:r>
    </w:p>
    <w:p w14:paraId="6B15D296" w14:textId="2FC40118" w:rsidR="00036425" w:rsidRDefault="00AA242E" w:rsidP="0028431B">
      <w:pPr>
        <w:pStyle w:val="Paragraphtext"/>
      </w:pPr>
      <w:r w:rsidRPr="00EB1C3B">
        <w:t xml:space="preserve">The Abbreviated </w:t>
      </w:r>
      <w:r w:rsidR="00EB1C3B" w:rsidRPr="00EB1C3B">
        <w:t>p</w:t>
      </w:r>
      <w:r w:rsidR="00336F71" w:rsidRPr="00EB1C3B">
        <w:t>athway</w:t>
      </w:r>
      <w:r w:rsidRPr="00EB1C3B">
        <w:t xml:space="preserve"> </w:t>
      </w:r>
      <w:r w:rsidR="00597B09">
        <w:t xml:space="preserve">is intended to </w:t>
      </w:r>
      <w:r w:rsidR="0097796B">
        <w:t xml:space="preserve">apply </w:t>
      </w:r>
      <w:r w:rsidR="003B4F31">
        <w:t>when</w:t>
      </w:r>
      <w:r w:rsidR="001D2B14" w:rsidRPr="00EB1C3B">
        <w:t xml:space="preserve"> applications </w:t>
      </w:r>
      <w:r w:rsidR="00036425" w:rsidRPr="00EB1C3B">
        <w:t>meet the following criteria</w:t>
      </w:r>
      <w:r w:rsidR="00036425">
        <w:t>:</w:t>
      </w:r>
    </w:p>
    <w:p w14:paraId="21AF5F0E" w14:textId="0419D649" w:rsidR="00036425" w:rsidRPr="00FB0A5A" w:rsidRDefault="00036425" w:rsidP="00B07304">
      <w:pPr>
        <w:pStyle w:val="ListBullet"/>
        <w:rPr>
          <w:i/>
          <w:iCs/>
        </w:rPr>
      </w:pPr>
      <w:r w:rsidRPr="0028431B">
        <w:rPr>
          <w:b/>
        </w:rPr>
        <w:t>ARTG status</w:t>
      </w:r>
      <w:r w:rsidRPr="00036425">
        <w:rPr>
          <w:i/>
          <w:iCs/>
        </w:rPr>
        <w:t xml:space="preserve"> – </w:t>
      </w:r>
      <w:r w:rsidRPr="00036425">
        <w:t xml:space="preserve">the device </w:t>
      </w:r>
      <w:r w:rsidRPr="00FB0A5A">
        <w:t>must be</w:t>
      </w:r>
      <w:r w:rsidRPr="00036425">
        <w:t xml:space="preserve"> </w:t>
      </w:r>
      <w:r w:rsidR="00FF30C3">
        <w:t>included</w:t>
      </w:r>
      <w:r w:rsidR="00FF30C3" w:rsidRPr="00036425">
        <w:t xml:space="preserve"> </w:t>
      </w:r>
      <w:r w:rsidRPr="00036425">
        <w:t>in the ARTG</w:t>
      </w:r>
      <w:r w:rsidR="000C1E25" w:rsidRPr="00FB0A5A">
        <w:t xml:space="preserve"> – this means that an Abbreviated </w:t>
      </w:r>
      <w:r w:rsidR="00EB1C3B">
        <w:t>p</w:t>
      </w:r>
      <w:r w:rsidR="000C1E25" w:rsidRPr="00FB0A5A">
        <w:t xml:space="preserve">athway would not be suitable for </w:t>
      </w:r>
      <w:r w:rsidR="00FF30C3">
        <w:t xml:space="preserve">a </w:t>
      </w:r>
      <w:r w:rsidR="000C1E25" w:rsidRPr="00FB0A5A">
        <w:t xml:space="preserve">parallel </w:t>
      </w:r>
      <w:r w:rsidR="00FF30C3">
        <w:t xml:space="preserve">application </w:t>
      </w:r>
      <w:r w:rsidR="000C1E25" w:rsidRPr="00FB0A5A">
        <w:t>process</w:t>
      </w:r>
      <w:r w:rsidRPr="00036425">
        <w:rPr>
          <w:i/>
          <w:iCs/>
        </w:rPr>
        <w:t xml:space="preserve"> </w:t>
      </w:r>
    </w:p>
    <w:p w14:paraId="6160FD94" w14:textId="490C121E" w:rsidR="003B4F31" w:rsidRPr="003B4F31" w:rsidRDefault="008169C8" w:rsidP="00B07304">
      <w:pPr>
        <w:pStyle w:val="ListBullet"/>
        <w:rPr>
          <w:i/>
          <w:iCs/>
        </w:rPr>
      </w:pPr>
      <w:r w:rsidRPr="00B07304">
        <w:rPr>
          <w:b/>
          <w:bCs w:val="0"/>
        </w:rPr>
        <w:t>‘</w:t>
      </w:r>
      <w:r w:rsidR="003B4F31" w:rsidRPr="00B07304">
        <w:rPr>
          <w:b/>
          <w:bCs w:val="0"/>
        </w:rPr>
        <w:t>Me-too</w:t>
      </w:r>
      <w:r w:rsidRPr="00B07304">
        <w:rPr>
          <w:b/>
          <w:bCs w:val="0"/>
        </w:rPr>
        <w:t>’</w:t>
      </w:r>
      <w:r w:rsidR="003B4F31" w:rsidRPr="00B07304">
        <w:rPr>
          <w:b/>
          <w:bCs w:val="0"/>
        </w:rPr>
        <w:t xml:space="preserve"> </w:t>
      </w:r>
      <w:r w:rsidR="003B4F31" w:rsidRPr="00831665">
        <w:rPr>
          <w:b/>
          <w:bCs w:val="0"/>
        </w:rPr>
        <w:t>device</w:t>
      </w:r>
      <w:r w:rsidR="00CD36DA" w:rsidRPr="00831665">
        <w:rPr>
          <w:b/>
          <w:bCs w:val="0"/>
        </w:rPr>
        <w:t>s</w:t>
      </w:r>
      <w:r w:rsidR="003B4F31">
        <w:t xml:space="preserve"> </w:t>
      </w:r>
      <w:r w:rsidR="00CD36DA">
        <w:t xml:space="preserve">– meaning </w:t>
      </w:r>
      <w:r>
        <w:t>that</w:t>
      </w:r>
      <w:r w:rsidR="00CD36DA">
        <w:t xml:space="preserve"> the device</w:t>
      </w:r>
      <w:r>
        <w:t xml:space="preserve"> is</w:t>
      </w:r>
      <w:r w:rsidR="00CD36DA">
        <w:t xml:space="preserve"> the same as</w:t>
      </w:r>
      <w:r>
        <w:t xml:space="preserve"> </w:t>
      </w:r>
      <w:r w:rsidR="003B4F31">
        <w:t>a well-established technology</w:t>
      </w:r>
      <w:r w:rsidR="00CD36DA">
        <w:t xml:space="preserve"> already listed on the PL</w:t>
      </w:r>
    </w:p>
    <w:p w14:paraId="1275CF76" w14:textId="341C6BEA" w:rsidR="00036425" w:rsidRPr="00036425" w:rsidRDefault="003B4F31" w:rsidP="00B07304">
      <w:pPr>
        <w:pStyle w:val="ListBullet"/>
        <w:rPr>
          <w:i/>
          <w:iCs/>
        </w:rPr>
      </w:pPr>
      <w:r>
        <w:rPr>
          <w:b/>
        </w:rPr>
        <w:t>Medium or l</w:t>
      </w:r>
      <w:r w:rsidR="00036425" w:rsidRPr="0028431B">
        <w:rPr>
          <w:b/>
        </w:rPr>
        <w:t>ow</w:t>
      </w:r>
      <w:r>
        <w:rPr>
          <w:b/>
        </w:rPr>
        <w:t>er</w:t>
      </w:r>
      <w:r w:rsidR="00036425" w:rsidRPr="0028431B">
        <w:rPr>
          <w:b/>
        </w:rPr>
        <w:t xml:space="preserve"> risk</w:t>
      </w:r>
      <w:r w:rsidR="00036425" w:rsidRPr="00831665">
        <w:rPr>
          <w:b/>
        </w:rPr>
        <w:t xml:space="preserve"> </w:t>
      </w:r>
      <w:r>
        <w:rPr>
          <w:b/>
        </w:rPr>
        <w:t>classification</w:t>
      </w:r>
      <w:r w:rsidR="00036425" w:rsidRPr="00036425">
        <w:rPr>
          <w:i/>
          <w:iCs/>
        </w:rPr>
        <w:t xml:space="preserve"> – </w:t>
      </w:r>
      <w:r w:rsidR="00036425" w:rsidRPr="00036425">
        <w:t xml:space="preserve">devices </w:t>
      </w:r>
      <w:r>
        <w:t>classified by the TGA at Class IIb or lower</w:t>
      </w:r>
      <w:r w:rsidR="005F6D99" w:rsidRPr="00036425" w:rsidDel="005F6D99">
        <w:t xml:space="preserve"> </w:t>
      </w:r>
    </w:p>
    <w:p w14:paraId="09F50B8F" w14:textId="012C9E22" w:rsidR="00036425" w:rsidRPr="00036425" w:rsidRDefault="00036425" w:rsidP="00B07304">
      <w:pPr>
        <w:pStyle w:val="ListBullet"/>
        <w:rPr>
          <w:i/>
          <w:iCs/>
        </w:rPr>
      </w:pPr>
      <w:r w:rsidRPr="0028431B">
        <w:rPr>
          <w:b/>
        </w:rPr>
        <w:t>Prostheses List status of comparator</w:t>
      </w:r>
      <w:r w:rsidRPr="00036425">
        <w:rPr>
          <w:i/>
          <w:iCs/>
        </w:rPr>
        <w:t xml:space="preserve"> – </w:t>
      </w:r>
      <w:r w:rsidRPr="00036425">
        <w:t>the</w:t>
      </w:r>
      <w:r w:rsidR="00FF30C3">
        <w:t>re are substantially similar</w:t>
      </w:r>
      <w:r w:rsidRPr="00036425">
        <w:t xml:space="preserve"> comparator device</w:t>
      </w:r>
      <w:r w:rsidR="00FF30C3">
        <w:t>(s)</w:t>
      </w:r>
      <w:r w:rsidRPr="00036425">
        <w:t xml:space="preserve"> listed on the </w:t>
      </w:r>
      <w:r w:rsidR="00EB1C3B">
        <w:t>PL</w:t>
      </w:r>
    </w:p>
    <w:p w14:paraId="039AF263" w14:textId="07D1C6B2" w:rsidR="000C1E25" w:rsidRPr="00831665" w:rsidRDefault="00036425" w:rsidP="00831665">
      <w:pPr>
        <w:pStyle w:val="ListBullet"/>
        <w:rPr>
          <w:i/>
        </w:rPr>
      </w:pPr>
      <w:r w:rsidRPr="00B07304">
        <w:rPr>
          <w:b/>
          <w:bCs w:val="0"/>
        </w:rPr>
        <w:t>Group</w:t>
      </w:r>
      <w:r w:rsidR="003B4F31" w:rsidRPr="00B07304">
        <w:rPr>
          <w:b/>
          <w:bCs w:val="0"/>
        </w:rPr>
        <w:t>ing</w:t>
      </w:r>
      <w:r w:rsidRPr="00B07304">
        <w:rPr>
          <w:b/>
          <w:bCs w:val="0"/>
        </w:rPr>
        <w:t xml:space="preserve"> and </w:t>
      </w:r>
      <w:r w:rsidR="003B4F31" w:rsidRPr="00B07304">
        <w:rPr>
          <w:b/>
          <w:bCs w:val="0"/>
        </w:rPr>
        <w:t>benefit</w:t>
      </w:r>
      <w:r w:rsidRPr="00036425">
        <w:rPr>
          <w:i/>
          <w:iCs/>
        </w:rPr>
        <w:t xml:space="preserve"> – </w:t>
      </w:r>
      <w:r w:rsidRPr="00036425">
        <w:t>the device will be listed in the same group as the comparator</w:t>
      </w:r>
      <w:r w:rsidR="00FF30C3">
        <w:t>(s)</w:t>
      </w:r>
      <w:r w:rsidR="00DF0345">
        <w:t xml:space="preserve"> and will </w:t>
      </w:r>
      <w:r w:rsidR="009D5054">
        <w:t xml:space="preserve">be </w:t>
      </w:r>
      <w:r w:rsidR="00DF0345">
        <w:t>priced using</w:t>
      </w:r>
      <w:r w:rsidR="00FF7FAA">
        <w:t xml:space="preserve"> a</w:t>
      </w:r>
      <w:r w:rsidR="00DF0345">
        <w:t xml:space="preserve"> cost-minimisation economic analysis</w:t>
      </w:r>
    </w:p>
    <w:p w14:paraId="457FD49E" w14:textId="31F7039F" w:rsidR="00336F71" w:rsidRDefault="003B4F31" w:rsidP="00831665">
      <w:pPr>
        <w:pStyle w:val="ListBullet"/>
      </w:pPr>
      <w:r>
        <w:rPr>
          <w:b/>
        </w:rPr>
        <w:t xml:space="preserve">Application and information provided </w:t>
      </w:r>
      <w:r w:rsidRPr="00D5131B">
        <w:t xml:space="preserve">– the sponsor </w:t>
      </w:r>
      <w:r w:rsidR="00CD36DA">
        <w:t xml:space="preserve">must </w:t>
      </w:r>
      <w:r w:rsidRPr="00D5131B">
        <w:t xml:space="preserve">provide </w:t>
      </w:r>
      <w:r w:rsidR="00314402">
        <w:t>sufficient</w:t>
      </w:r>
      <w:r w:rsidR="00D5131B">
        <w:t xml:space="preserve"> information in the application to enable</w:t>
      </w:r>
      <w:r w:rsidR="00E159CB" w:rsidRPr="007D6CD3">
        <w:t xml:space="preserve"> assessment by </w:t>
      </w:r>
      <w:r w:rsidR="00D5131B">
        <w:t>the Department</w:t>
      </w:r>
      <w:r w:rsidR="00FC1413">
        <w:t xml:space="preserve"> </w:t>
      </w:r>
      <w:r w:rsidR="00A1460F">
        <w:t>as there will be little opportunity for</w:t>
      </w:r>
      <w:r w:rsidR="00F641C1" w:rsidRPr="007D6CD3">
        <w:t xml:space="preserve"> </w:t>
      </w:r>
      <w:r w:rsidR="00FC1413">
        <w:t>consultation</w:t>
      </w:r>
      <w:r w:rsidR="00A1460F">
        <w:t xml:space="preserve"> between the Department and the Sponsor.</w:t>
      </w:r>
      <w:r w:rsidR="00036425">
        <w:t xml:space="preserve"> </w:t>
      </w:r>
    </w:p>
    <w:p w14:paraId="30D33C8B" w14:textId="3D1C6754" w:rsidR="00D61D4C" w:rsidRDefault="00D61D4C" w:rsidP="0028431B">
      <w:pPr>
        <w:pStyle w:val="Paragraphtext"/>
      </w:pPr>
      <w:r>
        <w:t xml:space="preserve">An indicative process for the Abbreviated </w:t>
      </w:r>
      <w:r w:rsidR="00EB1C3B">
        <w:t>p</w:t>
      </w:r>
      <w:r>
        <w:t xml:space="preserve">athway is provided below in </w:t>
      </w:r>
      <w:r w:rsidRPr="00D61D4C">
        <w:rPr>
          <w:b/>
          <w:bCs/>
        </w:rPr>
        <w:t xml:space="preserve">Figure </w:t>
      </w:r>
      <w:r w:rsidR="00EB1C3B">
        <w:rPr>
          <w:b/>
          <w:bCs/>
        </w:rPr>
        <w:t>6</w:t>
      </w:r>
      <w:r>
        <w:t xml:space="preserve">, noting once again that this is subject to further consultation and reform work </w:t>
      </w:r>
      <w:r w:rsidR="00323BAD">
        <w:t>with respect to</w:t>
      </w:r>
      <w:r>
        <w:t xml:space="preserve"> governance,</w:t>
      </w:r>
      <w:r w:rsidR="00E93B83">
        <w:t xml:space="preserve"> as well as </w:t>
      </w:r>
      <w:r w:rsidR="00D41F1D">
        <w:t xml:space="preserve">transition from the PLMS to the </w:t>
      </w:r>
      <w:r w:rsidR="00E93B83">
        <w:t xml:space="preserve">HPP. </w:t>
      </w:r>
    </w:p>
    <w:p w14:paraId="0CC45186" w14:textId="05B4C362" w:rsidR="00D61D4C" w:rsidRPr="00043864" w:rsidRDefault="00D61D4C" w:rsidP="00336C83">
      <w:pPr>
        <w:pStyle w:val="FigureTitle"/>
      </w:pPr>
      <w:r w:rsidRPr="00043864">
        <w:t xml:space="preserve">Figure </w:t>
      </w:r>
      <w:r w:rsidR="00D62B22">
        <w:t>6</w:t>
      </w:r>
      <w:r w:rsidRPr="00043864">
        <w:t xml:space="preserve">: </w:t>
      </w:r>
      <w:r>
        <w:t xml:space="preserve">Abbreviated </w:t>
      </w:r>
      <w:r w:rsidR="00FC1413">
        <w:t>pathway</w:t>
      </w:r>
      <w:r>
        <w:t xml:space="preserve"> </w:t>
      </w:r>
      <w:r w:rsidR="00B56A81">
        <w:t xml:space="preserve">– indicative </w:t>
      </w:r>
      <w:r>
        <w:t>process</w:t>
      </w:r>
    </w:p>
    <w:p w14:paraId="7292430C" w14:textId="1AD2313E" w:rsidR="00A2766A" w:rsidRDefault="00050E67" w:rsidP="00050E67">
      <w:pPr>
        <w:ind w:right="-755"/>
        <w:rPr>
          <w:rFonts w:cs="Arial"/>
          <w:bCs/>
          <w:color w:val="3F4A75"/>
          <w:kern w:val="28"/>
          <w:sz w:val="36"/>
          <w:szCs w:val="36"/>
        </w:rPr>
      </w:pPr>
      <w:r>
        <w:rPr>
          <w:noProof/>
          <w:color w:val="000000" w:themeColor="text1"/>
          <w:sz w:val="21"/>
        </w:rPr>
        <w:drawing>
          <wp:inline distT="0" distB="0" distL="0" distR="0" wp14:anchorId="65FA218D" wp14:editId="4E88A7AA">
            <wp:extent cx="5985862" cy="3357923"/>
            <wp:effectExtent l="0" t="0" r="0" b="0"/>
            <wp:docPr id="2" name="Diagram 2" descr="Figure 6 is a graphical representation of the Abbreviated pathway process and the following steps: Step 1: The device is included in the ARTG (Sponsor and TGA). Step 2: PL application submitted via HPP (Sponsor). Step 3: Application assessed. Clinical experts may be consulted on minor clarifying questions if required (Department). Step 4: Recommendation is made to Minister or Delegate (Department). Step 5: If approved by the Delegate, the device is listed on the PL (Department).&#10;&#10;&#10;&#10;&#10;&#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2C91454" w14:textId="105920FA" w:rsidR="00831665" w:rsidRDefault="00831665">
      <w:pPr>
        <w:spacing w:after="160" w:line="259" w:lineRule="auto"/>
        <w:rPr>
          <w:rFonts w:cs="Arial"/>
          <w:bCs/>
          <w:color w:val="358189"/>
          <w:sz w:val="28"/>
          <w:szCs w:val="26"/>
        </w:rPr>
      </w:pPr>
      <w:r>
        <w:br w:type="page"/>
      </w:r>
    </w:p>
    <w:p w14:paraId="7FC51AA6" w14:textId="1FD5907B" w:rsidR="00336F71" w:rsidRPr="0028431B" w:rsidRDefault="0028431B" w:rsidP="004227A6">
      <w:pPr>
        <w:pStyle w:val="Heading3"/>
      </w:pPr>
      <w:r w:rsidRPr="0028431B">
        <w:lastRenderedPageBreak/>
        <w:t xml:space="preserve">Tier 2 – </w:t>
      </w:r>
      <w:r w:rsidR="00314402">
        <w:t>Clinical/</w:t>
      </w:r>
      <w:r w:rsidR="006A3B1F" w:rsidRPr="0028431B">
        <w:t xml:space="preserve">Focused HTA </w:t>
      </w:r>
      <w:r w:rsidR="00B276B5">
        <w:t>p</w:t>
      </w:r>
      <w:r w:rsidR="006A3B1F" w:rsidRPr="0028431B">
        <w:t>athway</w:t>
      </w:r>
    </w:p>
    <w:p w14:paraId="1776AC03" w14:textId="3BE3AD62" w:rsidR="001D4F1D" w:rsidRDefault="00CD793A" w:rsidP="00336C83">
      <w:pPr>
        <w:pStyle w:val="Paragraphtext"/>
      </w:pPr>
      <w:r w:rsidRPr="0056240E">
        <w:t xml:space="preserve">A </w:t>
      </w:r>
      <w:r w:rsidR="00314402">
        <w:t>Clinical/</w:t>
      </w:r>
      <w:r w:rsidRPr="0056240E">
        <w:t xml:space="preserve">Focused HTA pathway </w:t>
      </w:r>
      <w:r w:rsidR="00314402">
        <w:t>will</w:t>
      </w:r>
      <w:r w:rsidRPr="0056240E">
        <w:t xml:space="preserve"> be used for applications that require</w:t>
      </w:r>
      <w:r w:rsidR="00831665">
        <w:t xml:space="preserve"> either a</w:t>
      </w:r>
      <w:r w:rsidRPr="0056240E">
        <w:t xml:space="preserve"> comparative clinical effectiveness</w:t>
      </w:r>
      <w:r>
        <w:t xml:space="preserve"> assessment</w:t>
      </w:r>
      <w:r w:rsidRPr="0056240E">
        <w:t xml:space="preserve"> </w:t>
      </w:r>
      <w:r w:rsidR="00831665">
        <w:t>or</w:t>
      </w:r>
      <w:r w:rsidR="00314402" w:rsidRPr="00314402">
        <w:t xml:space="preserve"> </w:t>
      </w:r>
      <w:r w:rsidR="00844331" w:rsidRPr="0056240E">
        <w:t xml:space="preserve">a </w:t>
      </w:r>
      <w:r w:rsidR="00314402">
        <w:t>focused</w:t>
      </w:r>
      <w:r w:rsidR="00314402" w:rsidRPr="0056240E">
        <w:t xml:space="preserve"> </w:t>
      </w:r>
      <w:r w:rsidR="00314402">
        <w:t>cost-effectiveness</w:t>
      </w:r>
      <w:r w:rsidR="00314402" w:rsidRPr="0056240E">
        <w:t xml:space="preserve"> </w:t>
      </w:r>
      <w:r w:rsidR="00844331" w:rsidRPr="0056240E">
        <w:t>assessment</w:t>
      </w:r>
      <w:r w:rsidR="003B7AA9" w:rsidRPr="0056240E">
        <w:t xml:space="preserve">. </w:t>
      </w:r>
    </w:p>
    <w:p w14:paraId="5AE71C2C" w14:textId="7F4C0CCB" w:rsidR="001D4F1D" w:rsidRDefault="00597B09" w:rsidP="00336C83">
      <w:pPr>
        <w:pStyle w:val="Paragraphtext"/>
      </w:pPr>
      <w:r>
        <w:t xml:space="preserve">This pathway is </w:t>
      </w:r>
      <w:proofErr w:type="gramStart"/>
      <w:r w:rsidR="001D4F1D" w:rsidRPr="001D4F1D">
        <w:t>similar to</w:t>
      </w:r>
      <w:proofErr w:type="gramEnd"/>
      <w:r w:rsidR="001D4F1D" w:rsidRPr="001D4F1D">
        <w:t xml:space="preserve"> </w:t>
      </w:r>
      <w:r w:rsidR="00336F71" w:rsidRPr="0056240E">
        <w:t xml:space="preserve">the existing assessment </w:t>
      </w:r>
      <w:r w:rsidR="00831665">
        <w:t xml:space="preserve">for </w:t>
      </w:r>
      <w:r w:rsidR="00831665" w:rsidRPr="001D4F1D">
        <w:t>new, amendment, compression and expansion applications</w:t>
      </w:r>
      <w:r w:rsidR="00831665">
        <w:t xml:space="preserve"> for</w:t>
      </w:r>
      <w:r w:rsidR="001D4F1D" w:rsidRPr="001D4F1D">
        <w:t xml:space="preserve"> Part A and Part C with assessments undertaken by </w:t>
      </w:r>
      <w:r w:rsidR="00323BAD">
        <w:t xml:space="preserve">expert </w:t>
      </w:r>
      <w:r w:rsidR="001D4F1D" w:rsidRPr="001D4F1D">
        <w:t>clinicians and cost-effectiveness assessment</w:t>
      </w:r>
      <w:r w:rsidR="00336F71" w:rsidRPr="0056240E">
        <w:t xml:space="preserve"> by the </w:t>
      </w:r>
      <w:r w:rsidR="001D4F1D" w:rsidRPr="001D4F1D">
        <w:t>HTA consultant (where applicable)</w:t>
      </w:r>
      <w:r w:rsidR="00DD4535">
        <w:t>.</w:t>
      </w:r>
    </w:p>
    <w:p w14:paraId="6F30B353" w14:textId="77777777" w:rsidR="001D4F1D" w:rsidRDefault="001D4F1D" w:rsidP="00336C83">
      <w:pPr>
        <w:pStyle w:val="Paragraphtext"/>
      </w:pPr>
      <w:r w:rsidRPr="001D4F1D">
        <w:t xml:space="preserve">This </w:t>
      </w:r>
      <w:r>
        <w:t xml:space="preserve">will </w:t>
      </w:r>
      <w:r w:rsidRPr="001D4F1D">
        <w:t xml:space="preserve">usually apply for any Class III devices, </w:t>
      </w:r>
      <w:r>
        <w:t xml:space="preserve">or </w:t>
      </w:r>
      <w:r w:rsidRPr="001D4F1D">
        <w:t>devices of a lower risk classification where there are differences with the comparator</w:t>
      </w:r>
      <w:r w:rsidR="00A6300F">
        <w:t>(</w:t>
      </w:r>
      <w:r w:rsidRPr="001D4F1D">
        <w:t>s</w:t>
      </w:r>
      <w:r w:rsidR="00A6300F">
        <w:t>)</w:t>
      </w:r>
      <w:r w:rsidRPr="001D4F1D">
        <w:t xml:space="preserve"> (e.g. material or design)</w:t>
      </w:r>
      <w:r>
        <w:t>,</w:t>
      </w:r>
      <w:r w:rsidRPr="001D4F1D">
        <w:t xml:space="preserve"> or </w:t>
      </w:r>
      <w:r>
        <w:t xml:space="preserve">if the device </w:t>
      </w:r>
      <w:r w:rsidRPr="001D4F1D">
        <w:t>is a new/improved technology, and/or where the sponsor requested a new grouping and/or higher benefit for the device.</w:t>
      </w:r>
    </w:p>
    <w:p w14:paraId="4F372BAE" w14:textId="717E5671" w:rsidR="0056240E" w:rsidRDefault="003B7AA9" w:rsidP="00336C83">
      <w:pPr>
        <w:pStyle w:val="Paragraphtext"/>
      </w:pPr>
      <w:r w:rsidRPr="0056240E">
        <w:t xml:space="preserve">The </w:t>
      </w:r>
      <w:r w:rsidR="001D4F1D">
        <w:t>Clinical/</w:t>
      </w:r>
      <w:r w:rsidRPr="0056240E">
        <w:t xml:space="preserve">Focused HTA </w:t>
      </w:r>
      <w:r w:rsidR="0056240E" w:rsidRPr="0056240E">
        <w:t>p</w:t>
      </w:r>
      <w:r w:rsidRPr="0056240E">
        <w:t xml:space="preserve">athway </w:t>
      </w:r>
      <w:r w:rsidR="001D4F1D">
        <w:t>will</w:t>
      </w:r>
      <w:r w:rsidR="00336F71" w:rsidRPr="0056240E">
        <w:t xml:space="preserve"> include </w:t>
      </w:r>
      <w:r w:rsidR="001D4F1D">
        <w:t xml:space="preserve">assessments by clinical experts and </w:t>
      </w:r>
      <w:r w:rsidR="00336F71" w:rsidRPr="0056240E">
        <w:t>HTA evaluators, as required.</w:t>
      </w:r>
    </w:p>
    <w:p w14:paraId="521082AB" w14:textId="59A08B94" w:rsidR="00336F71" w:rsidRDefault="00B56A81" w:rsidP="00336C83">
      <w:pPr>
        <w:pStyle w:val="Paragraphtext"/>
      </w:pPr>
      <w:r>
        <w:t>This “middle” pathway</w:t>
      </w:r>
      <w:r w:rsidRPr="00B56A81">
        <w:t xml:space="preserve"> will provide an assessment </w:t>
      </w:r>
      <w:r>
        <w:t>of applications</w:t>
      </w:r>
      <w:r w:rsidRPr="00B56A81">
        <w:t xml:space="preserve"> that are not suitable for the Abbreviated </w:t>
      </w:r>
      <w:r w:rsidR="0056240E">
        <w:t>p</w:t>
      </w:r>
      <w:r w:rsidRPr="00B56A81">
        <w:t xml:space="preserve">athway </w:t>
      </w:r>
      <w:r w:rsidR="00AB77D4">
        <w:t>but</w:t>
      </w:r>
      <w:r w:rsidRPr="00B56A81">
        <w:t xml:space="preserve"> do </w:t>
      </w:r>
      <w:r w:rsidR="00AB77D4">
        <w:t>not</w:t>
      </w:r>
      <w:r w:rsidRPr="00844331">
        <w:t xml:space="preserve"> require a comprehensive assessment </w:t>
      </w:r>
      <w:r w:rsidR="00E0712C">
        <w:t>by the MSAC</w:t>
      </w:r>
      <w:r w:rsidRPr="00844331">
        <w:t xml:space="preserve"> (Full HTA pathway). </w:t>
      </w:r>
    </w:p>
    <w:p w14:paraId="037C7CDC" w14:textId="44D5D702" w:rsidR="00942A97" w:rsidRPr="00942A97" w:rsidRDefault="00942A97" w:rsidP="00336C83">
      <w:pPr>
        <w:pStyle w:val="Paragraphtext"/>
      </w:pPr>
      <w:r w:rsidRPr="00942A97">
        <w:t xml:space="preserve">Examples of applications that </w:t>
      </w:r>
      <w:r w:rsidR="00E0712C">
        <w:t>will</w:t>
      </w:r>
      <w:r w:rsidR="00792239">
        <w:t xml:space="preserve"> be</w:t>
      </w:r>
      <w:r w:rsidRPr="00942A97">
        <w:t xml:space="preserve"> considered under the </w:t>
      </w:r>
      <w:r w:rsidR="00E0712C">
        <w:t>Clinical/</w:t>
      </w:r>
      <w:r w:rsidRPr="00942A97">
        <w:t xml:space="preserve">Focused HTA </w:t>
      </w:r>
      <w:r w:rsidR="0056240E">
        <w:t>p</w:t>
      </w:r>
      <w:r w:rsidRPr="00942A97">
        <w:t xml:space="preserve">athway </w:t>
      </w:r>
      <w:r w:rsidR="00E0712C">
        <w:t>will</w:t>
      </w:r>
      <w:r w:rsidR="00792239">
        <w:t xml:space="preserve"> </w:t>
      </w:r>
      <w:r w:rsidRPr="00942A97">
        <w:t>include:  </w:t>
      </w:r>
    </w:p>
    <w:p w14:paraId="15D3F49E" w14:textId="66287BE4" w:rsidR="00C21816" w:rsidRDefault="00C21816" w:rsidP="00B07304">
      <w:pPr>
        <w:pStyle w:val="ListBullet"/>
      </w:pPr>
      <w:r>
        <w:t>any Class III devices</w:t>
      </w:r>
    </w:p>
    <w:p w14:paraId="37031294" w14:textId="5AA62F22" w:rsidR="00C21816" w:rsidRDefault="00E0712C" w:rsidP="00B07304">
      <w:pPr>
        <w:pStyle w:val="ListBullet"/>
      </w:pPr>
      <w:r>
        <w:t xml:space="preserve">new technology or </w:t>
      </w:r>
      <w:r w:rsidR="00C21816">
        <w:t>devices with significant</w:t>
      </w:r>
      <w:r>
        <w:t xml:space="preserve">ly different </w:t>
      </w:r>
      <w:r w:rsidR="00C21816">
        <w:t xml:space="preserve">characteristics </w:t>
      </w:r>
      <w:r>
        <w:t xml:space="preserve">compared with the devices listed on PL </w:t>
      </w:r>
      <w:r w:rsidR="00C21816">
        <w:t>(for example, material or design)</w:t>
      </w:r>
    </w:p>
    <w:p w14:paraId="59CEB752" w14:textId="094B539F" w:rsidR="00942A97" w:rsidRPr="00942A97" w:rsidRDefault="00C21816" w:rsidP="00B07304">
      <w:pPr>
        <w:pStyle w:val="ListBullet"/>
      </w:pPr>
      <w:r>
        <w:t>where the sponsor</w:t>
      </w:r>
      <w:r w:rsidR="00942A97" w:rsidRPr="00942A97">
        <w:t xml:space="preserve"> request</w:t>
      </w:r>
      <w:r w:rsidR="00E0712C">
        <w:t>s</w:t>
      </w:r>
      <w:r w:rsidR="00942A97" w:rsidRPr="00942A97">
        <w:t xml:space="preserve"> a higher PL benefit</w:t>
      </w:r>
      <w:r w:rsidR="00792239" w:rsidRPr="00792239">
        <w:t xml:space="preserve"> </w:t>
      </w:r>
      <w:r>
        <w:t xml:space="preserve">than the </w:t>
      </w:r>
      <w:r w:rsidR="00E0712C">
        <w:t xml:space="preserve">group </w:t>
      </w:r>
      <w:r>
        <w:t xml:space="preserve">benefit </w:t>
      </w:r>
      <w:proofErr w:type="gramStart"/>
      <w:r w:rsidR="00792239" w:rsidRPr="00942A97">
        <w:t>on the basis of</w:t>
      </w:r>
      <w:proofErr w:type="gramEnd"/>
      <w:r w:rsidR="00792239" w:rsidRPr="00942A97">
        <w:t xml:space="preserve"> </w:t>
      </w:r>
      <w:r w:rsidR="00792239">
        <w:t xml:space="preserve">claimed </w:t>
      </w:r>
      <w:r w:rsidR="00792239" w:rsidRPr="00942A97">
        <w:t>superior clinical performance</w:t>
      </w:r>
      <w:r w:rsidR="00E0712C">
        <w:t xml:space="preserve"> or improved characteristics</w:t>
      </w:r>
      <w:r w:rsidR="00D07E13">
        <w:t xml:space="preserve"> leading to better clinical outcomes</w:t>
      </w:r>
    </w:p>
    <w:p w14:paraId="6020AED5" w14:textId="67E3172F" w:rsidR="00942A97" w:rsidRDefault="00792239" w:rsidP="00336C83">
      <w:pPr>
        <w:pStyle w:val="Paragraphtext"/>
      </w:pPr>
      <w:r w:rsidRPr="00792239">
        <w:t>The Focused HTA pathway</w:t>
      </w:r>
      <w:r>
        <w:t xml:space="preserve"> would</w:t>
      </w:r>
      <w:r w:rsidRPr="00792239">
        <w:t xml:space="preserve"> not</w:t>
      </w:r>
      <w:r>
        <w:t xml:space="preserve"> be</w:t>
      </w:r>
      <w:r w:rsidRPr="00792239">
        <w:t xml:space="preserve"> suitable for </w:t>
      </w:r>
      <w:r w:rsidR="00DD4535">
        <w:t xml:space="preserve">amendment </w:t>
      </w:r>
      <w:r w:rsidRPr="00792239">
        <w:t xml:space="preserve">applications where the change will lead to </w:t>
      </w:r>
      <w:r w:rsidR="00DD4535">
        <w:t xml:space="preserve">the use of the device in the </w:t>
      </w:r>
      <w:r w:rsidRPr="00792239">
        <w:t>new indications</w:t>
      </w:r>
      <w:r w:rsidR="00D07E13">
        <w:t xml:space="preserve"> </w:t>
      </w:r>
      <w:r w:rsidR="00DD4535">
        <w:t xml:space="preserve">or be associated with new </w:t>
      </w:r>
      <w:r w:rsidR="00AB77D4">
        <w:t xml:space="preserve">MBS </w:t>
      </w:r>
      <w:r w:rsidR="00DD4535">
        <w:t xml:space="preserve">services, </w:t>
      </w:r>
      <w:r w:rsidR="00D07E13">
        <w:t>hence</w:t>
      </w:r>
      <w:r w:rsidRPr="00792239">
        <w:t xml:space="preserve"> expanded utilisation </w:t>
      </w:r>
      <w:r w:rsidR="00D07E13">
        <w:t>through</w:t>
      </w:r>
      <w:r w:rsidRPr="00792239">
        <w:t xml:space="preserve"> an increase to the eligible population. </w:t>
      </w:r>
    </w:p>
    <w:p w14:paraId="1300B5B6" w14:textId="4B4CBA5B" w:rsidR="00B56A81" w:rsidRDefault="00B56A81" w:rsidP="00336C83">
      <w:pPr>
        <w:pStyle w:val="Paragraphtext"/>
      </w:pPr>
      <w:r>
        <w:t xml:space="preserve">An indicative process for the </w:t>
      </w:r>
      <w:r w:rsidR="00880771">
        <w:t>Clinical/</w:t>
      </w:r>
      <w:r>
        <w:t xml:space="preserve">Focused HTA Pathway is provided below in </w:t>
      </w:r>
      <w:r w:rsidRPr="00D61D4C">
        <w:rPr>
          <w:b/>
          <w:bCs/>
        </w:rPr>
        <w:t xml:space="preserve">Figure </w:t>
      </w:r>
      <w:r w:rsidR="0056240E">
        <w:rPr>
          <w:b/>
          <w:bCs/>
        </w:rPr>
        <w:t>7</w:t>
      </w:r>
      <w:r w:rsidRPr="00831665">
        <w:rPr>
          <w:b/>
        </w:rPr>
        <w:t>.</w:t>
      </w:r>
      <w:r>
        <w:t xml:space="preserve"> </w:t>
      </w:r>
    </w:p>
    <w:p w14:paraId="5676416A" w14:textId="098ABF3D" w:rsidR="00B56A81" w:rsidRPr="004227A6" w:rsidRDefault="00B56A81" w:rsidP="004227A6">
      <w:pPr>
        <w:pStyle w:val="FigureTitle"/>
      </w:pPr>
      <w:r w:rsidRPr="004227A6">
        <w:t xml:space="preserve">Figure </w:t>
      </w:r>
      <w:r w:rsidR="00D62B22" w:rsidRPr="004227A6">
        <w:t>7</w:t>
      </w:r>
      <w:r w:rsidRPr="004227A6">
        <w:t xml:space="preserve">: Focused HTA </w:t>
      </w:r>
      <w:r w:rsidR="00B276B5">
        <w:t>p</w:t>
      </w:r>
      <w:r w:rsidRPr="004227A6">
        <w:t>athway – indicative process</w:t>
      </w:r>
    </w:p>
    <w:p w14:paraId="71BB5798" w14:textId="0C9E56E7" w:rsidR="002E2328" w:rsidRDefault="001C2711" w:rsidP="00050E67">
      <w:pPr>
        <w:ind w:left="-284" w:right="-897"/>
        <w:rPr>
          <w:lang w:val="nl-NL"/>
        </w:rPr>
      </w:pPr>
      <w:r>
        <w:rPr>
          <w:noProof/>
        </w:rPr>
        <mc:AlternateContent>
          <mc:Choice Requires="wps">
            <w:drawing>
              <wp:anchor distT="0" distB="0" distL="114300" distR="114300" simplePos="0" relativeHeight="251676672" behindDoc="0" locked="0" layoutInCell="1" allowOverlap="1" wp14:anchorId="62A3428D" wp14:editId="59EF590F">
                <wp:simplePos x="0" y="0"/>
                <wp:positionH relativeFrom="margin">
                  <wp:align>left</wp:align>
                </wp:positionH>
                <wp:positionV relativeFrom="paragraph">
                  <wp:posOffset>2085340</wp:posOffset>
                </wp:positionV>
                <wp:extent cx="4401820" cy="271397"/>
                <wp:effectExtent l="0" t="0" r="17780" b="14605"/>
                <wp:wrapNone/>
                <wp:docPr id="5"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01820" cy="271397"/>
                        </a:xfrm>
                        <a:prstGeom prst="roundRect">
                          <a:avLst/>
                        </a:prstGeom>
                        <a:no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88F353" id="Rectangle: Rounded Corners 5" o:spid="_x0000_s1026" alt="&quot;&quot;" style="position:absolute;margin-left:0;margin-top:164.2pt;width:346.6pt;height:21.35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" filled="f" strokecolor="#099" strokeweight="1pt">
                <v:stroke joinstyle="miter"/>
                <w10:wrap anchorx="margin"/>
              </v:roundrect>
            </w:pict>
          </mc:Fallback>
        </mc:AlternateContent>
      </w:r>
      <w:r w:rsidR="00831665">
        <w:rPr>
          <w:noProof/>
        </w:rPr>
        <mc:AlternateContent>
          <mc:Choice Requires="wps">
            <w:drawing>
              <wp:anchor distT="0" distB="0" distL="114300" distR="114300" simplePos="0" relativeHeight="251678720" behindDoc="0" locked="0" layoutInCell="1" allowOverlap="1" wp14:anchorId="6A1C5AE2" wp14:editId="4E386D2A">
                <wp:simplePos x="0" y="0"/>
                <wp:positionH relativeFrom="column">
                  <wp:posOffset>238125</wp:posOffset>
                </wp:positionH>
                <wp:positionV relativeFrom="paragraph">
                  <wp:posOffset>2108835</wp:posOffset>
                </wp:positionV>
                <wp:extent cx="4020855" cy="297180"/>
                <wp:effectExtent l="0" t="0" r="0" b="0"/>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855" cy="297180"/>
                        </a:xfrm>
                        <a:prstGeom prst="rect">
                          <a:avLst/>
                        </a:prstGeom>
                        <a:noFill/>
                        <a:ln w="9525">
                          <a:noFill/>
                          <a:miter lim="800000"/>
                          <a:headEnd/>
                          <a:tailEnd/>
                        </a:ln>
                      </wps:spPr>
                      <wps:txbx>
                        <w:txbxContent>
                          <w:p w14:paraId="00B9F8D5" w14:textId="77777777" w:rsidR="00831665" w:rsidRPr="00482342" w:rsidRDefault="00831665" w:rsidP="00831665">
                            <w:pPr>
                              <w:tabs>
                                <w:tab w:val="num" w:pos="720"/>
                              </w:tabs>
                              <w:rPr>
                                <w:sz w:val="20"/>
                                <w:szCs w:val="20"/>
                              </w:rPr>
                            </w:pPr>
                            <w:r w:rsidRPr="00482342">
                              <w:rPr>
                                <w:b/>
                                <w:bCs/>
                                <w:sz w:val="20"/>
                                <w:szCs w:val="20"/>
                                <w:lang w:val="en-US"/>
                              </w:rPr>
                              <w:t>Parallel step:</w:t>
                            </w:r>
                            <w:r w:rsidRPr="00482342">
                              <w:rPr>
                                <w:sz w:val="20"/>
                                <w:szCs w:val="20"/>
                                <w:lang w:val="en-US"/>
                              </w:rPr>
                              <w:t xml:space="preserve"> The device is approved for listing in the ARTG (TGA)</w:t>
                            </w:r>
                          </w:p>
                          <w:p w14:paraId="798BBA26" w14:textId="77777777" w:rsidR="00831665" w:rsidRPr="00482342" w:rsidRDefault="00831665" w:rsidP="0083166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6A1C5AE2" id="_x0000_t202" coordsize="21600,21600" o:spt="202" path="m,l,21600r21600,l21600,xe">
                <v:stroke joinstyle="miter"/>
                <v:path gradientshapeok="t" o:connecttype="rect"/>
              </v:shapetype>
              <v:shape id="Text Box 2" o:spid="_x0000_s1026" type="#_x0000_t202" alt="&quot;&quot;" style="position:absolute;left:0;text-align:left;margin-left:18.75pt;margin-top:166.05pt;width:316.6pt;height:23.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" filled="f" stroked="f">
                <v:textbox>
                  <w:txbxContent>
                    <w:p w14:paraId="00B9F8D5" w14:textId="77777777" w:rsidR="00831665" w:rsidRPr="00482342" w:rsidRDefault="00831665" w:rsidP="00831665">
                      <w:pPr>
                        <w:tabs>
                          <w:tab w:val="num" w:pos="720"/>
                        </w:tabs>
                        <w:rPr>
                          <w:sz w:val="20"/>
                          <w:szCs w:val="20"/>
                        </w:rPr>
                      </w:pPr>
                      <w:r w:rsidRPr="00482342">
                        <w:rPr>
                          <w:b/>
                          <w:bCs/>
                          <w:sz w:val="20"/>
                          <w:szCs w:val="20"/>
                          <w:lang w:val="en-US"/>
                        </w:rPr>
                        <w:t>Parallel step:</w:t>
                      </w:r>
                      <w:r w:rsidRPr="00482342">
                        <w:rPr>
                          <w:sz w:val="20"/>
                          <w:szCs w:val="20"/>
                          <w:lang w:val="en-US"/>
                        </w:rPr>
                        <w:t xml:space="preserve"> The device is approved for listing in the ARTG (TGA)</w:t>
                      </w:r>
                    </w:p>
                    <w:p w14:paraId="798BBA26" w14:textId="77777777" w:rsidR="00831665" w:rsidRPr="00482342" w:rsidRDefault="00831665" w:rsidP="00831665">
                      <w:pPr>
                        <w:rPr>
                          <w:sz w:val="20"/>
                          <w:szCs w:val="20"/>
                        </w:rPr>
                      </w:pPr>
                    </w:p>
                  </w:txbxContent>
                </v:textbox>
              </v:shape>
            </w:pict>
          </mc:Fallback>
        </mc:AlternateContent>
      </w:r>
      <w:r w:rsidR="00050E67">
        <w:rPr>
          <w:noProof/>
        </w:rPr>
        <w:drawing>
          <wp:inline distT="0" distB="0" distL="0" distR="0" wp14:anchorId="0B342E56" wp14:editId="551BF3E3">
            <wp:extent cx="6162040" cy="2478405"/>
            <wp:effectExtent l="0" t="19050" r="29210" b="36195"/>
            <wp:docPr id="9" name="Diagram 9" descr="Figure 6 is a graphical representation of the Abbreviated pathway process and the following steps: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59503DE2" w14:textId="3FACEEE5" w:rsidR="00DB5210" w:rsidRDefault="002E2328" w:rsidP="00DB5210">
      <w:pPr>
        <w:rPr>
          <w:sz w:val="16"/>
          <w:szCs w:val="16"/>
        </w:rPr>
      </w:pPr>
      <w:r w:rsidRPr="002E2328">
        <w:rPr>
          <w:sz w:val="16"/>
          <w:szCs w:val="16"/>
          <w:lang w:val="nl-NL"/>
        </w:rPr>
        <w:t xml:space="preserve">* </w:t>
      </w:r>
      <w:r w:rsidR="00DB5210" w:rsidRPr="002E2328">
        <w:rPr>
          <w:sz w:val="16"/>
          <w:szCs w:val="16"/>
          <w:lang w:val="nl-NL"/>
        </w:rPr>
        <w:t xml:space="preserve">Parallel </w:t>
      </w:r>
      <w:r w:rsidR="008D0706">
        <w:rPr>
          <w:sz w:val="16"/>
          <w:szCs w:val="16"/>
          <w:lang w:val="nl-NL"/>
        </w:rPr>
        <w:t>assessments of applications for inclusion</w:t>
      </w:r>
      <w:r w:rsidR="00DB5210" w:rsidRPr="002E2328">
        <w:rPr>
          <w:sz w:val="16"/>
          <w:szCs w:val="16"/>
        </w:rPr>
        <w:t xml:space="preserve"> </w:t>
      </w:r>
      <w:r w:rsidR="00DB5210" w:rsidRPr="00036425">
        <w:rPr>
          <w:sz w:val="16"/>
          <w:szCs w:val="16"/>
        </w:rPr>
        <w:t>the device in the</w:t>
      </w:r>
      <w:r w:rsidR="00DB5210" w:rsidRPr="002E2328">
        <w:rPr>
          <w:sz w:val="16"/>
          <w:szCs w:val="16"/>
        </w:rPr>
        <w:t xml:space="preserve"> </w:t>
      </w:r>
      <w:r w:rsidR="00DB5210" w:rsidRPr="00036425">
        <w:rPr>
          <w:sz w:val="16"/>
          <w:szCs w:val="16"/>
        </w:rPr>
        <w:t>ARTG</w:t>
      </w:r>
      <w:r w:rsidR="00DB5210" w:rsidRPr="002E2328">
        <w:rPr>
          <w:sz w:val="16"/>
          <w:szCs w:val="16"/>
        </w:rPr>
        <w:t xml:space="preserve"> </w:t>
      </w:r>
      <w:r w:rsidR="008D0706">
        <w:rPr>
          <w:sz w:val="16"/>
          <w:szCs w:val="16"/>
        </w:rPr>
        <w:t xml:space="preserve">and listing it on PL </w:t>
      </w:r>
      <w:r w:rsidR="00DB5210" w:rsidRPr="002E2328">
        <w:rPr>
          <w:sz w:val="16"/>
          <w:szCs w:val="16"/>
        </w:rPr>
        <w:t>will continue to be available</w:t>
      </w:r>
      <w:r w:rsidR="00C21816">
        <w:rPr>
          <w:sz w:val="16"/>
          <w:szCs w:val="16"/>
        </w:rPr>
        <w:t xml:space="preserve">, however, the </w:t>
      </w:r>
      <w:r w:rsidR="00B05F53">
        <w:rPr>
          <w:sz w:val="16"/>
          <w:szCs w:val="16"/>
        </w:rPr>
        <w:t>device</w:t>
      </w:r>
      <w:r w:rsidR="00C21816">
        <w:rPr>
          <w:sz w:val="16"/>
          <w:szCs w:val="16"/>
        </w:rPr>
        <w:t xml:space="preserve"> will not be listed on the PL (if recommended) until a valid ARTG </w:t>
      </w:r>
      <w:r w:rsidR="008D0706">
        <w:rPr>
          <w:sz w:val="16"/>
          <w:szCs w:val="16"/>
        </w:rPr>
        <w:t xml:space="preserve">entry </w:t>
      </w:r>
      <w:r w:rsidR="00836363">
        <w:rPr>
          <w:sz w:val="16"/>
          <w:szCs w:val="16"/>
        </w:rPr>
        <w:t>is</w:t>
      </w:r>
      <w:r w:rsidR="00C21816">
        <w:rPr>
          <w:sz w:val="16"/>
          <w:szCs w:val="16"/>
        </w:rPr>
        <w:t xml:space="preserve"> </w:t>
      </w:r>
      <w:r w:rsidR="008D0706">
        <w:rPr>
          <w:sz w:val="16"/>
          <w:szCs w:val="16"/>
        </w:rPr>
        <w:t>issued</w:t>
      </w:r>
      <w:r w:rsidR="00C21816">
        <w:rPr>
          <w:sz w:val="16"/>
          <w:szCs w:val="16"/>
        </w:rPr>
        <w:t>.</w:t>
      </w:r>
    </w:p>
    <w:p w14:paraId="226C7AC8" w14:textId="6855AAC5" w:rsidR="001A1CF4" w:rsidRPr="0028431B" w:rsidRDefault="0028431B" w:rsidP="00AD644A">
      <w:pPr>
        <w:pStyle w:val="Heading3"/>
      </w:pPr>
      <w:r>
        <w:lastRenderedPageBreak/>
        <w:t xml:space="preserve">Tier 3 – </w:t>
      </w:r>
      <w:r w:rsidR="001A1CF4" w:rsidRPr="0028431B">
        <w:t xml:space="preserve">Full HTA </w:t>
      </w:r>
      <w:r w:rsidR="00B276B5">
        <w:t>p</w:t>
      </w:r>
      <w:r w:rsidR="001A1CF4" w:rsidRPr="0028431B">
        <w:t>athway</w:t>
      </w:r>
    </w:p>
    <w:p w14:paraId="5DB16186" w14:textId="6E3FB8A2" w:rsidR="00DB5210" w:rsidRDefault="00D62B22" w:rsidP="00336C83">
      <w:pPr>
        <w:pStyle w:val="Paragraphtext"/>
      </w:pPr>
      <w:r w:rsidRPr="00F808BD">
        <w:t xml:space="preserve">The Full HTA </w:t>
      </w:r>
      <w:r w:rsidR="0056240E">
        <w:t>p</w:t>
      </w:r>
      <w:r w:rsidRPr="00F808BD">
        <w:t xml:space="preserve">athway </w:t>
      </w:r>
      <w:r w:rsidR="00B05F53">
        <w:t>will apply for</w:t>
      </w:r>
      <w:r w:rsidRPr="00F808BD">
        <w:t xml:space="preserve"> novel</w:t>
      </w:r>
      <w:r w:rsidR="00836363">
        <w:t>/</w:t>
      </w:r>
      <w:r w:rsidR="00DB5210" w:rsidRPr="00F808BD">
        <w:t>first in class/breakthrough technology</w:t>
      </w:r>
      <w:r w:rsidR="00DB5210">
        <w:t xml:space="preserve">, or a </w:t>
      </w:r>
      <w:r w:rsidR="00DB5210" w:rsidRPr="00F808BD">
        <w:t xml:space="preserve">new technology </w:t>
      </w:r>
      <w:r w:rsidR="00DB5210">
        <w:t>with a</w:t>
      </w:r>
      <w:r w:rsidR="00DB5210" w:rsidRPr="00F808BD">
        <w:t xml:space="preserve"> significant financial impact on the health system</w:t>
      </w:r>
      <w:r w:rsidR="00DB5210">
        <w:t xml:space="preserve">, </w:t>
      </w:r>
      <w:r w:rsidR="00AB77D4">
        <w:t xml:space="preserve">or </w:t>
      </w:r>
      <w:r w:rsidR="0044740F">
        <w:t>where there are no</w:t>
      </w:r>
      <w:r w:rsidR="00DB5210" w:rsidRPr="00F808BD">
        <w:t xml:space="preserve"> comparator</w:t>
      </w:r>
      <w:r w:rsidR="0044740F">
        <w:t>s</w:t>
      </w:r>
      <w:r w:rsidR="00DB5210" w:rsidRPr="00F808BD">
        <w:t xml:space="preserve"> already listed on the PL</w:t>
      </w:r>
      <w:r w:rsidR="0044740F">
        <w:t>,</w:t>
      </w:r>
      <w:r w:rsidR="00DB5210" w:rsidRPr="00F808BD">
        <w:t xml:space="preserve"> and may or may not require the establishment or modification of a MBS item. </w:t>
      </w:r>
    </w:p>
    <w:p w14:paraId="2A9B58EF" w14:textId="614E417D" w:rsidR="00DB5210" w:rsidRPr="0056240E" w:rsidRDefault="00DB5210" w:rsidP="00336C83">
      <w:pPr>
        <w:pStyle w:val="Paragraphtext"/>
      </w:pPr>
      <w:r>
        <w:t xml:space="preserve">These devices </w:t>
      </w:r>
      <w:r w:rsidRPr="00F808BD">
        <w:t xml:space="preserve">will </w:t>
      </w:r>
      <w:r>
        <w:t xml:space="preserve">continue to be </w:t>
      </w:r>
      <w:r w:rsidRPr="00F808BD">
        <w:t>referred to the MSAC</w:t>
      </w:r>
      <w:r w:rsidR="001924DA">
        <w:t xml:space="preserve"> by the Department</w:t>
      </w:r>
      <w:r w:rsidRPr="00F808BD">
        <w:t xml:space="preserve"> for </w:t>
      </w:r>
      <w:r>
        <w:t xml:space="preserve">a full </w:t>
      </w:r>
      <w:r w:rsidRPr="00F808BD">
        <w:t>health technology assessment.</w:t>
      </w:r>
      <w:r w:rsidRPr="00580886">
        <w:rPr>
          <w:rFonts w:cstheme="minorHAnsi"/>
        </w:rPr>
        <w:t xml:space="preserve"> </w:t>
      </w:r>
      <w:r w:rsidRPr="002923E2">
        <w:rPr>
          <w:rFonts w:cstheme="minorHAnsi"/>
        </w:rPr>
        <w:t xml:space="preserve">MSAC provides advice on the </w:t>
      </w:r>
      <w:r>
        <w:rPr>
          <w:rFonts w:cstheme="minorHAnsi"/>
        </w:rPr>
        <w:t>comparative safety, effectiveness</w:t>
      </w:r>
      <w:r w:rsidR="00836363">
        <w:rPr>
          <w:rFonts w:cstheme="minorHAnsi"/>
        </w:rPr>
        <w:t>,</w:t>
      </w:r>
      <w:r>
        <w:rPr>
          <w:rFonts w:cstheme="minorHAnsi"/>
        </w:rPr>
        <w:t xml:space="preserve"> and cost-effectiveness</w:t>
      </w:r>
      <w:r w:rsidRPr="002923E2">
        <w:rPr>
          <w:rFonts w:cstheme="minorHAnsi"/>
        </w:rPr>
        <w:t xml:space="preserve"> </w:t>
      </w:r>
      <w:r>
        <w:rPr>
          <w:rFonts w:cstheme="minorHAnsi"/>
        </w:rPr>
        <w:t xml:space="preserve">of the medical device </w:t>
      </w:r>
      <w:r w:rsidRPr="002923E2">
        <w:rPr>
          <w:rFonts w:cstheme="minorHAnsi"/>
        </w:rPr>
        <w:t xml:space="preserve">for listing on the </w:t>
      </w:r>
      <w:r>
        <w:rPr>
          <w:rFonts w:cstheme="minorHAnsi"/>
        </w:rPr>
        <w:t>PL</w:t>
      </w:r>
      <w:r w:rsidRPr="002923E2">
        <w:rPr>
          <w:rFonts w:cstheme="minorHAnsi"/>
        </w:rPr>
        <w:t xml:space="preserve"> and may also provide advice to Government </w:t>
      </w:r>
      <w:r w:rsidRPr="0056240E">
        <w:rPr>
          <w:rFonts w:cstheme="minorHAnsi"/>
        </w:rPr>
        <w:t xml:space="preserve">on the listing of an associated service on the MBS. </w:t>
      </w:r>
    </w:p>
    <w:p w14:paraId="27DC06C2" w14:textId="3A86D170" w:rsidR="001A1CF4" w:rsidRDefault="001A1CF4" w:rsidP="00336C83">
      <w:pPr>
        <w:pStyle w:val="Paragraphtext"/>
      </w:pPr>
      <w:r w:rsidRPr="00194911">
        <w:t xml:space="preserve">An indicative process for the Full HTA </w:t>
      </w:r>
      <w:r w:rsidR="0056240E">
        <w:t>p</w:t>
      </w:r>
      <w:r w:rsidRPr="00194911">
        <w:t xml:space="preserve">athway is provided below in </w:t>
      </w:r>
      <w:r w:rsidRPr="00194911">
        <w:rPr>
          <w:b/>
          <w:bCs/>
        </w:rPr>
        <w:t xml:space="preserve">Figure </w:t>
      </w:r>
      <w:r w:rsidR="0056240E">
        <w:rPr>
          <w:b/>
          <w:bCs/>
        </w:rPr>
        <w:t>8</w:t>
      </w:r>
      <w:r w:rsidR="00874155">
        <w:t>.</w:t>
      </w:r>
    </w:p>
    <w:p w14:paraId="655DC7A7" w14:textId="458E05EC" w:rsidR="004227A6" w:rsidRDefault="00E24393" w:rsidP="004227A6">
      <w:pPr>
        <w:pStyle w:val="FigureTitle"/>
      </w:pPr>
      <w:r>
        <w:rPr>
          <w:noProof/>
        </w:rPr>
        <mc:AlternateContent>
          <mc:Choice Requires="wps">
            <w:drawing>
              <wp:anchor distT="0" distB="0" distL="114300" distR="114300" simplePos="0" relativeHeight="251669504" behindDoc="0" locked="0" layoutInCell="1" allowOverlap="1" wp14:anchorId="17D65C4A" wp14:editId="65C0C07E">
                <wp:simplePos x="0" y="0"/>
                <wp:positionH relativeFrom="column">
                  <wp:posOffset>236571</wp:posOffset>
                </wp:positionH>
                <wp:positionV relativeFrom="paragraph">
                  <wp:posOffset>2896747</wp:posOffset>
                </wp:positionV>
                <wp:extent cx="4020855" cy="297180"/>
                <wp:effectExtent l="0" t="0" r="0" b="7620"/>
                <wp:wrapNone/>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855" cy="297180"/>
                        </a:xfrm>
                        <a:prstGeom prst="rect">
                          <a:avLst/>
                        </a:prstGeom>
                        <a:solidFill>
                          <a:srgbClr val="FFFFFF"/>
                        </a:solidFill>
                        <a:ln w="9525">
                          <a:noFill/>
                          <a:miter lim="800000"/>
                          <a:headEnd/>
                          <a:tailEnd/>
                        </a:ln>
                      </wps:spPr>
                      <wps:txbx>
                        <w:txbxContent>
                          <w:p w14:paraId="78B6793B" w14:textId="77777777" w:rsidR="005402FD" w:rsidRPr="00482342" w:rsidRDefault="005402FD" w:rsidP="009F70E4">
                            <w:pPr>
                              <w:tabs>
                                <w:tab w:val="num" w:pos="720"/>
                              </w:tabs>
                              <w:rPr>
                                <w:sz w:val="20"/>
                                <w:szCs w:val="20"/>
                              </w:rPr>
                            </w:pPr>
                            <w:r w:rsidRPr="00482342">
                              <w:rPr>
                                <w:b/>
                                <w:bCs/>
                                <w:sz w:val="20"/>
                                <w:szCs w:val="20"/>
                                <w:lang w:val="en-US"/>
                              </w:rPr>
                              <w:t>Parallel step:</w:t>
                            </w:r>
                            <w:r w:rsidRPr="00482342">
                              <w:rPr>
                                <w:sz w:val="20"/>
                                <w:szCs w:val="20"/>
                                <w:lang w:val="en-US"/>
                              </w:rPr>
                              <w:t xml:space="preserve"> The device is approved for listing in the ARTG (TGA)</w:t>
                            </w:r>
                          </w:p>
                          <w:p w14:paraId="0B55CB71" w14:textId="77777777" w:rsidR="005402FD" w:rsidRPr="00482342" w:rsidRDefault="005402FD" w:rsidP="009F70E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7D65C4A" id="_x0000_s1027" type="#_x0000_t202" alt="&quot;&quot;" style="position:absolute;margin-left:18.65pt;margin-top:228.1pt;width:316.6pt;height:23.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" stroked="f">
                <v:textbox>
                  <w:txbxContent>
                    <w:p w14:paraId="78B6793B" w14:textId="77777777" w:rsidR="005402FD" w:rsidRPr="00482342" w:rsidRDefault="005402FD" w:rsidP="009F70E4">
                      <w:pPr>
                        <w:tabs>
                          <w:tab w:val="num" w:pos="720"/>
                        </w:tabs>
                        <w:rPr>
                          <w:sz w:val="20"/>
                          <w:szCs w:val="20"/>
                        </w:rPr>
                      </w:pPr>
                      <w:r w:rsidRPr="00482342">
                        <w:rPr>
                          <w:b/>
                          <w:bCs/>
                          <w:sz w:val="20"/>
                          <w:szCs w:val="20"/>
                          <w:lang w:val="en-US"/>
                        </w:rPr>
                        <w:t>Parallel step:</w:t>
                      </w:r>
                      <w:r w:rsidRPr="00482342">
                        <w:rPr>
                          <w:sz w:val="20"/>
                          <w:szCs w:val="20"/>
                          <w:lang w:val="en-US"/>
                        </w:rPr>
                        <w:t xml:space="preserve"> The device is approved for listing in the ARTG (TGA)</w:t>
                      </w:r>
                    </w:p>
                    <w:p w14:paraId="0B55CB71" w14:textId="77777777" w:rsidR="005402FD" w:rsidRPr="00482342" w:rsidRDefault="005402FD" w:rsidP="009F70E4">
                      <w:pPr>
                        <w:rPr>
                          <w:sz w:val="20"/>
                          <w:szCs w:val="20"/>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5F11DF6" wp14:editId="2EA5929E">
                <wp:simplePos x="0" y="0"/>
                <wp:positionH relativeFrom="column">
                  <wp:posOffset>132763</wp:posOffset>
                </wp:positionH>
                <wp:positionV relativeFrom="paragraph">
                  <wp:posOffset>2893903</wp:posOffset>
                </wp:positionV>
                <wp:extent cx="4401820" cy="271397"/>
                <wp:effectExtent l="0" t="0" r="17780" b="14605"/>
                <wp:wrapNone/>
                <wp:docPr id="7" name="Rectangle: Rounded Corners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01820" cy="271397"/>
                        </a:xfrm>
                        <a:prstGeom prst="roundRect">
                          <a:avLst/>
                        </a:prstGeom>
                        <a:no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DA4E00" id="Rectangle: Rounded Corners 7" o:spid="_x0000_s1026" alt="&quot;&quot;" style="position:absolute;margin-left:10.45pt;margin-top:227.85pt;width:346.6pt;height:21.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" filled="f" strokecolor="#099" strokeweight="1pt">
                <v:stroke joinstyle="miter"/>
              </v:roundrect>
            </w:pict>
          </mc:Fallback>
        </mc:AlternateContent>
      </w:r>
      <w:r w:rsidR="004227A6">
        <w:t>F</w:t>
      </w:r>
      <w:r w:rsidR="004227A6" w:rsidRPr="00194911">
        <w:t xml:space="preserve">igure 8: Full HTA </w:t>
      </w:r>
      <w:r w:rsidR="00B276B5">
        <w:t>p</w:t>
      </w:r>
      <w:r w:rsidR="004227A6" w:rsidRPr="00194911">
        <w:t>athway – indicative process</w:t>
      </w:r>
    </w:p>
    <w:p w14:paraId="19AFB9F7" w14:textId="0A009ECB" w:rsidR="004227A6" w:rsidRDefault="00874155" w:rsidP="00831665">
      <w:pPr>
        <w:pStyle w:val="Paragraphtext"/>
        <w:ind w:left="-567" w:right="-613"/>
      </w:pPr>
      <w:r>
        <w:rPr>
          <w:noProof/>
        </w:rPr>
        <w:drawing>
          <wp:inline distT="0" distB="0" distL="0" distR="0" wp14:anchorId="4BCC33CF" wp14:editId="1FB75AEC">
            <wp:extent cx="6677426" cy="2994025"/>
            <wp:effectExtent l="0" t="19050" r="28575" b="34925"/>
            <wp:docPr id="10" name="Diagram 10" descr="Figure 8 is a graphical representation of the Full HTA pathway process and the following steps: Step1: PL application submitted via HPP (Sponsor). Step 2: Triage assessment of the application (Department). Step 3:&#10;Full HTA comparative clinical and cost-effectiveness (MSAC). Step 4: &#10;Advisory committee provides advice on the funding (MSAC) **. Step 5: Recommendation is made to Minister or Delegate (Department). Step 6: &#10;If approved by the Delegate, the device is listed on the PL &#10;(Department).&#10;&#10;&#10;&#10;&#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4A50007A" w14:textId="42A92B10" w:rsidR="002E2328" w:rsidRPr="002E2328" w:rsidRDefault="002E2328" w:rsidP="002E2328">
      <w:pPr>
        <w:rPr>
          <w:sz w:val="16"/>
          <w:szCs w:val="16"/>
          <w:lang w:val="nl-NL"/>
        </w:rPr>
      </w:pPr>
    </w:p>
    <w:p w14:paraId="6B308C5B" w14:textId="6B55426C" w:rsidR="00C21816" w:rsidRDefault="001A1CF4" w:rsidP="00C21816">
      <w:pPr>
        <w:rPr>
          <w:sz w:val="16"/>
          <w:szCs w:val="16"/>
        </w:rPr>
      </w:pPr>
      <w:r w:rsidRPr="002E2328">
        <w:rPr>
          <w:sz w:val="16"/>
          <w:szCs w:val="16"/>
          <w:lang w:val="nl-NL"/>
        </w:rPr>
        <w:t xml:space="preserve">* Parallel </w:t>
      </w:r>
      <w:r w:rsidR="00B05F53">
        <w:rPr>
          <w:sz w:val="16"/>
          <w:szCs w:val="16"/>
          <w:lang w:val="nl-NL"/>
        </w:rPr>
        <w:t xml:space="preserve">assessment of </w:t>
      </w:r>
      <w:r w:rsidR="00B05F53">
        <w:rPr>
          <w:sz w:val="16"/>
          <w:szCs w:val="16"/>
        </w:rPr>
        <w:t xml:space="preserve"> applications for inclusion</w:t>
      </w:r>
      <w:r w:rsidRPr="00831665">
        <w:rPr>
          <w:sz w:val="16"/>
          <w:szCs w:val="22"/>
        </w:rPr>
        <w:t xml:space="preserve"> of </w:t>
      </w:r>
      <w:r w:rsidR="00036425" w:rsidRPr="00036425">
        <w:rPr>
          <w:sz w:val="16"/>
          <w:szCs w:val="16"/>
        </w:rPr>
        <w:t>the device in the</w:t>
      </w:r>
      <w:r w:rsidRPr="002E2328">
        <w:rPr>
          <w:sz w:val="16"/>
          <w:szCs w:val="16"/>
        </w:rPr>
        <w:t xml:space="preserve"> </w:t>
      </w:r>
      <w:r w:rsidR="00036425" w:rsidRPr="00036425">
        <w:rPr>
          <w:sz w:val="16"/>
          <w:szCs w:val="16"/>
        </w:rPr>
        <w:t>ARTG</w:t>
      </w:r>
      <w:r w:rsidRPr="002E2328">
        <w:rPr>
          <w:sz w:val="16"/>
          <w:szCs w:val="16"/>
        </w:rPr>
        <w:t xml:space="preserve"> </w:t>
      </w:r>
      <w:r w:rsidR="00B05F53">
        <w:rPr>
          <w:sz w:val="16"/>
          <w:szCs w:val="16"/>
        </w:rPr>
        <w:t xml:space="preserve">and PL applications </w:t>
      </w:r>
      <w:r w:rsidRPr="002E2328">
        <w:rPr>
          <w:sz w:val="16"/>
          <w:szCs w:val="16"/>
        </w:rPr>
        <w:t>will continue to be available</w:t>
      </w:r>
      <w:r w:rsidR="00C21816">
        <w:rPr>
          <w:sz w:val="16"/>
          <w:szCs w:val="16"/>
        </w:rPr>
        <w:t xml:space="preserve">, however, the </w:t>
      </w:r>
      <w:r w:rsidR="00B05F53">
        <w:rPr>
          <w:sz w:val="16"/>
          <w:szCs w:val="16"/>
        </w:rPr>
        <w:t>device</w:t>
      </w:r>
      <w:r w:rsidR="00C21816">
        <w:rPr>
          <w:sz w:val="16"/>
          <w:szCs w:val="16"/>
        </w:rPr>
        <w:t xml:space="preserve"> will not be listed on the PL (if recommended) until a valid ARTG </w:t>
      </w:r>
      <w:r w:rsidR="00B05F53">
        <w:rPr>
          <w:sz w:val="16"/>
          <w:szCs w:val="16"/>
        </w:rPr>
        <w:t xml:space="preserve">entry </w:t>
      </w:r>
      <w:r w:rsidR="00836363">
        <w:rPr>
          <w:sz w:val="16"/>
          <w:szCs w:val="16"/>
        </w:rPr>
        <w:t>is</w:t>
      </w:r>
      <w:r w:rsidR="00B05F53">
        <w:rPr>
          <w:sz w:val="16"/>
          <w:szCs w:val="16"/>
        </w:rPr>
        <w:t xml:space="preserve"> issued</w:t>
      </w:r>
      <w:r w:rsidR="00C21816">
        <w:rPr>
          <w:sz w:val="16"/>
          <w:szCs w:val="16"/>
        </w:rPr>
        <w:t>.</w:t>
      </w:r>
    </w:p>
    <w:p w14:paraId="45B84191" w14:textId="0E97D91C" w:rsidR="00903A55" w:rsidRDefault="00A116AB" w:rsidP="00A116AB">
      <w:pPr>
        <w:pStyle w:val="Paragraphtext"/>
        <w:tabs>
          <w:tab w:val="left" w:pos="7226"/>
          <w:tab w:val="right" w:pos="9026"/>
        </w:tabs>
      </w:pPr>
      <w:r>
        <w:tab/>
      </w:r>
      <w:r>
        <w:tab/>
      </w:r>
    </w:p>
    <w:p w14:paraId="7270C655" w14:textId="07C565E6" w:rsidR="00A116AB" w:rsidRPr="00C4228C" w:rsidRDefault="00A116AB" w:rsidP="00C4228C">
      <w:pPr>
        <w:pStyle w:val="Paragraphtext"/>
        <w:tabs>
          <w:tab w:val="left" w:pos="7226"/>
          <w:tab w:val="right" w:pos="9026"/>
        </w:tabs>
        <w:rPr>
          <w:sz w:val="16"/>
          <w:szCs w:val="16"/>
        </w:rPr>
      </w:pPr>
      <w:r w:rsidRPr="00C4228C">
        <w:rPr>
          <w:sz w:val="16"/>
          <w:szCs w:val="16"/>
        </w:rPr>
        <w:t>** It is expected that MSAC would seek advice from one or more of the following ESC, PLAC or any expert of its choosing.</w:t>
      </w:r>
    </w:p>
    <w:p w14:paraId="15F9485B" w14:textId="77777777" w:rsidR="00831665" w:rsidRDefault="00831665">
      <w:pPr>
        <w:spacing w:after="160" w:line="259" w:lineRule="auto"/>
        <w:rPr>
          <w:rFonts w:cs="Arial"/>
          <w:bCs/>
          <w:color w:val="3F4A75"/>
          <w:kern w:val="28"/>
          <w:sz w:val="36"/>
          <w:szCs w:val="36"/>
        </w:rPr>
      </w:pPr>
      <w:r>
        <w:br w:type="page"/>
      </w:r>
    </w:p>
    <w:p w14:paraId="52439831" w14:textId="5D0AED84" w:rsidR="001413D1" w:rsidRPr="00336C83" w:rsidRDefault="001413D1" w:rsidP="00AD644A">
      <w:pPr>
        <w:pStyle w:val="Heading1"/>
      </w:pPr>
      <w:r w:rsidRPr="00336C83">
        <w:lastRenderedPageBreak/>
        <w:t>PL del</w:t>
      </w:r>
      <w:r w:rsidR="00C21816" w:rsidRPr="00336C83">
        <w:t>isting process</w:t>
      </w:r>
      <w:r w:rsidRPr="00336C83">
        <w:t xml:space="preserve"> </w:t>
      </w:r>
      <w:r w:rsidR="00C21816" w:rsidRPr="00336C83">
        <w:t>and transfer of sponsor application</w:t>
      </w:r>
    </w:p>
    <w:p w14:paraId="57820E7A" w14:textId="14A527BE" w:rsidR="00126A53" w:rsidRPr="00837F8B" w:rsidRDefault="00126A53" w:rsidP="00126A53">
      <w:pPr>
        <w:pStyle w:val="Paragraphtext"/>
      </w:pPr>
      <w:r>
        <w:t xml:space="preserve">Sponsors may submit </w:t>
      </w:r>
      <w:r w:rsidRPr="00837F8B">
        <w:t xml:space="preserve">deletion and transfer of </w:t>
      </w:r>
      <w:r>
        <w:t xml:space="preserve">sponsors </w:t>
      </w:r>
      <w:r w:rsidRPr="00837F8B">
        <w:t>application</w:t>
      </w:r>
      <w:r>
        <w:t xml:space="preserve">s that </w:t>
      </w:r>
      <w:r w:rsidRPr="00837F8B">
        <w:t xml:space="preserve">will continue being assessed in the manner </w:t>
      </w:r>
      <w:proofErr w:type="gramStart"/>
      <w:r w:rsidRPr="00837F8B">
        <w:t>similar to</w:t>
      </w:r>
      <w:proofErr w:type="gramEnd"/>
      <w:r w:rsidRPr="00837F8B">
        <w:t xml:space="preserve"> the existing process</w:t>
      </w:r>
      <w:r>
        <w:t xml:space="preserve"> (i.e. </w:t>
      </w:r>
      <w:r w:rsidRPr="00837F8B">
        <w:t xml:space="preserve">by verification of the accuracy of information provided </w:t>
      </w:r>
      <w:r w:rsidR="00836363">
        <w:t xml:space="preserve">by the sponsor </w:t>
      </w:r>
      <w:r w:rsidRPr="00837F8B">
        <w:t>and the scope of the application</w:t>
      </w:r>
      <w:r>
        <w:t>)</w:t>
      </w:r>
      <w:r w:rsidRPr="00837F8B">
        <w:t>.</w:t>
      </w:r>
    </w:p>
    <w:p w14:paraId="3B4D7B7D" w14:textId="036F84EB" w:rsidR="00A2461D" w:rsidRPr="00336C83" w:rsidRDefault="00A2461D" w:rsidP="00AD644A">
      <w:pPr>
        <w:pStyle w:val="Heading1"/>
      </w:pPr>
      <w:r w:rsidRPr="00336C83">
        <w:t>Assessment authority recommended delisting</w:t>
      </w:r>
    </w:p>
    <w:p w14:paraId="76E4DBEF" w14:textId="0E820E23" w:rsidR="001413D1" w:rsidRPr="001413D1" w:rsidRDefault="00D56B13" w:rsidP="00336C83">
      <w:pPr>
        <w:pStyle w:val="Paragraphtext"/>
      </w:pPr>
      <w:r>
        <w:t>O</w:t>
      </w:r>
      <w:r w:rsidR="00A2461D">
        <w:t>n occasion</w:t>
      </w:r>
      <w:r>
        <w:t>,</w:t>
      </w:r>
      <w:r w:rsidR="001413D1">
        <w:t xml:space="preserve"> </w:t>
      </w:r>
      <w:r>
        <w:t xml:space="preserve">the </w:t>
      </w:r>
      <w:r w:rsidR="00A2461D">
        <w:t xml:space="preserve">delisting of a device from the PL </w:t>
      </w:r>
      <w:r>
        <w:t>may be necessary. N</w:t>
      </w:r>
      <w:r w:rsidR="00A2461D">
        <w:t xml:space="preserve">otably </w:t>
      </w:r>
      <w:r w:rsidR="001413D1">
        <w:t>where the device no longer</w:t>
      </w:r>
      <w:r w:rsidR="001413D1" w:rsidRPr="001413D1">
        <w:t xml:space="preserve"> satisf</w:t>
      </w:r>
      <w:r w:rsidR="001413D1">
        <w:t>ies</w:t>
      </w:r>
      <w:r w:rsidR="001413D1" w:rsidRPr="001413D1">
        <w:t xml:space="preserve"> the criteria for listing or where </w:t>
      </w:r>
      <w:r w:rsidR="006219FD">
        <w:t>there are</w:t>
      </w:r>
      <w:r w:rsidR="001413D1" w:rsidRPr="001413D1">
        <w:t xml:space="preserve"> safety </w:t>
      </w:r>
      <w:r w:rsidR="006219FD">
        <w:t>concerns or cancellation or suspension of ARTG entry</w:t>
      </w:r>
      <w:r w:rsidR="001413D1" w:rsidRPr="001413D1">
        <w:t xml:space="preserve"> by the TGA.</w:t>
      </w:r>
    </w:p>
    <w:p w14:paraId="21B7197D" w14:textId="4B4E8DCC" w:rsidR="001413D1" w:rsidRPr="001413D1" w:rsidRDefault="006219FD" w:rsidP="00336C83">
      <w:pPr>
        <w:pStyle w:val="Paragraphtext"/>
      </w:pPr>
      <w:r>
        <w:t xml:space="preserve">The assessment process in these cases </w:t>
      </w:r>
      <w:r w:rsidR="008C7533">
        <w:t>is</w:t>
      </w:r>
      <w:r>
        <w:t xml:space="preserve"> expected to be </w:t>
      </w:r>
      <w:proofErr w:type="gramStart"/>
      <w:r>
        <w:t>similar to</w:t>
      </w:r>
      <w:proofErr w:type="gramEnd"/>
      <w:r w:rsidR="001413D1">
        <w:t xml:space="preserve"> the </w:t>
      </w:r>
      <w:r>
        <w:t>listing pathways discussed in this consultation paper</w:t>
      </w:r>
      <w:r w:rsidR="001413D1" w:rsidRPr="001413D1">
        <w:t>.</w:t>
      </w:r>
    </w:p>
    <w:p w14:paraId="28CB2633" w14:textId="3BDCBEF2" w:rsidR="001413D1" w:rsidRPr="001413D1" w:rsidRDefault="006219FD" w:rsidP="00336C83">
      <w:pPr>
        <w:pStyle w:val="Paragraphtext"/>
      </w:pPr>
      <w:r>
        <w:t>T</w:t>
      </w:r>
      <w:r w:rsidR="00A2461D">
        <w:t>he Department</w:t>
      </w:r>
      <w:r w:rsidR="001413D1" w:rsidRPr="001413D1">
        <w:t xml:space="preserve"> will write to the sponsor informing them of the consideration and offering them the opportunity for comment.</w:t>
      </w:r>
      <w:r>
        <w:t xml:space="preserve"> </w:t>
      </w:r>
    </w:p>
    <w:p w14:paraId="09C19401" w14:textId="7E571245" w:rsidR="006219FD" w:rsidRDefault="001413D1" w:rsidP="00336C83">
      <w:pPr>
        <w:pStyle w:val="Paragraphtext"/>
      </w:pPr>
      <w:r w:rsidRPr="001413D1">
        <w:t xml:space="preserve">If the sponsor provides further information or evidence to support continued listing </w:t>
      </w:r>
      <w:r w:rsidR="006219FD">
        <w:t xml:space="preserve">the assessment of </w:t>
      </w:r>
      <w:r w:rsidRPr="001413D1">
        <w:t xml:space="preserve">the </w:t>
      </w:r>
      <w:r w:rsidR="006219FD">
        <w:t>information may undergo abbreviated</w:t>
      </w:r>
      <w:r w:rsidRPr="001413D1">
        <w:t xml:space="preserve">, or </w:t>
      </w:r>
      <w:r w:rsidR="006219FD">
        <w:t xml:space="preserve">clinical/focussed, or MSAC assessment depending on the nature of issues and information provided. </w:t>
      </w:r>
    </w:p>
    <w:p w14:paraId="4770ED12" w14:textId="4205892D" w:rsidR="001413D1" w:rsidRPr="001413D1" w:rsidRDefault="006219FD" w:rsidP="00336C83">
      <w:pPr>
        <w:pStyle w:val="Paragraphtext"/>
      </w:pPr>
      <w:r>
        <w:t>T</w:t>
      </w:r>
      <w:r w:rsidR="001413D1" w:rsidRPr="001413D1">
        <w:t xml:space="preserve">he recommendation </w:t>
      </w:r>
      <w:r>
        <w:t>following</w:t>
      </w:r>
      <w:r w:rsidR="001413D1" w:rsidRPr="001413D1">
        <w:t xml:space="preserve"> the </w:t>
      </w:r>
      <w:r>
        <w:t>assessment</w:t>
      </w:r>
      <w:r w:rsidR="001413D1" w:rsidRPr="001413D1">
        <w:t xml:space="preserve"> will be </w:t>
      </w:r>
      <w:r>
        <w:t>provided</w:t>
      </w:r>
      <w:r w:rsidR="001413D1" w:rsidRPr="001413D1">
        <w:t xml:space="preserve"> to the Minister</w:t>
      </w:r>
      <w:r>
        <w:t xml:space="preserve"> </w:t>
      </w:r>
      <w:r w:rsidR="00953274">
        <w:t xml:space="preserve">or Minister’s </w:t>
      </w:r>
      <w:r w:rsidR="001413D1" w:rsidRPr="001413D1">
        <w:t xml:space="preserve">delegate. If </w:t>
      </w:r>
      <w:r w:rsidR="00D56B13">
        <w:t>agreed,</w:t>
      </w:r>
      <w:r w:rsidR="001413D1" w:rsidRPr="001413D1">
        <w:t xml:space="preserve"> the product </w:t>
      </w:r>
      <w:r w:rsidR="00D56B13">
        <w:t>may be delisted</w:t>
      </w:r>
      <w:r w:rsidR="001413D1" w:rsidRPr="001413D1">
        <w:t xml:space="preserve"> from the PL the next time the Prostheses Rules are made.</w:t>
      </w:r>
    </w:p>
    <w:p w14:paraId="38300722" w14:textId="77777777" w:rsidR="00831665" w:rsidRPr="00831665" w:rsidRDefault="00831665" w:rsidP="00831665"/>
    <w:p w14:paraId="3C9C01CA" w14:textId="21131F3E" w:rsidR="0028722A" w:rsidRPr="00336C83" w:rsidRDefault="0028722A" w:rsidP="0028722A">
      <w:pPr>
        <w:pStyle w:val="Heading1"/>
      </w:pPr>
      <w:r>
        <w:t>Next steps</w:t>
      </w:r>
    </w:p>
    <w:p w14:paraId="5CE14DD9" w14:textId="660D90A0" w:rsidR="0028722A" w:rsidRDefault="0028722A" w:rsidP="0028722A">
      <w:pPr>
        <w:pStyle w:val="Paragraphtext"/>
        <w:rPr>
          <w:rFonts w:ascii="Calibri" w:hAnsi="Calibri"/>
        </w:rPr>
      </w:pPr>
      <w:r>
        <w:t xml:space="preserve">This paper will be out for consultation until </w:t>
      </w:r>
      <w:r w:rsidR="00422813">
        <w:t xml:space="preserve">COB </w:t>
      </w:r>
      <w:r w:rsidR="00BC0EDD">
        <w:t>28</w:t>
      </w:r>
      <w:r w:rsidR="00422813">
        <w:t xml:space="preserve"> </w:t>
      </w:r>
      <w:r w:rsidR="00BC0EDD">
        <w:t>February</w:t>
      </w:r>
      <w:r>
        <w:t xml:space="preserve"> 2022.</w:t>
      </w:r>
    </w:p>
    <w:p w14:paraId="4A745BCB" w14:textId="77777777" w:rsidR="0028722A" w:rsidRDefault="0028722A" w:rsidP="0028722A">
      <w:pPr>
        <w:pStyle w:val="Paragraphtext"/>
      </w:pPr>
      <w:r>
        <w:t xml:space="preserve">As noted in the introduction to this paper, this paper does not explore the following issues: </w:t>
      </w:r>
    </w:p>
    <w:p w14:paraId="38B89BBA" w14:textId="38448399" w:rsidR="001C2711" w:rsidRPr="001C2711" w:rsidRDefault="001C2711" w:rsidP="001C2711">
      <w:pPr>
        <w:pStyle w:val="Paragraphtext"/>
        <w:numPr>
          <w:ilvl w:val="0"/>
          <w:numId w:val="23"/>
        </w:numPr>
      </w:pPr>
      <w:bookmarkStart w:id="4" w:name="_Hlk92207567"/>
      <w:r w:rsidRPr="001C2711">
        <w:t>review of any governance arrangements associated with the PL listing process</w:t>
      </w:r>
    </w:p>
    <w:p w14:paraId="1D3B045E" w14:textId="66971572" w:rsidR="001C2711" w:rsidRPr="001C2711" w:rsidRDefault="001C2711" w:rsidP="001C2711">
      <w:pPr>
        <w:pStyle w:val="Paragraphtext"/>
        <w:numPr>
          <w:ilvl w:val="0"/>
          <w:numId w:val="23"/>
        </w:numPr>
      </w:pPr>
      <w:r w:rsidRPr="001C2711">
        <w:t>detailed guidelines for each possible new pathway (including any more detailed criteria for each proposed pathway)</w:t>
      </w:r>
    </w:p>
    <w:p w14:paraId="7C233CCC" w14:textId="77777777" w:rsidR="001C2711" w:rsidRPr="001C2711" w:rsidRDefault="001C2711" w:rsidP="001C2711">
      <w:pPr>
        <w:pStyle w:val="Paragraphtext"/>
        <w:numPr>
          <w:ilvl w:val="0"/>
          <w:numId w:val="23"/>
        </w:numPr>
      </w:pPr>
      <w:r w:rsidRPr="001C2711">
        <w:t xml:space="preserve">revised cost recovery arrangements to reflect the modern listing pathways and ensure compliance with the Australian Government Charging Framework. </w:t>
      </w:r>
    </w:p>
    <w:p w14:paraId="13AFC106" w14:textId="77777777" w:rsidR="00150F1E" w:rsidRDefault="00150F1E" w:rsidP="0028722A">
      <w:pPr>
        <w:pStyle w:val="Paragraphtext"/>
      </w:pPr>
      <w:r w:rsidRPr="00150F1E">
        <w:t xml:space="preserve">We ask that stakeholders provide overarching feedback on the three potential new pathways and any ideas they have regarding the above issues via the consultation hub.  This feedback will then be used to inform the concepts outlined, noting some concepts may change based on feedback the department receives through this consultation process.  </w:t>
      </w:r>
    </w:p>
    <w:bookmarkEnd w:id="4"/>
    <w:p w14:paraId="5A59ADF5" w14:textId="77777777" w:rsidR="001C2711" w:rsidRDefault="001C2711">
      <w:pPr>
        <w:spacing w:after="160" w:line="259" w:lineRule="auto"/>
        <w:rPr>
          <w:rFonts w:cs="Arial"/>
          <w:bCs/>
          <w:color w:val="3F4A75"/>
          <w:kern w:val="28"/>
          <w:sz w:val="36"/>
          <w:szCs w:val="36"/>
        </w:rPr>
      </w:pPr>
      <w:r>
        <w:br w:type="page"/>
      </w:r>
    </w:p>
    <w:p w14:paraId="601DFFEE" w14:textId="5E4A1021" w:rsidR="00336F71" w:rsidRDefault="00040A6B" w:rsidP="00336C83">
      <w:pPr>
        <w:pStyle w:val="Heading1"/>
      </w:pPr>
      <w:r>
        <w:lastRenderedPageBreak/>
        <w:t>References</w:t>
      </w:r>
    </w:p>
    <w:p w14:paraId="2015BF38" w14:textId="788F641F" w:rsidR="00876DB2" w:rsidRPr="00876DB2" w:rsidRDefault="00876DB2" w:rsidP="00336C83">
      <w:pPr>
        <w:pStyle w:val="Paragraphtext"/>
        <w:rPr>
          <w:b/>
          <w:bCs/>
        </w:rPr>
      </w:pPr>
      <w:r>
        <w:t>Australian Government Department of Health. (2017a).</w:t>
      </w:r>
      <w:r w:rsidRPr="00040A6B">
        <w:t xml:space="preserve"> </w:t>
      </w:r>
      <w:r w:rsidRPr="00876DB2">
        <w:rPr>
          <w:i/>
          <w:iCs/>
        </w:rPr>
        <w:t xml:space="preserve">Agreement between the Government and the Medical Technology Association of Australia. </w:t>
      </w:r>
      <w:hyperlink r:id="rId35" w:history="1">
        <w:r w:rsidRPr="00876DB2">
          <w:rPr>
            <w:rStyle w:val="Hyperlink"/>
          </w:rPr>
          <w:t>www.health.gov.au/resources/publications/agreement-between-the-government-and-the-medical-technology-association-of-australia</w:t>
        </w:r>
      </w:hyperlink>
      <w:r w:rsidRPr="00876DB2">
        <w:t xml:space="preserve"> </w:t>
      </w:r>
    </w:p>
    <w:p w14:paraId="0FE83291" w14:textId="60215E88" w:rsidR="005449DB" w:rsidRDefault="00040A6B" w:rsidP="00336C83">
      <w:pPr>
        <w:pStyle w:val="Paragraphtext"/>
      </w:pPr>
      <w:r>
        <w:t>Australian Government Department of Health. (2017</w:t>
      </w:r>
      <w:r w:rsidR="00876DB2">
        <w:t>b</w:t>
      </w:r>
      <w:r>
        <w:t>).</w:t>
      </w:r>
      <w:r w:rsidRPr="00040A6B">
        <w:t xml:space="preserve"> </w:t>
      </w:r>
      <w:r w:rsidRPr="00040A6B">
        <w:rPr>
          <w:i/>
          <w:iCs/>
        </w:rPr>
        <w:t>Prostheses List: Guide to listing and setting benefits for prostheses.</w:t>
      </w:r>
      <w:r w:rsidRPr="00040A6B">
        <w:rPr>
          <w:b/>
          <w:bCs/>
        </w:rPr>
        <w:t xml:space="preserve"> </w:t>
      </w:r>
      <w:r>
        <w:t>[</w:t>
      </w:r>
      <w:hyperlink r:id="rId36" w:history="1">
        <w:r w:rsidRPr="00270D0C">
          <w:rPr>
            <w:rStyle w:val="Hyperlink"/>
          </w:rPr>
          <w:t>www.health.gov.au/resources/publications/prostheses-list-guide</w:t>
        </w:r>
      </w:hyperlink>
      <w:r>
        <w:t>]</w:t>
      </w:r>
    </w:p>
    <w:p w14:paraId="458C9885" w14:textId="66B721D1" w:rsidR="00876DB2" w:rsidRDefault="005449DB" w:rsidP="00336C83">
      <w:pPr>
        <w:pStyle w:val="Paragraphtext"/>
      </w:pPr>
      <w:r>
        <w:t>Australian Government Department of Health. (2020).</w:t>
      </w:r>
      <w:r w:rsidRPr="00040A6B">
        <w:t xml:space="preserve"> </w:t>
      </w:r>
      <w:r w:rsidRPr="005449DB">
        <w:rPr>
          <w:i/>
          <w:iCs/>
        </w:rPr>
        <w:t>Options for a revised framework for setting and reviewing benefits for the Prostheses List report.</w:t>
      </w:r>
      <w:r w:rsidR="00876DB2">
        <w:rPr>
          <w:b/>
          <w:bCs/>
        </w:rPr>
        <w:t xml:space="preserve"> </w:t>
      </w:r>
      <w:r w:rsidR="00876DB2" w:rsidRPr="00876DB2">
        <w:t>[</w:t>
      </w:r>
      <w:hyperlink r:id="rId37" w:history="1">
        <w:r w:rsidRPr="00270D0C">
          <w:rPr>
            <w:rStyle w:val="Hyperlink"/>
          </w:rPr>
          <w:t>www.health.gov.au/resources/publications/options-for-a-revised-framework-for-setting-and-reviewing-benefits-for-the-prostheses-list-report</w:t>
        </w:r>
      </w:hyperlink>
      <w:r>
        <w:t>]</w:t>
      </w:r>
    </w:p>
    <w:p w14:paraId="3E1037CC" w14:textId="2DD09F40" w:rsidR="00040A6B" w:rsidRPr="00040A6B" w:rsidRDefault="00040A6B" w:rsidP="00336C83">
      <w:pPr>
        <w:pStyle w:val="Paragraphtext"/>
        <w:rPr>
          <w:rFonts w:cs="Arial"/>
          <w:b/>
          <w:bCs/>
        </w:rPr>
      </w:pPr>
      <w:r w:rsidRPr="00040A6B">
        <w:rPr>
          <w:rFonts w:cs="Arial"/>
          <w:bCs/>
        </w:rPr>
        <w:t>Commonwealth of Australia</w:t>
      </w:r>
      <w:r>
        <w:rPr>
          <w:rFonts w:cs="Arial"/>
          <w:bCs/>
        </w:rPr>
        <w:t>.</w:t>
      </w:r>
      <w:r w:rsidRPr="00040A6B">
        <w:rPr>
          <w:rFonts w:cs="Arial"/>
          <w:bCs/>
        </w:rPr>
        <w:t xml:space="preserve"> </w:t>
      </w:r>
      <w:r>
        <w:rPr>
          <w:rFonts w:cs="Arial"/>
          <w:bCs/>
        </w:rPr>
        <w:t>(</w:t>
      </w:r>
      <w:r w:rsidRPr="00040A6B">
        <w:rPr>
          <w:rFonts w:cs="Arial"/>
          <w:bCs/>
        </w:rPr>
        <w:t>2017</w:t>
      </w:r>
      <w:r>
        <w:rPr>
          <w:rFonts w:cs="Arial"/>
          <w:bCs/>
        </w:rPr>
        <w:t>).</w:t>
      </w:r>
      <w:r w:rsidRPr="00040A6B">
        <w:rPr>
          <w:rFonts w:cs="Arial"/>
          <w:b/>
          <w:bCs/>
        </w:rPr>
        <w:t xml:space="preserve"> </w:t>
      </w:r>
      <w:r w:rsidR="005449DB" w:rsidRPr="005449DB">
        <w:rPr>
          <w:rFonts w:cs="Arial"/>
          <w:i/>
          <w:iCs/>
        </w:rPr>
        <w:t>The</w:t>
      </w:r>
      <w:r w:rsidR="005449DB" w:rsidRPr="005449DB">
        <w:rPr>
          <w:rFonts w:cs="Arial"/>
          <w:b/>
          <w:bCs/>
          <w:i/>
          <w:iCs/>
        </w:rPr>
        <w:t xml:space="preserve"> </w:t>
      </w:r>
      <w:r w:rsidRPr="005449DB">
        <w:rPr>
          <w:rFonts w:cs="Arial"/>
          <w:bCs/>
          <w:i/>
          <w:iCs/>
        </w:rPr>
        <w:t>Senate</w:t>
      </w:r>
      <w:r w:rsidR="005449DB" w:rsidRPr="005449DB">
        <w:rPr>
          <w:rFonts w:cs="Arial"/>
          <w:bCs/>
          <w:i/>
          <w:iCs/>
        </w:rPr>
        <w:t>.</w:t>
      </w:r>
      <w:r w:rsidRPr="005449DB">
        <w:rPr>
          <w:rFonts w:cs="Arial"/>
          <w:bCs/>
          <w:i/>
          <w:iCs/>
        </w:rPr>
        <w:t xml:space="preserve"> Community Affairs</w:t>
      </w:r>
      <w:r w:rsidR="005449DB" w:rsidRPr="005449DB">
        <w:rPr>
          <w:rFonts w:cs="Arial"/>
          <w:bCs/>
          <w:i/>
          <w:iCs/>
        </w:rPr>
        <w:t xml:space="preserve"> References Committee:</w:t>
      </w:r>
      <w:r w:rsidRPr="005449DB">
        <w:rPr>
          <w:rFonts w:cs="Arial"/>
          <w:bCs/>
          <w:i/>
          <w:iCs/>
        </w:rPr>
        <w:t xml:space="preserve"> </w:t>
      </w:r>
      <w:r w:rsidRPr="00040A6B">
        <w:rPr>
          <w:rFonts w:cs="Arial"/>
          <w:bCs/>
          <w:i/>
          <w:iCs/>
        </w:rPr>
        <w:t>Report</w:t>
      </w:r>
      <w:r w:rsidRPr="005449DB">
        <w:rPr>
          <w:rFonts w:cs="Arial"/>
          <w:bCs/>
          <w:i/>
          <w:iCs/>
        </w:rPr>
        <w:t xml:space="preserve"> – </w:t>
      </w:r>
      <w:r w:rsidRPr="00040A6B">
        <w:rPr>
          <w:rFonts w:cs="Arial"/>
          <w:bCs/>
          <w:i/>
          <w:iCs/>
        </w:rPr>
        <w:t>Price regulation associated with the Prostheses List Framework</w:t>
      </w:r>
      <w:r>
        <w:rPr>
          <w:rFonts w:cs="Arial"/>
          <w:bCs/>
        </w:rPr>
        <w:t>. [</w:t>
      </w:r>
      <w:hyperlink r:id="rId38" w:history="1">
        <w:r w:rsidRPr="00270D0C">
          <w:rPr>
            <w:rStyle w:val="Hyperlink"/>
            <w:rFonts w:cs="Arial"/>
            <w:bCs/>
          </w:rPr>
          <w:t>www.aph.gov.au/Parliamentary_Business/Committees/Senate/Community_Affairs/ProsthesesListFramework/Report</w:t>
        </w:r>
      </w:hyperlink>
      <w:r>
        <w:rPr>
          <w:rFonts w:cs="Arial"/>
          <w:bCs/>
        </w:rPr>
        <w:t>]</w:t>
      </w:r>
    </w:p>
    <w:p w14:paraId="165399C0" w14:textId="058641C9" w:rsidR="00040A6B" w:rsidRPr="00040A6B" w:rsidRDefault="00040A6B" w:rsidP="00336C83">
      <w:pPr>
        <w:pStyle w:val="Paragraphtext"/>
      </w:pPr>
      <w:r>
        <w:t xml:space="preserve">World Health Organization (WHO). (2011).  </w:t>
      </w:r>
      <w:r w:rsidRPr="00040A6B">
        <w:rPr>
          <w:i/>
          <w:iCs/>
        </w:rPr>
        <w:t>Health technology assessment of medical devices: WHO medical devices technical series</w:t>
      </w:r>
      <w:r>
        <w:t>. [</w:t>
      </w:r>
      <w:hyperlink r:id="rId39" w:history="1">
        <w:r w:rsidRPr="00270D0C">
          <w:rPr>
            <w:rStyle w:val="Hyperlink"/>
          </w:rPr>
          <w:t>www.who.int/publications/i/item/9789241501361</w:t>
        </w:r>
      </w:hyperlink>
      <w:r>
        <w:t xml:space="preserve">] </w:t>
      </w:r>
    </w:p>
    <w:sectPr w:rsidR="00040A6B" w:rsidRPr="00040A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852AF" w14:textId="77777777" w:rsidR="00893B5F" w:rsidRDefault="00893B5F" w:rsidP="006168AD">
      <w:r>
        <w:separator/>
      </w:r>
    </w:p>
  </w:endnote>
  <w:endnote w:type="continuationSeparator" w:id="0">
    <w:p w14:paraId="4C23D4D4" w14:textId="77777777" w:rsidR="00893B5F" w:rsidRDefault="00893B5F" w:rsidP="006168AD">
      <w:r>
        <w:continuationSeparator/>
      </w:r>
    </w:p>
  </w:endnote>
  <w:endnote w:type="continuationNotice" w:id="1">
    <w:p w14:paraId="0800E77D" w14:textId="77777777" w:rsidR="00B87640" w:rsidRDefault="00B87640" w:rsidP="00B87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2385460"/>
      <w:docPartObj>
        <w:docPartGallery w:val="Page Numbers (Bottom of Page)"/>
        <w:docPartUnique/>
      </w:docPartObj>
    </w:sdtPr>
    <w:sdtEndPr>
      <w:rPr>
        <w:noProof/>
      </w:rPr>
    </w:sdtEndPr>
    <w:sdtContent>
      <w:p w14:paraId="535B248B" w14:textId="1069969B" w:rsidR="005402FD" w:rsidRPr="009F7366" w:rsidRDefault="005402FD">
        <w:pPr>
          <w:pStyle w:val="Footer"/>
          <w:jc w:val="right"/>
        </w:pPr>
        <w:r w:rsidRPr="009F7366">
          <w:fldChar w:fldCharType="begin"/>
        </w:r>
        <w:r w:rsidRPr="009F7366">
          <w:instrText xml:space="preserve"> PAGE   \* MERGEFORMAT </w:instrText>
        </w:r>
        <w:r w:rsidRPr="009F7366">
          <w:fldChar w:fldCharType="separate"/>
        </w:r>
        <w:r w:rsidRPr="009F7366">
          <w:rPr>
            <w:noProof/>
          </w:rPr>
          <w:t>2</w:t>
        </w:r>
        <w:r w:rsidRPr="009F7366">
          <w:rPr>
            <w:noProof/>
          </w:rPr>
          <w:fldChar w:fldCharType="end"/>
        </w:r>
      </w:p>
    </w:sdtContent>
  </w:sdt>
  <w:p w14:paraId="1B0D5984" w14:textId="0C6A1B6C" w:rsidR="005402FD" w:rsidRPr="000226F6" w:rsidRDefault="009F7366">
    <w:pPr>
      <w:pStyle w:val="Footer"/>
      <w:rPr>
        <w:iCs/>
      </w:rPr>
    </w:pPr>
    <w:r w:rsidRPr="009F7366">
      <w:t>PL</w:t>
    </w:r>
    <w:r w:rsidR="005402FD" w:rsidRPr="009F7366">
      <w:t xml:space="preserve"> Reforms – Consultation Paper N</w:t>
    </w:r>
    <w:r w:rsidR="005402FD" w:rsidRPr="009F7366">
      <w:rPr>
        <w:vertAlign w:val="superscript"/>
      </w:rPr>
      <w:t>o</w:t>
    </w:r>
    <w:r w:rsidR="005402FD" w:rsidRPr="009F7366">
      <w:t xml:space="preserve"> </w:t>
    </w:r>
    <w:r w:rsidR="007B52F4" w:rsidRPr="009F7366">
      <w:t>3</w:t>
    </w:r>
    <w:r w:rsidR="005402FD" w:rsidRPr="009F7366">
      <w:t xml:space="preserve"> </w:t>
    </w:r>
    <w:r w:rsidR="000226F6">
      <w:t>–</w:t>
    </w:r>
    <w:r w:rsidR="005402FD">
      <w:t xml:space="preserve"> </w:t>
    </w:r>
    <w:r w:rsidR="000226F6">
      <w:t xml:space="preserve">Prostheses List – </w:t>
    </w:r>
    <w:r w:rsidR="000226F6" w:rsidRPr="000226F6">
      <w:rPr>
        <w:iCs/>
      </w:rPr>
      <w:t>A modernised fit-for-purpose listing process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3AA15" w14:textId="77777777" w:rsidR="00893B5F" w:rsidRDefault="00893B5F" w:rsidP="006168AD">
      <w:r>
        <w:separator/>
      </w:r>
    </w:p>
  </w:footnote>
  <w:footnote w:type="continuationSeparator" w:id="0">
    <w:p w14:paraId="39E46187" w14:textId="77777777" w:rsidR="00893B5F" w:rsidRDefault="00893B5F" w:rsidP="006168AD">
      <w:r>
        <w:continuationSeparator/>
      </w:r>
    </w:p>
  </w:footnote>
  <w:footnote w:type="continuationNotice" w:id="1">
    <w:p w14:paraId="3CC61C44" w14:textId="77777777" w:rsidR="00B87640" w:rsidRDefault="00B87640" w:rsidP="00B87640"/>
  </w:footnote>
  <w:footnote w:id="2">
    <w:p w14:paraId="27A64D4F" w14:textId="03473A93" w:rsidR="005402FD" w:rsidRPr="001D2B14" w:rsidRDefault="005402FD" w:rsidP="001D2B14">
      <w:pPr>
        <w:rPr>
          <w:rFonts w:cstheme="minorHAnsi"/>
          <w:sz w:val="16"/>
          <w:szCs w:val="16"/>
        </w:rPr>
      </w:pPr>
      <w:r w:rsidRPr="001D2B14">
        <w:rPr>
          <w:rStyle w:val="FootnoteReference"/>
          <w:rFonts w:cstheme="minorHAnsi"/>
          <w:sz w:val="16"/>
          <w:szCs w:val="16"/>
        </w:rPr>
        <w:footnoteRef/>
      </w:r>
      <w:r w:rsidRPr="001D2B14">
        <w:rPr>
          <w:rFonts w:cstheme="minorHAnsi"/>
          <w:sz w:val="16"/>
          <w:szCs w:val="16"/>
        </w:rPr>
        <w:t xml:space="preserve"> At the time of writing</w:t>
      </w:r>
      <w:r w:rsidR="00DF0345">
        <w:rPr>
          <w:rFonts w:cstheme="minorHAnsi"/>
          <w:sz w:val="16"/>
          <w:szCs w:val="16"/>
        </w:rPr>
        <w:t>,</w:t>
      </w:r>
      <w:r w:rsidRPr="001D2B14">
        <w:rPr>
          <w:rFonts w:cstheme="minorHAnsi"/>
          <w:sz w:val="16"/>
          <w:szCs w:val="16"/>
        </w:rPr>
        <w:t xml:space="preserve"> the Department is planning changes to the Prostheses Rules, as outlined in Consultation Paper No. 1: </w:t>
      </w:r>
      <w:r w:rsidRPr="001D2B14">
        <w:rPr>
          <w:rFonts w:cstheme="minorHAnsi"/>
          <w:i/>
          <w:iCs/>
          <w:sz w:val="16"/>
          <w:szCs w:val="16"/>
        </w:rPr>
        <w:t>Prostheses List – Purpose, Definitions, and Scope.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AFE48" w14:textId="77777777" w:rsidR="005402FD" w:rsidRDefault="005402FD">
    <w:pPr>
      <w:pStyle w:val="Header"/>
    </w:pPr>
    <w:r>
      <w:rPr>
        <w:noProof/>
        <w:lang w:eastAsia="en-AU"/>
      </w:rPr>
      <w:drawing>
        <wp:anchor distT="0" distB="0" distL="114300" distR="114300" simplePos="0" relativeHeight="251659264" behindDoc="1" locked="0" layoutInCell="1" allowOverlap="1" wp14:anchorId="7321235D" wp14:editId="5956A2CA">
          <wp:simplePos x="0" y="0"/>
          <wp:positionH relativeFrom="page">
            <wp:align>center</wp:align>
          </wp:positionH>
          <wp:positionV relativeFrom="page">
            <wp:align>center</wp:align>
          </wp:positionV>
          <wp:extent cx="7560000" cy="10692675"/>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F03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ECC2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F1E210A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A8A6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93E086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D303BC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9BE888A2"/>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3BBA97DE"/>
    <w:lvl w:ilvl="0" w:tplc="ACE8F38E">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844ABF"/>
    <w:multiLevelType w:val="hybridMultilevel"/>
    <w:tmpl w:val="8DD00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D50FD"/>
    <w:multiLevelType w:val="hybridMultilevel"/>
    <w:tmpl w:val="2EC6E5F4"/>
    <w:lvl w:ilvl="0" w:tplc="E1921B6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9BA7F17"/>
    <w:multiLevelType w:val="hybridMultilevel"/>
    <w:tmpl w:val="EF346308"/>
    <w:lvl w:ilvl="0" w:tplc="E96C518A">
      <w:start w:val="1"/>
      <w:numFmt w:val="bullet"/>
      <w:lvlText w:val=""/>
      <w:lvlJc w:val="left"/>
      <w:pPr>
        <w:ind w:left="360" w:hanging="360"/>
      </w:pPr>
      <w:rPr>
        <w:rFonts w:ascii="Symbol" w:hAnsi="Symbol" w:hint="default"/>
        <w:color w:val="auto"/>
      </w:rPr>
    </w:lvl>
    <w:lvl w:ilvl="1" w:tplc="D56056B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CF8287E"/>
    <w:multiLevelType w:val="hybridMultilevel"/>
    <w:tmpl w:val="FE2A36DA"/>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9E5D47"/>
    <w:multiLevelType w:val="hybridMultilevel"/>
    <w:tmpl w:val="88CC6562"/>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0"/>
  </w:num>
  <w:num w:numId="2">
    <w:abstractNumId w:val="15"/>
  </w:num>
  <w:num w:numId="3">
    <w:abstractNumId w:val="18"/>
  </w:num>
  <w:num w:numId="4">
    <w:abstractNumId w:val="8"/>
  </w:num>
  <w:num w:numId="5">
    <w:abstractNumId w:val="20"/>
  </w:num>
  <w:num w:numId="6">
    <w:abstractNumId w:val="13"/>
  </w:num>
  <w:num w:numId="7">
    <w:abstractNumId w:val="19"/>
  </w:num>
  <w:num w:numId="8">
    <w:abstractNumId w:val="16"/>
  </w:num>
  <w:num w:numId="9">
    <w:abstractNumId w:val="7"/>
  </w:num>
  <w:num w:numId="10">
    <w:abstractNumId w:val="8"/>
    <w:lvlOverride w:ilvl="0">
      <w:startOverride w:val="1"/>
    </w:lvlOverride>
  </w:num>
  <w:num w:numId="11">
    <w:abstractNumId w:val="9"/>
  </w:num>
  <w:num w:numId="12">
    <w:abstractNumId w:val="14"/>
  </w:num>
  <w:num w:numId="13">
    <w:abstractNumId w:val="17"/>
  </w:num>
  <w:num w:numId="14">
    <w:abstractNumId w:val="5"/>
  </w:num>
  <w:num w:numId="15">
    <w:abstractNumId w:val="4"/>
  </w:num>
  <w:num w:numId="16">
    <w:abstractNumId w:val="3"/>
  </w:num>
  <w:num w:numId="17">
    <w:abstractNumId w:val="2"/>
  </w:num>
  <w:num w:numId="18">
    <w:abstractNumId w:val="6"/>
  </w:num>
  <w:num w:numId="19">
    <w:abstractNumId w:val="1"/>
  </w:num>
  <w:num w:numId="20">
    <w:abstractNumId w:val="0"/>
  </w:num>
  <w:num w:numId="21">
    <w:abstractNumId w:val="11"/>
  </w:num>
  <w:num w:numId="22">
    <w:abstractNumId w:val="10"/>
  </w:num>
  <w:num w:numId="2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81"/>
  <w:drawingGridVerticalSpacing w:val="181"/>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AD"/>
    <w:rsid w:val="00000EF3"/>
    <w:rsid w:val="00001AEB"/>
    <w:rsid w:val="00005DF4"/>
    <w:rsid w:val="00016153"/>
    <w:rsid w:val="000226F6"/>
    <w:rsid w:val="00036425"/>
    <w:rsid w:val="00037B08"/>
    <w:rsid w:val="00040A6B"/>
    <w:rsid w:val="00043864"/>
    <w:rsid w:val="00047E05"/>
    <w:rsid w:val="00050E67"/>
    <w:rsid w:val="0005748F"/>
    <w:rsid w:val="0007364D"/>
    <w:rsid w:val="00083AE4"/>
    <w:rsid w:val="00090151"/>
    <w:rsid w:val="000A1D80"/>
    <w:rsid w:val="000C1803"/>
    <w:rsid w:val="000C1E25"/>
    <w:rsid w:val="000D4E16"/>
    <w:rsid w:val="000F37DB"/>
    <w:rsid w:val="000F481B"/>
    <w:rsid w:val="00126A53"/>
    <w:rsid w:val="00131746"/>
    <w:rsid w:val="0013584F"/>
    <w:rsid w:val="00140104"/>
    <w:rsid w:val="001413D1"/>
    <w:rsid w:val="00145D31"/>
    <w:rsid w:val="00150F1E"/>
    <w:rsid w:val="001605E0"/>
    <w:rsid w:val="00163B19"/>
    <w:rsid w:val="00165C50"/>
    <w:rsid w:val="00174B9C"/>
    <w:rsid w:val="001756CF"/>
    <w:rsid w:val="00180A3D"/>
    <w:rsid w:val="00191200"/>
    <w:rsid w:val="001924DA"/>
    <w:rsid w:val="00192EFF"/>
    <w:rsid w:val="00194911"/>
    <w:rsid w:val="001A1CF4"/>
    <w:rsid w:val="001A25B0"/>
    <w:rsid w:val="001A7988"/>
    <w:rsid w:val="001C2711"/>
    <w:rsid w:val="001D0671"/>
    <w:rsid w:val="001D2B14"/>
    <w:rsid w:val="001D4F1D"/>
    <w:rsid w:val="001E3E97"/>
    <w:rsid w:val="00202B11"/>
    <w:rsid w:val="002132D2"/>
    <w:rsid w:val="00222079"/>
    <w:rsid w:val="00226905"/>
    <w:rsid w:val="00230CF6"/>
    <w:rsid w:val="00234BC2"/>
    <w:rsid w:val="00255103"/>
    <w:rsid w:val="00266F60"/>
    <w:rsid w:val="00281493"/>
    <w:rsid w:val="0028431B"/>
    <w:rsid w:val="0028722A"/>
    <w:rsid w:val="00296534"/>
    <w:rsid w:val="002E1273"/>
    <w:rsid w:val="002E2328"/>
    <w:rsid w:val="002F6452"/>
    <w:rsid w:val="003032C0"/>
    <w:rsid w:val="00314402"/>
    <w:rsid w:val="00322561"/>
    <w:rsid w:val="00323BAD"/>
    <w:rsid w:val="00324B61"/>
    <w:rsid w:val="00336C83"/>
    <w:rsid w:val="00336F71"/>
    <w:rsid w:val="00354E84"/>
    <w:rsid w:val="003729A2"/>
    <w:rsid w:val="003B4F31"/>
    <w:rsid w:val="003B7AA9"/>
    <w:rsid w:val="003C3787"/>
    <w:rsid w:val="004064FD"/>
    <w:rsid w:val="004111B6"/>
    <w:rsid w:val="00412C11"/>
    <w:rsid w:val="004227A6"/>
    <w:rsid w:val="00422813"/>
    <w:rsid w:val="00442685"/>
    <w:rsid w:val="00443547"/>
    <w:rsid w:val="004443B8"/>
    <w:rsid w:val="0044740F"/>
    <w:rsid w:val="00454838"/>
    <w:rsid w:val="004822D9"/>
    <w:rsid w:val="00482342"/>
    <w:rsid w:val="00482510"/>
    <w:rsid w:val="00484FCA"/>
    <w:rsid w:val="004A6B54"/>
    <w:rsid w:val="004B76B6"/>
    <w:rsid w:val="004B7F12"/>
    <w:rsid w:val="004C5B82"/>
    <w:rsid w:val="004D11ED"/>
    <w:rsid w:val="00511354"/>
    <w:rsid w:val="00512A32"/>
    <w:rsid w:val="00525E16"/>
    <w:rsid w:val="005402FD"/>
    <w:rsid w:val="005449DB"/>
    <w:rsid w:val="00545282"/>
    <w:rsid w:val="00545392"/>
    <w:rsid w:val="0056240E"/>
    <w:rsid w:val="0056539B"/>
    <w:rsid w:val="00571BF5"/>
    <w:rsid w:val="00580886"/>
    <w:rsid w:val="0058206F"/>
    <w:rsid w:val="00585F16"/>
    <w:rsid w:val="00597B09"/>
    <w:rsid w:val="005A2767"/>
    <w:rsid w:val="005A32AB"/>
    <w:rsid w:val="005C7DF8"/>
    <w:rsid w:val="005E17D8"/>
    <w:rsid w:val="005F3DD0"/>
    <w:rsid w:val="005F6D99"/>
    <w:rsid w:val="00602105"/>
    <w:rsid w:val="006168AD"/>
    <w:rsid w:val="006219FD"/>
    <w:rsid w:val="00636470"/>
    <w:rsid w:val="00642BEF"/>
    <w:rsid w:val="0064485C"/>
    <w:rsid w:val="00651D5F"/>
    <w:rsid w:val="0065228B"/>
    <w:rsid w:val="00653FD0"/>
    <w:rsid w:val="00654430"/>
    <w:rsid w:val="00655193"/>
    <w:rsid w:val="006739D0"/>
    <w:rsid w:val="00680FA8"/>
    <w:rsid w:val="00690D4B"/>
    <w:rsid w:val="00692810"/>
    <w:rsid w:val="00694ED5"/>
    <w:rsid w:val="006A3B1F"/>
    <w:rsid w:val="006A610F"/>
    <w:rsid w:val="006D3EFB"/>
    <w:rsid w:val="006E3F89"/>
    <w:rsid w:val="00701DCA"/>
    <w:rsid w:val="007510EF"/>
    <w:rsid w:val="00757799"/>
    <w:rsid w:val="0077313E"/>
    <w:rsid w:val="00790234"/>
    <w:rsid w:val="00792239"/>
    <w:rsid w:val="00792800"/>
    <w:rsid w:val="007B52F4"/>
    <w:rsid w:val="007B78E0"/>
    <w:rsid w:val="007D6CD3"/>
    <w:rsid w:val="007F4A32"/>
    <w:rsid w:val="008169C8"/>
    <w:rsid w:val="008171DD"/>
    <w:rsid w:val="00831665"/>
    <w:rsid w:val="00836363"/>
    <w:rsid w:val="00837F8B"/>
    <w:rsid w:val="00844331"/>
    <w:rsid w:val="008536F7"/>
    <w:rsid w:val="0086339A"/>
    <w:rsid w:val="00866BEC"/>
    <w:rsid w:val="0087083B"/>
    <w:rsid w:val="00874155"/>
    <w:rsid w:val="00876DB2"/>
    <w:rsid w:val="00880771"/>
    <w:rsid w:val="00883E13"/>
    <w:rsid w:val="00893B5F"/>
    <w:rsid w:val="008C7533"/>
    <w:rsid w:val="008D0706"/>
    <w:rsid w:val="008E57BF"/>
    <w:rsid w:val="008F0B67"/>
    <w:rsid w:val="00903A55"/>
    <w:rsid w:val="009420BD"/>
    <w:rsid w:val="00942A97"/>
    <w:rsid w:val="0095062D"/>
    <w:rsid w:val="00950FE8"/>
    <w:rsid w:val="00953274"/>
    <w:rsid w:val="00960F8F"/>
    <w:rsid w:val="009631A0"/>
    <w:rsid w:val="009727B1"/>
    <w:rsid w:val="00974501"/>
    <w:rsid w:val="00976B01"/>
    <w:rsid w:val="0097796B"/>
    <w:rsid w:val="009A615B"/>
    <w:rsid w:val="009B0650"/>
    <w:rsid w:val="009C6219"/>
    <w:rsid w:val="009C7BDC"/>
    <w:rsid w:val="009D2A2B"/>
    <w:rsid w:val="009D5054"/>
    <w:rsid w:val="009D684D"/>
    <w:rsid w:val="009D6FA5"/>
    <w:rsid w:val="009F70E4"/>
    <w:rsid w:val="009F7366"/>
    <w:rsid w:val="009F7DD9"/>
    <w:rsid w:val="00A116AB"/>
    <w:rsid w:val="00A13540"/>
    <w:rsid w:val="00A1460F"/>
    <w:rsid w:val="00A150B0"/>
    <w:rsid w:val="00A2461D"/>
    <w:rsid w:val="00A2766A"/>
    <w:rsid w:val="00A32219"/>
    <w:rsid w:val="00A4107A"/>
    <w:rsid w:val="00A6300F"/>
    <w:rsid w:val="00A67EC3"/>
    <w:rsid w:val="00AA242E"/>
    <w:rsid w:val="00AB6D38"/>
    <w:rsid w:val="00AB77D4"/>
    <w:rsid w:val="00AC1148"/>
    <w:rsid w:val="00AD644A"/>
    <w:rsid w:val="00B01C6E"/>
    <w:rsid w:val="00B05F53"/>
    <w:rsid w:val="00B07304"/>
    <w:rsid w:val="00B276B5"/>
    <w:rsid w:val="00B357C9"/>
    <w:rsid w:val="00B4401E"/>
    <w:rsid w:val="00B442DA"/>
    <w:rsid w:val="00B56A81"/>
    <w:rsid w:val="00B8227E"/>
    <w:rsid w:val="00B82BAF"/>
    <w:rsid w:val="00B87640"/>
    <w:rsid w:val="00BA3FF4"/>
    <w:rsid w:val="00BC0EDD"/>
    <w:rsid w:val="00BC6E02"/>
    <w:rsid w:val="00BD4C00"/>
    <w:rsid w:val="00BD6D8B"/>
    <w:rsid w:val="00C0589F"/>
    <w:rsid w:val="00C1660F"/>
    <w:rsid w:val="00C21816"/>
    <w:rsid w:val="00C271E9"/>
    <w:rsid w:val="00C36807"/>
    <w:rsid w:val="00C4228C"/>
    <w:rsid w:val="00C42359"/>
    <w:rsid w:val="00C648A3"/>
    <w:rsid w:val="00C71461"/>
    <w:rsid w:val="00C83AC9"/>
    <w:rsid w:val="00C83CD2"/>
    <w:rsid w:val="00CA1100"/>
    <w:rsid w:val="00CB71D8"/>
    <w:rsid w:val="00CD36DA"/>
    <w:rsid w:val="00CD793A"/>
    <w:rsid w:val="00CF42B8"/>
    <w:rsid w:val="00D07E13"/>
    <w:rsid w:val="00D12CA8"/>
    <w:rsid w:val="00D3088E"/>
    <w:rsid w:val="00D41F1D"/>
    <w:rsid w:val="00D5131B"/>
    <w:rsid w:val="00D54B2D"/>
    <w:rsid w:val="00D55A55"/>
    <w:rsid w:val="00D56B13"/>
    <w:rsid w:val="00D61D4C"/>
    <w:rsid w:val="00D62B22"/>
    <w:rsid w:val="00D66800"/>
    <w:rsid w:val="00D713C4"/>
    <w:rsid w:val="00D77B06"/>
    <w:rsid w:val="00D81A29"/>
    <w:rsid w:val="00DA2CC0"/>
    <w:rsid w:val="00DB5210"/>
    <w:rsid w:val="00DD4535"/>
    <w:rsid w:val="00DF0345"/>
    <w:rsid w:val="00DF16DB"/>
    <w:rsid w:val="00DF30A7"/>
    <w:rsid w:val="00DF54EB"/>
    <w:rsid w:val="00E0712C"/>
    <w:rsid w:val="00E11254"/>
    <w:rsid w:val="00E159CB"/>
    <w:rsid w:val="00E17597"/>
    <w:rsid w:val="00E2189C"/>
    <w:rsid w:val="00E24393"/>
    <w:rsid w:val="00E26710"/>
    <w:rsid w:val="00E37ECF"/>
    <w:rsid w:val="00E4349A"/>
    <w:rsid w:val="00E445FE"/>
    <w:rsid w:val="00E64B0B"/>
    <w:rsid w:val="00E65AF2"/>
    <w:rsid w:val="00E842EC"/>
    <w:rsid w:val="00E8735D"/>
    <w:rsid w:val="00E93B83"/>
    <w:rsid w:val="00EB1C3B"/>
    <w:rsid w:val="00EC7B44"/>
    <w:rsid w:val="00EC7DB8"/>
    <w:rsid w:val="00ED70D9"/>
    <w:rsid w:val="00EE3AF1"/>
    <w:rsid w:val="00EE5DC1"/>
    <w:rsid w:val="00EF4E39"/>
    <w:rsid w:val="00F07179"/>
    <w:rsid w:val="00F131E5"/>
    <w:rsid w:val="00F168A8"/>
    <w:rsid w:val="00F30FED"/>
    <w:rsid w:val="00F3321A"/>
    <w:rsid w:val="00F56306"/>
    <w:rsid w:val="00F63884"/>
    <w:rsid w:val="00F641C1"/>
    <w:rsid w:val="00F808BD"/>
    <w:rsid w:val="00F82B90"/>
    <w:rsid w:val="00F837C7"/>
    <w:rsid w:val="00FB0A5A"/>
    <w:rsid w:val="00FB26AB"/>
    <w:rsid w:val="00FC058E"/>
    <w:rsid w:val="00FC1413"/>
    <w:rsid w:val="00FC5AD4"/>
    <w:rsid w:val="00FD7EEA"/>
    <w:rsid w:val="00FE0BC2"/>
    <w:rsid w:val="00FE2A19"/>
    <w:rsid w:val="00FE7D98"/>
    <w:rsid w:val="00FF30C3"/>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95E356"/>
  <w15:chartTrackingRefBased/>
  <w15:docId w15:val="{D37B15A8-27CB-4571-B5EF-097B47E9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2DA"/>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5E17D8"/>
    <w:pPr>
      <w:keepNext/>
      <w:spacing w:before="240" w:after="60"/>
      <w:outlineLvl w:val="0"/>
    </w:pPr>
    <w:rPr>
      <w:rFonts w:cs="Arial"/>
      <w:bCs/>
      <w:color w:val="3F4A75"/>
      <w:kern w:val="28"/>
      <w:sz w:val="36"/>
      <w:szCs w:val="36"/>
    </w:rPr>
  </w:style>
  <w:style w:type="paragraph" w:styleId="Heading2">
    <w:name w:val="heading 2"/>
    <w:next w:val="Paragraphtext"/>
    <w:link w:val="Heading2Char"/>
    <w:qFormat/>
    <w:rsid w:val="004227A6"/>
    <w:pPr>
      <w:keepNext/>
      <w:spacing w:before="360" w:after="60" w:line="240" w:lineRule="auto"/>
      <w:outlineLvl w:val="1"/>
    </w:pPr>
    <w:rPr>
      <w:rFonts w:ascii="Arial" w:eastAsia="Times New Roman" w:hAnsi="Arial" w:cs="Arial"/>
      <w:b/>
      <w:bCs/>
      <w:iCs/>
      <w:color w:val="358189"/>
      <w:sz w:val="32"/>
      <w:szCs w:val="28"/>
    </w:rPr>
  </w:style>
  <w:style w:type="paragraph" w:styleId="Heading3">
    <w:name w:val="heading 3"/>
    <w:next w:val="Normal"/>
    <w:link w:val="Heading3Char"/>
    <w:qFormat/>
    <w:rsid w:val="005E17D8"/>
    <w:pPr>
      <w:keepNext/>
      <w:spacing w:before="180" w:after="60" w:line="240" w:lineRule="auto"/>
      <w:outlineLvl w:val="2"/>
    </w:pPr>
    <w:rPr>
      <w:rFonts w:ascii="Arial" w:eastAsia="Times New Roman" w:hAnsi="Arial" w:cs="Arial"/>
      <w:bCs/>
      <w:color w:val="358189"/>
      <w:sz w:val="28"/>
      <w:szCs w:val="26"/>
    </w:rPr>
  </w:style>
  <w:style w:type="paragraph" w:styleId="Heading4">
    <w:name w:val="heading 4"/>
    <w:basedOn w:val="Normal"/>
    <w:next w:val="Normal"/>
    <w:link w:val="Heading4Char"/>
    <w:qFormat/>
    <w:rsid w:val="005E17D8"/>
    <w:pPr>
      <w:keepNext/>
      <w:spacing w:before="240" w:after="60"/>
      <w:outlineLvl w:val="3"/>
    </w:pPr>
    <w:rPr>
      <w:b/>
      <w:bCs/>
      <w:i/>
      <w:color w:val="414141"/>
      <w:sz w:val="24"/>
      <w:szCs w:val="28"/>
    </w:rPr>
  </w:style>
  <w:style w:type="paragraph" w:styleId="Heading5">
    <w:name w:val="heading 5"/>
    <w:basedOn w:val="Normal"/>
    <w:next w:val="Normal"/>
    <w:link w:val="Heading5Char"/>
    <w:rsid w:val="005E17D8"/>
    <w:pPr>
      <w:keepNext/>
      <w:spacing w:before="240" w:after="60"/>
      <w:outlineLvl w:val="4"/>
    </w:pPr>
    <w:rPr>
      <w:b/>
      <w:bCs/>
      <w:iCs/>
      <w:szCs w:val="26"/>
    </w:rPr>
  </w:style>
  <w:style w:type="paragraph" w:styleId="Heading6">
    <w:name w:val="heading 6"/>
    <w:basedOn w:val="Normal"/>
    <w:next w:val="Normal"/>
    <w:link w:val="Heading6Char"/>
    <w:rsid w:val="004227A6"/>
    <w:pPr>
      <w:keepNext/>
      <w:spacing w:before="240" w:after="60" w:line="259" w:lineRule="auto"/>
      <w:outlineLvl w:val="5"/>
    </w:pPr>
    <w:rPr>
      <w:rFonts w:asciiTheme="minorHAnsi" w:eastAsiaTheme="minorHAnsi" w:hAnsiTheme="minorHAnsi" w:cstheme="minorBidi"/>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0886"/>
    <w:rPr>
      <w:rFonts w:ascii="Arial" w:eastAsia="Times New Roman" w:hAnsi="Arial" w:cs="Arial"/>
      <w:b/>
      <w:bCs/>
      <w:iCs/>
      <w:color w:val="358189"/>
      <w:sz w:val="32"/>
      <w:szCs w:val="28"/>
    </w:rPr>
  </w:style>
  <w:style w:type="character" w:customStyle="1" w:styleId="Heading3Char">
    <w:name w:val="Heading 3 Char"/>
    <w:basedOn w:val="DefaultParagraphFont"/>
    <w:link w:val="Heading3"/>
    <w:rsid w:val="00866BEC"/>
    <w:rPr>
      <w:rFonts w:ascii="Arial" w:eastAsia="Times New Roman" w:hAnsi="Arial" w:cs="Arial"/>
      <w:bCs/>
      <w:color w:val="358189"/>
      <w:sz w:val="28"/>
      <w:szCs w:val="26"/>
    </w:rPr>
  </w:style>
  <w:style w:type="paragraph" w:customStyle="1" w:styleId="Paragraphtext">
    <w:name w:val="Paragraph text"/>
    <w:basedOn w:val="Normal"/>
    <w:qFormat/>
    <w:rsid w:val="00191200"/>
    <w:pPr>
      <w:spacing w:before="120" w:after="60" w:line="276" w:lineRule="auto"/>
    </w:pPr>
    <w:rPr>
      <w:rFonts w:eastAsiaTheme="minorHAnsi" w:cstheme="minorBidi"/>
      <w:color w:val="000000" w:themeColor="text1"/>
      <w:sz w:val="21"/>
      <w:szCs w:val="22"/>
    </w:rPr>
  </w:style>
  <w:style w:type="paragraph" w:styleId="Subtitle">
    <w:name w:val="Subtitle"/>
    <w:next w:val="Normal"/>
    <w:link w:val="SubtitleChar"/>
    <w:qFormat/>
    <w:rsid w:val="005E17D8"/>
    <w:pPr>
      <w:numPr>
        <w:ilvl w:val="1"/>
      </w:numPr>
      <w:spacing w:before="120" w:after="60" w:line="240" w:lineRule="auto"/>
    </w:pPr>
    <w:rPr>
      <w:rFonts w:ascii="Arial" w:eastAsiaTheme="majorEastAsia" w:hAnsi="Arial" w:cstheme="majorBidi"/>
      <w:iCs/>
      <w:color w:val="3F4A75"/>
      <w:spacing w:val="15"/>
      <w:sz w:val="40"/>
      <w:szCs w:val="24"/>
    </w:rPr>
  </w:style>
  <w:style w:type="character" w:customStyle="1" w:styleId="SubtitleChar">
    <w:name w:val="Subtitle Char"/>
    <w:basedOn w:val="DefaultParagraphFont"/>
    <w:link w:val="Subtitle"/>
    <w:rsid w:val="005E17D8"/>
    <w:rPr>
      <w:rFonts w:ascii="Arial" w:eastAsiaTheme="majorEastAsia" w:hAnsi="Arial" w:cstheme="majorBidi"/>
      <w:iCs/>
      <w:color w:val="3F4A75"/>
      <w:spacing w:val="15"/>
      <w:sz w:val="40"/>
      <w:szCs w:val="24"/>
    </w:rPr>
  </w:style>
  <w:style w:type="paragraph" w:styleId="Title">
    <w:name w:val="Title"/>
    <w:basedOn w:val="Normal"/>
    <w:next w:val="Paragraphtext"/>
    <w:link w:val="TitleChar"/>
    <w:qFormat/>
    <w:rsid w:val="005E17D8"/>
    <w:pPr>
      <w:spacing w:before="2160" w:after="120"/>
      <w:contextualSpacing/>
    </w:pPr>
    <w:rPr>
      <w:rFonts w:eastAsiaTheme="majorEastAsia" w:cstheme="majorBidi"/>
      <w:b/>
      <w:color w:val="3F4A75"/>
      <w:kern w:val="28"/>
      <w:sz w:val="48"/>
      <w:szCs w:val="52"/>
    </w:rPr>
  </w:style>
  <w:style w:type="character" w:customStyle="1" w:styleId="TitleChar">
    <w:name w:val="Title Char"/>
    <w:basedOn w:val="DefaultParagraphFont"/>
    <w:link w:val="Title"/>
    <w:rsid w:val="005E17D8"/>
    <w:rPr>
      <w:rFonts w:ascii="Arial" w:eastAsiaTheme="majorEastAsia" w:hAnsi="Arial" w:cstheme="majorBidi"/>
      <w:b/>
      <w:color w:val="3F4A75"/>
      <w:kern w:val="28"/>
      <w:sz w:val="48"/>
      <w:szCs w:val="52"/>
    </w:rPr>
  </w:style>
  <w:style w:type="paragraph" w:styleId="ListBullet">
    <w:name w:val="List Bullet"/>
    <w:basedOn w:val="Normal"/>
    <w:qFormat/>
    <w:rsid w:val="00B07304"/>
    <w:pPr>
      <w:numPr>
        <w:numId w:val="1"/>
      </w:numPr>
      <w:spacing w:before="60" w:after="60" w:line="276" w:lineRule="auto"/>
    </w:pPr>
    <w:rPr>
      <w:rFonts w:eastAsiaTheme="minorHAnsi" w:cstheme="minorBidi"/>
      <w:bCs/>
      <w:color w:val="000000" w:themeColor="text1"/>
      <w:sz w:val="21"/>
      <w:szCs w:val="22"/>
    </w:rPr>
  </w:style>
  <w:style w:type="paragraph" w:styleId="Header">
    <w:name w:val="header"/>
    <w:basedOn w:val="Normal"/>
    <w:link w:val="HeaderChar"/>
    <w:qFormat/>
    <w:rsid w:val="005E17D8"/>
    <w:pPr>
      <w:tabs>
        <w:tab w:val="center" w:pos="4513"/>
        <w:tab w:val="right" w:pos="9026"/>
      </w:tabs>
    </w:pPr>
  </w:style>
  <w:style w:type="character" w:customStyle="1" w:styleId="HeaderChar">
    <w:name w:val="Header Char"/>
    <w:basedOn w:val="DefaultParagraphFont"/>
    <w:link w:val="Header"/>
    <w:rsid w:val="005E17D8"/>
    <w:rPr>
      <w:rFonts w:ascii="Arial" w:eastAsia="Times New Roman" w:hAnsi="Arial" w:cs="Times New Roman"/>
      <w:szCs w:val="24"/>
    </w:rPr>
  </w:style>
  <w:style w:type="character" w:styleId="Hyperlink">
    <w:name w:val="Hyperlink"/>
    <w:basedOn w:val="DefaultParagraphFont"/>
    <w:uiPriority w:val="99"/>
    <w:qFormat/>
    <w:rsid w:val="005E17D8"/>
    <w:rPr>
      <w:color w:val="0563C1" w:themeColor="hyperlink"/>
      <w:u w:val="single"/>
    </w:rPr>
  </w:style>
  <w:style w:type="paragraph" w:styleId="FootnoteText">
    <w:name w:val="footnote text"/>
    <w:basedOn w:val="Normal"/>
    <w:link w:val="FootnoteTextChar"/>
    <w:rsid w:val="005E17D8"/>
    <w:rPr>
      <w:sz w:val="20"/>
      <w:szCs w:val="20"/>
    </w:rPr>
  </w:style>
  <w:style w:type="character" w:customStyle="1" w:styleId="FootnoteTextChar">
    <w:name w:val="Footnote Text Char"/>
    <w:basedOn w:val="DefaultParagraphFont"/>
    <w:link w:val="FootnoteText"/>
    <w:rsid w:val="005E17D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168AD"/>
    <w:rPr>
      <w:vertAlign w:val="superscript"/>
    </w:rPr>
  </w:style>
  <w:style w:type="character" w:styleId="UnresolvedMention">
    <w:name w:val="Unresolved Mention"/>
    <w:basedOn w:val="DefaultParagraphFont"/>
    <w:uiPriority w:val="99"/>
    <w:semiHidden/>
    <w:unhideWhenUsed/>
    <w:rsid w:val="006168AD"/>
    <w:rPr>
      <w:color w:val="605E5C"/>
      <w:shd w:val="clear" w:color="auto" w:fill="E1DFDD"/>
    </w:rPr>
  </w:style>
  <w:style w:type="paragraph" w:styleId="ListParagraph">
    <w:name w:val="List Paragraph"/>
    <w:basedOn w:val="Normal"/>
    <w:uiPriority w:val="34"/>
    <w:rsid w:val="005E17D8"/>
    <w:pPr>
      <w:ind w:left="720"/>
      <w:contextualSpacing/>
    </w:pPr>
  </w:style>
  <w:style w:type="table" w:styleId="TableGrid">
    <w:name w:val="Table Grid"/>
    <w:basedOn w:val="TableNormal"/>
    <w:rsid w:val="005E17D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17D8"/>
    <w:pPr>
      <w:spacing w:before="100" w:beforeAutospacing="1" w:after="100" w:afterAutospacing="1"/>
    </w:pPr>
    <w:rPr>
      <w:rFonts w:ascii="Times New Roman" w:hAnsi="Times New Roman"/>
      <w:sz w:val="24"/>
      <w:lang w:eastAsia="en-AU"/>
    </w:rPr>
  </w:style>
  <w:style w:type="paragraph" w:styleId="BalloonText">
    <w:name w:val="Balloon Text"/>
    <w:basedOn w:val="Normal"/>
    <w:link w:val="BalloonTextChar"/>
    <w:rsid w:val="005E17D8"/>
    <w:rPr>
      <w:rFonts w:ascii="Tahoma" w:hAnsi="Tahoma" w:cs="Tahoma"/>
      <w:sz w:val="16"/>
      <w:szCs w:val="16"/>
    </w:rPr>
  </w:style>
  <w:style w:type="character" w:customStyle="1" w:styleId="BalloonTextChar">
    <w:name w:val="Balloon Text Char"/>
    <w:basedOn w:val="DefaultParagraphFont"/>
    <w:link w:val="BalloonText"/>
    <w:rsid w:val="005E17D8"/>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A32219"/>
    <w:rPr>
      <w:sz w:val="20"/>
      <w:szCs w:val="20"/>
    </w:rPr>
  </w:style>
  <w:style w:type="character" w:customStyle="1" w:styleId="CommentTextChar">
    <w:name w:val="Comment Text Char"/>
    <w:basedOn w:val="DefaultParagraphFont"/>
    <w:link w:val="CommentText"/>
    <w:uiPriority w:val="99"/>
    <w:semiHidden/>
    <w:rsid w:val="00A32219"/>
    <w:rPr>
      <w:sz w:val="20"/>
      <w:szCs w:val="20"/>
    </w:rPr>
  </w:style>
  <w:style w:type="character" w:styleId="CommentReference">
    <w:name w:val="annotation reference"/>
    <w:basedOn w:val="DefaultParagraphFont"/>
    <w:uiPriority w:val="99"/>
    <w:semiHidden/>
    <w:unhideWhenUsed/>
    <w:rsid w:val="00A32219"/>
    <w:rPr>
      <w:sz w:val="16"/>
      <w:szCs w:val="16"/>
    </w:rPr>
  </w:style>
  <w:style w:type="character" w:customStyle="1" w:styleId="Heading1Char">
    <w:name w:val="Heading 1 Char"/>
    <w:basedOn w:val="DefaultParagraphFont"/>
    <w:link w:val="Heading1"/>
    <w:rsid w:val="00866BEC"/>
    <w:rPr>
      <w:rFonts w:ascii="Arial" w:eastAsia="Times New Roman" w:hAnsi="Arial" w:cs="Arial"/>
      <w:bCs/>
      <w:color w:val="3F4A75"/>
      <w:kern w:val="28"/>
      <w:sz w:val="36"/>
      <w:szCs w:val="36"/>
    </w:rPr>
  </w:style>
  <w:style w:type="paragraph" w:styleId="CommentSubject">
    <w:name w:val="annotation subject"/>
    <w:basedOn w:val="CommentText"/>
    <w:next w:val="CommentText"/>
    <w:link w:val="CommentSubjectChar"/>
    <w:uiPriority w:val="99"/>
    <w:semiHidden/>
    <w:unhideWhenUsed/>
    <w:rsid w:val="00036425"/>
    <w:rPr>
      <w:b/>
      <w:bCs/>
    </w:rPr>
  </w:style>
  <w:style w:type="character" w:customStyle="1" w:styleId="CommentSubjectChar">
    <w:name w:val="Comment Subject Char"/>
    <w:basedOn w:val="CommentTextChar"/>
    <w:link w:val="CommentSubject"/>
    <w:uiPriority w:val="99"/>
    <w:semiHidden/>
    <w:rsid w:val="00036425"/>
    <w:rPr>
      <w:b/>
      <w:bCs/>
      <w:sz w:val="20"/>
      <w:szCs w:val="20"/>
    </w:rPr>
  </w:style>
  <w:style w:type="paragraph" w:styleId="Footer">
    <w:name w:val="footer"/>
    <w:basedOn w:val="Normal"/>
    <w:link w:val="FooterChar"/>
    <w:uiPriority w:val="99"/>
    <w:qFormat/>
    <w:rsid w:val="005E17D8"/>
    <w:pPr>
      <w:tabs>
        <w:tab w:val="center" w:pos="4513"/>
        <w:tab w:val="right" w:pos="9026"/>
      </w:tabs>
    </w:pPr>
    <w:rPr>
      <w:sz w:val="20"/>
    </w:rPr>
  </w:style>
  <w:style w:type="character" w:customStyle="1" w:styleId="FooterChar">
    <w:name w:val="Footer Char"/>
    <w:basedOn w:val="DefaultParagraphFont"/>
    <w:link w:val="Footer"/>
    <w:uiPriority w:val="99"/>
    <w:rsid w:val="005E17D8"/>
    <w:rPr>
      <w:rFonts w:ascii="Arial" w:eastAsia="Times New Roman" w:hAnsi="Arial" w:cs="Times New Roman"/>
      <w:sz w:val="20"/>
      <w:szCs w:val="24"/>
    </w:rPr>
  </w:style>
  <w:style w:type="character" w:customStyle="1" w:styleId="Heading4Char">
    <w:name w:val="Heading 4 Char"/>
    <w:basedOn w:val="DefaultParagraphFont"/>
    <w:link w:val="Heading4"/>
    <w:rsid w:val="002E2328"/>
    <w:rPr>
      <w:rFonts w:ascii="Arial" w:eastAsia="Times New Roman" w:hAnsi="Arial" w:cs="Times New Roman"/>
      <w:b/>
      <w:bCs/>
      <w:i/>
      <w:color w:val="414141"/>
      <w:sz w:val="24"/>
      <w:szCs w:val="28"/>
    </w:rPr>
  </w:style>
  <w:style w:type="paragraph" w:customStyle="1" w:styleId="Default">
    <w:name w:val="Default"/>
    <w:rsid w:val="00866BE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420BD"/>
    <w:rPr>
      <w:color w:val="954F72" w:themeColor="followedHyperlink"/>
      <w:u w:val="single"/>
    </w:rPr>
  </w:style>
  <w:style w:type="character" w:customStyle="1" w:styleId="Heading5Char">
    <w:name w:val="Heading 5 Char"/>
    <w:basedOn w:val="DefaultParagraphFont"/>
    <w:link w:val="Heading5"/>
    <w:rsid w:val="00281493"/>
    <w:rPr>
      <w:rFonts w:ascii="Arial" w:eastAsia="Times New Roman" w:hAnsi="Arial" w:cs="Times New Roman"/>
      <w:b/>
      <w:bCs/>
      <w:iCs/>
      <w:szCs w:val="26"/>
    </w:rPr>
  </w:style>
  <w:style w:type="character" w:customStyle="1" w:styleId="Heading6Char">
    <w:name w:val="Heading 6 Char"/>
    <w:basedOn w:val="DefaultParagraphFont"/>
    <w:link w:val="Heading6"/>
    <w:rsid w:val="00281493"/>
    <w:rPr>
      <w:b/>
      <w:bCs/>
      <w:i/>
    </w:rPr>
  </w:style>
  <w:style w:type="character" w:styleId="Emphasis">
    <w:name w:val="Emphasis"/>
    <w:basedOn w:val="DefaultParagraphFont"/>
    <w:rsid w:val="005E17D8"/>
    <w:rPr>
      <w:i/>
      <w:iCs/>
    </w:rPr>
  </w:style>
  <w:style w:type="character" w:styleId="Strong">
    <w:name w:val="Strong"/>
    <w:basedOn w:val="DefaultParagraphFont"/>
    <w:rsid w:val="005E17D8"/>
    <w:rPr>
      <w:b/>
      <w:bCs/>
    </w:rPr>
  </w:style>
  <w:style w:type="paragraph" w:styleId="NoSpacing">
    <w:name w:val="No Spacing"/>
    <w:uiPriority w:val="1"/>
    <w:rsid w:val="005E17D8"/>
    <w:pPr>
      <w:spacing w:after="0"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rsid w:val="005E17D8"/>
    <w:rPr>
      <w:i/>
      <w:iCs/>
      <w:color w:val="808080" w:themeColor="text1" w:themeTint="7F"/>
    </w:rPr>
  </w:style>
  <w:style w:type="character" w:styleId="IntenseEmphasis">
    <w:name w:val="Intense Emphasis"/>
    <w:basedOn w:val="DefaultParagraphFont"/>
    <w:uiPriority w:val="21"/>
    <w:rsid w:val="005E17D8"/>
    <w:rPr>
      <w:b/>
      <w:bCs/>
      <w:i/>
      <w:iCs/>
      <w:color w:val="4472C4" w:themeColor="accent1"/>
    </w:rPr>
  </w:style>
  <w:style w:type="paragraph" w:styleId="Quote">
    <w:name w:val="Quote"/>
    <w:next w:val="Normal"/>
    <w:link w:val="QuoteChar"/>
    <w:uiPriority w:val="29"/>
    <w:qFormat/>
    <w:rsid w:val="005E17D8"/>
    <w:pPr>
      <w:spacing w:after="0" w:line="240" w:lineRule="auto"/>
      <w:ind w:left="720"/>
    </w:pPr>
    <w:rPr>
      <w:rFonts w:ascii="Arial" w:eastAsia="Times New Roman" w:hAnsi="Arial" w:cs="Times New Roman"/>
      <w:i/>
      <w:iCs/>
      <w:color w:val="000000" w:themeColor="text1"/>
      <w:szCs w:val="24"/>
    </w:rPr>
  </w:style>
  <w:style w:type="character" w:customStyle="1" w:styleId="QuoteChar">
    <w:name w:val="Quote Char"/>
    <w:basedOn w:val="DefaultParagraphFont"/>
    <w:link w:val="Quote"/>
    <w:uiPriority w:val="29"/>
    <w:rsid w:val="005E17D8"/>
    <w:rPr>
      <w:rFonts w:ascii="Arial" w:eastAsia="Times New Roman" w:hAnsi="Arial" w:cs="Times New Roman"/>
      <w:i/>
      <w:iCs/>
      <w:color w:val="000000" w:themeColor="text1"/>
      <w:szCs w:val="24"/>
    </w:rPr>
  </w:style>
  <w:style w:type="paragraph" w:styleId="IntenseQuote">
    <w:name w:val="Intense Quote"/>
    <w:basedOn w:val="Normal"/>
    <w:next w:val="Normal"/>
    <w:link w:val="IntenseQuoteChar"/>
    <w:uiPriority w:val="30"/>
    <w:rsid w:val="005E17D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5E17D8"/>
    <w:rPr>
      <w:rFonts w:ascii="Arial" w:eastAsia="Times New Roman" w:hAnsi="Arial" w:cs="Times New Roman"/>
      <w:b/>
      <w:bCs/>
      <w:i/>
      <w:iCs/>
      <w:color w:val="4472C4" w:themeColor="accent1"/>
      <w:szCs w:val="24"/>
    </w:rPr>
  </w:style>
  <w:style w:type="character" w:styleId="SubtleReference">
    <w:name w:val="Subtle Reference"/>
    <w:basedOn w:val="DefaultParagraphFont"/>
    <w:uiPriority w:val="31"/>
    <w:rsid w:val="005E17D8"/>
    <w:rPr>
      <w:smallCaps/>
      <w:color w:val="ED7D31" w:themeColor="accent2"/>
      <w:u w:val="single"/>
    </w:rPr>
  </w:style>
  <w:style w:type="character" w:styleId="IntenseReference">
    <w:name w:val="Intense Reference"/>
    <w:basedOn w:val="DefaultParagraphFont"/>
    <w:uiPriority w:val="32"/>
    <w:rsid w:val="005E17D8"/>
    <w:rPr>
      <w:b/>
      <w:bCs/>
      <w:i/>
      <w:smallCaps/>
      <w:color w:val="ED7D31" w:themeColor="accent2"/>
      <w:spacing w:val="5"/>
      <w:u w:val="none"/>
    </w:rPr>
  </w:style>
  <w:style w:type="paragraph" w:styleId="ListBullet2">
    <w:name w:val="List Bullet 2"/>
    <w:basedOn w:val="ListNumber2"/>
    <w:rsid w:val="005E17D8"/>
    <w:pPr>
      <w:numPr>
        <w:numId w:val="5"/>
      </w:numPr>
      <w:ind w:left="568" w:hanging="284"/>
    </w:pPr>
  </w:style>
  <w:style w:type="paragraph" w:styleId="ListNumber2">
    <w:name w:val="List Number 2"/>
    <w:basedOn w:val="ListBullet"/>
    <w:qFormat/>
    <w:rsid w:val="005E17D8"/>
    <w:pPr>
      <w:numPr>
        <w:numId w:val="6"/>
      </w:numPr>
    </w:pPr>
  </w:style>
  <w:style w:type="paragraph" w:styleId="ListNumber3">
    <w:name w:val="List Number 3"/>
    <w:aliases w:val="List Third Level"/>
    <w:basedOn w:val="ListNumber2"/>
    <w:rsid w:val="004227A6"/>
    <w:pPr>
      <w:numPr>
        <w:numId w:val="2"/>
      </w:numPr>
      <w:tabs>
        <w:tab w:val="num" w:pos="1440"/>
      </w:tabs>
      <w:ind w:left="924" w:hanging="357"/>
    </w:pPr>
    <w:rPr>
      <w:rFonts w:eastAsia="Cambria"/>
      <w:color w:val="auto"/>
      <w:lang w:val="en-US"/>
    </w:rPr>
  </w:style>
  <w:style w:type="paragraph" w:customStyle="1" w:styleId="ImageTitle">
    <w:name w:val="Image Title"/>
    <w:locked/>
    <w:rsid w:val="005E17D8"/>
    <w:pPr>
      <w:tabs>
        <w:tab w:val="num" w:pos="1080"/>
      </w:tabs>
      <w:spacing w:before="120" w:after="0" w:line="240" w:lineRule="exact"/>
    </w:pPr>
    <w:rPr>
      <w:rFonts w:ascii="Arial" w:eastAsia="Times New Roman" w:hAnsi="Arial" w:cs="Times New Roman"/>
      <w:color w:val="000000" w:themeColor="text1"/>
      <w:szCs w:val="24"/>
    </w:rPr>
  </w:style>
  <w:style w:type="table" w:styleId="TableColumns3">
    <w:name w:val="Table Columns 3"/>
    <w:basedOn w:val="TableNormal"/>
    <w:rsid w:val="005E17D8"/>
    <w:pPr>
      <w:spacing w:after="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left">
    <w:name w:val="Table text left"/>
    <w:autoRedefine/>
    <w:qFormat/>
    <w:locked/>
    <w:rsid w:val="005E17D8"/>
    <w:pPr>
      <w:spacing w:before="60" w:after="60" w:line="240" w:lineRule="auto"/>
    </w:pPr>
    <w:rPr>
      <w:rFonts w:ascii="Arial" w:eastAsia="Times New Roman" w:hAnsi="Arial" w:cs="Times New Roman"/>
      <w:color w:val="000000" w:themeColor="text1"/>
      <w:sz w:val="21"/>
      <w:szCs w:val="24"/>
    </w:rPr>
  </w:style>
  <w:style w:type="table" w:styleId="TableColumns2">
    <w:name w:val="Table Columns 2"/>
    <w:basedOn w:val="TableNormal"/>
    <w:rsid w:val="005E17D8"/>
    <w:pPr>
      <w:spacing w:before="120" w:after="0" w:line="240" w:lineRule="exact"/>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5E17D8"/>
    <w:pPr>
      <w:spacing w:after="0" w:line="240" w:lineRule="auto"/>
    </w:pPr>
    <w:rPr>
      <w:rFonts w:ascii="Times New Roman" w:eastAsia="Times New Roman" w:hAnsi="Times New Roman" w:cs="Times New Roman"/>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E17D8"/>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rsid w:val="005E17D8"/>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rsid w:val="005E17D8"/>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4227A6"/>
    <w:pPr>
      <w:spacing w:before="360" w:after="120" w:line="240" w:lineRule="auto"/>
    </w:pPr>
    <w:rPr>
      <w:rFonts w:ascii="Arial" w:eastAsia="Times New Roman" w:hAnsi="Arial" w:cs="Times New Roman"/>
      <w:b/>
      <w:color w:val="000000" w:themeColor="text1"/>
      <w:szCs w:val="24"/>
      <w:lang w:val="en-US"/>
    </w:rPr>
  </w:style>
  <w:style w:type="paragraph" w:customStyle="1" w:styleId="TableHeaderWhite">
    <w:name w:val="Table Header White"/>
    <w:basedOn w:val="Normal"/>
    <w:next w:val="Tabletextleft"/>
    <w:qFormat/>
    <w:rsid w:val="004227A6"/>
    <w:pPr>
      <w:spacing w:before="80" w:after="80" w:line="259" w:lineRule="auto"/>
    </w:pPr>
    <w:rPr>
      <w:rFonts w:asciiTheme="minorHAnsi" w:eastAsia="Cambria" w:hAnsiTheme="minorHAnsi" w:cstheme="minorBidi"/>
      <w:b/>
      <w:color w:val="FFFFFF" w:themeColor="background1"/>
      <w:szCs w:val="22"/>
      <w:lang w:val="en-US"/>
    </w:rPr>
  </w:style>
  <w:style w:type="table" w:styleId="TableGrid7">
    <w:name w:val="Table Grid 7"/>
    <w:basedOn w:val="TableNormal"/>
    <w:rsid w:val="005E17D8"/>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5E17D8"/>
    <w:pPr>
      <w:spacing w:before="60" w:after="60"/>
    </w:pPr>
    <w:rPr>
      <w:rFonts w:cs="Arial"/>
      <w:b/>
      <w:sz w:val="20"/>
    </w:rPr>
  </w:style>
  <w:style w:type="paragraph" w:customStyle="1" w:styleId="FigureTitle">
    <w:name w:val="Figure Title"/>
    <w:basedOn w:val="Normal"/>
    <w:next w:val="Paragraphtext"/>
    <w:qFormat/>
    <w:rsid w:val="00192EFF"/>
    <w:pPr>
      <w:spacing w:before="360" w:after="160" w:line="259" w:lineRule="auto"/>
    </w:pPr>
    <w:rPr>
      <w:rFonts w:eastAsiaTheme="minorHAnsi" w:cs="Arial"/>
      <w:b/>
      <w:bCs/>
      <w:iCs/>
      <w:color w:val="000000" w:themeColor="text1"/>
      <w:sz w:val="21"/>
      <w:szCs w:val="22"/>
    </w:rPr>
  </w:style>
  <w:style w:type="paragraph" w:customStyle="1" w:styleId="Headertext">
    <w:name w:val="Header text"/>
    <w:basedOn w:val="Normal"/>
    <w:rsid w:val="005E17D8"/>
    <w:pPr>
      <w:jc w:val="right"/>
    </w:pPr>
    <w:rPr>
      <w:sz w:val="20"/>
    </w:rPr>
  </w:style>
  <w:style w:type="table" w:customStyle="1" w:styleId="PHNGreyTable">
    <w:name w:val="PHN Grey Table"/>
    <w:basedOn w:val="TableNormal"/>
    <w:uiPriority w:val="99"/>
    <w:rsid w:val="005E17D8"/>
    <w:pPr>
      <w:spacing w:before="120" w:after="120" w:line="240" w:lineRule="auto"/>
    </w:pPr>
    <w:rPr>
      <w:rFonts w:ascii="Arial" w:eastAsia="Times New Roman" w:hAnsi="Arial" w:cs="Times New Roman"/>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Heading1Purple">
    <w:name w:val="Heading 1 Purple"/>
    <w:basedOn w:val="Heading1"/>
    <w:next w:val="Paragraphtext"/>
    <w:rsid w:val="005E17D8"/>
    <w:rPr>
      <w:color w:val="8D188D"/>
    </w:rPr>
  </w:style>
  <w:style w:type="paragraph" w:customStyle="1" w:styleId="Heading2Purple">
    <w:name w:val="Heading 2 Purple"/>
    <w:basedOn w:val="Heading2"/>
    <w:next w:val="Paragraphtext"/>
    <w:rsid w:val="005E17D8"/>
    <w:pPr>
      <w:spacing w:before="180"/>
    </w:pPr>
    <w:rPr>
      <w:color w:val="8D188D"/>
    </w:rPr>
  </w:style>
  <w:style w:type="paragraph" w:customStyle="1" w:styleId="Tablelistbullet">
    <w:name w:val="Table list bullet"/>
    <w:basedOn w:val="Tabletextleft"/>
    <w:qFormat/>
    <w:rsid w:val="005E17D8"/>
    <w:pPr>
      <w:numPr>
        <w:numId w:val="3"/>
      </w:numPr>
      <w:ind w:left="284" w:hanging="284"/>
    </w:pPr>
    <w:rPr>
      <w:szCs w:val="20"/>
    </w:rPr>
  </w:style>
  <w:style w:type="paragraph" w:customStyle="1" w:styleId="Tablelistnumber">
    <w:name w:val="Table list number"/>
    <w:basedOn w:val="Tabletextleft"/>
    <w:qFormat/>
    <w:rsid w:val="005E17D8"/>
    <w:pPr>
      <w:numPr>
        <w:numId w:val="10"/>
      </w:numPr>
    </w:pPr>
    <w:rPr>
      <w:bCs/>
      <w14:numSpacing w14:val="proportional"/>
    </w:rPr>
  </w:style>
  <w:style w:type="paragraph" w:customStyle="1" w:styleId="TableHeader">
    <w:name w:val="Table Header"/>
    <w:basedOn w:val="Normal"/>
    <w:next w:val="Tabletextleft"/>
    <w:qFormat/>
    <w:rsid w:val="004227A6"/>
    <w:pPr>
      <w:spacing w:before="80" w:after="80" w:line="259" w:lineRule="auto"/>
    </w:pPr>
    <w:rPr>
      <w:rFonts w:asciiTheme="minorHAnsi" w:eastAsia="Cambria" w:hAnsiTheme="minorHAnsi" w:cstheme="minorBidi"/>
      <w:b/>
      <w:color w:val="FFFFFF" w:themeColor="background1"/>
      <w:szCs w:val="22"/>
      <w:lang w:val="en-US"/>
    </w:rPr>
  </w:style>
  <w:style w:type="paragraph" w:customStyle="1" w:styleId="SectionHeading">
    <w:name w:val="Section Heading"/>
    <w:basedOn w:val="Heading1"/>
    <w:next w:val="Paragraphtext"/>
    <w:rsid w:val="005E17D8"/>
    <w:rPr>
      <w:szCs w:val="32"/>
    </w:rPr>
  </w:style>
  <w:style w:type="paragraph" w:customStyle="1" w:styleId="Heading1Orange">
    <w:name w:val="Heading 1 Orange"/>
    <w:basedOn w:val="Heading1"/>
    <w:next w:val="Paragraphtext"/>
    <w:rsid w:val="005E17D8"/>
    <w:rPr>
      <w:color w:val="D72F0D"/>
    </w:rPr>
  </w:style>
  <w:style w:type="paragraph" w:customStyle="1" w:styleId="Heading2Orange">
    <w:name w:val="Heading 2 Orange"/>
    <w:basedOn w:val="Heading2"/>
    <w:rsid w:val="005E17D8"/>
    <w:rPr>
      <w:color w:val="D72F0D"/>
    </w:rPr>
  </w:style>
  <w:style w:type="paragraph" w:styleId="Caption">
    <w:name w:val="caption"/>
    <w:basedOn w:val="Normal"/>
    <w:next w:val="Normal"/>
    <w:unhideWhenUsed/>
    <w:rsid w:val="005E17D8"/>
    <w:pPr>
      <w:spacing w:after="200"/>
    </w:pPr>
    <w:rPr>
      <w:b/>
      <w:bCs/>
      <w:color w:val="4472C4" w:themeColor="accent1"/>
      <w:sz w:val="18"/>
      <w:szCs w:val="18"/>
    </w:rPr>
  </w:style>
  <w:style w:type="paragraph" w:customStyle="1" w:styleId="VisionBox">
    <w:name w:val="VisionBox"/>
    <w:basedOn w:val="Normal"/>
    <w:qFormat/>
    <w:rsid w:val="004227A6"/>
    <w:pPr>
      <w:pBdr>
        <w:top w:val="single" w:sz="4" w:space="15" w:color="358189"/>
        <w:bottom w:val="single" w:sz="4" w:space="10" w:color="358189"/>
      </w:pBdr>
      <w:spacing w:before="240" w:after="240" w:line="340" w:lineRule="exact"/>
    </w:pPr>
    <w:rPr>
      <w:rFonts w:asciiTheme="minorHAnsi" w:eastAsiaTheme="minorHAnsi" w:hAnsiTheme="minorHAnsi" w:cstheme="minorBidi"/>
      <w:color w:val="358189"/>
      <w:szCs w:val="22"/>
    </w:rPr>
  </w:style>
  <w:style w:type="paragraph" w:customStyle="1" w:styleId="Style1">
    <w:name w:val="Style1"/>
    <w:next w:val="Normal"/>
    <w:rsid w:val="005E17D8"/>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eastAsia="Times New Roman" w:hAnsi="Arial" w:cs="Arial"/>
      <w:color w:val="000000" w:themeColor="text1"/>
      <w:sz w:val="21"/>
      <w:szCs w:val="24"/>
      <w:lang w:val="en"/>
    </w:rPr>
  </w:style>
  <w:style w:type="character" w:customStyle="1" w:styleId="BoldAllCaps">
    <w:name w:val="Bold All Caps"/>
    <w:basedOn w:val="DefaultParagraphFont"/>
    <w:uiPriority w:val="1"/>
    <w:qFormat/>
    <w:rsid w:val="005E17D8"/>
    <w:rPr>
      <w:b/>
      <w:caps/>
      <w:smallCaps w:val="0"/>
      <w:color w:val="358189"/>
      <w:bdr w:val="none" w:sz="0" w:space="0" w:color="auto"/>
    </w:rPr>
  </w:style>
  <w:style w:type="paragraph" w:customStyle="1" w:styleId="PolicyStatement">
    <w:name w:val="PolicyStatement"/>
    <w:basedOn w:val="Normal"/>
    <w:qFormat/>
    <w:rsid w:val="004227A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after="160" w:line="259" w:lineRule="auto"/>
      <w:ind w:left="227" w:right="227"/>
    </w:pPr>
    <w:rPr>
      <w:rFonts w:asciiTheme="minorHAnsi" w:eastAsiaTheme="minorHAnsi" w:hAnsiTheme="minorHAnsi" w:cstheme="minorBidi"/>
      <w:szCs w:val="22"/>
    </w:rPr>
  </w:style>
  <w:style w:type="table" w:customStyle="1" w:styleId="DepartmentofHealthtable">
    <w:name w:val="Department of Health table"/>
    <w:basedOn w:val="TableNormal"/>
    <w:uiPriority w:val="99"/>
    <w:rsid w:val="005E17D8"/>
    <w:pPr>
      <w:spacing w:after="0" w:line="240" w:lineRule="auto"/>
    </w:pPr>
    <w:rPr>
      <w:rFonts w:ascii="Arial" w:eastAsia="Times New Roman" w:hAnsi="Arial" w:cs="Times New Roman"/>
      <w:color w:val="000000" w:themeColor="text1"/>
      <w:sz w:val="21"/>
      <w:szCs w:val="20"/>
      <w:lang w:eastAsia="en-AU"/>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TableTitleChar">
    <w:name w:val="Table Title Char"/>
    <w:basedOn w:val="DefaultParagraphFont"/>
    <w:link w:val="TableTitle"/>
    <w:rsid w:val="005E17D8"/>
    <w:rPr>
      <w:rFonts w:ascii="Arial" w:eastAsia="Times New Roman" w:hAnsi="Arial" w:cs="Times New Roman"/>
      <w:b/>
      <w:color w:val="000000" w:themeColor="text1"/>
      <w:szCs w:val="24"/>
      <w:lang w:val="en-US"/>
    </w:rPr>
  </w:style>
  <w:style w:type="paragraph" w:customStyle="1" w:styleId="IntroPara">
    <w:name w:val="Intro Para"/>
    <w:basedOn w:val="Paragraphtext"/>
    <w:next w:val="Paragraphtext"/>
    <w:qFormat/>
    <w:rsid w:val="005E17D8"/>
    <w:pPr>
      <w:spacing w:before="480" w:line="400" w:lineRule="exact"/>
    </w:pPr>
    <w:rPr>
      <w:color w:val="358189"/>
      <w:sz w:val="28"/>
    </w:rPr>
  </w:style>
  <w:style w:type="paragraph" w:customStyle="1" w:styleId="TableTextright">
    <w:name w:val="Table Text right"/>
    <w:basedOn w:val="Tabletextleft"/>
    <w:rsid w:val="005E17D8"/>
    <w:pPr>
      <w:jc w:val="right"/>
    </w:pPr>
  </w:style>
  <w:style w:type="paragraph" w:customStyle="1" w:styleId="Tabletextright0">
    <w:name w:val="Table text right"/>
    <w:basedOn w:val="Tabletextleft"/>
    <w:rsid w:val="005E17D8"/>
    <w:pPr>
      <w:jc w:val="right"/>
    </w:pPr>
  </w:style>
  <w:style w:type="paragraph" w:customStyle="1" w:styleId="Tabletextcentre">
    <w:name w:val="Table text centre"/>
    <w:basedOn w:val="Tabletextleft"/>
    <w:rsid w:val="005E17D8"/>
    <w:pPr>
      <w:jc w:val="center"/>
    </w:pPr>
  </w:style>
  <w:style w:type="paragraph" w:customStyle="1" w:styleId="Boxheading">
    <w:name w:val="Box heading"/>
    <w:basedOn w:val="Boxtype"/>
    <w:rsid w:val="005E17D8"/>
    <w:pPr>
      <w:spacing w:before="240"/>
    </w:pPr>
    <w:rPr>
      <w:rFonts w:cs="Times New Roman"/>
      <w:b/>
      <w:bCs/>
      <w:caps/>
      <w:color w:val="358189"/>
      <w:szCs w:val="20"/>
    </w:rPr>
  </w:style>
  <w:style w:type="paragraph" w:customStyle="1" w:styleId="Boxtype">
    <w:name w:val="Box type"/>
    <w:next w:val="Normal"/>
    <w:qFormat/>
    <w:rsid w:val="005E17D8"/>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eastAsia="Times New Roman" w:hAnsi="Arial" w:cs="Arial"/>
      <w:color w:val="000000" w:themeColor="text1"/>
      <w:sz w:val="21"/>
      <w:szCs w:val="24"/>
      <w:lang w:val="en"/>
    </w:rPr>
  </w:style>
  <w:style w:type="paragraph" w:styleId="Revision">
    <w:name w:val="Revision"/>
    <w:hidden/>
    <w:uiPriority w:val="99"/>
    <w:semiHidden/>
    <w:rsid w:val="00B876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1071">
      <w:bodyDiv w:val="1"/>
      <w:marLeft w:val="0"/>
      <w:marRight w:val="0"/>
      <w:marTop w:val="0"/>
      <w:marBottom w:val="0"/>
      <w:divBdr>
        <w:top w:val="none" w:sz="0" w:space="0" w:color="auto"/>
        <w:left w:val="none" w:sz="0" w:space="0" w:color="auto"/>
        <w:bottom w:val="none" w:sz="0" w:space="0" w:color="auto"/>
        <w:right w:val="none" w:sz="0" w:space="0" w:color="auto"/>
      </w:divBdr>
      <w:divsChild>
        <w:div w:id="1530684917">
          <w:marLeft w:val="274"/>
          <w:marRight w:val="0"/>
          <w:marTop w:val="0"/>
          <w:marBottom w:val="0"/>
          <w:divBdr>
            <w:top w:val="none" w:sz="0" w:space="0" w:color="auto"/>
            <w:left w:val="none" w:sz="0" w:space="0" w:color="auto"/>
            <w:bottom w:val="none" w:sz="0" w:space="0" w:color="auto"/>
            <w:right w:val="none" w:sz="0" w:space="0" w:color="auto"/>
          </w:divBdr>
        </w:div>
        <w:div w:id="2032492921">
          <w:marLeft w:val="274"/>
          <w:marRight w:val="0"/>
          <w:marTop w:val="0"/>
          <w:marBottom w:val="0"/>
          <w:divBdr>
            <w:top w:val="none" w:sz="0" w:space="0" w:color="auto"/>
            <w:left w:val="none" w:sz="0" w:space="0" w:color="auto"/>
            <w:bottom w:val="none" w:sz="0" w:space="0" w:color="auto"/>
            <w:right w:val="none" w:sz="0" w:space="0" w:color="auto"/>
          </w:divBdr>
        </w:div>
        <w:div w:id="1204364334">
          <w:marLeft w:val="274"/>
          <w:marRight w:val="0"/>
          <w:marTop w:val="0"/>
          <w:marBottom w:val="0"/>
          <w:divBdr>
            <w:top w:val="none" w:sz="0" w:space="0" w:color="auto"/>
            <w:left w:val="none" w:sz="0" w:space="0" w:color="auto"/>
            <w:bottom w:val="none" w:sz="0" w:space="0" w:color="auto"/>
            <w:right w:val="none" w:sz="0" w:space="0" w:color="auto"/>
          </w:divBdr>
        </w:div>
        <w:div w:id="1904221626">
          <w:marLeft w:val="274"/>
          <w:marRight w:val="0"/>
          <w:marTop w:val="0"/>
          <w:marBottom w:val="0"/>
          <w:divBdr>
            <w:top w:val="none" w:sz="0" w:space="0" w:color="auto"/>
            <w:left w:val="none" w:sz="0" w:space="0" w:color="auto"/>
            <w:bottom w:val="none" w:sz="0" w:space="0" w:color="auto"/>
            <w:right w:val="none" w:sz="0" w:space="0" w:color="auto"/>
          </w:divBdr>
        </w:div>
      </w:divsChild>
    </w:div>
    <w:div w:id="145321172">
      <w:bodyDiv w:val="1"/>
      <w:marLeft w:val="0"/>
      <w:marRight w:val="0"/>
      <w:marTop w:val="0"/>
      <w:marBottom w:val="0"/>
      <w:divBdr>
        <w:top w:val="none" w:sz="0" w:space="0" w:color="auto"/>
        <w:left w:val="none" w:sz="0" w:space="0" w:color="auto"/>
        <w:bottom w:val="none" w:sz="0" w:space="0" w:color="auto"/>
        <w:right w:val="none" w:sz="0" w:space="0" w:color="auto"/>
      </w:divBdr>
    </w:div>
    <w:div w:id="147671335">
      <w:bodyDiv w:val="1"/>
      <w:marLeft w:val="0"/>
      <w:marRight w:val="0"/>
      <w:marTop w:val="0"/>
      <w:marBottom w:val="0"/>
      <w:divBdr>
        <w:top w:val="none" w:sz="0" w:space="0" w:color="auto"/>
        <w:left w:val="none" w:sz="0" w:space="0" w:color="auto"/>
        <w:bottom w:val="none" w:sz="0" w:space="0" w:color="auto"/>
        <w:right w:val="none" w:sz="0" w:space="0" w:color="auto"/>
      </w:divBdr>
      <w:divsChild>
        <w:div w:id="1027559067">
          <w:marLeft w:val="274"/>
          <w:marRight w:val="0"/>
          <w:marTop w:val="0"/>
          <w:marBottom w:val="0"/>
          <w:divBdr>
            <w:top w:val="none" w:sz="0" w:space="0" w:color="auto"/>
            <w:left w:val="none" w:sz="0" w:space="0" w:color="auto"/>
            <w:bottom w:val="none" w:sz="0" w:space="0" w:color="auto"/>
            <w:right w:val="none" w:sz="0" w:space="0" w:color="auto"/>
          </w:divBdr>
        </w:div>
        <w:div w:id="451824021">
          <w:marLeft w:val="274"/>
          <w:marRight w:val="0"/>
          <w:marTop w:val="0"/>
          <w:marBottom w:val="0"/>
          <w:divBdr>
            <w:top w:val="none" w:sz="0" w:space="0" w:color="auto"/>
            <w:left w:val="none" w:sz="0" w:space="0" w:color="auto"/>
            <w:bottom w:val="none" w:sz="0" w:space="0" w:color="auto"/>
            <w:right w:val="none" w:sz="0" w:space="0" w:color="auto"/>
          </w:divBdr>
        </w:div>
        <w:div w:id="160585954">
          <w:marLeft w:val="274"/>
          <w:marRight w:val="0"/>
          <w:marTop w:val="0"/>
          <w:marBottom w:val="0"/>
          <w:divBdr>
            <w:top w:val="none" w:sz="0" w:space="0" w:color="auto"/>
            <w:left w:val="none" w:sz="0" w:space="0" w:color="auto"/>
            <w:bottom w:val="none" w:sz="0" w:space="0" w:color="auto"/>
            <w:right w:val="none" w:sz="0" w:space="0" w:color="auto"/>
          </w:divBdr>
        </w:div>
        <w:div w:id="1887176358">
          <w:marLeft w:val="274"/>
          <w:marRight w:val="0"/>
          <w:marTop w:val="0"/>
          <w:marBottom w:val="0"/>
          <w:divBdr>
            <w:top w:val="none" w:sz="0" w:space="0" w:color="auto"/>
            <w:left w:val="none" w:sz="0" w:space="0" w:color="auto"/>
            <w:bottom w:val="none" w:sz="0" w:space="0" w:color="auto"/>
            <w:right w:val="none" w:sz="0" w:space="0" w:color="auto"/>
          </w:divBdr>
        </w:div>
      </w:divsChild>
    </w:div>
    <w:div w:id="205532617">
      <w:bodyDiv w:val="1"/>
      <w:marLeft w:val="0"/>
      <w:marRight w:val="0"/>
      <w:marTop w:val="0"/>
      <w:marBottom w:val="0"/>
      <w:divBdr>
        <w:top w:val="none" w:sz="0" w:space="0" w:color="auto"/>
        <w:left w:val="none" w:sz="0" w:space="0" w:color="auto"/>
        <w:bottom w:val="none" w:sz="0" w:space="0" w:color="auto"/>
        <w:right w:val="none" w:sz="0" w:space="0" w:color="auto"/>
      </w:divBdr>
      <w:divsChild>
        <w:div w:id="867107261">
          <w:marLeft w:val="274"/>
          <w:marRight w:val="0"/>
          <w:marTop w:val="0"/>
          <w:marBottom w:val="0"/>
          <w:divBdr>
            <w:top w:val="none" w:sz="0" w:space="0" w:color="auto"/>
            <w:left w:val="none" w:sz="0" w:space="0" w:color="auto"/>
            <w:bottom w:val="none" w:sz="0" w:space="0" w:color="auto"/>
            <w:right w:val="none" w:sz="0" w:space="0" w:color="auto"/>
          </w:divBdr>
        </w:div>
        <w:div w:id="1157186790">
          <w:marLeft w:val="274"/>
          <w:marRight w:val="0"/>
          <w:marTop w:val="0"/>
          <w:marBottom w:val="0"/>
          <w:divBdr>
            <w:top w:val="none" w:sz="0" w:space="0" w:color="auto"/>
            <w:left w:val="none" w:sz="0" w:space="0" w:color="auto"/>
            <w:bottom w:val="none" w:sz="0" w:space="0" w:color="auto"/>
            <w:right w:val="none" w:sz="0" w:space="0" w:color="auto"/>
          </w:divBdr>
        </w:div>
        <w:div w:id="220210669">
          <w:marLeft w:val="274"/>
          <w:marRight w:val="0"/>
          <w:marTop w:val="0"/>
          <w:marBottom w:val="0"/>
          <w:divBdr>
            <w:top w:val="none" w:sz="0" w:space="0" w:color="auto"/>
            <w:left w:val="none" w:sz="0" w:space="0" w:color="auto"/>
            <w:bottom w:val="none" w:sz="0" w:space="0" w:color="auto"/>
            <w:right w:val="none" w:sz="0" w:space="0" w:color="auto"/>
          </w:divBdr>
        </w:div>
      </w:divsChild>
    </w:div>
    <w:div w:id="261843896">
      <w:bodyDiv w:val="1"/>
      <w:marLeft w:val="0"/>
      <w:marRight w:val="0"/>
      <w:marTop w:val="0"/>
      <w:marBottom w:val="0"/>
      <w:divBdr>
        <w:top w:val="none" w:sz="0" w:space="0" w:color="auto"/>
        <w:left w:val="none" w:sz="0" w:space="0" w:color="auto"/>
        <w:bottom w:val="none" w:sz="0" w:space="0" w:color="auto"/>
        <w:right w:val="none" w:sz="0" w:space="0" w:color="auto"/>
      </w:divBdr>
    </w:div>
    <w:div w:id="272327938">
      <w:bodyDiv w:val="1"/>
      <w:marLeft w:val="0"/>
      <w:marRight w:val="0"/>
      <w:marTop w:val="0"/>
      <w:marBottom w:val="0"/>
      <w:divBdr>
        <w:top w:val="none" w:sz="0" w:space="0" w:color="auto"/>
        <w:left w:val="none" w:sz="0" w:space="0" w:color="auto"/>
        <w:bottom w:val="none" w:sz="0" w:space="0" w:color="auto"/>
        <w:right w:val="none" w:sz="0" w:space="0" w:color="auto"/>
      </w:divBdr>
      <w:divsChild>
        <w:div w:id="1131024044">
          <w:marLeft w:val="274"/>
          <w:marRight w:val="0"/>
          <w:marTop w:val="200"/>
          <w:marBottom w:val="0"/>
          <w:divBdr>
            <w:top w:val="none" w:sz="0" w:space="0" w:color="auto"/>
            <w:left w:val="none" w:sz="0" w:space="0" w:color="auto"/>
            <w:bottom w:val="none" w:sz="0" w:space="0" w:color="auto"/>
            <w:right w:val="none" w:sz="0" w:space="0" w:color="auto"/>
          </w:divBdr>
        </w:div>
        <w:div w:id="1416591174">
          <w:marLeft w:val="274"/>
          <w:marRight w:val="0"/>
          <w:marTop w:val="200"/>
          <w:marBottom w:val="0"/>
          <w:divBdr>
            <w:top w:val="none" w:sz="0" w:space="0" w:color="auto"/>
            <w:left w:val="none" w:sz="0" w:space="0" w:color="auto"/>
            <w:bottom w:val="none" w:sz="0" w:space="0" w:color="auto"/>
            <w:right w:val="none" w:sz="0" w:space="0" w:color="auto"/>
          </w:divBdr>
        </w:div>
        <w:div w:id="1948585692">
          <w:marLeft w:val="274"/>
          <w:marRight w:val="0"/>
          <w:marTop w:val="200"/>
          <w:marBottom w:val="0"/>
          <w:divBdr>
            <w:top w:val="none" w:sz="0" w:space="0" w:color="auto"/>
            <w:left w:val="none" w:sz="0" w:space="0" w:color="auto"/>
            <w:bottom w:val="none" w:sz="0" w:space="0" w:color="auto"/>
            <w:right w:val="none" w:sz="0" w:space="0" w:color="auto"/>
          </w:divBdr>
        </w:div>
        <w:div w:id="649408823">
          <w:marLeft w:val="274"/>
          <w:marRight w:val="0"/>
          <w:marTop w:val="200"/>
          <w:marBottom w:val="0"/>
          <w:divBdr>
            <w:top w:val="none" w:sz="0" w:space="0" w:color="auto"/>
            <w:left w:val="none" w:sz="0" w:space="0" w:color="auto"/>
            <w:bottom w:val="none" w:sz="0" w:space="0" w:color="auto"/>
            <w:right w:val="none" w:sz="0" w:space="0" w:color="auto"/>
          </w:divBdr>
        </w:div>
        <w:div w:id="236325101">
          <w:marLeft w:val="274"/>
          <w:marRight w:val="0"/>
          <w:marTop w:val="200"/>
          <w:marBottom w:val="0"/>
          <w:divBdr>
            <w:top w:val="none" w:sz="0" w:space="0" w:color="auto"/>
            <w:left w:val="none" w:sz="0" w:space="0" w:color="auto"/>
            <w:bottom w:val="none" w:sz="0" w:space="0" w:color="auto"/>
            <w:right w:val="none" w:sz="0" w:space="0" w:color="auto"/>
          </w:divBdr>
        </w:div>
        <w:div w:id="1965767891">
          <w:marLeft w:val="274"/>
          <w:marRight w:val="0"/>
          <w:marTop w:val="200"/>
          <w:marBottom w:val="0"/>
          <w:divBdr>
            <w:top w:val="none" w:sz="0" w:space="0" w:color="auto"/>
            <w:left w:val="none" w:sz="0" w:space="0" w:color="auto"/>
            <w:bottom w:val="none" w:sz="0" w:space="0" w:color="auto"/>
            <w:right w:val="none" w:sz="0" w:space="0" w:color="auto"/>
          </w:divBdr>
        </w:div>
      </w:divsChild>
    </w:div>
    <w:div w:id="704335682">
      <w:bodyDiv w:val="1"/>
      <w:marLeft w:val="0"/>
      <w:marRight w:val="0"/>
      <w:marTop w:val="0"/>
      <w:marBottom w:val="0"/>
      <w:divBdr>
        <w:top w:val="none" w:sz="0" w:space="0" w:color="auto"/>
        <w:left w:val="none" w:sz="0" w:space="0" w:color="auto"/>
        <w:bottom w:val="none" w:sz="0" w:space="0" w:color="auto"/>
        <w:right w:val="none" w:sz="0" w:space="0" w:color="auto"/>
      </w:divBdr>
      <w:divsChild>
        <w:div w:id="262345517">
          <w:marLeft w:val="274"/>
          <w:marRight w:val="0"/>
          <w:marTop w:val="0"/>
          <w:marBottom w:val="0"/>
          <w:divBdr>
            <w:top w:val="none" w:sz="0" w:space="0" w:color="auto"/>
            <w:left w:val="none" w:sz="0" w:space="0" w:color="auto"/>
            <w:bottom w:val="none" w:sz="0" w:space="0" w:color="auto"/>
            <w:right w:val="none" w:sz="0" w:space="0" w:color="auto"/>
          </w:divBdr>
        </w:div>
      </w:divsChild>
    </w:div>
    <w:div w:id="740520141">
      <w:bodyDiv w:val="1"/>
      <w:marLeft w:val="0"/>
      <w:marRight w:val="0"/>
      <w:marTop w:val="0"/>
      <w:marBottom w:val="0"/>
      <w:divBdr>
        <w:top w:val="none" w:sz="0" w:space="0" w:color="auto"/>
        <w:left w:val="none" w:sz="0" w:space="0" w:color="auto"/>
        <w:bottom w:val="none" w:sz="0" w:space="0" w:color="auto"/>
        <w:right w:val="none" w:sz="0" w:space="0" w:color="auto"/>
      </w:divBdr>
    </w:div>
    <w:div w:id="822893567">
      <w:bodyDiv w:val="1"/>
      <w:marLeft w:val="0"/>
      <w:marRight w:val="0"/>
      <w:marTop w:val="0"/>
      <w:marBottom w:val="0"/>
      <w:divBdr>
        <w:top w:val="none" w:sz="0" w:space="0" w:color="auto"/>
        <w:left w:val="none" w:sz="0" w:space="0" w:color="auto"/>
        <w:bottom w:val="none" w:sz="0" w:space="0" w:color="auto"/>
        <w:right w:val="none" w:sz="0" w:space="0" w:color="auto"/>
      </w:divBdr>
    </w:div>
    <w:div w:id="898057011">
      <w:bodyDiv w:val="1"/>
      <w:marLeft w:val="0"/>
      <w:marRight w:val="0"/>
      <w:marTop w:val="0"/>
      <w:marBottom w:val="0"/>
      <w:divBdr>
        <w:top w:val="none" w:sz="0" w:space="0" w:color="auto"/>
        <w:left w:val="none" w:sz="0" w:space="0" w:color="auto"/>
        <w:bottom w:val="none" w:sz="0" w:space="0" w:color="auto"/>
        <w:right w:val="none" w:sz="0" w:space="0" w:color="auto"/>
      </w:divBdr>
      <w:divsChild>
        <w:div w:id="493377650">
          <w:marLeft w:val="0"/>
          <w:marRight w:val="0"/>
          <w:marTop w:val="0"/>
          <w:marBottom w:val="0"/>
          <w:divBdr>
            <w:top w:val="none" w:sz="0" w:space="0" w:color="auto"/>
            <w:left w:val="none" w:sz="0" w:space="0" w:color="auto"/>
            <w:bottom w:val="none" w:sz="0" w:space="0" w:color="auto"/>
            <w:right w:val="none" w:sz="0" w:space="0" w:color="auto"/>
          </w:divBdr>
          <w:divsChild>
            <w:div w:id="12937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5703">
      <w:bodyDiv w:val="1"/>
      <w:marLeft w:val="0"/>
      <w:marRight w:val="0"/>
      <w:marTop w:val="0"/>
      <w:marBottom w:val="0"/>
      <w:divBdr>
        <w:top w:val="none" w:sz="0" w:space="0" w:color="auto"/>
        <w:left w:val="none" w:sz="0" w:space="0" w:color="auto"/>
        <w:bottom w:val="none" w:sz="0" w:space="0" w:color="auto"/>
        <w:right w:val="none" w:sz="0" w:space="0" w:color="auto"/>
      </w:divBdr>
      <w:divsChild>
        <w:div w:id="116068788">
          <w:marLeft w:val="274"/>
          <w:marRight w:val="0"/>
          <w:marTop w:val="0"/>
          <w:marBottom w:val="0"/>
          <w:divBdr>
            <w:top w:val="none" w:sz="0" w:space="0" w:color="auto"/>
            <w:left w:val="none" w:sz="0" w:space="0" w:color="auto"/>
            <w:bottom w:val="none" w:sz="0" w:space="0" w:color="auto"/>
            <w:right w:val="none" w:sz="0" w:space="0" w:color="auto"/>
          </w:divBdr>
        </w:div>
        <w:div w:id="1813399306">
          <w:marLeft w:val="274"/>
          <w:marRight w:val="0"/>
          <w:marTop w:val="0"/>
          <w:marBottom w:val="0"/>
          <w:divBdr>
            <w:top w:val="none" w:sz="0" w:space="0" w:color="auto"/>
            <w:left w:val="none" w:sz="0" w:space="0" w:color="auto"/>
            <w:bottom w:val="none" w:sz="0" w:space="0" w:color="auto"/>
            <w:right w:val="none" w:sz="0" w:space="0" w:color="auto"/>
          </w:divBdr>
        </w:div>
        <w:div w:id="1140459047">
          <w:marLeft w:val="274"/>
          <w:marRight w:val="0"/>
          <w:marTop w:val="0"/>
          <w:marBottom w:val="0"/>
          <w:divBdr>
            <w:top w:val="none" w:sz="0" w:space="0" w:color="auto"/>
            <w:left w:val="none" w:sz="0" w:space="0" w:color="auto"/>
            <w:bottom w:val="none" w:sz="0" w:space="0" w:color="auto"/>
            <w:right w:val="none" w:sz="0" w:space="0" w:color="auto"/>
          </w:divBdr>
        </w:div>
        <w:div w:id="1117219595">
          <w:marLeft w:val="274"/>
          <w:marRight w:val="0"/>
          <w:marTop w:val="0"/>
          <w:marBottom w:val="0"/>
          <w:divBdr>
            <w:top w:val="none" w:sz="0" w:space="0" w:color="auto"/>
            <w:left w:val="none" w:sz="0" w:space="0" w:color="auto"/>
            <w:bottom w:val="none" w:sz="0" w:space="0" w:color="auto"/>
            <w:right w:val="none" w:sz="0" w:space="0" w:color="auto"/>
          </w:divBdr>
        </w:div>
      </w:divsChild>
    </w:div>
    <w:div w:id="1068455888">
      <w:bodyDiv w:val="1"/>
      <w:marLeft w:val="0"/>
      <w:marRight w:val="0"/>
      <w:marTop w:val="0"/>
      <w:marBottom w:val="0"/>
      <w:divBdr>
        <w:top w:val="none" w:sz="0" w:space="0" w:color="auto"/>
        <w:left w:val="none" w:sz="0" w:space="0" w:color="auto"/>
        <w:bottom w:val="none" w:sz="0" w:space="0" w:color="auto"/>
        <w:right w:val="none" w:sz="0" w:space="0" w:color="auto"/>
      </w:divBdr>
      <w:divsChild>
        <w:div w:id="798760200">
          <w:marLeft w:val="274"/>
          <w:marRight w:val="0"/>
          <w:marTop w:val="0"/>
          <w:marBottom w:val="0"/>
          <w:divBdr>
            <w:top w:val="none" w:sz="0" w:space="0" w:color="auto"/>
            <w:left w:val="none" w:sz="0" w:space="0" w:color="auto"/>
            <w:bottom w:val="none" w:sz="0" w:space="0" w:color="auto"/>
            <w:right w:val="none" w:sz="0" w:space="0" w:color="auto"/>
          </w:divBdr>
        </w:div>
      </w:divsChild>
    </w:div>
    <w:div w:id="1074664898">
      <w:bodyDiv w:val="1"/>
      <w:marLeft w:val="0"/>
      <w:marRight w:val="0"/>
      <w:marTop w:val="0"/>
      <w:marBottom w:val="0"/>
      <w:divBdr>
        <w:top w:val="none" w:sz="0" w:space="0" w:color="auto"/>
        <w:left w:val="none" w:sz="0" w:space="0" w:color="auto"/>
        <w:bottom w:val="none" w:sz="0" w:space="0" w:color="auto"/>
        <w:right w:val="none" w:sz="0" w:space="0" w:color="auto"/>
      </w:divBdr>
    </w:div>
    <w:div w:id="1136407668">
      <w:bodyDiv w:val="1"/>
      <w:marLeft w:val="0"/>
      <w:marRight w:val="0"/>
      <w:marTop w:val="0"/>
      <w:marBottom w:val="0"/>
      <w:divBdr>
        <w:top w:val="none" w:sz="0" w:space="0" w:color="auto"/>
        <w:left w:val="none" w:sz="0" w:space="0" w:color="auto"/>
        <w:bottom w:val="none" w:sz="0" w:space="0" w:color="auto"/>
        <w:right w:val="none" w:sz="0" w:space="0" w:color="auto"/>
      </w:divBdr>
      <w:divsChild>
        <w:div w:id="325864573">
          <w:marLeft w:val="547"/>
          <w:marRight w:val="0"/>
          <w:marTop w:val="0"/>
          <w:marBottom w:val="0"/>
          <w:divBdr>
            <w:top w:val="none" w:sz="0" w:space="0" w:color="auto"/>
            <w:left w:val="none" w:sz="0" w:space="0" w:color="auto"/>
            <w:bottom w:val="none" w:sz="0" w:space="0" w:color="auto"/>
            <w:right w:val="none" w:sz="0" w:space="0" w:color="auto"/>
          </w:divBdr>
        </w:div>
        <w:div w:id="687296773">
          <w:marLeft w:val="547"/>
          <w:marRight w:val="0"/>
          <w:marTop w:val="0"/>
          <w:marBottom w:val="0"/>
          <w:divBdr>
            <w:top w:val="none" w:sz="0" w:space="0" w:color="auto"/>
            <w:left w:val="none" w:sz="0" w:space="0" w:color="auto"/>
            <w:bottom w:val="none" w:sz="0" w:space="0" w:color="auto"/>
            <w:right w:val="none" w:sz="0" w:space="0" w:color="auto"/>
          </w:divBdr>
        </w:div>
      </w:divsChild>
    </w:div>
    <w:div w:id="1281953033">
      <w:bodyDiv w:val="1"/>
      <w:marLeft w:val="0"/>
      <w:marRight w:val="0"/>
      <w:marTop w:val="0"/>
      <w:marBottom w:val="0"/>
      <w:divBdr>
        <w:top w:val="none" w:sz="0" w:space="0" w:color="auto"/>
        <w:left w:val="none" w:sz="0" w:space="0" w:color="auto"/>
        <w:bottom w:val="none" w:sz="0" w:space="0" w:color="auto"/>
        <w:right w:val="none" w:sz="0" w:space="0" w:color="auto"/>
      </w:divBdr>
    </w:div>
    <w:div w:id="1316488765">
      <w:bodyDiv w:val="1"/>
      <w:marLeft w:val="0"/>
      <w:marRight w:val="0"/>
      <w:marTop w:val="0"/>
      <w:marBottom w:val="0"/>
      <w:divBdr>
        <w:top w:val="none" w:sz="0" w:space="0" w:color="auto"/>
        <w:left w:val="none" w:sz="0" w:space="0" w:color="auto"/>
        <w:bottom w:val="none" w:sz="0" w:space="0" w:color="auto"/>
        <w:right w:val="none" w:sz="0" w:space="0" w:color="auto"/>
      </w:divBdr>
      <w:divsChild>
        <w:div w:id="568156626">
          <w:marLeft w:val="0"/>
          <w:marRight w:val="0"/>
          <w:marTop w:val="0"/>
          <w:marBottom w:val="0"/>
          <w:divBdr>
            <w:top w:val="none" w:sz="0" w:space="0" w:color="auto"/>
            <w:left w:val="none" w:sz="0" w:space="0" w:color="auto"/>
            <w:bottom w:val="none" w:sz="0" w:space="0" w:color="auto"/>
            <w:right w:val="none" w:sz="0" w:space="0" w:color="auto"/>
          </w:divBdr>
          <w:divsChild>
            <w:div w:id="11787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64895">
      <w:bodyDiv w:val="1"/>
      <w:marLeft w:val="0"/>
      <w:marRight w:val="0"/>
      <w:marTop w:val="0"/>
      <w:marBottom w:val="0"/>
      <w:divBdr>
        <w:top w:val="none" w:sz="0" w:space="0" w:color="auto"/>
        <w:left w:val="none" w:sz="0" w:space="0" w:color="auto"/>
        <w:bottom w:val="none" w:sz="0" w:space="0" w:color="auto"/>
        <w:right w:val="none" w:sz="0" w:space="0" w:color="auto"/>
      </w:divBdr>
      <w:divsChild>
        <w:div w:id="1470592566">
          <w:marLeft w:val="274"/>
          <w:marRight w:val="0"/>
          <w:marTop w:val="200"/>
          <w:marBottom w:val="0"/>
          <w:divBdr>
            <w:top w:val="none" w:sz="0" w:space="0" w:color="auto"/>
            <w:left w:val="none" w:sz="0" w:space="0" w:color="auto"/>
            <w:bottom w:val="none" w:sz="0" w:space="0" w:color="auto"/>
            <w:right w:val="none" w:sz="0" w:space="0" w:color="auto"/>
          </w:divBdr>
        </w:div>
        <w:div w:id="1452824714">
          <w:marLeft w:val="274"/>
          <w:marRight w:val="0"/>
          <w:marTop w:val="200"/>
          <w:marBottom w:val="0"/>
          <w:divBdr>
            <w:top w:val="none" w:sz="0" w:space="0" w:color="auto"/>
            <w:left w:val="none" w:sz="0" w:space="0" w:color="auto"/>
            <w:bottom w:val="none" w:sz="0" w:space="0" w:color="auto"/>
            <w:right w:val="none" w:sz="0" w:space="0" w:color="auto"/>
          </w:divBdr>
        </w:div>
        <w:div w:id="1462114192">
          <w:marLeft w:val="576"/>
          <w:marRight w:val="0"/>
          <w:marTop w:val="120"/>
          <w:marBottom w:val="0"/>
          <w:divBdr>
            <w:top w:val="none" w:sz="0" w:space="0" w:color="auto"/>
            <w:left w:val="none" w:sz="0" w:space="0" w:color="auto"/>
            <w:bottom w:val="none" w:sz="0" w:space="0" w:color="auto"/>
            <w:right w:val="none" w:sz="0" w:space="0" w:color="auto"/>
          </w:divBdr>
        </w:div>
        <w:div w:id="858785260">
          <w:marLeft w:val="576"/>
          <w:marRight w:val="0"/>
          <w:marTop w:val="120"/>
          <w:marBottom w:val="0"/>
          <w:divBdr>
            <w:top w:val="none" w:sz="0" w:space="0" w:color="auto"/>
            <w:left w:val="none" w:sz="0" w:space="0" w:color="auto"/>
            <w:bottom w:val="none" w:sz="0" w:space="0" w:color="auto"/>
            <w:right w:val="none" w:sz="0" w:space="0" w:color="auto"/>
          </w:divBdr>
        </w:div>
        <w:div w:id="1203664250">
          <w:marLeft w:val="576"/>
          <w:marRight w:val="0"/>
          <w:marTop w:val="120"/>
          <w:marBottom w:val="0"/>
          <w:divBdr>
            <w:top w:val="none" w:sz="0" w:space="0" w:color="auto"/>
            <w:left w:val="none" w:sz="0" w:space="0" w:color="auto"/>
            <w:bottom w:val="none" w:sz="0" w:space="0" w:color="auto"/>
            <w:right w:val="none" w:sz="0" w:space="0" w:color="auto"/>
          </w:divBdr>
        </w:div>
        <w:div w:id="1150443438">
          <w:marLeft w:val="576"/>
          <w:marRight w:val="0"/>
          <w:marTop w:val="120"/>
          <w:marBottom w:val="0"/>
          <w:divBdr>
            <w:top w:val="none" w:sz="0" w:space="0" w:color="auto"/>
            <w:left w:val="none" w:sz="0" w:space="0" w:color="auto"/>
            <w:bottom w:val="none" w:sz="0" w:space="0" w:color="auto"/>
            <w:right w:val="none" w:sz="0" w:space="0" w:color="auto"/>
          </w:divBdr>
        </w:div>
        <w:div w:id="1127354762">
          <w:marLeft w:val="576"/>
          <w:marRight w:val="0"/>
          <w:marTop w:val="120"/>
          <w:marBottom w:val="0"/>
          <w:divBdr>
            <w:top w:val="none" w:sz="0" w:space="0" w:color="auto"/>
            <w:left w:val="none" w:sz="0" w:space="0" w:color="auto"/>
            <w:bottom w:val="none" w:sz="0" w:space="0" w:color="auto"/>
            <w:right w:val="none" w:sz="0" w:space="0" w:color="auto"/>
          </w:divBdr>
        </w:div>
        <w:div w:id="869028617">
          <w:marLeft w:val="576"/>
          <w:marRight w:val="0"/>
          <w:marTop w:val="120"/>
          <w:marBottom w:val="0"/>
          <w:divBdr>
            <w:top w:val="none" w:sz="0" w:space="0" w:color="auto"/>
            <w:left w:val="none" w:sz="0" w:space="0" w:color="auto"/>
            <w:bottom w:val="none" w:sz="0" w:space="0" w:color="auto"/>
            <w:right w:val="none" w:sz="0" w:space="0" w:color="auto"/>
          </w:divBdr>
        </w:div>
        <w:div w:id="1237518191">
          <w:marLeft w:val="576"/>
          <w:marRight w:val="0"/>
          <w:marTop w:val="120"/>
          <w:marBottom w:val="0"/>
          <w:divBdr>
            <w:top w:val="none" w:sz="0" w:space="0" w:color="auto"/>
            <w:left w:val="none" w:sz="0" w:space="0" w:color="auto"/>
            <w:bottom w:val="none" w:sz="0" w:space="0" w:color="auto"/>
            <w:right w:val="none" w:sz="0" w:space="0" w:color="auto"/>
          </w:divBdr>
        </w:div>
        <w:div w:id="39062808">
          <w:marLeft w:val="274"/>
          <w:marRight w:val="0"/>
          <w:marTop w:val="200"/>
          <w:marBottom w:val="0"/>
          <w:divBdr>
            <w:top w:val="none" w:sz="0" w:space="0" w:color="auto"/>
            <w:left w:val="none" w:sz="0" w:space="0" w:color="auto"/>
            <w:bottom w:val="none" w:sz="0" w:space="0" w:color="auto"/>
            <w:right w:val="none" w:sz="0" w:space="0" w:color="auto"/>
          </w:divBdr>
        </w:div>
        <w:div w:id="758793612">
          <w:marLeft w:val="274"/>
          <w:marRight w:val="0"/>
          <w:marTop w:val="200"/>
          <w:marBottom w:val="0"/>
          <w:divBdr>
            <w:top w:val="none" w:sz="0" w:space="0" w:color="auto"/>
            <w:left w:val="none" w:sz="0" w:space="0" w:color="auto"/>
            <w:bottom w:val="none" w:sz="0" w:space="0" w:color="auto"/>
            <w:right w:val="none" w:sz="0" w:space="0" w:color="auto"/>
          </w:divBdr>
        </w:div>
        <w:div w:id="1343162474">
          <w:marLeft w:val="274"/>
          <w:marRight w:val="0"/>
          <w:marTop w:val="200"/>
          <w:marBottom w:val="0"/>
          <w:divBdr>
            <w:top w:val="none" w:sz="0" w:space="0" w:color="auto"/>
            <w:left w:val="none" w:sz="0" w:space="0" w:color="auto"/>
            <w:bottom w:val="none" w:sz="0" w:space="0" w:color="auto"/>
            <w:right w:val="none" w:sz="0" w:space="0" w:color="auto"/>
          </w:divBdr>
        </w:div>
      </w:divsChild>
    </w:div>
    <w:div w:id="1425225588">
      <w:bodyDiv w:val="1"/>
      <w:marLeft w:val="0"/>
      <w:marRight w:val="0"/>
      <w:marTop w:val="0"/>
      <w:marBottom w:val="0"/>
      <w:divBdr>
        <w:top w:val="none" w:sz="0" w:space="0" w:color="auto"/>
        <w:left w:val="none" w:sz="0" w:space="0" w:color="auto"/>
        <w:bottom w:val="none" w:sz="0" w:space="0" w:color="auto"/>
        <w:right w:val="none" w:sz="0" w:space="0" w:color="auto"/>
      </w:divBdr>
    </w:div>
    <w:div w:id="1460025311">
      <w:bodyDiv w:val="1"/>
      <w:marLeft w:val="0"/>
      <w:marRight w:val="0"/>
      <w:marTop w:val="0"/>
      <w:marBottom w:val="0"/>
      <w:divBdr>
        <w:top w:val="none" w:sz="0" w:space="0" w:color="auto"/>
        <w:left w:val="none" w:sz="0" w:space="0" w:color="auto"/>
        <w:bottom w:val="none" w:sz="0" w:space="0" w:color="auto"/>
        <w:right w:val="none" w:sz="0" w:space="0" w:color="auto"/>
      </w:divBdr>
      <w:divsChild>
        <w:div w:id="2060282166">
          <w:marLeft w:val="0"/>
          <w:marRight w:val="0"/>
          <w:marTop w:val="0"/>
          <w:marBottom w:val="0"/>
          <w:divBdr>
            <w:top w:val="none" w:sz="0" w:space="0" w:color="auto"/>
            <w:left w:val="none" w:sz="0" w:space="0" w:color="auto"/>
            <w:bottom w:val="none" w:sz="0" w:space="0" w:color="auto"/>
            <w:right w:val="none" w:sz="0" w:space="0" w:color="auto"/>
          </w:divBdr>
        </w:div>
      </w:divsChild>
    </w:div>
    <w:div w:id="1566061518">
      <w:bodyDiv w:val="1"/>
      <w:marLeft w:val="0"/>
      <w:marRight w:val="0"/>
      <w:marTop w:val="0"/>
      <w:marBottom w:val="0"/>
      <w:divBdr>
        <w:top w:val="none" w:sz="0" w:space="0" w:color="auto"/>
        <w:left w:val="none" w:sz="0" w:space="0" w:color="auto"/>
        <w:bottom w:val="none" w:sz="0" w:space="0" w:color="auto"/>
        <w:right w:val="none" w:sz="0" w:space="0" w:color="auto"/>
      </w:divBdr>
    </w:div>
    <w:div w:id="1662393807">
      <w:bodyDiv w:val="1"/>
      <w:marLeft w:val="0"/>
      <w:marRight w:val="0"/>
      <w:marTop w:val="0"/>
      <w:marBottom w:val="0"/>
      <w:divBdr>
        <w:top w:val="none" w:sz="0" w:space="0" w:color="auto"/>
        <w:left w:val="none" w:sz="0" w:space="0" w:color="auto"/>
        <w:bottom w:val="none" w:sz="0" w:space="0" w:color="auto"/>
        <w:right w:val="none" w:sz="0" w:space="0" w:color="auto"/>
      </w:divBdr>
    </w:div>
    <w:div w:id="1738935426">
      <w:bodyDiv w:val="1"/>
      <w:marLeft w:val="0"/>
      <w:marRight w:val="0"/>
      <w:marTop w:val="0"/>
      <w:marBottom w:val="0"/>
      <w:divBdr>
        <w:top w:val="none" w:sz="0" w:space="0" w:color="auto"/>
        <w:left w:val="none" w:sz="0" w:space="0" w:color="auto"/>
        <w:bottom w:val="none" w:sz="0" w:space="0" w:color="auto"/>
        <w:right w:val="none" w:sz="0" w:space="0" w:color="auto"/>
      </w:divBdr>
    </w:div>
    <w:div w:id="1820459180">
      <w:bodyDiv w:val="1"/>
      <w:marLeft w:val="0"/>
      <w:marRight w:val="0"/>
      <w:marTop w:val="0"/>
      <w:marBottom w:val="0"/>
      <w:divBdr>
        <w:top w:val="none" w:sz="0" w:space="0" w:color="auto"/>
        <w:left w:val="none" w:sz="0" w:space="0" w:color="auto"/>
        <w:bottom w:val="none" w:sz="0" w:space="0" w:color="auto"/>
        <w:right w:val="none" w:sz="0" w:space="0" w:color="auto"/>
      </w:divBdr>
      <w:divsChild>
        <w:div w:id="1093361797">
          <w:marLeft w:val="547"/>
          <w:marRight w:val="0"/>
          <w:marTop w:val="0"/>
          <w:marBottom w:val="0"/>
          <w:divBdr>
            <w:top w:val="none" w:sz="0" w:space="0" w:color="auto"/>
            <w:left w:val="none" w:sz="0" w:space="0" w:color="auto"/>
            <w:bottom w:val="none" w:sz="0" w:space="0" w:color="auto"/>
            <w:right w:val="none" w:sz="0" w:space="0" w:color="auto"/>
          </w:divBdr>
        </w:div>
        <w:div w:id="1741512383">
          <w:marLeft w:val="547"/>
          <w:marRight w:val="0"/>
          <w:marTop w:val="0"/>
          <w:marBottom w:val="0"/>
          <w:divBdr>
            <w:top w:val="none" w:sz="0" w:space="0" w:color="auto"/>
            <w:left w:val="none" w:sz="0" w:space="0" w:color="auto"/>
            <w:bottom w:val="none" w:sz="0" w:space="0" w:color="auto"/>
            <w:right w:val="none" w:sz="0" w:space="0" w:color="auto"/>
          </w:divBdr>
        </w:div>
      </w:divsChild>
    </w:div>
    <w:div w:id="1893039025">
      <w:bodyDiv w:val="1"/>
      <w:marLeft w:val="0"/>
      <w:marRight w:val="0"/>
      <w:marTop w:val="0"/>
      <w:marBottom w:val="0"/>
      <w:divBdr>
        <w:top w:val="none" w:sz="0" w:space="0" w:color="auto"/>
        <w:left w:val="none" w:sz="0" w:space="0" w:color="auto"/>
        <w:bottom w:val="none" w:sz="0" w:space="0" w:color="auto"/>
        <w:right w:val="none" w:sz="0" w:space="0" w:color="auto"/>
      </w:divBdr>
    </w:div>
    <w:div w:id="1915820689">
      <w:bodyDiv w:val="1"/>
      <w:marLeft w:val="0"/>
      <w:marRight w:val="0"/>
      <w:marTop w:val="0"/>
      <w:marBottom w:val="0"/>
      <w:divBdr>
        <w:top w:val="none" w:sz="0" w:space="0" w:color="auto"/>
        <w:left w:val="none" w:sz="0" w:space="0" w:color="auto"/>
        <w:bottom w:val="none" w:sz="0" w:space="0" w:color="auto"/>
        <w:right w:val="none" w:sz="0" w:space="0" w:color="auto"/>
      </w:divBdr>
      <w:divsChild>
        <w:div w:id="1717847381">
          <w:marLeft w:val="274"/>
          <w:marRight w:val="0"/>
          <w:marTop w:val="0"/>
          <w:marBottom w:val="0"/>
          <w:divBdr>
            <w:top w:val="none" w:sz="0" w:space="0" w:color="auto"/>
            <w:left w:val="none" w:sz="0" w:space="0" w:color="auto"/>
            <w:bottom w:val="none" w:sz="0" w:space="0" w:color="auto"/>
            <w:right w:val="none" w:sz="0" w:space="0" w:color="auto"/>
          </w:divBdr>
        </w:div>
        <w:div w:id="2071417455">
          <w:marLeft w:val="274"/>
          <w:marRight w:val="0"/>
          <w:marTop w:val="0"/>
          <w:marBottom w:val="0"/>
          <w:divBdr>
            <w:top w:val="none" w:sz="0" w:space="0" w:color="auto"/>
            <w:left w:val="none" w:sz="0" w:space="0" w:color="auto"/>
            <w:bottom w:val="none" w:sz="0" w:space="0" w:color="auto"/>
            <w:right w:val="none" w:sz="0" w:space="0" w:color="auto"/>
          </w:divBdr>
        </w:div>
        <w:div w:id="411855188">
          <w:marLeft w:val="274"/>
          <w:marRight w:val="0"/>
          <w:marTop w:val="0"/>
          <w:marBottom w:val="0"/>
          <w:divBdr>
            <w:top w:val="none" w:sz="0" w:space="0" w:color="auto"/>
            <w:left w:val="none" w:sz="0" w:space="0" w:color="auto"/>
            <w:bottom w:val="none" w:sz="0" w:space="0" w:color="auto"/>
            <w:right w:val="none" w:sz="0" w:space="0" w:color="auto"/>
          </w:divBdr>
        </w:div>
      </w:divsChild>
    </w:div>
    <w:div w:id="1916040754">
      <w:bodyDiv w:val="1"/>
      <w:marLeft w:val="0"/>
      <w:marRight w:val="0"/>
      <w:marTop w:val="0"/>
      <w:marBottom w:val="0"/>
      <w:divBdr>
        <w:top w:val="none" w:sz="0" w:space="0" w:color="auto"/>
        <w:left w:val="none" w:sz="0" w:space="0" w:color="auto"/>
        <w:bottom w:val="none" w:sz="0" w:space="0" w:color="auto"/>
        <w:right w:val="none" w:sz="0" w:space="0" w:color="auto"/>
      </w:divBdr>
    </w:div>
    <w:div w:id="195050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ealth.gov.au/resources/publications/prostheses-list-guide" TargetMode="External"/><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openxmlformats.org/officeDocument/2006/relationships/hyperlink" Target="http://www.who.int/publications/i/item/9789241501361" TargetMode="External"/><Relationship Id="rId3" Type="http://schemas.openxmlformats.org/officeDocument/2006/relationships/styles" Target="styles.xml"/><Relationship Id="rId21" Type="http://schemas.openxmlformats.org/officeDocument/2006/relationships/diagramLayout" Target="diagrams/layout2.xml"/><Relationship Id="rId34" Type="http://schemas.microsoft.com/office/2007/relationships/diagramDrawing" Target="diagrams/drawing4.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hyperlink" Target="http://www.aph.gov.au/Parliamentary_Business/Committees/Senate/Community_Affairs/ProsthesesListFramework/Report"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resources/publications/prostheses-list-guide" TargetMode="External"/><Relationship Id="rId24" Type="http://schemas.microsoft.com/office/2007/relationships/diagramDrawing" Target="diagrams/drawing2.xml"/><Relationship Id="rId32" Type="http://schemas.openxmlformats.org/officeDocument/2006/relationships/diagramQuickStyle" Target="diagrams/quickStyle4.xml"/><Relationship Id="rId37" Type="http://schemas.openxmlformats.org/officeDocument/2006/relationships/hyperlink" Target="http://www.health.gov.au/resources/publications/options-for-a-revised-framework-for-setting-and-reviewing-benefits-for-the-prostheses-list-repor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hyperlink" Target="http://www.health.gov.au/resources/publications/prostheses-list-guide" TargetMode="External"/><Relationship Id="rId10" Type="http://schemas.openxmlformats.org/officeDocument/2006/relationships/hyperlink" Target="https://www.legislation.gov.au/Details/C2019C00067" TargetMode="External"/><Relationship Id="rId19" Type="http://schemas.microsoft.com/office/2007/relationships/diagramDrawing" Target="diagrams/drawing1.xml"/><Relationship Id="rId31" Type="http://schemas.openxmlformats.org/officeDocument/2006/relationships/diagramLayout" Target="diagrams/layout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hyperlink" Target="http://www.health.gov.au/resources/publications/agreement-between-the-government-and-the-medical-technology-association-of-austral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DBRB\AppData\Local\Microsoft\Windows\INetCache\Content.Outlook\EJ6LSEW9\Department%20of%20Health%20-%20Short%20document%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669819-E1D4-41E6-9704-C9B5C49FBFA0}"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AU"/>
        </a:p>
      </dgm:t>
    </dgm:pt>
    <dgm:pt modelId="{506F9CFD-8222-4972-B7C6-262BD094E4FD}">
      <dgm:prSet phldrT="[Text]" custT="1"/>
      <dgm:spPr/>
      <dgm:t>
        <a:bodyPr/>
        <a:lstStyle/>
        <a:p>
          <a:pPr>
            <a:lnSpc>
              <a:spcPct val="100000"/>
            </a:lnSpc>
          </a:pPr>
          <a:r>
            <a:rPr lang="en-AU" sz="1400" b="1" spc="50" baseline="0">
              <a:latin typeface="Arial" panose="020B0604020202020204" pitchFamily="34" charset="0"/>
              <a:cs typeface="Arial" panose="020B0604020202020204" pitchFamily="34" charset="0"/>
            </a:rPr>
            <a:t>Tier 1</a:t>
          </a:r>
          <a:r>
            <a:rPr lang="en-AU" sz="1400" spc="50" baseline="0">
              <a:latin typeface="Arial" panose="020B0604020202020204" pitchFamily="34" charset="0"/>
              <a:cs typeface="Arial" panose="020B0604020202020204" pitchFamily="34" charset="0"/>
            </a:rPr>
            <a:t> </a:t>
          </a:r>
        </a:p>
        <a:p>
          <a:pPr>
            <a:lnSpc>
              <a:spcPct val="100000"/>
            </a:lnSpc>
          </a:pPr>
          <a:r>
            <a:rPr lang="nl-NL" sz="1200" b="1" spc="-45" dirty="0">
              <a:latin typeface="Arial" panose="020B0604020202020204" pitchFamily="34" charset="0"/>
              <a:cs typeface="Arial" panose="020B0604020202020204" pitchFamily="34" charset="0"/>
            </a:rPr>
            <a:t>Abbreviated Pathway</a:t>
          </a:r>
          <a:endParaRPr lang="en-AU" sz="1200">
            <a:latin typeface="Arial" panose="020B0604020202020204" pitchFamily="34" charset="0"/>
            <a:cs typeface="Arial" panose="020B0604020202020204" pitchFamily="34" charset="0"/>
          </a:endParaRPr>
        </a:p>
      </dgm:t>
    </dgm:pt>
    <dgm:pt modelId="{ABC62F14-D062-4A89-AEC7-4B4C3BD26EB8}" type="parTrans" cxnId="{D9C6529D-211F-43D5-A681-D905FCCFB6A7}">
      <dgm:prSet/>
      <dgm:spPr/>
      <dgm:t>
        <a:bodyPr/>
        <a:lstStyle/>
        <a:p>
          <a:pPr>
            <a:lnSpc>
              <a:spcPct val="100000"/>
            </a:lnSpc>
          </a:pPr>
          <a:endParaRPr lang="en-AU">
            <a:latin typeface="Arial" panose="020B0604020202020204" pitchFamily="34" charset="0"/>
            <a:cs typeface="Arial" panose="020B0604020202020204" pitchFamily="34" charset="0"/>
          </a:endParaRPr>
        </a:p>
      </dgm:t>
    </dgm:pt>
    <dgm:pt modelId="{06EFD4CB-E39A-4AC2-BBAC-89B19B456BA1}" type="sibTrans" cxnId="{D9C6529D-211F-43D5-A681-D905FCCFB6A7}">
      <dgm:prSet/>
      <dgm:spPr/>
      <dgm:t>
        <a:bodyPr/>
        <a:lstStyle/>
        <a:p>
          <a:pPr>
            <a:lnSpc>
              <a:spcPct val="100000"/>
            </a:lnSpc>
          </a:pPr>
          <a:endParaRPr lang="en-AU">
            <a:latin typeface="Arial" panose="020B0604020202020204" pitchFamily="34" charset="0"/>
            <a:cs typeface="Arial" panose="020B0604020202020204" pitchFamily="34" charset="0"/>
          </a:endParaRPr>
        </a:p>
      </dgm:t>
    </dgm:pt>
    <dgm:pt modelId="{E94B6868-FC69-413B-9C29-E5CC317B8353}">
      <dgm:prSet phldrT="[Text]" custT="1"/>
      <dgm:spPr/>
      <dgm:t>
        <a:bodyPr/>
        <a:lstStyle/>
        <a:p>
          <a:pPr>
            <a:lnSpc>
              <a:spcPct val="100000"/>
            </a:lnSpc>
          </a:pPr>
          <a:r>
            <a:rPr lang="en-AU" sz="1400" b="1" spc="50" baseline="0">
              <a:latin typeface="Arial" panose="020B0604020202020204" pitchFamily="34" charset="0"/>
              <a:cs typeface="Arial" panose="020B0604020202020204" pitchFamily="34" charset="0"/>
            </a:rPr>
            <a:t>Tier 2 </a:t>
          </a:r>
        </a:p>
        <a:p>
          <a:pPr>
            <a:lnSpc>
              <a:spcPct val="100000"/>
            </a:lnSpc>
          </a:pPr>
          <a:r>
            <a:rPr lang="en-AU" sz="1140" b="1" spc="-50" baseline="0">
              <a:latin typeface="Arial" panose="020B0604020202020204" pitchFamily="34" charset="0"/>
              <a:cs typeface="Arial" panose="020B0604020202020204" pitchFamily="34" charset="0"/>
            </a:rPr>
            <a:t>Clinical/Fo</a:t>
          </a:r>
          <a:r>
            <a:rPr lang="nl-NL" sz="1140" b="1" spc="-50" baseline="0" dirty="0">
              <a:latin typeface="Arial" panose="020B0604020202020204" pitchFamily="34" charset="0"/>
              <a:cs typeface="Arial" panose="020B0604020202020204" pitchFamily="34" charset="0"/>
            </a:rPr>
            <a:t>cused </a:t>
          </a:r>
          <a:br>
            <a:rPr lang="nl-NL" sz="1200" b="1" spc="-45" dirty="0">
              <a:latin typeface="Arial" panose="020B0604020202020204" pitchFamily="34" charset="0"/>
              <a:cs typeface="Arial" panose="020B0604020202020204" pitchFamily="34" charset="0"/>
            </a:rPr>
          </a:br>
          <a:r>
            <a:rPr lang="nl-NL" sz="1200" b="1" spc="-45" dirty="0">
              <a:latin typeface="Arial" panose="020B0604020202020204" pitchFamily="34" charset="0"/>
              <a:cs typeface="Arial" panose="020B0604020202020204" pitchFamily="34" charset="0"/>
            </a:rPr>
            <a:t>HTA Pathway</a:t>
          </a:r>
          <a:endParaRPr lang="en-AU" sz="1200">
            <a:latin typeface="Arial" panose="020B0604020202020204" pitchFamily="34" charset="0"/>
            <a:cs typeface="Arial" panose="020B0604020202020204" pitchFamily="34" charset="0"/>
          </a:endParaRPr>
        </a:p>
      </dgm:t>
    </dgm:pt>
    <dgm:pt modelId="{B491DD15-F977-400A-ABC2-8E7BD27C0923}" type="parTrans" cxnId="{BBC6D301-BF95-40BA-964C-A1E877E3F0FB}">
      <dgm:prSet/>
      <dgm:spPr/>
      <dgm:t>
        <a:bodyPr/>
        <a:lstStyle/>
        <a:p>
          <a:pPr>
            <a:lnSpc>
              <a:spcPct val="100000"/>
            </a:lnSpc>
          </a:pPr>
          <a:endParaRPr lang="en-AU">
            <a:latin typeface="Arial" panose="020B0604020202020204" pitchFamily="34" charset="0"/>
            <a:cs typeface="Arial" panose="020B0604020202020204" pitchFamily="34" charset="0"/>
          </a:endParaRPr>
        </a:p>
      </dgm:t>
    </dgm:pt>
    <dgm:pt modelId="{BE33A04A-9C58-415D-AE15-C6ADA9F62AF5}" type="sibTrans" cxnId="{BBC6D301-BF95-40BA-964C-A1E877E3F0FB}">
      <dgm:prSet/>
      <dgm:spPr/>
      <dgm:t>
        <a:bodyPr/>
        <a:lstStyle/>
        <a:p>
          <a:pPr>
            <a:lnSpc>
              <a:spcPct val="100000"/>
            </a:lnSpc>
          </a:pPr>
          <a:endParaRPr lang="en-AU">
            <a:latin typeface="Arial" panose="020B0604020202020204" pitchFamily="34" charset="0"/>
            <a:cs typeface="Arial" panose="020B0604020202020204" pitchFamily="34" charset="0"/>
          </a:endParaRPr>
        </a:p>
      </dgm:t>
    </dgm:pt>
    <dgm:pt modelId="{5B27CD44-C7E3-437F-9CBD-0B736E6DB96A}">
      <dgm:prSet phldrT="[Text]" custT="1"/>
      <dgm:spPr/>
      <dgm:t>
        <a:bodyPr/>
        <a:lstStyle/>
        <a:p>
          <a:pPr>
            <a:lnSpc>
              <a:spcPct val="100000"/>
            </a:lnSpc>
          </a:pPr>
          <a:r>
            <a:rPr lang="en-AU" sz="1400" b="1" spc="50" baseline="0">
              <a:latin typeface="Arial" panose="020B0604020202020204" pitchFamily="34" charset="0"/>
              <a:cs typeface="Arial" panose="020B0604020202020204" pitchFamily="34" charset="0"/>
            </a:rPr>
            <a:t>Tier 3 </a:t>
          </a:r>
        </a:p>
        <a:p>
          <a:pPr>
            <a:lnSpc>
              <a:spcPct val="100000"/>
            </a:lnSpc>
          </a:pPr>
          <a:r>
            <a:rPr lang="nl-NL" sz="1200" b="1" spc="-45" dirty="0">
              <a:latin typeface="Arial" panose="020B0604020202020204" pitchFamily="34" charset="0"/>
              <a:cs typeface="Arial" panose="020B0604020202020204" pitchFamily="34" charset="0"/>
            </a:rPr>
            <a:t>Full </a:t>
          </a:r>
          <a:br>
            <a:rPr lang="nl-NL" sz="1200" b="1" spc="-45" dirty="0">
              <a:latin typeface="Arial" panose="020B0604020202020204" pitchFamily="34" charset="0"/>
              <a:cs typeface="Arial" panose="020B0604020202020204" pitchFamily="34" charset="0"/>
            </a:rPr>
          </a:br>
          <a:r>
            <a:rPr lang="nl-NL" sz="1200" b="1" spc="-45" dirty="0">
              <a:latin typeface="Arial" panose="020B0604020202020204" pitchFamily="34" charset="0"/>
              <a:cs typeface="Arial" panose="020B0604020202020204" pitchFamily="34" charset="0"/>
            </a:rPr>
            <a:t>HTA Pathway (MSAC)</a:t>
          </a:r>
          <a:endParaRPr lang="en-AU" sz="1200">
            <a:latin typeface="Arial" panose="020B0604020202020204" pitchFamily="34" charset="0"/>
            <a:cs typeface="Arial" panose="020B0604020202020204" pitchFamily="34" charset="0"/>
          </a:endParaRPr>
        </a:p>
      </dgm:t>
    </dgm:pt>
    <dgm:pt modelId="{07B11E9D-D84A-4CDE-B705-871FAE2DE1D3}" type="parTrans" cxnId="{000AF6EB-B547-4023-BEB3-64FABD5B6864}">
      <dgm:prSet/>
      <dgm:spPr/>
      <dgm:t>
        <a:bodyPr/>
        <a:lstStyle/>
        <a:p>
          <a:pPr>
            <a:lnSpc>
              <a:spcPct val="100000"/>
            </a:lnSpc>
          </a:pPr>
          <a:endParaRPr lang="en-AU">
            <a:latin typeface="Arial" panose="020B0604020202020204" pitchFamily="34" charset="0"/>
            <a:cs typeface="Arial" panose="020B0604020202020204" pitchFamily="34" charset="0"/>
          </a:endParaRPr>
        </a:p>
      </dgm:t>
    </dgm:pt>
    <dgm:pt modelId="{FD540BD9-BD22-40BC-89E6-E543C725A8AB}" type="sibTrans" cxnId="{000AF6EB-B547-4023-BEB3-64FABD5B6864}">
      <dgm:prSet/>
      <dgm:spPr/>
      <dgm:t>
        <a:bodyPr/>
        <a:lstStyle/>
        <a:p>
          <a:pPr>
            <a:lnSpc>
              <a:spcPct val="100000"/>
            </a:lnSpc>
          </a:pPr>
          <a:endParaRPr lang="en-AU">
            <a:latin typeface="Arial" panose="020B0604020202020204" pitchFamily="34" charset="0"/>
            <a:cs typeface="Arial" panose="020B0604020202020204" pitchFamily="34" charset="0"/>
          </a:endParaRPr>
        </a:p>
      </dgm:t>
    </dgm:pt>
    <dgm:pt modelId="{19AD47DA-242B-495D-B7A2-0EF17700AEC8}">
      <dgm:prSet custT="1"/>
      <dgm:spPr/>
      <dgm:t>
        <a:bodyPr lIns="180000" rIns="36000"/>
        <a:lstStyle/>
        <a:p>
          <a:pPr indent="-79200">
            <a:lnSpc>
              <a:spcPct val="100000"/>
            </a:lnSpc>
          </a:pPr>
          <a:r>
            <a:rPr lang="en-AU" sz="1100" baseline="0" dirty="0">
              <a:latin typeface="Arial" panose="020B0604020202020204" pitchFamily="34" charset="0"/>
              <a:cs typeface="Arial" panose="020B0604020202020204" pitchFamily="34" charset="0"/>
            </a:rPr>
            <a:t>a </a:t>
          </a:r>
          <a:r>
            <a:rPr lang="en-AU" sz="1100" b="1" baseline="0" dirty="0">
              <a:latin typeface="Arial" panose="020B0604020202020204" pitchFamily="34" charset="0"/>
              <a:cs typeface="Arial" panose="020B0604020202020204" pitchFamily="34" charset="0"/>
            </a:rPr>
            <a:t>new pathway</a:t>
          </a:r>
          <a:endParaRPr lang="nl-NL" sz="1100" b="1" spc="-45" baseline="0" dirty="0">
            <a:latin typeface="Arial" panose="020B0604020202020204" pitchFamily="34" charset="0"/>
            <a:cs typeface="Arial" panose="020B0604020202020204" pitchFamily="34" charset="0"/>
          </a:endParaRPr>
        </a:p>
      </dgm:t>
    </dgm:pt>
    <dgm:pt modelId="{08D7CBEB-76E6-416D-A3B6-D1FF092A6435}" type="sibTrans" cxnId="{E740B485-77C7-4758-BB9D-8E817707A4E3}">
      <dgm:prSet/>
      <dgm:spPr/>
      <dgm:t>
        <a:bodyPr/>
        <a:lstStyle/>
        <a:p>
          <a:pPr>
            <a:lnSpc>
              <a:spcPct val="100000"/>
            </a:lnSpc>
          </a:pPr>
          <a:endParaRPr lang="en-AU">
            <a:latin typeface="Arial" panose="020B0604020202020204" pitchFamily="34" charset="0"/>
            <a:cs typeface="Arial" panose="020B0604020202020204" pitchFamily="34" charset="0"/>
          </a:endParaRPr>
        </a:p>
      </dgm:t>
    </dgm:pt>
    <dgm:pt modelId="{F493B137-E269-444A-B4C3-1B33C1101B04}" type="parTrans" cxnId="{E740B485-77C7-4758-BB9D-8E817707A4E3}">
      <dgm:prSet/>
      <dgm:spPr/>
      <dgm:t>
        <a:bodyPr/>
        <a:lstStyle/>
        <a:p>
          <a:pPr>
            <a:lnSpc>
              <a:spcPct val="100000"/>
            </a:lnSpc>
          </a:pPr>
          <a:endParaRPr lang="en-AU">
            <a:latin typeface="Arial" panose="020B0604020202020204" pitchFamily="34" charset="0"/>
            <a:cs typeface="Arial" panose="020B0604020202020204" pitchFamily="34" charset="0"/>
          </a:endParaRPr>
        </a:p>
      </dgm:t>
    </dgm:pt>
    <dgm:pt modelId="{71CD7E0A-35D0-46D5-95CB-0F3BD9E7D135}">
      <dgm:prSet custT="1"/>
      <dgm:spPr/>
      <dgm:t>
        <a:bodyPr lIns="180000" rIns="36000"/>
        <a:lstStyle/>
        <a:p>
          <a:pPr indent="-79200">
            <a:lnSpc>
              <a:spcPct val="100000"/>
            </a:lnSpc>
          </a:pPr>
          <a:r>
            <a:rPr lang="en-AU" sz="1100" dirty="0">
              <a:latin typeface="Arial" panose="020B0604020202020204" pitchFamily="34" charset="0"/>
              <a:cs typeface="Arial" panose="020B0604020202020204" pitchFamily="34" charset="0"/>
            </a:rPr>
            <a:t>the </a:t>
          </a:r>
          <a:r>
            <a:rPr lang="en-AU" sz="1100" b="1" dirty="0">
              <a:latin typeface="Arial" panose="020B0604020202020204" pitchFamily="34" charset="0"/>
              <a:cs typeface="Arial" panose="020B0604020202020204" pitchFamily="34" charset="0"/>
            </a:rPr>
            <a:t>pathway evolving from the existing PL assessments </a:t>
          </a:r>
          <a:endParaRPr lang="nl-NL" sz="1100" b="1" spc="-45" dirty="0">
            <a:latin typeface="Arial" panose="020B0604020202020204" pitchFamily="34" charset="0"/>
            <a:cs typeface="Arial" panose="020B0604020202020204" pitchFamily="34" charset="0"/>
          </a:endParaRPr>
        </a:p>
      </dgm:t>
    </dgm:pt>
    <dgm:pt modelId="{96D77B35-4CF7-45C4-9283-AB27969F5368}" type="parTrans" cxnId="{C1BF576B-403E-40DB-BB2A-A04ACFB2DC5D}">
      <dgm:prSet/>
      <dgm:spPr/>
      <dgm:t>
        <a:bodyPr/>
        <a:lstStyle/>
        <a:p>
          <a:pPr>
            <a:lnSpc>
              <a:spcPct val="100000"/>
            </a:lnSpc>
          </a:pPr>
          <a:endParaRPr lang="en-AU">
            <a:latin typeface="Arial" panose="020B0604020202020204" pitchFamily="34" charset="0"/>
            <a:cs typeface="Arial" panose="020B0604020202020204" pitchFamily="34" charset="0"/>
          </a:endParaRPr>
        </a:p>
      </dgm:t>
    </dgm:pt>
    <dgm:pt modelId="{09336083-95B9-461B-A339-4FCF904CAB6E}" type="sibTrans" cxnId="{C1BF576B-403E-40DB-BB2A-A04ACFB2DC5D}">
      <dgm:prSet/>
      <dgm:spPr/>
      <dgm:t>
        <a:bodyPr/>
        <a:lstStyle/>
        <a:p>
          <a:pPr>
            <a:lnSpc>
              <a:spcPct val="100000"/>
            </a:lnSpc>
          </a:pPr>
          <a:endParaRPr lang="en-AU">
            <a:latin typeface="Arial" panose="020B0604020202020204" pitchFamily="34" charset="0"/>
            <a:cs typeface="Arial" panose="020B0604020202020204" pitchFamily="34" charset="0"/>
          </a:endParaRPr>
        </a:p>
      </dgm:t>
    </dgm:pt>
    <dgm:pt modelId="{DD61F5F6-5B64-45BD-BAC4-3E2DE1B6CC3B}">
      <dgm:prSet custT="1"/>
      <dgm:spPr/>
      <dgm:t>
        <a:bodyPr lIns="180000" tIns="72000" rIns="36000" bIns="72000"/>
        <a:lstStyle/>
        <a:p>
          <a:pPr algn="l">
            <a:lnSpc>
              <a:spcPct val="100000"/>
            </a:lnSpc>
          </a:pPr>
          <a:r>
            <a:rPr lang="en-AU" sz="1100" dirty="0">
              <a:latin typeface="Arial" panose="020B0604020202020204" pitchFamily="34" charset="0"/>
              <a:cs typeface="Arial" panose="020B0604020202020204" pitchFamily="34" charset="0"/>
            </a:rPr>
            <a:t> the </a:t>
          </a:r>
          <a:r>
            <a:rPr lang="en-AU" sz="1100" b="1" dirty="0">
              <a:latin typeface="Arial" panose="020B0604020202020204" pitchFamily="34" charset="0"/>
              <a:cs typeface="Arial" panose="020B0604020202020204" pitchFamily="34" charset="0"/>
            </a:rPr>
            <a:t>pathway incorporating the MSAC processes</a:t>
          </a:r>
          <a:endParaRPr lang="nl-NL" sz="1100" b="1" spc="-45" dirty="0">
            <a:latin typeface="Arial" panose="020B0604020202020204" pitchFamily="34" charset="0"/>
            <a:cs typeface="Arial" panose="020B0604020202020204" pitchFamily="34" charset="0"/>
          </a:endParaRPr>
        </a:p>
      </dgm:t>
    </dgm:pt>
    <dgm:pt modelId="{869A86EE-5398-4599-9B16-0A0F53388C4C}" type="parTrans" cxnId="{17F64A48-A334-46B0-B998-EBACD97A0D80}">
      <dgm:prSet/>
      <dgm:spPr/>
      <dgm:t>
        <a:bodyPr/>
        <a:lstStyle/>
        <a:p>
          <a:pPr>
            <a:lnSpc>
              <a:spcPct val="100000"/>
            </a:lnSpc>
          </a:pPr>
          <a:endParaRPr lang="en-AU">
            <a:latin typeface="Arial" panose="020B0604020202020204" pitchFamily="34" charset="0"/>
            <a:cs typeface="Arial" panose="020B0604020202020204" pitchFamily="34" charset="0"/>
          </a:endParaRPr>
        </a:p>
      </dgm:t>
    </dgm:pt>
    <dgm:pt modelId="{EAFC4D78-E999-464E-9EA0-85E3BFB5F9C0}" type="sibTrans" cxnId="{17F64A48-A334-46B0-B998-EBACD97A0D80}">
      <dgm:prSet/>
      <dgm:spPr/>
      <dgm:t>
        <a:bodyPr/>
        <a:lstStyle/>
        <a:p>
          <a:pPr>
            <a:lnSpc>
              <a:spcPct val="100000"/>
            </a:lnSpc>
          </a:pPr>
          <a:endParaRPr lang="en-AU">
            <a:latin typeface="Arial" panose="020B0604020202020204" pitchFamily="34" charset="0"/>
            <a:cs typeface="Arial" panose="020B0604020202020204" pitchFamily="34" charset="0"/>
          </a:endParaRPr>
        </a:p>
      </dgm:t>
    </dgm:pt>
    <dgm:pt modelId="{B650064F-C1F6-4276-BA4C-5805233C8BE8}">
      <dgm:prSet custT="1"/>
      <dgm:spPr/>
      <dgm:t>
        <a:bodyPr/>
        <a:lstStyle/>
        <a:p>
          <a:pPr algn="l">
            <a:lnSpc>
              <a:spcPct val="100000"/>
            </a:lnSpc>
          </a:pPr>
          <a:r>
            <a:rPr lang="en-AU" sz="1100" dirty="0">
              <a:latin typeface="Arial" panose="020B0604020202020204" pitchFamily="34" charset="0"/>
              <a:cs typeface="Arial" panose="020B0604020202020204" pitchFamily="34" charset="0"/>
            </a:rPr>
            <a:t> there are no MBS items relevant for the use of the device and/or the device is a novel technology and/or there are no comparators on PL </a:t>
          </a:r>
        </a:p>
      </dgm:t>
    </dgm:pt>
    <dgm:pt modelId="{0F1FEAB4-767A-4A37-859E-D6B45A0DBC47}" type="parTrans" cxnId="{C73DF914-04CE-4852-951A-8CD5D319494C}">
      <dgm:prSet/>
      <dgm:spPr/>
      <dgm:t>
        <a:bodyPr/>
        <a:lstStyle/>
        <a:p>
          <a:endParaRPr lang="en-AU"/>
        </a:p>
      </dgm:t>
    </dgm:pt>
    <dgm:pt modelId="{555934D5-15F1-4E92-A3B9-D538E0D74546}" type="sibTrans" cxnId="{C73DF914-04CE-4852-951A-8CD5D319494C}">
      <dgm:prSet/>
      <dgm:spPr/>
      <dgm:t>
        <a:bodyPr/>
        <a:lstStyle/>
        <a:p>
          <a:endParaRPr lang="en-AU"/>
        </a:p>
      </dgm:t>
    </dgm:pt>
    <dgm:pt modelId="{0898784E-CAB7-4072-AA40-7F2633DB6910}">
      <dgm:prSet custT="1"/>
      <dgm:spPr/>
      <dgm:t>
        <a:bodyPr/>
        <a:lstStyle/>
        <a:p>
          <a:pPr algn="l">
            <a:lnSpc>
              <a:spcPct val="100000"/>
            </a:lnSpc>
          </a:pPr>
          <a:r>
            <a:rPr lang="en-AU" sz="1100" dirty="0">
              <a:latin typeface="Arial" panose="020B0604020202020204" pitchFamily="34" charset="0"/>
              <a:cs typeface="Arial" panose="020B0604020202020204" pitchFamily="34" charset="0"/>
            </a:rPr>
            <a:t> assessments include the full clinical and cost effectiveness assessments undertaken by MSAC with inputs from relevant experts as required.</a:t>
          </a:r>
        </a:p>
      </dgm:t>
    </dgm:pt>
    <dgm:pt modelId="{0F57C1BC-3B25-427C-93F6-F1076AA9B384}" type="parTrans" cxnId="{205A6D67-113C-44C4-B1FC-811BEB6D90EE}">
      <dgm:prSet/>
      <dgm:spPr/>
      <dgm:t>
        <a:bodyPr/>
        <a:lstStyle/>
        <a:p>
          <a:endParaRPr lang="en-AU"/>
        </a:p>
      </dgm:t>
    </dgm:pt>
    <dgm:pt modelId="{890A6D86-4623-4970-9411-471649AD16EA}" type="sibTrans" cxnId="{205A6D67-113C-44C4-B1FC-811BEB6D90EE}">
      <dgm:prSet/>
      <dgm:spPr/>
      <dgm:t>
        <a:bodyPr/>
        <a:lstStyle/>
        <a:p>
          <a:endParaRPr lang="en-AU"/>
        </a:p>
      </dgm:t>
    </dgm:pt>
    <dgm:pt modelId="{88C220FE-2B13-4984-9176-461449D83D74}">
      <dgm:prSet custT="1"/>
      <dgm:spPr/>
      <dgm:t>
        <a:bodyPr/>
        <a:lstStyle/>
        <a:p>
          <a:pPr indent="-79200">
            <a:lnSpc>
              <a:spcPct val="100000"/>
            </a:lnSpc>
          </a:pPr>
          <a:r>
            <a:rPr lang="en-AU" sz="1100" baseline="0" dirty="0">
              <a:latin typeface="Arial" panose="020B0604020202020204" pitchFamily="34" charset="0"/>
              <a:cs typeface="Arial" panose="020B0604020202020204" pitchFamily="34" charset="0"/>
            </a:rPr>
            <a:t>device is medium or lower-risk, is a well-established technology, and is substantially similar in characteristics, intended use and clinical effectiveness to other devices listed on PL in the existing grouping with the benefit set up based on the reference pricing</a:t>
          </a:r>
        </a:p>
      </dgm:t>
    </dgm:pt>
    <dgm:pt modelId="{0438C213-ECD2-4AA9-AD25-0135CF113108}" type="parTrans" cxnId="{06ED28EA-94DB-4C1E-BA94-C025BB0BB65C}">
      <dgm:prSet/>
      <dgm:spPr/>
      <dgm:t>
        <a:bodyPr/>
        <a:lstStyle/>
        <a:p>
          <a:endParaRPr lang="en-AU"/>
        </a:p>
      </dgm:t>
    </dgm:pt>
    <dgm:pt modelId="{DBD1BE07-ABD8-42DF-BD4F-91A82171058F}" type="sibTrans" cxnId="{06ED28EA-94DB-4C1E-BA94-C025BB0BB65C}">
      <dgm:prSet/>
      <dgm:spPr/>
      <dgm:t>
        <a:bodyPr/>
        <a:lstStyle/>
        <a:p>
          <a:endParaRPr lang="en-AU"/>
        </a:p>
      </dgm:t>
    </dgm:pt>
    <dgm:pt modelId="{9A3245B0-A4ED-4D19-87A5-65ABFC194E8B}">
      <dgm:prSet custT="1"/>
      <dgm:spPr/>
      <dgm:t>
        <a:bodyPr/>
        <a:lstStyle/>
        <a:p>
          <a:pPr indent="-79200">
            <a:lnSpc>
              <a:spcPct val="100000"/>
            </a:lnSpc>
          </a:pPr>
          <a:r>
            <a:rPr lang="en-AU" sz="1100" baseline="0" dirty="0">
              <a:latin typeface="Arial" panose="020B0604020202020204" pitchFamily="34" charset="0"/>
              <a:cs typeface="Arial" panose="020B0604020202020204" pitchFamily="34" charset="0"/>
            </a:rPr>
            <a:t>assessments are largely undertaken by the Department with the relevant expertise and knowledge in medical devices.</a:t>
          </a:r>
        </a:p>
      </dgm:t>
    </dgm:pt>
    <dgm:pt modelId="{066E841B-D633-4D53-B536-29F17E516666}" type="parTrans" cxnId="{72EF706E-6A4C-4999-8878-FDD1C7015785}">
      <dgm:prSet/>
      <dgm:spPr/>
      <dgm:t>
        <a:bodyPr/>
        <a:lstStyle/>
        <a:p>
          <a:endParaRPr lang="en-AU"/>
        </a:p>
      </dgm:t>
    </dgm:pt>
    <dgm:pt modelId="{540CCF64-4AE5-4103-9994-5F9E7BACE59F}" type="sibTrans" cxnId="{72EF706E-6A4C-4999-8878-FDD1C7015785}">
      <dgm:prSet/>
      <dgm:spPr/>
      <dgm:t>
        <a:bodyPr/>
        <a:lstStyle/>
        <a:p>
          <a:endParaRPr lang="en-AU"/>
        </a:p>
      </dgm:t>
    </dgm:pt>
    <dgm:pt modelId="{C6BB6621-F886-4B58-9147-9BCCEF81A77B}">
      <dgm:prSet custT="1"/>
      <dgm:spPr/>
      <dgm:t>
        <a:bodyPr/>
        <a:lstStyle/>
        <a:p>
          <a:pPr indent="-79200">
            <a:lnSpc>
              <a:spcPct val="100000"/>
            </a:lnSpc>
          </a:pPr>
          <a:r>
            <a:rPr lang="en-AU" sz="1100" dirty="0">
              <a:latin typeface="Arial" panose="020B0604020202020204" pitchFamily="34" charset="0"/>
              <a:cs typeface="Arial" panose="020B0604020202020204" pitchFamily="34" charset="0"/>
            </a:rPr>
            <a:t>device is of higher risk and/or is not a well-established technology (e.g. has a comparator that is a novel device/undergone HTA) and/or has claims for the improved/different characteristics compared with the existing devices listed on PL </a:t>
          </a:r>
        </a:p>
      </dgm:t>
    </dgm:pt>
    <dgm:pt modelId="{0564B7D2-413D-42F8-99BA-2D1A1AC72946}" type="parTrans" cxnId="{F6E70AE7-3890-4ADA-B65B-5F57756AEC0D}">
      <dgm:prSet/>
      <dgm:spPr/>
      <dgm:t>
        <a:bodyPr/>
        <a:lstStyle/>
        <a:p>
          <a:endParaRPr lang="en-AU"/>
        </a:p>
      </dgm:t>
    </dgm:pt>
    <dgm:pt modelId="{0FBDE0D7-B654-415A-8110-EF31524142C4}" type="sibTrans" cxnId="{F6E70AE7-3890-4ADA-B65B-5F57756AEC0D}">
      <dgm:prSet/>
      <dgm:spPr/>
      <dgm:t>
        <a:bodyPr/>
        <a:lstStyle/>
        <a:p>
          <a:endParaRPr lang="en-AU"/>
        </a:p>
      </dgm:t>
    </dgm:pt>
    <dgm:pt modelId="{51C9FF5C-4121-4205-9AD3-6E8BCD19DC07}">
      <dgm:prSet custT="1"/>
      <dgm:spPr/>
      <dgm:t>
        <a:bodyPr/>
        <a:lstStyle/>
        <a:p>
          <a:pPr indent="-79200">
            <a:lnSpc>
              <a:spcPct val="100000"/>
            </a:lnSpc>
          </a:pPr>
          <a:r>
            <a:rPr lang="en-AU" sz="1100" dirty="0">
              <a:latin typeface="Arial" panose="020B0604020202020204" pitchFamily="34" charset="0"/>
              <a:cs typeface="Arial" panose="020B0604020202020204" pitchFamily="34" charset="0"/>
            </a:rPr>
            <a:t>assessments include comparative clinical effectiveness and/or cost effectiveness assessments with inputs from the relevant experts.</a:t>
          </a:r>
        </a:p>
      </dgm:t>
    </dgm:pt>
    <dgm:pt modelId="{7360B948-49C3-4F01-994D-1DFE52D9792A}" type="parTrans" cxnId="{CDD746F2-CE41-4884-8CC2-BD5544D2C088}">
      <dgm:prSet/>
      <dgm:spPr/>
      <dgm:t>
        <a:bodyPr/>
        <a:lstStyle/>
        <a:p>
          <a:endParaRPr lang="en-AU"/>
        </a:p>
      </dgm:t>
    </dgm:pt>
    <dgm:pt modelId="{4C108216-DADE-4769-8482-C3E21F27F389}" type="sibTrans" cxnId="{CDD746F2-CE41-4884-8CC2-BD5544D2C088}">
      <dgm:prSet/>
      <dgm:spPr/>
      <dgm:t>
        <a:bodyPr/>
        <a:lstStyle/>
        <a:p>
          <a:endParaRPr lang="en-AU"/>
        </a:p>
      </dgm:t>
    </dgm:pt>
    <dgm:pt modelId="{33905B1A-030D-4108-9A71-A40E0A148AF7}" type="pres">
      <dgm:prSet presAssocID="{20669819-E1D4-41E6-9704-C9B5C49FBFA0}" presName="Name0" presStyleCnt="0">
        <dgm:presLayoutVars>
          <dgm:dir/>
          <dgm:animLvl val="lvl"/>
          <dgm:resizeHandles val="exact"/>
        </dgm:presLayoutVars>
      </dgm:prSet>
      <dgm:spPr/>
    </dgm:pt>
    <dgm:pt modelId="{11130711-ADC2-442D-85F9-6A8278519193}" type="pres">
      <dgm:prSet presAssocID="{506F9CFD-8222-4972-B7C6-262BD094E4FD}" presName="linNode" presStyleCnt="0"/>
      <dgm:spPr/>
    </dgm:pt>
    <dgm:pt modelId="{C0CF59CB-EE7E-46B1-AC4A-9B34F1EFC39F}" type="pres">
      <dgm:prSet presAssocID="{506F9CFD-8222-4972-B7C6-262BD094E4FD}" presName="parentText" presStyleLbl="node1" presStyleIdx="0" presStyleCnt="3" custScaleX="64345" custScaleY="68744">
        <dgm:presLayoutVars>
          <dgm:chMax val="1"/>
          <dgm:bulletEnabled val="1"/>
        </dgm:presLayoutVars>
      </dgm:prSet>
      <dgm:spPr/>
    </dgm:pt>
    <dgm:pt modelId="{7C03A23B-CD02-421B-BE11-3102F5F5BBC9}" type="pres">
      <dgm:prSet presAssocID="{506F9CFD-8222-4972-B7C6-262BD094E4FD}" presName="descendantText" presStyleLbl="alignAccFollowNode1" presStyleIdx="0" presStyleCnt="3" custScaleX="128523" custScaleY="79799" custLinFactNeighborX="-411" custLinFactNeighborY="345">
        <dgm:presLayoutVars>
          <dgm:bulletEnabled val="1"/>
        </dgm:presLayoutVars>
      </dgm:prSet>
      <dgm:spPr/>
    </dgm:pt>
    <dgm:pt modelId="{F388F7C4-DE11-44B3-8603-0A54E252DD89}" type="pres">
      <dgm:prSet presAssocID="{06EFD4CB-E39A-4AC2-BBAC-89B19B456BA1}" presName="sp" presStyleCnt="0"/>
      <dgm:spPr/>
    </dgm:pt>
    <dgm:pt modelId="{FF7B65F2-E1C7-4740-A697-6247AA25A50A}" type="pres">
      <dgm:prSet presAssocID="{E94B6868-FC69-413B-9C29-E5CC317B8353}" presName="linNode" presStyleCnt="0"/>
      <dgm:spPr/>
    </dgm:pt>
    <dgm:pt modelId="{3036C415-FD41-440C-BB65-78853A86004C}" type="pres">
      <dgm:prSet presAssocID="{E94B6868-FC69-413B-9C29-E5CC317B8353}" presName="parentText" presStyleLbl="node1" presStyleIdx="1" presStyleCnt="3" custScaleX="62045" custScaleY="68837" custLinFactNeighborX="252" custLinFactNeighborY="-210">
        <dgm:presLayoutVars>
          <dgm:chMax val="1"/>
          <dgm:bulletEnabled val="1"/>
        </dgm:presLayoutVars>
      </dgm:prSet>
      <dgm:spPr/>
    </dgm:pt>
    <dgm:pt modelId="{2B238D1F-5FC6-46E8-9989-523D52BF29B4}" type="pres">
      <dgm:prSet presAssocID="{E94B6868-FC69-413B-9C29-E5CC317B8353}" presName="descendantText" presStyleLbl="alignAccFollowNode1" presStyleIdx="1" presStyleCnt="3" custScaleX="123924" custScaleY="90537" custLinFactNeighborX="60" custLinFactNeighborY="-335">
        <dgm:presLayoutVars>
          <dgm:bulletEnabled val="1"/>
        </dgm:presLayoutVars>
      </dgm:prSet>
      <dgm:spPr/>
    </dgm:pt>
    <dgm:pt modelId="{A6258A88-3B42-40F5-B257-3CE901F25F09}" type="pres">
      <dgm:prSet presAssocID="{BE33A04A-9C58-415D-AE15-C6ADA9F62AF5}" presName="sp" presStyleCnt="0"/>
      <dgm:spPr/>
    </dgm:pt>
    <dgm:pt modelId="{ACD4AC1B-29EA-476D-A38F-B34E2A8E58E2}" type="pres">
      <dgm:prSet presAssocID="{5B27CD44-C7E3-437F-9CBD-0B736E6DB96A}" presName="linNode" presStyleCnt="0"/>
      <dgm:spPr/>
    </dgm:pt>
    <dgm:pt modelId="{5E1EF835-FF7E-456D-8A48-A2EB351FD0FC}" type="pres">
      <dgm:prSet presAssocID="{5B27CD44-C7E3-437F-9CBD-0B736E6DB96A}" presName="parentText" presStyleLbl="node1" presStyleIdx="2" presStyleCnt="3" custScaleX="62230" custScaleY="74274" custLinFactNeighborX="-30" custLinFactNeighborY="-2033">
        <dgm:presLayoutVars>
          <dgm:chMax val="1"/>
          <dgm:bulletEnabled val="1"/>
        </dgm:presLayoutVars>
      </dgm:prSet>
      <dgm:spPr/>
    </dgm:pt>
    <dgm:pt modelId="{77D6E82B-1066-4A79-ADF1-DDBE978B9E2F}" type="pres">
      <dgm:prSet presAssocID="{5B27CD44-C7E3-437F-9CBD-0B736E6DB96A}" presName="descendantText" presStyleLbl="alignAccFollowNode1" presStyleIdx="2" presStyleCnt="3" custScaleX="124240" custScaleY="88914" custLinFactNeighborX="1507" custLinFactNeighborY="-3370">
        <dgm:presLayoutVars>
          <dgm:bulletEnabled val="1"/>
        </dgm:presLayoutVars>
      </dgm:prSet>
      <dgm:spPr/>
    </dgm:pt>
  </dgm:ptLst>
  <dgm:cxnLst>
    <dgm:cxn modelId="{BBC6D301-BF95-40BA-964C-A1E877E3F0FB}" srcId="{20669819-E1D4-41E6-9704-C9B5C49FBFA0}" destId="{E94B6868-FC69-413B-9C29-E5CC317B8353}" srcOrd="1" destOrd="0" parTransId="{B491DD15-F977-400A-ABC2-8E7BD27C0923}" sibTransId="{BE33A04A-9C58-415D-AE15-C6ADA9F62AF5}"/>
    <dgm:cxn modelId="{C73DF914-04CE-4852-951A-8CD5D319494C}" srcId="{5B27CD44-C7E3-437F-9CBD-0B736E6DB96A}" destId="{B650064F-C1F6-4276-BA4C-5805233C8BE8}" srcOrd="1" destOrd="0" parTransId="{0F1FEAB4-767A-4A37-859E-D6B45A0DBC47}" sibTransId="{555934D5-15F1-4E92-A3B9-D538E0D74546}"/>
    <dgm:cxn modelId="{60BC2722-FBA9-4961-AE4C-6E9C0BE89139}" type="presOf" srcId="{DD61F5F6-5B64-45BD-BAC4-3E2DE1B6CC3B}" destId="{77D6E82B-1066-4A79-ADF1-DDBE978B9E2F}" srcOrd="0" destOrd="0" presId="urn:microsoft.com/office/officeart/2005/8/layout/vList5"/>
    <dgm:cxn modelId="{E24F1834-58C1-48E2-A5DD-955D6FB5E4AD}" type="presOf" srcId="{71CD7E0A-35D0-46D5-95CB-0F3BD9E7D135}" destId="{2B238D1F-5FC6-46E8-9989-523D52BF29B4}" srcOrd="0" destOrd="0" presId="urn:microsoft.com/office/officeart/2005/8/layout/vList5"/>
    <dgm:cxn modelId="{07322946-694D-45C7-9CA3-0255FB38531C}" type="presOf" srcId="{51C9FF5C-4121-4205-9AD3-6E8BCD19DC07}" destId="{2B238D1F-5FC6-46E8-9989-523D52BF29B4}" srcOrd="0" destOrd="2" presId="urn:microsoft.com/office/officeart/2005/8/layout/vList5"/>
    <dgm:cxn modelId="{205A6D67-113C-44C4-B1FC-811BEB6D90EE}" srcId="{5B27CD44-C7E3-437F-9CBD-0B736E6DB96A}" destId="{0898784E-CAB7-4072-AA40-7F2633DB6910}" srcOrd="2" destOrd="0" parTransId="{0F57C1BC-3B25-427C-93F6-F1076AA9B384}" sibTransId="{890A6D86-4623-4970-9411-471649AD16EA}"/>
    <dgm:cxn modelId="{17F64A48-A334-46B0-B998-EBACD97A0D80}" srcId="{5B27CD44-C7E3-437F-9CBD-0B736E6DB96A}" destId="{DD61F5F6-5B64-45BD-BAC4-3E2DE1B6CC3B}" srcOrd="0" destOrd="0" parTransId="{869A86EE-5398-4599-9B16-0A0F53388C4C}" sibTransId="{EAFC4D78-E999-464E-9EA0-85E3BFB5F9C0}"/>
    <dgm:cxn modelId="{C1BF576B-403E-40DB-BB2A-A04ACFB2DC5D}" srcId="{E94B6868-FC69-413B-9C29-E5CC317B8353}" destId="{71CD7E0A-35D0-46D5-95CB-0F3BD9E7D135}" srcOrd="0" destOrd="0" parTransId="{96D77B35-4CF7-45C4-9283-AB27969F5368}" sibTransId="{09336083-95B9-461B-A339-4FCF904CAB6E}"/>
    <dgm:cxn modelId="{72EF706E-6A4C-4999-8878-FDD1C7015785}" srcId="{506F9CFD-8222-4972-B7C6-262BD094E4FD}" destId="{9A3245B0-A4ED-4D19-87A5-65ABFC194E8B}" srcOrd="2" destOrd="0" parTransId="{066E841B-D633-4D53-B536-29F17E516666}" sibTransId="{540CCF64-4AE5-4103-9994-5F9E7BACE59F}"/>
    <dgm:cxn modelId="{121F994F-EF98-41BA-9E86-EA811735D4A3}" type="presOf" srcId="{E94B6868-FC69-413B-9C29-E5CC317B8353}" destId="{3036C415-FD41-440C-BB65-78853A86004C}" srcOrd="0" destOrd="0" presId="urn:microsoft.com/office/officeart/2005/8/layout/vList5"/>
    <dgm:cxn modelId="{2811E853-856A-45BB-80CD-ABF386FAC29D}" type="presOf" srcId="{C6BB6621-F886-4B58-9147-9BCCEF81A77B}" destId="{2B238D1F-5FC6-46E8-9989-523D52BF29B4}" srcOrd="0" destOrd="1" presId="urn:microsoft.com/office/officeart/2005/8/layout/vList5"/>
    <dgm:cxn modelId="{C3BCDE5A-A27F-42EA-8C08-373378297C47}" type="presOf" srcId="{0898784E-CAB7-4072-AA40-7F2633DB6910}" destId="{77D6E82B-1066-4A79-ADF1-DDBE978B9E2F}" srcOrd="0" destOrd="2" presId="urn:microsoft.com/office/officeart/2005/8/layout/vList5"/>
    <dgm:cxn modelId="{9C16A07F-74E1-4DB2-99EE-6674FA8ED75D}" type="presOf" srcId="{20669819-E1D4-41E6-9704-C9B5C49FBFA0}" destId="{33905B1A-030D-4108-9A71-A40E0A148AF7}" srcOrd="0" destOrd="0" presId="urn:microsoft.com/office/officeart/2005/8/layout/vList5"/>
    <dgm:cxn modelId="{E740B485-77C7-4758-BB9D-8E817707A4E3}" srcId="{506F9CFD-8222-4972-B7C6-262BD094E4FD}" destId="{19AD47DA-242B-495D-B7A2-0EF17700AEC8}" srcOrd="0" destOrd="0" parTransId="{F493B137-E269-444A-B4C3-1B33C1101B04}" sibTransId="{08D7CBEB-76E6-416D-A3B6-D1FF092A6435}"/>
    <dgm:cxn modelId="{B15F6787-59BF-499C-B475-C2910D1BA188}" type="presOf" srcId="{506F9CFD-8222-4972-B7C6-262BD094E4FD}" destId="{C0CF59CB-EE7E-46B1-AC4A-9B34F1EFC39F}" srcOrd="0" destOrd="0" presId="urn:microsoft.com/office/officeart/2005/8/layout/vList5"/>
    <dgm:cxn modelId="{D9C6529D-211F-43D5-A681-D905FCCFB6A7}" srcId="{20669819-E1D4-41E6-9704-C9B5C49FBFA0}" destId="{506F9CFD-8222-4972-B7C6-262BD094E4FD}" srcOrd="0" destOrd="0" parTransId="{ABC62F14-D062-4A89-AEC7-4B4C3BD26EB8}" sibTransId="{06EFD4CB-E39A-4AC2-BBAC-89B19B456BA1}"/>
    <dgm:cxn modelId="{EFC692B0-CBCB-408F-8BAD-529E8EC34EBD}" type="presOf" srcId="{9A3245B0-A4ED-4D19-87A5-65ABFC194E8B}" destId="{7C03A23B-CD02-421B-BE11-3102F5F5BBC9}" srcOrd="0" destOrd="2" presId="urn:microsoft.com/office/officeart/2005/8/layout/vList5"/>
    <dgm:cxn modelId="{5BFD68C1-D83F-46AD-820F-2C23E21B8D68}" type="presOf" srcId="{88C220FE-2B13-4984-9176-461449D83D74}" destId="{7C03A23B-CD02-421B-BE11-3102F5F5BBC9}" srcOrd="0" destOrd="1" presId="urn:microsoft.com/office/officeart/2005/8/layout/vList5"/>
    <dgm:cxn modelId="{02DADCE2-ED68-4978-B4D8-EE9704D1B65E}" type="presOf" srcId="{5B27CD44-C7E3-437F-9CBD-0B736E6DB96A}" destId="{5E1EF835-FF7E-456D-8A48-A2EB351FD0FC}" srcOrd="0" destOrd="0" presId="urn:microsoft.com/office/officeart/2005/8/layout/vList5"/>
    <dgm:cxn modelId="{65529DE6-13E9-4650-8B31-42AFEB51F895}" type="presOf" srcId="{19AD47DA-242B-495D-B7A2-0EF17700AEC8}" destId="{7C03A23B-CD02-421B-BE11-3102F5F5BBC9}" srcOrd="0" destOrd="0" presId="urn:microsoft.com/office/officeart/2005/8/layout/vList5"/>
    <dgm:cxn modelId="{F6E70AE7-3890-4ADA-B65B-5F57756AEC0D}" srcId="{E94B6868-FC69-413B-9C29-E5CC317B8353}" destId="{C6BB6621-F886-4B58-9147-9BCCEF81A77B}" srcOrd="1" destOrd="0" parTransId="{0564B7D2-413D-42F8-99BA-2D1A1AC72946}" sibTransId="{0FBDE0D7-B654-415A-8110-EF31524142C4}"/>
    <dgm:cxn modelId="{06ED28EA-94DB-4C1E-BA94-C025BB0BB65C}" srcId="{506F9CFD-8222-4972-B7C6-262BD094E4FD}" destId="{88C220FE-2B13-4984-9176-461449D83D74}" srcOrd="1" destOrd="0" parTransId="{0438C213-ECD2-4AA9-AD25-0135CF113108}" sibTransId="{DBD1BE07-ABD8-42DF-BD4F-91A82171058F}"/>
    <dgm:cxn modelId="{000AF6EB-B547-4023-BEB3-64FABD5B6864}" srcId="{20669819-E1D4-41E6-9704-C9B5C49FBFA0}" destId="{5B27CD44-C7E3-437F-9CBD-0B736E6DB96A}" srcOrd="2" destOrd="0" parTransId="{07B11E9D-D84A-4CDE-B705-871FAE2DE1D3}" sibTransId="{FD540BD9-BD22-40BC-89E6-E543C725A8AB}"/>
    <dgm:cxn modelId="{5D7FF4F1-6034-4F23-921D-25EAD5C26541}" type="presOf" srcId="{B650064F-C1F6-4276-BA4C-5805233C8BE8}" destId="{77D6E82B-1066-4A79-ADF1-DDBE978B9E2F}" srcOrd="0" destOrd="1" presId="urn:microsoft.com/office/officeart/2005/8/layout/vList5"/>
    <dgm:cxn modelId="{CDD746F2-CE41-4884-8CC2-BD5544D2C088}" srcId="{E94B6868-FC69-413B-9C29-E5CC317B8353}" destId="{51C9FF5C-4121-4205-9AD3-6E8BCD19DC07}" srcOrd="2" destOrd="0" parTransId="{7360B948-49C3-4F01-994D-1DFE52D9792A}" sibTransId="{4C108216-DADE-4769-8482-C3E21F27F389}"/>
    <dgm:cxn modelId="{2ABE8DC9-12B1-458F-98AE-65DCC2468E8F}" type="presParOf" srcId="{33905B1A-030D-4108-9A71-A40E0A148AF7}" destId="{11130711-ADC2-442D-85F9-6A8278519193}" srcOrd="0" destOrd="0" presId="urn:microsoft.com/office/officeart/2005/8/layout/vList5"/>
    <dgm:cxn modelId="{B1A75A25-DFCA-41C8-B251-00875930810C}" type="presParOf" srcId="{11130711-ADC2-442D-85F9-6A8278519193}" destId="{C0CF59CB-EE7E-46B1-AC4A-9B34F1EFC39F}" srcOrd="0" destOrd="0" presId="urn:microsoft.com/office/officeart/2005/8/layout/vList5"/>
    <dgm:cxn modelId="{10C7A935-C3F0-47A8-ADCF-B65384C35E9B}" type="presParOf" srcId="{11130711-ADC2-442D-85F9-6A8278519193}" destId="{7C03A23B-CD02-421B-BE11-3102F5F5BBC9}" srcOrd="1" destOrd="0" presId="urn:microsoft.com/office/officeart/2005/8/layout/vList5"/>
    <dgm:cxn modelId="{0F721A28-00DF-4C31-9D63-1868B831E31A}" type="presParOf" srcId="{33905B1A-030D-4108-9A71-A40E0A148AF7}" destId="{F388F7C4-DE11-44B3-8603-0A54E252DD89}" srcOrd="1" destOrd="0" presId="urn:microsoft.com/office/officeart/2005/8/layout/vList5"/>
    <dgm:cxn modelId="{45F5F501-21DC-4B65-995F-5EAB3DCF6EF7}" type="presParOf" srcId="{33905B1A-030D-4108-9A71-A40E0A148AF7}" destId="{FF7B65F2-E1C7-4740-A697-6247AA25A50A}" srcOrd="2" destOrd="0" presId="urn:microsoft.com/office/officeart/2005/8/layout/vList5"/>
    <dgm:cxn modelId="{B7C373D5-E0CE-4BFB-9F5A-4EBB53B119C3}" type="presParOf" srcId="{FF7B65F2-E1C7-4740-A697-6247AA25A50A}" destId="{3036C415-FD41-440C-BB65-78853A86004C}" srcOrd="0" destOrd="0" presId="urn:microsoft.com/office/officeart/2005/8/layout/vList5"/>
    <dgm:cxn modelId="{DD22C332-C400-43C8-BAD9-53A1D2B9A9BE}" type="presParOf" srcId="{FF7B65F2-E1C7-4740-A697-6247AA25A50A}" destId="{2B238D1F-5FC6-46E8-9989-523D52BF29B4}" srcOrd="1" destOrd="0" presId="urn:microsoft.com/office/officeart/2005/8/layout/vList5"/>
    <dgm:cxn modelId="{B71FE71C-0566-4AFA-A516-B2B104E35433}" type="presParOf" srcId="{33905B1A-030D-4108-9A71-A40E0A148AF7}" destId="{A6258A88-3B42-40F5-B257-3CE901F25F09}" srcOrd="3" destOrd="0" presId="urn:microsoft.com/office/officeart/2005/8/layout/vList5"/>
    <dgm:cxn modelId="{D8F8E165-0B0C-4846-9459-5F89C4F57522}" type="presParOf" srcId="{33905B1A-030D-4108-9A71-A40E0A148AF7}" destId="{ACD4AC1B-29EA-476D-A38F-B34E2A8E58E2}" srcOrd="4" destOrd="0" presId="urn:microsoft.com/office/officeart/2005/8/layout/vList5"/>
    <dgm:cxn modelId="{6FDFF939-33DC-4109-B4F9-BE64CE4E3F43}" type="presParOf" srcId="{ACD4AC1B-29EA-476D-A38F-B34E2A8E58E2}" destId="{5E1EF835-FF7E-456D-8A48-A2EB351FD0FC}" srcOrd="0" destOrd="0" presId="urn:microsoft.com/office/officeart/2005/8/layout/vList5"/>
    <dgm:cxn modelId="{C2FB7BE6-9E10-4ED4-A5CB-F833400D4F48}" type="presParOf" srcId="{ACD4AC1B-29EA-476D-A38F-B34E2A8E58E2}" destId="{77D6E82B-1066-4A79-ADF1-DDBE978B9E2F}" srcOrd="1" destOrd="0" presId="urn:microsoft.com/office/officeart/2005/8/layout/vList5"/>
  </dgm:cxnLst>
  <dgm:bg/>
  <dgm:whole>
    <a:ln>
      <a:noFill/>
    </a:ln>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266286-AC0E-4DD0-995F-45345039C896}" type="doc">
      <dgm:prSet loTypeId="urn:microsoft.com/office/officeart/2005/8/layout/hProcess9" loCatId="process" qsTypeId="urn:microsoft.com/office/officeart/2005/8/quickstyle/simple1" qsCatId="simple" csTypeId="urn:microsoft.com/office/officeart/2005/8/colors/accent6_1" csCatId="accent6" phldr="1"/>
      <dgm:spPr/>
    </dgm:pt>
    <dgm:pt modelId="{5BF4875A-06D3-4AE3-BBC3-0E94F46DF4A1}">
      <dgm:prSet phldrT="[Text]" custT="1"/>
      <dgm:spPr>
        <a:ln>
          <a:solidFill>
            <a:srgbClr val="358189"/>
          </a:solidFill>
        </a:ln>
      </dgm:spPr>
      <dgm:t>
        <a:bodyPr anchor="t" anchorCtr="0"/>
        <a:lstStyle/>
        <a:p>
          <a:pPr algn="l"/>
          <a:r>
            <a:rPr lang="en-AU" sz="1000" b="1">
              <a:latin typeface="Arial" panose="020B0604020202020204" pitchFamily="34" charset="0"/>
              <a:cs typeface="Arial" panose="020B0604020202020204" pitchFamily="34" charset="0"/>
            </a:rPr>
            <a:t>Step 3:</a:t>
          </a:r>
        </a:p>
        <a:p>
          <a:pPr algn="l"/>
          <a:r>
            <a:rPr lang="en-AU" sz="1000">
              <a:latin typeface="Arial" panose="020B0604020202020204" pitchFamily="34" charset="0"/>
              <a:cs typeface="Arial" panose="020B0604020202020204" pitchFamily="34" charset="0"/>
            </a:rPr>
            <a:t>Application assessed. Clinical experts may be consulted on minor clarifying questions if required </a:t>
          </a:r>
          <a:r>
            <a:rPr lang="en-AU" sz="1000" spc="-50" baseline="0">
              <a:latin typeface="Arial" panose="020B0604020202020204" pitchFamily="34" charset="0"/>
              <a:cs typeface="Arial" panose="020B0604020202020204" pitchFamily="34" charset="0"/>
            </a:rPr>
            <a:t>(Department)</a:t>
          </a:r>
        </a:p>
      </dgm:t>
    </dgm:pt>
    <dgm:pt modelId="{19E8E921-D4B1-4B4E-8EEF-485F46D2B3E0}" type="parTrans" cxnId="{34D71784-A120-4C51-AA8F-B75862A05143}">
      <dgm:prSet/>
      <dgm:spPr/>
      <dgm:t>
        <a:bodyPr/>
        <a:lstStyle/>
        <a:p>
          <a:endParaRPr lang="en-AU">
            <a:latin typeface="Arial" panose="020B0604020202020204" pitchFamily="34" charset="0"/>
            <a:cs typeface="Arial" panose="020B0604020202020204" pitchFamily="34" charset="0"/>
          </a:endParaRPr>
        </a:p>
      </dgm:t>
    </dgm:pt>
    <dgm:pt modelId="{2A6DB4BF-F895-48F6-A478-7234DB6ECCB7}" type="sibTrans" cxnId="{34D71784-A120-4C51-AA8F-B75862A05143}">
      <dgm:prSet/>
      <dgm:spPr/>
      <dgm:t>
        <a:bodyPr/>
        <a:lstStyle/>
        <a:p>
          <a:endParaRPr lang="en-AU">
            <a:latin typeface="Arial" panose="020B0604020202020204" pitchFamily="34" charset="0"/>
            <a:cs typeface="Arial" panose="020B0604020202020204" pitchFamily="34" charset="0"/>
          </a:endParaRPr>
        </a:p>
      </dgm:t>
    </dgm:pt>
    <dgm:pt modelId="{AB5D95A8-2368-4CE2-835D-1EB02FA651EA}">
      <dgm:prSet phldrT="[Text]" custT="1"/>
      <dgm:spPr>
        <a:ln>
          <a:solidFill>
            <a:srgbClr val="358189"/>
          </a:solidFill>
        </a:ln>
      </dgm:spPr>
      <dgm:t>
        <a:bodyPr anchor="t" anchorCtr="0"/>
        <a:lstStyle/>
        <a:p>
          <a:pPr algn="l"/>
          <a:r>
            <a:rPr lang="en-AU" sz="1000" b="1">
              <a:latin typeface="Arial" panose="020B0604020202020204" pitchFamily="34" charset="0"/>
              <a:cs typeface="Arial" panose="020B0604020202020204" pitchFamily="34" charset="0"/>
            </a:rPr>
            <a:t>Step 4:</a:t>
          </a:r>
        </a:p>
        <a:p>
          <a:pPr algn="l"/>
          <a:r>
            <a:rPr lang="en-AU" sz="1000" spc="-20" baseline="0">
              <a:latin typeface="Arial" panose="020B0604020202020204" pitchFamily="34" charset="0"/>
              <a:cs typeface="Arial" panose="020B0604020202020204" pitchFamily="34" charset="0"/>
            </a:rPr>
            <a:t>Recommendation</a:t>
          </a:r>
          <a:r>
            <a:rPr lang="en-AU" sz="1000">
              <a:latin typeface="Arial" panose="020B0604020202020204" pitchFamily="34" charset="0"/>
              <a:cs typeface="Arial" panose="020B0604020202020204" pitchFamily="34" charset="0"/>
            </a:rPr>
            <a:t> is made to Minister or Delegate</a:t>
          </a:r>
        </a:p>
        <a:p>
          <a:pPr algn="l"/>
          <a:r>
            <a:rPr lang="en-AU" sz="1000" spc="-60" baseline="0">
              <a:latin typeface="Arial" panose="020B0604020202020204" pitchFamily="34" charset="0"/>
              <a:cs typeface="Arial" panose="020B0604020202020204" pitchFamily="34" charset="0"/>
            </a:rPr>
            <a:t>(Department)</a:t>
          </a:r>
        </a:p>
      </dgm:t>
    </dgm:pt>
    <dgm:pt modelId="{3E7E52FA-BEAF-4662-B945-3D19607E95CC}" type="parTrans" cxnId="{A9A892F8-3FF8-4F94-B303-49569C725989}">
      <dgm:prSet/>
      <dgm:spPr/>
      <dgm:t>
        <a:bodyPr/>
        <a:lstStyle/>
        <a:p>
          <a:endParaRPr lang="en-AU">
            <a:latin typeface="Arial" panose="020B0604020202020204" pitchFamily="34" charset="0"/>
            <a:cs typeface="Arial" panose="020B0604020202020204" pitchFamily="34" charset="0"/>
          </a:endParaRPr>
        </a:p>
      </dgm:t>
    </dgm:pt>
    <dgm:pt modelId="{292ECE66-87B9-492C-A7E3-0E9B8A50905F}" type="sibTrans" cxnId="{A9A892F8-3FF8-4F94-B303-49569C725989}">
      <dgm:prSet/>
      <dgm:spPr/>
      <dgm:t>
        <a:bodyPr/>
        <a:lstStyle/>
        <a:p>
          <a:endParaRPr lang="en-AU">
            <a:latin typeface="Arial" panose="020B0604020202020204" pitchFamily="34" charset="0"/>
            <a:cs typeface="Arial" panose="020B0604020202020204" pitchFamily="34" charset="0"/>
          </a:endParaRPr>
        </a:p>
      </dgm:t>
    </dgm:pt>
    <dgm:pt modelId="{66FC7336-FF0F-4CC5-8182-E94EB2FDC80F}">
      <dgm:prSet phldrT="[Text]" custT="1"/>
      <dgm:spPr>
        <a:ln>
          <a:solidFill>
            <a:srgbClr val="358189"/>
          </a:solidFill>
        </a:ln>
      </dgm:spPr>
      <dgm:t>
        <a:bodyPr anchor="t" anchorCtr="0"/>
        <a:lstStyle/>
        <a:p>
          <a:pPr algn="l">
            <a:lnSpc>
              <a:spcPct val="90000"/>
            </a:lnSpc>
          </a:pPr>
          <a:r>
            <a:rPr lang="en-US" sz="1000" b="1" dirty="0">
              <a:latin typeface="Arial" panose="020B0604020202020204" pitchFamily="34" charset="0"/>
              <a:cs typeface="Arial" panose="020B0604020202020204" pitchFamily="34" charset="0"/>
            </a:rPr>
            <a:t>Step 5: </a:t>
          </a:r>
        </a:p>
        <a:p>
          <a:pPr algn="l">
            <a:lnSpc>
              <a:spcPct val="80000"/>
            </a:lnSpc>
          </a:pPr>
          <a:r>
            <a:rPr lang="en-US" sz="1000" dirty="0">
              <a:latin typeface="Arial" panose="020B0604020202020204" pitchFamily="34" charset="0"/>
              <a:cs typeface="Arial" panose="020B0604020202020204" pitchFamily="34" charset="0"/>
            </a:rPr>
            <a:t>If approved by the Delegate, the device is </a:t>
          </a:r>
          <a:r>
            <a:rPr lang="en-US" sz="1000" spc="-50" baseline="0" dirty="0">
              <a:latin typeface="Arial" panose="020B0604020202020204" pitchFamily="34" charset="0"/>
              <a:cs typeface="Arial" panose="020B0604020202020204" pitchFamily="34" charset="0"/>
            </a:rPr>
            <a:t>listed on the PL</a:t>
          </a:r>
        </a:p>
        <a:p>
          <a:pPr algn="l">
            <a:lnSpc>
              <a:spcPct val="80000"/>
            </a:lnSpc>
          </a:pPr>
          <a:r>
            <a:rPr lang="en-US" sz="1000" dirty="0">
              <a:latin typeface="Arial" panose="020B0604020202020204" pitchFamily="34" charset="0"/>
              <a:cs typeface="Arial" panose="020B0604020202020204" pitchFamily="34" charset="0"/>
            </a:rPr>
            <a:t>(Department) </a:t>
          </a:r>
          <a:endParaRPr lang="en-AU" sz="1000">
            <a:latin typeface="Arial" panose="020B0604020202020204" pitchFamily="34" charset="0"/>
            <a:cs typeface="Arial" panose="020B0604020202020204" pitchFamily="34" charset="0"/>
          </a:endParaRPr>
        </a:p>
      </dgm:t>
    </dgm:pt>
    <dgm:pt modelId="{AA4E2134-AF89-45BB-AE7E-1EB38881E763}" type="parTrans" cxnId="{D3B2609D-FFE4-4C2D-83C2-A9843E3BF043}">
      <dgm:prSet/>
      <dgm:spPr/>
      <dgm:t>
        <a:bodyPr/>
        <a:lstStyle/>
        <a:p>
          <a:endParaRPr lang="en-AU">
            <a:latin typeface="Arial" panose="020B0604020202020204" pitchFamily="34" charset="0"/>
            <a:cs typeface="Arial" panose="020B0604020202020204" pitchFamily="34" charset="0"/>
          </a:endParaRPr>
        </a:p>
      </dgm:t>
    </dgm:pt>
    <dgm:pt modelId="{4AE0B89F-55BE-46E7-B025-2B1CEFBBF250}" type="sibTrans" cxnId="{D3B2609D-FFE4-4C2D-83C2-A9843E3BF043}">
      <dgm:prSet/>
      <dgm:spPr/>
      <dgm:t>
        <a:bodyPr/>
        <a:lstStyle/>
        <a:p>
          <a:endParaRPr lang="en-AU">
            <a:latin typeface="Arial" panose="020B0604020202020204" pitchFamily="34" charset="0"/>
            <a:cs typeface="Arial" panose="020B0604020202020204" pitchFamily="34" charset="0"/>
          </a:endParaRPr>
        </a:p>
      </dgm:t>
    </dgm:pt>
    <dgm:pt modelId="{630DF625-1661-47AE-A7D9-5D09CC3F0B11}">
      <dgm:prSet custT="1"/>
      <dgm:spPr>
        <a:ln>
          <a:solidFill>
            <a:srgbClr val="358189"/>
          </a:solidFill>
        </a:ln>
      </dgm:spPr>
      <dgm:t>
        <a:bodyPr anchor="t" anchorCtr="0"/>
        <a:lstStyle/>
        <a:p>
          <a:pPr algn="l"/>
          <a:r>
            <a:rPr lang="en-AU" sz="1000" b="1">
              <a:latin typeface="Arial" panose="020B0604020202020204" pitchFamily="34" charset="0"/>
              <a:cs typeface="Arial" panose="020B0604020202020204" pitchFamily="34" charset="0"/>
            </a:rPr>
            <a:t>Step 1: </a:t>
          </a:r>
        </a:p>
        <a:p>
          <a:pPr algn="l"/>
          <a:r>
            <a:rPr lang="en-US" sz="1000" dirty="0">
              <a:latin typeface="Arial" panose="020B0604020202020204" pitchFamily="34" charset="0"/>
              <a:cs typeface="Arial" panose="020B0604020202020204" pitchFamily="34" charset="0"/>
            </a:rPr>
            <a:t>The device is included in the ARTG</a:t>
          </a:r>
        </a:p>
        <a:p>
          <a:pPr algn="l"/>
          <a:br>
            <a:rPr lang="en-US" sz="1000" dirty="0">
              <a:latin typeface="Arial" panose="020B0604020202020204" pitchFamily="34" charset="0"/>
              <a:cs typeface="Arial" panose="020B0604020202020204" pitchFamily="34" charset="0"/>
            </a:rPr>
          </a:br>
          <a:r>
            <a:rPr lang="en-US" sz="1000" dirty="0">
              <a:latin typeface="Arial" panose="020B0604020202020204" pitchFamily="34" charset="0"/>
              <a:cs typeface="Arial" panose="020B0604020202020204" pitchFamily="34" charset="0"/>
            </a:rPr>
            <a:t>(Sponsor and TGA)</a:t>
          </a:r>
          <a:endParaRPr lang="en-AU" sz="1000">
            <a:latin typeface="Arial" panose="020B0604020202020204" pitchFamily="34" charset="0"/>
            <a:cs typeface="Arial" panose="020B0604020202020204" pitchFamily="34" charset="0"/>
          </a:endParaRPr>
        </a:p>
      </dgm:t>
    </dgm:pt>
    <dgm:pt modelId="{CBC9265C-2588-4734-B0FC-81AC35329493}" type="parTrans" cxnId="{C624778E-0517-42F5-8C6B-1F5BFEBD9FB3}">
      <dgm:prSet/>
      <dgm:spPr/>
      <dgm:t>
        <a:bodyPr/>
        <a:lstStyle/>
        <a:p>
          <a:endParaRPr lang="en-AU">
            <a:latin typeface="Arial" panose="020B0604020202020204" pitchFamily="34" charset="0"/>
            <a:cs typeface="Arial" panose="020B0604020202020204" pitchFamily="34" charset="0"/>
          </a:endParaRPr>
        </a:p>
      </dgm:t>
    </dgm:pt>
    <dgm:pt modelId="{23C89C14-58FB-48B2-9347-8CBDB3E82574}" type="sibTrans" cxnId="{C624778E-0517-42F5-8C6B-1F5BFEBD9FB3}">
      <dgm:prSet/>
      <dgm:spPr/>
      <dgm:t>
        <a:bodyPr/>
        <a:lstStyle/>
        <a:p>
          <a:endParaRPr lang="en-AU">
            <a:latin typeface="Arial" panose="020B0604020202020204" pitchFamily="34" charset="0"/>
            <a:cs typeface="Arial" panose="020B0604020202020204" pitchFamily="34" charset="0"/>
          </a:endParaRPr>
        </a:p>
      </dgm:t>
    </dgm:pt>
    <dgm:pt modelId="{B83F878C-EFF9-4A34-A090-BC8B1EC42F6D}">
      <dgm:prSet custT="1"/>
      <dgm:spPr>
        <a:ln>
          <a:solidFill>
            <a:srgbClr val="358189"/>
          </a:solidFill>
        </a:ln>
      </dgm:spPr>
      <dgm:t>
        <a:bodyPr anchor="t" anchorCtr="0"/>
        <a:lstStyle/>
        <a:p>
          <a:pPr algn="l"/>
          <a:r>
            <a:rPr lang="en-AU" sz="1000" b="1">
              <a:latin typeface="Arial" panose="020B0604020202020204" pitchFamily="34" charset="0"/>
              <a:cs typeface="Arial" panose="020B0604020202020204" pitchFamily="34" charset="0"/>
            </a:rPr>
            <a:t>Step 2:</a:t>
          </a:r>
        </a:p>
        <a:p>
          <a:pPr algn="l"/>
          <a:r>
            <a:rPr lang="en-US" sz="1000" dirty="0">
              <a:latin typeface="Arial" panose="020B0604020202020204" pitchFamily="34" charset="0"/>
              <a:cs typeface="Arial" panose="020B0604020202020204" pitchFamily="34" charset="0"/>
            </a:rPr>
            <a:t>PL application submitted via HPP</a:t>
          </a:r>
        </a:p>
        <a:p>
          <a:pPr algn="l"/>
          <a:r>
            <a:rPr lang="en-US" sz="1000" dirty="0">
              <a:latin typeface="Arial" panose="020B0604020202020204" pitchFamily="34" charset="0"/>
              <a:cs typeface="Arial" panose="020B0604020202020204" pitchFamily="34" charset="0"/>
            </a:rPr>
            <a:t>(Sponsor)</a:t>
          </a:r>
          <a:endParaRPr lang="en-AU" sz="1000">
            <a:latin typeface="Arial" panose="020B0604020202020204" pitchFamily="34" charset="0"/>
            <a:cs typeface="Arial" panose="020B0604020202020204" pitchFamily="34" charset="0"/>
          </a:endParaRPr>
        </a:p>
      </dgm:t>
    </dgm:pt>
    <dgm:pt modelId="{1415D232-A916-44BC-87B0-2FADA973450D}" type="parTrans" cxnId="{2ABB923C-0F37-48CA-BC10-FE5181DBFD43}">
      <dgm:prSet/>
      <dgm:spPr/>
      <dgm:t>
        <a:bodyPr/>
        <a:lstStyle/>
        <a:p>
          <a:endParaRPr lang="en-AU">
            <a:latin typeface="Arial" panose="020B0604020202020204" pitchFamily="34" charset="0"/>
            <a:cs typeface="Arial" panose="020B0604020202020204" pitchFamily="34" charset="0"/>
          </a:endParaRPr>
        </a:p>
      </dgm:t>
    </dgm:pt>
    <dgm:pt modelId="{0A3A574E-75F1-4633-AE8B-846E2217C889}" type="sibTrans" cxnId="{2ABB923C-0F37-48CA-BC10-FE5181DBFD43}">
      <dgm:prSet/>
      <dgm:spPr/>
      <dgm:t>
        <a:bodyPr/>
        <a:lstStyle/>
        <a:p>
          <a:endParaRPr lang="en-AU">
            <a:latin typeface="Arial" panose="020B0604020202020204" pitchFamily="34" charset="0"/>
            <a:cs typeface="Arial" panose="020B0604020202020204" pitchFamily="34" charset="0"/>
          </a:endParaRPr>
        </a:p>
      </dgm:t>
    </dgm:pt>
    <dgm:pt modelId="{FB3E6976-23A2-4B6D-AA1B-A1B0A5B015B3}" type="pres">
      <dgm:prSet presAssocID="{06266286-AC0E-4DD0-995F-45345039C896}" presName="CompostProcess" presStyleCnt="0">
        <dgm:presLayoutVars>
          <dgm:dir/>
          <dgm:resizeHandles val="exact"/>
        </dgm:presLayoutVars>
      </dgm:prSet>
      <dgm:spPr/>
    </dgm:pt>
    <dgm:pt modelId="{D79A4B37-A2FC-43C1-A38B-A795A3EF3228}" type="pres">
      <dgm:prSet presAssocID="{06266286-AC0E-4DD0-995F-45345039C896}" presName="arrow" presStyleLbl="bgShp" presStyleIdx="0" presStyleCnt="1" custScaleX="117647" custLinFactNeighborX="3304" custLinFactNeighborY="-46999"/>
      <dgm:spPr>
        <a:solidFill>
          <a:srgbClr val="BDE7ED"/>
        </a:solidFill>
      </dgm:spPr>
    </dgm:pt>
    <dgm:pt modelId="{BE34E345-F169-4D8D-917E-B3D66A379C0F}" type="pres">
      <dgm:prSet presAssocID="{06266286-AC0E-4DD0-995F-45345039C896}" presName="linearProcess" presStyleCnt="0"/>
      <dgm:spPr/>
    </dgm:pt>
    <dgm:pt modelId="{FFB0B8BE-D094-4301-99B8-63DA69888BD0}" type="pres">
      <dgm:prSet presAssocID="{630DF625-1661-47AE-A7D9-5D09CC3F0B11}" presName="textNode" presStyleLbl="node1" presStyleIdx="0" presStyleCnt="5" custScaleX="163268" custScaleY="110000" custLinFactNeighborX="-3874">
        <dgm:presLayoutVars>
          <dgm:bulletEnabled val="1"/>
        </dgm:presLayoutVars>
      </dgm:prSet>
      <dgm:spPr/>
    </dgm:pt>
    <dgm:pt modelId="{BFC4567D-772A-4652-B288-3A08D83990B3}" type="pres">
      <dgm:prSet presAssocID="{23C89C14-58FB-48B2-9347-8CBDB3E82574}" presName="sibTrans" presStyleCnt="0"/>
      <dgm:spPr/>
    </dgm:pt>
    <dgm:pt modelId="{83C1438F-74CF-4882-A4F5-4E0A65835E66}" type="pres">
      <dgm:prSet presAssocID="{B83F878C-EFF9-4A34-A090-BC8B1EC42F6D}" presName="textNode" presStyleLbl="node1" presStyleIdx="1" presStyleCnt="5" custScaleX="163268" custScaleY="110000" custLinFactNeighborX="-45540" custLinFactNeighborY="536">
        <dgm:presLayoutVars>
          <dgm:bulletEnabled val="1"/>
        </dgm:presLayoutVars>
      </dgm:prSet>
      <dgm:spPr/>
    </dgm:pt>
    <dgm:pt modelId="{18EFFF99-9029-404D-8CC4-7EC79E0A29C5}" type="pres">
      <dgm:prSet presAssocID="{0A3A574E-75F1-4633-AE8B-846E2217C889}" presName="sibTrans" presStyleCnt="0"/>
      <dgm:spPr/>
    </dgm:pt>
    <dgm:pt modelId="{29A07469-42F5-4A49-BF16-05B3C19E72B3}" type="pres">
      <dgm:prSet presAssocID="{5BF4875A-06D3-4AE3-BBC3-0E94F46DF4A1}" presName="textNode" presStyleLbl="node1" presStyleIdx="2" presStyleCnt="5" custScaleX="158097" custScaleY="110000" custLinFactNeighborX="-95635" custLinFactNeighborY="536">
        <dgm:presLayoutVars>
          <dgm:bulletEnabled val="1"/>
        </dgm:presLayoutVars>
      </dgm:prSet>
      <dgm:spPr/>
    </dgm:pt>
    <dgm:pt modelId="{BF69E587-6310-4F34-8FCB-ECD8CB746E30}" type="pres">
      <dgm:prSet presAssocID="{2A6DB4BF-F895-48F6-A478-7234DB6ECCB7}" presName="sibTrans" presStyleCnt="0"/>
      <dgm:spPr/>
    </dgm:pt>
    <dgm:pt modelId="{FA039D72-F04E-4736-8AA3-350C774F1CE1}" type="pres">
      <dgm:prSet presAssocID="{AB5D95A8-2368-4CE2-835D-1EB02FA651EA}" presName="textNode" presStyleLbl="node1" presStyleIdx="3" presStyleCnt="5" custScaleX="175402" custScaleY="110680" custLinFactX="-4685" custLinFactNeighborX="-100000" custLinFactNeighborY="1390">
        <dgm:presLayoutVars>
          <dgm:bulletEnabled val="1"/>
        </dgm:presLayoutVars>
      </dgm:prSet>
      <dgm:spPr/>
    </dgm:pt>
    <dgm:pt modelId="{7517F7F0-39A9-4387-A03A-8052A8A22EDA}" type="pres">
      <dgm:prSet presAssocID="{292ECE66-87B9-492C-A7E3-0E9B8A50905F}" presName="sibTrans" presStyleCnt="0"/>
      <dgm:spPr/>
    </dgm:pt>
    <dgm:pt modelId="{98C1AE57-C027-419A-8865-085671F3F45A}" type="pres">
      <dgm:prSet presAssocID="{66FC7336-FF0F-4CC5-8182-E94EB2FDC80F}" presName="textNode" presStyleLbl="node1" presStyleIdx="4" presStyleCnt="5" custScaleX="163268" custScaleY="109832" custLinFactX="-10532" custLinFactNeighborX="-100000" custLinFactNeighborY="1278">
        <dgm:presLayoutVars>
          <dgm:bulletEnabled val="1"/>
        </dgm:presLayoutVars>
      </dgm:prSet>
      <dgm:spPr/>
    </dgm:pt>
  </dgm:ptLst>
  <dgm:cxnLst>
    <dgm:cxn modelId="{629F213A-63BE-466C-8980-37C549F564AB}" type="presOf" srcId="{06266286-AC0E-4DD0-995F-45345039C896}" destId="{FB3E6976-23A2-4B6D-AA1B-A1B0A5B015B3}" srcOrd="0" destOrd="0" presId="urn:microsoft.com/office/officeart/2005/8/layout/hProcess9"/>
    <dgm:cxn modelId="{2ABB923C-0F37-48CA-BC10-FE5181DBFD43}" srcId="{06266286-AC0E-4DD0-995F-45345039C896}" destId="{B83F878C-EFF9-4A34-A090-BC8B1EC42F6D}" srcOrd="1" destOrd="0" parTransId="{1415D232-A916-44BC-87B0-2FADA973450D}" sibTransId="{0A3A574E-75F1-4633-AE8B-846E2217C889}"/>
    <dgm:cxn modelId="{67DCC85B-4C57-4B33-93A4-76CCE7DA9F4A}" type="presOf" srcId="{630DF625-1661-47AE-A7D9-5D09CC3F0B11}" destId="{FFB0B8BE-D094-4301-99B8-63DA69888BD0}" srcOrd="0" destOrd="0" presId="urn:microsoft.com/office/officeart/2005/8/layout/hProcess9"/>
    <dgm:cxn modelId="{ACD4E841-DA7A-4008-9EBC-EE41AA5BF516}" type="presOf" srcId="{66FC7336-FF0F-4CC5-8182-E94EB2FDC80F}" destId="{98C1AE57-C027-419A-8865-085671F3F45A}" srcOrd="0" destOrd="0" presId="urn:microsoft.com/office/officeart/2005/8/layout/hProcess9"/>
    <dgm:cxn modelId="{6670FB4F-1DF0-483E-9A72-5D39124B031D}" type="presOf" srcId="{B83F878C-EFF9-4A34-A090-BC8B1EC42F6D}" destId="{83C1438F-74CF-4882-A4F5-4E0A65835E66}" srcOrd="0" destOrd="0" presId="urn:microsoft.com/office/officeart/2005/8/layout/hProcess9"/>
    <dgm:cxn modelId="{34D71784-A120-4C51-AA8F-B75862A05143}" srcId="{06266286-AC0E-4DD0-995F-45345039C896}" destId="{5BF4875A-06D3-4AE3-BBC3-0E94F46DF4A1}" srcOrd="2" destOrd="0" parTransId="{19E8E921-D4B1-4B4E-8EEF-485F46D2B3E0}" sibTransId="{2A6DB4BF-F895-48F6-A478-7234DB6ECCB7}"/>
    <dgm:cxn modelId="{C624778E-0517-42F5-8C6B-1F5BFEBD9FB3}" srcId="{06266286-AC0E-4DD0-995F-45345039C896}" destId="{630DF625-1661-47AE-A7D9-5D09CC3F0B11}" srcOrd="0" destOrd="0" parTransId="{CBC9265C-2588-4734-B0FC-81AC35329493}" sibTransId="{23C89C14-58FB-48B2-9347-8CBDB3E82574}"/>
    <dgm:cxn modelId="{AD760992-7D7B-40B9-9A94-2BE3BD5C1954}" type="presOf" srcId="{AB5D95A8-2368-4CE2-835D-1EB02FA651EA}" destId="{FA039D72-F04E-4736-8AA3-350C774F1CE1}" srcOrd="0" destOrd="0" presId="urn:microsoft.com/office/officeart/2005/8/layout/hProcess9"/>
    <dgm:cxn modelId="{D3B2609D-FFE4-4C2D-83C2-A9843E3BF043}" srcId="{06266286-AC0E-4DD0-995F-45345039C896}" destId="{66FC7336-FF0F-4CC5-8182-E94EB2FDC80F}" srcOrd="4" destOrd="0" parTransId="{AA4E2134-AF89-45BB-AE7E-1EB38881E763}" sibTransId="{4AE0B89F-55BE-46E7-B025-2B1CEFBBF250}"/>
    <dgm:cxn modelId="{3AD8D1A7-96CD-4051-8575-692D3E4EF159}" type="presOf" srcId="{5BF4875A-06D3-4AE3-BBC3-0E94F46DF4A1}" destId="{29A07469-42F5-4A49-BF16-05B3C19E72B3}" srcOrd="0" destOrd="0" presId="urn:microsoft.com/office/officeart/2005/8/layout/hProcess9"/>
    <dgm:cxn modelId="{A9A892F8-3FF8-4F94-B303-49569C725989}" srcId="{06266286-AC0E-4DD0-995F-45345039C896}" destId="{AB5D95A8-2368-4CE2-835D-1EB02FA651EA}" srcOrd="3" destOrd="0" parTransId="{3E7E52FA-BEAF-4662-B945-3D19607E95CC}" sibTransId="{292ECE66-87B9-492C-A7E3-0E9B8A50905F}"/>
    <dgm:cxn modelId="{A0CCC8D9-B90C-499B-8735-2F2C123D68DE}" type="presParOf" srcId="{FB3E6976-23A2-4B6D-AA1B-A1B0A5B015B3}" destId="{D79A4B37-A2FC-43C1-A38B-A795A3EF3228}" srcOrd="0" destOrd="0" presId="urn:microsoft.com/office/officeart/2005/8/layout/hProcess9"/>
    <dgm:cxn modelId="{E778F1A0-58E2-476F-92D3-641A2EEE973F}" type="presParOf" srcId="{FB3E6976-23A2-4B6D-AA1B-A1B0A5B015B3}" destId="{BE34E345-F169-4D8D-917E-B3D66A379C0F}" srcOrd="1" destOrd="0" presId="urn:microsoft.com/office/officeart/2005/8/layout/hProcess9"/>
    <dgm:cxn modelId="{6043495D-12CC-412C-8E63-7C40D526939A}" type="presParOf" srcId="{BE34E345-F169-4D8D-917E-B3D66A379C0F}" destId="{FFB0B8BE-D094-4301-99B8-63DA69888BD0}" srcOrd="0" destOrd="0" presId="urn:microsoft.com/office/officeart/2005/8/layout/hProcess9"/>
    <dgm:cxn modelId="{93818761-8545-45DA-978E-312526CCE72E}" type="presParOf" srcId="{BE34E345-F169-4D8D-917E-B3D66A379C0F}" destId="{BFC4567D-772A-4652-B288-3A08D83990B3}" srcOrd="1" destOrd="0" presId="urn:microsoft.com/office/officeart/2005/8/layout/hProcess9"/>
    <dgm:cxn modelId="{11173245-BC26-4113-B115-70B769768F99}" type="presParOf" srcId="{BE34E345-F169-4D8D-917E-B3D66A379C0F}" destId="{83C1438F-74CF-4882-A4F5-4E0A65835E66}" srcOrd="2" destOrd="0" presId="urn:microsoft.com/office/officeart/2005/8/layout/hProcess9"/>
    <dgm:cxn modelId="{221C29A4-9DEE-4B7A-A645-AD2D74FCD3BF}" type="presParOf" srcId="{BE34E345-F169-4D8D-917E-B3D66A379C0F}" destId="{18EFFF99-9029-404D-8CC4-7EC79E0A29C5}" srcOrd="3" destOrd="0" presId="urn:microsoft.com/office/officeart/2005/8/layout/hProcess9"/>
    <dgm:cxn modelId="{5C4AC66F-ADF0-43C7-A515-260DA4A7A00E}" type="presParOf" srcId="{BE34E345-F169-4D8D-917E-B3D66A379C0F}" destId="{29A07469-42F5-4A49-BF16-05B3C19E72B3}" srcOrd="4" destOrd="0" presId="urn:microsoft.com/office/officeart/2005/8/layout/hProcess9"/>
    <dgm:cxn modelId="{8FFE37B8-3258-4EDB-8C7D-6C94250C6A05}" type="presParOf" srcId="{BE34E345-F169-4D8D-917E-B3D66A379C0F}" destId="{BF69E587-6310-4F34-8FCB-ECD8CB746E30}" srcOrd="5" destOrd="0" presId="urn:microsoft.com/office/officeart/2005/8/layout/hProcess9"/>
    <dgm:cxn modelId="{57C931E3-DEB8-4319-A211-46A171B3914A}" type="presParOf" srcId="{BE34E345-F169-4D8D-917E-B3D66A379C0F}" destId="{FA039D72-F04E-4736-8AA3-350C774F1CE1}" srcOrd="6" destOrd="0" presId="urn:microsoft.com/office/officeart/2005/8/layout/hProcess9"/>
    <dgm:cxn modelId="{85D7B4E6-E153-483E-91F9-CE271D9DF1A6}" type="presParOf" srcId="{BE34E345-F169-4D8D-917E-B3D66A379C0F}" destId="{7517F7F0-39A9-4387-A03A-8052A8A22EDA}" srcOrd="7" destOrd="0" presId="urn:microsoft.com/office/officeart/2005/8/layout/hProcess9"/>
    <dgm:cxn modelId="{328109BD-D32F-4FCB-BD21-A4E3E3CF5E5D}" type="presParOf" srcId="{BE34E345-F169-4D8D-917E-B3D66A379C0F}" destId="{98C1AE57-C027-419A-8865-085671F3F45A}" srcOrd="8" destOrd="0" presId="urn:microsoft.com/office/officeart/2005/8/layout/hProcess9"/>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6266286-AC0E-4DD0-995F-45345039C896}" type="doc">
      <dgm:prSet loTypeId="urn:microsoft.com/office/officeart/2005/8/layout/hProcess9" loCatId="process" qsTypeId="urn:microsoft.com/office/officeart/2005/8/quickstyle/simple1" qsCatId="simple" csTypeId="urn:microsoft.com/office/officeart/2005/8/colors/accent6_1" csCatId="accent6" phldr="1"/>
      <dgm:spPr/>
      <dgm:t>
        <a:bodyPr/>
        <a:lstStyle/>
        <a:p>
          <a:endParaRPr lang="en-AU"/>
        </a:p>
      </dgm:t>
    </dgm:pt>
    <dgm:pt modelId="{5BF4875A-06D3-4AE3-BBC3-0E94F46DF4A1}">
      <dgm:prSet phldrT="[Text]" custT="1"/>
      <dgm:spPr>
        <a:ln>
          <a:solidFill>
            <a:srgbClr val="358189"/>
          </a:solidFill>
        </a:ln>
      </dgm:spPr>
      <dgm:t>
        <a:bodyPr rIns="0" anchor="t" anchorCtr="0"/>
        <a:lstStyle/>
        <a:p>
          <a:pPr algn="l"/>
          <a:r>
            <a:rPr lang="en-AU" sz="1000" b="1">
              <a:latin typeface="Arial" panose="020B0604020202020204" pitchFamily="34" charset="0"/>
              <a:cs typeface="Arial" panose="020B0604020202020204" pitchFamily="34" charset="0"/>
            </a:rPr>
            <a:t>Step 3:</a:t>
          </a:r>
        </a:p>
        <a:p>
          <a:pPr algn="l"/>
          <a:r>
            <a:rPr lang="en-AU" sz="1000" b="0">
              <a:latin typeface="Arial" panose="020B0604020202020204" pitchFamily="34" charset="0"/>
              <a:cs typeface="Arial" panose="020B0604020202020204" pitchFamily="34" charset="0"/>
            </a:rPr>
            <a:t>Clinical/</a:t>
          </a:r>
          <a:br>
            <a:rPr lang="en-AU" sz="1000" b="0">
              <a:latin typeface="Arial" panose="020B0604020202020204" pitchFamily="34" charset="0"/>
              <a:cs typeface="Arial" panose="020B0604020202020204" pitchFamily="34" charset="0"/>
            </a:rPr>
          </a:br>
          <a:r>
            <a:rPr lang="en-AU" sz="1000" b="0">
              <a:latin typeface="Arial" panose="020B0604020202020204" pitchFamily="34" charset="0"/>
              <a:cs typeface="Arial" panose="020B0604020202020204" pitchFamily="34" charset="0"/>
            </a:rPr>
            <a:t>Focused HTA </a:t>
          </a:r>
        </a:p>
        <a:p>
          <a:pPr algn="l"/>
          <a:r>
            <a:rPr lang="en-AU" sz="1000" b="0">
              <a:latin typeface="Arial" panose="020B0604020202020204" pitchFamily="34" charset="0"/>
              <a:cs typeface="Arial" panose="020B0604020202020204" pitchFamily="34" charset="0"/>
            </a:rPr>
            <a:t>(Clinical/</a:t>
          </a:r>
          <a:br>
            <a:rPr lang="en-AU" sz="1000" b="0">
              <a:latin typeface="Arial" panose="020B0604020202020204" pitchFamily="34" charset="0"/>
              <a:cs typeface="Arial" panose="020B0604020202020204" pitchFamily="34" charset="0"/>
            </a:rPr>
          </a:br>
          <a:r>
            <a:rPr lang="en-AU" sz="1000" b="0">
              <a:latin typeface="Arial" panose="020B0604020202020204" pitchFamily="34" charset="0"/>
              <a:cs typeface="Arial" panose="020B0604020202020204" pitchFamily="34" charset="0"/>
            </a:rPr>
            <a:t>economic experts)</a:t>
          </a:r>
          <a:endParaRPr lang="en-AU" sz="1000">
            <a:latin typeface="Arial" panose="020B0604020202020204" pitchFamily="34" charset="0"/>
            <a:cs typeface="Arial" panose="020B0604020202020204" pitchFamily="34" charset="0"/>
          </a:endParaRPr>
        </a:p>
      </dgm:t>
    </dgm:pt>
    <dgm:pt modelId="{19E8E921-D4B1-4B4E-8EEF-485F46D2B3E0}" type="parTrans" cxnId="{34D71784-A120-4C51-AA8F-B75862A05143}">
      <dgm:prSet/>
      <dgm:spPr/>
      <dgm:t>
        <a:bodyPr/>
        <a:lstStyle/>
        <a:p>
          <a:endParaRPr lang="en-AU" sz="900"/>
        </a:p>
      </dgm:t>
    </dgm:pt>
    <dgm:pt modelId="{2A6DB4BF-F895-48F6-A478-7234DB6ECCB7}" type="sibTrans" cxnId="{34D71784-A120-4C51-AA8F-B75862A05143}">
      <dgm:prSet/>
      <dgm:spPr/>
      <dgm:t>
        <a:bodyPr/>
        <a:lstStyle/>
        <a:p>
          <a:endParaRPr lang="en-AU" sz="900"/>
        </a:p>
      </dgm:t>
    </dgm:pt>
    <dgm:pt modelId="{AB5D95A8-2368-4CE2-835D-1EB02FA651EA}">
      <dgm:prSet phldrT="[Text]" custT="1"/>
      <dgm:spPr>
        <a:ln>
          <a:solidFill>
            <a:srgbClr val="358189"/>
          </a:solidFill>
        </a:ln>
      </dgm:spPr>
      <dgm:t>
        <a:bodyPr lIns="0" rIns="0" anchor="t" anchorCtr="0"/>
        <a:lstStyle/>
        <a:p>
          <a:pPr algn="l"/>
          <a:r>
            <a:rPr lang="en-AU" sz="1000" b="1">
              <a:latin typeface="Arial" panose="020B0604020202020204" pitchFamily="34" charset="0"/>
              <a:cs typeface="Arial" panose="020B0604020202020204" pitchFamily="34" charset="0"/>
            </a:rPr>
            <a:t>Step 4</a:t>
          </a:r>
        </a:p>
        <a:p>
          <a:pPr algn="l"/>
          <a:r>
            <a:rPr lang="en-AU" sz="1000" spc="-70" baseline="0">
              <a:latin typeface="Arial" panose="020B0604020202020204" pitchFamily="34" charset="0"/>
              <a:cs typeface="Arial" panose="020B0604020202020204" pitchFamily="34" charset="0"/>
            </a:rPr>
            <a:t>Recommendation</a:t>
          </a:r>
          <a:r>
            <a:rPr lang="en-AU" sz="1000">
              <a:latin typeface="Arial" panose="020B0604020202020204" pitchFamily="34" charset="0"/>
              <a:cs typeface="Arial" panose="020B0604020202020204" pitchFamily="34" charset="0"/>
            </a:rPr>
            <a:t> is made to Minister or Delegate</a:t>
          </a:r>
        </a:p>
        <a:p>
          <a:pPr algn="l"/>
          <a:r>
            <a:rPr lang="en-AU" sz="1000">
              <a:latin typeface="Arial" panose="020B0604020202020204" pitchFamily="34" charset="0"/>
              <a:cs typeface="Arial" panose="020B0604020202020204" pitchFamily="34" charset="0"/>
            </a:rPr>
            <a:t>(Department)</a:t>
          </a:r>
        </a:p>
      </dgm:t>
    </dgm:pt>
    <dgm:pt modelId="{3E7E52FA-BEAF-4662-B945-3D19607E95CC}" type="parTrans" cxnId="{A9A892F8-3FF8-4F94-B303-49569C725989}">
      <dgm:prSet/>
      <dgm:spPr/>
      <dgm:t>
        <a:bodyPr/>
        <a:lstStyle/>
        <a:p>
          <a:endParaRPr lang="en-AU" sz="900"/>
        </a:p>
      </dgm:t>
    </dgm:pt>
    <dgm:pt modelId="{292ECE66-87B9-492C-A7E3-0E9B8A50905F}" type="sibTrans" cxnId="{A9A892F8-3FF8-4F94-B303-49569C725989}">
      <dgm:prSet/>
      <dgm:spPr/>
      <dgm:t>
        <a:bodyPr/>
        <a:lstStyle/>
        <a:p>
          <a:endParaRPr lang="en-AU" sz="900"/>
        </a:p>
      </dgm:t>
    </dgm:pt>
    <dgm:pt modelId="{66FC7336-FF0F-4CC5-8182-E94EB2FDC80F}">
      <dgm:prSet phldrT="[Text]" custT="1"/>
      <dgm:spPr>
        <a:ln>
          <a:solidFill>
            <a:srgbClr val="358189"/>
          </a:solidFill>
        </a:ln>
      </dgm:spPr>
      <dgm:t>
        <a:bodyPr rIns="0" anchor="t" anchorCtr="0"/>
        <a:lstStyle/>
        <a:p>
          <a:pPr algn="l"/>
          <a:r>
            <a:rPr lang="en-US" sz="1000" b="1" dirty="0">
              <a:latin typeface="Arial" panose="020B0604020202020204" pitchFamily="34" charset="0"/>
              <a:cs typeface="Arial" panose="020B0604020202020204" pitchFamily="34" charset="0"/>
            </a:rPr>
            <a:t>Step 5: </a:t>
          </a:r>
        </a:p>
        <a:p>
          <a:pPr algn="l"/>
          <a:r>
            <a:rPr lang="en-US" sz="1000" dirty="0">
              <a:latin typeface="Arial" panose="020B0604020202020204" pitchFamily="34" charset="0"/>
              <a:cs typeface="Arial" panose="020B0604020202020204" pitchFamily="34" charset="0"/>
            </a:rPr>
            <a:t>If approved by the Delegate, the device is listed on the PL </a:t>
          </a:r>
        </a:p>
        <a:p>
          <a:pPr algn="l"/>
          <a:r>
            <a:rPr lang="en-US" sz="1000" spc="-50" baseline="0" dirty="0">
              <a:latin typeface="Arial" panose="020B0604020202020204" pitchFamily="34" charset="0"/>
              <a:cs typeface="Arial" panose="020B0604020202020204" pitchFamily="34" charset="0"/>
            </a:rPr>
            <a:t>(Department) </a:t>
          </a:r>
          <a:endParaRPr lang="en-AU" sz="1000" spc="-50" baseline="0">
            <a:latin typeface="Arial" panose="020B0604020202020204" pitchFamily="34" charset="0"/>
            <a:cs typeface="Arial" panose="020B0604020202020204" pitchFamily="34" charset="0"/>
          </a:endParaRPr>
        </a:p>
      </dgm:t>
    </dgm:pt>
    <dgm:pt modelId="{AA4E2134-AF89-45BB-AE7E-1EB38881E763}" type="parTrans" cxnId="{D3B2609D-FFE4-4C2D-83C2-A9843E3BF043}">
      <dgm:prSet/>
      <dgm:spPr/>
      <dgm:t>
        <a:bodyPr/>
        <a:lstStyle/>
        <a:p>
          <a:endParaRPr lang="en-AU" sz="900"/>
        </a:p>
      </dgm:t>
    </dgm:pt>
    <dgm:pt modelId="{4AE0B89F-55BE-46E7-B025-2B1CEFBBF250}" type="sibTrans" cxnId="{D3B2609D-FFE4-4C2D-83C2-A9843E3BF043}">
      <dgm:prSet/>
      <dgm:spPr/>
      <dgm:t>
        <a:bodyPr/>
        <a:lstStyle/>
        <a:p>
          <a:endParaRPr lang="en-AU" sz="900"/>
        </a:p>
      </dgm:t>
    </dgm:pt>
    <dgm:pt modelId="{630DF625-1661-47AE-A7D9-5D09CC3F0B11}">
      <dgm:prSet custT="1"/>
      <dgm:spPr>
        <a:ln>
          <a:solidFill>
            <a:srgbClr val="358189"/>
          </a:solidFill>
        </a:ln>
      </dgm:spPr>
      <dgm:t>
        <a:bodyPr anchor="t" anchorCtr="0"/>
        <a:lstStyle/>
        <a:p>
          <a:pPr algn="l"/>
          <a:r>
            <a:rPr lang="en-AU" sz="1000" b="1">
              <a:latin typeface="Arial" panose="020B0604020202020204" pitchFamily="34" charset="0"/>
              <a:cs typeface="Arial" panose="020B0604020202020204" pitchFamily="34" charset="0"/>
            </a:rPr>
            <a:t>Step 1:</a:t>
          </a:r>
        </a:p>
        <a:p>
          <a:pPr algn="l"/>
          <a:r>
            <a:rPr lang="en-AU" sz="1000" dirty="0">
              <a:latin typeface="Arial" panose="020B0604020202020204" pitchFamily="34" charset="0"/>
              <a:cs typeface="Arial" panose="020B0604020202020204" pitchFamily="34" charset="0"/>
            </a:rPr>
            <a:t>PL application submitted via HPP</a:t>
          </a:r>
        </a:p>
        <a:p>
          <a:pPr algn="l"/>
          <a:r>
            <a:rPr lang="en-AU" sz="1000" dirty="0">
              <a:latin typeface="Arial" panose="020B0604020202020204" pitchFamily="34" charset="0"/>
              <a:cs typeface="Arial" panose="020B0604020202020204" pitchFamily="34" charset="0"/>
            </a:rPr>
            <a:t>(Sponsor)</a:t>
          </a:r>
        </a:p>
        <a:p>
          <a:pPr algn="l"/>
          <a:endParaRPr lang="en-AU" sz="1000">
            <a:latin typeface="Arial" panose="020B0604020202020204" pitchFamily="34" charset="0"/>
            <a:cs typeface="Arial" panose="020B0604020202020204" pitchFamily="34" charset="0"/>
          </a:endParaRPr>
        </a:p>
      </dgm:t>
    </dgm:pt>
    <dgm:pt modelId="{CBC9265C-2588-4734-B0FC-81AC35329493}" type="parTrans" cxnId="{C624778E-0517-42F5-8C6B-1F5BFEBD9FB3}">
      <dgm:prSet/>
      <dgm:spPr/>
      <dgm:t>
        <a:bodyPr/>
        <a:lstStyle/>
        <a:p>
          <a:endParaRPr lang="en-AU" sz="900"/>
        </a:p>
      </dgm:t>
    </dgm:pt>
    <dgm:pt modelId="{23C89C14-58FB-48B2-9347-8CBDB3E82574}" type="sibTrans" cxnId="{C624778E-0517-42F5-8C6B-1F5BFEBD9FB3}">
      <dgm:prSet/>
      <dgm:spPr/>
      <dgm:t>
        <a:bodyPr/>
        <a:lstStyle/>
        <a:p>
          <a:endParaRPr lang="en-AU" sz="900"/>
        </a:p>
      </dgm:t>
    </dgm:pt>
    <dgm:pt modelId="{B83F878C-EFF9-4A34-A090-BC8B1EC42F6D}">
      <dgm:prSet custT="1"/>
      <dgm:spPr>
        <a:ln>
          <a:solidFill>
            <a:srgbClr val="358189"/>
          </a:solidFill>
        </a:ln>
      </dgm:spPr>
      <dgm:t>
        <a:bodyPr lIns="36000" rIns="0" anchor="t" anchorCtr="0"/>
        <a:lstStyle/>
        <a:p>
          <a:pPr algn="l"/>
          <a:r>
            <a:rPr lang="en-AU" sz="1000" b="1">
              <a:latin typeface="Arial" panose="020B0604020202020204" pitchFamily="34" charset="0"/>
              <a:cs typeface="Arial" panose="020B0604020202020204" pitchFamily="34" charset="0"/>
            </a:rPr>
            <a:t>Step 2:</a:t>
          </a:r>
        </a:p>
        <a:p>
          <a:pPr algn="l"/>
          <a:r>
            <a:rPr lang="en-AU" sz="1000">
              <a:latin typeface="Arial" panose="020B0604020202020204" pitchFamily="34" charset="0"/>
              <a:cs typeface="Arial" panose="020B0604020202020204" pitchFamily="34" charset="0"/>
            </a:rPr>
            <a:t>Triage assessment of the application</a:t>
          </a:r>
        </a:p>
        <a:p>
          <a:pPr algn="l"/>
          <a:r>
            <a:rPr lang="en-AU" sz="1000" spc="-70" baseline="0">
              <a:latin typeface="Arial" panose="020B0604020202020204" pitchFamily="34" charset="0"/>
              <a:cs typeface="Arial" panose="020B0604020202020204" pitchFamily="34" charset="0"/>
            </a:rPr>
            <a:t>(Department)</a:t>
          </a:r>
        </a:p>
      </dgm:t>
    </dgm:pt>
    <dgm:pt modelId="{1415D232-A916-44BC-87B0-2FADA973450D}" type="parTrans" cxnId="{2ABB923C-0F37-48CA-BC10-FE5181DBFD43}">
      <dgm:prSet/>
      <dgm:spPr/>
      <dgm:t>
        <a:bodyPr/>
        <a:lstStyle/>
        <a:p>
          <a:endParaRPr lang="en-AU" sz="900"/>
        </a:p>
      </dgm:t>
    </dgm:pt>
    <dgm:pt modelId="{0A3A574E-75F1-4633-AE8B-846E2217C889}" type="sibTrans" cxnId="{2ABB923C-0F37-48CA-BC10-FE5181DBFD43}">
      <dgm:prSet/>
      <dgm:spPr/>
      <dgm:t>
        <a:bodyPr/>
        <a:lstStyle/>
        <a:p>
          <a:endParaRPr lang="en-AU" sz="900"/>
        </a:p>
      </dgm:t>
    </dgm:pt>
    <dgm:pt modelId="{FB3E6976-23A2-4B6D-AA1B-A1B0A5B015B3}" type="pres">
      <dgm:prSet presAssocID="{06266286-AC0E-4DD0-995F-45345039C896}" presName="CompostProcess" presStyleCnt="0">
        <dgm:presLayoutVars>
          <dgm:dir/>
          <dgm:resizeHandles val="exact"/>
        </dgm:presLayoutVars>
      </dgm:prSet>
      <dgm:spPr/>
    </dgm:pt>
    <dgm:pt modelId="{D79A4B37-A2FC-43C1-A38B-A795A3EF3228}" type="pres">
      <dgm:prSet presAssocID="{06266286-AC0E-4DD0-995F-45345039C896}" presName="arrow" presStyleLbl="bgShp" presStyleIdx="0" presStyleCnt="1" custScaleX="117647" custLinFactNeighborX="3478" custLinFactNeighborY="4772"/>
      <dgm:spPr>
        <a:solidFill>
          <a:srgbClr val="BDE7ED"/>
        </a:solidFill>
        <a:ln>
          <a:solidFill>
            <a:srgbClr val="358189"/>
          </a:solidFill>
        </a:ln>
      </dgm:spPr>
    </dgm:pt>
    <dgm:pt modelId="{BE34E345-F169-4D8D-917E-B3D66A379C0F}" type="pres">
      <dgm:prSet presAssocID="{06266286-AC0E-4DD0-995F-45345039C896}" presName="linearProcess" presStyleCnt="0"/>
      <dgm:spPr/>
    </dgm:pt>
    <dgm:pt modelId="{FFB0B8BE-D094-4301-99B8-63DA69888BD0}" type="pres">
      <dgm:prSet presAssocID="{630DF625-1661-47AE-A7D9-5D09CC3F0B11}" presName="textNode" presStyleLbl="node1" presStyleIdx="0" presStyleCnt="5" custScaleX="118463" custScaleY="110000" custLinFactNeighborX="23558" custLinFactNeighborY="1591">
        <dgm:presLayoutVars>
          <dgm:bulletEnabled val="1"/>
        </dgm:presLayoutVars>
      </dgm:prSet>
      <dgm:spPr/>
    </dgm:pt>
    <dgm:pt modelId="{BFC4567D-772A-4652-B288-3A08D83990B3}" type="pres">
      <dgm:prSet presAssocID="{23C89C14-58FB-48B2-9347-8CBDB3E82574}" presName="sibTrans" presStyleCnt="0"/>
      <dgm:spPr/>
    </dgm:pt>
    <dgm:pt modelId="{83C1438F-74CF-4882-A4F5-4E0A65835E66}" type="pres">
      <dgm:prSet presAssocID="{B83F878C-EFF9-4A34-A090-BC8B1EC42F6D}" presName="textNode" presStyleLbl="node1" presStyleIdx="1" presStyleCnt="5" custScaleX="110000" custScaleY="110000" custLinFactNeighborX="-59951" custLinFactNeighborY="697">
        <dgm:presLayoutVars>
          <dgm:bulletEnabled val="1"/>
        </dgm:presLayoutVars>
      </dgm:prSet>
      <dgm:spPr/>
    </dgm:pt>
    <dgm:pt modelId="{18EFFF99-9029-404D-8CC4-7EC79E0A29C5}" type="pres">
      <dgm:prSet presAssocID="{0A3A574E-75F1-4633-AE8B-846E2217C889}" presName="sibTrans" presStyleCnt="0"/>
      <dgm:spPr/>
    </dgm:pt>
    <dgm:pt modelId="{29A07469-42F5-4A49-BF16-05B3C19E72B3}" type="pres">
      <dgm:prSet presAssocID="{5BF4875A-06D3-4AE3-BBC3-0E94F46DF4A1}" presName="textNode" presStyleLbl="node1" presStyleIdx="2" presStyleCnt="5" custScaleX="110000" custScaleY="110000" custLinFactX="-5894" custLinFactNeighborX="-100000" custLinFactNeighborY="1395">
        <dgm:presLayoutVars>
          <dgm:bulletEnabled val="1"/>
        </dgm:presLayoutVars>
      </dgm:prSet>
      <dgm:spPr/>
    </dgm:pt>
    <dgm:pt modelId="{BF69E587-6310-4F34-8FCB-ECD8CB746E30}" type="pres">
      <dgm:prSet presAssocID="{2A6DB4BF-F895-48F6-A478-7234DB6ECCB7}" presName="sibTrans" presStyleCnt="0"/>
      <dgm:spPr/>
    </dgm:pt>
    <dgm:pt modelId="{FA039D72-F04E-4736-8AA3-350C774F1CE1}" type="pres">
      <dgm:prSet presAssocID="{AB5D95A8-2368-4CE2-835D-1EB02FA651EA}" presName="textNode" presStyleLbl="node1" presStyleIdx="3" presStyleCnt="5" custScaleX="115855" custScaleY="110000" custLinFactX="-17172" custLinFactNeighborX="-100000" custLinFactNeighborY="461">
        <dgm:presLayoutVars>
          <dgm:bulletEnabled val="1"/>
        </dgm:presLayoutVars>
      </dgm:prSet>
      <dgm:spPr/>
    </dgm:pt>
    <dgm:pt modelId="{7517F7F0-39A9-4387-A03A-8052A8A22EDA}" type="pres">
      <dgm:prSet presAssocID="{292ECE66-87B9-492C-A7E3-0E9B8A50905F}" presName="sibTrans" presStyleCnt="0"/>
      <dgm:spPr/>
    </dgm:pt>
    <dgm:pt modelId="{98C1AE57-C027-419A-8865-085671F3F45A}" type="pres">
      <dgm:prSet presAssocID="{66FC7336-FF0F-4CC5-8182-E94EB2FDC80F}" presName="textNode" presStyleLbl="node1" presStyleIdx="4" presStyleCnt="5" custScaleX="110000" custScaleY="110000" custLinFactX="-28525" custLinFactNeighborX="-100000" custLinFactNeighborY="1048">
        <dgm:presLayoutVars>
          <dgm:bulletEnabled val="1"/>
        </dgm:presLayoutVars>
      </dgm:prSet>
      <dgm:spPr/>
    </dgm:pt>
  </dgm:ptLst>
  <dgm:cxnLst>
    <dgm:cxn modelId="{629F213A-63BE-466C-8980-37C549F564AB}" type="presOf" srcId="{06266286-AC0E-4DD0-995F-45345039C896}" destId="{FB3E6976-23A2-4B6D-AA1B-A1B0A5B015B3}" srcOrd="0" destOrd="0" presId="urn:microsoft.com/office/officeart/2005/8/layout/hProcess9"/>
    <dgm:cxn modelId="{2ABB923C-0F37-48CA-BC10-FE5181DBFD43}" srcId="{06266286-AC0E-4DD0-995F-45345039C896}" destId="{B83F878C-EFF9-4A34-A090-BC8B1EC42F6D}" srcOrd="1" destOrd="0" parTransId="{1415D232-A916-44BC-87B0-2FADA973450D}" sibTransId="{0A3A574E-75F1-4633-AE8B-846E2217C889}"/>
    <dgm:cxn modelId="{67DCC85B-4C57-4B33-93A4-76CCE7DA9F4A}" type="presOf" srcId="{630DF625-1661-47AE-A7D9-5D09CC3F0B11}" destId="{FFB0B8BE-D094-4301-99B8-63DA69888BD0}" srcOrd="0" destOrd="0" presId="urn:microsoft.com/office/officeart/2005/8/layout/hProcess9"/>
    <dgm:cxn modelId="{ACD4E841-DA7A-4008-9EBC-EE41AA5BF516}" type="presOf" srcId="{66FC7336-FF0F-4CC5-8182-E94EB2FDC80F}" destId="{98C1AE57-C027-419A-8865-085671F3F45A}" srcOrd="0" destOrd="0" presId="urn:microsoft.com/office/officeart/2005/8/layout/hProcess9"/>
    <dgm:cxn modelId="{6670FB4F-1DF0-483E-9A72-5D39124B031D}" type="presOf" srcId="{B83F878C-EFF9-4A34-A090-BC8B1EC42F6D}" destId="{83C1438F-74CF-4882-A4F5-4E0A65835E66}" srcOrd="0" destOrd="0" presId="urn:microsoft.com/office/officeart/2005/8/layout/hProcess9"/>
    <dgm:cxn modelId="{34D71784-A120-4C51-AA8F-B75862A05143}" srcId="{06266286-AC0E-4DD0-995F-45345039C896}" destId="{5BF4875A-06D3-4AE3-BBC3-0E94F46DF4A1}" srcOrd="2" destOrd="0" parTransId="{19E8E921-D4B1-4B4E-8EEF-485F46D2B3E0}" sibTransId="{2A6DB4BF-F895-48F6-A478-7234DB6ECCB7}"/>
    <dgm:cxn modelId="{C624778E-0517-42F5-8C6B-1F5BFEBD9FB3}" srcId="{06266286-AC0E-4DD0-995F-45345039C896}" destId="{630DF625-1661-47AE-A7D9-5D09CC3F0B11}" srcOrd="0" destOrd="0" parTransId="{CBC9265C-2588-4734-B0FC-81AC35329493}" sibTransId="{23C89C14-58FB-48B2-9347-8CBDB3E82574}"/>
    <dgm:cxn modelId="{AD760992-7D7B-40B9-9A94-2BE3BD5C1954}" type="presOf" srcId="{AB5D95A8-2368-4CE2-835D-1EB02FA651EA}" destId="{FA039D72-F04E-4736-8AA3-350C774F1CE1}" srcOrd="0" destOrd="0" presId="urn:microsoft.com/office/officeart/2005/8/layout/hProcess9"/>
    <dgm:cxn modelId="{D3B2609D-FFE4-4C2D-83C2-A9843E3BF043}" srcId="{06266286-AC0E-4DD0-995F-45345039C896}" destId="{66FC7336-FF0F-4CC5-8182-E94EB2FDC80F}" srcOrd="4" destOrd="0" parTransId="{AA4E2134-AF89-45BB-AE7E-1EB38881E763}" sibTransId="{4AE0B89F-55BE-46E7-B025-2B1CEFBBF250}"/>
    <dgm:cxn modelId="{3AD8D1A7-96CD-4051-8575-692D3E4EF159}" type="presOf" srcId="{5BF4875A-06D3-4AE3-BBC3-0E94F46DF4A1}" destId="{29A07469-42F5-4A49-BF16-05B3C19E72B3}" srcOrd="0" destOrd="0" presId="urn:microsoft.com/office/officeart/2005/8/layout/hProcess9"/>
    <dgm:cxn modelId="{A9A892F8-3FF8-4F94-B303-49569C725989}" srcId="{06266286-AC0E-4DD0-995F-45345039C896}" destId="{AB5D95A8-2368-4CE2-835D-1EB02FA651EA}" srcOrd="3" destOrd="0" parTransId="{3E7E52FA-BEAF-4662-B945-3D19607E95CC}" sibTransId="{292ECE66-87B9-492C-A7E3-0E9B8A50905F}"/>
    <dgm:cxn modelId="{A0CCC8D9-B90C-499B-8735-2F2C123D68DE}" type="presParOf" srcId="{FB3E6976-23A2-4B6D-AA1B-A1B0A5B015B3}" destId="{D79A4B37-A2FC-43C1-A38B-A795A3EF3228}" srcOrd="0" destOrd="0" presId="urn:microsoft.com/office/officeart/2005/8/layout/hProcess9"/>
    <dgm:cxn modelId="{E778F1A0-58E2-476F-92D3-641A2EEE973F}" type="presParOf" srcId="{FB3E6976-23A2-4B6D-AA1B-A1B0A5B015B3}" destId="{BE34E345-F169-4D8D-917E-B3D66A379C0F}" srcOrd="1" destOrd="0" presId="urn:microsoft.com/office/officeart/2005/8/layout/hProcess9"/>
    <dgm:cxn modelId="{6043495D-12CC-412C-8E63-7C40D526939A}" type="presParOf" srcId="{BE34E345-F169-4D8D-917E-B3D66A379C0F}" destId="{FFB0B8BE-D094-4301-99B8-63DA69888BD0}" srcOrd="0" destOrd="0" presId="urn:microsoft.com/office/officeart/2005/8/layout/hProcess9"/>
    <dgm:cxn modelId="{93818761-8545-45DA-978E-312526CCE72E}" type="presParOf" srcId="{BE34E345-F169-4D8D-917E-B3D66A379C0F}" destId="{BFC4567D-772A-4652-B288-3A08D83990B3}" srcOrd="1" destOrd="0" presId="urn:microsoft.com/office/officeart/2005/8/layout/hProcess9"/>
    <dgm:cxn modelId="{11173245-BC26-4113-B115-70B769768F99}" type="presParOf" srcId="{BE34E345-F169-4D8D-917E-B3D66A379C0F}" destId="{83C1438F-74CF-4882-A4F5-4E0A65835E66}" srcOrd="2" destOrd="0" presId="urn:microsoft.com/office/officeart/2005/8/layout/hProcess9"/>
    <dgm:cxn modelId="{221C29A4-9DEE-4B7A-A645-AD2D74FCD3BF}" type="presParOf" srcId="{BE34E345-F169-4D8D-917E-B3D66A379C0F}" destId="{18EFFF99-9029-404D-8CC4-7EC79E0A29C5}" srcOrd="3" destOrd="0" presId="urn:microsoft.com/office/officeart/2005/8/layout/hProcess9"/>
    <dgm:cxn modelId="{5C4AC66F-ADF0-43C7-A515-260DA4A7A00E}" type="presParOf" srcId="{BE34E345-F169-4D8D-917E-B3D66A379C0F}" destId="{29A07469-42F5-4A49-BF16-05B3C19E72B3}" srcOrd="4" destOrd="0" presId="urn:microsoft.com/office/officeart/2005/8/layout/hProcess9"/>
    <dgm:cxn modelId="{8FFE37B8-3258-4EDB-8C7D-6C94250C6A05}" type="presParOf" srcId="{BE34E345-F169-4D8D-917E-B3D66A379C0F}" destId="{BF69E587-6310-4F34-8FCB-ECD8CB746E30}" srcOrd="5" destOrd="0" presId="urn:microsoft.com/office/officeart/2005/8/layout/hProcess9"/>
    <dgm:cxn modelId="{57C931E3-DEB8-4319-A211-46A171B3914A}" type="presParOf" srcId="{BE34E345-F169-4D8D-917E-B3D66A379C0F}" destId="{FA039D72-F04E-4736-8AA3-350C774F1CE1}" srcOrd="6" destOrd="0" presId="urn:microsoft.com/office/officeart/2005/8/layout/hProcess9"/>
    <dgm:cxn modelId="{85D7B4E6-E153-483E-91F9-CE271D9DF1A6}" type="presParOf" srcId="{BE34E345-F169-4D8D-917E-B3D66A379C0F}" destId="{7517F7F0-39A9-4387-A03A-8052A8A22EDA}" srcOrd="7" destOrd="0" presId="urn:microsoft.com/office/officeart/2005/8/layout/hProcess9"/>
    <dgm:cxn modelId="{328109BD-D32F-4FCB-BD21-A4E3E3CF5E5D}" type="presParOf" srcId="{BE34E345-F169-4D8D-917E-B3D66A379C0F}" destId="{98C1AE57-C027-419A-8865-085671F3F45A}" srcOrd="8" destOrd="0" presId="urn:microsoft.com/office/officeart/2005/8/layout/hProcess9"/>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6266286-AC0E-4DD0-995F-45345039C896}" type="doc">
      <dgm:prSet loTypeId="urn:microsoft.com/office/officeart/2005/8/layout/hProcess9" loCatId="process" qsTypeId="urn:microsoft.com/office/officeart/2005/8/quickstyle/simple1" qsCatId="simple" csTypeId="urn:microsoft.com/office/officeart/2005/8/colors/accent6_1" csCatId="accent6" phldr="1"/>
      <dgm:spPr/>
    </dgm:pt>
    <dgm:pt modelId="{5BF4875A-06D3-4AE3-BBC3-0E94F46DF4A1}">
      <dgm:prSet phldrT="[Text]" custT="1"/>
      <dgm:spPr>
        <a:ln>
          <a:solidFill>
            <a:srgbClr val="358189"/>
          </a:solidFill>
        </a:ln>
      </dgm:spPr>
      <dgm:t>
        <a:bodyPr rIns="0" anchor="t" anchorCtr="0"/>
        <a:lstStyle/>
        <a:p>
          <a:pPr algn="l"/>
          <a:r>
            <a:rPr lang="en-AU" sz="1000" b="1">
              <a:latin typeface="Arial" panose="020B0604020202020204" pitchFamily="34" charset="0"/>
              <a:cs typeface="Arial" panose="020B0604020202020204" pitchFamily="34" charset="0"/>
            </a:rPr>
            <a:t>Step 3:</a:t>
          </a:r>
        </a:p>
        <a:p>
          <a:pPr algn="l"/>
          <a:r>
            <a:rPr lang="en-AU" sz="1000" b="0">
              <a:latin typeface="Arial" panose="020B0604020202020204" pitchFamily="34" charset="0"/>
              <a:cs typeface="Arial" panose="020B0604020202020204" pitchFamily="34" charset="0"/>
            </a:rPr>
            <a:t>Full</a:t>
          </a:r>
          <a:r>
            <a:rPr lang="en-AU" sz="1000">
              <a:latin typeface="Arial" panose="020B0604020202020204" pitchFamily="34" charset="0"/>
              <a:cs typeface="Arial" panose="020B0604020202020204" pitchFamily="34" charset="0"/>
            </a:rPr>
            <a:t> HTA comparative clinical and cost-effectiveness</a:t>
          </a:r>
        </a:p>
        <a:p>
          <a:pPr algn="l"/>
          <a:r>
            <a:rPr lang="en-AU" sz="1000">
              <a:latin typeface="Arial" panose="020B0604020202020204" pitchFamily="34" charset="0"/>
              <a:cs typeface="Arial" panose="020B0604020202020204" pitchFamily="34" charset="0"/>
            </a:rPr>
            <a:t>(MSAC) </a:t>
          </a:r>
        </a:p>
      </dgm:t>
    </dgm:pt>
    <dgm:pt modelId="{19E8E921-D4B1-4B4E-8EEF-485F46D2B3E0}" type="parTrans" cxnId="{34D71784-A120-4C51-AA8F-B75862A05143}">
      <dgm:prSet/>
      <dgm:spPr/>
      <dgm:t>
        <a:bodyPr/>
        <a:lstStyle/>
        <a:p>
          <a:endParaRPr lang="en-AU" sz="900"/>
        </a:p>
      </dgm:t>
    </dgm:pt>
    <dgm:pt modelId="{2A6DB4BF-F895-48F6-A478-7234DB6ECCB7}" type="sibTrans" cxnId="{34D71784-A120-4C51-AA8F-B75862A05143}">
      <dgm:prSet/>
      <dgm:spPr/>
      <dgm:t>
        <a:bodyPr/>
        <a:lstStyle/>
        <a:p>
          <a:endParaRPr lang="en-AU" sz="900"/>
        </a:p>
      </dgm:t>
    </dgm:pt>
    <dgm:pt modelId="{AB5D95A8-2368-4CE2-835D-1EB02FA651EA}">
      <dgm:prSet phldrT="[Text]" custT="1"/>
      <dgm:spPr>
        <a:ln>
          <a:solidFill>
            <a:srgbClr val="358189"/>
          </a:solidFill>
        </a:ln>
      </dgm:spPr>
      <dgm:t>
        <a:bodyPr lIns="0" rIns="0" anchor="t" anchorCtr="0"/>
        <a:lstStyle/>
        <a:p>
          <a:pPr algn="l"/>
          <a:r>
            <a:rPr lang="en-AU" sz="1000" b="1">
              <a:latin typeface="Arial" panose="020B0604020202020204" pitchFamily="34" charset="0"/>
              <a:cs typeface="Arial" panose="020B0604020202020204" pitchFamily="34" charset="0"/>
            </a:rPr>
            <a:t>Step 5:</a:t>
          </a:r>
        </a:p>
        <a:p>
          <a:pPr algn="l"/>
          <a:r>
            <a:rPr lang="en-AU" sz="950" spc="-70" baseline="0">
              <a:latin typeface="Arial" panose="020B0604020202020204" pitchFamily="34" charset="0"/>
              <a:cs typeface="Arial" panose="020B0604020202020204" pitchFamily="34" charset="0"/>
            </a:rPr>
            <a:t>Recommendation</a:t>
          </a:r>
          <a:r>
            <a:rPr lang="en-AU" sz="1000">
              <a:latin typeface="Arial" panose="020B0604020202020204" pitchFamily="34" charset="0"/>
              <a:cs typeface="Arial" panose="020B0604020202020204" pitchFamily="34" charset="0"/>
            </a:rPr>
            <a:t> is made to Minister or Delegate</a:t>
          </a:r>
        </a:p>
        <a:p>
          <a:pPr algn="l"/>
          <a:r>
            <a:rPr lang="en-AU" sz="1000">
              <a:latin typeface="Arial" panose="020B0604020202020204" pitchFamily="34" charset="0"/>
              <a:cs typeface="Arial" panose="020B0604020202020204" pitchFamily="34" charset="0"/>
            </a:rPr>
            <a:t>(Department)</a:t>
          </a:r>
        </a:p>
      </dgm:t>
    </dgm:pt>
    <dgm:pt modelId="{3E7E52FA-BEAF-4662-B945-3D19607E95CC}" type="parTrans" cxnId="{A9A892F8-3FF8-4F94-B303-49569C725989}">
      <dgm:prSet/>
      <dgm:spPr/>
      <dgm:t>
        <a:bodyPr/>
        <a:lstStyle/>
        <a:p>
          <a:endParaRPr lang="en-AU" sz="900"/>
        </a:p>
      </dgm:t>
    </dgm:pt>
    <dgm:pt modelId="{292ECE66-87B9-492C-A7E3-0E9B8A50905F}" type="sibTrans" cxnId="{A9A892F8-3FF8-4F94-B303-49569C725989}">
      <dgm:prSet/>
      <dgm:spPr/>
      <dgm:t>
        <a:bodyPr/>
        <a:lstStyle/>
        <a:p>
          <a:endParaRPr lang="en-AU" sz="900"/>
        </a:p>
      </dgm:t>
    </dgm:pt>
    <dgm:pt modelId="{66FC7336-FF0F-4CC5-8182-E94EB2FDC80F}">
      <dgm:prSet phldrT="[Text]" custT="1"/>
      <dgm:spPr>
        <a:ln>
          <a:solidFill>
            <a:srgbClr val="358189"/>
          </a:solidFill>
        </a:ln>
      </dgm:spPr>
      <dgm:t>
        <a:bodyPr rIns="0" anchor="t" anchorCtr="0"/>
        <a:lstStyle/>
        <a:p>
          <a:pPr algn="l"/>
          <a:r>
            <a:rPr lang="en-US" sz="1000" b="1" dirty="0">
              <a:latin typeface="Arial" panose="020B0604020202020204" pitchFamily="34" charset="0"/>
              <a:cs typeface="Arial" panose="020B0604020202020204" pitchFamily="34" charset="0"/>
            </a:rPr>
            <a:t>Step 6: </a:t>
          </a:r>
        </a:p>
        <a:p>
          <a:pPr algn="l"/>
          <a:r>
            <a:rPr lang="en-US" sz="1000" dirty="0">
              <a:latin typeface="Arial" panose="020B0604020202020204" pitchFamily="34" charset="0"/>
              <a:cs typeface="Arial" panose="020B0604020202020204" pitchFamily="34" charset="0"/>
            </a:rPr>
            <a:t>If approved by the Delegate, the device is listed on the PL </a:t>
          </a:r>
        </a:p>
        <a:p>
          <a:pPr algn="l"/>
          <a:r>
            <a:rPr lang="en-US" sz="1000" spc="-50" baseline="0" dirty="0">
              <a:latin typeface="Arial" panose="020B0604020202020204" pitchFamily="34" charset="0"/>
              <a:cs typeface="Arial" panose="020B0604020202020204" pitchFamily="34" charset="0"/>
            </a:rPr>
            <a:t>(Department) </a:t>
          </a:r>
          <a:endParaRPr lang="en-AU" sz="1000" spc="-50" baseline="0">
            <a:latin typeface="Arial" panose="020B0604020202020204" pitchFamily="34" charset="0"/>
            <a:cs typeface="Arial" panose="020B0604020202020204" pitchFamily="34" charset="0"/>
          </a:endParaRPr>
        </a:p>
      </dgm:t>
    </dgm:pt>
    <dgm:pt modelId="{AA4E2134-AF89-45BB-AE7E-1EB38881E763}" type="parTrans" cxnId="{D3B2609D-FFE4-4C2D-83C2-A9843E3BF043}">
      <dgm:prSet/>
      <dgm:spPr/>
      <dgm:t>
        <a:bodyPr/>
        <a:lstStyle/>
        <a:p>
          <a:endParaRPr lang="en-AU" sz="900"/>
        </a:p>
      </dgm:t>
    </dgm:pt>
    <dgm:pt modelId="{4AE0B89F-55BE-46E7-B025-2B1CEFBBF250}" type="sibTrans" cxnId="{D3B2609D-FFE4-4C2D-83C2-A9843E3BF043}">
      <dgm:prSet/>
      <dgm:spPr/>
      <dgm:t>
        <a:bodyPr/>
        <a:lstStyle/>
        <a:p>
          <a:endParaRPr lang="en-AU" sz="900"/>
        </a:p>
      </dgm:t>
    </dgm:pt>
    <dgm:pt modelId="{630DF625-1661-47AE-A7D9-5D09CC3F0B11}">
      <dgm:prSet custT="1"/>
      <dgm:spPr>
        <a:ln>
          <a:solidFill>
            <a:srgbClr val="358189"/>
          </a:solidFill>
        </a:ln>
      </dgm:spPr>
      <dgm:t>
        <a:bodyPr anchor="t" anchorCtr="0"/>
        <a:lstStyle/>
        <a:p>
          <a:pPr algn="l"/>
          <a:r>
            <a:rPr lang="en-AU" sz="1000" b="1">
              <a:latin typeface="Arial" panose="020B0604020202020204" pitchFamily="34" charset="0"/>
              <a:cs typeface="Arial" panose="020B0604020202020204" pitchFamily="34" charset="0"/>
            </a:rPr>
            <a:t>Step 1:</a:t>
          </a:r>
        </a:p>
        <a:p>
          <a:pPr algn="l"/>
          <a:r>
            <a:rPr lang="en-AU" sz="1000" dirty="0">
              <a:latin typeface="Arial" panose="020B0604020202020204" pitchFamily="34" charset="0"/>
              <a:cs typeface="Arial" panose="020B0604020202020204" pitchFamily="34" charset="0"/>
            </a:rPr>
            <a:t>PL application submitted via HPP</a:t>
          </a:r>
        </a:p>
        <a:p>
          <a:pPr algn="l"/>
          <a:r>
            <a:rPr lang="en-AU" sz="1000" dirty="0">
              <a:latin typeface="Arial" panose="020B0604020202020204" pitchFamily="34" charset="0"/>
              <a:cs typeface="Arial" panose="020B0604020202020204" pitchFamily="34" charset="0"/>
            </a:rPr>
            <a:t>(Sponsor)</a:t>
          </a:r>
        </a:p>
        <a:p>
          <a:pPr algn="l"/>
          <a:endParaRPr lang="en-AU" sz="1000">
            <a:latin typeface="Arial" panose="020B0604020202020204" pitchFamily="34" charset="0"/>
            <a:cs typeface="Arial" panose="020B0604020202020204" pitchFamily="34" charset="0"/>
          </a:endParaRPr>
        </a:p>
      </dgm:t>
    </dgm:pt>
    <dgm:pt modelId="{CBC9265C-2588-4734-B0FC-81AC35329493}" type="parTrans" cxnId="{C624778E-0517-42F5-8C6B-1F5BFEBD9FB3}">
      <dgm:prSet/>
      <dgm:spPr/>
      <dgm:t>
        <a:bodyPr/>
        <a:lstStyle/>
        <a:p>
          <a:endParaRPr lang="en-AU" sz="900"/>
        </a:p>
      </dgm:t>
    </dgm:pt>
    <dgm:pt modelId="{23C89C14-58FB-48B2-9347-8CBDB3E82574}" type="sibTrans" cxnId="{C624778E-0517-42F5-8C6B-1F5BFEBD9FB3}">
      <dgm:prSet/>
      <dgm:spPr/>
      <dgm:t>
        <a:bodyPr/>
        <a:lstStyle/>
        <a:p>
          <a:endParaRPr lang="en-AU" sz="900"/>
        </a:p>
      </dgm:t>
    </dgm:pt>
    <dgm:pt modelId="{B83F878C-EFF9-4A34-A090-BC8B1EC42F6D}">
      <dgm:prSet custT="1"/>
      <dgm:spPr>
        <a:ln>
          <a:solidFill>
            <a:srgbClr val="358189"/>
          </a:solidFill>
        </a:ln>
      </dgm:spPr>
      <dgm:t>
        <a:bodyPr lIns="36000" rIns="0" anchor="t" anchorCtr="0"/>
        <a:lstStyle/>
        <a:p>
          <a:pPr algn="l"/>
          <a:r>
            <a:rPr lang="en-AU" sz="1000" b="1">
              <a:latin typeface="Arial" panose="020B0604020202020204" pitchFamily="34" charset="0"/>
              <a:cs typeface="Arial" panose="020B0604020202020204" pitchFamily="34" charset="0"/>
            </a:rPr>
            <a:t>Step 2:</a:t>
          </a:r>
        </a:p>
        <a:p>
          <a:pPr algn="l"/>
          <a:r>
            <a:rPr lang="en-AU" sz="1000">
              <a:latin typeface="Arial" panose="020B0604020202020204" pitchFamily="34" charset="0"/>
              <a:cs typeface="Arial" panose="020B0604020202020204" pitchFamily="34" charset="0"/>
            </a:rPr>
            <a:t>Triage assessment of the application</a:t>
          </a:r>
        </a:p>
        <a:p>
          <a:pPr algn="l"/>
          <a:r>
            <a:rPr lang="en-AU" sz="1000" spc="-70" baseline="0">
              <a:latin typeface="Arial" panose="020B0604020202020204" pitchFamily="34" charset="0"/>
              <a:cs typeface="Arial" panose="020B0604020202020204" pitchFamily="34" charset="0"/>
            </a:rPr>
            <a:t>(Department)</a:t>
          </a:r>
        </a:p>
      </dgm:t>
    </dgm:pt>
    <dgm:pt modelId="{1415D232-A916-44BC-87B0-2FADA973450D}" type="parTrans" cxnId="{2ABB923C-0F37-48CA-BC10-FE5181DBFD43}">
      <dgm:prSet/>
      <dgm:spPr/>
      <dgm:t>
        <a:bodyPr/>
        <a:lstStyle/>
        <a:p>
          <a:endParaRPr lang="en-AU" sz="900"/>
        </a:p>
      </dgm:t>
    </dgm:pt>
    <dgm:pt modelId="{0A3A574E-75F1-4633-AE8B-846E2217C889}" type="sibTrans" cxnId="{2ABB923C-0F37-48CA-BC10-FE5181DBFD43}">
      <dgm:prSet/>
      <dgm:spPr/>
      <dgm:t>
        <a:bodyPr/>
        <a:lstStyle/>
        <a:p>
          <a:endParaRPr lang="en-AU" sz="900"/>
        </a:p>
      </dgm:t>
    </dgm:pt>
    <dgm:pt modelId="{752F7342-510A-47C5-9BC0-1C66AA8482AA}">
      <dgm:prSet custT="1"/>
      <dgm:spPr>
        <a:ln>
          <a:solidFill>
            <a:srgbClr val="358189"/>
          </a:solidFill>
        </a:ln>
      </dgm:spPr>
      <dgm:t>
        <a:bodyPr lIns="0" rIns="0" anchor="t" anchorCtr="0"/>
        <a:lstStyle/>
        <a:p>
          <a:pPr algn="l">
            <a:spcAft>
              <a:spcPts val="0"/>
            </a:spcAft>
          </a:pPr>
          <a:r>
            <a:rPr lang="en-AU" sz="900" b="1">
              <a:latin typeface="Arial" panose="020B0604020202020204" pitchFamily="34" charset="0"/>
              <a:cs typeface="Arial" panose="020B0604020202020204" pitchFamily="34" charset="0"/>
            </a:rPr>
            <a:t>Step 4: </a:t>
          </a:r>
        </a:p>
        <a:p>
          <a:pPr algn="l">
            <a:spcAft>
              <a:spcPts val="0"/>
            </a:spcAft>
          </a:pPr>
          <a:endParaRPr lang="en-AU" sz="400" b="1">
            <a:latin typeface="Arial" panose="020B0604020202020204" pitchFamily="34" charset="0"/>
            <a:cs typeface="Arial" panose="020B0604020202020204" pitchFamily="34" charset="0"/>
          </a:endParaRPr>
        </a:p>
        <a:p>
          <a:pPr algn="l">
            <a:spcAft>
              <a:spcPts val="0"/>
            </a:spcAft>
          </a:pPr>
          <a:r>
            <a:rPr lang="en-AU" sz="1000" b="0" spc="-40" baseline="0">
              <a:latin typeface="Arial" panose="020B0604020202020204" pitchFamily="34" charset="0"/>
              <a:cs typeface="Arial" panose="020B0604020202020204" pitchFamily="34" charset="0"/>
            </a:rPr>
            <a:t>Advisory committee</a:t>
          </a:r>
          <a:r>
            <a:rPr lang="en-AU" sz="900" spc="-40" baseline="0">
              <a:latin typeface="Arial" panose="020B0604020202020204" pitchFamily="34" charset="0"/>
              <a:cs typeface="Arial" panose="020B0604020202020204" pitchFamily="34" charset="0"/>
            </a:rPr>
            <a:t> </a:t>
          </a:r>
          <a:br>
            <a:rPr lang="en-AU" sz="900" spc="-40" baseline="0">
              <a:latin typeface="Arial" panose="020B0604020202020204" pitchFamily="34" charset="0"/>
              <a:cs typeface="Arial" panose="020B0604020202020204" pitchFamily="34" charset="0"/>
            </a:rPr>
          </a:br>
          <a:r>
            <a:rPr lang="en-AU" sz="1000" spc="-60" baseline="0">
              <a:latin typeface="Arial" panose="020B0604020202020204" pitchFamily="34" charset="0"/>
              <a:cs typeface="Arial" panose="020B0604020202020204" pitchFamily="34" charset="0"/>
            </a:rPr>
            <a:t>provides advice </a:t>
          </a:r>
        </a:p>
        <a:p>
          <a:pPr algn="l">
            <a:spcAft>
              <a:spcPts val="0"/>
            </a:spcAft>
          </a:pPr>
          <a:r>
            <a:rPr lang="en-AU" sz="1000" spc="-40" baseline="0">
              <a:latin typeface="Arial" panose="020B0604020202020204" pitchFamily="34" charset="0"/>
              <a:cs typeface="Arial" panose="020B0604020202020204" pitchFamily="34" charset="0"/>
            </a:rPr>
            <a:t>on the funding</a:t>
          </a:r>
          <a:br>
            <a:rPr lang="en-AU" sz="1000" spc="-40" baseline="0">
              <a:latin typeface="Arial" panose="020B0604020202020204" pitchFamily="34" charset="0"/>
              <a:cs typeface="Arial" panose="020B0604020202020204" pitchFamily="34" charset="0"/>
            </a:rPr>
          </a:br>
          <a:endParaRPr lang="en-AU" sz="1000" spc="-40" baseline="0">
            <a:latin typeface="Arial" panose="020B0604020202020204" pitchFamily="34" charset="0"/>
            <a:cs typeface="Arial" panose="020B0604020202020204" pitchFamily="34" charset="0"/>
          </a:endParaRPr>
        </a:p>
        <a:p>
          <a:pPr algn="l">
            <a:spcAft>
              <a:spcPct val="35000"/>
            </a:spcAft>
          </a:pPr>
          <a:r>
            <a:rPr lang="en-AU" sz="1000" spc="-40" baseline="0">
              <a:latin typeface="Arial" panose="020B0604020202020204" pitchFamily="34" charset="0"/>
              <a:cs typeface="Arial" panose="020B0604020202020204" pitchFamily="34" charset="0"/>
            </a:rPr>
            <a:t>(MSAC) **</a:t>
          </a:r>
        </a:p>
      </dgm:t>
    </dgm:pt>
    <dgm:pt modelId="{AAD99C79-1587-430F-A923-FF376F0ADD90}" type="sibTrans" cxnId="{DF0565AA-7973-4555-833C-2874FD250A47}">
      <dgm:prSet/>
      <dgm:spPr/>
      <dgm:t>
        <a:bodyPr/>
        <a:lstStyle/>
        <a:p>
          <a:endParaRPr lang="en-AU"/>
        </a:p>
      </dgm:t>
    </dgm:pt>
    <dgm:pt modelId="{D9F147D4-B79C-447F-826C-121069C6F8E4}" type="parTrans" cxnId="{DF0565AA-7973-4555-833C-2874FD250A47}">
      <dgm:prSet/>
      <dgm:spPr/>
      <dgm:t>
        <a:bodyPr/>
        <a:lstStyle/>
        <a:p>
          <a:endParaRPr lang="en-AU"/>
        </a:p>
      </dgm:t>
    </dgm:pt>
    <dgm:pt modelId="{FB3E6976-23A2-4B6D-AA1B-A1B0A5B015B3}" type="pres">
      <dgm:prSet presAssocID="{06266286-AC0E-4DD0-995F-45345039C896}" presName="CompostProcess" presStyleCnt="0">
        <dgm:presLayoutVars>
          <dgm:dir/>
          <dgm:resizeHandles val="exact"/>
        </dgm:presLayoutVars>
      </dgm:prSet>
      <dgm:spPr/>
    </dgm:pt>
    <dgm:pt modelId="{D79A4B37-A2FC-43C1-A38B-A795A3EF3228}" type="pres">
      <dgm:prSet presAssocID="{06266286-AC0E-4DD0-995F-45345039C896}" presName="arrow" presStyleLbl="bgShp" presStyleIdx="0" presStyleCnt="1" custScaleX="117647" custLinFactNeighborX="0" custLinFactNeighborY="636"/>
      <dgm:spPr>
        <a:solidFill>
          <a:srgbClr val="BDE7ED"/>
        </a:solidFill>
        <a:ln>
          <a:solidFill>
            <a:srgbClr val="358189"/>
          </a:solidFill>
        </a:ln>
      </dgm:spPr>
    </dgm:pt>
    <dgm:pt modelId="{BE34E345-F169-4D8D-917E-B3D66A379C0F}" type="pres">
      <dgm:prSet presAssocID="{06266286-AC0E-4DD0-995F-45345039C896}" presName="linearProcess" presStyleCnt="0"/>
      <dgm:spPr/>
    </dgm:pt>
    <dgm:pt modelId="{FFB0B8BE-D094-4301-99B8-63DA69888BD0}" type="pres">
      <dgm:prSet presAssocID="{630DF625-1661-47AE-A7D9-5D09CC3F0B11}" presName="textNode" presStyleLbl="node1" presStyleIdx="0" presStyleCnt="6" custScaleX="118463" custScaleY="105210" custLinFactNeighborX="42604" custLinFactNeighborY="0">
        <dgm:presLayoutVars>
          <dgm:bulletEnabled val="1"/>
        </dgm:presLayoutVars>
      </dgm:prSet>
      <dgm:spPr/>
    </dgm:pt>
    <dgm:pt modelId="{BFC4567D-772A-4652-B288-3A08D83990B3}" type="pres">
      <dgm:prSet presAssocID="{23C89C14-58FB-48B2-9347-8CBDB3E82574}" presName="sibTrans" presStyleCnt="0"/>
      <dgm:spPr/>
    </dgm:pt>
    <dgm:pt modelId="{83C1438F-74CF-4882-A4F5-4E0A65835E66}" type="pres">
      <dgm:prSet presAssocID="{B83F878C-EFF9-4A34-A090-BC8B1EC42F6D}" presName="textNode" presStyleLbl="node1" presStyleIdx="1" presStyleCnt="6" custScaleX="110000" custScaleY="105210" custLinFactNeighborX="-37070" custLinFactNeighborY="1492">
        <dgm:presLayoutVars>
          <dgm:bulletEnabled val="1"/>
        </dgm:presLayoutVars>
      </dgm:prSet>
      <dgm:spPr/>
    </dgm:pt>
    <dgm:pt modelId="{18EFFF99-9029-404D-8CC4-7EC79E0A29C5}" type="pres">
      <dgm:prSet presAssocID="{0A3A574E-75F1-4633-AE8B-846E2217C889}" presName="sibTrans" presStyleCnt="0"/>
      <dgm:spPr/>
    </dgm:pt>
    <dgm:pt modelId="{29A07469-42F5-4A49-BF16-05B3C19E72B3}" type="pres">
      <dgm:prSet presAssocID="{5BF4875A-06D3-4AE3-BBC3-0E94F46DF4A1}" presName="textNode" presStyleLbl="node1" presStyleIdx="2" presStyleCnt="6" custScaleX="110000" custScaleY="105210" custLinFactX="-2107" custLinFactNeighborX="-100000" custLinFactNeighborY="2985">
        <dgm:presLayoutVars>
          <dgm:bulletEnabled val="1"/>
        </dgm:presLayoutVars>
      </dgm:prSet>
      <dgm:spPr/>
    </dgm:pt>
    <dgm:pt modelId="{BF69E587-6310-4F34-8FCB-ECD8CB746E30}" type="pres">
      <dgm:prSet presAssocID="{2A6DB4BF-F895-48F6-A478-7234DB6ECCB7}" presName="sibTrans" presStyleCnt="0"/>
      <dgm:spPr/>
    </dgm:pt>
    <dgm:pt modelId="{0F304BB9-5FAA-4A9F-9B14-1FE006C63B06}" type="pres">
      <dgm:prSet presAssocID="{752F7342-510A-47C5-9BC0-1C66AA8482AA}" presName="textNode" presStyleLbl="node1" presStyleIdx="3" presStyleCnt="6" custScaleX="101358" custScaleY="105210" custLinFactX="-14774" custLinFactNeighborX="-100000" custLinFactNeighborY="2986">
        <dgm:presLayoutVars>
          <dgm:bulletEnabled val="1"/>
        </dgm:presLayoutVars>
      </dgm:prSet>
      <dgm:spPr/>
    </dgm:pt>
    <dgm:pt modelId="{37FFA895-C48F-4693-A7A6-39940019B8F2}" type="pres">
      <dgm:prSet presAssocID="{AAD99C79-1587-430F-A923-FF376F0ADD90}" presName="sibTrans" presStyleCnt="0"/>
      <dgm:spPr/>
    </dgm:pt>
    <dgm:pt modelId="{FA039D72-F04E-4736-8AA3-350C774F1CE1}" type="pres">
      <dgm:prSet presAssocID="{AB5D95A8-2368-4CE2-835D-1EB02FA651EA}" presName="textNode" presStyleLbl="node1" presStyleIdx="4" presStyleCnt="6" custScaleX="116698" custScaleY="105210" custLinFactX="-28051" custLinFactNeighborX="-100000" custLinFactNeighborY="2986">
        <dgm:presLayoutVars>
          <dgm:bulletEnabled val="1"/>
        </dgm:presLayoutVars>
      </dgm:prSet>
      <dgm:spPr/>
    </dgm:pt>
    <dgm:pt modelId="{7517F7F0-39A9-4387-A03A-8052A8A22EDA}" type="pres">
      <dgm:prSet presAssocID="{292ECE66-87B9-492C-A7E3-0E9B8A50905F}" presName="sibTrans" presStyleCnt="0"/>
      <dgm:spPr/>
    </dgm:pt>
    <dgm:pt modelId="{98C1AE57-C027-419A-8865-085671F3F45A}" type="pres">
      <dgm:prSet presAssocID="{66FC7336-FF0F-4CC5-8182-E94EB2FDC80F}" presName="textNode" presStyleLbl="node1" presStyleIdx="5" presStyleCnt="6" custScaleX="110000" custScaleY="105210" custLinFactX="-40872" custLinFactNeighborX="-100000" custLinFactNeighborY="3780">
        <dgm:presLayoutVars>
          <dgm:bulletEnabled val="1"/>
        </dgm:presLayoutVars>
      </dgm:prSet>
      <dgm:spPr/>
    </dgm:pt>
  </dgm:ptLst>
  <dgm:cxnLst>
    <dgm:cxn modelId="{629F213A-63BE-466C-8980-37C549F564AB}" type="presOf" srcId="{06266286-AC0E-4DD0-995F-45345039C896}" destId="{FB3E6976-23A2-4B6D-AA1B-A1B0A5B015B3}" srcOrd="0" destOrd="0" presId="urn:microsoft.com/office/officeart/2005/8/layout/hProcess9"/>
    <dgm:cxn modelId="{2ABB923C-0F37-48CA-BC10-FE5181DBFD43}" srcId="{06266286-AC0E-4DD0-995F-45345039C896}" destId="{B83F878C-EFF9-4A34-A090-BC8B1EC42F6D}" srcOrd="1" destOrd="0" parTransId="{1415D232-A916-44BC-87B0-2FADA973450D}" sibTransId="{0A3A574E-75F1-4633-AE8B-846E2217C889}"/>
    <dgm:cxn modelId="{67DCC85B-4C57-4B33-93A4-76CCE7DA9F4A}" type="presOf" srcId="{630DF625-1661-47AE-A7D9-5D09CC3F0B11}" destId="{FFB0B8BE-D094-4301-99B8-63DA69888BD0}" srcOrd="0" destOrd="0" presId="urn:microsoft.com/office/officeart/2005/8/layout/hProcess9"/>
    <dgm:cxn modelId="{ACD4E841-DA7A-4008-9EBC-EE41AA5BF516}" type="presOf" srcId="{66FC7336-FF0F-4CC5-8182-E94EB2FDC80F}" destId="{98C1AE57-C027-419A-8865-085671F3F45A}" srcOrd="0" destOrd="0" presId="urn:microsoft.com/office/officeart/2005/8/layout/hProcess9"/>
    <dgm:cxn modelId="{6670FB4F-1DF0-483E-9A72-5D39124B031D}" type="presOf" srcId="{B83F878C-EFF9-4A34-A090-BC8B1EC42F6D}" destId="{83C1438F-74CF-4882-A4F5-4E0A65835E66}" srcOrd="0" destOrd="0" presId="urn:microsoft.com/office/officeart/2005/8/layout/hProcess9"/>
    <dgm:cxn modelId="{34D71784-A120-4C51-AA8F-B75862A05143}" srcId="{06266286-AC0E-4DD0-995F-45345039C896}" destId="{5BF4875A-06D3-4AE3-BBC3-0E94F46DF4A1}" srcOrd="2" destOrd="0" parTransId="{19E8E921-D4B1-4B4E-8EEF-485F46D2B3E0}" sibTransId="{2A6DB4BF-F895-48F6-A478-7234DB6ECCB7}"/>
    <dgm:cxn modelId="{C624778E-0517-42F5-8C6B-1F5BFEBD9FB3}" srcId="{06266286-AC0E-4DD0-995F-45345039C896}" destId="{630DF625-1661-47AE-A7D9-5D09CC3F0B11}" srcOrd="0" destOrd="0" parTransId="{CBC9265C-2588-4734-B0FC-81AC35329493}" sibTransId="{23C89C14-58FB-48B2-9347-8CBDB3E82574}"/>
    <dgm:cxn modelId="{AD760992-7D7B-40B9-9A94-2BE3BD5C1954}" type="presOf" srcId="{AB5D95A8-2368-4CE2-835D-1EB02FA651EA}" destId="{FA039D72-F04E-4736-8AA3-350C774F1CE1}" srcOrd="0" destOrd="0" presId="urn:microsoft.com/office/officeart/2005/8/layout/hProcess9"/>
    <dgm:cxn modelId="{D3B2609D-FFE4-4C2D-83C2-A9843E3BF043}" srcId="{06266286-AC0E-4DD0-995F-45345039C896}" destId="{66FC7336-FF0F-4CC5-8182-E94EB2FDC80F}" srcOrd="5" destOrd="0" parTransId="{AA4E2134-AF89-45BB-AE7E-1EB38881E763}" sibTransId="{4AE0B89F-55BE-46E7-B025-2B1CEFBBF250}"/>
    <dgm:cxn modelId="{3AD8D1A7-96CD-4051-8575-692D3E4EF159}" type="presOf" srcId="{5BF4875A-06D3-4AE3-BBC3-0E94F46DF4A1}" destId="{29A07469-42F5-4A49-BF16-05B3C19E72B3}" srcOrd="0" destOrd="0" presId="urn:microsoft.com/office/officeart/2005/8/layout/hProcess9"/>
    <dgm:cxn modelId="{DF0565AA-7973-4555-833C-2874FD250A47}" srcId="{06266286-AC0E-4DD0-995F-45345039C896}" destId="{752F7342-510A-47C5-9BC0-1C66AA8482AA}" srcOrd="3" destOrd="0" parTransId="{D9F147D4-B79C-447F-826C-121069C6F8E4}" sibTransId="{AAD99C79-1587-430F-A923-FF376F0ADD90}"/>
    <dgm:cxn modelId="{C045C1D4-DC30-4A57-B497-F9C93A209812}" type="presOf" srcId="{752F7342-510A-47C5-9BC0-1C66AA8482AA}" destId="{0F304BB9-5FAA-4A9F-9B14-1FE006C63B06}" srcOrd="0" destOrd="0" presId="urn:microsoft.com/office/officeart/2005/8/layout/hProcess9"/>
    <dgm:cxn modelId="{A9A892F8-3FF8-4F94-B303-49569C725989}" srcId="{06266286-AC0E-4DD0-995F-45345039C896}" destId="{AB5D95A8-2368-4CE2-835D-1EB02FA651EA}" srcOrd="4" destOrd="0" parTransId="{3E7E52FA-BEAF-4662-B945-3D19607E95CC}" sibTransId="{292ECE66-87B9-492C-A7E3-0E9B8A50905F}"/>
    <dgm:cxn modelId="{A0CCC8D9-B90C-499B-8735-2F2C123D68DE}" type="presParOf" srcId="{FB3E6976-23A2-4B6D-AA1B-A1B0A5B015B3}" destId="{D79A4B37-A2FC-43C1-A38B-A795A3EF3228}" srcOrd="0" destOrd="0" presId="urn:microsoft.com/office/officeart/2005/8/layout/hProcess9"/>
    <dgm:cxn modelId="{E778F1A0-58E2-476F-92D3-641A2EEE973F}" type="presParOf" srcId="{FB3E6976-23A2-4B6D-AA1B-A1B0A5B015B3}" destId="{BE34E345-F169-4D8D-917E-B3D66A379C0F}" srcOrd="1" destOrd="0" presId="urn:microsoft.com/office/officeart/2005/8/layout/hProcess9"/>
    <dgm:cxn modelId="{6043495D-12CC-412C-8E63-7C40D526939A}" type="presParOf" srcId="{BE34E345-F169-4D8D-917E-B3D66A379C0F}" destId="{FFB0B8BE-D094-4301-99B8-63DA69888BD0}" srcOrd="0" destOrd="0" presId="urn:microsoft.com/office/officeart/2005/8/layout/hProcess9"/>
    <dgm:cxn modelId="{93818761-8545-45DA-978E-312526CCE72E}" type="presParOf" srcId="{BE34E345-F169-4D8D-917E-B3D66A379C0F}" destId="{BFC4567D-772A-4652-B288-3A08D83990B3}" srcOrd="1" destOrd="0" presId="urn:microsoft.com/office/officeart/2005/8/layout/hProcess9"/>
    <dgm:cxn modelId="{11173245-BC26-4113-B115-70B769768F99}" type="presParOf" srcId="{BE34E345-F169-4D8D-917E-B3D66A379C0F}" destId="{83C1438F-74CF-4882-A4F5-4E0A65835E66}" srcOrd="2" destOrd="0" presId="urn:microsoft.com/office/officeart/2005/8/layout/hProcess9"/>
    <dgm:cxn modelId="{221C29A4-9DEE-4B7A-A645-AD2D74FCD3BF}" type="presParOf" srcId="{BE34E345-F169-4D8D-917E-B3D66A379C0F}" destId="{18EFFF99-9029-404D-8CC4-7EC79E0A29C5}" srcOrd="3" destOrd="0" presId="urn:microsoft.com/office/officeart/2005/8/layout/hProcess9"/>
    <dgm:cxn modelId="{5C4AC66F-ADF0-43C7-A515-260DA4A7A00E}" type="presParOf" srcId="{BE34E345-F169-4D8D-917E-B3D66A379C0F}" destId="{29A07469-42F5-4A49-BF16-05B3C19E72B3}" srcOrd="4" destOrd="0" presId="urn:microsoft.com/office/officeart/2005/8/layout/hProcess9"/>
    <dgm:cxn modelId="{8FFE37B8-3258-4EDB-8C7D-6C94250C6A05}" type="presParOf" srcId="{BE34E345-F169-4D8D-917E-B3D66A379C0F}" destId="{BF69E587-6310-4F34-8FCB-ECD8CB746E30}" srcOrd="5" destOrd="0" presId="urn:microsoft.com/office/officeart/2005/8/layout/hProcess9"/>
    <dgm:cxn modelId="{195516E4-F65C-4AF2-BEA6-B516A368F5F2}" type="presParOf" srcId="{BE34E345-F169-4D8D-917E-B3D66A379C0F}" destId="{0F304BB9-5FAA-4A9F-9B14-1FE006C63B06}" srcOrd="6" destOrd="0" presId="urn:microsoft.com/office/officeart/2005/8/layout/hProcess9"/>
    <dgm:cxn modelId="{03FA36F3-AC14-4E6A-AE38-C5F984A151FB}" type="presParOf" srcId="{BE34E345-F169-4D8D-917E-B3D66A379C0F}" destId="{37FFA895-C48F-4693-A7A6-39940019B8F2}" srcOrd="7" destOrd="0" presId="urn:microsoft.com/office/officeart/2005/8/layout/hProcess9"/>
    <dgm:cxn modelId="{57C931E3-DEB8-4319-A211-46A171B3914A}" type="presParOf" srcId="{BE34E345-F169-4D8D-917E-B3D66A379C0F}" destId="{FA039D72-F04E-4736-8AA3-350C774F1CE1}" srcOrd="8" destOrd="0" presId="urn:microsoft.com/office/officeart/2005/8/layout/hProcess9"/>
    <dgm:cxn modelId="{85D7B4E6-E153-483E-91F9-CE271D9DF1A6}" type="presParOf" srcId="{BE34E345-F169-4D8D-917E-B3D66A379C0F}" destId="{7517F7F0-39A9-4387-A03A-8052A8A22EDA}" srcOrd="9" destOrd="0" presId="urn:microsoft.com/office/officeart/2005/8/layout/hProcess9"/>
    <dgm:cxn modelId="{328109BD-D32F-4FCB-BD21-A4E3E3CF5E5D}" type="presParOf" srcId="{BE34E345-F169-4D8D-917E-B3D66A379C0F}" destId="{98C1AE57-C027-419A-8865-085671F3F45A}" srcOrd="10" destOrd="0" presId="urn:microsoft.com/office/officeart/2005/8/layout/hProcess9"/>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03A23B-CD02-421B-BE11-3102F5F5BBC9}">
      <dsp:nvSpPr>
        <dsp:cNvPr id="0" name=""/>
        <dsp:cNvSpPr/>
      </dsp:nvSpPr>
      <dsp:spPr>
        <a:xfrm rot="5400000">
          <a:off x="2935012" y="-1601370"/>
          <a:ext cx="1254897" cy="456693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80000" tIns="123825" rIns="36000" bIns="123825" numCol="1" spcCol="1270" anchor="ctr" anchorCtr="0">
          <a:noAutofit/>
        </a:bodyPr>
        <a:lstStyle/>
        <a:p>
          <a:pPr marL="57150" lvl="1" indent="-79200" algn="l" defTabSz="488950">
            <a:lnSpc>
              <a:spcPct val="100000"/>
            </a:lnSpc>
            <a:spcBef>
              <a:spcPct val="0"/>
            </a:spcBef>
            <a:spcAft>
              <a:spcPct val="15000"/>
            </a:spcAft>
            <a:buChar char="•"/>
          </a:pPr>
          <a:r>
            <a:rPr lang="en-AU" sz="1100" kern="1200" baseline="0" dirty="0">
              <a:latin typeface="Arial" panose="020B0604020202020204" pitchFamily="34" charset="0"/>
              <a:cs typeface="Arial" panose="020B0604020202020204" pitchFamily="34" charset="0"/>
            </a:rPr>
            <a:t>a </a:t>
          </a:r>
          <a:r>
            <a:rPr lang="en-AU" sz="1100" b="1" kern="1200" baseline="0" dirty="0">
              <a:latin typeface="Arial" panose="020B0604020202020204" pitchFamily="34" charset="0"/>
              <a:cs typeface="Arial" panose="020B0604020202020204" pitchFamily="34" charset="0"/>
            </a:rPr>
            <a:t>new pathway</a:t>
          </a:r>
          <a:endParaRPr lang="nl-NL" sz="1100" b="1" kern="1200" spc="-45" baseline="0" dirty="0">
            <a:latin typeface="Arial" panose="020B0604020202020204" pitchFamily="34" charset="0"/>
            <a:cs typeface="Arial" panose="020B0604020202020204" pitchFamily="34" charset="0"/>
          </a:endParaRPr>
        </a:p>
        <a:p>
          <a:pPr marL="57150" lvl="1" indent="-79200" algn="l" defTabSz="488950">
            <a:lnSpc>
              <a:spcPct val="100000"/>
            </a:lnSpc>
            <a:spcBef>
              <a:spcPct val="0"/>
            </a:spcBef>
            <a:spcAft>
              <a:spcPct val="15000"/>
            </a:spcAft>
            <a:buChar char="•"/>
          </a:pPr>
          <a:r>
            <a:rPr lang="en-AU" sz="1100" kern="1200" baseline="0" dirty="0">
              <a:latin typeface="Arial" panose="020B0604020202020204" pitchFamily="34" charset="0"/>
              <a:cs typeface="Arial" panose="020B0604020202020204" pitchFamily="34" charset="0"/>
            </a:rPr>
            <a:t>device is medium or lower-risk, is a well-established technology, and is substantially similar in characteristics, intended use and clinical effectiveness to other devices listed on PL in the existing grouping with the benefit set up based on the reference pricing</a:t>
          </a:r>
        </a:p>
        <a:p>
          <a:pPr marL="57150" lvl="1" indent="-79200" algn="l" defTabSz="488950">
            <a:lnSpc>
              <a:spcPct val="100000"/>
            </a:lnSpc>
            <a:spcBef>
              <a:spcPct val="0"/>
            </a:spcBef>
            <a:spcAft>
              <a:spcPct val="15000"/>
            </a:spcAft>
            <a:buChar char="•"/>
          </a:pPr>
          <a:r>
            <a:rPr lang="en-AU" sz="1100" kern="1200" baseline="0" dirty="0">
              <a:latin typeface="Arial" panose="020B0604020202020204" pitchFamily="34" charset="0"/>
              <a:cs typeface="Arial" panose="020B0604020202020204" pitchFamily="34" charset="0"/>
            </a:rPr>
            <a:t>assessments are largely undertaken by the Department with the relevant expertise and knowledge in medical devices.</a:t>
          </a:r>
        </a:p>
      </dsp:txBody>
      <dsp:txXfrm rot="-5400000">
        <a:off x="1278996" y="115905"/>
        <a:ext cx="4505671" cy="1132379"/>
      </dsp:txXfrm>
    </dsp:sp>
    <dsp:sp modelId="{C0CF59CB-EE7E-46B1-AC4A-9B34F1EFC39F}">
      <dsp:nvSpPr>
        <dsp:cNvPr id="0" name=""/>
        <dsp:cNvSpPr/>
      </dsp:nvSpPr>
      <dsp:spPr>
        <a:xfrm>
          <a:off x="1092" y="1012"/>
          <a:ext cx="1286118" cy="135131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100000"/>
            </a:lnSpc>
            <a:spcBef>
              <a:spcPct val="0"/>
            </a:spcBef>
            <a:spcAft>
              <a:spcPct val="35000"/>
            </a:spcAft>
            <a:buNone/>
          </a:pPr>
          <a:r>
            <a:rPr lang="en-AU" sz="1400" b="1" kern="1200" spc="50" baseline="0">
              <a:latin typeface="Arial" panose="020B0604020202020204" pitchFamily="34" charset="0"/>
              <a:cs typeface="Arial" panose="020B0604020202020204" pitchFamily="34" charset="0"/>
            </a:rPr>
            <a:t>Tier 1</a:t>
          </a:r>
          <a:r>
            <a:rPr lang="en-AU" sz="1400" kern="1200" spc="50" baseline="0">
              <a:latin typeface="Arial" panose="020B0604020202020204" pitchFamily="34" charset="0"/>
              <a:cs typeface="Arial" panose="020B0604020202020204" pitchFamily="34" charset="0"/>
            </a:rPr>
            <a:t> </a:t>
          </a:r>
        </a:p>
        <a:p>
          <a:pPr marL="0" lvl="0" indent="0" algn="ctr" defTabSz="622300">
            <a:lnSpc>
              <a:spcPct val="100000"/>
            </a:lnSpc>
            <a:spcBef>
              <a:spcPct val="0"/>
            </a:spcBef>
            <a:spcAft>
              <a:spcPct val="35000"/>
            </a:spcAft>
            <a:buNone/>
          </a:pPr>
          <a:r>
            <a:rPr lang="nl-NL" sz="1200" b="1" kern="1200" spc="-45" dirty="0">
              <a:latin typeface="Arial" panose="020B0604020202020204" pitchFamily="34" charset="0"/>
              <a:cs typeface="Arial" panose="020B0604020202020204" pitchFamily="34" charset="0"/>
            </a:rPr>
            <a:t>Abbreviated Pathway</a:t>
          </a:r>
          <a:endParaRPr lang="en-AU" sz="1200" kern="1200">
            <a:latin typeface="Arial" panose="020B0604020202020204" pitchFamily="34" charset="0"/>
            <a:cs typeface="Arial" panose="020B0604020202020204" pitchFamily="34" charset="0"/>
          </a:endParaRPr>
        </a:p>
      </dsp:txBody>
      <dsp:txXfrm>
        <a:off x="63875" y="63795"/>
        <a:ext cx="1160552" cy="1225746"/>
      </dsp:txXfrm>
    </dsp:sp>
    <dsp:sp modelId="{2B238D1F-5FC6-46E8-9989-523D52BF29B4}">
      <dsp:nvSpPr>
        <dsp:cNvPr id="0" name=""/>
        <dsp:cNvSpPr/>
      </dsp:nvSpPr>
      <dsp:spPr>
        <a:xfrm rot="5400000">
          <a:off x="2859966" y="-126161"/>
          <a:ext cx="1423760" cy="456677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80000" tIns="123825" rIns="36000" bIns="123825" numCol="1" spcCol="1270" anchor="ctr" anchorCtr="0">
          <a:noAutofit/>
        </a:bodyPr>
        <a:lstStyle/>
        <a:p>
          <a:pPr marL="57150" lvl="1" indent="-79200" algn="l" defTabSz="488950">
            <a:lnSpc>
              <a:spcPct val="100000"/>
            </a:lnSpc>
            <a:spcBef>
              <a:spcPct val="0"/>
            </a:spcBef>
            <a:spcAft>
              <a:spcPct val="15000"/>
            </a:spcAft>
            <a:buChar char="•"/>
          </a:pPr>
          <a:r>
            <a:rPr lang="en-AU" sz="1100" kern="1200" dirty="0">
              <a:latin typeface="Arial" panose="020B0604020202020204" pitchFamily="34" charset="0"/>
              <a:cs typeface="Arial" panose="020B0604020202020204" pitchFamily="34" charset="0"/>
            </a:rPr>
            <a:t>the </a:t>
          </a:r>
          <a:r>
            <a:rPr lang="en-AU" sz="1100" b="1" kern="1200" dirty="0">
              <a:latin typeface="Arial" panose="020B0604020202020204" pitchFamily="34" charset="0"/>
              <a:cs typeface="Arial" panose="020B0604020202020204" pitchFamily="34" charset="0"/>
            </a:rPr>
            <a:t>pathway evolving from the existing PL assessments </a:t>
          </a:r>
          <a:endParaRPr lang="nl-NL" sz="1100" b="1" kern="1200" spc="-45" dirty="0">
            <a:latin typeface="Arial" panose="020B0604020202020204" pitchFamily="34" charset="0"/>
            <a:cs typeface="Arial" panose="020B0604020202020204" pitchFamily="34" charset="0"/>
          </a:endParaRPr>
        </a:p>
        <a:p>
          <a:pPr marL="57150" lvl="1" indent="-79200" algn="l" defTabSz="488950">
            <a:lnSpc>
              <a:spcPct val="100000"/>
            </a:lnSpc>
            <a:spcBef>
              <a:spcPct val="0"/>
            </a:spcBef>
            <a:spcAft>
              <a:spcPct val="15000"/>
            </a:spcAft>
            <a:buChar char="•"/>
          </a:pPr>
          <a:r>
            <a:rPr lang="en-AU" sz="1100" kern="1200" dirty="0">
              <a:latin typeface="Arial" panose="020B0604020202020204" pitchFamily="34" charset="0"/>
              <a:cs typeface="Arial" panose="020B0604020202020204" pitchFamily="34" charset="0"/>
            </a:rPr>
            <a:t>device is of higher risk and/or is not a well-established technology (e.g. has a comparator that is a novel device/undergone HTA) and/or has claims for the improved/different characteristics compared with the existing devices listed on PL </a:t>
          </a:r>
        </a:p>
        <a:p>
          <a:pPr marL="57150" lvl="1" indent="-79200" algn="l" defTabSz="488950">
            <a:lnSpc>
              <a:spcPct val="100000"/>
            </a:lnSpc>
            <a:spcBef>
              <a:spcPct val="0"/>
            </a:spcBef>
            <a:spcAft>
              <a:spcPct val="15000"/>
            </a:spcAft>
            <a:buChar char="•"/>
          </a:pPr>
          <a:r>
            <a:rPr lang="en-AU" sz="1100" kern="1200" dirty="0">
              <a:latin typeface="Arial" panose="020B0604020202020204" pitchFamily="34" charset="0"/>
              <a:cs typeface="Arial" panose="020B0604020202020204" pitchFamily="34" charset="0"/>
            </a:rPr>
            <a:t>assessments include comparative clinical effectiveness and/or cost effectiveness assessments with inputs from the relevant experts.</a:t>
          </a:r>
        </a:p>
      </dsp:txBody>
      <dsp:txXfrm rot="-5400000">
        <a:off x="1288461" y="1514846"/>
        <a:ext cx="4497268" cy="1284756"/>
      </dsp:txXfrm>
    </dsp:sp>
    <dsp:sp modelId="{3036C415-FD41-440C-BB65-78853A86004C}">
      <dsp:nvSpPr>
        <dsp:cNvPr id="0" name=""/>
        <dsp:cNvSpPr/>
      </dsp:nvSpPr>
      <dsp:spPr>
        <a:xfrm>
          <a:off x="10379" y="1481793"/>
          <a:ext cx="1286124" cy="13531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100000"/>
            </a:lnSpc>
            <a:spcBef>
              <a:spcPct val="0"/>
            </a:spcBef>
            <a:spcAft>
              <a:spcPct val="35000"/>
            </a:spcAft>
            <a:buNone/>
          </a:pPr>
          <a:r>
            <a:rPr lang="en-AU" sz="1400" b="1" kern="1200" spc="50" baseline="0">
              <a:latin typeface="Arial" panose="020B0604020202020204" pitchFamily="34" charset="0"/>
              <a:cs typeface="Arial" panose="020B0604020202020204" pitchFamily="34" charset="0"/>
            </a:rPr>
            <a:t>Tier 2 </a:t>
          </a:r>
        </a:p>
        <a:p>
          <a:pPr marL="0" lvl="0" indent="0" algn="ctr" defTabSz="622300">
            <a:lnSpc>
              <a:spcPct val="100000"/>
            </a:lnSpc>
            <a:spcBef>
              <a:spcPct val="0"/>
            </a:spcBef>
            <a:spcAft>
              <a:spcPct val="35000"/>
            </a:spcAft>
            <a:buNone/>
          </a:pPr>
          <a:r>
            <a:rPr lang="en-AU" sz="1140" b="1" kern="1200" spc="-50" baseline="0">
              <a:latin typeface="Arial" panose="020B0604020202020204" pitchFamily="34" charset="0"/>
              <a:cs typeface="Arial" panose="020B0604020202020204" pitchFamily="34" charset="0"/>
            </a:rPr>
            <a:t>Clinical/Fo</a:t>
          </a:r>
          <a:r>
            <a:rPr lang="nl-NL" sz="1140" b="1" kern="1200" spc="-50" baseline="0" dirty="0">
              <a:latin typeface="Arial" panose="020B0604020202020204" pitchFamily="34" charset="0"/>
              <a:cs typeface="Arial" panose="020B0604020202020204" pitchFamily="34" charset="0"/>
            </a:rPr>
            <a:t>cused </a:t>
          </a:r>
          <a:br>
            <a:rPr lang="nl-NL" sz="1200" b="1" kern="1200" spc="-45" dirty="0">
              <a:latin typeface="Arial" panose="020B0604020202020204" pitchFamily="34" charset="0"/>
              <a:cs typeface="Arial" panose="020B0604020202020204" pitchFamily="34" charset="0"/>
            </a:rPr>
          </a:br>
          <a:r>
            <a:rPr lang="nl-NL" sz="1200" b="1" kern="1200" spc="-45" dirty="0">
              <a:latin typeface="Arial" panose="020B0604020202020204" pitchFamily="34" charset="0"/>
              <a:cs typeface="Arial" panose="020B0604020202020204" pitchFamily="34" charset="0"/>
            </a:rPr>
            <a:t>HTA Pathway</a:t>
          </a:r>
          <a:endParaRPr lang="en-AU" sz="1200" kern="1200">
            <a:latin typeface="Arial" panose="020B0604020202020204" pitchFamily="34" charset="0"/>
            <a:cs typeface="Arial" panose="020B0604020202020204" pitchFamily="34" charset="0"/>
          </a:endParaRPr>
        </a:p>
      </dsp:txBody>
      <dsp:txXfrm>
        <a:off x="73162" y="1544576"/>
        <a:ext cx="1160558" cy="1227574"/>
      </dsp:txXfrm>
    </dsp:sp>
    <dsp:sp modelId="{77D6E82B-1066-4A79-ADF1-DDBE978B9E2F}">
      <dsp:nvSpPr>
        <dsp:cNvPr id="0" name=""/>
        <dsp:cNvSpPr/>
      </dsp:nvSpPr>
      <dsp:spPr>
        <a:xfrm rot="5400000">
          <a:off x="2873727" y="1367282"/>
          <a:ext cx="1398237" cy="4564775"/>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80000" tIns="72000" rIns="36000" bIns="72000" numCol="1" spcCol="1270" anchor="ctr" anchorCtr="0">
          <a:noAutofit/>
        </a:bodyPr>
        <a:lstStyle/>
        <a:p>
          <a:pPr marL="57150" lvl="1" indent="-57150" algn="l" defTabSz="488950">
            <a:lnSpc>
              <a:spcPct val="100000"/>
            </a:lnSpc>
            <a:spcBef>
              <a:spcPct val="0"/>
            </a:spcBef>
            <a:spcAft>
              <a:spcPct val="15000"/>
            </a:spcAft>
            <a:buChar char="•"/>
          </a:pPr>
          <a:r>
            <a:rPr lang="en-AU" sz="1100" kern="1200" dirty="0">
              <a:latin typeface="Arial" panose="020B0604020202020204" pitchFamily="34" charset="0"/>
              <a:cs typeface="Arial" panose="020B0604020202020204" pitchFamily="34" charset="0"/>
            </a:rPr>
            <a:t> the </a:t>
          </a:r>
          <a:r>
            <a:rPr lang="en-AU" sz="1100" b="1" kern="1200" dirty="0">
              <a:latin typeface="Arial" panose="020B0604020202020204" pitchFamily="34" charset="0"/>
              <a:cs typeface="Arial" panose="020B0604020202020204" pitchFamily="34" charset="0"/>
            </a:rPr>
            <a:t>pathway incorporating the MSAC processes</a:t>
          </a:r>
          <a:endParaRPr lang="nl-NL" sz="1100" b="1" kern="1200" spc="-45" dirty="0">
            <a:latin typeface="Arial" panose="020B0604020202020204" pitchFamily="34" charset="0"/>
            <a:cs typeface="Arial" panose="020B0604020202020204" pitchFamily="34" charset="0"/>
          </a:endParaRPr>
        </a:p>
        <a:p>
          <a:pPr marL="57150" lvl="1" indent="-57150" algn="l" defTabSz="488950">
            <a:lnSpc>
              <a:spcPct val="100000"/>
            </a:lnSpc>
            <a:spcBef>
              <a:spcPct val="0"/>
            </a:spcBef>
            <a:spcAft>
              <a:spcPct val="15000"/>
            </a:spcAft>
            <a:buChar char="•"/>
          </a:pPr>
          <a:r>
            <a:rPr lang="en-AU" sz="1100" kern="1200" dirty="0">
              <a:latin typeface="Arial" panose="020B0604020202020204" pitchFamily="34" charset="0"/>
              <a:cs typeface="Arial" panose="020B0604020202020204" pitchFamily="34" charset="0"/>
            </a:rPr>
            <a:t> there are no MBS items relevant for the use of the device and/or the device is a novel technology and/or there are no comparators on PL </a:t>
          </a:r>
        </a:p>
        <a:p>
          <a:pPr marL="57150" lvl="1" indent="-57150" algn="l" defTabSz="488950">
            <a:lnSpc>
              <a:spcPct val="100000"/>
            </a:lnSpc>
            <a:spcBef>
              <a:spcPct val="0"/>
            </a:spcBef>
            <a:spcAft>
              <a:spcPct val="15000"/>
            </a:spcAft>
            <a:buChar char="•"/>
          </a:pPr>
          <a:r>
            <a:rPr lang="en-AU" sz="1100" kern="1200" dirty="0">
              <a:latin typeface="Arial" panose="020B0604020202020204" pitchFamily="34" charset="0"/>
              <a:cs typeface="Arial" panose="020B0604020202020204" pitchFamily="34" charset="0"/>
            </a:rPr>
            <a:t> assessments include the full clinical and cost effectiveness assessments undertaken by MSAC with inputs from relevant experts as required.</a:t>
          </a:r>
        </a:p>
      </dsp:txBody>
      <dsp:txXfrm rot="-5400000">
        <a:off x="1290458" y="3018807"/>
        <a:ext cx="4496519" cy="1261725"/>
      </dsp:txXfrm>
    </dsp:sp>
    <dsp:sp modelId="{5E1EF835-FF7E-456D-8A48-A2EB351FD0FC}">
      <dsp:nvSpPr>
        <dsp:cNvPr id="0" name=""/>
        <dsp:cNvSpPr/>
      </dsp:nvSpPr>
      <dsp:spPr>
        <a:xfrm>
          <a:off x="0" y="2932694"/>
          <a:ext cx="1286116" cy="14600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100000"/>
            </a:lnSpc>
            <a:spcBef>
              <a:spcPct val="0"/>
            </a:spcBef>
            <a:spcAft>
              <a:spcPct val="35000"/>
            </a:spcAft>
            <a:buNone/>
          </a:pPr>
          <a:r>
            <a:rPr lang="en-AU" sz="1400" b="1" kern="1200" spc="50" baseline="0">
              <a:latin typeface="Arial" panose="020B0604020202020204" pitchFamily="34" charset="0"/>
              <a:cs typeface="Arial" panose="020B0604020202020204" pitchFamily="34" charset="0"/>
            </a:rPr>
            <a:t>Tier 3 </a:t>
          </a:r>
        </a:p>
        <a:p>
          <a:pPr marL="0" lvl="0" indent="0" algn="ctr" defTabSz="622300">
            <a:lnSpc>
              <a:spcPct val="100000"/>
            </a:lnSpc>
            <a:spcBef>
              <a:spcPct val="0"/>
            </a:spcBef>
            <a:spcAft>
              <a:spcPct val="35000"/>
            </a:spcAft>
            <a:buNone/>
          </a:pPr>
          <a:r>
            <a:rPr lang="nl-NL" sz="1200" b="1" kern="1200" spc="-45" dirty="0">
              <a:latin typeface="Arial" panose="020B0604020202020204" pitchFamily="34" charset="0"/>
              <a:cs typeface="Arial" panose="020B0604020202020204" pitchFamily="34" charset="0"/>
            </a:rPr>
            <a:t>Full </a:t>
          </a:r>
          <a:br>
            <a:rPr lang="nl-NL" sz="1200" b="1" kern="1200" spc="-45" dirty="0">
              <a:latin typeface="Arial" panose="020B0604020202020204" pitchFamily="34" charset="0"/>
              <a:cs typeface="Arial" panose="020B0604020202020204" pitchFamily="34" charset="0"/>
            </a:rPr>
          </a:br>
          <a:r>
            <a:rPr lang="nl-NL" sz="1200" b="1" kern="1200" spc="-45" dirty="0">
              <a:latin typeface="Arial" panose="020B0604020202020204" pitchFamily="34" charset="0"/>
              <a:cs typeface="Arial" panose="020B0604020202020204" pitchFamily="34" charset="0"/>
            </a:rPr>
            <a:t>HTA Pathway (MSAC)</a:t>
          </a:r>
          <a:endParaRPr lang="en-AU" sz="1200" kern="1200">
            <a:latin typeface="Arial" panose="020B0604020202020204" pitchFamily="34" charset="0"/>
            <a:cs typeface="Arial" panose="020B0604020202020204" pitchFamily="34" charset="0"/>
          </a:endParaRPr>
        </a:p>
      </dsp:txBody>
      <dsp:txXfrm>
        <a:off x="62783" y="2995477"/>
        <a:ext cx="1160550" cy="13344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9A4B37-A2FC-43C1-A38B-A795A3EF3228}">
      <dsp:nvSpPr>
        <dsp:cNvPr id="0" name=""/>
        <dsp:cNvSpPr/>
      </dsp:nvSpPr>
      <dsp:spPr>
        <a:xfrm>
          <a:off x="2" y="0"/>
          <a:ext cx="5985859" cy="3357923"/>
        </a:xfrm>
        <a:prstGeom prst="rightArrow">
          <a:avLst/>
        </a:prstGeom>
        <a:solidFill>
          <a:srgbClr val="BDE7ED"/>
        </a:solidFill>
        <a:ln>
          <a:noFill/>
        </a:ln>
        <a:effectLst/>
      </dsp:spPr>
      <dsp:style>
        <a:lnRef idx="0">
          <a:scrgbClr r="0" g="0" b="0"/>
        </a:lnRef>
        <a:fillRef idx="1">
          <a:scrgbClr r="0" g="0" b="0"/>
        </a:fillRef>
        <a:effectRef idx="0">
          <a:scrgbClr r="0" g="0" b="0"/>
        </a:effectRef>
        <a:fontRef idx="minor"/>
      </dsp:style>
    </dsp:sp>
    <dsp:sp modelId="{FFB0B8BE-D094-4301-99B8-63DA69888BD0}">
      <dsp:nvSpPr>
        <dsp:cNvPr id="0" name=""/>
        <dsp:cNvSpPr/>
      </dsp:nvSpPr>
      <dsp:spPr>
        <a:xfrm>
          <a:off x="0" y="940218"/>
          <a:ext cx="1098030" cy="1477486"/>
        </a:xfrm>
        <a:prstGeom prst="roundRect">
          <a:avLst/>
        </a:prstGeom>
        <a:solidFill>
          <a:schemeClr val="lt1">
            <a:hueOff val="0"/>
            <a:satOff val="0"/>
            <a:lumOff val="0"/>
            <a:alphaOff val="0"/>
          </a:schemeClr>
        </a:solidFill>
        <a:ln w="12700" cap="flat" cmpd="sng" algn="ctr">
          <a:solidFill>
            <a:srgbClr val="35818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Step 1: </a:t>
          </a:r>
        </a:p>
        <a:p>
          <a:pPr marL="0" lvl="0" indent="0" algn="l" defTabSz="444500">
            <a:lnSpc>
              <a:spcPct val="90000"/>
            </a:lnSpc>
            <a:spcBef>
              <a:spcPct val="0"/>
            </a:spcBef>
            <a:spcAft>
              <a:spcPct val="35000"/>
            </a:spcAft>
            <a:buNone/>
          </a:pPr>
          <a:r>
            <a:rPr lang="en-US" sz="1000" kern="1200" dirty="0">
              <a:latin typeface="Arial" panose="020B0604020202020204" pitchFamily="34" charset="0"/>
              <a:cs typeface="Arial" panose="020B0604020202020204" pitchFamily="34" charset="0"/>
            </a:rPr>
            <a:t>The device is included in the ARTG</a:t>
          </a:r>
        </a:p>
        <a:p>
          <a:pPr marL="0" lvl="0" indent="0" algn="l" defTabSz="444500">
            <a:lnSpc>
              <a:spcPct val="90000"/>
            </a:lnSpc>
            <a:spcBef>
              <a:spcPct val="0"/>
            </a:spcBef>
            <a:spcAft>
              <a:spcPct val="35000"/>
            </a:spcAft>
            <a:buNone/>
          </a:pPr>
          <a:br>
            <a:rPr lang="en-US" sz="1000" kern="1200" dirty="0">
              <a:latin typeface="Arial" panose="020B0604020202020204" pitchFamily="34" charset="0"/>
              <a:cs typeface="Arial" panose="020B0604020202020204" pitchFamily="34" charset="0"/>
            </a:rPr>
          </a:br>
          <a:r>
            <a:rPr lang="en-US" sz="1000" kern="1200" dirty="0">
              <a:latin typeface="Arial" panose="020B0604020202020204" pitchFamily="34" charset="0"/>
              <a:cs typeface="Arial" panose="020B0604020202020204" pitchFamily="34" charset="0"/>
            </a:rPr>
            <a:t>(Sponsor and TGA)</a:t>
          </a:r>
          <a:endParaRPr lang="en-AU" sz="1000" kern="1200">
            <a:latin typeface="Arial" panose="020B0604020202020204" pitchFamily="34" charset="0"/>
            <a:cs typeface="Arial" panose="020B0604020202020204" pitchFamily="34" charset="0"/>
          </a:endParaRPr>
        </a:p>
      </dsp:txBody>
      <dsp:txXfrm>
        <a:off x="53601" y="993819"/>
        <a:ext cx="990828" cy="1370284"/>
      </dsp:txXfrm>
    </dsp:sp>
    <dsp:sp modelId="{83C1438F-74CF-4882-A4F5-4E0A65835E66}">
      <dsp:nvSpPr>
        <dsp:cNvPr id="0" name=""/>
        <dsp:cNvSpPr/>
      </dsp:nvSpPr>
      <dsp:spPr>
        <a:xfrm>
          <a:off x="1159336" y="947417"/>
          <a:ext cx="1098030" cy="1477486"/>
        </a:xfrm>
        <a:prstGeom prst="roundRect">
          <a:avLst/>
        </a:prstGeom>
        <a:solidFill>
          <a:schemeClr val="lt1">
            <a:hueOff val="0"/>
            <a:satOff val="0"/>
            <a:lumOff val="0"/>
            <a:alphaOff val="0"/>
          </a:schemeClr>
        </a:solidFill>
        <a:ln w="12700" cap="flat" cmpd="sng" algn="ctr">
          <a:solidFill>
            <a:srgbClr val="35818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Step 2:</a:t>
          </a:r>
        </a:p>
        <a:p>
          <a:pPr marL="0" lvl="0" indent="0" algn="l" defTabSz="444500">
            <a:lnSpc>
              <a:spcPct val="90000"/>
            </a:lnSpc>
            <a:spcBef>
              <a:spcPct val="0"/>
            </a:spcBef>
            <a:spcAft>
              <a:spcPct val="35000"/>
            </a:spcAft>
            <a:buNone/>
          </a:pPr>
          <a:r>
            <a:rPr lang="en-US" sz="1000" kern="1200" dirty="0">
              <a:latin typeface="Arial" panose="020B0604020202020204" pitchFamily="34" charset="0"/>
              <a:cs typeface="Arial" panose="020B0604020202020204" pitchFamily="34" charset="0"/>
            </a:rPr>
            <a:t>PL application submitted via HPP</a:t>
          </a:r>
        </a:p>
        <a:p>
          <a:pPr marL="0" lvl="0" indent="0" algn="l" defTabSz="444500">
            <a:lnSpc>
              <a:spcPct val="90000"/>
            </a:lnSpc>
            <a:spcBef>
              <a:spcPct val="0"/>
            </a:spcBef>
            <a:spcAft>
              <a:spcPct val="35000"/>
            </a:spcAft>
            <a:buNone/>
          </a:pPr>
          <a:r>
            <a:rPr lang="en-US" sz="1000" kern="1200" dirty="0">
              <a:latin typeface="Arial" panose="020B0604020202020204" pitchFamily="34" charset="0"/>
              <a:cs typeface="Arial" panose="020B0604020202020204" pitchFamily="34" charset="0"/>
            </a:rPr>
            <a:t>(Sponsor)</a:t>
          </a:r>
          <a:endParaRPr lang="en-AU" sz="1000" kern="1200">
            <a:latin typeface="Arial" panose="020B0604020202020204" pitchFamily="34" charset="0"/>
            <a:cs typeface="Arial" panose="020B0604020202020204" pitchFamily="34" charset="0"/>
          </a:endParaRPr>
        </a:p>
      </dsp:txBody>
      <dsp:txXfrm>
        <a:off x="1212937" y="1001018"/>
        <a:ext cx="990828" cy="1370284"/>
      </dsp:txXfrm>
    </dsp:sp>
    <dsp:sp modelId="{29A07469-42F5-4A49-BF16-05B3C19E72B3}">
      <dsp:nvSpPr>
        <dsp:cNvPr id="0" name=""/>
        <dsp:cNvSpPr/>
      </dsp:nvSpPr>
      <dsp:spPr>
        <a:xfrm>
          <a:off x="2313305" y="947417"/>
          <a:ext cx="1063253" cy="1477486"/>
        </a:xfrm>
        <a:prstGeom prst="roundRect">
          <a:avLst/>
        </a:prstGeom>
        <a:solidFill>
          <a:schemeClr val="lt1">
            <a:hueOff val="0"/>
            <a:satOff val="0"/>
            <a:lumOff val="0"/>
            <a:alphaOff val="0"/>
          </a:schemeClr>
        </a:solidFill>
        <a:ln w="12700" cap="flat" cmpd="sng" algn="ctr">
          <a:solidFill>
            <a:srgbClr val="35818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Step 3:</a:t>
          </a:r>
        </a:p>
        <a:p>
          <a:pPr marL="0" lvl="0" indent="0" algn="l"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Application assessed. Clinical experts may be consulted on minor clarifying questions if required </a:t>
          </a:r>
          <a:r>
            <a:rPr lang="en-AU" sz="1000" kern="1200" spc="-50" baseline="0">
              <a:latin typeface="Arial" panose="020B0604020202020204" pitchFamily="34" charset="0"/>
              <a:cs typeface="Arial" panose="020B0604020202020204" pitchFamily="34" charset="0"/>
            </a:rPr>
            <a:t>(Department)</a:t>
          </a:r>
        </a:p>
      </dsp:txBody>
      <dsp:txXfrm>
        <a:off x="2365209" y="999321"/>
        <a:ext cx="959445" cy="1373678"/>
      </dsp:txXfrm>
    </dsp:sp>
    <dsp:sp modelId="{FA039D72-F04E-4736-8AA3-350C774F1CE1}">
      <dsp:nvSpPr>
        <dsp:cNvPr id="0" name=""/>
        <dsp:cNvSpPr/>
      </dsp:nvSpPr>
      <dsp:spPr>
        <a:xfrm>
          <a:off x="3452247" y="954321"/>
          <a:ext cx="1179635" cy="1486619"/>
        </a:xfrm>
        <a:prstGeom prst="roundRect">
          <a:avLst/>
        </a:prstGeom>
        <a:solidFill>
          <a:schemeClr val="lt1">
            <a:hueOff val="0"/>
            <a:satOff val="0"/>
            <a:lumOff val="0"/>
            <a:alphaOff val="0"/>
          </a:schemeClr>
        </a:solidFill>
        <a:ln w="12700" cap="flat" cmpd="sng" algn="ctr">
          <a:solidFill>
            <a:srgbClr val="35818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Step 4:</a:t>
          </a:r>
        </a:p>
        <a:p>
          <a:pPr marL="0" lvl="0" indent="0" algn="l" defTabSz="444500">
            <a:lnSpc>
              <a:spcPct val="90000"/>
            </a:lnSpc>
            <a:spcBef>
              <a:spcPct val="0"/>
            </a:spcBef>
            <a:spcAft>
              <a:spcPct val="35000"/>
            </a:spcAft>
            <a:buNone/>
          </a:pPr>
          <a:r>
            <a:rPr lang="en-AU" sz="1000" kern="1200" spc="-20" baseline="0">
              <a:latin typeface="Arial" panose="020B0604020202020204" pitchFamily="34" charset="0"/>
              <a:cs typeface="Arial" panose="020B0604020202020204" pitchFamily="34" charset="0"/>
            </a:rPr>
            <a:t>Recommendation</a:t>
          </a:r>
          <a:r>
            <a:rPr lang="en-AU" sz="1000" kern="1200">
              <a:latin typeface="Arial" panose="020B0604020202020204" pitchFamily="34" charset="0"/>
              <a:cs typeface="Arial" panose="020B0604020202020204" pitchFamily="34" charset="0"/>
            </a:rPr>
            <a:t> is made to Minister or Delegate</a:t>
          </a:r>
        </a:p>
        <a:p>
          <a:pPr marL="0" lvl="0" indent="0" algn="l" defTabSz="444500">
            <a:lnSpc>
              <a:spcPct val="90000"/>
            </a:lnSpc>
            <a:spcBef>
              <a:spcPct val="0"/>
            </a:spcBef>
            <a:spcAft>
              <a:spcPct val="35000"/>
            </a:spcAft>
            <a:buNone/>
          </a:pPr>
          <a:r>
            <a:rPr lang="en-AU" sz="1000" kern="1200" spc="-60" baseline="0">
              <a:latin typeface="Arial" panose="020B0604020202020204" pitchFamily="34" charset="0"/>
              <a:cs typeface="Arial" panose="020B0604020202020204" pitchFamily="34" charset="0"/>
            </a:rPr>
            <a:t>(Department)</a:t>
          </a:r>
        </a:p>
      </dsp:txBody>
      <dsp:txXfrm>
        <a:off x="3509832" y="1011906"/>
        <a:ext cx="1064465" cy="1371449"/>
      </dsp:txXfrm>
    </dsp:sp>
    <dsp:sp modelId="{98C1AE57-C027-419A-8865-085671F3F45A}">
      <dsp:nvSpPr>
        <dsp:cNvPr id="0" name=""/>
        <dsp:cNvSpPr/>
      </dsp:nvSpPr>
      <dsp:spPr>
        <a:xfrm>
          <a:off x="4704648" y="958512"/>
          <a:ext cx="1098030" cy="1475229"/>
        </a:xfrm>
        <a:prstGeom prst="roundRect">
          <a:avLst/>
        </a:prstGeom>
        <a:solidFill>
          <a:schemeClr val="lt1">
            <a:hueOff val="0"/>
            <a:satOff val="0"/>
            <a:lumOff val="0"/>
            <a:alphaOff val="0"/>
          </a:schemeClr>
        </a:solidFill>
        <a:ln w="12700" cap="flat" cmpd="sng" algn="ctr">
          <a:solidFill>
            <a:srgbClr val="35818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b="1" kern="1200" dirty="0">
              <a:latin typeface="Arial" panose="020B0604020202020204" pitchFamily="34" charset="0"/>
              <a:cs typeface="Arial" panose="020B0604020202020204" pitchFamily="34" charset="0"/>
            </a:rPr>
            <a:t>Step 5: </a:t>
          </a:r>
        </a:p>
        <a:p>
          <a:pPr marL="0" lvl="0" indent="0" algn="l" defTabSz="444500">
            <a:lnSpc>
              <a:spcPct val="80000"/>
            </a:lnSpc>
            <a:spcBef>
              <a:spcPct val="0"/>
            </a:spcBef>
            <a:spcAft>
              <a:spcPct val="35000"/>
            </a:spcAft>
            <a:buNone/>
          </a:pPr>
          <a:r>
            <a:rPr lang="en-US" sz="1000" kern="1200" dirty="0">
              <a:latin typeface="Arial" panose="020B0604020202020204" pitchFamily="34" charset="0"/>
              <a:cs typeface="Arial" panose="020B0604020202020204" pitchFamily="34" charset="0"/>
            </a:rPr>
            <a:t>If approved by the Delegate, the device is </a:t>
          </a:r>
          <a:r>
            <a:rPr lang="en-US" sz="1000" kern="1200" spc="-50" baseline="0" dirty="0">
              <a:latin typeface="Arial" panose="020B0604020202020204" pitchFamily="34" charset="0"/>
              <a:cs typeface="Arial" panose="020B0604020202020204" pitchFamily="34" charset="0"/>
            </a:rPr>
            <a:t>listed on the PL</a:t>
          </a:r>
        </a:p>
        <a:p>
          <a:pPr marL="0" lvl="0" indent="0" algn="l" defTabSz="444500">
            <a:lnSpc>
              <a:spcPct val="80000"/>
            </a:lnSpc>
            <a:spcBef>
              <a:spcPct val="0"/>
            </a:spcBef>
            <a:spcAft>
              <a:spcPct val="35000"/>
            </a:spcAft>
            <a:buNone/>
          </a:pPr>
          <a:r>
            <a:rPr lang="en-US" sz="1000" kern="1200" dirty="0">
              <a:latin typeface="Arial" panose="020B0604020202020204" pitchFamily="34" charset="0"/>
              <a:cs typeface="Arial" panose="020B0604020202020204" pitchFamily="34" charset="0"/>
            </a:rPr>
            <a:t>(Department) </a:t>
          </a:r>
          <a:endParaRPr lang="en-AU" sz="1000" kern="1200">
            <a:latin typeface="Arial" panose="020B0604020202020204" pitchFamily="34" charset="0"/>
            <a:cs typeface="Arial" panose="020B0604020202020204" pitchFamily="34" charset="0"/>
          </a:endParaRPr>
        </a:p>
      </dsp:txBody>
      <dsp:txXfrm>
        <a:off x="4758249" y="1012113"/>
        <a:ext cx="990828" cy="136802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9A4B37-A2FC-43C1-A38B-A795A3EF3228}">
      <dsp:nvSpPr>
        <dsp:cNvPr id="0" name=""/>
        <dsp:cNvSpPr/>
      </dsp:nvSpPr>
      <dsp:spPr>
        <a:xfrm>
          <a:off x="3" y="0"/>
          <a:ext cx="6162036" cy="2478405"/>
        </a:xfrm>
        <a:prstGeom prst="rightArrow">
          <a:avLst/>
        </a:prstGeom>
        <a:solidFill>
          <a:srgbClr val="BDE7ED"/>
        </a:solidFill>
        <a:ln>
          <a:solidFill>
            <a:srgbClr val="358189"/>
          </a:solidFill>
        </a:ln>
        <a:effectLst/>
      </dsp:spPr>
      <dsp:style>
        <a:lnRef idx="0">
          <a:scrgbClr r="0" g="0" b="0"/>
        </a:lnRef>
        <a:fillRef idx="1">
          <a:scrgbClr r="0" g="0" b="0"/>
        </a:fillRef>
        <a:effectRef idx="0">
          <a:scrgbClr r="0" g="0" b="0"/>
        </a:effectRef>
        <a:fontRef idx="minor"/>
      </dsp:style>
    </dsp:sp>
    <dsp:sp modelId="{FFB0B8BE-D094-4301-99B8-63DA69888BD0}">
      <dsp:nvSpPr>
        <dsp:cNvPr id="0" name=""/>
        <dsp:cNvSpPr/>
      </dsp:nvSpPr>
      <dsp:spPr>
        <a:xfrm>
          <a:off x="43706" y="709725"/>
          <a:ext cx="1154841" cy="1090498"/>
        </a:xfrm>
        <a:prstGeom prst="roundRect">
          <a:avLst/>
        </a:prstGeom>
        <a:solidFill>
          <a:schemeClr val="lt1">
            <a:hueOff val="0"/>
            <a:satOff val="0"/>
            <a:lumOff val="0"/>
            <a:alphaOff val="0"/>
          </a:schemeClr>
        </a:solidFill>
        <a:ln w="12700" cap="flat" cmpd="sng" algn="ctr">
          <a:solidFill>
            <a:srgbClr val="35818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Step 1:</a:t>
          </a:r>
        </a:p>
        <a:p>
          <a:pPr marL="0" lvl="0" indent="0" algn="l" defTabSz="444500">
            <a:lnSpc>
              <a:spcPct val="90000"/>
            </a:lnSpc>
            <a:spcBef>
              <a:spcPct val="0"/>
            </a:spcBef>
            <a:spcAft>
              <a:spcPct val="35000"/>
            </a:spcAft>
            <a:buNone/>
          </a:pPr>
          <a:r>
            <a:rPr lang="en-AU" sz="1000" kern="1200" dirty="0">
              <a:latin typeface="Arial" panose="020B0604020202020204" pitchFamily="34" charset="0"/>
              <a:cs typeface="Arial" panose="020B0604020202020204" pitchFamily="34" charset="0"/>
            </a:rPr>
            <a:t>PL application submitted via HPP</a:t>
          </a:r>
        </a:p>
        <a:p>
          <a:pPr marL="0" lvl="0" indent="0" algn="l" defTabSz="444500">
            <a:lnSpc>
              <a:spcPct val="90000"/>
            </a:lnSpc>
            <a:spcBef>
              <a:spcPct val="0"/>
            </a:spcBef>
            <a:spcAft>
              <a:spcPct val="35000"/>
            </a:spcAft>
            <a:buNone/>
          </a:pPr>
          <a:r>
            <a:rPr lang="en-AU" sz="1000" kern="1200" dirty="0">
              <a:latin typeface="Arial" panose="020B0604020202020204" pitchFamily="34" charset="0"/>
              <a:cs typeface="Arial" panose="020B0604020202020204" pitchFamily="34" charset="0"/>
            </a:rPr>
            <a:t>(Sponsor)</a:t>
          </a:r>
        </a:p>
        <a:p>
          <a:pPr marL="0" lvl="0" indent="0" algn="l" defTabSz="444500">
            <a:lnSpc>
              <a:spcPct val="90000"/>
            </a:lnSpc>
            <a:spcBef>
              <a:spcPct val="0"/>
            </a:spcBef>
            <a:spcAft>
              <a:spcPct val="35000"/>
            </a:spcAft>
            <a:buNone/>
          </a:pPr>
          <a:endParaRPr lang="en-AU" sz="1000" kern="1200">
            <a:latin typeface="Arial" panose="020B0604020202020204" pitchFamily="34" charset="0"/>
            <a:cs typeface="Arial" panose="020B0604020202020204" pitchFamily="34" charset="0"/>
          </a:endParaRPr>
        </a:p>
      </dsp:txBody>
      <dsp:txXfrm>
        <a:off x="96940" y="762959"/>
        <a:ext cx="1048373" cy="984030"/>
      </dsp:txXfrm>
    </dsp:sp>
    <dsp:sp modelId="{83C1438F-74CF-4882-A4F5-4E0A65835E66}">
      <dsp:nvSpPr>
        <dsp:cNvPr id="0" name=""/>
        <dsp:cNvSpPr/>
      </dsp:nvSpPr>
      <dsp:spPr>
        <a:xfrm>
          <a:off x="1225341" y="700863"/>
          <a:ext cx="1072339" cy="1090498"/>
        </a:xfrm>
        <a:prstGeom prst="roundRect">
          <a:avLst/>
        </a:prstGeom>
        <a:solidFill>
          <a:schemeClr val="lt1">
            <a:hueOff val="0"/>
            <a:satOff val="0"/>
            <a:lumOff val="0"/>
            <a:alphaOff val="0"/>
          </a:schemeClr>
        </a:solidFill>
        <a:ln w="12700" cap="flat" cmpd="sng" algn="ctr">
          <a:solidFill>
            <a:srgbClr val="35818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38100" rIns="0" bIns="38100" numCol="1" spcCol="1270" anchor="t" anchorCtr="0">
          <a:noAutofit/>
        </a:bodyPr>
        <a:lstStyle/>
        <a:p>
          <a:pPr marL="0" lvl="0" indent="0" algn="l"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Step 2:</a:t>
          </a:r>
        </a:p>
        <a:p>
          <a:pPr marL="0" lvl="0" indent="0" algn="l"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Triage assessment of the application</a:t>
          </a:r>
        </a:p>
        <a:p>
          <a:pPr marL="0" lvl="0" indent="0" algn="l" defTabSz="444500">
            <a:lnSpc>
              <a:spcPct val="90000"/>
            </a:lnSpc>
            <a:spcBef>
              <a:spcPct val="0"/>
            </a:spcBef>
            <a:spcAft>
              <a:spcPct val="35000"/>
            </a:spcAft>
            <a:buNone/>
          </a:pPr>
          <a:r>
            <a:rPr lang="en-AU" sz="1000" kern="1200" spc="-70" baseline="0">
              <a:latin typeface="Arial" panose="020B0604020202020204" pitchFamily="34" charset="0"/>
              <a:cs typeface="Arial" panose="020B0604020202020204" pitchFamily="34" charset="0"/>
            </a:rPr>
            <a:t>(Department)</a:t>
          </a:r>
        </a:p>
      </dsp:txBody>
      <dsp:txXfrm>
        <a:off x="1277688" y="753210"/>
        <a:ext cx="967645" cy="985804"/>
      </dsp:txXfrm>
    </dsp:sp>
    <dsp:sp modelId="{29A07469-42F5-4A49-BF16-05B3C19E72B3}">
      <dsp:nvSpPr>
        <dsp:cNvPr id="0" name=""/>
        <dsp:cNvSpPr/>
      </dsp:nvSpPr>
      <dsp:spPr>
        <a:xfrm>
          <a:off x="2337628" y="707782"/>
          <a:ext cx="1072339" cy="1090498"/>
        </a:xfrm>
        <a:prstGeom prst="roundRect">
          <a:avLst/>
        </a:prstGeom>
        <a:solidFill>
          <a:schemeClr val="lt1">
            <a:hueOff val="0"/>
            <a:satOff val="0"/>
            <a:lumOff val="0"/>
            <a:alphaOff val="0"/>
          </a:schemeClr>
        </a:solidFill>
        <a:ln w="12700" cap="flat" cmpd="sng" algn="ctr">
          <a:solidFill>
            <a:srgbClr val="35818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0" bIns="38100" numCol="1" spcCol="1270" anchor="t" anchorCtr="0">
          <a:noAutofit/>
        </a:bodyPr>
        <a:lstStyle/>
        <a:p>
          <a:pPr marL="0" lvl="0" indent="0" algn="l"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Step 3:</a:t>
          </a:r>
        </a:p>
        <a:p>
          <a:pPr marL="0" lvl="0" indent="0" algn="l" defTabSz="444500">
            <a:lnSpc>
              <a:spcPct val="90000"/>
            </a:lnSpc>
            <a:spcBef>
              <a:spcPct val="0"/>
            </a:spcBef>
            <a:spcAft>
              <a:spcPct val="35000"/>
            </a:spcAft>
            <a:buNone/>
          </a:pPr>
          <a:r>
            <a:rPr lang="en-AU" sz="1000" b="0" kern="1200">
              <a:latin typeface="Arial" panose="020B0604020202020204" pitchFamily="34" charset="0"/>
              <a:cs typeface="Arial" panose="020B0604020202020204" pitchFamily="34" charset="0"/>
            </a:rPr>
            <a:t>Clinical/</a:t>
          </a:r>
          <a:br>
            <a:rPr lang="en-AU" sz="1000" b="0" kern="1200">
              <a:latin typeface="Arial" panose="020B0604020202020204" pitchFamily="34" charset="0"/>
              <a:cs typeface="Arial" panose="020B0604020202020204" pitchFamily="34" charset="0"/>
            </a:rPr>
          </a:br>
          <a:r>
            <a:rPr lang="en-AU" sz="1000" b="0" kern="1200">
              <a:latin typeface="Arial" panose="020B0604020202020204" pitchFamily="34" charset="0"/>
              <a:cs typeface="Arial" panose="020B0604020202020204" pitchFamily="34" charset="0"/>
            </a:rPr>
            <a:t>Focused HTA </a:t>
          </a:r>
        </a:p>
        <a:p>
          <a:pPr marL="0" lvl="0" indent="0" algn="l" defTabSz="444500">
            <a:lnSpc>
              <a:spcPct val="90000"/>
            </a:lnSpc>
            <a:spcBef>
              <a:spcPct val="0"/>
            </a:spcBef>
            <a:spcAft>
              <a:spcPct val="35000"/>
            </a:spcAft>
            <a:buNone/>
          </a:pPr>
          <a:r>
            <a:rPr lang="en-AU" sz="1000" b="0" kern="1200">
              <a:latin typeface="Arial" panose="020B0604020202020204" pitchFamily="34" charset="0"/>
              <a:cs typeface="Arial" panose="020B0604020202020204" pitchFamily="34" charset="0"/>
            </a:rPr>
            <a:t>(Clinical/</a:t>
          </a:r>
          <a:br>
            <a:rPr lang="en-AU" sz="1000" b="0" kern="1200">
              <a:latin typeface="Arial" panose="020B0604020202020204" pitchFamily="34" charset="0"/>
              <a:cs typeface="Arial" panose="020B0604020202020204" pitchFamily="34" charset="0"/>
            </a:rPr>
          </a:br>
          <a:r>
            <a:rPr lang="en-AU" sz="1000" b="0" kern="1200">
              <a:latin typeface="Arial" panose="020B0604020202020204" pitchFamily="34" charset="0"/>
              <a:cs typeface="Arial" panose="020B0604020202020204" pitchFamily="34" charset="0"/>
            </a:rPr>
            <a:t>economic experts)</a:t>
          </a:r>
          <a:endParaRPr lang="en-AU" sz="1000" kern="1200">
            <a:latin typeface="Arial" panose="020B0604020202020204" pitchFamily="34" charset="0"/>
            <a:cs typeface="Arial" panose="020B0604020202020204" pitchFamily="34" charset="0"/>
          </a:endParaRPr>
        </a:p>
      </dsp:txBody>
      <dsp:txXfrm>
        <a:off x="2389975" y="760129"/>
        <a:ext cx="967645" cy="985804"/>
      </dsp:txXfrm>
    </dsp:sp>
    <dsp:sp modelId="{FA039D72-F04E-4736-8AA3-350C774F1CE1}">
      <dsp:nvSpPr>
        <dsp:cNvPr id="0" name=""/>
        <dsp:cNvSpPr/>
      </dsp:nvSpPr>
      <dsp:spPr>
        <a:xfrm>
          <a:off x="3462499" y="698523"/>
          <a:ext cx="1129417" cy="1090498"/>
        </a:xfrm>
        <a:prstGeom prst="roundRect">
          <a:avLst/>
        </a:prstGeom>
        <a:solidFill>
          <a:schemeClr val="lt1">
            <a:hueOff val="0"/>
            <a:satOff val="0"/>
            <a:lumOff val="0"/>
            <a:alphaOff val="0"/>
          </a:schemeClr>
        </a:solidFill>
        <a:ln w="12700" cap="flat" cmpd="sng" algn="ctr">
          <a:solidFill>
            <a:srgbClr val="35818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8100" rIns="0" bIns="38100" numCol="1" spcCol="1270" anchor="t" anchorCtr="0">
          <a:noAutofit/>
        </a:bodyPr>
        <a:lstStyle/>
        <a:p>
          <a:pPr marL="0" lvl="0" indent="0" algn="l"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Step 4</a:t>
          </a:r>
        </a:p>
        <a:p>
          <a:pPr marL="0" lvl="0" indent="0" algn="l" defTabSz="444500">
            <a:lnSpc>
              <a:spcPct val="90000"/>
            </a:lnSpc>
            <a:spcBef>
              <a:spcPct val="0"/>
            </a:spcBef>
            <a:spcAft>
              <a:spcPct val="35000"/>
            </a:spcAft>
            <a:buNone/>
          </a:pPr>
          <a:r>
            <a:rPr lang="en-AU" sz="1000" kern="1200" spc="-70" baseline="0">
              <a:latin typeface="Arial" panose="020B0604020202020204" pitchFamily="34" charset="0"/>
              <a:cs typeface="Arial" panose="020B0604020202020204" pitchFamily="34" charset="0"/>
            </a:rPr>
            <a:t>Recommendation</a:t>
          </a:r>
          <a:r>
            <a:rPr lang="en-AU" sz="1000" kern="1200">
              <a:latin typeface="Arial" panose="020B0604020202020204" pitchFamily="34" charset="0"/>
              <a:cs typeface="Arial" panose="020B0604020202020204" pitchFamily="34" charset="0"/>
            </a:rPr>
            <a:t> is made to Minister or Delegate</a:t>
          </a:r>
        </a:p>
        <a:p>
          <a:pPr marL="0" lvl="0" indent="0" algn="l"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(Department)</a:t>
          </a:r>
        </a:p>
      </dsp:txBody>
      <dsp:txXfrm>
        <a:off x="3515733" y="751757"/>
        <a:ext cx="1022949" cy="984030"/>
      </dsp:txXfrm>
    </dsp:sp>
    <dsp:sp modelId="{98C1AE57-C027-419A-8865-085671F3F45A}">
      <dsp:nvSpPr>
        <dsp:cNvPr id="0" name=""/>
        <dsp:cNvSpPr/>
      </dsp:nvSpPr>
      <dsp:spPr>
        <a:xfrm>
          <a:off x="4643717" y="704342"/>
          <a:ext cx="1072339" cy="1090498"/>
        </a:xfrm>
        <a:prstGeom prst="roundRect">
          <a:avLst/>
        </a:prstGeom>
        <a:solidFill>
          <a:schemeClr val="lt1">
            <a:hueOff val="0"/>
            <a:satOff val="0"/>
            <a:lumOff val="0"/>
            <a:alphaOff val="0"/>
          </a:schemeClr>
        </a:solidFill>
        <a:ln w="12700" cap="flat" cmpd="sng" algn="ctr">
          <a:solidFill>
            <a:srgbClr val="35818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0" bIns="38100" numCol="1" spcCol="1270" anchor="t" anchorCtr="0">
          <a:noAutofit/>
        </a:bodyPr>
        <a:lstStyle/>
        <a:p>
          <a:pPr marL="0" lvl="0" indent="0" algn="l" defTabSz="444500">
            <a:lnSpc>
              <a:spcPct val="90000"/>
            </a:lnSpc>
            <a:spcBef>
              <a:spcPct val="0"/>
            </a:spcBef>
            <a:spcAft>
              <a:spcPct val="35000"/>
            </a:spcAft>
            <a:buNone/>
          </a:pPr>
          <a:r>
            <a:rPr lang="en-US" sz="1000" b="1" kern="1200" dirty="0">
              <a:latin typeface="Arial" panose="020B0604020202020204" pitchFamily="34" charset="0"/>
              <a:cs typeface="Arial" panose="020B0604020202020204" pitchFamily="34" charset="0"/>
            </a:rPr>
            <a:t>Step 5: </a:t>
          </a:r>
        </a:p>
        <a:p>
          <a:pPr marL="0" lvl="0" indent="0" algn="l" defTabSz="444500">
            <a:lnSpc>
              <a:spcPct val="90000"/>
            </a:lnSpc>
            <a:spcBef>
              <a:spcPct val="0"/>
            </a:spcBef>
            <a:spcAft>
              <a:spcPct val="35000"/>
            </a:spcAft>
            <a:buNone/>
          </a:pPr>
          <a:r>
            <a:rPr lang="en-US" sz="1000" kern="1200" dirty="0">
              <a:latin typeface="Arial" panose="020B0604020202020204" pitchFamily="34" charset="0"/>
              <a:cs typeface="Arial" panose="020B0604020202020204" pitchFamily="34" charset="0"/>
            </a:rPr>
            <a:t>If approved by the Delegate, the device is listed on the PL </a:t>
          </a:r>
        </a:p>
        <a:p>
          <a:pPr marL="0" lvl="0" indent="0" algn="l" defTabSz="444500">
            <a:lnSpc>
              <a:spcPct val="90000"/>
            </a:lnSpc>
            <a:spcBef>
              <a:spcPct val="0"/>
            </a:spcBef>
            <a:spcAft>
              <a:spcPct val="35000"/>
            </a:spcAft>
            <a:buNone/>
          </a:pPr>
          <a:r>
            <a:rPr lang="en-US" sz="1000" kern="1200" spc="-50" baseline="0" dirty="0">
              <a:latin typeface="Arial" panose="020B0604020202020204" pitchFamily="34" charset="0"/>
              <a:cs typeface="Arial" panose="020B0604020202020204" pitchFamily="34" charset="0"/>
            </a:rPr>
            <a:t>(Department) </a:t>
          </a:r>
          <a:endParaRPr lang="en-AU" sz="1000" kern="1200" spc="-50" baseline="0">
            <a:latin typeface="Arial" panose="020B0604020202020204" pitchFamily="34" charset="0"/>
            <a:cs typeface="Arial" panose="020B0604020202020204" pitchFamily="34" charset="0"/>
          </a:endParaRPr>
        </a:p>
      </dsp:txBody>
      <dsp:txXfrm>
        <a:off x="4696064" y="756689"/>
        <a:ext cx="967645" cy="98580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9A4B37-A2FC-43C1-A38B-A795A3EF3228}">
      <dsp:nvSpPr>
        <dsp:cNvPr id="0" name=""/>
        <dsp:cNvSpPr/>
      </dsp:nvSpPr>
      <dsp:spPr>
        <a:xfrm>
          <a:off x="1" y="0"/>
          <a:ext cx="6677422" cy="2994024"/>
        </a:xfrm>
        <a:prstGeom prst="rightArrow">
          <a:avLst/>
        </a:prstGeom>
        <a:solidFill>
          <a:srgbClr val="BDE7ED"/>
        </a:solidFill>
        <a:ln>
          <a:solidFill>
            <a:srgbClr val="358189"/>
          </a:solidFill>
        </a:ln>
        <a:effectLst/>
      </dsp:spPr>
      <dsp:style>
        <a:lnRef idx="0">
          <a:scrgbClr r="0" g="0" b="0"/>
        </a:lnRef>
        <a:fillRef idx="1">
          <a:scrgbClr r="0" g="0" b="0"/>
        </a:fillRef>
        <a:effectRef idx="0">
          <a:scrgbClr r="0" g="0" b="0"/>
        </a:effectRef>
        <a:fontRef idx="minor"/>
      </dsp:style>
    </dsp:sp>
    <dsp:sp modelId="{FFB0B8BE-D094-4301-99B8-63DA69888BD0}">
      <dsp:nvSpPr>
        <dsp:cNvPr id="0" name=""/>
        <dsp:cNvSpPr/>
      </dsp:nvSpPr>
      <dsp:spPr>
        <a:xfrm>
          <a:off x="64675" y="867009"/>
          <a:ext cx="1054446" cy="1260005"/>
        </a:xfrm>
        <a:prstGeom prst="roundRect">
          <a:avLst/>
        </a:prstGeom>
        <a:solidFill>
          <a:schemeClr val="lt1">
            <a:hueOff val="0"/>
            <a:satOff val="0"/>
            <a:lumOff val="0"/>
            <a:alphaOff val="0"/>
          </a:schemeClr>
        </a:solidFill>
        <a:ln w="12700" cap="flat" cmpd="sng" algn="ctr">
          <a:solidFill>
            <a:srgbClr val="35818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Step 1:</a:t>
          </a:r>
        </a:p>
        <a:p>
          <a:pPr marL="0" lvl="0" indent="0" algn="l" defTabSz="444500">
            <a:lnSpc>
              <a:spcPct val="90000"/>
            </a:lnSpc>
            <a:spcBef>
              <a:spcPct val="0"/>
            </a:spcBef>
            <a:spcAft>
              <a:spcPct val="35000"/>
            </a:spcAft>
            <a:buNone/>
          </a:pPr>
          <a:r>
            <a:rPr lang="en-AU" sz="1000" kern="1200" dirty="0">
              <a:latin typeface="Arial" panose="020B0604020202020204" pitchFamily="34" charset="0"/>
              <a:cs typeface="Arial" panose="020B0604020202020204" pitchFamily="34" charset="0"/>
            </a:rPr>
            <a:t>PL application submitted via HPP</a:t>
          </a:r>
        </a:p>
        <a:p>
          <a:pPr marL="0" lvl="0" indent="0" algn="l" defTabSz="444500">
            <a:lnSpc>
              <a:spcPct val="90000"/>
            </a:lnSpc>
            <a:spcBef>
              <a:spcPct val="0"/>
            </a:spcBef>
            <a:spcAft>
              <a:spcPct val="35000"/>
            </a:spcAft>
            <a:buNone/>
          </a:pPr>
          <a:r>
            <a:rPr lang="en-AU" sz="1000" kern="1200" dirty="0">
              <a:latin typeface="Arial" panose="020B0604020202020204" pitchFamily="34" charset="0"/>
              <a:cs typeface="Arial" panose="020B0604020202020204" pitchFamily="34" charset="0"/>
            </a:rPr>
            <a:t>(Sponsor)</a:t>
          </a:r>
        </a:p>
        <a:p>
          <a:pPr marL="0" lvl="0" indent="0" algn="l" defTabSz="444500">
            <a:lnSpc>
              <a:spcPct val="90000"/>
            </a:lnSpc>
            <a:spcBef>
              <a:spcPct val="0"/>
            </a:spcBef>
            <a:spcAft>
              <a:spcPct val="35000"/>
            </a:spcAft>
            <a:buNone/>
          </a:pPr>
          <a:endParaRPr lang="en-AU" sz="1000" kern="1200">
            <a:latin typeface="Arial" panose="020B0604020202020204" pitchFamily="34" charset="0"/>
            <a:cs typeface="Arial" panose="020B0604020202020204" pitchFamily="34" charset="0"/>
          </a:endParaRPr>
        </a:p>
      </dsp:txBody>
      <dsp:txXfrm>
        <a:off x="116149" y="918483"/>
        <a:ext cx="951498" cy="1157057"/>
      </dsp:txXfrm>
    </dsp:sp>
    <dsp:sp modelId="{83C1438F-74CF-4882-A4F5-4E0A65835E66}">
      <dsp:nvSpPr>
        <dsp:cNvPr id="0" name=""/>
        <dsp:cNvSpPr/>
      </dsp:nvSpPr>
      <dsp:spPr>
        <a:xfrm>
          <a:off x="1149275" y="884878"/>
          <a:ext cx="979116" cy="1260005"/>
        </a:xfrm>
        <a:prstGeom prst="roundRect">
          <a:avLst/>
        </a:prstGeom>
        <a:solidFill>
          <a:schemeClr val="lt1">
            <a:hueOff val="0"/>
            <a:satOff val="0"/>
            <a:lumOff val="0"/>
            <a:alphaOff val="0"/>
          </a:schemeClr>
        </a:solidFill>
        <a:ln w="12700" cap="flat" cmpd="sng" algn="ctr">
          <a:solidFill>
            <a:srgbClr val="35818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38100" rIns="0" bIns="38100" numCol="1" spcCol="1270" anchor="t" anchorCtr="0">
          <a:noAutofit/>
        </a:bodyPr>
        <a:lstStyle/>
        <a:p>
          <a:pPr marL="0" lvl="0" indent="0" algn="l"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Step 2:</a:t>
          </a:r>
        </a:p>
        <a:p>
          <a:pPr marL="0" lvl="0" indent="0" algn="l"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Triage assessment of the application</a:t>
          </a:r>
        </a:p>
        <a:p>
          <a:pPr marL="0" lvl="0" indent="0" algn="l" defTabSz="444500">
            <a:lnSpc>
              <a:spcPct val="90000"/>
            </a:lnSpc>
            <a:spcBef>
              <a:spcPct val="0"/>
            </a:spcBef>
            <a:spcAft>
              <a:spcPct val="35000"/>
            </a:spcAft>
            <a:buNone/>
          </a:pPr>
          <a:r>
            <a:rPr lang="en-AU" sz="1000" kern="1200" spc="-70" baseline="0">
              <a:latin typeface="Arial" panose="020B0604020202020204" pitchFamily="34" charset="0"/>
              <a:cs typeface="Arial" panose="020B0604020202020204" pitchFamily="34" charset="0"/>
            </a:rPr>
            <a:t>(Department)</a:t>
          </a:r>
        </a:p>
      </dsp:txBody>
      <dsp:txXfrm>
        <a:off x="1197072" y="932675"/>
        <a:ext cx="883522" cy="1164411"/>
      </dsp:txXfrm>
    </dsp:sp>
    <dsp:sp modelId="{29A07469-42F5-4A49-BF16-05B3C19E72B3}">
      <dsp:nvSpPr>
        <dsp:cNvPr id="0" name=""/>
        <dsp:cNvSpPr/>
      </dsp:nvSpPr>
      <dsp:spPr>
        <a:xfrm>
          <a:off x="2164631" y="902758"/>
          <a:ext cx="979116" cy="1260005"/>
        </a:xfrm>
        <a:prstGeom prst="roundRect">
          <a:avLst/>
        </a:prstGeom>
        <a:solidFill>
          <a:schemeClr val="lt1">
            <a:hueOff val="0"/>
            <a:satOff val="0"/>
            <a:lumOff val="0"/>
            <a:alphaOff val="0"/>
          </a:schemeClr>
        </a:solidFill>
        <a:ln w="12700" cap="flat" cmpd="sng" algn="ctr">
          <a:solidFill>
            <a:srgbClr val="35818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0" bIns="38100" numCol="1" spcCol="1270" anchor="t" anchorCtr="0">
          <a:noAutofit/>
        </a:bodyPr>
        <a:lstStyle/>
        <a:p>
          <a:pPr marL="0" lvl="0" indent="0" algn="l"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Step 3:</a:t>
          </a:r>
        </a:p>
        <a:p>
          <a:pPr marL="0" lvl="0" indent="0" algn="l" defTabSz="444500">
            <a:lnSpc>
              <a:spcPct val="90000"/>
            </a:lnSpc>
            <a:spcBef>
              <a:spcPct val="0"/>
            </a:spcBef>
            <a:spcAft>
              <a:spcPct val="35000"/>
            </a:spcAft>
            <a:buNone/>
          </a:pPr>
          <a:r>
            <a:rPr lang="en-AU" sz="1000" b="0" kern="1200">
              <a:latin typeface="Arial" panose="020B0604020202020204" pitchFamily="34" charset="0"/>
              <a:cs typeface="Arial" panose="020B0604020202020204" pitchFamily="34" charset="0"/>
            </a:rPr>
            <a:t>Full</a:t>
          </a:r>
          <a:r>
            <a:rPr lang="en-AU" sz="1000" kern="1200">
              <a:latin typeface="Arial" panose="020B0604020202020204" pitchFamily="34" charset="0"/>
              <a:cs typeface="Arial" panose="020B0604020202020204" pitchFamily="34" charset="0"/>
            </a:rPr>
            <a:t> HTA comparative clinical and cost-effectiveness</a:t>
          </a:r>
        </a:p>
        <a:p>
          <a:pPr marL="0" lvl="0" indent="0" algn="l"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(MSAC) </a:t>
          </a:r>
        </a:p>
      </dsp:txBody>
      <dsp:txXfrm>
        <a:off x="2212428" y="950555"/>
        <a:ext cx="883522" cy="1164411"/>
      </dsp:txXfrm>
    </dsp:sp>
    <dsp:sp modelId="{0F304BB9-5FAA-4A9F-9B14-1FE006C63B06}">
      <dsp:nvSpPr>
        <dsp:cNvPr id="0" name=""/>
        <dsp:cNvSpPr/>
      </dsp:nvSpPr>
      <dsp:spPr>
        <a:xfrm>
          <a:off x="3179349" y="902770"/>
          <a:ext cx="902193" cy="1260005"/>
        </a:xfrm>
        <a:prstGeom prst="roundRect">
          <a:avLst/>
        </a:prstGeom>
        <a:solidFill>
          <a:schemeClr val="lt1">
            <a:hueOff val="0"/>
            <a:satOff val="0"/>
            <a:lumOff val="0"/>
            <a:alphaOff val="0"/>
          </a:schemeClr>
        </a:solidFill>
        <a:ln w="12700" cap="flat" cmpd="sng" algn="ctr">
          <a:solidFill>
            <a:srgbClr val="35818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34290" numCol="1" spcCol="1270" anchor="t" anchorCtr="0">
          <a:noAutofit/>
        </a:bodyPr>
        <a:lstStyle/>
        <a:p>
          <a:pPr marL="0" lvl="0" indent="0" algn="l" defTabSz="400050">
            <a:lnSpc>
              <a:spcPct val="90000"/>
            </a:lnSpc>
            <a:spcBef>
              <a:spcPct val="0"/>
            </a:spcBef>
            <a:spcAft>
              <a:spcPts val="0"/>
            </a:spcAft>
            <a:buNone/>
          </a:pPr>
          <a:r>
            <a:rPr lang="en-AU" sz="900" b="1" kern="1200">
              <a:latin typeface="Arial" panose="020B0604020202020204" pitchFamily="34" charset="0"/>
              <a:cs typeface="Arial" panose="020B0604020202020204" pitchFamily="34" charset="0"/>
            </a:rPr>
            <a:t>Step 4: </a:t>
          </a:r>
        </a:p>
        <a:p>
          <a:pPr marL="0" lvl="0" indent="0" algn="l" defTabSz="400050">
            <a:lnSpc>
              <a:spcPct val="90000"/>
            </a:lnSpc>
            <a:spcBef>
              <a:spcPct val="0"/>
            </a:spcBef>
            <a:spcAft>
              <a:spcPts val="0"/>
            </a:spcAft>
            <a:buNone/>
          </a:pPr>
          <a:endParaRPr lang="en-AU" sz="400" b="1" kern="1200">
            <a:latin typeface="Arial" panose="020B0604020202020204" pitchFamily="34" charset="0"/>
            <a:cs typeface="Arial" panose="020B0604020202020204" pitchFamily="34" charset="0"/>
          </a:endParaRPr>
        </a:p>
        <a:p>
          <a:pPr marL="0" lvl="0" indent="0" algn="l" defTabSz="400050">
            <a:lnSpc>
              <a:spcPct val="90000"/>
            </a:lnSpc>
            <a:spcBef>
              <a:spcPct val="0"/>
            </a:spcBef>
            <a:spcAft>
              <a:spcPts val="0"/>
            </a:spcAft>
            <a:buNone/>
          </a:pPr>
          <a:r>
            <a:rPr lang="en-AU" sz="1000" b="0" kern="1200" spc="-40" baseline="0">
              <a:latin typeface="Arial" panose="020B0604020202020204" pitchFamily="34" charset="0"/>
              <a:cs typeface="Arial" panose="020B0604020202020204" pitchFamily="34" charset="0"/>
            </a:rPr>
            <a:t>Advisory committee</a:t>
          </a:r>
          <a:r>
            <a:rPr lang="en-AU" sz="900" kern="1200" spc="-40" baseline="0">
              <a:latin typeface="Arial" panose="020B0604020202020204" pitchFamily="34" charset="0"/>
              <a:cs typeface="Arial" panose="020B0604020202020204" pitchFamily="34" charset="0"/>
            </a:rPr>
            <a:t> </a:t>
          </a:r>
          <a:br>
            <a:rPr lang="en-AU" sz="900" kern="1200" spc="-40" baseline="0">
              <a:latin typeface="Arial" panose="020B0604020202020204" pitchFamily="34" charset="0"/>
              <a:cs typeface="Arial" panose="020B0604020202020204" pitchFamily="34" charset="0"/>
            </a:rPr>
          </a:br>
          <a:r>
            <a:rPr lang="en-AU" sz="1000" kern="1200" spc="-60" baseline="0">
              <a:latin typeface="Arial" panose="020B0604020202020204" pitchFamily="34" charset="0"/>
              <a:cs typeface="Arial" panose="020B0604020202020204" pitchFamily="34" charset="0"/>
            </a:rPr>
            <a:t>provides advice </a:t>
          </a:r>
        </a:p>
        <a:p>
          <a:pPr marL="0" lvl="0" indent="0" algn="l" defTabSz="400050">
            <a:lnSpc>
              <a:spcPct val="90000"/>
            </a:lnSpc>
            <a:spcBef>
              <a:spcPct val="0"/>
            </a:spcBef>
            <a:spcAft>
              <a:spcPts val="0"/>
            </a:spcAft>
            <a:buNone/>
          </a:pPr>
          <a:r>
            <a:rPr lang="en-AU" sz="1000" kern="1200" spc="-40" baseline="0">
              <a:latin typeface="Arial" panose="020B0604020202020204" pitchFamily="34" charset="0"/>
              <a:cs typeface="Arial" panose="020B0604020202020204" pitchFamily="34" charset="0"/>
            </a:rPr>
            <a:t>on the funding</a:t>
          </a:r>
          <a:br>
            <a:rPr lang="en-AU" sz="1000" kern="1200" spc="-40" baseline="0">
              <a:latin typeface="Arial" panose="020B0604020202020204" pitchFamily="34" charset="0"/>
              <a:cs typeface="Arial" panose="020B0604020202020204" pitchFamily="34" charset="0"/>
            </a:rPr>
          </a:br>
          <a:endParaRPr lang="en-AU" sz="1000" kern="1200" spc="-40" baseline="0">
            <a:latin typeface="Arial" panose="020B0604020202020204" pitchFamily="34" charset="0"/>
            <a:cs typeface="Arial" panose="020B0604020202020204" pitchFamily="34" charset="0"/>
          </a:endParaRPr>
        </a:p>
        <a:p>
          <a:pPr marL="0" lvl="0" indent="0" algn="l" defTabSz="400050">
            <a:lnSpc>
              <a:spcPct val="90000"/>
            </a:lnSpc>
            <a:spcBef>
              <a:spcPct val="0"/>
            </a:spcBef>
            <a:spcAft>
              <a:spcPct val="35000"/>
            </a:spcAft>
            <a:buNone/>
          </a:pPr>
          <a:r>
            <a:rPr lang="en-AU" sz="1000" kern="1200" spc="-40" baseline="0">
              <a:latin typeface="Arial" panose="020B0604020202020204" pitchFamily="34" charset="0"/>
              <a:cs typeface="Arial" panose="020B0604020202020204" pitchFamily="34" charset="0"/>
            </a:rPr>
            <a:t>(MSAC) **</a:t>
          </a:r>
        </a:p>
      </dsp:txBody>
      <dsp:txXfrm>
        <a:off x="3223390" y="946811"/>
        <a:ext cx="814111" cy="1171923"/>
      </dsp:txXfrm>
    </dsp:sp>
    <dsp:sp modelId="{FA039D72-F04E-4736-8AA3-350C774F1CE1}">
      <dsp:nvSpPr>
        <dsp:cNvPr id="0" name=""/>
        <dsp:cNvSpPr/>
      </dsp:nvSpPr>
      <dsp:spPr>
        <a:xfrm>
          <a:off x="4111715" y="902770"/>
          <a:ext cx="1038736" cy="1260005"/>
        </a:xfrm>
        <a:prstGeom prst="roundRect">
          <a:avLst/>
        </a:prstGeom>
        <a:solidFill>
          <a:schemeClr val="lt1">
            <a:hueOff val="0"/>
            <a:satOff val="0"/>
            <a:lumOff val="0"/>
            <a:alphaOff val="0"/>
          </a:schemeClr>
        </a:solidFill>
        <a:ln w="12700" cap="flat" cmpd="sng" algn="ctr">
          <a:solidFill>
            <a:srgbClr val="35818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8100" rIns="0" bIns="38100" numCol="1" spcCol="1270" anchor="t" anchorCtr="0">
          <a:noAutofit/>
        </a:bodyPr>
        <a:lstStyle/>
        <a:p>
          <a:pPr marL="0" lvl="0" indent="0" algn="l"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Step 5:</a:t>
          </a:r>
        </a:p>
        <a:p>
          <a:pPr marL="0" lvl="0" indent="0" algn="l" defTabSz="444500">
            <a:lnSpc>
              <a:spcPct val="90000"/>
            </a:lnSpc>
            <a:spcBef>
              <a:spcPct val="0"/>
            </a:spcBef>
            <a:spcAft>
              <a:spcPct val="35000"/>
            </a:spcAft>
            <a:buNone/>
          </a:pPr>
          <a:r>
            <a:rPr lang="en-AU" sz="950" kern="1200" spc="-70" baseline="0">
              <a:latin typeface="Arial" panose="020B0604020202020204" pitchFamily="34" charset="0"/>
              <a:cs typeface="Arial" panose="020B0604020202020204" pitchFamily="34" charset="0"/>
            </a:rPr>
            <a:t>Recommendation</a:t>
          </a:r>
          <a:r>
            <a:rPr lang="en-AU" sz="1000" kern="1200">
              <a:latin typeface="Arial" panose="020B0604020202020204" pitchFamily="34" charset="0"/>
              <a:cs typeface="Arial" panose="020B0604020202020204" pitchFamily="34" charset="0"/>
            </a:rPr>
            <a:t> is made to Minister or Delegate</a:t>
          </a:r>
        </a:p>
        <a:p>
          <a:pPr marL="0" lvl="0" indent="0" algn="l"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(Department)</a:t>
          </a:r>
        </a:p>
      </dsp:txBody>
      <dsp:txXfrm>
        <a:off x="4162422" y="953477"/>
        <a:ext cx="937322" cy="1158591"/>
      </dsp:txXfrm>
    </dsp:sp>
    <dsp:sp modelId="{98C1AE57-C027-419A-8865-085671F3F45A}">
      <dsp:nvSpPr>
        <dsp:cNvPr id="0" name=""/>
        <dsp:cNvSpPr/>
      </dsp:nvSpPr>
      <dsp:spPr>
        <a:xfrm>
          <a:off x="5184681" y="912279"/>
          <a:ext cx="979116" cy="1260005"/>
        </a:xfrm>
        <a:prstGeom prst="roundRect">
          <a:avLst/>
        </a:prstGeom>
        <a:solidFill>
          <a:schemeClr val="lt1">
            <a:hueOff val="0"/>
            <a:satOff val="0"/>
            <a:lumOff val="0"/>
            <a:alphaOff val="0"/>
          </a:schemeClr>
        </a:solidFill>
        <a:ln w="12700" cap="flat" cmpd="sng" algn="ctr">
          <a:solidFill>
            <a:srgbClr val="35818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0" bIns="38100" numCol="1" spcCol="1270" anchor="t" anchorCtr="0">
          <a:noAutofit/>
        </a:bodyPr>
        <a:lstStyle/>
        <a:p>
          <a:pPr marL="0" lvl="0" indent="0" algn="l" defTabSz="444500">
            <a:lnSpc>
              <a:spcPct val="90000"/>
            </a:lnSpc>
            <a:spcBef>
              <a:spcPct val="0"/>
            </a:spcBef>
            <a:spcAft>
              <a:spcPct val="35000"/>
            </a:spcAft>
            <a:buNone/>
          </a:pPr>
          <a:r>
            <a:rPr lang="en-US" sz="1000" b="1" kern="1200" dirty="0">
              <a:latin typeface="Arial" panose="020B0604020202020204" pitchFamily="34" charset="0"/>
              <a:cs typeface="Arial" panose="020B0604020202020204" pitchFamily="34" charset="0"/>
            </a:rPr>
            <a:t>Step 6: </a:t>
          </a:r>
        </a:p>
        <a:p>
          <a:pPr marL="0" lvl="0" indent="0" algn="l" defTabSz="444500">
            <a:lnSpc>
              <a:spcPct val="90000"/>
            </a:lnSpc>
            <a:spcBef>
              <a:spcPct val="0"/>
            </a:spcBef>
            <a:spcAft>
              <a:spcPct val="35000"/>
            </a:spcAft>
            <a:buNone/>
          </a:pPr>
          <a:r>
            <a:rPr lang="en-US" sz="1000" kern="1200" dirty="0">
              <a:latin typeface="Arial" panose="020B0604020202020204" pitchFamily="34" charset="0"/>
              <a:cs typeface="Arial" panose="020B0604020202020204" pitchFamily="34" charset="0"/>
            </a:rPr>
            <a:t>If approved by the Delegate, the device is listed on the PL </a:t>
          </a:r>
        </a:p>
        <a:p>
          <a:pPr marL="0" lvl="0" indent="0" algn="l" defTabSz="444500">
            <a:lnSpc>
              <a:spcPct val="90000"/>
            </a:lnSpc>
            <a:spcBef>
              <a:spcPct val="0"/>
            </a:spcBef>
            <a:spcAft>
              <a:spcPct val="35000"/>
            </a:spcAft>
            <a:buNone/>
          </a:pPr>
          <a:r>
            <a:rPr lang="en-US" sz="1000" kern="1200" spc="-50" baseline="0" dirty="0">
              <a:latin typeface="Arial" panose="020B0604020202020204" pitchFamily="34" charset="0"/>
              <a:cs typeface="Arial" panose="020B0604020202020204" pitchFamily="34" charset="0"/>
            </a:rPr>
            <a:t>(Department) </a:t>
          </a:r>
          <a:endParaRPr lang="en-AU" sz="1000" kern="1200" spc="-50" baseline="0">
            <a:latin typeface="Arial" panose="020B0604020202020204" pitchFamily="34" charset="0"/>
            <a:cs typeface="Arial" panose="020B0604020202020204" pitchFamily="34" charset="0"/>
          </a:endParaRPr>
        </a:p>
      </dsp:txBody>
      <dsp:txXfrm>
        <a:off x="5232478" y="960076"/>
        <a:ext cx="883522" cy="1164411"/>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1A767-3CE0-4FFC-85CD-A3A6E097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 of Health - Short document template.dotx</Template>
  <TotalTime>57</TotalTime>
  <Pages>16</Pages>
  <Words>4780</Words>
  <Characters>27246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CHILDS, Nicola</dc:creator>
  <cp:keywords/>
  <dc:description/>
  <cp:lastModifiedBy>DENT, Mercedes</cp:lastModifiedBy>
  <cp:revision>7</cp:revision>
  <dcterms:created xsi:type="dcterms:W3CDTF">2022-01-07T03:50:00Z</dcterms:created>
  <dcterms:modified xsi:type="dcterms:W3CDTF">2022-01-07T06:01:00Z</dcterms:modified>
</cp:coreProperties>
</file>