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42D9" w14:textId="1C8DC595" w:rsidR="00A25AC5" w:rsidRDefault="009C0B9B" w:rsidP="00BB2E8D">
      <w:pPr>
        <w:pStyle w:val="Title"/>
        <w:spacing w:before="1920"/>
        <w:jc w:val="center"/>
        <w:rPr>
          <w:szCs w:val="48"/>
        </w:rPr>
      </w:pPr>
      <w:r w:rsidRPr="00AD7202">
        <w:rPr>
          <w:szCs w:val="48"/>
        </w:rPr>
        <w:t>National Strategy for Organ Donation, Retrieval and Transplantation</w:t>
      </w:r>
    </w:p>
    <w:p w14:paraId="4864E134" w14:textId="77777777" w:rsidR="007F5564" w:rsidRDefault="007F5564" w:rsidP="007F5564">
      <w:pPr>
        <w:jc w:val="center"/>
        <w:rPr>
          <w:rFonts w:ascii="Arial" w:eastAsiaTheme="majorEastAsia" w:hAnsi="Arial" w:cs="Arial"/>
          <w:color w:val="002060"/>
          <w:sz w:val="36"/>
          <w:szCs w:val="36"/>
          <w:lang w:eastAsia="en-AU"/>
        </w:rPr>
      </w:pPr>
    </w:p>
    <w:p w14:paraId="15EA987B" w14:textId="240AE44F" w:rsidR="007F5564" w:rsidRPr="007F6185" w:rsidRDefault="007F5564" w:rsidP="007F5564">
      <w:pPr>
        <w:jc w:val="center"/>
        <w:rPr>
          <w:rStyle w:val="Hyperlink"/>
          <w:rFonts w:ascii="Arial" w:hAnsi="Arial" w:cs="Arial"/>
          <w:color w:val="002060"/>
          <w:sz w:val="36"/>
          <w:szCs w:val="36"/>
          <w:u w:val="none"/>
          <w:lang w:eastAsia="en-AU"/>
        </w:rPr>
      </w:pPr>
      <w:r w:rsidRPr="007F6185">
        <w:rPr>
          <w:rFonts w:ascii="Arial" w:eastAsiaTheme="majorEastAsia" w:hAnsi="Arial" w:cs="Arial"/>
          <w:color w:val="002060"/>
          <w:sz w:val="36"/>
          <w:szCs w:val="36"/>
          <w:lang w:eastAsia="en-AU"/>
        </w:rPr>
        <w:t xml:space="preserve">In response to the </w:t>
      </w:r>
      <w:hyperlink r:id="rId8" w:history="1">
        <w:r w:rsidRPr="007F6185">
          <w:rPr>
            <w:rStyle w:val="Hyperlink"/>
            <w:rFonts w:ascii="Arial" w:hAnsi="Arial" w:cs="Arial"/>
            <w:i/>
            <w:color w:val="002060"/>
            <w:sz w:val="36"/>
            <w:szCs w:val="36"/>
            <w:u w:val="none"/>
            <w:lang w:eastAsia="en-AU"/>
          </w:rPr>
          <w:t>Review of the Australian organ donation, retrieval and transplantation system</w:t>
        </w:r>
        <w:r w:rsidRPr="007F6185">
          <w:rPr>
            <w:rStyle w:val="Hyperlink"/>
            <w:rFonts w:ascii="Arial" w:hAnsi="Arial" w:cs="Arial"/>
            <w:color w:val="002060"/>
            <w:sz w:val="36"/>
            <w:szCs w:val="36"/>
            <w:u w:val="none"/>
            <w:lang w:eastAsia="en-AU"/>
          </w:rPr>
          <w:t xml:space="preserve"> </w:t>
        </w:r>
      </w:hyperlink>
      <w:r w:rsidRPr="007F6185">
        <w:rPr>
          <w:rStyle w:val="Hyperlink"/>
          <w:rFonts w:ascii="Arial" w:hAnsi="Arial" w:cs="Arial"/>
          <w:color w:val="002060"/>
          <w:sz w:val="36"/>
          <w:szCs w:val="36"/>
          <w:u w:val="none"/>
          <w:lang w:eastAsia="en-AU"/>
        </w:rPr>
        <w:t xml:space="preserve">and progressed in conjunction with the </w:t>
      </w:r>
      <w:r w:rsidRPr="007F6185">
        <w:rPr>
          <w:rFonts w:ascii="Arial" w:hAnsi="Arial" w:cs="Arial"/>
          <w:i/>
          <w:iCs/>
          <w:color w:val="002060"/>
          <w:sz w:val="36"/>
          <w:szCs w:val="36"/>
          <w:lang w:val="en-US" w:eastAsia="en-AU"/>
        </w:rPr>
        <w:t xml:space="preserve">Progressing </w:t>
      </w:r>
      <w:r>
        <w:rPr>
          <w:rFonts w:ascii="Arial" w:hAnsi="Arial" w:cs="Arial"/>
          <w:i/>
          <w:iCs/>
          <w:color w:val="002060"/>
          <w:sz w:val="36"/>
          <w:szCs w:val="36"/>
          <w:lang w:val="en-US" w:eastAsia="en-AU"/>
        </w:rPr>
        <w:t>A</w:t>
      </w:r>
      <w:r w:rsidRPr="007F6185">
        <w:rPr>
          <w:rFonts w:ascii="Arial" w:hAnsi="Arial" w:cs="Arial"/>
          <w:i/>
          <w:iCs/>
          <w:color w:val="002060"/>
          <w:sz w:val="36"/>
          <w:szCs w:val="36"/>
          <w:lang w:val="en-US" w:eastAsia="en-AU"/>
        </w:rPr>
        <w:t xml:space="preserve">ustralian organ and tissue donation </w:t>
      </w:r>
      <w:r>
        <w:rPr>
          <w:rFonts w:ascii="Arial" w:hAnsi="Arial" w:cs="Arial"/>
          <w:i/>
          <w:iCs/>
          <w:color w:val="002060"/>
          <w:sz w:val="36"/>
          <w:szCs w:val="36"/>
          <w:lang w:val="en-US" w:eastAsia="en-AU"/>
        </w:rPr>
        <w:t xml:space="preserve">and </w:t>
      </w:r>
      <w:r w:rsidRPr="007F6185">
        <w:rPr>
          <w:rFonts w:ascii="Arial" w:hAnsi="Arial" w:cs="Arial"/>
          <w:i/>
          <w:iCs/>
          <w:color w:val="002060"/>
          <w:sz w:val="36"/>
          <w:szCs w:val="36"/>
          <w:lang w:val="en-US" w:eastAsia="en-AU"/>
        </w:rPr>
        <w:t xml:space="preserve">transplantation </w:t>
      </w:r>
      <w:r>
        <w:rPr>
          <w:rFonts w:ascii="Arial" w:hAnsi="Arial" w:cs="Arial"/>
          <w:i/>
          <w:iCs/>
          <w:color w:val="002060"/>
          <w:sz w:val="36"/>
          <w:szCs w:val="36"/>
          <w:lang w:val="en-US" w:eastAsia="en-AU"/>
        </w:rPr>
        <w:t xml:space="preserve">to 2025 </w:t>
      </w:r>
      <w:r w:rsidRPr="007F6185">
        <w:rPr>
          <w:rFonts w:ascii="Arial" w:hAnsi="Arial" w:cs="Arial"/>
          <w:i/>
          <w:iCs/>
          <w:color w:val="002060"/>
          <w:sz w:val="36"/>
          <w:szCs w:val="36"/>
          <w:lang w:val="en-US" w:eastAsia="en-AU"/>
        </w:rPr>
        <w:t>Strategic Plan</w:t>
      </w:r>
    </w:p>
    <w:p w14:paraId="05E1A9EB" w14:textId="50E55E2D" w:rsidR="007F5564" w:rsidRDefault="007F5564">
      <w:r>
        <w:br w:type="page"/>
      </w:r>
    </w:p>
    <w:bookmarkStart w:id="0" w:name="_Toc65766014" w:displacedByCustomXml="next"/>
    <w:bookmarkStart w:id="1" w:name="_Toc51921120" w:displacedByCustomXml="next"/>
    <w:bookmarkStart w:id="2" w:name="_Toc60738067" w:displacedByCustomXml="next"/>
    <w:bookmarkStart w:id="3" w:name="_Toc62211687" w:displacedByCustomXml="next"/>
    <w:sdt>
      <w:sdtPr>
        <w:rPr>
          <w:rFonts w:asciiTheme="minorHAnsi" w:eastAsiaTheme="minorEastAsia" w:hAnsiTheme="minorHAnsi" w:cstheme="minorBidi"/>
          <w:szCs w:val="22"/>
        </w:rPr>
        <w:id w:val="234593225"/>
        <w:docPartObj>
          <w:docPartGallery w:val="Table of Contents"/>
          <w:docPartUnique/>
        </w:docPartObj>
      </w:sdtPr>
      <w:sdtEndPr>
        <w:rPr>
          <w:rFonts w:cstheme="minorHAnsi"/>
          <w:b/>
          <w:bCs/>
          <w:noProof/>
          <w:sz w:val="18"/>
        </w:rPr>
      </w:sdtEndPr>
      <w:sdtContent>
        <w:p w14:paraId="0E02E6EB" w14:textId="77777777" w:rsidR="00921F16" w:rsidRDefault="009C0B9B">
          <w:pPr>
            <w:pStyle w:val="TOC1"/>
            <w:rPr>
              <w:noProof/>
            </w:rPr>
          </w:pPr>
          <w:r w:rsidRPr="00A637BB">
            <w:rPr>
              <w:rStyle w:val="Heading1Char"/>
            </w:rPr>
            <w:t>Contents</w:t>
          </w:r>
          <w:bookmarkEnd w:id="3"/>
          <w:bookmarkEnd w:id="2"/>
          <w:bookmarkEnd w:id="1"/>
          <w:bookmarkEnd w:id="0"/>
          <w:r w:rsidRPr="002F4273">
            <w:rPr>
              <w:rFonts w:asciiTheme="minorHAnsi" w:eastAsiaTheme="majorEastAsia" w:hAnsiTheme="minorHAnsi" w:cstheme="minorHAnsi"/>
              <w:color w:val="006666"/>
              <w:szCs w:val="22"/>
            </w:rPr>
            <w:fldChar w:fldCharType="begin"/>
          </w:r>
          <w:r w:rsidRPr="002F4273">
            <w:rPr>
              <w:rFonts w:asciiTheme="minorHAnsi" w:hAnsiTheme="minorHAnsi" w:cstheme="minorHAnsi"/>
              <w:szCs w:val="22"/>
            </w:rPr>
            <w:instrText xml:space="preserve"> TOC \o "1-3" \h \z \u </w:instrText>
          </w:r>
          <w:r w:rsidRPr="002F4273">
            <w:rPr>
              <w:rFonts w:asciiTheme="minorHAnsi" w:eastAsiaTheme="majorEastAsia" w:hAnsiTheme="minorHAnsi" w:cstheme="minorHAnsi"/>
              <w:color w:val="006666"/>
              <w:szCs w:val="22"/>
            </w:rPr>
            <w:fldChar w:fldCharType="separate"/>
          </w:r>
        </w:p>
        <w:p w14:paraId="20617EFE" w14:textId="770A55D1" w:rsidR="00921F16" w:rsidRDefault="005E2BD1">
          <w:pPr>
            <w:pStyle w:val="TOC1"/>
            <w:rPr>
              <w:rFonts w:asciiTheme="minorHAnsi" w:eastAsiaTheme="minorEastAsia" w:hAnsiTheme="minorHAnsi" w:cstheme="minorBidi"/>
              <w:noProof/>
              <w:szCs w:val="22"/>
              <w:lang w:eastAsia="en-AU"/>
            </w:rPr>
          </w:pPr>
          <w:hyperlink w:anchor="_Toc102482504" w:history="1">
            <w:r w:rsidR="00921F16" w:rsidRPr="002466DE">
              <w:rPr>
                <w:rStyle w:val="Hyperlink"/>
                <w:noProof/>
                <w:lang w:eastAsia="en-AU"/>
              </w:rPr>
              <w:t>PREAMBLE</w:t>
            </w:r>
            <w:r w:rsidR="00921F16">
              <w:rPr>
                <w:noProof/>
                <w:webHidden/>
              </w:rPr>
              <w:tab/>
            </w:r>
            <w:r w:rsidR="00921F16">
              <w:rPr>
                <w:noProof/>
                <w:webHidden/>
              </w:rPr>
              <w:fldChar w:fldCharType="begin"/>
            </w:r>
            <w:r w:rsidR="00921F16">
              <w:rPr>
                <w:noProof/>
                <w:webHidden/>
              </w:rPr>
              <w:instrText xml:space="preserve"> PAGEREF _Toc102482504 \h </w:instrText>
            </w:r>
            <w:r w:rsidR="00921F16">
              <w:rPr>
                <w:noProof/>
                <w:webHidden/>
              </w:rPr>
            </w:r>
            <w:r w:rsidR="00921F16">
              <w:rPr>
                <w:noProof/>
                <w:webHidden/>
              </w:rPr>
              <w:fldChar w:fldCharType="separate"/>
            </w:r>
            <w:r w:rsidR="00921F16">
              <w:rPr>
                <w:noProof/>
                <w:webHidden/>
              </w:rPr>
              <w:t>2</w:t>
            </w:r>
            <w:r w:rsidR="00921F16">
              <w:rPr>
                <w:noProof/>
                <w:webHidden/>
              </w:rPr>
              <w:fldChar w:fldCharType="end"/>
            </w:r>
          </w:hyperlink>
        </w:p>
        <w:p w14:paraId="5751A3E6" w14:textId="1116734F" w:rsidR="00921F16" w:rsidRDefault="005E2BD1">
          <w:pPr>
            <w:pStyle w:val="TOC1"/>
            <w:rPr>
              <w:rFonts w:asciiTheme="minorHAnsi" w:eastAsiaTheme="minorEastAsia" w:hAnsiTheme="minorHAnsi" w:cstheme="minorBidi"/>
              <w:noProof/>
              <w:szCs w:val="22"/>
              <w:lang w:eastAsia="en-AU"/>
            </w:rPr>
          </w:pPr>
          <w:hyperlink w:anchor="_Toc102482505" w:history="1">
            <w:r w:rsidR="00921F16" w:rsidRPr="002466DE">
              <w:rPr>
                <w:rStyle w:val="Hyperlink"/>
                <w:noProof/>
              </w:rPr>
              <w:t>DEVELOPMENT OF THE STRATEGY</w:t>
            </w:r>
            <w:r w:rsidR="00921F16">
              <w:rPr>
                <w:noProof/>
                <w:webHidden/>
              </w:rPr>
              <w:tab/>
            </w:r>
            <w:r w:rsidR="00921F16">
              <w:rPr>
                <w:noProof/>
                <w:webHidden/>
              </w:rPr>
              <w:fldChar w:fldCharType="begin"/>
            </w:r>
            <w:r w:rsidR="00921F16">
              <w:rPr>
                <w:noProof/>
                <w:webHidden/>
              </w:rPr>
              <w:instrText xml:space="preserve"> PAGEREF _Toc102482505 \h </w:instrText>
            </w:r>
            <w:r w:rsidR="00921F16">
              <w:rPr>
                <w:noProof/>
                <w:webHidden/>
              </w:rPr>
            </w:r>
            <w:r w:rsidR="00921F16">
              <w:rPr>
                <w:noProof/>
                <w:webHidden/>
              </w:rPr>
              <w:fldChar w:fldCharType="separate"/>
            </w:r>
            <w:r w:rsidR="00921F16">
              <w:rPr>
                <w:noProof/>
                <w:webHidden/>
              </w:rPr>
              <w:t>2</w:t>
            </w:r>
            <w:r w:rsidR="00921F16">
              <w:rPr>
                <w:noProof/>
                <w:webHidden/>
              </w:rPr>
              <w:fldChar w:fldCharType="end"/>
            </w:r>
          </w:hyperlink>
        </w:p>
        <w:p w14:paraId="72098F49" w14:textId="39042994"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06" w:history="1">
            <w:r w:rsidR="00921F16" w:rsidRPr="002466DE">
              <w:rPr>
                <w:rStyle w:val="Hyperlink"/>
                <w:noProof/>
              </w:rPr>
              <w:t>Background</w:t>
            </w:r>
            <w:r w:rsidR="00921F16">
              <w:rPr>
                <w:noProof/>
                <w:webHidden/>
              </w:rPr>
              <w:tab/>
            </w:r>
            <w:r w:rsidR="00921F16">
              <w:rPr>
                <w:noProof/>
                <w:webHidden/>
              </w:rPr>
              <w:fldChar w:fldCharType="begin"/>
            </w:r>
            <w:r w:rsidR="00921F16">
              <w:rPr>
                <w:noProof/>
                <w:webHidden/>
              </w:rPr>
              <w:instrText xml:space="preserve"> PAGEREF _Toc102482506 \h </w:instrText>
            </w:r>
            <w:r w:rsidR="00921F16">
              <w:rPr>
                <w:noProof/>
                <w:webHidden/>
              </w:rPr>
            </w:r>
            <w:r w:rsidR="00921F16">
              <w:rPr>
                <w:noProof/>
                <w:webHidden/>
              </w:rPr>
              <w:fldChar w:fldCharType="separate"/>
            </w:r>
            <w:r w:rsidR="00921F16">
              <w:rPr>
                <w:noProof/>
                <w:webHidden/>
              </w:rPr>
              <w:t>2</w:t>
            </w:r>
            <w:r w:rsidR="00921F16">
              <w:rPr>
                <w:noProof/>
                <w:webHidden/>
              </w:rPr>
              <w:fldChar w:fldCharType="end"/>
            </w:r>
          </w:hyperlink>
        </w:p>
        <w:p w14:paraId="73CAD076" w14:textId="00FC0611"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07" w:history="1">
            <w:r w:rsidR="00921F16" w:rsidRPr="002466DE">
              <w:rPr>
                <w:rStyle w:val="Hyperlink"/>
                <w:noProof/>
              </w:rPr>
              <w:t>The Review</w:t>
            </w:r>
            <w:r w:rsidR="00921F16">
              <w:rPr>
                <w:noProof/>
                <w:webHidden/>
              </w:rPr>
              <w:tab/>
            </w:r>
            <w:r w:rsidR="00921F16">
              <w:rPr>
                <w:noProof/>
                <w:webHidden/>
              </w:rPr>
              <w:fldChar w:fldCharType="begin"/>
            </w:r>
            <w:r w:rsidR="00921F16">
              <w:rPr>
                <w:noProof/>
                <w:webHidden/>
              </w:rPr>
              <w:instrText xml:space="preserve"> PAGEREF _Toc102482507 \h </w:instrText>
            </w:r>
            <w:r w:rsidR="00921F16">
              <w:rPr>
                <w:noProof/>
                <w:webHidden/>
              </w:rPr>
            </w:r>
            <w:r w:rsidR="00921F16">
              <w:rPr>
                <w:noProof/>
                <w:webHidden/>
              </w:rPr>
              <w:fldChar w:fldCharType="separate"/>
            </w:r>
            <w:r w:rsidR="00921F16">
              <w:rPr>
                <w:noProof/>
                <w:webHidden/>
              </w:rPr>
              <w:t>2</w:t>
            </w:r>
            <w:r w:rsidR="00921F16">
              <w:rPr>
                <w:noProof/>
                <w:webHidden/>
              </w:rPr>
              <w:fldChar w:fldCharType="end"/>
            </w:r>
          </w:hyperlink>
        </w:p>
        <w:p w14:paraId="46AC4344" w14:textId="7CFB6F74"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08" w:history="1">
            <w:r w:rsidR="00921F16" w:rsidRPr="002466DE">
              <w:rPr>
                <w:rStyle w:val="Hyperlink"/>
                <w:noProof/>
              </w:rPr>
              <w:t>Jurisdictional Organ Donation, Retrieval and Transplantation Steering Committee</w:t>
            </w:r>
            <w:r w:rsidR="00921F16">
              <w:rPr>
                <w:noProof/>
                <w:webHidden/>
              </w:rPr>
              <w:tab/>
            </w:r>
            <w:r w:rsidR="00921F16">
              <w:rPr>
                <w:noProof/>
                <w:webHidden/>
              </w:rPr>
              <w:fldChar w:fldCharType="begin"/>
            </w:r>
            <w:r w:rsidR="00921F16">
              <w:rPr>
                <w:noProof/>
                <w:webHidden/>
              </w:rPr>
              <w:instrText xml:space="preserve"> PAGEREF _Toc102482508 \h </w:instrText>
            </w:r>
            <w:r w:rsidR="00921F16">
              <w:rPr>
                <w:noProof/>
                <w:webHidden/>
              </w:rPr>
            </w:r>
            <w:r w:rsidR="00921F16">
              <w:rPr>
                <w:noProof/>
                <w:webHidden/>
              </w:rPr>
              <w:fldChar w:fldCharType="separate"/>
            </w:r>
            <w:r w:rsidR="00921F16">
              <w:rPr>
                <w:noProof/>
                <w:webHidden/>
              </w:rPr>
              <w:t>3</w:t>
            </w:r>
            <w:r w:rsidR="00921F16">
              <w:rPr>
                <w:noProof/>
                <w:webHidden/>
              </w:rPr>
              <w:fldChar w:fldCharType="end"/>
            </w:r>
          </w:hyperlink>
        </w:p>
        <w:p w14:paraId="599D600B" w14:textId="03C3325B"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09" w:history="1">
            <w:r w:rsidR="00921F16" w:rsidRPr="002466DE">
              <w:rPr>
                <w:rStyle w:val="Hyperlink"/>
                <w:noProof/>
              </w:rPr>
              <w:t>The Eye and Tissue Sector</w:t>
            </w:r>
            <w:r w:rsidR="00921F16">
              <w:rPr>
                <w:noProof/>
                <w:webHidden/>
              </w:rPr>
              <w:tab/>
            </w:r>
            <w:r w:rsidR="00921F16">
              <w:rPr>
                <w:noProof/>
                <w:webHidden/>
              </w:rPr>
              <w:fldChar w:fldCharType="begin"/>
            </w:r>
            <w:r w:rsidR="00921F16">
              <w:rPr>
                <w:noProof/>
                <w:webHidden/>
              </w:rPr>
              <w:instrText xml:space="preserve"> PAGEREF _Toc102482509 \h </w:instrText>
            </w:r>
            <w:r w:rsidR="00921F16">
              <w:rPr>
                <w:noProof/>
                <w:webHidden/>
              </w:rPr>
            </w:r>
            <w:r w:rsidR="00921F16">
              <w:rPr>
                <w:noProof/>
                <w:webHidden/>
              </w:rPr>
              <w:fldChar w:fldCharType="separate"/>
            </w:r>
            <w:r w:rsidR="00921F16">
              <w:rPr>
                <w:noProof/>
                <w:webHidden/>
              </w:rPr>
              <w:t>3</w:t>
            </w:r>
            <w:r w:rsidR="00921F16">
              <w:rPr>
                <w:noProof/>
                <w:webHidden/>
              </w:rPr>
              <w:fldChar w:fldCharType="end"/>
            </w:r>
          </w:hyperlink>
        </w:p>
        <w:p w14:paraId="057A65C2" w14:textId="17039EC3"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0" w:history="1">
            <w:r w:rsidR="00921F16" w:rsidRPr="002466DE">
              <w:rPr>
                <w:rStyle w:val="Hyperlink"/>
                <w:noProof/>
                <w:lang w:eastAsia="en-AU"/>
              </w:rPr>
              <w:t>COVID-19</w:t>
            </w:r>
            <w:r w:rsidR="00921F16">
              <w:rPr>
                <w:noProof/>
                <w:webHidden/>
              </w:rPr>
              <w:tab/>
            </w:r>
            <w:r w:rsidR="00921F16">
              <w:rPr>
                <w:noProof/>
                <w:webHidden/>
              </w:rPr>
              <w:fldChar w:fldCharType="begin"/>
            </w:r>
            <w:r w:rsidR="00921F16">
              <w:rPr>
                <w:noProof/>
                <w:webHidden/>
              </w:rPr>
              <w:instrText xml:space="preserve"> PAGEREF _Toc102482510 \h </w:instrText>
            </w:r>
            <w:r w:rsidR="00921F16">
              <w:rPr>
                <w:noProof/>
                <w:webHidden/>
              </w:rPr>
            </w:r>
            <w:r w:rsidR="00921F16">
              <w:rPr>
                <w:noProof/>
                <w:webHidden/>
              </w:rPr>
              <w:fldChar w:fldCharType="separate"/>
            </w:r>
            <w:r w:rsidR="00921F16">
              <w:rPr>
                <w:noProof/>
                <w:webHidden/>
              </w:rPr>
              <w:t>3</w:t>
            </w:r>
            <w:r w:rsidR="00921F16">
              <w:rPr>
                <w:noProof/>
                <w:webHidden/>
              </w:rPr>
              <w:fldChar w:fldCharType="end"/>
            </w:r>
          </w:hyperlink>
        </w:p>
        <w:p w14:paraId="439E7C33" w14:textId="328A1367"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1" w:history="1">
            <w:r w:rsidR="00921F16" w:rsidRPr="002466DE">
              <w:rPr>
                <w:rStyle w:val="Hyperlink"/>
                <w:noProof/>
              </w:rPr>
              <w:t>Consultation outcomes</w:t>
            </w:r>
            <w:r w:rsidR="00921F16">
              <w:rPr>
                <w:noProof/>
                <w:webHidden/>
              </w:rPr>
              <w:tab/>
            </w:r>
            <w:r w:rsidR="00921F16">
              <w:rPr>
                <w:noProof/>
                <w:webHidden/>
              </w:rPr>
              <w:fldChar w:fldCharType="begin"/>
            </w:r>
            <w:r w:rsidR="00921F16">
              <w:rPr>
                <w:noProof/>
                <w:webHidden/>
              </w:rPr>
              <w:instrText xml:space="preserve"> PAGEREF _Toc102482511 \h </w:instrText>
            </w:r>
            <w:r w:rsidR="00921F16">
              <w:rPr>
                <w:noProof/>
                <w:webHidden/>
              </w:rPr>
            </w:r>
            <w:r w:rsidR="00921F16">
              <w:rPr>
                <w:noProof/>
                <w:webHidden/>
              </w:rPr>
              <w:fldChar w:fldCharType="separate"/>
            </w:r>
            <w:r w:rsidR="00921F16">
              <w:rPr>
                <w:noProof/>
                <w:webHidden/>
              </w:rPr>
              <w:t>3</w:t>
            </w:r>
            <w:r w:rsidR="00921F16">
              <w:rPr>
                <w:noProof/>
                <w:webHidden/>
              </w:rPr>
              <w:fldChar w:fldCharType="end"/>
            </w:r>
          </w:hyperlink>
        </w:p>
        <w:p w14:paraId="320F7743" w14:textId="1C61BBF7"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2" w:history="1">
            <w:r w:rsidR="00921F16" w:rsidRPr="002466DE">
              <w:rPr>
                <w:rStyle w:val="Hyperlink"/>
                <w:noProof/>
                <w:lang w:eastAsia="en-AU"/>
              </w:rPr>
              <w:t>The Strategy</w:t>
            </w:r>
            <w:r w:rsidR="00921F16">
              <w:rPr>
                <w:noProof/>
                <w:webHidden/>
              </w:rPr>
              <w:tab/>
            </w:r>
            <w:r w:rsidR="00921F16">
              <w:rPr>
                <w:noProof/>
                <w:webHidden/>
              </w:rPr>
              <w:fldChar w:fldCharType="begin"/>
            </w:r>
            <w:r w:rsidR="00921F16">
              <w:rPr>
                <w:noProof/>
                <w:webHidden/>
              </w:rPr>
              <w:instrText xml:space="preserve"> PAGEREF _Toc102482512 \h </w:instrText>
            </w:r>
            <w:r w:rsidR="00921F16">
              <w:rPr>
                <w:noProof/>
                <w:webHidden/>
              </w:rPr>
            </w:r>
            <w:r w:rsidR="00921F16">
              <w:rPr>
                <w:noProof/>
                <w:webHidden/>
              </w:rPr>
              <w:fldChar w:fldCharType="separate"/>
            </w:r>
            <w:r w:rsidR="00921F16">
              <w:rPr>
                <w:noProof/>
                <w:webHidden/>
              </w:rPr>
              <w:t>3</w:t>
            </w:r>
            <w:r w:rsidR="00921F16">
              <w:rPr>
                <w:noProof/>
                <w:webHidden/>
              </w:rPr>
              <w:fldChar w:fldCharType="end"/>
            </w:r>
          </w:hyperlink>
        </w:p>
        <w:p w14:paraId="165F0ACD" w14:textId="15B913A3"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3" w:history="1">
            <w:r w:rsidR="00921F16" w:rsidRPr="002466DE">
              <w:rPr>
                <w:rStyle w:val="Hyperlink"/>
                <w:noProof/>
              </w:rPr>
              <w:t>Transition Action Plan</w:t>
            </w:r>
            <w:r w:rsidR="00921F16">
              <w:rPr>
                <w:noProof/>
                <w:webHidden/>
              </w:rPr>
              <w:tab/>
            </w:r>
            <w:r w:rsidR="00921F16">
              <w:rPr>
                <w:noProof/>
                <w:webHidden/>
              </w:rPr>
              <w:fldChar w:fldCharType="begin"/>
            </w:r>
            <w:r w:rsidR="00921F16">
              <w:rPr>
                <w:noProof/>
                <w:webHidden/>
              </w:rPr>
              <w:instrText xml:space="preserve"> PAGEREF _Toc102482513 \h </w:instrText>
            </w:r>
            <w:r w:rsidR="00921F16">
              <w:rPr>
                <w:noProof/>
                <w:webHidden/>
              </w:rPr>
            </w:r>
            <w:r w:rsidR="00921F16">
              <w:rPr>
                <w:noProof/>
                <w:webHidden/>
              </w:rPr>
              <w:fldChar w:fldCharType="separate"/>
            </w:r>
            <w:r w:rsidR="00921F16">
              <w:rPr>
                <w:noProof/>
                <w:webHidden/>
              </w:rPr>
              <w:t>4</w:t>
            </w:r>
            <w:r w:rsidR="00921F16">
              <w:rPr>
                <w:noProof/>
                <w:webHidden/>
              </w:rPr>
              <w:fldChar w:fldCharType="end"/>
            </w:r>
          </w:hyperlink>
        </w:p>
        <w:p w14:paraId="572E1C8F" w14:textId="2841D2E0" w:rsidR="00921F16" w:rsidRDefault="005E2BD1">
          <w:pPr>
            <w:pStyle w:val="TOC1"/>
            <w:rPr>
              <w:rFonts w:asciiTheme="minorHAnsi" w:eastAsiaTheme="minorEastAsia" w:hAnsiTheme="minorHAnsi" w:cstheme="minorBidi"/>
              <w:noProof/>
              <w:szCs w:val="22"/>
              <w:lang w:eastAsia="en-AU"/>
            </w:rPr>
          </w:pPr>
          <w:hyperlink w:anchor="_Toc102482514" w:history="1">
            <w:r w:rsidR="00921F16" w:rsidRPr="002466DE">
              <w:rPr>
                <w:rStyle w:val="Hyperlink"/>
                <w:noProof/>
                <w:lang w:eastAsia="en-AU"/>
              </w:rPr>
              <w:t>DEFINING THE STRATEGY</w:t>
            </w:r>
            <w:r w:rsidR="00921F16">
              <w:rPr>
                <w:noProof/>
                <w:webHidden/>
              </w:rPr>
              <w:tab/>
            </w:r>
            <w:r w:rsidR="00921F16">
              <w:rPr>
                <w:noProof/>
                <w:webHidden/>
              </w:rPr>
              <w:fldChar w:fldCharType="begin"/>
            </w:r>
            <w:r w:rsidR="00921F16">
              <w:rPr>
                <w:noProof/>
                <w:webHidden/>
              </w:rPr>
              <w:instrText xml:space="preserve"> PAGEREF _Toc102482514 \h </w:instrText>
            </w:r>
            <w:r w:rsidR="00921F16">
              <w:rPr>
                <w:noProof/>
                <w:webHidden/>
              </w:rPr>
            </w:r>
            <w:r w:rsidR="00921F16">
              <w:rPr>
                <w:noProof/>
                <w:webHidden/>
              </w:rPr>
              <w:fldChar w:fldCharType="separate"/>
            </w:r>
            <w:r w:rsidR="00921F16">
              <w:rPr>
                <w:noProof/>
                <w:webHidden/>
              </w:rPr>
              <w:t>4</w:t>
            </w:r>
            <w:r w:rsidR="00921F16">
              <w:rPr>
                <w:noProof/>
                <w:webHidden/>
              </w:rPr>
              <w:fldChar w:fldCharType="end"/>
            </w:r>
          </w:hyperlink>
        </w:p>
        <w:p w14:paraId="1F0A7BBC" w14:textId="5DD2841C" w:rsidR="00921F16" w:rsidRDefault="005E2BD1">
          <w:pPr>
            <w:pStyle w:val="TOC1"/>
            <w:rPr>
              <w:rFonts w:asciiTheme="minorHAnsi" w:eastAsiaTheme="minorEastAsia" w:hAnsiTheme="minorHAnsi" w:cstheme="minorBidi"/>
              <w:noProof/>
              <w:szCs w:val="22"/>
              <w:lang w:eastAsia="en-AU"/>
            </w:rPr>
          </w:pPr>
          <w:hyperlink w:anchor="_Toc102482515" w:history="1">
            <w:r w:rsidR="00921F16" w:rsidRPr="002466DE">
              <w:rPr>
                <w:rStyle w:val="Hyperlink"/>
                <w:noProof/>
              </w:rPr>
              <w:t>PRIORITY AREA 1: A national approach to optimise organ donation, retrieval and transplantation</w:t>
            </w:r>
            <w:r w:rsidR="00921F16">
              <w:rPr>
                <w:noProof/>
                <w:webHidden/>
              </w:rPr>
              <w:tab/>
            </w:r>
            <w:r w:rsidR="00921F16">
              <w:rPr>
                <w:noProof/>
                <w:webHidden/>
              </w:rPr>
              <w:fldChar w:fldCharType="begin"/>
            </w:r>
            <w:r w:rsidR="00921F16">
              <w:rPr>
                <w:noProof/>
                <w:webHidden/>
              </w:rPr>
              <w:instrText xml:space="preserve"> PAGEREF _Toc102482515 \h </w:instrText>
            </w:r>
            <w:r w:rsidR="00921F16">
              <w:rPr>
                <w:noProof/>
                <w:webHidden/>
              </w:rPr>
            </w:r>
            <w:r w:rsidR="00921F16">
              <w:rPr>
                <w:noProof/>
                <w:webHidden/>
              </w:rPr>
              <w:fldChar w:fldCharType="separate"/>
            </w:r>
            <w:r w:rsidR="00921F16">
              <w:rPr>
                <w:noProof/>
                <w:webHidden/>
              </w:rPr>
              <w:t>5</w:t>
            </w:r>
            <w:r w:rsidR="00921F16">
              <w:rPr>
                <w:noProof/>
                <w:webHidden/>
              </w:rPr>
              <w:fldChar w:fldCharType="end"/>
            </w:r>
          </w:hyperlink>
        </w:p>
        <w:p w14:paraId="70399058" w14:textId="0E9F2294"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6" w:history="1">
            <w:r w:rsidR="00921F16" w:rsidRPr="002466DE">
              <w:rPr>
                <w:rStyle w:val="Hyperlink"/>
                <w:noProof/>
              </w:rPr>
              <w:t>GOAL: National governance and funding arrangements effectively support Australia’s organ donation, retrieval and transplantation system</w:t>
            </w:r>
            <w:r w:rsidR="00921F16">
              <w:rPr>
                <w:noProof/>
                <w:webHidden/>
              </w:rPr>
              <w:tab/>
            </w:r>
            <w:r w:rsidR="00921F16">
              <w:rPr>
                <w:noProof/>
                <w:webHidden/>
              </w:rPr>
              <w:fldChar w:fldCharType="begin"/>
            </w:r>
            <w:r w:rsidR="00921F16">
              <w:rPr>
                <w:noProof/>
                <w:webHidden/>
              </w:rPr>
              <w:instrText xml:space="preserve"> PAGEREF _Toc102482516 \h </w:instrText>
            </w:r>
            <w:r w:rsidR="00921F16">
              <w:rPr>
                <w:noProof/>
                <w:webHidden/>
              </w:rPr>
            </w:r>
            <w:r w:rsidR="00921F16">
              <w:rPr>
                <w:noProof/>
                <w:webHidden/>
              </w:rPr>
              <w:fldChar w:fldCharType="separate"/>
            </w:r>
            <w:r w:rsidR="00921F16">
              <w:rPr>
                <w:noProof/>
                <w:webHidden/>
              </w:rPr>
              <w:t>5</w:t>
            </w:r>
            <w:r w:rsidR="00921F16">
              <w:rPr>
                <w:noProof/>
                <w:webHidden/>
              </w:rPr>
              <w:fldChar w:fldCharType="end"/>
            </w:r>
          </w:hyperlink>
        </w:p>
        <w:p w14:paraId="6B6370E2" w14:textId="634E5216"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7" w:history="1">
            <w:r w:rsidR="00921F16" w:rsidRPr="002466DE">
              <w:rPr>
                <w:rStyle w:val="Hyperlink"/>
                <w:noProof/>
              </w:rPr>
              <w:t>GOAL: More Australians consent to donation</w:t>
            </w:r>
            <w:r w:rsidR="00921F16">
              <w:rPr>
                <w:noProof/>
                <w:webHidden/>
              </w:rPr>
              <w:tab/>
            </w:r>
            <w:r w:rsidR="00921F16">
              <w:rPr>
                <w:noProof/>
                <w:webHidden/>
              </w:rPr>
              <w:fldChar w:fldCharType="begin"/>
            </w:r>
            <w:r w:rsidR="00921F16">
              <w:rPr>
                <w:noProof/>
                <w:webHidden/>
              </w:rPr>
              <w:instrText xml:space="preserve"> PAGEREF _Toc102482517 \h </w:instrText>
            </w:r>
            <w:r w:rsidR="00921F16">
              <w:rPr>
                <w:noProof/>
                <w:webHidden/>
              </w:rPr>
            </w:r>
            <w:r w:rsidR="00921F16">
              <w:rPr>
                <w:noProof/>
                <w:webHidden/>
              </w:rPr>
              <w:fldChar w:fldCharType="separate"/>
            </w:r>
            <w:r w:rsidR="00921F16">
              <w:rPr>
                <w:noProof/>
                <w:webHidden/>
              </w:rPr>
              <w:t>6</w:t>
            </w:r>
            <w:r w:rsidR="00921F16">
              <w:rPr>
                <w:noProof/>
                <w:webHidden/>
              </w:rPr>
              <w:fldChar w:fldCharType="end"/>
            </w:r>
          </w:hyperlink>
        </w:p>
        <w:p w14:paraId="60EE841D" w14:textId="3CB21982" w:rsidR="00921F16" w:rsidRDefault="005E2BD1">
          <w:pPr>
            <w:pStyle w:val="TOC1"/>
            <w:rPr>
              <w:rFonts w:asciiTheme="minorHAnsi" w:eastAsiaTheme="minorEastAsia" w:hAnsiTheme="minorHAnsi" w:cstheme="minorBidi"/>
              <w:noProof/>
              <w:szCs w:val="22"/>
              <w:lang w:eastAsia="en-AU"/>
            </w:rPr>
          </w:pPr>
          <w:hyperlink w:anchor="_Toc102482518" w:history="1">
            <w:r w:rsidR="00921F16" w:rsidRPr="002466DE">
              <w:rPr>
                <w:rStyle w:val="Hyperlink"/>
                <w:noProof/>
              </w:rPr>
              <w:t>PRIORITY AREA 2: Equitable access for Australians who would benefit from organ transplantation with a focus on Aboriginal and Torres Strait Islander people and those living in rural, regional and remote areas</w:t>
            </w:r>
            <w:r w:rsidR="00921F16">
              <w:rPr>
                <w:noProof/>
                <w:webHidden/>
              </w:rPr>
              <w:tab/>
            </w:r>
            <w:r w:rsidR="00921F16">
              <w:rPr>
                <w:noProof/>
                <w:webHidden/>
              </w:rPr>
              <w:fldChar w:fldCharType="begin"/>
            </w:r>
            <w:r w:rsidR="00921F16">
              <w:rPr>
                <w:noProof/>
                <w:webHidden/>
              </w:rPr>
              <w:instrText xml:space="preserve"> PAGEREF _Toc102482518 \h </w:instrText>
            </w:r>
            <w:r w:rsidR="00921F16">
              <w:rPr>
                <w:noProof/>
                <w:webHidden/>
              </w:rPr>
            </w:r>
            <w:r w:rsidR="00921F16">
              <w:rPr>
                <w:noProof/>
                <w:webHidden/>
              </w:rPr>
              <w:fldChar w:fldCharType="separate"/>
            </w:r>
            <w:r w:rsidR="00921F16">
              <w:rPr>
                <w:noProof/>
                <w:webHidden/>
              </w:rPr>
              <w:t>7</w:t>
            </w:r>
            <w:r w:rsidR="00921F16">
              <w:rPr>
                <w:noProof/>
                <w:webHidden/>
              </w:rPr>
              <w:fldChar w:fldCharType="end"/>
            </w:r>
          </w:hyperlink>
        </w:p>
        <w:p w14:paraId="394F29AC" w14:textId="39951A50"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19" w:history="1">
            <w:r w:rsidR="00921F16" w:rsidRPr="002466DE">
              <w:rPr>
                <w:rStyle w:val="Hyperlink"/>
                <w:noProof/>
              </w:rPr>
              <w:t>GOAL: Policy and programs break down barriers and improve access to transplantation</w:t>
            </w:r>
            <w:r w:rsidR="00921F16">
              <w:rPr>
                <w:noProof/>
                <w:webHidden/>
              </w:rPr>
              <w:tab/>
            </w:r>
            <w:r w:rsidR="00921F16">
              <w:rPr>
                <w:noProof/>
                <w:webHidden/>
              </w:rPr>
              <w:fldChar w:fldCharType="begin"/>
            </w:r>
            <w:r w:rsidR="00921F16">
              <w:rPr>
                <w:noProof/>
                <w:webHidden/>
              </w:rPr>
              <w:instrText xml:space="preserve"> PAGEREF _Toc102482519 \h </w:instrText>
            </w:r>
            <w:r w:rsidR="00921F16">
              <w:rPr>
                <w:noProof/>
                <w:webHidden/>
              </w:rPr>
            </w:r>
            <w:r w:rsidR="00921F16">
              <w:rPr>
                <w:noProof/>
                <w:webHidden/>
              </w:rPr>
              <w:fldChar w:fldCharType="separate"/>
            </w:r>
            <w:r w:rsidR="00921F16">
              <w:rPr>
                <w:noProof/>
                <w:webHidden/>
              </w:rPr>
              <w:t>7</w:t>
            </w:r>
            <w:r w:rsidR="00921F16">
              <w:rPr>
                <w:noProof/>
                <w:webHidden/>
              </w:rPr>
              <w:fldChar w:fldCharType="end"/>
            </w:r>
          </w:hyperlink>
        </w:p>
        <w:p w14:paraId="2CFE7CDC" w14:textId="4B1721C3"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0" w:history="1">
            <w:r w:rsidR="00921F16" w:rsidRPr="002466DE">
              <w:rPr>
                <w:rStyle w:val="Hyperlink"/>
                <w:noProof/>
              </w:rPr>
              <w:t>GOAL: Nationally consistent, equitable and transparent wait list, organ allocation, offer and acceptance processes</w:t>
            </w:r>
            <w:r w:rsidR="00921F16">
              <w:rPr>
                <w:noProof/>
                <w:webHidden/>
              </w:rPr>
              <w:tab/>
            </w:r>
            <w:r w:rsidR="00921F16">
              <w:rPr>
                <w:noProof/>
                <w:webHidden/>
              </w:rPr>
              <w:fldChar w:fldCharType="begin"/>
            </w:r>
            <w:r w:rsidR="00921F16">
              <w:rPr>
                <w:noProof/>
                <w:webHidden/>
              </w:rPr>
              <w:instrText xml:space="preserve"> PAGEREF _Toc102482520 \h </w:instrText>
            </w:r>
            <w:r w:rsidR="00921F16">
              <w:rPr>
                <w:noProof/>
                <w:webHidden/>
              </w:rPr>
            </w:r>
            <w:r w:rsidR="00921F16">
              <w:rPr>
                <w:noProof/>
                <w:webHidden/>
              </w:rPr>
              <w:fldChar w:fldCharType="separate"/>
            </w:r>
            <w:r w:rsidR="00921F16">
              <w:rPr>
                <w:noProof/>
                <w:webHidden/>
              </w:rPr>
              <w:t>8</w:t>
            </w:r>
            <w:r w:rsidR="00921F16">
              <w:rPr>
                <w:noProof/>
                <w:webHidden/>
              </w:rPr>
              <w:fldChar w:fldCharType="end"/>
            </w:r>
          </w:hyperlink>
        </w:p>
        <w:p w14:paraId="3A08C170" w14:textId="264A475F" w:rsidR="00921F16" w:rsidRDefault="005E2BD1">
          <w:pPr>
            <w:pStyle w:val="TOC1"/>
            <w:rPr>
              <w:rFonts w:asciiTheme="minorHAnsi" w:eastAsiaTheme="minorEastAsia" w:hAnsiTheme="minorHAnsi" w:cstheme="minorBidi"/>
              <w:noProof/>
              <w:szCs w:val="22"/>
              <w:lang w:eastAsia="en-AU"/>
            </w:rPr>
          </w:pPr>
          <w:hyperlink w:anchor="_Toc102482521" w:history="1">
            <w:r w:rsidR="00921F16" w:rsidRPr="002466DE">
              <w:rPr>
                <w:rStyle w:val="Hyperlink"/>
                <w:noProof/>
              </w:rPr>
              <w:t>PRIORITY AREA 3: Enhanced organ retrieval and transplantation capability and capacity to optimise transplant outcomes</w:t>
            </w:r>
            <w:r w:rsidR="00921F16">
              <w:rPr>
                <w:noProof/>
                <w:webHidden/>
              </w:rPr>
              <w:tab/>
            </w:r>
            <w:r w:rsidR="00921F16">
              <w:rPr>
                <w:noProof/>
                <w:webHidden/>
              </w:rPr>
              <w:fldChar w:fldCharType="begin"/>
            </w:r>
            <w:r w:rsidR="00921F16">
              <w:rPr>
                <w:noProof/>
                <w:webHidden/>
              </w:rPr>
              <w:instrText xml:space="preserve"> PAGEREF _Toc102482521 \h </w:instrText>
            </w:r>
            <w:r w:rsidR="00921F16">
              <w:rPr>
                <w:noProof/>
                <w:webHidden/>
              </w:rPr>
            </w:r>
            <w:r w:rsidR="00921F16">
              <w:rPr>
                <w:noProof/>
                <w:webHidden/>
              </w:rPr>
              <w:fldChar w:fldCharType="separate"/>
            </w:r>
            <w:r w:rsidR="00921F16">
              <w:rPr>
                <w:noProof/>
                <w:webHidden/>
              </w:rPr>
              <w:t>9</w:t>
            </w:r>
            <w:r w:rsidR="00921F16">
              <w:rPr>
                <w:noProof/>
                <w:webHidden/>
              </w:rPr>
              <w:fldChar w:fldCharType="end"/>
            </w:r>
          </w:hyperlink>
        </w:p>
        <w:p w14:paraId="7CF1C465" w14:textId="7C0BC7F6"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2" w:history="1">
            <w:r w:rsidR="00921F16" w:rsidRPr="002466DE">
              <w:rPr>
                <w:rStyle w:val="Hyperlink"/>
                <w:noProof/>
              </w:rPr>
              <w:t>GOAL: Capability and capacity within the health system delivers optimal organ retrieval and transplantation services</w:t>
            </w:r>
            <w:r w:rsidR="00921F16">
              <w:rPr>
                <w:noProof/>
                <w:webHidden/>
              </w:rPr>
              <w:tab/>
            </w:r>
            <w:r w:rsidR="00921F16">
              <w:rPr>
                <w:noProof/>
                <w:webHidden/>
              </w:rPr>
              <w:fldChar w:fldCharType="begin"/>
            </w:r>
            <w:r w:rsidR="00921F16">
              <w:rPr>
                <w:noProof/>
                <w:webHidden/>
              </w:rPr>
              <w:instrText xml:space="preserve"> PAGEREF _Toc102482522 \h </w:instrText>
            </w:r>
            <w:r w:rsidR="00921F16">
              <w:rPr>
                <w:noProof/>
                <w:webHidden/>
              </w:rPr>
            </w:r>
            <w:r w:rsidR="00921F16">
              <w:rPr>
                <w:noProof/>
                <w:webHidden/>
              </w:rPr>
              <w:fldChar w:fldCharType="separate"/>
            </w:r>
            <w:r w:rsidR="00921F16">
              <w:rPr>
                <w:noProof/>
                <w:webHidden/>
              </w:rPr>
              <w:t>9</w:t>
            </w:r>
            <w:r w:rsidR="00921F16">
              <w:rPr>
                <w:noProof/>
                <w:webHidden/>
              </w:rPr>
              <w:fldChar w:fldCharType="end"/>
            </w:r>
          </w:hyperlink>
        </w:p>
        <w:p w14:paraId="6208474F" w14:textId="73DB3498"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3" w:history="1">
            <w:r w:rsidR="00921F16" w:rsidRPr="002466DE">
              <w:rPr>
                <w:rStyle w:val="Hyperlink"/>
                <w:noProof/>
              </w:rPr>
              <w:t>GOAL: Australian transplant recipients have access to high quality post</w:t>
            </w:r>
            <w:r w:rsidR="00921F16" w:rsidRPr="002466DE">
              <w:rPr>
                <w:rStyle w:val="Hyperlink"/>
                <w:noProof/>
              </w:rPr>
              <w:noBreakHyphen/>
              <w:t>transplantation programs and services</w:t>
            </w:r>
            <w:r w:rsidR="00921F16">
              <w:rPr>
                <w:noProof/>
                <w:webHidden/>
              </w:rPr>
              <w:tab/>
            </w:r>
            <w:r w:rsidR="00921F16">
              <w:rPr>
                <w:noProof/>
                <w:webHidden/>
              </w:rPr>
              <w:fldChar w:fldCharType="begin"/>
            </w:r>
            <w:r w:rsidR="00921F16">
              <w:rPr>
                <w:noProof/>
                <w:webHidden/>
              </w:rPr>
              <w:instrText xml:space="preserve"> PAGEREF _Toc102482523 \h </w:instrText>
            </w:r>
            <w:r w:rsidR="00921F16">
              <w:rPr>
                <w:noProof/>
                <w:webHidden/>
              </w:rPr>
            </w:r>
            <w:r w:rsidR="00921F16">
              <w:rPr>
                <w:noProof/>
                <w:webHidden/>
              </w:rPr>
              <w:fldChar w:fldCharType="separate"/>
            </w:r>
            <w:r w:rsidR="00921F16">
              <w:rPr>
                <w:noProof/>
                <w:webHidden/>
              </w:rPr>
              <w:t>9</w:t>
            </w:r>
            <w:r w:rsidR="00921F16">
              <w:rPr>
                <w:noProof/>
                <w:webHidden/>
              </w:rPr>
              <w:fldChar w:fldCharType="end"/>
            </w:r>
          </w:hyperlink>
        </w:p>
        <w:p w14:paraId="72A47BD6" w14:textId="3B84C804" w:rsidR="00921F16" w:rsidRDefault="005E2BD1">
          <w:pPr>
            <w:pStyle w:val="TOC1"/>
            <w:rPr>
              <w:rFonts w:asciiTheme="minorHAnsi" w:eastAsiaTheme="minorEastAsia" w:hAnsiTheme="minorHAnsi" w:cstheme="minorBidi"/>
              <w:noProof/>
              <w:szCs w:val="22"/>
              <w:lang w:eastAsia="en-AU"/>
            </w:rPr>
          </w:pPr>
          <w:hyperlink w:anchor="_Toc102482524" w:history="1">
            <w:r w:rsidR="00921F16" w:rsidRPr="002466DE">
              <w:rPr>
                <w:rStyle w:val="Hyperlink"/>
                <w:noProof/>
              </w:rPr>
              <w:t>PRIORITY AREA 4: Enhanced systems and data collection and reporting to drive clinical best practice</w:t>
            </w:r>
            <w:r w:rsidR="00921F16">
              <w:rPr>
                <w:noProof/>
                <w:webHidden/>
              </w:rPr>
              <w:tab/>
            </w:r>
            <w:r w:rsidR="00921F16">
              <w:rPr>
                <w:noProof/>
                <w:webHidden/>
              </w:rPr>
              <w:fldChar w:fldCharType="begin"/>
            </w:r>
            <w:r w:rsidR="00921F16">
              <w:rPr>
                <w:noProof/>
                <w:webHidden/>
              </w:rPr>
              <w:instrText xml:space="preserve"> PAGEREF _Toc102482524 \h </w:instrText>
            </w:r>
            <w:r w:rsidR="00921F16">
              <w:rPr>
                <w:noProof/>
                <w:webHidden/>
              </w:rPr>
            </w:r>
            <w:r w:rsidR="00921F16">
              <w:rPr>
                <w:noProof/>
                <w:webHidden/>
              </w:rPr>
              <w:fldChar w:fldCharType="separate"/>
            </w:r>
            <w:r w:rsidR="00921F16">
              <w:rPr>
                <w:noProof/>
                <w:webHidden/>
              </w:rPr>
              <w:t>10</w:t>
            </w:r>
            <w:r w:rsidR="00921F16">
              <w:rPr>
                <w:noProof/>
                <w:webHidden/>
              </w:rPr>
              <w:fldChar w:fldCharType="end"/>
            </w:r>
          </w:hyperlink>
        </w:p>
        <w:p w14:paraId="2B2FAE4A" w14:textId="6B24D024"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5" w:history="1">
            <w:r w:rsidR="00921F16" w:rsidRPr="002466DE">
              <w:rPr>
                <w:rStyle w:val="Hyperlink"/>
                <w:noProof/>
              </w:rPr>
              <w:t>GOAL: OrganMatch functionality drives clinical practice improvement</w:t>
            </w:r>
            <w:r w:rsidR="00921F16">
              <w:rPr>
                <w:noProof/>
                <w:webHidden/>
              </w:rPr>
              <w:tab/>
            </w:r>
            <w:r w:rsidR="00921F16">
              <w:rPr>
                <w:noProof/>
                <w:webHidden/>
              </w:rPr>
              <w:fldChar w:fldCharType="begin"/>
            </w:r>
            <w:r w:rsidR="00921F16">
              <w:rPr>
                <w:noProof/>
                <w:webHidden/>
              </w:rPr>
              <w:instrText xml:space="preserve"> PAGEREF _Toc102482525 \h </w:instrText>
            </w:r>
            <w:r w:rsidR="00921F16">
              <w:rPr>
                <w:noProof/>
                <w:webHidden/>
              </w:rPr>
            </w:r>
            <w:r w:rsidR="00921F16">
              <w:rPr>
                <w:noProof/>
                <w:webHidden/>
              </w:rPr>
              <w:fldChar w:fldCharType="separate"/>
            </w:r>
            <w:r w:rsidR="00921F16">
              <w:rPr>
                <w:noProof/>
                <w:webHidden/>
              </w:rPr>
              <w:t>10</w:t>
            </w:r>
            <w:r w:rsidR="00921F16">
              <w:rPr>
                <w:noProof/>
                <w:webHidden/>
              </w:rPr>
              <w:fldChar w:fldCharType="end"/>
            </w:r>
          </w:hyperlink>
        </w:p>
        <w:p w14:paraId="5F3E15F0" w14:textId="7028E37D"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6" w:history="1">
            <w:r w:rsidR="00921F16" w:rsidRPr="002466DE">
              <w:rPr>
                <w:rStyle w:val="Hyperlink"/>
                <w:noProof/>
              </w:rPr>
              <w:t>GOAL: Data is accessible and reported to drive best practice</w:t>
            </w:r>
            <w:r w:rsidR="00921F16">
              <w:rPr>
                <w:noProof/>
                <w:webHidden/>
              </w:rPr>
              <w:tab/>
            </w:r>
            <w:r w:rsidR="00921F16">
              <w:rPr>
                <w:noProof/>
                <w:webHidden/>
              </w:rPr>
              <w:fldChar w:fldCharType="begin"/>
            </w:r>
            <w:r w:rsidR="00921F16">
              <w:rPr>
                <w:noProof/>
                <w:webHidden/>
              </w:rPr>
              <w:instrText xml:space="preserve"> PAGEREF _Toc102482526 \h </w:instrText>
            </w:r>
            <w:r w:rsidR="00921F16">
              <w:rPr>
                <w:noProof/>
                <w:webHidden/>
              </w:rPr>
            </w:r>
            <w:r w:rsidR="00921F16">
              <w:rPr>
                <w:noProof/>
                <w:webHidden/>
              </w:rPr>
              <w:fldChar w:fldCharType="separate"/>
            </w:r>
            <w:r w:rsidR="00921F16">
              <w:rPr>
                <w:noProof/>
                <w:webHidden/>
              </w:rPr>
              <w:t>11</w:t>
            </w:r>
            <w:r w:rsidR="00921F16">
              <w:rPr>
                <w:noProof/>
                <w:webHidden/>
              </w:rPr>
              <w:fldChar w:fldCharType="end"/>
            </w:r>
          </w:hyperlink>
        </w:p>
        <w:p w14:paraId="6BDC75D8" w14:textId="3540973B"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7" w:history="1">
            <w:r w:rsidR="00921F16" w:rsidRPr="002466DE">
              <w:rPr>
                <w:rStyle w:val="Hyperlink"/>
                <w:noProof/>
              </w:rPr>
              <w:t>GOAL: Optimise functionality and use of transplantation outcome registries to inform policy and program design</w:t>
            </w:r>
            <w:r w:rsidR="00921F16">
              <w:rPr>
                <w:noProof/>
                <w:webHidden/>
              </w:rPr>
              <w:tab/>
            </w:r>
            <w:r w:rsidR="00921F16">
              <w:rPr>
                <w:noProof/>
                <w:webHidden/>
              </w:rPr>
              <w:fldChar w:fldCharType="begin"/>
            </w:r>
            <w:r w:rsidR="00921F16">
              <w:rPr>
                <w:noProof/>
                <w:webHidden/>
              </w:rPr>
              <w:instrText xml:space="preserve"> PAGEREF _Toc102482527 \h </w:instrText>
            </w:r>
            <w:r w:rsidR="00921F16">
              <w:rPr>
                <w:noProof/>
                <w:webHidden/>
              </w:rPr>
            </w:r>
            <w:r w:rsidR="00921F16">
              <w:rPr>
                <w:noProof/>
                <w:webHidden/>
              </w:rPr>
              <w:fldChar w:fldCharType="separate"/>
            </w:r>
            <w:r w:rsidR="00921F16">
              <w:rPr>
                <w:noProof/>
                <w:webHidden/>
              </w:rPr>
              <w:t>11</w:t>
            </w:r>
            <w:r w:rsidR="00921F16">
              <w:rPr>
                <w:noProof/>
                <w:webHidden/>
              </w:rPr>
              <w:fldChar w:fldCharType="end"/>
            </w:r>
          </w:hyperlink>
        </w:p>
        <w:p w14:paraId="03A1E1A0" w14:textId="47EDF521" w:rsidR="00921F16" w:rsidRDefault="005E2BD1">
          <w:pPr>
            <w:pStyle w:val="TOC1"/>
            <w:rPr>
              <w:rFonts w:asciiTheme="minorHAnsi" w:eastAsiaTheme="minorEastAsia" w:hAnsiTheme="minorHAnsi" w:cstheme="minorBidi"/>
              <w:noProof/>
              <w:szCs w:val="22"/>
              <w:lang w:eastAsia="en-AU"/>
            </w:rPr>
          </w:pPr>
          <w:hyperlink w:anchor="_Toc102482528" w:history="1">
            <w:r w:rsidR="00921F16" w:rsidRPr="002466DE">
              <w:rPr>
                <w:rStyle w:val="Hyperlink"/>
                <w:noProof/>
                <w:lang w:eastAsia="en-AU"/>
              </w:rPr>
              <w:t>NEXT STEPS</w:t>
            </w:r>
            <w:r w:rsidR="00921F16">
              <w:rPr>
                <w:noProof/>
                <w:webHidden/>
              </w:rPr>
              <w:tab/>
            </w:r>
            <w:r w:rsidR="00921F16">
              <w:rPr>
                <w:noProof/>
                <w:webHidden/>
              </w:rPr>
              <w:fldChar w:fldCharType="begin"/>
            </w:r>
            <w:r w:rsidR="00921F16">
              <w:rPr>
                <w:noProof/>
                <w:webHidden/>
              </w:rPr>
              <w:instrText xml:space="preserve"> PAGEREF _Toc102482528 \h </w:instrText>
            </w:r>
            <w:r w:rsidR="00921F16">
              <w:rPr>
                <w:noProof/>
                <w:webHidden/>
              </w:rPr>
            </w:r>
            <w:r w:rsidR="00921F16">
              <w:rPr>
                <w:noProof/>
                <w:webHidden/>
              </w:rPr>
              <w:fldChar w:fldCharType="separate"/>
            </w:r>
            <w:r w:rsidR="00921F16">
              <w:rPr>
                <w:noProof/>
                <w:webHidden/>
              </w:rPr>
              <w:t>12</w:t>
            </w:r>
            <w:r w:rsidR="00921F16">
              <w:rPr>
                <w:noProof/>
                <w:webHidden/>
              </w:rPr>
              <w:fldChar w:fldCharType="end"/>
            </w:r>
          </w:hyperlink>
        </w:p>
        <w:p w14:paraId="745957DE" w14:textId="19A6C712"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29" w:history="1">
            <w:r w:rsidR="00921F16" w:rsidRPr="002466DE">
              <w:rPr>
                <w:rStyle w:val="Hyperlink"/>
                <w:noProof/>
                <w:lang w:eastAsia="en-AU"/>
              </w:rPr>
              <w:t>Delivering the Strategy</w:t>
            </w:r>
            <w:r w:rsidR="00921F16">
              <w:rPr>
                <w:noProof/>
                <w:webHidden/>
              </w:rPr>
              <w:tab/>
            </w:r>
            <w:r w:rsidR="00921F16">
              <w:rPr>
                <w:noProof/>
                <w:webHidden/>
              </w:rPr>
              <w:fldChar w:fldCharType="begin"/>
            </w:r>
            <w:r w:rsidR="00921F16">
              <w:rPr>
                <w:noProof/>
                <w:webHidden/>
              </w:rPr>
              <w:instrText xml:space="preserve"> PAGEREF _Toc102482529 \h </w:instrText>
            </w:r>
            <w:r w:rsidR="00921F16">
              <w:rPr>
                <w:noProof/>
                <w:webHidden/>
              </w:rPr>
            </w:r>
            <w:r w:rsidR="00921F16">
              <w:rPr>
                <w:noProof/>
                <w:webHidden/>
              </w:rPr>
              <w:fldChar w:fldCharType="separate"/>
            </w:r>
            <w:r w:rsidR="00921F16">
              <w:rPr>
                <w:noProof/>
                <w:webHidden/>
              </w:rPr>
              <w:t>12</w:t>
            </w:r>
            <w:r w:rsidR="00921F16">
              <w:rPr>
                <w:noProof/>
                <w:webHidden/>
              </w:rPr>
              <w:fldChar w:fldCharType="end"/>
            </w:r>
          </w:hyperlink>
        </w:p>
        <w:p w14:paraId="228CC7F3" w14:textId="26C3C970"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30" w:history="1">
            <w:r w:rsidR="00921F16" w:rsidRPr="002466DE">
              <w:rPr>
                <w:rStyle w:val="Hyperlink"/>
                <w:noProof/>
              </w:rPr>
              <w:t>Measurement and accountability</w:t>
            </w:r>
            <w:r w:rsidR="00921F16">
              <w:rPr>
                <w:noProof/>
                <w:webHidden/>
              </w:rPr>
              <w:tab/>
            </w:r>
            <w:r w:rsidR="00921F16">
              <w:rPr>
                <w:noProof/>
                <w:webHidden/>
              </w:rPr>
              <w:fldChar w:fldCharType="begin"/>
            </w:r>
            <w:r w:rsidR="00921F16">
              <w:rPr>
                <w:noProof/>
                <w:webHidden/>
              </w:rPr>
              <w:instrText xml:space="preserve"> PAGEREF _Toc102482530 \h </w:instrText>
            </w:r>
            <w:r w:rsidR="00921F16">
              <w:rPr>
                <w:noProof/>
                <w:webHidden/>
              </w:rPr>
            </w:r>
            <w:r w:rsidR="00921F16">
              <w:rPr>
                <w:noProof/>
                <w:webHidden/>
              </w:rPr>
              <w:fldChar w:fldCharType="separate"/>
            </w:r>
            <w:r w:rsidR="00921F16">
              <w:rPr>
                <w:noProof/>
                <w:webHidden/>
              </w:rPr>
              <w:t>12</w:t>
            </w:r>
            <w:r w:rsidR="00921F16">
              <w:rPr>
                <w:noProof/>
                <w:webHidden/>
              </w:rPr>
              <w:fldChar w:fldCharType="end"/>
            </w:r>
          </w:hyperlink>
        </w:p>
        <w:p w14:paraId="0DDF8920" w14:textId="53CACA5E" w:rsidR="00921F16" w:rsidRDefault="005E2BD1">
          <w:pPr>
            <w:pStyle w:val="TOC2"/>
            <w:tabs>
              <w:tab w:val="right" w:leader="dot" w:pos="9016"/>
            </w:tabs>
            <w:rPr>
              <w:rFonts w:asciiTheme="minorHAnsi" w:eastAsiaTheme="minorEastAsia" w:hAnsiTheme="minorHAnsi" w:cstheme="minorBidi"/>
              <w:noProof/>
              <w:szCs w:val="22"/>
              <w:lang w:eastAsia="en-AU"/>
            </w:rPr>
          </w:pPr>
          <w:hyperlink w:anchor="_Toc102482531" w:history="1">
            <w:r w:rsidR="00921F16" w:rsidRPr="002466DE">
              <w:rPr>
                <w:rStyle w:val="Hyperlink"/>
                <w:noProof/>
              </w:rPr>
              <w:t>Roles and responsibilities</w:t>
            </w:r>
            <w:r w:rsidR="00921F16">
              <w:rPr>
                <w:noProof/>
                <w:webHidden/>
              </w:rPr>
              <w:tab/>
            </w:r>
            <w:r w:rsidR="00921F16">
              <w:rPr>
                <w:noProof/>
                <w:webHidden/>
              </w:rPr>
              <w:fldChar w:fldCharType="begin"/>
            </w:r>
            <w:r w:rsidR="00921F16">
              <w:rPr>
                <w:noProof/>
                <w:webHidden/>
              </w:rPr>
              <w:instrText xml:space="preserve"> PAGEREF _Toc102482531 \h </w:instrText>
            </w:r>
            <w:r w:rsidR="00921F16">
              <w:rPr>
                <w:noProof/>
                <w:webHidden/>
              </w:rPr>
            </w:r>
            <w:r w:rsidR="00921F16">
              <w:rPr>
                <w:noProof/>
                <w:webHidden/>
              </w:rPr>
              <w:fldChar w:fldCharType="separate"/>
            </w:r>
            <w:r w:rsidR="00921F16">
              <w:rPr>
                <w:noProof/>
                <w:webHidden/>
              </w:rPr>
              <w:t>13</w:t>
            </w:r>
            <w:r w:rsidR="00921F16">
              <w:rPr>
                <w:noProof/>
                <w:webHidden/>
              </w:rPr>
              <w:fldChar w:fldCharType="end"/>
            </w:r>
          </w:hyperlink>
        </w:p>
        <w:p w14:paraId="539C4DEA" w14:textId="470B216E" w:rsidR="00921F16" w:rsidRDefault="005E2BD1">
          <w:pPr>
            <w:pStyle w:val="TOC1"/>
            <w:rPr>
              <w:rFonts w:asciiTheme="minorHAnsi" w:eastAsiaTheme="minorEastAsia" w:hAnsiTheme="minorHAnsi" w:cstheme="minorBidi"/>
              <w:noProof/>
              <w:szCs w:val="22"/>
              <w:lang w:eastAsia="en-AU"/>
            </w:rPr>
          </w:pPr>
          <w:hyperlink w:anchor="_Toc102482532" w:history="1">
            <w:r w:rsidR="00921F16" w:rsidRPr="002466DE">
              <w:rPr>
                <w:rStyle w:val="Hyperlink"/>
                <w:noProof/>
              </w:rPr>
              <w:t>Attachment A – Transition Action Plan</w:t>
            </w:r>
            <w:r w:rsidR="00921F16">
              <w:rPr>
                <w:noProof/>
                <w:webHidden/>
              </w:rPr>
              <w:tab/>
            </w:r>
            <w:r w:rsidR="00921F16">
              <w:rPr>
                <w:noProof/>
                <w:webHidden/>
              </w:rPr>
              <w:fldChar w:fldCharType="begin"/>
            </w:r>
            <w:r w:rsidR="00921F16">
              <w:rPr>
                <w:noProof/>
                <w:webHidden/>
              </w:rPr>
              <w:instrText xml:space="preserve"> PAGEREF _Toc102482532 \h </w:instrText>
            </w:r>
            <w:r w:rsidR="00921F16">
              <w:rPr>
                <w:noProof/>
                <w:webHidden/>
              </w:rPr>
            </w:r>
            <w:r w:rsidR="00921F16">
              <w:rPr>
                <w:noProof/>
                <w:webHidden/>
              </w:rPr>
              <w:fldChar w:fldCharType="separate"/>
            </w:r>
            <w:r w:rsidR="00921F16">
              <w:rPr>
                <w:noProof/>
                <w:webHidden/>
              </w:rPr>
              <w:t>13</w:t>
            </w:r>
            <w:r w:rsidR="00921F16">
              <w:rPr>
                <w:noProof/>
                <w:webHidden/>
              </w:rPr>
              <w:fldChar w:fldCharType="end"/>
            </w:r>
          </w:hyperlink>
        </w:p>
        <w:p w14:paraId="37BF80DA" w14:textId="6F094F4A" w:rsidR="00AF207C" w:rsidRPr="000073E4" w:rsidRDefault="009C0B9B" w:rsidP="00AF207C">
          <w:pPr>
            <w:spacing w:after="60" w:line="240" w:lineRule="auto"/>
            <w:rPr>
              <w:rFonts w:cstheme="minorHAnsi"/>
              <w:b/>
              <w:bCs/>
              <w:noProof/>
              <w:sz w:val="14"/>
            </w:rPr>
          </w:pPr>
          <w:r w:rsidRPr="002F4273">
            <w:rPr>
              <w:rFonts w:cstheme="minorHAnsi"/>
              <w:b/>
              <w:bCs/>
              <w:noProof/>
            </w:rPr>
            <w:fldChar w:fldCharType="end"/>
          </w:r>
        </w:p>
      </w:sdtContent>
    </w:sdt>
    <w:p w14:paraId="58F966BE" w14:textId="77777777" w:rsidR="00903124" w:rsidRDefault="00903124" w:rsidP="009C0B9B">
      <w:pPr>
        <w:pStyle w:val="Heading1"/>
        <w:rPr>
          <w:lang w:eastAsia="en-AU"/>
        </w:rPr>
        <w:sectPr w:rsidR="00903124" w:rsidSect="004A7395">
          <w:footerReference w:type="default" r:id="rId9"/>
          <w:pgSz w:w="11906" w:h="16838"/>
          <w:pgMar w:top="1440" w:right="1440" w:bottom="1440" w:left="1440" w:header="708" w:footer="708" w:gutter="0"/>
          <w:pgNumType w:start="1"/>
          <w:cols w:space="708"/>
          <w:docGrid w:linePitch="360"/>
        </w:sectPr>
      </w:pPr>
      <w:bookmarkStart w:id="4" w:name="_Toc51921121"/>
    </w:p>
    <w:p w14:paraId="48BF08EE" w14:textId="646A317D" w:rsidR="009C0B9B" w:rsidRPr="001612E9" w:rsidRDefault="009C0B9B" w:rsidP="009C0B9B">
      <w:pPr>
        <w:pStyle w:val="Heading1"/>
        <w:rPr>
          <w:lang w:eastAsia="en-AU"/>
        </w:rPr>
      </w:pPr>
      <w:bookmarkStart w:id="5" w:name="_Toc102482504"/>
      <w:r w:rsidRPr="001612E9">
        <w:rPr>
          <w:lang w:eastAsia="en-AU"/>
        </w:rPr>
        <w:lastRenderedPageBreak/>
        <w:t>PREAMBLE</w:t>
      </w:r>
      <w:bookmarkEnd w:id="4"/>
      <w:bookmarkEnd w:id="5"/>
    </w:p>
    <w:p w14:paraId="63C67537" w14:textId="7C87FAEA" w:rsidR="00090E96" w:rsidRPr="001612E9" w:rsidRDefault="00090E96" w:rsidP="00090E96">
      <w:pPr>
        <w:rPr>
          <w:sz w:val="24"/>
          <w:szCs w:val="24"/>
          <w:lang w:eastAsia="en-AU"/>
        </w:rPr>
      </w:pPr>
      <w:r w:rsidRPr="001612E9">
        <w:rPr>
          <w:sz w:val="24"/>
          <w:szCs w:val="24"/>
          <w:lang w:eastAsia="en-AU"/>
        </w:rPr>
        <w:t>Since the implementation of the Australian Government’s National Program on organ and tissue donation for transplantation</w:t>
      </w:r>
      <w:r>
        <w:rPr>
          <w:sz w:val="24"/>
          <w:szCs w:val="24"/>
          <w:lang w:eastAsia="en-AU"/>
        </w:rPr>
        <w:t xml:space="preserve"> in 2009</w:t>
      </w:r>
      <w:r w:rsidRPr="001612E9">
        <w:rPr>
          <w:sz w:val="24"/>
          <w:szCs w:val="24"/>
          <w:lang w:eastAsia="en-AU"/>
        </w:rPr>
        <w:t xml:space="preserve">, deceased organ donation has </w:t>
      </w:r>
      <w:r>
        <w:rPr>
          <w:sz w:val="24"/>
          <w:szCs w:val="24"/>
          <w:lang w:eastAsia="en-AU"/>
        </w:rPr>
        <w:t>significantly increased</w:t>
      </w:r>
      <w:r w:rsidRPr="001612E9">
        <w:rPr>
          <w:sz w:val="24"/>
          <w:szCs w:val="24"/>
          <w:lang w:eastAsia="en-AU"/>
        </w:rPr>
        <w:t xml:space="preserve">, resulting in over </w:t>
      </w:r>
      <w:r>
        <w:rPr>
          <w:sz w:val="24"/>
          <w:szCs w:val="24"/>
          <w:lang w:eastAsia="en-AU"/>
        </w:rPr>
        <w:t>14,350</w:t>
      </w:r>
      <w:r w:rsidRPr="001612E9">
        <w:rPr>
          <w:sz w:val="24"/>
          <w:szCs w:val="24"/>
          <w:lang w:eastAsia="en-AU"/>
        </w:rPr>
        <w:t xml:space="preserve"> Australians receiving a lifesaving transplant. This achievement has been </w:t>
      </w:r>
      <w:r>
        <w:rPr>
          <w:sz w:val="24"/>
          <w:szCs w:val="24"/>
          <w:lang w:eastAsia="en-AU"/>
        </w:rPr>
        <w:t xml:space="preserve">a collaborative </w:t>
      </w:r>
      <w:r w:rsidRPr="001612E9">
        <w:rPr>
          <w:sz w:val="24"/>
          <w:szCs w:val="24"/>
          <w:lang w:eastAsia="en-AU"/>
        </w:rPr>
        <w:t xml:space="preserve">result </w:t>
      </w:r>
      <w:r>
        <w:rPr>
          <w:sz w:val="24"/>
          <w:szCs w:val="24"/>
          <w:lang w:eastAsia="en-AU"/>
        </w:rPr>
        <w:t>led by</w:t>
      </w:r>
      <w:r w:rsidRPr="001612E9">
        <w:rPr>
          <w:sz w:val="24"/>
          <w:szCs w:val="24"/>
          <w:lang w:eastAsia="en-AU"/>
        </w:rPr>
        <w:t xml:space="preserve"> the </w:t>
      </w:r>
      <w:r w:rsidR="00E62872">
        <w:rPr>
          <w:sz w:val="24"/>
          <w:szCs w:val="24"/>
          <w:lang w:eastAsia="en-AU"/>
        </w:rPr>
        <w:t>Organ and Tissue Authority (</w:t>
      </w:r>
      <w:r w:rsidRPr="001612E9">
        <w:rPr>
          <w:sz w:val="24"/>
          <w:szCs w:val="24"/>
          <w:lang w:eastAsia="en-AU"/>
        </w:rPr>
        <w:t>OTA</w:t>
      </w:r>
      <w:r w:rsidR="00E62872">
        <w:rPr>
          <w:sz w:val="24"/>
          <w:szCs w:val="24"/>
          <w:lang w:eastAsia="en-AU"/>
        </w:rPr>
        <w:t>)</w:t>
      </w:r>
      <w:r w:rsidRPr="001612E9">
        <w:rPr>
          <w:sz w:val="24"/>
          <w:szCs w:val="24"/>
          <w:lang w:eastAsia="en-AU"/>
        </w:rPr>
        <w:t xml:space="preserve"> </w:t>
      </w:r>
      <w:r>
        <w:rPr>
          <w:sz w:val="24"/>
          <w:szCs w:val="24"/>
          <w:lang w:eastAsia="en-AU"/>
        </w:rPr>
        <w:t>to</w:t>
      </w:r>
      <w:r w:rsidRPr="001612E9">
        <w:rPr>
          <w:sz w:val="24"/>
          <w:szCs w:val="24"/>
          <w:lang w:eastAsia="en-AU"/>
        </w:rPr>
        <w:t xml:space="preserve"> deliver a nationally consistent </w:t>
      </w:r>
      <w:r>
        <w:rPr>
          <w:sz w:val="24"/>
          <w:szCs w:val="24"/>
          <w:lang w:eastAsia="en-AU"/>
        </w:rPr>
        <w:t xml:space="preserve">approach to donation through the </w:t>
      </w:r>
      <w:r w:rsidRPr="001612E9">
        <w:rPr>
          <w:sz w:val="24"/>
          <w:szCs w:val="24"/>
          <w:lang w:eastAsia="en-AU"/>
        </w:rPr>
        <w:t xml:space="preserve">DonateLife Network and with states and territories, clinicians and the community sector. </w:t>
      </w:r>
    </w:p>
    <w:p w14:paraId="4F8BA841" w14:textId="709FEE0A" w:rsidR="00090E96" w:rsidRDefault="00090E96" w:rsidP="00090E96">
      <w:pPr>
        <w:rPr>
          <w:iCs/>
          <w:sz w:val="24"/>
          <w:szCs w:val="24"/>
          <w:lang w:val="en-US" w:eastAsia="en-AU"/>
        </w:rPr>
      </w:pPr>
      <w:r w:rsidRPr="001612E9">
        <w:rPr>
          <w:sz w:val="24"/>
          <w:szCs w:val="24"/>
          <w:lang w:eastAsia="en-AU"/>
        </w:rPr>
        <w:t>Th</w:t>
      </w:r>
      <w:r>
        <w:rPr>
          <w:sz w:val="24"/>
          <w:szCs w:val="24"/>
          <w:lang w:eastAsia="en-AU"/>
        </w:rPr>
        <w:t>is</w:t>
      </w:r>
      <w:r w:rsidRPr="001612E9">
        <w:rPr>
          <w:sz w:val="24"/>
          <w:szCs w:val="24"/>
          <w:lang w:eastAsia="en-AU"/>
        </w:rPr>
        <w:t xml:space="preserve"> successful collaboration between the Commonwealth and state and territory governments has set the Australian health system on the right path to optimise organ and tissue donation for transplantation. Most importantly, </w:t>
      </w:r>
      <w:r>
        <w:rPr>
          <w:sz w:val="24"/>
          <w:szCs w:val="24"/>
          <w:lang w:eastAsia="en-AU"/>
        </w:rPr>
        <w:t>it</w:t>
      </w:r>
      <w:r w:rsidRPr="001612E9">
        <w:rPr>
          <w:sz w:val="24"/>
          <w:szCs w:val="24"/>
          <w:lang w:eastAsia="en-AU"/>
        </w:rPr>
        <w:t xml:space="preserve"> has enabled more Australians to receive live-saving transplants</w:t>
      </w:r>
      <w:r>
        <w:rPr>
          <w:sz w:val="24"/>
          <w:szCs w:val="24"/>
          <w:lang w:eastAsia="en-AU"/>
        </w:rPr>
        <w:t>.</w:t>
      </w:r>
    </w:p>
    <w:p w14:paraId="77D84DE8" w14:textId="1C0DC1AA" w:rsidR="00746AF8" w:rsidRPr="00B16B1D" w:rsidRDefault="00746AF8" w:rsidP="00746AF8">
      <w:pPr>
        <w:rPr>
          <w:rFonts w:cstheme="minorHAnsi"/>
          <w:sz w:val="24"/>
          <w:lang w:eastAsia="en-AU"/>
        </w:rPr>
      </w:pPr>
      <w:r w:rsidRPr="0021017D">
        <w:rPr>
          <w:rFonts w:cstheme="minorHAnsi"/>
          <w:sz w:val="24"/>
          <w:lang w:eastAsia="en-AU"/>
        </w:rPr>
        <w:t>Th</w:t>
      </w:r>
      <w:r w:rsidR="005244F6">
        <w:rPr>
          <w:rFonts w:cstheme="minorHAnsi"/>
          <w:sz w:val="24"/>
          <w:lang w:eastAsia="en-AU"/>
        </w:rPr>
        <w:t>is</w:t>
      </w:r>
      <w:r w:rsidR="00E4713D">
        <w:rPr>
          <w:rFonts w:cstheme="minorHAnsi"/>
          <w:sz w:val="24"/>
          <w:lang w:eastAsia="en-AU"/>
        </w:rPr>
        <w:t xml:space="preserve"> document, the</w:t>
      </w:r>
      <w:r w:rsidRPr="0021017D">
        <w:rPr>
          <w:rFonts w:cstheme="minorHAnsi"/>
          <w:sz w:val="24"/>
          <w:lang w:eastAsia="en-AU"/>
        </w:rPr>
        <w:t xml:space="preserve"> </w:t>
      </w:r>
      <w:r w:rsidRPr="00E4713D">
        <w:rPr>
          <w:rFonts w:cstheme="minorHAnsi"/>
          <w:i/>
          <w:sz w:val="24"/>
          <w:lang w:eastAsia="en-AU"/>
        </w:rPr>
        <w:t>National Strategy for Organ Donation, Retrieval and Transplantation</w:t>
      </w:r>
      <w:r w:rsidRPr="0021017D">
        <w:rPr>
          <w:rFonts w:cstheme="minorHAnsi"/>
          <w:sz w:val="24"/>
          <w:lang w:eastAsia="en-AU"/>
        </w:rPr>
        <w:t xml:space="preserve"> (the Strategy) </w:t>
      </w:r>
      <w:r w:rsidR="00D06A29">
        <w:rPr>
          <w:rFonts w:cstheme="minorHAnsi"/>
          <w:sz w:val="24"/>
          <w:lang w:eastAsia="en-AU"/>
        </w:rPr>
        <w:t>seeks to build on these achievements, and</w:t>
      </w:r>
      <w:r w:rsidR="004C6EDA">
        <w:rPr>
          <w:rFonts w:cstheme="minorHAnsi"/>
          <w:sz w:val="24"/>
          <w:lang w:eastAsia="en-AU"/>
        </w:rPr>
        <w:t xml:space="preserve"> </w:t>
      </w:r>
      <w:r w:rsidRPr="0021017D">
        <w:rPr>
          <w:rFonts w:cstheme="minorHAnsi"/>
          <w:sz w:val="24"/>
          <w:lang w:eastAsia="en-AU"/>
        </w:rPr>
        <w:t xml:space="preserve">sets out the future direction of the Australian organ donation, retrieval and transplantation system, as agreed by all governments. </w:t>
      </w:r>
      <w:r w:rsidR="004C6EDA">
        <w:rPr>
          <w:rFonts w:cstheme="minorHAnsi"/>
          <w:sz w:val="24"/>
          <w:lang w:eastAsia="en-AU"/>
        </w:rPr>
        <w:t>The Strategy</w:t>
      </w:r>
      <w:r w:rsidR="004C6EDA" w:rsidRPr="0021017D">
        <w:rPr>
          <w:rFonts w:cstheme="minorHAnsi"/>
          <w:sz w:val="24"/>
          <w:lang w:eastAsia="en-AU"/>
        </w:rPr>
        <w:t xml:space="preserve"> will underpin policy and program delivery to provide enhanced access to transplantation for all Australians who need it</w:t>
      </w:r>
      <w:r w:rsidR="00CA6885">
        <w:rPr>
          <w:rFonts w:cstheme="minorHAnsi"/>
          <w:sz w:val="24"/>
          <w:lang w:eastAsia="en-AU"/>
        </w:rPr>
        <w:t xml:space="preserve">. </w:t>
      </w:r>
      <w:r w:rsidR="00872956">
        <w:rPr>
          <w:rFonts w:cstheme="minorHAnsi"/>
          <w:sz w:val="24"/>
          <w:lang w:eastAsia="en-AU"/>
        </w:rPr>
        <w:t xml:space="preserve">It </w:t>
      </w:r>
      <w:r w:rsidR="003770BF" w:rsidRPr="0021017D">
        <w:rPr>
          <w:rFonts w:cstheme="minorHAnsi"/>
          <w:sz w:val="24"/>
          <w:lang w:eastAsia="en-AU"/>
        </w:rPr>
        <w:t>complements the OTA</w:t>
      </w:r>
      <w:r w:rsidR="003770BF">
        <w:rPr>
          <w:rFonts w:cstheme="minorHAnsi"/>
          <w:sz w:val="24"/>
          <w:lang w:eastAsia="en-AU"/>
        </w:rPr>
        <w:t xml:space="preserve">’s existing </w:t>
      </w:r>
      <w:r w:rsidR="003770BF" w:rsidRPr="0021017D">
        <w:rPr>
          <w:rFonts w:cstheme="minorHAnsi"/>
          <w:i/>
          <w:iCs/>
          <w:sz w:val="24"/>
          <w:lang w:eastAsia="en-AU"/>
        </w:rPr>
        <w:t xml:space="preserve">Progressing Australian organ and tissue donation </w:t>
      </w:r>
      <w:r w:rsidR="00B16B1D">
        <w:rPr>
          <w:rFonts w:cstheme="minorHAnsi"/>
          <w:i/>
          <w:iCs/>
          <w:sz w:val="24"/>
          <w:lang w:eastAsia="en-AU"/>
        </w:rPr>
        <w:t>and</w:t>
      </w:r>
      <w:r w:rsidR="003770BF" w:rsidRPr="0021017D">
        <w:rPr>
          <w:rFonts w:cstheme="minorHAnsi"/>
          <w:i/>
          <w:iCs/>
          <w:sz w:val="24"/>
          <w:lang w:eastAsia="en-AU"/>
        </w:rPr>
        <w:t xml:space="preserve"> transpl</w:t>
      </w:r>
      <w:r w:rsidR="003770BF">
        <w:rPr>
          <w:rFonts w:cstheme="minorHAnsi"/>
          <w:i/>
          <w:iCs/>
          <w:sz w:val="24"/>
          <w:lang w:eastAsia="en-AU"/>
        </w:rPr>
        <w:t>antation to 202</w:t>
      </w:r>
      <w:r w:rsidR="00B16B1D">
        <w:rPr>
          <w:rFonts w:cstheme="minorHAnsi"/>
          <w:i/>
          <w:iCs/>
          <w:sz w:val="24"/>
          <w:lang w:eastAsia="en-AU"/>
        </w:rPr>
        <w:t>5</w:t>
      </w:r>
      <w:r w:rsidR="003770BF">
        <w:rPr>
          <w:rFonts w:cstheme="minorHAnsi"/>
          <w:i/>
          <w:iCs/>
          <w:sz w:val="24"/>
          <w:lang w:eastAsia="en-AU"/>
        </w:rPr>
        <w:t xml:space="preserve"> Strategic Plan</w:t>
      </w:r>
      <w:r w:rsidR="00B16B1D">
        <w:rPr>
          <w:rFonts w:cstheme="minorHAnsi"/>
          <w:i/>
          <w:iCs/>
          <w:sz w:val="24"/>
          <w:lang w:eastAsia="en-AU"/>
        </w:rPr>
        <w:t xml:space="preserve">, </w:t>
      </w:r>
      <w:r w:rsidR="00B16B1D" w:rsidRPr="00B16B1D">
        <w:rPr>
          <w:rFonts w:cstheme="minorHAnsi"/>
          <w:sz w:val="24"/>
          <w:lang w:eastAsia="en-AU"/>
        </w:rPr>
        <w:t>which has been agreed by all jurisdictional health departments</w:t>
      </w:r>
      <w:r w:rsidR="004C6EDA" w:rsidRPr="00B16B1D">
        <w:rPr>
          <w:rFonts w:cstheme="minorHAnsi"/>
          <w:sz w:val="24"/>
          <w:lang w:eastAsia="en-AU"/>
        </w:rPr>
        <w:t>.</w:t>
      </w:r>
    </w:p>
    <w:p w14:paraId="09DB0935" w14:textId="77777777" w:rsidR="00D06A29" w:rsidRDefault="00746AF8" w:rsidP="00D06A29">
      <w:pPr>
        <w:rPr>
          <w:rFonts w:cstheme="minorHAnsi"/>
          <w:sz w:val="24"/>
          <w:lang w:eastAsia="en-AU"/>
        </w:rPr>
      </w:pPr>
      <w:r w:rsidRPr="0021017D">
        <w:rPr>
          <w:rFonts w:cstheme="minorHAnsi"/>
          <w:sz w:val="24"/>
          <w:lang w:eastAsia="en-AU"/>
        </w:rPr>
        <w:t xml:space="preserve">The Strategy’s vision is </w:t>
      </w:r>
      <w:r w:rsidRPr="0021017D">
        <w:rPr>
          <w:rFonts w:cstheme="minorHAnsi"/>
          <w:b/>
          <w:sz w:val="24"/>
          <w:lang w:eastAsia="en-AU"/>
        </w:rPr>
        <w:t xml:space="preserve">to save and </w:t>
      </w:r>
      <w:r w:rsidRPr="0021017D">
        <w:rPr>
          <w:rFonts w:cstheme="minorHAnsi"/>
          <w:b/>
          <w:sz w:val="24"/>
        </w:rPr>
        <w:t>improve the lives of more Australians through a world’s best practice future</w:t>
      </w:r>
      <w:r w:rsidRPr="0021017D">
        <w:rPr>
          <w:rFonts w:cstheme="minorHAnsi"/>
          <w:b/>
          <w:sz w:val="24"/>
        </w:rPr>
        <w:noBreakHyphen/>
        <w:t xml:space="preserve">focused and sustainable organ donation, </w:t>
      </w:r>
      <w:proofErr w:type="gramStart"/>
      <w:r w:rsidRPr="0021017D">
        <w:rPr>
          <w:rFonts w:cstheme="minorHAnsi"/>
          <w:b/>
          <w:sz w:val="24"/>
        </w:rPr>
        <w:t>retrieval</w:t>
      </w:r>
      <w:proofErr w:type="gramEnd"/>
      <w:r w:rsidRPr="0021017D">
        <w:rPr>
          <w:rFonts w:cstheme="minorHAnsi"/>
          <w:b/>
          <w:sz w:val="24"/>
        </w:rPr>
        <w:t xml:space="preserve"> and transplantation system</w:t>
      </w:r>
      <w:r w:rsidRPr="0021017D">
        <w:rPr>
          <w:rFonts w:cstheme="minorHAnsi"/>
          <w:sz w:val="24"/>
        </w:rPr>
        <w:t>.</w:t>
      </w:r>
      <w:r w:rsidR="00D06A29" w:rsidRPr="00D06A29">
        <w:rPr>
          <w:rFonts w:cstheme="minorHAnsi"/>
          <w:sz w:val="24"/>
          <w:lang w:eastAsia="en-AU"/>
        </w:rPr>
        <w:t xml:space="preserve"> </w:t>
      </w:r>
    </w:p>
    <w:p w14:paraId="3BC2A752" w14:textId="48E73471" w:rsidR="00090E96" w:rsidRPr="001612E9" w:rsidRDefault="00090E96" w:rsidP="00090E96">
      <w:pPr>
        <w:rPr>
          <w:sz w:val="24"/>
          <w:szCs w:val="24"/>
          <w:lang w:eastAsia="en-AU"/>
        </w:rPr>
      </w:pPr>
      <w:r w:rsidRPr="001612E9">
        <w:rPr>
          <w:sz w:val="24"/>
          <w:szCs w:val="24"/>
          <w:lang w:eastAsia="en-AU"/>
        </w:rPr>
        <w:t xml:space="preserve">All governments are committed to further work to build on the successes to date and continue the growth in organ donation with a focus on organ retrieval and transplantation services to meet Australia’s future needs. </w:t>
      </w:r>
    </w:p>
    <w:p w14:paraId="667758BF" w14:textId="46C3C3B5" w:rsidR="00281164" w:rsidRDefault="00281164" w:rsidP="009C0B9B">
      <w:pPr>
        <w:pStyle w:val="Heading1"/>
      </w:pPr>
      <w:bookmarkStart w:id="6" w:name="_Toc102482505"/>
      <w:bookmarkStart w:id="7" w:name="_Toc51921123"/>
      <w:r>
        <w:t>DEVELOPMENT OF THE STRATEGY</w:t>
      </w:r>
      <w:bookmarkEnd w:id="6"/>
    </w:p>
    <w:p w14:paraId="2A7D2D2F" w14:textId="5809D262" w:rsidR="00D06A29" w:rsidRDefault="00D06A29" w:rsidP="00281164">
      <w:pPr>
        <w:pStyle w:val="Heading2"/>
      </w:pPr>
      <w:bookmarkStart w:id="8" w:name="_Toc102482506"/>
      <w:bookmarkEnd w:id="7"/>
      <w:r>
        <w:t>Background</w:t>
      </w:r>
      <w:bookmarkEnd w:id="8"/>
    </w:p>
    <w:p w14:paraId="0BD8E26E" w14:textId="0AAE34B0" w:rsidR="00D06A29" w:rsidRPr="00CA2F84" w:rsidRDefault="00D06A29" w:rsidP="00CA2F84">
      <w:pPr>
        <w:rPr>
          <w:iCs/>
          <w:sz w:val="24"/>
          <w:szCs w:val="24"/>
          <w:lang w:val="en-US" w:eastAsia="en-AU"/>
        </w:rPr>
      </w:pPr>
      <w:r w:rsidRPr="001612E9">
        <w:rPr>
          <w:sz w:val="24"/>
          <w:szCs w:val="24"/>
          <w:lang w:eastAsia="en-AU"/>
        </w:rPr>
        <w:t>In 2017,</w:t>
      </w:r>
      <w:r>
        <w:rPr>
          <w:sz w:val="24"/>
          <w:szCs w:val="24"/>
          <w:lang w:eastAsia="en-AU"/>
        </w:rPr>
        <w:t xml:space="preserve"> </w:t>
      </w:r>
      <w:r w:rsidRPr="001612E9">
        <w:rPr>
          <w:sz w:val="24"/>
          <w:szCs w:val="24"/>
          <w:lang w:eastAsia="en-AU"/>
        </w:rPr>
        <w:t xml:space="preserve">academic literature and media reports highlighted the disparities in access to </w:t>
      </w:r>
      <w:r w:rsidR="00AD7870">
        <w:rPr>
          <w:sz w:val="24"/>
          <w:szCs w:val="24"/>
          <w:lang w:eastAsia="en-AU"/>
        </w:rPr>
        <w:t xml:space="preserve">organ </w:t>
      </w:r>
      <w:r w:rsidRPr="001612E9">
        <w:rPr>
          <w:sz w:val="24"/>
          <w:szCs w:val="24"/>
          <w:lang w:eastAsia="en-AU"/>
        </w:rPr>
        <w:t>transplantation</w:t>
      </w:r>
      <w:r>
        <w:rPr>
          <w:sz w:val="24"/>
          <w:szCs w:val="24"/>
          <w:lang w:eastAsia="en-AU"/>
        </w:rPr>
        <w:t>.</w:t>
      </w:r>
      <w:r w:rsidRPr="001612E9">
        <w:rPr>
          <w:rStyle w:val="FootnoteReference"/>
          <w:sz w:val="24"/>
          <w:szCs w:val="24"/>
          <w:lang w:eastAsia="en-AU"/>
        </w:rPr>
        <w:footnoteReference w:id="2"/>
      </w:r>
      <w:r w:rsidRPr="001612E9">
        <w:rPr>
          <w:sz w:val="24"/>
          <w:szCs w:val="24"/>
          <w:lang w:eastAsia="en-AU"/>
        </w:rPr>
        <w:t xml:space="preserve"> These articles raised the issue of inequitable access to transplant waiting lists for Aboriginal and Torres Strait Islander people and the added challenges experienced by patients in rural and remote areas of Australia. There was also evidence that the growth in donation activity</w:t>
      </w:r>
      <w:r w:rsidR="00AD7870">
        <w:rPr>
          <w:sz w:val="24"/>
          <w:szCs w:val="24"/>
          <w:lang w:eastAsia="en-AU"/>
        </w:rPr>
        <w:t xml:space="preserve"> over the preceding ten years</w:t>
      </w:r>
      <w:r w:rsidRPr="001612E9">
        <w:rPr>
          <w:sz w:val="24"/>
          <w:szCs w:val="24"/>
          <w:lang w:eastAsia="en-AU"/>
        </w:rPr>
        <w:t xml:space="preserve"> was placing pressure on retrieval and transplant services. Consequently, all governments agreed </w:t>
      </w:r>
      <w:r>
        <w:rPr>
          <w:sz w:val="24"/>
          <w:szCs w:val="24"/>
          <w:lang w:eastAsia="en-AU"/>
        </w:rPr>
        <w:t>to</w:t>
      </w:r>
      <w:r w:rsidRPr="001612E9">
        <w:rPr>
          <w:sz w:val="24"/>
          <w:szCs w:val="24"/>
          <w:lang w:eastAsia="en-AU"/>
        </w:rPr>
        <w:t xml:space="preserve"> a review to examine pre</w:t>
      </w:r>
      <w:r>
        <w:rPr>
          <w:sz w:val="24"/>
          <w:szCs w:val="24"/>
          <w:lang w:eastAsia="en-AU"/>
        </w:rPr>
        <w:t xml:space="preserve"> and </w:t>
      </w:r>
      <w:r w:rsidRPr="001612E9">
        <w:rPr>
          <w:sz w:val="24"/>
          <w:szCs w:val="24"/>
          <w:lang w:eastAsia="en-AU"/>
        </w:rPr>
        <w:t xml:space="preserve">post-transplantation services and identify barriers to equity of access to transplant wait lists and transplantation services. </w:t>
      </w:r>
    </w:p>
    <w:p w14:paraId="470C789C" w14:textId="02A92D6B" w:rsidR="00D06A29" w:rsidRDefault="00281164" w:rsidP="00CA2F84">
      <w:pPr>
        <w:pStyle w:val="Heading2"/>
        <w:rPr>
          <w:lang w:eastAsia="en-AU"/>
        </w:rPr>
      </w:pPr>
      <w:bookmarkStart w:id="9" w:name="_Toc102482507"/>
      <w:r>
        <w:lastRenderedPageBreak/>
        <w:t>The Review</w:t>
      </w:r>
      <w:bookmarkEnd w:id="9"/>
    </w:p>
    <w:p w14:paraId="59A8C5A7" w14:textId="0918FFBF" w:rsidR="009C0B9B" w:rsidRPr="001612E9" w:rsidRDefault="009C0B9B" w:rsidP="009C0B9B">
      <w:pPr>
        <w:rPr>
          <w:sz w:val="24"/>
          <w:szCs w:val="24"/>
          <w:lang w:eastAsia="en-AU"/>
        </w:rPr>
      </w:pPr>
      <w:r w:rsidRPr="001612E9">
        <w:rPr>
          <w:sz w:val="24"/>
          <w:szCs w:val="24"/>
          <w:lang w:eastAsia="en-AU"/>
        </w:rPr>
        <w:t xml:space="preserve">In 2018, all governments agreed a Review of the Australian organ donation, </w:t>
      </w:r>
      <w:proofErr w:type="gramStart"/>
      <w:r w:rsidRPr="001612E9">
        <w:rPr>
          <w:sz w:val="24"/>
          <w:szCs w:val="24"/>
          <w:lang w:eastAsia="en-AU"/>
        </w:rPr>
        <w:t>retrieval</w:t>
      </w:r>
      <w:proofErr w:type="gramEnd"/>
      <w:r w:rsidRPr="001612E9">
        <w:rPr>
          <w:sz w:val="24"/>
          <w:szCs w:val="24"/>
          <w:lang w:eastAsia="en-AU"/>
        </w:rPr>
        <w:t xml:space="preserve"> and transplantation system (the Review) </w:t>
      </w:r>
      <w:r w:rsidR="005244F6">
        <w:rPr>
          <w:sz w:val="24"/>
          <w:szCs w:val="24"/>
          <w:lang w:eastAsia="en-AU"/>
        </w:rPr>
        <w:t xml:space="preserve">to </w:t>
      </w:r>
      <w:r w:rsidRPr="001612E9">
        <w:rPr>
          <w:sz w:val="24"/>
          <w:szCs w:val="24"/>
          <w:lang w:eastAsia="en-AU"/>
        </w:rPr>
        <w:t xml:space="preserve">be conducted in two phases. Phase 1 involved a desktop and literature review and an extensive stakeholder consultation process. </w:t>
      </w:r>
    </w:p>
    <w:p w14:paraId="3AB388E3" w14:textId="1D16C080" w:rsidR="009C0B9B" w:rsidRPr="001612E9" w:rsidRDefault="009C0B9B" w:rsidP="009C0B9B">
      <w:pPr>
        <w:rPr>
          <w:rFonts w:cstheme="minorHAnsi"/>
          <w:sz w:val="24"/>
          <w:lang w:eastAsia="en-AU"/>
        </w:rPr>
      </w:pPr>
      <w:r w:rsidRPr="001612E9">
        <w:rPr>
          <w:rFonts w:cstheme="minorHAnsi"/>
          <w:sz w:val="24"/>
          <w:lang w:eastAsia="en-AU"/>
        </w:rPr>
        <w:t xml:space="preserve">On 21 February 2020, the </w:t>
      </w:r>
      <w:hyperlink r:id="rId10" w:history="1">
        <w:r w:rsidR="007631C4" w:rsidRPr="004A7395">
          <w:rPr>
            <w:rStyle w:val="Hyperlink"/>
            <w:i/>
            <w:sz w:val="24"/>
            <w:szCs w:val="24"/>
            <w:lang w:eastAsia="en-AU"/>
          </w:rPr>
          <w:t>Review of the Australian organ donation, retrieval and transplantation system Final Report</w:t>
        </w:r>
      </w:hyperlink>
      <w:r w:rsidR="007631C4">
        <w:rPr>
          <w:rStyle w:val="Hyperlink"/>
          <w:sz w:val="24"/>
          <w:szCs w:val="24"/>
          <w:u w:val="none"/>
          <w:lang w:eastAsia="en-AU"/>
        </w:rPr>
        <w:t xml:space="preserve"> </w:t>
      </w:r>
      <w:r w:rsidR="007631C4" w:rsidRPr="004A7395">
        <w:rPr>
          <w:rStyle w:val="Hyperlink"/>
          <w:color w:val="auto"/>
          <w:sz w:val="24"/>
          <w:szCs w:val="24"/>
          <w:u w:val="none"/>
          <w:lang w:eastAsia="en-AU"/>
        </w:rPr>
        <w:t>(Review Report)</w:t>
      </w:r>
      <w:r w:rsidRPr="004A7395">
        <w:rPr>
          <w:rStyle w:val="Hyperlink"/>
          <w:color w:val="auto"/>
          <w:sz w:val="24"/>
          <w:szCs w:val="24"/>
          <w:u w:val="none"/>
          <w:lang w:eastAsia="en-AU"/>
        </w:rPr>
        <w:t xml:space="preserve"> </w:t>
      </w:r>
      <w:r w:rsidRPr="001612E9">
        <w:rPr>
          <w:rStyle w:val="Hyperlink"/>
          <w:color w:val="auto"/>
          <w:sz w:val="24"/>
          <w:szCs w:val="24"/>
          <w:u w:val="none"/>
          <w:lang w:eastAsia="en-AU"/>
        </w:rPr>
        <w:t>and</w:t>
      </w:r>
      <w:r w:rsidRPr="001612E9">
        <w:rPr>
          <w:rFonts w:cstheme="minorHAnsi"/>
          <w:sz w:val="24"/>
          <w:lang w:eastAsia="en-AU"/>
        </w:rPr>
        <w:t xml:space="preserve"> an All Governments’ Statement </w:t>
      </w:r>
      <w:r w:rsidR="007631C4">
        <w:rPr>
          <w:rFonts w:cstheme="minorHAnsi"/>
          <w:sz w:val="24"/>
          <w:lang w:eastAsia="en-AU"/>
        </w:rPr>
        <w:t xml:space="preserve">responding to the Review Report </w:t>
      </w:r>
      <w:r w:rsidRPr="001612E9">
        <w:rPr>
          <w:rFonts w:cstheme="minorHAnsi"/>
          <w:sz w:val="24"/>
          <w:lang w:eastAsia="en-AU"/>
        </w:rPr>
        <w:t>were published on the Commonwealth Department of Health’s website. In the statement, Commonwealth and state and territory governments acknowledged the issues identified and agreed to thoroughly consider and assess the 57 recommendations while developing a future national strategy for the system.</w:t>
      </w:r>
    </w:p>
    <w:p w14:paraId="1497318D" w14:textId="25F76708" w:rsidR="009C0B9B" w:rsidRPr="001612E9" w:rsidRDefault="009C0B9B" w:rsidP="009C0B9B">
      <w:pPr>
        <w:rPr>
          <w:sz w:val="24"/>
          <w:szCs w:val="24"/>
          <w:lang w:eastAsia="en-AU"/>
        </w:rPr>
      </w:pPr>
      <w:r w:rsidRPr="001612E9">
        <w:rPr>
          <w:sz w:val="24"/>
          <w:szCs w:val="24"/>
          <w:lang w:eastAsia="en-AU"/>
        </w:rPr>
        <w:t>The Review Report found that rapid growth within the donation sector has placed downstream pressure on the retrieval and transplantation system, limiting the ability of the system to maintain growth and meet future demand. The Review Report found variability in retrieval and transplantation practice and performance across Australia</w:t>
      </w:r>
      <w:r w:rsidR="00EA2071">
        <w:rPr>
          <w:sz w:val="24"/>
          <w:szCs w:val="24"/>
          <w:lang w:eastAsia="en-AU"/>
        </w:rPr>
        <w:t xml:space="preserve"> and</w:t>
      </w:r>
      <w:r w:rsidRPr="001612E9">
        <w:rPr>
          <w:sz w:val="24"/>
          <w:szCs w:val="24"/>
          <w:lang w:eastAsia="en-AU"/>
        </w:rPr>
        <w:t xml:space="preserve"> recommended a nationally coordinated effort to improve access to transplantation. It also recommended that to reduce inequities, a focus on detailed strategies to improve access to transplantation for Aboriginal and Torres Strait Islander Australians and Australians living in rural and remote locations was needed.</w:t>
      </w:r>
    </w:p>
    <w:p w14:paraId="0754B3D6" w14:textId="77777777" w:rsidR="009C0B9B" w:rsidRPr="001612E9" w:rsidRDefault="009C0B9B" w:rsidP="009C0B9B">
      <w:pPr>
        <w:rPr>
          <w:sz w:val="24"/>
          <w:szCs w:val="24"/>
          <w:lang w:eastAsia="en-AU"/>
        </w:rPr>
      </w:pPr>
      <w:r w:rsidRPr="001612E9">
        <w:rPr>
          <w:sz w:val="24"/>
          <w:szCs w:val="24"/>
          <w:lang w:eastAsia="en-AU"/>
        </w:rPr>
        <w:t>The Review Report identified three key priorities for action:</w:t>
      </w:r>
    </w:p>
    <w:p w14:paraId="5783C267" w14:textId="77777777" w:rsidR="009C0B9B" w:rsidRPr="001612E9" w:rsidRDefault="009C0B9B" w:rsidP="009C0B9B">
      <w:pPr>
        <w:pStyle w:val="ListParagraph"/>
        <w:numPr>
          <w:ilvl w:val="0"/>
          <w:numId w:val="1"/>
        </w:numPr>
        <w:rPr>
          <w:sz w:val="24"/>
          <w:szCs w:val="24"/>
          <w:lang w:eastAsia="en-AU"/>
        </w:rPr>
      </w:pPr>
      <w:r w:rsidRPr="001612E9">
        <w:rPr>
          <w:sz w:val="24"/>
          <w:szCs w:val="24"/>
          <w:lang w:eastAsia="en-AU"/>
        </w:rPr>
        <w:t>An organised, nationally driven strategy to meet the increase in organ transplantation demand</w:t>
      </w:r>
    </w:p>
    <w:p w14:paraId="74C5C2F4" w14:textId="77777777" w:rsidR="009C0B9B" w:rsidRPr="001612E9" w:rsidRDefault="009C0B9B" w:rsidP="009C0B9B">
      <w:pPr>
        <w:pStyle w:val="ListParagraph"/>
        <w:numPr>
          <w:ilvl w:val="0"/>
          <w:numId w:val="1"/>
        </w:numPr>
        <w:rPr>
          <w:sz w:val="24"/>
          <w:szCs w:val="24"/>
          <w:lang w:eastAsia="en-AU"/>
        </w:rPr>
      </w:pPr>
      <w:r w:rsidRPr="001612E9">
        <w:rPr>
          <w:sz w:val="24"/>
          <w:szCs w:val="24"/>
          <w:lang w:eastAsia="en-AU"/>
        </w:rPr>
        <w:t>Governance to optimise future growth and sustainability of the donation, retrieval and transplantation system</w:t>
      </w:r>
    </w:p>
    <w:p w14:paraId="61D50D2A" w14:textId="77777777" w:rsidR="009C0B9B" w:rsidRPr="001612E9" w:rsidRDefault="009C0B9B" w:rsidP="009C0B9B">
      <w:pPr>
        <w:pStyle w:val="ListParagraph"/>
        <w:numPr>
          <w:ilvl w:val="0"/>
          <w:numId w:val="1"/>
        </w:numPr>
        <w:rPr>
          <w:sz w:val="24"/>
          <w:szCs w:val="24"/>
          <w:lang w:eastAsia="en-AU"/>
        </w:rPr>
      </w:pPr>
      <w:r w:rsidRPr="001612E9">
        <w:rPr>
          <w:sz w:val="24"/>
          <w:szCs w:val="24"/>
          <w:lang w:eastAsia="en-AU"/>
        </w:rPr>
        <w:t>A nationally driven approach to improve organ donation and transplantation rates among Aboriginal and Torres Strait Islander Australians and Australians who live in rural and remote locations.</w:t>
      </w:r>
    </w:p>
    <w:p w14:paraId="4566EE48" w14:textId="77777777" w:rsidR="00E204F4" w:rsidRDefault="00E204F4" w:rsidP="00E204F4">
      <w:pPr>
        <w:pStyle w:val="Heading2"/>
      </w:pPr>
      <w:bookmarkStart w:id="10" w:name="_Toc102482508"/>
      <w:r>
        <w:t>Jurisdictional Organ Donation, Retrieval and Transplantation Steering Committee</w:t>
      </w:r>
      <w:bookmarkEnd w:id="10"/>
    </w:p>
    <w:p w14:paraId="18D01AD2" w14:textId="0CE3B935" w:rsidR="00E204F4" w:rsidRPr="00053C97" w:rsidRDefault="00E204F4" w:rsidP="00053C97">
      <w:pPr>
        <w:rPr>
          <w:sz w:val="24"/>
        </w:rPr>
      </w:pPr>
      <w:r w:rsidRPr="00053C97">
        <w:rPr>
          <w:sz w:val="24"/>
        </w:rPr>
        <w:t xml:space="preserve">In October 2019, all Australian governments agreed to the establishment of a steering committee to oversee Phase 2 of the </w:t>
      </w:r>
      <w:proofErr w:type="gramStart"/>
      <w:r w:rsidRPr="00053C97">
        <w:rPr>
          <w:sz w:val="24"/>
        </w:rPr>
        <w:t>Review</w:t>
      </w:r>
      <w:r w:rsidR="00EA2071">
        <w:rPr>
          <w:sz w:val="24"/>
        </w:rPr>
        <w:t>;</w:t>
      </w:r>
      <w:proofErr w:type="gramEnd"/>
      <w:r w:rsidR="00DE0DB8">
        <w:rPr>
          <w:sz w:val="24"/>
        </w:rPr>
        <w:t xml:space="preserve"> </w:t>
      </w:r>
      <w:r w:rsidRPr="00053C97">
        <w:rPr>
          <w:sz w:val="24"/>
        </w:rPr>
        <w:t xml:space="preserve">the development of a national strategy for the Australian organ donation, retrieval and transplantation system. The committee comprises representation from all states and territories and the OTA and is chaired by the Commonwealth Department of Health. </w:t>
      </w:r>
    </w:p>
    <w:p w14:paraId="02A1BBE4" w14:textId="1744DD67" w:rsidR="00053742" w:rsidRDefault="00053742" w:rsidP="00053C97">
      <w:pPr>
        <w:rPr>
          <w:sz w:val="24"/>
        </w:rPr>
      </w:pPr>
      <w:r w:rsidRPr="00053C97">
        <w:rPr>
          <w:sz w:val="24"/>
        </w:rPr>
        <w:t xml:space="preserve">The committee has met as required since January 2020 and has completed extensive work out of session. </w:t>
      </w:r>
    </w:p>
    <w:p w14:paraId="60DE2008" w14:textId="77777777" w:rsidR="00D06A29" w:rsidRPr="001612E9" w:rsidRDefault="00D06A29" w:rsidP="00D06A29">
      <w:pPr>
        <w:pStyle w:val="Heading2"/>
      </w:pPr>
      <w:bookmarkStart w:id="11" w:name="_Toc102482509"/>
      <w:r>
        <w:lastRenderedPageBreak/>
        <w:t>The Eye and Tissue Sector</w:t>
      </w:r>
      <w:bookmarkEnd w:id="11"/>
    </w:p>
    <w:p w14:paraId="447FB98F" w14:textId="77777777" w:rsidR="00D06A29" w:rsidRPr="001612E9" w:rsidRDefault="00D06A29" w:rsidP="00D06A29">
      <w:pPr>
        <w:rPr>
          <w:rFonts w:cstheme="minorHAnsi"/>
          <w:sz w:val="24"/>
        </w:rPr>
      </w:pPr>
      <w:r w:rsidRPr="001612E9">
        <w:rPr>
          <w:rFonts w:cstheme="minorHAnsi"/>
          <w:sz w:val="24"/>
        </w:rPr>
        <w:t>In 2016, the PricewaterhouseCoopers Analysis of the Australian tissue sector</w:t>
      </w:r>
      <w:r w:rsidRPr="001612E9">
        <w:rPr>
          <w:rStyle w:val="FootnoteReference"/>
          <w:rFonts w:cstheme="minorHAnsi"/>
          <w:sz w:val="24"/>
        </w:rPr>
        <w:footnoteReference w:id="3"/>
      </w:r>
      <w:r w:rsidRPr="001612E9">
        <w:rPr>
          <w:rFonts w:cstheme="minorHAnsi"/>
          <w:sz w:val="24"/>
        </w:rPr>
        <w:t xml:space="preserve"> was finalised. </w:t>
      </w:r>
      <w:r>
        <w:rPr>
          <w:rFonts w:cstheme="minorHAnsi"/>
          <w:sz w:val="24"/>
        </w:rPr>
        <w:t xml:space="preserve">In response, </w:t>
      </w:r>
      <w:r w:rsidRPr="000073E4">
        <w:rPr>
          <w:rFonts w:cstheme="minorHAnsi"/>
          <w:sz w:val="24"/>
          <w:lang w:val="en-US"/>
        </w:rPr>
        <w:t xml:space="preserve">all governments agreed to a </w:t>
      </w:r>
      <w:r w:rsidRPr="001612E9">
        <w:rPr>
          <w:rFonts w:cstheme="minorHAnsi"/>
          <w:i/>
          <w:sz w:val="24"/>
        </w:rPr>
        <w:t xml:space="preserve">National Eye and Tissue Sector Framework </w:t>
      </w:r>
      <w:r>
        <w:rPr>
          <w:rFonts w:cstheme="minorHAnsi"/>
          <w:i/>
          <w:sz w:val="24"/>
        </w:rPr>
        <w:br/>
      </w:r>
      <w:r w:rsidRPr="001612E9">
        <w:rPr>
          <w:rFonts w:cstheme="minorHAnsi"/>
          <w:sz w:val="24"/>
        </w:rPr>
        <w:t xml:space="preserve">(the Framework). </w:t>
      </w:r>
    </w:p>
    <w:p w14:paraId="72FE76F1" w14:textId="77777777" w:rsidR="00D06A29" w:rsidRPr="001612E9" w:rsidRDefault="00D06A29" w:rsidP="00D06A29">
      <w:pPr>
        <w:rPr>
          <w:rFonts w:cstheme="minorHAnsi"/>
          <w:sz w:val="24"/>
        </w:rPr>
      </w:pPr>
      <w:r w:rsidRPr="001612E9">
        <w:rPr>
          <w:rFonts w:cstheme="minorHAnsi"/>
          <w:sz w:val="24"/>
        </w:rPr>
        <w:t xml:space="preserve">The Framework sets national objectives that will support greater consistency and oversight for the eye and tissue sector. As a key component of Australia’s organ and tissue arrangements, the Framework supports key improvements in </w:t>
      </w:r>
      <w:r>
        <w:rPr>
          <w:rFonts w:cstheme="minorHAnsi"/>
          <w:sz w:val="24"/>
        </w:rPr>
        <w:t>areas of the eye and tissue</w:t>
      </w:r>
      <w:r w:rsidRPr="001612E9">
        <w:rPr>
          <w:rFonts w:cstheme="minorHAnsi"/>
          <w:sz w:val="24"/>
        </w:rPr>
        <w:t xml:space="preserve"> sector that are also </w:t>
      </w:r>
      <w:r>
        <w:rPr>
          <w:rFonts w:cstheme="minorHAnsi"/>
          <w:sz w:val="24"/>
        </w:rPr>
        <w:t>reflected</w:t>
      </w:r>
      <w:r w:rsidRPr="001612E9">
        <w:rPr>
          <w:rFonts w:cstheme="minorHAnsi"/>
          <w:sz w:val="24"/>
        </w:rPr>
        <w:t xml:space="preserve"> in this Strategy.</w:t>
      </w:r>
    </w:p>
    <w:p w14:paraId="2725ED25" w14:textId="77777777" w:rsidR="00D06A29" w:rsidRDefault="00D06A29" w:rsidP="00D06A29">
      <w:pPr>
        <w:pStyle w:val="Heading2"/>
        <w:rPr>
          <w:lang w:eastAsia="en-AU"/>
        </w:rPr>
      </w:pPr>
      <w:bookmarkStart w:id="12" w:name="_Toc102482510"/>
      <w:r>
        <w:rPr>
          <w:lang w:eastAsia="en-AU"/>
        </w:rPr>
        <w:t>COVID-19</w:t>
      </w:r>
      <w:bookmarkEnd w:id="12"/>
    </w:p>
    <w:p w14:paraId="75076600" w14:textId="6EAFD954" w:rsidR="00D06A29" w:rsidRDefault="00D06A29" w:rsidP="00D06A29">
      <w:pPr>
        <w:rPr>
          <w:rFonts w:ascii="Calibri" w:eastAsiaTheme="minorHAnsi" w:hAnsi="Calibri" w:cs="Calibri"/>
          <w:sz w:val="24"/>
          <w:szCs w:val="24"/>
          <w:lang w:eastAsia="en-AU"/>
        </w:rPr>
      </w:pPr>
      <w:r>
        <w:rPr>
          <w:sz w:val="24"/>
          <w:szCs w:val="24"/>
          <w:lang w:eastAsia="en-AU"/>
        </w:rPr>
        <w:t xml:space="preserve">The impact of the COVID-19 pandemic on the sector resulted in a 12 per cent decline in the number of Australians receiving a life-saving transplant in 2020. Impacts included the brief suspension of adult kidney and pancreas transplant programs and navigating the </w:t>
      </w:r>
      <w:r w:rsidR="00305809">
        <w:rPr>
          <w:sz w:val="24"/>
          <w:szCs w:val="24"/>
          <w:lang w:eastAsia="en-AU"/>
        </w:rPr>
        <w:t xml:space="preserve">logistics and other COVID-19 related </w:t>
      </w:r>
      <w:r>
        <w:rPr>
          <w:sz w:val="24"/>
          <w:szCs w:val="24"/>
          <w:lang w:eastAsia="en-AU"/>
        </w:rPr>
        <w:t xml:space="preserve">challenges </w:t>
      </w:r>
      <w:r w:rsidR="00305809">
        <w:rPr>
          <w:sz w:val="24"/>
          <w:szCs w:val="24"/>
          <w:lang w:eastAsia="en-AU"/>
        </w:rPr>
        <w:t>experienced by</w:t>
      </w:r>
      <w:r w:rsidR="00B16B1D">
        <w:rPr>
          <w:sz w:val="24"/>
          <w:szCs w:val="24"/>
          <w:lang w:eastAsia="en-AU"/>
        </w:rPr>
        <w:t xml:space="preserve"> the</w:t>
      </w:r>
      <w:r w:rsidR="00305809">
        <w:rPr>
          <w:sz w:val="24"/>
          <w:szCs w:val="24"/>
          <w:lang w:eastAsia="en-AU"/>
        </w:rPr>
        <w:t xml:space="preserve"> health system</w:t>
      </w:r>
      <w:r>
        <w:rPr>
          <w:sz w:val="24"/>
          <w:szCs w:val="24"/>
          <w:lang w:eastAsia="en-AU"/>
        </w:rPr>
        <w:t xml:space="preserve">. </w:t>
      </w:r>
    </w:p>
    <w:p w14:paraId="0F189B3A" w14:textId="5A067A11" w:rsidR="00D06A29" w:rsidRPr="00053C97" w:rsidRDefault="00D06A29" w:rsidP="00D06A29">
      <w:pPr>
        <w:rPr>
          <w:sz w:val="24"/>
        </w:rPr>
      </w:pPr>
      <w:r>
        <w:rPr>
          <w:rFonts w:cstheme="minorHAnsi"/>
          <w:sz w:val="24"/>
          <w:lang w:eastAsia="en-AU"/>
        </w:rPr>
        <w:t>Development of the Strategy included consideration of the impacts of the COVID-19 pandemic. Further consideration of the impacts will be necessary throughout</w:t>
      </w:r>
      <w:r w:rsidR="001270DE">
        <w:rPr>
          <w:rFonts w:cstheme="minorHAnsi"/>
          <w:sz w:val="24"/>
          <w:lang w:eastAsia="en-AU"/>
        </w:rPr>
        <w:t xml:space="preserve"> implementation of</w:t>
      </w:r>
      <w:r>
        <w:rPr>
          <w:rFonts w:cstheme="minorHAnsi"/>
          <w:sz w:val="24"/>
          <w:lang w:eastAsia="en-AU"/>
        </w:rPr>
        <w:t xml:space="preserve"> the Strategy. </w:t>
      </w:r>
    </w:p>
    <w:p w14:paraId="11B1C5E4" w14:textId="77777777" w:rsidR="00053742" w:rsidRDefault="00053742" w:rsidP="00053C97">
      <w:pPr>
        <w:pStyle w:val="Heading2"/>
      </w:pPr>
      <w:bookmarkStart w:id="13" w:name="_Toc102482511"/>
      <w:r>
        <w:t>Consultation outcomes</w:t>
      </w:r>
      <w:bookmarkEnd w:id="13"/>
    </w:p>
    <w:p w14:paraId="6C0167D0" w14:textId="77777777" w:rsidR="00053742" w:rsidRPr="00053C97" w:rsidRDefault="00053742" w:rsidP="00053C97">
      <w:pPr>
        <w:rPr>
          <w:i/>
          <w:sz w:val="24"/>
        </w:rPr>
      </w:pPr>
      <w:r w:rsidRPr="00053C97">
        <w:rPr>
          <w:i/>
          <w:sz w:val="24"/>
        </w:rPr>
        <w:t>To be completed following consultation</w:t>
      </w:r>
    </w:p>
    <w:p w14:paraId="0CF878F2" w14:textId="77777777" w:rsidR="009C0B9B" w:rsidRPr="001612E9" w:rsidRDefault="00053742" w:rsidP="00053C97">
      <w:pPr>
        <w:pStyle w:val="Heading2"/>
        <w:rPr>
          <w:lang w:eastAsia="en-AU"/>
        </w:rPr>
      </w:pPr>
      <w:bookmarkStart w:id="14" w:name="_Toc102482512"/>
      <w:r>
        <w:rPr>
          <w:lang w:eastAsia="en-AU"/>
        </w:rPr>
        <w:t>The Strategy</w:t>
      </w:r>
      <w:bookmarkEnd w:id="14"/>
    </w:p>
    <w:p w14:paraId="3344A26C" w14:textId="77777777" w:rsidR="00FA518B" w:rsidRDefault="009C0B9B" w:rsidP="009C0B9B">
      <w:pPr>
        <w:rPr>
          <w:sz w:val="24"/>
          <w:szCs w:val="24"/>
          <w:lang w:eastAsia="en-AU"/>
        </w:rPr>
      </w:pPr>
      <w:r w:rsidRPr="001612E9">
        <w:rPr>
          <w:sz w:val="24"/>
          <w:szCs w:val="24"/>
          <w:lang w:eastAsia="en-AU"/>
        </w:rPr>
        <w:t>This Strategy is</w:t>
      </w:r>
      <w:r w:rsidR="00053742">
        <w:rPr>
          <w:sz w:val="24"/>
          <w:szCs w:val="24"/>
          <w:lang w:eastAsia="en-AU"/>
        </w:rPr>
        <w:t xml:space="preserve"> Phase 2 of the Review and is</w:t>
      </w:r>
      <w:r w:rsidRPr="001612E9">
        <w:rPr>
          <w:sz w:val="24"/>
          <w:szCs w:val="24"/>
          <w:lang w:eastAsia="en-AU"/>
        </w:rPr>
        <w:t xml:space="preserve"> the response of all Australian governments to address the three key priorities for action from the Review Report. Its development follows consultation with all governments, the OTA, and clinical and community stakeholders</w:t>
      </w:r>
      <w:r w:rsidR="00FA518B">
        <w:rPr>
          <w:sz w:val="24"/>
          <w:szCs w:val="24"/>
          <w:lang w:eastAsia="en-AU"/>
        </w:rPr>
        <w:t xml:space="preserve"> (</w:t>
      </w:r>
      <w:r w:rsidR="00FA518B" w:rsidRPr="00DE0DB8">
        <w:rPr>
          <w:i/>
          <w:sz w:val="24"/>
          <w:szCs w:val="24"/>
          <w:lang w:eastAsia="en-AU"/>
        </w:rPr>
        <w:t>consultation process to occur on this draft</w:t>
      </w:r>
      <w:r w:rsidR="00FA518B">
        <w:rPr>
          <w:sz w:val="24"/>
          <w:szCs w:val="24"/>
          <w:lang w:eastAsia="en-AU"/>
        </w:rPr>
        <w:t>)</w:t>
      </w:r>
      <w:r w:rsidRPr="001612E9">
        <w:rPr>
          <w:sz w:val="24"/>
          <w:szCs w:val="24"/>
          <w:lang w:eastAsia="en-AU"/>
        </w:rPr>
        <w:t xml:space="preserve">. </w:t>
      </w:r>
    </w:p>
    <w:p w14:paraId="6B17E026" w14:textId="00639D0C" w:rsidR="009C0B9B" w:rsidRPr="001612E9" w:rsidRDefault="009C0B9B" w:rsidP="00B14688">
      <w:pPr>
        <w:keepNext/>
        <w:rPr>
          <w:sz w:val="24"/>
          <w:szCs w:val="24"/>
          <w:lang w:eastAsia="en-AU"/>
        </w:rPr>
      </w:pPr>
      <w:r w:rsidRPr="001612E9">
        <w:rPr>
          <w:sz w:val="24"/>
          <w:szCs w:val="24"/>
          <w:lang w:eastAsia="en-AU"/>
        </w:rPr>
        <w:t xml:space="preserve">Governments have identified </w:t>
      </w:r>
      <w:r w:rsidR="00E4713D">
        <w:rPr>
          <w:sz w:val="24"/>
          <w:szCs w:val="24"/>
          <w:lang w:eastAsia="en-AU"/>
        </w:rPr>
        <w:t>four</w:t>
      </w:r>
      <w:r w:rsidRPr="001612E9">
        <w:rPr>
          <w:sz w:val="24"/>
          <w:szCs w:val="24"/>
          <w:lang w:eastAsia="en-AU"/>
        </w:rPr>
        <w:t xml:space="preserve"> Priority Areas, which will provide the future direction for the Australian organ donation, retrieval and transplantation sector:</w:t>
      </w:r>
    </w:p>
    <w:p w14:paraId="0DFF069F" w14:textId="77777777" w:rsidR="009C0B9B" w:rsidRPr="001612E9" w:rsidRDefault="009C0B9B" w:rsidP="009C0B9B">
      <w:pPr>
        <w:pStyle w:val="ListParagraph"/>
        <w:numPr>
          <w:ilvl w:val="0"/>
          <w:numId w:val="2"/>
        </w:numPr>
        <w:rPr>
          <w:sz w:val="24"/>
          <w:szCs w:val="24"/>
          <w:lang w:eastAsia="en-AU"/>
        </w:rPr>
      </w:pPr>
      <w:r w:rsidRPr="001612E9">
        <w:rPr>
          <w:sz w:val="24"/>
          <w:szCs w:val="24"/>
          <w:lang w:eastAsia="en-AU"/>
        </w:rPr>
        <w:t>A national approach to optimise organ donation, retrieval and transplantation</w:t>
      </w:r>
    </w:p>
    <w:p w14:paraId="0BADBC22" w14:textId="047DC9BF" w:rsidR="009C0B9B" w:rsidRPr="001612E9" w:rsidRDefault="009C0B9B" w:rsidP="009C0B9B">
      <w:pPr>
        <w:pStyle w:val="ListParagraph"/>
        <w:numPr>
          <w:ilvl w:val="0"/>
          <w:numId w:val="2"/>
        </w:numPr>
        <w:rPr>
          <w:sz w:val="24"/>
          <w:szCs w:val="24"/>
          <w:lang w:eastAsia="en-AU"/>
        </w:rPr>
      </w:pPr>
      <w:r w:rsidRPr="001612E9">
        <w:rPr>
          <w:sz w:val="24"/>
          <w:szCs w:val="24"/>
          <w:lang w:eastAsia="en-AU"/>
        </w:rPr>
        <w:t xml:space="preserve">Equitable access for Australians who would benefit from </w:t>
      </w:r>
      <w:r w:rsidR="00CF3EEF">
        <w:rPr>
          <w:sz w:val="24"/>
          <w:szCs w:val="24"/>
          <w:lang w:eastAsia="en-AU"/>
        </w:rPr>
        <w:t xml:space="preserve">organ </w:t>
      </w:r>
      <w:r w:rsidRPr="001612E9">
        <w:rPr>
          <w:sz w:val="24"/>
          <w:szCs w:val="24"/>
          <w:lang w:eastAsia="en-AU"/>
        </w:rPr>
        <w:t xml:space="preserve">transplantation, with a focus on Aboriginal and Torres Strait Islander people and those living in rural, regional and remote areas </w:t>
      </w:r>
    </w:p>
    <w:p w14:paraId="23172AF0" w14:textId="504EE300" w:rsidR="009C0B9B" w:rsidRPr="001612E9" w:rsidRDefault="009C0B9B" w:rsidP="009C0B9B">
      <w:pPr>
        <w:pStyle w:val="ListParagraph"/>
        <w:numPr>
          <w:ilvl w:val="0"/>
          <w:numId w:val="2"/>
        </w:numPr>
        <w:rPr>
          <w:sz w:val="24"/>
          <w:szCs w:val="24"/>
          <w:lang w:eastAsia="en-AU"/>
        </w:rPr>
      </w:pPr>
      <w:r w:rsidRPr="001612E9">
        <w:rPr>
          <w:sz w:val="24"/>
          <w:szCs w:val="24"/>
          <w:lang w:eastAsia="en-AU"/>
        </w:rPr>
        <w:t>Enhanced organ retrieval and transplantation capability and capacity to optimise transplant outcomes</w:t>
      </w:r>
    </w:p>
    <w:p w14:paraId="4AD6F0B6" w14:textId="7F977702" w:rsidR="009C0B9B" w:rsidRPr="001612E9" w:rsidRDefault="009C0B9B" w:rsidP="009C0B9B">
      <w:pPr>
        <w:pStyle w:val="ListParagraph"/>
        <w:numPr>
          <w:ilvl w:val="0"/>
          <w:numId w:val="2"/>
        </w:numPr>
        <w:rPr>
          <w:sz w:val="24"/>
          <w:szCs w:val="24"/>
          <w:lang w:eastAsia="en-AU"/>
        </w:rPr>
      </w:pPr>
      <w:r w:rsidRPr="001612E9">
        <w:rPr>
          <w:sz w:val="24"/>
          <w:szCs w:val="24"/>
          <w:lang w:eastAsia="en-AU"/>
        </w:rPr>
        <w:t>Enhanced systems and data collection and reporting to drive clinical best practice</w:t>
      </w:r>
      <w:r w:rsidR="006340BE">
        <w:rPr>
          <w:sz w:val="24"/>
          <w:szCs w:val="24"/>
          <w:lang w:eastAsia="en-AU"/>
        </w:rPr>
        <w:t>.</w:t>
      </w:r>
      <w:r w:rsidRPr="001612E9">
        <w:rPr>
          <w:sz w:val="24"/>
          <w:szCs w:val="24"/>
          <w:lang w:eastAsia="en-AU"/>
        </w:rPr>
        <w:t xml:space="preserve"> </w:t>
      </w:r>
    </w:p>
    <w:p w14:paraId="32DD4072" w14:textId="7EA8E849" w:rsidR="009C0B9B" w:rsidRDefault="009C0B9B" w:rsidP="009C0B9B">
      <w:pPr>
        <w:rPr>
          <w:sz w:val="24"/>
          <w:szCs w:val="24"/>
          <w:lang w:eastAsia="en-AU"/>
        </w:rPr>
      </w:pPr>
      <w:r w:rsidRPr="001612E9">
        <w:rPr>
          <w:sz w:val="24"/>
          <w:szCs w:val="24"/>
          <w:lang w:eastAsia="en-AU"/>
        </w:rPr>
        <w:t xml:space="preserve">Underpinning the Priority Areas are </w:t>
      </w:r>
      <w:r w:rsidR="00E4713D">
        <w:rPr>
          <w:sz w:val="24"/>
          <w:szCs w:val="24"/>
          <w:lang w:eastAsia="en-AU"/>
        </w:rPr>
        <w:t>nine</w:t>
      </w:r>
      <w:r w:rsidRPr="001612E9">
        <w:rPr>
          <w:sz w:val="24"/>
          <w:szCs w:val="24"/>
          <w:lang w:eastAsia="en-AU"/>
        </w:rPr>
        <w:t xml:space="preserve"> Goals that provide a clear statement of the outcomes all governments are aiming to achieve through this Strategy. </w:t>
      </w:r>
      <w:r w:rsidR="00053742">
        <w:rPr>
          <w:sz w:val="24"/>
          <w:szCs w:val="24"/>
          <w:lang w:eastAsia="en-AU"/>
        </w:rPr>
        <w:t>Actions</w:t>
      </w:r>
      <w:r w:rsidR="00477B52">
        <w:rPr>
          <w:sz w:val="24"/>
          <w:szCs w:val="24"/>
          <w:lang w:eastAsia="en-AU"/>
        </w:rPr>
        <w:t>,</w:t>
      </w:r>
      <w:r w:rsidR="00053742">
        <w:rPr>
          <w:sz w:val="24"/>
          <w:szCs w:val="24"/>
          <w:lang w:eastAsia="en-AU"/>
        </w:rPr>
        <w:t xml:space="preserve"> to be agreed by all governments</w:t>
      </w:r>
      <w:r w:rsidR="00477B52">
        <w:rPr>
          <w:sz w:val="24"/>
          <w:szCs w:val="24"/>
          <w:lang w:eastAsia="en-AU"/>
        </w:rPr>
        <w:t>,</w:t>
      </w:r>
      <w:r w:rsidR="00053742">
        <w:rPr>
          <w:sz w:val="24"/>
          <w:szCs w:val="24"/>
          <w:lang w:eastAsia="en-AU"/>
        </w:rPr>
        <w:t xml:space="preserve"> </w:t>
      </w:r>
      <w:r w:rsidR="00477B52">
        <w:rPr>
          <w:sz w:val="24"/>
          <w:szCs w:val="24"/>
          <w:lang w:eastAsia="en-AU"/>
        </w:rPr>
        <w:t xml:space="preserve">will be </w:t>
      </w:r>
      <w:r w:rsidR="00053742">
        <w:rPr>
          <w:sz w:val="24"/>
          <w:szCs w:val="24"/>
          <w:lang w:eastAsia="en-AU"/>
        </w:rPr>
        <w:t xml:space="preserve">detailed in </w:t>
      </w:r>
      <w:r w:rsidR="00F77C92">
        <w:rPr>
          <w:sz w:val="24"/>
          <w:szCs w:val="24"/>
          <w:lang w:eastAsia="en-AU"/>
        </w:rPr>
        <w:t>a</w:t>
      </w:r>
      <w:r w:rsidR="00053742">
        <w:rPr>
          <w:sz w:val="24"/>
          <w:szCs w:val="24"/>
          <w:lang w:eastAsia="en-AU"/>
        </w:rPr>
        <w:t xml:space="preserve"> forthcoming Implementation Plan </w:t>
      </w:r>
      <w:r w:rsidR="00363701">
        <w:rPr>
          <w:sz w:val="24"/>
          <w:szCs w:val="24"/>
          <w:lang w:eastAsia="en-AU"/>
        </w:rPr>
        <w:t xml:space="preserve">to enable </w:t>
      </w:r>
      <w:r w:rsidR="00F77C92">
        <w:rPr>
          <w:sz w:val="24"/>
          <w:szCs w:val="24"/>
          <w:lang w:eastAsia="en-AU"/>
        </w:rPr>
        <w:t xml:space="preserve">delivery of </w:t>
      </w:r>
      <w:r w:rsidR="00053742">
        <w:rPr>
          <w:sz w:val="24"/>
          <w:szCs w:val="24"/>
          <w:lang w:eastAsia="en-AU"/>
        </w:rPr>
        <w:t xml:space="preserve">these goals. </w:t>
      </w:r>
    </w:p>
    <w:p w14:paraId="6CFE3672" w14:textId="69D28EC0" w:rsidR="00053742" w:rsidRPr="00AA7985" w:rsidRDefault="00B16B1D" w:rsidP="00053742">
      <w:pPr>
        <w:pStyle w:val="Heading2"/>
      </w:pPr>
      <w:bookmarkStart w:id="15" w:name="_Toc102482513"/>
      <w:r>
        <w:lastRenderedPageBreak/>
        <w:t>Transition</w:t>
      </w:r>
      <w:r w:rsidR="00053742">
        <w:t xml:space="preserve"> Action Plan</w:t>
      </w:r>
      <w:bookmarkEnd w:id="15"/>
    </w:p>
    <w:p w14:paraId="6F7B95DE" w14:textId="5BB9F231" w:rsidR="00053742" w:rsidRPr="00EC1BAD" w:rsidRDefault="00053C97" w:rsidP="00053742">
      <w:pPr>
        <w:rPr>
          <w:rFonts w:cstheme="minorHAnsi"/>
          <w:sz w:val="24"/>
          <w:szCs w:val="24"/>
        </w:rPr>
      </w:pPr>
      <w:r>
        <w:rPr>
          <w:rFonts w:cstheme="minorHAnsi"/>
          <w:sz w:val="24"/>
          <w:szCs w:val="24"/>
        </w:rPr>
        <w:t xml:space="preserve">The </w:t>
      </w:r>
      <w:r w:rsidR="00B16B1D">
        <w:rPr>
          <w:rFonts w:cstheme="minorHAnsi"/>
          <w:sz w:val="24"/>
          <w:szCs w:val="24"/>
        </w:rPr>
        <w:t>Transition</w:t>
      </w:r>
      <w:r>
        <w:rPr>
          <w:rFonts w:cstheme="minorHAnsi"/>
          <w:sz w:val="24"/>
          <w:szCs w:val="24"/>
        </w:rPr>
        <w:t xml:space="preserve"> Action Plan</w:t>
      </w:r>
      <w:r w:rsidR="00053742" w:rsidRPr="00AA7985">
        <w:rPr>
          <w:rFonts w:cstheme="minorHAnsi"/>
          <w:sz w:val="24"/>
          <w:szCs w:val="24"/>
        </w:rPr>
        <w:t xml:space="preserve"> </w:t>
      </w:r>
      <w:r w:rsidR="00053742">
        <w:rPr>
          <w:rFonts w:cstheme="minorHAnsi"/>
          <w:sz w:val="24"/>
          <w:szCs w:val="24"/>
        </w:rPr>
        <w:t xml:space="preserve">supports delivery and development of the Strategy and forthcoming Implementation Plan. </w:t>
      </w:r>
      <w:r w:rsidR="00053742" w:rsidRPr="00EC1BAD">
        <w:rPr>
          <w:rFonts w:cstheme="minorHAnsi"/>
          <w:sz w:val="24"/>
          <w:szCs w:val="24"/>
        </w:rPr>
        <w:t xml:space="preserve">The </w:t>
      </w:r>
      <w:r w:rsidR="00B16B1D">
        <w:rPr>
          <w:rFonts w:cstheme="minorHAnsi"/>
          <w:sz w:val="24"/>
          <w:szCs w:val="24"/>
        </w:rPr>
        <w:t>Transition</w:t>
      </w:r>
      <w:r>
        <w:rPr>
          <w:rFonts w:cstheme="minorHAnsi"/>
          <w:sz w:val="24"/>
          <w:szCs w:val="24"/>
        </w:rPr>
        <w:t xml:space="preserve"> </w:t>
      </w:r>
      <w:r w:rsidR="00053742" w:rsidRPr="00EC1BAD">
        <w:rPr>
          <w:rFonts w:cstheme="minorHAnsi"/>
          <w:sz w:val="24"/>
          <w:szCs w:val="24"/>
        </w:rPr>
        <w:t>A</w:t>
      </w:r>
      <w:r>
        <w:rPr>
          <w:rFonts w:cstheme="minorHAnsi"/>
          <w:sz w:val="24"/>
          <w:szCs w:val="24"/>
        </w:rPr>
        <w:t xml:space="preserve">ction </w:t>
      </w:r>
      <w:r w:rsidR="00053742" w:rsidRPr="00EC1BAD">
        <w:rPr>
          <w:rFonts w:cstheme="minorHAnsi"/>
          <w:sz w:val="24"/>
          <w:szCs w:val="24"/>
        </w:rPr>
        <w:t>P</w:t>
      </w:r>
      <w:r>
        <w:rPr>
          <w:rFonts w:cstheme="minorHAnsi"/>
          <w:sz w:val="24"/>
          <w:szCs w:val="24"/>
        </w:rPr>
        <w:t>lan</w:t>
      </w:r>
      <w:r w:rsidR="00053742" w:rsidRPr="00EC1BAD">
        <w:rPr>
          <w:rFonts w:cstheme="minorHAnsi"/>
          <w:sz w:val="24"/>
          <w:szCs w:val="24"/>
        </w:rPr>
        <w:t xml:space="preserve"> outlines actions agreed by all governments that address both recommendations from the Review Report and agreed areas of implementation from the Framework. </w:t>
      </w:r>
    </w:p>
    <w:p w14:paraId="7331598F" w14:textId="679EE02E" w:rsidR="00053742" w:rsidRPr="00EC1BAD" w:rsidRDefault="00053742" w:rsidP="00053742">
      <w:pPr>
        <w:spacing w:before="120" w:after="120"/>
        <w:rPr>
          <w:sz w:val="24"/>
          <w:szCs w:val="24"/>
          <w:lang w:eastAsia="en-AU"/>
        </w:rPr>
      </w:pPr>
      <w:r w:rsidRPr="00EC1BAD">
        <w:rPr>
          <w:sz w:val="24"/>
          <w:szCs w:val="24"/>
          <w:lang w:eastAsia="en-AU"/>
        </w:rPr>
        <w:t xml:space="preserve">The </w:t>
      </w:r>
      <w:r w:rsidR="00B16B1D">
        <w:rPr>
          <w:sz w:val="24"/>
          <w:szCs w:val="24"/>
          <w:lang w:eastAsia="en-AU"/>
        </w:rPr>
        <w:t>Transition</w:t>
      </w:r>
      <w:r w:rsidR="00053C97">
        <w:rPr>
          <w:sz w:val="24"/>
          <w:szCs w:val="24"/>
          <w:lang w:eastAsia="en-AU"/>
        </w:rPr>
        <w:t xml:space="preserve"> </w:t>
      </w:r>
      <w:r w:rsidRPr="00EC1BAD">
        <w:rPr>
          <w:sz w:val="24"/>
          <w:szCs w:val="24"/>
          <w:lang w:eastAsia="en-AU"/>
        </w:rPr>
        <w:t>A</w:t>
      </w:r>
      <w:r w:rsidR="00053C97">
        <w:rPr>
          <w:sz w:val="24"/>
          <w:szCs w:val="24"/>
          <w:lang w:eastAsia="en-AU"/>
        </w:rPr>
        <w:t xml:space="preserve">ction </w:t>
      </w:r>
      <w:r w:rsidRPr="00EC1BAD">
        <w:rPr>
          <w:sz w:val="24"/>
          <w:szCs w:val="24"/>
          <w:lang w:eastAsia="en-AU"/>
        </w:rPr>
        <w:t>P</w:t>
      </w:r>
      <w:r w:rsidR="00053C97">
        <w:rPr>
          <w:sz w:val="24"/>
          <w:szCs w:val="24"/>
          <w:lang w:eastAsia="en-AU"/>
        </w:rPr>
        <w:t>lan</w:t>
      </w:r>
      <w:r w:rsidRPr="00EC1BAD">
        <w:rPr>
          <w:sz w:val="24"/>
          <w:szCs w:val="24"/>
          <w:lang w:eastAsia="en-AU"/>
        </w:rPr>
        <w:t xml:space="preserve"> aims to consolidate and progress 1</w:t>
      </w:r>
      <w:r w:rsidR="00B16B1D">
        <w:rPr>
          <w:sz w:val="24"/>
          <w:szCs w:val="24"/>
          <w:lang w:eastAsia="en-AU"/>
        </w:rPr>
        <w:t>3</w:t>
      </w:r>
      <w:r w:rsidRPr="00EC1BAD">
        <w:rPr>
          <w:sz w:val="24"/>
          <w:szCs w:val="24"/>
          <w:lang w:eastAsia="en-AU"/>
        </w:rPr>
        <w:t xml:space="preserve"> acti</w:t>
      </w:r>
      <w:r w:rsidR="00477B52">
        <w:rPr>
          <w:sz w:val="24"/>
          <w:szCs w:val="24"/>
          <w:lang w:eastAsia="en-AU"/>
        </w:rPr>
        <w:t xml:space="preserve">ons identified within the </w:t>
      </w:r>
      <w:r w:rsidR="00F77C92">
        <w:rPr>
          <w:sz w:val="24"/>
          <w:szCs w:val="24"/>
          <w:lang w:eastAsia="en-AU"/>
        </w:rPr>
        <w:t xml:space="preserve">four </w:t>
      </w:r>
      <w:r w:rsidR="00477B52">
        <w:rPr>
          <w:sz w:val="24"/>
          <w:szCs w:val="24"/>
          <w:lang w:eastAsia="en-AU"/>
        </w:rPr>
        <w:t>P</w:t>
      </w:r>
      <w:r w:rsidRPr="00EC1BAD">
        <w:rPr>
          <w:sz w:val="24"/>
          <w:szCs w:val="24"/>
          <w:lang w:eastAsia="en-AU"/>
        </w:rPr>
        <w:t>riori</w:t>
      </w:r>
      <w:r w:rsidR="00477B52">
        <w:rPr>
          <w:sz w:val="24"/>
          <w:szCs w:val="24"/>
          <w:lang w:eastAsia="en-AU"/>
        </w:rPr>
        <w:t>ty Areas</w:t>
      </w:r>
      <w:r w:rsidR="00FA518B">
        <w:rPr>
          <w:sz w:val="24"/>
          <w:szCs w:val="24"/>
          <w:lang w:eastAsia="en-AU"/>
        </w:rPr>
        <w:t xml:space="preserve"> </w:t>
      </w:r>
      <w:r w:rsidRPr="00EC1BAD">
        <w:rPr>
          <w:sz w:val="24"/>
          <w:szCs w:val="24"/>
          <w:lang w:eastAsia="en-AU"/>
        </w:rPr>
        <w:t xml:space="preserve">that would benefit from background work or could inform other actions </w:t>
      </w:r>
      <w:r w:rsidRPr="00EC1BAD">
        <w:rPr>
          <w:sz w:val="24"/>
          <w:szCs w:val="24"/>
        </w:rPr>
        <w:t xml:space="preserve">that would be built into </w:t>
      </w:r>
      <w:r w:rsidR="00312E31">
        <w:rPr>
          <w:sz w:val="24"/>
          <w:szCs w:val="24"/>
        </w:rPr>
        <w:t>the Implementation P</w:t>
      </w:r>
      <w:r w:rsidRPr="00EC1BAD">
        <w:rPr>
          <w:sz w:val="24"/>
          <w:szCs w:val="24"/>
        </w:rPr>
        <w:t>lan</w:t>
      </w:r>
      <w:r w:rsidRPr="00EC1BAD">
        <w:rPr>
          <w:sz w:val="24"/>
          <w:szCs w:val="24"/>
          <w:lang w:eastAsia="en-AU"/>
        </w:rPr>
        <w:t xml:space="preserve">. </w:t>
      </w:r>
    </w:p>
    <w:p w14:paraId="566BED40" w14:textId="598D683E" w:rsidR="009C0B9B" w:rsidRPr="00BB2E8D" w:rsidRDefault="00053742" w:rsidP="00BB2E8D">
      <w:pPr>
        <w:spacing w:before="120" w:after="120"/>
        <w:rPr>
          <w:sz w:val="24"/>
          <w:szCs w:val="24"/>
          <w:lang w:eastAsia="en-AU"/>
        </w:rPr>
      </w:pPr>
      <w:r w:rsidRPr="00EC1BAD">
        <w:rPr>
          <w:sz w:val="24"/>
          <w:szCs w:val="24"/>
          <w:lang w:eastAsia="en-AU"/>
        </w:rPr>
        <w:t xml:space="preserve">The </w:t>
      </w:r>
      <w:r w:rsidR="00B16B1D">
        <w:rPr>
          <w:sz w:val="24"/>
          <w:szCs w:val="24"/>
          <w:lang w:eastAsia="en-AU"/>
        </w:rPr>
        <w:t>Transition</w:t>
      </w:r>
      <w:r w:rsidR="00053C97">
        <w:rPr>
          <w:sz w:val="24"/>
          <w:szCs w:val="24"/>
          <w:lang w:eastAsia="en-AU"/>
        </w:rPr>
        <w:t xml:space="preserve"> </w:t>
      </w:r>
      <w:r w:rsidRPr="00EC1BAD">
        <w:rPr>
          <w:sz w:val="24"/>
          <w:szCs w:val="24"/>
          <w:lang w:eastAsia="en-AU"/>
        </w:rPr>
        <w:t>A</w:t>
      </w:r>
      <w:r w:rsidR="00053C97">
        <w:rPr>
          <w:sz w:val="24"/>
          <w:szCs w:val="24"/>
          <w:lang w:eastAsia="en-AU"/>
        </w:rPr>
        <w:t xml:space="preserve">ction </w:t>
      </w:r>
      <w:r w:rsidRPr="00EC1BAD">
        <w:rPr>
          <w:sz w:val="24"/>
          <w:szCs w:val="24"/>
          <w:lang w:eastAsia="en-AU"/>
        </w:rPr>
        <w:t>P</w:t>
      </w:r>
      <w:r w:rsidR="00053C97">
        <w:rPr>
          <w:sz w:val="24"/>
          <w:szCs w:val="24"/>
          <w:lang w:eastAsia="en-AU"/>
        </w:rPr>
        <w:t>lan</w:t>
      </w:r>
      <w:r w:rsidRPr="00EC1BAD">
        <w:rPr>
          <w:sz w:val="24"/>
          <w:szCs w:val="24"/>
          <w:lang w:eastAsia="en-AU"/>
        </w:rPr>
        <w:t xml:space="preserve"> is at </w:t>
      </w:r>
      <w:r w:rsidRPr="00EC1BAD">
        <w:rPr>
          <w:sz w:val="24"/>
          <w:szCs w:val="24"/>
          <w:u w:val="single"/>
          <w:lang w:eastAsia="en-AU"/>
        </w:rPr>
        <w:t>Attachment A</w:t>
      </w:r>
      <w:r w:rsidRPr="00EC1BAD">
        <w:rPr>
          <w:sz w:val="24"/>
          <w:szCs w:val="24"/>
          <w:lang w:eastAsia="en-AU"/>
        </w:rPr>
        <w:t>.</w:t>
      </w:r>
    </w:p>
    <w:p w14:paraId="0579A2BF" w14:textId="77777777" w:rsidR="009C0B9B" w:rsidRDefault="00053742" w:rsidP="00053C97">
      <w:pPr>
        <w:pStyle w:val="Heading1"/>
        <w:rPr>
          <w:noProof/>
          <w:lang w:eastAsia="en-AU"/>
        </w:rPr>
      </w:pPr>
      <w:bookmarkStart w:id="16" w:name="_Toc102482514"/>
      <w:r>
        <w:rPr>
          <w:noProof/>
          <w:lang w:eastAsia="en-AU"/>
        </w:rPr>
        <w:t>DEFINING THE STRATEGY</w:t>
      </w:r>
      <w:bookmarkEnd w:id="16"/>
    </w:p>
    <w:p w14:paraId="26651B7B" w14:textId="77777777" w:rsidR="00053742" w:rsidRPr="00053C97" w:rsidRDefault="00053742" w:rsidP="00053C97">
      <w:pPr>
        <w:rPr>
          <w:lang w:eastAsia="en-AU"/>
        </w:rPr>
      </w:pPr>
    </w:p>
    <w:tbl>
      <w:tblPr>
        <w:tblStyle w:val="NOUSSideHeader1"/>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0B9B" w:rsidRPr="001612E9" w14:paraId="0776F8C3" w14:textId="77777777" w:rsidTr="009B686A">
        <w:trPr>
          <w:cnfStyle w:val="100000000000" w:firstRow="1" w:lastRow="0" w:firstColumn="0" w:lastColumn="0" w:oddVBand="0" w:evenVBand="0" w:oddHBand="0" w:evenHBand="0" w:firstRowFirstColumn="0" w:firstRowLastColumn="0" w:lastRowFirstColumn="0" w:lastRowLastColumn="0"/>
          <w:trHeight w:val="367"/>
        </w:trPr>
        <w:tc>
          <w:tcPr>
            <w:tcW w:w="8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6666"/>
          </w:tcPr>
          <w:p w14:paraId="0FDC09F7" w14:textId="77777777" w:rsidR="009C0B9B" w:rsidRPr="001612E9" w:rsidRDefault="009C0B9B" w:rsidP="009B686A">
            <w:pPr>
              <w:spacing w:after="165"/>
              <w:contextualSpacing/>
              <w:jc w:val="center"/>
              <w:rPr>
                <w:rFonts w:ascii="Segoe UI" w:hAnsi="Segoe UI" w:cs="Times New Roman"/>
                <w:b/>
                <w:color w:val="FFFFFF"/>
                <w:sz w:val="32"/>
                <w:szCs w:val="32"/>
              </w:rPr>
            </w:pPr>
            <w:r w:rsidRPr="001612E9">
              <w:rPr>
                <w:rFonts w:ascii="Segoe UI" w:hAnsi="Segoe UI" w:cs="Times New Roman"/>
                <w:b/>
                <w:color w:val="FFFFFF"/>
                <w:sz w:val="32"/>
                <w:szCs w:val="32"/>
              </w:rPr>
              <w:t>VISION</w:t>
            </w:r>
          </w:p>
        </w:tc>
      </w:tr>
      <w:tr w:rsidR="009C0B9B" w:rsidRPr="001612E9" w14:paraId="6E57AC84" w14:textId="77777777" w:rsidTr="009B686A">
        <w:trPr>
          <w:cnfStyle w:val="000000100000" w:firstRow="0" w:lastRow="0" w:firstColumn="0" w:lastColumn="0" w:oddVBand="0" w:evenVBand="0" w:oddHBand="1" w:evenHBand="0" w:firstRowFirstColumn="0" w:firstRowLastColumn="0" w:lastRowFirstColumn="0" w:lastRowLastColumn="0"/>
        </w:trPr>
        <w:tc>
          <w:tcPr>
            <w:tcW w:w="8296" w:type="dxa"/>
          </w:tcPr>
          <w:p w14:paraId="7A3214DF" w14:textId="77777777" w:rsidR="009C0B9B" w:rsidRPr="001612E9" w:rsidRDefault="009C0B9B" w:rsidP="009B686A">
            <w:pPr>
              <w:spacing w:after="165"/>
              <w:contextualSpacing/>
              <w:jc w:val="center"/>
              <w:rPr>
                <w:rFonts w:cs="Times New Roman"/>
                <w:sz w:val="24"/>
                <w:szCs w:val="24"/>
              </w:rPr>
            </w:pPr>
            <w:r w:rsidRPr="001612E9">
              <w:rPr>
                <w:rFonts w:cs="Times New Roman"/>
                <w:sz w:val="24"/>
                <w:szCs w:val="24"/>
              </w:rPr>
              <w:t xml:space="preserve">To save and improve the lives of more Australians through </w:t>
            </w:r>
            <w:r>
              <w:rPr>
                <w:rFonts w:cs="Times New Roman"/>
                <w:sz w:val="24"/>
                <w:szCs w:val="24"/>
              </w:rPr>
              <w:br/>
            </w:r>
            <w:r w:rsidRPr="001612E9">
              <w:rPr>
                <w:rFonts w:cs="Times New Roman"/>
                <w:sz w:val="24"/>
                <w:szCs w:val="24"/>
              </w:rPr>
              <w:t xml:space="preserve">a world’s best practice future-focused and sustainable </w:t>
            </w:r>
            <w:r>
              <w:rPr>
                <w:rFonts w:cs="Times New Roman"/>
                <w:sz w:val="24"/>
                <w:szCs w:val="24"/>
              </w:rPr>
              <w:br/>
            </w:r>
            <w:r w:rsidRPr="001612E9">
              <w:rPr>
                <w:rFonts w:cs="Times New Roman"/>
                <w:sz w:val="24"/>
                <w:szCs w:val="24"/>
              </w:rPr>
              <w:t xml:space="preserve">organ donation, retrieval and transplantation system. </w:t>
            </w:r>
          </w:p>
        </w:tc>
      </w:tr>
    </w:tbl>
    <w:p w14:paraId="34822762" w14:textId="77777777" w:rsidR="009C0B9B" w:rsidRPr="001612E9" w:rsidRDefault="009C0B9B" w:rsidP="009C0B9B">
      <w:pPr>
        <w:rPr>
          <w:sz w:val="24"/>
          <w:szCs w:val="24"/>
          <w:lang w:eastAsia="en-AU"/>
        </w:rPr>
      </w:pPr>
    </w:p>
    <w:tbl>
      <w:tblPr>
        <w:tblStyle w:val="NOUSSideHeader1"/>
        <w:tblW w:w="0" w:type="auto"/>
        <w:tblInd w:w="720" w:type="dxa"/>
        <w:tblLook w:val="04A0" w:firstRow="1" w:lastRow="0" w:firstColumn="1" w:lastColumn="0" w:noHBand="0" w:noVBand="1"/>
      </w:tblPr>
      <w:tblGrid>
        <w:gridCol w:w="8306"/>
      </w:tblGrid>
      <w:tr w:rsidR="009C0B9B" w:rsidRPr="001612E9" w14:paraId="74A9A222" w14:textId="77777777" w:rsidTr="009B686A">
        <w:trPr>
          <w:cnfStyle w:val="100000000000" w:firstRow="1" w:lastRow="0" w:firstColumn="0" w:lastColumn="0" w:oddVBand="0" w:evenVBand="0" w:oddHBand="0" w:evenHBand="0" w:firstRowFirstColumn="0" w:firstRowLastColumn="0" w:lastRowFirstColumn="0" w:lastRowLastColumn="0"/>
        </w:trPr>
        <w:tc>
          <w:tcPr>
            <w:tcW w:w="8306" w:type="dxa"/>
            <w:tcBorders>
              <w:top w:val="single" w:sz="4" w:space="0" w:color="FFFFFF"/>
            </w:tcBorders>
            <w:shd w:val="clear" w:color="auto" w:fill="006666"/>
          </w:tcPr>
          <w:p w14:paraId="002DB5F2" w14:textId="77777777" w:rsidR="009C0B9B" w:rsidRPr="001612E9" w:rsidRDefault="009C0B9B" w:rsidP="009B686A">
            <w:pPr>
              <w:spacing w:after="165"/>
              <w:contextualSpacing/>
              <w:jc w:val="center"/>
              <w:rPr>
                <w:rFonts w:ascii="Segoe UI" w:hAnsi="Segoe UI" w:cs="Times New Roman"/>
                <w:b/>
                <w:color w:val="265F65"/>
                <w:sz w:val="32"/>
                <w:szCs w:val="32"/>
              </w:rPr>
            </w:pPr>
            <w:r w:rsidRPr="001612E9">
              <w:rPr>
                <w:rFonts w:ascii="Segoe UI" w:hAnsi="Segoe UI" w:cs="Times New Roman"/>
                <w:b/>
                <w:color w:val="FFFFFF"/>
                <w:sz w:val="32"/>
                <w:szCs w:val="32"/>
              </w:rPr>
              <w:t>PRIORITY AREAS</w:t>
            </w:r>
          </w:p>
        </w:tc>
      </w:tr>
    </w:tbl>
    <w:p w14:paraId="2ABDEC6A" w14:textId="77777777" w:rsidR="009C0B9B" w:rsidRPr="001612E9" w:rsidRDefault="009C0B9B" w:rsidP="009C0B9B">
      <w:pPr>
        <w:rPr>
          <w:sz w:val="24"/>
          <w:szCs w:val="24"/>
          <w:lang w:eastAsia="en-AU"/>
        </w:rPr>
      </w:pPr>
      <w:r w:rsidRPr="001612E9">
        <w:rPr>
          <w:b/>
          <w:noProof/>
          <w:sz w:val="24"/>
          <w:szCs w:val="24"/>
          <w:lang w:eastAsia="en-AU"/>
        </w:rPr>
        <mc:AlternateContent>
          <mc:Choice Requires="wpg">
            <w:drawing>
              <wp:anchor distT="0" distB="0" distL="114300" distR="114300" simplePos="0" relativeHeight="251657216" behindDoc="0" locked="0" layoutInCell="1" allowOverlap="1" wp14:anchorId="2DB5802B" wp14:editId="3CF94EE8">
                <wp:simplePos x="0" y="0"/>
                <wp:positionH relativeFrom="column">
                  <wp:posOffset>-127591</wp:posOffset>
                </wp:positionH>
                <wp:positionV relativeFrom="paragraph">
                  <wp:posOffset>158396</wp:posOffset>
                </wp:positionV>
                <wp:extent cx="6495690" cy="1318437"/>
                <wp:effectExtent l="0" t="0" r="19685" b="1524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95690" cy="1318437"/>
                          <a:chOff x="0" y="8092"/>
                          <a:chExt cx="4611926" cy="1723603"/>
                        </a:xfrm>
                      </wpg:grpSpPr>
                      <wps:wsp>
                        <wps:cNvPr id="7" name="Rounded Rectangle 7"/>
                        <wps:cNvSpPr/>
                        <wps:spPr>
                          <a:xfrm>
                            <a:off x="2299835" y="8302"/>
                            <a:ext cx="1108075" cy="1722338"/>
                          </a:xfrm>
                          <a:prstGeom prst="roundRect">
                            <a:avLst/>
                          </a:prstGeom>
                          <a:gradFill flip="none" rotWithShape="1">
                            <a:gsLst>
                              <a:gs pos="0">
                                <a:srgbClr val="58B6C0">
                                  <a:lumMod val="40000"/>
                                  <a:lumOff val="60000"/>
                                </a:srgbClr>
                              </a:gs>
                              <a:gs pos="46000">
                                <a:srgbClr val="58B6C0">
                                  <a:lumMod val="95000"/>
                                  <a:lumOff val="5000"/>
                                </a:srgbClr>
                              </a:gs>
                              <a:gs pos="100000">
                                <a:srgbClr val="58B6C0">
                                  <a:lumMod val="60000"/>
                                </a:srgbClr>
                              </a:gs>
                            </a:gsLst>
                            <a:path path="circle">
                              <a:fillToRect l="50000" t="130000" r="50000" b="-30000"/>
                            </a:path>
                            <a:tileRect/>
                          </a:gradFill>
                          <a:ln w="25400" cap="flat" cmpd="sng" algn="ctr">
                            <a:solidFill>
                              <a:srgbClr val="2683C6">
                                <a:lumMod val="75000"/>
                              </a:srgbClr>
                            </a:solidFill>
                            <a:prstDash val="solid"/>
                          </a:ln>
                          <a:effectLst/>
                        </wps:spPr>
                        <wps:txbx>
                          <w:txbxContent>
                            <w:p w14:paraId="53750501" w14:textId="3E139110" w:rsidR="005E5746" w:rsidRDefault="005E5746" w:rsidP="009C0B9B">
                              <w:pPr>
                                <w:jc w:val="center"/>
                                <w:rPr>
                                  <w:b/>
                                  <w:sz w:val="16"/>
                                  <w:szCs w:val="16"/>
                                </w:rPr>
                              </w:pPr>
                              <w:r>
                                <w:rPr>
                                  <w:b/>
                                  <w:color w:val="FFFFFF" w:themeColor="background1"/>
                                  <w:sz w:val="16"/>
                                  <w:szCs w:val="16"/>
                                </w:rPr>
                                <w:t xml:space="preserve">Enhanced organ retrieval and transplantation </w:t>
                              </w:r>
                              <w:r w:rsidRPr="001612E9">
                                <w:rPr>
                                  <w:b/>
                                  <w:color w:val="FFFFFF" w:themeColor="background1"/>
                                  <w:sz w:val="16"/>
                                  <w:szCs w:val="16"/>
                                </w:rPr>
                                <w:t>capability and capacity to optimise transplant outcomes</w:t>
                              </w:r>
                            </w:p>
                            <w:p w14:paraId="4B4DD759" w14:textId="77777777" w:rsidR="005E5746" w:rsidRDefault="005E5746" w:rsidP="009C0B9B">
                              <w:pPr>
                                <w:jc w:val="center"/>
                                <w:rPr>
                                  <w:b/>
                                  <w:sz w:val="16"/>
                                  <w:szCs w:val="16"/>
                                </w:rPr>
                              </w:pPr>
                            </w:p>
                            <w:p w14:paraId="044B3EF6" w14:textId="77777777" w:rsidR="005E5746" w:rsidRDefault="005E5746" w:rsidP="009C0B9B">
                              <w:pPr>
                                <w:jc w:val="center"/>
                                <w:rPr>
                                  <w:b/>
                                  <w:sz w:val="16"/>
                                  <w:szCs w:val="16"/>
                                </w:rPr>
                              </w:pPr>
                            </w:p>
                            <w:p w14:paraId="55BB1DBC" w14:textId="77777777" w:rsidR="005E5746" w:rsidRPr="00DB3980" w:rsidRDefault="005E5746" w:rsidP="009C0B9B">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ounded Rectangle 8"/>
                        <wps:cNvSpPr/>
                        <wps:spPr>
                          <a:xfrm>
                            <a:off x="1148120" y="8329"/>
                            <a:ext cx="1108075" cy="1723135"/>
                          </a:xfrm>
                          <a:prstGeom prst="roundRect">
                            <a:avLst/>
                          </a:prstGeom>
                          <a:gradFill flip="none" rotWithShape="1">
                            <a:gsLst>
                              <a:gs pos="0">
                                <a:srgbClr val="7A8C8E">
                                  <a:lumMod val="40000"/>
                                  <a:lumOff val="60000"/>
                                  <a:shade val="30000"/>
                                  <a:satMod val="115000"/>
                                </a:srgbClr>
                              </a:gs>
                              <a:gs pos="50000">
                                <a:srgbClr val="7A8C8E">
                                  <a:lumMod val="40000"/>
                                  <a:lumOff val="60000"/>
                                  <a:shade val="67500"/>
                                  <a:satMod val="115000"/>
                                </a:srgbClr>
                              </a:gs>
                              <a:gs pos="100000">
                                <a:srgbClr val="7A8C8E">
                                  <a:lumMod val="40000"/>
                                  <a:lumOff val="60000"/>
                                  <a:shade val="100000"/>
                                  <a:satMod val="115000"/>
                                </a:srgbClr>
                              </a:gs>
                            </a:gsLst>
                            <a:lin ang="5400000" scaled="1"/>
                            <a:tileRect/>
                          </a:gradFill>
                          <a:ln w="25400" cap="flat" cmpd="sng" algn="ctr">
                            <a:solidFill>
                              <a:srgbClr val="7A8C8E">
                                <a:lumMod val="75000"/>
                              </a:srgbClr>
                            </a:solidFill>
                            <a:prstDash val="solid"/>
                          </a:ln>
                          <a:effectLst/>
                        </wps:spPr>
                        <wps:txbx>
                          <w:txbxContent>
                            <w:p w14:paraId="2A0D0269" w14:textId="04CED119" w:rsidR="005E5746" w:rsidRPr="00DB3980" w:rsidRDefault="005E5746" w:rsidP="009C0B9B">
                              <w:pPr>
                                <w:jc w:val="center"/>
                                <w:rPr>
                                  <w:b/>
                                  <w:sz w:val="16"/>
                                  <w:szCs w:val="16"/>
                                </w:rPr>
                              </w:pPr>
                              <w:r>
                                <w:rPr>
                                  <w:b/>
                                  <w:color w:val="FFFFFF" w:themeColor="background1"/>
                                  <w:sz w:val="16"/>
                                  <w:szCs w:val="16"/>
                                </w:rPr>
                                <w:t xml:space="preserve">Equitable </w:t>
                              </w:r>
                              <w:r w:rsidRPr="00326A61">
                                <w:rPr>
                                  <w:b/>
                                  <w:color w:val="FFFFFF" w:themeColor="background1"/>
                                  <w:sz w:val="16"/>
                                  <w:szCs w:val="16"/>
                                </w:rPr>
                                <w:t xml:space="preserve">access </w:t>
                              </w:r>
                              <w:r>
                                <w:rPr>
                                  <w:b/>
                                  <w:color w:val="FFFFFF" w:themeColor="background1"/>
                                  <w:sz w:val="16"/>
                                  <w:szCs w:val="16"/>
                                </w:rPr>
                                <w:t>for Australians who would benefit from</w:t>
                              </w:r>
                              <w:r w:rsidR="00DF56ED">
                                <w:rPr>
                                  <w:b/>
                                  <w:color w:val="FFFFFF" w:themeColor="background1"/>
                                  <w:sz w:val="16"/>
                                  <w:szCs w:val="16"/>
                                </w:rPr>
                                <w:t xml:space="preserve"> organ</w:t>
                              </w:r>
                              <w:r>
                                <w:rPr>
                                  <w:b/>
                                  <w:color w:val="FFFFFF" w:themeColor="background1"/>
                                  <w:sz w:val="16"/>
                                  <w:szCs w:val="16"/>
                                </w:rPr>
                                <w:t xml:space="preserve"> transplantation with a focus on Aboriginal and Torres Strait Islander people</w:t>
                              </w:r>
                              <w:r w:rsidRPr="00326A61">
                                <w:rPr>
                                  <w:b/>
                                  <w:color w:val="FFFFFF" w:themeColor="background1"/>
                                  <w:sz w:val="16"/>
                                  <w:szCs w:val="16"/>
                                </w:rPr>
                                <w:t xml:space="preserve"> </w:t>
                              </w:r>
                              <w:r>
                                <w:rPr>
                                  <w:b/>
                                  <w:color w:val="FFFFFF" w:themeColor="background1"/>
                                  <w:sz w:val="16"/>
                                  <w:szCs w:val="16"/>
                                </w:rPr>
                                <w:t xml:space="preserve">and those living in rural, regional and remote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le 9"/>
                        <wps:cNvSpPr/>
                        <wps:spPr>
                          <a:xfrm>
                            <a:off x="3503851" y="8092"/>
                            <a:ext cx="1108075" cy="1723390"/>
                          </a:xfrm>
                          <a:prstGeom prst="roundRect">
                            <a:avLst/>
                          </a:prstGeom>
                          <a:gradFill flip="none" rotWithShape="1">
                            <a:gsLst>
                              <a:gs pos="0">
                                <a:srgbClr val="75BDA7">
                                  <a:lumMod val="40000"/>
                                  <a:lumOff val="60000"/>
                                </a:srgbClr>
                              </a:gs>
                              <a:gs pos="46000">
                                <a:srgbClr val="75BDA7">
                                  <a:lumMod val="95000"/>
                                  <a:lumOff val="5000"/>
                                </a:srgbClr>
                              </a:gs>
                              <a:gs pos="100000">
                                <a:srgbClr val="75BDA7">
                                  <a:lumMod val="60000"/>
                                </a:srgbClr>
                              </a:gs>
                            </a:gsLst>
                            <a:path path="circle">
                              <a:fillToRect l="50000" t="130000" r="50000" b="-30000"/>
                            </a:path>
                            <a:tileRect/>
                          </a:gradFill>
                          <a:ln w="25400" cap="flat" cmpd="sng" algn="ctr">
                            <a:solidFill>
                              <a:srgbClr val="75BDA7">
                                <a:lumMod val="75000"/>
                              </a:srgbClr>
                            </a:solidFill>
                            <a:prstDash val="solid"/>
                          </a:ln>
                          <a:effectLst/>
                        </wps:spPr>
                        <wps:txbx>
                          <w:txbxContent>
                            <w:p w14:paraId="4D1042FD" w14:textId="77777777" w:rsidR="005E5746" w:rsidRPr="00022796" w:rsidRDefault="005E5746" w:rsidP="009C0B9B">
                              <w:pPr>
                                <w:jc w:val="center"/>
                                <w:rPr>
                                  <w:b/>
                                  <w:color w:val="FFFFFF"/>
                                  <w:sz w:val="16"/>
                                  <w:szCs w:val="16"/>
                                </w:rPr>
                              </w:pPr>
                              <w:r>
                                <w:rPr>
                                  <w:b/>
                                  <w:color w:val="FFFFFF"/>
                                  <w:sz w:val="16"/>
                                  <w:szCs w:val="16"/>
                                </w:rPr>
                                <w:t>Enhanced systems and data collection and reporting to drive clinical best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ounded Rectangle 5"/>
                        <wps:cNvSpPr/>
                        <wps:spPr>
                          <a:xfrm>
                            <a:off x="0" y="8092"/>
                            <a:ext cx="1108609" cy="1723603"/>
                          </a:xfrm>
                          <a:prstGeom prst="roundRect">
                            <a:avLst/>
                          </a:prstGeom>
                          <a:gradFill flip="none" rotWithShape="1">
                            <a:gsLst>
                              <a:gs pos="0">
                                <a:srgbClr val="75BDA7">
                                  <a:lumMod val="40000"/>
                                  <a:lumOff val="60000"/>
                                </a:srgbClr>
                              </a:gs>
                              <a:gs pos="46000">
                                <a:srgbClr val="75BDA7">
                                  <a:lumMod val="95000"/>
                                  <a:lumOff val="5000"/>
                                </a:srgbClr>
                              </a:gs>
                              <a:gs pos="100000">
                                <a:srgbClr val="75BDA7">
                                  <a:lumMod val="60000"/>
                                </a:srgbClr>
                              </a:gs>
                            </a:gsLst>
                            <a:path path="circle">
                              <a:fillToRect l="50000" t="130000" r="50000" b="-30000"/>
                            </a:path>
                            <a:tileRect/>
                          </a:gradFill>
                          <a:ln w="25400" cap="flat" cmpd="sng" algn="ctr">
                            <a:solidFill>
                              <a:srgbClr val="75BDA7">
                                <a:lumMod val="75000"/>
                              </a:srgbClr>
                            </a:solidFill>
                            <a:prstDash val="solid"/>
                          </a:ln>
                          <a:effectLst/>
                        </wps:spPr>
                        <wps:txbx>
                          <w:txbxContent>
                            <w:p w14:paraId="4754D18D" w14:textId="77777777" w:rsidR="005E5746" w:rsidRPr="00326A61" w:rsidRDefault="005E5746" w:rsidP="009C0B9B">
                              <w:pPr>
                                <w:jc w:val="center"/>
                                <w:rPr>
                                  <w:b/>
                                  <w:color w:val="FFFFFF" w:themeColor="background1"/>
                                  <w:sz w:val="16"/>
                                  <w:szCs w:val="16"/>
                                </w:rPr>
                              </w:pPr>
                              <w:r>
                                <w:rPr>
                                  <w:b/>
                                  <w:color w:val="FFFFFF" w:themeColor="background1"/>
                                  <w:sz w:val="16"/>
                                  <w:szCs w:val="16"/>
                                </w:rPr>
                                <w:t>A n</w:t>
                              </w:r>
                              <w:r w:rsidRPr="00326A61">
                                <w:rPr>
                                  <w:b/>
                                  <w:color w:val="FFFFFF" w:themeColor="background1"/>
                                  <w:sz w:val="16"/>
                                  <w:szCs w:val="16"/>
                                </w:rPr>
                                <w:t xml:space="preserve">ational </w:t>
                              </w:r>
                              <w:r>
                                <w:rPr>
                                  <w:b/>
                                  <w:color w:val="FFFFFF" w:themeColor="background1"/>
                                  <w:sz w:val="16"/>
                                  <w:szCs w:val="16"/>
                                </w:rPr>
                                <w:t>approach to optimise</w:t>
                              </w:r>
                              <w:r w:rsidRPr="00326A61">
                                <w:rPr>
                                  <w:b/>
                                  <w:color w:val="FFFFFF" w:themeColor="background1"/>
                                  <w:sz w:val="16"/>
                                  <w:szCs w:val="16"/>
                                </w:rPr>
                                <w:t xml:space="preserve"> organ donation, retrieval and transplantation </w:t>
                              </w:r>
                            </w:p>
                            <w:p w14:paraId="1BF7DA0D" w14:textId="77777777" w:rsidR="005E5746" w:rsidRDefault="005E5746" w:rsidP="009C0B9B">
                              <w:pPr>
                                <w:jc w:val="center"/>
                                <w:rPr>
                                  <w:b/>
                                </w:rPr>
                              </w:pPr>
                            </w:p>
                            <w:p w14:paraId="0E74F7AC" w14:textId="77777777" w:rsidR="005E5746" w:rsidRPr="00DB3980" w:rsidRDefault="005E5746" w:rsidP="009C0B9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5802B" id="Group 25" o:spid="_x0000_s1026" alt="&quot;&quot;" style="position:absolute;margin-left:-10.05pt;margin-top:12.45pt;width:511.45pt;height:103.8pt;z-index:251657216;mso-width-relative:margin;mso-height-relative:margin" coordorigin=",80" coordsize="46119,1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">
                <v:roundrect id="Rounded Rectangle 7" o:spid="_x0000_s1027" style="position:absolute;left:22998;top:83;width:11081;height:172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" fillcolor="#bce2e6" strokecolor="#1d6295" strokeweight="2pt">
                  <v:fill color2="#2e737a" rotate="t" focusposition=".5,85197f" focussize="" colors="0 #bce2e6;30147f #60bac3;1 #2e737a" focus="100%" type="gradientRadial"/>
                  <v:textbox>
                    <w:txbxContent>
                      <w:p w14:paraId="53750501" w14:textId="3E139110" w:rsidR="005E5746" w:rsidRDefault="005E5746" w:rsidP="009C0B9B">
                        <w:pPr>
                          <w:jc w:val="center"/>
                          <w:rPr>
                            <w:b/>
                            <w:sz w:val="16"/>
                            <w:szCs w:val="16"/>
                          </w:rPr>
                        </w:pPr>
                        <w:r>
                          <w:rPr>
                            <w:b/>
                            <w:color w:val="FFFFFF" w:themeColor="background1"/>
                            <w:sz w:val="16"/>
                            <w:szCs w:val="16"/>
                          </w:rPr>
                          <w:t xml:space="preserve">Enhanced organ retrieval and transplantation </w:t>
                        </w:r>
                        <w:r w:rsidRPr="001612E9">
                          <w:rPr>
                            <w:b/>
                            <w:color w:val="FFFFFF" w:themeColor="background1"/>
                            <w:sz w:val="16"/>
                            <w:szCs w:val="16"/>
                          </w:rPr>
                          <w:t>capability and capacity to optimise transplant outcomes</w:t>
                        </w:r>
                      </w:p>
                      <w:p w14:paraId="4B4DD759" w14:textId="77777777" w:rsidR="005E5746" w:rsidRDefault="005E5746" w:rsidP="009C0B9B">
                        <w:pPr>
                          <w:jc w:val="center"/>
                          <w:rPr>
                            <w:b/>
                            <w:sz w:val="16"/>
                            <w:szCs w:val="16"/>
                          </w:rPr>
                        </w:pPr>
                      </w:p>
                      <w:p w14:paraId="044B3EF6" w14:textId="77777777" w:rsidR="005E5746" w:rsidRDefault="005E5746" w:rsidP="009C0B9B">
                        <w:pPr>
                          <w:jc w:val="center"/>
                          <w:rPr>
                            <w:b/>
                            <w:sz w:val="16"/>
                            <w:szCs w:val="16"/>
                          </w:rPr>
                        </w:pPr>
                      </w:p>
                      <w:p w14:paraId="55BB1DBC" w14:textId="77777777" w:rsidR="005E5746" w:rsidRPr="00DB3980" w:rsidRDefault="005E5746" w:rsidP="009C0B9B">
                        <w:pPr>
                          <w:jc w:val="center"/>
                          <w:rPr>
                            <w:b/>
                            <w:sz w:val="16"/>
                            <w:szCs w:val="16"/>
                          </w:rPr>
                        </w:pPr>
                      </w:p>
                    </w:txbxContent>
                  </v:textbox>
                </v:roundrect>
                <v:roundrect id="Rounded Rectangle 8" o:spid="_x0000_s1028" style="position:absolute;left:11481;top:83;width:11080;height:172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" fillcolor="#74797a" strokecolor="#5b696b" strokeweight="2pt">
                  <v:fill color2="#c9d1d2" rotate="t" colors="0 #74797a;.5 #a9b0b0;1 #c9d1d2" focus="100%" type="gradient"/>
                  <v:textbox>
                    <w:txbxContent>
                      <w:p w14:paraId="2A0D0269" w14:textId="04CED119" w:rsidR="005E5746" w:rsidRPr="00DB3980" w:rsidRDefault="005E5746" w:rsidP="009C0B9B">
                        <w:pPr>
                          <w:jc w:val="center"/>
                          <w:rPr>
                            <w:b/>
                            <w:sz w:val="16"/>
                            <w:szCs w:val="16"/>
                          </w:rPr>
                        </w:pPr>
                        <w:r>
                          <w:rPr>
                            <w:b/>
                            <w:color w:val="FFFFFF" w:themeColor="background1"/>
                            <w:sz w:val="16"/>
                            <w:szCs w:val="16"/>
                          </w:rPr>
                          <w:t xml:space="preserve">Equitable </w:t>
                        </w:r>
                        <w:r w:rsidRPr="00326A61">
                          <w:rPr>
                            <w:b/>
                            <w:color w:val="FFFFFF" w:themeColor="background1"/>
                            <w:sz w:val="16"/>
                            <w:szCs w:val="16"/>
                          </w:rPr>
                          <w:t xml:space="preserve">access </w:t>
                        </w:r>
                        <w:r>
                          <w:rPr>
                            <w:b/>
                            <w:color w:val="FFFFFF" w:themeColor="background1"/>
                            <w:sz w:val="16"/>
                            <w:szCs w:val="16"/>
                          </w:rPr>
                          <w:t>for Australians who would benefit from</w:t>
                        </w:r>
                        <w:r w:rsidR="00DF56ED">
                          <w:rPr>
                            <w:b/>
                            <w:color w:val="FFFFFF" w:themeColor="background1"/>
                            <w:sz w:val="16"/>
                            <w:szCs w:val="16"/>
                          </w:rPr>
                          <w:t xml:space="preserve"> organ</w:t>
                        </w:r>
                        <w:r>
                          <w:rPr>
                            <w:b/>
                            <w:color w:val="FFFFFF" w:themeColor="background1"/>
                            <w:sz w:val="16"/>
                            <w:szCs w:val="16"/>
                          </w:rPr>
                          <w:t xml:space="preserve"> transplantation with a focus on Aboriginal and Torres Strait Islander people</w:t>
                        </w:r>
                        <w:r w:rsidRPr="00326A61">
                          <w:rPr>
                            <w:b/>
                            <w:color w:val="FFFFFF" w:themeColor="background1"/>
                            <w:sz w:val="16"/>
                            <w:szCs w:val="16"/>
                          </w:rPr>
                          <w:t xml:space="preserve"> </w:t>
                        </w:r>
                        <w:r>
                          <w:rPr>
                            <w:b/>
                            <w:color w:val="FFFFFF" w:themeColor="background1"/>
                            <w:sz w:val="16"/>
                            <w:szCs w:val="16"/>
                          </w:rPr>
                          <w:t xml:space="preserve">and those living in rural, regional and remote areas </w:t>
                        </w:r>
                      </w:p>
                    </w:txbxContent>
                  </v:textbox>
                </v:roundrect>
                <v:roundrect id="Rounded Rectangle 9" o:spid="_x0000_s1029" style="position:absolute;left:35038;top:80;width:11081;height:172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" fillcolor="#c8e5dc" strokecolor="#4a9b82" strokeweight="2pt">
                  <v:fill color2="#3b7c68" rotate="t" focusposition=".5,85197f" focussize="" colors="0 #c8e5dc;30147f #7cc0ab;1 #3b7c68" focus="100%" type="gradientRadial"/>
                  <v:textbox>
                    <w:txbxContent>
                      <w:p w14:paraId="4D1042FD" w14:textId="77777777" w:rsidR="005E5746" w:rsidRPr="00022796" w:rsidRDefault="005E5746" w:rsidP="009C0B9B">
                        <w:pPr>
                          <w:jc w:val="center"/>
                          <w:rPr>
                            <w:b/>
                            <w:color w:val="FFFFFF"/>
                            <w:sz w:val="16"/>
                            <w:szCs w:val="16"/>
                          </w:rPr>
                        </w:pPr>
                        <w:r>
                          <w:rPr>
                            <w:b/>
                            <w:color w:val="FFFFFF"/>
                            <w:sz w:val="16"/>
                            <w:szCs w:val="16"/>
                          </w:rPr>
                          <w:t>Enhanced systems and data collection and reporting to drive clinical best practice</w:t>
                        </w:r>
                      </w:p>
                    </w:txbxContent>
                  </v:textbox>
                </v:roundrect>
                <v:roundrect id="Rounded Rectangle 5" o:spid="_x0000_s1030" style="position:absolute;top:80;width:11086;height:17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" fillcolor="#c8e5dc" strokecolor="#4a9b82" strokeweight="2pt">
                  <v:fill color2="#3b7c68" rotate="t" focusposition=".5,85197f" focussize="" colors="0 #c8e5dc;30147f #7cc0ab;1 #3b7c68" focus="100%" type="gradientRadial"/>
                  <v:textbox>
                    <w:txbxContent>
                      <w:p w14:paraId="4754D18D" w14:textId="77777777" w:rsidR="005E5746" w:rsidRPr="00326A61" w:rsidRDefault="005E5746" w:rsidP="009C0B9B">
                        <w:pPr>
                          <w:jc w:val="center"/>
                          <w:rPr>
                            <w:b/>
                            <w:color w:val="FFFFFF" w:themeColor="background1"/>
                            <w:sz w:val="16"/>
                            <w:szCs w:val="16"/>
                          </w:rPr>
                        </w:pPr>
                        <w:r>
                          <w:rPr>
                            <w:b/>
                            <w:color w:val="FFFFFF" w:themeColor="background1"/>
                            <w:sz w:val="16"/>
                            <w:szCs w:val="16"/>
                          </w:rPr>
                          <w:t>A n</w:t>
                        </w:r>
                        <w:r w:rsidRPr="00326A61">
                          <w:rPr>
                            <w:b/>
                            <w:color w:val="FFFFFF" w:themeColor="background1"/>
                            <w:sz w:val="16"/>
                            <w:szCs w:val="16"/>
                          </w:rPr>
                          <w:t xml:space="preserve">ational </w:t>
                        </w:r>
                        <w:r>
                          <w:rPr>
                            <w:b/>
                            <w:color w:val="FFFFFF" w:themeColor="background1"/>
                            <w:sz w:val="16"/>
                            <w:szCs w:val="16"/>
                          </w:rPr>
                          <w:t>approach to optimise</w:t>
                        </w:r>
                        <w:r w:rsidRPr="00326A61">
                          <w:rPr>
                            <w:b/>
                            <w:color w:val="FFFFFF" w:themeColor="background1"/>
                            <w:sz w:val="16"/>
                            <w:szCs w:val="16"/>
                          </w:rPr>
                          <w:t xml:space="preserve"> organ donation, retrieval and transplantation </w:t>
                        </w:r>
                      </w:p>
                      <w:p w14:paraId="1BF7DA0D" w14:textId="77777777" w:rsidR="005E5746" w:rsidRDefault="005E5746" w:rsidP="009C0B9B">
                        <w:pPr>
                          <w:jc w:val="center"/>
                          <w:rPr>
                            <w:b/>
                          </w:rPr>
                        </w:pPr>
                      </w:p>
                      <w:p w14:paraId="0E74F7AC" w14:textId="77777777" w:rsidR="005E5746" w:rsidRPr="00DB3980" w:rsidRDefault="005E5746" w:rsidP="009C0B9B">
                        <w:pPr>
                          <w:jc w:val="center"/>
                          <w:rPr>
                            <w:b/>
                          </w:rPr>
                        </w:pPr>
                      </w:p>
                    </w:txbxContent>
                  </v:textbox>
                </v:roundrect>
              </v:group>
            </w:pict>
          </mc:Fallback>
        </mc:AlternateContent>
      </w:r>
    </w:p>
    <w:p w14:paraId="53235C53" w14:textId="77777777" w:rsidR="009C0B9B" w:rsidRPr="001612E9" w:rsidRDefault="009C0B9B" w:rsidP="009C0B9B">
      <w:pPr>
        <w:rPr>
          <w:b/>
          <w:sz w:val="24"/>
          <w:szCs w:val="24"/>
          <w:lang w:val="en-US" w:eastAsia="en-AU"/>
        </w:rPr>
      </w:pPr>
    </w:p>
    <w:p w14:paraId="0E99B060" w14:textId="77777777" w:rsidR="009C0B9B" w:rsidRPr="001612E9" w:rsidRDefault="009C0B9B" w:rsidP="009C0B9B">
      <w:pPr>
        <w:rPr>
          <w:sz w:val="24"/>
          <w:szCs w:val="24"/>
          <w:lang w:eastAsia="en-AU"/>
        </w:rPr>
      </w:pPr>
    </w:p>
    <w:p w14:paraId="39100CA5" w14:textId="77777777" w:rsidR="009C0B9B" w:rsidRPr="001612E9" w:rsidRDefault="009C0B9B" w:rsidP="009C0B9B">
      <w:pPr>
        <w:rPr>
          <w:sz w:val="24"/>
          <w:szCs w:val="24"/>
          <w:lang w:eastAsia="en-AU"/>
        </w:rPr>
      </w:pPr>
    </w:p>
    <w:p w14:paraId="37C1F181" w14:textId="77777777" w:rsidR="009C0B9B" w:rsidRPr="001612E9" w:rsidRDefault="009C0B9B" w:rsidP="009C0B9B">
      <w:pPr>
        <w:rPr>
          <w:sz w:val="24"/>
          <w:szCs w:val="24"/>
          <w:lang w:eastAsia="en-AU"/>
        </w:rPr>
      </w:pPr>
    </w:p>
    <w:tbl>
      <w:tblPr>
        <w:tblStyle w:val="NOUSSideHeader1"/>
        <w:tblW w:w="8306" w:type="dxa"/>
        <w:tblInd w:w="738" w:type="dxa"/>
        <w:tblLook w:val="04A0" w:firstRow="1" w:lastRow="0" w:firstColumn="1" w:lastColumn="0" w:noHBand="0" w:noVBand="1"/>
      </w:tblPr>
      <w:tblGrid>
        <w:gridCol w:w="8306"/>
      </w:tblGrid>
      <w:tr w:rsidR="009C0B9B" w:rsidRPr="001612E9" w14:paraId="01ABFC65" w14:textId="77777777" w:rsidTr="009B686A">
        <w:trPr>
          <w:cnfStyle w:val="100000000000" w:firstRow="1" w:lastRow="0" w:firstColumn="0" w:lastColumn="0" w:oddVBand="0" w:evenVBand="0" w:oddHBand="0" w:evenHBand="0" w:firstRowFirstColumn="0" w:firstRowLastColumn="0" w:lastRowFirstColumn="0" w:lastRowLastColumn="0"/>
        </w:trPr>
        <w:tc>
          <w:tcPr>
            <w:tcW w:w="8306" w:type="dxa"/>
            <w:tcBorders>
              <w:top w:val="single" w:sz="4" w:space="0" w:color="FFFFFF"/>
            </w:tcBorders>
            <w:shd w:val="clear" w:color="auto" w:fill="006666"/>
          </w:tcPr>
          <w:p w14:paraId="265ABA5B" w14:textId="77777777" w:rsidR="009C0B9B" w:rsidRPr="001612E9" w:rsidRDefault="009C0B9B" w:rsidP="009B686A">
            <w:pPr>
              <w:spacing w:after="165"/>
              <w:contextualSpacing/>
              <w:jc w:val="center"/>
              <w:rPr>
                <w:rFonts w:ascii="Segoe UI" w:hAnsi="Segoe UI" w:cs="Times New Roman"/>
                <w:b/>
                <w:color w:val="265F65"/>
                <w:sz w:val="32"/>
                <w:szCs w:val="32"/>
              </w:rPr>
            </w:pPr>
            <w:r w:rsidRPr="001612E9">
              <w:rPr>
                <w:rFonts w:ascii="Segoe UI" w:hAnsi="Segoe UI" w:cs="Times New Roman"/>
                <w:b/>
                <w:color w:val="FFFFFF"/>
                <w:sz w:val="32"/>
                <w:szCs w:val="32"/>
              </w:rPr>
              <w:t>GOALS</w:t>
            </w:r>
          </w:p>
        </w:tc>
      </w:tr>
    </w:tbl>
    <w:p w14:paraId="3DFE5F2C" w14:textId="77777777" w:rsidR="009C0B9B" w:rsidRPr="001612E9" w:rsidRDefault="009C0B9B" w:rsidP="009C0B9B">
      <w:pPr>
        <w:rPr>
          <w:sz w:val="24"/>
          <w:szCs w:val="24"/>
          <w:lang w:eastAsia="en-AU"/>
        </w:rPr>
      </w:pPr>
      <w:r w:rsidRPr="001612E9">
        <w:rPr>
          <w:noProof/>
          <w:sz w:val="24"/>
          <w:szCs w:val="24"/>
          <w:lang w:eastAsia="en-AU"/>
        </w:rPr>
        <mc:AlternateContent>
          <mc:Choice Requires="wpg">
            <w:drawing>
              <wp:anchor distT="0" distB="0" distL="114300" distR="114300" simplePos="0" relativeHeight="251659264" behindDoc="0" locked="0" layoutInCell="1" allowOverlap="1" wp14:anchorId="2EFF99AA" wp14:editId="527B5E89">
                <wp:simplePos x="0" y="0"/>
                <wp:positionH relativeFrom="column">
                  <wp:posOffset>-165100</wp:posOffset>
                </wp:positionH>
                <wp:positionV relativeFrom="paragraph">
                  <wp:posOffset>172085</wp:posOffset>
                </wp:positionV>
                <wp:extent cx="6477670" cy="3041650"/>
                <wp:effectExtent l="0" t="0" r="18415" b="2540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77670" cy="3041650"/>
                          <a:chOff x="0" y="-21587"/>
                          <a:chExt cx="6477670" cy="3446779"/>
                        </a:xfrm>
                      </wpg:grpSpPr>
                      <wps:wsp>
                        <wps:cNvPr id="3" name="Rounded Rectangle 3"/>
                        <wps:cNvSpPr/>
                        <wps:spPr>
                          <a:xfrm>
                            <a:off x="3291672" y="0"/>
                            <a:ext cx="1560674" cy="3403604"/>
                          </a:xfrm>
                          <a:prstGeom prst="roundRect">
                            <a:avLst/>
                          </a:prstGeom>
                          <a:gradFill flip="none" rotWithShape="1">
                            <a:gsLst>
                              <a:gs pos="0">
                                <a:srgbClr val="58B6C0">
                                  <a:lumMod val="40000"/>
                                  <a:lumOff val="60000"/>
                                </a:srgbClr>
                              </a:gs>
                              <a:gs pos="46000">
                                <a:srgbClr val="58B6C0">
                                  <a:lumMod val="95000"/>
                                  <a:lumOff val="5000"/>
                                </a:srgbClr>
                              </a:gs>
                              <a:gs pos="100000">
                                <a:srgbClr val="58B6C0">
                                  <a:lumMod val="60000"/>
                                </a:srgbClr>
                              </a:gs>
                            </a:gsLst>
                            <a:path path="circle">
                              <a:fillToRect l="50000" t="130000" r="50000" b="-30000"/>
                            </a:path>
                            <a:tileRect/>
                          </a:gradFill>
                          <a:ln w="25400" cap="flat" cmpd="sng" algn="ctr">
                            <a:solidFill>
                              <a:srgbClr val="2683C6">
                                <a:lumMod val="75000"/>
                              </a:srgbClr>
                            </a:solidFill>
                            <a:prstDash val="solid"/>
                          </a:ln>
                          <a:effectLst/>
                        </wps:spPr>
                        <wps:txbx>
                          <w:txbxContent>
                            <w:p w14:paraId="2BC2ADFF" w14:textId="77777777" w:rsidR="005E5746" w:rsidRDefault="005E5746" w:rsidP="009C0B9B">
                              <w:pPr>
                                <w:pStyle w:val="ListParagraph"/>
                                <w:ind w:left="227"/>
                                <w:rPr>
                                  <w:b/>
                                  <w:color w:val="FFFFFF" w:themeColor="background1"/>
                                  <w:sz w:val="16"/>
                                  <w:szCs w:val="16"/>
                                </w:rPr>
                              </w:pPr>
                            </w:p>
                            <w:p w14:paraId="6699E1C2" w14:textId="70543428" w:rsidR="005E5746" w:rsidRDefault="005E5746" w:rsidP="009C0B9B">
                              <w:pPr>
                                <w:pStyle w:val="ListParagraph"/>
                                <w:numPr>
                                  <w:ilvl w:val="0"/>
                                  <w:numId w:val="8"/>
                                </w:numPr>
                                <w:ind w:left="227" w:hanging="227"/>
                                <w:rPr>
                                  <w:b/>
                                  <w:color w:val="FFFFFF" w:themeColor="background1"/>
                                  <w:sz w:val="16"/>
                                  <w:szCs w:val="16"/>
                                </w:rPr>
                              </w:pPr>
                              <w:r>
                                <w:rPr>
                                  <w:b/>
                                  <w:color w:val="FFFFFF" w:themeColor="background1"/>
                                  <w:sz w:val="16"/>
                                  <w:szCs w:val="16"/>
                                </w:rPr>
                                <w:t xml:space="preserve">Capability and capacity within the health system deliver </w:t>
                              </w:r>
                              <w:r w:rsidRPr="001612E9">
                                <w:rPr>
                                  <w:b/>
                                  <w:color w:val="FFFFFF" w:themeColor="background1"/>
                                  <w:sz w:val="16"/>
                                  <w:szCs w:val="16"/>
                                </w:rPr>
                                <w:t>optimal organ retrieval and</w:t>
                              </w:r>
                              <w:r>
                                <w:rPr>
                                  <w:b/>
                                  <w:color w:val="FFFFFF" w:themeColor="background1"/>
                                  <w:sz w:val="16"/>
                                  <w:szCs w:val="16"/>
                                </w:rPr>
                                <w:t xml:space="preserve"> transplantation services</w:t>
                              </w:r>
                            </w:p>
                            <w:p w14:paraId="3876AC50" w14:textId="77777777" w:rsidR="005E5746" w:rsidRPr="00732FAD" w:rsidRDefault="005E5746" w:rsidP="009C0B9B">
                              <w:pPr>
                                <w:pStyle w:val="ListParagraph"/>
                                <w:ind w:left="227"/>
                                <w:rPr>
                                  <w:b/>
                                  <w:color w:val="FFFFFF" w:themeColor="background1"/>
                                  <w:sz w:val="16"/>
                                  <w:szCs w:val="16"/>
                                </w:rPr>
                              </w:pPr>
                            </w:p>
                            <w:p w14:paraId="3BBD54ED" w14:textId="77777777" w:rsidR="005E5746" w:rsidRPr="00732FAD" w:rsidRDefault="005E5746" w:rsidP="009C0B9B">
                              <w:pPr>
                                <w:pStyle w:val="ListParagraph"/>
                                <w:numPr>
                                  <w:ilvl w:val="0"/>
                                  <w:numId w:val="8"/>
                                </w:numPr>
                                <w:ind w:left="227" w:hanging="227"/>
                                <w:rPr>
                                  <w:b/>
                                  <w:color w:val="FFFFFF" w:themeColor="background1"/>
                                  <w:sz w:val="16"/>
                                  <w:szCs w:val="16"/>
                                </w:rPr>
                              </w:pPr>
                              <w:r w:rsidRPr="00732FAD">
                                <w:rPr>
                                  <w:b/>
                                  <w:color w:val="FFFFFF" w:themeColor="background1"/>
                                  <w:sz w:val="16"/>
                                  <w:szCs w:val="16"/>
                                </w:rPr>
                                <w:t>Australian transplant recipients have access to high quality post</w:t>
                              </w:r>
                              <w:r>
                                <w:rPr>
                                  <w:b/>
                                  <w:color w:val="FFFFFF" w:themeColor="background1"/>
                                  <w:sz w:val="16"/>
                                  <w:szCs w:val="16"/>
                                </w:rPr>
                                <w:t>-t</w:t>
                              </w:r>
                              <w:r w:rsidRPr="00732FAD">
                                <w:rPr>
                                  <w:b/>
                                  <w:color w:val="FFFFFF" w:themeColor="background1"/>
                                  <w:sz w:val="16"/>
                                  <w:szCs w:val="16"/>
                                </w:rPr>
                                <w:t>ransplantation programs and services</w:t>
                              </w:r>
                            </w:p>
                            <w:p w14:paraId="696FD619" w14:textId="77777777" w:rsidR="005E5746" w:rsidRPr="00326A61" w:rsidRDefault="005E5746" w:rsidP="009C0B9B">
                              <w:pPr>
                                <w:jc w:val="center"/>
                                <w:rPr>
                                  <w:b/>
                                  <w:color w:val="FFFFFF" w:themeColor="background1"/>
                                  <w:sz w:val="16"/>
                                  <w:szCs w:val="16"/>
                                </w:rPr>
                              </w:pPr>
                            </w:p>
                            <w:p w14:paraId="02755A4C" w14:textId="77777777" w:rsidR="005E5746" w:rsidRDefault="005E5746" w:rsidP="009C0B9B">
                              <w:pPr>
                                <w:jc w:val="center"/>
                                <w:rPr>
                                  <w:b/>
                                  <w:sz w:val="16"/>
                                  <w:szCs w:val="16"/>
                                </w:rPr>
                              </w:pPr>
                            </w:p>
                            <w:p w14:paraId="6B15C796" w14:textId="77777777" w:rsidR="005E5746" w:rsidRDefault="005E5746" w:rsidP="009C0B9B">
                              <w:pPr>
                                <w:jc w:val="center"/>
                                <w:rPr>
                                  <w:b/>
                                  <w:sz w:val="16"/>
                                  <w:szCs w:val="16"/>
                                </w:rPr>
                              </w:pPr>
                            </w:p>
                            <w:p w14:paraId="3D96A541" w14:textId="77777777" w:rsidR="005E5746" w:rsidRDefault="005E5746" w:rsidP="009C0B9B">
                              <w:pPr>
                                <w:jc w:val="center"/>
                                <w:rPr>
                                  <w:b/>
                                  <w:sz w:val="16"/>
                                  <w:szCs w:val="16"/>
                                </w:rPr>
                              </w:pPr>
                            </w:p>
                            <w:p w14:paraId="574E7E69" w14:textId="77777777" w:rsidR="005E5746" w:rsidRPr="00DB3980" w:rsidRDefault="005E5746" w:rsidP="009C0B9B">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1645911" y="0"/>
                            <a:ext cx="1560195" cy="3389213"/>
                          </a:xfrm>
                          <a:prstGeom prst="roundRect">
                            <a:avLst/>
                          </a:prstGeom>
                          <a:gradFill flip="none" rotWithShape="1">
                            <a:gsLst>
                              <a:gs pos="0">
                                <a:srgbClr val="7A8C8E">
                                  <a:lumMod val="40000"/>
                                  <a:lumOff val="60000"/>
                                  <a:shade val="30000"/>
                                  <a:satMod val="115000"/>
                                </a:srgbClr>
                              </a:gs>
                              <a:gs pos="50000">
                                <a:srgbClr val="7A8C8E">
                                  <a:lumMod val="40000"/>
                                  <a:lumOff val="60000"/>
                                  <a:shade val="67500"/>
                                  <a:satMod val="115000"/>
                                </a:srgbClr>
                              </a:gs>
                              <a:gs pos="100000">
                                <a:srgbClr val="7A8C8E">
                                  <a:lumMod val="40000"/>
                                  <a:lumOff val="60000"/>
                                  <a:shade val="100000"/>
                                  <a:satMod val="115000"/>
                                </a:srgbClr>
                              </a:gs>
                            </a:gsLst>
                            <a:lin ang="5400000" scaled="1"/>
                            <a:tileRect/>
                          </a:gradFill>
                          <a:ln w="25400" cap="flat" cmpd="sng" algn="ctr">
                            <a:solidFill>
                              <a:srgbClr val="7A8C8E">
                                <a:lumMod val="75000"/>
                              </a:srgbClr>
                            </a:solidFill>
                            <a:prstDash val="solid"/>
                          </a:ln>
                          <a:effectLst/>
                        </wps:spPr>
                        <wps:txbx>
                          <w:txbxContent>
                            <w:p w14:paraId="36EBE69B" w14:textId="2397CC4B" w:rsidR="005E5746" w:rsidRDefault="005E5746" w:rsidP="009C0B9B">
                              <w:pPr>
                                <w:pStyle w:val="ListParagraph"/>
                                <w:numPr>
                                  <w:ilvl w:val="0"/>
                                  <w:numId w:val="7"/>
                                </w:numPr>
                                <w:ind w:left="227" w:hanging="227"/>
                                <w:rPr>
                                  <w:b/>
                                  <w:color w:val="FFFFFF" w:themeColor="background1"/>
                                  <w:sz w:val="16"/>
                                  <w:szCs w:val="16"/>
                                </w:rPr>
                              </w:pPr>
                              <w:r>
                                <w:rPr>
                                  <w:b/>
                                  <w:color w:val="FFFFFF" w:themeColor="background1"/>
                                  <w:sz w:val="16"/>
                                  <w:szCs w:val="16"/>
                                </w:rPr>
                                <w:t>Policy and programs break down barriers improving access to transplantation</w:t>
                              </w:r>
                            </w:p>
                            <w:p w14:paraId="12FA8AC6" w14:textId="77777777" w:rsidR="005E5746" w:rsidRPr="00732FAD" w:rsidRDefault="005E5746" w:rsidP="009C0B9B">
                              <w:pPr>
                                <w:pStyle w:val="ListParagraph"/>
                                <w:ind w:left="227"/>
                                <w:rPr>
                                  <w:b/>
                                  <w:color w:val="FFFFFF" w:themeColor="background1"/>
                                  <w:sz w:val="16"/>
                                  <w:szCs w:val="16"/>
                                </w:rPr>
                              </w:pPr>
                            </w:p>
                            <w:p w14:paraId="30AA85D4" w14:textId="77777777" w:rsidR="005E5746" w:rsidRPr="00732FAD" w:rsidRDefault="005E5746" w:rsidP="009C0B9B">
                              <w:pPr>
                                <w:pStyle w:val="ListParagraph"/>
                                <w:numPr>
                                  <w:ilvl w:val="0"/>
                                  <w:numId w:val="7"/>
                                </w:numPr>
                                <w:ind w:left="227" w:hanging="227"/>
                                <w:rPr>
                                  <w:b/>
                                  <w:color w:val="FFFFFF" w:themeColor="background1"/>
                                  <w:sz w:val="16"/>
                                  <w:szCs w:val="16"/>
                                </w:rPr>
                              </w:pPr>
                              <w:r>
                                <w:rPr>
                                  <w:b/>
                                  <w:color w:val="FFFFFF" w:themeColor="background1"/>
                                  <w:sz w:val="16"/>
                                  <w:szCs w:val="16"/>
                                </w:rPr>
                                <w:t>Nationally consistent, equitable and transparent wait list, organ allocation, offer and acceptance processes</w:t>
                              </w:r>
                            </w:p>
                            <w:p w14:paraId="18DCDCD3" w14:textId="77777777" w:rsidR="005E5746" w:rsidRPr="00326A61" w:rsidRDefault="005E5746" w:rsidP="009C0B9B">
                              <w:pPr>
                                <w:jc w:val="center"/>
                                <w:rPr>
                                  <w:b/>
                                  <w:color w:val="FFFFFF" w:themeColor="background1"/>
                                  <w:sz w:val="16"/>
                                  <w:szCs w:val="16"/>
                                </w:rPr>
                              </w:pPr>
                            </w:p>
                            <w:p w14:paraId="6C105714" w14:textId="77777777" w:rsidR="005E5746" w:rsidRDefault="005E5746" w:rsidP="009C0B9B">
                              <w:pPr>
                                <w:jc w:val="center"/>
                                <w:rPr>
                                  <w:b/>
                                  <w:sz w:val="16"/>
                                  <w:szCs w:val="16"/>
                                </w:rPr>
                              </w:pPr>
                            </w:p>
                            <w:p w14:paraId="49E97E98" w14:textId="77777777" w:rsidR="005E5746" w:rsidRPr="00DB3980" w:rsidRDefault="005E5746" w:rsidP="009C0B9B">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ounded Rectangle 6"/>
                        <wps:cNvSpPr/>
                        <wps:spPr>
                          <a:xfrm>
                            <a:off x="4916996" y="-21587"/>
                            <a:ext cx="1560674" cy="3446779"/>
                          </a:xfrm>
                          <a:prstGeom prst="roundRect">
                            <a:avLst/>
                          </a:prstGeom>
                          <a:gradFill flip="none" rotWithShape="1">
                            <a:gsLst>
                              <a:gs pos="0">
                                <a:srgbClr val="75BDA7">
                                  <a:lumMod val="40000"/>
                                  <a:lumOff val="60000"/>
                                </a:srgbClr>
                              </a:gs>
                              <a:gs pos="46000">
                                <a:srgbClr val="75BDA7">
                                  <a:lumMod val="95000"/>
                                  <a:lumOff val="5000"/>
                                </a:srgbClr>
                              </a:gs>
                              <a:gs pos="100000">
                                <a:srgbClr val="75BDA7">
                                  <a:lumMod val="60000"/>
                                </a:srgbClr>
                              </a:gs>
                            </a:gsLst>
                            <a:path path="circle">
                              <a:fillToRect l="50000" t="130000" r="50000" b="-30000"/>
                            </a:path>
                            <a:tileRect/>
                          </a:gradFill>
                          <a:ln w="25400" cap="flat" cmpd="sng" algn="ctr">
                            <a:solidFill>
                              <a:srgbClr val="75BDA7">
                                <a:lumMod val="75000"/>
                              </a:srgbClr>
                            </a:solidFill>
                            <a:prstDash val="solid"/>
                          </a:ln>
                          <a:effectLst/>
                        </wps:spPr>
                        <wps:txbx>
                          <w:txbxContent>
                            <w:p w14:paraId="2E826DA3" w14:textId="77777777" w:rsidR="005E5746" w:rsidRPr="007A3BFD" w:rsidRDefault="005E5746" w:rsidP="009C0B9B">
                              <w:pPr>
                                <w:pStyle w:val="ListParagraph"/>
                                <w:numPr>
                                  <w:ilvl w:val="0"/>
                                  <w:numId w:val="6"/>
                                </w:numPr>
                                <w:ind w:left="227"/>
                                <w:rPr>
                                  <w:b/>
                                  <w:color w:val="FFFFFF"/>
                                  <w:sz w:val="16"/>
                                  <w:szCs w:val="16"/>
                                </w:rPr>
                              </w:pPr>
                              <w:r w:rsidRPr="00B45FDC">
                                <w:rPr>
                                  <w:b/>
                                  <w:color w:val="FFFFFF" w:themeColor="background1"/>
                                  <w:sz w:val="16"/>
                                  <w:szCs w:val="16"/>
                                </w:rPr>
                                <w:t>OrganMatch functionality drives clinical practice improvement</w:t>
                              </w:r>
                            </w:p>
                            <w:p w14:paraId="5CB4DE67" w14:textId="77777777" w:rsidR="005E5746" w:rsidRPr="007A3BFD" w:rsidRDefault="005E5746" w:rsidP="009C0B9B">
                              <w:pPr>
                                <w:pStyle w:val="ListParagraph"/>
                                <w:ind w:left="227"/>
                                <w:rPr>
                                  <w:b/>
                                  <w:color w:val="FFFFFF"/>
                                  <w:sz w:val="16"/>
                                  <w:szCs w:val="16"/>
                                </w:rPr>
                              </w:pPr>
                            </w:p>
                            <w:p w14:paraId="21C50D9B" w14:textId="77777777" w:rsidR="005E5746" w:rsidRPr="00BE63FC" w:rsidRDefault="005E5746" w:rsidP="009C0B9B">
                              <w:pPr>
                                <w:pStyle w:val="ListParagraph"/>
                                <w:numPr>
                                  <w:ilvl w:val="0"/>
                                  <w:numId w:val="6"/>
                                </w:numPr>
                                <w:ind w:left="227"/>
                                <w:rPr>
                                  <w:b/>
                                  <w:color w:val="FFFFFF"/>
                                  <w:sz w:val="16"/>
                                  <w:szCs w:val="16"/>
                                </w:rPr>
                              </w:pPr>
                              <w:r>
                                <w:rPr>
                                  <w:b/>
                                  <w:color w:val="FFFFFF" w:themeColor="background1"/>
                                  <w:sz w:val="16"/>
                                  <w:szCs w:val="16"/>
                                </w:rPr>
                                <w:t>Data is accessible and reported to drive best practice</w:t>
                              </w:r>
                            </w:p>
                            <w:p w14:paraId="7FBBA769" w14:textId="77777777" w:rsidR="005E5746" w:rsidRPr="001612E9" w:rsidRDefault="005E5746" w:rsidP="009C0B9B">
                              <w:pPr>
                                <w:pStyle w:val="ListParagraph"/>
                                <w:rPr>
                                  <w:b/>
                                  <w:color w:val="FFFFFF" w:themeColor="background1"/>
                                  <w:sz w:val="16"/>
                                  <w:szCs w:val="16"/>
                                </w:rPr>
                              </w:pPr>
                            </w:p>
                            <w:p w14:paraId="5D125A02" w14:textId="77777777" w:rsidR="005E5746" w:rsidRPr="00B45FDC" w:rsidRDefault="005E5746" w:rsidP="009C0B9B">
                              <w:pPr>
                                <w:pStyle w:val="ListParagraph"/>
                                <w:numPr>
                                  <w:ilvl w:val="0"/>
                                  <w:numId w:val="6"/>
                                </w:numPr>
                                <w:ind w:left="227"/>
                                <w:rPr>
                                  <w:b/>
                                  <w:color w:val="FFFFFF"/>
                                  <w:sz w:val="16"/>
                                  <w:szCs w:val="16"/>
                                </w:rPr>
                              </w:pPr>
                              <w:r w:rsidRPr="001612E9">
                                <w:rPr>
                                  <w:b/>
                                  <w:color w:val="FFFFFF" w:themeColor="background1"/>
                                  <w:sz w:val="16"/>
                                  <w:szCs w:val="16"/>
                                </w:rPr>
                                <w:t xml:space="preserve">Optimal use and functionality of </w:t>
                              </w:r>
                              <w:r>
                                <w:rPr>
                                  <w:b/>
                                  <w:color w:val="FFFFFF"/>
                                  <w:sz w:val="16"/>
                                  <w:szCs w:val="16"/>
                                </w:rPr>
                                <w:t>transplantation outcome registries to inform policy and program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unded Rectangle 12"/>
                        <wps:cNvSpPr/>
                        <wps:spPr>
                          <a:xfrm>
                            <a:off x="0" y="21588"/>
                            <a:ext cx="1560830" cy="3367625"/>
                          </a:xfrm>
                          <a:prstGeom prst="roundRect">
                            <a:avLst/>
                          </a:prstGeom>
                          <a:gradFill flip="none" rotWithShape="1">
                            <a:gsLst>
                              <a:gs pos="0">
                                <a:srgbClr val="75BDA7">
                                  <a:lumMod val="40000"/>
                                  <a:lumOff val="60000"/>
                                </a:srgbClr>
                              </a:gs>
                              <a:gs pos="46000">
                                <a:srgbClr val="75BDA7">
                                  <a:lumMod val="95000"/>
                                  <a:lumOff val="5000"/>
                                </a:srgbClr>
                              </a:gs>
                              <a:gs pos="100000">
                                <a:srgbClr val="75BDA7">
                                  <a:lumMod val="60000"/>
                                </a:srgbClr>
                              </a:gs>
                            </a:gsLst>
                            <a:path path="circle">
                              <a:fillToRect l="50000" t="130000" r="50000" b="-30000"/>
                            </a:path>
                            <a:tileRect/>
                          </a:gradFill>
                          <a:ln w="25400" cap="flat" cmpd="sng" algn="ctr">
                            <a:solidFill>
                              <a:srgbClr val="75BDA7">
                                <a:lumMod val="75000"/>
                              </a:srgbClr>
                            </a:solidFill>
                            <a:prstDash val="solid"/>
                          </a:ln>
                          <a:effectLst/>
                        </wps:spPr>
                        <wps:txbx>
                          <w:txbxContent>
                            <w:p w14:paraId="2B08A616" w14:textId="14E1AFC1" w:rsidR="005E5746" w:rsidRDefault="005E5746" w:rsidP="009C0B9B">
                              <w:pPr>
                                <w:pStyle w:val="ListParagraph"/>
                                <w:numPr>
                                  <w:ilvl w:val="0"/>
                                  <w:numId w:val="6"/>
                                </w:numPr>
                                <w:ind w:left="227"/>
                                <w:rPr>
                                  <w:b/>
                                  <w:color w:val="FFFFFF" w:themeColor="background1"/>
                                  <w:sz w:val="16"/>
                                  <w:szCs w:val="16"/>
                                </w:rPr>
                              </w:pPr>
                              <w:r>
                                <w:rPr>
                                  <w:b/>
                                  <w:color w:val="FFFFFF" w:themeColor="background1"/>
                                  <w:sz w:val="16"/>
                                  <w:szCs w:val="16"/>
                                </w:rPr>
                                <w:t>National governance and funding arrangements effectively support Australia’s organ donation, retrieval and transplantation system</w:t>
                              </w:r>
                            </w:p>
                            <w:p w14:paraId="05D86E24" w14:textId="77777777" w:rsidR="005E5746" w:rsidRPr="00732FAD" w:rsidRDefault="005E5746" w:rsidP="009C0B9B">
                              <w:pPr>
                                <w:pStyle w:val="ListParagraph"/>
                                <w:ind w:left="227"/>
                                <w:rPr>
                                  <w:b/>
                                  <w:color w:val="FFFFFF" w:themeColor="background1"/>
                                  <w:sz w:val="16"/>
                                  <w:szCs w:val="16"/>
                                </w:rPr>
                              </w:pPr>
                            </w:p>
                            <w:p w14:paraId="5B060DE1" w14:textId="09E4342A" w:rsidR="005E5746" w:rsidRDefault="005E5746" w:rsidP="00672307">
                              <w:pPr>
                                <w:pStyle w:val="ListParagraph"/>
                                <w:numPr>
                                  <w:ilvl w:val="0"/>
                                  <w:numId w:val="6"/>
                                </w:numPr>
                                <w:ind w:left="227"/>
                                <w:rPr>
                                  <w:b/>
                                  <w:color w:val="FFFFFF" w:themeColor="background1"/>
                                  <w:sz w:val="16"/>
                                  <w:szCs w:val="16"/>
                                </w:rPr>
                              </w:pPr>
                              <w:r>
                                <w:rPr>
                                  <w:b/>
                                  <w:color w:val="FFFFFF" w:themeColor="background1"/>
                                  <w:sz w:val="16"/>
                                  <w:szCs w:val="16"/>
                                </w:rPr>
                                <w:t>More Australians consent to donation</w:t>
                              </w:r>
                            </w:p>
                            <w:p w14:paraId="124F506D" w14:textId="77777777" w:rsidR="005E5746" w:rsidRPr="00326A61" w:rsidRDefault="005E5746" w:rsidP="009C0B9B">
                              <w:pPr>
                                <w:jc w:val="center"/>
                                <w:rPr>
                                  <w:b/>
                                  <w:color w:val="FFFFFF" w:themeColor="background1"/>
                                  <w:sz w:val="16"/>
                                  <w:szCs w:val="16"/>
                                </w:rPr>
                              </w:pPr>
                            </w:p>
                            <w:p w14:paraId="07CD175B" w14:textId="77777777" w:rsidR="005E5746" w:rsidRDefault="005E5746" w:rsidP="009C0B9B">
                              <w:pPr>
                                <w:jc w:val="center"/>
                                <w:rPr>
                                  <w:b/>
                                </w:rPr>
                              </w:pPr>
                            </w:p>
                            <w:p w14:paraId="6205A28C" w14:textId="77777777" w:rsidR="005E5746" w:rsidRPr="00DB3980" w:rsidRDefault="005E5746" w:rsidP="009C0B9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FF99AA" id="Group 11" o:spid="_x0000_s1031" alt="&quot;&quot;" style="position:absolute;margin-left:-13pt;margin-top:13.55pt;width:510.05pt;height:239.5pt;z-index:251659264;mso-width-relative:margin;mso-height-relative:margin" coordorigin=",-215" coordsize="64776,3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">
                <v:roundrect id="Rounded Rectangle 3" o:spid="_x0000_s1032" style="position:absolute;left:32916;width:15607;height:340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" fillcolor="#bce2e6" strokecolor="#1d6295" strokeweight="2pt">
                  <v:fill color2="#2e737a" rotate="t" focusposition=".5,85197f" focussize="" colors="0 #bce2e6;30147f #60bac3;1 #2e737a" focus="100%" type="gradientRadial"/>
                  <v:textbox>
                    <w:txbxContent>
                      <w:p w14:paraId="2BC2ADFF" w14:textId="77777777" w:rsidR="005E5746" w:rsidRDefault="005E5746" w:rsidP="009C0B9B">
                        <w:pPr>
                          <w:pStyle w:val="ListParagraph"/>
                          <w:ind w:left="227"/>
                          <w:rPr>
                            <w:b/>
                            <w:color w:val="FFFFFF" w:themeColor="background1"/>
                            <w:sz w:val="16"/>
                            <w:szCs w:val="16"/>
                          </w:rPr>
                        </w:pPr>
                      </w:p>
                      <w:p w14:paraId="6699E1C2" w14:textId="70543428" w:rsidR="005E5746" w:rsidRDefault="005E5746" w:rsidP="009C0B9B">
                        <w:pPr>
                          <w:pStyle w:val="ListParagraph"/>
                          <w:numPr>
                            <w:ilvl w:val="0"/>
                            <w:numId w:val="8"/>
                          </w:numPr>
                          <w:ind w:left="227" w:hanging="227"/>
                          <w:rPr>
                            <w:b/>
                            <w:color w:val="FFFFFF" w:themeColor="background1"/>
                            <w:sz w:val="16"/>
                            <w:szCs w:val="16"/>
                          </w:rPr>
                        </w:pPr>
                        <w:r>
                          <w:rPr>
                            <w:b/>
                            <w:color w:val="FFFFFF" w:themeColor="background1"/>
                            <w:sz w:val="16"/>
                            <w:szCs w:val="16"/>
                          </w:rPr>
                          <w:t xml:space="preserve">Capability and capacity within the health system deliver </w:t>
                        </w:r>
                        <w:r w:rsidRPr="001612E9">
                          <w:rPr>
                            <w:b/>
                            <w:color w:val="FFFFFF" w:themeColor="background1"/>
                            <w:sz w:val="16"/>
                            <w:szCs w:val="16"/>
                          </w:rPr>
                          <w:t>optimal organ retrieval and</w:t>
                        </w:r>
                        <w:r>
                          <w:rPr>
                            <w:b/>
                            <w:color w:val="FFFFFF" w:themeColor="background1"/>
                            <w:sz w:val="16"/>
                            <w:szCs w:val="16"/>
                          </w:rPr>
                          <w:t xml:space="preserve"> transplantation services</w:t>
                        </w:r>
                      </w:p>
                      <w:p w14:paraId="3876AC50" w14:textId="77777777" w:rsidR="005E5746" w:rsidRPr="00732FAD" w:rsidRDefault="005E5746" w:rsidP="009C0B9B">
                        <w:pPr>
                          <w:pStyle w:val="ListParagraph"/>
                          <w:ind w:left="227"/>
                          <w:rPr>
                            <w:b/>
                            <w:color w:val="FFFFFF" w:themeColor="background1"/>
                            <w:sz w:val="16"/>
                            <w:szCs w:val="16"/>
                          </w:rPr>
                        </w:pPr>
                      </w:p>
                      <w:p w14:paraId="3BBD54ED" w14:textId="77777777" w:rsidR="005E5746" w:rsidRPr="00732FAD" w:rsidRDefault="005E5746" w:rsidP="009C0B9B">
                        <w:pPr>
                          <w:pStyle w:val="ListParagraph"/>
                          <w:numPr>
                            <w:ilvl w:val="0"/>
                            <w:numId w:val="8"/>
                          </w:numPr>
                          <w:ind w:left="227" w:hanging="227"/>
                          <w:rPr>
                            <w:b/>
                            <w:color w:val="FFFFFF" w:themeColor="background1"/>
                            <w:sz w:val="16"/>
                            <w:szCs w:val="16"/>
                          </w:rPr>
                        </w:pPr>
                        <w:r w:rsidRPr="00732FAD">
                          <w:rPr>
                            <w:b/>
                            <w:color w:val="FFFFFF" w:themeColor="background1"/>
                            <w:sz w:val="16"/>
                            <w:szCs w:val="16"/>
                          </w:rPr>
                          <w:t>Australian transplant recipients have access to high quality post</w:t>
                        </w:r>
                        <w:r>
                          <w:rPr>
                            <w:b/>
                            <w:color w:val="FFFFFF" w:themeColor="background1"/>
                            <w:sz w:val="16"/>
                            <w:szCs w:val="16"/>
                          </w:rPr>
                          <w:t>-t</w:t>
                        </w:r>
                        <w:r w:rsidRPr="00732FAD">
                          <w:rPr>
                            <w:b/>
                            <w:color w:val="FFFFFF" w:themeColor="background1"/>
                            <w:sz w:val="16"/>
                            <w:szCs w:val="16"/>
                          </w:rPr>
                          <w:t>ransplantation programs and services</w:t>
                        </w:r>
                      </w:p>
                      <w:p w14:paraId="696FD619" w14:textId="77777777" w:rsidR="005E5746" w:rsidRPr="00326A61" w:rsidRDefault="005E5746" w:rsidP="009C0B9B">
                        <w:pPr>
                          <w:jc w:val="center"/>
                          <w:rPr>
                            <w:b/>
                            <w:color w:val="FFFFFF" w:themeColor="background1"/>
                            <w:sz w:val="16"/>
                            <w:szCs w:val="16"/>
                          </w:rPr>
                        </w:pPr>
                      </w:p>
                      <w:p w14:paraId="02755A4C" w14:textId="77777777" w:rsidR="005E5746" w:rsidRDefault="005E5746" w:rsidP="009C0B9B">
                        <w:pPr>
                          <w:jc w:val="center"/>
                          <w:rPr>
                            <w:b/>
                            <w:sz w:val="16"/>
                            <w:szCs w:val="16"/>
                          </w:rPr>
                        </w:pPr>
                      </w:p>
                      <w:p w14:paraId="6B15C796" w14:textId="77777777" w:rsidR="005E5746" w:rsidRDefault="005E5746" w:rsidP="009C0B9B">
                        <w:pPr>
                          <w:jc w:val="center"/>
                          <w:rPr>
                            <w:b/>
                            <w:sz w:val="16"/>
                            <w:szCs w:val="16"/>
                          </w:rPr>
                        </w:pPr>
                      </w:p>
                      <w:p w14:paraId="3D96A541" w14:textId="77777777" w:rsidR="005E5746" w:rsidRDefault="005E5746" w:rsidP="009C0B9B">
                        <w:pPr>
                          <w:jc w:val="center"/>
                          <w:rPr>
                            <w:b/>
                            <w:sz w:val="16"/>
                            <w:szCs w:val="16"/>
                          </w:rPr>
                        </w:pPr>
                      </w:p>
                      <w:p w14:paraId="574E7E69" w14:textId="77777777" w:rsidR="005E5746" w:rsidRPr="00DB3980" w:rsidRDefault="005E5746" w:rsidP="009C0B9B">
                        <w:pPr>
                          <w:jc w:val="center"/>
                          <w:rPr>
                            <w:b/>
                            <w:sz w:val="16"/>
                            <w:szCs w:val="16"/>
                          </w:rPr>
                        </w:pPr>
                      </w:p>
                    </w:txbxContent>
                  </v:textbox>
                </v:roundrect>
                <v:roundrect id="Rounded Rectangle 4" o:spid="_x0000_s1033" style="position:absolute;left:16459;width:15602;height:338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" fillcolor="#74797a" strokecolor="#5b696b" strokeweight="2pt">
                  <v:fill color2="#c9d1d2" rotate="t" colors="0 #74797a;.5 #a9b0b0;1 #c9d1d2" focus="100%" type="gradient"/>
                  <v:textbox>
                    <w:txbxContent>
                      <w:p w14:paraId="36EBE69B" w14:textId="2397CC4B" w:rsidR="005E5746" w:rsidRDefault="005E5746" w:rsidP="009C0B9B">
                        <w:pPr>
                          <w:pStyle w:val="ListParagraph"/>
                          <w:numPr>
                            <w:ilvl w:val="0"/>
                            <w:numId w:val="7"/>
                          </w:numPr>
                          <w:ind w:left="227" w:hanging="227"/>
                          <w:rPr>
                            <w:b/>
                            <w:color w:val="FFFFFF" w:themeColor="background1"/>
                            <w:sz w:val="16"/>
                            <w:szCs w:val="16"/>
                          </w:rPr>
                        </w:pPr>
                        <w:r>
                          <w:rPr>
                            <w:b/>
                            <w:color w:val="FFFFFF" w:themeColor="background1"/>
                            <w:sz w:val="16"/>
                            <w:szCs w:val="16"/>
                          </w:rPr>
                          <w:t>Policy and programs break down barriers improving access to transplantation</w:t>
                        </w:r>
                      </w:p>
                      <w:p w14:paraId="12FA8AC6" w14:textId="77777777" w:rsidR="005E5746" w:rsidRPr="00732FAD" w:rsidRDefault="005E5746" w:rsidP="009C0B9B">
                        <w:pPr>
                          <w:pStyle w:val="ListParagraph"/>
                          <w:ind w:left="227"/>
                          <w:rPr>
                            <w:b/>
                            <w:color w:val="FFFFFF" w:themeColor="background1"/>
                            <w:sz w:val="16"/>
                            <w:szCs w:val="16"/>
                          </w:rPr>
                        </w:pPr>
                      </w:p>
                      <w:p w14:paraId="30AA85D4" w14:textId="77777777" w:rsidR="005E5746" w:rsidRPr="00732FAD" w:rsidRDefault="005E5746" w:rsidP="009C0B9B">
                        <w:pPr>
                          <w:pStyle w:val="ListParagraph"/>
                          <w:numPr>
                            <w:ilvl w:val="0"/>
                            <w:numId w:val="7"/>
                          </w:numPr>
                          <w:ind w:left="227" w:hanging="227"/>
                          <w:rPr>
                            <w:b/>
                            <w:color w:val="FFFFFF" w:themeColor="background1"/>
                            <w:sz w:val="16"/>
                            <w:szCs w:val="16"/>
                          </w:rPr>
                        </w:pPr>
                        <w:r>
                          <w:rPr>
                            <w:b/>
                            <w:color w:val="FFFFFF" w:themeColor="background1"/>
                            <w:sz w:val="16"/>
                            <w:szCs w:val="16"/>
                          </w:rPr>
                          <w:t>Nationally consistent, equitable and transparent wait list, organ allocation, offer and acceptance processes</w:t>
                        </w:r>
                      </w:p>
                      <w:p w14:paraId="18DCDCD3" w14:textId="77777777" w:rsidR="005E5746" w:rsidRPr="00326A61" w:rsidRDefault="005E5746" w:rsidP="009C0B9B">
                        <w:pPr>
                          <w:jc w:val="center"/>
                          <w:rPr>
                            <w:b/>
                            <w:color w:val="FFFFFF" w:themeColor="background1"/>
                            <w:sz w:val="16"/>
                            <w:szCs w:val="16"/>
                          </w:rPr>
                        </w:pPr>
                      </w:p>
                      <w:p w14:paraId="6C105714" w14:textId="77777777" w:rsidR="005E5746" w:rsidRDefault="005E5746" w:rsidP="009C0B9B">
                        <w:pPr>
                          <w:jc w:val="center"/>
                          <w:rPr>
                            <w:b/>
                            <w:sz w:val="16"/>
                            <w:szCs w:val="16"/>
                          </w:rPr>
                        </w:pPr>
                      </w:p>
                      <w:p w14:paraId="49E97E98" w14:textId="77777777" w:rsidR="005E5746" w:rsidRPr="00DB3980" w:rsidRDefault="005E5746" w:rsidP="009C0B9B">
                        <w:pPr>
                          <w:jc w:val="center"/>
                          <w:rPr>
                            <w:b/>
                            <w:sz w:val="16"/>
                            <w:szCs w:val="16"/>
                          </w:rPr>
                        </w:pPr>
                      </w:p>
                    </w:txbxContent>
                  </v:textbox>
                </v:roundrect>
                <v:roundrect id="Rounded Rectangle 6" o:spid="_x0000_s1034" style="position:absolute;left:49169;top:-215;width:15607;height:3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" fillcolor="#c8e5dc" strokecolor="#4a9b82" strokeweight="2pt">
                  <v:fill color2="#3b7c68" rotate="t" focusposition=".5,85197f" focussize="" colors="0 #c8e5dc;30147f #7cc0ab;1 #3b7c68" focus="100%" type="gradientRadial"/>
                  <v:textbox>
                    <w:txbxContent>
                      <w:p w14:paraId="2E826DA3" w14:textId="77777777" w:rsidR="005E5746" w:rsidRPr="007A3BFD" w:rsidRDefault="005E5746" w:rsidP="009C0B9B">
                        <w:pPr>
                          <w:pStyle w:val="ListParagraph"/>
                          <w:numPr>
                            <w:ilvl w:val="0"/>
                            <w:numId w:val="6"/>
                          </w:numPr>
                          <w:ind w:left="227"/>
                          <w:rPr>
                            <w:b/>
                            <w:color w:val="FFFFFF"/>
                            <w:sz w:val="16"/>
                            <w:szCs w:val="16"/>
                          </w:rPr>
                        </w:pPr>
                        <w:r w:rsidRPr="00B45FDC">
                          <w:rPr>
                            <w:b/>
                            <w:color w:val="FFFFFF" w:themeColor="background1"/>
                            <w:sz w:val="16"/>
                            <w:szCs w:val="16"/>
                          </w:rPr>
                          <w:t>OrganMatch functionality drives clinical practice improvement</w:t>
                        </w:r>
                      </w:p>
                      <w:p w14:paraId="5CB4DE67" w14:textId="77777777" w:rsidR="005E5746" w:rsidRPr="007A3BFD" w:rsidRDefault="005E5746" w:rsidP="009C0B9B">
                        <w:pPr>
                          <w:pStyle w:val="ListParagraph"/>
                          <w:ind w:left="227"/>
                          <w:rPr>
                            <w:b/>
                            <w:color w:val="FFFFFF"/>
                            <w:sz w:val="16"/>
                            <w:szCs w:val="16"/>
                          </w:rPr>
                        </w:pPr>
                      </w:p>
                      <w:p w14:paraId="21C50D9B" w14:textId="77777777" w:rsidR="005E5746" w:rsidRPr="00BE63FC" w:rsidRDefault="005E5746" w:rsidP="009C0B9B">
                        <w:pPr>
                          <w:pStyle w:val="ListParagraph"/>
                          <w:numPr>
                            <w:ilvl w:val="0"/>
                            <w:numId w:val="6"/>
                          </w:numPr>
                          <w:ind w:left="227"/>
                          <w:rPr>
                            <w:b/>
                            <w:color w:val="FFFFFF"/>
                            <w:sz w:val="16"/>
                            <w:szCs w:val="16"/>
                          </w:rPr>
                        </w:pPr>
                        <w:r>
                          <w:rPr>
                            <w:b/>
                            <w:color w:val="FFFFFF" w:themeColor="background1"/>
                            <w:sz w:val="16"/>
                            <w:szCs w:val="16"/>
                          </w:rPr>
                          <w:t>Data is accessible and reported to drive best practice</w:t>
                        </w:r>
                      </w:p>
                      <w:p w14:paraId="7FBBA769" w14:textId="77777777" w:rsidR="005E5746" w:rsidRPr="001612E9" w:rsidRDefault="005E5746" w:rsidP="009C0B9B">
                        <w:pPr>
                          <w:pStyle w:val="ListParagraph"/>
                          <w:rPr>
                            <w:b/>
                            <w:color w:val="FFFFFF" w:themeColor="background1"/>
                            <w:sz w:val="16"/>
                            <w:szCs w:val="16"/>
                          </w:rPr>
                        </w:pPr>
                      </w:p>
                      <w:p w14:paraId="5D125A02" w14:textId="77777777" w:rsidR="005E5746" w:rsidRPr="00B45FDC" w:rsidRDefault="005E5746" w:rsidP="009C0B9B">
                        <w:pPr>
                          <w:pStyle w:val="ListParagraph"/>
                          <w:numPr>
                            <w:ilvl w:val="0"/>
                            <w:numId w:val="6"/>
                          </w:numPr>
                          <w:ind w:left="227"/>
                          <w:rPr>
                            <w:b/>
                            <w:color w:val="FFFFFF"/>
                            <w:sz w:val="16"/>
                            <w:szCs w:val="16"/>
                          </w:rPr>
                        </w:pPr>
                        <w:r w:rsidRPr="001612E9">
                          <w:rPr>
                            <w:b/>
                            <w:color w:val="FFFFFF" w:themeColor="background1"/>
                            <w:sz w:val="16"/>
                            <w:szCs w:val="16"/>
                          </w:rPr>
                          <w:t xml:space="preserve">Optimal use and functionality of </w:t>
                        </w:r>
                        <w:r>
                          <w:rPr>
                            <w:b/>
                            <w:color w:val="FFFFFF"/>
                            <w:sz w:val="16"/>
                            <w:szCs w:val="16"/>
                          </w:rPr>
                          <w:t>transplantation outcome registries to inform policy and program design</w:t>
                        </w:r>
                      </w:p>
                    </w:txbxContent>
                  </v:textbox>
                </v:roundrect>
                <v:roundrect id="Rounded Rectangle 12" o:spid="_x0000_s1035" style="position:absolute;top:215;width:15608;height:33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" fillcolor="#c8e5dc" strokecolor="#4a9b82" strokeweight="2pt">
                  <v:fill color2="#3b7c68" rotate="t" focusposition=".5,85197f" focussize="" colors="0 #c8e5dc;30147f #7cc0ab;1 #3b7c68" focus="100%" type="gradientRadial"/>
                  <v:textbox>
                    <w:txbxContent>
                      <w:p w14:paraId="2B08A616" w14:textId="14E1AFC1" w:rsidR="005E5746" w:rsidRDefault="005E5746" w:rsidP="009C0B9B">
                        <w:pPr>
                          <w:pStyle w:val="ListParagraph"/>
                          <w:numPr>
                            <w:ilvl w:val="0"/>
                            <w:numId w:val="6"/>
                          </w:numPr>
                          <w:ind w:left="227"/>
                          <w:rPr>
                            <w:b/>
                            <w:color w:val="FFFFFF" w:themeColor="background1"/>
                            <w:sz w:val="16"/>
                            <w:szCs w:val="16"/>
                          </w:rPr>
                        </w:pPr>
                        <w:r>
                          <w:rPr>
                            <w:b/>
                            <w:color w:val="FFFFFF" w:themeColor="background1"/>
                            <w:sz w:val="16"/>
                            <w:szCs w:val="16"/>
                          </w:rPr>
                          <w:t>National governance and funding arrangements effectively support Australia’s organ donation, retrieval and transplantation system</w:t>
                        </w:r>
                      </w:p>
                      <w:p w14:paraId="05D86E24" w14:textId="77777777" w:rsidR="005E5746" w:rsidRPr="00732FAD" w:rsidRDefault="005E5746" w:rsidP="009C0B9B">
                        <w:pPr>
                          <w:pStyle w:val="ListParagraph"/>
                          <w:ind w:left="227"/>
                          <w:rPr>
                            <w:b/>
                            <w:color w:val="FFFFFF" w:themeColor="background1"/>
                            <w:sz w:val="16"/>
                            <w:szCs w:val="16"/>
                          </w:rPr>
                        </w:pPr>
                      </w:p>
                      <w:p w14:paraId="5B060DE1" w14:textId="09E4342A" w:rsidR="005E5746" w:rsidRDefault="005E5746" w:rsidP="00672307">
                        <w:pPr>
                          <w:pStyle w:val="ListParagraph"/>
                          <w:numPr>
                            <w:ilvl w:val="0"/>
                            <w:numId w:val="6"/>
                          </w:numPr>
                          <w:ind w:left="227"/>
                          <w:rPr>
                            <w:b/>
                            <w:color w:val="FFFFFF" w:themeColor="background1"/>
                            <w:sz w:val="16"/>
                            <w:szCs w:val="16"/>
                          </w:rPr>
                        </w:pPr>
                        <w:r>
                          <w:rPr>
                            <w:b/>
                            <w:color w:val="FFFFFF" w:themeColor="background1"/>
                            <w:sz w:val="16"/>
                            <w:szCs w:val="16"/>
                          </w:rPr>
                          <w:t>More Australians consent to donation</w:t>
                        </w:r>
                      </w:p>
                      <w:p w14:paraId="124F506D" w14:textId="77777777" w:rsidR="005E5746" w:rsidRPr="00326A61" w:rsidRDefault="005E5746" w:rsidP="009C0B9B">
                        <w:pPr>
                          <w:jc w:val="center"/>
                          <w:rPr>
                            <w:b/>
                            <w:color w:val="FFFFFF" w:themeColor="background1"/>
                            <w:sz w:val="16"/>
                            <w:szCs w:val="16"/>
                          </w:rPr>
                        </w:pPr>
                      </w:p>
                      <w:p w14:paraId="07CD175B" w14:textId="77777777" w:rsidR="005E5746" w:rsidRDefault="005E5746" w:rsidP="009C0B9B">
                        <w:pPr>
                          <w:jc w:val="center"/>
                          <w:rPr>
                            <w:b/>
                          </w:rPr>
                        </w:pPr>
                      </w:p>
                      <w:p w14:paraId="6205A28C" w14:textId="77777777" w:rsidR="005E5746" w:rsidRPr="00DB3980" w:rsidRDefault="005E5746" w:rsidP="009C0B9B">
                        <w:pPr>
                          <w:jc w:val="center"/>
                          <w:rPr>
                            <w:b/>
                          </w:rPr>
                        </w:pPr>
                      </w:p>
                    </w:txbxContent>
                  </v:textbox>
                </v:roundrect>
              </v:group>
            </w:pict>
          </mc:Fallback>
        </mc:AlternateContent>
      </w:r>
    </w:p>
    <w:p w14:paraId="6295E277" w14:textId="77777777" w:rsidR="009C0B9B" w:rsidRPr="001612E9" w:rsidRDefault="009C0B9B" w:rsidP="009C0B9B">
      <w:pPr>
        <w:rPr>
          <w:sz w:val="24"/>
          <w:szCs w:val="24"/>
          <w:lang w:eastAsia="en-AU"/>
        </w:rPr>
      </w:pPr>
    </w:p>
    <w:p w14:paraId="2B1DEB03" w14:textId="77777777" w:rsidR="009C0B9B" w:rsidRPr="001612E9" w:rsidRDefault="009C0B9B" w:rsidP="009C0B9B">
      <w:pPr>
        <w:rPr>
          <w:sz w:val="24"/>
          <w:szCs w:val="24"/>
          <w:lang w:eastAsia="en-AU"/>
        </w:rPr>
      </w:pPr>
    </w:p>
    <w:p w14:paraId="35CDAEA1" w14:textId="77777777" w:rsidR="009C0B9B" w:rsidRPr="001612E9" w:rsidRDefault="009C0B9B" w:rsidP="009C0B9B">
      <w:pPr>
        <w:rPr>
          <w:sz w:val="24"/>
          <w:szCs w:val="24"/>
          <w:lang w:eastAsia="en-AU"/>
        </w:rPr>
      </w:pPr>
    </w:p>
    <w:p w14:paraId="2EB1167A" w14:textId="77777777" w:rsidR="009C0B9B" w:rsidRPr="001612E9" w:rsidRDefault="009C0B9B" w:rsidP="009C0B9B">
      <w:pPr>
        <w:rPr>
          <w:sz w:val="24"/>
          <w:szCs w:val="24"/>
          <w:lang w:eastAsia="en-AU"/>
        </w:rPr>
      </w:pPr>
    </w:p>
    <w:p w14:paraId="5AB824CE" w14:textId="77777777" w:rsidR="009C0B9B" w:rsidRPr="001612E9" w:rsidRDefault="009C0B9B" w:rsidP="009C0B9B">
      <w:pPr>
        <w:rPr>
          <w:sz w:val="24"/>
          <w:szCs w:val="24"/>
          <w:lang w:eastAsia="en-AU"/>
        </w:rPr>
      </w:pPr>
    </w:p>
    <w:p w14:paraId="6568CE8C" w14:textId="77777777" w:rsidR="009C0B9B" w:rsidRPr="001612E9" w:rsidRDefault="009C0B9B" w:rsidP="009C0B9B">
      <w:pPr>
        <w:rPr>
          <w:sz w:val="24"/>
          <w:szCs w:val="24"/>
          <w:lang w:eastAsia="en-AU"/>
        </w:rPr>
      </w:pPr>
    </w:p>
    <w:p w14:paraId="00C8B74A" w14:textId="77777777" w:rsidR="009C0B9B" w:rsidRPr="001612E9" w:rsidRDefault="009C0B9B" w:rsidP="009C0B9B">
      <w:pPr>
        <w:rPr>
          <w:sz w:val="24"/>
          <w:szCs w:val="24"/>
          <w:lang w:eastAsia="en-AU"/>
        </w:rPr>
      </w:pPr>
    </w:p>
    <w:p w14:paraId="2F2C50F9" w14:textId="77777777" w:rsidR="009C0B9B" w:rsidRPr="001612E9" w:rsidRDefault="009C0B9B" w:rsidP="009C0B9B">
      <w:pPr>
        <w:rPr>
          <w:sz w:val="24"/>
          <w:szCs w:val="24"/>
          <w:lang w:eastAsia="en-AU"/>
        </w:rPr>
      </w:pPr>
    </w:p>
    <w:p w14:paraId="522B380C" w14:textId="77777777" w:rsidR="009C0B9B" w:rsidRPr="001612E9" w:rsidRDefault="009C0B9B" w:rsidP="009C0B9B">
      <w:pPr>
        <w:rPr>
          <w:sz w:val="24"/>
          <w:szCs w:val="24"/>
          <w:lang w:eastAsia="en-AU"/>
        </w:rPr>
      </w:pPr>
    </w:p>
    <w:p w14:paraId="5F1216A9" w14:textId="77777777" w:rsidR="009C0B9B" w:rsidRPr="001612E9" w:rsidRDefault="009C0B9B" w:rsidP="009C0B9B">
      <w:pPr>
        <w:rPr>
          <w:sz w:val="24"/>
          <w:szCs w:val="24"/>
          <w:lang w:eastAsia="en-AU"/>
        </w:rPr>
      </w:pPr>
    </w:p>
    <w:p w14:paraId="0F7A6749" w14:textId="77777777" w:rsidR="009C0B9B" w:rsidRPr="001612E9" w:rsidRDefault="009C0B9B" w:rsidP="004A7395">
      <w:pPr>
        <w:pStyle w:val="Heading1"/>
        <w:spacing w:before="100" w:beforeAutospacing="1" w:after="100" w:afterAutospacing="1"/>
      </w:pPr>
      <w:bookmarkStart w:id="17" w:name="_Toc51921126"/>
      <w:bookmarkStart w:id="18" w:name="_Toc102482515"/>
      <w:r w:rsidRPr="001612E9">
        <w:t xml:space="preserve">PRIORITY AREA 1: A national approach to optimise organ donation, </w:t>
      </w:r>
      <w:proofErr w:type="gramStart"/>
      <w:r w:rsidRPr="001612E9">
        <w:t>retrieval</w:t>
      </w:r>
      <w:proofErr w:type="gramEnd"/>
      <w:r w:rsidRPr="001612E9">
        <w:t xml:space="preserve"> and transplantation</w:t>
      </w:r>
      <w:bookmarkEnd w:id="17"/>
      <w:bookmarkEnd w:id="18"/>
    </w:p>
    <w:p w14:paraId="65D91FDA" w14:textId="6B560B1F" w:rsidR="009C0B9B" w:rsidRPr="001612E9" w:rsidRDefault="009C0B9B" w:rsidP="004A7395">
      <w:pPr>
        <w:pStyle w:val="Heading2"/>
        <w:spacing w:before="100" w:beforeAutospacing="1" w:after="100" w:afterAutospacing="1"/>
      </w:pPr>
      <w:bookmarkStart w:id="19" w:name="_Toc51921127"/>
      <w:bookmarkStart w:id="20" w:name="_Toc102482516"/>
      <w:r w:rsidRPr="001612E9">
        <w:rPr>
          <w:sz w:val="28"/>
          <w:szCs w:val="28"/>
        </w:rPr>
        <w:t>GOAL: National governance and funding arrangements effectively support Australia’s organ donation, retrieval and transplantation system</w:t>
      </w:r>
      <w:bookmarkEnd w:id="19"/>
      <w:bookmarkEnd w:id="20"/>
    </w:p>
    <w:p w14:paraId="55A7E136" w14:textId="77777777" w:rsidR="009C0B9B" w:rsidRPr="001612E9" w:rsidRDefault="009C0B9B" w:rsidP="009C0B9B">
      <w:pPr>
        <w:rPr>
          <w:rStyle w:val="Emphasis"/>
          <w:rFonts w:asciiTheme="majorHAnsi" w:eastAsiaTheme="majorEastAsia" w:hAnsiTheme="majorHAnsi" w:cs="Segoe UI"/>
          <w:i w:val="0"/>
          <w:color w:val="222222"/>
          <w:sz w:val="24"/>
          <w:szCs w:val="24"/>
          <w:lang w:val="en"/>
        </w:rPr>
      </w:pPr>
      <w:r w:rsidRPr="001612E9">
        <w:rPr>
          <w:rStyle w:val="Emphasis"/>
          <w:rFonts w:cs="Segoe UI"/>
          <w:i w:val="0"/>
          <w:color w:val="222222"/>
          <w:sz w:val="24"/>
          <w:szCs w:val="24"/>
          <w:lang w:val="en"/>
        </w:rPr>
        <w:t xml:space="preserve">Strategic planning and leadership at a national level is required to sustainably enhance the capability and capacity within organ donation, retrieval and transplantation services and provide consistency across the system.  </w:t>
      </w:r>
    </w:p>
    <w:p w14:paraId="2477A77D" w14:textId="0D40D814" w:rsidR="009C0B9B" w:rsidRPr="001612E9" w:rsidRDefault="009C0B9B" w:rsidP="009C0B9B">
      <w:pPr>
        <w:rPr>
          <w:rStyle w:val="Emphasis"/>
          <w:rFonts w:cs="Segoe UI"/>
          <w:i w:val="0"/>
          <w:color w:val="222222"/>
          <w:sz w:val="24"/>
          <w:szCs w:val="24"/>
          <w:lang w:val="en"/>
        </w:rPr>
      </w:pPr>
      <w:r w:rsidRPr="001612E9">
        <w:rPr>
          <w:rStyle w:val="Emphasis"/>
          <w:rFonts w:cs="Segoe UI"/>
          <w:i w:val="0"/>
          <w:color w:val="222222"/>
          <w:sz w:val="24"/>
          <w:szCs w:val="24"/>
          <w:lang w:val="en"/>
        </w:rPr>
        <w:t>This Strategy</w:t>
      </w:r>
      <w:r w:rsidR="00500D6D">
        <w:rPr>
          <w:rStyle w:val="Emphasis"/>
          <w:rFonts w:cs="Segoe UI"/>
          <w:i w:val="0"/>
          <w:color w:val="222222"/>
          <w:sz w:val="24"/>
          <w:szCs w:val="24"/>
          <w:lang w:val="en"/>
        </w:rPr>
        <w:t xml:space="preserve"> </w:t>
      </w:r>
      <w:r w:rsidR="00053105">
        <w:rPr>
          <w:rStyle w:val="Emphasis"/>
          <w:rFonts w:cs="Segoe UI"/>
          <w:i w:val="0"/>
          <w:color w:val="222222"/>
          <w:sz w:val="24"/>
          <w:szCs w:val="24"/>
          <w:lang w:val="en"/>
        </w:rPr>
        <w:t>facilitates</w:t>
      </w:r>
      <w:r w:rsidRPr="001612E9">
        <w:rPr>
          <w:rStyle w:val="Emphasis"/>
          <w:rFonts w:cs="Segoe UI"/>
          <w:i w:val="0"/>
          <w:color w:val="222222"/>
          <w:sz w:val="24"/>
          <w:szCs w:val="24"/>
          <w:lang w:val="en"/>
        </w:rPr>
        <w:t xml:space="preserve"> national governance arrangements and a collaborative, cross</w:t>
      </w:r>
      <w:r w:rsidR="00F2502C">
        <w:rPr>
          <w:rStyle w:val="Emphasis"/>
          <w:rFonts w:cs="Segoe UI"/>
          <w:i w:val="0"/>
          <w:color w:val="222222"/>
          <w:sz w:val="24"/>
          <w:szCs w:val="24"/>
          <w:lang w:val="en"/>
        </w:rPr>
        <w:noBreakHyphen/>
      </w:r>
      <w:r w:rsidRPr="001612E9">
        <w:rPr>
          <w:rStyle w:val="Emphasis"/>
          <w:rFonts w:cs="Segoe UI"/>
          <w:i w:val="0"/>
          <w:color w:val="222222"/>
          <w:sz w:val="24"/>
          <w:szCs w:val="24"/>
          <w:lang w:val="en"/>
        </w:rPr>
        <w:t xml:space="preserve">disciplinary approach by all Australian governments, clinicians, advisory bodies and the community. While responsibility for the clinical delivery of organ retrieval and transplantation services will remain with the states and territories, all governments </w:t>
      </w:r>
      <w:r w:rsidR="006340BE">
        <w:rPr>
          <w:rStyle w:val="Emphasis"/>
          <w:rFonts w:cs="Segoe UI"/>
          <w:i w:val="0"/>
          <w:color w:val="222222"/>
          <w:sz w:val="24"/>
          <w:szCs w:val="24"/>
          <w:lang w:val="en"/>
        </w:rPr>
        <w:t xml:space="preserve">and the OTA </w:t>
      </w:r>
      <w:r w:rsidR="00000802">
        <w:rPr>
          <w:rStyle w:val="Emphasis"/>
          <w:rFonts w:cs="Segoe UI"/>
          <w:i w:val="0"/>
          <w:color w:val="222222"/>
          <w:sz w:val="24"/>
          <w:szCs w:val="24"/>
          <w:lang w:val="en"/>
        </w:rPr>
        <w:t xml:space="preserve">will work together </w:t>
      </w:r>
      <w:r w:rsidRPr="001612E9">
        <w:rPr>
          <w:rStyle w:val="Emphasis"/>
          <w:rFonts w:cs="Segoe UI"/>
          <w:i w:val="0"/>
          <w:color w:val="222222"/>
          <w:sz w:val="24"/>
          <w:szCs w:val="24"/>
          <w:lang w:val="en"/>
        </w:rPr>
        <w:t xml:space="preserve">to support a nationally consistent approach to retrieval and transplantation. This </w:t>
      </w:r>
      <w:r w:rsidR="00000802">
        <w:rPr>
          <w:rStyle w:val="Emphasis"/>
          <w:rFonts w:cs="Segoe UI"/>
          <w:i w:val="0"/>
          <w:color w:val="222222"/>
          <w:sz w:val="24"/>
          <w:szCs w:val="24"/>
          <w:lang w:val="en"/>
        </w:rPr>
        <w:t xml:space="preserve">will follow agreement of the OTA’s role </w:t>
      </w:r>
      <w:r w:rsidR="006340BE">
        <w:rPr>
          <w:rStyle w:val="Emphasis"/>
          <w:rFonts w:cs="Segoe UI"/>
          <w:i w:val="0"/>
          <w:color w:val="222222"/>
          <w:sz w:val="24"/>
          <w:szCs w:val="24"/>
          <w:lang w:val="en"/>
        </w:rPr>
        <w:t xml:space="preserve">through delivery of </w:t>
      </w:r>
      <w:r w:rsidR="00000802">
        <w:rPr>
          <w:rStyle w:val="Emphasis"/>
          <w:rFonts w:cs="Segoe UI"/>
          <w:i w:val="0"/>
          <w:color w:val="222222"/>
          <w:sz w:val="24"/>
          <w:szCs w:val="24"/>
          <w:lang w:val="en"/>
        </w:rPr>
        <w:t xml:space="preserve">the </w:t>
      </w:r>
      <w:r w:rsidR="00B16B1D">
        <w:rPr>
          <w:rStyle w:val="Emphasis"/>
          <w:rFonts w:cs="Segoe UI"/>
          <w:i w:val="0"/>
          <w:color w:val="222222"/>
          <w:sz w:val="24"/>
          <w:szCs w:val="24"/>
          <w:lang w:val="en"/>
        </w:rPr>
        <w:t>Transition</w:t>
      </w:r>
      <w:r w:rsidR="00000802">
        <w:rPr>
          <w:rStyle w:val="Emphasis"/>
          <w:rFonts w:cs="Segoe UI"/>
          <w:i w:val="0"/>
          <w:color w:val="222222"/>
          <w:sz w:val="24"/>
          <w:szCs w:val="24"/>
          <w:lang w:val="en"/>
        </w:rPr>
        <w:t xml:space="preserve"> Action Plan and </w:t>
      </w:r>
      <w:r w:rsidRPr="001612E9">
        <w:rPr>
          <w:rStyle w:val="Emphasis"/>
          <w:rFonts w:cs="Segoe UI"/>
          <w:i w:val="0"/>
          <w:color w:val="222222"/>
          <w:sz w:val="24"/>
          <w:szCs w:val="24"/>
          <w:lang w:val="en"/>
        </w:rPr>
        <w:t xml:space="preserve">is </w:t>
      </w:r>
      <w:r w:rsidR="00000802">
        <w:rPr>
          <w:rStyle w:val="Emphasis"/>
          <w:rFonts w:cs="Segoe UI"/>
          <w:i w:val="0"/>
          <w:color w:val="222222"/>
          <w:sz w:val="24"/>
          <w:szCs w:val="24"/>
          <w:lang w:val="en"/>
        </w:rPr>
        <w:t xml:space="preserve">expected to </w:t>
      </w:r>
      <w:r w:rsidRPr="001612E9">
        <w:rPr>
          <w:rStyle w:val="Emphasis"/>
          <w:rFonts w:cs="Segoe UI"/>
          <w:i w:val="0"/>
          <w:color w:val="222222"/>
          <w:sz w:val="24"/>
          <w:szCs w:val="24"/>
          <w:lang w:val="en"/>
        </w:rPr>
        <w:t>build on</w:t>
      </w:r>
      <w:r w:rsidR="00F2502C">
        <w:rPr>
          <w:rStyle w:val="Emphasis"/>
          <w:rFonts w:cs="Segoe UI"/>
          <w:i w:val="0"/>
          <w:color w:val="222222"/>
          <w:sz w:val="24"/>
          <w:szCs w:val="24"/>
          <w:lang w:val="en"/>
        </w:rPr>
        <w:t xml:space="preserve"> the</w:t>
      </w:r>
      <w:r w:rsidRPr="001612E9">
        <w:rPr>
          <w:rStyle w:val="Emphasis"/>
          <w:rFonts w:cs="Segoe UI"/>
          <w:i w:val="0"/>
          <w:color w:val="222222"/>
          <w:sz w:val="24"/>
          <w:szCs w:val="24"/>
          <w:lang w:val="en"/>
        </w:rPr>
        <w:t xml:space="preserve"> OTA’s </w:t>
      </w:r>
      <w:r w:rsidR="00EF5779">
        <w:rPr>
          <w:rStyle w:val="Emphasis"/>
          <w:rFonts w:cs="Segoe UI"/>
          <w:i w:val="0"/>
          <w:color w:val="222222"/>
          <w:sz w:val="24"/>
          <w:szCs w:val="24"/>
          <w:lang w:val="en"/>
        </w:rPr>
        <w:t>current activities</w:t>
      </w:r>
      <w:r w:rsidR="00EF5779" w:rsidRPr="001612E9">
        <w:rPr>
          <w:rStyle w:val="Emphasis"/>
          <w:rFonts w:cs="Segoe UI"/>
          <w:i w:val="0"/>
          <w:color w:val="222222"/>
          <w:sz w:val="24"/>
          <w:szCs w:val="24"/>
          <w:lang w:val="en"/>
        </w:rPr>
        <w:t xml:space="preserve"> </w:t>
      </w:r>
      <w:r w:rsidRPr="001612E9">
        <w:rPr>
          <w:rStyle w:val="Emphasis"/>
          <w:rFonts w:cs="Segoe UI"/>
          <w:i w:val="0"/>
          <w:color w:val="222222"/>
          <w:sz w:val="24"/>
          <w:szCs w:val="24"/>
          <w:lang w:val="en"/>
        </w:rPr>
        <w:t xml:space="preserve">in organ and tissue donation. </w:t>
      </w:r>
    </w:p>
    <w:p w14:paraId="1D613C35" w14:textId="6F5BEE2F" w:rsidR="00BE63FC" w:rsidRDefault="00000802" w:rsidP="009C0B9B">
      <w:pPr>
        <w:rPr>
          <w:rStyle w:val="Emphasis"/>
          <w:rFonts w:cs="Segoe UI"/>
          <w:i w:val="0"/>
          <w:color w:val="222222"/>
          <w:sz w:val="24"/>
          <w:szCs w:val="24"/>
          <w:lang w:val="en"/>
        </w:rPr>
      </w:pPr>
      <w:r>
        <w:rPr>
          <w:rStyle w:val="Emphasis"/>
          <w:rFonts w:cs="Segoe UI"/>
          <w:i w:val="0"/>
          <w:color w:val="222222"/>
          <w:sz w:val="24"/>
          <w:szCs w:val="24"/>
          <w:lang w:val="en"/>
        </w:rPr>
        <w:t xml:space="preserve">Future arrangements </w:t>
      </w:r>
      <w:r w:rsidR="009C0B9B" w:rsidRPr="001612E9">
        <w:rPr>
          <w:rStyle w:val="Emphasis"/>
          <w:rFonts w:cs="Segoe UI"/>
          <w:i w:val="0"/>
          <w:color w:val="222222"/>
          <w:sz w:val="24"/>
          <w:szCs w:val="24"/>
          <w:lang w:val="en"/>
        </w:rPr>
        <w:t xml:space="preserve">will </w:t>
      </w:r>
      <w:r w:rsidR="00BE63FC">
        <w:rPr>
          <w:rStyle w:val="Emphasis"/>
          <w:rFonts w:cs="Segoe UI"/>
          <w:i w:val="0"/>
          <w:color w:val="222222"/>
          <w:sz w:val="24"/>
          <w:szCs w:val="24"/>
          <w:lang w:val="en"/>
        </w:rPr>
        <w:t xml:space="preserve">leverage and enhance existing </w:t>
      </w:r>
      <w:r w:rsidR="009C0B9B" w:rsidRPr="001612E9">
        <w:rPr>
          <w:rStyle w:val="Emphasis"/>
          <w:rFonts w:cs="Segoe UI"/>
          <w:i w:val="0"/>
          <w:color w:val="222222"/>
          <w:sz w:val="24"/>
          <w:szCs w:val="24"/>
          <w:lang w:val="en"/>
        </w:rPr>
        <w:t xml:space="preserve">committees to facilitate expert advice </w:t>
      </w:r>
      <w:r w:rsidR="00F2502C">
        <w:rPr>
          <w:rStyle w:val="Emphasis"/>
          <w:rFonts w:cs="Segoe UI"/>
          <w:i w:val="0"/>
          <w:color w:val="222222"/>
          <w:sz w:val="24"/>
          <w:szCs w:val="24"/>
          <w:lang w:val="en"/>
        </w:rPr>
        <w:t xml:space="preserve">from </w:t>
      </w:r>
      <w:r w:rsidR="009C0B9B" w:rsidRPr="001612E9">
        <w:rPr>
          <w:rStyle w:val="Emphasis"/>
          <w:rFonts w:cs="Segoe UI"/>
          <w:i w:val="0"/>
          <w:color w:val="222222"/>
          <w:sz w:val="24"/>
          <w:szCs w:val="24"/>
          <w:lang w:val="en"/>
        </w:rPr>
        <w:t>across</w:t>
      </w:r>
      <w:r w:rsidR="0013393C">
        <w:rPr>
          <w:rStyle w:val="Emphasis"/>
          <w:rFonts w:cs="Segoe UI"/>
          <w:i w:val="0"/>
          <w:color w:val="222222"/>
          <w:sz w:val="24"/>
          <w:szCs w:val="24"/>
          <w:lang w:val="en"/>
        </w:rPr>
        <w:t xml:space="preserve"> state and territory governments,</w:t>
      </w:r>
      <w:r w:rsidR="009C0B9B" w:rsidRPr="001612E9">
        <w:rPr>
          <w:rStyle w:val="Emphasis"/>
          <w:rFonts w:cs="Segoe UI"/>
          <w:i w:val="0"/>
          <w:color w:val="222222"/>
          <w:sz w:val="24"/>
          <w:szCs w:val="24"/>
          <w:lang w:val="en"/>
        </w:rPr>
        <w:t xml:space="preserve"> the clinical sector including donation, retrieval and transplantation clinicians, and the community sector. </w:t>
      </w:r>
    </w:p>
    <w:p w14:paraId="364F6FE8" w14:textId="77777777" w:rsidR="009C0B9B" w:rsidRPr="001612E9" w:rsidRDefault="009C0B9B" w:rsidP="009C0B9B">
      <w:pPr>
        <w:rPr>
          <w:rStyle w:val="Emphasis"/>
          <w:rFonts w:cs="Segoe UI"/>
          <w:i w:val="0"/>
          <w:color w:val="222222"/>
          <w:sz w:val="24"/>
          <w:szCs w:val="24"/>
          <w:lang w:val="en"/>
        </w:rPr>
      </w:pPr>
      <w:r w:rsidRPr="001612E9">
        <w:rPr>
          <w:rStyle w:val="Emphasis"/>
          <w:rFonts w:cs="Segoe UI"/>
          <w:i w:val="0"/>
          <w:color w:val="222222"/>
          <w:sz w:val="24"/>
          <w:szCs w:val="24"/>
          <w:lang w:val="en"/>
        </w:rPr>
        <w:t xml:space="preserve">National approaches will continue to </w:t>
      </w:r>
      <w:proofErr w:type="spellStart"/>
      <w:r w:rsidRPr="001612E9">
        <w:rPr>
          <w:rStyle w:val="Emphasis"/>
          <w:rFonts w:cs="Segoe UI"/>
          <w:i w:val="0"/>
          <w:color w:val="222222"/>
          <w:sz w:val="24"/>
          <w:szCs w:val="24"/>
          <w:lang w:val="en"/>
        </w:rPr>
        <w:t>recognise</w:t>
      </w:r>
      <w:proofErr w:type="spellEnd"/>
      <w:r w:rsidRPr="001612E9">
        <w:rPr>
          <w:rStyle w:val="Emphasis"/>
          <w:rFonts w:cs="Segoe UI"/>
          <w:i w:val="0"/>
          <w:color w:val="222222"/>
          <w:sz w:val="24"/>
          <w:szCs w:val="24"/>
          <w:lang w:val="en"/>
        </w:rPr>
        <w:t xml:space="preserve"> jurisdictional and regional requirements, and the need for local systems. </w:t>
      </w:r>
    </w:p>
    <w:p w14:paraId="2084E908" w14:textId="77777777" w:rsidR="00C57EB8" w:rsidRDefault="009C0B9B" w:rsidP="009C0B9B">
      <w:pPr>
        <w:rPr>
          <w:rStyle w:val="Emphasis"/>
          <w:rFonts w:cs="Segoe UI"/>
          <w:i w:val="0"/>
          <w:color w:val="222222"/>
          <w:sz w:val="24"/>
          <w:szCs w:val="24"/>
          <w:lang w:val="en"/>
        </w:rPr>
      </w:pPr>
      <w:r w:rsidRPr="001612E9">
        <w:rPr>
          <w:rStyle w:val="Emphasis"/>
          <w:rFonts w:cs="Segoe UI"/>
          <w:i w:val="0"/>
          <w:color w:val="222222"/>
          <w:sz w:val="24"/>
          <w:szCs w:val="24"/>
          <w:lang w:val="en"/>
        </w:rPr>
        <w:t xml:space="preserve">Funding to </w:t>
      </w:r>
      <w:r w:rsidRPr="001612E9">
        <w:rPr>
          <w:rFonts w:cs="Segoe UI"/>
          <w:iCs/>
          <w:color w:val="222222"/>
          <w:sz w:val="24"/>
          <w:szCs w:val="24"/>
        </w:rPr>
        <w:t xml:space="preserve">support Australia’s organ donation, retrieval and transplantation system </w:t>
      </w:r>
      <w:r w:rsidRPr="001612E9">
        <w:rPr>
          <w:rStyle w:val="Emphasis"/>
          <w:rFonts w:cs="Segoe UI"/>
          <w:i w:val="0"/>
          <w:color w:val="222222"/>
          <w:sz w:val="24"/>
          <w:szCs w:val="24"/>
          <w:lang w:val="en"/>
        </w:rPr>
        <w:t xml:space="preserve">will include the outcome of the Independent Hospital Pricing Authority’s (IHPA) review of organ donation, retrieval and transplantation activity costing.  </w:t>
      </w:r>
    </w:p>
    <w:p w14:paraId="25EC91E7" w14:textId="6FFD8347" w:rsidR="00053105" w:rsidRPr="00EC1BAD" w:rsidRDefault="00053105" w:rsidP="00053105">
      <w:pPr>
        <w:rPr>
          <w:rStyle w:val="Emphasis"/>
          <w:rFonts w:cs="Segoe UI"/>
          <w:i w:val="0"/>
          <w:color w:val="222222"/>
          <w:sz w:val="24"/>
          <w:szCs w:val="24"/>
          <w:lang w:val="en"/>
        </w:rPr>
      </w:pPr>
      <w:r w:rsidRPr="00EC1BAD">
        <w:rPr>
          <w:rStyle w:val="Emphasis"/>
          <w:rFonts w:cs="Segoe UI"/>
          <w:i w:val="0"/>
          <w:color w:val="222222"/>
          <w:sz w:val="24"/>
          <w:szCs w:val="24"/>
          <w:lang w:val="en"/>
        </w:rPr>
        <w:t xml:space="preserve">All governments have committed to the </w:t>
      </w:r>
      <w:r w:rsidR="00B16B1D">
        <w:rPr>
          <w:rStyle w:val="Emphasis"/>
          <w:rFonts w:cs="Segoe UI"/>
          <w:i w:val="0"/>
          <w:color w:val="222222"/>
          <w:sz w:val="24"/>
          <w:szCs w:val="24"/>
          <w:lang w:val="en"/>
        </w:rPr>
        <w:t>Transition</w:t>
      </w:r>
      <w:r w:rsidRPr="00EC1BAD">
        <w:rPr>
          <w:rStyle w:val="Emphasis"/>
          <w:rFonts w:cs="Segoe UI"/>
          <w:i w:val="0"/>
          <w:color w:val="222222"/>
          <w:sz w:val="24"/>
          <w:szCs w:val="24"/>
          <w:lang w:val="en"/>
        </w:rPr>
        <w:t xml:space="preserve"> Action Plan, which sets out actions to settle future governance,</w:t>
      </w:r>
      <w:r w:rsidR="00B16B1D">
        <w:rPr>
          <w:rStyle w:val="Emphasis"/>
          <w:rFonts w:cs="Segoe UI"/>
          <w:i w:val="0"/>
          <w:color w:val="222222"/>
          <w:sz w:val="24"/>
          <w:szCs w:val="24"/>
          <w:lang w:val="en"/>
        </w:rPr>
        <w:t xml:space="preserve"> any expanded role of the OTA</w:t>
      </w:r>
      <w:r w:rsidRPr="00EC1BAD">
        <w:rPr>
          <w:rStyle w:val="Emphasis"/>
          <w:rFonts w:cs="Segoe UI"/>
          <w:i w:val="0"/>
          <w:color w:val="222222"/>
          <w:sz w:val="24"/>
          <w:szCs w:val="24"/>
          <w:lang w:val="en"/>
        </w:rPr>
        <w:t xml:space="preserve"> and review funding arrangements. Detailed implementation planning will further </w:t>
      </w:r>
      <w:r w:rsidR="00691D8C">
        <w:rPr>
          <w:rStyle w:val="Emphasis"/>
          <w:rFonts w:cs="Segoe UI"/>
          <w:i w:val="0"/>
          <w:color w:val="222222"/>
          <w:sz w:val="24"/>
          <w:szCs w:val="24"/>
          <w:lang w:val="en"/>
        </w:rPr>
        <w:t>clarify</w:t>
      </w:r>
      <w:r w:rsidR="00691D8C" w:rsidRPr="00EC1BAD">
        <w:rPr>
          <w:rStyle w:val="Emphasis"/>
          <w:rFonts w:cs="Segoe UI"/>
          <w:i w:val="0"/>
          <w:color w:val="222222"/>
          <w:sz w:val="24"/>
          <w:szCs w:val="24"/>
          <w:lang w:val="en"/>
        </w:rPr>
        <w:t xml:space="preserve"> </w:t>
      </w:r>
      <w:r w:rsidRPr="00EC1BAD">
        <w:rPr>
          <w:rStyle w:val="Emphasis"/>
          <w:rFonts w:cs="Segoe UI"/>
          <w:i w:val="0"/>
          <w:color w:val="222222"/>
          <w:sz w:val="24"/>
          <w:szCs w:val="24"/>
          <w:lang w:val="en"/>
        </w:rPr>
        <w:t>roles and responsibilities to support a nationally consistent approach. This may include consideration of elements such as:</w:t>
      </w:r>
    </w:p>
    <w:p w14:paraId="7FA61505" w14:textId="77777777" w:rsidR="00B16EFD" w:rsidRPr="00B16EFD" w:rsidRDefault="00B16EFD" w:rsidP="00B16EFD">
      <w:pPr>
        <w:pStyle w:val="ListParagraph"/>
        <w:numPr>
          <w:ilvl w:val="0"/>
          <w:numId w:val="3"/>
        </w:numPr>
        <w:spacing w:after="165"/>
        <w:rPr>
          <w:sz w:val="24"/>
        </w:rPr>
      </w:pPr>
      <w:r w:rsidRPr="00B16EFD">
        <w:rPr>
          <w:sz w:val="24"/>
        </w:rPr>
        <w:t>enhanced stakeholder engagement and collaboration</w:t>
      </w:r>
    </w:p>
    <w:p w14:paraId="2181534F" w14:textId="77777777" w:rsidR="00B16EFD" w:rsidRPr="00B16EFD" w:rsidRDefault="00B16EFD" w:rsidP="00B16EFD">
      <w:pPr>
        <w:pStyle w:val="ListParagraph"/>
        <w:numPr>
          <w:ilvl w:val="0"/>
          <w:numId w:val="3"/>
        </w:numPr>
        <w:spacing w:after="165"/>
        <w:rPr>
          <w:sz w:val="24"/>
        </w:rPr>
      </w:pPr>
      <w:r w:rsidRPr="00B16EFD">
        <w:rPr>
          <w:sz w:val="24"/>
        </w:rPr>
        <w:t>national data collection, analysis and enhanced reporting</w:t>
      </w:r>
    </w:p>
    <w:p w14:paraId="7965C627" w14:textId="77777777" w:rsidR="00B16EFD" w:rsidRPr="00B16EFD" w:rsidRDefault="00B16EFD" w:rsidP="00B16EFD">
      <w:pPr>
        <w:pStyle w:val="ListParagraph"/>
        <w:numPr>
          <w:ilvl w:val="0"/>
          <w:numId w:val="3"/>
        </w:numPr>
        <w:spacing w:after="165"/>
        <w:rPr>
          <w:sz w:val="24"/>
        </w:rPr>
      </w:pPr>
      <w:r w:rsidRPr="00B16EFD">
        <w:rPr>
          <w:sz w:val="24"/>
        </w:rPr>
        <w:t>professional education and resources</w:t>
      </w:r>
    </w:p>
    <w:p w14:paraId="506FB8CF" w14:textId="77777777" w:rsidR="00B16EFD" w:rsidRPr="00B16EFD" w:rsidRDefault="00B16EFD" w:rsidP="00B16EFD">
      <w:pPr>
        <w:pStyle w:val="ListParagraph"/>
        <w:numPr>
          <w:ilvl w:val="0"/>
          <w:numId w:val="3"/>
        </w:numPr>
        <w:spacing w:after="165"/>
        <w:rPr>
          <w:sz w:val="24"/>
        </w:rPr>
      </w:pPr>
      <w:r w:rsidRPr="00B16EFD">
        <w:rPr>
          <w:sz w:val="24"/>
        </w:rPr>
        <w:t>enhanced national community awareness and messaging</w:t>
      </w:r>
    </w:p>
    <w:p w14:paraId="6911B3BD" w14:textId="77777777" w:rsidR="00B16EFD" w:rsidRPr="00B16EFD" w:rsidRDefault="00B16EFD" w:rsidP="00B16EFD">
      <w:pPr>
        <w:pStyle w:val="ListParagraph"/>
        <w:numPr>
          <w:ilvl w:val="0"/>
          <w:numId w:val="3"/>
        </w:numPr>
        <w:spacing w:after="165"/>
        <w:rPr>
          <w:sz w:val="24"/>
        </w:rPr>
      </w:pPr>
      <w:r w:rsidRPr="00B16EFD">
        <w:rPr>
          <w:sz w:val="24"/>
        </w:rPr>
        <w:t xml:space="preserve">collaboration with stakeholders to develop and monitor nationally consistent clinical practice protocols </w:t>
      </w:r>
    </w:p>
    <w:p w14:paraId="48688960" w14:textId="77777777" w:rsidR="004C3C40" w:rsidRPr="004C3C40" w:rsidRDefault="00B16EFD" w:rsidP="004C3C40">
      <w:pPr>
        <w:pStyle w:val="ListParagraph"/>
        <w:numPr>
          <w:ilvl w:val="0"/>
          <w:numId w:val="3"/>
        </w:numPr>
        <w:spacing w:after="165"/>
        <w:rPr>
          <w:sz w:val="24"/>
        </w:rPr>
      </w:pPr>
      <w:r w:rsidRPr="00B16EFD">
        <w:rPr>
          <w:sz w:val="24"/>
        </w:rPr>
        <w:lastRenderedPageBreak/>
        <w:t xml:space="preserve">improve the efficiency of donation, retrieval and transplantation processes with consideration of current and emerging </w:t>
      </w:r>
      <w:r w:rsidRPr="00B16EFD">
        <w:rPr>
          <w:sz w:val="24"/>
          <w:lang w:val="en-US"/>
        </w:rPr>
        <w:t xml:space="preserve">best practice </w:t>
      </w:r>
    </w:p>
    <w:p w14:paraId="284D79A2" w14:textId="65F02281" w:rsidR="004C3C40" w:rsidRPr="004C3C40" w:rsidRDefault="00B16EFD" w:rsidP="004C3C40">
      <w:pPr>
        <w:pStyle w:val="ListParagraph"/>
        <w:numPr>
          <w:ilvl w:val="0"/>
          <w:numId w:val="3"/>
        </w:numPr>
        <w:spacing w:after="165"/>
        <w:rPr>
          <w:sz w:val="24"/>
        </w:rPr>
      </w:pPr>
      <w:r w:rsidRPr="004C3C40">
        <w:rPr>
          <w:sz w:val="24"/>
          <w:lang w:val="en-US"/>
        </w:rPr>
        <w:t xml:space="preserve">a national approach for transport and other services that support donation, </w:t>
      </w:r>
      <w:proofErr w:type="gramStart"/>
      <w:r w:rsidRPr="004C3C40">
        <w:rPr>
          <w:sz w:val="24"/>
          <w:lang w:val="en-US"/>
        </w:rPr>
        <w:t>retrieval</w:t>
      </w:r>
      <w:proofErr w:type="gramEnd"/>
      <w:r w:rsidRPr="004C3C40">
        <w:rPr>
          <w:sz w:val="24"/>
          <w:lang w:val="en-US"/>
        </w:rPr>
        <w:t xml:space="preserve"> and transplantation. </w:t>
      </w:r>
    </w:p>
    <w:p w14:paraId="206E22D0" w14:textId="404CFA63" w:rsidR="00DC0C30" w:rsidRPr="001612E9" w:rsidRDefault="00DC0C30" w:rsidP="00DC0C30">
      <w:pPr>
        <w:pStyle w:val="Heading2"/>
        <w:spacing w:after="100" w:afterAutospacing="1"/>
      </w:pPr>
      <w:bookmarkStart w:id="21" w:name="_Toc102482517"/>
      <w:r>
        <w:rPr>
          <w:sz w:val="28"/>
          <w:szCs w:val="28"/>
        </w:rPr>
        <w:t xml:space="preserve">GOAL: More </w:t>
      </w:r>
      <w:r w:rsidRPr="001612E9">
        <w:rPr>
          <w:sz w:val="28"/>
          <w:szCs w:val="28"/>
        </w:rPr>
        <w:t xml:space="preserve">Australians </w:t>
      </w:r>
      <w:r>
        <w:rPr>
          <w:sz w:val="28"/>
          <w:szCs w:val="28"/>
        </w:rPr>
        <w:t xml:space="preserve">consent </w:t>
      </w:r>
      <w:r w:rsidR="00B16EFD">
        <w:rPr>
          <w:sz w:val="28"/>
          <w:szCs w:val="28"/>
        </w:rPr>
        <w:t xml:space="preserve">to </w:t>
      </w:r>
      <w:r>
        <w:rPr>
          <w:sz w:val="28"/>
          <w:szCs w:val="28"/>
        </w:rPr>
        <w:t>donation</w:t>
      </w:r>
      <w:bookmarkEnd w:id="21"/>
    </w:p>
    <w:p w14:paraId="3C3A5703" w14:textId="5D42E3C8" w:rsidR="00DC0C30" w:rsidRPr="001612E9" w:rsidRDefault="00DC0C30" w:rsidP="00DC0C30">
      <w:pPr>
        <w:rPr>
          <w:sz w:val="24"/>
          <w:szCs w:val="24"/>
        </w:rPr>
      </w:pPr>
      <w:r w:rsidRPr="001612E9">
        <w:rPr>
          <w:sz w:val="24"/>
          <w:szCs w:val="24"/>
        </w:rPr>
        <w:t xml:space="preserve">The Australian Organ Donor Register (AODR) is the national register for recording decisions about becoming an organ donor. The Review Report called for </w:t>
      </w:r>
      <w:r w:rsidR="008B4BDF" w:rsidRPr="001612E9">
        <w:rPr>
          <w:sz w:val="24"/>
          <w:szCs w:val="24"/>
        </w:rPr>
        <w:t xml:space="preserve">consideration of </w:t>
      </w:r>
      <w:r w:rsidR="008B4BDF">
        <w:rPr>
          <w:sz w:val="24"/>
          <w:szCs w:val="24"/>
        </w:rPr>
        <w:t>broader strategies</w:t>
      </w:r>
      <w:r w:rsidR="008B4BDF" w:rsidRPr="001612E9">
        <w:rPr>
          <w:sz w:val="24"/>
          <w:szCs w:val="24"/>
        </w:rPr>
        <w:t xml:space="preserve"> to </w:t>
      </w:r>
      <w:r w:rsidR="008B4BDF">
        <w:rPr>
          <w:sz w:val="24"/>
          <w:szCs w:val="24"/>
        </w:rPr>
        <w:t xml:space="preserve">support increased </w:t>
      </w:r>
      <w:r w:rsidR="008B4BDF" w:rsidRPr="001612E9">
        <w:rPr>
          <w:sz w:val="24"/>
          <w:szCs w:val="24"/>
        </w:rPr>
        <w:t xml:space="preserve">registration </w:t>
      </w:r>
      <w:r w:rsidR="008B4BDF">
        <w:rPr>
          <w:sz w:val="24"/>
          <w:szCs w:val="24"/>
        </w:rPr>
        <w:t>rates, including consideration of new and previous arrangements such as using driver licence based systems</w:t>
      </w:r>
      <w:r w:rsidR="005E5746">
        <w:rPr>
          <w:sz w:val="24"/>
          <w:szCs w:val="24"/>
        </w:rPr>
        <w:t>.</w:t>
      </w:r>
      <w:r w:rsidR="008B4BDF" w:rsidRPr="001612E9">
        <w:rPr>
          <w:sz w:val="24"/>
          <w:szCs w:val="24"/>
        </w:rPr>
        <w:t xml:space="preserve"> </w:t>
      </w:r>
    </w:p>
    <w:p w14:paraId="2528D294" w14:textId="260AFC1B" w:rsidR="00DC0C30" w:rsidRDefault="00DC0C30" w:rsidP="00DC0C30">
      <w:pPr>
        <w:rPr>
          <w:sz w:val="24"/>
          <w:szCs w:val="24"/>
        </w:rPr>
      </w:pPr>
      <w:r w:rsidRPr="001612E9">
        <w:rPr>
          <w:sz w:val="24"/>
          <w:szCs w:val="24"/>
        </w:rPr>
        <w:t xml:space="preserve">All governments agree that all Australians should be encouraged to </w:t>
      </w:r>
      <w:r w:rsidR="00000802">
        <w:rPr>
          <w:sz w:val="24"/>
          <w:szCs w:val="24"/>
        </w:rPr>
        <w:t xml:space="preserve">consider if they want to be a donor at the end of their life </w:t>
      </w:r>
      <w:r w:rsidRPr="001612E9">
        <w:rPr>
          <w:sz w:val="24"/>
          <w:szCs w:val="24"/>
        </w:rPr>
        <w:t>and discuss their decision with family members.</w:t>
      </w:r>
      <w:r>
        <w:rPr>
          <w:sz w:val="24"/>
          <w:szCs w:val="24"/>
        </w:rPr>
        <w:t xml:space="preserve"> </w:t>
      </w:r>
    </w:p>
    <w:p w14:paraId="2A232BFE" w14:textId="3B60A028" w:rsidR="00DC0C30" w:rsidRPr="001612E9" w:rsidRDefault="00B16B1D" w:rsidP="00DC0C30">
      <w:pPr>
        <w:rPr>
          <w:sz w:val="24"/>
          <w:szCs w:val="24"/>
        </w:rPr>
      </w:pPr>
      <w:r>
        <w:rPr>
          <w:sz w:val="24"/>
          <w:szCs w:val="24"/>
        </w:rPr>
        <w:t>Organ d</w:t>
      </w:r>
      <w:r w:rsidR="00DC0C30">
        <w:rPr>
          <w:sz w:val="24"/>
          <w:szCs w:val="24"/>
        </w:rPr>
        <w:t>onation is a rare event</w:t>
      </w:r>
      <w:r>
        <w:rPr>
          <w:sz w:val="24"/>
          <w:szCs w:val="24"/>
        </w:rPr>
        <w:t xml:space="preserve"> with very few people able to become organ donors at the end of their life</w:t>
      </w:r>
      <w:r w:rsidR="00DC0C30">
        <w:rPr>
          <w:sz w:val="24"/>
          <w:szCs w:val="24"/>
        </w:rPr>
        <w:t>. I</w:t>
      </w:r>
      <w:r w:rsidR="00DC0C30" w:rsidRPr="001612E9">
        <w:rPr>
          <w:sz w:val="24"/>
          <w:szCs w:val="24"/>
        </w:rPr>
        <w:t xml:space="preserve">n Australia around </w:t>
      </w:r>
      <w:r w:rsidR="00F77C92">
        <w:rPr>
          <w:sz w:val="24"/>
          <w:szCs w:val="24"/>
        </w:rPr>
        <w:t>two</w:t>
      </w:r>
      <w:r w:rsidR="00DC0C30" w:rsidRPr="001612E9">
        <w:rPr>
          <w:sz w:val="24"/>
          <w:szCs w:val="24"/>
        </w:rPr>
        <w:t xml:space="preserve"> per cent of people </w:t>
      </w:r>
      <w:r w:rsidR="00DC0C30">
        <w:rPr>
          <w:sz w:val="24"/>
          <w:szCs w:val="24"/>
        </w:rPr>
        <w:t xml:space="preserve">who die in </w:t>
      </w:r>
      <w:r w:rsidR="004F0C6A">
        <w:rPr>
          <w:sz w:val="24"/>
          <w:szCs w:val="24"/>
        </w:rPr>
        <w:t>hospital,</w:t>
      </w:r>
      <w:r w:rsidR="00DC0C30">
        <w:rPr>
          <w:sz w:val="24"/>
          <w:szCs w:val="24"/>
        </w:rPr>
        <w:t xml:space="preserve"> </w:t>
      </w:r>
      <w:r w:rsidR="00DC0C30" w:rsidRPr="001612E9">
        <w:rPr>
          <w:sz w:val="24"/>
          <w:szCs w:val="24"/>
        </w:rPr>
        <w:t>die in a way that allows</w:t>
      </w:r>
      <w:r>
        <w:rPr>
          <w:sz w:val="24"/>
          <w:szCs w:val="24"/>
        </w:rPr>
        <w:t xml:space="preserve"> organ donation to be considered. </w:t>
      </w:r>
      <w:r w:rsidR="00DC0C30" w:rsidRPr="001612E9">
        <w:rPr>
          <w:sz w:val="24"/>
          <w:szCs w:val="24"/>
        </w:rPr>
        <w:t xml:space="preserve">In </w:t>
      </w:r>
      <w:r w:rsidR="00000802" w:rsidRPr="001612E9">
        <w:rPr>
          <w:sz w:val="24"/>
          <w:szCs w:val="24"/>
        </w:rPr>
        <w:t>2</w:t>
      </w:r>
      <w:r w:rsidR="00000802">
        <w:rPr>
          <w:sz w:val="24"/>
          <w:szCs w:val="24"/>
        </w:rPr>
        <w:t>020</w:t>
      </w:r>
      <w:r w:rsidR="00DC0C30" w:rsidRPr="001612E9">
        <w:rPr>
          <w:sz w:val="24"/>
          <w:szCs w:val="24"/>
        </w:rPr>
        <w:t xml:space="preserve">, </w:t>
      </w:r>
      <w:r w:rsidR="00F77C92">
        <w:rPr>
          <w:sz w:val="24"/>
          <w:szCs w:val="24"/>
        </w:rPr>
        <w:t>nine out of ten</w:t>
      </w:r>
      <w:r w:rsidR="00DC0C30" w:rsidRPr="001612E9">
        <w:rPr>
          <w:sz w:val="24"/>
          <w:szCs w:val="24"/>
        </w:rPr>
        <w:t xml:space="preserve"> families agreed to donation when their family member was</w:t>
      </w:r>
      <w:r w:rsidR="00AD7870">
        <w:rPr>
          <w:sz w:val="24"/>
          <w:szCs w:val="24"/>
        </w:rPr>
        <w:t xml:space="preserve"> registered</w:t>
      </w:r>
      <w:r w:rsidR="00DC0C30" w:rsidRPr="001612E9">
        <w:rPr>
          <w:sz w:val="24"/>
          <w:szCs w:val="24"/>
        </w:rPr>
        <w:t xml:space="preserve"> on the AODR. In contrast, only </w:t>
      </w:r>
      <w:r w:rsidR="00F77C92">
        <w:rPr>
          <w:sz w:val="24"/>
          <w:szCs w:val="24"/>
        </w:rPr>
        <w:t>four</w:t>
      </w:r>
      <w:r w:rsidR="00000802" w:rsidRPr="001612E9">
        <w:rPr>
          <w:sz w:val="24"/>
          <w:szCs w:val="24"/>
        </w:rPr>
        <w:t xml:space="preserve"> </w:t>
      </w:r>
      <w:r w:rsidR="00DC0C30" w:rsidRPr="001612E9">
        <w:rPr>
          <w:sz w:val="24"/>
          <w:szCs w:val="24"/>
        </w:rPr>
        <w:t xml:space="preserve">out of </w:t>
      </w:r>
      <w:r w:rsidR="00F77C92">
        <w:rPr>
          <w:sz w:val="24"/>
          <w:szCs w:val="24"/>
        </w:rPr>
        <w:t>ten</w:t>
      </w:r>
      <w:r w:rsidR="00DC0C30" w:rsidRPr="001612E9">
        <w:rPr>
          <w:sz w:val="24"/>
          <w:szCs w:val="24"/>
        </w:rPr>
        <w:t xml:space="preserve"> families agreed to donation when their family member </w:t>
      </w:r>
      <w:r w:rsidR="00000802">
        <w:rPr>
          <w:sz w:val="24"/>
          <w:szCs w:val="24"/>
        </w:rPr>
        <w:t>was not a registered donor and had not discussed donation with their family</w:t>
      </w:r>
      <w:r w:rsidR="00DC0C30">
        <w:rPr>
          <w:sz w:val="24"/>
          <w:szCs w:val="24"/>
        </w:rPr>
        <w:t>.</w:t>
      </w:r>
      <w:r w:rsidR="00E4713D">
        <w:rPr>
          <w:rStyle w:val="FootnoteReference"/>
          <w:sz w:val="24"/>
          <w:szCs w:val="24"/>
        </w:rPr>
        <w:footnoteReference w:id="4"/>
      </w:r>
      <w:r w:rsidR="00DC0C30" w:rsidRPr="001612E9">
        <w:rPr>
          <w:sz w:val="24"/>
          <w:szCs w:val="24"/>
        </w:rPr>
        <w:t xml:space="preserve"> </w:t>
      </w:r>
    </w:p>
    <w:p w14:paraId="4678F801" w14:textId="0FC3CA35" w:rsidR="00DC0C30" w:rsidRDefault="00DC0C30" w:rsidP="00257EF5">
      <w:pPr>
        <w:rPr>
          <w:sz w:val="24"/>
          <w:szCs w:val="24"/>
        </w:rPr>
      </w:pPr>
      <w:r w:rsidRPr="001612E9">
        <w:rPr>
          <w:sz w:val="24"/>
          <w:szCs w:val="24"/>
        </w:rPr>
        <w:t xml:space="preserve">Increasing the number of Australians </w:t>
      </w:r>
      <w:r>
        <w:rPr>
          <w:sz w:val="24"/>
          <w:szCs w:val="24"/>
        </w:rPr>
        <w:t>registered</w:t>
      </w:r>
      <w:r w:rsidRPr="001612E9">
        <w:rPr>
          <w:sz w:val="24"/>
          <w:szCs w:val="24"/>
        </w:rPr>
        <w:t xml:space="preserve"> will contribute to increasing consent </w:t>
      </w:r>
      <w:r w:rsidR="00000802">
        <w:rPr>
          <w:sz w:val="24"/>
          <w:szCs w:val="24"/>
        </w:rPr>
        <w:t>in hospital</w:t>
      </w:r>
      <w:r w:rsidRPr="001612E9">
        <w:rPr>
          <w:sz w:val="24"/>
          <w:szCs w:val="24"/>
        </w:rPr>
        <w:t xml:space="preserve"> for this small number of potential donors and help save more Australian lives through transplantation. </w:t>
      </w:r>
      <w:r w:rsidRPr="00EC1BAD">
        <w:rPr>
          <w:sz w:val="24"/>
          <w:szCs w:val="24"/>
        </w:rPr>
        <w:t xml:space="preserve">All governments have agreed, through the </w:t>
      </w:r>
      <w:r w:rsidR="00B16B1D">
        <w:rPr>
          <w:sz w:val="24"/>
          <w:szCs w:val="24"/>
        </w:rPr>
        <w:t>Transition</w:t>
      </w:r>
      <w:r w:rsidRPr="00EC1BAD">
        <w:rPr>
          <w:sz w:val="24"/>
          <w:szCs w:val="24"/>
        </w:rPr>
        <w:t xml:space="preserve"> Action Plan, to consider options to </w:t>
      </w:r>
      <w:r>
        <w:rPr>
          <w:sz w:val="24"/>
          <w:szCs w:val="24"/>
        </w:rPr>
        <w:t xml:space="preserve">support increased consent for </w:t>
      </w:r>
      <w:r w:rsidRPr="00872956">
        <w:rPr>
          <w:sz w:val="24"/>
          <w:szCs w:val="24"/>
        </w:rPr>
        <w:t>donation</w:t>
      </w:r>
      <w:r w:rsidR="003B67E6" w:rsidRPr="00872956">
        <w:rPr>
          <w:sz w:val="24"/>
          <w:szCs w:val="24"/>
        </w:rPr>
        <w:t xml:space="preserve"> through leveraging other processes, such as driver licence applications and renewals, to increase donor registration without compromising the integrity of AODR data</w:t>
      </w:r>
      <w:r w:rsidR="009A64FB" w:rsidRPr="00872956">
        <w:rPr>
          <w:sz w:val="24"/>
          <w:szCs w:val="24"/>
        </w:rPr>
        <w:t>.</w:t>
      </w:r>
      <w:r w:rsidRPr="00DC0C30">
        <w:rPr>
          <w:sz w:val="24"/>
          <w:szCs w:val="24"/>
        </w:rPr>
        <w:t xml:space="preserve"> </w:t>
      </w:r>
    </w:p>
    <w:p w14:paraId="29CF2278" w14:textId="37F0F415" w:rsidR="00DC0C30" w:rsidRPr="001612E9" w:rsidRDefault="00DC0C30" w:rsidP="00DC0C30">
      <w:pPr>
        <w:rPr>
          <w:sz w:val="24"/>
        </w:rPr>
      </w:pPr>
      <w:r w:rsidRPr="00EC1BAD">
        <w:rPr>
          <w:sz w:val="24"/>
          <w:szCs w:val="24"/>
        </w:rPr>
        <w:t xml:space="preserve">Additionally all governments agree that implementation of the Strategy should include actions to improve organ donation registration and consent rates in culturally and linguistically diverse people including Aboriginal and Torres Strait Islander people. This should build on the work of </w:t>
      </w:r>
      <w:r w:rsidR="004F0C6A">
        <w:rPr>
          <w:sz w:val="24"/>
          <w:szCs w:val="24"/>
        </w:rPr>
        <w:t xml:space="preserve">the </w:t>
      </w:r>
      <w:hyperlink r:id="rId11" w:history="1">
        <w:r w:rsidR="004F0C6A" w:rsidRPr="009E25ED">
          <w:rPr>
            <w:rStyle w:val="Hyperlink"/>
            <w:sz w:val="24"/>
            <w:szCs w:val="24"/>
          </w:rPr>
          <w:t>National Indigenous Kidney Transplant Taskforce</w:t>
        </w:r>
      </w:hyperlink>
      <w:r w:rsidR="004F0C6A" w:rsidRPr="001612E9">
        <w:rPr>
          <w:sz w:val="24"/>
          <w:szCs w:val="24"/>
        </w:rPr>
        <w:t xml:space="preserve"> </w:t>
      </w:r>
      <w:r w:rsidR="004F0C6A">
        <w:rPr>
          <w:sz w:val="24"/>
          <w:szCs w:val="24"/>
        </w:rPr>
        <w:t>(</w:t>
      </w:r>
      <w:r w:rsidRPr="00EC1BAD">
        <w:rPr>
          <w:sz w:val="24"/>
          <w:szCs w:val="24"/>
        </w:rPr>
        <w:t>NIKTT</w:t>
      </w:r>
      <w:r w:rsidR="004F0C6A">
        <w:rPr>
          <w:sz w:val="24"/>
          <w:szCs w:val="24"/>
        </w:rPr>
        <w:t>)</w:t>
      </w:r>
      <w:r w:rsidR="00AD1EF1">
        <w:rPr>
          <w:sz w:val="24"/>
          <w:szCs w:val="24"/>
        </w:rPr>
        <w:t>,</w:t>
      </w:r>
      <w:r w:rsidRPr="00EC1BAD">
        <w:rPr>
          <w:sz w:val="24"/>
          <w:szCs w:val="24"/>
        </w:rPr>
        <w:t xml:space="preserve"> build on</w:t>
      </w:r>
      <w:r w:rsidRPr="00EC1BAD">
        <w:rPr>
          <w:rFonts w:eastAsia="Times New Roman" w:cstheme="minorHAnsi"/>
          <w:sz w:val="24"/>
          <w:szCs w:val="24"/>
          <w:lang w:eastAsia="en-AU"/>
        </w:rPr>
        <w:t xml:space="preserve"> the OTA’s Strategic Plan: </w:t>
      </w:r>
      <w:r w:rsidRPr="00EC1BAD">
        <w:rPr>
          <w:rFonts w:eastAsia="Times New Roman" w:cstheme="minorHAnsi"/>
          <w:i/>
          <w:sz w:val="24"/>
          <w:szCs w:val="24"/>
          <w:lang w:eastAsia="en-AU"/>
        </w:rPr>
        <w:t xml:space="preserve">Progressing Australian organ and tissue donation </w:t>
      </w:r>
      <w:r w:rsidR="00B16B1D">
        <w:rPr>
          <w:rFonts w:eastAsia="Times New Roman" w:cstheme="minorHAnsi"/>
          <w:i/>
          <w:sz w:val="24"/>
          <w:szCs w:val="24"/>
          <w:lang w:eastAsia="en-AU"/>
        </w:rPr>
        <w:t>and</w:t>
      </w:r>
      <w:r w:rsidR="00B40982" w:rsidRPr="00EC1BAD">
        <w:rPr>
          <w:rFonts w:eastAsia="Times New Roman" w:cstheme="minorHAnsi"/>
          <w:i/>
          <w:sz w:val="24"/>
          <w:szCs w:val="24"/>
          <w:lang w:eastAsia="en-AU"/>
        </w:rPr>
        <w:t xml:space="preserve"> </w:t>
      </w:r>
      <w:r w:rsidRPr="00EC1BAD">
        <w:rPr>
          <w:rFonts w:eastAsia="Times New Roman" w:cstheme="minorHAnsi"/>
          <w:i/>
          <w:sz w:val="24"/>
          <w:szCs w:val="24"/>
          <w:lang w:eastAsia="en-AU"/>
        </w:rPr>
        <w:t xml:space="preserve">transplantation to </w:t>
      </w:r>
      <w:r w:rsidR="00B40982" w:rsidRPr="00872956">
        <w:rPr>
          <w:rFonts w:eastAsia="Times New Roman" w:cstheme="minorHAnsi"/>
          <w:i/>
          <w:sz w:val="24"/>
          <w:szCs w:val="24"/>
          <w:lang w:eastAsia="en-AU"/>
        </w:rPr>
        <w:t>202</w:t>
      </w:r>
      <w:r w:rsidR="00B16B1D">
        <w:rPr>
          <w:rFonts w:eastAsia="Times New Roman" w:cstheme="minorHAnsi"/>
          <w:i/>
          <w:sz w:val="24"/>
          <w:szCs w:val="24"/>
          <w:lang w:eastAsia="en-AU"/>
        </w:rPr>
        <w:t>5</w:t>
      </w:r>
      <w:r w:rsidR="00AD1EF1" w:rsidRPr="00872956">
        <w:rPr>
          <w:rFonts w:eastAsia="Times New Roman" w:cstheme="minorHAnsi"/>
          <w:i/>
          <w:sz w:val="24"/>
          <w:szCs w:val="24"/>
          <w:lang w:eastAsia="en-AU"/>
        </w:rPr>
        <w:t xml:space="preserve"> </w:t>
      </w:r>
      <w:r w:rsidR="00AD1EF1" w:rsidRPr="00872956">
        <w:rPr>
          <w:rFonts w:eastAsia="Times New Roman" w:cstheme="minorHAnsi"/>
          <w:sz w:val="24"/>
          <w:szCs w:val="24"/>
          <w:lang w:eastAsia="en-AU"/>
        </w:rPr>
        <w:t xml:space="preserve">and </w:t>
      </w:r>
      <w:r w:rsidR="00AD1EF1" w:rsidRPr="00872956">
        <w:rPr>
          <w:sz w:val="24"/>
          <w:szCs w:val="24"/>
          <w:lang w:eastAsia="en-AU"/>
        </w:rPr>
        <w:t xml:space="preserve">be developed in collaboration and partnership with key </w:t>
      </w:r>
      <w:r w:rsidR="00B16B1D">
        <w:rPr>
          <w:sz w:val="24"/>
          <w:szCs w:val="24"/>
          <w:lang w:eastAsia="en-AU"/>
        </w:rPr>
        <w:t xml:space="preserve">stakeholders </w:t>
      </w:r>
      <w:r w:rsidR="00AD1EF1" w:rsidRPr="00872956">
        <w:rPr>
          <w:sz w:val="24"/>
          <w:szCs w:val="24"/>
        </w:rPr>
        <w:t xml:space="preserve">including Aboriginal and Torres Strait Islander </w:t>
      </w:r>
      <w:r w:rsidR="00AD1EF1" w:rsidRPr="00872956">
        <w:rPr>
          <w:sz w:val="24"/>
          <w:szCs w:val="24"/>
          <w:lang w:eastAsia="en-AU"/>
        </w:rPr>
        <w:t xml:space="preserve">stakeholders and leaders. Culturally appropriate donation education programs and resources for Aboriginal and Torres Strait Islander people will be required, so </w:t>
      </w:r>
      <w:r w:rsidR="00AD1EF1" w:rsidRPr="00872956">
        <w:rPr>
          <w:sz w:val="24"/>
          <w:szCs w:val="24"/>
        </w:rPr>
        <w:t xml:space="preserve">Aboriginal and Torres Strait Islander </w:t>
      </w:r>
      <w:r w:rsidR="00AD1EF1" w:rsidRPr="00872956">
        <w:rPr>
          <w:sz w:val="24"/>
          <w:szCs w:val="24"/>
          <w:lang w:eastAsia="en-AU"/>
        </w:rPr>
        <w:t>people receive information that is appropriate</w:t>
      </w:r>
      <w:r w:rsidR="00B16B1D">
        <w:rPr>
          <w:sz w:val="24"/>
          <w:szCs w:val="24"/>
          <w:lang w:eastAsia="en-AU"/>
        </w:rPr>
        <w:t>. Multiple interventions and active engagement with local communities will be necessary to achieve this.</w:t>
      </w:r>
      <w:r w:rsidR="00AD1EF1" w:rsidRPr="00872956">
        <w:rPr>
          <w:sz w:val="24"/>
          <w:szCs w:val="24"/>
          <w:lang w:eastAsia="en-AU"/>
        </w:rPr>
        <w:t xml:space="preserve"> </w:t>
      </w:r>
    </w:p>
    <w:p w14:paraId="24C79CBA" w14:textId="15C8E4EC" w:rsidR="009C0B9B" w:rsidRPr="00AA7985" w:rsidRDefault="009C0B9B" w:rsidP="004A7395">
      <w:pPr>
        <w:pStyle w:val="Heading1"/>
        <w:spacing w:before="100" w:beforeAutospacing="1" w:after="100" w:afterAutospacing="1"/>
      </w:pPr>
      <w:bookmarkStart w:id="22" w:name="_Toc51921128"/>
      <w:bookmarkStart w:id="23" w:name="_Toc102482518"/>
      <w:r w:rsidRPr="001612E9">
        <w:lastRenderedPageBreak/>
        <w:t xml:space="preserve">PRIORITY AREA 2: Equitable access for Australians who would benefit from </w:t>
      </w:r>
      <w:r w:rsidR="00F8576B">
        <w:t xml:space="preserve">organ </w:t>
      </w:r>
      <w:r w:rsidRPr="001612E9">
        <w:t>transplantation with a focus on Aboriginal and Torres Strait Islander people and those living in rural, regional and remote areas</w:t>
      </w:r>
      <w:bookmarkEnd w:id="22"/>
      <w:bookmarkEnd w:id="23"/>
    </w:p>
    <w:p w14:paraId="18D44066" w14:textId="77777777" w:rsidR="009C0B9B" w:rsidRPr="001612E9" w:rsidRDefault="009C0B9B" w:rsidP="004A7395">
      <w:pPr>
        <w:pStyle w:val="Heading2"/>
        <w:spacing w:before="100" w:beforeAutospacing="1" w:after="100" w:afterAutospacing="1"/>
        <w:rPr>
          <w:noProof/>
        </w:rPr>
      </w:pPr>
      <w:bookmarkStart w:id="24" w:name="_Toc51921129"/>
      <w:bookmarkStart w:id="25" w:name="_Toc102482519"/>
      <w:r w:rsidRPr="001612E9">
        <w:rPr>
          <w:sz w:val="28"/>
          <w:szCs w:val="28"/>
        </w:rPr>
        <w:t>GOAL: Policy and programs break down barriers and improve access to transplantation</w:t>
      </w:r>
      <w:bookmarkEnd w:id="24"/>
      <w:bookmarkEnd w:id="25"/>
      <w:r w:rsidRPr="001612E9">
        <w:rPr>
          <w:sz w:val="28"/>
          <w:szCs w:val="28"/>
        </w:rPr>
        <w:t xml:space="preserve"> </w:t>
      </w:r>
    </w:p>
    <w:p w14:paraId="21B73EB5" w14:textId="4AD616B6" w:rsidR="009C0B9B" w:rsidRPr="001612E9" w:rsidRDefault="009C0B9B" w:rsidP="009C0B9B">
      <w:pPr>
        <w:spacing w:after="165"/>
        <w:rPr>
          <w:noProof/>
          <w:sz w:val="24"/>
          <w:szCs w:val="24"/>
        </w:rPr>
      </w:pPr>
      <w:r w:rsidRPr="001612E9">
        <w:rPr>
          <w:noProof/>
          <w:sz w:val="24"/>
          <w:szCs w:val="24"/>
        </w:rPr>
        <w:t xml:space="preserve">The Review Report describes the challenges faced by Aboriginal and Torres Strait Islander people and Australians living in rural and remote locations in their access to transplantation. The 2019 </w:t>
      </w:r>
      <w:r w:rsidR="00F77C92" w:rsidRPr="00EC1BAD">
        <w:rPr>
          <w:sz w:val="24"/>
          <w:szCs w:val="24"/>
        </w:rPr>
        <w:t xml:space="preserve">Transplantation Society of Australia and New Zealand </w:t>
      </w:r>
      <w:r w:rsidR="00F77C92">
        <w:rPr>
          <w:sz w:val="24"/>
          <w:szCs w:val="24"/>
        </w:rPr>
        <w:t>(</w:t>
      </w:r>
      <w:r w:rsidRPr="001612E9">
        <w:rPr>
          <w:noProof/>
          <w:sz w:val="24"/>
          <w:szCs w:val="24"/>
        </w:rPr>
        <w:t>TSANZ</w:t>
      </w:r>
      <w:r w:rsidR="00F77C92">
        <w:rPr>
          <w:noProof/>
          <w:sz w:val="24"/>
          <w:szCs w:val="24"/>
        </w:rPr>
        <w:t>)</w:t>
      </w:r>
      <w:r w:rsidRPr="001612E9">
        <w:rPr>
          <w:noProof/>
          <w:sz w:val="24"/>
          <w:szCs w:val="24"/>
        </w:rPr>
        <w:t xml:space="preserve"> Performance Report: </w:t>
      </w:r>
      <w:r w:rsidRPr="001612E9">
        <w:rPr>
          <w:i/>
          <w:noProof/>
          <w:sz w:val="24"/>
          <w:szCs w:val="24"/>
        </w:rPr>
        <w:t xml:space="preserve">Improving Access to and Outcomes of Kidney Transplantation for Aboriginal and Torres Strait Islander People in </w:t>
      </w:r>
      <w:r w:rsidRPr="00F77C92">
        <w:rPr>
          <w:i/>
          <w:noProof/>
          <w:sz w:val="24"/>
          <w:szCs w:val="24"/>
        </w:rPr>
        <w:t>Australia</w:t>
      </w:r>
      <w:r w:rsidRPr="00F77C92">
        <w:rPr>
          <w:noProof/>
          <w:sz w:val="24"/>
          <w:szCs w:val="24"/>
        </w:rPr>
        <w:t xml:space="preserve"> (TSANZ Performance Report)</w:t>
      </w:r>
      <w:r w:rsidRPr="001612E9">
        <w:rPr>
          <w:i/>
          <w:noProof/>
          <w:sz w:val="24"/>
          <w:szCs w:val="24"/>
        </w:rPr>
        <w:t xml:space="preserve">, </w:t>
      </w:r>
      <w:r w:rsidRPr="001612E9">
        <w:rPr>
          <w:noProof/>
          <w:sz w:val="24"/>
          <w:szCs w:val="24"/>
        </w:rPr>
        <w:t xml:space="preserve">described the barriers that make access to kidney transplantation difficult for Aboriginal and Torres Strait Islander people. The two reports provide the direction for change over the coming decade, including the importance of policies and programs being developed in partnership with Aboriginal and Torres Strait Islander people. </w:t>
      </w:r>
    </w:p>
    <w:p w14:paraId="0DED5B55" w14:textId="77777777" w:rsidR="009C0B9B" w:rsidRPr="001612E9" w:rsidRDefault="009C0B9B" w:rsidP="009C0B9B">
      <w:pPr>
        <w:spacing w:after="165"/>
        <w:rPr>
          <w:sz w:val="24"/>
          <w:szCs w:val="24"/>
        </w:rPr>
      </w:pPr>
      <w:r w:rsidRPr="001612E9">
        <w:rPr>
          <w:sz w:val="24"/>
          <w:szCs w:val="24"/>
        </w:rPr>
        <w:t>Aboriginal and Torres Strait Islander people, and Australians living in rural and remote areas, experience significant challenges. The Review Report found that many rural and remote areas do not have the infrastructure or availability of appropriately trained health professionals to support transplantation and post-transplantation assessment and care. This can mean that long distance travel or relocation to urban areas are the only options for a patient to progress to the next stage in the treatment pathway. Those that follow this path then face the social and financial implications of traveling or moving far from home. Lack of education, language barriers, and difficulties in negotiating cultural and social sensitivities contribute to this inequality in access to transplantation and post-transplantation care.</w:t>
      </w:r>
      <w:r w:rsidRPr="001612E9">
        <w:rPr>
          <w:rStyle w:val="FootnoteReference"/>
          <w:sz w:val="24"/>
          <w:szCs w:val="24"/>
        </w:rPr>
        <w:footnoteReference w:id="5"/>
      </w:r>
      <w:r w:rsidRPr="001612E9">
        <w:rPr>
          <w:sz w:val="24"/>
          <w:szCs w:val="24"/>
        </w:rPr>
        <w:t xml:space="preserve"> </w:t>
      </w:r>
    </w:p>
    <w:p w14:paraId="65D57A7B" w14:textId="5856EF0C" w:rsidR="009C0B9B" w:rsidRPr="001612E9" w:rsidRDefault="009C0B9B" w:rsidP="009C0B9B">
      <w:pPr>
        <w:spacing w:after="165"/>
        <w:rPr>
          <w:sz w:val="24"/>
          <w:szCs w:val="24"/>
        </w:rPr>
      </w:pPr>
      <w:r w:rsidRPr="001612E9">
        <w:rPr>
          <w:sz w:val="24"/>
          <w:szCs w:val="24"/>
        </w:rPr>
        <w:t xml:space="preserve">The </w:t>
      </w:r>
      <w:r w:rsidR="009E25ED" w:rsidRPr="004A7395">
        <w:rPr>
          <w:rFonts w:cstheme="minorHAnsi"/>
          <w:noProof/>
          <w:sz w:val="24"/>
        </w:rPr>
        <w:t>NIKTT</w:t>
      </w:r>
      <w:r w:rsidRPr="001612E9">
        <w:rPr>
          <w:sz w:val="24"/>
          <w:szCs w:val="24"/>
        </w:rPr>
        <w:t xml:space="preserve"> was established in response to the TSANZ Performance Report. The objectives of </w:t>
      </w:r>
      <w:r w:rsidR="009E25ED">
        <w:rPr>
          <w:sz w:val="24"/>
          <w:szCs w:val="24"/>
        </w:rPr>
        <w:t>the NIKTT</w:t>
      </w:r>
      <w:r w:rsidRPr="001612E9">
        <w:rPr>
          <w:sz w:val="24"/>
          <w:szCs w:val="24"/>
        </w:rPr>
        <w:t xml:space="preserve"> were to:</w:t>
      </w:r>
    </w:p>
    <w:p w14:paraId="49C8C023" w14:textId="77777777" w:rsidR="009C0B9B" w:rsidRPr="001612E9" w:rsidRDefault="009C0B9B" w:rsidP="009C0B9B">
      <w:pPr>
        <w:pStyle w:val="ListParagraph"/>
        <w:numPr>
          <w:ilvl w:val="0"/>
          <w:numId w:val="3"/>
        </w:numPr>
        <w:spacing w:after="165"/>
        <w:rPr>
          <w:sz w:val="24"/>
          <w:szCs w:val="24"/>
        </w:rPr>
      </w:pPr>
      <w:r w:rsidRPr="001612E9">
        <w:rPr>
          <w:sz w:val="24"/>
          <w:szCs w:val="24"/>
        </w:rPr>
        <w:t>enhance data collection and reporting,</w:t>
      </w:r>
    </w:p>
    <w:p w14:paraId="357FD76E" w14:textId="77777777" w:rsidR="009C0B9B" w:rsidRPr="001612E9" w:rsidRDefault="009C0B9B" w:rsidP="009C0B9B">
      <w:pPr>
        <w:pStyle w:val="ListParagraph"/>
        <w:numPr>
          <w:ilvl w:val="0"/>
          <w:numId w:val="3"/>
        </w:numPr>
        <w:spacing w:after="165"/>
        <w:rPr>
          <w:sz w:val="24"/>
          <w:szCs w:val="24"/>
        </w:rPr>
      </w:pPr>
      <w:r w:rsidRPr="001612E9">
        <w:rPr>
          <w:sz w:val="24"/>
          <w:szCs w:val="24"/>
        </w:rPr>
        <w:t xml:space="preserve">pilot initiatives to improve patient equity and access, and </w:t>
      </w:r>
    </w:p>
    <w:p w14:paraId="04787334" w14:textId="77777777" w:rsidR="009C0B9B" w:rsidRPr="001612E9" w:rsidRDefault="009C0B9B" w:rsidP="009C0B9B">
      <w:pPr>
        <w:pStyle w:val="ListParagraph"/>
        <w:numPr>
          <w:ilvl w:val="0"/>
          <w:numId w:val="3"/>
        </w:numPr>
        <w:spacing w:after="165"/>
        <w:rPr>
          <w:sz w:val="24"/>
          <w:szCs w:val="24"/>
        </w:rPr>
      </w:pPr>
      <w:r w:rsidRPr="001612E9">
        <w:rPr>
          <w:sz w:val="24"/>
          <w:szCs w:val="24"/>
        </w:rPr>
        <w:t>evaluate cultural bias interventions.</w:t>
      </w:r>
    </w:p>
    <w:p w14:paraId="1BE83602" w14:textId="0A680F30" w:rsidR="00053105" w:rsidRDefault="009C0B9B" w:rsidP="009C0B9B">
      <w:pPr>
        <w:spacing w:after="165"/>
        <w:rPr>
          <w:sz w:val="24"/>
          <w:szCs w:val="24"/>
          <w:lang w:eastAsia="en-AU"/>
        </w:rPr>
      </w:pPr>
      <w:r>
        <w:rPr>
          <w:rFonts w:cstheme="minorHAnsi"/>
          <w:noProof/>
          <w:sz w:val="24"/>
        </w:rPr>
        <w:t xml:space="preserve">The work of the NIKTT will inform implementation against the </w:t>
      </w:r>
      <w:r w:rsidR="009E25ED">
        <w:rPr>
          <w:rFonts w:cstheme="minorHAnsi"/>
          <w:noProof/>
          <w:sz w:val="24"/>
        </w:rPr>
        <w:t xml:space="preserve">Strategy’s </w:t>
      </w:r>
      <w:r>
        <w:rPr>
          <w:rFonts w:cstheme="minorHAnsi"/>
          <w:noProof/>
          <w:sz w:val="24"/>
        </w:rPr>
        <w:t xml:space="preserve">priority area of equitable access to transplantation and post-transplantation care. </w:t>
      </w:r>
      <w:r>
        <w:rPr>
          <w:sz w:val="24"/>
          <w:szCs w:val="24"/>
          <w:lang w:eastAsia="en-AU"/>
        </w:rPr>
        <w:t>It is essential that ge</w:t>
      </w:r>
      <w:r>
        <w:rPr>
          <w:noProof/>
          <w:sz w:val="24"/>
          <w:szCs w:val="24"/>
        </w:rPr>
        <w:t xml:space="preserve">ographical, cultural, educational and language barriers are considered, including </w:t>
      </w:r>
      <w:r>
        <w:rPr>
          <w:sz w:val="24"/>
          <w:szCs w:val="24"/>
          <w:lang w:eastAsia="en-AU"/>
        </w:rPr>
        <w:t>close</w:t>
      </w:r>
      <w:r w:rsidR="009E25ED">
        <w:rPr>
          <w:sz w:val="24"/>
          <w:szCs w:val="24"/>
          <w:lang w:eastAsia="en-AU"/>
        </w:rPr>
        <w:noBreakHyphen/>
      </w:r>
      <w:r>
        <w:rPr>
          <w:sz w:val="24"/>
          <w:szCs w:val="24"/>
          <w:lang w:eastAsia="en-AU"/>
        </w:rPr>
        <w:t>to</w:t>
      </w:r>
      <w:r w:rsidR="009E25ED">
        <w:rPr>
          <w:sz w:val="24"/>
          <w:szCs w:val="24"/>
          <w:lang w:eastAsia="en-AU"/>
        </w:rPr>
        <w:noBreakHyphen/>
      </w:r>
      <w:r>
        <w:rPr>
          <w:sz w:val="24"/>
          <w:szCs w:val="24"/>
          <w:lang w:eastAsia="en-AU"/>
        </w:rPr>
        <w:t xml:space="preserve">home care options for rural patients, where safe to do so. </w:t>
      </w:r>
      <w:r w:rsidR="00053105">
        <w:rPr>
          <w:sz w:val="24"/>
          <w:szCs w:val="24"/>
          <w:lang w:eastAsia="en-AU"/>
        </w:rPr>
        <w:t xml:space="preserve">The </w:t>
      </w:r>
      <w:r w:rsidR="00B16B1D">
        <w:rPr>
          <w:sz w:val="24"/>
          <w:szCs w:val="24"/>
          <w:lang w:eastAsia="en-AU"/>
        </w:rPr>
        <w:t>Transition</w:t>
      </w:r>
      <w:r w:rsidR="00053105">
        <w:rPr>
          <w:sz w:val="24"/>
          <w:szCs w:val="24"/>
          <w:lang w:eastAsia="en-AU"/>
        </w:rPr>
        <w:t xml:space="preserve"> Action </w:t>
      </w:r>
      <w:r w:rsidR="00053105">
        <w:rPr>
          <w:sz w:val="24"/>
          <w:szCs w:val="24"/>
          <w:lang w:eastAsia="en-AU"/>
        </w:rPr>
        <w:lastRenderedPageBreak/>
        <w:t>Plan recognises the need to leverage the work of the NIKTT, including findings from relevant initiatives, to in</w:t>
      </w:r>
      <w:r w:rsidR="00BC6698">
        <w:rPr>
          <w:sz w:val="24"/>
          <w:szCs w:val="24"/>
          <w:lang w:eastAsia="en-AU"/>
        </w:rPr>
        <w:t xml:space="preserve">form actions to implement the Strategy. </w:t>
      </w:r>
    </w:p>
    <w:p w14:paraId="366CB355" w14:textId="551B6B3E" w:rsidR="009C0B9B" w:rsidRDefault="00BC6698" w:rsidP="009C0B9B">
      <w:pPr>
        <w:spacing w:after="165"/>
        <w:rPr>
          <w:sz w:val="24"/>
          <w:szCs w:val="24"/>
          <w:lang w:eastAsia="en-AU"/>
        </w:rPr>
      </w:pPr>
      <w:r>
        <w:rPr>
          <w:sz w:val="24"/>
          <w:szCs w:val="24"/>
          <w:lang w:eastAsia="en-AU"/>
        </w:rPr>
        <w:t xml:space="preserve">There is also recognition from all governments that culturally appropriate </w:t>
      </w:r>
      <w:r w:rsidR="009C0B9B">
        <w:rPr>
          <w:sz w:val="24"/>
          <w:szCs w:val="24"/>
          <w:lang w:eastAsia="en-AU"/>
        </w:rPr>
        <w:t xml:space="preserve">education programs </w:t>
      </w:r>
      <w:r>
        <w:rPr>
          <w:sz w:val="24"/>
          <w:szCs w:val="24"/>
          <w:lang w:eastAsia="en-AU"/>
        </w:rPr>
        <w:t xml:space="preserve">and resources </w:t>
      </w:r>
      <w:r w:rsidR="009C0B9B">
        <w:rPr>
          <w:sz w:val="24"/>
          <w:szCs w:val="24"/>
          <w:lang w:eastAsia="en-AU"/>
        </w:rPr>
        <w:t xml:space="preserve">for Aboriginal and Torres Strait Islander people are required, </w:t>
      </w:r>
      <w:r w:rsidR="00B40982">
        <w:rPr>
          <w:sz w:val="24"/>
          <w:szCs w:val="24"/>
          <w:lang w:eastAsia="en-AU"/>
        </w:rPr>
        <w:t xml:space="preserve">so </w:t>
      </w:r>
      <w:r w:rsidR="009C0B9B">
        <w:rPr>
          <w:sz w:val="24"/>
          <w:szCs w:val="24"/>
          <w:lang w:eastAsia="en-AU"/>
        </w:rPr>
        <w:t>all potential</w:t>
      </w:r>
      <w:r w:rsidR="00C57B84" w:rsidRPr="00C57B84">
        <w:rPr>
          <w:sz w:val="24"/>
          <w:szCs w:val="24"/>
          <w:lang w:eastAsia="en-AU"/>
        </w:rPr>
        <w:t xml:space="preserve"> </w:t>
      </w:r>
      <w:r w:rsidR="00C57B84">
        <w:rPr>
          <w:sz w:val="24"/>
          <w:szCs w:val="24"/>
          <w:lang w:eastAsia="en-AU"/>
        </w:rPr>
        <w:t xml:space="preserve">transplant recipients, </w:t>
      </w:r>
      <w:proofErr w:type="gramStart"/>
      <w:r w:rsidR="00C57B84">
        <w:rPr>
          <w:sz w:val="24"/>
          <w:szCs w:val="24"/>
          <w:lang w:eastAsia="en-AU"/>
        </w:rPr>
        <w:t xml:space="preserve">including </w:t>
      </w:r>
      <w:r w:rsidR="009C0B9B">
        <w:rPr>
          <w:sz w:val="24"/>
          <w:szCs w:val="24"/>
          <w:lang w:eastAsia="en-AU"/>
        </w:rPr>
        <w:t xml:space="preserve"> </w:t>
      </w:r>
      <w:r w:rsidR="006C0A36">
        <w:rPr>
          <w:sz w:val="24"/>
          <w:szCs w:val="24"/>
          <w:lang w:eastAsia="en-AU"/>
        </w:rPr>
        <w:t>Aboriginal</w:t>
      </w:r>
      <w:proofErr w:type="gramEnd"/>
      <w:r w:rsidR="006C0A36">
        <w:rPr>
          <w:sz w:val="24"/>
          <w:szCs w:val="24"/>
          <w:lang w:eastAsia="en-AU"/>
        </w:rPr>
        <w:t xml:space="preserve"> and Torres Strait Islander people</w:t>
      </w:r>
      <w:r w:rsidR="00C57B84">
        <w:rPr>
          <w:sz w:val="24"/>
          <w:szCs w:val="24"/>
          <w:lang w:eastAsia="en-AU"/>
        </w:rPr>
        <w:t>,</w:t>
      </w:r>
      <w:r w:rsidR="006C0A36">
        <w:rPr>
          <w:sz w:val="24"/>
          <w:szCs w:val="24"/>
          <w:lang w:eastAsia="en-AU"/>
        </w:rPr>
        <w:t xml:space="preserve"> </w:t>
      </w:r>
      <w:r w:rsidR="009C0B9B">
        <w:rPr>
          <w:sz w:val="24"/>
          <w:szCs w:val="24"/>
          <w:lang w:eastAsia="en-AU"/>
        </w:rPr>
        <w:t xml:space="preserve">receive information that is appropriate. </w:t>
      </w:r>
      <w:r w:rsidR="009C0B9B" w:rsidRPr="00C57B84">
        <w:rPr>
          <w:sz w:val="24"/>
          <w:szCs w:val="24"/>
          <w:lang w:eastAsia="en-AU"/>
        </w:rPr>
        <w:t xml:space="preserve">Multiple interventions and active engagement with local communities </w:t>
      </w:r>
      <w:r w:rsidR="00896228" w:rsidRPr="00C57B84">
        <w:rPr>
          <w:sz w:val="24"/>
          <w:szCs w:val="24"/>
          <w:lang w:eastAsia="en-AU"/>
        </w:rPr>
        <w:t>will be</w:t>
      </w:r>
      <w:r w:rsidR="009E25ED" w:rsidRPr="00C57B84">
        <w:rPr>
          <w:sz w:val="24"/>
          <w:szCs w:val="24"/>
          <w:lang w:eastAsia="en-AU"/>
        </w:rPr>
        <w:t xml:space="preserve"> </w:t>
      </w:r>
      <w:r w:rsidR="009C0B9B" w:rsidRPr="00C57B84">
        <w:rPr>
          <w:sz w:val="24"/>
          <w:szCs w:val="24"/>
          <w:lang w:eastAsia="en-AU"/>
        </w:rPr>
        <w:t xml:space="preserve">necessary to </w:t>
      </w:r>
      <w:r w:rsidR="00F8308B" w:rsidRPr="00C57B84">
        <w:rPr>
          <w:sz w:val="24"/>
          <w:szCs w:val="24"/>
          <w:lang w:eastAsia="en-AU"/>
        </w:rPr>
        <w:t>achieve this goal</w:t>
      </w:r>
      <w:r w:rsidR="009C0B9B" w:rsidRPr="00C57B84">
        <w:rPr>
          <w:sz w:val="24"/>
          <w:szCs w:val="24"/>
          <w:lang w:eastAsia="en-AU"/>
        </w:rPr>
        <w:t>.</w:t>
      </w:r>
      <w:r w:rsidR="009C0B9B" w:rsidRPr="001612E9">
        <w:rPr>
          <w:sz w:val="24"/>
          <w:szCs w:val="24"/>
          <w:lang w:eastAsia="en-AU"/>
        </w:rPr>
        <w:t xml:space="preserve"> </w:t>
      </w:r>
    </w:p>
    <w:p w14:paraId="03289E19" w14:textId="77777777" w:rsidR="009C0B9B" w:rsidRPr="001612E9" w:rsidRDefault="00BC6698" w:rsidP="003C2906">
      <w:pPr>
        <w:spacing w:after="165"/>
      </w:pPr>
      <w:r w:rsidRPr="00EC1BAD">
        <w:rPr>
          <w:sz w:val="24"/>
          <w:szCs w:val="24"/>
          <w:lang w:eastAsia="en-AU"/>
        </w:rPr>
        <w:t>More broadly, implementation planning will consider other actions that could support health services and potential transplant recipients from all backgrounds to enable early assessment for transplant eligibility and wait listing. This may require action by primary care services, dialysis units, kidney transplant programs, clinicians and continuing medical education providers.</w:t>
      </w:r>
    </w:p>
    <w:p w14:paraId="4845CCDE" w14:textId="77777777" w:rsidR="009C0B9B" w:rsidRPr="001612E9" w:rsidRDefault="009C0B9B" w:rsidP="004A7395">
      <w:pPr>
        <w:pStyle w:val="Heading2"/>
        <w:spacing w:after="100" w:afterAutospacing="1"/>
      </w:pPr>
      <w:bookmarkStart w:id="26" w:name="_Toc51921130"/>
      <w:bookmarkStart w:id="27" w:name="_Toc102482520"/>
      <w:r w:rsidRPr="001612E9">
        <w:rPr>
          <w:sz w:val="28"/>
        </w:rPr>
        <w:t>GOAL: Nationally consistent, equitable and transparent wait list, organ allocation, offer and acceptance processes</w:t>
      </w:r>
      <w:bookmarkEnd w:id="26"/>
      <w:bookmarkEnd w:id="27"/>
      <w:r w:rsidRPr="001612E9">
        <w:rPr>
          <w:sz w:val="28"/>
        </w:rPr>
        <w:t xml:space="preserve"> </w:t>
      </w:r>
    </w:p>
    <w:p w14:paraId="38D14BCD" w14:textId="77777777" w:rsidR="009C0B9B" w:rsidRPr="001612E9" w:rsidRDefault="009C0B9B" w:rsidP="00DA4B8C">
      <w:pPr>
        <w:rPr>
          <w:sz w:val="24"/>
          <w:szCs w:val="24"/>
          <w:lang w:eastAsia="en-AU"/>
        </w:rPr>
      </w:pPr>
      <w:r w:rsidRPr="001612E9">
        <w:rPr>
          <w:sz w:val="24"/>
          <w:szCs w:val="24"/>
          <w:lang w:eastAsia="en-AU"/>
        </w:rPr>
        <w:t xml:space="preserve">The Review Report outlines inconsistencies in assessment practices and waitlist management nationally. It recognises that states and territories, and their Local Hospital Networks, are primarily responsible for the delivery of organ retrieval and transplantation services. However, it also identifies a range of issues impacting organ retrieval and transplantation that could benefit from a nationally coordinated approach. </w:t>
      </w:r>
      <w:r w:rsidRPr="001612E9" w:rsidDel="008F6802">
        <w:rPr>
          <w:sz w:val="24"/>
          <w:szCs w:val="24"/>
          <w:lang w:eastAsia="en-AU"/>
        </w:rPr>
        <w:t xml:space="preserve"> </w:t>
      </w:r>
    </w:p>
    <w:p w14:paraId="5055B836" w14:textId="77777777" w:rsidR="009C0B9B" w:rsidRPr="001612E9" w:rsidRDefault="009C0B9B" w:rsidP="00DA4B8C">
      <w:pPr>
        <w:rPr>
          <w:sz w:val="24"/>
          <w:szCs w:val="24"/>
          <w:lang w:eastAsia="en-AU"/>
        </w:rPr>
      </w:pPr>
      <w:r w:rsidRPr="001612E9">
        <w:rPr>
          <w:sz w:val="24"/>
          <w:szCs w:val="24"/>
          <w:lang w:eastAsia="en-AU"/>
        </w:rPr>
        <w:t>The Review Report outlines the variation in waiting list numbers, reflecting non</w:t>
      </w:r>
      <w:r w:rsidRPr="001612E9">
        <w:rPr>
          <w:sz w:val="24"/>
          <w:szCs w:val="24"/>
          <w:lang w:eastAsia="en-AU"/>
        </w:rPr>
        <w:noBreakHyphen/>
        <w:t xml:space="preserve">uniform practices in waitlisting potential recipients and the management of waiting lists. It reports evidence of late referrals of potential recipients to transplantation programs for assessment. In particular, it notes that there is widespread variability in waiting list practices for people receiving dialysis across Australia and a widening gap in this variability. Further, there is variation across jurisdictions in allocation, reasons for offer declines and acceptance practices, and tissue typing services. </w:t>
      </w:r>
    </w:p>
    <w:p w14:paraId="0388C710" w14:textId="3AEAD81F" w:rsidR="0009782A" w:rsidRDefault="009C0B9B" w:rsidP="00DA4B8C">
      <w:pPr>
        <w:rPr>
          <w:sz w:val="24"/>
          <w:szCs w:val="24"/>
        </w:rPr>
      </w:pPr>
      <w:r w:rsidRPr="00AA7985">
        <w:rPr>
          <w:sz w:val="24"/>
          <w:szCs w:val="24"/>
          <w:lang w:eastAsia="en-AU"/>
        </w:rPr>
        <w:t>All governments recognise that a nationally consistent approach is needed, acknowledging that there may</w:t>
      </w:r>
      <w:r w:rsidR="00805798">
        <w:rPr>
          <w:sz w:val="24"/>
          <w:szCs w:val="24"/>
          <w:lang w:eastAsia="en-AU"/>
        </w:rPr>
        <w:t xml:space="preserve"> continue to</w:t>
      </w:r>
      <w:r w:rsidRPr="00AA7985">
        <w:rPr>
          <w:sz w:val="24"/>
          <w:szCs w:val="24"/>
          <w:lang w:eastAsia="en-AU"/>
        </w:rPr>
        <w:t xml:space="preserve"> be some variation</w:t>
      </w:r>
      <w:r w:rsidRPr="00AA7985">
        <w:rPr>
          <w:sz w:val="24"/>
          <w:szCs w:val="24"/>
        </w:rPr>
        <w:t xml:space="preserve"> in jurisdictional clinical service delivery. Additionally</w:t>
      </w:r>
      <w:r w:rsidRPr="001612E9">
        <w:rPr>
          <w:sz w:val="24"/>
          <w:szCs w:val="24"/>
        </w:rPr>
        <w:t>, all governments will support the sector to facilitate patient pathway</w:t>
      </w:r>
      <w:r w:rsidR="00805798">
        <w:rPr>
          <w:sz w:val="24"/>
          <w:szCs w:val="24"/>
        </w:rPr>
        <w:t>s</w:t>
      </w:r>
      <w:r w:rsidRPr="001612E9">
        <w:rPr>
          <w:sz w:val="24"/>
          <w:szCs w:val="24"/>
        </w:rPr>
        <w:t xml:space="preserve"> towards transplantation and enable equity of access and optimal patient outcomes. </w:t>
      </w:r>
      <w:r w:rsidR="00354536" w:rsidRPr="00EC1BAD">
        <w:rPr>
          <w:sz w:val="24"/>
          <w:szCs w:val="24"/>
        </w:rPr>
        <w:t xml:space="preserve">As a starting point, the </w:t>
      </w:r>
      <w:r w:rsidR="00B16B1D">
        <w:rPr>
          <w:sz w:val="24"/>
          <w:szCs w:val="24"/>
        </w:rPr>
        <w:t>Transition</w:t>
      </w:r>
      <w:r w:rsidR="00354536" w:rsidRPr="00EC1BAD">
        <w:rPr>
          <w:sz w:val="24"/>
          <w:szCs w:val="24"/>
        </w:rPr>
        <w:t xml:space="preserve"> Action Plan supports the work being undertaken by the </w:t>
      </w:r>
      <w:r w:rsidR="00F77C92">
        <w:rPr>
          <w:sz w:val="24"/>
          <w:szCs w:val="24"/>
        </w:rPr>
        <w:t>TSANZ</w:t>
      </w:r>
      <w:r w:rsidR="00354536" w:rsidRPr="00EC1BAD">
        <w:rPr>
          <w:sz w:val="24"/>
          <w:szCs w:val="24"/>
        </w:rPr>
        <w:t xml:space="preserve"> Renal Allocation Working Group and TSANZ </w:t>
      </w:r>
      <w:proofErr w:type="gramStart"/>
      <w:r w:rsidR="00B16B1D">
        <w:rPr>
          <w:sz w:val="24"/>
          <w:szCs w:val="24"/>
        </w:rPr>
        <w:t>N</w:t>
      </w:r>
      <w:r w:rsidR="00354536" w:rsidRPr="00EC1BAD">
        <w:rPr>
          <w:sz w:val="24"/>
          <w:szCs w:val="24"/>
        </w:rPr>
        <w:t>on</w:t>
      </w:r>
      <w:r w:rsidR="00B16B1D">
        <w:rPr>
          <w:sz w:val="24"/>
          <w:szCs w:val="24"/>
        </w:rPr>
        <w:t xml:space="preserve"> R</w:t>
      </w:r>
      <w:r w:rsidR="00354536" w:rsidRPr="00EC1BAD">
        <w:rPr>
          <w:sz w:val="24"/>
          <w:szCs w:val="24"/>
        </w:rPr>
        <w:t>enal</w:t>
      </w:r>
      <w:proofErr w:type="gramEnd"/>
      <w:r w:rsidR="00354536" w:rsidRPr="00EC1BAD">
        <w:rPr>
          <w:sz w:val="24"/>
          <w:szCs w:val="24"/>
        </w:rPr>
        <w:t xml:space="preserve"> Allocation Working Group. The OTA will </w:t>
      </w:r>
      <w:r w:rsidR="00B40982">
        <w:rPr>
          <w:sz w:val="24"/>
          <w:szCs w:val="24"/>
        </w:rPr>
        <w:t xml:space="preserve">continue </w:t>
      </w:r>
      <w:r w:rsidR="00257EF5">
        <w:rPr>
          <w:sz w:val="24"/>
          <w:szCs w:val="24"/>
        </w:rPr>
        <w:t xml:space="preserve">to </w:t>
      </w:r>
      <w:r w:rsidR="00354536" w:rsidRPr="00EC1BAD">
        <w:rPr>
          <w:sz w:val="24"/>
          <w:szCs w:val="24"/>
        </w:rPr>
        <w:t>support TSANZ and the sector in considering the recommendations from the review of renal and non</w:t>
      </w:r>
      <w:r w:rsidR="007340F0">
        <w:rPr>
          <w:sz w:val="24"/>
          <w:szCs w:val="24"/>
        </w:rPr>
        <w:t>-</w:t>
      </w:r>
      <w:r w:rsidR="00354536" w:rsidRPr="00EC1BAD">
        <w:rPr>
          <w:sz w:val="24"/>
          <w:szCs w:val="24"/>
        </w:rPr>
        <w:t>renal allocation, including implementation of agreed recommendations for implementation in OrganMatch.</w:t>
      </w:r>
    </w:p>
    <w:p w14:paraId="31496351" w14:textId="77777777" w:rsidR="009C0B9B" w:rsidRPr="001612E9" w:rsidRDefault="0009782A" w:rsidP="00DA4B8C">
      <w:pPr>
        <w:rPr>
          <w:sz w:val="24"/>
        </w:rPr>
      </w:pPr>
      <w:r>
        <w:rPr>
          <w:sz w:val="24"/>
          <w:szCs w:val="24"/>
        </w:rPr>
        <w:t xml:space="preserve">It is also important to acknowledge that other treatment pathways and prevention activity may decrease the need for some transplants in future. </w:t>
      </w:r>
      <w:r>
        <w:rPr>
          <w:sz w:val="24"/>
          <w:szCs w:val="24"/>
          <w:lang w:eastAsia="en-AU"/>
        </w:rPr>
        <w:t>These issues are beyond the scope of this Strategy but could also benefit from a consistent national approach.</w:t>
      </w:r>
    </w:p>
    <w:p w14:paraId="6773DE3C" w14:textId="52636261" w:rsidR="009C0B9B" w:rsidRPr="001612E9" w:rsidRDefault="009C0B9B" w:rsidP="004A7395">
      <w:pPr>
        <w:pStyle w:val="Heading1"/>
        <w:spacing w:before="100" w:beforeAutospacing="1" w:after="100" w:afterAutospacing="1"/>
      </w:pPr>
      <w:bookmarkStart w:id="28" w:name="_Toc51921131"/>
      <w:bookmarkStart w:id="29" w:name="_Toc102482521"/>
      <w:r w:rsidRPr="001612E9">
        <w:lastRenderedPageBreak/>
        <w:t xml:space="preserve">PRIORITY AREA 3: Enhanced </w:t>
      </w:r>
      <w:r w:rsidR="001110F1" w:rsidRPr="001612E9">
        <w:t>organ retrieval</w:t>
      </w:r>
      <w:r w:rsidRPr="001612E9">
        <w:t xml:space="preserve"> and transplantation capability and capacity to optimise transplant outcomes</w:t>
      </w:r>
      <w:bookmarkEnd w:id="28"/>
      <w:bookmarkEnd w:id="29"/>
    </w:p>
    <w:p w14:paraId="63218C65" w14:textId="09EB3248" w:rsidR="009C0B9B" w:rsidRPr="001612E9" w:rsidRDefault="009C0B9B" w:rsidP="004A7395">
      <w:pPr>
        <w:pStyle w:val="Heading2"/>
        <w:spacing w:before="100" w:beforeAutospacing="1" w:after="100" w:afterAutospacing="1"/>
      </w:pPr>
      <w:bookmarkStart w:id="30" w:name="_Toc51921133"/>
      <w:bookmarkStart w:id="31" w:name="_Toc102482522"/>
      <w:r w:rsidRPr="001612E9">
        <w:rPr>
          <w:sz w:val="28"/>
          <w:szCs w:val="28"/>
        </w:rPr>
        <w:t>GOAL: Capability and capacity within the health system delivers optimal organ retrieval and transplantation services</w:t>
      </w:r>
      <w:bookmarkEnd w:id="30"/>
      <w:bookmarkEnd w:id="31"/>
    </w:p>
    <w:p w14:paraId="1913EE6A" w14:textId="641A4A01" w:rsidR="009C0B9B" w:rsidRPr="001612E9" w:rsidRDefault="009C0B9B" w:rsidP="009C0B9B">
      <w:pPr>
        <w:rPr>
          <w:sz w:val="24"/>
          <w:szCs w:val="24"/>
        </w:rPr>
      </w:pPr>
      <w:r w:rsidRPr="001612E9" w:rsidDel="00937706">
        <w:rPr>
          <w:sz w:val="24"/>
          <w:szCs w:val="24"/>
        </w:rPr>
        <w:t xml:space="preserve">Demand for Australia’s donation, retrieval and transplantation services is growing. </w:t>
      </w:r>
      <w:r w:rsidRPr="001612E9">
        <w:rPr>
          <w:sz w:val="24"/>
          <w:szCs w:val="24"/>
        </w:rPr>
        <w:t>D</w:t>
      </w:r>
      <w:r w:rsidRPr="001612E9" w:rsidDel="00937706">
        <w:rPr>
          <w:sz w:val="24"/>
          <w:szCs w:val="24"/>
        </w:rPr>
        <w:t xml:space="preserve">onation rates have </w:t>
      </w:r>
      <w:r w:rsidR="00B16EFD">
        <w:rPr>
          <w:sz w:val="24"/>
          <w:szCs w:val="24"/>
        </w:rPr>
        <w:t xml:space="preserve">significantly increased in the past 12 </w:t>
      </w:r>
      <w:r w:rsidRPr="001612E9" w:rsidDel="00937706">
        <w:rPr>
          <w:sz w:val="24"/>
          <w:szCs w:val="24"/>
        </w:rPr>
        <w:t>years</w:t>
      </w:r>
      <w:r w:rsidR="00B16EFD">
        <w:rPr>
          <w:sz w:val="24"/>
          <w:szCs w:val="24"/>
        </w:rPr>
        <w:t xml:space="preserve"> since establishment of the National Program for organ and tissue donation</w:t>
      </w:r>
      <w:r w:rsidR="005D2F3F">
        <w:rPr>
          <w:sz w:val="24"/>
          <w:szCs w:val="24"/>
        </w:rPr>
        <w:t>.</w:t>
      </w:r>
      <w:r w:rsidRPr="001612E9" w:rsidDel="00937706">
        <w:rPr>
          <w:sz w:val="24"/>
          <w:szCs w:val="24"/>
        </w:rPr>
        <w:t xml:space="preserve"> </w:t>
      </w:r>
      <w:r w:rsidR="005D2F3F">
        <w:rPr>
          <w:sz w:val="24"/>
          <w:szCs w:val="24"/>
        </w:rPr>
        <w:t>T</w:t>
      </w:r>
      <w:r>
        <w:rPr>
          <w:sz w:val="24"/>
          <w:szCs w:val="24"/>
        </w:rPr>
        <w:t xml:space="preserve">his increase in activity is placing downstream pressures on the retrieval and transplantation system. </w:t>
      </w:r>
      <w:r w:rsidRPr="001612E9">
        <w:rPr>
          <w:sz w:val="24"/>
          <w:szCs w:val="24"/>
        </w:rPr>
        <w:t xml:space="preserve"> </w:t>
      </w:r>
    </w:p>
    <w:p w14:paraId="56A86087" w14:textId="77777777" w:rsidR="00B16B1D" w:rsidRDefault="009C0B9B" w:rsidP="009C0B9B">
      <w:pPr>
        <w:rPr>
          <w:sz w:val="24"/>
          <w:szCs w:val="24"/>
        </w:rPr>
      </w:pPr>
      <w:r w:rsidRPr="001612E9">
        <w:rPr>
          <w:sz w:val="24"/>
          <w:szCs w:val="24"/>
        </w:rPr>
        <w:t xml:space="preserve">Between 2013 and 2018, the number of kidney transplants increased by 29.8 per cent. </w:t>
      </w:r>
    </w:p>
    <w:p w14:paraId="2CAE0551" w14:textId="768068F2" w:rsidR="009C0B9B" w:rsidRPr="001612E9" w:rsidRDefault="009C0B9B" w:rsidP="009C0B9B">
      <w:pPr>
        <w:rPr>
          <w:sz w:val="24"/>
          <w:szCs w:val="24"/>
        </w:rPr>
      </w:pPr>
      <w:r w:rsidRPr="001612E9">
        <w:rPr>
          <w:sz w:val="24"/>
          <w:szCs w:val="24"/>
        </w:rPr>
        <w:t xml:space="preserve">Despite this, </w:t>
      </w:r>
      <w:r w:rsidR="00DA4E7D">
        <w:rPr>
          <w:sz w:val="24"/>
          <w:szCs w:val="24"/>
        </w:rPr>
        <w:t xml:space="preserve">there are currently around </w:t>
      </w:r>
      <w:r w:rsidR="00B16B1D">
        <w:rPr>
          <w:sz w:val="24"/>
          <w:szCs w:val="24"/>
        </w:rPr>
        <w:t>1,800</w:t>
      </w:r>
      <w:r w:rsidR="009E5EBC" w:rsidRPr="001612E9" w:rsidDel="00937706">
        <w:rPr>
          <w:sz w:val="24"/>
          <w:szCs w:val="24"/>
        </w:rPr>
        <w:t xml:space="preserve"> </w:t>
      </w:r>
      <w:r w:rsidRPr="001612E9" w:rsidDel="00937706">
        <w:rPr>
          <w:sz w:val="24"/>
          <w:szCs w:val="24"/>
        </w:rPr>
        <w:t>people on transplant waiting lists, with an additional 1</w:t>
      </w:r>
      <w:r w:rsidR="00B16B1D">
        <w:rPr>
          <w:sz w:val="24"/>
          <w:szCs w:val="24"/>
        </w:rPr>
        <w:t>3</w:t>
      </w:r>
      <w:r w:rsidRPr="001612E9" w:rsidDel="00937706">
        <w:rPr>
          <w:sz w:val="24"/>
          <w:szCs w:val="24"/>
        </w:rPr>
        <w:t xml:space="preserve">,000 people undergoing dialysis treatment, </w:t>
      </w:r>
      <w:r w:rsidR="00B16B1D">
        <w:rPr>
          <w:sz w:val="24"/>
          <w:szCs w:val="24"/>
        </w:rPr>
        <w:t>some</w:t>
      </w:r>
      <w:r w:rsidRPr="001612E9" w:rsidDel="00937706">
        <w:rPr>
          <w:sz w:val="24"/>
          <w:szCs w:val="24"/>
        </w:rPr>
        <w:t xml:space="preserve"> of whom </w:t>
      </w:r>
      <w:r w:rsidR="00354536">
        <w:rPr>
          <w:sz w:val="24"/>
          <w:szCs w:val="24"/>
        </w:rPr>
        <w:t>will become candidates for</w:t>
      </w:r>
      <w:r w:rsidRPr="001612E9" w:rsidDel="00937706">
        <w:rPr>
          <w:sz w:val="24"/>
          <w:szCs w:val="24"/>
        </w:rPr>
        <w:t xml:space="preserve"> a kidney transplant. </w:t>
      </w:r>
    </w:p>
    <w:p w14:paraId="2B0EBFBB" w14:textId="77777777" w:rsidR="009C0B9B" w:rsidRPr="004D4D6E" w:rsidRDefault="009C0B9B" w:rsidP="009C0B9B">
      <w:pPr>
        <w:rPr>
          <w:sz w:val="24"/>
          <w:szCs w:val="24"/>
        </w:rPr>
      </w:pPr>
      <w:r w:rsidRPr="001612E9">
        <w:rPr>
          <w:sz w:val="24"/>
          <w:szCs w:val="24"/>
        </w:rPr>
        <w:t xml:space="preserve">The Review Report identified the need to address capacity and capability issues, with a particular emphasis on workforce planning and coordination of retrieval and transplantation services. The </w:t>
      </w:r>
      <w:r w:rsidRPr="004D4D6E">
        <w:rPr>
          <w:sz w:val="24"/>
          <w:szCs w:val="24"/>
        </w:rPr>
        <w:t>retrieval and transplant workforce are under pressure due to increased donation rates and the associated impact on resources and the system. The Review Report also highlighted the need to develop strategies that would address inefficiencies across the donation, retrieval and transplantation system.</w:t>
      </w:r>
    </w:p>
    <w:p w14:paraId="6FDE3176" w14:textId="77777777" w:rsidR="009C0B9B" w:rsidRPr="001612E9" w:rsidRDefault="009C0B9B" w:rsidP="009C0B9B">
      <w:pPr>
        <w:rPr>
          <w:rFonts w:asciiTheme="majorHAnsi" w:eastAsiaTheme="majorEastAsia" w:hAnsiTheme="majorHAnsi" w:cstheme="majorBidi"/>
          <w:color w:val="008080"/>
          <w:sz w:val="28"/>
          <w:szCs w:val="28"/>
        </w:rPr>
      </w:pPr>
      <w:r w:rsidRPr="004D4D6E">
        <w:rPr>
          <w:sz w:val="24"/>
          <w:szCs w:val="24"/>
        </w:rPr>
        <w:t xml:space="preserve">All governments agree to consider elements </w:t>
      </w:r>
      <w:r w:rsidR="00DA4E7D">
        <w:rPr>
          <w:sz w:val="24"/>
          <w:szCs w:val="24"/>
        </w:rPr>
        <w:t xml:space="preserve">including </w:t>
      </w:r>
      <w:r w:rsidRPr="004D4D6E">
        <w:rPr>
          <w:sz w:val="24"/>
          <w:szCs w:val="24"/>
        </w:rPr>
        <w:t xml:space="preserve">national coordination for retrieval and transplantation, </w:t>
      </w:r>
      <w:r w:rsidR="00DA4E7D">
        <w:rPr>
          <w:sz w:val="24"/>
          <w:szCs w:val="24"/>
        </w:rPr>
        <w:t xml:space="preserve">and review of efficiencies across the system and </w:t>
      </w:r>
      <w:r w:rsidRPr="004D4D6E">
        <w:rPr>
          <w:sz w:val="24"/>
          <w:szCs w:val="24"/>
        </w:rPr>
        <w:t>workforce planning to build capability and capacity.</w:t>
      </w:r>
    </w:p>
    <w:p w14:paraId="3A1C757A" w14:textId="77777777" w:rsidR="009C0B9B" w:rsidRPr="001612E9" w:rsidRDefault="009C0B9B" w:rsidP="004A7395">
      <w:pPr>
        <w:pStyle w:val="Heading2"/>
        <w:spacing w:after="100" w:afterAutospacing="1"/>
      </w:pPr>
      <w:bookmarkStart w:id="32" w:name="_Toc51921134"/>
      <w:bookmarkStart w:id="33" w:name="_Toc102482523"/>
      <w:r w:rsidRPr="001612E9">
        <w:rPr>
          <w:sz w:val="28"/>
          <w:szCs w:val="28"/>
        </w:rPr>
        <w:t>GOAL: Australian transplant recipients have access to high quality post</w:t>
      </w:r>
      <w:r w:rsidR="00FB3D90">
        <w:rPr>
          <w:sz w:val="28"/>
          <w:szCs w:val="28"/>
        </w:rPr>
        <w:noBreakHyphen/>
      </w:r>
      <w:r w:rsidRPr="001612E9">
        <w:rPr>
          <w:sz w:val="28"/>
          <w:szCs w:val="28"/>
        </w:rPr>
        <w:t>transplantation programs and services</w:t>
      </w:r>
      <w:bookmarkEnd w:id="32"/>
      <w:bookmarkEnd w:id="33"/>
      <w:r w:rsidRPr="001612E9">
        <w:rPr>
          <w:sz w:val="28"/>
          <w:szCs w:val="28"/>
        </w:rPr>
        <w:t xml:space="preserve"> </w:t>
      </w:r>
    </w:p>
    <w:p w14:paraId="70D39BAA" w14:textId="311DE5B2" w:rsidR="009C0B9B" w:rsidRPr="001612E9" w:rsidRDefault="009C0B9B" w:rsidP="009C0B9B">
      <w:pPr>
        <w:rPr>
          <w:sz w:val="24"/>
          <w:szCs w:val="24"/>
        </w:rPr>
      </w:pPr>
      <w:r w:rsidRPr="001612E9">
        <w:rPr>
          <w:sz w:val="24"/>
          <w:szCs w:val="24"/>
        </w:rPr>
        <w:t>Post-transplantation care is complex, and patients require extensive monitoring following surgery. In most cases, monitoring is required for the rest of the recipient’s life. High quality post-transplantation care is essential to maintain and increase survival rates.</w:t>
      </w:r>
    </w:p>
    <w:p w14:paraId="0107BA81" w14:textId="77777777" w:rsidR="009C0B9B" w:rsidRPr="001612E9" w:rsidRDefault="009C0B9B" w:rsidP="009C0B9B">
      <w:pPr>
        <w:rPr>
          <w:sz w:val="24"/>
          <w:szCs w:val="24"/>
        </w:rPr>
      </w:pPr>
      <w:r w:rsidRPr="001612E9">
        <w:rPr>
          <w:sz w:val="24"/>
          <w:szCs w:val="24"/>
        </w:rPr>
        <w:t xml:space="preserve">The Review Report found that although kidney transplantation programs generally support patients to return to their homes following transplantation, heart, lung and liver programs do not have similar post-transplantation care networks available. This means it is necessary to travel, in some cases significant distances, to receive appropriate care, placing stress and additional financial burdens on transplant recipients and their families. </w:t>
      </w:r>
    </w:p>
    <w:p w14:paraId="208A9027" w14:textId="551D6805" w:rsidR="009C0B9B" w:rsidRPr="001612E9" w:rsidRDefault="009C0B9B" w:rsidP="009C0B9B">
      <w:pPr>
        <w:rPr>
          <w:rFonts w:ascii="Calibri" w:hAnsi="Calibri"/>
          <w:sz w:val="24"/>
        </w:rPr>
      </w:pPr>
      <w:r w:rsidRPr="001612E9">
        <w:rPr>
          <w:rFonts w:ascii="Calibri" w:hAnsi="Calibri"/>
          <w:sz w:val="24"/>
        </w:rPr>
        <w:t xml:space="preserve">All governments are committed to building on the high quality care already provided, to support post-transplantation care close to home where safe to do so, </w:t>
      </w:r>
      <w:r w:rsidR="009E5EBC">
        <w:rPr>
          <w:rFonts w:ascii="Calibri" w:hAnsi="Calibri"/>
          <w:sz w:val="24"/>
        </w:rPr>
        <w:t>with the aim that</w:t>
      </w:r>
      <w:r w:rsidR="00BF6E5D">
        <w:rPr>
          <w:rFonts w:ascii="Calibri" w:hAnsi="Calibri"/>
          <w:sz w:val="24"/>
        </w:rPr>
        <w:t xml:space="preserve"> </w:t>
      </w:r>
      <w:r w:rsidRPr="001612E9">
        <w:rPr>
          <w:rFonts w:ascii="Calibri" w:hAnsi="Calibri"/>
          <w:sz w:val="24"/>
        </w:rPr>
        <w:t xml:space="preserve">organ recipients to achieve a full and productive life post-transplantation. </w:t>
      </w:r>
      <w:r w:rsidR="00354536" w:rsidRPr="00EC1BAD">
        <w:rPr>
          <w:rFonts w:ascii="Calibri" w:hAnsi="Calibri"/>
          <w:sz w:val="24"/>
        </w:rPr>
        <w:t xml:space="preserve">This may include </w:t>
      </w:r>
      <w:r w:rsidR="00354536" w:rsidRPr="00EC1BAD">
        <w:rPr>
          <w:rFonts w:ascii="Calibri" w:hAnsi="Calibri"/>
          <w:sz w:val="24"/>
        </w:rPr>
        <w:lastRenderedPageBreak/>
        <w:t>consideration of shared care arrangements, provision of rehabilitation, and transition from paediatric to adult services.</w:t>
      </w:r>
    </w:p>
    <w:p w14:paraId="7B1AC08D" w14:textId="22CAF042" w:rsidR="009C0B9B" w:rsidRPr="001612E9" w:rsidRDefault="009C0B9B" w:rsidP="009C0B9B">
      <w:pPr>
        <w:rPr>
          <w:sz w:val="24"/>
        </w:rPr>
      </w:pPr>
      <w:r w:rsidRPr="001612E9">
        <w:rPr>
          <w:sz w:val="24"/>
          <w:szCs w:val="24"/>
        </w:rPr>
        <w:t>Post-transplantation services may also provide the option for recipients to anonymously contact the donor family. For some</w:t>
      </w:r>
      <w:r w:rsidR="005D2F3F">
        <w:rPr>
          <w:sz w:val="24"/>
          <w:szCs w:val="24"/>
        </w:rPr>
        <w:t xml:space="preserve"> recipients</w:t>
      </w:r>
      <w:r w:rsidRPr="001612E9">
        <w:rPr>
          <w:sz w:val="24"/>
          <w:szCs w:val="24"/>
        </w:rPr>
        <w:t>, this is an important part of the post</w:t>
      </w:r>
      <w:r w:rsidR="001144CA">
        <w:rPr>
          <w:sz w:val="24"/>
          <w:szCs w:val="24"/>
        </w:rPr>
        <w:noBreakHyphen/>
      </w:r>
      <w:r w:rsidRPr="001612E9">
        <w:rPr>
          <w:sz w:val="24"/>
          <w:szCs w:val="24"/>
        </w:rPr>
        <w:t>transplantation experience</w:t>
      </w:r>
      <w:r w:rsidR="00F77C92">
        <w:rPr>
          <w:sz w:val="24"/>
          <w:szCs w:val="24"/>
        </w:rPr>
        <w:t xml:space="preserve">. </w:t>
      </w:r>
      <w:r w:rsidR="005D2F3F">
        <w:rPr>
          <w:sz w:val="24"/>
          <w:szCs w:val="24"/>
        </w:rPr>
        <w:t xml:space="preserve">The </w:t>
      </w:r>
      <w:r w:rsidRPr="001612E9">
        <w:rPr>
          <w:sz w:val="24"/>
          <w:szCs w:val="24"/>
        </w:rPr>
        <w:t xml:space="preserve">DonateLife </w:t>
      </w:r>
      <w:r w:rsidR="005D2F3F">
        <w:rPr>
          <w:sz w:val="24"/>
          <w:szCs w:val="24"/>
        </w:rPr>
        <w:t xml:space="preserve">Network </w:t>
      </w:r>
      <w:r w:rsidRPr="001612E9">
        <w:rPr>
          <w:sz w:val="24"/>
          <w:szCs w:val="24"/>
        </w:rPr>
        <w:t xml:space="preserve">provides support to donor families </w:t>
      </w:r>
      <w:r w:rsidR="009E5EBC">
        <w:rPr>
          <w:sz w:val="24"/>
          <w:szCs w:val="24"/>
        </w:rPr>
        <w:t>after their family member donates an organ to a person needing a</w:t>
      </w:r>
      <w:r w:rsidR="000322D8">
        <w:rPr>
          <w:sz w:val="24"/>
          <w:szCs w:val="24"/>
        </w:rPr>
        <w:t xml:space="preserve"> transplant</w:t>
      </w:r>
      <w:r w:rsidRPr="001612E9">
        <w:rPr>
          <w:sz w:val="24"/>
          <w:szCs w:val="24"/>
        </w:rPr>
        <w:t>, and</w:t>
      </w:r>
      <w:r w:rsidR="00B40982">
        <w:rPr>
          <w:sz w:val="24"/>
          <w:szCs w:val="24"/>
        </w:rPr>
        <w:t xml:space="preserve"> in collaboration with transplant units,</w:t>
      </w:r>
      <w:r w:rsidRPr="001612E9">
        <w:rPr>
          <w:sz w:val="24"/>
          <w:szCs w:val="24"/>
        </w:rPr>
        <w:t xml:space="preserve"> facilitates anonymous communication between donor families and recipients when requested.</w:t>
      </w:r>
      <w:r w:rsidRPr="001612E9">
        <w:rPr>
          <w:sz w:val="24"/>
        </w:rPr>
        <w:t xml:space="preserve"> </w:t>
      </w:r>
      <w:r w:rsidR="00EC4C0C">
        <w:rPr>
          <w:sz w:val="24"/>
        </w:rPr>
        <w:t xml:space="preserve">National review of this policy and the associated processes for contact between donor families and transplant recipients will </w:t>
      </w:r>
      <w:r w:rsidR="00354536">
        <w:rPr>
          <w:sz w:val="24"/>
        </w:rPr>
        <w:t xml:space="preserve">continue to </w:t>
      </w:r>
      <w:r w:rsidR="00EC4C0C">
        <w:rPr>
          <w:sz w:val="24"/>
        </w:rPr>
        <w:t xml:space="preserve">be considered </w:t>
      </w:r>
      <w:r w:rsidR="00354536">
        <w:rPr>
          <w:sz w:val="24"/>
        </w:rPr>
        <w:t>through</w:t>
      </w:r>
      <w:r w:rsidR="00F8308B">
        <w:rPr>
          <w:sz w:val="24"/>
        </w:rPr>
        <w:t xml:space="preserve"> the implementation </w:t>
      </w:r>
      <w:r w:rsidR="00EC4C0C">
        <w:rPr>
          <w:sz w:val="24"/>
        </w:rPr>
        <w:t>of this Strategy.</w:t>
      </w:r>
    </w:p>
    <w:p w14:paraId="4C59D7FC" w14:textId="77777777" w:rsidR="009C0B9B" w:rsidRPr="001612E9" w:rsidRDefault="009C0B9B" w:rsidP="004A7395">
      <w:pPr>
        <w:pStyle w:val="Heading1"/>
        <w:spacing w:before="100" w:beforeAutospacing="1" w:after="100" w:afterAutospacing="1"/>
      </w:pPr>
      <w:bookmarkStart w:id="34" w:name="_Toc51921135"/>
      <w:bookmarkStart w:id="35" w:name="_Toc102482524"/>
      <w:r w:rsidRPr="001612E9">
        <w:t>PRIORITY AREA 4: Enhanced systems and data collection and reporting to drive clinical best practice</w:t>
      </w:r>
      <w:bookmarkEnd w:id="34"/>
      <w:bookmarkEnd w:id="35"/>
    </w:p>
    <w:p w14:paraId="2DBFB4A4" w14:textId="77777777" w:rsidR="009C0B9B" w:rsidRPr="001612E9" w:rsidRDefault="009C0B9B" w:rsidP="004A7395">
      <w:pPr>
        <w:pStyle w:val="Heading2"/>
        <w:spacing w:before="100" w:beforeAutospacing="1" w:after="100" w:afterAutospacing="1"/>
      </w:pPr>
      <w:bookmarkStart w:id="36" w:name="_Toc51921136"/>
      <w:bookmarkStart w:id="37" w:name="_Toc102482525"/>
      <w:r w:rsidRPr="001612E9">
        <w:rPr>
          <w:sz w:val="28"/>
        </w:rPr>
        <w:t>GOAL: OrganMatch functionality drives clinical practice improvement</w:t>
      </w:r>
      <w:bookmarkEnd w:id="36"/>
      <w:bookmarkEnd w:id="37"/>
    </w:p>
    <w:p w14:paraId="2E81C61B" w14:textId="77777777" w:rsidR="009C0B9B" w:rsidRPr="001612E9" w:rsidRDefault="009C0B9B" w:rsidP="009C0B9B">
      <w:pPr>
        <w:rPr>
          <w:sz w:val="24"/>
          <w:szCs w:val="24"/>
        </w:rPr>
      </w:pPr>
      <w:r w:rsidRPr="001612E9">
        <w:rPr>
          <w:sz w:val="24"/>
          <w:szCs w:val="24"/>
        </w:rPr>
        <w:t>The national OrganMatch system went live in April 2019, replacing the outdated National Organ Matching System</w:t>
      </w:r>
      <w:r w:rsidR="007D6244">
        <w:rPr>
          <w:sz w:val="24"/>
          <w:szCs w:val="24"/>
        </w:rPr>
        <w:t xml:space="preserve"> (NOMS)</w:t>
      </w:r>
      <w:r w:rsidRPr="001612E9">
        <w:rPr>
          <w:sz w:val="24"/>
          <w:szCs w:val="24"/>
        </w:rPr>
        <w:t xml:space="preserve">. </w:t>
      </w:r>
      <w:r w:rsidR="007D6244">
        <w:rPr>
          <w:sz w:val="24"/>
          <w:szCs w:val="24"/>
        </w:rPr>
        <w:t xml:space="preserve">The </w:t>
      </w:r>
      <w:r w:rsidRPr="001612E9">
        <w:rPr>
          <w:sz w:val="24"/>
          <w:szCs w:val="24"/>
        </w:rPr>
        <w:t xml:space="preserve">OrganMatch system supports patient waitlisting, optimal immunological matching and organ allocation. </w:t>
      </w:r>
    </w:p>
    <w:p w14:paraId="4399BB12" w14:textId="77777777" w:rsidR="009C0B9B" w:rsidRPr="001612E9" w:rsidRDefault="009C0B9B" w:rsidP="009C0B9B">
      <w:pPr>
        <w:rPr>
          <w:sz w:val="24"/>
          <w:szCs w:val="24"/>
        </w:rPr>
      </w:pPr>
      <w:r w:rsidRPr="001612E9">
        <w:rPr>
          <w:sz w:val="24"/>
          <w:szCs w:val="24"/>
        </w:rPr>
        <w:t xml:space="preserve">The Review Report recognises the opportunities delivered through OrganMatch </w:t>
      </w:r>
      <w:r w:rsidR="00366DA4">
        <w:rPr>
          <w:sz w:val="24"/>
          <w:szCs w:val="24"/>
        </w:rPr>
        <w:t xml:space="preserve">including </w:t>
      </w:r>
      <w:r>
        <w:rPr>
          <w:sz w:val="24"/>
          <w:szCs w:val="24"/>
        </w:rPr>
        <w:t xml:space="preserve">delivering transparency and process efficiencies across </w:t>
      </w:r>
      <w:r w:rsidRPr="001612E9">
        <w:rPr>
          <w:sz w:val="24"/>
          <w:szCs w:val="24"/>
        </w:rPr>
        <w:t xml:space="preserve">waitlisting and </w:t>
      </w:r>
      <w:r>
        <w:rPr>
          <w:sz w:val="24"/>
          <w:szCs w:val="24"/>
        </w:rPr>
        <w:t xml:space="preserve">the </w:t>
      </w:r>
      <w:r w:rsidRPr="001612E9">
        <w:rPr>
          <w:sz w:val="24"/>
          <w:szCs w:val="24"/>
        </w:rPr>
        <w:t xml:space="preserve">organ allocation and offer processes. It found that this system facilitates more streamlined, timely and efficient information sharing, and has the capacity to maintain clinical best practice for organ matching. </w:t>
      </w:r>
    </w:p>
    <w:p w14:paraId="7BAA8364" w14:textId="0B8429FC" w:rsidR="009C0B9B" w:rsidRPr="001612E9" w:rsidRDefault="009C0B9B" w:rsidP="009C0B9B">
      <w:pPr>
        <w:rPr>
          <w:sz w:val="24"/>
          <w:szCs w:val="24"/>
        </w:rPr>
      </w:pPr>
      <w:r w:rsidRPr="001612E9">
        <w:rPr>
          <w:sz w:val="24"/>
          <w:szCs w:val="24"/>
        </w:rPr>
        <w:t xml:space="preserve">The Review Report called for adequate resourcing for OrganMatch, including consideration of what will be required to effectively implement and optimise OrganMatch into the future. It found that ongoing support for OrganMatch is required to </w:t>
      </w:r>
      <w:r w:rsidR="0055412A">
        <w:rPr>
          <w:sz w:val="24"/>
          <w:szCs w:val="24"/>
        </w:rPr>
        <w:t>continue its use</w:t>
      </w:r>
      <w:r w:rsidRPr="001612E9">
        <w:rPr>
          <w:sz w:val="24"/>
          <w:szCs w:val="24"/>
        </w:rPr>
        <w:t xml:space="preserve"> </w:t>
      </w:r>
      <w:r w:rsidR="0055412A">
        <w:rPr>
          <w:sz w:val="24"/>
          <w:szCs w:val="24"/>
        </w:rPr>
        <w:t xml:space="preserve">and provide for ongoing </w:t>
      </w:r>
      <w:r w:rsidRPr="001612E9">
        <w:rPr>
          <w:sz w:val="24"/>
          <w:szCs w:val="24"/>
        </w:rPr>
        <w:t xml:space="preserve">enhancements that will </w:t>
      </w:r>
      <w:r w:rsidR="0055412A" w:rsidRPr="0055412A">
        <w:rPr>
          <w:sz w:val="24"/>
          <w:szCs w:val="24"/>
          <w:lang w:val="en-GB"/>
        </w:rPr>
        <w:t>improve the efficiency and effectiveness of</w:t>
      </w:r>
      <w:r w:rsidR="0055412A">
        <w:rPr>
          <w:sz w:val="24"/>
          <w:szCs w:val="24"/>
          <w:lang w:val="en-GB"/>
        </w:rPr>
        <w:t xml:space="preserve"> </w:t>
      </w:r>
      <w:r w:rsidRPr="001612E9">
        <w:rPr>
          <w:sz w:val="24"/>
          <w:szCs w:val="24"/>
        </w:rPr>
        <w:t>clinical service delivery.</w:t>
      </w:r>
    </w:p>
    <w:p w14:paraId="577F9C12" w14:textId="77777777" w:rsidR="009C0B9B" w:rsidRPr="001612E9" w:rsidRDefault="009C0B9B" w:rsidP="009C0B9B">
      <w:pPr>
        <w:rPr>
          <w:sz w:val="24"/>
          <w:szCs w:val="24"/>
        </w:rPr>
      </w:pPr>
      <w:r w:rsidRPr="001612E9">
        <w:rPr>
          <w:sz w:val="24"/>
          <w:szCs w:val="24"/>
        </w:rPr>
        <w:t>The Strategy aims to support OrganMatch as the system to drive optimal clinical best practice, ensuring Australia has a system with the capability to work with future capacity requirements and technological advancement</w:t>
      </w:r>
      <w:r w:rsidR="009C1A03">
        <w:rPr>
          <w:sz w:val="24"/>
          <w:szCs w:val="24"/>
        </w:rPr>
        <w:t>s</w:t>
      </w:r>
      <w:r w:rsidRPr="001612E9">
        <w:rPr>
          <w:sz w:val="24"/>
          <w:szCs w:val="24"/>
        </w:rPr>
        <w:t xml:space="preserve">. </w:t>
      </w:r>
    </w:p>
    <w:p w14:paraId="55934B69" w14:textId="60E1D0E1" w:rsidR="009C1A03" w:rsidRPr="00EC1BAD" w:rsidRDefault="009C0B9B" w:rsidP="009C1A03">
      <w:pPr>
        <w:rPr>
          <w:sz w:val="24"/>
          <w:szCs w:val="24"/>
        </w:rPr>
      </w:pPr>
      <w:r w:rsidRPr="001612E9">
        <w:rPr>
          <w:sz w:val="24"/>
          <w:szCs w:val="24"/>
        </w:rPr>
        <w:t xml:space="preserve">Further, all governments </w:t>
      </w:r>
      <w:r w:rsidR="009C1A03">
        <w:rPr>
          <w:sz w:val="24"/>
          <w:szCs w:val="24"/>
        </w:rPr>
        <w:t xml:space="preserve">have </w:t>
      </w:r>
      <w:r w:rsidRPr="001612E9">
        <w:rPr>
          <w:sz w:val="24"/>
          <w:szCs w:val="24"/>
        </w:rPr>
        <w:t>agree</w:t>
      </w:r>
      <w:r w:rsidR="009C1A03">
        <w:rPr>
          <w:sz w:val="24"/>
          <w:szCs w:val="24"/>
        </w:rPr>
        <w:t xml:space="preserve">d through the </w:t>
      </w:r>
      <w:r w:rsidR="00B16B1D">
        <w:rPr>
          <w:sz w:val="24"/>
          <w:szCs w:val="24"/>
        </w:rPr>
        <w:t>Transition</w:t>
      </w:r>
      <w:r w:rsidR="009C1A03">
        <w:rPr>
          <w:sz w:val="24"/>
          <w:szCs w:val="24"/>
        </w:rPr>
        <w:t xml:space="preserve"> Action Plan</w:t>
      </w:r>
      <w:r w:rsidRPr="001612E9">
        <w:rPr>
          <w:sz w:val="24"/>
          <w:szCs w:val="24"/>
        </w:rPr>
        <w:t xml:space="preserve"> </w:t>
      </w:r>
      <w:r>
        <w:rPr>
          <w:sz w:val="24"/>
          <w:szCs w:val="24"/>
        </w:rPr>
        <w:t xml:space="preserve">that </w:t>
      </w:r>
      <w:r w:rsidRPr="0021336D">
        <w:rPr>
          <w:sz w:val="24"/>
          <w:szCs w:val="24"/>
        </w:rPr>
        <w:t>OrganMatch</w:t>
      </w:r>
      <w:r>
        <w:rPr>
          <w:sz w:val="24"/>
          <w:szCs w:val="24"/>
        </w:rPr>
        <w:t xml:space="preserve"> </w:t>
      </w:r>
      <w:r w:rsidR="009C1A03">
        <w:rPr>
          <w:sz w:val="24"/>
          <w:szCs w:val="24"/>
        </w:rPr>
        <w:t>be used as</w:t>
      </w:r>
      <w:r>
        <w:rPr>
          <w:sz w:val="24"/>
          <w:szCs w:val="24"/>
        </w:rPr>
        <w:t xml:space="preserve"> the national waitlist and organ allocation system and the platform to drive clinical best</w:t>
      </w:r>
      <w:r w:rsidR="006878A2">
        <w:rPr>
          <w:sz w:val="24"/>
          <w:szCs w:val="24"/>
        </w:rPr>
        <w:t xml:space="preserve"> practice</w:t>
      </w:r>
      <w:r>
        <w:rPr>
          <w:sz w:val="24"/>
          <w:szCs w:val="24"/>
        </w:rPr>
        <w:t>.</w:t>
      </w:r>
      <w:r w:rsidR="009C1A03">
        <w:rPr>
          <w:sz w:val="24"/>
          <w:szCs w:val="24"/>
        </w:rPr>
        <w:t xml:space="preserve"> </w:t>
      </w:r>
      <w:r w:rsidR="009C1A03" w:rsidRPr="00EC1BAD">
        <w:rPr>
          <w:sz w:val="24"/>
          <w:szCs w:val="24"/>
        </w:rPr>
        <w:t>In addition, governments have agreed that the functionality of OrganMatch be expanded in line with clinical feedback to improve the efficiency of the organ allocation and offer process</w:t>
      </w:r>
      <w:r w:rsidR="004222C3">
        <w:rPr>
          <w:sz w:val="24"/>
          <w:szCs w:val="24"/>
        </w:rPr>
        <w:t xml:space="preserve"> subject to available resourcing</w:t>
      </w:r>
      <w:r w:rsidR="009C1A03" w:rsidRPr="00EC1BAD">
        <w:rPr>
          <w:sz w:val="24"/>
          <w:szCs w:val="24"/>
        </w:rPr>
        <w:t xml:space="preserve">. </w:t>
      </w:r>
    </w:p>
    <w:p w14:paraId="123E6DB7" w14:textId="77777777" w:rsidR="00FB4263" w:rsidRPr="001612E9" w:rsidRDefault="00FB4263" w:rsidP="00FB4263">
      <w:pPr>
        <w:rPr>
          <w:sz w:val="24"/>
          <w:szCs w:val="24"/>
        </w:rPr>
      </w:pPr>
      <w:bookmarkStart w:id="38" w:name="_Hlk92871232"/>
      <w:bookmarkStart w:id="39" w:name="_Toc51921137"/>
      <w:r w:rsidRPr="00EC1BAD">
        <w:rPr>
          <w:sz w:val="24"/>
          <w:szCs w:val="24"/>
        </w:rPr>
        <w:t xml:space="preserve">As set out in the </w:t>
      </w:r>
      <w:r>
        <w:rPr>
          <w:rFonts w:cstheme="minorHAnsi"/>
          <w:sz w:val="24"/>
          <w:szCs w:val="24"/>
        </w:rPr>
        <w:t xml:space="preserve">Transition </w:t>
      </w:r>
      <w:r w:rsidRPr="00EC1BAD">
        <w:rPr>
          <w:sz w:val="24"/>
          <w:szCs w:val="24"/>
        </w:rPr>
        <w:t xml:space="preserve">Action Plan, </w:t>
      </w:r>
      <w:bookmarkStart w:id="40" w:name="_Hlk90368937"/>
      <w:r>
        <w:rPr>
          <w:sz w:val="24"/>
          <w:szCs w:val="24"/>
        </w:rPr>
        <w:t>t</w:t>
      </w:r>
      <w:r w:rsidRPr="0079090B">
        <w:rPr>
          <w:sz w:val="24"/>
          <w:szCs w:val="24"/>
        </w:rPr>
        <w:t xml:space="preserve">he Commonwealth funds </w:t>
      </w:r>
      <w:proofErr w:type="spellStart"/>
      <w:r w:rsidRPr="0079090B">
        <w:rPr>
          <w:sz w:val="24"/>
          <w:szCs w:val="24"/>
        </w:rPr>
        <w:t>OrganMatch</w:t>
      </w:r>
      <w:proofErr w:type="spellEnd"/>
      <w:r w:rsidRPr="0079090B">
        <w:rPr>
          <w:sz w:val="24"/>
          <w:szCs w:val="24"/>
        </w:rPr>
        <w:t>. To drive a nationally consistent approach to waitlisting, future funding arrangements and further enhancements will be negotiated and agreed with governments.</w:t>
      </w:r>
      <w:r>
        <w:rPr>
          <w:rFonts w:cstheme="minorHAnsi"/>
          <w:bCs/>
          <w:iCs/>
          <w:szCs w:val="24"/>
        </w:rPr>
        <w:t xml:space="preserve"> </w:t>
      </w:r>
      <w:r w:rsidRPr="00402ED5">
        <w:rPr>
          <w:rFonts w:cstheme="minorHAnsi"/>
          <w:bCs/>
          <w:iCs/>
          <w:szCs w:val="24"/>
        </w:rPr>
        <w:t xml:space="preserve"> </w:t>
      </w:r>
      <w:bookmarkEnd w:id="40"/>
    </w:p>
    <w:p w14:paraId="16477E44" w14:textId="77777777" w:rsidR="009C0B9B" w:rsidRPr="001612E9" w:rsidRDefault="009C0B9B" w:rsidP="00D9640F">
      <w:pPr>
        <w:pStyle w:val="Heading2"/>
        <w:keepLines w:val="0"/>
        <w:spacing w:after="100" w:afterAutospacing="1"/>
      </w:pPr>
      <w:bookmarkStart w:id="41" w:name="_Toc102482526"/>
      <w:bookmarkEnd w:id="38"/>
      <w:r w:rsidRPr="001612E9">
        <w:rPr>
          <w:sz w:val="28"/>
          <w:szCs w:val="28"/>
        </w:rPr>
        <w:lastRenderedPageBreak/>
        <w:t>GOAL: Data is accessible and reported to drive best practice</w:t>
      </w:r>
      <w:bookmarkEnd w:id="39"/>
      <w:bookmarkEnd w:id="41"/>
    </w:p>
    <w:p w14:paraId="4FC3B0FF" w14:textId="77777777" w:rsidR="009C0B9B" w:rsidRPr="001612E9" w:rsidRDefault="009C0B9B" w:rsidP="009C0B9B">
      <w:pPr>
        <w:rPr>
          <w:sz w:val="24"/>
        </w:rPr>
      </w:pPr>
      <w:r w:rsidRPr="001612E9">
        <w:rPr>
          <w:sz w:val="24"/>
        </w:rPr>
        <w:t xml:space="preserve">Robust and accessible data to inform practice is essential for the sustainable growth of the organ donation, retrieval and transplantation system in Australia. The Review Report makes several recommendations about greater access and analysis of data and support for outcomes registries to inform clinical best practice. </w:t>
      </w:r>
    </w:p>
    <w:p w14:paraId="216A0C9E" w14:textId="77777777" w:rsidR="009C0B9B" w:rsidRPr="001612E9" w:rsidRDefault="009C0B9B" w:rsidP="009C0B9B">
      <w:pPr>
        <w:rPr>
          <w:sz w:val="24"/>
        </w:rPr>
      </w:pPr>
      <w:r w:rsidRPr="001612E9">
        <w:rPr>
          <w:sz w:val="24"/>
        </w:rPr>
        <w:t>Work on improving availability and use of data is underway. The national Data Governance Framework endorsed by all states and territories in 2019 aims to:</w:t>
      </w:r>
    </w:p>
    <w:p w14:paraId="7C72C50A" w14:textId="77777777" w:rsidR="009C0B9B" w:rsidRPr="001612E9" w:rsidRDefault="009C0B9B" w:rsidP="009C0B9B">
      <w:pPr>
        <w:pStyle w:val="ListParagraph"/>
        <w:numPr>
          <w:ilvl w:val="0"/>
          <w:numId w:val="5"/>
        </w:numPr>
        <w:rPr>
          <w:sz w:val="24"/>
        </w:rPr>
      </w:pPr>
      <w:r w:rsidRPr="001612E9">
        <w:rPr>
          <w:sz w:val="24"/>
        </w:rPr>
        <w:t>promote nationally consistent data collection and utilisation,</w:t>
      </w:r>
    </w:p>
    <w:p w14:paraId="59FE00F3" w14:textId="77777777" w:rsidR="009C0B9B" w:rsidRPr="001612E9" w:rsidRDefault="009C0B9B" w:rsidP="009C0B9B">
      <w:pPr>
        <w:pStyle w:val="ListParagraph"/>
        <w:numPr>
          <w:ilvl w:val="0"/>
          <w:numId w:val="5"/>
        </w:numPr>
        <w:rPr>
          <w:sz w:val="24"/>
        </w:rPr>
      </w:pPr>
      <w:r w:rsidRPr="001612E9">
        <w:rPr>
          <w:sz w:val="24"/>
        </w:rPr>
        <w:t>enable data-sharing and data-linkage within the restrictions of national and jurisdictional legislation, and</w:t>
      </w:r>
    </w:p>
    <w:p w14:paraId="00774EE9" w14:textId="77777777" w:rsidR="009C0B9B" w:rsidRPr="001612E9" w:rsidRDefault="009C0B9B" w:rsidP="009C0B9B">
      <w:pPr>
        <w:pStyle w:val="ListParagraph"/>
        <w:numPr>
          <w:ilvl w:val="0"/>
          <w:numId w:val="5"/>
        </w:numPr>
        <w:rPr>
          <w:sz w:val="24"/>
        </w:rPr>
      </w:pPr>
      <w:r w:rsidRPr="001612E9">
        <w:rPr>
          <w:sz w:val="24"/>
        </w:rPr>
        <w:t>support consistent management of data.</w:t>
      </w:r>
    </w:p>
    <w:p w14:paraId="7C1AF1F2" w14:textId="77777777" w:rsidR="009C0B9B" w:rsidRPr="001612E9" w:rsidRDefault="009C0B9B" w:rsidP="009C0B9B">
      <w:pPr>
        <w:rPr>
          <w:sz w:val="24"/>
        </w:rPr>
      </w:pPr>
      <w:r w:rsidRPr="001612E9">
        <w:rPr>
          <w:sz w:val="24"/>
        </w:rPr>
        <w:t xml:space="preserve">This Strategy supports the national Data Governance Framework. </w:t>
      </w:r>
    </w:p>
    <w:p w14:paraId="30C0BEB0" w14:textId="7689AC8B" w:rsidR="00BE63FC" w:rsidRDefault="009C0B9B" w:rsidP="009C0B9B">
      <w:pPr>
        <w:rPr>
          <w:sz w:val="24"/>
        </w:rPr>
      </w:pPr>
      <w:r w:rsidRPr="001612E9">
        <w:rPr>
          <w:sz w:val="24"/>
        </w:rPr>
        <w:t>All governments</w:t>
      </w:r>
      <w:r w:rsidR="009C1A03">
        <w:rPr>
          <w:sz w:val="24"/>
        </w:rPr>
        <w:t xml:space="preserve"> have</w:t>
      </w:r>
      <w:r w:rsidRPr="001612E9">
        <w:rPr>
          <w:sz w:val="24"/>
        </w:rPr>
        <w:t xml:space="preserve"> agree</w:t>
      </w:r>
      <w:r w:rsidR="009C1A03">
        <w:rPr>
          <w:sz w:val="24"/>
        </w:rPr>
        <w:t xml:space="preserve">d through the </w:t>
      </w:r>
      <w:r w:rsidR="00FB4263">
        <w:rPr>
          <w:sz w:val="24"/>
        </w:rPr>
        <w:t>Transition</w:t>
      </w:r>
      <w:r w:rsidR="009C1A03">
        <w:rPr>
          <w:sz w:val="24"/>
        </w:rPr>
        <w:t xml:space="preserve"> Action Plan</w:t>
      </w:r>
      <w:r w:rsidRPr="001612E9">
        <w:rPr>
          <w:sz w:val="24"/>
        </w:rPr>
        <w:t xml:space="preserve"> to continue to support the OTA to implement the national Data Governance Framework and facilitate information sharing and access to an expanded </w:t>
      </w:r>
      <w:r w:rsidR="004D1F78">
        <w:rPr>
          <w:sz w:val="24"/>
        </w:rPr>
        <w:t xml:space="preserve">de-identified </w:t>
      </w:r>
      <w:r w:rsidRPr="001612E9">
        <w:rPr>
          <w:sz w:val="24"/>
        </w:rPr>
        <w:t xml:space="preserve">data set. This will also support policy makers and clinicians to deliver system planning improvements and enhancements. </w:t>
      </w:r>
      <w:r w:rsidR="00113B07">
        <w:rPr>
          <w:sz w:val="24"/>
        </w:rPr>
        <w:t xml:space="preserve">Through the </w:t>
      </w:r>
      <w:r w:rsidR="00FB4263">
        <w:rPr>
          <w:sz w:val="24"/>
        </w:rPr>
        <w:t>Transition Action Plan</w:t>
      </w:r>
      <w:r w:rsidR="00113B07">
        <w:rPr>
          <w:sz w:val="24"/>
        </w:rPr>
        <w:t xml:space="preserve"> a</w:t>
      </w:r>
      <w:r w:rsidR="00B16EFD">
        <w:rPr>
          <w:sz w:val="24"/>
        </w:rPr>
        <w:t>ll g</w:t>
      </w:r>
      <w:r w:rsidR="009C1A03" w:rsidRPr="00EC1BAD">
        <w:rPr>
          <w:sz w:val="24"/>
        </w:rPr>
        <w:t>overnments will also consider expansion of the availab</w:t>
      </w:r>
      <w:r w:rsidR="004222C3">
        <w:rPr>
          <w:sz w:val="24"/>
        </w:rPr>
        <w:t>ility of</w:t>
      </w:r>
      <w:r w:rsidR="009C1A03" w:rsidRPr="00EC1BAD">
        <w:rPr>
          <w:sz w:val="24"/>
        </w:rPr>
        <w:t xml:space="preserve"> hospital donation performance data, and data relating to the profile and numbers of patients on transplantation waiting lists.</w:t>
      </w:r>
    </w:p>
    <w:p w14:paraId="22FF3279" w14:textId="43CB55A1" w:rsidR="00DB4992" w:rsidRDefault="00DB4992" w:rsidP="009C0B9B">
      <w:pPr>
        <w:rPr>
          <w:sz w:val="24"/>
        </w:rPr>
      </w:pPr>
      <w:r>
        <w:rPr>
          <w:sz w:val="24"/>
        </w:rPr>
        <w:t>OTA will continue to enhance horizon scanning and monitoring of health sector developments potentially impacting on deceased donor organ transplantation. This will include monitoring of living donor kidney programs and the Australian and New Zealand Paired Kidney Exchange Program.</w:t>
      </w:r>
    </w:p>
    <w:p w14:paraId="6EDE1798" w14:textId="4B3F62FF" w:rsidR="00872956" w:rsidRPr="00BB2E8D" w:rsidRDefault="009C0B9B" w:rsidP="00BB2E8D">
      <w:pPr>
        <w:pStyle w:val="Heading2"/>
      </w:pPr>
      <w:bookmarkStart w:id="42" w:name="_Toc51921138"/>
      <w:bookmarkStart w:id="43" w:name="_Toc102482527"/>
      <w:r w:rsidRPr="001612E9">
        <w:rPr>
          <w:sz w:val="28"/>
          <w:szCs w:val="28"/>
        </w:rPr>
        <w:t>GOAL: Optimise functionality and use of transplantation outcome registries to inform policy and program design</w:t>
      </w:r>
      <w:bookmarkEnd w:id="42"/>
      <w:bookmarkEnd w:id="43"/>
    </w:p>
    <w:p w14:paraId="1D11AE48" w14:textId="7A998707" w:rsidR="009C0B9B" w:rsidRPr="004D4D6E" w:rsidRDefault="009C0B9B" w:rsidP="009C0B9B">
      <w:pPr>
        <w:rPr>
          <w:sz w:val="24"/>
        </w:rPr>
      </w:pPr>
      <w:r w:rsidRPr="00D05DB5">
        <w:rPr>
          <w:sz w:val="24"/>
        </w:rPr>
        <w:t xml:space="preserve">Comprehensive and robust national patient outcome registries exist for all </w:t>
      </w:r>
      <w:r>
        <w:rPr>
          <w:sz w:val="24"/>
        </w:rPr>
        <w:t xml:space="preserve">transplanted </w:t>
      </w:r>
      <w:r w:rsidRPr="00D05DB5">
        <w:rPr>
          <w:sz w:val="24"/>
        </w:rPr>
        <w:t xml:space="preserve">organs. </w:t>
      </w:r>
      <w:r>
        <w:rPr>
          <w:sz w:val="24"/>
        </w:rPr>
        <w:t xml:space="preserve">Outcome registries play a valuable role collecting, analysing and reporting on donation and transplantation </w:t>
      </w:r>
      <w:r w:rsidRPr="00D05DB5">
        <w:rPr>
          <w:sz w:val="24"/>
        </w:rPr>
        <w:t>data</w:t>
      </w:r>
      <w:r>
        <w:rPr>
          <w:sz w:val="24"/>
        </w:rPr>
        <w:t>,</w:t>
      </w:r>
      <w:r w:rsidRPr="00D05DB5">
        <w:rPr>
          <w:sz w:val="24"/>
        </w:rPr>
        <w:t xml:space="preserve"> inform</w:t>
      </w:r>
      <w:r>
        <w:rPr>
          <w:sz w:val="24"/>
        </w:rPr>
        <w:t xml:space="preserve">ing clinical best practice, future </w:t>
      </w:r>
      <w:r w:rsidRPr="00D05DB5">
        <w:rPr>
          <w:sz w:val="24"/>
        </w:rPr>
        <w:t xml:space="preserve">policies and </w:t>
      </w:r>
      <w:r w:rsidRPr="004D4D6E">
        <w:rPr>
          <w:sz w:val="24"/>
        </w:rPr>
        <w:t xml:space="preserve">program development. The Review Report highlights areas for improvement, including additional data capture, and streamlining of data submission processes. </w:t>
      </w:r>
    </w:p>
    <w:p w14:paraId="4A57CC82" w14:textId="4A18021A" w:rsidR="007E23BD" w:rsidRPr="00DB0B1A" w:rsidRDefault="007E23BD" w:rsidP="007E23BD">
      <w:pPr>
        <w:rPr>
          <w:sz w:val="24"/>
        </w:rPr>
      </w:pPr>
      <w:r w:rsidRPr="00DB0B1A">
        <w:rPr>
          <w:sz w:val="24"/>
        </w:rPr>
        <w:t xml:space="preserve">All governments agree to review existing registries </w:t>
      </w:r>
      <w:r w:rsidR="00196C44">
        <w:rPr>
          <w:sz w:val="24"/>
        </w:rPr>
        <w:t>to consider how best</w:t>
      </w:r>
      <w:r w:rsidRPr="00DB0B1A">
        <w:rPr>
          <w:sz w:val="24"/>
        </w:rPr>
        <w:t xml:space="preserve"> to enhance data capture and reporting capabilities. </w:t>
      </w:r>
      <w:r w:rsidR="007C7225" w:rsidRPr="00EC1BAD">
        <w:rPr>
          <w:sz w:val="24"/>
        </w:rPr>
        <w:t xml:space="preserve">This may include considering the value of additional data being captured by registries.  </w:t>
      </w:r>
    </w:p>
    <w:p w14:paraId="254D7497" w14:textId="630A0967" w:rsidR="007808C5" w:rsidRDefault="009C0B9B">
      <w:pPr>
        <w:rPr>
          <w:rFonts w:asciiTheme="majorHAnsi" w:eastAsiaTheme="majorEastAsia" w:hAnsiTheme="majorHAnsi" w:cstheme="majorBidi"/>
          <w:color w:val="006666"/>
          <w:sz w:val="36"/>
          <w:szCs w:val="36"/>
          <w:lang w:eastAsia="en-AU"/>
        </w:rPr>
      </w:pPr>
      <w:r w:rsidRPr="001612E9">
        <w:rPr>
          <w:sz w:val="24"/>
        </w:rPr>
        <w:t xml:space="preserve">In the longer term, governments will consider the value of consolidation of all transplant outcome registries into one central registry. Any decision will </w:t>
      </w:r>
      <w:proofErr w:type="gramStart"/>
      <w:r w:rsidRPr="001612E9">
        <w:rPr>
          <w:sz w:val="24"/>
        </w:rPr>
        <w:t>take into account</w:t>
      </w:r>
      <w:proofErr w:type="gramEnd"/>
      <w:r w:rsidRPr="001612E9">
        <w:rPr>
          <w:sz w:val="24"/>
        </w:rPr>
        <w:t xml:space="preserve"> the Commonwealth’s Clinical Quality Registry Strategy. </w:t>
      </w:r>
      <w:bookmarkStart w:id="44" w:name="_Toc51921139"/>
      <w:bookmarkStart w:id="45" w:name="_Toc33443121"/>
    </w:p>
    <w:p w14:paraId="277E84C5" w14:textId="77777777" w:rsidR="009C0B9B" w:rsidRDefault="009C0B9B" w:rsidP="009C0B9B">
      <w:pPr>
        <w:pStyle w:val="Heading1"/>
        <w:rPr>
          <w:lang w:eastAsia="en-AU"/>
        </w:rPr>
      </w:pPr>
      <w:bookmarkStart w:id="46" w:name="_Toc102482528"/>
      <w:r w:rsidRPr="001612E9">
        <w:rPr>
          <w:lang w:eastAsia="en-AU"/>
        </w:rPr>
        <w:lastRenderedPageBreak/>
        <w:t>NEXT STEPS</w:t>
      </w:r>
      <w:bookmarkEnd w:id="44"/>
      <w:bookmarkEnd w:id="46"/>
    </w:p>
    <w:p w14:paraId="3BB85115" w14:textId="77777777" w:rsidR="007C7225" w:rsidRDefault="007C7225" w:rsidP="007C7225">
      <w:pPr>
        <w:pStyle w:val="Heading2"/>
        <w:rPr>
          <w:lang w:eastAsia="en-AU"/>
        </w:rPr>
      </w:pPr>
      <w:bookmarkStart w:id="47" w:name="_Toc102482529"/>
      <w:r>
        <w:rPr>
          <w:lang w:eastAsia="en-AU"/>
        </w:rPr>
        <w:t>Delivering the Strategy</w:t>
      </w:r>
      <w:bookmarkEnd w:id="47"/>
    </w:p>
    <w:p w14:paraId="290B7277" w14:textId="77777777" w:rsidR="007C7225" w:rsidRPr="009A3B85" w:rsidRDefault="007C7225" w:rsidP="007C7225">
      <w:pPr>
        <w:rPr>
          <w:sz w:val="24"/>
          <w:szCs w:val="24"/>
          <w:lang w:eastAsia="en-AU"/>
        </w:rPr>
      </w:pPr>
      <w:r w:rsidRPr="009A3B85">
        <w:rPr>
          <w:sz w:val="24"/>
          <w:szCs w:val="24"/>
          <w:lang w:eastAsia="en-AU"/>
        </w:rPr>
        <w:t>All governments are committed to the goals and priority action areas set out in the Strategy, and these will form the basis of future actions to support improvements in the sector.</w:t>
      </w:r>
    </w:p>
    <w:bookmarkEnd w:id="45"/>
    <w:p w14:paraId="3732FEEC" w14:textId="0D0476EE" w:rsidR="001331C6" w:rsidRDefault="00F8308B" w:rsidP="00DA4E7D">
      <w:pPr>
        <w:rPr>
          <w:sz w:val="24"/>
          <w:szCs w:val="24"/>
        </w:rPr>
      </w:pPr>
      <w:r>
        <w:rPr>
          <w:rFonts w:cstheme="minorHAnsi"/>
          <w:sz w:val="24"/>
          <w:szCs w:val="24"/>
        </w:rPr>
        <w:t xml:space="preserve">Early implementation of actions to support the Strategy is already underway through the </w:t>
      </w:r>
      <w:r w:rsidR="00FB4263">
        <w:rPr>
          <w:rFonts w:cstheme="minorHAnsi"/>
          <w:sz w:val="24"/>
          <w:szCs w:val="24"/>
        </w:rPr>
        <w:t>Transition</w:t>
      </w:r>
      <w:r w:rsidR="007C7225">
        <w:rPr>
          <w:rFonts w:cstheme="minorHAnsi"/>
          <w:sz w:val="24"/>
          <w:szCs w:val="24"/>
        </w:rPr>
        <w:t xml:space="preserve"> </w:t>
      </w:r>
      <w:r>
        <w:rPr>
          <w:rFonts w:cstheme="minorHAnsi"/>
          <w:sz w:val="24"/>
          <w:szCs w:val="24"/>
        </w:rPr>
        <w:t>A</w:t>
      </w:r>
      <w:r w:rsidR="007C7225">
        <w:rPr>
          <w:rFonts w:cstheme="minorHAnsi"/>
          <w:sz w:val="24"/>
          <w:szCs w:val="24"/>
        </w:rPr>
        <w:t xml:space="preserve">ction </w:t>
      </w:r>
      <w:r>
        <w:rPr>
          <w:rFonts w:cstheme="minorHAnsi"/>
          <w:sz w:val="24"/>
          <w:szCs w:val="24"/>
        </w:rPr>
        <w:t>P</w:t>
      </w:r>
      <w:r w:rsidR="007C7225">
        <w:rPr>
          <w:rFonts w:cstheme="minorHAnsi"/>
          <w:sz w:val="24"/>
          <w:szCs w:val="24"/>
        </w:rPr>
        <w:t>lan</w:t>
      </w:r>
      <w:r>
        <w:rPr>
          <w:rFonts w:cstheme="minorHAnsi"/>
          <w:sz w:val="24"/>
          <w:szCs w:val="24"/>
        </w:rPr>
        <w:t xml:space="preserve">. </w:t>
      </w:r>
      <w:r w:rsidR="00DA4E7D">
        <w:rPr>
          <w:rFonts w:cstheme="minorHAnsi"/>
          <w:sz w:val="24"/>
          <w:szCs w:val="24"/>
        </w:rPr>
        <w:t>Progression of actions in t</w:t>
      </w:r>
      <w:r w:rsidR="00DA4E7D" w:rsidRPr="001612E9">
        <w:rPr>
          <w:rFonts w:cstheme="minorHAnsi"/>
          <w:sz w:val="24"/>
          <w:szCs w:val="24"/>
        </w:rPr>
        <w:t xml:space="preserve">he </w:t>
      </w:r>
      <w:r w:rsidR="00FB4263">
        <w:rPr>
          <w:rFonts w:cstheme="minorHAnsi"/>
          <w:sz w:val="24"/>
          <w:szCs w:val="24"/>
        </w:rPr>
        <w:t>Transition Action Plan</w:t>
      </w:r>
      <w:r w:rsidR="00DA4E7D" w:rsidRPr="00AA7985">
        <w:rPr>
          <w:rFonts w:cstheme="minorHAnsi"/>
          <w:sz w:val="24"/>
          <w:szCs w:val="24"/>
        </w:rPr>
        <w:t xml:space="preserve"> will deliver enhancements across the eye</w:t>
      </w:r>
      <w:r w:rsidR="00DA4E7D">
        <w:rPr>
          <w:rFonts w:cstheme="minorHAnsi"/>
          <w:sz w:val="24"/>
          <w:szCs w:val="24"/>
        </w:rPr>
        <w:t xml:space="preserve"> and </w:t>
      </w:r>
      <w:r w:rsidR="00DA4E7D" w:rsidRPr="00AA7985">
        <w:rPr>
          <w:rFonts w:cstheme="minorHAnsi"/>
          <w:sz w:val="24"/>
          <w:szCs w:val="24"/>
        </w:rPr>
        <w:t>tissue</w:t>
      </w:r>
      <w:r w:rsidR="00DA4E7D">
        <w:rPr>
          <w:rFonts w:cstheme="minorHAnsi"/>
          <w:sz w:val="24"/>
          <w:szCs w:val="24"/>
        </w:rPr>
        <w:t xml:space="preserve"> donation and organ </w:t>
      </w:r>
      <w:r w:rsidR="00DA4E7D" w:rsidRPr="00AA7985">
        <w:rPr>
          <w:rFonts w:cstheme="minorHAnsi"/>
          <w:sz w:val="24"/>
          <w:szCs w:val="24"/>
        </w:rPr>
        <w:t xml:space="preserve">retrieval and transplantation </w:t>
      </w:r>
      <w:proofErr w:type="gramStart"/>
      <w:r w:rsidR="00DA4E7D">
        <w:rPr>
          <w:rFonts w:cstheme="minorHAnsi"/>
          <w:sz w:val="24"/>
          <w:szCs w:val="24"/>
        </w:rPr>
        <w:t>sector</w:t>
      </w:r>
      <w:r w:rsidR="001331C6">
        <w:rPr>
          <w:rFonts w:cstheme="minorHAnsi"/>
          <w:sz w:val="24"/>
          <w:szCs w:val="24"/>
        </w:rPr>
        <w:t>s</w:t>
      </w:r>
      <w:r w:rsidR="00DA4E7D">
        <w:rPr>
          <w:rFonts w:cstheme="minorHAnsi"/>
          <w:sz w:val="24"/>
          <w:szCs w:val="24"/>
        </w:rPr>
        <w:t xml:space="preserve">, </w:t>
      </w:r>
      <w:r w:rsidR="00DA4E7D" w:rsidRPr="00AA7985">
        <w:rPr>
          <w:rFonts w:cstheme="minorHAnsi"/>
          <w:sz w:val="24"/>
          <w:szCs w:val="24"/>
        </w:rPr>
        <w:t>and</w:t>
      </w:r>
      <w:proofErr w:type="gramEnd"/>
      <w:r w:rsidR="001331C6">
        <w:rPr>
          <w:rFonts w:cstheme="minorHAnsi"/>
          <w:sz w:val="24"/>
          <w:szCs w:val="24"/>
        </w:rPr>
        <w:t xml:space="preserve"> underpin and</w:t>
      </w:r>
      <w:r w:rsidR="00DA4E7D" w:rsidRPr="00AA7985">
        <w:rPr>
          <w:rFonts w:cstheme="minorHAnsi"/>
          <w:sz w:val="24"/>
          <w:szCs w:val="24"/>
        </w:rPr>
        <w:t xml:space="preserve"> inform implementation of the Strategy.</w:t>
      </w:r>
    </w:p>
    <w:p w14:paraId="3A6A6659" w14:textId="77777777" w:rsidR="001331C6" w:rsidRDefault="001331C6" w:rsidP="00DA4E7D">
      <w:pPr>
        <w:rPr>
          <w:rFonts w:cstheme="minorHAnsi"/>
          <w:sz w:val="24"/>
          <w:szCs w:val="24"/>
        </w:rPr>
      </w:pPr>
      <w:r w:rsidRPr="00EC1BAD">
        <w:rPr>
          <w:rFonts w:cstheme="minorHAnsi"/>
          <w:sz w:val="24"/>
          <w:szCs w:val="24"/>
        </w:rPr>
        <w:t xml:space="preserve">Following Health Ministers’ agreement to the </w:t>
      </w:r>
      <w:r w:rsidR="004D1F78">
        <w:rPr>
          <w:rFonts w:cstheme="minorHAnsi"/>
          <w:sz w:val="24"/>
          <w:szCs w:val="24"/>
        </w:rPr>
        <w:t xml:space="preserve">final </w:t>
      </w:r>
      <w:r w:rsidRPr="00EC1BAD">
        <w:rPr>
          <w:rFonts w:cstheme="minorHAnsi"/>
          <w:sz w:val="24"/>
          <w:szCs w:val="24"/>
        </w:rPr>
        <w:t xml:space="preserve">Strategy, all governments will continue to collaborate on a detailed Implementation Plan to deliver actions against each of the goals. This will include a staged approach to implementation based on feasibility, available resourcing and agreed prioritisation. A staged approach will also allow for learnings from actions to be incorporated iteratively into future planning and for priorities to be adjusted based on the most recent data. This will mean the Implementation Plan will be a living document that is reviewed regularly. </w:t>
      </w:r>
    </w:p>
    <w:p w14:paraId="1EE52A2B" w14:textId="77777777" w:rsidR="00DA4E7D" w:rsidRDefault="00DA4E7D" w:rsidP="00DA4E7D">
      <w:pPr>
        <w:rPr>
          <w:sz w:val="24"/>
          <w:szCs w:val="24"/>
          <w:lang w:eastAsia="en-AU"/>
        </w:rPr>
      </w:pPr>
      <w:r w:rsidRPr="002E1063">
        <w:rPr>
          <w:sz w:val="24"/>
        </w:rPr>
        <w:t>Key actions from this Strategy and those arising from the Eye and Tissue Framework will be</w:t>
      </w:r>
      <w:r>
        <w:rPr>
          <w:sz w:val="24"/>
        </w:rPr>
        <w:t xml:space="preserve"> </w:t>
      </w:r>
      <w:r w:rsidRPr="002E1063">
        <w:rPr>
          <w:sz w:val="24"/>
        </w:rPr>
        <w:t xml:space="preserve">aligned to ensure </w:t>
      </w:r>
      <w:r w:rsidR="004A7395">
        <w:rPr>
          <w:sz w:val="24"/>
        </w:rPr>
        <w:t>common issues and solutions</w:t>
      </w:r>
      <w:r w:rsidRPr="002E1063">
        <w:rPr>
          <w:sz w:val="24"/>
        </w:rPr>
        <w:t xml:space="preserve"> are captured for both sectors. </w:t>
      </w:r>
      <w:r w:rsidR="004A7395">
        <w:rPr>
          <w:sz w:val="24"/>
        </w:rPr>
        <w:t>C</w:t>
      </w:r>
      <w:r w:rsidRPr="0082213B">
        <w:rPr>
          <w:sz w:val="24"/>
        </w:rPr>
        <w:t>ommunity and clinical stakeholder</w:t>
      </w:r>
      <w:r>
        <w:rPr>
          <w:sz w:val="24"/>
        </w:rPr>
        <w:t xml:space="preserve"> cons</w:t>
      </w:r>
      <w:r w:rsidR="00366DA4">
        <w:rPr>
          <w:sz w:val="24"/>
        </w:rPr>
        <w:t>ult</w:t>
      </w:r>
      <w:r>
        <w:rPr>
          <w:sz w:val="24"/>
        </w:rPr>
        <w:t>ation is critical to the process</w:t>
      </w:r>
      <w:r w:rsidR="001331C6">
        <w:rPr>
          <w:sz w:val="24"/>
        </w:rPr>
        <w:t>, both in determining prioritisation of actions and throughout delivery</w:t>
      </w:r>
      <w:r>
        <w:rPr>
          <w:sz w:val="24"/>
        </w:rPr>
        <w:t>.</w:t>
      </w:r>
      <w:r w:rsidRPr="001612E9">
        <w:rPr>
          <w:sz w:val="24"/>
          <w:szCs w:val="24"/>
          <w:lang w:eastAsia="en-AU"/>
        </w:rPr>
        <w:t xml:space="preserve"> </w:t>
      </w:r>
      <w:r w:rsidR="00672307">
        <w:rPr>
          <w:sz w:val="24"/>
          <w:szCs w:val="24"/>
          <w:lang w:eastAsia="en-AU"/>
        </w:rPr>
        <w:t xml:space="preserve">The approach to implementation will include clear mechanisms for engagement, such as expert advisory committees or other appropriate consultation structures identified by the sector. </w:t>
      </w:r>
    </w:p>
    <w:p w14:paraId="588F722F" w14:textId="35D92740" w:rsidR="006817C7" w:rsidRDefault="00DA4E7D" w:rsidP="00DA4E7D">
      <w:pPr>
        <w:rPr>
          <w:rStyle w:val="Hyperlink"/>
          <w:rFonts w:cstheme="minorHAnsi"/>
          <w:color w:val="auto"/>
          <w:sz w:val="24"/>
          <w:szCs w:val="24"/>
          <w:u w:val="none"/>
          <w:lang w:eastAsia="en-AU"/>
        </w:rPr>
      </w:pPr>
      <w:r>
        <w:rPr>
          <w:sz w:val="24"/>
          <w:szCs w:val="24"/>
        </w:rPr>
        <w:t>The I</w:t>
      </w:r>
      <w:r w:rsidRPr="001612E9">
        <w:rPr>
          <w:sz w:val="24"/>
          <w:szCs w:val="24"/>
        </w:rPr>
        <w:t xml:space="preserve">mplementation </w:t>
      </w:r>
      <w:r>
        <w:rPr>
          <w:sz w:val="24"/>
          <w:szCs w:val="24"/>
        </w:rPr>
        <w:t xml:space="preserve">Plan </w:t>
      </w:r>
      <w:r w:rsidRPr="001612E9">
        <w:rPr>
          <w:sz w:val="24"/>
          <w:szCs w:val="24"/>
        </w:rPr>
        <w:t xml:space="preserve">will </w:t>
      </w:r>
      <w:r>
        <w:rPr>
          <w:sz w:val="24"/>
          <w:szCs w:val="24"/>
        </w:rPr>
        <w:t>complement</w:t>
      </w:r>
      <w:r w:rsidRPr="001612E9">
        <w:rPr>
          <w:sz w:val="24"/>
          <w:szCs w:val="24"/>
        </w:rPr>
        <w:t xml:space="preserve"> and build on the </w:t>
      </w:r>
      <w:r w:rsidR="004D6595" w:rsidRPr="00EC1BAD">
        <w:rPr>
          <w:sz w:val="24"/>
          <w:szCs w:val="24"/>
        </w:rPr>
        <w:t xml:space="preserve">OTA’s </w:t>
      </w:r>
      <w:r w:rsidR="004D6595" w:rsidRPr="00EC1BAD">
        <w:rPr>
          <w:rFonts w:cstheme="minorHAnsi"/>
          <w:i/>
          <w:iCs/>
          <w:sz w:val="24"/>
          <w:lang w:eastAsia="en-AU"/>
        </w:rPr>
        <w:t xml:space="preserve">Progressing Australian organ and tissue donation and transplantation to </w:t>
      </w:r>
      <w:r w:rsidRPr="00AF207C">
        <w:rPr>
          <w:rFonts w:cstheme="minorHAnsi"/>
          <w:i/>
          <w:iCs/>
          <w:sz w:val="24"/>
          <w:szCs w:val="24"/>
          <w:lang w:val="en-US" w:eastAsia="en-AU"/>
        </w:rPr>
        <w:t>202</w:t>
      </w:r>
      <w:r w:rsidR="00FB4263">
        <w:rPr>
          <w:rFonts w:cstheme="minorHAnsi"/>
          <w:i/>
          <w:iCs/>
          <w:sz w:val="24"/>
          <w:szCs w:val="24"/>
          <w:lang w:val="en-US" w:eastAsia="en-AU"/>
        </w:rPr>
        <w:t>5</w:t>
      </w:r>
      <w:r w:rsidRPr="00AF207C">
        <w:rPr>
          <w:rFonts w:cstheme="minorHAnsi"/>
          <w:i/>
          <w:iCs/>
          <w:sz w:val="24"/>
          <w:szCs w:val="24"/>
          <w:lang w:val="en-US" w:eastAsia="en-AU"/>
        </w:rPr>
        <w:t xml:space="preserve"> Strategic Plan</w:t>
      </w:r>
      <w:r w:rsidRPr="002E1063">
        <w:rPr>
          <w:rFonts w:cstheme="minorHAnsi"/>
          <w:iCs/>
          <w:sz w:val="24"/>
          <w:szCs w:val="24"/>
          <w:lang w:val="en-US" w:eastAsia="en-AU"/>
        </w:rPr>
        <w:t xml:space="preserve">, which is delivered collaboratively by the OTA, the national DonateLife Network, and Commonwealth, </w:t>
      </w:r>
      <w:proofErr w:type="gramStart"/>
      <w:r w:rsidRPr="002E1063">
        <w:rPr>
          <w:rFonts w:cstheme="minorHAnsi"/>
          <w:iCs/>
          <w:sz w:val="24"/>
          <w:szCs w:val="24"/>
          <w:lang w:val="en-US" w:eastAsia="en-AU"/>
        </w:rPr>
        <w:t>state</w:t>
      </w:r>
      <w:proofErr w:type="gramEnd"/>
      <w:r w:rsidRPr="002E1063">
        <w:rPr>
          <w:rFonts w:cstheme="minorHAnsi"/>
          <w:iCs/>
          <w:sz w:val="24"/>
          <w:szCs w:val="24"/>
          <w:lang w:val="en-US" w:eastAsia="en-AU"/>
        </w:rPr>
        <w:t xml:space="preserve"> and territory health governments</w:t>
      </w:r>
      <w:r>
        <w:rPr>
          <w:rFonts w:cstheme="minorHAnsi"/>
          <w:iCs/>
          <w:sz w:val="24"/>
          <w:szCs w:val="24"/>
          <w:lang w:val="en-US" w:eastAsia="en-AU"/>
        </w:rPr>
        <w:t xml:space="preserve">. </w:t>
      </w:r>
      <w:r w:rsidR="00672307">
        <w:rPr>
          <w:rFonts w:cstheme="minorHAnsi"/>
          <w:iCs/>
          <w:sz w:val="24"/>
          <w:szCs w:val="24"/>
          <w:lang w:val="en-US" w:eastAsia="en-AU"/>
        </w:rPr>
        <w:t xml:space="preserve">Future Strategic Plans will include all relevant activities for organ donation, retrieval and transplantation, and the eye and tissue sector. </w:t>
      </w:r>
      <w:r w:rsidRPr="001612E9">
        <w:rPr>
          <w:rStyle w:val="Hyperlink"/>
          <w:rFonts w:cstheme="minorHAnsi"/>
          <w:color w:val="auto"/>
          <w:sz w:val="24"/>
          <w:szCs w:val="24"/>
          <w:u w:val="none"/>
          <w:lang w:eastAsia="en-AU"/>
        </w:rPr>
        <w:t>This approach will ensure the sector is guided by one plan into the future.</w:t>
      </w:r>
    </w:p>
    <w:p w14:paraId="121C689E" w14:textId="77777777" w:rsidR="004D6595" w:rsidRPr="00EC1BAD" w:rsidRDefault="004D6595" w:rsidP="004D6595">
      <w:pPr>
        <w:pStyle w:val="Heading2"/>
      </w:pPr>
      <w:bookmarkStart w:id="48" w:name="_Toc62127474"/>
      <w:bookmarkStart w:id="49" w:name="_Toc102482530"/>
      <w:r w:rsidRPr="00EC1BAD">
        <w:t>Measurement and accountability</w:t>
      </w:r>
      <w:bookmarkEnd w:id="48"/>
      <w:bookmarkEnd w:id="49"/>
      <w:r w:rsidRPr="00EC1BAD">
        <w:t xml:space="preserve"> </w:t>
      </w:r>
    </w:p>
    <w:p w14:paraId="66E62C52" w14:textId="77777777" w:rsidR="004D6595" w:rsidRPr="00EC1BAD" w:rsidRDefault="004D6595" w:rsidP="004D6595">
      <w:pPr>
        <w:rPr>
          <w:rStyle w:val="Hyperlink"/>
          <w:color w:val="auto"/>
          <w:sz w:val="24"/>
          <w:szCs w:val="24"/>
          <w:u w:val="none"/>
        </w:rPr>
      </w:pPr>
      <w:r w:rsidRPr="00EC1BAD">
        <w:rPr>
          <w:sz w:val="24"/>
          <w:szCs w:val="24"/>
        </w:rPr>
        <w:t xml:space="preserve">As Strategy implementation progresses, it will be critical to understand the impact of new activities or changes to existing arrangements. All governments are committed to measure, track and report on outcomes under the Strategy. Implementation planning will incorporate evaluation and research to demonstrate where policies, programs and systems are working well, and highlight where improvements are required or investments need to be refined or retargeted. </w:t>
      </w:r>
    </w:p>
    <w:p w14:paraId="273F251A" w14:textId="77777777" w:rsidR="004D6595" w:rsidRPr="00EC1BAD" w:rsidRDefault="004D6595" w:rsidP="004D6595">
      <w:pPr>
        <w:pStyle w:val="Heading2"/>
      </w:pPr>
      <w:bookmarkStart w:id="50" w:name="_Toc62127475"/>
      <w:bookmarkStart w:id="51" w:name="_Toc102482531"/>
      <w:r w:rsidRPr="00EC1BAD">
        <w:t>Roles and responsibilities</w:t>
      </w:r>
      <w:bookmarkEnd w:id="50"/>
      <w:bookmarkEnd w:id="51"/>
    </w:p>
    <w:p w14:paraId="3C7F0BB8" w14:textId="77777777" w:rsidR="004D6595" w:rsidRPr="00EC1BAD" w:rsidRDefault="004D6595" w:rsidP="004D6595">
      <w:pPr>
        <w:rPr>
          <w:sz w:val="24"/>
        </w:rPr>
      </w:pPr>
      <w:r w:rsidRPr="00EC1BAD">
        <w:rPr>
          <w:sz w:val="24"/>
        </w:rPr>
        <w:t xml:space="preserve">A key element of Strategy implementation will be to define and put in place ongoing governance arrangements to ensure a nationally consistent approach. In the interim, the Commonwealth Department of Health, working closely with the OTA, will continue to lead </w:t>
      </w:r>
      <w:r w:rsidRPr="00EC1BAD">
        <w:rPr>
          <w:sz w:val="24"/>
        </w:rPr>
        <w:lastRenderedPageBreak/>
        <w:t xml:space="preserve">implementation planning through jurisdictional committee arrangements. All jurisdictions and the Commonwealth will have a role to play in implementation. </w:t>
      </w:r>
    </w:p>
    <w:p w14:paraId="70F1714D" w14:textId="77777777" w:rsidR="004D6595" w:rsidRPr="00EC1BAD" w:rsidRDefault="004D6595" w:rsidP="004D6595">
      <w:pPr>
        <w:rPr>
          <w:sz w:val="24"/>
        </w:rPr>
      </w:pPr>
      <w:r w:rsidRPr="00EC1BAD">
        <w:rPr>
          <w:sz w:val="24"/>
        </w:rPr>
        <w:t xml:space="preserve">Some actions will be the responsibility of the Commonwealth to lead and fund, coordinated by either the Department of Health or OTA. Others will be driven and funded by states and territories through their health systems. The aim will be for a nationally consistent approach, though different arrangements and available resourcing may mean that there is some variation in both delivery and timing. </w:t>
      </w:r>
    </w:p>
    <w:p w14:paraId="7994808B" w14:textId="77777777" w:rsidR="004D6595" w:rsidRPr="00EC1BAD" w:rsidRDefault="004D6595" w:rsidP="004D6595">
      <w:pPr>
        <w:rPr>
          <w:sz w:val="24"/>
        </w:rPr>
      </w:pPr>
      <w:r w:rsidRPr="00EC1BAD">
        <w:rPr>
          <w:sz w:val="24"/>
        </w:rPr>
        <w:t xml:space="preserve">Some actions may require cost-shared funding with contributions from both the Commonwealth and jurisdictions. These will be delivered through discrete projects requiring agreement from all jurisdictions before implementation can progress. </w:t>
      </w:r>
    </w:p>
    <w:p w14:paraId="2FE1E87C" w14:textId="053C12F4" w:rsidR="00B14688" w:rsidRDefault="004D6595">
      <w:pPr>
        <w:rPr>
          <w:sz w:val="24"/>
        </w:rPr>
      </w:pPr>
      <w:r w:rsidRPr="00EC1BAD">
        <w:rPr>
          <w:sz w:val="24"/>
        </w:rPr>
        <w:t xml:space="preserve">To be effective, implementation planning will need to draw on the extensive expertise throughout the sector. This </w:t>
      </w:r>
      <w:r w:rsidR="004D1F78">
        <w:rPr>
          <w:sz w:val="24"/>
        </w:rPr>
        <w:t xml:space="preserve">will </w:t>
      </w:r>
      <w:r w:rsidRPr="00EC1BAD">
        <w:rPr>
          <w:sz w:val="24"/>
        </w:rPr>
        <w:t xml:space="preserve">involve </w:t>
      </w:r>
      <w:r w:rsidR="004D1F78">
        <w:rPr>
          <w:sz w:val="24"/>
        </w:rPr>
        <w:t xml:space="preserve">leveraging existing expert advisory committees and may involve </w:t>
      </w:r>
      <w:r w:rsidRPr="00EC1BAD">
        <w:rPr>
          <w:sz w:val="24"/>
        </w:rPr>
        <w:t xml:space="preserve">the establishment of </w:t>
      </w:r>
      <w:r w:rsidR="004D1F78">
        <w:rPr>
          <w:sz w:val="24"/>
        </w:rPr>
        <w:t xml:space="preserve">further </w:t>
      </w:r>
      <w:r w:rsidRPr="00EC1BAD">
        <w:rPr>
          <w:sz w:val="24"/>
        </w:rPr>
        <w:t>working groups or expert advisory committees wh</w:t>
      </w:r>
      <w:r w:rsidR="001144CA">
        <w:rPr>
          <w:sz w:val="24"/>
        </w:rPr>
        <w:t>ich</w:t>
      </w:r>
      <w:r w:rsidRPr="00EC1BAD">
        <w:rPr>
          <w:sz w:val="24"/>
        </w:rPr>
        <w:t xml:space="preserve"> can advise on barriers and enablers for implementation of key actions.</w:t>
      </w:r>
      <w:r>
        <w:rPr>
          <w:sz w:val="24"/>
        </w:rPr>
        <w:t xml:space="preserve"> </w:t>
      </w:r>
    </w:p>
    <w:p w14:paraId="27F2040F" w14:textId="5D1C54D9" w:rsidR="004D6595" w:rsidRDefault="00B14688" w:rsidP="00B14688">
      <w:pPr>
        <w:pStyle w:val="Heading1"/>
      </w:pPr>
      <w:bookmarkStart w:id="52" w:name="_Toc102482532"/>
      <w:r>
        <w:t xml:space="preserve">Attachment A – </w:t>
      </w:r>
      <w:r w:rsidR="00FB4263">
        <w:t>Transition</w:t>
      </w:r>
      <w:r>
        <w:t xml:space="preserve"> Action Plan</w:t>
      </w:r>
      <w:bookmarkEnd w:id="52"/>
    </w:p>
    <w:p w14:paraId="0C890402" w14:textId="61E69997" w:rsidR="00BC1DBD" w:rsidRPr="00BB2E8D" w:rsidRDefault="00B14688" w:rsidP="00DA4E7D">
      <w:pPr>
        <w:rPr>
          <w:i/>
          <w:sz w:val="24"/>
        </w:rPr>
      </w:pPr>
      <w:r>
        <w:rPr>
          <w:i/>
          <w:sz w:val="24"/>
        </w:rPr>
        <w:t xml:space="preserve">To be added following jurisdictional agreement. </w:t>
      </w:r>
    </w:p>
    <w:sectPr w:rsidR="00BC1DBD" w:rsidRPr="00BB2E8D" w:rsidSect="00903124">
      <w:footerReference w:type="default" r:id="rId12"/>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FD3A" w14:textId="77777777" w:rsidR="005E2BD1" w:rsidRDefault="005E2BD1" w:rsidP="0021336D">
      <w:pPr>
        <w:spacing w:after="0" w:line="240" w:lineRule="auto"/>
      </w:pPr>
      <w:r>
        <w:separator/>
      </w:r>
    </w:p>
  </w:endnote>
  <w:endnote w:type="continuationSeparator" w:id="0">
    <w:p w14:paraId="67A12931" w14:textId="77777777" w:rsidR="005E2BD1" w:rsidRDefault="005E2BD1" w:rsidP="0021336D">
      <w:pPr>
        <w:spacing w:after="0" w:line="240" w:lineRule="auto"/>
      </w:pPr>
      <w:r>
        <w:continuationSeparator/>
      </w:r>
    </w:p>
  </w:endnote>
  <w:endnote w:type="continuationNotice" w:id="1">
    <w:p w14:paraId="6238D01C" w14:textId="77777777" w:rsidR="005E2BD1" w:rsidRDefault="005E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23919"/>
      <w:docPartObj>
        <w:docPartGallery w:val="Page Numbers (Bottom of Page)"/>
        <w:docPartUnique/>
      </w:docPartObj>
    </w:sdtPr>
    <w:sdtEndPr>
      <w:rPr>
        <w:noProof/>
      </w:rPr>
    </w:sdtEndPr>
    <w:sdtContent>
      <w:p w14:paraId="5250009D" w14:textId="3B22E44E" w:rsidR="005E5746" w:rsidRDefault="005E5746" w:rsidP="00C40483">
        <w:pPr>
          <w:pStyle w:val="Footer"/>
          <w:tabs>
            <w:tab w:val="clear" w:pos="4513"/>
            <w:tab w:val="center" w:pos="6379"/>
          </w:tabs>
        </w:pPr>
        <w:r>
          <w:tab/>
        </w:r>
        <w:r>
          <w:tab/>
        </w:r>
      </w:p>
    </w:sdtContent>
  </w:sdt>
  <w:p w14:paraId="62345B67" w14:textId="77777777" w:rsidR="005E5746" w:rsidRDefault="005E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62489"/>
      <w:docPartObj>
        <w:docPartGallery w:val="Page Numbers (Bottom of Page)"/>
        <w:docPartUnique/>
      </w:docPartObj>
    </w:sdtPr>
    <w:sdtEndPr>
      <w:rPr>
        <w:noProof/>
      </w:rPr>
    </w:sdtEndPr>
    <w:sdtContent>
      <w:p w14:paraId="66C2BA11" w14:textId="0C6B031C" w:rsidR="005E5746" w:rsidRDefault="005E5746" w:rsidP="00C40483">
        <w:pPr>
          <w:pStyle w:val="Footer"/>
          <w:tabs>
            <w:tab w:val="clear" w:pos="4513"/>
            <w:tab w:val="center" w:pos="6379"/>
          </w:tabs>
        </w:pPr>
        <w:r>
          <w:t>National Strategy for Organ Donation, Retrieval and Transplantation</w:t>
        </w:r>
        <w:r>
          <w:tab/>
        </w:r>
        <w:r>
          <w:tab/>
        </w:r>
        <w:r>
          <w:fldChar w:fldCharType="begin"/>
        </w:r>
        <w:r>
          <w:instrText xml:space="preserve"> PAGE   \* MERGEFORMAT </w:instrText>
        </w:r>
        <w:r>
          <w:fldChar w:fldCharType="separate"/>
        </w:r>
        <w:r w:rsidR="00CF3EEF">
          <w:rPr>
            <w:noProof/>
          </w:rPr>
          <w:t>2</w:t>
        </w:r>
        <w:r>
          <w:rPr>
            <w:noProof/>
          </w:rPr>
          <w:fldChar w:fldCharType="end"/>
        </w:r>
      </w:p>
    </w:sdtContent>
  </w:sdt>
  <w:p w14:paraId="57690308" w14:textId="77777777" w:rsidR="005E5746" w:rsidRDefault="005E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A53C" w14:textId="77777777" w:rsidR="005E2BD1" w:rsidRDefault="005E2BD1" w:rsidP="0021336D">
      <w:pPr>
        <w:spacing w:after="0" w:line="240" w:lineRule="auto"/>
      </w:pPr>
      <w:r>
        <w:separator/>
      </w:r>
    </w:p>
  </w:footnote>
  <w:footnote w:type="continuationSeparator" w:id="0">
    <w:p w14:paraId="682E7E2A" w14:textId="77777777" w:rsidR="005E2BD1" w:rsidRDefault="005E2BD1" w:rsidP="0021336D">
      <w:pPr>
        <w:spacing w:after="0" w:line="240" w:lineRule="auto"/>
      </w:pPr>
      <w:r>
        <w:continuationSeparator/>
      </w:r>
    </w:p>
  </w:footnote>
  <w:footnote w:type="continuationNotice" w:id="1">
    <w:p w14:paraId="6BECDA06" w14:textId="77777777" w:rsidR="005E2BD1" w:rsidRDefault="005E2BD1">
      <w:pPr>
        <w:spacing w:after="0" w:line="240" w:lineRule="auto"/>
      </w:pPr>
    </w:p>
  </w:footnote>
  <w:footnote w:id="2">
    <w:p w14:paraId="0549AACE" w14:textId="77777777" w:rsidR="005E5746" w:rsidRPr="00EB63C4" w:rsidRDefault="005E5746" w:rsidP="00D06A29">
      <w:pPr>
        <w:pStyle w:val="Default"/>
        <w:rPr>
          <w:sz w:val="16"/>
          <w:szCs w:val="16"/>
        </w:rPr>
      </w:pPr>
      <w:r w:rsidRPr="00EB63C4">
        <w:rPr>
          <w:rStyle w:val="FootnoteReference"/>
          <w:sz w:val="16"/>
          <w:szCs w:val="16"/>
        </w:rPr>
        <w:footnoteRef/>
      </w:r>
      <w:r w:rsidRPr="00EB63C4">
        <w:rPr>
          <w:sz w:val="16"/>
          <w:szCs w:val="16"/>
        </w:rPr>
        <w:t xml:space="preserve"> </w:t>
      </w:r>
      <w:r>
        <w:rPr>
          <w:sz w:val="16"/>
          <w:szCs w:val="16"/>
        </w:rPr>
        <w:t xml:space="preserve">For example, </w:t>
      </w:r>
      <w:r w:rsidRPr="00EB63C4">
        <w:rPr>
          <w:sz w:val="16"/>
          <w:szCs w:val="16"/>
        </w:rPr>
        <w:t xml:space="preserve">Lawton P et al, 2017, ‘Organ Transplantation in Australia: Inequities in Access and Outcome for Indigenous Australians’ </w:t>
      </w:r>
      <w:r w:rsidRPr="00EB63C4">
        <w:rPr>
          <w:i/>
          <w:iCs/>
          <w:sz w:val="16"/>
          <w:szCs w:val="16"/>
        </w:rPr>
        <w:t>The Official Journal of the Transplantation Society and the International Liver Transplantation Society</w:t>
      </w:r>
      <w:r w:rsidRPr="00EB63C4">
        <w:rPr>
          <w:sz w:val="16"/>
          <w:szCs w:val="16"/>
        </w:rPr>
        <w:t>, Vol: 101 Issue: 11, pp. 345-346</w:t>
      </w:r>
      <w:r>
        <w:rPr>
          <w:sz w:val="16"/>
          <w:szCs w:val="16"/>
        </w:rPr>
        <w:t>;</w:t>
      </w:r>
      <w:r w:rsidRPr="00EB63C4">
        <w:rPr>
          <w:sz w:val="16"/>
          <w:szCs w:val="16"/>
        </w:rPr>
        <w:t xml:space="preserve"> </w:t>
      </w:r>
      <w:r>
        <w:rPr>
          <w:i/>
          <w:iCs/>
          <w:sz w:val="16"/>
          <w:szCs w:val="16"/>
        </w:rPr>
        <w:t xml:space="preserve">Organ transplant system tipped towards non-Indigenous patients, </w:t>
      </w:r>
      <w:r>
        <w:rPr>
          <w:sz w:val="16"/>
          <w:szCs w:val="16"/>
        </w:rPr>
        <w:t xml:space="preserve">2017, radio program, ABC Radio, Sydney 14 December 2017. </w:t>
      </w:r>
      <w:r>
        <w:t xml:space="preserve"> </w:t>
      </w:r>
    </w:p>
  </w:footnote>
  <w:footnote w:id="3">
    <w:p w14:paraId="45B87677" w14:textId="3CDC93BD" w:rsidR="005E5746" w:rsidRPr="006817C7" w:rsidRDefault="005E5746" w:rsidP="00D06A29">
      <w:pPr>
        <w:pStyle w:val="FootnoteText"/>
        <w:rPr>
          <w:lang w:val="en-AU"/>
        </w:rPr>
      </w:pPr>
      <w:r>
        <w:rPr>
          <w:rStyle w:val="FootnoteReference"/>
        </w:rPr>
        <w:footnoteRef/>
      </w:r>
      <w:r>
        <w:t xml:space="preserve"> </w:t>
      </w:r>
      <w:hyperlink r:id="rId1" w:history="1">
        <w:r w:rsidR="00BB2E8D">
          <w:rPr>
            <w:rStyle w:val="Hyperlink"/>
            <w:lang w:val="en-AU"/>
          </w:rPr>
          <w:t>PricewaterhouseCoopers Report: Analysis of the Australian tissue sector</w:t>
        </w:r>
      </w:hyperlink>
      <w:r>
        <w:rPr>
          <w:lang w:val="en-AU"/>
        </w:rPr>
        <w:t xml:space="preserve"> </w:t>
      </w:r>
      <w:r w:rsidRPr="004A5C24">
        <w:rPr>
          <w:lang w:val="en-AU"/>
        </w:rPr>
        <w:t xml:space="preserve"> </w:t>
      </w:r>
    </w:p>
  </w:footnote>
  <w:footnote w:id="4">
    <w:p w14:paraId="02986340" w14:textId="3AC4E7E4" w:rsidR="005E5746" w:rsidRPr="00E4713D" w:rsidRDefault="005E5746">
      <w:pPr>
        <w:pStyle w:val="FootnoteText"/>
        <w:rPr>
          <w:lang w:val="en-AU"/>
        </w:rPr>
      </w:pPr>
      <w:r>
        <w:rPr>
          <w:rStyle w:val="FootnoteReference"/>
        </w:rPr>
        <w:footnoteRef/>
      </w:r>
      <w:r>
        <w:t xml:space="preserve"> </w:t>
      </w:r>
      <w:hyperlink r:id="rId2" w:history="1">
        <w:r w:rsidR="00BB2E8D">
          <w:rPr>
            <w:rStyle w:val="Hyperlink"/>
            <w:lang w:val="en-AU"/>
          </w:rPr>
          <w:t xml:space="preserve">2020 Australian Donation and Transplantation Activity Report </w:t>
        </w:r>
      </w:hyperlink>
      <w:r>
        <w:rPr>
          <w:lang w:val="en-AU"/>
        </w:rPr>
        <w:t xml:space="preserve"> </w:t>
      </w:r>
    </w:p>
  </w:footnote>
  <w:footnote w:id="5">
    <w:p w14:paraId="49F1580B" w14:textId="77777777" w:rsidR="005E5746" w:rsidRDefault="005E5746" w:rsidP="009C0B9B">
      <w:pPr>
        <w:pStyle w:val="FootnoteText"/>
      </w:pPr>
    </w:p>
    <w:p w14:paraId="3E1B2A0F" w14:textId="2710C8BA" w:rsidR="005E5746" w:rsidRPr="007A7010" w:rsidRDefault="005E5746" w:rsidP="009C0B9B">
      <w:pPr>
        <w:pStyle w:val="FootnoteText"/>
        <w:rPr>
          <w:lang w:val="en-AU"/>
        </w:rPr>
      </w:pPr>
      <w:r>
        <w:rPr>
          <w:rStyle w:val="FootnoteReference"/>
        </w:rPr>
        <w:footnoteRef/>
      </w:r>
      <w:r>
        <w:t xml:space="preserve"> </w:t>
      </w:r>
      <w:r>
        <w:rPr>
          <w:lang w:val="en-AU"/>
        </w:rPr>
        <w:t xml:space="preserve">K. Dole, A. </w:t>
      </w:r>
      <w:proofErr w:type="spellStart"/>
      <w:r>
        <w:rPr>
          <w:lang w:val="en-AU"/>
        </w:rPr>
        <w:t>Casilli</w:t>
      </w:r>
      <w:proofErr w:type="spellEnd"/>
      <w:r>
        <w:rPr>
          <w:lang w:val="en-AU"/>
        </w:rPr>
        <w:t xml:space="preserve">, N. Tinsley, J. Collett, S.W. </w:t>
      </w:r>
      <w:proofErr w:type="spellStart"/>
      <w:r>
        <w:rPr>
          <w:lang w:val="en-AU"/>
        </w:rPr>
        <w:t>Majoni</w:t>
      </w:r>
      <w:proofErr w:type="spellEnd"/>
      <w:r>
        <w:rPr>
          <w:lang w:val="en-AU"/>
        </w:rPr>
        <w:t xml:space="preserve">, Improving access to renal transplantation among Indigenous patients with end-stage renal disease: A review from the Top End of Northern Australia where graft and patient outcomes have generally been poor, </w:t>
      </w:r>
      <w:r w:rsidRPr="005E270E">
        <w:rPr>
          <w:i/>
          <w:lang w:val="en-AU"/>
        </w:rPr>
        <w:t>Transplant Journal of Australasia</w:t>
      </w:r>
      <w:r>
        <w:rPr>
          <w:lang w:val="en-AU"/>
        </w:rPr>
        <w:t>, 27:1, 2018, pp. 14-22.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50E"/>
    <w:multiLevelType w:val="hybridMultilevel"/>
    <w:tmpl w:val="AB88EF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C04EC"/>
    <w:multiLevelType w:val="hybridMultilevel"/>
    <w:tmpl w:val="01CAE67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413ACA"/>
    <w:multiLevelType w:val="hybridMultilevel"/>
    <w:tmpl w:val="37F8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E6967"/>
    <w:multiLevelType w:val="hybridMultilevel"/>
    <w:tmpl w:val="BDCE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C6400"/>
    <w:multiLevelType w:val="hybridMultilevel"/>
    <w:tmpl w:val="2D546E6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D4221F"/>
    <w:multiLevelType w:val="hybridMultilevel"/>
    <w:tmpl w:val="DFF8A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DC63DA"/>
    <w:multiLevelType w:val="hybridMultilevel"/>
    <w:tmpl w:val="76A2C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1324C4"/>
    <w:multiLevelType w:val="hybridMultilevel"/>
    <w:tmpl w:val="4D66D3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119FF"/>
    <w:multiLevelType w:val="hybridMultilevel"/>
    <w:tmpl w:val="2AC63AD0"/>
    <w:lvl w:ilvl="0" w:tplc="8110E04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42EF5"/>
    <w:multiLevelType w:val="hybridMultilevel"/>
    <w:tmpl w:val="4EB29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916A0A"/>
    <w:multiLevelType w:val="hybridMultilevel"/>
    <w:tmpl w:val="DAA0E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8612BB"/>
    <w:multiLevelType w:val="hybridMultilevel"/>
    <w:tmpl w:val="2D4E98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7A72B2"/>
    <w:multiLevelType w:val="hybridMultilevel"/>
    <w:tmpl w:val="E662E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F44345"/>
    <w:multiLevelType w:val="hybridMultilevel"/>
    <w:tmpl w:val="BE100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2"/>
  </w:num>
  <w:num w:numId="5">
    <w:abstractNumId w:val="2"/>
  </w:num>
  <w:num w:numId="6">
    <w:abstractNumId w:val="1"/>
  </w:num>
  <w:num w:numId="7">
    <w:abstractNumId w:val="0"/>
  </w:num>
  <w:num w:numId="8">
    <w:abstractNumId w:val="11"/>
  </w:num>
  <w:num w:numId="9">
    <w:abstractNumId w:val="4"/>
  </w:num>
  <w:num w:numId="10">
    <w:abstractNumId w:val="13"/>
  </w:num>
  <w:num w:numId="11">
    <w:abstractNumId w:val="3"/>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6D"/>
    <w:rsid w:val="00000802"/>
    <w:rsid w:val="000020B6"/>
    <w:rsid w:val="00003489"/>
    <w:rsid w:val="000044B8"/>
    <w:rsid w:val="000073E4"/>
    <w:rsid w:val="00010EDC"/>
    <w:rsid w:val="00011644"/>
    <w:rsid w:val="00012EA2"/>
    <w:rsid w:val="00015ECB"/>
    <w:rsid w:val="0002060D"/>
    <w:rsid w:val="00022740"/>
    <w:rsid w:val="0002352A"/>
    <w:rsid w:val="00024D59"/>
    <w:rsid w:val="00025050"/>
    <w:rsid w:val="000322D8"/>
    <w:rsid w:val="000344BD"/>
    <w:rsid w:val="00035FCA"/>
    <w:rsid w:val="00037357"/>
    <w:rsid w:val="00041795"/>
    <w:rsid w:val="000437F1"/>
    <w:rsid w:val="000478D5"/>
    <w:rsid w:val="00053105"/>
    <w:rsid w:val="00053742"/>
    <w:rsid w:val="00053B4A"/>
    <w:rsid w:val="00053C97"/>
    <w:rsid w:val="000574B5"/>
    <w:rsid w:val="00061391"/>
    <w:rsid w:val="00073A68"/>
    <w:rsid w:val="000765A4"/>
    <w:rsid w:val="00086164"/>
    <w:rsid w:val="0008666C"/>
    <w:rsid w:val="00090E96"/>
    <w:rsid w:val="00092517"/>
    <w:rsid w:val="0009289E"/>
    <w:rsid w:val="00095489"/>
    <w:rsid w:val="00095902"/>
    <w:rsid w:val="00095C56"/>
    <w:rsid w:val="000975B0"/>
    <w:rsid w:val="0009782A"/>
    <w:rsid w:val="000A09E3"/>
    <w:rsid w:val="000A3D1D"/>
    <w:rsid w:val="000A3E8D"/>
    <w:rsid w:val="000A4FCA"/>
    <w:rsid w:val="000A58E1"/>
    <w:rsid w:val="000A7205"/>
    <w:rsid w:val="000A7762"/>
    <w:rsid w:val="000B37D7"/>
    <w:rsid w:val="000B72A2"/>
    <w:rsid w:val="000C336F"/>
    <w:rsid w:val="000C3C71"/>
    <w:rsid w:val="000C779F"/>
    <w:rsid w:val="000C77AC"/>
    <w:rsid w:val="000D471E"/>
    <w:rsid w:val="000D5A8D"/>
    <w:rsid w:val="000E5AFE"/>
    <w:rsid w:val="000E681F"/>
    <w:rsid w:val="000E71E5"/>
    <w:rsid w:val="000F318F"/>
    <w:rsid w:val="000F3349"/>
    <w:rsid w:val="000F71C9"/>
    <w:rsid w:val="00101E27"/>
    <w:rsid w:val="00107966"/>
    <w:rsid w:val="00107972"/>
    <w:rsid w:val="00110625"/>
    <w:rsid w:val="00110C8D"/>
    <w:rsid w:val="001110F1"/>
    <w:rsid w:val="00113B07"/>
    <w:rsid w:val="001144CA"/>
    <w:rsid w:val="00117CD1"/>
    <w:rsid w:val="00117F1E"/>
    <w:rsid w:val="0012048F"/>
    <w:rsid w:val="001270DE"/>
    <w:rsid w:val="00127E0E"/>
    <w:rsid w:val="001308D9"/>
    <w:rsid w:val="001331C6"/>
    <w:rsid w:val="0013393C"/>
    <w:rsid w:val="0014148F"/>
    <w:rsid w:val="001426EA"/>
    <w:rsid w:val="00144C7E"/>
    <w:rsid w:val="00144FFF"/>
    <w:rsid w:val="00145171"/>
    <w:rsid w:val="00145856"/>
    <w:rsid w:val="00145A27"/>
    <w:rsid w:val="00157ECE"/>
    <w:rsid w:val="001612E9"/>
    <w:rsid w:val="001717E6"/>
    <w:rsid w:val="00173973"/>
    <w:rsid w:val="0017591D"/>
    <w:rsid w:val="00175A20"/>
    <w:rsid w:val="0017734F"/>
    <w:rsid w:val="00180E7A"/>
    <w:rsid w:val="00182248"/>
    <w:rsid w:val="00183194"/>
    <w:rsid w:val="00185C17"/>
    <w:rsid w:val="00187B68"/>
    <w:rsid w:val="00193A0D"/>
    <w:rsid w:val="00196C44"/>
    <w:rsid w:val="001A6585"/>
    <w:rsid w:val="001B20ED"/>
    <w:rsid w:val="001B6968"/>
    <w:rsid w:val="001B6FA0"/>
    <w:rsid w:val="001C0ED6"/>
    <w:rsid w:val="001C2D14"/>
    <w:rsid w:val="001C344B"/>
    <w:rsid w:val="001C4764"/>
    <w:rsid w:val="001C64C4"/>
    <w:rsid w:val="001D4D10"/>
    <w:rsid w:val="001F2FF0"/>
    <w:rsid w:val="001F35F3"/>
    <w:rsid w:val="00200EB7"/>
    <w:rsid w:val="00204583"/>
    <w:rsid w:val="00206359"/>
    <w:rsid w:val="0021017D"/>
    <w:rsid w:val="0021336D"/>
    <w:rsid w:val="002179D3"/>
    <w:rsid w:val="00227D9E"/>
    <w:rsid w:val="00231813"/>
    <w:rsid w:val="00234619"/>
    <w:rsid w:val="00236FBD"/>
    <w:rsid w:val="0023778F"/>
    <w:rsid w:val="00240144"/>
    <w:rsid w:val="002402F8"/>
    <w:rsid w:val="002441E6"/>
    <w:rsid w:val="00245977"/>
    <w:rsid w:val="00246C35"/>
    <w:rsid w:val="00252254"/>
    <w:rsid w:val="002525E3"/>
    <w:rsid w:val="00254AC5"/>
    <w:rsid w:val="00255682"/>
    <w:rsid w:val="00255740"/>
    <w:rsid w:val="00257EF5"/>
    <w:rsid w:val="00262802"/>
    <w:rsid w:val="00265A3C"/>
    <w:rsid w:val="00276501"/>
    <w:rsid w:val="00280050"/>
    <w:rsid w:val="00281164"/>
    <w:rsid w:val="00284674"/>
    <w:rsid w:val="00292993"/>
    <w:rsid w:val="002934BC"/>
    <w:rsid w:val="00295358"/>
    <w:rsid w:val="002A2CD1"/>
    <w:rsid w:val="002B1394"/>
    <w:rsid w:val="002B50DB"/>
    <w:rsid w:val="002B7AF2"/>
    <w:rsid w:val="002C05A3"/>
    <w:rsid w:val="002C4DB2"/>
    <w:rsid w:val="002C5C4D"/>
    <w:rsid w:val="002D4041"/>
    <w:rsid w:val="002D4235"/>
    <w:rsid w:val="002E0C69"/>
    <w:rsid w:val="002E1A1D"/>
    <w:rsid w:val="002E5593"/>
    <w:rsid w:val="002E5631"/>
    <w:rsid w:val="002F2B97"/>
    <w:rsid w:val="002F4273"/>
    <w:rsid w:val="00303631"/>
    <w:rsid w:val="00305809"/>
    <w:rsid w:val="00311558"/>
    <w:rsid w:val="00312E31"/>
    <w:rsid w:val="00321C14"/>
    <w:rsid w:val="00321F04"/>
    <w:rsid w:val="00323165"/>
    <w:rsid w:val="00325867"/>
    <w:rsid w:val="0032590D"/>
    <w:rsid w:val="00336F78"/>
    <w:rsid w:val="00350497"/>
    <w:rsid w:val="003530D4"/>
    <w:rsid w:val="00353DD4"/>
    <w:rsid w:val="00354536"/>
    <w:rsid w:val="003575E3"/>
    <w:rsid w:val="00363701"/>
    <w:rsid w:val="00366DA4"/>
    <w:rsid w:val="0037111E"/>
    <w:rsid w:val="00372FAA"/>
    <w:rsid w:val="00376128"/>
    <w:rsid w:val="003770BF"/>
    <w:rsid w:val="00381339"/>
    <w:rsid w:val="00384DD4"/>
    <w:rsid w:val="003905EC"/>
    <w:rsid w:val="00392D5E"/>
    <w:rsid w:val="00395B01"/>
    <w:rsid w:val="003A395E"/>
    <w:rsid w:val="003A6CB7"/>
    <w:rsid w:val="003B16A4"/>
    <w:rsid w:val="003B67E6"/>
    <w:rsid w:val="003C06E8"/>
    <w:rsid w:val="003C2906"/>
    <w:rsid w:val="003D4F21"/>
    <w:rsid w:val="003E142E"/>
    <w:rsid w:val="003E27BC"/>
    <w:rsid w:val="003E4135"/>
    <w:rsid w:val="003E5443"/>
    <w:rsid w:val="003E72E3"/>
    <w:rsid w:val="003F2B3B"/>
    <w:rsid w:val="003F75E5"/>
    <w:rsid w:val="00413289"/>
    <w:rsid w:val="004140FF"/>
    <w:rsid w:val="004156E7"/>
    <w:rsid w:val="004204B5"/>
    <w:rsid w:val="004222C3"/>
    <w:rsid w:val="00423F5C"/>
    <w:rsid w:val="0043364E"/>
    <w:rsid w:val="00435231"/>
    <w:rsid w:val="004376B5"/>
    <w:rsid w:val="00437B48"/>
    <w:rsid w:val="00444A9E"/>
    <w:rsid w:val="00452E60"/>
    <w:rsid w:val="00457EA7"/>
    <w:rsid w:val="00466B8E"/>
    <w:rsid w:val="00466CF5"/>
    <w:rsid w:val="00466E66"/>
    <w:rsid w:val="00470FE5"/>
    <w:rsid w:val="00471829"/>
    <w:rsid w:val="00471852"/>
    <w:rsid w:val="004725C8"/>
    <w:rsid w:val="00472F6E"/>
    <w:rsid w:val="004736C6"/>
    <w:rsid w:val="00477B52"/>
    <w:rsid w:val="004831D7"/>
    <w:rsid w:val="004866F9"/>
    <w:rsid w:val="00486B9D"/>
    <w:rsid w:val="004A2695"/>
    <w:rsid w:val="004A42EF"/>
    <w:rsid w:val="004A5C24"/>
    <w:rsid w:val="004A6C46"/>
    <w:rsid w:val="004A7395"/>
    <w:rsid w:val="004B178A"/>
    <w:rsid w:val="004B2EDA"/>
    <w:rsid w:val="004C3C40"/>
    <w:rsid w:val="004C3E61"/>
    <w:rsid w:val="004C44EB"/>
    <w:rsid w:val="004C5A87"/>
    <w:rsid w:val="004C5EC6"/>
    <w:rsid w:val="004C6EDA"/>
    <w:rsid w:val="004D1440"/>
    <w:rsid w:val="004D1F78"/>
    <w:rsid w:val="004D4D6E"/>
    <w:rsid w:val="004D4D91"/>
    <w:rsid w:val="004D6595"/>
    <w:rsid w:val="004D694D"/>
    <w:rsid w:val="004E0680"/>
    <w:rsid w:val="004E1D2D"/>
    <w:rsid w:val="004E4ACB"/>
    <w:rsid w:val="004E6FC5"/>
    <w:rsid w:val="004F0C6A"/>
    <w:rsid w:val="00500D6D"/>
    <w:rsid w:val="00506E35"/>
    <w:rsid w:val="005244F6"/>
    <w:rsid w:val="00524DDD"/>
    <w:rsid w:val="00527ECC"/>
    <w:rsid w:val="005375DF"/>
    <w:rsid w:val="00537F77"/>
    <w:rsid w:val="00540C1A"/>
    <w:rsid w:val="005421F3"/>
    <w:rsid w:val="0054619F"/>
    <w:rsid w:val="00550765"/>
    <w:rsid w:val="0055412A"/>
    <w:rsid w:val="005565CC"/>
    <w:rsid w:val="0056127B"/>
    <w:rsid w:val="00562700"/>
    <w:rsid w:val="00565D21"/>
    <w:rsid w:val="00571FB9"/>
    <w:rsid w:val="00573057"/>
    <w:rsid w:val="00573633"/>
    <w:rsid w:val="005771D7"/>
    <w:rsid w:val="0059324D"/>
    <w:rsid w:val="00595652"/>
    <w:rsid w:val="00596DD0"/>
    <w:rsid w:val="005A61AF"/>
    <w:rsid w:val="005B0D3C"/>
    <w:rsid w:val="005B11F5"/>
    <w:rsid w:val="005B1938"/>
    <w:rsid w:val="005B4356"/>
    <w:rsid w:val="005B625A"/>
    <w:rsid w:val="005C3D3E"/>
    <w:rsid w:val="005C7643"/>
    <w:rsid w:val="005D1799"/>
    <w:rsid w:val="005D2435"/>
    <w:rsid w:val="005D2F3F"/>
    <w:rsid w:val="005D31DA"/>
    <w:rsid w:val="005D3B30"/>
    <w:rsid w:val="005E270E"/>
    <w:rsid w:val="005E2BD1"/>
    <w:rsid w:val="005E5746"/>
    <w:rsid w:val="005F5709"/>
    <w:rsid w:val="00602E35"/>
    <w:rsid w:val="00605243"/>
    <w:rsid w:val="00610C8A"/>
    <w:rsid w:val="00614034"/>
    <w:rsid w:val="00617F8A"/>
    <w:rsid w:val="006224CD"/>
    <w:rsid w:val="00627E0E"/>
    <w:rsid w:val="00631E71"/>
    <w:rsid w:val="006321CB"/>
    <w:rsid w:val="006340BE"/>
    <w:rsid w:val="00634A19"/>
    <w:rsid w:val="00636318"/>
    <w:rsid w:val="006423C3"/>
    <w:rsid w:val="006463DF"/>
    <w:rsid w:val="0065480D"/>
    <w:rsid w:val="0065482F"/>
    <w:rsid w:val="00655A29"/>
    <w:rsid w:val="006634A2"/>
    <w:rsid w:val="00664199"/>
    <w:rsid w:val="0066788B"/>
    <w:rsid w:val="00672307"/>
    <w:rsid w:val="0067237E"/>
    <w:rsid w:val="00672FE5"/>
    <w:rsid w:val="00673E00"/>
    <w:rsid w:val="00674860"/>
    <w:rsid w:val="006767B2"/>
    <w:rsid w:val="00680434"/>
    <w:rsid w:val="006817C7"/>
    <w:rsid w:val="00683601"/>
    <w:rsid w:val="006878A2"/>
    <w:rsid w:val="006916D0"/>
    <w:rsid w:val="00691D8C"/>
    <w:rsid w:val="00693D31"/>
    <w:rsid w:val="006A1C56"/>
    <w:rsid w:val="006A3DA0"/>
    <w:rsid w:val="006A7508"/>
    <w:rsid w:val="006B0F10"/>
    <w:rsid w:val="006B1456"/>
    <w:rsid w:val="006B6F45"/>
    <w:rsid w:val="006C0A36"/>
    <w:rsid w:val="006C4602"/>
    <w:rsid w:val="006C69A4"/>
    <w:rsid w:val="006D026F"/>
    <w:rsid w:val="006D2149"/>
    <w:rsid w:val="006E228F"/>
    <w:rsid w:val="006E2E46"/>
    <w:rsid w:val="006F54F1"/>
    <w:rsid w:val="007027A0"/>
    <w:rsid w:val="00702FC1"/>
    <w:rsid w:val="007059AC"/>
    <w:rsid w:val="0071640B"/>
    <w:rsid w:val="0071683B"/>
    <w:rsid w:val="0072020A"/>
    <w:rsid w:val="00723B02"/>
    <w:rsid w:val="0072472E"/>
    <w:rsid w:val="007272AE"/>
    <w:rsid w:val="0073191C"/>
    <w:rsid w:val="007340F0"/>
    <w:rsid w:val="00737B90"/>
    <w:rsid w:val="00737B9B"/>
    <w:rsid w:val="007404F4"/>
    <w:rsid w:val="00744E86"/>
    <w:rsid w:val="00746AF8"/>
    <w:rsid w:val="007631C4"/>
    <w:rsid w:val="007808C5"/>
    <w:rsid w:val="0078525F"/>
    <w:rsid w:val="00790B32"/>
    <w:rsid w:val="00795756"/>
    <w:rsid w:val="007A123B"/>
    <w:rsid w:val="007A136C"/>
    <w:rsid w:val="007C054A"/>
    <w:rsid w:val="007C11CF"/>
    <w:rsid w:val="007C35E5"/>
    <w:rsid w:val="007C51BC"/>
    <w:rsid w:val="007C7225"/>
    <w:rsid w:val="007D318A"/>
    <w:rsid w:val="007D5819"/>
    <w:rsid w:val="007D5B0B"/>
    <w:rsid w:val="007D6244"/>
    <w:rsid w:val="007D7846"/>
    <w:rsid w:val="007E23BD"/>
    <w:rsid w:val="007E4517"/>
    <w:rsid w:val="007E4AE8"/>
    <w:rsid w:val="007F016D"/>
    <w:rsid w:val="007F11B2"/>
    <w:rsid w:val="007F5564"/>
    <w:rsid w:val="007F577C"/>
    <w:rsid w:val="007F6157"/>
    <w:rsid w:val="007F6185"/>
    <w:rsid w:val="00803A32"/>
    <w:rsid w:val="00805798"/>
    <w:rsid w:val="008069C4"/>
    <w:rsid w:val="00813D1F"/>
    <w:rsid w:val="00815A0B"/>
    <w:rsid w:val="008210C3"/>
    <w:rsid w:val="00822150"/>
    <w:rsid w:val="008260FF"/>
    <w:rsid w:val="00837B57"/>
    <w:rsid w:val="00842DBD"/>
    <w:rsid w:val="00846B75"/>
    <w:rsid w:val="00847B36"/>
    <w:rsid w:val="00850656"/>
    <w:rsid w:val="0085767A"/>
    <w:rsid w:val="008616C1"/>
    <w:rsid w:val="00867E38"/>
    <w:rsid w:val="008713BA"/>
    <w:rsid w:val="008715B1"/>
    <w:rsid w:val="008716BE"/>
    <w:rsid w:val="00872956"/>
    <w:rsid w:val="00890A82"/>
    <w:rsid w:val="008950BA"/>
    <w:rsid w:val="00896228"/>
    <w:rsid w:val="0089739F"/>
    <w:rsid w:val="008974F5"/>
    <w:rsid w:val="008977CE"/>
    <w:rsid w:val="008A4906"/>
    <w:rsid w:val="008A6C29"/>
    <w:rsid w:val="008A715B"/>
    <w:rsid w:val="008B12AC"/>
    <w:rsid w:val="008B4BDF"/>
    <w:rsid w:val="008B5883"/>
    <w:rsid w:val="008B5B76"/>
    <w:rsid w:val="008C150C"/>
    <w:rsid w:val="008C29E0"/>
    <w:rsid w:val="008C502C"/>
    <w:rsid w:val="008C64DB"/>
    <w:rsid w:val="008C78F5"/>
    <w:rsid w:val="008D4953"/>
    <w:rsid w:val="008D55D9"/>
    <w:rsid w:val="008D7DDC"/>
    <w:rsid w:val="008E0997"/>
    <w:rsid w:val="008E0A70"/>
    <w:rsid w:val="008E3B24"/>
    <w:rsid w:val="008F1291"/>
    <w:rsid w:val="008F3BAD"/>
    <w:rsid w:val="008F4B85"/>
    <w:rsid w:val="008F6315"/>
    <w:rsid w:val="008F6802"/>
    <w:rsid w:val="008F6F8C"/>
    <w:rsid w:val="00900F5B"/>
    <w:rsid w:val="00902856"/>
    <w:rsid w:val="00903124"/>
    <w:rsid w:val="009079D9"/>
    <w:rsid w:val="00907F24"/>
    <w:rsid w:val="0091211A"/>
    <w:rsid w:val="00921E38"/>
    <w:rsid w:val="00921F16"/>
    <w:rsid w:val="00922207"/>
    <w:rsid w:val="00924522"/>
    <w:rsid w:val="00926084"/>
    <w:rsid w:val="00935C4D"/>
    <w:rsid w:val="00936445"/>
    <w:rsid w:val="00937706"/>
    <w:rsid w:val="00951256"/>
    <w:rsid w:val="00965830"/>
    <w:rsid w:val="00971BF4"/>
    <w:rsid w:val="009736D2"/>
    <w:rsid w:val="0097572E"/>
    <w:rsid w:val="00986A3A"/>
    <w:rsid w:val="00995222"/>
    <w:rsid w:val="009A3B85"/>
    <w:rsid w:val="009A44E7"/>
    <w:rsid w:val="009A64FB"/>
    <w:rsid w:val="009B0603"/>
    <w:rsid w:val="009B1362"/>
    <w:rsid w:val="009B21AD"/>
    <w:rsid w:val="009B686A"/>
    <w:rsid w:val="009C0B9B"/>
    <w:rsid w:val="009C1A03"/>
    <w:rsid w:val="009C1A7C"/>
    <w:rsid w:val="009C6DD2"/>
    <w:rsid w:val="009C7209"/>
    <w:rsid w:val="009D36BF"/>
    <w:rsid w:val="009E25ED"/>
    <w:rsid w:val="009E4344"/>
    <w:rsid w:val="009E5EBC"/>
    <w:rsid w:val="009F2C5F"/>
    <w:rsid w:val="00A07425"/>
    <w:rsid w:val="00A07BC8"/>
    <w:rsid w:val="00A24869"/>
    <w:rsid w:val="00A25AC5"/>
    <w:rsid w:val="00A321AA"/>
    <w:rsid w:val="00A4123A"/>
    <w:rsid w:val="00A42C09"/>
    <w:rsid w:val="00A51EDE"/>
    <w:rsid w:val="00A56F21"/>
    <w:rsid w:val="00A637BB"/>
    <w:rsid w:val="00A6781C"/>
    <w:rsid w:val="00A75232"/>
    <w:rsid w:val="00A76A4F"/>
    <w:rsid w:val="00A801D1"/>
    <w:rsid w:val="00A84706"/>
    <w:rsid w:val="00A96170"/>
    <w:rsid w:val="00AA0DAD"/>
    <w:rsid w:val="00AA46DC"/>
    <w:rsid w:val="00AA7985"/>
    <w:rsid w:val="00AB67DD"/>
    <w:rsid w:val="00AB7CA3"/>
    <w:rsid w:val="00AC0156"/>
    <w:rsid w:val="00AC1F20"/>
    <w:rsid w:val="00AC67D5"/>
    <w:rsid w:val="00AC6F0E"/>
    <w:rsid w:val="00AC7163"/>
    <w:rsid w:val="00AD0B35"/>
    <w:rsid w:val="00AD1EF1"/>
    <w:rsid w:val="00AD4248"/>
    <w:rsid w:val="00AD7202"/>
    <w:rsid w:val="00AD7870"/>
    <w:rsid w:val="00AE523B"/>
    <w:rsid w:val="00AE6E81"/>
    <w:rsid w:val="00AF207C"/>
    <w:rsid w:val="00AF38C4"/>
    <w:rsid w:val="00AF55C0"/>
    <w:rsid w:val="00B00487"/>
    <w:rsid w:val="00B0587C"/>
    <w:rsid w:val="00B14688"/>
    <w:rsid w:val="00B16B1D"/>
    <w:rsid w:val="00B16EFD"/>
    <w:rsid w:val="00B21471"/>
    <w:rsid w:val="00B21475"/>
    <w:rsid w:val="00B21E35"/>
    <w:rsid w:val="00B22432"/>
    <w:rsid w:val="00B27221"/>
    <w:rsid w:val="00B277F3"/>
    <w:rsid w:val="00B3154E"/>
    <w:rsid w:val="00B378C3"/>
    <w:rsid w:val="00B40982"/>
    <w:rsid w:val="00B42DDC"/>
    <w:rsid w:val="00B432C7"/>
    <w:rsid w:val="00B51A0A"/>
    <w:rsid w:val="00B53DA4"/>
    <w:rsid w:val="00B54894"/>
    <w:rsid w:val="00B600DD"/>
    <w:rsid w:val="00B639C3"/>
    <w:rsid w:val="00B65BEC"/>
    <w:rsid w:val="00B66718"/>
    <w:rsid w:val="00B7184B"/>
    <w:rsid w:val="00B72620"/>
    <w:rsid w:val="00B750BB"/>
    <w:rsid w:val="00B76D8B"/>
    <w:rsid w:val="00B80ADD"/>
    <w:rsid w:val="00B813DF"/>
    <w:rsid w:val="00B815AF"/>
    <w:rsid w:val="00B81882"/>
    <w:rsid w:val="00B818EB"/>
    <w:rsid w:val="00B83408"/>
    <w:rsid w:val="00B90A31"/>
    <w:rsid w:val="00B94CE1"/>
    <w:rsid w:val="00BA0599"/>
    <w:rsid w:val="00BA13FD"/>
    <w:rsid w:val="00BA22F1"/>
    <w:rsid w:val="00BA2459"/>
    <w:rsid w:val="00BA2643"/>
    <w:rsid w:val="00BA2C96"/>
    <w:rsid w:val="00BA4896"/>
    <w:rsid w:val="00BB2E8D"/>
    <w:rsid w:val="00BC0786"/>
    <w:rsid w:val="00BC1DBD"/>
    <w:rsid w:val="00BC6698"/>
    <w:rsid w:val="00BD0DF0"/>
    <w:rsid w:val="00BE0A6B"/>
    <w:rsid w:val="00BE3664"/>
    <w:rsid w:val="00BE48CE"/>
    <w:rsid w:val="00BE63FC"/>
    <w:rsid w:val="00BF117E"/>
    <w:rsid w:val="00BF5C74"/>
    <w:rsid w:val="00BF6E5D"/>
    <w:rsid w:val="00BF7D81"/>
    <w:rsid w:val="00C04354"/>
    <w:rsid w:val="00C0499A"/>
    <w:rsid w:val="00C10424"/>
    <w:rsid w:val="00C2260C"/>
    <w:rsid w:val="00C30732"/>
    <w:rsid w:val="00C31797"/>
    <w:rsid w:val="00C339CE"/>
    <w:rsid w:val="00C34A49"/>
    <w:rsid w:val="00C40483"/>
    <w:rsid w:val="00C50456"/>
    <w:rsid w:val="00C5598E"/>
    <w:rsid w:val="00C57B84"/>
    <w:rsid w:val="00C57EB8"/>
    <w:rsid w:val="00C62FAE"/>
    <w:rsid w:val="00C647BB"/>
    <w:rsid w:val="00C70AA7"/>
    <w:rsid w:val="00C72B18"/>
    <w:rsid w:val="00C77320"/>
    <w:rsid w:val="00C773B0"/>
    <w:rsid w:val="00C77701"/>
    <w:rsid w:val="00C815A7"/>
    <w:rsid w:val="00C8168F"/>
    <w:rsid w:val="00C81C99"/>
    <w:rsid w:val="00C82EB9"/>
    <w:rsid w:val="00C872B8"/>
    <w:rsid w:val="00C90D50"/>
    <w:rsid w:val="00C95081"/>
    <w:rsid w:val="00CA1255"/>
    <w:rsid w:val="00CA2F84"/>
    <w:rsid w:val="00CA3CC8"/>
    <w:rsid w:val="00CA44D4"/>
    <w:rsid w:val="00CA6885"/>
    <w:rsid w:val="00CB6E92"/>
    <w:rsid w:val="00CC132D"/>
    <w:rsid w:val="00CC2161"/>
    <w:rsid w:val="00CC2CA2"/>
    <w:rsid w:val="00CC550E"/>
    <w:rsid w:val="00CD2B8F"/>
    <w:rsid w:val="00CD4044"/>
    <w:rsid w:val="00CF3739"/>
    <w:rsid w:val="00CF3EEF"/>
    <w:rsid w:val="00CF69C3"/>
    <w:rsid w:val="00D013B8"/>
    <w:rsid w:val="00D05DB5"/>
    <w:rsid w:val="00D06A29"/>
    <w:rsid w:val="00D0782A"/>
    <w:rsid w:val="00D0795A"/>
    <w:rsid w:val="00D12521"/>
    <w:rsid w:val="00D228D7"/>
    <w:rsid w:val="00D25FAC"/>
    <w:rsid w:val="00D3600F"/>
    <w:rsid w:val="00D40797"/>
    <w:rsid w:val="00D420CB"/>
    <w:rsid w:val="00D5070A"/>
    <w:rsid w:val="00D53764"/>
    <w:rsid w:val="00D615CB"/>
    <w:rsid w:val="00D627F7"/>
    <w:rsid w:val="00D62E88"/>
    <w:rsid w:val="00D637A2"/>
    <w:rsid w:val="00D643CF"/>
    <w:rsid w:val="00D65225"/>
    <w:rsid w:val="00D703F1"/>
    <w:rsid w:val="00D74EB3"/>
    <w:rsid w:val="00D82D0B"/>
    <w:rsid w:val="00D82DBD"/>
    <w:rsid w:val="00D8306A"/>
    <w:rsid w:val="00D926C8"/>
    <w:rsid w:val="00D92C7D"/>
    <w:rsid w:val="00D9640F"/>
    <w:rsid w:val="00D96A86"/>
    <w:rsid w:val="00DA1F8F"/>
    <w:rsid w:val="00DA4B8C"/>
    <w:rsid w:val="00DA4E7D"/>
    <w:rsid w:val="00DB4992"/>
    <w:rsid w:val="00DC0C30"/>
    <w:rsid w:val="00DC7E4F"/>
    <w:rsid w:val="00DE0DB8"/>
    <w:rsid w:val="00DE3793"/>
    <w:rsid w:val="00DE599C"/>
    <w:rsid w:val="00DE7A37"/>
    <w:rsid w:val="00DF56ED"/>
    <w:rsid w:val="00DF5FB2"/>
    <w:rsid w:val="00E060A3"/>
    <w:rsid w:val="00E11B62"/>
    <w:rsid w:val="00E204F4"/>
    <w:rsid w:val="00E24479"/>
    <w:rsid w:val="00E2481C"/>
    <w:rsid w:val="00E26787"/>
    <w:rsid w:val="00E27FF8"/>
    <w:rsid w:val="00E35FB1"/>
    <w:rsid w:val="00E364E6"/>
    <w:rsid w:val="00E36C0B"/>
    <w:rsid w:val="00E37266"/>
    <w:rsid w:val="00E4713D"/>
    <w:rsid w:val="00E472A5"/>
    <w:rsid w:val="00E47EB4"/>
    <w:rsid w:val="00E62872"/>
    <w:rsid w:val="00E7010C"/>
    <w:rsid w:val="00E73911"/>
    <w:rsid w:val="00E7627E"/>
    <w:rsid w:val="00E769DC"/>
    <w:rsid w:val="00E80A36"/>
    <w:rsid w:val="00E924DE"/>
    <w:rsid w:val="00E92716"/>
    <w:rsid w:val="00E97415"/>
    <w:rsid w:val="00EA2071"/>
    <w:rsid w:val="00EA21CD"/>
    <w:rsid w:val="00EA5E0B"/>
    <w:rsid w:val="00EA7AF4"/>
    <w:rsid w:val="00EB11BA"/>
    <w:rsid w:val="00EB5B14"/>
    <w:rsid w:val="00EB63C4"/>
    <w:rsid w:val="00EC203B"/>
    <w:rsid w:val="00EC2C32"/>
    <w:rsid w:val="00EC4C0C"/>
    <w:rsid w:val="00EC7288"/>
    <w:rsid w:val="00ED28E6"/>
    <w:rsid w:val="00ED3B98"/>
    <w:rsid w:val="00ED577E"/>
    <w:rsid w:val="00ED5E8A"/>
    <w:rsid w:val="00ED6D48"/>
    <w:rsid w:val="00EF2B8C"/>
    <w:rsid w:val="00EF4DD6"/>
    <w:rsid w:val="00EF5779"/>
    <w:rsid w:val="00F02BE8"/>
    <w:rsid w:val="00F03555"/>
    <w:rsid w:val="00F039E5"/>
    <w:rsid w:val="00F05179"/>
    <w:rsid w:val="00F10343"/>
    <w:rsid w:val="00F10830"/>
    <w:rsid w:val="00F128D6"/>
    <w:rsid w:val="00F14D6C"/>
    <w:rsid w:val="00F14EE5"/>
    <w:rsid w:val="00F15017"/>
    <w:rsid w:val="00F15A99"/>
    <w:rsid w:val="00F16C91"/>
    <w:rsid w:val="00F1769E"/>
    <w:rsid w:val="00F2502C"/>
    <w:rsid w:val="00F30486"/>
    <w:rsid w:val="00F352D1"/>
    <w:rsid w:val="00F36604"/>
    <w:rsid w:val="00F37833"/>
    <w:rsid w:val="00F45E90"/>
    <w:rsid w:val="00F473D1"/>
    <w:rsid w:val="00F5300F"/>
    <w:rsid w:val="00F60B52"/>
    <w:rsid w:val="00F64931"/>
    <w:rsid w:val="00F70221"/>
    <w:rsid w:val="00F77C92"/>
    <w:rsid w:val="00F8299B"/>
    <w:rsid w:val="00F82D54"/>
    <w:rsid w:val="00F8308B"/>
    <w:rsid w:val="00F8576B"/>
    <w:rsid w:val="00F85D07"/>
    <w:rsid w:val="00F865D9"/>
    <w:rsid w:val="00F877B0"/>
    <w:rsid w:val="00F93358"/>
    <w:rsid w:val="00F97189"/>
    <w:rsid w:val="00F979FB"/>
    <w:rsid w:val="00FA208F"/>
    <w:rsid w:val="00FA513D"/>
    <w:rsid w:val="00FA518B"/>
    <w:rsid w:val="00FB3D90"/>
    <w:rsid w:val="00FB4263"/>
    <w:rsid w:val="00FB4E88"/>
    <w:rsid w:val="00FB500E"/>
    <w:rsid w:val="00FB725D"/>
    <w:rsid w:val="00FB7BD6"/>
    <w:rsid w:val="00FE29FA"/>
    <w:rsid w:val="00FE2B58"/>
    <w:rsid w:val="00FE35EF"/>
    <w:rsid w:val="00FE4241"/>
    <w:rsid w:val="00FE4BD6"/>
    <w:rsid w:val="00FF2437"/>
    <w:rsid w:val="00FF4276"/>
    <w:rsid w:val="00FF6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F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6D"/>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336D"/>
    <w:pPr>
      <w:keepNext/>
      <w:keepLines/>
      <w:spacing w:before="400" w:after="40" w:line="240" w:lineRule="auto"/>
      <w:outlineLvl w:val="0"/>
    </w:pPr>
    <w:rPr>
      <w:rFonts w:asciiTheme="majorHAnsi" w:eastAsiaTheme="majorEastAsia" w:hAnsiTheme="majorHAnsi" w:cstheme="majorBidi"/>
      <w:color w:val="006666"/>
      <w:sz w:val="36"/>
      <w:szCs w:val="36"/>
    </w:rPr>
  </w:style>
  <w:style w:type="paragraph" w:styleId="Heading2">
    <w:name w:val="heading 2"/>
    <w:basedOn w:val="Normal"/>
    <w:next w:val="Normal"/>
    <w:link w:val="Heading2Char"/>
    <w:uiPriority w:val="9"/>
    <w:unhideWhenUsed/>
    <w:qFormat/>
    <w:rsid w:val="0021336D"/>
    <w:pPr>
      <w:keepNext/>
      <w:keepLines/>
      <w:spacing w:before="40" w:after="0" w:line="240" w:lineRule="auto"/>
      <w:outlineLvl w:val="1"/>
    </w:pPr>
    <w:rPr>
      <w:rFonts w:asciiTheme="majorHAnsi" w:eastAsiaTheme="majorEastAsia" w:hAnsiTheme="majorHAnsi" w:cstheme="majorBidi"/>
      <w:color w:val="008080"/>
      <w:sz w:val="32"/>
      <w:szCs w:val="32"/>
    </w:rPr>
  </w:style>
  <w:style w:type="paragraph" w:styleId="Heading3">
    <w:name w:val="heading 3"/>
    <w:basedOn w:val="Normal"/>
    <w:next w:val="Normal"/>
    <w:link w:val="Heading3Char"/>
    <w:uiPriority w:val="9"/>
    <w:unhideWhenUsed/>
    <w:qFormat/>
    <w:rsid w:val="00AD4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36D"/>
    <w:rPr>
      <w:rFonts w:asciiTheme="majorHAnsi" w:eastAsiaTheme="majorEastAsia" w:hAnsiTheme="majorHAnsi" w:cstheme="majorBidi"/>
      <w:color w:val="006666"/>
      <w:sz w:val="36"/>
      <w:szCs w:val="36"/>
    </w:rPr>
  </w:style>
  <w:style w:type="character" w:customStyle="1" w:styleId="Heading2Char">
    <w:name w:val="Heading 2 Char"/>
    <w:basedOn w:val="DefaultParagraphFont"/>
    <w:link w:val="Heading2"/>
    <w:uiPriority w:val="9"/>
    <w:rsid w:val="0021336D"/>
    <w:rPr>
      <w:rFonts w:asciiTheme="majorHAnsi" w:eastAsiaTheme="majorEastAsia" w:hAnsiTheme="majorHAnsi" w:cstheme="majorBidi"/>
      <w:color w:val="008080"/>
      <w:sz w:val="32"/>
      <w:szCs w:val="32"/>
    </w:rPr>
  </w:style>
  <w:style w:type="character" w:styleId="CommentReference">
    <w:name w:val="annotation reference"/>
    <w:basedOn w:val="DefaultParagraphFont"/>
    <w:uiPriority w:val="99"/>
    <w:semiHidden/>
    <w:unhideWhenUsed/>
    <w:rsid w:val="0021336D"/>
    <w:rPr>
      <w:sz w:val="16"/>
      <w:szCs w:val="16"/>
    </w:rPr>
  </w:style>
  <w:style w:type="paragraph" w:styleId="CommentText">
    <w:name w:val="annotation text"/>
    <w:basedOn w:val="Normal"/>
    <w:link w:val="CommentTextChar"/>
    <w:uiPriority w:val="99"/>
    <w:unhideWhenUsed/>
    <w:rsid w:val="0021336D"/>
    <w:pPr>
      <w:spacing w:line="240" w:lineRule="auto"/>
    </w:pPr>
    <w:rPr>
      <w:sz w:val="20"/>
      <w:szCs w:val="20"/>
    </w:rPr>
  </w:style>
  <w:style w:type="character" w:customStyle="1" w:styleId="CommentTextChar">
    <w:name w:val="Comment Text Char"/>
    <w:basedOn w:val="DefaultParagraphFont"/>
    <w:link w:val="CommentText"/>
    <w:uiPriority w:val="99"/>
    <w:rsid w:val="0021336D"/>
    <w:rPr>
      <w:rFonts w:asciiTheme="minorHAnsi" w:eastAsiaTheme="minorEastAsia" w:hAnsiTheme="minorHAnsi" w:cstheme="minorBidi"/>
      <w:sz w:val="20"/>
      <w:szCs w:val="20"/>
    </w:rPr>
  </w:style>
  <w:style w:type="character" w:styleId="Emphasis">
    <w:name w:val="Emphasis"/>
    <w:basedOn w:val="DefaultParagraphFont"/>
    <w:uiPriority w:val="20"/>
    <w:qFormat/>
    <w:rsid w:val="0021336D"/>
    <w:rPr>
      <w:i/>
      <w:iCs/>
    </w:rPr>
  </w:style>
  <w:style w:type="paragraph" w:styleId="FootnoteText">
    <w:name w:val="footnote text"/>
    <w:basedOn w:val="Normal"/>
    <w:link w:val="FootnoteTextChar"/>
    <w:uiPriority w:val="99"/>
    <w:semiHidden/>
    <w:unhideWhenUsed/>
    <w:rsid w:val="0021336D"/>
    <w:pPr>
      <w:spacing w:after="0" w:line="240" w:lineRule="auto"/>
    </w:pPr>
    <w:rPr>
      <w:rFonts w:ascii="Segoe UI" w:eastAsiaTheme="minorHAnsi" w:hAnsi="Segoe UI"/>
      <w:sz w:val="15"/>
      <w:szCs w:val="20"/>
      <w:lang w:val="en-US"/>
    </w:rPr>
  </w:style>
  <w:style w:type="character" w:customStyle="1" w:styleId="FootnoteTextChar">
    <w:name w:val="Footnote Text Char"/>
    <w:basedOn w:val="DefaultParagraphFont"/>
    <w:link w:val="FootnoteText"/>
    <w:uiPriority w:val="99"/>
    <w:semiHidden/>
    <w:rsid w:val="0021336D"/>
    <w:rPr>
      <w:rFonts w:ascii="Segoe UI" w:hAnsi="Segoe UI" w:cstheme="minorBidi"/>
      <w:sz w:val="15"/>
      <w:szCs w:val="20"/>
      <w:lang w:val="en-US"/>
    </w:rPr>
  </w:style>
  <w:style w:type="character" w:styleId="FootnoteReference">
    <w:name w:val="footnote reference"/>
    <w:basedOn w:val="DefaultParagraphFont"/>
    <w:uiPriority w:val="99"/>
    <w:unhideWhenUsed/>
    <w:rsid w:val="0021336D"/>
    <w:rPr>
      <w:vertAlign w:val="superscript"/>
    </w:rPr>
  </w:style>
  <w:style w:type="paragraph" w:styleId="BalloonText">
    <w:name w:val="Balloon Text"/>
    <w:basedOn w:val="Normal"/>
    <w:link w:val="BalloonTextChar"/>
    <w:uiPriority w:val="99"/>
    <w:semiHidden/>
    <w:unhideWhenUsed/>
    <w:rsid w:val="0021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6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299B"/>
    <w:rPr>
      <w:b/>
      <w:bCs/>
    </w:rPr>
  </w:style>
  <w:style w:type="character" w:customStyle="1" w:styleId="CommentSubjectChar">
    <w:name w:val="Comment Subject Char"/>
    <w:basedOn w:val="CommentTextChar"/>
    <w:link w:val="CommentSubject"/>
    <w:uiPriority w:val="99"/>
    <w:semiHidden/>
    <w:rsid w:val="00F8299B"/>
    <w:rPr>
      <w:rFonts w:asciiTheme="minorHAnsi" w:eastAsiaTheme="minorEastAsia" w:hAnsiTheme="minorHAnsi" w:cstheme="minorBidi"/>
      <w:b/>
      <w:bCs/>
      <w:sz w:val="20"/>
      <w:szCs w:val="20"/>
    </w:rPr>
  </w:style>
  <w:style w:type="character" w:styleId="Hyperlink">
    <w:name w:val="Hyperlink"/>
    <w:basedOn w:val="DefaultParagraphFont"/>
    <w:uiPriority w:val="99"/>
    <w:unhideWhenUsed/>
    <w:qFormat/>
    <w:rsid w:val="00C34A49"/>
    <w:rPr>
      <w:color w:val="0563C1" w:themeColor="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Table text"/>
    <w:basedOn w:val="Normal"/>
    <w:link w:val="ListParagraphChar"/>
    <w:uiPriority w:val="34"/>
    <w:qFormat/>
    <w:rsid w:val="00061391"/>
    <w:pPr>
      <w:ind w:left="720"/>
      <w:contextualSpacing/>
    </w:pPr>
  </w:style>
  <w:style w:type="character" w:styleId="FollowedHyperlink">
    <w:name w:val="FollowedHyperlink"/>
    <w:basedOn w:val="DefaultParagraphFont"/>
    <w:uiPriority w:val="99"/>
    <w:semiHidden/>
    <w:unhideWhenUsed/>
    <w:rsid w:val="00B3154E"/>
    <w:rPr>
      <w:color w:val="954F72" w:themeColor="followedHyperlink"/>
      <w:u w:val="single"/>
    </w:rPr>
  </w:style>
  <w:style w:type="character" w:customStyle="1" w:styleId="Heading3Char">
    <w:name w:val="Heading 3 Char"/>
    <w:basedOn w:val="DefaultParagraphFont"/>
    <w:link w:val="Heading3"/>
    <w:uiPriority w:val="9"/>
    <w:rsid w:val="00AD4248"/>
    <w:rPr>
      <w:rFonts w:asciiTheme="majorHAnsi" w:eastAsiaTheme="majorEastAsia" w:hAnsiTheme="majorHAnsi" w:cstheme="majorBidi"/>
      <w:color w:val="1F4D78" w:themeColor="accent1" w:themeShade="7F"/>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D4248"/>
    <w:rPr>
      <w:rFonts w:asciiTheme="minorHAnsi" w:eastAsiaTheme="minorEastAsia" w:hAnsiTheme="minorHAnsi" w:cstheme="minorBidi"/>
      <w:sz w:val="22"/>
      <w:szCs w:val="22"/>
    </w:rPr>
  </w:style>
  <w:style w:type="table" w:customStyle="1" w:styleId="ListTable4-Accent11">
    <w:name w:val="List Table 4 - Accent 11"/>
    <w:basedOn w:val="TableNormal"/>
    <w:uiPriority w:val="49"/>
    <w:rsid w:val="00AD4248"/>
    <w:pPr>
      <w:spacing w:after="0" w:line="240" w:lineRule="auto"/>
    </w:pPr>
    <w:rPr>
      <w:rFonts w:asciiTheme="minorHAnsi" w:eastAsiaTheme="minorEastAsia"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0">
    <w:name w:val="List Table 4 - Accent 11"/>
    <w:basedOn w:val="TableNormal"/>
    <w:next w:val="ListTable4-Accent11"/>
    <w:uiPriority w:val="49"/>
    <w:rsid w:val="00AE6E81"/>
    <w:pPr>
      <w:spacing w:after="0" w:line="240" w:lineRule="auto"/>
    </w:pPr>
    <w:rPr>
      <w:rFonts w:asciiTheme="minorHAnsi" w:eastAsiaTheme="minorEastAsia"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2">
    <w:name w:val="List Table 4 - Accent 12"/>
    <w:basedOn w:val="TableNormal"/>
    <w:next w:val="ListTable4-Accent11"/>
    <w:uiPriority w:val="49"/>
    <w:rsid w:val="00890A82"/>
    <w:pPr>
      <w:spacing w:after="0" w:line="240" w:lineRule="auto"/>
    </w:pPr>
    <w:rPr>
      <w:rFonts w:asciiTheme="minorHAnsi" w:eastAsiaTheme="minorEastAsia"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B94CE1"/>
    <w:pPr>
      <w:spacing w:after="0"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B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1A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B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1AD"/>
    <w:rPr>
      <w:rFonts w:asciiTheme="minorHAnsi" w:eastAsiaTheme="minorEastAsia" w:hAnsiTheme="minorHAnsi" w:cstheme="minorBidi"/>
      <w:sz w:val="22"/>
      <w:szCs w:val="22"/>
    </w:rPr>
  </w:style>
  <w:style w:type="paragraph" w:customStyle="1" w:styleId="Default">
    <w:name w:val="Default"/>
    <w:rsid w:val="002402F8"/>
    <w:pPr>
      <w:autoSpaceDE w:val="0"/>
      <w:autoSpaceDN w:val="0"/>
      <w:adjustRightInd w:val="0"/>
      <w:spacing w:after="0" w:line="240" w:lineRule="auto"/>
    </w:pPr>
    <w:rPr>
      <w:rFonts w:ascii="Calibri" w:hAnsi="Calibri" w:cs="Calibri"/>
      <w:color w:val="000000"/>
    </w:rPr>
  </w:style>
  <w:style w:type="table" w:customStyle="1" w:styleId="NOUSSideHeader1">
    <w:name w:val="NOUS Side Header1"/>
    <w:basedOn w:val="TableNormal"/>
    <w:next w:val="TableGrid"/>
    <w:uiPriority w:val="39"/>
    <w:rsid w:val="003B16A4"/>
    <w:pPr>
      <w:spacing w:after="0" w:line="240" w:lineRule="auto"/>
    </w:pPr>
    <w:rPr>
      <w:rFonts w:ascii="Segoe UI" w:eastAsia="Segoe UI" w:hAnsi="Segoe UI" w:cstheme="minorBidi"/>
      <w:sz w:val="17"/>
      <w:szCs w:val="22"/>
      <w:lang w:val="en-US"/>
    </w:rPr>
    <w:tblPr>
      <w:tblStyleRowBandSize w:val="1"/>
      <w:tblBorders>
        <w:top w:val="single" w:sz="8" w:space="0" w:color="84ACB6"/>
        <w:bottom w:val="single" w:sz="8" w:space="0" w:color="84ACB6"/>
        <w:insideH w:val="single" w:sz="8" w:space="0" w:color="84ACB6"/>
      </w:tblBorders>
      <w:tblCellMar>
        <w:top w:w="57" w:type="dxa"/>
        <w:left w:w="85" w:type="dxa"/>
        <w:bottom w:w="57" w:type="dxa"/>
        <w:right w:w="85" w:type="dxa"/>
      </w:tblCellMar>
    </w:tblPr>
    <w:tcPr>
      <w:shd w:val="clear" w:color="auto" w:fill="F2F2F2"/>
      <w:vAlign w:val="center"/>
    </w:tcPr>
    <w:tblStylePr w:type="firstRow">
      <w:pPr>
        <w:jc w:val="left"/>
      </w:pPr>
      <w:rPr>
        <w:rFonts w:ascii="Segoe UI Symbol" w:hAnsi="Segoe UI Symbol"/>
        <w:b w:val="0"/>
        <w:color w:val="E4E8E8"/>
        <w:sz w:val="18"/>
      </w:rPr>
      <w:tblPr/>
      <w:trPr>
        <w:cantSplit/>
        <w:tblHeader/>
      </w:trPr>
      <w:tcPr>
        <w:tcBorders>
          <w:top w:val="single" w:sz="24" w:space="0" w:color="75BDA7"/>
          <w:left w:val="nil"/>
          <w:bottom w:val="nil"/>
          <w:right w:val="nil"/>
          <w:insideH w:val="nil"/>
          <w:insideV w:val="single" w:sz="8" w:space="0" w:color="FFFFFF"/>
          <w:tl2br w:val="nil"/>
          <w:tr2bl w:val="nil"/>
        </w:tcBorders>
        <w:shd w:val="clear" w:color="auto" w:fill="84ACB6"/>
      </w:tcPr>
    </w:tblStylePr>
    <w:tblStylePr w:type="band1Horz">
      <w:rPr>
        <w:rFonts w:ascii="Segoe UI Emoji" w:hAnsi="Segoe UI Emoji"/>
        <w:sz w:val="17"/>
      </w:rPr>
    </w:tblStylePr>
    <w:tblStylePr w:type="band2Horz">
      <w:rPr>
        <w:rFonts w:ascii="Segoe UI Emoji" w:hAnsi="Segoe UI Emoji"/>
        <w:sz w:val="17"/>
      </w:rPr>
    </w:tblStylePr>
  </w:style>
  <w:style w:type="table" w:styleId="TableGrid">
    <w:name w:val="Table Grid"/>
    <w:basedOn w:val="TableNormal"/>
    <w:uiPriority w:val="39"/>
    <w:rsid w:val="003B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21CD"/>
    <w:pPr>
      <w:pBdr>
        <w:left w:val="threeDEngrave" w:sz="24" w:space="4" w:color="358189"/>
      </w:pBdr>
      <w:spacing w:before="240" w:after="0" w:line="259" w:lineRule="auto"/>
      <w:outlineLvl w:val="9"/>
    </w:pPr>
    <w:rPr>
      <w:color w:val="2E74B5" w:themeColor="accent1" w:themeShade="BF"/>
      <w:sz w:val="32"/>
      <w:szCs w:val="32"/>
      <w:lang w:val="en-US"/>
    </w:rPr>
  </w:style>
  <w:style w:type="paragraph" w:styleId="TOC1">
    <w:name w:val="toc 1"/>
    <w:basedOn w:val="Normal"/>
    <w:next w:val="Normal"/>
    <w:autoRedefine/>
    <w:uiPriority w:val="39"/>
    <w:unhideWhenUsed/>
    <w:rsid w:val="004A7395"/>
    <w:pPr>
      <w:tabs>
        <w:tab w:val="right" w:leader="dot" w:pos="9060"/>
      </w:tabs>
      <w:spacing w:after="100" w:line="240" w:lineRule="auto"/>
    </w:pPr>
    <w:rPr>
      <w:rFonts w:ascii="Arial" w:eastAsia="Times New Roman" w:hAnsi="Arial" w:cs="Times New Roman"/>
      <w:szCs w:val="24"/>
    </w:rPr>
  </w:style>
  <w:style w:type="paragraph" w:styleId="TOC2">
    <w:name w:val="toc 2"/>
    <w:basedOn w:val="Normal"/>
    <w:next w:val="Normal"/>
    <w:autoRedefine/>
    <w:uiPriority w:val="39"/>
    <w:unhideWhenUsed/>
    <w:rsid w:val="00EA21CD"/>
    <w:pPr>
      <w:spacing w:after="100" w:line="240" w:lineRule="auto"/>
      <w:ind w:left="220"/>
    </w:pPr>
    <w:rPr>
      <w:rFonts w:ascii="Arial" w:eastAsia="Times New Roman" w:hAnsi="Arial" w:cs="Times New Roman"/>
      <w:szCs w:val="24"/>
    </w:rPr>
  </w:style>
  <w:style w:type="paragraph" w:styleId="Title">
    <w:name w:val="Title"/>
    <w:basedOn w:val="Normal"/>
    <w:next w:val="Normal"/>
    <w:link w:val="TitleChar"/>
    <w:qFormat/>
    <w:rsid w:val="00EA21CD"/>
    <w:pPr>
      <w:spacing w:before="2160" w:after="120" w:line="240" w:lineRule="auto"/>
      <w:contextualSpacing/>
    </w:pPr>
    <w:rPr>
      <w:rFonts w:ascii="Arial" w:eastAsiaTheme="majorEastAsia" w:hAnsi="Arial" w:cstheme="majorBidi"/>
      <w:b/>
      <w:color w:val="3F4A75"/>
      <w:kern w:val="28"/>
      <w:sz w:val="48"/>
      <w:szCs w:val="52"/>
    </w:rPr>
  </w:style>
  <w:style w:type="character" w:customStyle="1" w:styleId="TitleChar">
    <w:name w:val="Title Char"/>
    <w:basedOn w:val="DefaultParagraphFont"/>
    <w:link w:val="Title"/>
    <w:rsid w:val="00EA21CD"/>
    <w:rPr>
      <w:rFonts w:ascii="Arial" w:eastAsiaTheme="majorEastAsia" w:hAnsi="Arial" w:cstheme="majorBidi"/>
      <w:b/>
      <w:color w:val="3F4A75"/>
      <w:kern w:val="28"/>
      <w:sz w:val="48"/>
      <w:szCs w:val="52"/>
    </w:rPr>
  </w:style>
  <w:style w:type="paragraph" w:styleId="NoSpacing">
    <w:name w:val="No Spacing"/>
    <w:uiPriority w:val="1"/>
    <w:qFormat/>
    <w:rsid w:val="00EA21CD"/>
    <w:pPr>
      <w:spacing w:after="0" w:line="240" w:lineRule="auto"/>
    </w:pPr>
    <w:rPr>
      <w:rFonts w:asciiTheme="minorHAnsi" w:eastAsiaTheme="minorEastAsia" w:hAnsiTheme="minorHAnsi" w:cstheme="minorBidi"/>
      <w:sz w:val="22"/>
      <w:szCs w:val="22"/>
    </w:rPr>
  </w:style>
  <w:style w:type="character" w:customStyle="1" w:styleId="hgkelc">
    <w:name w:val="hgkelc"/>
    <w:basedOn w:val="DefaultParagraphFont"/>
    <w:rsid w:val="00B2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71622">
      <w:bodyDiv w:val="1"/>
      <w:marLeft w:val="0"/>
      <w:marRight w:val="0"/>
      <w:marTop w:val="0"/>
      <w:marBottom w:val="0"/>
      <w:divBdr>
        <w:top w:val="none" w:sz="0" w:space="0" w:color="auto"/>
        <w:left w:val="none" w:sz="0" w:space="0" w:color="auto"/>
        <w:bottom w:val="none" w:sz="0" w:space="0" w:color="auto"/>
        <w:right w:val="none" w:sz="0" w:space="0" w:color="auto"/>
      </w:divBdr>
    </w:div>
    <w:div w:id="1059135811">
      <w:bodyDiv w:val="1"/>
      <w:marLeft w:val="0"/>
      <w:marRight w:val="0"/>
      <w:marTop w:val="0"/>
      <w:marBottom w:val="0"/>
      <w:divBdr>
        <w:top w:val="none" w:sz="0" w:space="0" w:color="auto"/>
        <w:left w:val="none" w:sz="0" w:space="0" w:color="auto"/>
        <w:bottom w:val="none" w:sz="0" w:space="0" w:color="auto"/>
        <w:right w:val="none" w:sz="0" w:space="0" w:color="auto"/>
      </w:divBdr>
    </w:div>
    <w:div w:id="1406226907">
      <w:bodyDiv w:val="1"/>
      <w:marLeft w:val="0"/>
      <w:marRight w:val="0"/>
      <w:marTop w:val="0"/>
      <w:marBottom w:val="0"/>
      <w:divBdr>
        <w:top w:val="none" w:sz="0" w:space="0" w:color="auto"/>
        <w:left w:val="none" w:sz="0" w:space="0" w:color="auto"/>
        <w:bottom w:val="none" w:sz="0" w:space="0" w:color="auto"/>
        <w:right w:val="none" w:sz="0" w:space="0" w:color="auto"/>
      </w:divBdr>
    </w:div>
    <w:div w:id="1565019514">
      <w:bodyDiv w:val="1"/>
      <w:marLeft w:val="0"/>
      <w:marRight w:val="0"/>
      <w:marTop w:val="0"/>
      <w:marBottom w:val="0"/>
      <w:divBdr>
        <w:top w:val="none" w:sz="0" w:space="0" w:color="auto"/>
        <w:left w:val="none" w:sz="0" w:space="0" w:color="auto"/>
        <w:bottom w:val="none" w:sz="0" w:space="0" w:color="auto"/>
        <w:right w:val="none" w:sz="0" w:space="0" w:color="auto"/>
      </w:divBdr>
    </w:div>
    <w:div w:id="1638074128">
      <w:bodyDiv w:val="1"/>
      <w:marLeft w:val="0"/>
      <w:marRight w:val="0"/>
      <w:marTop w:val="0"/>
      <w:marBottom w:val="0"/>
      <w:divBdr>
        <w:top w:val="none" w:sz="0" w:space="0" w:color="auto"/>
        <w:left w:val="none" w:sz="0" w:space="0" w:color="auto"/>
        <w:bottom w:val="none" w:sz="0" w:space="0" w:color="auto"/>
        <w:right w:val="none" w:sz="0" w:space="0" w:color="auto"/>
      </w:divBdr>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
    <w:div w:id="20112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review-of-the-organ-donation-retrieval-and-transplantation-system-final-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anz.com.au/meetings/niktt.asp" TargetMode="External"/><Relationship Id="rId5" Type="http://schemas.openxmlformats.org/officeDocument/2006/relationships/webSettings" Target="webSettings.xml"/><Relationship Id="rId10" Type="http://schemas.openxmlformats.org/officeDocument/2006/relationships/hyperlink" Target="https://www.health.gov.au/resources/publications/review-of-the-organ-donation-retrieval-and-transplantation-system-final-re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natelife.gov.au/sites/default/files/2020_australian_donation_and_transplantation_activity_report.pdf" TargetMode="External"/><Relationship Id="rId1" Type="http://schemas.openxmlformats.org/officeDocument/2006/relationships/hyperlink" Target="https://donatelife.gov.au/about-us/corporate-information/governmen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52A1-2521-4CEF-B628-33E6F28B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National Strategy</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Strategy</dc:title>
  <dc:subject>Health Technology</dc:subject>
  <dc:creator/>
  <cp:keywords>Organ; Donation; Transplantation</cp:keywords>
  <cp:lastModifiedBy/>
  <cp:revision>1</cp:revision>
  <dcterms:created xsi:type="dcterms:W3CDTF">2021-05-23T23:07:00Z</dcterms:created>
  <dcterms:modified xsi:type="dcterms:W3CDTF">2022-05-03T05:19:00Z</dcterms:modified>
</cp:coreProperties>
</file>