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CB627" w14:textId="58B89C15" w:rsidR="00751A23" w:rsidRDefault="00467F4B" w:rsidP="003800FF">
      <w:pPr>
        <w:pStyle w:val="Title"/>
      </w:pPr>
      <w:r>
        <w:t>Stoma Appliance Scheme Schedule Review 2024</w:t>
      </w:r>
    </w:p>
    <w:p w14:paraId="0685F9D6" w14:textId="166CD8F4" w:rsidR="00751A23" w:rsidRDefault="00467F4B" w:rsidP="003800FF">
      <w:pPr>
        <w:pStyle w:val="Subtitle"/>
        <w:sectPr w:rsidR="00751A23" w:rsidSect="00D45D94">
          <w:headerReference w:type="first" r:id="rId13"/>
          <w:type w:val="continuous"/>
          <w:pgSz w:w="11906" w:h="16838"/>
          <w:pgMar w:top="1701" w:right="1418" w:bottom="1418" w:left="1418" w:header="850" w:footer="709" w:gutter="0"/>
          <w:cols w:space="708"/>
          <w:titlePg/>
          <w:docGrid w:linePitch="360"/>
        </w:sectPr>
      </w:pPr>
      <w:r>
        <w:t xml:space="preserve">Public Consultation </w:t>
      </w:r>
      <w:r w:rsidR="00732A73">
        <w:t>Summary</w:t>
      </w:r>
    </w:p>
    <w:bookmarkStart w:id="0" w:name="_Toc184108512" w:displacedByCustomXml="next"/>
    <w:bookmarkStart w:id="1" w:name="_Toc175909170" w:displacedByCustomXml="next"/>
    <w:sdt>
      <w:sdtPr>
        <w:rPr>
          <w:rFonts w:cs="Times New Roman"/>
          <w:b w:val="0"/>
          <w:bCs w:val="0"/>
          <w:iCs w:val="0"/>
          <w:color w:val="000000" w:themeColor="text1"/>
          <w:sz w:val="22"/>
          <w:szCs w:val="24"/>
        </w:rPr>
        <w:id w:val="960771889"/>
        <w:docPartObj>
          <w:docPartGallery w:val="Table of Contents"/>
          <w:docPartUnique/>
        </w:docPartObj>
      </w:sdtPr>
      <w:sdtEndPr>
        <w:rPr>
          <w:rFonts w:asciiTheme="minorHAnsi" w:hAnsiTheme="minorHAnsi" w:cstheme="minorHAnsi"/>
          <w:noProof/>
          <w:sz w:val="24"/>
        </w:rPr>
      </w:sdtEndPr>
      <w:sdtContent>
        <w:p w14:paraId="26275586" w14:textId="5B31B2B9" w:rsidR="00407605" w:rsidRDefault="00407605" w:rsidP="003800FF">
          <w:pPr>
            <w:pStyle w:val="Heading2"/>
          </w:pPr>
          <w:r>
            <w:t>Contents</w:t>
          </w:r>
          <w:bookmarkEnd w:id="0"/>
        </w:p>
        <w:p w14:paraId="41759E0A" w14:textId="19309F60" w:rsidR="00AF4419" w:rsidRPr="00AF4419" w:rsidRDefault="00407605">
          <w:pPr>
            <w:pStyle w:val="TOC2"/>
            <w:tabs>
              <w:tab w:val="right" w:leader="dot" w:pos="9060"/>
            </w:tabs>
            <w:rPr>
              <w:rFonts w:asciiTheme="minorHAnsi" w:eastAsiaTheme="minorEastAsia" w:hAnsiTheme="minorHAnsi" w:cstheme="minorHAnsi"/>
              <w:noProof/>
              <w:color w:val="auto"/>
              <w:kern w:val="2"/>
              <w:sz w:val="24"/>
              <w:lang w:eastAsia="en-AU"/>
              <w14:ligatures w14:val="standardContextual"/>
            </w:rPr>
          </w:pPr>
          <w:r w:rsidRPr="004607B9">
            <w:rPr>
              <w:rFonts w:asciiTheme="minorHAnsi" w:hAnsiTheme="minorHAnsi" w:cstheme="minorHAnsi"/>
              <w:sz w:val="24"/>
            </w:rPr>
            <w:fldChar w:fldCharType="begin"/>
          </w:r>
          <w:r w:rsidRPr="004607B9">
            <w:rPr>
              <w:rFonts w:asciiTheme="minorHAnsi" w:hAnsiTheme="minorHAnsi" w:cstheme="minorHAnsi"/>
              <w:sz w:val="24"/>
            </w:rPr>
            <w:instrText xml:space="preserve"> TOC \o "1-3" \h \z \u </w:instrText>
          </w:r>
          <w:r w:rsidRPr="004607B9">
            <w:rPr>
              <w:rFonts w:asciiTheme="minorHAnsi" w:hAnsiTheme="minorHAnsi" w:cstheme="minorHAnsi"/>
              <w:sz w:val="24"/>
            </w:rPr>
            <w:fldChar w:fldCharType="separate"/>
          </w:r>
          <w:hyperlink w:anchor="_Toc184108512" w:history="1">
            <w:r w:rsidR="00AF4419" w:rsidRPr="00AF4419">
              <w:rPr>
                <w:rStyle w:val="Hyperlink"/>
                <w:rFonts w:asciiTheme="minorHAnsi" w:hAnsiTheme="minorHAnsi" w:cstheme="minorHAnsi"/>
                <w:noProof/>
                <w:sz w:val="24"/>
              </w:rPr>
              <w:t>Contents</w:t>
            </w:r>
            <w:r w:rsidR="00AF4419" w:rsidRPr="00AF4419">
              <w:rPr>
                <w:rFonts w:asciiTheme="minorHAnsi" w:hAnsiTheme="minorHAnsi" w:cstheme="minorHAnsi"/>
                <w:noProof/>
                <w:webHidden/>
                <w:sz w:val="24"/>
              </w:rPr>
              <w:tab/>
            </w:r>
            <w:r w:rsidR="00AF4419" w:rsidRPr="00AF4419">
              <w:rPr>
                <w:rFonts w:asciiTheme="minorHAnsi" w:hAnsiTheme="minorHAnsi" w:cstheme="minorHAnsi"/>
                <w:noProof/>
                <w:webHidden/>
                <w:sz w:val="24"/>
              </w:rPr>
              <w:fldChar w:fldCharType="begin"/>
            </w:r>
            <w:r w:rsidR="00AF4419" w:rsidRPr="00AF4419">
              <w:rPr>
                <w:rFonts w:asciiTheme="minorHAnsi" w:hAnsiTheme="minorHAnsi" w:cstheme="minorHAnsi"/>
                <w:noProof/>
                <w:webHidden/>
                <w:sz w:val="24"/>
              </w:rPr>
              <w:instrText xml:space="preserve"> PAGEREF _Toc184108512 \h </w:instrText>
            </w:r>
            <w:r w:rsidR="00AF4419" w:rsidRPr="00AF4419">
              <w:rPr>
                <w:rFonts w:asciiTheme="minorHAnsi" w:hAnsiTheme="minorHAnsi" w:cstheme="minorHAnsi"/>
                <w:noProof/>
                <w:webHidden/>
                <w:sz w:val="24"/>
              </w:rPr>
            </w:r>
            <w:r w:rsidR="00AF4419" w:rsidRPr="00AF4419">
              <w:rPr>
                <w:rFonts w:asciiTheme="minorHAnsi" w:hAnsiTheme="minorHAnsi" w:cstheme="minorHAnsi"/>
                <w:noProof/>
                <w:webHidden/>
                <w:sz w:val="24"/>
              </w:rPr>
              <w:fldChar w:fldCharType="separate"/>
            </w:r>
            <w:r w:rsidR="00AF4419" w:rsidRPr="00AF4419">
              <w:rPr>
                <w:rFonts w:asciiTheme="minorHAnsi" w:hAnsiTheme="minorHAnsi" w:cstheme="minorHAnsi"/>
                <w:noProof/>
                <w:webHidden/>
                <w:sz w:val="24"/>
              </w:rPr>
              <w:t>2</w:t>
            </w:r>
            <w:r w:rsidR="00AF4419" w:rsidRPr="00AF4419">
              <w:rPr>
                <w:rFonts w:asciiTheme="minorHAnsi" w:hAnsiTheme="minorHAnsi" w:cstheme="minorHAnsi"/>
                <w:noProof/>
                <w:webHidden/>
                <w:sz w:val="24"/>
              </w:rPr>
              <w:fldChar w:fldCharType="end"/>
            </w:r>
          </w:hyperlink>
        </w:p>
        <w:p w14:paraId="583CACAA" w14:textId="44EC4991" w:rsidR="00AF4419" w:rsidRPr="00AF4419" w:rsidRDefault="00AF4419">
          <w:pPr>
            <w:pStyle w:val="TOC2"/>
            <w:tabs>
              <w:tab w:val="right" w:leader="dot" w:pos="9060"/>
            </w:tabs>
            <w:rPr>
              <w:rFonts w:asciiTheme="minorHAnsi" w:eastAsiaTheme="minorEastAsia" w:hAnsiTheme="minorHAnsi" w:cstheme="minorHAnsi"/>
              <w:noProof/>
              <w:color w:val="auto"/>
              <w:kern w:val="2"/>
              <w:sz w:val="24"/>
              <w:lang w:eastAsia="en-AU"/>
              <w14:ligatures w14:val="standardContextual"/>
            </w:rPr>
          </w:pPr>
          <w:hyperlink w:anchor="_Toc184108513" w:history="1">
            <w:r w:rsidRPr="00AF4419">
              <w:rPr>
                <w:rStyle w:val="Hyperlink"/>
                <w:rFonts w:asciiTheme="minorHAnsi" w:hAnsiTheme="minorHAnsi" w:cstheme="minorHAnsi"/>
                <w:noProof/>
                <w:sz w:val="24"/>
              </w:rPr>
              <w:t>Background</w:t>
            </w:r>
            <w:r w:rsidRPr="00AF4419">
              <w:rPr>
                <w:rFonts w:asciiTheme="minorHAnsi" w:hAnsiTheme="minorHAnsi" w:cstheme="minorHAnsi"/>
                <w:noProof/>
                <w:webHidden/>
                <w:sz w:val="24"/>
              </w:rPr>
              <w:tab/>
            </w:r>
            <w:r w:rsidRPr="00AF4419">
              <w:rPr>
                <w:rFonts w:asciiTheme="minorHAnsi" w:hAnsiTheme="minorHAnsi" w:cstheme="minorHAnsi"/>
                <w:noProof/>
                <w:webHidden/>
                <w:sz w:val="24"/>
              </w:rPr>
              <w:fldChar w:fldCharType="begin"/>
            </w:r>
            <w:r w:rsidRPr="00AF4419">
              <w:rPr>
                <w:rFonts w:asciiTheme="minorHAnsi" w:hAnsiTheme="minorHAnsi" w:cstheme="minorHAnsi"/>
                <w:noProof/>
                <w:webHidden/>
                <w:sz w:val="24"/>
              </w:rPr>
              <w:instrText xml:space="preserve"> PAGEREF _Toc184108513 \h </w:instrText>
            </w:r>
            <w:r w:rsidRPr="00AF4419">
              <w:rPr>
                <w:rFonts w:asciiTheme="minorHAnsi" w:hAnsiTheme="minorHAnsi" w:cstheme="minorHAnsi"/>
                <w:noProof/>
                <w:webHidden/>
                <w:sz w:val="24"/>
              </w:rPr>
            </w:r>
            <w:r w:rsidRPr="00AF4419">
              <w:rPr>
                <w:rFonts w:asciiTheme="minorHAnsi" w:hAnsiTheme="minorHAnsi" w:cstheme="minorHAnsi"/>
                <w:noProof/>
                <w:webHidden/>
                <w:sz w:val="24"/>
              </w:rPr>
              <w:fldChar w:fldCharType="separate"/>
            </w:r>
            <w:r w:rsidRPr="00AF4419">
              <w:rPr>
                <w:rFonts w:asciiTheme="minorHAnsi" w:hAnsiTheme="minorHAnsi" w:cstheme="minorHAnsi"/>
                <w:noProof/>
                <w:webHidden/>
                <w:sz w:val="24"/>
              </w:rPr>
              <w:t>3</w:t>
            </w:r>
            <w:r w:rsidRPr="00AF4419">
              <w:rPr>
                <w:rFonts w:asciiTheme="minorHAnsi" w:hAnsiTheme="minorHAnsi" w:cstheme="minorHAnsi"/>
                <w:noProof/>
                <w:webHidden/>
                <w:sz w:val="24"/>
              </w:rPr>
              <w:fldChar w:fldCharType="end"/>
            </w:r>
          </w:hyperlink>
        </w:p>
        <w:p w14:paraId="2AB8D717" w14:textId="6D7D4280" w:rsidR="00AF4419" w:rsidRPr="00AF4419" w:rsidRDefault="00AF4419">
          <w:pPr>
            <w:pStyle w:val="TOC2"/>
            <w:tabs>
              <w:tab w:val="right" w:leader="dot" w:pos="9060"/>
            </w:tabs>
            <w:rPr>
              <w:rFonts w:asciiTheme="minorHAnsi" w:eastAsiaTheme="minorEastAsia" w:hAnsiTheme="minorHAnsi" w:cstheme="minorHAnsi"/>
              <w:noProof/>
              <w:color w:val="auto"/>
              <w:kern w:val="2"/>
              <w:sz w:val="24"/>
              <w:lang w:eastAsia="en-AU"/>
              <w14:ligatures w14:val="standardContextual"/>
            </w:rPr>
          </w:pPr>
          <w:hyperlink w:anchor="_Toc184108514" w:history="1">
            <w:r w:rsidRPr="00AF4419">
              <w:rPr>
                <w:rStyle w:val="Hyperlink"/>
                <w:rFonts w:asciiTheme="minorHAnsi" w:hAnsiTheme="minorHAnsi" w:cstheme="minorHAnsi"/>
                <w:noProof/>
                <w:sz w:val="24"/>
              </w:rPr>
              <w:t>Consultation Outcomes</w:t>
            </w:r>
            <w:r w:rsidRPr="00AF4419">
              <w:rPr>
                <w:rFonts w:asciiTheme="minorHAnsi" w:hAnsiTheme="minorHAnsi" w:cstheme="minorHAnsi"/>
                <w:noProof/>
                <w:webHidden/>
                <w:sz w:val="24"/>
              </w:rPr>
              <w:tab/>
            </w:r>
            <w:r w:rsidRPr="00AF4419">
              <w:rPr>
                <w:rFonts w:asciiTheme="minorHAnsi" w:hAnsiTheme="minorHAnsi" w:cstheme="minorHAnsi"/>
                <w:noProof/>
                <w:webHidden/>
                <w:sz w:val="24"/>
              </w:rPr>
              <w:fldChar w:fldCharType="begin"/>
            </w:r>
            <w:r w:rsidRPr="00AF4419">
              <w:rPr>
                <w:rFonts w:asciiTheme="minorHAnsi" w:hAnsiTheme="minorHAnsi" w:cstheme="minorHAnsi"/>
                <w:noProof/>
                <w:webHidden/>
                <w:sz w:val="24"/>
              </w:rPr>
              <w:instrText xml:space="preserve"> PAGEREF _Toc184108514 \h </w:instrText>
            </w:r>
            <w:r w:rsidRPr="00AF4419">
              <w:rPr>
                <w:rFonts w:asciiTheme="minorHAnsi" w:hAnsiTheme="minorHAnsi" w:cstheme="minorHAnsi"/>
                <w:noProof/>
                <w:webHidden/>
                <w:sz w:val="24"/>
              </w:rPr>
            </w:r>
            <w:r w:rsidRPr="00AF4419">
              <w:rPr>
                <w:rFonts w:asciiTheme="minorHAnsi" w:hAnsiTheme="minorHAnsi" w:cstheme="minorHAnsi"/>
                <w:noProof/>
                <w:webHidden/>
                <w:sz w:val="24"/>
              </w:rPr>
              <w:fldChar w:fldCharType="separate"/>
            </w:r>
            <w:r w:rsidRPr="00AF4419">
              <w:rPr>
                <w:rFonts w:asciiTheme="minorHAnsi" w:hAnsiTheme="minorHAnsi" w:cstheme="minorHAnsi"/>
                <w:noProof/>
                <w:webHidden/>
                <w:sz w:val="24"/>
              </w:rPr>
              <w:t>3</w:t>
            </w:r>
            <w:r w:rsidRPr="00AF4419">
              <w:rPr>
                <w:rFonts w:asciiTheme="minorHAnsi" w:hAnsiTheme="minorHAnsi" w:cstheme="minorHAnsi"/>
                <w:noProof/>
                <w:webHidden/>
                <w:sz w:val="24"/>
              </w:rPr>
              <w:fldChar w:fldCharType="end"/>
            </w:r>
          </w:hyperlink>
        </w:p>
        <w:p w14:paraId="10206553" w14:textId="22177E06" w:rsidR="00AF4419" w:rsidRPr="00AF4419" w:rsidRDefault="00AF4419">
          <w:pPr>
            <w:pStyle w:val="TOC3"/>
            <w:tabs>
              <w:tab w:val="right" w:leader="dot" w:pos="9060"/>
            </w:tabs>
            <w:rPr>
              <w:rFonts w:asciiTheme="minorHAnsi" w:eastAsiaTheme="minorEastAsia" w:hAnsiTheme="minorHAnsi" w:cstheme="minorHAnsi"/>
              <w:noProof/>
              <w:color w:val="auto"/>
              <w:kern w:val="2"/>
              <w:sz w:val="24"/>
              <w:lang w:eastAsia="en-AU"/>
              <w14:ligatures w14:val="standardContextual"/>
            </w:rPr>
          </w:pPr>
          <w:hyperlink w:anchor="_Toc184108515" w:history="1">
            <w:r w:rsidRPr="00AF4419">
              <w:rPr>
                <w:rStyle w:val="Hyperlink"/>
                <w:rFonts w:asciiTheme="minorHAnsi" w:hAnsiTheme="minorHAnsi" w:cstheme="minorHAnsi"/>
                <w:noProof/>
                <w:sz w:val="24"/>
              </w:rPr>
              <w:t>Recommendation 1: Eligibility</w:t>
            </w:r>
            <w:r w:rsidRPr="00AF4419">
              <w:rPr>
                <w:rFonts w:asciiTheme="minorHAnsi" w:hAnsiTheme="minorHAnsi" w:cstheme="minorHAnsi"/>
                <w:noProof/>
                <w:webHidden/>
                <w:sz w:val="24"/>
              </w:rPr>
              <w:tab/>
            </w:r>
            <w:r w:rsidRPr="00AF4419">
              <w:rPr>
                <w:rFonts w:asciiTheme="minorHAnsi" w:hAnsiTheme="minorHAnsi" w:cstheme="minorHAnsi"/>
                <w:noProof/>
                <w:webHidden/>
                <w:sz w:val="24"/>
              </w:rPr>
              <w:fldChar w:fldCharType="begin"/>
            </w:r>
            <w:r w:rsidRPr="00AF4419">
              <w:rPr>
                <w:rFonts w:asciiTheme="minorHAnsi" w:hAnsiTheme="minorHAnsi" w:cstheme="minorHAnsi"/>
                <w:noProof/>
                <w:webHidden/>
                <w:sz w:val="24"/>
              </w:rPr>
              <w:instrText xml:space="preserve"> PAGEREF _Toc184108515 \h </w:instrText>
            </w:r>
            <w:r w:rsidRPr="00AF4419">
              <w:rPr>
                <w:rFonts w:asciiTheme="minorHAnsi" w:hAnsiTheme="minorHAnsi" w:cstheme="minorHAnsi"/>
                <w:noProof/>
                <w:webHidden/>
                <w:sz w:val="24"/>
              </w:rPr>
            </w:r>
            <w:r w:rsidRPr="00AF4419">
              <w:rPr>
                <w:rFonts w:asciiTheme="minorHAnsi" w:hAnsiTheme="minorHAnsi" w:cstheme="minorHAnsi"/>
                <w:noProof/>
                <w:webHidden/>
                <w:sz w:val="24"/>
              </w:rPr>
              <w:fldChar w:fldCharType="separate"/>
            </w:r>
            <w:r w:rsidRPr="00AF4419">
              <w:rPr>
                <w:rFonts w:asciiTheme="minorHAnsi" w:hAnsiTheme="minorHAnsi" w:cstheme="minorHAnsi"/>
                <w:noProof/>
                <w:webHidden/>
                <w:sz w:val="24"/>
              </w:rPr>
              <w:t>4</w:t>
            </w:r>
            <w:r w:rsidRPr="00AF4419">
              <w:rPr>
                <w:rFonts w:asciiTheme="minorHAnsi" w:hAnsiTheme="minorHAnsi" w:cstheme="minorHAnsi"/>
                <w:noProof/>
                <w:webHidden/>
                <w:sz w:val="24"/>
              </w:rPr>
              <w:fldChar w:fldCharType="end"/>
            </w:r>
          </w:hyperlink>
        </w:p>
        <w:p w14:paraId="45DBDE12" w14:textId="6B1793FE" w:rsidR="00AF4419" w:rsidRPr="00AF4419" w:rsidRDefault="00AF4419">
          <w:pPr>
            <w:pStyle w:val="TOC3"/>
            <w:tabs>
              <w:tab w:val="right" w:leader="dot" w:pos="9060"/>
            </w:tabs>
            <w:rPr>
              <w:rFonts w:asciiTheme="minorHAnsi" w:eastAsiaTheme="minorEastAsia" w:hAnsiTheme="minorHAnsi" w:cstheme="minorHAnsi"/>
              <w:noProof/>
              <w:color w:val="auto"/>
              <w:kern w:val="2"/>
              <w:sz w:val="24"/>
              <w:lang w:eastAsia="en-AU"/>
              <w14:ligatures w14:val="standardContextual"/>
            </w:rPr>
          </w:pPr>
          <w:hyperlink w:anchor="_Toc184108516" w:history="1">
            <w:r w:rsidRPr="00AF4419">
              <w:rPr>
                <w:rStyle w:val="Hyperlink"/>
                <w:rFonts w:asciiTheme="minorHAnsi" w:hAnsiTheme="minorHAnsi" w:cstheme="minorHAnsi"/>
                <w:noProof/>
                <w:sz w:val="24"/>
              </w:rPr>
              <w:t>Recommendation 2: Maximum quantities</w:t>
            </w:r>
            <w:r w:rsidRPr="00AF4419">
              <w:rPr>
                <w:rFonts w:asciiTheme="minorHAnsi" w:hAnsiTheme="minorHAnsi" w:cstheme="minorHAnsi"/>
                <w:noProof/>
                <w:webHidden/>
                <w:sz w:val="24"/>
              </w:rPr>
              <w:tab/>
            </w:r>
            <w:r w:rsidRPr="00AF4419">
              <w:rPr>
                <w:rFonts w:asciiTheme="minorHAnsi" w:hAnsiTheme="minorHAnsi" w:cstheme="minorHAnsi"/>
                <w:noProof/>
                <w:webHidden/>
                <w:sz w:val="24"/>
              </w:rPr>
              <w:fldChar w:fldCharType="begin"/>
            </w:r>
            <w:r w:rsidRPr="00AF4419">
              <w:rPr>
                <w:rFonts w:asciiTheme="minorHAnsi" w:hAnsiTheme="minorHAnsi" w:cstheme="minorHAnsi"/>
                <w:noProof/>
                <w:webHidden/>
                <w:sz w:val="24"/>
              </w:rPr>
              <w:instrText xml:space="preserve"> PAGEREF _Toc184108516 \h </w:instrText>
            </w:r>
            <w:r w:rsidRPr="00AF4419">
              <w:rPr>
                <w:rFonts w:asciiTheme="minorHAnsi" w:hAnsiTheme="minorHAnsi" w:cstheme="minorHAnsi"/>
                <w:noProof/>
                <w:webHidden/>
                <w:sz w:val="24"/>
              </w:rPr>
            </w:r>
            <w:r w:rsidRPr="00AF4419">
              <w:rPr>
                <w:rFonts w:asciiTheme="minorHAnsi" w:hAnsiTheme="minorHAnsi" w:cstheme="minorHAnsi"/>
                <w:noProof/>
                <w:webHidden/>
                <w:sz w:val="24"/>
              </w:rPr>
              <w:fldChar w:fldCharType="separate"/>
            </w:r>
            <w:r w:rsidRPr="00AF4419">
              <w:rPr>
                <w:rFonts w:asciiTheme="minorHAnsi" w:hAnsiTheme="minorHAnsi" w:cstheme="minorHAnsi"/>
                <w:noProof/>
                <w:webHidden/>
                <w:sz w:val="24"/>
              </w:rPr>
              <w:t>5</w:t>
            </w:r>
            <w:r w:rsidRPr="00AF4419">
              <w:rPr>
                <w:rFonts w:asciiTheme="minorHAnsi" w:hAnsiTheme="minorHAnsi" w:cstheme="minorHAnsi"/>
                <w:noProof/>
                <w:webHidden/>
                <w:sz w:val="24"/>
              </w:rPr>
              <w:fldChar w:fldCharType="end"/>
            </w:r>
          </w:hyperlink>
        </w:p>
        <w:p w14:paraId="1EE325DE" w14:textId="13A5AC52" w:rsidR="00AF4419" w:rsidRPr="00AF4419" w:rsidRDefault="00AF4419">
          <w:pPr>
            <w:pStyle w:val="TOC3"/>
            <w:tabs>
              <w:tab w:val="right" w:leader="dot" w:pos="9060"/>
            </w:tabs>
            <w:rPr>
              <w:rFonts w:asciiTheme="minorHAnsi" w:eastAsiaTheme="minorEastAsia" w:hAnsiTheme="minorHAnsi" w:cstheme="minorHAnsi"/>
              <w:noProof/>
              <w:color w:val="auto"/>
              <w:kern w:val="2"/>
              <w:sz w:val="24"/>
              <w:lang w:eastAsia="en-AU"/>
              <w14:ligatures w14:val="standardContextual"/>
            </w:rPr>
          </w:pPr>
          <w:hyperlink w:anchor="_Toc184108517" w:history="1">
            <w:r w:rsidRPr="00AF4419">
              <w:rPr>
                <w:rStyle w:val="Hyperlink"/>
                <w:rFonts w:asciiTheme="minorHAnsi" w:hAnsiTheme="minorHAnsi" w:cstheme="minorHAnsi"/>
                <w:noProof/>
                <w:sz w:val="24"/>
              </w:rPr>
              <w:t>Recommendation 3: Group 9 products</w:t>
            </w:r>
            <w:r w:rsidRPr="00AF4419">
              <w:rPr>
                <w:rFonts w:asciiTheme="minorHAnsi" w:hAnsiTheme="minorHAnsi" w:cstheme="minorHAnsi"/>
                <w:noProof/>
                <w:webHidden/>
                <w:sz w:val="24"/>
              </w:rPr>
              <w:tab/>
            </w:r>
            <w:r w:rsidRPr="00AF4419">
              <w:rPr>
                <w:rFonts w:asciiTheme="minorHAnsi" w:hAnsiTheme="minorHAnsi" w:cstheme="minorHAnsi"/>
                <w:noProof/>
                <w:webHidden/>
                <w:sz w:val="24"/>
              </w:rPr>
              <w:fldChar w:fldCharType="begin"/>
            </w:r>
            <w:r w:rsidRPr="00AF4419">
              <w:rPr>
                <w:rFonts w:asciiTheme="minorHAnsi" w:hAnsiTheme="minorHAnsi" w:cstheme="minorHAnsi"/>
                <w:noProof/>
                <w:webHidden/>
                <w:sz w:val="24"/>
              </w:rPr>
              <w:instrText xml:space="preserve"> PAGEREF _Toc184108517 \h </w:instrText>
            </w:r>
            <w:r w:rsidRPr="00AF4419">
              <w:rPr>
                <w:rFonts w:asciiTheme="minorHAnsi" w:hAnsiTheme="minorHAnsi" w:cstheme="minorHAnsi"/>
                <w:noProof/>
                <w:webHidden/>
                <w:sz w:val="24"/>
              </w:rPr>
            </w:r>
            <w:r w:rsidRPr="00AF4419">
              <w:rPr>
                <w:rFonts w:asciiTheme="minorHAnsi" w:hAnsiTheme="minorHAnsi" w:cstheme="minorHAnsi"/>
                <w:noProof/>
                <w:webHidden/>
                <w:sz w:val="24"/>
              </w:rPr>
              <w:fldChar w:fldCharType="separate"/>
            </w:r>
            <w:r w:rsidRPr="00AF4419">
              <w:rPr>
                <w:rFonts w:asciiTheme="minorHAnsi" w:hAnsiTheme="minorHAnsi" w:cstheme="minorHAnsi"/>
                <w:noProof/>
                <w:webHidden/>
                <w:sz w:val="24"/>
              </w:rPr>
              <w:t>5</w:t>
            </w:r>
            <w:r w:rsidRPr="00AF4419">
              <w:rPr>
                <w:rFonts w:asciiTheme="minorHAnsi" w:hAnsiTheme="minorHAnsi" w:cstheme="minorHAnsi"/>
                <w:noProof/>
                <w:webHidden/>
                <w:sz w:val="24"/>
              </w:rPr>
              <w:fldChar w:fldCharType="end"/>
            </w:r>
          </w:hyperlink>
        </w:p>
        <w:p w14:paraId="0B307A83" w14:textId="5FDB2948" w:rsidR="00AF4419" w:rsidRPr="00AF4419" w:rsidRDefault="00AF4419">
          <w:pPr>
            <w:pStyle w:val="TOC3"/>
            <w:tabs>
              <w:tab w:val="right" w:leader="dot" w:pos="9060"/>
            </w:tabs>
            <w:rPr>
              <w:rFonts w:asciiTheme="minorHAnsi" w:eastAsiaTheme="minorEastAsia" w:hAnsiTheme="minorHAnsi" w:cstheme="minorHAnsi"/>
              <w:noProof/>
              <w:color w:val="auto"/>
              <w:kern w:val="2"/>
              <w:sz w:val="24"/>
              <w:lang w:eastAsia="en-AU"/>
              <w14:ligatures w14:val="standardContextual"/>
            </w:rPr>
          </w:pPr>
          <w:hyperlink w:anchor="_Toc184108518" w:history="1">
            <w:r w:rsidRPr="00AF4419">
              <w:rPr>
                <w:rStyle w:val="Hyperlink"/>
                <w:rFonts w:asciiTheme="minorHAnsi" w:hAnsiTheme="minorHAnsi" w:cstheme="minorHAnsi"/>
                <w:noProof/>
                <w:sz w:val="24"/>
              </w:rPr>
              <w:t>Recommendation 4: Product pricing</w:t>
            </w:r>
            <w:r w:rsidRPr="00AF4419">
              <w:rPr>
                <w:rFonts w:asciiTheme="minorHAnsi" w:hAnsiTheme="minorHAnsi" w:cstheme="minorHAnsi"/>
                <w:noProof/>
                <w:webHidden/>
                <w:sz w:val="24"/>
              </w:rPr>
              <w:tab/>
            </w:r>
            <w:r w:rsidRPr="00AF4419">
              <w:rPr>
                <w:rFonts w:asciiTheme="minorHAnsi" w:hAnsiTheme="minorHAnsi" w:cstheme="minorHAnsi"/>
                <w:noProof/>
                <w:webHidden/>
                <w:sz w:val="24"/>
              </w:rPr>
              <w:fldChar w:fldCharType="begin"/>
            </w:r>
            <w:r w:rsidRPr="00AF4419">
              <w:rPr>
                <w:rFonts w:asciiTheme="minorHAnsi" w:hAnsiTheme="minorHAnsi" w:cstheme="minorHAnsi"/>
                <w:noProof/>
                <w:webHidden/>
                <w:sz w:val="24"/>
              </w:rPr>
              <w:instrText xml:space="preserve"> PAGEREF _Toc184108518 \h </w:instrText>
            </w:r>
            <w:r w:rsidRPr="00AF4419">
              <w:rPr>
                <w:rFonts w:asciiTheme="minorHAnsi" w:hAnsiTheme="minorHAnsi" w:cstheme="minorHAnsi"/>
                <w:noProof/>
                <w:webHidden/>
                <w:sz w:val="24"/>
              </w:rPr>
            </w:r>
            <w:r w:rsidRPr="00AF4419">
              <w:rPr>
                <w:rFonts w:asciiTheme="minorHAnsi" w:hAnsiTheme="minorHAnsi" w:cstheme="minorHAnsi"/>
                <w:noProof/>
                <w:webHidden/>
                <w:sz w:val="24"/>
              </w:rPr>
              <w:fldChar w:fldCharType="separate"/>
            </w:r>
            <w:r w:rsidRPr="00AF4419">
              <w:rPr>
                <w:rFonts w:asciiTheme="minorHAnsi" w:hAnsiTheme="minorHAnsi" w:cstheme="minorHAnsi"/>
                <w:noProof/>
                <w:webHidden/>
                <w:sz w:val="24"/>
              </w:rPr>
              <w:t>6</w:t>
            </w:r>
            <w:r w:rsidRPr="00AF4419">
              <w:rPr>
                <w:rFonts w:asciiTheme="minorHAnsi" w:hAnsiTheme="minorHAnsi" w:cstheme="minorHAnsi"/>
                <w:noProof/>
                <w:webHidden/>
                <w:sz w:val="24"/>
              </w:rPr>
              <w:fldChar w:fldCharType="end"/>
            </w:r>
          </w:hyperlink>
        </w:p>
        <w:p w14:paraId="5DD8A44B" w14:textId="3DCB3D21" w:rsidR="00AF4419" w:rsidRPr="00AF4419" w:rsidRDefault="00AF4419">
          <w:pPr>
            <w:pStyle w:val="TOC3"/>
            <w:tabs>
              <w:tab w:val="right" w:leader="dot" w:pos="9060"/>
            </w:tabs>
            <w:rPr>
              <w:rFonts w:asciiTheme="minorHAnsi" w:eastAsiaTheme="minorEastAsia" w:hAnsiTheme="minorHAnsi" w:cstheme="minorHAnsi"/>
              <w:noProof/>
              <w:color w:val="auto"/>
              <w:kern w:val="2"/>
              <w:sz w:val="24"/>
              <w:lang w:eastAsia="en-AU"/>
              <w14:ligatures w14:val="standardContextual"/>
            </w:rPr>
          </w:pPr>
          <w:hyperlink w:anchor="_Toc184108519" w:history="1">
            <w:r w:rsidRPr="00AF4419">
              <w:rPr>
                <w:rStyle w:val="Hyperlink"/>
                <w:rFonts w:asciiTheme="minorHAnsi" w:hAnsiTheme="minorHAnsi" w:cstheme="minorHAnsi"/>
                <w:noProof/>
                <w:sz w:val="24"/>
              </w:rPr>
              <w:t>Other Issues</w:t>
            </w:r>
            <w:r w:rsidRPr="00AF4419">
              <w:rPr>
                <w:rFonts w:asciiTheme="minorHAnsi" w:hAnsiTheme="minorHAnsi" w:cstheme="minorHAnsi"/>
                <w:noProof/>
                <w:webHidden/>
                <w:sz w:val="24"/>
              </w:rPr>
              <w:tab/>
            </w:r>
            <w:r w:rsidRPr="00AF4419">
              <w:rPr>
                <w:rFonts w:asciiTheme="minorHAnsi" w:hAnsiTheme="minorHAnsi" w:cstheme="minorHAnsi"/>
                <w:noProof/>
                <w:webHidden/>
                <w:sz w:val="24"/>
              </w:rPr>
              <w:fldChar w:fldCharType="begin"/>
            </w:r>
            <w:r w:rsidRPr="00AF4419">
              <w:rPr>
                <w:rFonts w:asciiTheme="minorHAnsi" w:hAnsiTheme="minorHAnsi" w:cstheme="minorHAnsi"/>
                <w:noProof/>
                <w:webHidden/>
                <w:sz w:val="24"/>
              </w:rPr>
              <w:instrText xml:space="preserve"> PAGEREF _Toc184108519 \h </w:instrText>
            </w:r>
            <w:r w:rsidRPr="00AF4419">
              <w:rPr>
                <w:rFonts w:asciiTheme="minorHAnsi" w:hAnsiTheme="minorHAnsi" w:cstheme="minorHAnsi"/>
                <w:noProof/>
                <w:webHidden/>
                <w:sz w:val="24"/>
              </w:rPr>
            </w:r>
            <w:r w:rsidRPr="00AF4419">
              <w:rPr>
                <w:rFonts w:asciiTheme="minorHAnsi" w:hAnsiTheme="minorHAnsi" w:cstheme="minorHAnsi"/>
                <w:noProof/>
                <w:webHidden/>
                <w:sz w:val="24"/>
              </w:rPr>
              <w:fldChar w:fldCharType="separate"/>
            </w:r>
            <w:r w:rsidRPr="00AF4419">
              <w:rPr>
                <w:rFonts w:asciiTheme="minorHAnsi" w:hAnsiTheme="minorHAnsi" w:cstheme="minorHAnsi"/>
                <w:noProof/>
                <w:webHidden/>
                <w:sz w:val="24"/>
              </w:rPr>
              <w:t>6</w:t>
            </w:r>
            <w:r w:rsidRPr="00AF4419">
              <w:rPr>
                <w:rFonts w:asciiTheme="minorHAnsi" w:hAnsiTheme="minorHAnsi" w:cstheme="minorHAnsi"/>
                <w:noProof/>
                <w:webHidden/>
                <w:sz w:val="24"/>
              </w:rPr>
              <w:fldChar w:fldCharType="end"/>
            </w:r>
          </w:hyperlink>
        </w:p>
        <w:p w14:paraId="5B23ADA2" w14:textId="2399EF6F" w:rsidR="00AF4419" w:rsidRPr="00AF4419" w:rsidRDefault="00AF4419">
          <w:pPr>
            <w:pStyle w:val="TOC2"/>
            <w:tabs>
              <w:tab w:val="right" w:leader="dot" w:pos="9060"/>
            </w:tabs>
            <w:rPr>
              <w:rFonts w:asciiTheme="minorHAnsi" w:eastAsiaTheme="minorEastAsia" w:hAnsiTheme="minorHAnsi" w:cstheme="minorHAnsi"/>
              <w:noProof/>
              <w:color w:val="auto"/>
              <w:kern w:val="2"/>
              <w:sz w:val="24"/>
              <w:lang w:eastAsia="en-AU"/>
              <w14:ligatures w14:val="standardContextual"/>
            </w:rPr>
          </w:pPr>
          <w:hyperlink w:anchor="_Toc184108520" w:history="1">
            <w:r w:rsidRPr="00AF4419">
              <w:rPr>
                <w:rStyle w:val="Hyperlink"/>
                <w:rFonts w:asciiTheme="minorHAnsi" w:hAnsiTheme="minorHAnsi" w:cstheme="minorHAnsi"/>
                <w:noProof/>
                <w:sz w:val="24"/>
              </w:rPr>
              <w:t>Next Steps</w:t>
            </w:r>
            <w:r w:rsidRPr="00AF4419">
              <w:rPr>
                <w:rFonts w:asciiTheme="minorHAnsi" w:hAnsiTheme="minorHAnsi" w:cstheme="minorHAnsi"/>
                <w:noProof/>
                <w:webHidden/>
                <w:sz w:val="24"/>
              </w:rPr>
              <w:tab/>
            </w:r>
            <w:r w:rsidRPr="00AF4419">
              <w:rPr>
                <w:rFonts w:asciiTheme="minorHAnsi" w:hAnsiTheme="minorHAnsi" w:cstheme="minorHAnsi"/>
                <w:noProof/>
                <w:webHidden/>
                <w:sz w:val="24"/>
              </w:rPr>
              <w:fldChar w:fldCharType="begin"/>
            </w:r>
            <w:r w:rsidRPr="00AF4419">
              <w:rPr>
                <w:rFonts w:asciiTheme="minorHAnsi" w:hAnsiTheme="minorHAnsi" w:cstheme="minorHAnsi"/>
                <w:noProof/>
                <w:webHidden/>
                <w:sz w:val="24"/>
              </w:rPr>
              <w:instrText xml:space="preserve"> PAGEREF _Toc184108520 \h </w:instrText>
            </w:r>
            <w:r w:rsidRPr="00AF4419">
              <w:rPr>
                <w:rFonts w:asciiTheme="minorHAnsi" w:hAnsiTheme="minorHAnsi" w:cstheme="minorHAnsi"/>
                <w:noProof/>
                <w:webHidden/>
                <w:sz w:val="24"/>
              </w:rPr>
            </w:r>
            <w:r w:rsidRPr="00AF4419">
              <w:rPr>
                <w:rFonts w:asciiTheme="minorHAnsi" w:hAnsiTheme="minorHAnsi" w:cstheme="minorHAnsi"/>
                <w:noProof/>
                <w:webHidden/>
                <w:sz w:val="24"/>
              </w:rPr>
              <w:fldChar w:fldCharType="separate"/>
            </w:r>
            <w:r w:rsidRPr="00AF4419">
              <w:rPr>
                <w:rFonts w:asciiTheme="minorHAnsi" w:hAnsiTheme="minorHAnsi" w:cstheme="minorHAnsi"/>
                <w:noProof/>
                <w:webHidden/>
                <w:sz w:val="24"/>
              </w:rPr>
              <w:t>7</w:t>
            </w:r>
            <w:r w:rsidRPr="00AF4419">
              <w:rPr>
                <w:rFonts w:asciiTheme="minorHAnsi" w:hAnsiTheme="minorHAnsi" w:cstheme="minorHAnsi"/>
                <w:noProof/>
                <w:webHidden/>
                <w:sz w:val="24"/>
              </w:rPr>
              <w:fldChar w:fldCharType="end"/>
            </w:r>
          </w:hyperlink>
        </w:p>
        <w:p w14:paraId="4E08BCC9" w14:textId="02C8F845" w:rsidR="00407605" w:rsidRPr="004607B9" w:rsidRDefault="00407605" w:rsidP="003800FF">
          <w:pPr>
            <w:spacing w:line="240" w:lineRule="auto"/>
            <w:rPr>
              <w:rFonts w:asciiTheme="minorHAnsi" w:hAnsiTheme="minorHAnsi" w:cstheme="minorHAnsi"/>
              <w:sz w:val="24"/>
            </w:rPr>
          </w:pPr>
          <w:r w:rsidRPr="004607B9">
            <w:rPr>
              <w:rFonts w:asciiTheme="minorHAnsi" w:hAnsiTheme="minorHAnsi" w:cstheme="minorHAnsi"/>
              <w:b/>
              <w:bCs/>
              <w:noProof/>
              <w:sz w:val="24"/>
            </w:rPr>
            <w:fldChar w:fldCharType="end"/>
          </w:r>
        </w:p>
      </w:sdtContent>
    </w:sdt>
    <w:p w14:paraId="309EA7DC" w14:textId="77777777" w:rsidR="00407605" w:rsidRDefault="00407605" w:rsidP="003800FF">
      <w:pPr>
        <w:pStyle w:val="Heading1"/>
        <w:rPr>
          <w:rFonts w:asciiTheme="minorHAnsi" w:hAnsiTheme="minorHAnsi" w:cstheme="minorHAnsi"/>
          <w:b w:val="0"/>
          <w:bCs w:val="0"/>
        </w:rPr>
      </w:pPr>
    </w:p>
    <w:p w14:paraId="0B4CB1F1" w14:textId="77777777" w:rsidR="00407605" w:rsidRDefault="00407605" w:rsidP="003800FF">
      <w:pPr>
        <w:spacing w:before="0" w:after="0" w:line="240" w:lineRule="auto"/>
        <w:rPr>
          <w:rFonts w:asciiTheme="minorHAnsi" w:hAnsiTheme="minorHAnsi" w:cstheme="minorHAnsi"/>
          <w:color w:val="3F4A75"/>
          <w:kern w:val="28"/>
          <w:sz w:val="44"/>
          <w:szCs w:val="36"/>
        </w:rPr>
      </w:pPr>
      <w:r>
        <w:rPr>
          <w:rFonts w:asciiTheme="minorHAnsi" w:hAnsiTheme="minorHAnsi" w:cstheme="minorHAnsi"/>
          <w:b/>
          <w:bCs/>
        </w:rPr>
        <w:br w:type="page"/>
      </w:r>
    </w:p>
    <w:p w14:paraId="10545F19" w14:textId="223F851C" w:rsidR="00FA7B72" w:rsidRPr="00FA7B72" w:rsidRDefault="0049055B" w:rsidP="003800FF">
      <w:pPr>
        <w:pStyle w:val="Heading2"/>
      </w:pPr>
      <w:bookmarkStart w:id="2" w:name="_Toc184108513"/>
      <w:bookmarkEnd w:id="1"/>
      <w:r>
        <w:lastRenderedPageBreak/>
        <w:t>Background</w:t>
      </w:r>
      <w:bookmarkEnd w:id="2"/>
      <w:r w:rsidRPr="00FA7B72">
        <w:t xml:space="preserve"> </w:t>
      </w:r>
    </w:p>
    <w:p w14:paraId="32B04F4A" w14:textId="61F58073" w:rsidR="00FC50FB" w:rsidRDefault="00FC50FB" w:rsidP="003800FF">
      <w:pPr>
        <w:spacing w:line="240" w:lineRule="auto"/>
        <w:rPr>
          <w:rFonts w:asciiTheme="minorHAnsi" w:hAnsiTheme="minorHAnsi" w:cstheme="minorHAnsi"/>
          <w:sz w:val="24"/>
        </w:rPr>
      </w:pPr>
      <w:r w:rsidRPr="00FC50FB">
        <w:rPr>
          <w:rFonts w:asciiTheme="minorHAnsi" w:hAnsiTheme="minorHAnsi" w:cstheme="minorHAnsi"/>
          <w:sz w:val="24"/>
        </w:rPr>
        <w:t xml:space="preserve">The </w:t>
      </w:r>
      <w:r w:rsidR="00E7740C">
        <w:rPr>
          <w:rFonts w:asciiTheme="minorHAnsi" w:hAnsiTheme="minorHAnsi" w:cstheme="minorHAnsi"/>
          <w:sz w:val="24"/>
        </w:rPr>
        <w:t>Department of Health and Aged Care (the department)</w:t>
      </w:r>
      <w:r w:rsidRPr="00FC50FB">
        <w:rPr>
          <w:rFonts w:asciiTheme="minorHAnsi" w:hAnsiTheme="minorHAnsi" w:cstheme="minorHAnsi"/>
          <w:sz w:val="24"/>
        </w:rPr>
        <w:t xml:space="preserve"> </w:t>
      </w:r>
      <w:r w:rsidR="00E7740C">
        <w:rPr>
          <w:rFonts w:asciiTheme="minorHAnsi" w:hAnsiTheme="minorHAnsi" w:cstheme="minorHAnsi"/>
          <w:sz w:val="24"/>
        </w:rPr>
        <w:t xml:space="preserve">is undertaking </w:t>
      </w:r>
      <w:r w:rsidRPr="00FC50FB">
        <w:rPr>
          <w:rFonts w:asciiTheme="minorHAnsi" w:hAnsiTheme="minorHAnsi" w:cstheme="minorHAnsi"/>
          <w:sz w:val="24"/>
        </w:rPr>
        <w:t>a comprehensive review of the Stoma Appliance Scheme (SAS) Schedule. The aim of the SAS Schedule Review (the Review) is to make sure all the products listed are clinically effective, correctly priced, and cost-effective.</w:t>
      </w:r>
    </w:p>
    <w:p w14:paraId="6C4C269C" w14:textId="40F90AA5" w:rsidR="00EC38B4" w:rsidRDefault="007559EC" w:rsidP="003800FF">
      <w:pPr>
        <w:pStyle w:val="Header"/>
        <w:rPr>
          <w:rFonts w:asciiTheme="minorHAnsi" w:hAnsiTheme="minorHAnsi" w:cstheme="minorHAnsi"/>
          <w:sz w:val="24"/>
        </w:rPr>
      </w:pPr>
      <w:r>
        <w:rPr>
          <w:rFonts w:asciiTheme="minorHAnsi" w:hAnsiTheme="minorHAnsi" w:cstheme="minorHAnsi"/>
          <w:sz w:val="24"/>
        </w:rPr>
        <w:t>T</w:t>
      </w:r>
      <w:r w:rsidR="00AC2451" w:rsidRPr="00FC50FB">
        <w:rPr>
          <w:rFonts w:asciiTheme="minorHAnsi" w:hAnsiTheme="minorHAnsi" w:cstheme="minorHAnsi"/>
          <w:sz w:val="24"/>
        </w:rPr>
        <w:t xml:space="preserve">he </w:t>
      </w:r>
      <w:r w:rsidR="00E7740C">
        <w:rPr>
          <w:rFonts w:asciiTheme="minorHAnsi" w:hAnsiTheme="minorHAnsi" w:cstheme="minorHAnsi"/>
          <w:sz w:val="24"/>
        </w:rPr>
        <w:t xml:space="preserve">independent </w:t>
      </w:r>
      <w:r w:rsidR="00AC2451" w:rsidRPr="00FC50FB">
        <w:rPr>
          <w:rFonts w:asciiTheme="minorHAnsi" w:hAnsiTheme="minorHAnsi" w:cstheme="minorHAnsi"/>
          <w:sz w:val="24"/>
        </w:rPr>
        <w:t>S</w:t>
      </w:r>
      <w:r w:rsidR="00FC50FB">
        <w:rPr>
          <w:rFonts w:asciiTheme="minorHAnsi" w:hAnsiTheme="minorHAnsi" w:cstheme="minorHAnsi"/>
          <w:sz w:val="24"/>
        </w:rPr>
        <w:t xml:space="preserve">toma </w:t>
      </w:r>
      <w:r w:rsidR="00AC2451" w:rsidRPr="00FC50FB">
        <w:rPr>
          <w:rFonts w:asciiTheme="minorHAnsi" w:hAnsiTheme="minorHAnsi" w:cstheme="minorHAnsi"/>
          <w:sz w:val="24"/>
        </w:rPr>
        <w:t>P</w:t>
      </w:r>
      <w:r w:rsidR="00FC50FB">
        <w:rPr>
          <w:rFonts w:asciiTheme="minorHAnsi" w:hAnsiTheme="minorHAnsi" w:cstheme="minorHAnsi"/>
          <w:sz w:val="24"/>
        </w:rPr>
        <w:t xml:space="preserve">roduct </w:t>
      </w:r>
      <w:r w:rsidR="00AC2451" w:rsidRPr="00FC50FB">
        <w:rPr>
          <w:rFonts w:asciiTheme="minorHAnsi" w:hAnsiTheme="minorHAnsi" w:cstheme="minorHAnsi"/>
          <w:sz w:val="24"/>
        </w:rPr>
        <w:t>A</w:t>
      </w:r>
      <w:r w:rsidR="00FC50FB">
        <w:rPr>
          <w:rFonts w:asciiTheme="minorHAnsi" w:hAnsiTheme="minorHAnsi" w:cstheme="minorHAnsi"/>
          <w:sz w:val="24"/>
        </w:rPr>
        <w:t xml:space="preserve">ssessment </w:t>
      </w:r>
      <w:r w:rsidR="00AC2451" w:rsidRPr="00FC50FB">
        <w:rPr>
          <w:rFonts w:asciiTheme="minorHAnsi" w:hAnsiTheme="minorHAnsi" w:cstheme="minorHAnsi"/>
          <w:sz w:val="24"/>
        </w:rPr>
        <w:t>P</w:t>
      </w:r>
      <w:r w:rsidR="00FC50FB">
        <w:rPr>
          <w:rFonts w:asciiTheme="minorHAnsi" w:hAnsiTheme="minorHAnsi" w:cstheme="minorHAnsi"/>
          <w:sz w:val="24"/>
        </w:rPr>
        <w:t>anel</w:t>
      </w:r>
      <w:r w:rsidR="00AC2451" w:rsidRPr="00FC50FB">
        <w:rPr>
          <w:rFonts w:asciiTheme="minorHAnsi" w:hAnsiTheme="minorHAnsi" w:cstheme="minorHAnsi"/>
          <w:sz w:val="24"/>
        </w:rPr>
        <w:t xml:space="preserve"> </w:t>
      </w:r>
      <w:r>
        <w:rPr>
          <w:rFonts w:asciiTheme="minorHAnsi" w:hAnsiTheme="minorHAnsi" w:cstheme="minorHAnsi"/>
          <w:sz w:val="24"/>
        </w:rPr>
        <w:t xml:space="preserve">(SPAP) </w:t>
      </w:r>
      <w:r w:rsidR="00AC2451" w:rsidRPr="00FC50FB">
        <w:rPr>
          <w:rFonts w:asciiTheme="minorHAnsi" w:hAnsiTheme="minorHAnsi" w:cstheme="minorHAnsi"/>
          <w:sz w:val="24"/>
        </w:rPr>
        <w:t>and the department developed 4 recommendations for changes to the SAS and the SAS Schedule.</w:t>
      </w:r>
      <w:r w:rsidR="006A43F6">
        <w:rPr>
          <w:rFonts w:asciiTheme="minorHAnsi" w:hAnsiTheme="minorHAnsi" w:cstheme="minorHAnsi"/>
          <w:sz w:val="24"/>
        </w:rPr>
        <w:t xml:space="preserve"> These recommendations are the result of</w:t>
      </w:r>
      <w:r w:rsidR="006A43F6" w:rsidRPr="00FC50FB">
        <w:rPr>
          <w:rFonts w:asciiTheme="minorHAnsi" w:hAnsiTheme="minorHAnsi" w:cstheme="minorHAnsi"/>
          <w:sz w:val="24"/>
        </w:rPr>
        <w:t xml:space="preserve"> consideration of current issues with the SAS Schedule, stakeholder feedback on the SAS Schedule and </w:t>
      </w:r>
      <w:r w:rsidR="006A43F6">
        <w:rPr>
          <w:rFonts w:asciiTheme="minorHAnsi" w:hAnsiTheme="minorHAnsi" w:cstheme="minorHAnsi"/>
          <w:sz w:val="24"/>
        </w:rPr>
        <w:t>a report by an external consultant (</w:t>
      </w:r>
      <w:proofErr w:type="spellStart"/>
      <w:r w:rsidR="006A43F6" w:rsidRPr="00FC50FB">
        <w:rPr>
          <w:rFonts w:asciiTheme="minorHAnsi" w:hAnsiTheme="minorHAnsi" w:cstheme="minorHAnsi"/>
          <w:sz w:val="24"/>
        </w:rPr>
        <w:t>HealthConsult</w:t>
      </w:r>
      <w:proofErr w:type="spellEnd"/>
      <w:r w:rsidR="006A43F6">
        <w:rPr>
          <w:rFonts w:asciiTheme="minorHAnsi" w:hAnsiTheme="minorHAnsi" w:cstheme="minorHAnsi"/>
          <w:sz w:val="24"/>
        </w:rPr>
        <w:t>).</w:t>
      </w:r>
      <w:r w:rsidR="00E7740C">
        <w:rPr>
          <w:rFonts w:asciiTheme="minorHAnsi" w:hAnsiTheme="minorHAnsi" w:cstheme="minorHAnsi"/>
          <w:sz w:val="24"/>
        </w:rPr>
        <w:t xml:space="preserve"> </w:t>
      </w:r>
    </w:p>
    <w:p w14:paraId="1710B40E" w14:textId="77777777" w:rsidR="00EC38B4" w:rsidRDefault="00EC38B4" w:rsidP="003800FF">
      <w:pPr>
        <w:pStyle w:val="Header"/>
        <w:rPr>
          <w:rFonts w:asciiTheme="minorHAnsi" w:hAnsiTheme="minorHAnsi" w:cstheme="minorHAnsi"/>
          <w:sz w:val="24"/>
        </w:rPr>
      </w:pPr>
    </w:p>
    <w:p w14:paraId="59128D74" w14:textId="77777777" w:rsidR="00EC7644" w:rsidRDefault="00EC38B4" w:rsidP="00363FED">
      <w:pPr>
        <w:pStyle w:val="Header"/>
        <w:numPr>
          <w:ilvl w:val="0"/>
          <w:numId w:val="58"/>
        </w:numPr>
        <w:rPr>
          <w:rFonts w:asciiTheme="minorHAnsi" w:hAnsiTheme="minorHAnsi" w:cstheme="minorHAnsi"/>
          <w:sz w:val="24"/>
        </w:rPr>
      </w:pPr>
      <w:r w:rsidRPr="00EC7644">
        <w:rPr>
          <w:rFonts w:asciiTheme="minorHAnsi" w:hAnsiTheme="minorHAnsi" w:cstheme="minorHAnsi"/>
          <w:sz w:val="24"/>
        </w:rPr>
        <w:t xml:space="preserve">The SAS should maintain its focus on stomas originating from the urinary and gastrointestinal tract for the removal of waste. The current eligibility criteria should not expand to cover non-gastrointestinal stomas and stomas not for the removal of waste. </w:t>
      </w:r>
    </w:p>
    <w:p w14:paraId="68C5A8D2" w14:textId="77777777" w:rsidR="00EC7644" w:rsidRDefault="00EC38B4" w:rsidP="00EC7644">
      <w:pPr>
        <w:pStyle w:val="Header"/>
        <w:numPr>
          <w:ilvl w:val="0"/>
          <w:numId w:val="58"/>
        </w:numPr>
        <w:rPr>
          <w:rFonts w:asciiTheme="minorHAnsi" w:hAnsiTheme="minorHAnsi" w:cstheme="minorHAnsi"/>
          <w:sz w:val="24"/>
        </w:rPr>
      </w:pPr>
      <w:r w:rsidRPr="00EC7644">
        <w:rPr>
          <w:rFonts w:asciiTheme="minorHAnsi" w:hAnsiTheme="minorHAnsi" w:cstheme="minorHAnsi"/>
          <w:sz w:val="24"/>
        </w:rPr>
        <w:t>Review the current maximum quantity restrictions on all products to ensure these are in line with clinical requirements.</w:t>
      </w:r>
    </w:p>
    <w:p w14:paraId="431FBB38" w14:textId="40611DEB" w:rsidR="00EC7644" w:rsidRPr="00EC7644" w:rsidRDefault="00EC38B4" w:rsidP="00EC7644">
      <w:pPr>
        <w:pStyle w:val="Header"/>
        <w:numPr>
          <w:ilvl w:val="0"/>
          <w:numId w:val="58"/>
        </w:numPr>
        <w:rPr>
          <w:rFonts w:asciiTheme="minorHAnsi" w:hAnsiTheme="minorHAnsi" w:cstheme="minorHAnsi"/>
          <w:sz w:val="24"/>
        </w:rPr>
      </w:pPr>
      <w:r w:rsidRPr="00EC7644">
        <w:rPr>
          <w:rFonts w:asciiTheme="minorHAnsi" w:hAnsiTheme="minorHAnsi" w:cstheme="minorHAnsi"/>
          <w:sz w:val="24"/>
        </w:rPr>
        <w:t>Group 9 (accessory products) should be split into 2 groups to differentiate between products that are necessary to manage a stoma and those that are discretionary. Products considered to be discretionary should have higher evidence requirements for listing and stricter maximum quantities and restrictions.</w:t>
      </w:r>
    </w:p>
    <w:p w14:paraId="4B5BB027" w14:textId="10F932D4" w:rsidR="00EC38B4" w:rsidRPr="00EC7644" w:rsidRDefault="00EC38B4" w:rsidP="00EC7644">
      <w:pPr>
        <w:pStyle w:val="Header"/>
        <w:numPr>
          <w:ilvl w:val="0"/>
          <w:numId w:val="58"/>
        </w:numPr>
        <w:rPr>
          <w:rFonts w:asciiTheme="minorHAnsi" w:hAnsiTheme="minorHAnsi" w:cstheme="minorHAnsi"/>
          <w:sz w:val="24"/>
        </w:rPr>
      </w:pPr>
      <w:r w:rsidRPr="00EC7644">
        <w:rPr>
          <w:rFonts w:asciiTheme="minorHAnsi" w:hAnsiTheme="minorHAnsi" w:cstheme="minorHAnsi"/>
          <w:sz w:val="24"/>
        </w:rPr>
        <w:t>Maintain the current benchmark and premium pricing model for most products on the SAS Schedule and consider a price increase for products as well as regular pricing reviews.</w:t>
      </w:r>
    </w:p>
    <w:p w14:paraId="78ED82CD" w14:textId="79D547DD" w:rsidR="005F279E" w:rsidRDefault="005F279E" w:rsidP="003800FF">
      <w:pPr>
        <w:spacing w:line="240" w:lineRule="auto"/>
        <w:rPr>
          <w:rFonts w:asciiTheme="minorHAnsi" w:hAnsiTheme="minorHAnsi" w:cstheme="minorHAnsi"/>
          <w:sz w:val="24"/>
        </w:rPr>
      </w:pPr>
      <w:r>
        <w:rPr>
          <w:rFonts w:asciiTheme="minorHAnsi" w:hAnsiTheme="minorHAnsi" w:cstheme="minorHAnsi"/>
          <w:sz w:val="24"/>
        </w:rPr>
        <w:t>We undertook a national consultation from</w:t>
      </w:r>
      <w:r w:rsidRPr="00A44854">
        <w:rPr>
          <w:rFonts w:asciiTheme="minorHAnsi" w:hAnsiTheme="minorHAnsi" w:cstheme="minorHAnsi"/>
          <w:sz w:val="24"/>
        </w:rPr>
        <w:t xml:space="preserve"> 2 September </w:t>
      </w:r>
      <w:r>
        <w:rPr>
          <w:rFonts w:asciiTheme="minorHAnsi" w:hAnsiTheme="minorHAnsi" w:cstheme="minorHAnsi"/>
          <w:sz w:val="24"/>
        </w:rPr>
        <w:t>2024 to</w:t>
      </w:r>
      <w:r w:rsidRPr="00A44854">
        <w:rPr>
          <w:rFonts w:asciiTheme="minorHAnsi" w:hAnsiTheme="minorHAnsi" w:cstheme="minorHAnsi"/>
          <w:sz w:val="24"/>
        </w:rPr>
        <w:t xml:space="preserve"> 6</w:t>
      </w:r>
      <w:r>
        <w:rPr>
          <w:rFonts w:asciiTheme="minorHAnsi" w:hAnsiTheme="minorHAnsi" w:cstheme="minorHAnsi"/>
          <w:sz w:val="24"/>
        </w:rPr>
        <w:t> </w:t>
      </w:r>
      <w:r w:rsidRPr="00A44854">
        <w:rPr>
          <w:rFonts w:asciiTheme="minorHAnsi" w:hAnsiTheme="minorHAnsi" w:cstheme="minorHAnsi"/>
          <w:sz w:val="24"/>
        </w:rPr>
        <w:t>October 2024</w:t>
      </w:r>
      <w:r>
        <w:rPr>
          <w:rFonts w:asciiTheme="minorHAnsi" w:hAnsiTheme="minorHAnsi" w:cstheme="minorHAnsi"/>
          <w:sz w:val="24"/>
        </w:rPr>
        <w:t xml:space="preserve"> to seek stakeholder views on these </w:t>
      </w:r>
      <w:r w:rsidRPr="00A44854">
        <w:rPr>
          <w:rFonts w:asciiTheme="minorHAnsi" w:hAnsiTheme="minorHAnsi" w:cstheme="minorHAnsi"/>
          <w:sz w:val="24"/>
        </w:rPr>
        <w:t>proposed changes</w:t>
      </w:r>
      <w:r>
        <w:rPr>
          <w:rFonts w:asciiTheme="minorHAnsi" w:hAnsiTheme="minorHAnsi" w:cstheme="minorHAnsi"/>
          <w:sz w:val="24"/>
        </w:rPr>
        <w:t xml:space="preserve">. </w:t>
      </w:r>
    </w:p>
    <w:p w14:paraId="7801F119" w14:textId="2508967D" w:rsidR="00467F4B" w:rsidRDefault="008653AD" w:rsidP="003800FF">
      <w:pPr>
        <w:spacing w:line="240" w:lineRule="auto"/>
        <w:rPr>
          <w:rFonts w:asciiTheme="minorHAnsi" w:hAnsiTheme="minorHAnsi" w:cstheme="minorHAnsi"/>
          <w:sz w:val="24"/>
        </w:rPr>
      </w:pPr>
      <w:r>
        <w:rPr>
          <w:rFonts w:asciiTheme="minorHAnsi" w:hAnsiTheme="minorHAnsi" w:cstheme="minorHAnsi"/>
          <w:sz w:val="24"/>
        </w:rPr>
        <w:t xml:space="preserve">The </w:t>
      </w:r>
      <w:hyperlink r:id="rId14" w:history="1">
        <w:r w:rsidRPr="00FA079F">
          <w:rPr>
            <w:rStyle w:val="Hyperlink"/>
            <w:rFonts w:asciiTheme="minorHAnsi" w:hAnsiTheme="minorHAnsi" w:cstheme="minorHAnsi"/>
            <w:sz w:val="24"/>
          </w:rPr>
          <w:t>Consultation Paper</w:t>
        </w:r>
      </w:hyperlink>
      <w:r>
        <w:rPr>
          <w:rFonts w:asciiTheme="minorHAnsi" w:hAnsiTheme="minorHAnsi" w:cstheme="minorHAnsi"/>
          <w:sz w:val="24"/>
        </w:rPr>
        <w:t xml:space="preserve"> provides more details of the </w:t>
      </w:r>
      <w:r w:rsidR="00B86D2D">
        <w:rPr>
          <w:rFonts w:asciiTheme="minorHAnsi" w:hAnsiTheme="minorHAnsi" w:cstheme="minorHAnsi"/>
          <w:sz w:val="24"/>
        </w:rPr>
        <w:t xml:space="preserve">SAS Schedule </w:t>
      </w:r>
      <w:r>
        <w:rPr>
          <w:rFonts w:asciiTheme="minorHAnsi" w:hAnsiTheme="minorHAnsi" w:cstheme="minorHAnsi"/>
          <w:sz w:val="24"/>
        </w:rPr>
        <w:t xml:space="preserve">Review and the consultation. </w:t>
      </w:r>
    </w:p>
    <w:p w14:paraId="314A65F5" w14:textId="1D291E84" w:rsidR="0049055B" w:rsidRDefault="0049055B" w:rsidP="003800FF">
      <w:pPr>
        <w:pStyle w:val="Heading2"/>
        <w:rPr>
          <w:rFonts w:asciiTheme="minorHAnsi" w:hAnsiTheme="minorHAnsi" w:cstheme="minorHAnsi"/>
          <w:sz w:val="24"/>
        </w:rPr>
      </w:pPr>
      <w:bookmarkStart w:id="3" w:name="_Toc184108514"/>
      <w:r w:rsidRPr="00FA7B72">
        <w:t>Consultation</w:t>
      </w:r>
      <w:r>
        <w:t xml:space="preserve"> Outcomes</w:t>
      </w:r>
      <w:bookmarkEnd w:id="3"/>
    </w:p>
    <w:p w14:paraId="7D8B3474" w14:textId="77777777" w:rsidR="00467F4B" w:rsidRDefault="00467F4B" w:rsidP="003800FF">
      <w:pPr>
        <w:spacing w:line="240" w:lineRule="auto"/>
        <w:rPr>
          <w:rFonts w:asciiTheme="minorHAnsi" w:hAnsiTheme="minorHAnsi" w:cstheme="minorHAnsi"/>
          <w:sz w:val="24"/>
        </w:rPr>
      </w:pPr>
      <w:r>
        <w:rPr>
          <w:rFonts w:asciiTheme="minorHAnsi" w:hAnsiTheme="minorHAnsi" w:cstheme="minorHAnsi"/>
          <w:sz w:val="24"/>
        </w:rPr>
        <w:t>438 participants took part</w:t>
      </w:r>
      <w:r w:rsidRPr="00A44854">
        <w:rPr>
          <w:rFonts w:asciiTheme="minorHAnsi" w:hAnsiTheme="minorHAnsi" w:cstheme="minorHAnsi"/>
          <w:sz w:val="24"/>
        </w:rPr>
        <w:t xml:space="preserve"> in the consultation including ostomates</w:t>
      </w:r>
      <w:r>
        <w:rPr>
          <w:rFonts w:asciiTheme="minorHAnsi" w:hAnsiTheme="minorHAnsi" w:cstheme="minorHAnsi"/>
          <w:sz w:val="24"/>
        </w:rPr>
        <w:t xml:space="preserve"> and carers of ostomates</w:t>
      </w:r>
      <w:r w:rsidRPr="00A44854">
        <w:rPr>
          <w:rFonts w:asciiTheme="minorHAnsi" w:hAnsiTheme="minorHAnsi" w:cstheme="minorHAnsi"/>
          <w:sz w:val="24"/>
        </w:rPr>
        <w:t xml:space="preserve">, </w:t>
      </w:r>
      <w:r>
        <w:rPr>
          <w:rFonts w:asciiTheme="minorHAnsi" w:hAnsiTheme="minorHAnsi" w:cstheme="minorHAnsi"/>
          <w:sz w:val="24"/>
        </w:rPr>
        <w:t>s</w:t>
      </w:r>
      <w:r w:rsidRPr="00A44854">
        <w:rPr>
          <w:rFonts w:asciiTheme="minorHAnsi" w:hAnsiTheme="minorHAnsi" w:cstheme="minorHAnsi"/>
          <w:sz w:val="24"/>
        </w:rPr>
        <w:t xml:space="preserve">tomal </w:t>
      </w:r>
      <w:r>
        <w:rPr>
          <w:rFonts w:asciiTheme="minorHAnsi" w:hAnsiTheme="minorHAnsi" w:cstheme="minorHAnsi"/>
          <w:sz w:val="24"/>
        </w:rPr>
        <w:t>t</w:t>
      </w:r>
      <w:r w:rsidRPr="00A44854">
        <w:rPr>
          <w:rFonts w:asciiTheme="minorHAnsi" w:hAnsiTheme="minorHAnsi" w:cstheme="minorHAnsi"/>
          <w:sz w:val="24"/>
        </w:rPr>
        <w:t xml:space="preserve">herapy </w:t>
      </w:r>
      <w:r>
        <w:rPr>
          <w:rFonts w:asciiTheme="minorHAnsi" w:hAnsiTheme="minorHAnsi" w:cstheme="minorHAnsi"/>
          <w:sz w:val="24"/>
        </w:rPr>
        <w:t>n</w:t>
      </w:r>
      <w:r w:rsidRPr="00A44854">
        <w:rPr>
          <w:rFonts w:asciiTheme="minorHAnsi" w:hAnsiTheme="minorHAnsi" w:cstheme="minorHAnsi"/>
          <w:sz w:val="24"/>
        </w:rPr>
        <w:t>urses</w:t>
      </w:r>
      <w:r>
        <w:rPr>
          <w:rFonts w:asciiTheme="minorHAnsi" w:hAnsiTheme="minorHAnsi" w:cstheme="minorHAnsi"/>
          <w:sz w:val="24"/>
        </w:rPr>
        <w:t xml:space="preserve"> (STNs) and other key SAS stakeholders, including: </w:t>
      </w:r>
    </w:p>
    <w:p w14:paraId="004028C7" w14:textId="5D6F5ABE" w:rsidR="00CD1CB4" w:rsidRDefault="00CD1CB4" w:rsidP="003800FF">
      <w:pPr>
        <w:pStyle w:val="ListParagraph"/>
        <w:numPr>
          <w:ilvl w:val="0"/>
          <w:numId w:val="28"/>
        </w:numPr>
        <w:spacing w:before="0" w:line="240" w:lineRule="auto"/>
        <w:rPr>
          <w:rFonts w:asciiTheme="minorHAnsi" w:hAnsiTheme="minorHAnsi" w:cstheme="minorHAnsi"/>
          <w:sz w:val="24"/>
        </w:rPr>
      </w:pPr>
      <w:r>
        <w:rPr>
          <w:rFonts w:asciiTheme="minorHAnsi" w:hAnsiTheme="minorHAnsi" w:cstheme="minorHAnsi"/>
          <w:sz w:val="24"/>
        </w:rPr>
        <w:t xml:space="preserve">SAS administrators </w:t>
      </w:r>
    </w:p>
    <w:p w14:paraId="606852EE" w14:textId="17179F1F" w:rsidR="00467F4B" w:rsidRDefault="00467F4B" w:rsidP="003800FF">
      <w:pPr>
        <w:pStyle w:val="ListParagraph"/>
        <w:numPr>
          <w:ilvl w:val="1"/>
          <w:numId w:val="28"/>
        </w:numPr>
        <w:spacing w:before="0" w:line="240" w:lineRule="auto"/>
        <w:rPr>
          <w:rFonts w:asciiTheme="minorHAnsi" w:hAnsiTheme="minorHAnsi" w:cstheme="minorHAnsi"/>
          <w:sz w:val="24"/>
        </w:rPr>
      </w:pPr>
      <w:r>
        <w:rPr>
          <w:rFonts w:asciiTheme="minorHAnsi" w:hAnsiTheme="minorHAnsi" w:cstheme="minorHAnsi"/>
          <w:sz w:val="24"/>
        </w:rPr>
        <w:t xml:space="preserve">Australian Council of Stoma Associations </w:t>
      </w:r>
    </w:p>
    <w:p w14:paraId="1D4259FE" w14:textId="77777777" w:rsidR="00467F4B" w:rsidRDefault="00467F4B" w:rsidP="003800FF">
      <w:pPr>
        <w:pStyle w:val="ListParagraph"/>
        <w:numPr>
          <w:ilvl w:val="1"/>
          <w:numId w:val="28"/>
        </w:numPr>
        <w:spacing w:before="0" w:line="240" w:lineRule="auto"/>
        <w:rPr>
          <w:rFonts w:asciiTheme="minorHAnsi" w:hAnsiTheme="minorHAnsi" w:cstheme="minorHAnsi"/>
          <w:sz w:val="24"/>
        </w:rPr>
      </w:pPr>
      <w:r>
        <w:rPr>
          <w:rFonts w:asciiTheme="minorHAnsi" w:hAnsiTheme="minorHAnsi" w:cstheme="minorHAnsi"/>
          <w:sz w:val="24"/>
        </w:rPr>
        <w:t xml:space="preserve">Stoma association employees </w:t>
      </w:r>
    </w:p>
    <w:p w14:paraId="15831D79" w14:textId="77777777" w:rsidR="00467F4B" w:rsidRDefault="00467F4B" w:rsidP="003800FF">
      <w:pPr>
        <w:pStyle w:val="ListParagraph"/>
        <w:numPr>
          <w:ilvl w:val="1"/>
          <w:numId w:val="28"/>
        </w:numPr>
        <w:spacing w:before="0" w:line="240" w:lineRule="auto"/>
        <w:rPr>
          <w:rFonts w:asciiTheme="minorHAnsi" w:hAnsiTheme="minorHAnsi" w:cstheme="minorHAnsi"/>
          <w:sz w:val="24"/>
        </w:rPr>
      </w:pPr>
      <w:r>
        <w:rPr>
          <w:rFonts w:asciiTheme="minorHAnsi" w:hAnsiTheme="minorHAnsi" w:cstheme="minorHAnsi"/>
          <w:sz w:val="24"/>
        </w:rPr>
        <w:t>Services Australia</w:t>
      </w:r>
    </w:p>
    <w:p w14:paraId="428BB886" w14:textId="3C1440CB" w:rsidR="003A1638" w:rsidRDefault="003A1638" w:rsidP="003800FF">
      <w:pPr>
        <w:pStyle w:val="ListParagraph"/>
        <w:numPr>
          <w:ilvl w:val="0"/>
          <w:numId w:val="28"/>
        </w:numPr>
        <w:spacing w:before="0" w:line="240" w:lineRule="auto"/>
        <w:rPr>
          <w:rFonts w:asciiTheme="minorHAnsi" w:hAnsiTheme="minorHAnsi" w:cstheme="minorHAnsi"/>
          <w:sz w:val="24"/>
        </w:rPr>
      </w:pPr>
      <w:r>
        <w:rPr>
          <w:rFonts w:asciiTheme="minorHAnsi" w:hAnsiTheme="minorHAnsi" w:cstheme="minorHAnsi"/>
          <w:sz w:val="24"/>
        </w:rPr>
        <w:t>Product sponsors</w:t>
      </w:r>
    </w:p>
    <w:p w14:paraId="2E1E0251" w14:textId="55EB3794" w:rsidR="003A1638" w:rsidRDefault="00467F4B" w:rsidP="003800FF">
      <w:pPr>
        <w:pStyle w:val="ListParagraph"/>
        <w:numPr>
          <w:ilvl w:val="1"/>
          <w:numId w:val="28"/>
        </w:numPr>
        <w:spacing w:before="0" w:line="240" w:lineRule="auto"/>
        <w:rPr>
          <w:rFonts w:asciiTheme="minorHAnsi" w:hAnsiTheme="minorHAnsi" w:cstheme="minorHAnsi"/>
          <w:sz w:val="24"/>
        </w:rPr>
      </w:pPr>
      <w:r>
        <w:rPr>
          <w:rFonts w:asciiTheme="minorHAnsi" w:hAnsiTheme="minorHAnsi" w:cstheme="minorHAnsi"/>
          <w:sz w:val="24"/>
        </w:rPr>
        <w:t xml:space="preserve">Stoma Industry Association </w:t>
      </w:r>
      <w:r w:rsidR="00B575C4">
        <w:rPr>
          <w:rFonts w:asciiTheme="minorHAnsi" w:hAnsiTheme="minorHAnsi" w:cstheme="minorHAnsi"/>
          <w:sz w:val="24"/>
        </w:rPr>
        <w:t>(SIA)</w:t>
      </w:r>
    </w:p>
    <w:p w14:paraId="620E6746" w14:textId="7153D361" w:rsidR="00467F4B" w:rsidRDefault="00467F4B" w:rsidP="003800FF">
      <w:pPr>
        <w:pStyle w:val="ListParagraph"/>
        <w:numPr>
          <w:ilvl w:val="1"/>
          <w:numId w:val="28"/>
        </w:numPr>
        <w:spacing w:before="0" w:line="240" w:lineRule="auto"/>
        <w:rPr>
          <w:rFonts w:asciiTheme="minorHAnsi" w:hAnsiTheme="minorHAnsi" w:cstheme="minorHAnsi"/>
          <w:sz w:val="24"/>
        </w:rPr>
      </w:pPr>
      <w:r>
        <w:rPr>
          <w:rFonts w:asciiTheme="minorHAnsi" w:hAnsiTheme="minorHAnsi" w:cstheme="minorHAnsi"/>
          <w:sz w:val="24"/>
        </w:rPr>
        <w:t xml:space="preserve">Omnigon Pty Ltd </w:t>
      </w:r>
    </w:p>
    <w:p w14:paraId="391680A5" w14:textId="057BA8EB" w:rsidR="00CD1CB4" w:rsidRDefault="00CD1CB4" w:rsidP="003800FF">
      <w:pPr>
        <w:pStyle w:val="ListParagraph"/>
        <w:numPr>
          <w:ilvl w:val="0"/>
          <w:numId w:val="28"/>
        </w:numPr>
        <w:spacing w:before="0" w:line="240" w:lineRule="auto"/>
        <w:rPr>
          <w:rFonts w:asciiTheme="minorHAnsi" w:hAnsiTheme="minorHAnsi" w:cstheme="minorHAnsi"/>
          <w:sz w:val="24"/>
        </w:rPr>
      </w:pPr>
      <w:r>
        <w:rPr>
          <w:rFonts w:asciiTheme="minorHAnsi" w:hAnsiTheme="minorHAnsi" w:cstheme="minorHAnsi"/>
          <w:sz w:val="24"/>
        </w:rPr>
        <w:t>Health consumer/professional organisations</w:t>
      </w:r>
    </w:p>
    <w:p w14:paraId="5D9CCABC" w14:textId="4B027A31" w:rsidR="00467F4B" w:rsidRDefault="00467F4B" w:rsidP="003800FF">
      <w:pPr>
        <w:pStyle w:val="ListParagraph"/>
        <w:numPr>
          <w:ilvl w:val="1"/>
          <w:numId w:val="28"/>
        </w:numPr>
        <w:spacing w:before="0" w:line="240" w:lineRule="auto"/>
        <w:rPr>
          <w:rFonts w:asciiTheme="minorHAnsi" w:hAnsiTheme="minorHAnsi" w:cstheme="minorHAnsi"/>
          <w:sz w:val="24"/>
        </w:rPr>
      </w:pPr>
      <w:r>
        <w:rPr>
          <w:rFonts w:asciiTheme="minorHAnsi" w:hAnsiTheme="minorHAnsi" w:cstheme="minorHAnsi"/>
          <w:sz w:val="24"/>
        </w:rPr>
        <w:t xml:space="preserve">Crohn’s and Colitis Australia </w:t>
      </w:r>
    </w:p>
    <w:p w14:paraId="631A741F" w14:textId="77777777" w:rsidR="00467F4B" w:rsidRDefault="00467F4B" w:rsidP="003800FF">
      <w:pPr>
        <w:pStyle w:val="ListParagraph"/>
        <w:numPr>
          <w:ilvl w:val="1"/>
          <w:numId w:val="28"/>
        </w:numPr>
        <w:spacing w:before="0" w:line="240" w:lineRule="auto"/>
        <w:rPr>
          <w:rFonts w:asciiTheme="minorHAnsi" w:hAnsiTheme="minorHAnsi" w:cstheme="minorHAnsi"/>
          <w:sz w:val="24"/>
        </w:rPr>
      </w:pPr>
      <w:r>
        <w:rPr>
          <w:rFonts w:asciiTheme="minorHAnsi" w:hAnsiTheme="minorHAnsi" w:cstheme="minorHAnsi"/>
          <w:sz w:val="24"/>
        </w:rPr>
        <w:t xml:space="preserve">One in 5000 Foundation </w:t>
      </w:r>
    </w:p>
    <w:p w14:paraId="08E5C3B3" w14:textId="7F326FC1" w:rsidR="00467F4B" w:rsidRDefault="00467F4B" w:rsidP="003800FF">
      <w:pPr>
        <w:pStyle w:val="ListParagraph"/>
        <w:numPr>
          <w:ilvl w:val="1"/>
          <w:numId w:val="28"/>
        </w:numPr>
        <w:spacing w:before="0" w:line="240" w:lineRule="auto"/>
        <w:rPr>
          <w:rFonts w:asciiTheme="minorHAnsi" w:hAnsiTheme="minorHAnsi" w:cstheme="minorHAnsi"/>
          <w:sz w:val="24"/>
        </w:rPr>
      </w:pPr>
      <w:r>
        <w:rPr>
          <w:rFonts w:asciiTheme="minorHAnsi" w:hAnsiTheme="minorHAnsi" w:cstheme="minorHAnsi"/>
          <w:sz w:val="24"/>
        </w:rPr>
        <w:t xml:space="preserve">Colorectal </w:t>
      </w:r>
      <w:r w:rsidR="0062718F">
        <w:rPr>
          <w:rFonts w:asciiTheme="minorHAnsi" w:hAnsiTheme="minorHAnsi" w:cstheme="minorHAnsi"/>
          <w:sz w:val="24"/>
        </w:rPr>
        <w:t xml:space="preserve">Surgical </w:t>
      </w:r>
      <w:r>
        <w:rPr>
          <w:rFonts w:asciiTheme="minorHAnsi" w:hAnsiTheme="minorHAnsi" w:cstheme="minorHAnsi"/>
          <w:sz w:val="24"/>
        </w:rPr>
        <w:t xml:space="preserve">Society of Australia and New Zealand. </w:t>
      </w:r>
      <w:r w:rsidRPr="008D580D">
        <w:rPr>
          <w:rFonts w:asciiTheme="minorHAnsi" w:hAnsiTheme="minorHAnsi" w:cstheme="minorHAnsi"/>
          <w:sz w:val="24"/>
        </w:rPr>
        <w:t xml:space="preserve"> </w:t>
      </w:r>
    </w:p>
    <w:p w14:paraId="5D9B0A51" w14:textId="345D7651" w:rsidR="00952C19" w:rsidRDefault="009A25A0" w:rsidP="003800FF">
      <w:pPr>
        <w:spacing w:before="0" w:line="240" w:lineRule="auto"/>
        <w:rPr>
          <w:rFonts w:asciiTheme="minorHAnsi" w:hAnsiTheme="minorHAnsi" w:cstheme="minorHAnsi"/>
          <w:sz w:val="24"/>
        </w:rPr>
      </w:pPr>
      <w:r>
        <w:rPr>
          <w:rFonts w:asciiTheme="minorHAnsi" w:hAnsiTheme="minorHAnsi" w:cstheme="minorHAnsi"/>
          <w:noProof/>
          <w:sz w:val="24"/>
        </w:rPr>
        <w:lastRenderedPageBreak/>
        <w:drawing>
          <wp:inline distT="0" distB="0" distL="0" distR="0" wp14:anchorId="7040A065" wp14:editId="0090DBB8">
            <wp:extent cx="4752975" cy="2990850"/>
            <wp:effectExtent l="0" t="0" r="9525" b="0"/>
            <wp:docPr id="99399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2990850"/>
                    </a:xfrm>
                    <a:prstGeom prst="rect">
                      <a:avLst/>
                    </a:prstGeom>
                    <a:noFill/>
                  </pic:spPr>
                </pic:pic>
              </a:graphicData>
            </a:graphic>
          </wp:inline>
        </w:drawing>
      </w:r>
    </w:p>
    <w:p w14:paraId="2A1A57F4" w14:textId="77777777" w:rsidR="002876D9" w:rsidRPr="00805FFA" w:rsidRDefault="002876D9" w:rsidP="003800FF">
      <w:pPr>
        <w:pStyle w:val="Heading3"/>
      </w:pPr>
      <w:bookmarkStart w:id="4" w:name="_Toc175909178"/>
      <w:bookmarkStart w:id="5" w:name="_Toc184108515"/>
      <w:r w:rsidRPr="00805FFA">
        <w:t xml:space="preserve">Recommendation 1: </w:t>
      </w:r>
      <w:r>
        <w:t>E</w:t>
      </w:r>
      <w:r w:rsidRPr="00805FFA">
        <w:t>ligibility</w:t>
      </w:r>
      <w:bookmarkEnd w:id="4"/>
      <w:bookmarkEnd w:id="5"/>
      <w:r w:rsidRPr="00805FFA">
        <w:t xml:space="preserve">  </w:t>
      </w:r>
    </w:p>
    <w:p w14:paraId="4FACF751" w14:textId="77777777" w:rsidR="002876D9" w:rsidRPr="003F7050" w:rsidRDefault="002876D9" w:rsidP="003800FF">
      <w:pPr>
        <w:keepNext/>
        <w:spacing w:line="240" w:lineRule="auto"/>
        <w:rPr>
          <w:rFonts w:asciiTheme="minorHAnsi" w:hAnsiTheme="minorHAnsi" w:cstheme="minorHAnsi"/>
          <w:b/>
          <w:bCs/>
          <w:sz w:val="24"/>
        </w:rPr>
      </w:pPr>
      <w:r w:rsidRPr="003F7050">
        <w:rPr>
          <w:rFonts w:asciiTheme="minorHAnsi" w:hAnsiTheme="minorHAnsi" w:cstheme="minorHAnsi"/>
          <w:b/>
          <w:bCs/>
          <w:sz w:val="24"/>
        </w:rPr>
        <w:t xml:space="preserve">The SAS should maintain its focus on stomas originating from the urinary and gastrointestinal tract for the removal of waste. The current eligibility criteria should not expand to cover non-gastrointestinal stomas and stomas not for the removal of waste. </w:t>
      </w:r>
    </w:p>
    <w:p w14:paraId="12AD647F" w14:textId="3F8AAD44" w:rsidR="002876D9" w:rsidRPr="00954E8B" w:rsidRDefault="002876D9" w:rsidP="003800FF">
      <w:pPr>
        <w:pStyle w:val="Heading4"/>
        <w:rPr>
          <w:i w:val="0"/>
          <w:iCs/>
          <w:sz w:val="24"/>
          <w:szCs w:val="24"/>
        </w:rPr>
      </w:pPr>
      <w:r w:rsidRPr="00954E8B">
        <w:rPr>
          <w:i w:val="0"/>
          <w:iCs/>
          <w:sz w:val="24"/>
          <w:szCs w:val="24"/>
        </w:rPr>
        <w:t xml:space="preserve">Key feedback regarding Recommendation 1 </w:t>
      </w:r>
    </w:p>
    <w:p w14:paraId="2E3E1AEA" w14:textId="3E5A6436" w:rsidR="005571FC" w:rsidRDefault="009C022E" w:rsidP="003800FF">
      <w:pPr>
        <w:pStyle w:val="ListParagraph"/>
        <w:numPr>
          <w:ilvl w:val="0"/>
          <w:numId w:val="36"/>
        </w:numPr>
        <w:spacing w:line="240" w:lineRule="auto"/>
        <w:rPr>
          <w:rFonts w:asciiTheme="minorHAnsi" w:hAnsiTheme="minorHAnsi" w:cstheme="minorHAnsi"/>
          <w:sz w:val="24"/>
        </w:rPr>
      </w:pPr>
      <w:r w:rsidRPr="005571FC">
        <w:rPr>
          <w:rFonts w:asciiTheme="minorHAnsi" w:hAnsiTheme="minorHAnsi" w:cstheme="minorHAnsi"/>
          <w:sz w:val="24"/>
        </w:rPr>
        <w:t xml:space="preserve">We heard </w:t>
      </w:r>
      <w:r w:rsidR="002026FB" w:rsidRPr="005571FC">
        <w:rPr>
          <w:rFonts w:asciiTheme="minorHAnsi" w:hAnsiTheme="minorHAnsi" w:cstheme="minorHAnsi"/>
          <w:sz w:val="24"/>
        </w:rPr>
        <w:t>strong feedback</w:t>
      </w:r>
      <w:r w:rsidRPr="005571FC">
        <w:rPr>
          <w:rFonts w:asciiTheme="minorHAnsi" w:hAnsiTheme="minorHAnsi" w:cstheme="minorHAnsi"/>
          <w:sz w:val="24"/>
        </w:rPr>
        <w:t xml:space="preserve"> from </w:t>
      </w:r>
      <w:r w:rsidR="002026FB" w:rsidRPr="005571FC">
        <w:rPr>
          <w:rFonts w:asciiTheme="minorHAnsi" w:hAnsiTheme="minorHAnsi" w:cstheme="minorHAnsi"/>
          <w:sz w:val="24"/>
        </w:rPr>
        <w:t xml:space="preserve">all categories of </w:t>
      </w:r>
      <w:r w:rsidRPr="005571FC">
        <w:rPr>
          <w:rFonts w:asciiTheme="minorHAnsi" w:hAnsiTheme="minorHAnsi" w:cstheme="minorHAnsi"/>
          <w:sz w:val="24"/>
        </w:rPr>
        <w:t xml:space="preserve">stakeholders </w:t>
      </w:r>
      <w:r w:rsidR="002876D9" w:rsidRPr="005571FC">
        <w:rPr>
          <w:rFonts w:asciiTheme="minorHAnsi" w:hAnsiTheme="minorHAnsi" w:cstheme="minorHAnsi"/>
          <w:sz w:val="24"/>
        </w:rPr>
        <w:t>that the SAS should maintain its focus on stomas originating from the urinary or gastrointestinal tract for the removal of waste.</w:t>
      </w:r>
    </w:p>
    <w:p w14:paraId="224D936F" w14:textId="0E766584" w:rsidR="005571FC" w:rsidRDefault="002876D9" w:rsidP="003800FF">
      <w:pPr>
        <w:pStyle w:val="ListParagraph"/>
        <w:numPr>
          <w:ilvl w:val="0"/>
          <w:numId w:val="36"/>
        </w:numPr>
        <w:spacing w:line="240" w:lineRule="auto"/>
        <w:rPr>
          <w:rFonts w:asciiTheme="minorHAnsi" w:hAnsiTheme="minorHAnsi" w:cstheme="minorHAnsi"/>
          <w:sz w:val="24"/>
        </w:rPr>
      </w:pPr>
      <w:r w:rsidRPr="005571FC">
        <w:rPr>
          <w:rFonts w:asciiTheme="minorHAnsi" w:hAnsiTheme="minorHAnsi" w:cstheme="minorHAnsi"/>
          <w:sz w:val="24"/>
        </w:rPr>
        <w:t>Many ostomates gave personal reasons for supporting this recommendation</w:t>
      </w:r>
      <w:r w:rsidR="002026FB" w:rsidRPr="005571FC">
        <w:rPr>
          <w:rFonts w:asciiTheme="minorHAnsi" w:hAnsiTheme="minorHAnsi" w:cstheme="minorHAnsi"/>
          <w:sz w:val="24"/>
        </w:rPr>
        <w:t xml:space="preserve"> such as the positive impact </w:t>
      </w:r>
      <w:r w:rsidR="00AF2196">
        <w:rPr>
          <w:rFonts w:asciiTheme="minorHAnsi" w:hAnsiTheme="minorHAnsi" w:cstheme="minorHAnsi"/>
          <w:sz w:val="24"/>
        </w:rPr>
        <w:t>the SAS</w:t>
      </w:r>
      <w:r w:rsidR="00AF2196" w:rsidRPr="005571FC">
        <w:rPr>
          <w:rFonts w:asciiTheme="minorHAnsi" w:hAnsiTheme="minorHAnsi" w:cstheme="minorHAnsi"/>
          <w:sz w:val="24"/>
        </w:rPr>
        <w:t xml:space="preserve"> </w:t>
      </w:r>
      <w:r w:rsidR="002026FB" w:rsidRPr="005571FC">
        <w:rPr>
          <w:rFonts w:asciiTheme="minorHAnsi" w:hAnsiTheme="minorHAnsi" w:cstheme="minorHAnsi"/>
          <w:sz w:val="24"/>
        </w:rPr>
        <w:t xml:space="preserve">has on their lives and the cost that would be incurred by ostomates if </w:t>
      </w:r>
      <w:r w:rsidR="007B1135">
        <w:rPr>
          <w:rFonts w:asciiTheme="minorHAnsi" w:hAnsiTheme="minorHAnsi" w:cstheme="minorHAnsi"/>
          <w:sz w:val="24"/>
        </w:rPr>
        <w:t xml:space="preserve">they </w:t>
      </w:r>
      <w:r w:rsidR="002026FB" w:rsidRPr="005571FC">
        <w:rPr>
          <w:rFonts w:asciiTheme="minorHAnsi" w:hAnsiTheme="minorHAnsi" w:cstheme="minorHAnsi"/>
          <w:sz w:val="24"/>
        </w:rPr>
        <w:t xml:space="preserve">had to purchase stoma products independently. </w:t>
      </w:r>
    </w:p>
    <w:p w14:paraId="61E22F30" w14:textId="10821BCF" w:rsidR="006A344F" w:rsidRDefault="002876D9" w:rsidP="003800FF">
      <w:pPr>
        <w:pStyle w:val="ListParagraph"/>
        <w:numPr>
          <w:ilvl w:val="0"/>
          <w:numId w:val="36"/>
        </w:numPr>
        <w:spacing w:line="240" w:lineRule="auto"/>
        <w:rPr>
          <w:rFonts w:asciiTheme="minorHAnsi" w:hAnsiTheme="minorHAnsi" w:cstheme="minorHAnsi"/>
          <w:sz w:val="24"/>
        </w:rPr>
      </w:pPr>
      <w:r w:rsidRPr="005571FC">
        <w:rPr>
          <w:rFonts w:asciiTheme="minorHAnsi" w:hAnsiTheme="minorHAnsi" w:cstheme="minorHAnsi"/>
          <w:sz w:val="24"/>
        </w:rPr>
        <w:t>Other reasons given</w:t>
      </w:r>
      <w:r w:rsidR="00AF2196">
        <w:rPr>
          <w:rFonts w:asciiTheme="minorHAnsi" w:hAnsiTheme="minorHAnsi" w:cstheme="minorHAnsi"/>
          <w:sz w:val="24"/>
        </w:rPr>
        <w:t xml:space="preserve"> for not expanding SAS eligibility</w:t>
      </w:r>
      <w:r w:rsidRPr="005571FC">
        <w:rPr>
          <w:rFonts w:asciiTheme="minorHAnsi" w:hAnsiTheme="minorHAnsi" w:cstheme="minorHAnsi"/>
          <w:sz w:val="24"/>
        </w:rPr>
        <w:t xml:space="preserve"> included</w:t>
      </w:r>
      <w:r w:rsidR="006A344F">
        <w:rPr>
          <w:rFonts w:asciiTheme="minorHAnsi" w:hAnsiTheme="minorHAnsi" w:cstheme="minorHAnsi"/>
          <w:sz w:val="24"/>
        </w:rPr>
        <w:t>:</w:t>
      </w:r>
      <w:r w:rsidRPr="005571FC">
        <w:rPr>
          <w:rFonts w:asciiTheme="minorHAnsi" w:hAnsiTheme="minorHAnsi" w:cstheme="minorHAnsi"/>
          <w:sz w:val="24"/>
        </w:rPr>
        <w:t xml:space="preserve"> </w:t>
      </w:r>
    </w:p>
    <w:p w14:paraId="1D1005A4" w14:textId="5E2CF87E" w:rsidR="006A344F" w:rsidRDefault="002876D9" w:rsidP="003800FF">
      <w:pPr>
        <w:pStyle w:val="ListParagraph"/>
        <w:numPr>
          <w:ilvl w:val="1"/>
          <w:numId w:val="36"/>
        </w:numPr>
        <w:spacing w:line="240" w:lineRule="auto"/>
        <w:rPr>
          <w:rFonts w:asciiTheme="minorHAnsi" w:hAnsiTheme="minorHAnsi" w:cstheme="minorHAnsi"/>
          <w:sz w:val="24"/>
        </w:rPr>
      </w:pPr>
      <w:r w:rsidRPr="005571FC">
        <w:rPr>
          <w:rFonts w:asciiTheme="minorHAnsi" w:hAnsiTheme="minorHAnsi" w:cstheme="minorHAnsi"/>
          <w:sz w:val="24"/>
        </w:rPr>
        <w:t xml:space="preserve">concerns about a </w:t>
      </w:r>
      <w:r w:rsidR="006C4D51">
        <w:rPr>
          <w:rFonts w:asciiTheme="minorHAnsi" w:hAnsiTheme="minorHAnsi" w:cstheme="minorHAnsi"/>
          <w:sz w:val="24"/>
        </w:rPr>
        <w:t>reduced</w:t>
      </w:r>
      <w:r w:rsidRPr="005571FC">
        <w:rPr>
          <w:rFonts w:asciiTheme="minorHAnsi" w:hAnsiTheme="minorHAnsi" w:cstheme="minorHAnsi"/>
          <w:sz w:val="24"/>
        </w:rPr>
        <w:t xml:space="preserve"> focus</w:t>
      </w:r>
      <w:r w:rsidR="005571FC">
        <w:rPr>
          <w:rFonts w:asciiTheme="minorHAnsi" w:hAnsiTheme="minorHAnsi" w:cstheme="minorHAnsi"/>
          <w:sz w:val="24"/>
        </w:rPr>
        <w:t>,</w:t>
      </w:r>
      <w:r w:rsidR="00363849" w:rsidRPr="005571FC">
        <w:rPr>
          <w:rFonts w:asciiTheme="minorHAnsi" w:hAnsiTheme="minorHAnsi" w:cstheme="minorHAnsi"/>
          <w:sz w:val="24"/>
        </w:rPr>
        <w:t xml:space="preserve"> </w:t>
      </w:r>
    </w:p>
    <w:p w14:paraId="6D9CA8B4" w14:textId="7367ABE7" w:rsidR="006A344F" w:rsidRDefault="00363849" w:rsidP="003800FF">
      <w:pPr>
        <w:pStyle w:val="ListParagraph"/>
        <w:numPr>
          <w:ilvl w:val="1"/>
          <w:numId w:val="36"/>
        </w:numPr>
        <w:spacing w:line="240" w:lineRule="auto"/>
        <w:rPr>
          <w:rFonts w:asciiTheme="minorHAnsi" w:hAnsiTheme="minorHAnsi" w:cstheme="minorHAnsi"/>
          <w:sz w:val="24"/>
        </w:rPr>
      </w:pPr>
      <w:r w:rsidRPr="005571FC">
        <w:rPr>
          <w:rFonts w:asciiTheme="minorHAnsi" w:hAnsiTheme="minorHAnsi" w:cstheme="minorHAnsi"/>
          <w:sz w:val="24"/>
        </w:rPr>
        <w:t>th</w:t>
      </w:r>
      <w:r w:rsidR="005571FC">
        <w:rPr>
          <w:rFonts w:asciiTheme="minorHAnsi" w:hAnsiTheme="minorHAnsi" w:cstheme="minorHAnsi"/>
          <w:sz w:val="24"/>
        </w:rPr>
        <w:t>e</w:t>
      </w:r>
      <w:r w:rsidRPr="005571FC">
        <w:rPr>
          <w:rFonts w:asciiTheme="minorHAnsi" w:hAnsiTheme="minorHAnsi" w:cstheme="minorHAnsi"/>
          <w:sz w:val="24"/>
        </w:rPr>
        <w:t xml:space="preserve"> </w:t>
      </w:r>
      <w:r w:rsidR="00AF2196">
        <w:rPr>
          <w:rFonts w:asciiTheme="minorHAnsi" w:hAnsiTheme="minorHAnsi" w:cstheme="minorHAnsi"/>
          <w:sz w:val="24"/>
        </w:rPr>
        <w:t xml:space="preserve">potential </w:t>
      </w:r>
      <w:r w:rsidRPr="005571FC">
        <w:rPr>
          <w:rFonts w:asciiTheme="minorHAnsi" w:hAnsiTheme="minorHAnsi" w:cstheme="minorHAnsi"/>
          <w:sz w:val="24"/>
        </w:rPr>
        <w:t>negative impact on the delivery of current services</w:t>
      </w:r>
      <w:r w:rsidR="006A344F">
        <w:rPr>
          <w:rFonts w:asciiTheme="minorHAnsi" w:hAnsiTheme="minorHAnsi" w:cstheme="minorHAnsi"/>
          <w:sz w:val="24"/>
        </w:rPr>
        <w:t>,</w:t>
      </w:r>
      <w:r w:rsidR="005571FC">
        <w:rPr>
          <w:rFonts w:asciiTheme="minorHAnsi" w:hAnsiTheme="minorHAnsi" w:cstheme="minorHAnsi"/>
          <w:sz w:val="24"/>
        </w:rPr>
        <w:t xml:space="preserve"> and </w:t>
      </w:r>
    </w:p>
    <w:p w14:paraId="357C1214" w14:textId="762C74CC" w:rsidR="005571FC" w:rsidRDefault="00F624DA" w:rsidP="003800FF">
      <w:pPr>
        <w:pStyle w:val="ListParagraph"/>
        <w:numPr>
          <w:ilvl w:val="1"/>
          <w:numId w:val="36"/>
        </w:numPr>
        <w:spacing w:line="240" w:lineRule="auto"/>
        <w:rPr>
          <w:rFonts w:asciiTheme="minorHAnsi" w:hAnsiTheme="minorHAnsi" w:cstheme="minorHAnsi"/>
          <w:sz w:val="24"/>
        </w:rPr>
      </w:pPr>
      <w:r>
        <w:rPr>
          <w:rFonts w:asciiTheme="minorHAnsi" w:hAnsiTheme="minorHAnsi" w:cstheme="minorHAnsi"/>
          <w:sz w:val="24"/>
        </w:rPr>
        <w:t>the</w:t>
      </w:r>
      <w:r w:rsidR="005571FC">
        <w:rPr>
          <w:rFonts w:asciiTheme="minorHAnsi" w:hAnsiTheme="minorHAnsi" w:cstheme="minorHAnsi"/>
          <w:sz w:val="24"/>
        </w:rPr>
        <w:t xml:space="preserve"> importan</w:t>
      </w:r>
      <w:r>
        <w:rPr>
          <w:rFonts w:asciiTheme="minorHAnsi" w:hAnsiTheme="minorHAnsi" w:cstheme="minorHAnsi"/>
          <w:sz w:val="24"/>
        </w:rPr>
        <w:t>ce of</w:t>
      </w:r>
      <w:r w:rsidR="005571FC">
        <w:rPr>
          <w:rFonts w:asciiTheme="minorHAnsi" w:hAnsiTheme="minorHAnsi" w:cstheme="minorHAnsi"/>
          <w:sz w:val="24"/>
        </w:rPr>
        <w:t xml:space="preserve"> preserv</w:t>
      </w:r>
      <w:r>
        <w:rPr>
          <w:rFonts w:asciiTheme="minorHAnsi" w:hAnsiTheme="minorHAnsi" w:cstheme="minorHAnsi"/>
          <w:sz w:val="24"/>
        </w:rPr>
        <w:t>ing</w:t>
      </w:r>
      <w:r w:rsidR="005571FC">
        <w:rPr>
          <w:rFonts w:asciiTheme="minorHAnsi" w:hAnsiTheme="minorHAnsi" w:cstheme="minorHAnsi"/>
          <w:sz w:val="24"/>
        </w:rPr>
        <w:t xml:space="preserve"> the original intent of the program</w:t>
      </w:r>
      <w:r w:rsidR="002876D9" w:rsidRPr="005571FC">
        <w:rPr>
          <w:rFonts w:asciiTheme="minorHAnsi" w:hAnsiTheme="minorHAnsi" w:cstheme="minorHAnsi"/>
          <w:sz w:val="24"/>
        </w:rPr>
        <w:t xml:space="preserve">. </w:t>
      </w:r>
    </w:p>
    <w:p w14:paraId="14F823E9" w14:textId="741FADCF" w:rsidR="00971192" w:rsidRDefault="00E25754" w:rsidP="003800FF">
      <w:pPr>
        <w:pStyle w:val="ListParagraph"/>
        <w:numPr>
          <w:ilvl w:val="0"/>
          <w:numId w:val="36"/>
        </w:numPr>
        <w:spacing w:line="240" w:lineRule="auto"/>
        <w:rPr>
          <w:rFonts w:asciiTheme="minorHAnsi" w:hAnsiTheme="minorHAnsi" w:cstheme="minorHAnsi"/>
          <w:sz w:val="24"/>
        </w:rPr>
      </w:pPr>
      <w:r>
        <w:rPr>
          <w:rFonts w:asciiTheme="minorHAnsi" w:hAnsiTheme="minorHAnsi" w:cstheme="minorHAnsi"/>
          <w:sz w:val="24"/>
        </w:rPr>
        <w:t>Many</w:t>
      </w:r>
      <w:r w:rsidR="005571FC">
        <w:rPr>
          <w:rFonts w:asciiTheme="minorHAnsi" w:hAnsiTheme="minorHAnsi" w:cstheme="minorHAnsi"/>
          <w:sz w:val="24"/>
        </w:rPr>
        <w:t xml:space="preserve"> </w:t>
      </w:r>
      <w:r w:rsidR="0062718F">
        <w:rPr>
          <w:rFonts w:asciiTheme="minorHAnsi" w:hAnsiTheme="minorHAnsi" w:cstheme="minorHAnsi"/>
          <w:sz w:val="24"/>
        </w:rPr>
        <w:t>respondents</w:t>
      </w:r>
      <w:r>
        <w:rPr>
          <w:rFonts w:asciiTheme="minorHAnsi" w:hAnsiTheme="minorHAnsi" w:cstheme="minorHAnsi"/>
          <w:sz w:val="24"/>
        </w:rPr>
        <w:t xml:space="preserve"> </w:t>
      </w:r>
      <w:r w:rsidR="002876D9" w:rsidRPr="005571FC">
        <w:rPr>
          <w:rFonts w:asciiTheme="minorHAnsi" w:hAnsiTheme="minorHAnsi" w:cstheme="minorHAnsi"/>
          <w:sz w:val="24"/>
        </w:rPr>
        <w:t xml:space="preserve">did not </w:t>
      </w:r>
      <w:r w:rsidR="0062718F">
        <w:rPr>
          <w:rFonts w:asciiTheme="minorHAnsi" w:hAnsiTheme="minorHAnsi" w:cstheme="minorHAnsi"/>
          <w:sz w:val="24"/>
        </w:rPr>
        <w:t>make</w:t>
      </w:r>
      <w:r w:rsidR="0062718F" w:rsidRPr="005571FC">
        <w:rPr>
          <w:rFonts w:asciiTheme="minorHAnsi" w:hAnsiTheme="minorHAnsi" w:cstheme="minorHAnsi"/>
          <w:sz w:val="24"/>
        </w:rPr>
        <w:t xml:space="preserve"> </w:t>
      </w:r>
      <w:r w:rsidR="002876D9" w:rsidRPr="005571FC">
        <w:rPr>
          <w:rFonts w:asciiTheme="minorHAnsi" w:hAnsiTheme="minorHAnsi" w:cstheme="minorHAnsi"/>
          <w:sz w:val="24"/>
        </w:rPr>
        <w:t>specific suggestions</w:t>
      </w:r>
      <w:r w:rsidR="005571FC">
        <w:rPr>
          <w:rFonts w:asciiTheme="minorHAnsi" w:hAnsiTheme="minorHAnsi" w:cstheme="minorHAnsi"/>
          <w:sz w:val="24"/>
        </w:rPr>
        <w:t xml:space="preserve"> </w:t>
      </w:r>
      <w:r w:rsidR="0062718F">
        <w:rPr>
          <w:rFonts w:asciiTheme="minorHAnsi" w:hAnsiTheme="minorHAnsi" w:cstheme="minorHAnsi"/>
          <w:sz w:val="24"/>
        </w:rPr>
        <w:t xml:space="preserve">about </w:t>
      </w:r>
      <w:r w:rsidR="005571FC">
        <w:rPr>
          <w:rFonts w:asciiTheme="minorHAnsi" w:hAnsiTheme="minorHAnsi" w:cstheme="minorHAnsi"/>
          <w:sz w:val="24"/>
        </w:rPr>
        <w:t>other conditions to be included</w:t>
      </w:r>
      <w:r>
        <w:rPr>
          <w:rFonts w:asciiTheme="minorHAnsi" w:hAnsiTheme="minorHAnsi" w:cstheme="minorHAnsi"/>
          <w:sz w:val="24"/>
        </w:rPr>
        <w:t xml:space="preserve"> </w:t>
      </w:r>
      <w:r w:rsidRPr="00971192">
        <w:rPr>
          <w:rFonts w:asciiTheme="minorHAnsi" w:hAnsiTheme="minorHAnsi" w:cstheme="minorHAnsi"/>
          <w:sz w:val="24"/>
        </w:rPr>
        <w:t>in the SAS eligibility</w:t>
      </w:r>
      <w:r w:rsidR="005571FC">
        <w:rPr>
          <w:rFonts w:asciiTheme="minorHAnsi" w:hAnsiTheme="minorHAnsi" w:cstheme="minorHAnsi"/>
          <w:sz w:val="24"/>
        </w:rPr>
        <w:t xml:space="preserve">. </w:t>
      </w:r>
      <w:r>
        <w:rPr>
          <w:rFonts w:asciiTheme="minorHAnsi" w:hAnsiTheme="minorHAnsi" w:cstheme="minorHAnsi"/>
          <w:sz w:val="24"/>
        </w:rPr>
        <w:t>The most important consideration for them was that no</w:t>
      </w:r>
      <w:r w:rsidR="005571FC">
        <w:rPr>
          <w:rFonts w:asciiTheme="minorHAnsi" w:hAnsiTheme="minorHAnsi" w:cstheme="minorHAnsi"/>
          <w:sz w:val="24"/>
        </w:rPr>
        <w:t xml:space="preserve"> ostomates were </w:t>
      </w:r>
      <w:r>
        <w:rPr>
          <w:rFonts w:asciiTheme="minorHAnsi" w:hAnsiTheme="minorHAnsi" w:cstheme="minorHAnsi"/>
          <w:sz w:val="24"/>
        </w:rPr>
        <w:t>excluded</w:t>
      </w:r>
      <w:r w:rsidR="005571FC">
        <w:rPr>
          <w:rFonts w:asciiTheme="minorHAnsi" w:hAnsiTheme="minorHAnsi" w:cstheme="minorHAnsi"/>
          <w:sz w:val="24"/>
        </w:rPr>
        <w:t xml:space="preserve">. </w:t>
      </w:r>
    </w:p>
    <w:p w14:paraId="44D7F12C" w14:textId="0D38C7E4" w:rsidR="00971192" w:rsidRDefault="002876D9" w:rsidP="003800FF">
      <w:pPr>
        <w:pStyle w:val="ListParagraph"/>
        <w:numPr>
          <w:ilvl w:val="0"/>
          <w:numId w:val="36"/>
        </w:numPr>
        <w:spacing w:line="240" w:lineRule="auto"/>
        <w:rPr>
          <w:rFonts w:asciiTheme="minorHAnsi" w:hAnsiTheme="minorHAnsi" w:cstheme="minorHAnsi"/>
          <w:sz w:val="24"/>
        </w:rPr>
      </w:pPr>
      <w:r w:rsidRPr="00971192">
        <w:rPr>
          <w:rFonts w:asciiTheme="minorHAnsi" w:hAnsiTheme="minorHAnsi" w:cstheme="minorHAnsi"/>
          <w:sz w:val="24"/>
        </w:rPr>
        <w:t xml:space="preserve">The clinicians who responded </w:t>
      </w:r>
      <w:r w:rsidR="00971192">
        <w:rPr>
          <w:rFonts w:asciiTheme="minorHAnsi" w:hAnsiTheme="minorHAnsi" w:cstheme="minorHAnsi"/>
          <w:sz w:val="24"/>
        </w:rPr>
        <w:t xml:space="preserve">regarding the expansion of the SAS </w:t>
      </w:r>
      <w:r w:rsidRPr="00971192">
        <w:rPr>
          <w:rFonts w:asciiTheme="minorHAnsi" w:hAnsiTheme="minorHAnsi" w:cstheme="minorHAnsi"/>
          <w:sz w:val="24"/>
        </w:rPr>
        <w:t xml:space="preserve">did not have a consensus view on what other conditions to include in the SAS eligibility. </w:t>
      </w:r>
    </w:p>
    <w:p w14:paraId="24378604" w14:textId="66CE9636" w:rsidR="007B1135" w:rsidRDefault="00AF2196" w:rsidP="003800FF">
      <w:pPr>
        <w:pStyle w:val="ListParagraph"/>
        <w:numPr>
          <w:ilvl w:val="0"/>
          <w:numId w:val="36"/>
        </w:numPr>
        <w:spacing w:line="240" w:lineRule="auto"/>
        <w:rPr>
          <w:rFonts w:asciiTheme="minorHAnsi" w:hAnsiTheme="minorHAnsi" w:cstheme="minorHAnsi"/>
          <w:sz w:val="24"/>
        </w:rPr>
      </w:pPr>
      <w:r>
        <w:rPr>
          <w:rFonts w:asciiTheme="minorHAnsi" w:hAnsiTheme="minorHAnsi" w:cstheme="minorHAnsi"/>
          <w:sz w:val="24"/>
        </w:rPr>
        <w:t>The consultation asked specifically about the continued inclusion of patients with neo</w:t>
      </w:r>
      <w:r>
        <w:rPr>
          <w:rFonts w:asciiTheme="minorHAnsi" w:hAnsiTheme="minorHAnsi" w:cstheme="minorHAnsi"/>
          <w:sz w:val="24"/>
        </w:rPr>
        <w:noBreakHyphen/>
        <w:t xml:space="preserve">anus openings. </w:t>
      </w:r>
      <w:r w:rsidR="007B1135" w:rsidRPr="007B1135">
        <w:rPr>
          <w:rFonts w:asciiTheme="minorHAnsi" w:hAnsiTheme="minorHAnsi" w:cstheme="minorHAnsi"/>
          <w:sz w:val="24"/>
        </w:rPr>
        <w:t xml:space="preserve">Many respondents </w:t>
      </w:r>
      <w:r w:rsidR="00577FD8">
        <w:rPr>
          <w:rFonts w:asciiTheme="minorHAnsi" w:hAnsiTheme="minorHAnsi" w:cstheme="minorHAnsi"/>
          <w:sz w:val="24"/>
        </w:rPr>
        <w:t>were unfamiliar with this condition but wanted to ensure these patients were appropriately supported.</w:t>
      </w:r>
    </w:p>
    <w:p w14:paraId="7E7EDDBA" w14:textId="005A712A" w:rsidR="007B1135" w:rsidRPr="007B1135" w:rsidRDefault="007B1135" w:rsidP="003800FF">
      <w:pPr>
        <w:pStyle w:val="ListParagraph"/>
        <w:numPr>
          <w:ilvl w:val="0"/>
          <w:numId w:val="36"/>
        </w:numPr>
        <w:spacing w:line="240" w:lineRule="auto"/>
        <w:rPr>
          <w:rFonts w:asciiTheme="minorHAnsi" w:hAnsiTheme="minorHAnsi" w:cstheme="minorHAnsi"/>
          <w:sz w:val="24"/>
        </w:rPr>
      </w:pPr>
      <w:r w:rsidRPr="00971192">
        <w:rPr>
          <w:rFonts w:asciiTheme="minorHAnsi" w:hAnsiTheme="minorHAnsi" w:cstheme="minorHAnsi"/>
          <w:sz w:val="24"/>
        </w:rPr>
        <w:t xml:space="preserve">The consultation feedback did not provide a strong case for expanding the SAS eligibility to include other stoma types. </w:t>
      </w:r>
    </w:p>
    <w:p w14:paraId="16326658" w14:textId="47ECB8D0" w:rsidR="002876D9" w:rsidRPr="007C2354" w:rsidRDefault="00FF7FE5" w:rsidP="003800FF">
      <w:pPr>
        <w:pStyle w:val="Heading3"/>
      </w:pPr>
      <w:bookmarkStart w:id="6" w:name="_Toc184108516"/>
      <w:r w:rsidRPr="007C2354">
        <w:lastRenderedPageBreak/>
        <w:t xml:space="preserve">Recommendation 2: Maximum </w:t>
      </w:r>
      <w:r w:rsidR="00F10010" w:rsidRPr="007C2354">
        <w:t>q</w:t>
      </w:r>
      <w:r w:rsidRPr="007C2354">
        <w:t>uantities</w:t>
      </w:r>
      <w:bookmarkEnd w:id="6"/>
    </w:p>
    <w:p w14:paraId="01BC2CBC" w14:textId="77777777" w:rsidR="00FF7FE5" w:rsidRPr="00FF7FE5" w:rsidRDefault="00FF7FE5" w:rsidP="003800FF">
      <w:pPr>
        <w:spacing w:line="240" w:lineRule="auto"/>
        <w:rPr>
          <w:rFonts w:asciiTheme="minorHAnsi" w:hAnsiTheme="minorHAnsi" w:cstheme="minorHAnsi"/>
          <w:b/>
          <w:bCs/>
          <w:sz w:val="24"/>
        </w:rPr>
      </w:pPr>
      <w:r w:rsidRPr="00FF7FE5">
        <w:rPr>
          <w:rFonts w:asciiTheme="minorHAnsi" w:hAnsiTheme="minorHAnsi" w:cstheme="minorHAnsi"/>
          <w:b/>
          <w:bCs/>
          <w:sz w:val="24"/>
        </w:rPr>
        <w:t>Review the current maximum quantity restrictions on all products to ensure these are in line with clinical requirements.</w:t>
      </w:r>
    </w:p>
    <w:p w14:paraId="7D559CA6" w14:textId="1F010323" w:rsidR="00954E8B" w:rsidRDefault="00954E8B" w:rsidP="003800FF">
      <w:pPr>
        <w:pStyle w:val="Heading4"/>
        <w:rPr>
          <w:i w:val="0"/>
          <w:iCs/>
          <w:sz w:val="24"/>
          <w:szCs w:val="24"/>
        </w:rPr>
      </w:pPr>
      <w:r w:rsidRPr="00954E8B">
        <w:rPr>
          <w:i w:val="0"/>
          <w:iCs/>
          <w:sz w:val="24"/>
          <w:szCs w:val="24"/>
        </w:rPr>
        <w:t xml:space="preserve">Key feedback regarding Recommendation </w:t>
      </w:r>
      <w:r>
        <w:rPr>
          <w:i w:val="0"/>
          <w:iCs/>
          <w:sz w:val="24"/>
          <w:szCs w:val="24"/>
        </w:rPr>
        <w:t>2</w:t>
      </w:r>
    </w:p>
    <w:p w14:paraId="61EF06A2" w14:textId="571B0E10" w:rsidR="004D2E05" w:rsidRPr="00C71042" w:rsidRDefault="004D2E05" w:rsidP="003800FF">
      <w:pPr>
        <w:pStyle w:val="ListParagraph"/>
        <w:numPr>
          <w:ilvl w:val="0"/>
          <w:numId w:val="47"/>
        </w:numPr>
        <w:spacing w:line="240" w:lineRule="auto"/>
        <w:rPr>
          <w:rFonts w:asciiTheme="minorHAnsi" w:hAnsiTheme="minorHAnsi" w:cstheme="minorHAnsi"/>
          <w:sz w:val="24"/>
        </w:rPr>
      </w:pPr>
      <w:r w:rsidRPr="00C71042">
        <w:rPr>
          <w:rFonts w:asciiTheme="minorHAnsi" w:hAnsiTheme="minorHAnsi" w:cstheme="minorHAnsi"/>
          <w:sz w:val="24"/>
        </w:rPr>
        <w:t>We</w:t>
      </w:r>
      <w:r w:rsidR="00692EFD" w:rsidRPr="00C71042">
        <w:rPr>
          <w:rFonts w:asciiTheme="minorHAnsi" w:hAnsiTheme="minorHAnsi" w:cstheme="minorHAnsi"/>
          <w:sz w:val="24"/>
        </w:rPr>
        <w:t xml:space="preserve"> </w:t>
      </w:r>
      <w:r w:rsidRPr="00C71042">
        <w:rPr>
          <w:rFonts w:asciiTheme="minorHAnsi" w:hAnsiTheme="minorHAnsi" w:cstheme="minorHAnsi"/>
          <w:sz w:val="24"/>
        </w:rPr>
        <w:t>found several common themes emerge from the responses to this recommendation. These themes include</w:t>
      </w:r>
      <w:r w:rsidR="007018FF">
        <w:rPr>
          <w:rFonts w:asciiTheme="minorHAnsi" w:hAnsiTheme="minorHAnsi" w:cstheme="minorHAnsi"/>
          <w:sz w:val="24"/>
        </w:rPr>
        <w:t>d</w:t>
      </w:r>
      <w:r w:rsidRPr="00C71042">
        <w:rPr>
          <w:rFonts w:asciiTheme="minorHAnsi" w:hAnsiTheme="minorHAnsi" w:cstheme="minorHAnsi"/>
          <w:sz w:val="24"/>
        </w:rPr>
        <w:t>:</w:t>
      </w:r>
    </w:p>
    <w:p w14:paraId="48968224" w14:textId="73CFEAF7" w:rsidR="004F0375" w:rsidRDefault="00B3650E" w:rsidP="003800FF">
      <w:pPr>
        <w:pStyle w:val="ListParagraph"/>
        <w:numPr>
          <w:ilvl w:val="0"/>
          <w:numId w:val="48"/>
        </w:numPr>
        <w:spacing w:line="240" w:lineRule="auto"/>
        <w:rPr>
          <w:rFonts w:asciiTheme="minorHAnsi" w:hAnsiTheme="minorHAnsi" w:cstheme="minorHAnsi"/>
          <w:sz w:val="24"/>
        </w:rPr>
      </w:pPr>
      <w:r>
        <w:rPr>
          <w:rFonts w:asciiTheme="minorHAnsi" w:hAnsiTheme="minorHAnsi" w:cstheme="minorHAnsi"/>
          <w:sz w:val="24"/>
        </w:rPr>
        <w:t>For some products the maximum quantity does</w:t>
      </w:r>
      <w:r w:rsidR="00692EFD" w:rsidRPr="004D2E05">
        <w:rPr>
          <w:rFonts w:asciiTheme="minorHAnsi" w:hAnsiTheme="minorHAnsi" w:cstheme="minorHAnsi"/>
          <w:sz w:val="24"/>
        </w:rPr>
        <w:t xml:space="preserve"> not </w:t>
      </w:r>
      <w:r>
        <w:rPr>
          <w:rFonts w:asciiTheme="minorHAnsi" w:hAnsiTheme="minorHAnsi" w:cstheme="minorHAnsi"/>
          <w:sz w:val="24"/>
        </w:rPr>
        <w:t>align with current</w:t>
      </w:r>
      <w:r w:rsidR="00692EFD" w:rsidRPr="004D2E05">
        <w:rPr>
          <w:rFonts w:asciiTheme="minorHAnsi" w:hAnsiTheme="minorHAnsi" w:cstheme="minorHAnsi"/>
          <w:sz w:val="24"/>
        </w:rPr>
        <w:t xml:space="preserve"> </w:t>
      </w:r>
      <w:r w:rsidR="004D2E05" w:rsidRPr="004D2E05">
        <w:rPr>
          <w:rFonts w:asciiTheme="minorHAnsi" w:hAnsiTheme="minorHAnsi" w:cstheme="minorHAnsi"/>
          <w:sz w:val="24"/>
        </w:rPr>
        <w:t>clinical</w:t>
      </w:r>
      <w:r w:rsidR="00692EFD" w:rsidRPr="004D2E05">
        <w:rPr>
          <w:rFonts w:asciiTheme="minorHAnsi" w:hAnsiTheme="minorHAnsi" w:cstheme="minorHAnsi"/>
          <w:sz w:val="24"/>
        </w:rPr>
        <w:t xml:space="preserve"> recommendations</w:t>
      </w:r>
      <w:r w:rsidR="00722719">
        <w:rPr>
          <w:rFonts w:asciiTheme="minorHAnsi" w:hAnsiTheme="minorHAnsi" w:cstheme="minorHAnsi"/>
          <w:sz w:val="24"/>
        </w:rPr>
        <w:t>.</w:t>
      </w:r>
      <w:r w:rsidR="00992516">
        <w:rPr>
          <w:rFonts w:asciiTheme="minorHAnsi" w:hAnsiTheme="minorHAnsi" w:cstheme="minorHAnsi"/>
          <w:sz w:val="24"/>
        </w:rPr>
        <w:t xml:space="preserve"> </w:t>
      </w:r>
      <w:r w:rsidR="00992516" w:rsidRPr="00992516">
        <w:rPr>
          <w:rFonts w:asciiTheme="minorHAnsi" w:hAnsiTheme="minorHAnsi" w:cstheme="minorHAnsi"/>
          <w:sz w:val="24"/>
        </w:rPr>
        <w:t xml:space="preserve">For example, for products listed in subgroup 1c (Convex Baseplates), </w:t>
      </w:r>
      <w:r w:rsidR="0062718F">
        <w:rPr>
          <w:rFonts w:asciiTheme="minorHAnsi" w:hAnsiTheme="minorHAnsi" w:cstheme="minorHAnsi"/>
          <w:sz w:val="24"/>
        </w:rPr>
        <w:t>clinical advice is that</w:t>
      </w:r>
      <w:r w:rsidR="00992516" w:rsidRPr="00992516">
        <w:rPr>
          <w:rFonts w:asciiTheme="minorHAnsi" w:hAnsiTheme="minorHAnsi" w:cstheme="minorHAnsi"/>
          <w:sz w:val="24"/>
        </w:rPr>
        <w:t xml:space="preserve"> the bag could require changing up to 3 times per day, but the current maximum quantity for most products in this subgroup is 60 per month.</w:t>
      </w:r>
    </w:p>
    <w:p w14:paraId="4FA443A7" w14:textId="2141CB8C" w:rsidR="004D2E05" w:rsidRDefault="00B3650E" w:rsidP="003800FF">
      <w:pPr>
        <w:pStyle w:val="ListParagraph"/>
        <w:numPr>
          <w:ilvl w:val="0"/>
          <w:numId w:val="48"/>
        </w:numPr>
        <w:spacing w:line="240" w:lineRule="auto"/>
        <w:rPr>
          <w:rFonts w:asciiTheme="minorHAnsi" w:hAnsiTheme="minorHAnsi" w:cstheme="minorHAnsi"/>
          <w:sz w:val="24"/>
        </w:rPr>
      </w:pPr>
      <w:r>
        <w:rPr>
          <w:rFonts w:asciiTheme="minorHAnsi" w:hAnsiTheme="minorHAnsi" w:cstheme="minorHAnsi"/>
          <w:sz w:val="24"/>
        </w:rPr>
        <w:t>In situations where 2 products are used together (or example seals and certain types of bags) the maximum quantities do not</w:t>
      </w:r>
      <w:r w:rsidR="0062718F">
        <w:rPr>
          <w:rFonts w:asciiTheme="minorHAnsi" w:hAnsiTheme="minorHAnsi" w:cstheme="minorHAnsi"/>
          <w:sz w:val="24"/>
        </w:rPr>
        <w:t xml:space="preserve"> always</w:t>
      </w:r>
      <w:r>
        <w:rPr>
          <w:rFonts w:asciiTheme="minorHAnsi" w:hAnsiTheme="minorHAnsi" w:cstheme="minorHAnsi"/>
          <w:sz w:val="24"/>
        </w:rPr>
        <w:t xml:space="preserve"> align for </w:t>
      </w:r>
      <w:r w:rsidR="0062718F">
        <w:rPr>
          <w:rFonts w:asciiTheme="minorHAnsi" w:hAnsiTheme="minorHAnsi" w:cstheme="minorHAnsi"/>
          <w:sz w:val="24"/>
        </w:rPr>
        <w:t xml:space="preserve">the 2 </w:t>
      </w:r>
      <w:r>
        <w:rPr>
          <w:rFonts w:asciiTheme="minorHAnsi" w:hAnsiTheme="minorHAnsi" w:cstheme="minorHAnsi"/>
          <w:sz w:val="24"/>
        </w:rPr>
        <w:t>products</w:t>
      </w:r>
      <w:r w:rsidR="0062718F">
        <w:rPr>
          <w:rFonts w:asciiTheme="minorHAnsi" w:hAnsiTheme="minorHAnsi" w:cstheme="minorHAnsi"/>
          <w:sz w:val="24"/>
        </w:rPr>
        <w:t>,</w:t>
      </w:r>
      <w:r w:rsidR="00BC028B">
        <w:rPr>
          <w:rFonts w:asciiTheme="minorHAnsi" w:hAnsiTheme="minorHAnsi" w:cstheme="minorHAnsi"/>
          <w:sz w:val="24"/>
        </w:rPr>
        <w:t xml:space="preserve"> resulting in requests for additional supplies</w:t>
      </w:r>
      <w:r w:rsidR="004D2E05">
        <w:rPr>
          <w:rFonts w:asciiTheme="minorHAnsi" w:hAnsiTheme="minorHAnsi" w:cstheme="minorHAnsi"/>
          <w:sz w:val="24"/>
        </w:rPr>
        <w:t>.</w:t>
      </w:r>
    </w:p>
    <w:p w14:paraId="1DF0FAA0" w14:textId="4EA8EB06" w:rsidR="004D2E05" w:rsidRDefault="0063198A" w:rsidP="003800FF">
      <w:pPr>
        <w:pStyle w:val="ListParagraph"/>
        <w:numPr>
          <w:ilvl w:val="0"/>
          <w:numId w:val="48"/>
        </w:numPr>
        <w:spacing w:line="240" w:lineRule="auto"/>
        <w:rPr>
          <w:rFonts w:asciiTheme="minorHAnsi" w:hAnsiTheme="minorHAnsi" w:cstheme="minorHAnsi"/>
          <w:sz w:val="24"/>
        </w:rPr>
      </w:pPr>
      <w:r>
        <w:rPr>
          <w:rFonts w:asciiTheme="minorHAnsi" w:hAnsiTheme="minorHAnsi" w:cstheme="minorHAnsi"/>
          <w:sz w:val="24"/>
        </w:rPr>
        <w:t>Some p</w:t>
      </w:r>
      <w:r w:rsidR="005E1E77">
        <w:rPr>
          <w:rFonts w:asciiTheme="minorHAnsi" w:hAnsiTheme="minorHAnsi" w:cstheme="minorHAnsi"/>
          <w:sz w:val="24"/>
        </w:rPr>
        <w:t>roducts</w:t>
      </w:r>
      <w:r w:rsidR="004D2E05">
        <w:rPr>
          <w:rFonts w:asciiTheme="minorHAnsi" w:hAnsiTheme="minorHAnsi" w:cstheme="minorHAnsi"/>
          <w:sz w:val="24"/>
        </w:rPr>
        <w:t xml:space="preserve"> that are required to be changed daily have a maximum quantity of 30 per month </w:t>
      </w:r>
      <w:r w:rsidR="00FD61E8">
        <w:rPr>
          <w:rFonts w:asciiTheme="minorHAnsi" w:hAnsiTheme="minorHAnsi" w:cstheme="minorHAnsi"/>
          <w:sz w:val="24"/>
        </w:rPr>
        <w:t>(or 360 per year)</w:t>
      </w:r>
      <w:r w:rsidR="004D2E05">
        <w:rPr>
          <w:rFonts w:asciiTheme="minorHAnsi" w:hAnsiTheme="minorHAnsi" w:cstheme="minorHAnsi"/>
          <w:sz w:val="24"/>
        </w:rPr>
        <w:t>.</w:t>
      </w:r>
    </w:p>
    <w:p w14:paraId="58A66673" w14:textId="77777777" w:rsidR="00C71042" w:rsidRDefault="00722719" w:rsidP="003800FF">
      <w:pPr>
        <w:pStyle w:val="ListParagraph"/>
        <w:numPr>
          <w:ilvl w:val="0"/>
          <w:numId w:val="48"/>
        </w:numPr>
        <w:spacing w:after="0" w:line="240" w:lineRule="auto"/>
        <w:contextualSpacing w:val="0"/>
        <w:rPr>
          <w:rFonts w:asciiTheme="minorHAnsi" w:hAnsiTheme="minorHAnsi" w:cstheme="minorHAnsi"/>
          <w:sz w:val="24"/>
        </w:rPr>
      </w:pPr>
      <w:r>
        <w:rPr>
          <w:rFonts w:asciiTheme="minorHAnsi" w:hAnsiTheme="minorHAnsi" w:cstheme="minorHAnsi"/>
          <w:sz w:val="24"/>
        </w:rPr>
        <w:t>N</w:t>
      </w:r>
      <w:r w:rsidR="005B45D8">
        <w:rPr>
          <w:rFonts w:asciiTheme="minorHAnsi" w:hAnsiTheme="minorHAnsi" w:cstheme="minorHAnsi"/>
          <w:sz w:val="24"/>
        </w:rPr>
        <w:t>ew ostomate</w:t>
      </w:r>
      <w:r w:rsidR="00C462F0">
        <w:rPr>
          <w:rFonts w:asciiTheme="minorHAnsi" w:hAnsiTheme="minorHAnsi" w:cstheme="minorHAnsi"/>
          <w:sz w:val="24"/>
        </w:rPr>
        <w:t>s</w:t>
      </w:r>
      <w:r w:rsidR="005B45D8">
        <w:rPr>
          <w:rFonts w:asciiTheme="minorHAnsi" w:hAnsiTheme="minorHAnsi" w:cstheme="minorHAnsi"/>
          <w:sz w:val="24"/>
        </w:rPr>
        <w:t xml:space="preserve"> </w:t>
      </w:r>
      <w:r>
        <w:rPr>
          <w:rFonts w:asciiTheme="minorHAnsi" w:hAnsiTheme="minorHAnsi" w:cstheme="minorHAnsi"/>
          <w:sz w:val="24"/>
        </w:rPr>
        <w:t>often</w:t>
      </w:r>
      <w:r w:rsidR="005B45D8">
        <w:rPr>
          <w:rFonts w:asciiTheme="minorHAnsi" w:hAnsiTheme="minorHAnsi" w:cstheme="minorHAnsi"/>
          <w:sz w:val="24"/>
        </w:rPr>
        <w:t xml:space="preserve"> require extra products, above the maximum quantity, as they </w:t>
      </w:r>
      <w:r w:rsidR="00C462F0">
        <w:rPr>
          <w:rFonts w:asciiTheme="minorHAnsi" w:hAnsiTheme="minorHAnsi" w:cstheme="minorHAnsi"/>
          <w:sz w:val="24"/>
        </w:rPr>
        <w:t>are</w:t>
      </w:r>
      <w:r w:rsidR="005B45D8">
        <w:rPr>
          <w:rFonts w:asciiTheme="minorHAnsi" w:hAnsiTheme="minorHAnsi" w:cstheme="minorHAnsi"/>
          <w:sz w:val="24"/>
        </w:rPr>
        <w:t xml:space="preserve"> changing their appliance</w:t>
      </w:r>
      <w:r w:rsidR="00BC028B">
        <w:rPr>
          <w:rFonts w:asciiTheme="minorHAnsi" w:hAnsiTheme="minorHAnsi" w:cstheme="minorHAnsi"/>
          <w:sz w:val="24"/>
        </w:rPr>
        <w:t>s</w:t>
      </w:r>
      <w:r w:rsidR="005B45D8">
        <w:rPr>
          <w:rFonts w:asciiTheme="minorHAnsi" w:hAnsiTheme="minorHAnsi" w:cstheme="minorHAnsi"/>
          <w:sz w:val="24"/>
        </w:rPr>
        <w:t xml:space="preserve"> more frequently and trying to find the best product for their needs. </w:t>
      </w:r>
    </w:p>
    <w:p w14:paraId="773BD65E" w14:textId="471A57C8" w:rsidR="005B45D8" w:rsidRPr="00C71042" w:rsidRDefault="00722719" w:rsidP="003800FF">
      <w:pPr>
        <w:pStyle w:val="ListParagraph"/>
        <w:numPr>
          <w:ilvl w:val="0"/>
          <w:numId w:val="49"/>
        </w:numPr>
        <w:spacing w:after="0" w:line="240" w:lineRule="auto"/>
        <w:rPr>
          <w:rFonts w:asciiTheme="minorHAnsi" w:hAnsiTheme="minorHAnsi" w:cstheme="minorHAnsi"/>
          <w:sz w:val="24"/>
        </w:rPr>
      </w:pPr>
      <w:r w:rsidRPr="00C71042">
        <w:rPr>
          <w:rFonts w:asciiTheme="minorHAnsi" w:hAnsiTheme="minorHAnsi" w:cstheme="minorHAnsi"/>
          <w:sz w:val="24"/>
        </w:rPr>
        <w:t>In addition to these themes</w:t>
      </w:r>
      <w:r w:rsidR="0063198A" w:rsidRPr="00C71042">
        <w:rPr>
          <w:rFonts w:asciiTheme="minorHAnsi" w:hAnsiTheme="minorHAnsi" w:cstheme="minorHAnsi"/>
          <w:sz w:val="24"/>
        </w:rPr>
        <w:t>,</w:t>
      </w:r>
      <w:r w:rsidRPr="00C71042">
        <w:rPr>
          <w:rFonts w:asciiTheme="minorHAnsi" w:hAnsiTheme="minorHAnsi" w:cstheme="minorHAnsi"/>
          <w:sz w:val="24"/>
        </w:rPr>
        <w:t xml:space="preserve"> it became apparent that s</w:t>
      </w:r>
      <w:r w:rsidR="005B45D8" w:rsidRPr="00C71042">
        <w:rPr>
          <w:rFonts w:asciiTheme="minorHAnsi" w:hAnsiTheme="minorHAnsi" w:cstheme="minorHAnsi"/>
          <w:sz w:val="24"/>
        </w:rPr>
        <w:t xml:space="preserve">ome ostomates </w:t>
      </w:r>
      <w:r w:rsidRPr="00C71042">
        <w:rPr>
          <w:rFonts w:asciiTheme="minorHAnsi" w:hAnsiTheme="minorHAnsi" w:cstheme="minorHAnsi"/>
          <w:sz w:val="24"/>
        </w:rPr>
        <w:t>are</w:t>
      </w:r>
      <w:r w:rsidR="005B45D8" w:rsidRPr="00C71042">
        <w:rPr>
          <w:rFonts w:asciiTheme="minorHAnsi" w:hAnsiTheme="minorHAnsi" w:cstheme="minorHAnsi"/>
          <w:sz w:val="24"/>
        </w:rPr>
        <w:t xml:space="preserve"> unaware of existing SAS processes such as being able to access additional supplies for clinical reasons or</w:t>
      </w:r>
      <w:r w:rsidR="00C462F0" w:rsidRPr="00C71042">
        <w:rPr>
          <w:rFonts w:asciiTheme="minorHAnsi" w:hAnsiTheme="minorHAnsi" w:cstheme="minorHAnsi"/>
          <w:sz w:val="24"/>
        </w:rPr>
        <w:t xml:space="preserve"> the option to orders</w:t>
      </w:r>
      <w:r w:rsidR="005B45D8" w:rsidRPr="00C71042">
        <w:rPr>
          <w:rFonts w:asciiTheme="minorHAnsi" w:hAnsiTheme="minorHAnsi" w:cstheme="minorHAnsi"/>
          <w:sz w:val="24"/>
        </w:rPr>
        <w:t xml:space="preserve"> 2</w:t>
      </w:r>
      <w:r w:rsidR="0062718F" w:rsidRPr="00C71042">
        <w:rPr>
          <w:rFonts w:asciiTheme="minorHAnsi" w:hAnsiTheme="minorHAnsi" w:cstheme="minorHAnsi"/>
          <w:sz w:val="24"/>
        </w:rPr>
        <w:t xml:space="preserve"> </w:t>
      </w:r>
      <w:r w:rsidR="005B45D8" w:rsidRPr="00C71042">
        <w:rPr>
          <w:rFonts w:asciiTheme="minorHAnsi" w:hAnsiTheme="minorHAnsi" w:cstheme="minorHAnsi"/>
          <w:sz w:val="24"/>
        </w:rPr>
        <w:t>mon</w:t>
      </w:r>
      <w:r w:rsidR="00C462F0" w:rsidRPr="00C71042">
        <w:rPr>
          <w:rFonts w:asciiTheme="minorHAnsi" w:hAnsiTheme="minorHAnsi" w:cstheme="minorHAnsi"/>
          <w:sz w:val="24"/>
        </w:rPr>
        <w:t>t</w:t>
      </w:r>
      <w:r w:rsidR="005B45D8" w:rsidRPr="00C71042">
        <w:rPr>
          <w:rFonts w:asciiTheme="minorHAnsi" w:hAnsiTheme="minorHAnsi" w:cstheme="minorHAnsi"/>
          <w:sz w:val="24"/>
        </w:rPr>
        <w:t>h</w:t>
      </w:r>
      <w:r w:rsidR="00C462F0" w:rsidRPr="00C71042">
        <w:rPr>
          <w:rFonts w:asciiTheme="minorHAnsi" w:hAnsiTheme="minorHAnsi" w:cstheme="minorHAnsi"/>
          <w:sz w:val="24"/>
        </w:rPr>
        <w:t>s</w:t>
      </w:r>
      <w:r w:rsidR="0062718F" w:rsidRPr="00C71042">
        <w:rPr>
          <w:rFonts w:asciiTheme="minorHAnsi" w:hAnsiTheme="minorHAnsi" w:cstheme="minorHAnsi"/>
          <w:sz w:val="24"/>
        </w:rPr>
        <w:t>’</w:t>
      </w:r>
      <w:r w:rsidR="00C462F0" w:rsidRPr="00C71042">
        <w:rPr>
          <w:rFonts w:asciiTheme="minorHAnsi" w:hAnsiTheme="minorHAnsi" w:cstheme="minorHAnsi"/>
          <w:sz w:val="24"/>
        </w:rPr>
        <w:t xml:space="preserve"> supply at one time</w:t>
      </w:r>
      <w:r w:rsidR="005B45D8" w:rsidRPr="00C71042">
        <w:rPr>
          <w:rFonts w:asciiTheme="minorHAnsi" w:hAnsiTheme="minorHAnsi" w:cstheme="minorHAnsi"/>
          <w:sz w:val="24"/>
        </w:rPr>
        <w:t xml:space="preserve">. </w:t>
      </w:r>
    </w:p>
    <w:p w14:paraId="04E21F13" w14:textId="03D15B14" w:rsidR="00282218" w:rsidRPr="001D6A71" w:rsidRDefault="00282218" w:rsidP="003800FF">
      <w:pPr>
        <w:pStyle w:val="Heading3"/>
      </w:pPr>
      <w:bookmarkStart w:id="7" w:name="_Toc175909180"/>
      <w:bookmarkStart w:id="8" w:name="_Toc184108517"/>
      <w:bookmarkStart w:id="9" w:name="_Hlk184025727"/>
      <w:r w:rsidRPr="001D6A71">
        <w:t xml:space="preserve">Recommendation </w:t>
      </w:r>
      <w:r>
        <w:t>3</w:t>
      </w:r>
      <w:r w:rsidRPr="001D6A71">
        <w:t>: Group 9 products</w:t>
      </w:r>
      <w:bookmarkEnd w:id="7"/>
      <w:bookmarkEnd w:id="8"/>
      <w:r w:rsidRPr="001D6A71">
        <w:t xml:space="preserve"> </w:t>
      </w:r>
    </w:p>
    <w:p w14:paraId="71CEC8B5" w14:textId="77777777" w:rsidR="00282218" w:rsidRPr="00282218" w:rsidRDefault="00282218" w:rsidP="003800FF">
      <w:pPr>
        <w:spacing w:line="240" w:lineRule="auto"/>
        <w:rPr>
          <w:rFonts w:asciiTheme="minorHAnsi" w:hAnsiTheme="minorHAnsi" w:cstheme="minorHAnsi"/>
          <w:b/>
          <w:bCs/>
          <w:sz w:val="24"/>
        </w:rPr>
      </w:pPr>
      <w:r w:rsidRPr="00282218">
        <w:rPr>
          <w:rFonts w:asciiTheme="minorHAnsi" w:hAnsiTheme="minorHAnsi" w:cstheme="minorHAnsi"/>
          <w:b/>
          <w:bCs/>
          <w:sz w:val="24"/>
        </w:rPr>
        <w:t>Group 9 (accessory products) should be split into 2 groups to differentiate between products that are necessary to manage a stoma and those that are discretionary. Products considered to be discretionary should have higher evidence requirements for listing and stricter maximum quantities and restrictions.</w:t>
      </w:r>
    </w:p>
    <w:bookmarkEnd w:id="9"/>
    <w:p w14:paraId="136BDD16" w14:textId="174E167D" w:rsidR="004F0375" w:rsidRDefault="004F0375" w:rsidP="003800FF">
      <w:pPr>
        <w:pStyle w:val="Heading4"/>
        <w:rPr>
          <w:i w:val="0"/>
          <w:iCs/>
          <w:sz w:val="24"/>
          <w:szCs w:val="24"/>
        </w:rPr>
      </w:pPr>
      <w:r w:rsidRPr="00954E8B">
        <w:rPr>
          <w:i w:val="0"/>
          <w:iCs/>
          <w:sz w:val="24"/>
          <w:szCs w:val="24"/>
        </w:rPr>
        <w:t xml:space="preserve">Key feedback regarding Recommendation </w:t>
      </w:r>
      <w:r>
        <w:rPr>
          <w:i w:val="0"/>
          <w:iCs/>
          <w:sz w:val="24"/>
          <w:szCs w:val="24"/>
        </w:rPr>
        <w:t>3</w:t>
      </w:r>
    </w:p>
    <w:p w14:paraId="12AFE32C" w14:textId="052FFBBA" w:rsidR="0062718F" w:rsidRDefault="008C2453" w:rsidP="003800FF">
      <w:pPr>
        <w:pStyle w:val="ListParagraph"/>
        <w:numPr>
          <w:ilvl w:val="0"/>
          <w:numId w:val="37"/>
        </w:numPr>
        <w:spacing w:before="0" w:after="0" w:line="240" w:lineRule="auto"/>
        <w:rPr>
          <w:rFonts w:asciiTheme="minorHAnsi" w:hAnsiTheme="minorHAnsi" w:cstheme="minorHAnsi"/>
          <w:iCs/>
          <w:color w:val="auto"/>
          <w:sz w:val="24"/>
        </w:rPr>
      </w:pPr>
      <w:r w:rsidRPr="008C2453">
        <w:rPr>
          <w:rFonts w:asciiTheme="minorHAnsi" w:hAnsiTheme="minorHAnsi" w:cstheme="minorHAnsi"/>
          <w:iCs/>
          <w:color w:val="auto"/>
          <w:sz w:val="24"/>
        </w:rPr>
        <w:t xml:space="preserve">We heard </w:t>
      </w:r>
      <w:r w:rsidR="009442EB">
        <w:rPr>
          <w:rFonts w:asciiTheme="minorHAnsi" w:hAnsiTheme="minorHAnsi" w:cstheme="minorHAnsi"/>
          <w:iCs/>
          <w:color w:val="auto"/>
          <w:sz w:val="24"/>
        </w:rPr>
        <w:t xml:space="preserve">that </w:t>
      </w:r>
      <w:r w:rsidRPr="008C2453">
        <w:rPr>
          <w:rFonts w:asciiTheme="minorHAnsi" w:hAnsiTheme="minorHAnsi" w:cstheme="minorHAnsi"/>
          <w:iCs/>
          <w:color w:val="auto"/>
          <w:sz w:val="24"/>
        </w:rPr>
        <w:t xml:space="preserve">respondents </w:t>
      </w:r>
      <w:r w:rsidR="009442EB">
        <w:rPr>
          <w:rFonts w:asciiTheme="minorHAnsi" w:hAnsiTheme="minorHAnsi" w:cstheme="minorHAnsi"/>
          <w:iCs/>
          <w:color w:val="auto"/>
          <w:sz w:val="24"/>
        </w:rPr>
        <w:t>were generally supportive of</w:t>
      </w:r>
      <w:r w:rsidR="009442EB" w:rsidRPr="008C2453">
        <w:rPr>
          <w:rFonts w:asciiTheme="minorHAnsi" w:hAnsiTheme="minorHAnsi" w:cstheme="minorHAnsi"/>
          <w:iCs/>
          <w:color w:val="auto"/>
          <w:sz w:val="24"/>
        </w:rPr>
        <w:t xml:space="preserve"> </w:t>
      </w:r>
      <w:r w:rsidR="00706116">
        <w:rPr>
          <w:rFonts w:asciiTheme="minorHAnsi" w:hAnsiTheme="minorHAnsi" w:cstheme="minorHAnsi"/>
          <w:iCs/>
          <w:color w:val="auto"/>
          <w:sz w:val="24"/>
        </w:rPr>
        <w:t>G</w:t>
      </w:r>
      <w:r w:rsidRPr="008C2453">
        <w:rPr>
          <w:rFonts w:asciiTheme="minorHAnsi" w:hAnsiTheme="minorHAnsi" w:cstheme="minorHAnsi"/>
          <w:iCs/>
          <w:color w:val="auto"/>
          <w:sz w:val="24"/>
        </w:rPr>
        <w:t>roup 9</w:t>
      </w:r>
      <w:r w:rsidR="00FD6DA9">
        <w:rPr>
          <w:rFonts w:asciiTheme="minorHAnsi" w:hAnsiTheme="minorHAnsi" w:cstheme="minorHAnsi"/>
          <w:iCs/>
          <w:color w:val="auto"/>
          <w:sz w:val="24"/>
        </w:rPr>
        <w:t xml:space="preserve"> be</w:t>
      </w:r>
      <w:r w:rsidR="009442EB">
        <w:rPr>
          <w:rFonts w:asciiTheme="minorHAnsi" w:hAnsiTheme="minorHAnsi" w:cstheme="minorHAnsi"/>
          <w:iCs/>
          <w:color w:val="auto"/>
          <w:sz w:val="24"/>
        </w:rPr>
        <w:t>ing</w:t>
      </w:r>
      <w:r w:rsidR="00FD6DA9">
        <w:rPr>
          <w:rFonts w:asciiTheme="minorHAnsi" w:hAnsiTheme="minorHAnsi" w:cstheme="minorHAnsi"/>
          <w:iCs/>
          <w:color w:val="auto"/>
          <w:sz w:val="24"/>
        </w:rPr>
        <w:t xml:space="preserve"> </w:t>
      </w:r>
      <w:r w:rsidR="0062718F">
        <w:rPr>
          <w:rFonts w:asciiTheme="minorHAnsi" w:hAnsiTheme="minorHAnsi" w:cstheme="minorHAnsi"/>
          <w:iCs/>
          <w:color w:val="auto"/>
          <w:sz w:val="24"/>
        </w:rPr>
        <w:t xml:space="preserve">divided </w:t>
      </w:r>
      <w:r w:rsidR="00FD6DA9">
        <w:rPr>
          <w:rFonts w:asciiTheme="minorHAnsi" w:hAnsiTheme="minorHAnsi" w:cstheme="minorHAnsi"/>
          <w:iCs/>
          <w:color w:val="auto"/>
          <w:sz w:val="24"/>
        </w:rPr>
        <w:t xml:space="preserve">into 2 </w:t>
      </w:r>
      <w:r w:rsidR="00706116">
        <w:rPr>
          <w:rFonts w:asciiTheme="minorHAnsi" w:hAnsiTheme="minorHAnsi" w:cstheme="minorHAnsi"/>
          <w:iCs/>
          <w:color w:val="auto"/>
          <w:sz w:val="24"/>
        </w:rPr>
        <w:t xml:space="preserve">proposed </w:t>
      </w:r>
      <w:r w:rsidR="00FD6DA9">
        <w:rPr>
          <w:rFonts w:asciiTheme="minorHAnsi" w:hAnsiTheme="minorHAnsi" w:cstheme="minorHAnsi"/>
          <w:iCs/>
          <w:color w:val="auto"/>
          <w:sz w:val="24"/>
        </w:rPr>
        <w:t>categories</w:t>
      </w:r>
      <w:r w:rsidR="00706116">
        <w:rPr>
          <w:rFonts w:asciiTheme="minorHAnsi" w:hAnsiTheme="minorHAnsi" w:cstheme="minorHAnsi"/>
          <w:iCs/>
          <w:color w:val="auto"/>
          <w:sz w:val="24"/>
        </w:rPr>
        <w:t xml:space="preserve">: </w:t>
      </w:r>
      <w:r w:rsidR="00FD6DA9">
        <w:rPr>
          <w:rFonts w:asciiTheme="minorHAnsi" w:hAnsiTheme="minorHAnsi" w:cstheme="minorHAnsi"/>
          <w:iCs/>
          <w:color w:val="auto"/>
          <w:sz w:val="24"/>
        </w:rPr>
        <w:t>‘clinically necessary’ and ‘discretionary’</w:t>
      </w:r>
      <w:r w:rsidRPr="008C2453">
        <w:rPr>
          <w:rFonts w:asciiTheme="minorHAnsi" w:hAnsiTheme="minorHAnsi" w:cstheme="minorHAnsi"/>
          <w:iCs/>
          <w:color w:val="auto"/>
          <w:sz w:val="24"/>
        </w:rPr>
        <w:t>.</w:t>
      </w:r>
      <w:r w:rsidR="0062718F">
        <w:rPr>
          <w:rFonts w:asciiTheme="minorHAnsi" w:hAnsiTheme="minorHAnsi" w:cstheme="minorHAnsi"/>
          <w:iCs/>
          <w:color w:val="auto"/>
          <w:sz w:val="24"/>
        </w:rPr>
        <w:t xml:space="preserve"> </w:t>
      </w:r>
    </w:p>
    <w:p w14:paraId="7CFFEAF3" w14:textId="6341E666" w:rsidR="00467F4B" w:rsidRDefault="0062718F" w:rsidP="003800FF">
      <w:pPr>
        <w:pStyle w:val="ListParagraph"/>
        <w:numPr>
          <w:ilvl w:val="0"/>
          <w:numId w:val="37"/>
        </w:numPr>
        <w:spacing w:before="0" w:after="0" w:line="240" w:lineRule="auto"/>
        <w:rPr>
          <w:rFonts w:asciiTheme="minorHAnsi" w:hAnsiTheme="minorHAnsi" w:cstheme="minorHAnsi"/>
          <w:iCs/>
          <w:color w:val="auto"/>
          <w:sz w:val="24"/>
        </w:rPr>
      </w:pPr>
      <w:r>
        <w:rPr>
          <w:rFonts w:asciiTheme="minorHAnsi" w:hAnsiTheme="minorHAnsi" w:cstheme="minorHAnsi"/>
          <w:iCs/>
          <w:color w:val="auto"/>
          <w:sz w:val="24"/>
        </w:rPr>
        <w:t xml:space="preserve">However, there was no consensus on the proposed allocation of products to each category. </w:t>
      </w:r>
      <w:r w:rsidRPr="00FD6DA9">
        <w:rPr>
          <w:rFonts w:asciiTheme="minorHAnsi" w:hAnsiTheme="minorHAnsi" w:cstheme="minorHAnsi"/>
          <w:sz w:val="24"/>
        </w:rPr>
        <w:t xml:space="preserve">Common feedback from ostomates was </w:t>
      </w:r>
      <w:r>
        <w:rPr>
          <w:rFonts w:asciiTheme="minorHAnsi" w:hAnsiTheme="minorHAnsi" w:cstheme="minorHAnsi"/>
          <w:sz w:val="24"/>
        </w:rPr>
        <w:t xml:space="preserve">that </w:t>
      </w:r>
      <w:r w:rsidRPr="00FD6DA9">
        <w:rPr>
          <w:rFonts w:asciiTheme="minorHAnsi" w:hAnsiTheme="minorHAnsi" w:cstheme="minorHAnsi"/>
          <w:sz w:val="24"/>
        </w:rPr>
        <w:t xml:space="preserve">there is no ‘normal’ in stoma management, so </w:t>
      </w:r>
      <w:r w:rsidR="00FB50AA">
        <w:rPr>
          <w:rFonts w:asciiTheme="minorHAnsi" w:hAnsiTheme="minorHAnsi" w:cstheme="minorHAnsi"/>
          <w:sz w:val="24"/>
        </w:rPr>
        <w:t xml:space="preserve">imposing additional restrictions on some products </w:t>
      </w:r>
      <w:r w:rsidR="003800FF">
        <w:rPr>
          <w:rFonts w:asciiTheme="minorHAnsi" w:hAnsiTheme="minorHAnsi" w:cstheme="minorHAnsi"/>
          <w:sz w:val="24"/>
        </w:rPr>
        <w:t>could</w:t>
      </w:r>
      <w:r w:rsidR="00FB50AA">
        <w:rPr>
          <w:rFonts w:asciiTheme="minorHAnsi" w:hAnsiTheme="minorHAnsi" w:cstheme="minorHAnsi"/>
          <w:sz w:val="24"/>
        </w:rPr>
        <w:t xml:space="preserve"> disadvantage some ostomates.</w:t>
      </w:r>
    </w:p>
    <w:p w14:paraId="3DC55B12" w14:textId="1CAD1A26" w:rsidR="008C2453" w:rsidRDefault="008C2453" w:rsidP="003800FF">
      <w:pPr>
        <w:pStyle w:val="ListParagraph"/>
        <w:numPr>
          <w:ilvl w:val="0"/>
          <w:numId w:val="37"/>
        </w:numPr>
        <w:spacing w:before="0" w:after="0" w:line="240" w:lineRule="auto"/>
        <w:rPr>
          <w:rFonts w:asciiTheme="minorHAnsi" w:hAnsiTheme="minorHAnsi" w:cstheme="minorHAnsi"/>
          <w:iCs/>
          <w:color w:val="auto"/>
          <w:sz w:val="24"/>
        </w:rPr>
      </w:pPr>
      <w:r>
        <w:rPr>
          <w:rFonts w:asciiTheme="minorHAnsi" w:hAnsiTheme="minorHAnsi" w:cstheme="minorHAnsi"/>
          <w:iCs/>
          <w:color w:val="auto"/>
          <w:sz w:val="24"/>
        </w:rPr>
        <w:t>STN</w:t>
      </w:r>
      <w:r w:rsidR="00FD61E8">
        <w:rPr>
          <w:rFonts w:asciiTheme="minorHAnsi" w:hAnsiTheme="minorHAnsi" w:cstheme="minorHAnsi"/>
          <w:iCs/>
          <w:color w:val="auto"/>
          <w:sz w:val="24"/>
        </w:rPr>
        <w:t xml:space="preserve"> respondents </w:t>
      </w:r>
      <w:r>
        <w:rPr>
          <w:rFonts w:asciiTheme="minorHAnsi" w:hAnsiTheme="minorHAnsi" w:cstheme="minorHAnsi"/>
          <w:iCs/>
          <w:color w:val="auto"/>
          <w:sz w:val="24"/>
        </w:rPr>
        <w:t xml:space="preserve">provided feedback regarding </w:t>
      </w:r>
      <w:r w:rsidR="00F434E9">
        <w:rPr>
          <w:rFonts w:asciiTheme="minorHAnsi" w:hAnsiTheme="minorHAnsi" w:cstheme="minorHAnsi"/>
          <w:iCs/>
          <w:color w:val="auto"/>
          <w:sz w:val="24"/>
        </w:rPr>
        <w:t xml:space="preserve">the clinical use of some </w:t>
      </w:r>
      <w:r>
        <w:rPr>
          <w:rFonts w:asciiTheme="minorHAnsi" w:hAnsiTheme="minorHAnsi" w:cstheme="minorHAnsi"/>
          <w:iCs/>
          <w:color w:val="auto"/>
          <w:sz w:val="24"/>
        </w:rPr>
        <w:t>Group 9 products including some categories of products that are no longer used in clinical practice as technology has been superseded by other products.</w:t>
      </w:r>
    </w:p>
    <w:p w14:paraId="2692F327" w14:textId="70B99F66" w:rsidR="003745A7" w:rsidRDefault="003745A7" w:rsidP="003800FF">
      <w:pPr>
        <w:pStyle w:val="ListParagraph"/>
        <w:numPr>
          <w:ilvl w:val="0"/>
          <w:numId w:val="37"/>
        </w:numPr>
        <w:spacing w:before="0" w:after="0" w:line="240" w:lineRule="auto"/>
        <w:rPr>
          <w:rFonts w:asciiTheme="minorHAnsi" w:hAnsiTheme="minorHAnsi" w:cstheme="minorHAnsi"/>
          <w:iCs/>
          <w:color w:val="auto"/>
          <w:sz w:val="24"/>
        </w:rPr>
      </w:pPr>
      <w:r>
        <w:rPr>
          <w:rFonts w:asciiTheme="minorHAnsi" w:hAnsiTheme="minorHAnsi" w:cstheme="minorHAnsi"/>
          <w:iCs/>
          <w:color w:val="auto"/>
          <w:sz w:val="24"/>
        </w:rPr>
        <w:t>STN</w:t>
      </w:r>
      <w:r w:rsidR="00FD61E8">
        <w:rPr>
          <w:rFonts w:asciiTheme="minorHAnsi" w:hAnsiTheme="minorHAnsi" w:cstheme="minorHAnsi"/>
          <w:iCs/>
          <w:color w:val="auto"/>
          <w:sz w:val="24"/>
        </w:rPr>
        <w:t xml:space="preserve"> </w:t>
      </w:r>
      <w:r w:rsidR="0012166A">
        <w:rPr>
          <w:rFonts w:asciiTheme="minorHAnsi" w:hAnsiTheme="minorHAnsi" w:cstheme="minorHAnsi"/>
          <w:iCs/>
          <w:color w:val="auto"/>
          <w:sz w:val="24"/>
        </w:rPr>
        <w:t>respondents</w:t>
      </w:r>
      <w:r>
        <w:rPr>
          <w:rFonts w:asciiTheme="minorHAnsi" w:hAnsiTheme="minorHAnsi" w:cstheme="minorHAnsi"/>
          <w:iCs/>
          <w:color w:val="auto"/>
          <w:sz w:val="24"/>
        </w:rPr>
        <w:t xml:space="preserve"> also highlighted the potential increase in workload if more restrictions were introduced.</w:t>
      </w:r>
    </w:p>
    <w:p w14:paraId="0DD94301" w14:textId="3A39F7CA" w:rsidR="00282218" w:rsidRPr="00805FFA" w:rsidRDefault="00282218" w:rsidP="003800FF">
      <w:pPr>
        <w:pStyle w:val="Heading3"/>
      </w:pPr>
      <w:bookmarkStart w:id="10" w:name="_Toc175909181"/>
      <w:bookmarkStart w:id="11" w:name="_Toc184108518"/>
      <w:r w:rsidRPr="001D6A71">
        <w:lastRenderedPageBreak/>
        <w:t xml:space="preserve">Recommendation </w:t>
      </w:r>
      <w:r>
        <w:t>4</w:t>
      </w:r>
      <w:r w:rsidRPr="00805FFA">
        <w:t>: Product pricing</w:t>
      </w:r>
      <w:bookmarkEnd w:id="10"/>
      <w:bookmarkEnd w:id="11"/>
      <w:r w:rsidRPr="00805FFA">
        <w:tab/>
      </w:r>
    </w:p>
    <w:p w14:paraId="62EC2BD1" w14:textId="77777777" w:rsidR="00282218" w:rsidRPr="00282218" w:rsidRDefault="00282218" w:rsidP="003800FF">
      <w:pPr>
        <w:spacing w:line="240" w:lineRule="auto"/>
        <w:rPr>
          <w:rFonts w:asciiTheme="minorHAnsi" w:hAnsiTheme="minorHAnsi" w:cstheme="minorHAnsi"/>
          <w:b/>
          <w:bCs/>
          <w:sz w:val="24"/>
        </w:rPr>
      </w:pPr>
      <w:r w:rsidRPr="00282218">
        <w:rPr>
          <w:rFonts w:asciiTheme="minorHAnsi" w:hAnsiTheme="minorHAnsi" w:cstheme="minorHAnsi"/>
          <w:b/>
          <w:bCs/>
          <w:sz w:val="24"/>
        </w:rPr>
        <w:t>Maintain the current benchmark and premium pricing model for most products on the SAS Schedule and consider a price increase for products as well as regular pricing reviews.</w:t>
      </w:r>
    </w:p>
    <w:p w14:paraId="4147343D" w14:textId="56123443" w:rsidR="004F0375" w:rsidRPr="00EC0FE0" w:rsidRDefault="004F0375" w:rsidP="003800FF">
      <w:pPr>
        <w:pStyle w:val="Heading4"/>
        <w:rPr>
          <w:i w:val="0"/>
          <w:iCs/>
          <w:sz w:val="24"/>
          <w:szCs w:val="24"/>
        </w:rPr>
      </w:pPr>
      <w:r w:rsidRPr="00EC0FE0">
        <w:rPr>
          <w:i w:val="0"/>
          <w:iCs/>
          <w:sz w:val="24"/>
          <w:szCs w:val="24"/>
        </w:rPr>
        <w:t>Key feedback regarding Recommendation 4</w:t>
      </w:r>
    </w:p>
    <w:p w14:paraId="237659FE" w14:textId="1CD8D0F6" w:rsidR="003C1498" w:rsidRPr="003C1498" w:rsidRDefault="00B161A4" w:rsidP="003800FF">
      <w:pPr>
        <w:pStyle w:val="ListParagraph"/>
        <w:numPr>
          <w:ilvl w:val="0"/>
          <w:numId w:val="55"/>
        </w:numPr>
        <w:spacing w:line="240" w:lineRule="auto"/>
        <w:rPr>
          <w:rFonts w:asciiTheme="minorHAnsi" w:hAnsiTheme="minorHAnsi"/>
          <w:sz w:val="24"/>
        </w:rPr>
      </w:pPr>
      <w:r w:rsidRPr="003C1498">
        <w:rPr>
          <w:rFonts w:asciiTheme="minorHAnsi" w:hAnsiTheme="minorHAnsi"/>
          <w:sz w:val="24"/>
        </w:rPr>
        <w:t>We heard</w:t>
      </w:r>
      <w:r w:rsidR="003C1498" w:rsidRPr="003C1498">
        <w:rPr>
          <w:rFonts w:asciiTheme="minorHAnsi" w:hAnsiTheme="minorHAnsi"/>
          <w:sz w:val="24"/>
        </w:rPr>
        <w:t xml:space="preserve"> </w:t>
      </w:r>
      <w:r w:rsidR="00996AAF" w:rsidRPr="003C1498">
        <w:rPr>
          <w:rFonts w:asciiTheme="minorHAnsi" w:hAnsiTheme="minorHAnsi"/>
          <w:sz w:val="24"/>
        </w:rPr>
        <w:t>most respondents are g</w:t>
      </w:r>
      <w:r w:rsidR="00A05CD4" w:rsidRPr="003C1498">
        <w:rPr>
          <w:rFonts w:asciiTheme="minorHAnsi" w:hAnsiTheme="minorHAnsi"/>
          <w:sz w:val="24"/>
        </w:rPr>
        <w:t xml:space="preserve">enerally supportive of the </w:t>
      </w:r>
      <w:r w:rsidR="00996AAF" w:rsidRPr="003C1498">
        <w:rPr>
          <w:rFonts w:asciiTheme="minorHAnsi" w:hAnsiTheme="minorHAnsi"/>
          <w:sz w:val="24"/>
        </w:rPr>
        <w:t xml:space="preserve">current </w:t>
      </w:r>
      <w:r w:rsidR="00A05CD4" w:rsidRPr="003C1498">
        <w:rPr>
          <w:rFonts w:asciiTheme="minorHAnsi" w:hAnsiTheme="minorHAnsi"/>
          <w:sz w:val="24"/>
        </w:rPr>
        <w:t>benchmark</w:t>
      </w:r>
      <w:r w:rsidR="00440C7F" w:rsidRPr="003C1498">
        <w:rPr>
          <w:rFonts w:asciiTheme="minorHAnsi" w:hAnsiTheme="minorHAnsi"/>
          <w:sz w:val="24"/>
        </w:rPr>
        <w:t>/</w:t>
      </w:r>
      <w:r w:rsidR="003C1498" w:rsidRPr="003C1498">
        <w:rPr>
          <w:rFonts w:asciiTheme="minorHAnsi" w:hAnsiTheme="minorHAnsi"/>
          <w:sz w:val="24"/>
        </w:rPr>
        <w:br/>
      </w:r>
      <w:r w:rsidR="00996AAF" w:rsidRPr="003C1498">
        <w:rPr>
          <w:rFonts w:asciiTheme="minorHAnsi" w:hAnsiTheme="minorHAnsi"/>
          <w:sz w:val="24"/>
        </w:rPr>
        <w:t xml:space="preserve">premium pricing </w:t>
      </w:r>
      <w:r w:rsidR="00440C7F" w:rsidRPr="003C1498">
        <w:rPr>
          <w:rFonts w:asciiTheme="minorHAnsi" w:hAnsiTheme="minorHAnsi"/>
          <w:sz w:val="24"/>
        </w:rPr>
        <w:t>model</w:t>
      </w:r>
      <w:r w:rsidR="00996AAF" w:rsidRPr="003C1498">
        <w:rPr>
          <w:rFonts w:asciiTheme="minorHAnsi" w:hAnsiTheme="minorHAnsi"/>
          <w:sz w:val="24"/>
        </w:rPr>
        <w:t xml:space="preserve"> for </w:t>
      </w:r>
      <w:r w:rsidR="00440C7F" w:rsidRPr="003C1498">
        <w:rPr>
          <w:rFonts w:asciiTheme="minorHAnsi" w:hAnsiTheme="minorHAnsi"/>
          <w:sz w:val="24"/>
        </w:rPr>
        <w:t xml:space="preserve">products on the </w:t>
      </w:r>
      <w:r w:rsidR="00996AAF" w:rsidRPr="003C1498">
        <w:rPr>
          <w:rFonts w:asciiTheme="minorHAnsi" w:hAnsiTheme="minorHAnsi"/>
          <w:sz w:val="24"/>
        </w:rPr>
        <w:t xml:space="preserve">SAS </w:t>
      </w:r>
      <w:r w:rsidR="00440C7F" w:rsidRPr="003C1498">
        <w:rPr>
          <w:rFonts w:asciiTheme="minorHAnsi" w:hAnsiTheme="minorHAnsi"/>
          <w:sz w:val="24"/>
        </w:rPr>
        <w:t>schedule</w:t>
      </w:r>
      <w:r w:rsidR="00632069" w:rsidRPr="003C1498">
        <w:rPr>
          <w:rFonts w:asciiTheme="minorHAnsi" w:hAnsiTheme="minorHAnsi"/>
          <w:sz w:val="24"/>
        </w:rPr>
        <w:t xml:space="preserve"> as well as regular pricing reviews</w:t>
      </w:r>
      <w:r w:rsidR="003C1498" w:rsidRPr="003C1498">
        <w:rPr>
          <w:rFonts w:asciiTheme="minorHAnsi" w:hAnsiTheme="minorHAnsi"/>
          <w:sz w:val="24"/>
        </w:rPr>
        <w:t>.</w:t>
      </w:r>
    </w:p>
    <w:p w14:paraId="34B6239C" w14:textId="00C553CA" w:rsidR="003C1498" w:rsidRPr="003C1498" w:rsidRDefault="003C1498" w:rsidP="003800FF">
      <w:pPr>
        <w:pStyle w:val="ListParagraph"/>
        <w:numPr>
          <w:ilvl w:val="0"/>
          <w:numId w:val="55"/>
        </w:numPr>
        <w:spacing w:line="240" w:lineRule="auto"/>
        <w:rPr>
          <w:rFonts w:asciiTheme="minorHAnsi" w:hAnsiTheme="minorHAnsi"/>
          <w:sz w:val="24"/>
        </w:rPr>
      </w:pPr>
      <w:r w:rsidRPr="003C1498">
        <w:rPr>
          <w:rFonts w:asciiTheme="minorHAnsi" w:hAnsiTheme="minorHAnsi"/>
          <w:sz w:val="24"/>
        </w:rPr>
        <w:t xml:space="preserve">There were </w:t>
      </w:r>
      <w:r w:rsidR="006C1A0C" w:rsidRPr="003C1498">
        <w:rPr>
          <w:rFonts w:asciiTheme="minorHAnsi" w:hAnsiTheme="minorHAnsi"/>
          <w:sz w:val="24"/>
        </w:rPr>
        <w:t>m</w:t>
      </w:r>
      <w:r w:rsidR="00A05CD4" w:rsidRPr="003C1498">
        <w:rPr>
          <w:rFonts w:asciiTheme="minorHAnsi" w:hAnsiTheme="minorHAnsi"/>
          <w:sz w:val="24"/>
        </w:rPr>
        <w:t xml:space="preserve">ixed </w:t>
      </w:r>
      <w:r w:rsidR="006C1A0C" w:rsidRPr="003C1498">
        <w:rPr>
          <w:rFonts w:asciiTheme="minorHAnsi" w:hAnsiTheme="minorHAnsi"/>
          <w:sz w:val="24"/>
        </w:rPr>
        <w:t xml:space="preserve">views </w:t>
      </w:r>
      <w:r w:rsidR="003B2F7D" w:rsidRPr="003C1498">
        <w:rPr>
          <w:rFonts w:asciiTheme="minorHAnsi" w:hAnsiTheme="minorHAnsi"/>
          <w:sz w:val="24"/>
        </w:rPr>
        <w:t>about</w:t>
      </w:r>
      <w:r w:rsidR="006C1A0C" w:rsidRPr="003C1498">
        <w:rPr>
          <w:rFonts w:asciiTheme="minorHAnsi" w:hAnsiTheme="minorHAnsi"/>
          <w:sz w:val="24"/>
        </w:rPr>
        <w:t xml:space="preserve"> </w:t>
      </w:r>
      <w:r w:rsidR="00A05CD4" w:rsidRPr="003C1498">
        <w:rPr>
          <w:rFonts w:asciiTheme="minorHAnsi" w:hAnsiTheme="minorHAnsi"/>
          <w:sz w:val="24"/>
        </w:rPr>
        <w:t>tendering</w:t>
      </w:r>
      <w:r w:rsidR="006C1A0C" w:rsidRPr="003C1498">
        <w:rPr>
          <w:rFonts w:asciiTheme="minorHAnsi" w:hAnsiTheme="minorHAnsi"/>
          <w:sz w:val="24"/>
        </w:rPr>
        <w:t xml:space="preserve"> for Group 9 products with the main concern being </w:t>
      </w:r>
      <w:r w:rsidR="00440C7F" w:rsidRPr="003C1498">
        <w:rPr>
          <w:rFonts w:asciiTheme="minorHAnsi" w:hAnsiTheme="minorHAnsi"/>
          <w:sz w:val="24"/>
        </w:rPr>
        <w:t>tendering may reduce the quality and range of product options available to them</w:t>
      </w:r>
      <w:r w:rsidRPr="003C1498">
        <w:rPr>
          <w:rFonts w:asciiTheme="minorHAnsi" w:hAnsiTheme="minorHAnsi"/>
          <w:sz w:val="24"/>
        </w:rPr>
        <w:t>.</w:t>
      </w:r>
    </w:p>
    <w:p w14:paraId="7EB25E97" w14:textId="44D51E4C" w:rsidR="00440C7F" w:rsidRPr="003C1498" w:rsidRDefault="003C1498" w:rsidP="003800FF">
      <w:pPr>
        <w:pStyle w:val="ListParagraph"/>
        <w:numPr>
          <w:ilvl w:val="0"/>
          <w:numId w:val="55"/>
        </w:numPr>
        <w:spacing w:line="240" w:lineRule="auto"/>
        <w:rPr>
          <w:rFonts w:asciiTheme="minorHAnsi" w:hAnsiTheme="minorHAnsi"/>
          <w:sz w:val="24"/>
        </w:rPr>
      </w:pPr>
      <w:r>
        <w:rPr>
          <w:rFonts w:asciiTheme="minorHAnsi" w:hAnsiTheme="minorHAnsi"/>
          <w:sz w:val="24"/>
        </w:rPr>
        <w:t xml:space="preserve">We also noted </w:t>
      </w:r>
      <w:r w:rsidR="00F434E9" w:rsidRPr="003C1498">
        <w:rPr>
          <w:rFonts w:asciiTheme="minorHAnsi" w:hAnsiTheme="minorHAnsi"/>
          <w:sz w:val="24"/>
        </w:rPr>
        <w:t>s</w:t>
      </w:r>
      <w:r w:rsidR="004B2E6B" w:rsidRPr="003C1498">
        <w:rPr>
          <w:rFonts w:asciiTheme="minorHAnsi" w:hAnsiTheme="minorHAnsi"/>
          <w:sz w:val="24"/>
        </w:rPr>
        <w:t>ome respondents</w:t>
      </w:r>
      <w:r w:rsidR="00440C7F" w:rsidRPr="003C1498">
        <w:rPr>
          <w:rFonts w:asciiTheme="minorHAnsi" w:hAnsiTheme="minorHAnsi"/>
          <w:sz w:val="24"/>
        </w:rPr>
        <w:t xml:space="preserve"> d</w:t>
      </w:r>
      <w:r w:rsidR="004B2E6B" w:rsidRPr="003C1498">
        <w:rPr>
          <w:rFonts w:asciiTheme="minorHAnsi" w:hAnsiTheme="minorHAnsi"/>
          <w:sz w:val="24"/>
        </w:rPr>
        <w:t>o</w:t>
      </w:r>
      <w:r w:rsidR="00440C7F" w:rsidRPr="003C1498">
        <w:rPr>
          <w:rFonts w:asciiTheme="minorHAnsi" w:hAnsiTheme="minorHAnsi"/>
          <w:sz w:val="24"/>
        </w:rPr>
        <w:t xml:space="preserve"> not have visibility of product pricing or an understanding of how the pricing model works, and their </w:t>
      </w:r>
      <w:r w:rsidR="00136A4C" w:rsidRPr="003C1498">
        <w:rPr>
          <w:rFonts w:asciiTheme="minorHAnsi" w:hAnsiTheme="minorHAnsi"/>
          <w:sz w:val="24"/>
        </w:rPr>
        <w:t xml:space="preserve">main </w:t>
      </w:r>
      <w:r w:rsidR="00440C7F" w:rsidRPr="003C1498">
        <w:rPr>
          <w:rFonts w:asciiTheme="minorHAnsi" w:hAnsiTheme="minorHAnsi"/>
          <w:sz w:val="24"/>
        </w:rPr>
        <w:t>concern was whether the pricing model supported their access to the products they need to manage their stoma.</w:t>
      </w:r>
    </w:p>
    <w:p w14:paraId="4EA3FA73" w14:textId="550AC2FE" w:rsidR="005825A7" w:rsidRPr="003C1498" w:rsidRDefault="00C76D0F" w:rsidP="003800FF">
      <w:pPr>
        <w:pStyle w:val="ListParagraph"/>
        <w:numPr>
          <w:ilvl w:val="0"/>
          <w:numId w:val="55"/>
        </w:numPr>
        <w:spacing w:line="240" w:lineRule="auto"/>
        <w:rPr>
          <w:rFonts w:asciiTheme="minorHAnsi" w:hAnsiTheme="minorHAnsi"/>
          <w:sz w:val="24"/>
        </w:rPr>
      </w:pPr>
      <w:r w:rsidRPr="003C1498">
        <w:rPr>
          <w:rFonts w:asciiTheme="minorHAnsi" w:hAnsiTheme="minorHAnsi"/>
          <w:sz w:val="24"/>
        </w:rPr>
        <w:t>SIA</w:t>
      </w:r>
      <w:r w:rsidR="00B575C4" w:rsidRPr="003C1498">
        <w:rPr>
          <w:rFonts w:asciiTheme="minorHAnsi" w:hAnsiTheme="minorHAnsi"/>
          <w:sz w:val="24"/>
        </w:rPr>
        <w:t xml:space="preserve"> </w:t>
      </w:r>
      <w:r w:rsidR="000C06AA" w:rsidRPr="003C1498">
        <w:rPr>
          <w:rFonts w:asciiTheme="minorHAnsi" w:hAnsiTheme="minorHAnsi"/>
          <w:sz w:val="24"/>
        </w:rPr>
        <w:t xml:space="preserve">also </w:t>
      </w:r>
      <w:r w:rsidR="00B575C4" w:rsidRPr="003C1498">
        <w:rPr>
          <w:rFonts w:asciiTheme="minorHAnsi" w:hAnsiTheme="minorHAnsi"/>
          <w:sz w:val="24"/>
        </w:rPr>
        <w:t>made some specific</w:t>
      </w:r>
      <w:r w:rsidRPr="003C1498">
        <w:rPr>
          <w:rFonts w:asciiTheme="minorHAnsi" w:hAnsiTheme="minorHAnsi"/>
          <w:sz w:val="24"/>
        </w:rPr>
        <w:t xml:space="preserve"> </w:t>
      </w:r>
      <w:r w:rsidR="005825A7" w:rsidRPr="003C1498">
        <w:rPr>
          <w:rFonts w:asciiTheme="minorHAnsi" w:hAnsiTheme="minorHAnsi"/>
          <w:sz w:val="24"/>
        </w:rPr>
        <w:t>request</w:t>
      </w:r>
      <w:r w:rsidR="00B575C4" w:rsidRPr="003C1498">
        <w:rPr>
          <w:rFonts w:asciiTheme="minorHAnsi" w:hAnsiTheme="minorHAnsi"/>
          <w:sz w:val="24"/>
        </w:rPr>
        <w:t>s</w:t>
      </w:r>
      <w:r w:rsidR="00136A4C" w:rsidRPr="003C1498">
        <w:rPr>
          <w:rFonts w:asciiTheme="minorHAnsi" w:hAnsiTheme="minorHAnsi"/>
          <w:sz w:val="24"/>
        </w:rPr>
        <w:t xml:space="preserve"> on behalf of product sponsors,</w:t>
      </w:r>
      <w:r w:rsidR="00B575C4" w:rsidRPr="003C1498">
        <w:rPr>
          <w:rFonts w:asciiTheme="minorHAnsi" w:hAnsiTheme="minorHAnsi"/>
          <w:sz w:val="24"/>
        </w:rPr>
        <w:t xml:space="preserve"> including:</w:t>
      </w:r>
    </w:p>
    <w:p w14:paraId="03CBE302" w14:textId="5D014274" w:rsidR="005825A7" w:rsidRPr="003800FF" w:rsidRDefault="00B575C4" w:rsidP="003800FF">
      <w:pPr>
        <w:pStyle w:val="ListParagraph"/>
        <w:numPr>
          <w:ilvl w:val="0"/>
          <w:numId w:val="48"/>
        </w:numPr>
        <w:spacing w:line="240" w:lineRule="auto"/>
        <w:rPr>
          <w:rFonts w:asciiTheme="minorHAnsi" w:hAnsiTheme="minorHAnsi" w:cstheme="minorHAnsi"/>
          <w:sz w:val="24"/>
        </w:rPr>
      </w:pPr>
      <w:r w:rsidRPr="003800FF">
        <w:rPr>
          <w:rFonts w:asciiTheme="minorHAnsi" w:hAnsiTheme="minorHAnsi" w:cstheme="minorHAnsi"/>
          <w:sz w:val="24"/>
        </w:rPr>
        <w:t>A</w:t>
      </w:r>
      <w:r w:rsidR="005825A7" w:rsidRPr="003800FF">
        <w:rPr>
          <w:rFonts w:asciiTheme="minorHAnsi" w:hAnsiTheme="minorHAnsi" w:cstheme="minorHAnsi"/>
          <w:sz w:val="24"/>
        </w:rPr>
        <w:t xml:space="preserve"> once-off ‘price correction’ to account for 12 years of fixed prices</w:t>
      </w:r>
      <w:r w:rsidRPr="003800FF">
        <w:rPr>
          <w:rFonts w:asciiTheme="minorHAnsi" w:hAnsiTheme="minorHAnsi" w:cstheme="minorHAnsi"/>
          <w:sz w:val="24"/>
        </w:rPr>
        <w:t>.</w:t>
      </w:r>
      <w:r w:rsidR="005825A7" w:rsidRPr="003800FF">
        <w:rPr>
          <w:rFonts w:asciiTheme="minorHAnsi" w:hAnsiTheme="minorHAnsi" w:cstheme="minorHAnsi"/>
          <w:sz w:val="24"/>
        </w:rPr>
        <w:t xml:space="preserve"> </w:t>
      </w:r>
    </w:p>
    <w:p w14:paraId="3FD0740E" w14:textId="4393331A" w:rsidR="005825A7" w:rsidRPr="003800FF" w:rsidRDefault="005825A7" w:rsidP="003800FF">
      <w:pPr>
        <w:pStyle w:val="ListParagraph"/>
        <w:numPr>
          <w:ilvl w:val="0"/>
          <w:numId w:val="48"/>
        </w:numPr>
        <w:spacing w:line="240" w:lineRule="auto"/>
        <w:rPr>
          <w:rFonts w:asciiTheme="minorHAnsi" w:hAnsiTheme="minorHAnsi" w:cstheme="minorHAnsi"/>
          <w:sz w:val="24"/>
        </w:rPr>
      </w:pPr>
      <w:r w:rsidRPr="003800FF">
        <w:rPr>
          <w:rFonts w:asciiTheme="minorHAnsi" w:hAnsiTheme="minorHAnsi" w:cstheme="minorHAnsi"/>
          <w:sz w:val="24"/>
        </w:rPr>
        <w:t>The resumption of annual indexation, as was in place for the SAS pre</w:t>
      </w:r>
      <w:r w:rsidRPr="003800FF">
        <w:rPr>
          <w:rFonts w:asciiTheme="minorHAnsi" w:hAnsiTheme="minorHAnsi" w:cstheme="minorHAnsi"/>
          <w:sz w:val="24"/>
        </w:rPr>
        <w:noBreakHyphen/>
        <w:t>2013.</w:t>
      </w:r>
    </w:p>
    <w:p w14:paraId="4FD4EC1D" w14:textId="17828E4E" w:rsidR="005825A7" w:rsidRPr="003800FF" w:rsidRDefault="000C06AA" w:rsidP="003800FF">
      <w:pPr>
        <w:pStyle w:val="ListParagraph"/>
        <w:numPr>
          <w:ilvl w:val="0"/>
          <w:numId w:val="48"/>
        </w:numPr>
        <w:spacing w:line="240" w:lineRule="auto"/>
        <w:rPr>
          <w:rFonts w:asciiTheme="minorHAnsi" w:hAnsiTheme="minorHAnsi" w:cstheme="minorHAnsi"/>
          <w:sz w:val="24"/>
        </w:rPr>
      </w:pPr>
      <w:r w:rsidRPr="003800FF">
        <w:rPr>
          <w:rFonts w:asciiTheme="minorHAnsi" w:hAnsiTheme="minorHAnsi" w:cstheme="minorHAnsi"/>
          <w:sz w:val="24"/>
        </w:rPr>
        <w:t>A</w:t>
      </w:r>
      <w:r w:rsidR="005825A7" w:rsidRPr="003800FF">
        <w:rPr>
          <w:rFonts w:asciiTheme="minorHAnsi" w:hAnsiTheme="minorHAnsi" w:cstheme="minorHAnsi"/>
          <w:sz w:val="24"/>
        </w:rPr>
        <w:t xml:space="preserve"> </w:t>
      </w:r>
      <w:r w:rsidRPr="003800FF">
        <w:rPr>
          <w:rFonts w:asciiTheme="minorHAnsi" w:hAnsiTheme="minorHAnsi" w:cstheme="minorHAnsi"/>
          <w:sz w:val="24"/>
        </w:rPr>
        <w:t>new</w:t>
      </w:r>
      <w:r w:rsidR="005825A7" w:rsidRPr="003800FF">
        <w:rPr>
          <w:rFonts w:asciiTheme="minorHAnsi" w:hAnsiTheme="minorHAnsi" w:cstheme="minorHAnsi"/>
          <w:sz w:val="24"/>
        </w:rPr>
        <w:t xml:space="preserve"> process, whereby</w:t>
      </w:r>
      <w:r w:rsidR="00B575C4" w:rsidRPr="003800FF">
        <w:rPr>
          <w:rFonts w:asciiTheme="minorHAnsi" w:hAnsiTheme="minorHAnsi" w:cstheme="minorHAnsi"/>
          <w:sz w:val="24"/>
        </w:rPr>
        <w:t xml:space="preserve"> </w:t>
      </w:r>
      <w:r w:rsidRPr="003800FF">
        <w:rPr>
          <w:rFonts w:asciiTheme="minorHAnsi" w:hAnsiTheme="minorHAnsi" w:cstheme="minorHAnsi"/>
          <w:sz w:val="24"/>
        </w:rPr>
        <w:t xml:space="preserve">every </w:t>
      </w:r>
      <w:r w:rsidR="00B575C4" w:rsidRPr="003800FF">
        <w:rPr>
          <w:rFonts w:asciiTheme="minorHAnsi" w:hAnsiTheme="minorHAnsi" w:cstheme="minorHAnsi"/>
          <w:sz w:val="24"/>
        </w:rPr>
        <w:t>2 years</w:t>
      </w:r>
      <w:r w:rsidR="005825A7" w:rsidRPr="003800FF">
        <w:rPr>
          <w:rFonts w:asciiTheme="minorHAnsi" w:hAnsiTheme="minorHAnsi" w:cstheme="minorHAnsi"/>
          <w:sz w:val="24"/>
        </w:rPr>
        <w:t xml:space="preserve"> </w:t>
      </w:r>
      <w:r w:rsidRPr="003800FF">
        <w:rPr>
          <w:rFonts w:asciiTheme="minorHAnsi" w:hAnsiTheme="minorHAnsi" w:cstheme="minorHAnsi"/>
          <w:sz w:val="24"/>
        </w:rPr>
        <w:t xml:space="preserve">product </w:t>
      </w:r>
      <w:r w:rsidR="005825A7" w:rsidRPr="003800FF">
        <w:rPr>
          <w:rFonts w:asciiTheme="minorHAnsi" w:hAnsiTheme="minorHAnsi" w:cstheme="minorHAnsi"/>
          <w:sz w:val="24"/>
        </w:rPr>
        <w:t xml:space="preserve">suppliers can </w:t>
      </w:r>
      <w:r w:rsidRPr="003800FF">
        <w:rPr>
          <w:rFonts w:asciiTheme="minorHAnsi" w:hAnsiTheme="minorHAnsi" w:cstheme="minorHAnsi"/>
          <w:sz w:val="24"/>
        </w:rPr>
        <w:t xml:space="preserve">request a review of prices for specific products based on evidence </w:t>
      </w:r>
      <w:r w:rsidR="005825A7" w:rsidRPr="003800FF">
        <w:rPr>
          <w:rFonts w:asciiTheme="minorHAnsi" w:hAnsiTheme="minorHAnsi" w:cstheme="minorHAnsi"/>
          <w:sz w:val="24"/>
        </w:rPr>
        <w:t xml:space="preserve">to </w:t>
      </w:r>
      <w:r w:rsidR="00AB794F" w:rsidRPr="003800FF">
        <w:rPr>
          <w:rFonts w:asciiTheme="minorHAnsi" w:hAnsiTheme="minorHAnsi" w:cstheme="minorHAnsi"/>
          <w:sz w:val="24"/>
        </w:rPr>
        <w:t>support</w:t>
      </w:r>
      <w:r w:rsidRPr="003800FF">
        <w:rPr>
          <w:rFonts w:asciiTheme="minorHAnsi" w:hAnsiTheme="minorHAnsi" w:cstheme="minorHAnsi"/>
          <w:sz w:val="24"/>
        </w:rPr>
        <w:t xml:space="preserve"> the price review</w:t>
      </w:r>
      <w:r w:rsidR="005825A7" w:rsidRPr="003800FF">
        <w:rPr>
          <w:rFonts w:asciiTheme="minorHAnsi" w:hAnsiTheme="minorHAnsi" w:cstheme="minorHAnsi"/>
          <w:sz w:val="24"/>
        </w:rPr>
        <w:t>.</w:t>
      </w:r>
    </w:p>
    <w:p w14:paraId="3007F9AC" w14:textId="4AAAD16A" w:rsidR="00B575C4" w:rsidRPr="003800FF" w:rsidRDefault="005825A7" w:rsidP="003800FF">
      <w:pPr>
        <w:pStyle w:val="ListParagraph"/>
        <w:numPr>
          <w:ilvl w:val="0"/>
          <w:numId w:val="48"/>
        </w:numPr>
        <w:spacing w:line="240" w:lineRule="auto"/>
        <w:rPr>
          <w:rFonts w:asciiTheme="minorHAnsi" w:hAnsiTheme="minorHAnsi" w:cstheme="minorHAnsi"/>
          <w:sz w:val="24"/>
        </w:rPr>
      </w:pPr>
      <w:r w:rsidRPr="003800FF">
        <w:rPr>
          <w:rFonts w:asciiTheme="minorHAnsi" w:hAnsiTheme="minorHAnsi" w:cstheme="minorHAnsi"/>
          <w:sz w:val="24"/>
        </w:rPr>
        <w:t>Improv</w:t>
      </w:r>
      <w:r w:rsidR="00B575C4" w:rsidRPr="003800FF">
        <w:rPr>
          <w:rFonts w:asciiTheme="minorHAnsi" w:hAnsiTheme="minorHAnsi" w:cstheme="minorHAnsi"/>
          <w:sz w:val="24"/>
        </w:rPr>
        <w:t>ed</w:t>
      </w:r>
      <w:r w:rsidRPr="003800FF">
        <w:rPr>
          <w:rFonts w:asciiTheme="minorHAnsi" w:hAnsiTheme="minorHAnsi" w:cstheme="minorHAnsi"/>
          <w:sz w:val="24"/>
        </w:rPr>
        <w:t xml:space="preserve"> transparency</w:t>
      </w:r>
      <w:r w:rsidR="000C06AA" w:rsidRPr="003800FF">
        <w:rPr>
          <w:rFonts w:asciiTheme="minorHAnsi" w:hAnsiTheme="minorHAnsi" w:cstheme="minorHAnsi"/>
          <w:sz w:val="24"/>
        </w:rPr>
        <w:t xml:space="preserve"> in </w:t>
      </w:r>
      <w:r w:rsidR="00AB794F" w:rsidRPr="003800FF">
        <w:rPr>
          <w:rFonts w:asciiTheme="minorHAnsi" w:hAnsiTheme="minorHAnsi" w:cstheme="minorHAnsi"/>
          <w:sz w:val="24"/>
        </w:rPr>
        <w:t xml:space="preserve">product </w:t>
      </w:r>
      <w:r w:rsidR="000C06AA" w:rsidRPr="003800FF">
        <w:rPr>
          <w:rFonts w:asciiTheme="minorHAnsi" w:hAnsiTheme="minorHAnsi" w:cstheme="minorHAnsi"/>
          <w:sz w:val="24"/>
        </w:rPr>
        <w:t xml:space="preserve">pricing and listing processes </w:t>
      </w:r>
      <w:r w:rsidRPr="003800FF">
        <w:rPr>
          <w:rFonts w:asciiTheme="minorHAnsi" w:hAnsiTheme="minorHAnsi" w:cstheme="minorHAnsi"/>
          <w:sz w:val="24"/>
        </w:rPr>
        <w:t>includ</w:t>
      </w:r>
      <w:r w:rsidR="000C06AA" w:rsidRPr="003800FF">
        <w:rPr>
          <w:rFonts w:asciiTheme="minorHAnsi" w:hAnsiTheme="minorHAnsi" w:cstheme="minorHAnsi"/>
          <w:sz w:val="24"/>
        </w:rPr>
        <w:t>ing</w:t>
      </w:r>
      <w:r w:rsidR="00B575C4" w:rsidRPr="003800FF">
        <w:rPr>
          <w:rFonts w:asciiTheme="minorHAnsi" w:hAnsiTheme="minorHAnsi" w:cstheme="minorHAnsi"/>
          <w:sz w:val="24"/>
        </w:rPr>
        <w:t>:</w:t>
      </w:r>
    </w:p>
    <w:p w14:paraId="0A459AF5" w14:textId="77777777" w:rsidR="00B575C4" w:rsidRPr="003C1498" w:rsidRDefault="005825A7" w:rsidP="003800FF">
      <w:pPr>
        <w:pStyle w:val="ListParagraph"/>
        <w:numPr>
          <w:ilvl w:val="2"/>
          <w:numId w:val="55"/>
        </w:numPr>
        <w:spacing w:line="240" w:lineRule="auto"/>
        <w:ind w:left="1701" w:hanging="283"/>
        <w:rPr>
          <w:rFonts w:asciiTheme="minorHAnsi" w:hAnsiTheme="minorHAnsi"/>
          <w:sz w:val="24"/>
        </w:rPr>
      </w:pPr>
      <w:r w:rsidRPr="003C1498">
        <w:rPr>
          <w:rFonts w:asciiTheme="minorHAnsi" w:hAnsiTheme="minorHAnsi"/>
          <w:sz w:val="24"/>
        </w:rPr>
        <w:t>opportunit</w:t>
      </w:r>
      <w:r w:rsidR="00B575C4" w:rsidRPr="003C1498">
        <w:rPr>
          <w:rFonts w:asciiTheme="minorHAnsi" w:hAnsiTheme="minorHAnsi"/>
          <w:sz w:val="24"/>
        </w:rPr>
        <w:t>ies</w:t>
      </w:r>
      <w:r w:rsidRPr="003C1498">
        <w:rPr>
          <w:rFonts w:asciiTheme="minorHAnsi" w:hAnsiTheme="minorHAnsi"/>
          <w:sz w:val="24"/>
        </w:rPr>
        <w:t xml:space="preserve"> to consult with the Chair of the </w:t>
      </w:r>
      <w:r w:rsidR="00B575C4" w:rsidRPr="003C1498">
        <w:rPr>
          <w:rFonts w:asciiTheme="minorHAnsi" w:hAnsiTheme="minorHAnsi"/>
          <w:sz w:val="24"/>
        </w:rPr>
        <w:t>SPAP</w:t>
      </w:r>
      <w:r w:rsidRPr="003C1498">
        <w:rPr>
          <w:rFonts w:asciiTheme="minorHAnsi" w:hAnsiTheme="minorHAnsi"/>
          <w:sz w:val="24"/>
        </w:rPr>
        <w:t xml:space="preserve">, </w:t>
      </w:r>
    </w:p>
    <w:p w14:paraId="5962BAAE" w14:textId="3C2AF83B" w:rsidR="00B575C4" w:rsidRPr="003C1498" w:rsidRDefault="005825A7" w:rsidP="003800FF">
      <w:pPr>
        <w:pStyle w:val="ListParagraph"/>
        <w:numPr>
          <w:ilvl w:val="2"/>
          <w:numId w:val="55"/>
        </w:numPr>
        <w:spacing w:line="240" w:lineRule="auto"/>
        <w:ind w:left="1701" w:hanging="283"/>
        <w:rPr>
          <w:rFonts w:asciiTheme="minorHAnsi" w:hAnsiTheme="minorHAnsi"/>
          <w:sz w:val="24"/>
        </w:rPr>
      </w:pPr>
      <w:r w:rsidRPr="003C1498">
        <w:rPr>
          <w:rFonts w:asciiTheme="minorHAnsi" w:hAnsiTheme="minorHAnsi"/>
          <w:sz w:val="24"/>
        </w:rPr>
        <w:t>clear requirements for clinical evidence to support price premiums</w:t>
      </w:r>
      <w:r w:rsidR="00B575C4" w:rsidRPr="003C1498">
        <w:rPr>
          <w:rFonts w:asciiTheme="minorHAnsi" w:hAnsiTheme="minorHAnsi"/>
          <w:sz w:val="24"/>
        </w:rPr>
        <w:t>,</w:t>
      </w:r>
      <w:r w:rsidRPr="003C1498">
        <w:rPr>
          <w:rFonts w:asciiTheme="minorHAnsi" w:hAnsiTheme="minorHAnsi"/>
          <w:sz w:val="24"/>
        </w:rPr>
        <w:t xml:space="preserve"> </w:t>
      </w:r>
      <w:r w:rsidR="00305E27" w:rsidRPr="003C1498">
        <w:rPr>
          <w:rFonts w:asciiTheme="minorHAnsi" w:hAnsiTheme="minorHAnsi"/>
          <w:sz w:val="24"/>
        </w:rPr>
        <w:t>and</w:t>
      </w:r>
    </w:p>
    <w:p w14:paraId="3672EAC7" w14:textId="08116EF8" w:rsidR="005825A7" w:rsidRPr="003C1498" w:rsidRDefault="005825A7" w:rsidP="003800FF">
      <w:pPr>
        <w:pStyle w:val="ListParagraph"/>
        <w:numPr>
          <w:ilvl w:val="2"/>
          <w:numId w:val="55"/>
        </w:numPr>
        <w:spacing w:line="240" w:lineRule="auto"/>
        <w:ind w:left="1701" w:hanging="283"/>
        <w:rPr>
          <w:rFonts w:asciiTheme="minorHAnsi" w:hAnsiTheme="minorHAnsi"/>
          <w:sz w:val="24"/>
        </w:rPr>
      </w:pPr>
      <w:r w:rsidRPr="003C1498">
        <w:rPr>
          <w:rFonts w:asciiTheme="minorHAnsi" w:hAnsiTheme="minorHAnsi"/>
          <w:sz w:val="24"/>
        </w:rPr>
        <w:t xml:space="preserve">a mechanism to request for price increases beyond annual </w:t>
      </w:r>
      <w:r w:rsidR="00305E27" w:rsidRPr="003C1498">
        <w:rPr>
          <w:rFonts w:asciiTheme="minorHAnsi" w:hAnsiTheme="minorHAnsi"/>
          <w:sz w:val="24"/>
        </w:rPr>
        <w:t>indexation</w:t>
      </w:r>
      <w:r w:rsidRPr="003C1498">
        <w:rPr>
          <w:rFonts w:asciiTheme="minorHAnsi" w:hAnsiTheme="minorHAnsi"/>
          <w:sz w:val="24"/>
        </w:rPr>
        <w:t>.</w:t>
      </w:r>
    </w:p>
    <w:p w14:paraId="3FEA9A3E" w14:textId="2AECFD41" w:rsidR="00B161A4" w:rsidRPr="00B161A4" w:rsidRDefault="00B161A4" w:rsidP="003800FF">
      <w:pPr>
        <w:pStyle w:val="Heading3"/>
      </w:pPr>
      <w:bookmarkStart w:id="12" w:name="_Toc184108519"/>
      <w:r w:rsidRPr="00B161A4">
        <w:t>Other Issues</w:t>
      </w:r>
      <w:bookmarkEnd w:id="12"/>
    </w:p>
    <w:p w14:paraId="18DCA066" w14:textId="0B30492F" w:rsidR="00B161A4" w:rsidRPr="00EE630D" w:rsidRDefault="00136A4C" w:rsidP="003800FF">
      <w:pPr>
        <w:pStyle w:val="ListParagraph"/>
        <w:numPr>
          <w:ilvl w:val="0"/>
          <w:numId w:val="56"/>
        </w:numPr>
        <w:spacing w:before="0" w:after="0" w:line="240" w:lineRule="auto"/>
        <w:rPr>
          <w:rFonts w:asciiTheme="minorHAnsi" w:hAnsiTheme="minorHAnsi" w:cstheme="minorHAnsi"/>
          <w:sz w:val="24"/>
        </w:rPr>
      </w:pPr>
      <w:r w:rsidRPr="00EE630D">
        <w:rPr>
          <w:rFonts w:asciiTheme="minorHAnsi" w:hAnsiTheme="minorHAnsi" w:cstheme="minorHAnsi"/>
          <w:sz w:val="24"/>
        </w:rPr>
        <w:t>We also asked r</w:t>
      </w:r>
      <w:r w:rsidR="00CC7FAC" w:rsidRPr="00EE630D">
        <w:rPr>
          <w:rFonts w:asciiTheme="minorHAnsi" w:hAnsiTheme="minorHAnsi" w:cstheme="minorHAnsi"/>
          <w:sz w:val="24"/>
        </w:rPr>
        <w:t xml:space="preserve">espondents to </w:t>
      </w:r>
      <w:r w:rsidR="00763A30" w:rsidRPr="00EE630D">
        <w:rPr>
          <w:rFonts w:asciiTheme="minorHAnsi" w:hAnsiTheme="minorHAnsi" w:cstheme="minorHAnsi"/>
          <w:sz w:val="24"/>
        </w:rPr>
        <w:t>comment on any aspect of the SAS</w:t>
      </w:r>
      <w:r w:rsidRPr="00EE630D">
        <w:rPr>
          <w:rFonts w:asciiTheme="minorHAnsi" w:hAnsiTheme="minorHAnsi" w:cstheme="minorHAnsi"/>
          <w:sz w:val="24"/>
        </w:rPr>
        <w:t xml:space="preserve"> not covered by the consultation paper</w:t>
      </w:r>
      <w:r w:rsidR="00763A30" w:rsidRPr="00EE630D">
        <w:rPr>
          <w:rFonts w:asciiTheme="minorHAnsi" w:hAnsiTheme="minorHAnsi" w:cstheme="minorHAnsi"/>
          <w:sz w:val="24"/>
        </w:rPr>
        <w:t>.</w:t>
      </w:r>
      <w:r w:rsidR="00656D63" w:rsidRPr="00EE630D">
        <w:rPr>
          <w:rFonts w:asciiTheme="minorHAnsi" w:hAnsiTheme="minorHAnsi" w:cstheme="minorHAnsi"/>
          <w:sz w:val="24"/>
        </w:rPr>
        <w:t xml:space="preserve"> </w:t>
      </w:r>
      <w:r w:rsidR="003D29D0" w:rsidRPr="00EE630D">
        <w:rPr>
          <w:rFonts w:asciiTheme="minorHAnsi" w:hAnsiTheme="minorHAnsi" w:cstheme="minorHAnsi"/>
          <w:sz w:val="24"/>
        </w:rPr>
        <w:t>From the large number of responses to this question w</w:t>
      </w:r>
      <w:r w:rsidR="0012166A" w:rsidRPr="00EE630D">
        <w:rPr>
          <w:rFonts w:asciiTheme="minorHAnsi" w:hAnsiTheme="minorHAnsi" w:cstheme="minorHAnsi"/>
          <w:sz w:val="24"/>
        </w:rPr>
        <w:t>e have identified the</w:t>
      </w:r>
      <w:r w:rsidR="00763A30" w:rsidRPr="00EE630D">
        <w:rPr>
          <w:rFonts w:asciiTheme="minorHAnsi" w:hAnsiTheme="minorHAnsi" w:cstheme="minorHAnsi"/>
          <w:sz w:val="24"/>
        </w:rPr>
        <w:t xml:space="preserve"> following themes</w:t>
      </w:r>
      <w:r w:rsidR="003800FF">
        <w:rPr>
          <w:rFonts w:asciiTheme="minorHAnsi" w:hAnsiTheme="minorHAnsi" w:cstheme="minorHAnsi"/>
          <w:sz w:val="24"/>
        </w:rPr>
        <w:t xml:space="preserve">. </w:t>
      </w:r>
    </w:p>
    <w:p w14:paraId="66FF0545" w14:textId="77777777" w:rsidR="00763A30" w:rsidRPr="007221A9" w:rsidRDefault="00763A30" w:rsidP="003800FF">
      <w:pPr>
        <w:spacing w:before="0" w:after="0" w:line="240" w:lineRule="auto"/>
        <w:rPr>
          <w:rFonts w:asciiTheme="minorHAnsi" w:hAnsiTheme="minorHAnsi" w:cstheme="minorHAnsi"/>
          <w:sz w:val="24"/>
        </w:rPr>
      </w:pPr>
    </w:p>
    <w:p w14:paraId="13A13F22" w14:textId="5C136016" w:rsidR="00CC7FAC" w:rsidRPr="00CC7FAC" w:rsidRDefault="003800FF" w:rsidP="003800FF">
      <w:pPr>
        <w:spacing w:before="0" w:after="0" w:line="240" w:lineRule="auto"/>
        <w:rPr>
          <w:rFonts w:asciiTheme="minorHAnsi" w:hAnsiTheme="minorHAnsi" w:cstheme="minorHAnsi"/>
          <w:i/>
          <w:iCs/>
          <w:sz w:val="24"/>
        </w:rPr>
      </w:pPr>
      <w:r>
        <w:rPr>
          <w:rFonts w:asciiTheme="minorHAnsi" w:hAnsiTheme="minorHAnsi" w:cstheme="minorHAnsi"/>
          <w:i/>
          <w:iCs/>
          <w:sz w:val="24"/>
        </w:rPr>
        <w:t>Value of the SAS</w:t>
      </w:r>
    </w:p>
    <w:p w14:paraId="2BFFC3E2" w14:textId="283EA0D4" w:rsidR="00CC7FAC" w:rsidRPr="00CC7FAC" w:rsidRDefault="00CC7FAC" w:rsidP="003800FF">
      <w:pPr>
        <w:numPr>
          <w:ilvl w:val="0"/>
          <w:numId w:val="42"/>
        </w:numPr>
        <w:spacing w:before="0" w:after="0" w:line="240" w:lineRule="auto"/>
        <w:ind w:left="360"/>
        <w:rPr>
          <w:rFonts w:asciiTheme="minorHAnsi" w:hAnsiTheme="minorHAnsi" w:cstheme="minorHAnsi"/>
          <w:sz w:val="24"/>
        </w:rPr>
      </w:pPr>
      <w:r w:rsidRPr="00CC7FAC">
        <w:rPr>
          <w:rFonts w:asciiTheme="minorHAnsi" w:hAnsiTheme="minorHAnsi" w:cstheme="minorHAnsi"/>
          <w:sz w:val="24"/>
        </w:rPr>
        <w:t xml:space="preserve">Many respondents provided positive feedback and gratitude for the </w:t>
      </w:r>
      <w:r w:rsidR="00763A30" w:rsidRPr="007221A9">
        <w:rPr>
          <w:rFonts w:asciiTheme="minorHAnsi" w:hAnsiTheme="minorHAnsi" w:cstheme="minorHAnsi"/>
          <w:sz w:val="24"/>
        </w:rPr>
        <w:t>SAS</w:t>
      </w:r>
      <w:r w:rsidRPr="00CC7FAC">
        <w:rPr>
          <w:rFonts w:asciiTheme="minorHAnsi" w:hAnsiTheme="minorHAnsi" w:cstheme="minorHAnsi"/>
          <w:sz w:val="24"/>
        </w:rPr>
        <w:t xml:space="preserve"> noting </w:t>
      </w:r>
      <w:r w:rsidR="00763A30" w:rsidRPr="007221A9">
        <w:rPr>
          <w:rFonts w:asciiTheme="minorHAnsi" w:hAnsiTheme="minorHAnsi" w:cstheme="minorHAnsi"/>
          <w:sz w:val="24"/>
        </w:rPr>
        <w:t>it</w:t>
      </w:r>
      <w:r w:rsidRPr="00CC7FAC">
        <w:rPr>
          <w:rFonts w:asciiTheme="minorHAnsi" w:hAnsiTheme="minorHAnsi" w:cstheme="minorHAnsi"/>
          <w:sz w:val="24"/>
        </w:rPr>
        <w:t xml:space="preserve"> provides ‘life changing’ access to a wide range of fully subsidised stoma products and appliances for all Australian</w:t>
      </w:r>
      <w:r w:rsidR="00763A30" w:rsidRPr="007221A9">
        <w:rPr>
          <w:rFonts w:asciiTheme="minorHAnsi" w:hAnsiTheme="minorHAnsi" w:cstheme="minorHAnsi"/>
          <w:sz w:val="24"/>
        </w:rPr>
        <w:t xml:space="preserve"> ostomates</w:t>
      </w:r>
      <w:r w:rsidRPr="00CC7FAC">
        <w:rPr>
          <w:rFonts w:asciiTheme="minorHAnsi" w:hAnsiTheme="minorHAnsi" w:cstheme="minorHAnsi"/>
          <w:sz w:val="24"/>
        </w:rPr>
        <w:t xml:space="preserve">. </w:t>
      </w:r>
    </w:p>
    <w:p w14:paraId="0E0A885A" w14:textId="231F6339" w:rsidR="00CC7FAC" w:rsidRDefault="00CC7FAC" w:rsidP="003800FF">
      <w:pPr>
        <w:numPr>
          <w:ilvl w:val="0"/>
          <w:numId w:val="42"/>
        </w:numPr>
        <w:spacing w:before="0" w:after="0" w:line="240" w:lineRule="auto"/>
        <w:ind w:left="360"/>
        <w:rPr>
          <w:rFonts w:asciiTheme="minorHAnsi" w:hAnsiTheme="minorHAnsi" w:cstheme="minorHAnsi"/>
          <w:sz w:val="24"/>
        </w:rPr>
      </w:pPr>
      <w:r w:rsidRPr="00CC7FAC">
        <w:rPr>
          <w:rFonts w:asciiTheme="minorHAnsi" w:hAnsiTheme="minorHAnsi" w:cstheme="minorHAnsi"/>
          <w:sz w:val="24"/>
        </w:rPr>
        <w:t xml:space="preserve">Respondents value the wide range of products available on the SAS as there is no </w:t>
      </w:r>
      <w:r w:rsidR="0012166A">
        <w:rPr>
          <w:rFonts w:asciiTheme="minorHAnsi" w:hAnsiTheme="minorHAnsi" w:cstheme="minorHAnsi"/>
          <w:sz w:val="24"/>
        </w:rPr>
        <w:t>‘</w:t>
      </w:r>
      <w:r w:rsidRPr="00CC7FAC">
        <w:rPr>
          <w:rFonts w:asciiTheme="minorHAnsi" w:hAnsiTheme="minorHAnsi" w:cstheme="minorHAnsi"/>
          <w:sz w:val="24"/>
        </w:rPr>
        <w:t>one size fits all</w:t>
      </w:r>
      <w:r w:rsidR="0012166A">
        <w:rPr>
          <w:rFonts w:asciiTheme="minorHAnsi" w:hAnsiTheme="minorHAnsi" w:cstheme="minorHAnsi"/>
          <w:sz w:val="24"/>
        </w:rPr>
        <w:t>’</w:t>
      </w:r>
      <w:r w:rsidRPr="00CC7FAC">
        <w:rPr>
          <w:rFonts w:asciiTheme="minorHAnsi" w:hAnsiTheme="minorHAnsi" w:cstheme="minorHAnsi"/>
          <w:sz w:val="24"/>
        </w:rPr>
        <w:t xml:space="preserve"> approach to ostomy care. </w:t>
      </w:r>
    </w:p>
    <w:p w14:paraId="2D320497" w14:textId="7D3DFA0F" w:rsidR="0062645F" w:rsidRPr="00CC7FAC" w:rsidRDefault="00507FF5" w:rsidP="003800FF">
      <w:pPr>
        <w:numPr>
          <w:ilvl w:val="0"/>
          <w:numId w:val="42"/>
        </w:numPr>
        <w:spacing w:before="0" w:after="0" w:line="240" w:lineRule="auto"/>
        <w:ind w:left="360"/>
        <w:rPr>
          <w:rFonts w:asciiTheme="minorHAnsi" w:hAnsiTheme="minorHAnsi" w:cstheme="minorHAnsi"/>
          <w:sz w:val="24"/>
        </w:rPr>
      </w:pPr>
      <w:r>
        <w:rPr>
          <w:rFonts w:asciiTheme="minorHAnsi" w:hAnsiTheme="minorHAnsi" w:cstheme="minorHAnsi"/>
          <w:sz w:val="24"/>
        </w:rPr>
        <w:t xml:space="preserve">Respondents </w:t>
      </w:r>
      <w:r w:rsidR="008D1ED3">
        <w:rPr>
          <w:rFonts w:asciiTheme="minorHAnsi" w:hAnsiTheme="minorHAnsi" w:cstheme="minorHAnsi"/>
          <w:sz w:val="24"/>
        </w:rPr>
        <w:t>were</w:t>
      </w:r>
      <w:r>
        <w:rPr>
          <w:rFonts w:asciiTheme="minorHAnsi" w:hAnsiTheme="minorHAnsi" w:cstheme="minorHAnsi"/>
          <w:sz w:val="24"/>
        </w:rPr>
        <w:t xml:space="preserve"> very appreciative of </w:t>
      </w:r>
      <w:r w:rsidR="0062645F" w:rsidRPr="00CC7FAC">
        <w:rPr>
          <w:rFonts w:asciiTheme="minorHAnsi" w:hAnsiTheme="minorHAnsi" w:cstheme="minorHAnsi"/>
          <w:sz w:val="24"/>
        </w:rPr>
        <w:t xml:space="preserve">the services </w:t>
      </w:r>
      <w:r w:rsidR="0062645F">
        <w:rPr>
          <w:rFonts w:asciiTheme="minorHAnsi" w:hAnsiTheme="minorHAnsi" w:cstheme="minorHAnsi"/>
          <w:sz w:val="24"/>
        </w:rPr>
        <w:t xml:space="preserve">provided by </w:t>
      </w:r>
      <w:r w:rsidR="0062645F" w:rsidRPr="00CC7FAC">
        <w:rPr>
          <w:rFonts w:asciiTheme="minorHAnsi" w:hAnsiTheme="minorHAnsi" w:cstheme="minorHAnsi"/>
          <w:sz w:val="24"/>
        </w:rPr>
        <w:t>stoma associations.</w:t>
      </w:r>
    </w:p>
    <w:p w14:paraId="08B0D791" w14:textId="77777777" w:rsidR="00CC7FAC" w:rsidRPr="00CC7FAC" w:rsidRDefault="00CC7FAC" w:rsidP="003800FF">
      <w:pPr>
        <w:spacing w:before="0" w:after="0" w:line="240" w:lineRule="auto"/>
        <w:rPr>
          <w:rFonts w:asciiTheme="minorHAnsi" w:hAnsiTheme="minorHAnsi" w:cstheme="minorHAnsi"/>
          <w:sz w:val="24"/>
        </w:rPr>
      </w:pPr>
    </w:p>
    <w:p w14:paraId="034A8EED" w14:textId="77672E69" w:rsidR="00CC7FAC" w:rsidRPr="00CC7FAC" w:rsidRDefault="00F171DF" w:rsidP="003800FF">
      <w:pPr>
        <w:spacing w:before="0" w:after="0" w:line="240" w:lineRule="auto"/>
        <w:rPr>
          <w:rFonts w:asciiTheme="minorHAnsi" w:hAnsiTheme="minorHAnsi" w:cstheme="minorHAnsi"/>
          <w:i/>
          <w:iCs/>
          <w:sz w:val="24"/>
        </w:rPr>
      </w:pPr>
      <w:r w:rsidRPr="007C1FFF">
        <w:rPr>
          <w:rFonts w:asciiTheme="minorHAnsi" w:hAnsiTheme="minorHAnsi" w:cstheme="minorHAnsi"/>
          <w:i/>
          <w:iCs/>
          <w:sz w:val="24"/>
        </w:rPr>
        <w:t>STNs</w:t>
      </w:r>
    </w:p>
    <w:p w14:paraId="5E59C4E1" w14:textId="543CFCF4" w:rsidR="00CC7FAC" w:rsidRPr="00CC7FAC" w:rsidRDefault="00ED3F37" w:rsidP="003800FF">
      <w:pPr>
        <w:numPr>
          <w:ilvl w:val="0"/>
          <w:numId w:val="42"/>
        </w:numPr>
        <w:spacing w:before="0" w:after="0" w:line="240" w:lineRule="auto"/>
        <w:ind w:left="360"/>
        <w:rPr>
          <w:rFonts w:asciiTheme="minorHAnsi" w:hAnsiTheme="minorHAnsi" w:cstheme="minorHAnsi"/>
          <w:sz w:val="24"/>
        </w:rPr>
      </w:pPr>
      <w:r>
        <w:rPr>
          <w:rFonts w:asciiTheme="minorHAnsi" w:hAnsiTheme="minorHAnsi" w:cstheme="minorHAnsi"/>
          <w:sz w:val="24"/>
        </w:rPr>
        <w:t>Respondents a</w:t>
      </w:r>
      <w:r w:rsidR="00BB114C">
        <w:rPr>
          <w:rFonts w:asciiTheme="minorHAnsi" w:hAnsiTheme="minorHAnsi" w:cstheme="minorHAnsi"/>
          <w:sz w:val="24"/>
        </w:rPr>
        <w:t>cknowledge</w:t>
      </w:r>
      <w:r>
        <w:rPr>
          <w:rFonts w:asciiTheme="minorHAnsi" w:hAnsiTheme="minorHAnsi" w:cstheme="minorHAnsi"/>
          <w:sz w:val="24"/>
        </w:rPr>
        <w:t>d</w:t>
      </w:r>
      <w:r w:rsidR="00BB114C">
        <w:rPr>
          <w:rFonts w:asciiTheme="minorHAnsi" w:hAnsiTheme="minorHAnsi" w:cstheme="minorHAnsi"/>
          <w:sz w:val="24"/>
        </w:rPr>
        <w:t xml:space="preserve"> that </w:t>
      </w:r>
      <w:r w:rsidR="00CC7FAC" w:rsidRPr="00CC7FAC">
        <w:rPr>
          <w:rFonts w:asciiTheme="minorHAnsi" w:hAnsiTheme="minorHAnsi" w:cstheme="minorHAnsi"/>
          <w:sz w:val="24"/>
        </w:rPr>
        <w:t>STNs play an essential, specialised role in providing advice</w:t>
      </w:r>
      <w:r w:rsidR="00BB114C">
        <w:rPr>
          <w:rFonts w:asciiTheme="minorHAnsi" w:hAnsiTheme="minorHAnsi" w:cstheme="minorHAnsi"/>
          <w:sz w:val="24"/>
        </w:rPr>
        <w:t>, education</w:t>
      </w:r>
      <w:r w:rsidR="00CC7FAC" w:rsidRPr="00CC7FAC">
        <w:rPr>
          <w:rFonts w:asciiTheme="minorHAnsi" w:hAnsiTheme="minorHAnsi" w:cstheme="minorHAnsi"/>
          <w:sz w:val="24"/>
        </w:rPr>
        <w:t xml:space="preserve"> and </w:t>
      </w:r>
      <w:r w:rsidR="00BB114C">
        <w:rPr>
          <w:rFonts w:asciiTheme="minorHAnsi" w:hAnsiTheme="minorHAnsi" w:cstheme="minorHAnsi"/>
          <w:sz w:val="24"/>
        </w:rPr>
        <w:t xml:space="preserve">helping ostomates select the right products </w:t>
      </w:r>
      <w:r w:rsidR="00656D63">
        <w:rPr>
          <w:rFonts w:asciiTheme="minorHAnsi" w:hAnsiTheme="minorHAnsi" w:cstheme="minorHAnsi"/>
          <w:sz w:val="24"/>
        </w:rPr>
        <w:t>to</w:t>
      </w:r>
      <w:r w:rsidR="00BB114C">
        <w:rPr>
          <w:rFonts w:asciiTheme="minorHAnsi" w:hAnsiTheme="minorHAnsi" w:cstheme="minorHAnsi"/>
          <w:sz w:val="24"/>
        </w:rPr>
        <w:t xml:space="preserve"> </w:t>
      </w:r>
      <w:r w:rsidR="00CC7FAC" w:rsidRPr="00CC7FAC">
        <w:rPr>
          <w:rFonts w:asciiTheme="minorHAnsi" w:hAnsiTheme="minorHAnsi" w:cstheme="minorHAnsi"/>
          <w:sz w:val="24"/>
        </w:rPr>
        <w:t>manag</w:t>
      </w:r>
      <w:r w:rsidR="00BB114C">
        <w:rPr>
          <w:rFonts w:asciiTheme="minorHAnsi" w:hAnsiTheme="minorHAnsi" w:cstheme="minorHAnsi"/>
          <w:sz w:val="24"/>
        </w:rPr>
        <w:t>e their</w:t>
      </w:r>
      <w:r w:rsidR="00CC7FAC" w:rsidRPr="00CC7FAC">
        <w:rPr>
          <w:rFonts w:asciiTheme="minorHAnsi" w:hAnsiTheme="minorHAnsi" w:cstheme="minorHAnsi"/>
          <w:sz w:val="24"/>
        </w:rPr>
        <w:t xml:space="preserve"> stoma</w:t>
      </w:r>
      <w:r w:rsidR="00BB114C">
        <w:rPr>
          <w:rFonts w:asciiTheme="minorHAnsi" w:hAnsiTheme="minorHAnsi" w:cstheme="minorHAnsi"/>
          <w:sz w:val="24"/>
        </w:rPr>
        <w:t>s</w:t>
      </w:r>
      <w:r w:rsidR="00CC7FAC" w:rsidRPr="00CC7FAC">
        <w:rPr>
          <w:rFonts w:asciiTheme="minorHAnsi" w:hAnsiTheme="minorHAnsi" w:cstheme="minorHAnsi"/>
          <w:sz w:val="24"/>
        </w:rPr>
        <w:t xml:space="preserve">. </w:t>
      </w:r>
    </w:p>
    <w:p w14:paraId="34E2E114" w14:textId="42C10E28" w:rsidR="00CC7FAC" w:rsidRPr="00CC7FAC" w:rsidRDefault="00CC7FAC" w:rsidP="003800FF">
      <w:pPr>
        <w:numPr>
          <w:ilvl w:val="0"/>
          <w:numId w:val="42"/>
        </w:numPr>
        <w:spacing w:before="0" w:after="0" w:line="240" w:lineRule="auto"/>
        <w:ind w:left="360"/>
        <w:rPr>
          <w:rFonts w:asciiTheme="minorHAnsi" w:hAnsiTheme="minorHAnsi" w:cstheme="minorHAnsi"/>
          <w:sz w:val="24"/>
        </w:rPr>
      </w:pPr>
      <w:r w:rsidRPr="00CC7FAC">
        <w:rPr>
          <w:rFonts w:asciiTheme="minorHAnsi" w:hAnsiTheme="minorHAnsi" w:cstheme="minorHAnsi"/>
          <w:sz w:val="24"/>
        </w:rPr>
        <w:t xml:space="preserve">There </w:t>
      </w:r>
      <w:r w:rsidR="00ED3F37">
        <w:rPr>
          <w:rFonts w:asciiTheme="minorHAnsi" w:hAnsiTheme="minorHAnsi" w:cstheme="minorHAnsi"/>
          <w:sz w:val="24"/>
        </w:rPr>
        <w:t>was</w:t>
      </w:r>
      <w:r w:rsidR="00ED3F37" w:rsidRPr="00CC7FAC">
        <w:rPr>
          <w:rFonts w:asciiTheme="minorHAnsi" w:hAnsiTheme="minorHAnsi" w:cstheme="minorHAnsi"/>
          <w:sz w:val="24"/>
        </w:rPr>
        <w:t xml:space="preserve"> </w:t>
      </w:r>
      <w:r w:rsidR="00BB114C">
        <w:rPr>
          <w:rFonts w:asciiTheme="minorHAnsi" w:hAnsiTheme="minorHAnsi" w:cstheme="minorHAnsi"/>
          <w:sz w:val="24"/>
        </w:rPr>
        <w:t xml:space="preserve">widespread </w:t>
      </w:r>
      <w:r w:rsidRPr="00CC7FAC">
        <w:rPr>
          <w:rFonts w:asciiTheme="minorHAnsi" w:hAnsiTheme="minorHAnsi" w:cstheme="minorHAnsi"/>
          <w:sz w:val="24"/>
        </w:rPr>
        <w:t xml:space="preserve">concern regarding the number </w:t>
      </w:r>
      <w:r w:rsidR="008A7BDF">
        <w:rPr>
          <w:rFonts w:asciiTheme="minorHAnsi" w:hAnsiTheme="minorHAnsi" w:cstheme="minorHAnsi"/>
          <w:sz w:val="24"/>
        </w:rPr>
        <w:t xml:space="preserve">and accessibility </w:t>
      </w:r>
      <w:r w:rsidRPr="00CC7FAC">
        <w:rPr>
          <w:rFonts w:asciiTheme="minorHAnsi" w:hAnsiTheme="minorHAnsi" w:cstheme="minorHAnsi"/>
          <w:sz w:val="24"/>
        </w:rPr>
        <w:t xml:space="preserve">of STNs across the country. </w:t>
      </w:r>
    </w:p>
    <w:p w14:paraId="7EE197F9" w14:textId="77777777" w:rsidR="00CC7FAC" w:rsidRPr="00CC7FAC" w:rsidRDefault="00CC7FAC" w:rsidP="003800FF">
      <w:pPr>
        <w:spacing w:before="0" w:after="0" w:line="240" w:lineRule="auto"/>
        <w:rPr>
          <w:rFonts w:asciiTheme="minorHAnsi" w:hAnsiTheme="minorHAnsi" w:cstheme="minorHAnsi"/>
          <w:sz w:val="24"/>
        </w:rPr>
      </w:pPr>
    </w:p>
    <w:p w14:paraId="60D4F35A" w14:textId="77777777" w:rsidR="00404705" w:rsidRDefault="00404705">
      <w:pPr>
        <w:spacing w:before="0" w:after="0" w:line="240" w:lineRule="auto"/>
        <w:rPr>
          <w:rFonts w:asciiTheme="minorHAnsi" w:hAnsiTheme="minorHAnsi" w:cstheme="minorHAnsi"/>
          <w:i/>
          <w:iCs/>
          <w:sz w:val="24"/>
        </w:rPr>
      </w:pPr>
      <w:r>
        <w:rPr>
          <w:rFonts w:asciiTheme="minorHAnsi" w:hAnsiTheme="minorHAnsi" w:cstheme="minorHAnsi"/>
          <w:i/>
          <w:iCs/>
          <w:sz w:val="24"/>
        </w:rPr>
        <w:br w:type="page"/>
      </w:r>
    </w:p>
    <w:p w14:paraId="2F903840" w14:textId="128704EF" w:rsidR="00CC7FAC" w:rsidRPr="00CC7FAC" w:rsidRDefault="00CC7FAC" w:rsidP="003800FF">
      <w:pPr>
        <w:spacing w:before="0" w:after="0" w:line="240" w:lineRule="auto"/>
        <w:rPr>
          <w:rFonts w:asciiTheme="minorHAnsi" w:hAnsiTheme="minorHAnsi" w:cstheme="minorHAnsi"/>
          <w:i/>
          <w:iCs/>
          <w:sz w:val="24"/>
        </w:rPr>
      </w:pPr>
      <w:r w:rsidRPr="00CC7FAC">
        <w:rPr>
          <w:rFonts w:asciiTheme="minorHAnsi" w:hAnsiTheme="minorHAnsi" w:cstheme="minorHAnsi"/>
          <w:i/>
          <w:iCs/>
          <w:sz w:val="24"/>
        </w:rPr>
        <w:lastRenderedPageBreak/>
        <w:t xml:space="preserve">Distribution </w:t>
      </w:r>
    </w:p>
    <w:p w14:paraId="5C91F711" w14:textId="5AD0CD6F" w:rsidR="00CC7FAC" w:rsidRPr="00CC7FAC" w:rsidRDefault="00CC7FAC" w:rsidP="003800FF">
      <w:pPr>
        <w:numPr>
          <w:ilvl w:val="0"/>
          <w:numId w:val="42"/>
        </w:numPr>
        <w:spacing w:before="0" w:after="0" w:line="240" w:lineRule="auto"/>
        <w:ind w:left="360"/>
        <w:rPr>
          <w:rFonts w:asciiTheme="minorHAnsi" w:hAnsiTheme="minorHAnsi" w:cstheme="minorHAnsi"/>
          <w:sz w:val="24"/>
        </w:rPr>
      </w:pPr>
      <w:r w:rsidRPr="00CC7FAC">
        <w:rPr>
          <w:rFonts w:asciiTheme="minorHAnsi" w:hAnsiTheme="minorHAnsi" w:cstheme="minorHAnsi"/>
          <w:sz w:val="24"/>
        </w:rPr>
        <w:t>Concern</w:t>
      </w:r>
      <w:r w:rsidR="0093257D">
        <w:rPr>
          <w:rFonts w:asciiTheme="minorHAnsi" w:hAnsiTheme="minorHAnsi" w:cstheme="minorHAnsi"/>
          <w:sz w:val="24"/>
        </w:rPr>
        <w:t>s were</w:t>
      </w:r>
      <w:r w:rsidRPr="00CC7FAC">
        <w:rPr>
          <w:rFonts w:asciiTheme="minorHAnsi" w:hAnsiTheme="minorHAnsi" w:cstheme="minorHAnsi"/>
          <w:sz w:val="24"/>
        </w:rPr>
        <w:t xml:space="preserve"> raised regarding the heavy reliance on a volunteer workforce</w:t>
      </w:r>
      <w:r w:rsidR="0093257D">
        <w:rPr>
          <w:rFonts w:asciiTheme="minorHAnsi" w:hAnsiTheme="minorHAnsi" w:cstheme="minorHAnsi"/>
          <w:sz w:val="24"/>
        </w:rPr>
        <w:t xml:space="preserve"> in many associations</w:t>
      </w:r>
      <w:r w:rsidRPr="00CC7FAC">
        <w:rPr>
          <w:rFonts w:asciiTheme="minorHAnsi" w:hAnsiTheme="minorHAnsi" w:cstheme="minorHAnsi"/>
          <w:sz w:val="24"/>
        </w:rPr>
        <w:t xml:space="preserve">. </w:t>
      </w:r>
    </w:p>
    <w:p w14:paraId="751298DD" w14:textId="7613CA6A" w:rsidR="00CC7FAC" w:rsidRPr="00CC7FAC" w:rsidRDefault="00ED3F37" w:rsidP="003800FF">
      <w:pPr>
        <w:numPr>
          <w:ilvl w:val="0"/>
          <w:numId w:val="42"/>
        </w:numPr>
        <w:spacing w:before="0" w:after="0" w:line="240" w:lineRule="auto"/>
        <w:ind w:left="360"/>
        <w:rPr>
          <w:rFonts w:asciiTheme="minorHAnsi" w:hAnsiTheme="minorHAnsi" w:cstheme="minorHAnsi"/>
          <w:sz w:val="24"/>
        </w:rPr>
      </w:pPr>
      <w:r>
        <w:rPr>
          <w:rFonts w:asciiTheme="minorHAnsi" w:hAnsiTheme="minorHAnsi" w:cstheme="minorHAnsi"/>
          <w:sz w:val="24"/>
        </w:rPr>
        <w:t>There was concern regarding i</w:t>
      </w:r>
      <w:r w:rsidR="00043C1B" w:rsidRPr="00043C1B">
        <w:rPr>
          <w:rFonts w:asciiTheme="minorHAnsi" w:hAnsiTheme="minorHAnsi" w:cstheme="minorHAnsi"/>
          <w:sz w:val="24"/>
        </w:rPr>
        <w:t>nequities in the current system</w:t>
      </w:r>
      <w:r w:rsidR="00F721DE">
        <w:rPr>
          <w:rFonts w:asciiTheme="minorHAnsi" w:hAnsiTheme="minorHAnsi" w:cstheme="minorHAnsi"/>
          <w:sz w:val="24"/>
        </w:rPr>
        <w:t>, as</w:t>
      </w:r>
      <w:r w:rsidR="00043C1B" w:rsidRPr="00043C1B">
        <w:rPr>
          <w:rFonts w:asciiTheme="minorHAnsi" w:hAnsiTheme="minorHAnsi" w:cstheme="minorHAnsi"/>
          <w:sz w:val="24"/>
        </w:rPr>
        <w:t xml:space="preserve"> some ostomates </w:t>
      </w:r>
      <w:r w:rsidR="00656D63" w:rsidRPr="00043C1B">
        <w:rPr>
          <w:rFonts w:asciiTheme="minorHAnsi" w:hAnsiTheme="minorHAnsi" w:cstheme="minorHAnsi"/>
          <w:sz w:val="24"/>
        </w:rPr>
        <w:t>must</w:t>
      </w:r>
      <w:r w:rsidR="00043C1B" w:rsidRPr="00043C1B">
        <w:rPr>
          <w:rFonts w:asciiTheme="minorHAnsi" w:hAnsiTheme="minorHAnsi" w:cstheme="minorHAnsi"/>
          <w:sz w:val="24"/>
        </w:rPr>
        <w:t xml:space="preserve"> pay postage and others can pick their orders up at their local association</w:t>
      </w:r>
      <w:r w:rsidR="00656D63">
        <w:rPr>
          <w:rFonts w:asciiTheme="minorHAnsi" w:hAnsiTheme="minorHAnsi" w:cstheme="minorHAnsi"/>
          <w:sz w:val="24"/>
        </w:rPr>
        <w:t xml:space="preserve"> at no cost</w:t>
      </w:r>
      <w:r w:rsidR="00043C1B" w:rsidRPr="00043C1B">
        <w:rPr>
          <w:rFonts w:asciiTheme="minorHAnsi" w:hAnsiTheme="minorHAnsi" w:cstheme="minorHAnsi"/>
          <w:sz w:val="24"/>
        </w:rPr>
        <w:t xml:space="preserve">. </w:t>
      </w:r>
    </w:p>
    <w:p w14:paraId="184753DA" w14:textId="77777777" w:rsidR="00043C1B" w:rsidRDefault="00043C1B" w:rsidP="003800FF">
      <w:pPr>
        <w:spacing w:before="0" w:after="0" w:line="240" w:lineRule="auto"/>
        <w:rPr>
          <w:rFonts w:asciiTheme="minorHAnsi" w:hAnsiTheme="minorHAnsi" w:cstheme="minorHAnsi"/>
          <w:i/>
          <w:iCs/>
          <w:sz w:val="24"/>
        </w:rPr>
      </w:pPr>
    </w:p>
    <w:p w14:paraId="657F3C1C" w14:textId="4392CA9B" w:rsidR="00CC7FAC" w:rsidRPr="00CC7FAC" w:rsidRDefault="00CC7FAC" w:rsidP="003800FF">
      <w:pPr>
        <w:spacing w:before="0" w:after="0" w:line="240" w:lineRule="auto"/>
        <w:rPr>
          <w:rFonts w:asciiTheme="minorHAnsi" w:hAnsiTheme="minorHAnsi" w:cstheme="minorHAnsi"/>
          <w:i/>
          <w:iCs/>
          <w:sz w:val="24"/>
        </w:rPr>
      </w:pPr>
      <w:r w:rsidRPr="00CC7FAC">
        <w:rPr>
          <w:rFonts w:asciiTheme="minorHAnsi" w:hAnsiTheme="minorHAnsi" w:cstheme="minorHAnsi"/>
          <w:i/>
          <w:iCs/>
          <w:sz w:val="24"/>
        </w:rPr>
        <w:t xml:space="preserve">Composition of </w:t>
      </w:r>
      <w:r w:rsidR="00DC68E3">
        <w:rPr>
          <w:rFonts w:asciiTheme="minorHAnsi" w:hAnsiTheme="minorHAnsi" w:cstheme="minorHAnsi"/>
          <w:i/>
          <w:iCs/>
          <w:sz w:val="24"/>
        </w:rPr>
        <w:t>the SPAP</w:t>
      </w:r>
      <w:r w:rsidRPr="00CC7FAC">
        <w:rPr>
          <w:rFonts w:asciiTheme="minorHAnsi" w:hAnsiTheme="minorHAnsi" w:cstheme="minorHAnsi"/>
          <w:i/>
          <w:iCs/>
          <w:sz w:val="24"/>
        </w:rPr>
        <w:t xml:space="preserve"> </w:t>
      </w:r>
    </w:p>
    <w:p w14:paraId="66E4CCAF" w14:textId="0339E114" w:rsidR="00ED3F37" w:rsidRDefault="00ED3F37" w:rsidP="003800FF">
      <w:pPr>
        <w:numPr>
          <w:ilvl w:val="0"/>
          <w:numId w:val="42"/>
        </w:numPr>
        <w:spacing w:before="0" w:after="0" w:line="240" w:lineRule="auto"/>
        <w:ind w:left="360"/>
        <w:rPr>
          <w:rFonts w:asciiTheme="minorHAnsi" w:hAnsiTheme="minorHAnsi" w:cstheme="minorHAnsi"/>
          <w:sz w:val="24"/>
        </w:rPr>
      </w:pPr>
      <w:r>
        <w:rPr>
          <w:rFonts w:asciiTheme="minorHAnsi" w:hAnsiTheme="minorHAnsi" w:cstheme="minorHAnsi"/>
          <w:sz w:val="24"/>
        </w:rPr>
        <w:t xml:space="preserve">The SPAP is </w:t>
      </w:r>
      <w:r w:rsidR="00E021E7">
        <w:rPr>
          <w:rFonts w:asciiTheme="minorHAnsi" w:hAnsiTheme="minorHAnsi" w:cstheme="minorHAnsi"/>
          <w:sz w:val="24"/>
        </w:rPr>
        <w:t>an</w:t>
      </w:r>
      <w:r>
        <w:rPr>
          <w:rFonts w:asciiTheme="minorHAnsi" w:hAnsiTheme="minorHAnsi" w:cstheme="minorHAnsi"/>
          <w:sz w:val="24"/>
        </w:rPr>
        <w:t xml:space="preserve"> independent</w:t>
      </w:r>
      <w:r w:rsidR="00E021E7">
        <w:rPr>
          <w:rFonts w:asciiTheme="minorHAnsi" w:hAnsiTheme="minorHAnsi" w:cstheme="minorHAnsi"/>
          <w:sz w:val="24"/>
        </w:rPr>
        <w:t xml:space="preserve"> panel that assesses stoma products for listing on the SAS Schedule.</w:t>
      </w:r>
    </w:p>
    <w:p w14:paraId="05FE07DE" w14:textId="26E629F8" w:rsidR="00E01FB4" w:rsidRDefault="00E01FB4" w:rsidP="003800FF">
      <w:pPr>
        <w:numPr>
          <w:ilvl w:val="0"/>
          <w:numId w:val="42"/>
        </w:numPr>
        <w:spacing w:before="0" w:after="0" w:line="240" w:lineRule="auto"/>
        <w:ind w:left="360"/>
        <w:rPr>
          <w:rFonts w:asciiTheme="minorHAnsi" w:hAnsiTheme="minorHAnsi" w:cstheme="minorHAnsi"/>
          <w:sz w:val="24"/>
        </w:rPr>
      </w:pPr>
      <w:r>
        <w:rPr>
          <w:rFonts w:asciiTheme="minorHAnsi" w:hAnsiTheme="minorHAnsi" w:cstheme="minorHAnsi"/>
          <w:sz w:val="24"/>
        </w:rPr>
        <w:t>There was support for</w:t>
      </w:r>
      <w:r w:rsidR="003800FF">
        <w:rPr>
          <w:rFonts w:asciiTheme="minorHAnsi" w:hAnsiTheme="minorHAnsi" w:cstheme="minorHAnsi"/>
          <w:sz w:val="24"/>
        </w:rPr>
        <w:t xml:space="preserve"> expansion of the SPAP to include</w:t>
      </w:r>
      <w:r>
        <w:rPr>
          <w:rFonts w:asciiTheme="minorHAnsi" w:hAnsiTheme="minorHAnsi" w:cstheme="minorHAnsi"/>
          <w:sz w:val="24"/>
        </w:rPr>
        <w:t xml:space="preserve">: </w:t>
      </w:r>
    </w:p>
    <w:p w14:paraId="05F20257" w14:textId="05D315A1" w:rsidR="00E01FB4" w:rsidRDefault="00E01FB4" w:rsidP="003800FF">
      <w:pPr>
        <w:pStyle w:val="ListParagraph"/>
        <w:numPr>
          <w:ilvl w:val="0"/>
          <w:numId w:val="48"/>
        </w:numPr>
        <w:spacing w:line="240" w:lineRule="auto"/>
        <w:rPr>
          <w:rFonts w:asciiTheme="minorHAnsi" w:hAnsiTheme="minorHAnsi" w:cstheme="minorHAnsi"/>
          <w:sz w:val="24"/>
        </w:rPr>
      </w:pPr>
      <w:r>
        <w:rPr>
          <w:rFonts w:asciiTheme="minorHAnsi" w:hAnsiTheme="minorHAnsi" w:cstheme="minorHAnsi"/>
          <w:sz w:val="24"/>
        </w:rPr>
        <w:t>i</w:t>
      </w:r>
      <w:r w:rsidR="00CC7FAC" w:rsidRPr="00CC7FAC">
        <w:rPr>
          <w:rFonts w:asciiTheme="minorHAnsi" w:hAnsiTheme="minorHAnsi" w:cstheme="minorHAnsi"/>
          <w:sz w:val="24"/>
        </w:rPr>
        <w:t>ncrease</w:t>
      </w:r>
      <w:r>
        <w:rPr>
          <w:rFonts w:asciiTheme="minorHAnsi" w:hAnsiTheme="minorHAnsi" w:cstheme="minorHAnsi"/>
          <w:sz w:val="24"/>
        </w:rPr>
        <w:t>d</w:t>
      </w:r>
      <w:r w:rsidR="00CC7FAC" w:rsidRPr="00CC7FAC">
        <w:rPr>
          <w:rFonts w:asciiTheme="minorHAnsi" w:hAnsiTheme="minorHAnsi" w:cstheme="minorHAnsi"/>
          <w:sz w:val="24"/>
        </w:rPr>
        <w:t xml:space="preserve"> consumer representation </w:t>
      </w:r>
      <w:r>
        <w:rPr>
          <w:rFonts w:asciiTheme="minorHAnsi" w:hAnsiTheme="minorHAnsi" w:cstheme="minorHAnsi"/>
          <w:sz w:val="24"/>
        </w:rPr>
        <w:t>on SPAP</w:t>
      </w:r>
      <w:r w:rsidR="003800FF">
        <w:rPr>
          <w:rFonts w:asciiTheme="minorHAnsi" w:hAnsiTheme="minorHAnsi" w:cstheme="minorHAnsi"/>
          <w:sz w:val="24"/>
        </w:rPr>
        <w:t>, potential</w:t>
      </w:r>
      <w:r w:rsidR="00E021E7">
        <w:rPr>
          <w:rFonts w:asciiTheme="minorHAnsi" w:hAnsiTheme="minorHAnsi" w:cstheme="minorHAnsi"/>
          <w:sz w:val="24"/>
        </w:rPr>
        <w:t>ly</w:t>
      </w:r>
      <w:r w:rsidR="00CC7FAC" w:rsidRPr="00CC7FAC">
        <w:rPr>
          <w:rFonts w:asciiTheme="minorHAnsi" w:hAnsiTheme="minorHAnsi" w:cstheme="minorHAnsi"/>
          <w:sz w:val="24"/>
        </w:rPr>
        <w:t xml:space="preserve"> </w:t>
      </w:r>
      <w:r>
        <w:rPr>
          <w:rFonts w:asciiTheme="minorHAnsi" w:hAnsiTheme="minorHAnsi" w:cstheme="minorHAnsi"/>
          <w:sz w:val="24"/>
        </w:rPr>
        <w:t>including</w:t>
      </w:r>
      <w:r w:rsidR="00CC7FAC" w:rsidRPr="00CC7FAC">
        <w:rPr>
          <w:rFonts w:asciiTheme="minorHAnsi" w:hAnsiTheme="minorHAnsi" w:cstheme="minorHAnsi"/>
          <w:sz w:val="24"/>
        </w:rPr>
        <w:t xml:space="preserve"> an ostomate with a urostomy  </w:t>
      </w:r>
    </w:p>
    <w:p w14:paraId="2082EC26" w14:textId="2D6B33F7" w:rsidR="00E01FB4" w:rsidRDefault="00E01FB4" w:rsidP="003800FF">
      <w:pPr>
        <w:pStyle w:val="ListParagraph"/>
        <w:numPr>
          <w:ilvl w:val="0"/>
          <w:numId w:val="48"/>
        </w:numPr>
        <w:spacing w:line="240" w:lineRule="auto"/>
        <w:rPr>
          <w:rFonts w:asciiTheme="minorHAnsi" w:hAnsiTheme="minorHAnsi" w:cstheme="minorHAnsi"/>
          <w:sz w:val="24"/>
        </w:rPr>
      </w:pPr>
      <w:r>
        <w:rPr>
          <w:rFonts w:asciiTheme="minorHAnsi" w:hAnsiTheme="minorHAnsi" w:cstheme="minorHAnsi"/>
          <w:sz w:val="24"/>
        </w:rPr>
        <w:t>b</w:t>
      </w:r>
      <w:r w:rsidR="00CC7FAC" w:rsidRPr="00CC7FAC">
        <w:rPr>
          <w:rFonts w:asciiTheme="minorHAnsi" w:hAnsiTheme="minorHAnsi" w:cstheme="minorHAnsi"/>
          <w:sz w:val="24"/>
        </w:rPr>
        <w:t xml:space="preserve">roader STN representation including </w:t>
      </w:r>
      <w:r>
        <w:rPr>
          <w:rFonts w:asciiTheme="minorHAnsi" w:hAnsiTheme="minorHAnsi" w:cstheme="minorHAnsi"/>
          <w:sz w:val="24"/>
        </w:rPr>
        <w:t>STNs</w:t>
      </w:r>
      <w:r w:rsidR="00CC7FAC" w:rsidRPr="00CC7FAC">
        <w:rPr>
          <w:rFonts w:asciiTheme="minorHAnsi" w:hAnsiTheme="minorHAnsi" w:cstheme="minorHAnsi"/>
          <w:sz w:val="24"/>
        </w:rPr>
        <w:t xml:space="preserve"> that work in different </w:t>
      </w:r>
      <w:r>
        <w:rPr>
          <w:rFonts w:asciiTheme="minorHAnsi" w:hAnsiTheme="minorHAnsi" w:cstheme="minorHAnsi"/>
          <w:sz w:val="24"/>
        </w:rPr>
        <w:t xml:space="preserve">clinical </w:t>
      </w:r>
      <w:r w:rsidR="00CC7FAC" w:rsidRPr="00CC7FAC">
        <w:rPr>
          <w:rFonts w:asciiTheme="minorHAnsi" w:hAnsiTheme="minorHAnsi" w:cstheme="minorHAnsi"/>
          <w:sz w:val="24"/>
        </w:rPr>
        <w:t>settings, communities and with different stoma types</w:t>
      </w:r>
      <w:r>
        <w:rPr>
          <w:rFonts w:asciiTheme="minorHAnsi" w:hAnsiTheme="minorHAnsi" w:cstheme="minorHAnsi"/>
          <w:sz w:val="24"/>
        </w:rPr>
        <w:t>, and</w:t>
      </w:r>
      <w:r w:rsidR="00CC7FAC" w:rsidRPr="00CC7FAC">
        <w:rPr>
          <w:rFonts w:asciiTheme="minorHAnsi" w:hAnsiTheme="minorHAnsi" w:cstheme="minorHAnsi"/>
          <w:sz w:val="24"/>
        </w:rPr>
        <w:t xml:space="preserve"> </w:t>
      </w:r>
    </w:p>
    <w:p w14:paraId="3704846D" w14:textId="6AD41191" w:rsidR="00E33597" w:rsidRDefault="00102901" w:rsidP="003800FF">
      <w:pPr>
        <w:pStyle w:val="ListParagraph"/>
        <w:numPr>
          <w:ilvl w:val="0"/>
          <w:numId w:val="48"/>
        </w:numPr>
        <w:spacing w:line="240" w:lineRule="auto"/>
      </w:pPr>
      <w:r>
        <w:rPr>
          <w:rFonts w:asciiTheme="minorHAnsi" w:hAnsiTheme="minorHAnsi" w:cstheme="minorHAnsi"/>
          <w:sz w:val="24"/>
        </w:rPr>
        <w:t xml:space="preserve">a </w:t>
      </w:r>
      <w:r w:rsidR="00E01FB4">
        <w:rPr>
          <w:rFonts w:asciiTheme="minorHAnsi" w:hAnsiTheme="minorHAnsi" w:cstheme="minorHAnsi"/>
          <w:sz w:val="24"/>
        </w:rPr>
        <w:t>clinician</w:t>
      </w:r>
      <w:r>
        <w:rPr>
          <w:rFonts w:asciiTheme="minorHAnsi" w:hAnsiTheme="minorHAnsi" w:cstheme="minorHAnsi"/>
          <w:sz w:val="24"/>
        </w:rPr>
        <w:t xml:space="preserve"> with expertise in urostomies</w:t>
      </w:r>
      <w:r w:rsidR="00E01FB4">
        <w:rPr>
          <w:rFonts w:asciiTheme="minorHAnsi" w:hAnsiTheme="minorHAnsi" w:cstheme="minorHAnsi"/>
          <w:sz w:val="24"/>
        </w:rPr>
        <w:t>.</w:t>
      </w:r>
    </w:p>
    <w:p w14:paraId="7C3B8CF1" w14:textId="1E0EC0BB" w:rsidR="00763A30" w:rsidRPr="00CC7FAC" w:rsidRDefault="00763A30" w:rsidP="003800FF">
      <w:pPr>
        <w:spacing w:before="0" w:after="0" w:line="240" w:lineRule="auto"/>
        <w:rPr>
          <w:rFonts w:asciiTheme="minorHAnsi" w:hAnsiTheme="minorHAnsi" w:cstheme="minorHAnsi"/>
          <w:i/>
          <w:iCs/>
          <w:sz w:val="24"/>
        </w:rPr>
      </w:pPr>
      <w:r w:rsidRPr="007C1FFF">
        <w:rPr>
          <w:rFonts w:asciiTheme="minorHAnsi" w:hAnsiTheme="minorHAnsi" w:cstheme="minorHAnsi"/>
          <w:i/>
          <w:iCs/>
          <w:sz w:val="24"/>
        </w:rPr>
        <w:t>Improved</w:t>
      </w:r>
      <w:r w:rsidRPr="00CC7FAC">
        <w:rPr>
          <w:rFonts w:asciiTheme="minorHAnsi" w:hAnsiTheme="minorHAnsi" w:cstheme="minorHAnsi"/>
          <w:i/>
          <w:iCs/>
          <w:sz w:val="24"/>
        </w:rPr>
        <w:t xml:space="preserve"> education</w:t>
      </w:r>
      <w:r w:rsidRPr="007C1FFF">
        <w:rPr>
          <w:rFonts w:asciiTheme="minorHAnsi" w:hAnsiTheme="minorHAnsi" w:cstheme="minorHAnsi"/>
          <w:i/>
          <w:iCs/>
          <w:sz w:val="24"/>
        </w:rPr>
        <w:t xml:space="preserve"> and communication</w:t>
      </w:r>
      <w:r w:rsidRPr="00CC7FAC">
        <w:rPr>
          <w:rFonts w:asciiTheme="minorHAnsi" w:hAnsiTheme="minorHAnsi" w:cstheme="minorHAnsi"/>
          <w:i/>
          <w:iCs/>
          <w:sz w:val="24"/>
        </w:rPr>
        <w:t xml:space="preserve"> about the SAS </w:t>
      </w:r>
    </w:p>
    <w:p w14:paraId="139AF543" w14:textId="4DA36B54" w:rsidR="00763A30" w:rsidRPr="00874E9F" w:rsidRDefault="003800FF" w:rsidP="003800FF">
      <w:pPr>
        <w:numPr>
          <w:ilvl w:val="0"/>
          <w:numId w:val="42"/>
        </w:numPr>
        <w:spacing w:before="0" w:after="0" w:line="240" w:lineRule="auto"/>
        <w:ind w:left="360"/>
        <w:rPr>
          <w:rFonts w:asciiTheme="minorHAnsi" w:hAnsiTheme="minorHAnsi" w:cstheme="minorHAnsi"/>
          <w:sz w:val="24"/>
        </w:rPr>
      </w:pPr>
      <w:r>
        <w:rPr>
          <w:rFonts w:asciiTheme="minorHAnsi" w:hAnsiTheme="minorHAnsi" w:cstheme="minorHAnsi"/>
          <w:sz w:val="24"/>
        </w:rPr>
        <w:t>Based on some of the responses to the consultation, i</w:t>
      </w:r>
      <w:r w:rsidR="00E01FB4" w:rsidRPr="00874E9F">
        <w:rPr>
          <w:rFonts w:asciiTheme="minorHAnsi" w:hAnsiTheme="minorHAnsi" w:cstheme="minorHAnsi"/>
          <w:sz w:val="24"/>
        </w:rPr>
        <w:t xml:space="preserve">t </w:t>
      </w:r>
      <w:r>
        <w:rPr>
          <w:rFonts w:asciiTheme="minorHAnsi" w:hAnsiTheme="minorHAnsi" w:cstheme="minorHAnsi"/>
          <w:sz w:val="24"/>
        </w:rPr>
        <w:t>was</w:t>
      </w:r>
      <w:r w:rsidRPr="00874E9F">
        <w:rPr>
          <w:rFonts w:asciiTheme="minorHAnsi" w:hAnsiTheme="minorHAnsi" w:cstheme="minorHAnsi"/>
          <w:sz w:val="24"/>
        </w:rPr>
        <w:t xml:space="preserve"> </w:t>
      </w:r>
      <w:r w:rsidR="00E01FB4" w:rsidRPr="00874E9F">
        <w:rPr>
          <w:rFonts w:asciiTheme="minorHAnsi" w:hAnsiTheme="minorHAnsi" w:cstheme="minorHAnsi"/>
          <w:sz w:val="24"/>
        </w:rPr>
        <w:t>evident there is a</w:t>
      </w:r>
      <w:r w:rsidR="00763A30" w:rsidRPr="00874E9F">
        <w:rPr>
          <w:rFonts w:asciiTheme="minorHAnsi" w:hAnsiTheme="minorHAnsi" w:cstheme="minorHAnsi"/>
          <w:sz w:val="24"/>
        </w:rPr>
        <w:t xml:space="preserve"> need for increased information </w:t>
      </w:r>
      <w:r w:rsidR="00E01FB4" w:rsidRPr="00874E9F">
        <w:rPr>
          <w:rFonts w:asciiTheme="minorHAnsi" w:hAnsiTheme="minorHAnsi" w:cstheme="minorHAnsi"/>
          <w:sz w:val="24"/>
        </w:rPr>
        <w:t xml:space="preserve">sharing </w:t>
      </w:r>
      <w:r w:rsidR="00763A30" w:rsidRPr="00874E9F">
        <w:rPr>
          <w:rFonts w:asciiTheme="minorHAnsi" w:hAnsiTheme="minorHAnsi" w:cstheme="minorHAnsi"/>
          <w:sz w:val="24"/>
        </w:rPr>
        <w:t>and education for ostomates about SAS processes including:</w:t>
      </w:r>
    </w:p>
    <w:p w14:paraId="3ABFBA9F" w14:textId="67647148" w:rsidR="00763A30" w:rsidRPr="00CC7FAC" w:rsidRDefault="00763A30" w:rsidP="003800FF">
      <w:pPr>
        <w:pStyle w:val="ListParagraph"/>
        <w:numPr>
          <w:ilvl w:val="0"/>
          <w:numId w:val="48"/>
        </w:numPr>
        <w:spacing w:line="240" w:lineRule="auto"/>
        <w:rPr>
          <w:rFonts w:asciiTheme="minorHAnsi" w:hAnsiTheme="minorHAnsi" w:cstheme="minorHAnsi"/>
          <w:sz w:val="24"/>
        </w:rPr>
      </w:pPr>
      <w:r w:rsidRPr="00CC7FAC">
        <w:rPr>
          <w:rFonts w:asciiTheme="minorHAnsi" w:hAnsiTheme="minorHAnsi" w:cstheme="minorHAnsi"/>
          <w:sz w:val="24"/>
        </w:rPr>
        <w:t>changes to products on the SAS Schedule (Group 9 changes, deletions of existing products etc)</w:t>
      </w:r>
    </w:p>
    <w:p w14:paraId="686730D6" w14:textId="0CA1EE91" w:rsidR="00763A30" w:rsidRDefault="003800FF" w:rsidP="003800FF">
      <w:pPr>
        <w:pStyle w:val="ListParagraph"/>
        <w:numPr>
          <w:ilvl w:val="0"/>
          <w:numId w:val="48"/>
        </w:numPr>
        <w:spacing w:line="240" w:lineRule="auto"/>
        <w:rPr>
          <w:rFonts w:asciiTheme="minorHAnsi" w:hAnsiTheme="minorHAnsi" w:cstheme="minorHAnsi"/>
          <w:sz w:val="24"/>
        </w:rPr>
      </w:pPr>
      <w:r>
        <w:rPr>
          <w:rFonts w:asciiTheme="minorHAnsi" w:hAnsiTheme="minorHAnsi" w:cstheme="minorHAnsi"/>
          <w:sz w:val="24"/>
        </w:rPr>
        <w:t xml:space="preserve">how to </w:t>
      </w:r>
      <w:r w:rsidR="00763A30" w:rsidRPr="00CC7FAC">
        <w:rPr>
          <w:rFonts w:asciiTheme="minorHAnsi" w:hAnsiTheme="minorHAnsi" w:cstheme="minorHAnsi"/>
          <w:sz w:val="24"/>
        </w:rPr>
        <w:t>access additional supplies</w:t>
      </w:r>
      <w:r w:rsidR="000A4320">
        <w:rPr>
          <w:rFonts w:asciiTheme="minorHAnsi" w:hAnsiTheme="minorHAnsi" w:cstheme="minorHAnsi"/>
          <w:sz w:val="24"/>
        </w:rPr>
        <w:t>.</w:t>
      </w:r>
    </w:p>
    <w:p w14:paraId="1F8C77F1" w14:textId="70E703AC" w:rsidR="00065ABF" w:rsidRPr="00EE630D" w:rsidRDefault="000A4320" w:rsidP="003800FF">
      <w:pPr>
        <w:pStyle w:val="ListParagraph"/>
        <w:numPr>
          <w:ilvl w:val="0"/>
          <w:numId w:val="57"/>
        </w:numPr>
        <w:spacing w:before="0" w:after="0" w:line="240" w:lineRule="auto"/>
        <w:rPr>
          <w:rFonts w:asciiTheme="minorHAnsi" w:hAnsiTheme="minorHAnsi" w:cstheme="minorHAnsi"/>
          <w:sz w:val="24"/>
        </w:rPr>
      </w:pPr>
      <w:r w:rsidRPr="00EE630D">
        <w:rPr>
          <w:rFonts w:asciiTheme="minorHAnsi" w:hAnsiTheme="minorHAnsi" w:cstheme="minorHAnsi"/>
          <w:sz w:val="24"/>
        </w:rPr>
        <w:t xml:space="preserve">Some SAS documentation is not </w:t>
      </w:r>
      <w:r w:rsidR="00136A4C" w:rsidRPr="00EE630D">
        <w:rPr>
          <w:rFonts w:asciiTheme="minorHAnsi" w:hAnsiTheme="minorHAnsi" w:cstheme="minorHAnsi"/>
          <w:sz w:val="24"/>
        </w:rPr>
        <w:t>consumer-</w:t>
      </w:r>
      <w:r w:rsidRPr="00EE630D">
        <w:rPr>
          <w:rFonts w:asciiTheme="minorHAnsi" w:hAnsiTheme="minorHAnsi" w:cstheme="minorHAnsi"/>
          <w:sz w:val="24"/>
        </w:rPr>
        <w:t>friendly and could be pr</w:t>
      </w:r>
      <w:r w:rsidR="00874E9F" w:rsidRPr="00EE630D">
        <w:rPr>
          <w:rFonts w:asciiTheme="minorHAnsi" w:hAnsiTheme="minorHAnsi" w:cstheme="minorHAnsi"/>
          <w:sz w:val="24"/>
        </w:rPr>
        <w:t>o</w:t>
      </w:r>
      <w:r w:rsidRPr="00EE630D">
        <w:rPr>
          <w:rFonts w:asciiTheme="minorHAnsi" w:hAnsiTheme="minorHAnsi" w:cstheme="minorHAnsi"/>
          <w:sz w:val="24"/>
        </w:rPr>
        <w:t xml:space="preserve">vided in a different format to make it more accessible for ostomates. </w:t>
      </w:r>
      <w:r w:rsidR="003800FF">
        <w:rPr>
          <w:rFonts w:asciiTheme="minorHAnsi" w:hAnsiTheme="minorHAnsi" w:cstheme="minorHAnsi"/>
          <w:sz w:val="24"/>
        </w:rPr>
        <w:t>Examples include</w:t>
      </w:r>
      <w:r w:rsidRPr="00EE630D">
        <w:rPr>
          <w:rFonts w:asciiTheme="minorHAnsi" w:hAnsiTheme="minorHAnsi" w:cstheme="minorHAnsi"/>
          <w:sz w:val="24"/>
        </w:rPr>
        <w:t xml:space="preserve"> information in the SAS Schedule and the SAS Operational Guidelines.</w:t>
      </w:r>
    </w:p>
    <w:p w14:paraId="43A89F07" w14:textId="12D6C88C" w:rsidR="00332BFC" w:rsidRDefault="00332BFC" w:rsidP="003800FF">
      <w:pPr>
        <w:pStyle w:val="Heading2"/>
      </w:pPr>
      <w:bookmarkStart w:id="13" w:name="_Toc184108520"/>
      <w:r w:rsidRPr="00332BFC">
        <w:t>Next Steps</w:t>
      </w:r>
      <w:bookmarkEnd w:id="13"/>
    </w:p>
    <w:p w14:paraId="60FD2E7E" w14:textId="78A03E18" w:rsidR="00EB3012" w:rsidRDefault="00EB3012" w:rsidP="003800FF">
      <w:pPr>
        <w:spacing w:line="240" w:lineRule="auto"/>
        <w:rPr>
          <w:rFonts w:asciiTheme="minorHAnsi" w:hAnsiTheme="minorHAnsi" w:cstheme="minorHAnsi"/>
          <w:sz w:val="24"/>
        </w:rPr>
      </w:pPr>
      <w:r w:rsidRPr="00EB3012">
        <w:rPr>
          <w:rFonts w:asciiTheme="minorHAnsi" w:hAnsiTheme="minorHAnsi" w:cstheme="minorHAnsi"/>
          <w:sz w:val="24"/>
        </w:rPr>
        <w:t xml:space="preserve">Through this consultation, we have heard a consensus among stakeholders </w:t>
      </w:r>
      <w:r>
        <w:rPr>
          <w:rFonts w:asciiTheme="minorHAnsi" w:hAnsiTheme="minorHAnsi" w:cstheme="minorHAnsi"/>
          <w:sz w:val="24"/>
        </w:rPr>
        <w:t>that the SAS in its current form is highly valued.</w:t>
      </w:r>
      <w:r w:rsidRPr="00EB3012">
        <w:rPr>
          <w:rFonts w:asciiTheme="minorHAnsi" w:hAnsiTheme="minorHAnsi" w:cstheme="minorHAnsi"/>
          <w:sz w:val="24"/>
        </w:rPr>
        <w:t xml:space="preserve"> </w:t>
      </w:r>
      <w:r w:rsidR="00136A4C">
        <w:rPr>
          <w:rFonts w:asciiTheme="minorHAnsi" w:hAnsiTheme="minorHAnsi" w:cstheme="minorHAnsi"/>
          <w:sz w:val="24"/>
        </w:rPr>
        <w:t>However</w:t>
      </w:r>
      <w:r w:rsidRPr="00EB3012">
        <w:rPr>
          <w:rFonts w:asciiTheme="minorHAnsi" w:hAnsiTheme="minorHAnsi" w:cstheme="minorHAnsi"/>
          <w:sz w:val="24"/>
        </w:rPr>
        <w:t xml:space="preserve">, </w:t>
      </w:r>
      <w:r>
        <w:rPr>
          <w:rFonts w:asciiTheme="minorHAnsi" w:hAnsiTheme="minorHAnsi" w:cstheme="minorHAnsi"/>
          <w:sz w:val="24"/>
        </w:rPr>
        <w:t xml:space="preserve">there are also opportunities to improve the SAS. </w:t>
      </w:r>
    </w:p>
    <w:p w14:paraId="5675B4E3" w14:textId="4DF67AB3" w:rsidR="00EB3012" w:rsidRDefault="00EB3012" w:rsidP="003800FF">
      <w:pPr>
        <w:spacing w:line="240" w:lineRule="auto"/>
        <w:rPr>
          <w:rFonts w:asciiTheme="minorHAnsi" w:hAnsiTheme="minorHAnsi" w:cstheme="minorHAnsi"/>
          <w:sz w:val="24"/>
        </w:rPr>
      </w:pPr>
      <w:r>
        <w:rPr>
          <w:rFonts w:asciiTheme="minorHAnsi" w:hAnsiTheme="minorHAnsi" w:cstheme="minorHAnsi"/>
          <w:sz w:val="24"/>
        </w:rPr>
        <w:t xml:space="preserve">The SPAP has considered the </w:t>
      </w:r>
      <w:r w:rsidR="003D29D0">
        <w:rPr>
          <w:rFonts w:asciiTheme="minorHAnsi" w:hAnsiTheme="minorHAnsi" w:cstheme="minorHAnsi"/>
          <w:sz w:val="24"/>
        </w:rPr>
        <w:t>responses</w:t>
      </w:r>
      <w:r>
        <w:rPr>
          <w:rFonts w:asciiTheme="minorHAnsi" w:hAnsiTheme="minorHAnsi" w:cstheme="minorHAnsi"/>
          <w:sz w:val="24"/>
        </w:rPr>
        <w:t xml:space="preserve"> of this consultation and will</w:t>
      </w:r>
      <w:r w:rsidR="00656D63">
        <w:rPr>
          <w:rFonts w:asciiTheme="minorHAnsi" w:hAnsiTheme="minorHAnsi" w:cstheme="minorHAnsi"/>
          <w:sz w:val="24"/>
        </w:rPr>
        <w:t xml:space="preserve"> </w:t>
      </w:r>
      <w:r>
        <w:rPr>
          <w:rFonts w:asciiTheme="minorHAnsi" w:hAnsiTheme="minorHAnsi" w:cstheme="minorHAnsi"/>
          <w:sz w:val="24"/>
        </w:rPr>
        <w:t xml:space="preserve">present its </w:t>
      </w:r>
      <w:r w:rsidR="00AD69DC">
        <w:rPr>
          <w:rFonts w:asciiTheme="minorHAnsi" w:hAnsiTheme="minorHAnsi" w:cstheme="minorHAnsi"/>
          <w:sz w:val="24"/>
        </w:rPr>
        <w:t xml:space="preserve">recommendations </w:t>
      </w:r>
      <w:r>
        <w:rPr>
          <w:rFonts w:asciiTheme="minorHAnsi" w:hAnsiTheme="minorHAnsi" w:cstheme="minorHAnsi"/>
          <w:sz w:val="24"/>
        </w:rPr>
        <w:t xml:space="preserve">to </w:t>
      </w:r>
      <w:r w:rsidR="00AD69DC">
        <w:rPr>
          <w:rFonts w:asciiTheme="minorHAnsi" w:hAnsiTheme="minorHAnsi" w:cstheme="minorHAnsi"/>
          <w:sz w:val="24"/>
        </w:rPr>
        <w:t>G</w:t>
      </w:r>
      <w:r>
        <w:rPr>
          <w:rFonts w:asciiTheme="minorHAnsi" w:hAnsiTheme="minorHAnsi" w:cstheme="minorHAnsi"/>
          <w:sz w:val="24"/>
        </w:rPr>
        <w:t xml:space="preserve">overnment for consideration. </w:t>
      </w:r>
      <w:r w:rsidRPr="008C6972">
        <w:rPr>
          <w:rFonts w:asciiTheme="minorHAnsi" w:hAnsiTheme="minorHAnsi" w:cstheme="minorHAnsi"/>
          <w:sz w:val="24"/>
        </w:rPr>
        <w:t>Depending on the scope of the recommendation</w:t>
      </w:r>
      <w:r>
        <w:rPr>
          <w:rFonts w:asciiTheme="minorHAnsi" w:hAnsiTheme="minorHAnsi" w:cstheme="minorHAnsi"/>
          <w:sz w:val="24"/>
        </w:rPr>
        <w:t>s</w:t>
      </w:r>
      <w:r w:rsidRPr="008C6972">
        <w:rPr>
          <w:rFonts w:asciiTheme="minorHAnsi" w:hAnsiTheme="minorHAnsi" w:cstheme="minorHAnsi"/>
          <w:sz w:val="24"/>
        </w:rPr>
        <w:t xml:space="preserve">, any changes to </w:t>
      </w:r>
      <w:r>
        <w:rPr>
          <w:rFonts w:asciiTheme="minorHAnsi" w:hAnsiTheme="minorHAnsi" w:cstheme="minorHAnsi"/>
          <w:sz w:val="24"/>
        </w:rPr>
        <w:t xml:space="preserve">the SAS and </w:t>
      </w:r>
      <w:r w:rsidRPr="008C6972">
        <w:rPr>
          <w:rFonts w:asciiTheme="minorHAnsi" w:hAnsiTheme="minorHAnsi" w:cstheme="minorHAnsi"/>
          <w:sz w:val="24"/>
        </w:rPr>
        <w:t>SAS</w:t>
      </w:r>
      <w:r>
        <w:rPr>
          <w:rFonts w:asciiTheme="minorHAnsi" w:hAnsiTheme="minorHAnsi" w:cstheme="minorHAnsi"/>
          <w:sz w:val="24"/>
        </w:rPr>
        <w:t xml:space="preserve"> Schedule</w:t>
      </w:r>
      <w:r w:rsidRPr="008C6972">
        <w:rPr>
          <w:rFonts w:asciiTheme="minorHAnsi" w:hAnsiTheme="minorHAnsi" w:cstheme="minorHAnsi"/>
          <w:sz w:val="24"/>
        </w:rPr>
        <w:t xml:space="preserve"> will be a decision for </w:t>
      </w:r>
      <w:r>
        <w:rPr>
          <w:rFonts w:asciiTheme="minorHAnsi" w:hAnsiTheme="minorHAnsi" w:cstheme="minorHAnsi"/>
          <w:sz w:val="24"/>
        </w:rPr>
        <w:t xml:space="preserve">either the Minister for Health and Aged Care’s delegate in the department, the Minister </w:t>
      </w:r>
      <w:r w:rsidRPr="008C6972">
        <w:rPr>
          <w:rFonts w:asciiTheme="minorHAnsi" w:hAnsiTheme="minorHAnsi" w:cstheme="minorHAnsi"/>
          <w:sz w:val="24"/>
        </w:rPr>
        <w:t>or Cabinet.</w:t>
      </w:r>
      <w:r>
        <w:rPr>
          <w:rFonts w:asciiTheme="minorHAnsi" w:hAnsiTheme="minorHAnsi" w:cstheme="minorHAnsi"/>
          <w:sz w:val="24"/>
        </w:rPr>
        <w:t xml:space="preserve"> </w:t>
      </w:r>
    </w:p>
    <w:p w14:paraId="6BED8D69" w14:textId="05A52894" w:rsidR="00EB3012" w:rsidRPr="00EB3012" w:rsidRDefault="00EB3012" w:rsidP="003800FF">
      <w:pPr>
        <w:spacing w:line="240" w:lineRule="auto"/>
        <w:rPr>
          <w:rFonts w:asciiTheme="minorHAnsi" w:hAnsiTheme="minorHAnsi" w:cstheme="minorHAnsi"/>
          <w:sz w:val="24"/>
        </w:rPr>
      </w:pPr>
      <w:r w:rsidRPr="00EB3012">
        <w:rPr>
          <w:rFonts w:asciiTheme="minorHAnsi" w:hAnsiTheme="minorHAnsi" w:cstheme="minorHAnsi"/>
          <w:sz w:val="24"/>
        </w:rPr>
        <w:t xml:space="preserve">In the interim, the </w:t>
      </w:r>
      <w:r>
        <w:rPr>
          <w:rFonts w:asciiTheme="minorHAnsi" w:hAnsiTheme="minorHAnsi" w:cstheme="minorHAnsi"/>
          <w:sz w:val="24"/>
        </w:rPr>
        <w:t>SPAP</w:t>
      </w:r>
      <w:r w:rsidRPr="00EB3012">
        <w:rPr>
          <w:rFonts w:asciiTheme="minorHAnsi" w:hAnsiTheme="minorHAnsi" w:cstheme="minorHAnsi"/>
          <w:sz w:val="24"/>
        </w:rPr>
        <w:t xml:space="preserve"> and the department are working together to address </w:t>
      </w:r>
      <w:r w:rsidR="00AC666E">
        <w:rPr>
          <w:rFonts w:asciiTheme="minorHAnsi" w:hAnsiTheme="minorHAnsi" w:cstheme="minorHAnsi"/>
          <w:sz w:val="24"/>
        </w:rPr>
        <w:t>some</w:t>
      </w:r>
      <w:r w:rsidRPr="00EB3012">
        <w:rPr>
          <w:rFonts w:asciiTheme="minorHAnsi" w:hAnsiTheme="minorHAnsi" w:cstheme="minorHAnsi"/>
          <w:sz w:val="24"/>
        </w:rPr>
        <w:t xml:space="preserve"> concerns and issues </w:t>
      </w:r>
      <w:r>
        <w:rPr>
          <w:rFonts w:asciiTheme="minorHAnsi" w:hAnsiTheme="minorHAnsi" w:cstheme="minorHAnsi"/>
          <w:sz w:val="24"/>
        </w:rPr>
        <w:t>that can be managed via administrative changes</w:t>
      </w:r>
      <w:r w:rsidRPr="00656D63">
        <w:rPr>
          <w:rFonts w:asciiTheme="minorHAnsi" w:hAnsiTheme="minorHAnsi" w:cstheme="minorHAnsi"/>
          <w:sz w:val="24"/>
        </w:rPr>
        <w:t xml:space="preserve">. </w:t>
      </w:r>
      <w:r w:rsidR="00AC666E" w:rsidRPr="00656D63">
        <w:rPr>
          <w:rFonts w:asciiTheme="minorHAnsi" w:hAnsiTheme="minorHAnsi" w:cstheme="minorHAnsi"/>
          <w:sz w:val="24"/>
        </w:rPr>
        <w:t>This includes</w:t>
      </w:r>
      <w:r w:rsidR="00EE630D">
        <w:rPr>
          <w:rFonts w:asciiTheme="minorHAnsi" w:hAnsiTheme="minorHAnsi" w:cstheme="minorHAnsi"/>
          <w:sz w:val="24"/>
        </w:rPr>
        <w:t xml:space="preserve"> improving SAS documentation </w:t>
      </w:r>
      <w:r w:rsidR="003800FF">
        <w:rPr>
          <w:rFonts w:asciiTheme="minorHAnsi" w:hAnsiTheme="minorHAnsi" w:cstheme="minorHAnsi"/>
          <w:sz w:val="24"/>
        </w:rPr>
        <w:t>to better meet the needs of ostomates and other stakeholders</w:t>
      </w:r>
      <w:r w:rsidR="00EE630D">
        <w:rPr>
          <w:rFonts w:asciiTheme="minorHAnsi" w:hAnsiTheme="minorHAnsi" w:cstheme="minorHAnsi"/>
          <w:sz w:val="24"/>
        </w:rPr>
        <w:t>.</w:t>
      </w:r>
    </w:p>
    <w:p w14:paraId="25A6C905" w14:textId="6D803CD3" w:rsidR="00EB3012" w:rsidRDefault="00EB3012" w:rsidP="003800FF">
      <w:pPr>
        <w:spacing w:line="240" w:lineRule="auto"/>
        <w:rPr>
          <w:rFonts w:asciiTheme="minorHAnsi" w:hAnsiTheme="minorHAnsi" w:cstheme="minorHAnsi"/>
          <w:sz w:val="24"/>
        </w:rPr>
      </w:pPr>
      <w:r w:rsidRPr="00EB3012">
        <w:rPr>
          <w:rFonts w:asciiTheme="minorHAnsi" w:hAnsiTheme="minorHAnsi" w:cstheme="minorHAnsi"/>
          <w:sz w:val="24"/>
        </w:rPr>
        <w:t xml:space="preserve">The </w:t>
      </w:r>
      <w:r>
        <w:rPr>
          <w:rFonts w:asciiTheme="minorHAnsi" w:hAnsiTheme="minorHAnsi" w:cstheme="minorHAnsi"/>
          <w:sz w:val="24"/>
        </w:rPr>
        <w:t>department</w:t>
      </w:r>
      <w:r w:rsidRPr="00EB3012">
        <w:rPr>
          <w:rFonts w:asciiTheme="minorHAnsi" w:hAnsiTheme="minorHAnsi" w:cstheme="minorHAnsi"/>
          <w:sz w:val="24"/>
        </w:rPr>
        <w:t xml:space="preserve"> will continue to keep stakeholders informed of the reform process and will provide opportunities for engagement wherever practical.</w:t>
      </w:r>
    </w:p>
    <w:p w14:paraId="1C3C764A" w14:textId="2D296BBF" w:rsidR="008869C7" w:rsidRDefault="00C14C46" w:rsidP="003800FF">
      <w:pPr>
        <w:spacing w:line="240" w:lineRule="auto"/>
        <w:rPr>
          <w:rFonts w:asciiTheme="minorHAnsi" w:hAnsiTheme="minorHAnsi" w:cstheme="minorHAnsi"/>
          <w:sz w:val="24"/>
        </w:rPr>
      </w:pPr>
      <w:r>
        <w:rPr>
          <w:rFonts w:asciiTheme="minorHAnsi" w:hAnsiTheme="minorHAnsi" w:cstheme="minorHAnsi"/>
          <w:sz w:val="24"/>
        </w:rPr>
        <w:t xml:space="preserve">For </w:t>
      </w:r>
      <w:r w:rsidR="008D6EC1">
        <w:rPr>
          <w:rFonts w:asciiTheme="minorHAnsi" w:hAnsiTheme="minorHAnsi" w:cstheme="minorHAnsi"/>
          <w:sz w:val="24"/>
        </w:rPr>
        <w:t xml:space="preserve">more information about the </w:t>
      </w:r>
      <w:r>
        <w:rPr>
          <w:rFonts w:asciiTheme="minorHAnsi" w:hAnsiTheme="minorHAnsi" w:cstheme="minorHAnsi"/>
          <w:sz w:val="24"/>
        </w:rPr>
        <w:t>SAS</w:t>
      </w:r>
      <w:r w:rsidR="008D6EC1">
        <w:rPr>
          <w:rFonts w:asciiTheme="minorHAnsi" w:hAnsiTheme="minorHAnsi" w:cstheme="minorHAnsi"/>
          <w:sz w:val="24"/>
        </w:rPr>
        <w:t>:</w:t>
      </w:r>
      <w:r>
        <w:rPr>
          <w:rFonts w:asciiTheme="minorHAnsi" w:hAnsiTheme="minorHAnsi" w:cstheme="minorHAnsi"/>
          <w:sz w:val="24"/>
        </w:rPr>
        <w:t xml:space="preserve"> </w:t>
      </w:r>
      <w:r w:rsidR="008D6EC1">
        <w:rPr>
          <w:rFonts w:asciiTheme="minorHAnsi" w:hAnsiTheme="minorHAnsi" w:cstheme="minorHAnsi"/>
          <w:sz w:val="24"/>
        </w:rPr>
        <w:t xml:space="preserve"> </w:t>
      </w:r>
      <w:hyperlink r:id="rId16" w:history="1">
        <w:r w:rsidR="008D6EC1" w:rsidRPr="008D6EC1">
          <w:rPr>
            <w:rStyle w:val="Hyperlink"/>
            <w:rFonts w:asciiTheme="minorHAnsi" w:hAnsiTheme="minorHAnsi" w:cstheme="minorHAnsi"/>
            <w:sz w:val="24"/>
          </w:rPr>
          <w:t>Stoma Appliance Scheme | Australian Government Department of Health and Aged Care</w:t>
        </w:r>
      </w:hyperlink>
    </w:p>
    <w:p w14:paraId="74A4C326" w14:textId="17C513E6" w:rsidR="008869C7" w:rsidRPr="00EB3012" w:rsidRDefault="008869C7" w:rsidP="00495734">
      <w:pPr>
        <w:spacing w:before="0" w:after="0" w:line="240" w:lineRule="auto"/>
        <w:rPr>
          <w:rFonts w:asciiTheme="minorHAnsi" w:hAnsiTheme="minorHAnsi" w:cstheme="minorHAnsi"/>
          <w:sz w:val="24"/>
        </w:rPr>
      </w:pPr>
    </w:p>
    <w:sectPr w:rsidR="008869C7" w:rsidRPr="00EB3012" w:rsidSect="00A74345">
      <w:headerReference w:type="default" r:id="rId17"/>
      <w:footerReference w:type="default" r:id="rId1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5E04E" w14:textId="77777777" w:rsidR="000765F2" w:rsidRDefault="000765F2" w:rsidP="00934368">
      <w:r>
        <w:separator/>
      </w:r>
    </w:p>
    <w:p w14:paraId="44BB07C6" w14:textId="77777777" w:rsidR="000765F2" w:rsidRDefault="000765F2" w:rsidP="00934368"/>
  </w:endnote>
  <w:endnote w:type="continuationSeparator" w:id="0">
    <w:p w14:paraId="0AB20605" w14:textId="77777777" w:rsidR="000765F2" w:rsidRDefault="000765F2" w:rsidP="00934368">
      <w:r>
        <w:continuationSeparator/>
      </w:r>
    </w:p>
    <w:p w14:paraId="6A9DB692" w14:textId="77777777" w:rsidR="000765F2" w:rsidRDefault="000765F2" w:rsidP="00934368"/>
  </w:endnote>
  <w:endnote w:type="continuationNotice" w:id="1">
    <w:p w14:paraId="0FBF08B6" w14:textId="77777777" w:rsidR="000765F2" w:rsidRDefault="000765F2"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20F7" w14:textId="1AACD4DC" w:rsidR="00751A23" w:rsidRPr="00751A23" w:rsidRDefault="00AF4419" w:rsidP="00934368">
    <w:pPr>
      <w:pStyle w:val="Footer"/>
    </w:pPr>
    <w:r>
      <w:t xml:space="preserve">2024 </w:t>
    </w:r>
    <w:r w:rsidR="00BC2645">
      <w:t xml:space="preserve">SAS Schedule Review </w:t>
    </w:r>
    <w:r w:rsidR="00F4673F">
      <w:t xml:space="preserve">Public </w:t>
    </w:r>
    <w:r w:rsidR="00BC2645">
      <w:t>Consultation Summary</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83869" w14:textId="77777777" w:rsidR="000765F2" w:rsidRDefault="000765F2" w:rsidP="00934368">
      <w:r>
        <w:separator/>
      </w:r>
    </w:p>
    <w:p w14:paraId="2C38EBD0" w14:textId="77777777" w:rsidR="000765F2" w:rsidRDefault="000765F2" w:rsidP="00934368"/>
  </w:footnote>
  <w:footnote w:type="continuationSeparator" w:id="0">
    <w:p w14:paraId="134474E8" w14:textId="77777777" w:rsidR="000765F2" w:rsidRDefault="000765F2" w:rsidP="00934368">
      <w:r>
        <w:continuationSeparator/>
      </w:r>
    </w:p>
    <w:p w14:paraId="4445ABA4" w14:textId="77777777" w:rsidR="000765F2" w:rsidRDefault="000765F2" w:rsidP="00934368"/>
  </w:footnote>
  <w:footnote w:type="continuationNotice" w:id="1">
    <w:p w14:paraId="2687C304" w14:textId="77777777" w:rsidR="000765F2" w:rsidRDefault="000765F2"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BF28" w14:textId="5EF09212" w:rsidR="00751A23" w:rsidRDefault="00751A23" w:rsidP="00934368">
    <w:pPr>
      <w:pStyle w:val="Header"/>
    </w:pPr>
    <w:r>
      <w:rPr>
        <w:noProof/>
        <w:lang w:eastAsia="en-AU"/>
      </w:rPr>
      <w:drawing>
        <wp:anchor distT="0" distB="0" distL="114300" distR="114300" simplePos="0" relativeHeight="251658240" behindDoc="1" locked="0" layoutInCell="1" allowOverlap="1" wp14:anchorId="46D321AA" wp14:editId="095A6804">
          <wp:simplePos x="0" y="0"/>
          <wp:positionH relativeFrom="page">
            <wp:align>center</wp:align>
          </wp:positionH>
          <wp:positionV relativeFrom="page">
            <wp:align>center</wp:align>
          </wp:positionV>
          <wp:extent cx="7559245" cy="10692675"/>
          <wp:effectExtent l="0" t="0" r="0" b="1270"/>
          <wp:wrapNone/>
          <wp:docPr id="1261495115" name="Picture 1261495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976" w14:textId="3A8E3883"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E72DA3"/>
    <w:multiLevelType w:val="hybridMultilevel"/>
    <w:tmpl w:val="F78EA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7D7A19"/>
    <w:multiLevelType w:val="hybridMultilevel"/>
    <w:tmpl w:val="40206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8E7C01"/>
    <w:multiLevelType w:val="hybridMultilevel"/>
    <w:tmpl w:val="1AEE5B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D17049"/>
    <w:multiLevelType w:val="hybridMultilevel"/>
    <w:tmpl w:val="FF8C4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3A5DFE"/>
    <w:multiLevelType w:val="hybridMultilevel"/>
    <w:tmpl w:val="36B663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356515"/>
    <w:multiLevelType w:val="hybridMultilevel"/>
    <w:tmpl w:val="2FAEA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405263"/>
    <w:multiLevelType w:val="hybridMultilevel"/>
    <w:tmpl w:val="D5221F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5B70EA1"/>
    <w:multiLevelType w:val="hybridMultilevel"/>
    <w:tmpl w:val="94202448"/>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9BE1032"/>
    <w:multiLevelType w:val="hybridMultilevel"/>
    <w:tmpl w:val="9490E790"/>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ADC7EBE"/>
    <w:multiLevelType w:val="hybridMultilevel"/>
    <w:tmpl w:val="8340D502"/>
    <w:lvl w:ilvl="0" w:tplc="0C090003">
      <w:start w:val="1"/>
      <w:numFmt w:val="bullet"/>
      <w:lvlText w:val="o"/>
      <w:lvlJc w:val="left"/>
      <w:pPr>
        <w:ind w:left="1485" w:hanging="360"/>
      </w:pPr>
      <w:rPr>
        <w:rFonts w:ascii="Courier New" w:hAnsi="Courier New" w:cs="Courier New" w:hint="default"/>
      </w:rPr>
    </w:lvl>
    <w:lvl w:ilvl="1" w:tplc="0C090003">
      <w:start w:val="1"/>
      <w:numFmt w:val="bullet"/>
      <w:lvlText w:val="o"/>
      <w:lvlJc w:val="left"/>
      <w:pPr>
        <w:ind w:left="2205" w:hanging="360"/>
      </w:pPr>
      <w:rPr>
        <w:rFonts w:ascii="Courier New" w:hAnsi="Courier New" w:cs="Courier New" w:hint="default"/>
      </w:rPr>
    </w:lvl>
    <w:lvl w:ilvl="2" w:tplc="0C090005">
      <w:start w:val="1"/>
      <w:numFmt w:val="bullet"/>
      <w:lvlText w:val=""/>
      <w:lvlJc w:val="left"/>
      <w:pPr>
        <w:ind w:left="2925" w:hanging="360"/>
      </w:pPr>
      <w:rPr>
        <w:rFonts w:ascii="Wingdings" w:hAnsi="Wingdings" w:hint="default"/>
      </w:rPr>
    </w:lvl>
    <w:lvl w:ilvl="3" w:tplc="0C090001">
      <w:start w:val="1"/>
      <w:numFmt w:val="bullet"/>
      <w:lvlText w:val=""/>
      <w:lvlJc w:val="left"/>
      <w:pPr>
        <w:ind w:left="3645" w:hanging="360"/>
      </w:pPr>
      <w:rPr>
        <w:rFonts w:ascii="Symbol" w:hAnsi="Symbol" w:hint="default"/>
      </w:rPr>
    </w:lvl>
    <w:lvl w:ilvl="4" w:tplc="0C090003">
      <w:start w:val="1"/>
      <w:numFmt w:val="bullet"/>
      <w:lvlText w:val="o"/>
      <w:lvlJc w:val="left"/>
      <w:pPr>
        <w:ind w:left="4365" w:hanging="360"/>
      </w:pPr>
      <w:rPr>
        <w:rFonts w:ascii="Courier New" w:hAnsi="Courier New" w:cs="Courier New" w:hint="default"/>
      </w:rPr>
    </w:lvl>
    <w:lvl w:ilvl="5" w:tplc="0C090005">
      <w:start w:val="1"/>
      <w:numFmt w:val="bullet"/>
      <w:lvlText w:val=""/>
      <w:lvlJc w:val="left"/>
      <w:pPr>
        <w:ind w:left="5085" w:hanging="360"/>
      </w:pPr>
      <w:rPr>
        <w:rFonts w:ascii="Wingdings" w:hAnsi="Wingdings" w:hint="default"/>
      </w:rPr>
    </w:lvl>
    <w:lvl w:ilvl="6" w:tplc="0C090001">
      <w:start w:val="1"/>
      <w:numFmt w:val="bullet"/>
      <w:lvlText w:val=""/>
      <w:lvlJc w:val="left"/>
      <w:pPr>
        <w:ind w:left="5805" w:hanging="360"/>
      </w:pPr>
      <w:rPr>
        <w:rFonts w:ascii="Symbol" w:hAnsi="Symbol" w:hint="default"/>
      </w:rPr>
    </w:lvl>
    <w:lvl w:ilvl="7" w:tplc="0C090003">
      <w:start w:val="1"/>
      <w:numFmt w:val="bullet"/>
      <w:lvlText w:val="o"/>
      <w:lvlJc w:val="left"/>
      <w:pPr>
        <w:ind w:left="6525" w:hanging="360"/>
      </w:pPr>
      <w:rPr>
        <w:rFonts w:ascii="Courier New" w:hAnsi="Courier New" w:cs="Courier New" w:hint="default"/>
      </w:rPr>
    </w:lvl>
    <w:lvl w:ilvl="8" w:tplc="0C090005">
      <w:start w:val="1"/>
      <w:numFmt w:val="bullet"/>
      <w:lvlText w:val=""/>
      <w:lvlJc w:val="left"/>
      <w:pPr>
        <w:ind w:left="7245" w:hanging="360"/>
      </w:pPr>
      <w:rPr>
        <w:rFonts w:ascii="Wingdings" w:hAnsi="Wingdings" w:hint="default"/>
      </w:rPr>
    </w:lvl>
  </w:abstractNum>
  <w:abstractNum w:abstractNumId="22" w15:restartNumberingAfterBreak="0">
    <w:nsid w:val="2C520B9A"/>
    <w:multiLevelType w:val="hybridMultilevel"/>
    <w:tmpl w:val="E2DA807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E454EB"/>
    <w:multiLevelType w:val="hybridMultilevel"/>
    <w:tmpl w:val="EFBE06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D62D99"/>
    <w:multiLevelType w:val="hybridMultilevel"/>
    <w:tmpl w:val="FB10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66A51DA"/>
    <w:multiLevelType w:val="hybridMultilevel"/>
    <w:tmpl w:val="D6FAE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FD39CC"/>
    <w:multiLevelType w:val="hybridMultilevel"/>
    <w:tmpl w:val="04129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B766DD"/>
    <w:multiLevelType w:val="hybridMultilevel"/>
    <w:tmpl w:val="DB2E2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0A1295"/>
    <w:multiLevelType w:val="hybridMultilevel"/>
    <w:tmpl w:val="1960E8FC"/>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45017B58"/>
    <w:multiLevelType w:val="hybridMultilevel"/>
    <w:tmpl w:val="0BA2B000"/>
    <w:lvl w:ilvl="0" w:tplc="FFFFFFFF">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B0C4488"/>
    <w:multiLevelType w:val="hybridMultilevel"/>
    <w:tmpl w:val="8DA6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681144"/>
    <w:multiLevelType w:val="hybridMultilevel"/>
    <w:tmpl w:val="02442F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D73C77"/>
    <w:multiLevelType w:val="hybridMultilevel"/>
    <w:tmpl w:val="DB7A6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BA4888"/>
    <w:multiLevelType w:val="hybridMultilevel"/>
    <w:tmpl w:val="B1B272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409308C"/>
    <w:multiLevelType w:val="hybridMultilevel"/>
    <w:tmpl w:val="CE8A3D3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435470B"/>
    <w:multiLevelType w:val="hybridMultilevel"/>
    <w:tmpl w:val="5EB227A0"/>
    <w:lvl w:ilvl="0" w:tplc="B01CADF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5E5126E5"/>
    <w:multiLevelType w:val="hybridMultilevel"/>
    <w:tmpl w:val="94F4E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E9A012F"/>
    <w:multiLevelType w:val="hybridMultilevel"/>
    <w:tmpl w:val="406CC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23849D4"/>
    <w:multiLevelType w:val="hybridMultilevel"/>
    <w:tmpl w:val="7B90B9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7CB2532"/>
    <w:multiLevelType w:val="hybridMultilevel"/>
    <w:tmpl w:val="671E58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7D6002"/>
    <w:multiLevelType w:val="hybridMultilevel"/>
    <w:tmpl w:val="7048F6A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74D61919"/>
    <w:multiLevelType w:val="hybridMultilevel"/>
    <w:tmpl w:val="0AA4A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981DC7"/>
    <w:multiLevelType w:val="hybridMultilevel"/>
    <w:tmpl w:val="EF90E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CDA35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7969562">
    <w:abstractNumId w:val="7"/>
  </w:num>
  <w:num w:numId="2" w16cid:durableId="1017581075">
    <w:abstractNumId w:val="37"/>
  </w:num>
  <w:num w:numId="3" w16cid:durableId="1944923855">
    <w:abstractNumId w:val="45"/>
  </w:num>
  <w:num w:numId="4" w16cid:durableId="1575385819">
    <w:abstractNumId w:val="9"/>
  </w:num>
  <w:num w:numId="5" w16cid:durableId="1981686433">
    <w:abstractNumId w:val="9"/>
    <w:lvlOverride w:ilvl="0">
      <w:startOverride w:val="1"/>
    </w:lvlOverride>
  </w:num>
  <w:num w:numId="6" w16cid:durableId="332538342">
    <w:abstractNumId w:val="13"/>
  </w:num>
  <w:num w:numId="7" w16cid:durableId="235558483">
    <w:abstractNumId w:val="30"/>
  </w:num>
  <w:num w:numId="8" w16cid:durableId="761145064">
    <w:abstractNumId w:val="44"/>
  </w:num>
  <w:num w:numId="9" w16cid:durableId="2081095885">
    <w:abstractNumId w:val="5"/>
  </w:num>
  <w:num w:numId="10" w16cid:durableId="1892961228">
    <w:abstractNumId w:val="4"/>
  </w:num>
  <w:num w:numId="11" w16cid:durableId="860973680">
    <w:abstractNumId w:val="3"/>
  </w:num>
  <w:num w:numId="12" w16cid:durableId="1042244436">
    <w:abstractNumId w:val="2"/>
  </w:num>
  <w:num w:numId="13" w16cid:durableId="1304970786">
    <w:abstractNumId w:val="6"/>
  </w:num>
  <w:num w:numId="14" w16cid:durableId="508761068">
    <w:abstractNumId w:val="1"/>
  </w:num>
  <w:num w:numId="15" w16cid:durableId="872308914">
    <w:abstractNumId w:val="0"/>
  </w:num>
  <w:num w:numId="16" w16cid:durableId="1358652636">
    <w:abstractNumId w:val="50"/>
  </w:num>
  <w:num w:numId="17" w16cid:durableId="910309130">
    <w:abstractNumId w:val="14"/>
  </w:num>
  <w:num w:numId="18" w16cid:durableId="2009553892">
    <w:abstractNumId w:val="17"/>
  </w:num>
  <w:num w:numId="19" w16cid:durableId="243229283">
    <w:abstractNumId w:val="25"/>
  </w:num>
  <w:num w:numId="20" w16cid:durableId="1737967770">
    <w:abstractNumId w:val="14"/>
  </w:num>
  <w:num w:numId="21" w16cid:durableId="94402195">
    <w:abstractNumId w:val="25"/>
  </w:num>
  <w:num w:numId="22" w16cid:durableId="1323392297">
    <w:abstractNumId w:val="50"/>
  </w:num>
  <w:num w:numId="23" w16cid:durableId="522868955">
    <w:abstractNumId w:val="37"/>
  </w:num>
  <w:num w:numId="24" w16cid:durableId="1015809790">
    <w:abstractNumId w:val="45"/>
  </w:num>
  <w:num w:numId="25" w16cid:durableId="1964118673">
    <w:abstractNumId w:val="9"/>
  </w:num>
  <w:num w:numId="26" w16cid:durableId="427238284">
    <w:abstractNumId w:val="35"/>
  </w:num>
  <w:num w:numId="27" w16cid:durableId="1312296640">
    <w:abstractNumId w:val="39"/>
  </w:num>
  <w:num w:numId="28" w16cid:durableId="395124713">
    <w:abstractNumId w:val="16"/>
  </w:num>
  <w:num w:numId="29" w16cid:durableId="183985867">
    <w:abstractNumId w:val="32"/>
  </w:num>
  <w:num w:numId="30" w16cid:durableId="1966307915">
    <w:abstractNumId w:val="24"/>
  </w:num>
  <w:num w:numId="31" w16cid:durableId="48503856">
    <w:abstractNumId w:val="27"/>
  </w:num>
  <w:num w:numId="32" w16cid:durableId="357894234">
    <w:abstractNumId w:val="8"/>
  </w:num>
  <w:num w:numId="33" w16cid:durableId="44716563">
    <w:abstractNumId w:val="28"/>
  </w:num>
  <w:num w:numId="34" w16cid:durableId="1558590236">
    <w:abstractNumId w:val="22"/>
  </w:num>
  <w:num w:numId="35" w16cid:durableId="1362559059">
    <w:abstractNumId w:val="49"/>
  </w:num>
  <w:num w:numId="36" w16cid:durableId="88046493">
    <w:abstractNumId w:val="15"/>
  </w:num>
  <w:num w:numId="37" w16cid:durableId="1602180398">
    <w:abstractNumId w:val="12"/>
  </w:num>
  <w:num w:numId="38" w16cid:durableId="1547987697">
    <w:abstractNumId w:val="42"/>
  </w:num>
  <w:num w:numId="39" w16cid:durableId="387194531">
    <w:abstractNumId w:val="10"/>
  </w:num>
  <w:num w:numId="40" w16cid:durableId="362557841">
    <w:abstractNumId w:val="33"/>
  </w:num>
  <w:num w:numId="41" w16cid:durableId="1956324270">
    <w:abstractNumId w:val="11"/>
  </w:num>
  <w:num w:numId="42" w16cid:durableId="1729914681">
    <w:abstractNumId w:val="48"/>
  </w:num>
  <w:num w:numId="43" w16cid:durableId="1477380171">
    <w:abstractNumId w:val="21"/>
  </w:num>
  <w:num w:numId="44" w16cid:durableId="1803838084">
    <w:abstractNumId w:val="41"/>
  </w:num>
  <w:num w:numId="45" w16cid:durableId="461465697">
    <w:abstractNumId w:val="18"/>
  </w:num>
  <w:num w:numId="46" w16cid:durableId="2104566210">
    <w:abstractNumId w:val="26"/>
  </w:num>
  <w:num w:numId="47" w16cid:durableId="1959556533">
    <w:abstractNumId w:val="47"/>
  </w:num>
  <w:num w:numId="48" w16cid:durableId="151608180">
    <w:abstractNumId w:val="20"/>
  </w:num>
  <w:num w:numId="49" w16cid:durableId="438260477">
    <w:abstractNumId w:val="38"/>
  </w:num>
  <w:num w:numId="50" w16cid:durableId="321279901">
    <w:abstractNumId w:val="40"/>
  </w:num>
  <w:num w:numId="51" w16cid:durableId="1596935258">
    <w:abstractNumId w:val="19"/>
  </w:num>
  <w:num w:numId="52" w16cid:durableId="987589174">
    <w:abstractNumId w:val="36"/>
  </w:num>
  <w:num w:numId="53" w16cid:durableId="271740441">
    <w:abstractNumId w:val="29"/>
  </w:num>
  <w:num w:numId="54" w16cid:durableId="912812138">
    <w:abstractNumId w:val="31"/>
  </w:num>
  <w:num w:numId="55" w16cid:durableId="1502618628">
    <w:abstractNumId w:val="43"/>
  </w:num>
  <w:num w:numId="56" w16cid:durableId="734936590">
    <w:abstractNumId w:val="34"/>
  </w:num>
  <w:num w:numId="57" w16cid:durableId="1730957057">
    <w:abstractNumId w:val="46"/>
  </w:num>
  <w:num w:numId="58" w16cid:durableId="19739006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1F41"/>
    <w:rsid w:val="00003743"/>
    <w:rsid w:val="000047B4"/>
    <w:rsid w:val="000053E0"/>
    <w:rsid w:val="00005712"/>
    <w:rsid w:val="00007FD8"/>
    <w:rsid w:val="00010AFD"/>
    <w:rsid w:val="000117F8"/>
    <w:rsid w:val="00026139"/>
    <w:rsid w:val="00027071"/>
    <w:rsid w:val="00027601"/>
    <w:rsid w:val="00033321"/>
    <w:rsid w:val="000338E5"/>
    <w:rsid w:val="00033ECC"/>
    <w:rsid w:val="0003422F"/>
    <w:rsid w:val="00043C1B"/>
    <w:rsid w:val="00046FF0"/>
    <w:rsid w:val="00050176"/>
    <w:rsid w:val="00062B65"/>
    <w:rsid w:val="00065ABF"/>
    <w:rsid w:val="00067456"/>
    <w:rsid w:val="00071506"/>
    <w:rsid w:val="0007154F"/>
    <w:rsid w:val="000765F2"/>
    <w:rsid w:val="00081AB1"/>
    <w:rsid w:val="00090316"/>
    <w:rsid w:val="00093981"/>
    <w:rsid w:val="00093CD9"/>
    <w:rsid w:val="000A21AA"/>
    <w:rsid w:val="000A4320"/>
    <w:rsid w:val="000A5829"/>
    <w:rsid w:val="000B067A"/>
    <w:rsid w:val="000B1540"/>
    <w:rsid w:val="000B33FD"/>
    <w:rsid w:val="000B4ABA"/>
    <w:rsid w:val="000C06AA"/>
    <w:rsid w:val="000C4B16"/>
    <w:rsid w:val="000C50C3"/>
    <w:rsid w:val="000D21F6"/>
    <w:rsid w:val="000D2F37"/>
    <w:rsid w:val="000D42C3"/>
    <w:rsid w:val="000D4500"/>
    <w:rsid w:val="000D7AEA"/>
    <w:rsid w:val="000E01A9"/>
    <w:rsid w:val="000E2C66"/>
    <w:rsid w:val="000E3094"/>
    <w:rsid w:val="000E6E7D"/>
    <w:rsid w:val="000F123C"/>
    <w:rsid w:val="000F2676"/>
    <w:rsid w:val="000F2FED"/>
    <w:rsid w:val="00102901"/>
    <w:rsid w:val="0010616D"/>
    <w:rsid w:val="00110478"/>
    <w:rsid w:val="00113899"/>
    <w:rsid w:val="0011711B"/>
    <w:rsid w:val="00117F8A"/>
    <w:rsid w:val="0012166A"/>
    <w:rsid w:val="00121B9B"/>
    <w:rsid w:val="00122ADC"/>
    <w:rsid w:val="00124DBF"/>
    <w:rsid w:val="00130F59"/>
    <w:rsid w:val="00133EC0"/>
    <w:rsid w:val="00136779"/>
    <w:rsid w:val="00136A4C"/>
    <w:rsid w:val="00141CE5"/>
    <w:rsid w:val="00144908"/>
    <w:rsid w:val="001521DB"/>
    <w:rsid w:val="001571C7"/>
    <w:rsid w:val="00161094"/>
    <w:rsid w:val="00163921"/>
    <w:rsid w:val="00165FA7"/>
    <w:rsid w:val="00172A55"/>
    <w:rsid w:val="001758CD"/>
    <w:rsid w:val="0017665C"/>
    <w:rsid w:val="001777FB"/>
    <w:rsid w:val="00177AD2"/>
    <w:rsid w:val="001810F2"/>
    <w:rsid w:val="001815A8"/>
    <w:rsid w:val="001840FA"/>
    <w:rsid w:val="00190079"/>
    <w:rsid w:val="0019622E"/>
    <w:rsid w:val="001966A7"/>
    <w:rsid w:val="001A4627"/>
    <w:rsid w:val="001A4979"/>
    <w:rsid w:val="001B15D3"/>
    <w:rsid w:val="001B3443"/>
    <w:rsid w:val="001B4EF1"/>
    <w:rsid w:val="001C0326"/>
    <w:rsid w:val="001C192F"/>
    <w:rsid w:val="001C3C42"/>
    <w:rsid w:val="001C77D1"/>
    <w:rsid w:val="001D4F0D"/>
    <w:rsid w:val="001D7869"/>
    <w:rsid w:val="001E2D5E"/>
    <w:rsid w:val="001E3DED"/>
    <w:rsid w:val="001F2590"/>
    <w:rsid w:val="001F2F78"/>
    <w:rsid w:val="001F7E7E"/>
    <w:rsid w:val="00200AFC"/>
    <w:rsid w:val="002026CD"/>
    <w:rsid w:val="002026FB"/>
    <w:rsid w:val="002033FC"/>
    <w:rsid w:val="002044BB"/>
    <w:rsid w:val="00204F82"/>
    <w:rsid w:val="00210B09"/>
    <w:rsid w:val="00210C9E"/>
    <w:rsid w:val="00211840"/>
    <w:rsid w:val="0022041A"/>
    <w:rsid w:val="00220E5F"/>
    <w:rsid w:val="002212B5"/>
    <w:rsid w:val="00226668"/>
    <w:rsid w:val="00233809"/>
    <w:rsid w:val="00240046"/>
    <w:rsid w:val="00243758"/>
    <w:rsid w:val="0024797F"/>
    <w:rsid w:val="0025119E"/>
    <w:rsid w:val="00251269"/>
    <w:rsid w:val="002535C0"/>
    <w:rsid w:val="002579FE"/>
    <w:rsid w:val="00261B1B"/>
    <w:rsid w:val="0026311C"/>
    <w:rsid w:val="0026668C"/>
    <w:rsid w:val="00266AC1"/>
    <w:rsid w:val="0027178C"/>
    <w:rsid w:val="002719FA"/>
    <w:rsid w:val="00272668"/>
    <w:rsid w:val="0027330B"/>
    <w:rsid w:val="002803AD"/>
    <w:rsid w:val="00282052"/>
    <w:rsid w:val="00282218"/>
    <w:rsid w:val="0028519E"/>
    <w:rsid w:val="002856A5"/>
    <w:rsid w:val="002872ED"/>
    <w:rsid w:val="002876D9"/>
    <w:rsid w:val="002905C2"/>
    <w:rsid w:val="00292EA4"/>
    <w:rsid w:val="00295AF2"/>
    <w:rsid w:val="00295C91"/>
    <w:rsid w:val="00297151"/>
    <w:rsid w:val="002A0910"/>
    <w:rsid w:val="002A60C2"/>
    <w:rsid w:val="002A76F1"/>
    <w:rsid w:val="002B20E6"/>
    <w:rsid w:val="002B42A3"/>
    <w:rsid w:val="002C0CDD"/>
    <w:rsid w:val="002E1A1D"/>
    <w:rsid w:val="002E4081"/>
    <w:rsid w:val="002E5B78"/>
    <w:rsid w:val="002F3AE3"/>
    <w:rsid w:val="0030464B"/>
    <w:rsid w:val="00305E27"/>
    <w:rsid w:val="0030786C"/>
    <w:rsid w:val="003233DE"/>
    <w:rsid w:val="0032466B"/>
    <w:rsid w:val="00327B44"/>
    <w:rsid w:val="00331341"/>
    <w:rsid w:val="00332BFC"/>
    <w:rsid w:val="003330EB"/>
    <w:rsid w:val="003339CE"/>
    <w:rsid w:val="00336605"/>
    <w:rsid w:val="003415FD"/>
    <w:rsid w:val="003429F0"/>
    <w:rsid w:val="003468A8"/>
    <w:rsid w:val="003502CA"/>
    <w:rsid w:val="0035097A"/>
    <w:rsid w:val="003540A4"/>
    <w:rsid w:val="00360E4E"/>
    <w:rsid w:val="00363849"/>
    <w:rsid w:val="00370AAA"/>
    <w:rsid w:val="003745A7"/>
    <w:rsid w:val="00375F77"/>
    <w:rsid w:val="00377A78"/>
    <w:rsid w:val="003800FF"/>
    <w:rsid w:val="0038053C"/>
    <w:rsid w:val="00381BBE"/>
    <w:rsid w:val="0038265D"/>
    <w:rsid w:val="00382903"/>
    <w:rsid w:val="003846FF"/>
    <w:rsid w:val="003859FB"/>
    <w:rsid w:val="00385AD4"/>
    <w:rsid w:val="00387924"/>
    <w:rsid w:val="0039384D"/>
    <w:rsid w:val="00395C23"/>
    <w:rsid w:val="003A1638"/>
    <w:rsid w:val="003A2E4F"/>
    <w:rsid w:val="003A4438"/>
    <w:rsid w:val="003A5013"/>
    <w:rsid w:val="003A5078"/>
    <w:rsid w:val="003A62DD"/>
    <w:rsid w:val="003A775A"/>
    <w:rsid w:val="003B0DAB"/>
    <w:rsid w:val="003B213A"/>
    <w:rsid w:val="003B2F7D"/>
    <w:rsid w:val="003B43AD"/>
    <w:rsid w:val="003C0FEC"/>
    <w:rsid w:val="003C1498"/>
    <w:rsid w:val="003C15B8"/>
    <w:rsid w:val="003C2AC8"/>
    <w:rsid w:val="003C32AD"/>
    <w:rsid w:val="003C46A6"/>
    <w:rsid w:val="003C59F3"/>
    <w:rsid w:val="003C640D"/>
    <w:rsid w:val="003D17F9"/>
    <w:rsid w:val="003D28BB"/>
    <w:rsid w:val="003D29D0"/>
    <w:rsid w:val="003D2D88"/>
    <w:rsid w:val="003D41EA"/>
    <w:rsid w:val="003D4850"/>
    <w:rsid w:val="003D535A"/>
    <w:rsid w:val="003E1A26"/>
    <w:rsid w:val="003E42CC"/>
    <w:rsid w:val="003E5265"/>
    <w:rsid w:val="003E6A6E"/>
    <w:rsid w:val="003F0955"/>
    <w:rsid w:val="003F6FE1"/>
    <w:rsid w:val="003F7050"/>
    <w:rsid w:val="00400F00"/>
    <w:rsid w:val="00404705"/>
    <w:rsid w:val="00404F8B"/>
    <w:rsid w:val="00405256"/>
    <w:rsid w:val="00407605"/>
    <w:rsid w:val="00410031"/>
    <w:rsid w:val="004115A2"/>
    <w:rsid w:val="00415C81"/>
    <w:rsid w:val="00416731"/>
    <w:rsid w:val="00430429"/>
    <w:rsid w:val="00432378"/>
    <w:rsid w:val="00432B14"/>
    <w:rsid w:val="00434E1B"/>
    <w:rsid w:val="00440C7F"/>
    <w:rsid w:val="00440D65"/>
    <w:rsid w:val="004435E6"/>
    <w:rsid w:val="00447E31"/>
    <w:rsid w:val="00453923"/>
    <w:rsid w:val="00454B9B"/>
    <w:rsid w:val="00457858"/>
    <w:rsid w:val="004607B9"/>
    <w:rsid w:val="00460B0B"/>
    <w:rsid w:val="00461023"/>
    <w:rsid w:val="00462FAC"/>
    <w:rsid w:val="00464631"/>
    <w:rsid w:val="00464B79"/>
    <w:rsid w:val="00467BBF"/>
    <w:rsid w:val="00467F4B"/>
    <w:rsid w:val="00473C6C"/>
    <w:rsid w:val="0047468C"/>
    <w:rsid w:val="00485A4C"/>
    <w:rsid w:val="004867E2"/>
    <w:rsid w:val="0049055B"/>
    <w:rsid w:val="004929A9"/>
    <w:rsid w:val="00495734"/>
    <w:rsid w:val="004B21EA"/>
    <w:rsid w:val="004B2E6B"/>
    <w:rsid w:val="004B62FF"/>
    <w:rsid w:val="004C0046"/>
    <w:rsid w:val="004C2FEC"/>
    <w:rsid w:val="004C6BCF"/>
    <w:rsid w:val="004D2E05"/>
    <w:rsid w:val="004D58BF"/>
    <w:rsid w:val="004E4335"/>
    <w:rsid w:val="004E5ACF"/>
    <w:rsid w:val="004E753C"/>
    <w:rsid w:val="004F0375"/>
    <w:rsid w:val="004F13EE"/>
    <w:rsid w:val="004F2022"/>
    <w:rsid w:val="004F7C05"/>
    <w:rsid w:val="00501C94"/>
    <w:rsid w:val="00502B58"/>
    <w:rsid w:val="00506432"/>
    <w:rsid w:val="00507FF5"/>
    <w:rsid w:val="0051242B"/>
    <w:rsid w:val="005127F6"/>
    <w:rsid w:val="0052051D"/>
    <w:rsid w:val="0054578F"/>
    <w:rsid w:val="00545EE6"/>
    <w:rsid w:val="00546567"/>
    <w:rsid w:val="00552444"/>
    <w:rsid w:val="005550E7"/>
    <w:rsid w:val="005564FB"/>
    <w:rsid w:val="005571FC"/>
    <w:rsid w:val="005572C7"/>
    <w:rsid w:val="005650ED"/>
    <w:rsid w:val="00565B3E"/>
    <w:rsid w:val="00575754"/>
    <w:rsid w:val="00577FD8"/>
    <w:rsid w:val="005825A7"/>
    <w:rsid w:val="00591E20"/>
    <w:rsid w:val="00595408"/>
    <w:rsid w:val="00595E84"/>
    <w:rsid w:val="00597D79"/>
    <w:rsid w:val="005A0C59"/>
    <w:rsid w:val="005A3C8C"/>
    <w:rsid w:val="005A48EB"/>
    <w:rsid w:val="005A6CFB"/>
    <w:rsid w:val="005B45D8"/>
    <w:rsid w:val="005C5AEB"/>
    <w:rsid w:val="005D7957"/>
    <w:rsid w:val="005E0A3F"/>
    <w:rsid w:val="005E1E77"/>
    <w:rsid w:val="005E6883"/>
    <w:rsid w:val="005E68CE"/>
    <w:rsid w:val="005E772F"/>
    <w:rsid w:val="005F279E"/>
    <w:rsid w:val="005F4ECA"/>
    <w:rsid w:val="006041BE"/>
    <w:rsid w:val="006043C7"/>
    <w:rsid w:val="006102AB"/>
    <w:rsid w:val="00615130"/>
    <w:rsid w:val="00615411"/>
    <w:rsid w:val="00621D86"/>
    <w:rsid w:val="00624B52"/>
    <w:rsid w:val="0062645F"/>
    <w:rsid w:val="0062718F"/>
    <w:rsid w:val="0063198A"/>
    <w:rsid w:val="00631DF4"/>
    <w:rsid w:val="00632069"/>
    <w:rsid w:val="00632607"/>
    <w:rsid w:val="00632DC4"/>
    <w:rsid w:val="00634175"/>
    <w:rsid w:val="006408AC"/>
    <w:rsid w:val="006511B6"/>
    <w:rsid w:val="00651683"/>
    <w:rsid w:val="00652742"/>
    <w:rsid w:val="00656D63"/>
    <w:rsid w:val="00657FF8"/>
    <w:rsid w:val="00670D99"/>
    <w:rsid w:val="00670E2B"/>
    <w:rsid w:val="00672743"/>
    <w:rsid w:val="006734BB"/>
    <w:rsid w:val="00681A34"/>
    <w:rsid w:val="0068201B"/>
    <w:rsid w:val="006821EB"/>
    <w:rsid w:val="0068264E"/>
    <w:rsid w:val="00690562"/>
    <w:rsid w:val="00692EFD"/>
    <w:rsid w:val="006963F7"/>
    <w:rsid w:val="006A344F"/>
    <w:rsid w:val="006A43F6"/>
    <w:rsid w:val="006B2286"/>
    <w:rsid w:val="006B56BB"/>
    <w:rsid w:val="006C1A0C"/>
    <w:rsid w:val="006C4D51"/>
    <w:rsid w:val="006C77A8"/>
    <w:rsid w:val="006D4098"/>
    <w:rsid w:val="006D7681"/>
    <w:rsid w:val="006D7B2E"/>
    <w:rsid w:val="006E02EA"/>
    <w:rsid w:val="006E0968"/>
    <w:rsid w:val="006E2AF6"/>
    <w:rsid w:val="00701275"/>
    <w:rsid w:val="007018FF"/>
    <w:rsid w:val="00706116"/>
    <w:rsid w:val="00707F56"/>
    <w:rsid w:val="00713558"/>
    <w:rsid w:val="00720D08"/>
    <w:rsid w:val="007221A9"/>
    <w:rsid w:val="00722719"/>
    <w:rsid w:val="00723954"/>
    <w:rsid w:val="007263B9"/>
    <w:rsid w:val="00731856"/>
    <w:rsid w:val="00732A73"/>
    <w:rsid w:val="007334F8"/>
    <w:rsid w:val="007339CD"/>
    <w:rsid w:val="007359D8"/>
    <w:rsid w:val="007362D4"/>
    <w:rsid w:val="00743458"/>
    <w:rsid w:val="0074575F"/>
    <w:rsid w:val="00751A23"/>
    <w:rsid w:val="007559EC"/>
    <w:rsid w:val="00763A30"/>
    <w:rsid w:val="00764F0E"/>
    <w:rsid w:val="0076672A"/>
    <w:rsid w:val="00775E45"/>
    <w:rsid w:val="00776E74"/>
    <w:rsid w:val="00785169"/>
    <w:rsid w:val="007954AB"/>
    <w:rsid w:val="007A14C5"/>
    <w:rsid w:val="007A3E38"/>
    <w:rsid w:val="007A4A10"/>
    <w:rsid w:val="007B1135"/>
    <w:rsid w:val="007B1760"/>
    <w:rsid w:val="007B3D03"/>
    <w:rsid w:val="007B6A0B"/>
    <w:rsid w:val="007C1FFF"/>
    <w:rsid w:val="007C2354"/>
    <w:rsid w:val="007C2C1B"/>
    <w:rsid w:val="007C6D9C"/>
    <w:rsid w:val="007C6DF7"/>
    <w:rsid w:val="007C7DDB"/>
    <w:rsid w:val="007D2CC7"/>
    <w:rsid w:val="007D673D"/>
    <w:rsid w:val="007D6BEC"/>
    <w:rsid w:val="007F2220"/>
    <w:rsid w:val="007F4B3E"/>
    <w:rsid w:val="007F588A"/>
    <w:rsid w:val="00806459"/>
    <w:rsid w:val="00812241"/>
    <w:rsid w:val="008127AF"/>
    <w:rsid w:val="00812B46"/>
    <w:rsid w:val="008143EC"/>
    <w:rsid w:val="00815700"/>
    <w:rsid w:val="00817B70"/>
    <w:rsid w:val="00820D09"/>
    <w:rsid w:val="00823F92"/>
    <w:rsid w:val="008264EB"/>
    <w:rsid w:val="00826B8F"/>
    <w:rsid w:val="0083078F"/>
    <w:rsid w:val="00831E8A"/>
    <w:rsid w:val="00835C76"/>
    <w:rsid w:val="00843049"/>
    <w:rsid w:val="008477A9"/>
    <w:rsid w:val="0085209B"/>
    <w:rsid w:val="00856B66"/>
    <w:rsid w:val="00861A5F"/>
    <w:rsid w:val="008644AD"/>
    <w:rsid w:val="008653AD"/>
    <w:rsid w:val="00865735"/>
    <w:rsid w:val="00865DDB"/>
    <w:rsid w:val="0086601E"/>
    <w:rsid w:val="00867538"/>
    <w:rsid w:val="008718A1"/>
    <w:rsid w:val="00873D90"/>
    <w:rsid w:val="00873FC8"/>
    <w:rsid w:val="00874E9F"/>
    <w:rsid w:val="0087718D"/>
    <w:rsid w:val="00882659"/>
    <w:rsid w:val="0088469C"/>
    <w:rsid w:val="00884C63"/>
    <w:rsid w:val="00885908"/>
    <w:rsid w:val="008864B7"/>
    <w:rsid w:val="008869C7"/>
    <w:rsid w:val="0089677E"/>
    <w:rsid w:val="00896E8C"/>
    <w:rsid w:val="008A0AF8"/>
    <w:rsid w:val="008A47BD"/>
    <w:rsid w:val="008A7438"/>
    <w:rsid w:val="008A7BDF"/>
    <w:rsid w:val="008B1334"/>
    <w:rsid w:val="008C0278"/>
    <w:rsid w:val="008C2453"/>
    <w:rsid w:val="008C24E9"/>
    <w:rsid w:val="008C7A71"/>
    <w:rsid w:val="008D0533"/>
    <w:rsid w:val="008D1ED3"/>
    <w:rsid w:val="008D4041"/>
    <w:rsid w:val="008D42CB"/>
    <w:rsid w:val="008D48C9"/>
    <w:rsid w:val="008D5B79"/>
    <w:rsid w:val="008D6381"/>
    <w:rsid w:val="008D6EC1"/>
    <w:rsid w:val="008E0C77"/>
    <w:rsid w:val="008E625F"/>
    <w:rsid w:val="008F1FC8"/>
    <w:rsid w:val="008F264D"/>
    <w:rsid w:val="009005B4"/>
    <w:rsid w:val="00901590"/>
    <w:rsid w:val="00905994"/>
    <w:rsid w:val="009074E1"/>
    <w:rsid w:val="009112F7"/>
    <w:rsid w:val="009122AF"/>
    <w:rsid w:val="009127BC"/>
    <w:rsid w:val="00912D54"/>
    <w:rsid w:val="0091389F"/>
    <w:rsid w:val="009208F7"/>
    <w:rsid w:val="00922517"/>
    <w:rsid w:val="00922722"/>
    <w:rsid w:val="009261E6"/>
    <w:rsid w:val="009268E1"/>
    <w:rsid w:val="0093257D"/>
    <w:rsid w:val="00934368"/>
    <w:rsid w:val="009442EB"/>
    <w:rsid w:val="00945E7F"/>
    <w:rsid w:val="00952C19"/>
    <w:rsid w:val="00954E8B"/>
    <w:rsid w:val="009557C1"/>
    <w:rsid w:val="00960D6E"/>
    <w:rsid w:val="00966006"/>
    <w:rsid w:val="00971192"/>
    <w:rsid w:val="00972049"/>
    <w:rsid w:val="00972BC1"/>
    <w:rsid w:val="00974B59"/>
    <w:rsid w:val="0098340B"/>
    <w:rsid w:val="00984064"/>
    <w:rsid w:val="00986830"/>
    <w:rsid w:val="009924C3"/>
    <w:rsid w:val="00992516"/>
    <w:rsid w:val="00993102"/>
    <w:rsid w:val="00996AAF"/>
    <w:rsid w:val="009A25A0"/>
    <w:rsid w:val="009C022E"/>
    <w:rsid w:val="009C4A39"/>
    <w:rsid w:val="009C6F10"/>
    <w:rsid w:val="009D148F"/>
    <w:rsid w:val="009D3D70"/>
    <w:rsid w:val="009E6F7E"/>
    <w:rsid w:val="009E7A57"/>
    <w:rsid w:val="009F1388"/>
    <w:rsid w:val="009F215F"/>
    <w:rsid w:val="009F44C2"/>
    <w:rsid w:val="009F4F6A"/>
    <w:rsid w:val="009F604B"/>
    <w:rsid w:val="00A04084"/>
    <w:rsid w:val="00A05CD4"/>
    <w:rsid w:val="00A16E36"/>
    <w:rsid w:val="00A24961"/>
    <w:rsid w:val="00A24B10"/>
    <w:rsid w:val="00A30E9B"/>
    <w:rsid w:val="00A3551A"/>
    <w:rsid w:val="00A426CD"/>
    <w:rsid w:val="00A4512D"/>
    <w:rsid w:val="00A50244"/>
    <w:rsid w:val="00A56F17"/>
    <w:rsid w:val="00A627D7"/>
    <w:rsid w:val="00A656C7"/>
    <w:rsid w:val="00A705AF"/>
    <w:rsid w:val="00A72454"/>
    <w:rsid w:val="00A74345"/>
    <w:rsid w:val="00A77696"/>
    <w:rsid w:val="00A80557"/>
    <w:rsid w:val="00A81D33"/>
    <w:rsid w:val="00A82D1B"/>
    <w:rsid w:val="00A930AE"/>
    <w:rsid w:val="00A95C62"/>
    <w:rsid w:val="00AA1A95"/>
    <w:rsid w:val="00AA260F"/>
    <w:rsid w:val="00AB1EE7"/>
    <w:rsid w:val="00AB4B37"/>
    <w:rsid w:val="00AB5762"/>
    <w:rsid w:val="00AB794F"/>
    <w:rsid w:val="00AC2451"/>
    <w:rsid w:val="00AC2679"/>
    <w:rsid w:val="00AC4BE4"/>
    <w:rsid w:val="00AC666E"/>
    <w:rsid w:val="00AC6BF9"/>
    <w:rsid w:val="00AD05E6"/>
    <w:rsid w:val="00AD0D3F"/>
    <w:rsid w:val="00AD1C5A"/>
    <w:rsid w:val="00AD69DC"/>
    <w:rsid w:val="00AE1D7D"/>
    <w:rsid w:val="00AE2A8B"/>
    <w:rsid w:val="00AE3F64"/>
    <w:rsid w:val="00AF2196"/>
    <w:rsid w:val="00AF3BA9"/>
    <w:rsid w:val="00AF4419"/>
    <w:rsid w:val="00AF7386"/>
    <w:rsid w:val="00AF7934"/>
    <w:rsid w:val="00B00B81"/>
    <w:rsid w:val="00B04580"/>
    <w:rsid w:val="00B04B09"/>
    <w:rsid w:val="00B1361E"/>
    <w:rsid w:val="00B161A4"/>
    <w:rsid w:val="00B16A51"/>
    <w:rsid w:val="00B25440"/>
    <w:rsid w:val="00B32222"/>
    <w:rsid w:val="00B3618D"/>
    <w:rsid w:val="00B36233"/>
    <w:rsid w:val="00B3650E"/>
    <w:rsid w:val="00B42851"/>
    <w:rsid w:val="00B45AC7"/>
    <w:rsid w:val="00B5372F"/>
    <w:rsid w:val="00B575C4"/>
    <w:rsid w:val="00B61129"/>
    <w:rsid w:val="00B62AB7"/>
    <w:rsid w:val="00B65170"/>
    <w:rsid w:val="00B67E7F"/>
    <w:rsid w:val="00B733A0"/>
    <w:rsid w:val="00B75A04"/>
    <w:rsid w:val="00B839B2"/>
    <w:rsid w:val="00B86D2D"/>
    <w:rsid w:val="00B9077D"/>
    <w:rsid w:val="00B94252"/>
    <w:rsid w:val="00B9715A"/>
    <w:rsid w:val="00BA1175"/>
    <w:rsid w:val="00BA14BE"/>
    <w:rsid w:val="00BA2732"/>
    <w:rsid w:val="00BA293D"/>
    <w:rsid w:val="00BA49BC"/>
    <w:rsid w:val="00BA56B7"/>
    <w:rsid w:val="00BA7A1E"/>
    <w:rsid w:val="00BA7CA9"/>
    <w:rsid w:val="00BB114C"/>
    <w:rsid w:val="00BB2F6C"/>
    <w:rsid w:val="00BB2FD2"/>
    <w:rsid w:val="00BB3875"/>
    <w:rsid w:val="00BB5860"/>
    <w:rsid w:val="00BB6AAD"/>
    <w:rsid w:val="00BC028B"/>
    <w:rsid w:val="00BC2645"/>
    <w:rsid w:val="00BC4A19"/>
    <w:rsid w:val="00BC4E6D"/>
    <w:rsid w:val="00BD0617"/>
    <w:rsid w:val="00BD2E9B"/>
    <w:rsid w:val="00BE377A"/>
    <w:rsid w:val="00BF7AD7"/>
    <w:rsid w:val="00C00930"/>
    <w:rsid w:val="00C060AD"/>
    <w:rsid w:val="00C0670D"/>
    <w:rsid w:val="00C113BF"/>
    <w:rsid w:val="00C14C46"/>
    <w:rsid w:val="00C2176E"/>
    <w:rsid w:val="00C23430"/>
    <w:rsid w:val="00C26CE0"/>
    <w:rsid w:val="00C270E4"/>
    <w:rsid w:val="00C27D67"/>
    <w:rsid w:val="00C462F0"/>
    <w:rsid w:val="00C4631F"/>
    <w:rsid w:val="00C50E16"/>
    <w:rsid w:val="00C55258"/>
    <w:rsid w:val="00C63C52"/>
    <w:rsid w:val="00C65CA7"/>
    <w:rsid w:val="00C71042"/>
    <w:rsid w:val="00C76D0F"/>
    <w:rsid w:val="00C82EEB"/>
    <w:rsid w:val="00C929D7"/>
    <w:rsid w:val="00C971DC"/>
    <w:rsid w:val="00CA16B7"/>
    <w:rsid w:val="00CA352C"/>
    <w:rsid w:val="00CA4BE3"/>
    <w:rsid w:val="00CA62AE"/>
    <w:rsid w:val="00CB042C"/>
    <w:rsid w:val="00CB5B1A"/>
    <w:rsid w:val="00CC220B"/>
    <w:rsid w:val="00CC5C43"/>
    <w:rsid w:val="00CC7FAC"/>
    <w:rsid w:val="00CD02AE"/>
    <w:rsid w:val="00CD1CB4"/>
    <w:rsid w:val="00CD2A4F"/>
    <w:rsid w:val="00CD30EF"/>
    <w:rsid w:val="00CE03CA"/>
    <w:rsid w:val="00CE22F1"/>
    <w:rsid w:val="00CE50F2"/>
    <w:rsid w:val="00CE6502"/>
    <w:rsid w:val="00CF7D3C"/>
    <w:rsid w:val="00D03933"/>
    <w:rsid w:val="00D147EB"/>
    <w:rsid w:val="00D2367E"/>
    <w:rsid w:val="00D34667"/>
    <w:rsid w:val="00D401E1"/>
    <w:rsid w:val="00D408B4"/>
    <w:rsid w:val="00D423B1"/>
    <w:rsid w:val="00D45D94"/>
    <w:rsid w:val="00D524C8"/>
    <w:rsid w:val="00D5286A"/>
    <w:rsid w:val="00D56451"/>
    <w:rsid w:val="00D60E25"/>
    <w:rsid w:val="00D6376B"/>
    <w:rsid w:val="00D70E24"/>
    <w:rsid w:val="00D72B61"/>
    <w:rsid w:val="00DA3D1D"/>
    <w:rsid w:val="00DB0138"/>
    <w:rsid w:val="00DB6286"/>
    <w:rsid w:val="00DB645F"/>
    <w:rsid w:val="00DB76E9"/>
    <w:rsid w:val="00DC0A67"/>
    <w:rsid w:val="00DC1D5E"/>
    <w:rsid w:val="00DC2313"/>
    <w:rsid w:val="00DC5220"/>
    <w:rsid w:val="00DC68E3"/>
    <w:rsid w:val="00DC6E47"/>
    <w:rsid w:val="00DC7910"/>
    <w:rsid w:val="00DD1B3D"/>
    <w:rsid w:val="00DD2061"/>
    <w:rsid w:val="00DD47DE"/>
    <w:rsid w:val="00DD7DAB"/>
    <w:rsid w:val="00DE0DED"/>
    <w:rsid w:val="00DE3355"/>
    <w:rsid w:val="00DF486F"/>
    <w:rsid w:val="00DF531C"/>
    <w:rsid w:val="00DF5B5B"/>
    <w:rsid w:val="00DF6958"/>
    <w:rsid w:val="00DF7619"/>
    <w:rsid w:val="00E01FB4"/>
    <w:rsid w:val="00E021E7"/>
    <w:rsid w:val="00E042D8"/>
    <w:rsid w:val="00E07EE7"/>
    <w:rsid w:val="00E1084C"/>
    <w:rsid w:val="00E1103B"/>
    <w:rsid w:val="00E17B44"/>
    <w:rsid w:val="00E23647"/>
    <w:rsid w:val="00E25754"/>
    <w:rsid w:val="00E27FEA"/>
    <w:rsid w:val="00E33597"/>
    <w:rsid w:val="00E4086F"/>
    <w:rsid w:val="00E43B3C"/>
    <w:rsid w:val="00E50188"/>
    <w:rsid w:val="00E515CB"/>
    <w:rsid w:val="00E52260"/>
    <w:rsid w:val="00E639B6"/>
    <w:rsid w:val="00E6434B"/>
    <w:rsid w:val="00E6463D"/>
    <w:rsid w:val="00E72E9B"/>
    <w:rsid w:val="00E7740C"/>
    <w:rsid w:val="00E849DA"/>
    <w:rsid w:val="00E9462E"/>
    <w:rsid w:val="00EA470E"/>
    <w:rsid w:val="00EA47A7"/>
    <w:rsid w:val="00EA57EB"/>
    <w:rsid w:val="00EB3012"/>
    <w:rsid w:val="00EB3226"/>
    <w:rsid w:val="00EC0FE0"/>
    <w:rsid w:val="00EC213A"/>
    <w:rsid w:val="00EC38B4"/>
    <w:rsid w:val="00EC6603"/>
    <w:rsid w:val="00EC7644"/>
    <w:rsid w:val="00EC7744"/>
    <w:rsid w:val="00ED0DAD"/>
    <w:rsid w:val="00ED0F46"/>
    <w:rsid w:val="00ED2373"/>
    <w:rsid w:val="00ED3F37"/>
    <w:rsid w:val="00ED4A19"/>
    <w:rsid w:val="00EE3E8A"/>
    <w:rsid w:val="00EE49A1"/>
    <w:rsid w:val="00EE630D"/>
    <w:rsid w:val="00EF6ECA"/>
    <w:rsid w:val="00F024E1"/>
    <w:rsid w:val="00F045A8"/>
    <w:rsid w:val="00F049F6"/>
    <w:rsid w:val="00F05980"/>
    <w:rsid w:val="00F06C10"/>
    <w:rsid w:val="00F10010"/>
    <w:rsid w:val="00F1096F"/>
    <w:rsid w:val="00F12589"/>
    <w:rsid w:val="00F12595"/>
    <w:rsid w:val="00F134D9"/>
    <w:rsid w:val="00F1403D"/>
    <w:rsid w:val="00F1463F"/>
    <w:rsid w:val="00F171DF"/>
    <w:rsid w:val="00F21302"/>
    <w:rsid w:val="00F321DE"/>
    <w:rsid w:val="00F33777"/>
    <w:rsid w:val="00F40648"/>
    <w:rsid w:val="00F434E9"/>
    <w:rsid w:val="00F4673F"/>
    <w:rsid w:val="00F47DA2"/>
    <w:rsid w:val="00F519FC"/>
    <w:rsid w:val="00F5547E"/>
    <w:rsid w:val="00F573B2"/>
    <w:rsid w:val="00F6239D"/>
    <w:rsid w:val="00F624DA"/>
    <w:rsid w:val="00F62D8D"/>
    <w:rsid w:val="00F715D2"/>
    <w:rsid w:val="00F721DE"/>
    <w:rsid w:val="00F7274F"/>
    <w:rsid w:val="00F76FA8"/>
    <w:rsid w:val="00F93F08"/>
    <w:rsid w:val="00F949F7"/>
    <w:rsid w:val="00F94CED"/>
    <w:rsid w:val="00FA079F"/>
    <w:rsid w:val="00FA2CEE"/>
    <w:rsid w:val="00FA318C"/>
    <w:rsid w:val="00FA6FFE"/>
    <w:rsid w:val="00FA7B72"/>
    <w:rsid w:val="00FB4BCF"/>
    <w:rsid w:val="00FB50AA"/>
    <w:rsid w:val="00FB6F92"/>
    <w:rsid w:val="00FC026E"/>
    <w:rsid w:val="00FC1308"/>
    <w:rsid w:val="00FC441E"/>
    <w:rsid w:val="00FC50FB"/>
    <w:rsid w:val="00FC5124"/>
    <w:rsid w:val="00FD4731"/>
    <w:rsid w:val="00FD5671"/>
    <w:rsid w:val="00FD61E8"/>
    <w:rsid w:val="00FD6DA9"/>
    <w:rsid w:val="00FE60FF"/>
    <w:rsid w:val="00FF0AB0"/>
    <w:rsid w:val="00FF28AC"/>
    <w:rsid w:val="00FF7F62"/>
    <w:rsid w:val="00FF7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7903A9D7-2953-4011-AE99-A28BC5B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List Paragraph1,Recommendation,List Paragraph11,AR bullet 1,CAB - List Bullet,Bullet point,Bullets,CV text,Dot pt,F5 List Paragraph,FooterText,L,List Paragraph111,List Paragraph2,Medium Grid 1 - Accent 21,NAST Quote,NFP GP Bulleted List,列"/>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ListParagraphChar">
    <w:name w:val="List Paragraph Char"/>
    <w:aliases w:val="List Paragraph1 Char,Recommendation Char,List Paragraph11 Char,AR bullet 1 Char,CAB - List Bullet Char,Bullet point Char,Bullets Char,CV text Char,Dot pt Char,F5 List Paragraph Char,FooterText Char,L Char,List Paragraph111 Char"/>
    <w:link w:val="ListParagraph"/>
    <w:uiPriority w:val="34"/>
    <w:qFormat/>
    <w:locked/>
    <w:rsid w:val="00467F4B"/>
    <w:rPr>
      <w:rFonts w:ascii="Arial" w:hAnsi="Arial"/>
      <w:color w:val="000000" w:themeColor="text1"/>
      <w:sz w:val="22"/>
      <w:szCs w:val="24"/>
      <w:lang w:eastAsia="en-US"/>
    </w:rPr>
  </w:style>
  <w:style w:type="character" w:customStyle="1" w:styleId="Heading1Char">
    <w:name w:val="Heading 1 Char"/>
    <w:basedOn w:val="DefaultParagraphFont"/>
    <w:link w:val="Heading1"/>
    <w:rsid w:val="00B65170"/>
    <w:rPr>
      <w:rFonts w:ascii="Arial" w:hAnsi="Arial" w:cs="Arial"/>
      <w:b/>
      <w:bCs/>
      <w:color w:val="3F4A75"/>
      <w:kern w:val="28"/>
      <w:sz w:val="44"/>
      <w:szCs w:val="36"/>
      <w:lang w:eastAsia="en-US"/>
    </w:rPr>
  </w:style>
  <w:style w:type="character" w:customStyle="1" w:styleId="Heading3Char">
    <w:name w:val="Heading 3 Char"/>
    <w:basedOn w:val="DefaultParagraphFont"/>
    <w:link w:val="Heading3"/>
    <w:rsid w:val="002876D9"/>
    <w:rPr>
      <w:rFonts w:ascii="Arial" w:hAnsi="Arial" w:cs="Arial"/>
      <w:b/>
      <w:bCs/>
      <w:color w:val="358189"/>
      <w:sz w:val="32"/>
      <w:szCs w:val="26"/>
      <w:lang w:eastAsia="en-US"/>
    </w:rPr>
  </w:style>
  <w:style w:type="character" w:styleId="UnresolvedMention">
    <w:name w:val="Unresolved Mention"/>
    <w:basedOn w:val="DefaultParagraphFont"/>
    <w:uiPriority w:val="99"/>
    <w:semiHidden/>
    <w:unhideWhenUsed/>
    <w:rsid w:val="008143EC"/>
    <w:rPr>
      <w:color w:val="605E5C"/>
      <w:shd w:val="clear" w:color="auto" w:fill="E1DFDD"/>
    </w:rPr>
  </w:style>
  <w:style w:type="character" w:styleId="CommentReference">
    <w:name w:val="annotation reference"/>
    <w:basedOn w:val="DefaultParagraphFont"/>
    <w:semiHidden/>
    <w:unhideWhenUsed/>
    <w:rsid w:val="00690562"/>
    <w:rPr>
      <w:sz w:val="16"/>
      <w:szCs w:val="16"/>
    </w:rPr>
  </w:style>
  <w:style w:type="paragraph" w:styleId="CommentText">
    <w:name w:val="annotation text"/>
    <w:basedOn w:val="Normal"/>
    <w:link w:val="CommentTextChar"/>
    <w:unhideWhenUsed/>
    <w:rsid w:val="00690562"/>
    <w:pPr>
      <w:spacing w:line="240" w:lineRule="auto"/>
    </w:pPr>
    <w:rPr>
      <w:sz w:val="20"/>
      <w:szCs w:val="20"/>
    </w:rPr>
  </w:style>
  <w:style w:type="character" w:customStyle="1" w:styleId="CommentTextChar">
    <w:name w:val="Comment Text Char"/>
    <w:basedOn w:val="DefaultParagraphFont"/>
    <w:link w:val="CommentText"/>
    <w:rsid w:val="00690562"/>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690562"/>
    <w:rPr>
      <w:b/>
      <w:bCs/>
    </w:rPr>
  </w:style>
  <w:style w:type="character" w:customStyle="1" w:styleId="CommentSubjectChar">
    <w:name w:val="Comment Subject Char"/>
    <w:basedOn w:val="CommentTextChar"/>
    <w:link w:val="CommentSubject"/>
    <w:semiHidden/>
    <w:rsid w:val="00690562"/>
    <w:rPr>
      <w:rFonts w:ascii="Arial" w:hAnsi="Arial"/>
      <w:b/>
      <w:bCs/>
      <w:color w:val="000000" w:themeColor="text1"/>
      <w:lang w:eastAsia="en-US"/>
    </w:rPr>
  </w:style>
  <w:style w:type="paragraph" w:styleId="Revision">
    <w:name w:val="Revision"/>
    <w:hidden/>
    <w:uiPriority w:val="99"/>
    <w:semiHidden/>
    <w:rsid w:val="00C26CE0"/>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407605"/>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407605"/>
    <w:pPr>
      <w:spacing w:after="100"/>
    </w:pPr>
  </w:style>
  <w:style w:type="paragraph" w:styleId="TOC3">
    <w:name w:val="toc 3"/>
    <w:basedOn w:val="Normal"/>
    <w:next w:val="Normal"/>
    <w:autoRedefine/>
    <w:uiPriority w:val="39"/>
    <w:unhideWhenUsed/>
    <w:rsid w:val="00407605"/>
    <w:pPr>
      <w:spacing w:after="100"/>
      <w:ind w:left="440"/>
    </w:pPr>
  </w:style>
  <w:style w:type="paragraph" w:styleId="TOC2">
    <w:name w:val="toc 2"/>
    <w:basedOn w:val="Normal"/>
    <w:next w:val="Normal"/>
    <w:autoRedefine/>
    <w:uiPriority w:val="39"/>
    <w:unhideWhenUsed/>
    <w:rsid w:val="00407605"/>
    <w:pPr>
      <w:spacing w:after="100"/>
      <w:ind w:left="220"/>
    </w:pPr>
  </w:style>
  <w:style w:type="character" w:styleId="FollowedHyperlink">
    <w:name w:val="FollowedHyperlink"/>
    <w:basedOn w:val="DefaultParagraphFont"/>
    <w:semiHidden/>
    <w:unhideWhenUsed/>
    <w:rsid w:val="007B6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253900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34364715">
      <w:bodyDiv w:val="1"/>
      <w:marLeft w:val="0"/>
      <w:marRight w:val="0"/>
      <w:marTop w:val="0"/>
      <w:marBottom w:val="0"/>
      <w:divBdr>
        <w:top w:val="none" w:sz="0" w:space="0" w:color="auto"/>
        <w:left w:val="none" w:sz="0" w:space="0" w:color="auto"/>
        <w:bottom w:val="none" w:sz="0" w:space="0" w:color="auto"/>
        <w:right w:val="none" w:sz="0" w:space="0" w:color="auto"/>
      </w:divBdr>
    </w:div>
    <w:div w:id="973101984">
      <w:bodyDiv w:val="1"/>
      <w:marLeft w:val="0"/>
      <w:marRight w:val="0"/>
      <w:marTop w:val="0"/>
      <w:marBottom w:val="0"/>
      <w:divBdr>
        <w:top w:val="none" w:sz="0" w:space="0" w:color="auto"/>
        <w:left w:val="none" w:sz="0" w:space="0" w:color="auto"/>
        <w:bottom w:val="none" w:sz="0" w:space="0" w:color="auto"/>
        <w:right w:val="none" w:sz="0" w:space="0" w:color="auto"/>
      </w:divBdr>
    </w:div>
    <w:div w:id="106144619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912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our-work/stoma-appliance-sch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ealth.gov.au/resources/publications/stoma-appliance-scheme-schedule-review-consultation-paper-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https://healthgov.sharepoint.com/sites/support-comms/_layouts/15/DocIdRedir.aspx?ID=INTCOMMS-1466148216-15</Url>
      <Description>INTCOMMS-1466148216-15</Description>
    </_dlc_DocIdUrl>
    <_dlc_DocId xmlns="d29d5f7a-be03-4e9c-abe5-c85ece0a2186">INTCOMMS-1466148216-15</_dlc_DocId>
    <TaxCatchAll xmlns="15225296-5bc7-404a-82af-55dc9cd4c2a2">
      <Value>89</Value>
      <Value>4</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E3D9FE11-2D28-4FC5-B4F3-B324697CBB53}">
  <ds:schemaRefs>
    <ds:schemaRef ds:uri="Microsoft.SharePoint.Taxonomy.ContentTypeSync"/>
  </ds:schemaRefs>
</ds:datastoreItem>
</file>

<file path=customXml/itemProps3.xml><?xml version="1.0" encoding="utf-8"?>
<ds:datastoreItem xmlns:ds="http://schemas.openxmlformats.org/officeDocument/2006/customXml" ds:itemID="{309C9F9A-EF61-44F2-90F6-9C5C31331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5.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6.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7</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Australian Government Department of Health and Aged Care</dc:creator>
  <cp:lastModifiedBy>BARRY, Wendy</cp:lastModifiedBy>
  <cp:revision>217</cp:revision>
  <cp:lastPrinted>2022-06-22T22:44:00Z</cp:lastPrinted>
  <dcterms:created xsi:type="dcterms:W3CDTF">2024-11-01T00:11:00Z</dcterms:created>
  <dcterms:modified xsi:type="dcterms:W3CDTF">2024-12-22T22:23:00Z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499;#DESA, Katarina</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4;#visual identity|a54ebda2-a0fd-45ec-8fc0-1cf31001b526</vt:lpwstr>
  </property>
  <property fmtid="{D5CDD505-2E9C-101B-9397-08002B2CF9AE}" pid="24" name="lcf76f155ced4ddcb4097134ff3c332f">
    <vt:lpwstr/>
  </property>
</Properties>
</file>