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4306C" w:rsidRDefault="0074306C">
      <w:pPr>
        <w:pBdr>
          <w:top w:val="nil"/>
          <w:left w:val="nil"/>
          <w:bottom w:val="nil"/>
          <w:right w:val="nil"/>
          <w:between w:val="nil"/>
        </w:pBdr>
      </w:pPr>
      <w:bookmarkStart w:id="0" w:name="_GoBack"/>
      <w:bookmarkEnd w:id="0"/>
    </w:p>
    <w:p w:rsidR="0074306C" w:rsidRDefault="0074306C">
      <w:pPr>
        <w:pBdr>
          <w:top w:val="nil"/>
          <w:left w:val="nil"/>
          <w:bottom w:val="nil"/>
          <w:right w:val="nil"/>
          <w:between w:val="nil"/>
        </w:pBdr>
      </w:pPr>
    </w:p>
    <w:p w:rsidR="0074306C" w:rsidRDefault="0074306C">
      <w:pPr>
        <w:pBdr>
          <w:top w:val="nil"/>
          <w:left w:val="nil"/>
          <w:bottom w:val="nil"/>
          <w:right w:val="nil"/>
          <w:between w:val="nil"/>
        </w:pBdr>
      </w:pPr>
    </w:p>
    <w:p w:rsidR="0074306C" w:rsidRDefault="0074306C">
      <w:pPr>
        <w:pBdr>
          <w:top w:val="nil"/>
          <w:left w:val="nil"/>
          <w:bottom w:val="nil"/>
          <w:right w:val="nil"/>
          <w:between w:val="nil"/>
        </w:pBdr>
      </w:pPr>
    </w:p>
    <w:p w:rsidR="0074306C" w:rsidRDefault="0074306C">
      <w:pPr>
        <w:pBdr>
          <w:top w:val="nil"/>
          <w:left w:val="nil"/>
          <w:bottom w:val="nil"/>
          <w:right w:val="nil"/>
          <w:between w:val="nil"/>
        </w:pBdr>
      </w:pPr>
    </w:p>
    <w:p w:rsidR="0074306C" w:rsidRDefault="0074306C">
      <w:pPr>
        <w:pBdr>
          <w:top w:val="nil"/>
          <w:left w:val="nil"/>
          <w:bottom w:val="nil"/>
          <w:right w:val="nil"/>
          <w:between w:val="nil"/>
        </w:pBdr>
      </w:pPr>
    </w:p>
    <w:tbl>
      <w:tblPr>
        <w:tblStyle w:val="a"/>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69"/>
      </w:tblGrid>
      <w:tr w:rsidR="0074306C">
        <w:trPr>
          <w:jc w:val="center"/>
        </w:trPr>
        <w:tc>
          <w:tcPr>
            <w:tcW w:w="5669" w:type="dxa"/>
            <w:tcBorders>
              <w:top w:val="dashed" w:sz="12" w:space="0" w:color="1A73E8"/>
              <w:left w:val="dashed" w:sz="12" w:space="0" w:color="1A73E8"/>
              <w:bottom w:val="dashed" w:sz="12" w:space="0" w:color="1A73E8"/>
              <w:right w:val="dashed" w:sz="12" w:space="0" w:color="1A73E8"/>
            </w:tcBorders>
            <w:tcMar>
              <w:top w:w="113" w:type="dxa"/>
              <w:left w:w="113" w:type="dxa"/>
              <w:bottom w:w="113" w:type="dxa"/>
              <w:right w:w="113" w:type="dxa"/>
            </w:tcMar>
            <w:vAlign w:val="center"/>
          </w:tcPr>
          <w:p w:rsidR="0074306C" w:rsidRDefault="00A57F4C">
            <w:pPr>
              <w:ind w:right="-112"/>
              <w:jc w:val="center"/>
            </w:pPr>
            <w:r>
              <w:rPr>
                <w:noProof/>
                <w:lang w:val="en-AU" w:eastAsia="en-AU"/>
              </w:rPr>
              <w:drawing>
                <wp:inline distT="114300" distB="114300" distL="114300" distR="114300">
                  <wp:extent cx="3448050" cy="838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448050" cy="838200"/>
                          </a:xfrm>
                          <a:prstGeom prst="rect">
                            <a:avLst/>
                          </a:prstGeom>
                          <a:ln/>
                        </pic:spPr>
                      </pic:pic>
                    </a:graphicData>
                  </a:graphic>
                </wp:inline>
              </w:drawing>
            </w:r>
            <w:r>
              <w:t xml:space="preserve"> </w:t>
            </w:r>
          </w:p>
          <w:p w:rsidR="0074306C" w:rsidRDefault="0074306C">
            <w:pPr>
              <w:pStyle w:val="Title"/>
              <w:pBdr>
                <w:top w:val="nil"/>
                <w:left w:val="nil"/>
                <w:bottom w:val="nil"/>
                <w:right w:val="nil"/>
                <w:between w:val="nil"/>
              </w:pBdr>
              <w:ind w:left="0"/>
              <w:jc w:val="left"/>
            </w:pPr>
          </w:p>
          <w:p w:rsidR="0074306C" w:rsidRDefault="00A57F4C">
            <w:pPr>
              <w:pBdr>
                <w:top w:val="nil"/>
                <w:left w:val="nil"/>
                <w:bottom w:val="nil"/>
                <w:right w:val="nil"/>
                <w:between w:val="nil"/>
              </w:pBdr>
              <w:spacing w:before="0" w:after="0"/>
              <w:jc w:val="center"/>
              <w:rPr>
                <w:rFonts w:ascii="Arial Black" w:eastAsia="Arial Black" w:hAnsi="Arial Black" w:cs="Arial Black"/>
                <w:sz w:val="28"/>
                <w:szCs w:val="28"/>
              </w:rPr>
            </w:pPr>
            <w:r>
              <w:rPr>
                <w:rFonts w:ascii="Arial Black" w:eastAsia="Arial Black" w:hAnsi="Arial Black" w:cs="Arial Black"/>
                <w:sz w:val="28"/>
                <w:szCs w:val="28"/>
              </w:rPr>
              <w:t>Privacy Impact Assessment (PIA) for the Data Matching Proposal</w:t>
            </w:r>
          </w:p>
          <w:p w:rsidR="0074306C" w:rsidRDefault="0074306C">
            <w:pPr>
              <w:spacing w:before="0" w:after="0"/>
            </w:pPr>
          </w:p>
          <w:p w:rsidR="0074306C" w:rsidRDefault="00A57F4C">
            <w:pPr>
              <w:spacing w:before="0" w:after="0"/>
              <w:jc w:val="center"/>
            </w:pPr>
            <w:r>
              <w:rPr>
                <w:rFonts w:ascii="Arial Black" w:eastAsia="Arial Black" w:hAnsi="Arial Black" w:cs="Arial Black"/>
                <w:sz w:val="28"/>
                <w:szCs w:val="28"/>
              </w:rPr>
              <w:t>PIA: Fraud detection and compliance activities</w:t>
            </w:r>
          </w:p>
          <w:p w:rsidR="0074306C" w:rsidRDefault="0074306C">
            <w:pPr>
              <w:pStyle w:val="Title"/>
              <w:pBdr>
                <w:top w:val="nil"/>
                <w:left w:val="nil"/>
                <w:bottom w:val="nil"/>
                <w:right w:val="nil"/>
                <w:between w:val="nil"/>
              </w:pBdr>
              <w:rPr>
                <w:rFonts w:ascii="Arial" w:eastAsia="Arial" w:hAnsi="Arial" w:cs="Arial"/>
              </w:rPr>
            </w:pPr>
          </w:p>
          <w:p w:rsidR="0074306C" w:rsidRDefault="00A57F4C">
            <w:pPr>
              <w:pStyle w:val="Title"/>
              <w:pBdr>
                <w:top w:val="nil"/>
                <w:left w:val="nil"/>
                <w:bottom w:val="nil"/>
                <w:right w:val="nil"/>
                <w:between w:val="nil"/>
              </w:pBdr>
              <w:spacing w:line="276" w:lineRule="auto"/>
              <w:rPr>
                <w:rFonts w:ascii="Arial" w:eastAsia="Arial" w:hAnsi="Arial" w:cs="Arial"/>
              </w:rPr>
            </w:pPr>
            <w:r>
              <w:rPr>
                <w:rFonts w:ascii="Arial" w:eastAsia="Arial" w:hAnsi="Arial" w:cs="Arial"/>
              </w:rPr>
              <w:t>12 September 2019</w:t>
            </w:r>
          </w:p>
          <w:p w:rsidR="0074306C" w:rsidRDefault="0074306C">
            <w:pPr>
              <w:spacing w:before="0" w:after="0"/>
              <w:rPr>
                <w:rFonts w:ascii="Arial" w:eastAsia="Arial" w:hAnsi="Arial" w:cs="Arial"/>
              </w:rPr>
            </w:pPr>
          </w:p>
          <w:p w:rsidR="0074306C" w:rsidRDefault="00A57F4C">
            <w:pPr>
              <w:pStyle w:val="Title"/>
              <w:pBdr>
                <w:top w:val="nil"/>
                <w:left w:val="nil"/>
                <w:bottom w:val="nil"/>
                <w:right w:val="nil"/>
                <w:between w:val="nil"/>
              </w:pBdr>
              <w:spacing w:line="276" w:lineRule="auto"/>
              <w:rPr>
                <w:rFonts w:ascii="Arial" w:eastAsia="Arial" w:hAnsi="Arial" w:cs="Arial"/>
                <w:sz w:val="24"/>
                <w:szCs w:val="24"/>
              </w:rPr>
            </w:pPr>
            <w:r>
              <w:t>[FINAL]</w:t>
            </w:r>
          </w:p>
        </w:tc>
      </w:tr>
    </w:tbl>
    <w:p w:rsidR="0074306C" w:rsidRDefault="0074306C">
      <w:pPr>
        <w:pBdr>
          <w:top w:val="nil"/>
          <w:left w:val="nil"/>
          <w:bottom w:val="nil"/>
          <w:right w:val="nil"/>
          <w:between w:val="nil"/>
        </w:pBdr>
      </w:pPr>
    </w:p>
    <w:p w:rsidR="0074306C" w:rsidRDefault="00A57F4C">
      <w:r>
        <w:br w:type="page"/>
      </w:r>
    </w:p>
    <w:p w:rsidR="0074306C" w:rsidRDefault="00A57F4C">
      <w:pPr>
        <w:pStyle w:val="Title"/>
        <w:pBdr>
          <w:top w:val="nil"/>
          <w:left w:val="nil"/>
          <w:bottom w:val="nil"/>
          <w:right w:val="nil"/>
          <w:between w:val="nil"/>
        </w:pBdr>
        <w:spacing w:line="276" w:lineRule="auto"/>
      </w:pPr>
      <w:bookmarkStart w:id="1" w:name="_8p5pztxdm9mo" w:colFirst="0" w:colLast="0"/>
      <w:bookmarkEnd w:id="1"/>
      <w:r>
        <w:lastRenderedPageBreak/>
        <w:t>Document Control</w:t>
      </w:r>
    </w:p>
    <w:p w:rsidR="0074306C" w:rsidRDefault="00A57F4C">
      <w:pPr>
        <w:jc w:val="both"/>
        <w:rPr>
          <w:b/>
        </w:rPr>
      </w:pPr>
      <w:r>
        <w:rPr>
          <w:b/>
        </w:rPr>
        <w:t>Client</w:t>
      </w:r>
    </w:p>
    <w:p w:rsidR="0074306C" w:rsidRDefault="00A57F4C">
      <w:pPr>
        <w:keepNext/>
      </w:pPr>
      <w:r>
        <w:t xml:space="preserve">This document has been written for the Department of Health. </w:t>
      </w:r>
      <w:r>
        <w:br/>
      </w:r>
    </w:p>
    <w:p w:rsidR="0074306C" w:rsidRDefault="00A57F4C">
      <w:pPr>
        <w:jc w:val="both"/>
        <w:rPr>
          <w:b/>
        </w:rPr>
      </w:pPr>
      <w:r>
        <w:rPr>
          <w:b/>
        </w:rPr>
        <w:t>Document Purpose</w:t>
      </w:r>
    </w:p>
    <w:p w:rsidR="0074306C" w:rsidRDefault="00A57F4C">
      <w:pPr>
        <w:keepNext/>
      </w:pPr>
      <w:r>
        <w:t xml:space="preserve">This document is a Privacy Impact Assessment (PIA) for the proposed sharing / matching of some health data with key partners (the </w:t>
      </w:r>
      <w:r>
        <w:rPr>
          <w:i/>
        </w:rPr>
        <w:t>Data Matching Proposal</w:t>
      </w:r>
      <w:r>
        <w:t>) for fraud detection and compliance related activities.</w:t>
      </w:r>
      <w:r>
        <w:br/>
      </w:r>
    </w:p>
    <w:p w:rsidR="0074306C" w:rsidRDefault="00A57F4C">
      <w:pPr>
        <w:jc w:val="both"/>
        <w:rPr>
          <w:b/>
        </w:rPr>
      </w:pPr>
      <w:r>
        <w:rPr>
          <w:b/>
        </w:rPr>
        <w:t>Document Identification</w:t>
      </w:r>
    </w:p>
    <w:p w:rsidR="0074306C" w:rsidRDefault="00A57F4C" w:rsidP="00A57F4C">
      <w:pPr>
        <w:keepNext/>
        <w:spacing w:before="60"/>
        <w:ind w:left="1701" w:hanging="1701"/>
      </w:pPr>
      <w:r>
        <w:t>Document title</w:t>
      </w:r>
      <w:r>
        <w:tab/>
        <w:t xml:space="preserve">Health Data Matching PIA – Fraud Detection and Compliance Activities </w:t>
      </w:r>
    </w:p>
    <w:p w:rsidR="0074306C" w:rsidRDefault="00A57F4C" w:rsidP="00A57F4C">
      <w:pPr>
        <w:keepNext/>
        <w:spacing w:before="60"/>
        <w:ind w:left="1701" w:hanging="1701"/>
      </w:pPr>
      <w:r>
        <w:t>Document filename</w:t>
      </w:r>
      <w:r>
        <w:tab/>
        <w:t>gc525_health_data_matching_compliance_PIA_20190912_FINAL.pdf</w:t>
      </w:r>
      <w:r>
        <w:br/>
      </w:r>
    </w:p>
    <w:p w:rsidR="0074306C" w:rsidRDefault="00A57F4C" w:rsidP="00A57F4C">
      <w:pPr>
        <w:keepNext/>
        <w:spacing w:before="60"/>
        <w:ind w:left="1701" w:hanging="1701"/>
        <w:rPr>
          <w:b/>
        </w:rPr>
      </w:pPr>
      <w:r>
        <w:rPr>
          <w:b/>
        </w:rPr>
        <w:t>Client Details</w:t>
      </w:r>
      <w:r>
        <w:rPr>
          <w:b/>
        </w:rPr>
        <w:tab/>
        <w:t xml:space="preserve">Department of Health </w:t>
      </w:r>
      <w:r>
        <w:br/>
        <w:t>Australian Government</w:t>
      </w:r>
      <w:r>
        <w:br/>
        <w:t xml:space="preserve">Sirius Building, </w:t>
      </w:r>
      <w:proofErr w:type="spellStart"/>
      <w:r>
        <w:t>Furzer</w:t>
      </w:r>
      <w:proofErr w:type="spellEnd"/>
      <w:r>
        <w:t xml:space="preserve"> Street, </w:t>
      </w:r>
      <w:proofErr w:type="spellStart"/>
      <w:r>
        <w:t>Woden</w:t>
      </w:r>
      <w:proofErr w:type="spellEnd"/>
      <w:r>
        <w:t xml:space="preserve"> Town Centre, ACT</w:t>
      </w:r>
      <w:r>
        <w:rPr>
          <w:rFonts w:ascii="Arial" w:eastAsia="Arial" w:hAnsi="Arial" w:cs="Arial"/>
          <w:color w:val="222222"/>
          <w:highlight w:val="white"/>
        </w:rPr>
        <w:br/>
        <w:t>&lt;</w:t>
      </w:r>
      <w:hyperlink r:id="rId8">
        <w:r>
          <w:rPr>
            <w:color w:val="1155CC"/>
            <w:u w:val="single"/>
          </w:rPr>
          <w:t>www.health.gov.au</w:t>
        </w:r>
      </w:hyperlink>
      <w:r>
        <w:t>&gt;</w:t>
      </w:r>
      <w:r>
        <w:rPr>
          <w:b/>
        </w:rPr>
        <w:br/>
      </w:r>
    </w:p>
    <w:p w:rsidR="0074306C" w:rsidRDefault="00A57F4C">
      <w:pPr>
        <w:rPr>
          <w:b/>
        </w:rPr>
      </w:pPr>
      <w:bookmarkStart w:id="2" w:name="_hnlrf4kw9cnq" w:colFirst="0" w:colLast="0"/>
      <w:bookmarkEnd w:id="2"/>
      <w:r>
        <w:rPr>
          <w:b/>
        </w:rPr>
        <w:t>Consultant Details</w:t>
      </w:r>
    </w:p>
    <w:p w:rsidR="0074306C" w:rsidRDefault="00A57F4C" w:rsidP="00A57F4C">
      <w:pPr>
        <w:keepNext/>
        <w:spacing w:before="60"/>
        <w:ind w:left="1701" w:hanging="1701"/>
      </w:pPr>
      <w:r>
        <w:t>KWM Contact</w:t>
      </w:r>
      <w:r>
        <w:tab/>
      </w:r>
      <w:r>
        <w:rPr>
          <w:b/>
        </w:rPr>
        <w:t xml:space="preserve">Patrick Gunning </w:t>
      </w:r>
      <w:r>
        <w:t xml:space="preserve">| </w:t>
      </w:r>
      <w:hyperlink r:id="rId9">
        <w:r>
          <w:rPr>
            <w:color w:val="1155CC"/>
            <w:u w:val="single"/>
          </w:rPr>
          <w:t>Partner profile</w:t>
        </w:r>
      </w:hyperlink>
      <w:r>
        <w:t xml:space="preserve"> </w:t>
      </w:r>
      <w:r>
        <w:br/>
        <w:t xml:space="preserve">King &amp; Wood </w:t>
      </w:r>
      <w:proofErr w:type="spellStart"/>
      <w:r>
        <w:t>Mallesons</w:t>
      </w:r>
      <w:proofErr w:type="spellEnd"/>
      <w:r>
        <w:br/>
        <w:t>Level 61, Governor Phillip Tower, 1 Farrer Place, Sydney NSW 2000</w:t>
      </w:r>
      <w:r>
        <w:br/>
        <w:t xml:space="preserve">p: +61 2 9296 2170 </w:t>
      </w:r>
      <w:r>
        <w:br/>
        <w:t>m: +61 418 297 018</w:t>
      </w:r>
      <w:r>
        <w:br/>
        <w:t xml:space="preserve">e: </w:t>
      </w:r>
      <w:hyperlink r:id="rId10">
        <w:r>
          <w:rPr>
            <w:color w:val="1155CC"/>
            <w:u w:val="single"/>
          </w:rPr>
          <w:t>patrick.gunning@au.kwm.com</w:t>
        </w:r>
      </w:hyperlink>
      <w:r>
        <w:rPr>
          <w:color w:val="1155CC"/>
          <w:u w:val="single"/>
        </w:rPr>
        <w:t xml:space="preserve"> </w:t>
      </w:r>
      <w:r>
        <w:tab/>
      </w:r>
    </w:p>
    <w:p w:rsidR="0074306C" w:rsidRDefault="00A57F4C" w:rsidP="00A57F4C">
      <w:pPr>
        <w:keepNext/>
        <w:spacing w:before="60"/>
        <w:ind w:left="1701" w:hanging="1701"/>
        <w:rPr>
          <w:b/>
        </w:rPr>
      </w:pPr>
      <w:proofErr w:type="spellStart"/>
      <w:r>
        <w:t>Galexia</w:t>
      </w:r>
      <w:proofErr w:type="spellEnd"/>
      <w:r>
        <w:t xml:space="preserve"> Contact</w:t>
      </w:r>
      <w:r>
        <w:tab/>
      </w:r>
      <w:r>
        <w:rPr>
          <w:b/>
        </w:rPr>
        <w:t xml:space="preserve">Peter van </w:t>
      </w:r>
      <w:proofErr w:type="spellStart"/>
      <w:r>
        <w:rPr>
          <w:b/>
        </w:rPr>
        <w:t>Dijk</w:t>
      </w:r>
      <w:proofErr w:type="spellEnd"/>
      <w:r>
        <w:rPr>
          <w:b/>
        </w:rPr>
        <w:t xml:space="preserve"> </w:t>
      </w:r>
      <w:r>
        <w:t>(Managing Director)</w:t>
      </w:r>
      <w:r>
        <w:br/>
      </w:r>
      <w:proofErr w:type="spellStart"/>
      <w:r>
        <w:t>Galexia</w:t>
      </w:r>
      <w:proofErr w:type="spellEnd"/>
      <w:r>
        <w:t xml:space="preserve"> &lt;</w:t>
      </w:r>
      <w:hyperlink r:id="rId11">
        <w:r>
          <w:rPr>
            <w:color w:val="1155CC"/>
            <w:u w:val="single"/>
          </w:rPr>
          <w:t>www.galexia.com</w:t>
        </w:r>
      </w:hyperlink>
      <w:r>
        <w:t xml:space="preserve">&gt; </w:t>
      </w:r>
      <w:r>
        <w:br/>
        <w:t>Level 11, 175 Pitt St, Sydney NSW 2000, Australia</w:t>
      </w:r>
      <w:r>
        <w:br/>
        <w:t>p: +612 9660 1111</w:t>
      </w:r>
      <w:r>
        <w:br/>
        <w:t>m: +61 419 351 374</w:t>
      </w:r>
      <w:r>
        <w:br/>
        <w:t xml:space="preserve">e: </w:t>
      </w:r>
      <w:hyperlink r:id="rId12">
        <w:r>
          <w:rPr>
            <w:color w:val="1155CC"/>
            <w:u w:val="single"/>
          </w:rPr>
          <w:t>manage@galexia.com</w:t>
        </w:r>
      </w:hyperlink>
      <w:r>
        <w:t xml:space="preserve"> </w:t>
      </w:r>
    </w:p>
    <w:p w:rsidR="0074306C" w:rsidRDefault="00A57F4C" w:rsidP="00A57F4C">
      <w:pPr>
        <w:keepNext/>
        <w:spacing w:before="60"/>
        <w:ind w:left="1701" w:hanging="1701"/>
      </w:pPr>
      <w:r>
        <w:t>Reference</w:t>
      </w:r>
      <w:r>
        <w:tab/>
        <w:t>GC525 (Compliance PIA)</w:t>
      </w:r>
    </w:p>
    <w:p w:rsidR="0074306C" w:rsidRDefault="00A57F4C" w:rsidP="00A57F4C">
      <w:pPr>
        <w:keepNext/>
        <w:spacing w:before="60"/>
        <w:ind w:left="1701" w:hanging="1701"/>
        <w:rPr>
          <w:i/>
        </w:rPr>
      </w:pPr>
      <w:r>
        <w:t>Project Email</w:t>
      </w:r>
      <w:r>
        <w:tab/>
      </w:r>
      <w:hyperlink r:id="rId13">
        <w:r>
          <w:rPr>
            <w:color w:val="1155CC"/>
            <w:u w:val="single"/>
          </w:rPr>
          <w:t>kwm-health@galexia.com</w:t>
        </w:r>
      </w:hyperlink>
      <w:r>
        <w:t xml:space="preserve"> </w:t>
      </w:r>
      <w:r>
        <w:br/>
      </w:r>
    </w:p>
    <w:p w:rsidR="0074306C" w:rsidRDefault="0074306C"/>
    <w:p w:rsidR="0074306C" w:rsidRDefault="00A57F4C">
      <w:r>
        <w:br w:type="page"/>
      </w:r>
    </w:p>
    <w:p w:rsidR="0074306C" w:rsidRDefault="00A57F4C">
      <w:pPr>
        <w:pStyle w:val="Heading1"/>
        <w:pBdr>
          <w:top w:val="nil"/>
          <w:left w:val="nil"/>
          <w:bottom w:val="nil"/>
          <w:right w:val="nil"/>
          <w:between w:val="nil"/>
        </w:pBdr>
      </w:pPr>
      <w:bookmarkStart w:id="3" w:name="_to5brqjoae7i" w:colFirst="0" w:colLast="0"/>
      <w:bookmarkEnd w:id="3"/>
      <w:r>
        <w:lastRenderedPageBreak/>
        <w:t>1. Executive Summary</w:t>
      </w:r>
    </w:p>
    <w:p w:rsidR="0074306C" w:rsidRDefault="00A57F4C">
      <w:pPr>
        <w:pStyle w:val="Heading2"/>
        <w:pBdr>
          <w:top w:val="nil"/>
          <w:left w:val="nil"/>
          <w:bottom w:val="nil"/>
          <w:right w:val="nil"/>
          <w:between w:val="nil"/>
        </w:pBdr>
      </w:pPr>
      <w:bookmarkStart w:id="4" w:name="_ljzlw1yxifnq" w:colFirst="0" w:colLast="0"/>
      <w:bookmarkEnd w:id="4"/>
      <w:r>
        <w:t>1.1. Approach and Scope</w:t>
      </w:r>
    </w:p>
    <w:p w:rsidR="0074306C" w:rsidRDefault="00A57F4C">
      <w:r>
        <w:t xml:space="preserve">KWM and </w:t>
      </w:r>
      <w:proofErr w:type="spellStart"/>
      <w:r>
        <w:t>Galexia</w:t>
      </w:r>
      <w:proofErr w:type="spellEnd"/>
      <w:r>
        <w:t xml:space="preserve"> have completed this Privacy Impact Assessment (</w:t>
      </w:r>
      <w:r>
        <w:rPr>
          <w:i/>
        </w:rPr>
        <w:t>PIA</w:t>
      </w:r>
      <w:r>
        <w:t xml:space="preserve">) for the proposed sharing and matching of particular health and non-health data between key partners for compliance checking purposes (the </w:t>
      </w:r>
      <w:r>
        <w:rPr>
          <w:i/>
        </w:rPr>
        <w:t>Data Matching Proposal</w:t>
      </w:r>
      <w:r>
        <w:t xml:space="preserve">). </w:t>
      </w:r>
    </w:p>
    <w:p w:rsidR="0074306C" w:rsidRDefault="00A57F4C">
      <w:r>
        <w:t>This</w:t>
      </w:r>
      <w:r>
        <w:rPr>
          <w:b/>
        </w:rPr>
        <w:t xml:space="preserve"> </w:t>
      </w:r>
      <w:r>
        <w:t xml:space="preserve">PIA has been developed in consideration of a proposed package of legislative reform to facilitate data sharing and data matching in relation to health data. The package is likely to include the proposed </w:t>
      </w:r>
      <w:r>
        <w:rPr>
          <w:i/>
        </w:rPr>
        <w:t>Health Legislation Amendment (Data-matching) Bill 2019</w:t>
      </w:r>
      <w:r>
        <w:rPr>
          <w:i/>
          <w:vertAlign w:val="superscript"/>
        </w:rPr>
        <w:footnoteReference w:id="1"/>
      </w:r>
      <w:r>
        <w:t xml:space="preserve"> supplemented by additional governance arrangements and individual data sharing agreements</w:t>
      </w:r>
      <w:r>
        <w:rPr>
          <w:i/>
        </w:rPr>
        <w:t>.</w:t>
      </w:r>
      <w:r>
        <w:t xml:space="preserve"> Any later changes to the bill or legislative package may require revisions to this privacy advice</w:t>
      </w:r>
    </w:p>
    <w:p w:rsidR="0074306C" w:rsidRDefault="00A57F4C">
      <w:pPr>
        <w:pBdr>
          <w:top w:val="nil"/>
          <w:left w:val="nil"/>
          <w:bottom w:val="nil"/>
          <w:right w:val="nil"/>
          <w:between w:val="nil"/>
        </w:pBdr>
      </w:pPr>
      <w:r>
        <w:t>‘</w:t>
      </w:r>
      <w:r>
        <w:rPr>
          <w:i/>
        </w:rPr>
        <w:t>Compliance checking purposes</w:t>
      </w:r>
      <w:r>
        <w:t xml:space="preserve">’ broadly includes: </w:t>
      </w:r>
    </w:p>
    <w:p w:rsidR="0074306C" w:rsidRDefault="00A57F4C" w:rsidP="004C3ED8">
      <w:pPr>
        <w:numPr>
          <w:ilvl w:val="0"/>
          <w:numId w:val="40"/>
        </w:numPr>
        <w:pBdr>
          <w:top w:val="nil"/>
          <w:left w:val="nil"/>
          <w:bottom w:val="nil"/>
          <w:right w:val="nil"/>
          <w:between w:val="nil"/>
        </w:pBdr>
        <w:spacing w:after="0"/>
      </w:pPr>
      <w:r>
        <w:t xml:space="preserve">Identifying whether a person may have, under a Medicare program, claimed or been paid a benefit that exceeds the amount of the benefit that was payable to the person; </w:t>
      </w:r>
    </w:p>
    <w:p w:rsidR="0074306C" w:rsidRDefault="00A57F4C" w:rsidP="004C3ED8">
      <w:pPr>
        <w:numPr>
          <w:ilvl w:val="0"/>
          <w:numId w:val="40"/>
        </w:numPr>
        <w:pBdr>
          <w:top w:val="nil"/>
          <w:left w:val="nil"/>
          <w:bottom w:val="nil"/>
          <w:right w:val="nil"/>
          <w:between w:val="nil"/>
        </w:pBdr>
        <w:spacing w:before="0" w:after="0"/>
      </w:pPr>
      <w:r>
        <w:t>Recovering overpayments of benefits under a Medicare program;</w:t>
      </w:r>
    </w:p>
    <w:p w:rsidR="0074306C" w:rsidRDefault="00A57F4C" w:rsidP="004C3ED8">
      <w:pPr>
        <w:numPr>
          <w:ilvl w:val="0"/>
          <w:numId w:val="40"/>
        </w:numPr>
        <w:pBdr>
          <w:top w:val="nil"/>
          <w:left w:val="nil"/>
          <w:bottom w:val="nil"/>
          <w:right w:val="nil"/>
          <w:between w:val="nil"/>
        </w:pBdr>
        <w:spacing w:before="0" w:after="0"/>
      </w:pPr>
      <w:r>
        <w:t>Monitoring services, benefits, programs or facilities that are provided for under a Medicare program</w:t>
      </w:r>
    </w:p>
    <w:p w:rsidR="0074306C" w:rsidRDefault="00A57F4C" w:rsidP="004C3ED8">
      <w:pPr>
        <w:numPr>
          <w:ilvl w:val="0"/>
          <w:numId w:val="40"/>
        </w:numPr>
        <w:pBdr>
          <w:top w:val="nil"/>
          <w:left w:val="nil"/>
          <w:bottom w:val="nil"/>
          <w:right w:val="nil"/>
          <w:between w:val="nil"/>
        </w:pBdr>
        <w:spacing w:before="0" w:after="0"/>
      </w:pPr>
      <w:r>
        <w:t>Educating healthcare providers about requirements relating to Medicare programs</w:t>
      </w:r>
    </w:p>
    <w:p w:rsidR="0074306C" w:rsidRDefault="00A57F4C" w:rsidP="004C3ED8">
      <w:pPr>
        <w:numPr>
          <w:ilvl w:val="0"/>
          <w:numId w:val="40"/>
        </w:numPr>
        <w:pBdr>
          <w:top w:val="nil"/>
          <w:left w:val="nil"/>
          <w:bottom w:val="nil"/>
          <w:right w:val="nil"/>
          <w:between w:val="nil"/>
        </w:pBdr>
        <w:spacing w:before="0" w:after="0"/>
      </w:pPr>
      <w:r>
        <w:t>Detecting or investigating contraventions of a law of the Commonwealth relating to a Medicare program; and</w:t>
      </w:r>
    </w:p>
    <w:p w:rsidR="0074306C" w:rsidRDefault="00A57F4C" w:rsidP="004C3ED8">
      <w:pPr>
        <w:numPr>
          <w:ilvl w:val="0"/>
          <w:numId w:val="40"/>
        </w:numPr>
        <w:pBdr>
          <w:top w:val="nil"/>
          <w:left w:val="nil"/>
          <w:bottom w:val="nil"/>
          <w:right w:val="nil"/>
          <w:between w:val="nil"/>
        </w:pBdr>
        <w:spacing w:before="0"/>
      </w:pPr>
      <w:r>
        <w:t xml:space="preserve">Detecting or investigating inappropriate practice. </w:t>
      </w:r>
    </w:p>
    <w:p w:rsidR="0074306C" w:rsidRDefault="00A57F4C">
      <w:pPr>
        <w:pBdr>
          <w:top w:val="nil"/>
          <w:left w:val="nil"/>
          <w:bottom w:val="nil"/>
          <w:right w:val="nil"/>
          <w:between w:val="nil"/>
        </w:pBdr>
      </w:pPr>
      <w:r>
        <w:t xml:space="preserve">This PIA has been conducted in accordance with </w:t>
      </w:r>
      <w:r>
        <w:rPr>
          <w:i/>
        </w:rPr>
        <w:t>PIA Guidelines</w:t>
      </w:r>
      <w:r>
        <w:t xml:space="preserve"> issued by the Office of the Australian Information Commissioner (OAIC).</w:t>
      </w:r>
      <w:r>
        <w:rPr>
          <w:vertAlign w:val="superscript"/>
        </w:rPr>
        <w:footnoteReference w:id="2"/>
      </w:r>
    </w:p>
    <w:p w:rsidR="0074306C" w:rsidRDefault="00A57F4C">
      <w:pPr>
        <w:pBdr>
          <w:top w:val="nil"/>
          <w:left w:val="nil"/>
          <w:bottom w:val="nil"/>
          <w:right w:val="nil"/>
          <w:between w:val="nil"/>
        </w:pBdr>
      </w:pPr>
      <w:r>
        <w:t>The purpose of this PIA is to assist in identifying and managing privacy issues that are raised by the proposed matching and sharing of data between the Department of Health and other agencies and third parties. The key proposals are:</w:t>
      </w:r>
    </w:p>
    <w:p w:rsidR="0074306C" w:rsidRDefault="00A57F4C" w:rsidP="004C3ED8">
      <w:pPr>
        <w:numPr>
          <w:ilvl w:val="0"/>
          <w:numId w:val="45"/>
        </w:numPr>
        <w:pBdr>
          <w:top w:val="nil"/>
          <w:left w:val="nil"/>
          <w:bottom w:val="nil"/>
          <w:right w:val="nil"/>
          <w:between w:val="nil"/>
        </w:pBdr>
      </w:pPr>
      <w:r>
        <w:t>To engage in a range of data sharing and data matching activities for compliance checking purposes (e.g. to help detect incorrect claiming, fraud and inappropriate practice);</w:t>
      </w:r>
    </w:p>
    <w:p w:rsidR="0074306C" w:rsidRDefault="00A57F4C" w:rsidP="004C3ED8">
      <w:pPr>
        <w:numPr>
          <w:ilvl w:val="0"/>
          <w:numId w:val="45"/>
        </w:numPr>
        <w:pBdr>
          <w:top w:val="nil"/>
          <w:left w:val="nil"/>
          <w:bottom w:val="nil"/>
          <w:right w:val="nil"/>
          <w:between w:val="nil"/>
        </w:pBdr>
      </w:pPr>
      <w:r>
        <w:t>To replace some existing manual and transaction based data sharing with routine data sharing arrangements from limited and specified sources within a controlled, closed environment between government agencies; and</w:t>
      </w:r>
    </w:p>
    <w:p w:rsidR="0074306C" w:rsidRDefault="00A57F4C" w:rsidP="004C3ED8">
      <w:pPr>
        <w:numPr>
          <w:ilvl w:val="0"/>
          <w:numId w:val="45"/>
        </w:numPr>
        <w:pBdr>
          <w:top w:val="nil"/>
          <w:left w:val="nil"/>
          <w:bottom w:val="nil"/>
          <w:right w:val="nil"/>
          <w:between w:val="nil"/>
        </w:pBdr>
      </w:pPr>
      <w:r>
        <w:t>To create an effective governance framework for the proposed data sharing and data matching.</w:t>
      </w:r>
    </w:p>
    <w:p w:rsidR="0074306C" w:rsidRDefault="00A57F4C">
      <w:pPr>
        <w:pBdr>
          <w:top w:val="nil"/>
          <w:left w:val="nil"/>
          <w:bottom w:val="nil"/>
          <w:right w:val="nil"/>
          <w:between w:val="nil"/>
        </w:pBdr>
      </w:pPr>
      <w:r>
        <w:t xml:space="preserve">This PIA considers compliance with privacy legislation, compliance with other legislation (including proposed amendments), user acceptance and public perception issues. The PIA makes a broad range of recommendations for mitigating privacy risks, including changes to the design, practical privacy compliance steps, </w:t>
      </w:r>
      <w:proofErr w:type="gramStart"/>
      <w:r>
        <w:t>further</w:t>
      </w:r>
      <w:proofErr w:type="gramEnd"/>
      <w:r>
        <w:t xml:space="preserve"> research and privacy governance arrangements.</w:t>
      </w:r>
    </w:p>
    <w:p w:rsidR="0074306C" w:rsidRDefault="00A57F4C">
      <w:pPr>
        <w:keepNext/>
        <w:pBdr>
          <w:top w:val="nil"/>
          <w:left w:val="nil"/>
          <w:bottom w:val="nil"/>
          <w:right w:val="nil"/>
          <w:between w:val="nil"/>
        </w:pBdr>
      </w:pPr>
      <w:r>
        <w:t>Information contained in this PIA is based on:</w:t>
      </w:r>
    </w:p>
    <w:p w:rsidR="0074306C" w:rsidRDefault="00A57F4C" w:rsidP="004C3ED8">
      <w:pPr>
        <w:numPr>
          <w:ilvl w:val="0"/>
          <w:numId w:val="30"/>
        </w:numPr>
        <w:pBdr>
          <w:top w:val="nil"/>
          <w:left w:val="nil"/>
          <w:bottom w:val="nil"/>
          <w:right w:val="nil"/>
          <w:between w:val="nil"/>
        </w:pBdr>
        <w:tabs>
          <w:tab w:val="left" w:pos="1701"/>
        </w:tabs>
        <w:spacing w:before="0" w:after="0"/>
        <w:ind w:hanging="360"/>
      </w:pPr>
      <w:r>
        <w:t>Meetings with the Department of Health, including senior management, technical staff, policy staff and the privacy compliance team;</w:t>
      </w:r>
    </w:p>
    <w:p w:rsidR="0074306C" w:rsidRDefault="00A57F4C" w:rsidP="004C3ED8">
      <w:pPr>
        <w:numPr>
          <w:ilvl w:val="0"/>
          <w:numId w:val="30"/>
        </w:numPr>
        <w:pBdr>
          <w:top w:val="nil"/>
          <w:left w:val="nil"/>
          <w:bottom w:val="nil"/>
          <w:right w:val="nil"/>
          <w:between w:val="nil"/>
        </w:pBdr>
        <w:tabs>
          <w:tab w:val="left" w:pos="1701"/>
        </w:tabs>
        <w:spacing w:before="0" w:after="0"/>
        <w:ind w:hanging="360"/>
      </w:pPr>
      <w:r>
        <w:t xml:space="preserve">Meetings with data owner/custodian stakeholders (further details included in </w:t>
      </w:r>
      <w:hyperlink w:anchor="_txo7pkyh0ip">
        <w:r>
          <w:rPr>
            <w:color w:val="1155CC"/>
            <w:u w:val="single"/>
          </w:rPr>
          <w:t>Appendix 3</w:t>
        </w:r>
      </w:hyperlink>
      <w:r>
        <w:t>);</w:t>
      </w:r>
    </w:p>
    <w:p w:rsidR="0074306C" w:rsidRDefault="00A57F4C" w:rsidP="004C3ED8">
      <w:pPr>
        <w:numPr>
          <w:ilvl w:val="0"/>
          <w:numId w:val="30"/>
        </w:numPr>
        <w:pBdr>
          <w:top w:val="nil"/>
          <w:left w:val="nil"/>
          <w:bottom w:val="nil"/>
          <w:right w:val="nil"/>
          <w:between w:val="nil"/>
        </w:pBdr>
        <w:tabs>
          <w:tab w:val="left" w:pos="1701"/>
        </w:tabs>
        <w:spacing w:before="0" w:after="0"/>
        <w:ind w:hanging="360"/>
      </w:pPr>
      <w:r>
        <w:t>Documentation related to the proposal;</w:t>
      </w:r>
    </w:p>
    <w:p w:rsidR="0074306C" w:rsidRDefault="00A57F4C" w:rsidP="004C3ED8">
      <w:pPr>
        <w:numPr>
          <w:ilvl w:val="0"/>
          <w:numId w:val="30"/>
        </w:numPr>
        <w:pBdr>
          <w:top w:val="nil"/>
          <w:left w:val="nil"/>
          <w:bottom w:val="nil"/>
          <w:right w:val="nil"/>
          <w:between w:val="nil"/>
        </w:pBdr>
        <w:tabs>
          <w:tab w:val="left" w:pos="1701"/>
        </w:tabs>
        <w:spacing w:before="0" w:after="0"/>
        <w:ind w:hanging="360"/>
      </w:pPr>
      <w:r>
        <w:t>General research and literature review on privacy and data sharing / data matching issues; and</w:t>
      </w:r>
    </w:p>
    <w:p w:rsidR="0074306C" w:rsidRDefault="00A57F4C" w:rsidP="004C3ED8">
      <w:pPr>
        <w:numPr>
          <w:ilvl w:val="0"/>
          <w:numId w:val="30"/>
        </w:numPr>
        <w:pBdr>
          <w:top w:val="nil"/>
          <w:left w:val="nil"/>
          <w:bottom w:val="nil"/>
          <w:right w:val="nil"/>
          <w:between w:val="nil"/>
        </w:pBdr>
        <w:tabs>
          <w:tab w:val="left" w:pos="1701"/>
        </w:tabs>
        <w:spacing w:before="0" w:after="0"/>
        <w:ind w:hanging="360"/>
      </w:pPr>
      <w:r>
        <w:t>Review of relevant privacy legislation and guidelines.</w:t>
      </w:r>
    </w:p>
    <w:p w:rsidR="0074306C" w:rsidRDefault="00A57F4C">
      <w:pPr>
        <w:keepNext/>
        <w:pBdr>
          <w:top w:val="nil"/>
          <w:left w:val="nil"/>
          <w:bottom w:val="nil"/>
          <w:right w:val="nil"/>
          <w:between w:val="nil"/>
        </w:pBdr>
      </w:pPr>
      <w:r>
        <w:lastRenderedPageBreak/>
        <w:t>Our advice in this PIA concentrates on the following areas:</w:t>
      </w:r>
    </w:p>
    <w:p w:rsidR="0074306C" w:rsidRDefault="00A57F4C" w:rsidP="004C3ED8">
      <w:pPr>
        <w:numPr>
          <w:ilvl w:val="0"/>
          <w:numId w:val="41"/>
        </w:numPr>
        <w:pBdr>
          <w:top w:val="nil"/>
          <w:left w:val="nil"/>
          <w:bottom w:val="nil"/>
          <w:right w:val="nil"/>
          <w:between w:val="nil"/>
        </w:pBdr>
        <w:tabs>
          <w:tab w:val="left" w:pos="1701"/>
        </w:tabs>
      </w:pPr>
      <w:r>
        <w:rPr>
          <w:b/>
        </w:rPr>
        <w:t>Privacy legislation compliance</w:t>
      </w:r>
      <w:r>
        <w:t xml:space="preserve"> – This PIA assesses the proposed sharing / matching of data between the Department of Health and a range of other agencies and third parties against the Australian Privacy Principles (</w:t>
      </w:r>
      <w:r>
        <w:rPr>
          <w:i/>
        </w:rPr>
        <w:t>APPs</w:t>
      </w:r>
      <w:r>
        <w:t xml:space="preserve">) in the </w:t>
      </w:r>
      <w:r>
        <w:rPr>
          <w:i/>
        </w:rPr>
        <w:t>Privacy Act 1988</w:t>
      </w:r>
      <w:r>
        <w:t xml:space="preserve"> (Refer to </w:t>
      </w:r>
      <w:hyperlink w:anchor="_ydjci0b11v68">
        <w:r>
          <w:rPr>
            <w:color w:val="1155CC"/>
            <w:u w:val="single"/>
          </w:rPr>
          <w:t>1.2. Australian Privacy Principle (APP) Compliance Summary</w:t>
        </w:r>
      </w:hyperlink>
      <w:r>
        <w:t>);</w:t>
      </w:r>
    </w:p>
    <w:p w:rsidR="0074306C" w:rsidRDefault="00A57F4C" w:rsidP="004C3ED8">
      <w:pPr>
        <w:numPr>
          <w:ilvl w:val="0"/>
          <w:numId w:val="41"/>
        </w:numPr>
        <w:pBdr>
          <w:top w:val="nil"/>
          <w:left w:val="nil"/>
          <w:bottom w:val="nil"/>
          <w:right w:val="nil"/>
          <w:between w:val="nil"/>
        </w:pBdr>
        <w:tabs>
          <w:tab w:val="left" w:pos="1701"/>
        </w:tabs>
      </w:pPr>
      <w:r>
        <w:rPr>
          <w:b/>
        </w:rPr>
        <w:t>Practical measures to address privacy</w:t>
      </w:r>
      <w:r>
        <w:t xml:space="preserve"> – This PIA identifies several practical measures that can be taken to manage privacy issues;</w:t>
      </w:r>
    </w:p>
    <w:p w:rsidR="0074306C" w:rsidRDefault="00A57F4C" w:rsidP="004C3ED8">
      <w:pPr>
        <w:numPr>
          <w:ilvl w:val="0"/>
          <w:numId w:val="41"/>
        </w:numPr>
        <w:pBdr>
          <w:top w:val="nil"/>
          <w:left w:val="nil"/>
          <w:bottom w:val="nil"/>
          <w:right w:val="nil"/>
          <w:between w:val="nil"/>
        </w:pBdr>
        <w:tabs>
          <w:tab w:val="left" w:pos="1701"/>
        </w:tabs>
      </w:pPr>
      <w:r>
        <w:rPr>
          <w:b/>
        </w:rPr>
        <w:t>Governance</w:t>
      </w:r>
      <w:r>
        <w:t xml:space="preserve"> – The PIA considers key privacy governance steps that could be implemented to ensure ongoing protection of privacy once data sharing / data matching proposals are operational (Refer to </w:t>
      </w:r>
      <w:hyperlink w:anchor="_hwu4ntxo6632">
        <w:r>
          <w:rPr>
            <w:color w:val="1155CC"/>
            <w:u w:val="single"/>
          </w:rPr>
          <w:t>18. Governance</w:t>
        </w:r>
      </w:hyperlink>
      <w:r>
        <w:t>); and</w:t>
      </w:r>
    </w:p>
    <w:p w:rsidR="0074306C" w:rsidRDefault="00A57F4C" w:rsidP="004C3ED8">
      <w:pPr>
        <w:numPr>
          <w:ilvl w:val="0"/>
          <w:numId w:val="41"/>
        </w:numPr>
        <w:pBdr>
          <w:top w:val="nil"/>
          <w:left w:val="nil"/>
          <w:bottom w:val="nil"/>
          <w:right w:val="nil"/>
          <w:between w:val="nil"/>
        </w:pBdr>
        <w:tabs>
          <w:tab w:val="left" w:pos="1701"/>
        </w:tabs>
      </w:pPr>
      <w:r>
        <w:rPr>
          <w:b/>
        </w:rPr>
        <w:t>Future work plan</w:t>
      </w:r>
      <w:r>
        <w:t xml:space="preserve"> – This PIA identifies several priority tasks to be included in the Department of Health’s future work plan. (Refer to </w:t>
      </w:r>
      <w:hyperlink w:anchor="_jobmmi2zjp66">
        <w:r>
          <w:rPr>
            <w:color w:val="1155CC"/>
            <w:u w:val="single"/>
          </w:rPr>
          <w:t>1.3. Future Work Plan</w:t>
        </w:r>
      </w:hyperlink>
      <w:r>
        <w:t>).</w:t>
      </w:r>
      <w:r>
        <w:br/>
      </w:r>
    </w:p>
    <w:p w:rsidR="0074306C" w:rsidRDefault="00A57F4C">
      <w:pPr>
        <w:pBdr>
          <w:top w:val="nil"/>
          <w:left w:val="nil"/>
          <w:bottom w:val="nil"/>
          <w:right w:val="nil"/>
          <w:between w:val="nil"/>
        </w:pBdr>
        <w:tabs>
          <w:tab w:val="left" w:pos="1701"/>
        </w:tabs>
      </w:pPr>
      <w:r>
        <w:t>This PIA has been conducted over a 12+ month period and has followed an iterative process. Some earlier advice and recommendations have already been adopted and actioned by the Department of Health and this has been progressively reflected in the findings and recommendations.</w:t>
      </w:r>
      <w:r>
        <w:br w:type="page"/>
      </w:r>
    </w:p>
    <w:p w:rsidR="0074306C" w:rsidRDefault="00A57F4C">
      <w:pPr>
        <w:pStyle w:val="Heading2"/>
        <w:pBdr>
          <w:top w:val="nil"/>
          <w:left w:val="nil"/>
          <w:bottom w:val="nil"/>
          <w:right w:val="nil"/>
          <w:between w:val="nil"/>
        </w:pBdr>
      </w:pPr>
      <w:bookmarkStart w:id="5" w:name="_ydjci0b11v68" w:colFirst="0" w:colLast="0"/>
      <w:bookmarkEnd w:id="5"/>
      <w:r>
        <w:lastRenderedPageBreak/>
        <w:t>1.2. Australian Privacy Principle (APP) Compliance Summary</w:t>
      </w:r>
    </w:p>
    <w:p w:rsidR="0074306C" w:rsidRDefault="00A57F4C">
      <w:pPr>
        <w:keepNext/>
        <w:pBdr>
          <w:top w:val="nil"/>
          <w:left w:val="nil"/>
          <w:bottom w:val="nil"/>
          <w:right w:val="nil"/>
          <w:between w:val="nil"/>
        </w:pBdr>
      </w:pPr>
      <w:r>
        <w:t xml:space="preserve">This PIA assesses the proposed data sharing and data matching against the APPs in the Commonwealth </w:t>
      </w:r>
      <w:r>
        <w:rPr>
          <w:i/>
        </w:rPr>
        <w:t>Privacy Act</w:t>
      </w:r>
      <w:r>
        <w:t xml:space="preserve">. The scope of this PIA is limited to the use of matched data by the Department of Health, and therefore this PIA only considers privacy issues in the context of </w:t>
      </w:r>
      <w:r>
        <w:rPr>
          <w:i/>
        </w:rPr>
        <w:t>provider</w:t>
      </w:r>
      <w:r>
        <w:t xml:space="preserve"> compliance. The use of matched data by the Department of Human Services is outside the scope of this PIA. </w:t>
      </w:r>
    </w:p>
    <w:p w:rsidR="0074306C" w:rsidRDefault="00A57F4C">
      <w:pPr>
        <w:rPr>
          <w:highlight w:val="yellow"/>
        </w:rPr>
      </w:pPr>
      <w:r>
        <w:t>This</w:t>
      </w:r>
      <w:r>
        <w:rPr>
          <w:b/>
        </w:rPr>
        <w:t xml:space="preserve"> </w:t>
      </w:r>
      <w:r>
        <w:t xml:space="preserve">PIA has been developed on the assumption that the proposed </w:t>
      </w:r>
      <w:r>
        <w:rPr>
          <w:i/>
        </w:rPr>
        <w:t>Health Legislation Amendment (Data-matching) Bill (2019</w:t>
      </w:r>
      <w:r>
        <w:t>) has been passed</w:t>
      </w:r>
      <w:r>
        <w:rPr>
          <w:i/>
        </w:rPr>
        <w:t>.</w:t>
      </w:r>
      <w:r>
        <w:t xml:space="preserve"> Any later changes to the bill or legislative package may require revisions to this privacy advice.</w:t>
      </w:r>
    </w:p>
    <w:p w:rsidR="0074306C" w:rsidRDefault="00A57F4C">
      <w:pPr>
        <w:keepNext/>
        <w:pBdr>
          <w:top w:val="nil"/>
          <w:left w:val="nil"/>
          <w:bottom w:val="nil"/>
          <w:right w:val="nil"/>
          <w:between w:val="nil"/>
        </w:pBdr>
      </w:pPr>
      <w:r>
        <w:t>The following table summarises the main findings, with links to further information and detailed discussion in the text:</w:t>
      </w:r>
      <w:r>
        <w:br/>
      </w:r>
    </w:p>
    <w:tbl>
      <w:tblPr>
        <w:tblStyle w:val="a0"/>
        <w:tblW w:w="975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351"/>
        <w:gridCol w:w="1125"/>
        <w:gridCol w:w="3637"/>
        <w:gridCol w:w="3637"/>
      </w:tblGrid>
      <w:tr w:rsidR="0074306C">
        <w:trPr>
          <w:jc w:val="center"/>
        </w:trPr>
        <w:tc>
          <w:tcPr>
            <w:tcW w:w="1350" w:type="dxa"/>
            <w:shd w:val="clear" w:color="auto" w:fill="E6E6E6"/>
            <w:tcMar>
              <w:top w:w="56" w:type="dxa"/>
              <w:left w:w="56" w:type="dxa"/>
              <w:bottom w:w="56" w:type="dxa"/>
              <w:right w:w="56" w:type="dxa"/>
            </w:tcMar>
            <w:vAlign w:val="bottom"/>
          </w:tcPr>
          <w:p w:rsidR="0074306C" w:rsidRDefault="00A57F4C">
            <w:pPr>
              <w:pBdr>
                <w:top w:val="nil"/>
                <w:left w:val="nil"/>
                <w:bottom w:val="nil"/>
                <w:right w:val="nil"/>
                <w:between w:val="nil"/>
              </w:pBdr>
              <w:spacing w:before="0" w:after="0"/>
              <w:jc w:val="center"/>
              <w:rPr>
                <w:rFonts w:ascii="Arial" w:eastAsia="Arial" w:hAnsi="Arial" w:cs="Arial"/>
                <w:b/>
                <w:sz w:val="16"/>
                <w:szCs w:val="16"/>
              </w:rPr>
            </w:pPr>
            <w:r>
              <w:rPr>
                <w:rFonts w:ascii="Arial" w:eastAsia="Arial" w:hAnsi="Arial" w:cs="Arial"/>
                <w:b/>
                <w:sz w:val="16"/>
                <w:szCs w:val="16"/>
              </w:rPr>
              <w:t>Australian Privacy Principle (APP) / Privacy Component</w:t>
            </w:r>
          </w:p>
        </w:tc>
        <w:tc>
          <w:tcPr>
            <w:tcW w:w="1125" w:type="dxa"/>
            <w:tcBorders>
              <w:bottom w:val="single" w:sz="4" w:space="0" w:color="808285"/>
            </w:tcBorders>
            <w:shd w:val="clear" w:color="auto" w:fill="E6E6E6"/>
            <w:tcMar>
              <w:top w:w="56" w:type="dxa"/>
              <w:left w:w="56" w:type="dxa"/>
              <w:bottom w:w="56" w:type="dxa"/>
              <w:right w:w="56" w:type="dxa"/>
            </w:tcMar>
            <w:vAlign w:val="bottom"/>
          </w:tcPr>
          <w:p w:rsidR="0074306C" w:rsidRDefault="00A57F4C">
            <w:pPr>
              <w:pBdr>
                <w:top w:val="nil"/>
                <w:left w:val="nil"/>
                <w:bottom w:val="nil"/>
                <w:right w:val="nil"/>
                <w:between w:val="nil"/>
              </w:pBdr>
              <w:spacing w:before="0" w:after="0"/>
              <w:jc w:val="center"/>
              <w:rPr>
                <w:rFonts w:ascii="Arial" w:eastAsia="Arial" w:hAnsi="Arial" w:cs="Arial"/>
                <w:b/>
                <w:sz w:val="16"/>
                <w:szCs w:val="16"/>
              </w:rPr>
            </w:pPr>
            <w:r>
              <w:rPr>
                <w:rFonts w:ascii="Arial" w:eastAsia="Arial" w:hAnsi="Arial" w:cs="Arial"/>
                <w:b/>
                <w:sz w:val="16"/>
                <w:szCs w:val="16"/>
              </w:rPr>
              <w:t>Compliance Status</w:t>
            </w:r>
          </w:p>
        </w:tc>
        <w:tc>
          <w:tcPr>
            <w:tcW w:w="3637" w:type="dxa"/>
            <w:shd w:val="clear" w:color="auto" w:fill="E6E6E6"/>
            <w:tcMar>
              <w:top w:w="56" w:type="dxa"/>
              <w:left w:w="56" w:type="dxa"/>
              <w:bottom w:w="56" w:type="dxa"/>
              <w:right w:w="56" w:type="dxa"/>
            </w:tcMar>
            <w:vAlign w:val="bottom"/>
          </w:tcPr>
          <w:p w:rsidR="0074306C" w:rsidRDefault="00A57F4C">
            <w:pPr>
              <w:pBdr>
                <w:top w:val="nil"/>
                <w:left w:val="nil"/>
                <w:bottom w:val="nil"/>
                <w:right w:val="nil"/>
                <w:between w:val="nil"/>
              </w:pBdr>
              <w:spacing w:before="0" w:after="0"/>
              <w:jc w:val="center"/>
              <w:rPr>
                <w:rFonts w:ascii="Arial" w:eastAsia="Arial" w:hAnsi="Arial" w:cs="Arial"/>
                <w:b/>
                <w:sz w:val="16"/>
                <w:szCs w:val="16"/>
              </w:rPr>
            </w:pPr>
            <w:r>
              <w:rPr>
                <w:rFonts w:ascii="Arial" w:eastAsia="Arial" w:hAnsi="Arial" w:cs="Arial"/>
                <w:b/>
                <w:sz w:val="16"/>
                <w:szCs w:val="16"/>
              </w:rPr>
              <w:t>Findings Summary</w:t>
            </w:r>
          </w:p>
        </w:tc>
        <w:tc>
          <w:tcPr>
            <w:tcW w:w="3637" w:type="dxa"/>
            <w:shd w:val="clear" w:color="auto" w:fill="E6E6E6"/>
            <w:tcMar>
              <w:top w:w="56" w:type="dxa"/>
              <w:left w:w="56" w:type="dxa"/>
              <w:bottom w:w="56" w:type="dxa"/>
              <w:right w:w="56" w:type="dxa"/>
            </w:tcMar>
            <w:vAlign w:val="bottom"/>
          </w:tcPr>
          <w:p w:rsidR="0074306C" w:rsidRDefault="00A57F4C">
            <w:pPr>
              <w:pBdr>
                <w:top w:val="nil"/>
                <w:left w:val="nil"/>
                <w:bottom w:val="nil"/>
                <w:right w:val="nil"/>
                <w:between w:val="nil"/>
              </w:pBdr>
              <w:spacing w:before="0" w:after="0"/>
              <w:jc w:val="center"/>
              <w:rPr>
                <w:rFonts w:ascii="Arial" w:eastAsia="Arial" w:hAnsi="Arial" w:cs="Arial"/>
                <w:b/>
                <w:sz w:val="16"/>
                <w:szCs w:val="16"/>
              </w:rPr>
            </w:pPr>
            <w:r>
              <w:rPr>
                <w:rFonts w:ascii="Arial" w:eastAsia="Arial" w:hAnsi="Arial" w:cs="Arial"/>
                <w:b/>
                <w:sz w:val="16"/>
                <w:szCs w:val="16"/>
              </w:rPr>
              <w:t>Recommendation</w:t>
            </w:r>
          </w:p>
        </w:tc>
      </w:tr>
      <w:tr w:rsidR="0074306C">
        <w:trPr>
          <w:jc w:val="center"/>
        </w:trPr>
        <w:tc>
          <w:tcPr>
            <w:tcW w:w="1350" w:type="dxa"/>
            <w:tcMar>
              <w:top w:w="56" w:type="dxa"/>
              <w:left w:w="56" w:type="dxa"/>
              <w:bottom w:w="56" w:type="dxa"/>
              <w:right w:w="56" w:type="dxa"/>
            </w:tcMar>
          </w:tcPr>
          <w:p w:rsidR="0074306C" w:rsidRDefault="00C907A7">
            <w:pPr>
              <w:pBdr>
                <w:top w:val="nil"/>
                <w:left w:val="nil"/>
                <w:bottom w:val="nil"/>
                <w:right w:val="nil"/>
                <w:between w:val="nil"/>
              </w:pBdr>
              <w:spacing w:before="0" w:after="0"/>
              <w:rPr>
                <w:rFonts w:ascii="Arial" w:eastAsia="Arial" w:hAnsi="Arial" w:cs="Arial"/>
                <w:b/>
                <w:sz w:val="16"/>
                <w:szCs w:val="16"/>
              </w:rPr>
            </w:pPr>
            <w:hyperlink w:anchor="_qsh70q">
              <w:r w:rsidR="00A57F4C">
                <w:rPr>
                  <w:rFonts w:ascii="Arial" w:eastAsia="Arial" w:hAnsi="Arial" w:cs="Arial"/>
                  <w:b/>
                  <w:color w:val="1155CC"/>
                  <w:sz w:val="16"/>
                  <w:szCs w:val="16"/>
                  <w:u w:val="single"/>
                </w:rPr>
                <w:t>Is the data ‘personal information’?</w:t>
              </w:r>
            </w:hyperlink>
          </w:p>
        </w:tc>
        <w:tc>
          <w:tcPr>
            <w:tcW w:w="1125" w:type="dxa"/>
            <w:tcBorders>
              <w:bottom w:val="single" w:sz="4" w:space="0" w:color="808285"/>
            </w:tcBorders>
            <w:tcMar>
              <w:top w:w="56" w:type="dxa"/>
              <w:left w:w="56" w:type="dxa"/>
              <w:bottom w:w="56" w:type="dxa"/>
              <w:right w:w="56" w:type="dxa"/>
            </w:tcMar>
          </w:tcPr>
          <w:p w:rsidR="0074306C" w:rsidRDefault="00A57F4C">
            <w:pPr>
              <w:pBdr>
                <w:top w:val="nil"/>
                <w:left w:val="nil"/>
                <w:bottom w:val="nil"/>
                <w:right w:val="nil"/>
                <w:between w:val="nil"/>
              </w:pBdr>
              <w:spacing w:before="0" w:after="0"/>
              <w:jc w:val="center"/>
              <w:rPr>
                <w:rFonts w:ascii="Arial" w:eastAsia="Arial" w:hAnsi="Arial" w:cs="Arial"/>
                <w:b/>
                <w:sz w:val="16"/>
                <w:szCs w:val="16"/>
              </w:rPr>
            </w:pPr>
            <w:r>
              <w:rPr>
                <w:rFonts w:ascii="Arial" w:eastAsia="Arial" w:hAnsi="Arial" w:cs="Arial"/>
                <w:b/>
                <w:sz w:val="16"/>
                <w:szCs w:val="16"/>
              </w:rPr>
              <w:t>Not applicable</w:t>
            </w:r>
          </w:p>
        </w:tc>
        <w:tc>
          <w:tcPr>
            <w:tcW w:w="3637" w:type="dxa"/>
            <w:tcMar>
              <w:top w:w="56" w:type="dxa"/>
              <w:left w:w="56" w:type="dxa"/>
              <w:bottom w:w="56" w:type="dxa"/>
              <w:right w:w="56" w:type="dxa"/>
            </w:tcMar>
          </w:tcPr>
          <w:p w:rsidR="0074306C" w:rsidRDefault="00A57F4C">
            <w:pPr>
              <w:pBdr>
                <w:top w:val="nil"/>
                <w:left w:val="nil"/>
                <w:bottom w:val="nil"/>
                <w:right w:val="nil"/>
                <w:between w:val="nil"/>
              </w:pBdr>
              <w:tabs>
                <w:tab w:val="left" w:pos="284"/>
              </w:tabs>
              <w:spacing w:before="0" w:after="0"/>
              <w:rPr>
                <w:rFonts w:ascii="Arial" w:eastAsia="Arial" w:hAnsi="Arial" w:cs="Arial"/>
                <w:sz w:val="16"/>
                <w:szCs w:val="16"/>
              </w:rPr>
            </w:pPr>
            <w:r>
              <w:rPr>
                <w:rFonts w:ascii="Arial" w:eastAsia="Arial" w:hAnsi="Arial" w:cs="Arial"/>
                <w:sz w:val="16"/>
                <w:szCs w:val="16"/>
              </w:rPr>
              <w:t>Nearly all of the data that is proposed to be shared / matched will be linked to an individual, or can be linked to the correct individual. All data matched for compliance purposes should all be treated as personal information for the purpose of compliance with the APPs.</w:t>
            </w:r>
          </w:p>
          <w:p w:rsidR="0074306C" w:rsidRDefault="0074306C">
            <w:pPr>
              <w:pBdr>
                <w:top w:val="nil"/>
                <w:left w:val="nil"/>
                <w:bottom w:val="nil"/>
                <w:right w:val="nil"/>
                <w:between w:val="nil"/>
              </w:pBdr>
              <w:tabs>
                <w:tab w:val="left" w:pos="284"/>
              </w:tabs>
              <w:spacing w:before="0" w:after="0"/>
              <w:rPr>
                <w:rFonts w:ascii="Arial" w:eastAsia="Arial" w:hAnsi="Arial" w:cs="Arial"/>
                <w:sz w:val="16"/>
                <w:szCs w:val="16"/>
              </w:rPr>
            </w:pPr>
          </w:p>
          <w:p w:rsidR="0074306C" w:rsidRDefault="00A57F4C">
            <w:pPr>
              <w:pBdr>
                <w:top w:val="nil"/>
                <w:left w:val="nil"/>
                <w:bottom w:val="nil"/>
                <w:right w:val="nil"/>
                <w:between w:val="nil"/>
              </w:pBdr>
              <w:tabs>
                <w:tab w:val="left" w:pos="284"/>
              </w:tabs>
              <w:spacing w:before="0" w:after="0"/>
              <w:rPr>
                <w:rFonts w:ascii="Arial" w:eastAsia="Arial" w:hAnsi="Arial" w:cs="Arial"/>
                <w:sz w:val="16"/>
                <w:szCs w:val="16"/>
              </w:rPr>
            </w:pPr>
            <w:r>
              <w:rPr>
                <w:rFonts w:ascii="Arial" w:eastAsia="Arial" w:hAnsi="Arial" w:cs="Arial"/>
                <w:sz w:val="16"/>
                <w:szCs w:val="16"/>
              </w:rPr>
              <w:t xml:space="preserve">Some of the data also falls into the category of sensitive information. This has implications for compliance with </w:t>
            </w:r>
            <w:hyperlink w:anchor="_7ve6x3fb51mx">
              <w:r>
                <w:rPr>
                  <w:rFonts w:ascii="Arial" w:eastAsia="Arial" w:hAnsi="Arial" w:cs="Arial"/>
                  <w:color w:val="1155CC"/>
                  <w:sz w:val="16"/>
                  <w:szCs w:val="16"/>
                  <w:u w:val="single"/>
                </w:rPr>
                <w:t>APP 3</w:t>
              </w:r>
            </w:hyperlink>
            <w:r>
              <w:rPr>
                <w:rFonts w:ascii="Arial" w:eastAsia="Arial" w:hAnsi="Arial" w:cs="Arial"/>
                <w:sz w:val="16"/>
                <w:szCs w:val="16"/>
              </w:rPr>
              <w:t xml:space="preserve"> and </w:t>
            </w:r>
            <w:hyperlink w:anchor="_1egqt2p">
              <w:r>
                <w:rPr>
                  <w:rFonts w:ascii="Arial" w:eastAsia="Arial" w:hAnsi="Arial" w:cs="Arial"/>
                  <w:color w:val="1155CC"/>
                  <w:sz w:val="16"/>
                  <w:szCs w:val="16"/>
                  <w:u w:val="single"/>
                </w:rPr>
                <w:t>APP 6</w:t>
              </w:r>
            </w:hyperlink>
            <w:r>
              <w:rPr>
                <w:rFonts w:ascii="Arial" w:eastAsia="Arial" w:hAnsi="Arial" w:cs="Arial"/>
                <w:sz w:val="16"/>
                <w:szCs w:val="16"/>
              </w:rPr>
              <w:t xml:space="preserve"> (discussed below). </w:t>
            </w:r>
          </w:p>
        </w:tc>
        <w:tc>
          <w:tcPr>
            <w:tcW w:w="3637" w:type="dxa"/>
            <w:tcMar>
              <w:top w:w="56" w:type="dxa"/>
              <w:left w:w="56" w:type="dxa"/>
              <w:bottom w:w="56" w:type="dxa"/>
              <w:right w:w="56" w:type="dxa"/>
            </w:tcMar>
          </w:tcPr>
          <w:p w:rsidR="0074306C" w:rsidRDefault="0074306C">
            <w:pPr>
              <w:pBdr>
                <w:top w:val="nil"/>
                <w:left w:val="nil"/>
                <w:bottom w:val="nil"/>
                <w:right w:val="nil"/>
                <w:between w:val="nil"/>
              </w:pBdr>
              <w:spacing w:before="0" w:after="0"/>
              <w:rPr>
                <w:rFonts w:ascii="Arial" w:eastAsia="Arial" w:hAnsi="Arial" w:cs="Arial"/>
                <w:b/>
                <w:sz w:val="16"/>
                <w:szCs w:val="16"/>
              </w:rPr>
            </w:pPr>
          </w:p>
        </w:tc>
      </w:tr>
      <w:tr w:rsidR="0074306C">
        <w:trPr>
          <w:jc w:val="center"/>
        </w:trPr>
        <w:tc>
          <w:tcPr>
            <w:tcW w:w="1350" w:type="dxa"/>
            <w:shd w:val="clear" w:color="auto" w:fill="FFF2CC"/>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23ckvvd">
              <w:r w:rsidR="00A57F4C">
                <w:rPr>
                  <w:rFonts w:ascii="Arial" w:eastAsia="Arial" w:hAnsi="Arial" w:cs="Arial"/>
                  <w:b/>
                  <w:color w:val="1155CC"/>
                  <w:sz w:val="16"/>
                  <w:szCs w:val="16"/>
                  <w:u w:val="single"/>
                </w:rPr>
                <w:t>APP 1</w:t>
              </w:r>
            </w:hyperlink>
            <w:r w:rsidR="00A57F4C">
              <w:rPr>
                <w:rFonts w:ascii="Arial" w:eastAsia="Arial" w:hAnsi="Arial" w:cs="Arial"/>
                <w:b/>
                <w:sz w:val="16"/>
                <w:szCs w:val="16"/>
              </w:rPr>
              <w:t xml:space="preserve"> – Openness and transparent management</w:t>
            </w:r>
          </w:p>
        </w:tc>
        <w:tc>
          <w:tcPr>
            <w:tcW w:w="1125" w:type="dxa"/>
            <w:tcBorders>
              <w:bottom w:val="single" w:sz="4" w:space="0" w:color="808285"/>
            </w:tcBorders>
            <w:shd w:val="clear" w:color="auto" w:fill="FFF2CC"/>
            <w:tcMar>
              <w:top w:w="56" w:type="dxa"/>
              <w:left w:w="56" w:type="dxa"/>
              <w:bottom w:w="56" w:type="dxa"/>
              <w:right w:w="56" w:type="dxa"/>
            </w:tcMar>
          </w:tcPr>
          <w:p w:rsidR="0074306C" w:rsidRDefault="00A57F4C">
            <w:pPr>
              <w:spacing w:before="0" w:after="0"/>
              <w:jc w:val="center"/>
            </w:pPr>
            <w:r>
              <w:rPr>
                <w:rFonts w:ascii="Arial" w:eastAsia="Arial" w:hAnsi="Arial" w:cs="Arial"/>
                <w:b/>
                <w:sz w:val="16"/>
                <w:szCs w:val="16"/>
              </w:rPr>
              <w:t>In Progress</w:t>
            </w:r>
          </w:p>
        </w:tc>
        <w:tc>
          <w:tcPr>
            <w:tcW w:w="3637" w:type="dxa"/>
            <w:shd w:val="clear" w:color="auto" w:fill="FFF2CC"/>
            <w:tcMar>
              <w:top w:w="56" w:type="dxa"/>
              <w:left w:w="56" w:type="dxa"/>
              <w:bottom w:w="56" w:type="dxa"/>
              <w:right w:w="56" w:type="dxa"/>
            </w:tcMar>
          </w:tcPr>
          <w:p w:rsidR="0074306C" w:rsidRDefault="00A57F4C">
            <w:pPr>
              <w:pBdr>
                <w:top w:val="nil"/>
                <w:left w:val="nil"/>
                <w:bottom w:val="nil"/>
                <w:right w:val="nil"/>
                <w:between w:val="nil"/>
              </w:pBdr>
              <w:tabs>
                <w:tab w:val="left" w:pos="284"/>
              </w:tabs>
              <w:spacing w:before="0" w:after="0"/>
              <w:rPr>
                <w:rFonts w:ascii="Arial" w:eastAsia="Arial" w:hAnsi="Arial" w:cs="Arial"/>
                <w:sz w:val="16"/>
                <w:szCs w:val="16"/>
              </w:rPr>
            </w:pPr>
            <w:r>
              <w:rPr>
                <w:rFonts w:ascii="Arial" w:eastAsia="Arial" w:hAnsi="Arial" w:cs="Arial"/>
                <w:sz w:val="16"/>
                <w:szCs w:val="16"/>
              </w:rPr>
              <w:t xml:space="preserve">The proposed data sharing and data matching arrangements for fraud detection and compliance related activities are new procedures. </w:t>
            </w:r>
            <w:r>
              <w:rPr>
                <w:rFonts w:ascii="Arial" w:eastAsia="Arial" w:hAnsi="Arial" w:cs="Arial"/>
                <w:sz w:val="16"/>
                <w:szCs w:val="16"/>
              </w:rPr>
              <w:br/>
            </w:r>
            <w:r>
              <w:rPr>
                <w:rFonts w:ascii="Arial" w:eastAsia="Arial" w:hAnsi="Arial" w:cs="Arial"/>
                <w:sz w:val="16"/>
                <w:szCs w:val="16"/>
              </w:rPr>
              <w:br/>
              <w:t xml:space="preserve">APP 1 requires the Department of Health to be open and transparent about these new arrangements, and to take reasonable steps to implement practices, procedures and systems to ensure compliance with the other APPs and any applicable privacy code. </w:t>
            </w:r>
            <w:r>
              <w:rPr>
                <w:rFonts w:ascii="Arial" w:eastAsia="Arial" w:hAnsi="Arial" w:cs="Arial"/>
                <w:sz w:val="16"/>
                <w:szCs w:val="16"/>
              </w:rPr>
              <w:br/>
            </w:r>
            <w:r>
              <w:rPr>
                <w:rFonts w:ascii="Arial" w:eastAsia="Arial" w:hAnsi="Arial" w:cs="Arial"/>
                <w:sz w:val="16"/>
                <w:szCs w:val="16"/>
              </w:rPr>
              <w:br/>
              <w:t xml:space="preserve">There may be follow on consequences for partner agencies / data sources regarding their own compliance with APP 1. </w:t>
            </w:r>
            <w:r>
              <w:rPr>
                <w:rFonts w:ascii="Arial" w:eastAsia="Arial" w:hAnsi="Arial" w:cs="Arial"/>
                <w:sz w:val="16"/>
                <w:szCs w:val="16"/>
              </w:rPr>
              <w:br/>
            </w:r>
            <w:r>
              <w:rPr>
                <w:rFonts w:ascii="Arial" w:eastAsia="Arial" w:hAnsi="Arial" w:cs="Arial"/>
                <w:sz w:val="16"/>
                <w:szCs w:val="16"/>
              </w:rPr>
              <w:br/>
              <w:t>The Department of Health and Department of Human Services have acknowledged the need to update their Privacy Policies and at the time of completing this PIA these changes are in progress.</w:t>
            </w:r>
            <w:r>
              <w:rPr>
                <w:rFonts w:ascii="Arial" w:eastAsia="Arial" w:hAnsi="Arial" w:cs="Arial"/>
                <w:sz w:val="16"/>
                <w:szCs w:val="16"/>
              </w:rPr>
              <w:br/>
            </w:r>
          </w:p>
          <w:p w:rsidR="0074306C" w:rsidRDefault="00A57F4C">
            <w:pPr>
              <w:pBdr>
                <w:top w:val="nil"/>
                <w:left w:val="nil"/>
                <w:bottom w:val="nil"/>
                <w:right w:val="nil"/>
                <w:between w:val="nil"/>
              </w:pBdr>
              <w:tabs>
                <w:tab w:val="left" w:pos="284"/>
              </w:tabs>
              <w:spacing w:before="0" w:after="0"/>
              <w:rPr>
                <w:rFonts w:ascii="Arial" w:eastAsia="Arial" w:hAnsi="Arial" w:cs="Arial"/>
                <w:sz w:val="16"/>
                <w:szCs w:val="16"/>
              </w:rPr>
            </w:pPr>
            <w:r>
              <w:rPr>
                <w:rFonts w:ascii="Arial" w:eastAsia="Arial" w:hAnsi="Arial" w:cs="Arial"/>
                <w:b/>
                <w:sz w:val="16"/>
                <w:szCs w:val="16"/>
              </w:rPr>
              <w:t>Note:</w:t>
            </w:r>
            <w:r>
              <w:rPr>
                <w:rFonts w:ascii="Arial" w:eastAsia="Arial" w:hAnsi="Arial" w:cs="Arial"/>
                <w:sz w:val="16"/>
                <w:szCs w:val="16"/>
              </w:rPr>
              <w:t xml:space="preserve"> There is a further discussion of potential governance arrangements to assist in privacy compliance in </w:t>
            </w:r>
            <w:hyperlink w:anchor="_hwu4ntxo6632">
              <w:r>
                <w:rPr>
                  <w:rFonts w:ascii="Arial" w:eastAsia="Arial" w:hAnsi="Arial" w:cs="Arial"/>
                  <w:color w:val="1155CC"/>
                  <w:sz w:val="16"/>
                  <w:szCs w:val="16"/>
                  <w:u w:val="single"/>
                </w:rPr>
                <w:t>Section 18. Governance</w:t>
              </w:r>
            </w:hyperlink>
            <w:r>
              <w:rPr>
                <w:rFonts w:ascii="Arial" w:eastAsia="Arial" w:hAnsi="Arial" w:cs="Arial"/>
                <w:sz w:val="16"/>
                <w:szCs w:val="16"/>
              </w:rPr>
              <w:t xml:space="preserve"> (below). These governance arrangements will also address openness and transparency and assist in compliance with APP 1.</w:t>
            </w:r>
          </w:p>
        </w:tc>
        <w:tc>
          <w:tcPr>
            <w:tcW w:w="3637" w:type="dxa"/>
            <w:shd w:val="clear" w:color="auto" w:fill="A4C2F4"/>
            <w:tcMar>
              <w:top w:w="56" w:type="dxa"/>
              <w:left w:w="56" w:type="dxa"/>
              <w:bottom w:w="56" w:type="dxa"/>
              <w:right w:w="56" w:type="dxa"/>
            </w:tcMar>
          </w:tcPr>
          <w:p w:rsidR="0074306C" w:rsidRDefault="00A57F4C">
            <w:pPr>
              <w:tabs>
                <w:tab w:val="left" w:pos="284"/>
              </w:tabs>
              <w:spacing w:before="0" w:after="0"/>
              <w:rPr>
                <w:rFonts w:ascii="Arial" w:eastAsia="Arial" w:hAnsi="Arial" w:cs="Arial"/>
                <w:sz w:val="16"/>
                <w:szCs w:val="16"/>
              </w:rPr>
            </w:pPr>
            <w:r>
              <w:rPr>
                <w:rFonts w:ascii="Arial" w:eastAsia="Arial" w:hAnsi="Arial" w:cs="Arial"/>
                <w:b/>
                <w:sz w:val="16"/>
                <w:szCs w:val="16"/>
              </w:rPr>
              <w:t>Recommendation 1. Improved openness in Privacy Policies about data sources</w:t>
            </w:r>
            <w:r>
              <w:rPr>
                <w:rFonts w:ascii="Arial" w:eastAsia="Arial" w:hAnsi="Arial" w:cs="Arial"/>
                <w:b/>
                <w:sz w:val="16"/>
                <w:szCs w:val="16"/>
              </w:rPr>
              <w:br/>
            </w:r>
            <w:r>
              <w:rPr>
                <w:rFonts w:ascii="Arial" w:eastAsia="Arial" w:hAnsi="Arial" w:cs="Arial"/>
                <w:sz w:val="16"/>
                <w:szCs w:val="16"/>
              </w:rPr>
              <w:t>The Department of Health should amend the Privacy Policy to be more open about the collection of new data fields and the extensive variety of data sources. As some initial data collection occurs via the Department of Human Services (DHS), this recommendation extends to the DHS Privacy Policy.</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Recommendation 2. Improved openness in Privacy Policies about data sharing / matching</w:t>
            </w:r>
            <w:r>
              <w:rPr>
                <w:rFonts w:ascii="Arial" w:eastAsia="Arial" w:hAnsi="Arial" w:cs="Arial"/>
                <w:b/>
                <w:sz w:val="16"/>
                <w:szCs w:val="16"/>
              </w:rPr>
              <w:br/>
            </w:r>
            <w:r>
              <w:rPr>
                <w:rFonts w:ascii="Arial" w:eastAsia="Arial" w:hAnsi="Arial" w:cs="Arial"/>
                <w:sz w:val="16"/>
                <w:szCs w:val="16"/>
              </w:rPr>
              <w:t>The Department of Health should amend the Privacy Policy to be more open about the use of routine data sharing for controlled data-matching’ activities, and to update the list of likely external agencies involved in data sharing / matching. As some initial data collection occurs via the DHS, this recommendation extends to the DHS Privacy Policy.</w:t>
            </w:r>
          </w:p>
          <w:p w:rsidR="0074306C" w:rsidRDefault="0074306C">
            <w:pPr>
              <w:tabs>
                <w:tab w:val="left" w:pos="284"/>
              </w:tabs>
              <w:spacing w:before="0" w:after="0"/>
              <w:rPr>
                <w:rFonts w:ascii="Arial" w:eastAsia="Arial" w:hAnsi="Arial" w:cs="Arial"/>
                <w:sz w:val="16"/>
                <w:szCs w:val="16"/>
              </w:rPr>
            </w:pPr>
          </w:p>
          <w:p w:rsidR="0074306C" w:rsidRDefault="00A57F4C">
            <w:pPr>
              <w:tabs>
                <w:tab w:val="left" w:pos="284"/>
              </w:tabs>
              <w:spacing w:before="0" w:after="0"/>
              <w:rPr>
                <w:rFonts w:ascii="Arial" w:eastAsia="Arial" w:hAnsi="Arial" w:cs="Arial"/>
                <w:b/>
                <w:sz w:val="16"/>
                <w:szCs w:val="16"/>
              </w:rPr>
            </w:pPr>
            <w:r>
              <w:rPr>
                <w:rFonts w:ascii="Arial" w:eastAsia="Arial" w:hAnsi="Arial" w:cs="Arial"/>
                <w:b/>
                <w:sz w:val="16"/>
                <w:szCs w:val="16"/>
              </w:rPr>
              <w:lastRenderedPageBreak/>
              <w:t>Recommendation 3. Establish an online resource to improve openness and transparency about data sharing / matching</w:t>
            </w:r>
            <w:r>
              <w:rPr>
                <w:rFonts w:ascii="Arial" w:eastAsia="Arial" w:hAnsi="Arial" w:cs="Arial"/>
                <w:sz w:val="16"/>
                <w:szCs w:val="16"/>
              </w:rPr>
              <w:br/>
              <w:t>The Department of Health should establish a dedicated website or secure data transfer facility with a list of key documents, a register of data matching activities, contact details and other relevant information about its data sharing / data matching activities.</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Recommendation 4. Improve openness and transparency at partner agencies / data sources regarding data sharing / data matching with the Department of Health</w:t>
            </w:r>
          </w:p>
          <w:p w:rsidR="0074306C" w:rsidRDefault="00A57F4C">
            <w:pPr>
              <w:tabs>
                <w:tab w:val="left" w:pos="284"/>
              </w:tabs>
              <w:spacing w:before="0" w:after="0"/>
              <w:rPr>
                <w:rFonts w:ascii="Arial" w:eastAsia="Arial" w:hAnsi="Arial" w:cs="Arial"/>
                <w:sz w:val="16"/>
                <w:szCs w:val="16"/>
              </w:rPr>
            </w:pPr>
            <w:r>
              <w:rPr>
                <w:rFonts w:ascii="Arial" w:eastAsia="Arial" w:hAnsi="Arial" w:cs="Arial"/>
                <w:sz w:val="16"/>
                <w:szCs w:val="16"/>
              </w:rPr>
              <w:t>The Department of Health should take steps to encourage improved openness and transparency at partner agencies and data sources regarding data sharing / data matching activities. This could include provisions in the data sharing agreements and regular checks and updates. Openness and transparency at partner agencies and data sources could be improved by:</w:t>
            </w:r>
          </w:p>
          <w:p w:rsidR="0074306C" w:rsidRDefault="00A57F4C">
            <w:pPr>
              <w:tabs>
                <w:tab w:val="left" w:pos="284"/>
              </w:tabs>
              <w:spacing w:before="0" w:after="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sz w:val="16"/>
                <w:szCs w:val="16"/>
              </w:rPr>
              <w:t xml:space="preserve">1. </w:t>
            </w:r>
            <w:r>
              <w:rPr>
                <w:rFonts w:ascii="Arial" w:eastAsia="Arial" w:hAnsi="Arial" w:cs="Arial"/>
                <w:sz w:val="16"/>
                <w:szCs w:val="16"/>
              </w:rPr>
              <w:t>Changes to relevant privacy policies, naming the Department of Health as an entity that shares / receives data; and</w:t>
            </w:r>
          </w:p>
          <w:p w:rsidR="0074306C" w:rsidRDefault="00A57F4C">
            <w:pPr>
              <w:tabs>
                <w:tab w:val="left" w:pos="284"/>
              </w:tabs>
              <w:spacing w:before="0" w:after="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sz w:val="16"/>
                <w:szCs w:val="16"/>
              </w:rPr>
              <w:t xml:space="preserve">2. </w:t>
            </w:r>
            <w:r>
              <w:rPr>
                <w:rFonts w:ascii="Arial" w:eastAsia="Arial" w:hAnsi="Arial" w:cs="Arial"/>
                <w:sz w:val="16"/>
                <w:szCs w:val="16"/>
              </w:rPr>
              <w:t xml:space="preserve">Online information and resources, or links to the Department of Health online resource established under </w:t>
            </w:r>
            <w:hyperlink w:anchor="_71rmymedfxdc">
              <w:r>
                <w:rPr>
                  <w:rFonts w:ascii="Arial" w:eastAsia="Arial" w:hAnsi="Arial" w:cs="Arial"/>
                  <w:color w:val="1155CC"/>
                  <w:sz w:val="16"/>
                  <w:szCs w:val="16"/>
                  <w:u w:val="single"/>
                </w:rPr>
                <w:t>Recommendation 3</w:t>
              </w:r>
            </w:hyperlink>
            <w:r>
              <w:rPr>
                <w:rFonts w:ascii="Arial" w:eastAsia="Arial" w:hAnsi="Arial" w:cs="Arial"/>
                <w:sz w:val="16"/>
                <w:szCs w:val="16"/>
              </w:rPr>
              <w:t>.</w:t>
            </w:r>
          </w:p>
        </w:tc>
      </w:tr>
      <w:tr w:rsidR="0074306C">
        <w:trPr>
          <w:jc w:val="center"/>
        </w:trPr>
        <w:tc>
          <w:tcPr>
            <w:tcW w:w="1350" w:type="dxa"/>
            <w:shd w:val="clear" w:color="auto" w:fill="D9EAD3"/>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2grqrue">
              <w:r w:rsidR="00A57F4C">
                <w:rPr>
                  <w:rFonts w:ascii="Arial" w:eastAsia="Arial" w:hAnsi="Arial" w:cs="Arial"/>
                  <w:b/>
                  <w:color w:val="1155CC"/>
                  <w:sz w:val="16"/>
                  <w:szCs w:val="16"/>
                  <w:u w:val="single"/>
                </w:rPr>
                <w:t>APP 2</w:t>
              </w:r>
            </w:hyperlink>
            <w:r w:rsidR="00A57F4C">
              <w:rPr>
                <w:rFonts w:ascii="Arial" w:eastAsia="Arial" w:hAnsi="Arial" w:cs="Arial"/>
                <w:b/>
                <w:sz w:val="16"/>
                <w:szCs w:val="16"/>
              </w:rPr>
              <w:t xml:space="preserve"> – Anonymity and </w:t>
            </w:r>
            <w:proofErr w:type="spellStart"/>
            <w:r w:rsidR="00A57F4C">
              <w:rPr>
                <w:rFonts w:ascii="Arial" w:eastAsia="Arial" w:hAnsi="Arial" w:cs="Arial"/>
                <w:b/>
                <w:sz w:val="16"/>
                <w:szCs w:val="16"/>
              </w:rPr>
              <w:t>Pseudonymity</w:t>
            </w:r>
            <w:proofErr w:type="spellEnd"/>
          </w:p>
        </w:tc>
        <w:tc>
          <w:tcPr>
            <w:tcW w:w="1125" w:type="dxa"/>
            <w:tcBorders>
              <w:top w:val="single" w:sz="4" w:space="0" w:color="808285"/>
              <w:left w:val="single" w:sz="4" w:space="0" w:color="808285"/>
              <w:bottom w:val="single" w:sz="4" w:space="0" w:color="808285"/>
              <w:right w:val="single" w:sz="4" w:space="0" w:color="808285"/>
            </w:tcBorders>
            <w:shd w:val="clear" w:color="auto" w:fill="D9EAD3"/>
            <w:tcMar>
              <w:top w:w="56" w:type="dxa"/>
              <w:left w:w="56" w:type="dxa"/>
              <w:bottom w:w="56" w:type="dxa"/>
              <w:right w:w="56" w:type="dxa"/>
            </w:tcMar>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Compliant</w:t>
            </w:r>
          </w:p>
        </w:tc>
        <w:tc>
          <w:tcPr>
            <w:tcW w:w="3637" w:type="dxa"/>
            <w:tcBorders>
              <w:top w:val="single" w:sz="4" w:space="0" w:color="808285"/>
              <w:left w:val="single" w:sz="4" w:space="0" w:color="808285"/>
              <w:bottom w:val="single" w:sz="4" w:space="0" w:color="808285"/>
              <w:right w:val="single" w:sz="4" w:space="0" w:color="808285"/>
            </w:tcBorders>
            <w:shd w:val="clear" w:color="auto" w:fill="D9EAD3"/>
            <w:tcMar>
              <w:top w:w="56" w:type="dxa"/>
              <w:left w:w="56" w:type="dxa"/>
              <w:bottom w:w="56" w:type="dxa"/>
              <w:right w:w="56" w:type="dxa"/>
            </w:tcMar>
          </w:tcPr>
          <w:p w:rsidR="0074306C" w:rsidRDefault="00A57F4C">
            <w:pPr>
              <w:spacing w:before="0" w:after="0"/>
              <w:rPr>
                <w:rFonts w:ascii="Arial" w:eastAsia="Arial" w:hAnsi="Arial" w:cs="Arial"/>
                <w:sz w:val="16"/>
                <w:szCs w:val="16"/>
              </w:rPr>
            </w:pPr>
            <w:r>
              <w:rPr>
                <w:rFonts w:ascii="Arial" w:eastAsia="Arial" w:hAnsi="Arial" w:cs="Arial"/>
                <w:sz w:val="16"/>
                <w:szCs w:val="16"/>
              </w:rPr>
              <w:t>The Department of Health provides some limited anonymity to general web site visitors.</w:t>
            </w:r>
            <w:r>
              <w:rPr>
                <w:rFonts w:ascii="Arial" w:eastAsia="Arial" w:hAnsi="Arial" w:cs="Arial"/>
                <w:sz w:val="16"/>
                <w:szCs w:val="16"/>
              </w:rPr>
              <w:br/>
            </w:r>
            <w:r>
              <w:rPr>
                <w:rFonts w:ascii="Arial" w:eastAsia="Arial" w:hAnsi="Arial" w:cs="Arial"/>
                <w:sz w:val="16"/>
                <w:szCs w:val="16"/>
              </w:rPr>
              <w:br/>
              <w:t>All of the other data collected and matched by the Department of Health for compliance checking purposes is covered by exceptions to the anonymity principle.</w:t>
            </w:r>
          </w:p>
        </w:tc>
        <w:tc>
          <w:tcPr>
            <w:tcW w:w="3637" w:type="dxa"/>
            <w:tcMar>
              <w:top w:w="56" w:type="dxa"/>
              <w:left w:w="56" w:type="dxa"/>
              <w:bottom w:w="56" w:type="dxa"/>
              <w:right w:w="56" w:type="dxa"/>
            </w:tcMar>
          </w:tcPr>
          <w:p w:rsidR="0074306C" w:rsidRDefault="0074306C">
            <w:pPr>
              <w:pBdr>
                <w:top w:val="nil"/>
                <w:left w:val="nil"/>
                <w:bottom w:val="nil"/>
                <w:right w:val="nil"/>
                <w:between w:val="nil"/>
              </w:pBdr>
              <w:spacing w:before="0" w:after="0"/>
            </w:pPr>
          </w:p>
        </w:tc>
      </w:tr>
      <w:tr w:rsidR="0074306C">
        <w:trPr>
          <w:jc w:val="center"/>
        </w:trPr>
        <w:tc>
          <w:tcPr>
            <w:tcW w:w="1350" w:type="dxa"/>
            <w:shd w:val="clear" w:color="auto" w:fill="FFF2CC"/>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7ve6x3fb51mx">
              <w:r w:rsidR="00A57F4C">
                <w:rPr>
                  <w:rFonts w:ascii="Arial" w:eastAsia="Arial" w:hAnsi="Arial" w:cs="Arial"/>
                  <w:b/>
                  <w:color w:val="1155CC"/>
                  <w:sz w:val="16"/>
                  <w:szCs w:val="16"/>
                  <w:u w:val="single"/>
                </w:rPr>
                <w:t>APP 3</w:t>
              </w:r>
            </w:hyperlink>
            <w:r w:rsidR="00A57F4C">
              <w:rPr>
                <w:rFonts w:ascii="Arial" w:eastAsia="Arial" w:hAnsi="Arial" w:cs="Arial"/>
                <w:b/>
                <w:sz w:val="16"/>
                <w:szCs w:val="16"/>
              </w:rPr>
              <w:t xml:space="preserve"> – Collection of solicited personal information</w:t>
            </w:r>
          </w:p>
        </w:tc>
        <w:tc>
          <w:tcPr>
            <w:tcW w:w="1125" w:type="dxa"/>
            <w:tcBorders>
              <w:bottom w:val="single" w:sz="4" w:space="0" w:color="808285"/>
            </w:tcBorders>
            <w:shd w:val="clear" w:color="auto" w:fill="FFF2CC"/>
            <w:tcMar>
              <w:top w:w="56" w:type="dxa"/>
              <w:left w:w="56" w:type="dxa"/>
              <w:bottom w:w="56" w:type="dxa"/>
              <w:right w:w="56" w:type="dxa"/>
            </w:tcMar>
          </w:tcPr>
          <w:p w:rsidR="0074306C" w:rsidRDefault="00A57F4C">
            <w:pPr>
              <w:spacing w:before="0" w:after="0"/>
              <w:jc w:val="center"/>
            </w:pPr>
            <w:r>
              <w:rPr>
                <w:rFonts w:ascii="Arial" w:eastAsia="Arial" w:hAnsi="Arial" w:cs="Arial"/>
                <w:b/>
                <w:sz w:val="16"/>
                <w:szCs w:val="16"/>
              </w:rPr>
              <w:t>In Progress</w:t>
            </w:r>
          </w:p>
        </w:tc>
        <w:tc>
          <w:tcPr>
            <w:tcW w:w="3637" w:type="dxa"/>
            <w:shd w:val="clear" w:color="auto" w:fill="FFF2CC"/>
            <w:tcMar>
              <w:top w:w="56" w:type="dxa"/>
              <w:left w:w="56" w:type="dxa"/>
              <w:bottom w:w="56" w:type="dxa"/>
              <w:right w:w="56" w:type="dxa"/>
            </w:tcMar>
          </w:tcPr>
          <w:p w:rsidR="0074306C" w:rsidRDefault="00A57F4C">
            <w:pPr>
              <w:pBdr>
                <w:top w:val="nil"/>
                <w:left w:val="nil"/>
                <w:bottom w:val="nil"/>
                <w:right w:val="nil"/>
                <w:between w:val="nil"/>
              </w:pBdr>
              <w:tabs>
                <w:tab w:val="left" w:pos="284"/>
              </w:tabs>
              <w:spacing w:before="0" w:after="0"/>
              <w:rPr>
                <w:rFonts w:ascii="Arial" w:eastAsia="Arial" w:hAnsi="Arial" w:cs="Arial"/>
                <w:sz w:val="16"/>
                <w:szCs w:val="16"/>
              </w:rPr>
            </w:pPr>
            <w:r>
              <w:rPr>
                <w:rFonts w:ascii="Arial" w:eastAsia="Arial" w:hAnsi="Arial" w:cs="Arial"/>
                <w:sz w:val="16"/>
                <w:szCs w:val="16"/>
              </w:rPr>
              <w:t>In the Data Matching Proposal the Department of Health will be able to match data collected from limited and specified sources. If data is collected specifically for data-matching, the necessity of this data needs to be assessed for each proposed collection.</w:t>
            </w:r>
            <w:r>
              <w:rPr>
                <w:rFonts w:ascii="Arial" w:eastAsia="Arial" w:hAnsi="Arial" w:cs="Arial"/>
                <w:sz w:val="16"/>
                <w:szCs w:val="16"/>
              </w:rPr>
              <w:br/>
            </w:r>
            <w:r>
              <w:rPr>
                <w:rFonts w:ascii="Arial" w:eastAsia="Arial" w:hAnsi="Arial" w:cs="Arial"/>
                <w:sz w:val="16"/>
                <w:szCs w:val="16"/>
              </w:rPr>
              <w:br/>
              <w:t>The Data Matching Proposal will need to establish baseline rules for the collection of data.</w:t>
            </w:r>
            <w:r>
              <w:rPr>
                <w:rFonts w:ascii="Arial" w:eastAsia="Arial" w:hAnsi="Arial" w:cs="Arial"/>
                <w:sz w:val="16"/>
                <w:szCs w:val="16"/>
              </w:rPr>
              <w:br/>
            </w:r>
            <w:r>
              <w:rPr>
                <w:rFonts w:ascii="Arial" w:eastAsia="Arial" w:hAnsi="Arial" w:cs="Arial"/>
                <w:sz w:val="16"/>
                <w:szCs w:val="16"/>
              </w:rPr>
              <w:br/>
              <w:t>Also, the categorisation of shared data as ‘sensitive’ data needs to be assessed for each proposed collection.</w:t>
            </w:r>
            <w:r>
              <w:rPr>
                <w:rFonts w:ascii="Arial" w:eastAsia="Arial" w:hAnsi="Arial" w:cs="Arial"/>
                <w:sz w:val="16"/>
                <w:szCs w:val="16"/>
              </w:rPr>
              <w:br/>
            </w:r>
            <w:r>
              <w:rPr>
                <w:rFonts w:ascii="Arial" w:eastAsia="Arial" w:hAnsi="Arial" w:cs="Arial"/>
                <w:sz w:val="16"/>
                <w:szCs w:val="16"/>
              </w:rPr>
              <w:br/>
              <w:t>The collection of sensitive data is permitted by relying on exceptions contained in APP 3.4. In some cases it may be necessary for the Department of Health to engage in data matching that helps the Department to identify and / or narrow down the potential list of individuals who are likely to be engaged in incorrect claiming, fraud and inappropriate practice.</w:t>
            </w:r>
            <w:r>
              <w:rPr>
                <w:rFonts w:ascii="Arial" w:eastAsia="Arial" w:hAnsi="Arial" w:cs="Arial"/>
                <w:sz w:val="16"/>
                <w:szCs w:val="16"/>
              </w:rPr>
              <w:br/>
            </w:r>
            <w:r>
              <w:rPr>
                <w:rFonts w:ascii="Arial" w:eastAsia="Arial" w:hAnsi="Arial" w:cs="Arial"/>
                <w:sz w:val="16"/>
                <w:szCs w:val="16"/>
              </w:rPr>
              <w:br/>
              <w:t>Normally the collection of sensitive data would require explicit consent. However, reliance on explicit consent is unlikely to be an appropriate solution in the context of fraud detection and compliance related activities. The Department of Health needs to find a balance between openness and the need to avoid alerting persons who may be the subject of compliance activity to specific fraud detection processes in a manner that would enable them to continue engaging in fraudulent conduct without detection. This PIA concludes that the use of the exceptions in APP 3.4 is appropriate.</w:t>
            </w:r>
            <w:r>
              <w:rPr>
                <w:rFonts w:ascii="Arial" w:eastAsia="Arial" w:hAnsi="Arial" w:cs="Arial"/>
                <w:sz w:val="16"/>
                <w:szCs w:val="16"/>
              </w:rPr>
              <w:br/>
            </w:r>
            <w:r>
              <w:rPr>
                <w:rFonts w:ascii="Arial" w:eastAsia="Arial" w:hAnsi="Arial" w:cs="Arial"/>
                <w:sz w:val="16"/>
                <w:szCs w:val="16"/>
              </w:rPr>
              <w:br/>
              <w:t xml:space="preserve">However, the application of APP 3.4 does not remove the requirement to minimise data collection (APP 3.1). </w:t>
            </w:r>
            <w:r>
              <w:rPr>
                <w:rFonts w:ascii="Arial" w:eastAsia="Arial" w:hAnsi="Arial" w:cs="Arial"/>
                <w:sz w:val="16"/>
                <w:szCs w:val="16"/>
              </w:rPr>
              <w:br/>
            </w:r>
            <w:r>
              <w:rPr>
                <w:rFonts w:ascii="Arial" w:eastAsia="Arial" w:hAnsi="Arial" w:cs="Arial"/>
                <w:sz w:val="16"/>
                <w:szCs w:val="16"/>
              </w:rPr>
              <w:br/>
              <w:t>The proposed legislative framework includes a high level data minimisation requirement. This requires some further detail (e.g. in the implementation and governance arrangements) to ensure that systems and processes include data minimisation steps.</w:t>
            </w:r>
          </w:p>
        </w:tc>
        <w:tc>
          <w:tcPr>
            <w:tcW w:w="3637" w:type="dxa"/>
            <w:tcBorders>
              <w:top w:val="single" w:sz="4" w:space="0" w:color="808285"/>
              <w:left w:val="single" w:sz="4" w:space="0" w:color="808285"/>
              <w:bottom w:val="single" w:sz="4" w:space="0" w:color="808285"/>
              <w:right w:val="single" w:sz="4" w:space="0" w:color="808285"/>
            </w:tcBorders>
            <w:shd w:val="clear" w:color="auto" w:fill="A4C2F4"/>
            <w:tcMar>
              <w:top w:w="56" w:type="dxa"/>
              <w:left w:w="56" w:type="dxa"/>
              <w:bottom w:w="56" w:type="dxa"/>
              <w:right w:w="56" w:type="dxa"/>
            </w:tcMar>
          </w:tcPr>
          <w:p w:rsidR="0074306C" w:rsidRDefault="00A57F4C">
            <w:pPr>
              <w:keepLines w:val="0"/>
              <w:widowControl w:val="0"/>
              <w:spacing w:before="0" w:after="0"/>
              <w:rPr>
                <w:rFonts w:ascii="Arial" w:eastAsia="Arial" w:hAnsi="Arial" w:cs="Arial"/>
                <w:b/>
                <w:sz w:val="16"/>
                <w:szCs w:val="16"/>
              </w:rPr>
            </w:pPr>
            <w:r>
              <w:rPr>
                <w:rFonts w:ascii="Arial" w:eastAsia="Arial" w:hAnsi="Arial" w:cs="Arial"/>
                <w:b/>
                <w:sz w:val="16"/>
                <w:szCs w:val="16"/>
              </w:rPr>
              <w:t>Recommendation 5. Minimisation of data collection</w:t>
            </w:r>
          </w:p>
          <w:p w:rsidR="0074306C" w:rsidRDefault="00A57F4C">
            <w:pPr>
              <w:keepLines w:val="0"/>
              <w:widowControl w:val="0"/>
              <w:spacing w:before="0" w:after="0"/>
              <w:rPr>
                <w:rFonts w:ascii="Arial" w:eastAsia="Arial" w:hAnsi="Arial" w:cs="Arial"/>
                <w:sz w:val="16"/>
                <w:szCs w:val="16"/>
              </w:rPr>
            </w:pPr>
            <w:r>
              <w:rPr>
                <w:rFonts w:ascii="Arial" w:eastAsia="Arial" w:hAnsi="Arial" w:cs="Arial"/>
                <w:sz w:val="16"/>
                <w:szCs w:val="16"/>
              </w:rPr>
              <w:t>The systems and processes for proposed data sharing / data matching arrangements should require the minimisation of personal data collection by:</w:t>
            </w:r>
          </w:p>
          <w:p w:rsidR="0074306C" w:rsidRDefault="00A57F4C">
            <w:pPr>
              <w:keepLines w:val="0"/>
              <w:widowControl w:val="0"/>
              <w:spacing w:before="0" w:after="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sz w:val="16"/>
                <w:szCs w:val="16"/>
              </w:rPr>
              <w:t>1.</w:t>
            </w:r>
            <w:r>
              <w:rPr>
                <w:rFonts w:ascii="Arial" w:eastAsia="Arial" w:hAnsi="Arial" w:cs="Arial"/>
                <w:sz w:val="16"/>
                <w:szCs w:val="16"/>
              </w:rPr>
              <w:t xml:space="preserve"> Only collecting data fields that are necessary;</w:t>
            </w:r>
          </w:p>
          <w:p w:rsidR="0074306C" w:rsidRDefault="00A57F4C">
            <w:pPr>
              <w:keepLines w:val="0"/>
              <w:widowControl w:val="0"/>
              <w:spacing w:before="0" w:after="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sz w:val="16"/>
                <w:szCs w:val="16"/>
              </w:rPr>
              <w:t>2.</w:t>
            </w:r>
            <w:r>
              <w:rPr>
                <w:rFonts w:ascii="Arial" w:eastAsia="Arial" w:hAnsi="Arial" w:cs="Arial"/>
                <w:sz w:val="16"/>
                <w:szCs w:val="16"/>
              </w:rPr>
              <w:t xml:space="preserve"> Excluding irrelevant data subjects where possible;</w:t>
            </w:r>
          </w:p>
          <w:p w:rsidR="0074306C" w:rsidRDefault="00A57F4C">
            <w:pPr>
              <w:keepLines w:val="0"/>
              <w:widowControl w:val="0"/>
              <w:spacing w:before="0" w:after="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sz w:val="16"/>
                <w:szCs w:val="16"/>
              </w:rPr>
              <w:t>3.</w:t>
            </w:r>
            <w:r>
              <w:rPr>
                <w:rFonts w:ascii="Arial" w:eastAsia="Arial" w:hAnsi="Arial" w:cs="Arial"/>
                <w:sz w:val="16"/>
                <w:szCs w:val="16"/>
              </w:rPr>
              <w:t xml:space="preserve"> Using data verification (e.g. Yes/No responses) rather than data collection where possible.</w:t>
            </w:r>
            <w:r>
              <w:rPr>
                <w:rFonts w:ascii="Arial" w:eastAsia="Arial" w:hAnsi="Arial" w:cs="Arial"/>
                <w:sz w:val="16"/>
                <w:szCs w:val="16"/>
              </w:rPr>
              <w:br/>
            </w:r>
            <w:r>
              <w:rPr>
                <w:rFonts w:ascii="Arial" w:eastAsia="Arial" w:hAnsi="Arial" w:cs="Arial"/>
                <w:sz w:val="16"/>
                <w:szCs w:val="16"/>
              </w:rPr>
              <w:br/>
            </w:r>
            <w:r>
              <w:rPr>
                <w:rFonts w:ascii="Arial" w:eastAsia="Arial" w:hAnsi="Arial" w:cs="Arial"/>
                <w:sz w:val="16"/>
                <w:szCs w:val="16"/>
              </w:rPr>
              <w:br/>
            </w:r>
            <w:r>
              <w:rPr>
                <w:rFonts w:ascii="Arial" w:eastAsia="Arial" w:hAnsi="Arial" w:cs="Arial"/>
                <w:sz w:val="16"/>
                <w:szCs w:val="16"/>
              </w:rPr>
              <w:br/>
            </w:r>
            <w:r>
              <w:rPr>
                <w:rFonts w:ascii="Arial" w:eastAsia="Arial" w:hAnsi="Arial" w:cs="Arial"/>
                <w:sz w:val="16"/>
                <w:szCs w:val="16"/>
              </w:rPr>
              <w:br/>
            </w:r>
          </w:p>
        </w:tc>
      </w:tr>
      <w:tr w:rsidR="0074306C">
        <w:trPr>
          <w:jc w:val="center"/>
        </w:trPr>
        <w:tc>
          <w:tcPr>
            <w:tcW w:w="1350" w:type="dxa"/>
            <w:shd w:val="clear" w:color="auto" w:fill="D9EAD3"/>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37m2jsg">
              <w:r w:rsidR="00A57F4C">
                <w:rPr>
                  <w:rFonts w:ascii="Arial" w:eastAsia="Arial" w:hAnsi="Arial" w:cs="Arial"/>
                  <w:b/>
                  <w:color w:val="1155CC"/>
                  <w:sz w:val="16"/>
                  <w:szCs w:val="16"/>
                  <w:u w:val="single"/>
                </w:rPr>
                <w:t>APP 4</w:t>
              </w:r>
            </w:hyperlink>
            <w:r w:rsidR="00A57F4C">
              <w:rPr>
                <w:rFonts w:ascii="Arial" w:eastAsia="Arial" w:hAnsi="Arial" w:cs="Arial"/>
                <w:b/>
                <w:sz w:val="16"/>
                <w:szCs w:val="16"/>
              </w:rPr>
              <w:t xml:space="preserve"> – Dealing with unsolicited personal information</w:t>
            </w:r>
          </w:p>
        </w:tc>
        <w:tc>
          <w:tcPr>
            <w:tcW w:w="1125" w:type="dxa"/>
            <w:tcBorders>
              <w:top w:val="single" w:sz="4" w:space="0" w:color="808285"/>
              <w:left w:val="single" w:sz="4" w:space="0" w:color="808285"/>
              <w:bottom w:val="single" w:sz="4" w:space="0" w:color="808285"/>
              <w:right w:val="single" w:sz="4" w:space="0" w:color="808285"/>
            </w:tcBorders>
            <w:shd w:val="clear" w:color="auto" w:fill="D9EAD3"/>
            <w:tcMar>
              <w:top w:w="56" w:type="dxa"/>
              <w:left w:w="56" w:type="dxa"/>
              <w:bottom w:w="56" w:type="dxa"/>
              <w:right w:w="56" w:type="dxa"/>
            </w:tcMar>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Compliant</w:t>
            </w:r>
          </w:p>
        </w:tc>
        <w:tc>
          <w:tcPr>
            <w:tcW w:w="3637" w:type="dxa"/>
            <w:shd w:val="clear" w:color="auto" w:fill="D9EAD3"/>
            <w:tcMar>
              <w:top w:w="56" w:type="dxa"/>
              <w:left w:w="56" w:type="dxa"/>
              <w:bottom w:w="56" w:type="dxa"/>
              <w:right w:w="56" w:type="dxa"/>
            </w:tcMar>
          </w:tcPr>
          <w:p w:rsidR="0074306C" w:rsidRDefault="00A57F4C">
            <w:pPr>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The Department of Health’s legislation anticipates that a variety of sources, including information that is held or has been obtained by the Department for the purposes of a Medicare program, can be used by the agency to assist in its administrative and law enforcement processes.</w:t>
            </w:r>
            <w:r>
              <w:rPr>
                <w:rFonts w:ascii="Arial" w:eastAsia="Arial" w:hAnsi="Arial" w:cs="Arial"/>
                <w:sz w:val="16"/>
                <w:szCs w:val="16"/>
              </w:rPr>
              <w:br/>
            </w:r>
            <w:r>
              <w:rPr>
                <w:rFonts w:ascii="Arial" w:eastAsia="Arial" w:hAnsi="Arial" w:cs="Arial"/>
                <w:sz w:val="16"/>
                <w:szCs w:val="16"/>
              </w:rPr>
              <w:br/>
              <w:t>The Department of Health is already fully compliant with APP 4. The expansion of data sharing / matching arrangements is unlikely to have an impact on APP 4 compliance.</w:t>
            </w:r>
          </w:p>
        </w:tc>
        <w:tc>
          <w:tcPr>
            <w:tcW w:w="3637" w:type="dxa"/>
            <w:tcBorders>
              <w:top w:val="single" w:sz="4" w:space="0" w:color="808285"/>
              <w:left w:val="single" w:sz="4" w:space="0" w:color="808285"/>
              <w:bottom w:val="single" w:sz="4" w:space="0" w:color="808285"/>
              <w:right w:val="single" w:sz="4" w:space="0" w:color="808285"/>
            </w:tcBorders>
            <w:tcMar>
              <w:top w:w="56" w:type="dxa"/>
              <w:left w:w="56" w:type="dxa"/>
              <w:bottom w:w="56" w:type="dxa"/>
              <w:right w:w="56" w:type="dxa"/>
            </w:tcMar>
          </w:tcPr>
          <w:p w:rsidR="0074306C" w:rsidRDefault="0074306C">
            <w:pPr>
              <w:pBdr>
                <w:top w:val="nil"/>
                <w:left w:val="nil"/>
                <w:bottom w:val="nil"/>
                <w:right w:val="nil"/>
                <w:between w:val="nil"/>
              </w:pBdr>
              <w:spacing w:before="0" w:after="0"/>
              <w:rPr>
                <w:rFonts w:ascii="Arial" w:eastAsia="Arial" w:hAnsi="Arial" w:cs="Arial"/>
                <w:sz w:val="16"/>
                <w:szCs w:val="16"/>
              </w:rPr>
            </w:pPr>
          </w:p>
        </w:tc>
      </w:tr>
      <w:tr w:rsidR="0074306C">
        <w:trPr>
          <w:jc w:val="center"/>
        </w:trPr>
        <w:tc>
          <w:tcPr>
            <w:tcW w:w="1350" w:type="dxa"/>
            <w:shd w:val="clear" w:color="auto" w:fill="D9EAD3"/>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93z46f4mb5yn">
              <w:r w:rsidR="00A57F4C">
                <w:rPr>
                  <w:rFonts w:ascii="Arial" w:eastAsia="Arial" w:hAnsi="Arial" w:cs="Arial"/>
                  <w:b/>
                  <w:color w:val="1155CC"/>
                  <w:sz w:val="16"/>
                  <w:szCs w:val="16"/>
                  <w:u w:val="single"/>
                </w:rPr>
                <w:t>APP 5</w:t>
              </w:r>
            </w:hyperlink>
            <w:r w:rsidR="00A57F4C">
              <w:rPr>
                <w:rFonts w:ascii="Arial" w:eastAsia="Arial" w:hAnsi="Arial" w:cs="Arial"/>
                <w:b/>
                <w:sz w:val="16"/>
                <w:szCs w:val="16"/>
              </w:rPr>
              <w:t xml:space="preserve"> – Notification</w:t>
            </w:r>
          </w:p>
        </w:tc>
        <w:tc>
          <w:tcPr>
            <w:tcW w:w="1125" w:type="dxa"/>
            <w:tcBorders>
              <w:bottom w:val="single" w:sz="4" w:space="0" w:color="808285"/>
            </w:tcBorders>
            <w:shd w:val="clear" w:color="auto" w:fill="D9EAD3"/>
            <w:tcMar>
              <w:top w:w="56" w:type="dxa"/>
              <w:left w:w="56" w:type="dxa"/>
              <w:bottom w:w="56" w:type="dxa"/>
              <w:right w:w="56" w:type="dxa"/>
            </w:tcMar>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Compliant</w:t>
            </w:r>
          </w:p>
          <w:p w:rsidR="0074306C" w:rsidRDefault="0074306C">
            <w:pPr>
              <w:spacing w:before="0" w:after="0"/>
              <w:jc w:val="center"/>
              <w:rPr>
                <w:rFonts w:ascii="Arial" w:eastAsia="Arial" w:hAnsi="Arial" w:cs="Arial"/>
                <w:b/>
                <w:sz w:val="16"/>
                <w:szCs w:val="16"/>
              </w:rPr>
            </w:pPr>
          </w:p>
          <w:p w:rsidR="0074306C" w:rsidRDefault="00A57F4C">
            <w:pPr>
              <w:spacing w:before="0" w:after="0"/>
              <w:jc w:val="center"/>
            </w:pPr>
            <w:r>
              <w:rPr>
                <w:rFonts w:ascii="Arial" w:eastAsia="Arial" w:hAnsi="Arial" w:cs="Arial"/>
                <w:sz w:val="16"/>
                <w:szCs w:val="16"/>
              </w:rPr>
              <w:t>(Further measures possible)</w:t>
            </w:r>
          </w:p>
        </w:tc>
        <w:tc>
          <w:tcPr>
            <w:tcW w:w="3637" w:type="dxa"/>
            <w:shd w:val="clear" w:color="auto" w:fill="D9EAD3"/>
            <w:tcMar>
              <w:top w:w="56" w:type="dxa"/>
              <w:left w:w="56" w:type="dxa"/>
              <w:bottom w:w="56" w:type="dxa"/>
              <w:right w:w="56" w:type="dxa"/>
            </w:tcMar>
          </w:tcPr>
          <w:p w:rsidR="0074306C" w:rsidRDefault="00A57F4C">
            <w:pPr>
              <w:spacing w:before="0" w:after="0"/>
              <w:rPr>
                <w:rFonts w:ascii="Arial" w:eastAsia="Arial" w:hAnsi="Arial" w:cs="Arial"/>
                <w:sz w:val="16"/>
                <w:szCs w:val="16"/>
              </w:rPr>
            </w:pPr>
            <w:r>
              <w:rPr>
                <w:rFonts w:ascii="Arial" w:eastAsia="Arial" w:hAnsi="Arial" w:cs="Arial"/>
                <w:sz w:val="16"/>
                <w:szCs w:val="16"/>
              </w:rPr>
              <w:t>In the Data Matching Proposal defined data from limited and specified sources is proposed to be shared with other Agencies and entities. Compliance with APP 5 therefore needs to be assessed for each proposed disclosure.</w:t>
            </w:r>
            <w:r>
              <w:rPr>
                <w:rFonts w:ascii="Arial" w:eastAsia="Arial" w:hAnsi="Arial" w:cs="Arial"/>
                <w:sz w:val="16"/>
                <w:szCs w:val="16"/>
              </w:rPr>
              <w:br/>
            </w:r>
            <w:r>
              <w:rPr>
                <w:rFonts w:ascii="Arial" w:eastAsia="Arial" w:hAnsi="Arial" w:cs="Arial"/>
                <w:sz w:val="16"/>
                <w:szCs w:val="16"/>
              </w:rPr>
              <w:br/>
              <w:t>The Department of Health uses several forms to provide notice of privacy issues to its data subjects. Some of these forms are initially provided by the Department of Human Services (DHS). These forms are compliant with many of the requirements of APP 5.</w:t>
            </w:r>
            <w:r>
              <w:rPr>
                <w:rFonts w:ascii="Arial" w:eastAsia="Arial" w:hAnsi="Arial" w:cs="Arial"/>
                <w:sz w:val="16"/>
                <w:szCs w:val="16"/>
              </w:rPr>
              <w:br/>
            </w:r>
            <w:r>
              <w:rPr>
                <w:rFonts w:ascii="Arial" w:eastAsia="Arial" w:hAnsi="Arial" w:cs="Arial"/>
                <w:sz w:val="16"/>
                <w:szCs w:val="16"/>
              </w:rPr>
              <w:br/>
              <w:t>However, the Department of Human Services privacy notices do not provide notice of the scope of third party collection</w:t>
            </w:r>
            <w:r>
              <w:rPr>
                <w:rFonts w:ascii="Arial" w:eastAsia="Arial" w:hAnsi="Arial" w:cs="Arial"/>
                <w:b/>
                <w:sz w:val="16"/>
                <w:szCs w:val="16"/>
              </w:rPr>
              <w:t xml:space="preserve"> </w:t>
            </w:r>
            <w:r>
              <w:rPr>
                <w:rFonts w:ascii="Arial" w:eastAsia="Arial" w:hAnsi="Arial" w:cs="Arial"/>
                <w:sz w:val="16"/>
                <w:szCs w:val="16"/>
              </w:rPr>
              <w:t>that is envisaged under the Data Matching Proposal. This is particularly relevant if the Chief Executive Medicare authorises Commonwealth entities to engage in data-matching on the Department’s behalf for permitted purposes. Although third party collection is briefly mentioned, a consumer is unlikely to be on notice regarding the collection of third party data by the Department of Health, or the range of third parties involved.</w:t>
            </w:r>
            <w:r>
              <w:rPr>
                <w:rFonts w:ascii="Arial" w:eastAsia="Arial" w:hAnsi="Arial" w:cs="Arial"/>
                <w:sz w:val="16"/>
                <w:szCs w:val="16"/>
              </w:rPr>
              <w:br/>
            </w:r>
            <w:r>
              <w:rPr>
                <w:rFonts w:ascii="Arial" w:eastAsia="Arial" w:hAnsi="Arial" w:cs="Arial"/>
                <w:sz w:val="16"/>
                <w:szCs w:val="16"/>
              </w:rPr>
              <w:br/>
              <w:t>Also, the notices do not provide notice of the scope of data matching. Although disclosure to other Agencies is discussed in broad terms, a consumer is unlikely to be on notice regarding matching of data supplied by other agencies to the Department of Health, or the range of other agencies / entities involved.</w:t>
            </w:r>
          </w:p>
          <w:p w:rsidR="0074306C" w:rsidRDefault="0074306C">
            <w:pPr>
              <w:spacing w:before="0" w:after="0"/>
              <w:rPr>
                <w:rFonts w:ascii="Arial" w:eastAsia="Arial" w:hAnsi="Arial" w:cs="Arial"/>
                <w:sz w:val="16"/>
                <w:szCs w:val="16"/>
              </w:rPr>
            </w:pPr>
          </w:p>
          <w:p w:rsidR="0074306C" w:rsidRDefault="00A57F4C">
            <w:pPr>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 xml:space="preserve">The finding for APP 5 is categorised as ‘Compliant (Further measures possible)’ because the suggested improvements to privacy notices are not a strict </w:t>
            </w:r>
            <w:r>
              <w:rPr>
                <w:rFonts w:ascii="Arial" w:eastAsia="Arial" w:hAnsi="Arial" w:cs="Arial"/>
                <w:i/>
                <w:sz w:val="16"/>
                <w:szCs w:val="16"/>
              </w:rPr>
              <w:t>Privacy Act</w:t>
            </w:r>
            <w:r>
              <w:rPr>
                <w:rFonts w:ascii="Arial" w:eastAsia="Arial" w:hAnsi="Arial" w:cs="Arial"/>
                <w:sz w:val="16"/>
                <w:szCs w:val="16"/>
              </w:rPr>
              <w:t xml:space="preserve"> requirement – they do however represent best practice.</w:t>
            </w:r>
          </w:p>
        </w:tc>
        <w:tc>
          <w:tcPr>
            <w:tcW w:w="3637" w:type="dxa"/>
            <w:shd w:val="clear" w:color="auto" w:fill="A4C2F4"/>
            <w:tcMar>
              <w:top w:w="56" w:type="dxa"/>
              <w:left w:w="56" w:type="dxa"/>
              <w:bottom w:w="56" w:type="dxa"/>
              <w:right w:w="56" w:type="dxa"/>
            </w:tcMar>
          </w:tcPr>
          <w:p w:rsidR="0074306C" w:rsidRDefault="00A57F4C">
            <w:pPr>
              <w:tabs>
                <w:tab w:val="left" w:pos="284"/>
              </w:tabs>
              <w:spacing w:before="0" w:after="0"/>
              <w:rPr>
                <w:rFonts w:ascii="Arial" w:eastAsia="Arial" w:hAnsi="Arial" w:cs="Arial"/>
                <w:b/>
                <w:sz w:val="16"/>
                <w:szCs w:val="16"/>
              </w:rPr>
            </w:pPr>
            <w:r>
              <w:rPr>
                <w:rFonts w:ascii="Arial" w:eastAsia="Arial" w:hAnsi="Arial" w:cs="Arial"/>
                <w:b/>
                <w:sz w:val="16"/>
                <w:szCs w:val="16"/>
              </w:rPr>
              <w:t>Recommendation 6. Amend privacy notices to clarify scope of third party data collection</w:t>
            </w:r>
          </w:p>
          <w:p w:rsidR="0074306C" w:rsidRDefault="00A57F4C">
            <w:pPr>
              <w:tabs>
                <w:tab w:val="left" w:pos="284"/>
              </w:tabs>
              <w:spacing w:before="0" w:after="0"/>
              <w:rPr>
                <w:rFonts w:ascii="Arial" w:eastAsia="Arial" w:hAnsi="Arial" w:cs="Arial"/>
                <w:b/>
                <w:sz w:val="16"/>
                <w:szCs w:val="16"/>
              </w:rPr>
            </w:pPr>
            <w:r>
              <w:rPr>
                <w:rFonts w:ascii="Arial" w:eastAsia="Arial" w:hAnsi="Arial" w:cs="Arial"/>
                <w:sz w:val="16"/>
                <w:szCs w:val="16"/>
              </w:rPr>
              <w:t>The Department of Health and Department of Human Services privacy notices should be reviewed and amended to clarify the scope of third party data collection, and the expanded list of third parties that are involved.</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Recommendation 7. Amend privacy notices to clarify the scope of data matching</w:t>
            </w:r>
          </w:p>
          <w:p w:rsidR="0074306C" w:rsidRDefault="00A57F4C">
            <w:pPr>
              <w:tabs>
                <w:tab w:val="left" w:pos="284"/>
              </w:tabs>
              <w:spacing w:before="0" w:after="0"/>
              <w:rPr>
                <w:rFonts w:ascii="Arial" w:eastAsia="Arial" w:hAnsi="Arial" w:cs="Arial"/>
                <w:sz w:val="16"/>
                <w:szCs w:val="16"/>
              </w:rPr>
            </w:pPr>
            <w:r>
              <w:rPr>
                <w:rFonts w:ascii="Arial" w:eastAsia="Arial" w:hAnsi="Arial" w:cs="Arial"/>
                <w:sz w:val="16"/>
                <w:szCs w:val="16"/>
              </w:rPr>
              <w:t xml:space="preserve">The Department of Health and </w:t>
            </w:r>
            <w:proofErr w:type="gramStart"/>
            <w:r>
              <w:rPr>
                <w:rFonts w:ascii="Arial" w:eastAsia="Arial" w:hAnsi="Arial" w:cs="Arial"/>
                <w:sz w:val="16"/>
                <w:szCs w:val="16"/>
              </w:rPr>
              <w:t>Department of Human Services</w:t>
            </w:r>
            <w:proofErr w:type="gramEnd"/>
            <w:r>
              <w:rPr>
                <w:rFonts w:ascii="Arial" w:eastAsia="Arial" w:hAnsi="Arial" w:cs="Arial"/>
                <w:sz w:val="16"/>
                <w:szCs w:val="16"/>
              </w:rPr>
              <w:t xml:space="preserve"> privacy notices should be reviewed and amended to clarify the scope of data matching and the expanded list of other agencies that are involved in the data matching proposal.</w:t>
            </w:r>
          </w:p>
        </w:tc>
      </w:tr>
      <w:tr w:rsidR="0074306C">
        <w:trPr>
          <w:jc w:val="center"/>
        </w:trPr>
        <w:tc>
          <w:tcPr>
            <w:tcW w:w="1350" w:type="dxa"/>
            <w:shd w:val="clear" w:color="auto" w:fill="D9EAD3"/>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1egqt2p">
              <w:r w:rsidR="00A57F4C">
                <w:rPr>
                  <w:rFonts w:ascii="Arial" w:eastAsia="Arial" w:hAnsi="Arial" w:cs="Arial"/>
                  <w:b/>
                  <w:color w:val="1155CC"/>
                  <w:sz w:val="16"/>
                  <w:szCs w:val="16"/>
                  <w:u w:val="single"/>
                </w:rPr>
                <w:t>APP 6</w:t>
              </w:r>
            </w:hyperlink>
            <w:r w:rsidR="00A57F4C">
              <w:rPr>
                <w:rFonts w:ascii="Arial" w:eastAsia="Arial" w:hAnsi="Arial" w:cs="Arial"/>
                <w:b/>
                <w:sz w:val="16"/>
                <w:szCs w:val="16"/>
              </w:rPr>
              <w:t xml:space="preserve"> – Use or Disclosure</w:t>
            </w:r>
          </w:p>
        </w:tc>
        <w:tc>
          <w:tcPr>
            <w:tcW w:w="1125" w:type="dxa"/>
            <w:tcBorders>
              <w:bottom w:val="single" w:sz="4" w:space="0" w:color="808285"/>
            </w:tcBorders>
            <w:shd w:val="clear" w:color="auto" w:fill="D9EAD3"/>
            <w:tcMar>
              <w:top w:w="56" w:type="dxa"/>
              <w:left w:w="56" w:type="dxa"/>
              <w:bottom w:w="56" w:type="dxa"/>
              <w:right w:w="56" w:type="dxa"/>
            </w:tcMar>
          </w:tcPr>
          <w:p w:rsidR="0074306C" w:rsidRDefault="00A57F4C">
            <w:pPr>
              <w:spacing w:before="0" w:after="0"/>
              <w:jc w:val="center"/>
            </w:pPr>
            <w:r>
              <w:rPr>
                <w:rFonts w:ascii="Arial" w:eastAsia="Arial" w:hAnsi="Arial" w:cs="Arial"/>
                <w:b/>
                <w:sz w:val="16"/>
                <w:szCs w:val="16"/>
              </w:rPr>
              <w:t>Compliant</w:t>
            </w:r>
          </w:p>
        </w:tc>
        <w:tc>
          <w:tcPr>
            <w:tcW w:w="3637" w:type="dxa"/>
            <w:shd w:val="clear" w:color="auto" w:fill="D9EAD3"/>
            <w:tcMar>
              <w:top w:w="56" w:type="dxa"/>
              <w:left w:w="56" w:type="dxa"/>
              <w:bottom w:w="56" w:type="dxa"/>
              <w:right w:w="56" w:type="dxa"/>
            </w:tcMar>
          </w:tcPr>
          <w:p w:rsidR="0074306C" w:rsidRDefault="00A57F4C">
            <w:pPr>
              <w:spacing w:before="0" w:after="0"/>
              <w:rPr>
                <w:rFonts w:ascii="Arial" w:eastAsia="Arial" w:hAnsi="Arial" w:cs="Arial"/>
                <w:sz w:val="16"/>
                <w:szCs w:val="16"/>
                <w:highlight w:val="yellow"/>
              </w:rPr>
            </w:pPr>
            <w:r>
              <w:rPr>
                <w:rFonts w:ascii="Arial" w:eastAsia="Arial" w:hAnsi="Arial" w:cs="Arial"/>
                <w:sz w:val="16"/>
                <w:szCs w:val="16"/>
              </w:rPr>
              <w:t>Subject to the passage of appropriate legal authority, this PIA has found that the APP 6 provisions that allow the use and disclosure of data where authorised by a law are sufficient to achieve compliance for the various data matching proposals.</w:t>
            </w:r>
          </w:p>
        </w:tc>
        <w:tc>
          <w:tcPr>
            <w:tcW w:w="3637" w:type="dxa"/>
            <w:tcMar>
              <w:top w:w="56" w:type="dxa"/>
              <w:left w:w="56" w:type="dxa"/>
              <w:bottom w:w="56" w:type="dxa"/>
              <w:right w:w="56" w:type="dxa"/>
            </w:tcMar>
          </w:tcPr>
          <w:p w:rsidR="0074306C" w:rsidRDefault="0074306C">
            <w:pPr>
              <w:pBdr>
                <w:top w:val="nil"/>
                <w:left w:val="nil"/>
                <w:bottom w:val="nil"/>
                <w:right w:val="nil"/>
                <w:between w:val="nil"/>
              </w:pBdr>
              <w:spacing w:before="0" w:after="0"/>
              <w:rPr>
                <w:rFonts w:ascii="Arial" w:eastAsia="Arial" w:hAnsi="Arial" w:cs="Arial"/>
                <w:sz w:val="16"/>
                <w:szCs w:val="16"/>
              </w:rPr>
            </w:pPr>
          </w:p>
        </w:tc>
      </w:tr>
      <w:tr w:rsidR="0074306C">
        <w:trPr>
          <w:jc w:val="center"/>
        </w:trPr>
        <w:tc>
          <w:tcPr>
            <w:tcW w:w="1350" w:type="dxa"/>
            <w:shd w:val="clear" w:color="auto" w:fill="D9EAD3"/>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mkoluj2zcdl8">
              <w:r w:rsidR="00A57F4C">
                <w:rPr>
                  <w:rFonts w:ascii="Arial" w:eastAsia="Arial" w:hAnsi="Arial" w:cs="Arial"/>
                  <w:b/>
                  <w:color w:val="1155CC"/>
                  <w:sz w:val="16"/>
                  <w:szCs w:val="16"/>
                  <w:u w:val="single"/>
                </w:rPr>
                <w:t>APP 7</w:t>
              </w:r>
            </w:hyperlink>
            <w:r w:rsidR="00A57F4C">
              <w:rPr>
                <w:rFonts w:ascii="Arial" w:eastAsia="Arial" w:hAnsi="Arial" w:cs="Arial"/>
                <w:b/>
                <w:sz w:val="16"/>
                <w:szCs w:val="16"/>
              </w:rPr>
              <w:t xml:space="preserve"> – Direct Marketing</w:t>
            </w:r>
          </w:p>
        </w:tc>
        <w:tc>
          <w:tcPr>
            <w:tcW w:w="1125" w:type="dxa"/>
            <w:tcBorders>
              <w:top w:val="single" w:sz="4" w:space="0" w:color="808285"/>
              <w:left w:val="single" w:sz="4" w:space="0" w:color="808285"/>
              <w:bottom w:val="single" w:sz="4" w:space="0" w:color="808285"/>
              <w:right w:val="single" w:sz="4" w:space="0" w:color="808285"/>
            </w:tcBorders>
            <w:shd w:val="clear" w:color="auto" w:fill="D9EAD3"/>
            <w:tcMar>
              <w:top w:w="56" w:type="dxa"/>
              <w:left w:w="56" w:type="dxa"/>
              <w:bottom w:w="56" w:type="dxa"/>
              <w:right w:w="56" w:type="dxa"/>
            </w:tcMar>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Compliant</w:t>
            </w:r>
          </w:p>
        </w:tc>
        <w:tc>
          <w:tcPr>
            <w:tcW w:w="3637" w:type="dxa"/>
            <w:shd w:val="clear" w:color="auto" w:fill="D9EAD3"/>
            <w:tcMar>
              <w:top w:w="56" w:type="dxa"/>
              <w:left w:w="56" w:type="dxa"/>
              <w:bottom w:w="56" w:type="dxa"/>
              <w:right w:w="56" w:type="dxa"/>
            </w:tcMar>
          </w:tcPr>
          <w:p w:rsidR="0074306C" w:rsidRDefault="00A57F4C">
            <w:pPr>
              <w:spacing w:before="0" w:after="0"/>
              <w:rPr>
                <w:rFonts w:ascii="Arial" w:eastAsia="Arial" w:hAnsi="Arial" w:cs="Arial"/>
                <w:sz w:val="16"/>
                <w:szCs w:val="16"/>
              </w:rPr>
            </w:pPr>
            <w:r>
              <w:rPr>
                <w:rFonts w:ascii="Arial" w:eastAsia="Arial" w:hAnsi="Arial" w:cs="Arial"/>
                <w:sz w:val="16"/>
                <w:szCs w:val="16"/>
              </w:rPr>
              <w:t>Direct marketing is not relevant to this PIA.</w:t>
            </w:r>
          </w:p>
        </w:tc>
        <w:tc>
          <w:tcPr>
            <w:tcW w:w="3637" w:type="dxa"/>
            <w:tcMar>
              <w:top w:w="56" w:type="dxa"/>
              <w:left w:w="56" w:type="dxa"/>
              <w:bottom w:w="56" w:type="dxa"/>
              <w:right w:w="56" w:type="dxa"/>
            </w:tcMar>
          </w:tcPr>
          <w:p w:rsidR="0074306C" w:rsidRDefault="0074306C">
            <w:pPr>
              <w:pBdr>
                <w:top w:val="nil"/>
                <w:left w:val="nil"/>
                <w:bottom w:val="nil"/>
                <w:right w:val="nil"/>
                <w:between w:val="nil"/>
              </w:pBdr>
              <w:spacing w:before="0" w:after="0"/>
              <w:rPr>
                <w:rFonts w:ascii="Arial" w:eastAsia="Arial" w:hAnsi="Arial" w:cs="Arial"/>
                <w:sz w:val="16"/>
                <w:szCs w:val="16"/>
              </w:rPr>
            </w:pPr>
          </w:p>
        </w:tc>
      </w:tr>
      <w:tr w:rsidR="0074306C">
        <w:trPr>
          <w:jc w:val="center"/>
        </w:trPr>
        <w:tc>
          <w:tcPr>
            <w:tcW w:w="1350" w:type="dxa"/>
            <w:shd w:val="clear" w:color="auto" w:fill="D9EAD3"/>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kgcv8k">
              <w:r w:rsidR="00A57F4C">
                <w:rPr>
                  <w:rFonts w:ascii="Arial" w:eastAsia="Arial" w:hAnsi="Arial" w:cs="Arial"/>
                  <w:b/>
                  <w:color w:val="1155CC"/>
                  <w:sz w:val="16"/>
                  <w:szCs w:val="16"/>
                  <w:u w:val="single"/>
                </w:rPr>
                <w:t>APP 8</w:t>
              </w:r>
            </w:hyperlink>
            <w:r w:rsidR="00A57F4C">
              <w:rPr>
                <w:rFonts w:ascii="Arial" w:eastAsia="Arial" w:hAnsi="Arial" w:cs="Arial"/>
                <w:b/>
                <w:sz w:val="16"/>
                <w:szCs w:val="16"/>
              </w:rPr>
              <w:t xml:space="preserve"> – Cross Border Disclosure</w:t>
            </w:r>
          </w:p>
        </w:tc>
        <w:tc>
          <w:tcPr>
            <w:tcW w:w="1125" w:type="dxa"/>
            <w:tcBorders>
              <w:bottom w:val="single" w:sz="4" w:space="0" w:color="808285"/>
            </w:tcBorders>
            <w:shd w:val="clear" w:color="auto" w:fill="D9EAD3"/>
            <w:tcMar>
              <w:top w:w="56" w:type="dxa"/>
              <w:left w:w="56" w:type="dxa"/>
              <w:bottom w:w="56" w:type="dxa"/>
              <w:right w:w="56" w:type="dxa"/>
            </w:tcMar>
          </w:tcPr>
          <w:p w:rsidR="0074306C" w:rsidRDefault="00A57F4C">
            <w:pPr>
              <w:spacing w:before="0" w:after="0"/>
              <w:jc w:val="center"/>
            </w:pPr>
            <w:r>
              <w:rPr>
                <w:rFonts w:ascii="Arial" w:eastAsia="Arial" w:hAnsi="Arial" w:cs="Arial"/>
                <w:b/>
                <w:sz w:val="16"/>
                <w:szCs w:val="16"/>
              </w:rPr>
              <w:t>Compliant</w:t>
            </w:r>
          </w:p>
        </w:tc>
        <w:tc>
          <w:tcPr>
            <w:tcW w:w="3637" w:type="dxa"/>
            <w:shd w:val="clear" w:color="auto" w:fill="D9EAD3"/>
            <w:tcMar>
              <w:top w:w="56" w:type="dxa"/>
              <w:left w:w="56" w:type="dxa"/>
              <w:bottom w:w="56" w:type="dxa"/>
              <w:right w:w="56" w:type="dxa"/>
            </w:tcMar>
          </w:tcPr>
          <w:p w:rsidR="0074306C" w:rsidRDefault="00A57F4C">
            <w:pPr>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Cross border data transfers are not relevant to the Data Matching Proposal. They have not been considered in detail in this PIA.</w:t>
            </w:r>
          </w:p>
        </w:tc>
        <w:tc>
          <w:tcPr>
            <w:tcW w:w="3637" w:type="dxa"/>
            <w:tcMar>
              <w:top w:w="56" w:type="dxa"/>
              <w:left w:w="56" w:type="dxa"/>
              <w:bottom w:w="56" w:type="dxa"/>
              <w:right w:w="56" w:type="dxa"/>
            </w:tcMar>
          </w:tcPr>
          <w:p w:rsidR="0074306C" w:rsidRDefault="0074306C">
            <w:pPr>
              <w:pBdr>
                <w:top w:val="nil"/>
                <w:left w:val="nil"/>
                <w:bottom w:val="nil"/>
                <w:right w:val="nil"/>
                <w:between w:val="nil"/>
              </w:pBdr>
              <w:spacing w:before="0" w:after="0"/>
              <w:rPr>
                <w:rFonts w:ascii="Arial" w:eastAsia="Arial" w:hAnsi="Arial" w:cs="Arial"/>
                <w:sz w:val="16"/>
                <w:szCs w:val="16"/>
              </w:rPr>
            </w:pPr>
          </w:p>
        </w:tc>
      </w:tr>
      <w:tr w:rsidR="0074306C">
        <w:trPr>
          <w:jc w:val="center"/>
        </w:trPr>
        <w:tc>
          <w:tcPr>
            <w:tcW w:w="1350" w:type="dxa"/>
            <w:shd w:val="clear" w:color="auto" w:fill="D9EAD3"/>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2iq8gzs">
              <w:r w:rsidR="00A57F4C">
                <w:rPr>
                  <w:rFonts w:ascii="Arial" w:eastAsia="Arial" w:hAnsi="Arial" w:cs="Arial"/>
                  <w:b/>
                  <w:color w:val="1155CC"/>
                  <w:sz w:val="16"/>
                  <w:szCs w:val="16"/>
                  <w:u w:val="single"/>
                </w:rPr>
                <w:t>APP 9</w:t>
              </w:r>
            </w:hyperlink>
            <w:r w:rsidR="00A57F4C">
              <w:rPr>
                <w:rFonts w:ascii="Arial" w:eastAsia="Arial" w:hAnsi="Arial" w:cs="Arial"/>
                <w:b/>
                <w:sz w:val="16"/>
                <w:szCs w:val="16"/>
              </w:rPr>
              <w:t xml:space="preserve"> – Government Related Identifiers</w:t>
            </w:r>
          </w:p>
        </w:tc>
        <w:tc>
          <w:tcPr>
            <w:tcW w:w="1125" w:type="dxa"/>
            <w:tcBorders>
              <w:bottom w:val="single" w:sz="4" w:space="0" w:color="808285"/>
            </w:tcBorders>
            <w:shd w:val="clear" w:color="auto" w:fill="D9EAD3"/>
            <w:tcMar>
              <w:top w:w="56" w:type="dxa"/>
              <w:left w:w="56" w:type="dxa"/>
              <w:bottom w:w="56" w:type="dxa"/>
              <w:right w:w="56" w:type="dxa"/>
            </w:tcMar>
          </w:tcPr>
          <w:p w:rsidR="0074306C" w:rsidRDefault="00A57F4C">
            <w:pPr>
              <w:spacing w:before="0" w:after="0"/>
              <w:jc w:val="center"/>
            </w:pPr>
            <w:r>
              <w:rPr>
                <w:rFonts w:ascii="Arial" w:eastAsia="Arial" w:hAnsi="Arial" w:cs="Arial"/>
                <w:b/>
                <w:sz w:val="16"/>
                <w:szCs w:val="16"/>
              </w:rPr>
              <w:t>Compliant</w:t>
            </w:r>
          </w:p>
        </w:tc>
        <w:tc>
          <w:tcPr>
            <w:tcW w:w="3637" w:type="dxa"/>
            <w:tcBorders>
              <w:bottom w:val="single" w:sz="4" w:space="0" w:color="808285"/>
            </w:tcBorders>
            <w:shd w:val="clear" w:color="auto" w:fill="D9EAD3"/>
            <w:tcMar>
              <w:top w:w="56" w:type="dxa"/>
              <w:left w:w="56" w:type="dxa"/>
              <w:bottom w:w="56" w:type="dxa"/>
              <w:right w:w="56" w:type="dxa"/>
            </w:tcMar>
          </w:tcPr>
          <w:p w:rsidR="0074306C" w:rsidRDefault="00A57F4C">
            <w:pPr>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 xml:space="preserve">APP 9 does not apply to Agencies unless they are undertaking prescribed commercial activities. </w:t>
            </w:r>
          </w:p>
        </w:tc>
        <w:tc>
          <w:tcPr>
            <w:tcW w:w="3637" w:type="dxa"/>
            <w:tcBorders>
              <w:bottom w:val="single" w:sz="4" w:space="0" w:color="808285"/>
            </w:tcBorders>
            <w:tcMar>
              <w:top w:w="56" w:type="dxa"/>
              <w:left w:w="56" w:type="dxa"/>
              <w:bottom w:w="56" w:type="dxa"/>
              <w:right w:w="56" w:type="dxa"/>
            </w:tcMar>
          </w:tcPr>
          <w:p w:rsidR="0074306C" w:rsidRDefault="0074306C">
            <w:pPr>
              <w:pBdr>
                <w:top w:val="nil"/>
                <w:left w:val="nil"/>
                <w:bottom w:val="nil"/>
                <w:right w:val="nil"/>
                <w:between w:val="nil"/>
              </w:pBdr>
              <w:spacing w:before="0" w:after="0"/>
              <w:rPr>
                <w:rFonts w:ascii="Arial" w:eastAsia="Arial" w:hAnsi="Arial" w:cs="Arial"/>
                <w:sz w:val="16"/>
                <w:szCs w:val="16"/>
              </w:rPr>
            </w:pPr>
          </w:p>
        </w:tc>
      </w:tr>
      <w:tr w:rsidR="0074306C">
        <w:trPr>
          <w:jc w:val="center"/>
        </w:trPr>
        <w:tc>
          <w:tcPr>
            <w:tcW w:w="1350" w:type="dxa"/>
            <w:shd w:val="clear" w:color="auto" w:fill="FFF2CC"/>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4h042r0">
              <w:r w:rsidR="00A57F4C">
                <w:rPr>
                  <w:rFonts w:ascii="Arial" w:eastAsia="Arial" w:hAnsi="Arial" w:cs="Arial"/>
                  <w:b/>
                  <w:color w:val="1155CC"/>
                  <w:sz w:val="16"/>
                  <w:szCs w:val="16"/>
                  <w:u w:val="single"/>
                </w:rPr>
                <w:t>APP 10</w:t>
              </w:r>
            </w:hyperlink>
            <w:r w:rsidR="00A57F4C">
              <w:rPr>
                <w:rFonts w:ascii="Arial" w:eastAsia="Arial" w:hAnsi="Arial" w:cs="Arial"/>
                <w:b/>
                <w:sz w:val="16"/>
                <w:szCs w:val="16"/>
              </w:rPr>
              <w:t xml:space="preserve"> – Quality of Personal Information</w:t>
            </w:r>
          </w:p>
        </w:tc>
        <w:tc>
          <w:tcPr>
            <w:tcW w:w="1125" w:type="dxa"/>
            <w:tcBorders>
              <w:bottom w:val="single" w:sz="4" w:space="0" w:color="808285"/>
            </w:tcBorders>
            <w:shd w:val="clear" w:color="auto" w:fill="FFF2CC"/>
            <w:tcMar>
              <w:top w:w="56" w:type="dxa"/>
              <w:left w:w="56" w:type="dxa"/>
              <w:bottom w:w="56" w:type="dxa"/>
              <w:right w:w="56" w:type="dxa"/>
            </w:tcMar>
          </w:tcPr>
          <w:p w:rsidR="0074306C" w:rsidRDefault="00A57F4C">
            <w:pPr>
              <w:spacing w:before="0" w:after="0"/>
              <w:jc w:val="center"/>
            </w:pPr>
            <w:r>
              <w:rPr>
                <w:rFonts w:ascii="Arial" w:eastAsia="Arial" w:hAnsi="Arial" w:cs="Arial"/>
                <w:b/>
                <w:sz w:val="16"/>
                <w:szCs w:val="16"/>
              </w:rPr>
              <w:t>In Progress</w:t>
            </w:r>
          </w:p>
        </w:tc>
        <w:tc>
          <w:tcPr>
            <w:tcW w:w="3637" w:type="dxa"/>
            <w:tcBorders>
              <w:bottom w:val="single" w:sz="4" w:space="0" w:color="808285"/>
            </w:tcBorders>
            <w:shd w:val="clear" w:color="auto" w:fill="FFF2CC"/>
            <w:tcMar>
              <w:top w:w="56" w:type="dxa"/>
              <w:left w:w="56" w:type="dxa"/>
              <w:bottom w:w="56" w:type="dxa"/>
              <w:right w:w="56" w:type="dxa"/>
            </w:tcMar>
          </w:tcPr>
          <w:p w:rsidR="0074306C" w:rsidRDefault="00A57F4C">
            <w:pPr>
              <w:spacing w:before="0" w:after="0"/>
              <w:rPr>
                <w:rFonts w:ascii="Arial" w:eastAsia="Arial" w:hAnsi="Arial" w:cs="Arial"/>
                <w:sz w:val="16"/>
                <w:szCs w:val="16"/>
              </w:rPr>
            </w:pPr>
            <w:r>
              <w:rPr>
                <w:rFonts w:ascii="Arial" w:eastAsia="Arial" w:hAnsi="Arial" w:cs="Arial"/>
                <w:sz w:val="16"/>
                <w:szCs w:val="16"/>
              </w:rPr>
              <w:t>The Department of Health has extensive systems in place for ensuring that its own</w:t>
            </w:r>
            <w:r>
              <w:rPr>
                <w:rFonts w:ascii="Arial" w:eastAsia="Arial" w:hAnsi="Arial" w:cs="Arial"/>
                <w:b/>
                <w:sz w:val="16"/>
                <w:szCs w:val="16"/>
              </w:rPr>
              <w:t xml:space="preserve"> </w:t>
            </w:r>
            <w:r>
              <w:rPr>
                <w:rFonts w:ascii="Arial" w:eastAsia="Arial" w:hAnsi="Arial" w:cs="Arial"/>
                <w:sz w:val="16"/>
                <w:szCs w:val="16"/>
              </w:rPr>
              <w:t>data is accurate. These systems are not the subject of detailed consideration in this PIA.</w:t>
            </w:r>
            <w:r>
              <w:rPr>
                <w:rFonts w:ascii="Arial" w:eastAsia="Arial" w:hAnsi="Arial" w:cs="Arial"/>
                <w:sz w:val="16"/>
                <w:szCs w:val="16"/>
              </w:rPr>
              <w:br/>
            </w:r>
            <w:r>
              <w:rPr>
                <w:rFonts w:ascii="Arial" w:eastAsia="Arial" w:hAnsi="Arial" w:cs="Arial"/>
                <w:sz w:val="16"/>
                <w:szCs w:val="16"/>
              </w:rPr>
              <w:br/>
              <w:t xml:space="preserve">The Data Matching Proposal may have an impact on data quality and this will have to be assessed on a case-by-case basis. </w:t>
            </w:r>
          </w:p>
          <w:p w:rsidR="0074306C" w:rsidRDefault="0074306C">
            <w:pPr>
              <w:spacing w:before="0" w:after="0"/>
              <w:rPr>
                <w:rFonts w:ascii="Arial" w:eastAsia="Arial" w:hAnsi="Arial" w:cs="Arial"/>
                <w:sz w:val="16"/>
                <w:szCs w:val="16"/>
              </w:rPr>
            </w:pPr>
          </w:p>
          <w:p w:rsidR="0074306C" w:rsidRDefault="00A57F4C">
            <w:pPr>
              <w:spacing w:before="0" w:after="0"/>
              <w:rPr>
                <w:rFonts w:ascii="Arial" w:eastAsia="Arial" w:hAnsi="Arial" w:cs="Arial"/>
                <w:sz w:val="16"/>
                <w:szCs w:val="16"/>
              </w:rPr>
            </w:pPr>
            <w:r>
              <w:rPr>
                <w:rFonts w:ascii="Arial" w:eastAsia="Arial" w:hAnsi="Arial" w:cs="Arial"/>
                <w:sz w:val="16"/>
                <w:szCs w:val="16"/>
              </w:rPr>
              <w:lastRenderedPageBreak/>
              <w:t xml:space="preserve">Some of the data matching proposals are ‘exploratory’. </w:t>
            </w:r>
            <w:r>
              <w:rPr>
                <w:rFonts w:ascii="Arial" w:eastAsia="Arial" w:hAnsi="Arial" w:cs="Arial"/>
                <w:sz w:val="16"/>
                <w:szCs w:val="16"/>
              </w:rPr>
              <w:br/>
            </w:r>
            <w:r>
              <w:rPr>
                <w:rFonts w:ascii="Arial" w:eastAsia="Arial" w:hAnsi="Arial" w:cs="Arial"/>
                <w:sz w:val="16"/>
                <w:szCs w:val="16"/>
              </w:rPr>
              <w:br/>
              <w:t>The Department of Health will need to undertake trials and pilot data exchanges to assess the accuracy of data that can be provided by partner agencies and entities in the Data Matching Proposal. Several trials and evaluations have already been conducted.</w:t>
            </w:r>
          </w:p>
        </w:tc>
        <w:tc>
          <w:tcPr>
            <w:tcW w:w="3637" w:type="dxa"/>
            <w:tcBorders>
              <w:bottom w:val="single" w:sz="4" w:space="0" w:color="808285"/>
            </w:tcBorders>
            <w:shd w:val="clear" w:color="auto" w:fill="A4C2F4"/>
            <w:tcMar>
              <w:top w:w="56" w:type="dxa"/>
              <w:left w:w="56" w:type="dxa"/>
              <w:bottom w:w="56" w:type="dxa"/>
              <w:right w:w="56" w:type="dxa"/>
            </w:tcMar>
          </w:tcPr>
          <w:p w:rsidR="0074306C" w:rsidRDefault="00A57F4C">
            <w:pPr>
              <w:keepLines w:val="0"/>
              <w:widowControl w:val="0"/>
              <w:spacing w:before="0" w:after="0"/>
              <w:rPr>
                <w:rFonts w:ascii="Arial" w:eastAsia="Arial" w:hAnsi="Arial" w:cs="Arial"/>
                <w:b/>
                <w:sz w:val="16"/>
                <w:szCs w:val="16"/>
              </w:rPr>
            </w:pPr>
            <w:r>
              <w:rPr>
                <w:rFonts w:ascii="Arial" w:eastAsia="Arial" w:hAnsi="Arial" w:cs="Arial"/>
                <w:b/>
                <w:sz w:val="16"/>
                <w:szCs w:val="16"/>
              </w:rPr>
              <w:lastRenderedPageBreak/>
              <w:t>Recommendation 8. Assess data quality benefits and risks</w:t>
            </w:r>
          </w:p>
          <w:p w:rsidR="0074306C" w:rsidRDefault="00A57F4C">
            <w:pPr>
              <w:keepLines w:val="0"/>
              <w:widowControl w:val="0"/>
              <w:spacing w:before="0" w:after="0"/>
              <w:rPr>
                <w:rFonts w:ascii="Arial" w:eastAsia="Arial" w:hAnsi="Arial" w:cs="Arial"/>
                <w:sz w:val="16"/>
                <w:szCs w:val="16"/>
              </w:rPr>
            </w:pPr>
            <w:r>
              <w:rPr>
                <w:rFonts w:ascii="Arial" w:eastAsia="Arial" w:hAnsi="Arial" w:cs="Arial"/>
                <w:sz w:val="16"/>
                <w:szCs w:val="16"/>
              </w:rPr>
              <w:t>The Data Matching Proposal should include a requirement for routine data sharing for controlled data-matching to be assessed regarding the potential data quality benefits and risks.</w:t>
            </w:r>
            <w:r>
              <w:rPr>
                <w:rFonts w:ascii="Arial" w:eastAsia="Arial" w:hAnsi="Arial" w:cs="Arial"/>
                <w:sz w:val="16"/>
                <w:szCs w:val="16"/>
              </w:rPr>
              <w:br/>
            </w:r>
            <w:r>
              <w:rPr>
                <w:rFonts w:ascii="Arial" w:eastAsia="Arial" w:hAnsi="Arial" w:cs="Arial"/>
                <w:sz w:val="16"/>
                <w:szCs w:val="16"/>
              </w:rPr>
              <w:br/>
            </w:r>
          </w:p>
        </w:tc>
      </w:tr>
      <w:tr w:rsidR="0074306C">
        <w:trPr>
          <w:jc w:val="center"/>
        </w:trPr>
        <w:tc>
          <w:tcPr>
            <w:tcW w:w="1350" w:type="dxa"/>
            <w:shd w:val="clear" w:color="auto" w:fill="F4CCCC"/>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pkwqa1">
              <w:r w:rsidR="00A57F4C">
                <w:rPr>
                  <w:rFonts w:ascii="Arial" w:eastAsia="Arial" w:hAnsi="Arial" w:cs="Arial"/>
                  <w:b/>
                  <w:color w:val="1155CC"/>
                  <w:sz w:val="16"/>
                  <w:szCs w:val="16"/>
                  <w:u w:val="single"/>
                </w:rPr>
                <w:t>APP 11</w:t>
              </w:r>
            </w:hyperlink>
            <w:r w:rsidR="00A57F4C">
              <w:rPr>
                <w:rFonts w:ascii="Arial" w:eastAsia="Arial" w:hAnsi="Arial" w:cs="Arial"/>
                <w:b/>
                <w:sz w:val="16"/>
                <w:szCs w:val="16"/>
              </w:rPr>
              <w:t xml:space="preserve"> – Security</w:t>
            </w:r>
          </w:p>
        </w:tc>
        <w:tc>
          <w:tcPr>
            <w:tcW w:w="1125" w:type="dxa"/>
            <w:tcBorders>
              <w:bottom w:val="single" w:sz="4" w:space="0" w:color="808285"/>
            </w:tcBorders>
            <w:shd w:val="clear" w:color="auto" w:fill="F4CCCC"/>
            <w:tcMar>
              <w:top w:w="56" w:type="dxa"/>
              <w:left w:w="56" w:type="dxa"/>
              <w:bottom w:w="56" w:type="dxa"/>
              <w:right w:w="56" w:type="dxa"/>
            </w:tcMar>
          </w:tcPr>
          <w:p w:rsidR="0074306C" w:rsidRDefault="00A57F4C">
            <w:pPr>
              <w:spacing w:before="0" w:after="0"/>
              <w:jc w:val="center"/>
            </w:pPr>
            <w:r>
              <w:rPr>
                <w:rFonts w:ascii="Arial" w:eastAsia="Arial" w:hAnsi="Arial" w:cs="Arial"/>
                <w:b/>
                <w:sz w:val="16"/>
                <w:szCs w:val="16"/>
              </w:rPr>
              <w:t>Action required</w:t>
            </w:r>
          </w:p>
        </w:tc>
        <w:tc>
          <w:tcPr>
            <w:tcW w:w="3637" w:type="dxa"/>
            <w:shd w:val="clear" w:color="auto" w:fill="F4CCCC"/>
            <w:tcMar>
              <w:top w:w="56" w:type="dxa"/>
              <w:left w:w="56" w:type="dxa"/>
              <w:bottom w:w="56" w:type="dxa"/>
              <w:right w:w="56" w:type="dxa"/>
            </w:tcMar>
          </w:tcPr>
          <w:p w:rsidR="0074306C" w:rsidRDefault="00A57F4C">
            <w:pPr>
              <w:keepLines w:val="0"/>
              <w:widowControl w:val="0"/>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The data being exchanged in the Data Matching Proposal includes sensitive data. The scale of the data involved is also significant. It will be important for security settings to match the potential harm of any breaches.</w:t>
            </w:r>
          </w:p>
          <w:p w:rsidR="0074306C" w:rsidRDefault="0074306C">
            <w:pPr>
              <w:spacing w:before="0" w:after="0"/>
              <w:rPr>
                <w:rFonts w:ascii="Arial" w:eastAsia="Arial" w:hAnsi="Arial" w:cs="Arial"/>
                <w:sz w:val="16"/>
                <w:szCs w:val="16"/>
              </w:rPr>
            </w:pPr>
          </w:p>
          <w:p w:rsidR="0074306C" w:rsidRDefault="00A57F4C">
            <w:pPr>
              <w:spacing w:before="0" w:after="0"/>
              <w:rPr>
                <w:rFonts w:ascii="Arial" w:eastAsia="Arial" w:hAnsi="Arial" w:cs="Arial"/>
                <w:sz w:val="16"/>
                <w:szCs w:val="16"/>
              </w:rPr>
            </w:pPr>
            <w:r>
              <w:rPr>
                <w:rFonts w:ascii="Arial" w:eastAsia="Arial" w:hAnsi="Arial" w:cs="Arial"/>
                <w:sz w:val="16"/>
                <w:szCs w:val="16"/>
              </w:rPr>
              <w:t>The Department of Health has extensive security measures in place to protect the data that it receives. The IT environment that will be used for data matching is also the subject of periodic independent security risk assessments.</w:t>
            </w:r>
          </w:p>
          <w:p w:rsidR="0074306C" w:rsidRDefault="0074306C">
            <w:pPr>
              <w:spacing w:before="0" w:after="0"/>
              <w:rPr>
                <w:rFonts w:ascii="Arial" w:eastAsia="Arial" w:hAnsi="Arial" w:cs="Arial"/>
                <w:sz w:val="16"/>
                <w:szCs w:val="16"/>
              </w:rPr>
            </w:pPr>
          </w:p>
          <w:p w:rsidR="0074306C" w:rsidRDefault="00A57F4C">
            <w:pPr>
              <w:spacing w:before="0" w:after="0"/>
              <w:rPr>
                <w:rFonts w:ascii="Arial" w:eastAsia="Arial" w:hAnsi="Arial" w:cs="Arial"/>
                <w:sz w:val="16"/>
                <w:szCs w:val="16"/>
              </w:rPr>
            </w:pPr>
            <w:r>
              <w:rPr>
                <w:rFonts w:ascii="Arial" w:eastAsia="Arial" w:hAnsi="Arial" w:cs="Arial"/>
                <w:sz w:val="16"/>
                <w:szCs w:val="16"/>
              </w:rPr>
              <w:t>The security measures could be improved by the use of common security standards for other agencies and third parties who receive data from the Department of Health in the Data Matching Proposal and the extension of security audits and compliance checks to cover the entire Proposal. All Australian Commonwealth entities must comply with the Australian Signals Directorate Information Security Manual (ISM). These may serve as a common standard.</w:t>
            </w:r>
          </w:p>
          <w:p w:rsidR="0074306C" w:rsidRDefault="0074306C">
            <w:pPr>
              <w:spacing w:before="0" w:after="0"/>
              <w:rPr>
                <w:rFonts w:ascii="Arial" w:eastAsia="Arial" w:hAnsi="Arial" w:cs="Arial"/>
                <w:sz w:val="16"/>
                <w:szCs w:val="16"/>
              </w:rPr>
            </w:pPr>
          </w:p>
          <w:p w:rsidR="0074306C" w:rsidRDefault="00A57F4C">
            <w:pPr>
              <w:spacing w:before="0" w:after="0"/>
              <w:rPr>
                <w:rFonts w:ascii="Arial" w:eastAsia="Arial" w:hAnsi="Arial" w:cs="Arial"/>
                <w:sz w:val="16"/>
                <w:szCs w:val="16"/>
              </w:rPr>
            </w:pPr>
            <w:r>
              <w:rPr>
                <w:rFonts w:ascii="Arial" w:eastAsia="Arial" w:hAnsi="Arial" w:cs="Arial"/>
                <w:sz w:val="16"/>
                <w:szCs w:val="16"/>
              </w:rPr>
              <w:t>It will also be important to develop the capability to detect and identify data breaches (both within the Department of Health and at third parties accessing the data).</w:t>
            </w:r>
          </w:p>
          <w:p w:rsidR="0074306C" w:rsidRDefault="0074306C">
            <w:pPr>
              <w:spacing w:before="0" w:after="0"/>
              <w:rPr>
                <w:rFonts w:ascii="Arial" w:eastAsia="Arial" w:hAnsi="Arial" w:cs="Arial"/>
                <w:sz w:val="16"/>
                <w:szCs w:val="16"/>
              </w:rPr>
            </w:pPr>
          </w:p>
          <w:p w:rsidR="0074306C" w:rsidRDefault="00A57F4C">
            <w:pPr>
              <w:spacing w:before="0" w:after="0"/>
              <w:rPr>
                <w:rFonts w:ascii="Arial" w:eastAsia="Arial" w:hAnsi="Arial" w:cs="Arial"/>
                <w:sz w:val="16"/>
                <w:szCs w:val="16"/>
              </w:rPr>
            </w:pPr>
            <w:r>
              <w:rPr>
                <w:rFonts w:ascii="Arial" w:eastAsia="Arial" w:hAnsi="Arial" w:cs="Arial"/>
                <w:sz w:val="16"/>
                <w:szCs w:val="16"/>
              </w:rPr>
              <w:t xml:space="preserve">Data destruction requirements are also an important part of compliance with privacy best practice. The proposed legislative framework – envisaged in the </w:t>
            </w:r>
            <w:r>
              <w:rPr>
                <w:rFonts w:ascii="Arial" w:eastAsia="Arial" w:hAnsi="Arial" w:cs="Arial"/>
                <w:i/>
                <w:sz w:val="16"/>
                <w:szCs w:val="16"/>
              </w:rPr>
              <w:t>Health Legislation Amendment (Data-matching) Bill 2019</w:t>
            </w:r>
            <w:r>
              <w:rPr>
                <w:rFonts w:ascii="Arial" w:eastAsia="Arial" w:hAnsi="Arial" w:cs="Arial"/>
                <w:sz w:val="16"/>
                <w:szCs w:val="16"/>
              </w:rPr>
              <w:t xml:space="preserve"> – and additional governance arrangements will need to include clear data destruction and data retention requirements. The new data retention / destruction requirements should be applied to any sensitive personal information collected or disclosed for data matching and also the results / output of the data matching process conducted by the Department of Health.</w:t>
            </w:r>
          </w:p>
        </w:tc>
        <w:tc>
          <w:tcPr>
            <w:tcW w:w="3637" w:type="dxa"/>
            <w:shd w:val="clear" w:color="auto" w:fill="A4C2F4"/>
            <w:tcMar>
              <w:top w:w="56" w:type="dxa"/>
              <w:left w:w="56" w:type="dxa"/>
              <w:bottom w:w="56" w:type="dxa"/>
              <w:right w:w="56" w:type="dxa"/>
            </w:tcMar>
          </w:tcPr>
          <w:p w:rsidR="0074306C" w:rsidRDefault="00A57F4C">
            <w:pPr>
              <w:keepLines w:val="0"/>
              <w:widowControl w:val="0"/>
              <w:spacing w:before="0" w:after="0"/>
              <w:rPr>
                <w:rFonts w:ascii="Arial" w:eastAsia="Arial" w:hAnsi="Arial" w:cs="Arial"/>
                <w:b/>
                <w:sz w:val="16"/>
                <w:szCs w:val="16"/>
              </w:rPr>
            </w:pPr>
            <w:r>
              <w:rPr>
                <w:rFonts w:ascii="Arial" w:eastAsia="Arial" w:hAnsi="Arial" w:cs="Arial"/>
                <w:b/>
                <w:sz w:val="16"/>
                <w:szCs w:val="16"/>
              </w:rPr>
              <w:t>Recommendation 9. Establish a security compliance framework</w:t>
            </w:r>
          </w:p>
          <w:p w:rsidR="0074306C" w:rsidRDefault="00A57F4C">
            <w:pPr>
              <w:keepLines w:val="0"/>
              <w:widowControl w:val="0"/>
              <w:spacing w:before="0" w:after="0"/>
              <w:rPr>
                <w:rFonts w:ascii="Arial" w:eastAsia="Arial" w:hAnsi="Arial" w:cs="Arial"/>
                <w:b/>
                <w:sz w:val="16"/>
                <w:szCs w:val="16"/>
              </w:rPr>
            </w:pPr>
            <w:r>
              <w:rPr>
                <w:rFonts w:ascii="Arial" w:eastAsia="Arial" w:hAnsi="Arial" w:cs="Arial"/>
                <w:sz w:val="16"/>
                <w:szCs w:val="16"/>
              </w:rPr>
              <w:t>Where data is shared with Commonwealth entities and other agencies, the Department of Health should establish a security compliance framework (consisting of mandatory security requirements backed by regular security audits, testing and reporting) that extends security measures to all participants in the Data Matching Proposal.</w:t>
            </w:r>
            <w:r>
              <w:rPr>
                <w:rFonts w:ascii="Arial" w:eastAsia="Arial" w:hAnsi="Arial" w:cs="Arial"/>
                <w:sz w:val="16"/>
                <w:szCs w:val="16"/>
              </w:rPr>
              <w:br/>
            </w:r>
            <w:r>
              <w:rPr>
                <w:rFonts w:ascii="Arial" w:eastAsia="Arial" w:hAnsi="Arial" w:cs="Arial"/>
                <w:sz w:val="16"/>
                <w:szCs w:val="16"/>
              </w:rPr>
              <w:br/>
            </w:r>
            <w:r>
              <w:rPr>
                <w:rFonts w:ascii="Arial" w:eastAsia="Arial" w:hAnsi="Arial" w:cs="Arial"/>
                <w:b/>
                <w:sz w:val="16"/>
                <w:szCs w:val="16"/>
              </w:rPr>
              <w:t>Recommendation 10. Expansion of data destruction requirements</w:t>
            </w:r>
          </w:p>
          <w:p w:rsidR="0074306C" w:rsidRDefault="00A57F4C">
            <w:pPr>
              <w:keepLines w:val="0"/>
              <w:widowControl w:val="0"/>
              <w:spacing w:before="0" w:after="0"/>
              <w:rPr>
                <w:rFonts w:ascii="Arial" w:eastAsia="Arial" w:hAnsi="Arial" w:cs="Arial"/>
                <w:sz w:val="16"/>
                <w:szCs w:val="16"/>
              </w:rPr>
            </w:pPr>
            <w:r>
              <w:rPr>
                <w:rFonts w:ascii="Arial" w:eastAsia="Arial" w:hAnsi="Arial" w:cs="Arial"/>
                <w:sz w:val="16"/>
                <w:szCs w:val="16"/>
              </w:rPr>
              <w:t>The Department of Health should expand processes for data retention / destruction to cover data that is shared by / with other Commonwealth entities and third parties, ensuring that participants are complying with data destruction conditions imposed by the Department of Health and vice versa.</w:t>
            </w:r>
          </w:p>
        </w:tc>
      </w:tr>
      <w:tr w:rsidR="0074306C">
        <w:trPr>
          <w:jc w:val="center"/>
        </w:trPr>
        <w:tc>
          <w:tcPr>
            <w:tcW w:w="1350" w:type="dxa"/>
            <w:shd w:val="clear" w:color="auto" w:fill="D9EAD3"/>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1302m92">
              <w:r w:rsidR="00A57F4C">
                <w:rPr>
                  <w:rFonts w:ascii="Arial" w:eastAsia="Arial" w:hAnsi="Arial" w:cs="Arial"/>
                  <w:b/>
                  <w:color w:val="1155CC"/>
                  <w:sz w:val="16"/>
                  <w:szCs w:val="16"/>
                  <w:u w:val="single"/>
                </w:rPr>
                <w:t>APP 12</w:t>
              </w:r>
            </w:hyperlink>
            <w:r w:rsidR="00A57F4C">
              <w:rPr>
                <w:rFonts w:ascii="Arial" w:eastAsia="Arial" w:hAnsi="Arial" w:cs="Arial"/>
                <w:b/>
                <w:sz w:val="16"/>
                <w:szCs w:val="16"/>
              </w:rPr>
              <w:t xml:space="preserve"> – Access</w:t>
            </w:r>
          </w:p>
        </w:tc>
        <w:tc>
          <w:tcPr>
            <w:tcW w:w="1125" w:type="dxa"/>
            <w:tcBorders>
              <w:bottom w:val="single" w:sz="4" w:space="0" w:color="808285"/>
            </w:tcBorders>
            <w:shd w:val="clear" w:color="auto" w:fill="D9EAD3"/>
            <w:tcMar>
              <w:top w:w="56" w:type="dxa"/>
              <w:left w:w="56" w:type="dxa"/>
              <w:bottom w:w="56" w:type="dxa"/>
              <w:right w:w="56" w:type="dxa"/>
            </w:tcMar>
          </w:tcPr>
          <w:p w:rsidR="0074306C" w:rsidRDefault="00A57F4C">
            <w:pPr>
              <w:spacing w:before="0" w:after="0"/>
              <w:jc w:val="center"/>
            </w:pPr>
            <w:r>
              <w:rPr>
                <w:rFonts w:ascii="Arial" w:eastAsia="Arial" w:hAnsi="Arial" w:cs="Arial"/>
                <w:b/>
                <w:sz w:val="16"/>
                <w:szCs w:val="16"/>
              </w:rPr>
              <w:t>Compliant</w:t>
            </w:r>
          </w:p>
        </w:tc>
        <w:tc>
          <w:tcPr>
            <w:tcW w:w="3637" w:type="dxa"/>
            <w:tcBorders>
              <w:bottom w:val="single" w:sz="4" w:space="0" w:color="808285"/>
            </w:tcBorders>
            <w:shd w:val="clear" w:color="auto" w:fill="D9EAD3"/>
            <w:tcMar>
              <w:top w:w="56" w:type="dxa"/>
              <w:left w:w="56" w:type="dxa"/>
              <w:bottom w:w="56" w:type="dxa"/>
              <w:right w:w="56" w:type="dxa"/>
            </w:tcMar>
          </w:tcPr>
          <w:p w:rsidR="0074306C" w:rsidRDefault="00A57F4C">
            <w:pPr>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The Department of Health has access policies and procedures in place that are fully compliant with APP 12. The Data Matching Proposal does not have a significant impact on Access requests under APP 12.</w:t>
            </w:r>
          </w:p>
        </w:tc>
        <w:tc>
          <w:tcPr>
            <w:tcW w:w="3637" w:type="dxa"/>
            <w:tcBorders>
              <w:bottom w:val="single" w:sz="4" w:space="0" w:color="808285"/>
            </w:tcBorders>
            <w:tcMar>
              <w:top w:w="56" w:type="dxa"/>
              <w:left w:w="56" w:type="dxa"/>
              <w:bottom w:w="56" w:type="dxa"/>
              <w:right w:w="56" w:type="dxa"/>
            </w:tcMar>
          </w:tcPr>
          <w:p w:rsidR="0074306C" w:rsidRDefault="0074306C">
            <w:pPr>
              <w:pBdr>
                <w:top w:val="nil"/>
                <w:left w:val="nil"/>
                <w:bottom w:val="nil"/>
                <w:right w:val="nil"/>
                <w:between w:val="nil"/>
              </w:pBdr>
              <w:spacing w:before="0" w:after="0"/>
              <w:rPr>
                <w:rFonts w:ascii="Arial" w:eastAsia="Arial" w:hAnsi="Arial" w:cs="Arial"/>
                <w:sz w:val="16"/>
                <w:szCs w:val="16"/>
              </w:rPr>
            </w:pPr>
          </w:p>
        </w:tc>
      </w:tr>
      <w:tr w:rsidR="0074306C">
        <w:trPr>
          <w:jc w:val="center"/>
        </w:trPr>
        <w:tc>
          <w:tcPr>
            <w:tcW w:w="1350" w:type="dxa"/>
            <w:shd w:val="clear" w:color="auto" w:fill="F4CCCC"/>
            <w:tcMar>
              <w:top w:w="56" w:type="dxa"/>
              <w:left w:w="56" w:type="dxa"/>
              <w:bottom w:w="56" w:type="dxa"/>
              <w:right w:w="56" w:type="dxa"/>
            </w:tcMar>
          </w:tcPr>
          <w:p w:rsidR="0074306C" w:rsidRDefault="00C907A7">
            <w:pPr>
              <w:pBdr>
                <w:top w:val="nil"/>
                <w:left w:val="nil"/>
                <w:bottom w:val="nil"/>
                <w:right w:val="nil"/>
                <w:between w:val="nil"/>
              </w:pBdr>
              <w:spacing w:before="0" w:after="0"/>
            </w:pPr>
            <w:hyperlink w:anchor="_cft1sa4b0cus">
              <w:r w:rsidR="00A57F4C">
                <w:rPr>
                  <w:rFonts w:ascii="Arial" w:eastAsia="Arial" w:hAnsi="Arial" w:cs="Arial"/>
                  <w:b/>
                  <w:color w:val="1155CC"/>
                  <w:sz w:val="16"/>
                  <w:szCs w:val="16"/>
                  <w:u w:val="single"/>
                </w:rPr>
                <w:t>APP 13</w:t>
              </w:r>
            </w:hyperlink>
            <w:r w:rsidR="00A57F4C">
              <w:rPr>
                <w:rFonts w:ascii="Arial" w:eastAsia="Arial" w:hAnsi="Arial" w:cs="Arial"/>
                <w:b/>
                <w:sz w:val="16"/>
                <w:szCs w:val="16"/>
              </w:rPr>
              <w:t xml:space="preserve"> – Correction</w:t>
            </w:r>
          </w:p>
        </w:tc>
        <w:tc>
          <w:tcPr>
            <w:tcW w:w="1125" w:type="dxa"/>
            <w:tcBorders>
              <w:bottom w:val="single" w:sz="4" w:space="0" w:color="808285"/>
            </w:tcBorders>
            <w:shd w:val="clear" w:color="auto" w:fill="F4CCCC"/>
            <w:tcMar>
              <w:top w:w="56" w:type="dxa"/>
              <w:left w:w="56" w:type="dxa"/>
              <w:bottom w:w="56" w:type="dxa"/>
              <w:right w:w="56" w:type="dxa"/>
            </w:tcMar>
          </w:tcPr>
          <w:p w:rsidR="0074306C" w:rsidRDefault="00A57F4C">
            <w:pPr>
              <w:spacing w:before="0" w:after="0"/>
              <w:jc w:val="center"/>
            </w:pPr>
            <w:r>
              <w:rPr>
                <w:rFonts w:ascii="Arial" w:eastAsia="Arial" w:hAnsi="Arial" w:cs="Arial"/>
                <w:b/>
                <w:sz w:val="16"/>
                <w:szCs w:val="16"/>
              </w:rPr>
              <w:t>Action required</w:t>
            </w:r>
          </w:p>
        </w:tc>
        <w:tc>
          <w:tcPr>
            <w:tcW w:w="3637" w:type="dxa"/>
            <w:shd w:val="clear" w:color="auto" w:fill="F4CCCC"/>
            <w:tcMar>
              <w:top w:w="56" w:type="dxa"/>
              <w:left w:w="56" w:type="dxa"/>
              <w:bottom w:w="56" w:type="dxa"/>
              <w:right w:w="56" w:type="dxa"/>
            </w:tcMar>
          </w:tcPr>
          <w:p w:rsidR="0074306C" w:rsidRDefault="00A57F4C">
            <w:pPr>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 xml:space="preserve">The Data Matching Proposal will require an expansion of complaints management and the correction of data to ensure that all third parties involved in data matching are covered. </w:t>
            </w:r>
          </w:p>
        </w:tc>
        <w:tc>
          <w:tcPr>
            <w:tcW w:w="3637" w:type="dxa"/>
            <w:shd w:val="clear" w:color="auto" w:fill="A4C2F4"/>
            <w:tcMar>
              <w:top w:w="56" w:type="dxa"/>
              <w:left w:w="56" w:type="dxa"/>
              <w:bottom w:w="56" w:type="dxa"/>
              <w:right w:w="56" w:type="dxa"/>
            </w:tcMar>
          </w:tcPr>
          <w:p w:rsidR="0074306C" w:rsidRDefault="00A57F4C">
            <w:pPr>
              <w:keepLines w:val="0"/>
              <w:widowControl w:val="0"/>
              <w:spacing w:before="0" w:after="0"/>
              <w:rPr>
                <w:rFonts w:ascii="Arial" w:eastAsia="Arial" w:hAnsi="Arial" w:cs="Arial"/>
                <w:sz w:val="16"/>
                <w:szCs w:val="16"/>
              </w:rPr>
            </w:pPr>
            <w:r>
              <w:rPr>
                <w:rFonts w:ascii="Arial" w:eastAsia="Arial" w:hAnsi="Arial" w:cs="Arial"/>
                <w:b/>
                <w:sz w:val="16"/>
                <w:szCs w:val="16"/>
              </w:rPr>
              <w:t>Recommendation 11. Sharing corrections</w:t>
            </w:r>
            <w:r>
              <w:rPr>
                <w:rFonts w:ascii="Arial" w:eastAsia="Arial" w:hAnsi="Arial" w:cs="Arial"/>
                <w:b/>
                <w:sz w:val="16"/>
                <w:szCs w:val="16"/>
              </w:rPr>
              <w:br/>
            </w:r>
            <w:r>
              <w:rPr>
                <w:rFonts w:ascii="Arial" w:eastAsia="Arial" w:hAnsi="Arial" w:cs="Arial"/>
                <w:sz w:val="16"/>
                <w:szCs w:val="16"/>
              </w:rPr>
              <w:t>The Department of Health should share all relevant data corrections with third parties involved in data matching.</w:t>
            </w:r>
          </w:p>
        </w:tc>
      </w:tr>
      <w:tr w:rsidR="0074306C">
        <w:trPr>
          <w:jc w:val="center"/>
        </w:trPr>
        <w:tc>
          <w:tcPr>
            <w:tcW w:w="1350" w:type="dxa"/>
            <w:shd w:val="clear" w:color="auto" w:fill="F4CCCC"/>
            <w:tcMar>
              <w:top w:w="56" w:type="dxa"/>
              <w:left w:w="56" w:type="dxa"/>
              <w:bottom w:w="56" w:type="dxa"/>
              <w:right w:w="56" w:type="dxa"/>
            </w:tcMar>
          </w:tcPr>
          <w:p w:rsidR="0074306C" w:rsidRDefault="00C907A7">
            <w:pPr>
              <w:pBdr>
                <w:top w:val="nil"/>
                <w:left w:val="nil"/>
                <w:bottom w:val="nil"/>
                <w:right w:val="nil"/>
                <w:between w:val="nil"/>
              </w:pBdr>
              <w:spacing w:before="0" w:after="0"/>
              <w:rPr>
                <w:rFonts w:ascii="Arial" w:eastAsia="Arial" w:hAnsi="Arial" w:cs="Arial"/>
                <w:b/>
                <w:sz w:val="16"/>
                <w:szCs w:val="16"/>
              </w:rPr>
            </w:pPr>
            <w:hyperlink w:anchor="_hwu4ntxo6632">
              <w:r w:rsidR="00A57F4C">
                <w:rPr>
                  <w:rFonts w:ascii="Arial" w:eastAsia="Arial" w:hAnsi="Arial" w:cs="Arial"/>
                  <w:b/>
                  <w:color w:val="1155CC"/>
                  <w:sz w:val="16"/>
                  <w:szCs w:val="16"/>
                  <w:u w:val="single"/>
                </w:rPr>
                <w:t>Section 18. Privacy Governance</w:t>
              </w:r>
            </w:hyperlink>
          </w:p>
        </w:tc>
        <w:tc>
          <w:tcPr>
            <w:tcW w:w="1125" w:type="dxa"/>
            <w:tcBorders>
              <w:bottom w:val="single" w:sz="4" w:space="0" w:color="808285"/>
            </w:tcBorders>
            <w:shd w:val="clear" w:color="auto" w:fill="F4CCCC"/>
            <w:tcMar>
              <w:top w:w="56" w:type="dxa"/>
              <w:left w:w="56" w:type="dxa"/>
              <w:bottom w:w="56" w:type="dxa"/>
              <w:right w:w="56" w:type="dxa"/>
            </w:tcMar>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Action</w:t>
            </w:r>
          </w:p>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required</w:t>
            </w:r>
          </w:p>
        </w:tc>
        <w:tc>
          <w:tcPr>
            <w:tcW w:w="3637" w:type="dxa"/>
            <w:shd w:val="clear" w:color="auto" w:fill="F4CCCC"/>
            <w:tcMar>
              <w:top w:w="56" w:type="dxa"/>
              <w:left w:w="56" w:type="dxa"/>
              <w:bottom w:w="56" w:type="dxa"/>
              <w:right w:w="56" w:type="dxa"/>
            </w:tcMar>
          </w:tcPr>
          <w:p w:rsidR="0074306C" w:rsidRDefault="00A57F4C">
            <w:pPr>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In the Data Matching Proposal the Department of Health and partner agencies are subject to more than compliance with the APPs, so a broader governance framework is required. In this context there is a framework made up of the department’s Privacy Plan, data matching plans and the governance arrangements established under the proposed legislative framework.</w:t>
            </w:r>
          </w:p>
          <w:p w:rsidR="0074306C" w:rsidRDefault="0074306C">
            <w:pPr>
              <w:pBdr>
                <w:top w:val="nil"/>
                <w:left w:val="nil"/>
                <w:bottom w:val="nil"/>
                <w:right w:val="nil"/>
                <w:between w:val="nil"/>
              </w:pBdr>
              <w:spacing w:before="0" w:after="0"/>
              <w:rPr>
                <w:rFonts w:ascii="Arial" w:eastAsia="Arial" w:hAnsi="Arial" w:cs="Arial"/>
                <w:sz w:val="16"/>
                <w:szCs w:val="16"/>
              </w:rPr>
            </w:pPr>
          </w:p>
          <w:p w:rsidR="0074306C" w:rsidRDefault="00A57F4C">
            <w:pPr>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The Department of Health will benefit from addressing all of these compliance requirements in a single framework, and has begun work on developing an appropriate framework.</w:t>
            </w:r>
          </w:p>
          <w:p w:rsidR="0074306C" w:rsidRDefault="0074306C">
            <w:pPr>
              <w:pBdr>
                <w:top w:val="nil"/>
                <w:left w:val="nil"/>
                <w:bottom w:val="nil"/>
                <w:right w:val="nil"/>
                <w:between w:val="nil"/>
              </w:pBdr>
              <w:spacing w:before="0" w:after="0"/>
              <w:rPr>
                <w:rFonts w:ascii="Arial" w:eastAsia="Arial" w:hAnsi="Arial" w:cs="Arial"/>
                <w:sz w:val="16"/>
                <w:szCs w:val="16"/>
              </w:rPr>
            </w:pPr>
          </w:p>
        </w:tc>
        <w:tc>
          <w:tcPr>
            <w:tcW w:w="3637" w:type="dxa"/>
            <w:shd w:val="clear" w:color="auto" w:fill="A4C2F4"/>
            <w:tcMar>
              <w:top w:w="56" w:type="dxa"/>
              <w:left w:w="56" w:type="dxa"/>
              <w:bottom w:w="56" w:type="dxa"/>
              <w:right w:w="56" w:type="dxa"/>
            </w:tcMar>
          </w:tcPr>
          <w:p w:rsidR="0074306C" w:rsidRDefault="00A57F4C">
            <w:pPr>
              <w:keepLines w:val="0"/>
              <w:widowControl w:val="0"/>
              <w:pBdr>
                <w:top w:val="nil"/>
                <w:left w:val="nil"/>
                <w:bottom w:val="nil"/>
                <w:right w:val="nil"/>
                <w:between w:val="nil"/>
              </w:pBdr>
              <w:spacing w:before="0" w:after="0"/>
              <w:rPr>
                <w:rFonts w:ascii="Times New Roman" w:eastAsia="Times New Roman" w:hAnsi="Times New Roman" w:cs="Times New Roman"/>
                <w:sz w:val="20"/>
                <w:szCs w:val="20"/>
              </w:rPr>
            </w:pPr>
            <w:r>
              <w:rPr>
                <w:rFonts w:ascii="Arial" w:eastAsia="Arial" w:hAnsi="Arial" w:cs="Arial"/>
                <w:b/>
                <w:sz w:val="16"/>
                <w:szCs w:val="16"/>
              </w:rPr>
              <w:t>Recommendation 12. Establish privacy governance arrangements and then review, strengthen and enhance on a regular basis</w:t>
            </w:r>
            <w:r>
              <w:rPr>
                <w:rFonts w:ascii="Arial" w:eastAsia="Arial" w:hAnsi="Arial" w:cs="Arial"/>
                <w:b/>
                <w:sz w:val="16"/>
                <w:szCs w:val="16"/>
              </w:rPr>
              <w:br/>
            </w:r>
            <w:r>
              <w:rPr>
                <w:rFonts w:ascii="Arial" w:eastAsia="Arial" w:hAnsi="Arial" w:cs="Arial"/>
                <w:sz w:val="16"/>
                <w:szCs w:val="16"/>
              </w:rPr>
              <w:t>The Department of Health should formally, establish core criteria for the privacy governance arrangements, including:</w:t>
            </w:r>
          </w:p>
          <w:p w:rsidR="0074306C" w:rsidRDefault="0074306C">
            <w:pPr>
              <w:spacing w:before="0" w:after="0" w:line="273" w:lineRule="auto"/>
              <w:ind w:left="720"/>
              <w:rPr>
                <w:rFonts w:ascii="Arial" w:eastAsia="Arial" w:hAnsi="Arial" w:cs="Arial"/>
                <w:sz w:val="16"/>
                <w:szCs w:val="16"/>
              </w:rPr>
            </w:pPr>
          </w:p>
          <w:p w:rsidR="0074306C" w:rsidRDefault="00A57F4C" w:rsidP="004C3ED8">
            <w:pPr>
              <w:numPr>
                <w:ilvl w:val="0"/>
                <w:numId w:val="52"/>
              </w:numPr>
              <w:spacing w:before="0" w:after="0" w:line="331" w:lineRule="auto"/>
              <w:ind w:left="566"/>
              <w:rPr>
                <w:rFonts w:ascii="Arial" w:eastAsia="Arial" w:hAnsi="Arial" w:cs="Arial"/>
                <w:sz w:val="16"/>
                <w:szCs w:val="16"/>
              </w:rPr>
            </w:pPr>
            <w:r>
              <w:rPr>
                <w:rFonts w:ascii="Arial" w:eastAsia="Arial" w:hAnsi="Arial" w:cs="Arial"/>
                <w:sz w:val="16"/>
                <w:szCs w:val="16"/>
              </w:rPr>
              <w:t>Register of agreements</w:t>
            </w:r>
          </w:p>
          <w:p w:rsidR="0074306C" w:rsidRDefault="00A57F4C" w:rsidP="004C3ED8">
            <w:pPr>
              <w:numPr>
                <w:ilvl w:val="0"/>
                <w:numId w:val="52"/>
              </w:numPr>
              <w:spacing w:before="0" w:after="0" w:line="331" w:lineRule="auto"/>
              <w:ind w:left="566"/>
              <w:rPr>
                <w:rFonts w:ascii="Arial" w:eastAsia="Arial" w:hAnsi="Arial" w:cs="Arial"/>
                <w:sz w:val="16"/>
                <w:szCs w:val="16"/>
              </w:rPr>
            </w:pPr>
            <w:r>
              <w:rPr>
                <w:rFonts w:ascii="Arial" w:eastAsia="Arial" w:hAnsi="Arial" w:cs="Arial"/>
                <w:sz w:val="16"/>
                <w:szCs w:val="16"/>
              </w:rPr>
              <w:t>Data minimisation</w:t>
            </w:r>
          </w:p>
          <w:p w:rsidR="0074306C" w:rsidRDefault="00A57F4C" w:rsidP="004C3ED8">
            <w:pPr>
              <w:numPr>
                <w:ilvl w:val="0"/>
                <w:numId w:val="52"/>
              </w:numPr>
              <w:spacing w:before="0" w:after="0" w:line="331" w:lineRule="auto"/>
              <w:ind w:left="566"/>
              <w:rPr>
                <w:rFonts w:ascii="Arial" w:eastAsia="Arial" w:hAnsi="Arial" w:cs="Arial"/>
                <w:sz w:val="16"/>
                <w:szCs w:val="16"/>
              </w:rPr>
            </w:pPr>
            <w:r>
              <w:rPr>
                <w:rFonts w:ascii="Arial" w:eastAsia="Arial" w:hAnsi="Arial" w:cs="Arial"/>
                <w:sz w:val="16"/>
                <w:szCs w:val="16"/>
              </w:rPr>
              <w:t>Openness</w:t>
            </w:r>
          </w:p>
          <w:p w:rsidR="0074306C" w:rsidRDefault="00A57F4C" w:rsidP="004C3ED8">
            <w:pPr>
              <w:numPr>
                <w:ilvl w:val="0"/>
                <w:numId w:val="52"/>
              </w:numPr>
              <w:spacing w:before="0" w:after="0" w:line="331" w:lineRule="auto"/>
              <w:ind w:left="566"/>
              <w:rPr>
                <w:rFonts w:ascii="Arial" w:eastAsia="Arial" w:hAnsi="Arial" w:cs="Arial"/>
                <w:sz w:val="16"/>
                <w:szCs w:val="16"/>
              </w:rPr>
            </w:pPr>
            <w:r>
              <w:rPr>
                <w:rFonts w:ascii="Arial" w:eastAsia="Arial" w:hAnsi="Arial" w:cs="Arial"/>
                <w:sz w:val="16"/>
                <w:szCs w:val="16"/>
              </w:rPr>
              <w:t>Notice</w:t>
            </w:r>
          </w:p>
          <w:p w:rsidR="0074306C" w:rsidRDefault="00A57F4C" w:rsidP="004C3ED8">
            <w:pPr>
              <w:numPr>
                <w:ilvl w:val="0"/>
                <w:numId w:val="52"/>
              </w:numPr>
              <w:spacing w:before="0" w:after="0" w:line="331" w:lineRule="auto"/>
              <w:ind w:left="566"/>
              <w:rPr>
                <w:rFonts w:ascii="Arial" w:eastAsia="Arial" w:hAnsi="Arial" w:cs="Arial"/>
                <w:sz w:val="16"/>
                <w:szCs w:val="16"/>
              </w:rPr>
            </w:pPr>
            <w:r>
              <w:rPr>
                <w:rFonts w:ascii="Arial" w:eastAsia="Arial" w:hAnsi="Arial" w:cs="Arial"/>
                <w:sz w:val="16"/>
                <w:szCs w:val="16"/>
              </w:rPr>
              <w:t>Data quality assessment</w:t>
            </w:r>
          </w:p>
          <w:p w:rsidR="0074306C" w:rsidRDefault="00A57F4C" w:rsidP="004C3ED8">
            <w:pPr>
              <w:numPr>
                <w:ilvl w:val="0"/>
                <w:numId w:val="52"/>
              </w:numPr>
              <w:spacing w:before="0" w:after="0" w:line="331" w:lineRule="auto"/>
              <w:ind w:left="566"/>
              <w:rPr>
                <w:rFonts w:ascii="Arial" w:eastAsia="Arial" w:hAnsi="Arial" w:cs="Arial"/>
                <w:sz w:val="16"/>
                <w:szCs w:val="16"/>
              </w:rPr>
            </w:pPr>
            <w:r>
              <w:rPr>
                <w:rFonts w:ascii="Arial" w:eastAsia="Arial" w:hAnsi="Arial" w:cs="Arial"/>
                <w:sz w:val="16"/>
                <w:szCs w:val="16"/>
              </w:rPr>
              <w:t>Minimum security requirements and independent security risk assessments</w:t>
            </w:r>
          </w:p>
          <w:p w:rsidR="0074306C" w:rsidRDefault="00A57F4C" w:rsidP="004C3ED8">
            <w:pPr>
              <w:numPr>
                <w:ilvl w:val="0"/>
                <w:numId w:val="52"/>
              </w:numPr>
              <w:spacing w:before="0" w:after="0" w:line="331" w:lineRule="auto"/>
              <w:ind w:left="566"/>
              <w:rPr>
                <w:rFonts w:ascii="Arial" w:eastAsia="Arial" w:hAnsi="Arial" w:cs="Arial"/>
                <w:sz w:val="16"/>
                <w:szCs w:val="16"/>
              </w:rPr>
            </w:pPr>
            <w:r>
              <w:rPr>
                <w:rFonts w:ascii="Arial" w:eastAsia="Arial" w:hAnsi="Arial" w:cs="Arial"/>
                <w:sz w:val="16"/>
                <w:szCs w:val="16"/>
              </w:rPr>
              <w:t>Compliance audits</w:t>
            </w:r>
          </w:p>
          <w:p w:rsidR="0074306C" w:rsidRDefault="00A57F4C" w:rsidP="004C3ED8">
            <w:pPr>
              <w:numPr>
                <w:ilvl w:val="0"/>
                <w:numId w:val="52"/>
              </w:numPr>
              <w:spacing w:before="0" w:after="0" w:line="331" w:lineRule="auto"/>
              <w:ind w:left="566"/>
              <w:rPr>
                <w:rFonts w:ascii="Arial" w:eastAsia="Arial" w:hAnsi="Arial" w:cs="Arial"/>
                <w:sz w:val="16"/>
                <w:szCs w:val="16"/>
              </w:rPr>
            </w:pPr>
            <w:r>
              <w:rPr>
                <w:rFonts w:ascii="Arial" w:eastAsia="Arial" w:hAnsi="Arial" w:cs="Arial"/>
                <w:sz w:val="16"/>
                <w:szCs w:val="16"/>
              </w:rPr>
              <w:t>Managing data destruction</w:t>
            </w:r>
            <w:r>
              <w:rPr>
                <w:rFonts w:ascii="Arial" w:eastAsia="Arial" w:hAnsi="Arial" w:cs="Arial"/>
                <w:sz w:val="16"/>
                <w:szCs w:val="16"/>
              </w:rPr>
              <w:br/>
            </w:r>
          </w:p>
          <w:p w:rsidR="0074306C" w:rsidRDefault="00A57F4C">
            <w:pPr>
              <w:keepLines w:val="0"/>
              <w:widowControl w:val="0"/>
              <w:pBdr>
                <w:top w:val="nil"/>
                <w:left w:val="nil"/>
                <w:bottom w:val="nil"/>
                <w:right w:val="nil"/>
                <w:between w:val="nil"/>
              </w:pBdr>
              <w:spacing w:before="0" w:after="0"/>
              <w:rPr>
                <w:rFonts w:ascii="Arial" w:eastAsia="Arial" w:hAnsi="Arial" w:cs="Arial"/>
                <w:sz w:val="16"/>
                <w:szCs w:val="16"/>
              </w:rPr>
            </w:pPr>
            <w:r>
              <w:rPr>
                <w:rFonts w:ascii="Arial" w:eastAsia="Arial" w:hAnsi="Arial" w:cs="Arial"/>
                <w:sz w:val="16"/>
                <w:szCs w:val="16"/>
              </w:rPr>
              <w:t>Once established, the Department should review, strengthen and enhance the privacy governance arrangements on a regular basis.</w:t>
            </w:r>
          </w:p>
        </w:tc>
      </w:tr>
    </w:tbl>
    <w:p w:rsidR="0074306C" w:rsidRDefault="00A57F4C">
      <w:r>
        <w:br w:type="page"/>
      </w:r>
    </w:p>
    <w:p w:rsidR="0074306C" w:rsidRDefault="00A57F4C">
      <w:pPr>
        <w:pStyle w:val="Heading2"/>
        <w:pBdr>
          <w:top w:val="nil"/>
          <w:left w:val="nil"/>
          <w:bottom w:val="nil"/>
          <w:right w:val="nil"/>
          <w:between w:val="nil"/>
        </w:pBdr>
      </w:pPr>
      <w:bookmarkStart w:id="6" w:name="_jobmmi2zjp66" w:colFirst="0" w:colLast="0"/>
      <w:bookmarkEnd w:id="6"/>
      <w:r>
        <w:lastRenderedPageBreak/>
        <w:t>1.3. Future Work Plan</w:t>
      </w:r>
    </w:p>
    <w:p w:rsidR="0074306C" w:rsidRDefault="00A57F4C">
      <w:r>
        <w:t>A suggested future work plan for the Department of Health, based on the recommendations in this PIA, is set out in the following table. Department of Health can allocate the appropriate person to take responsibility for each action item, and can establish procedures for verifying that the issues have been addressed.</w:t>
      </w:r>
      <w:r>
        <w:br/>
      </w: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8"/>
        <w:gridCol w:w="2268"/>
        <w:gridCol w:w="2268"/>
        <w:gridCol w:w="2268"/>
      </w:tblGrid>
      <w:tr w:rsidR="0074306C">
        <w:trPr>
          <w:jc w:val="center"/>
        </w:trPr>
        <w:tc>
          <w:tcPr>
            <w:tcW w:w="2268" w:type="dxa"/>
            <w:tcBorders>
              <w:top w:val="single" w:sz="4" w:space="0" w:color="808285"/>
              <w:left w:val="single" w:sz="4" w:space="0" w:color="808285"/>
              <w:bottom w:val="single" w:sz="4" w:space="0" w:color="808285"/>
              <w:right w:val="single" w:sz="4" w:space="0" w:color="808285"/>
            </w:tcBorders>
            <w:shd w:val="clear" w:color="auto" w:fill="EFEFEF"/>
            <w:tcMar>
              <w:top w:w="0" w:type="dxa"/>
              <w:left w:w="0" w:type="dxa"/>
              <w:bottom w:w="0" w:type="dxa"/>
              <w:right w:w="0" w:type="dxa"/>
            </w:tcMar>
            <w:vAlign w:val="center"/>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Priority Legend</w:t>
            </w:r>
          </w:p>
        </w:tc>
        <w:tc>
          <w:tcPr>
            <w:tcW w:w="2268" w:type="dxa"/>
            <w:tcBorders>
              <w:top w:val="single" w:sz="4" w:space="0" w:color="808285"/>
              <w:left w:val="single" w:sz="4" w:space="0" w:color="808285"/>
              <w:bottom w:val="single" w:sz="4" w:space="0" w:color="808285"/>
              <w:right w:val="single" w:sz="4" w:space="0" w:color="808285"/>
            </w:tcBorders>
            <w:shd w:val="clear" w:color="auto" w:fill="CC0000"/>
            <w:tcMar>
              <w:top w:w="0" w:type="dxa"/>
              <w:left w:w="0" w:type="dxa"/>
              <w:bottom w:w="0" w:type="dxa"/>
              <w:right w:w="0" w:type="dxa"/>
            </w:tcMar>
            <w:vAlign w:val="center"/>
          </w:tcPr>
          <w:p w:rsidR="0074306C" w:rsidRDefault="00A57F4C">
            <w:pPr>
              <w:spacing w:before="0" w:after="0"/>
              <w:jc w:val="center"/>
              <w:rPr>
                <w:rFonts w:ascii="Arial" w:eastAsia="Arial" w:hAnsi="Arial" w:cs="Arial"/>
                <w:b/>
                <w:color w:val="FFFFFF"/>
                <w:sz w:val="16"/>
                <w:szCs w:val="16"/>
              </w:rPr>
            </w:pPr>
            <w:r>
              <w:rPr>
                <w:rFonts w:ascii="Arial" w:eastAsia="Arial" w:hAnsi="Arial" w:cs="Arial"/>
                <w:b/>
                <w:color w:val="FFFFFF"/>
                <w:sz w:val="16"/>
                <w:szCs w:val="16"/>
              </w:rPr>
              <w:t>High</w:t>
            </w:r>
          </w:p>
        </w:tc>
        <w:tc>
          <w:tcPr>
            <w:tcW w:w="2268" w:type="dxa"/>
            <w:tcBorders>
              <w:top w:val="single" w:sz="4" w:space="0" w:color="808285"/>
              <w:left w:val="single" w:sz="4" w:space="0" w:color="808285"/>
              <w:bottom w:val="single" w:sz="4" w:space="0" w:color="808285"/>
              <w:right w:val="single" w:sz="4" w:space="0" w:color="808285"/>
            </w:tcBorders>
            <w:shd w:val="clear" w:color="auto" w:fill="F1C232"/>
            <w:tcMar>
              <w:top w:w="0" w:type="dxa"/>
              <w:left w:w="0" w:type="dxa"/>
              <w:bottom w:w="0" w:type="dxa"/>
              <w:right w:w="0" w:type="dxa"/>
            </w:tcMar>
            <w:vAlign w:val="center"/>
          </w:tcPr>
          <w:p w:rsidR="0074306C" w:rsidRDefault="00A57F4C">
            <w:pPr>
              <w:spacing w:before="0" w:after="0"/>
              <w:jc w:val="center"/>
              <w:rPr>
                <w:rFonts w:ascii="Arial" w:eastAsia="Arial" w:hAnsi="Arial" w:cs="Arial"/>
                <w:b/>
                <w:color w:val="FFFFFF"/>
                <w:sz w:val="16"/>
                <w:szCs w:val="16"/>
              </w:rPr>
            </w:pPr>
            <w:r>
              <w:rPr>
                <w:rFonts w:ascii="Arial" w:eastAsia="Arial" w:hAnsi="Arial" w:cs="Arial"/>
                <w:b/>
                <w:color w:val="FFFFFF"/>
                <w:sz w:val="16"/>
                <w:szCs w:val="16"/>
              </w:rPr>
              <w:t>Medium</w:t>
            </w:r>
          </w:p>
        </w:tc>
        <w:tc>
          <w:tcPr>
            <w:tcW w:w="2268" w:type="dxa"/>
            <w:tcBorders>
              <w:top w:val="single" w:sz="4" w:space="0" w:color="808285"/>
              <w:left w:val="single" w:sz="4" w:space="0" w:color="808285"/>
              <w:bottom w:val="single" w:sz="4" w:space="0" w:color="808285"/>
              <w:right w:val="single" w:sz="4" w:space="0" w:color="808285"/>
            </w:tcBorders>
            <w:shd w:val="clear" w:color="auto" w:fill="8E7CC3"/>
            <w:tcMar>
              <w:top w:w="0" w:type="dxa"/>
              <w:left w:w="0" w:type="dxa"/>
              <w:bottom w:w="0" w:type="dxa"/>
              <w:right w:w="0" w:type="dxa"/>
            </w:tcMar>
            <w:vAlign w:val="center"/>
          </w:tcPr>
          <w:p w:rsidR="0074306C" w:rsidRDefault="00A57F4C">
            <w:pPr>
              <w:spacing w:before="0" w:after="0"/>
              <w:jc w:val="center"/>
              <w:rPr>
                <w:rFonts w:ascii="Arial" w:eastAsia="Arial" w:hAnsi="Arial" w:cs="Arial"/>
                <w:b/>
                <w:color w:val="FFFFFF"/>
                <w:sz w:val="16"/>
                <w:szCs w:val="16"/>
              </w:rPr>
            </w:pPr>
            <w:r>
              <w:rPr>
                <w:rFonts w:ascii="Arial" w:eastAsia="Arial" w:hAnsi="Arial" w:cs="Arial"/>
                <w:b/>
                <w:color w:val="FFFFFF"/>
                <w:sz w:val="16"/>
                <w:szCs w:val="16"/>
              </w:rPr>
              <w:t>Low</w:t>
            </w:r>
          </w:p>
        </w:tc>
      </w:tr>
    </w:tbl>
    <w:p w:rsidR="0074306C" w:rsidRDefault="0074306C"/>
    <w:tbl>
      <w:tblPr>
        <w:tblStyle w:val="a2"/>
        <w:tblW w:w="906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350"/>
        <w:gridCol w:w="3300"/>
        <w:gridCol w:w="2520"/>
        <w:gridCol w:w="1080"/>
        <w:gridCol w:w="810"/>
      </w:tblGrid>
      <w:tr w:rsidR="0074306C">
        <w:trPr>
          <w:jc w:val="center"/>
        </w:trPr>
        <w:tc>
          <w:tcPr>
            <w:tcW w:w="1350" w:type="dxa"/>
            <w:shd w:val="clear" w:color="auto" w:fill="E6E6E6"/>
            <w:tcMar>
              <w:top w:w="56" w:type="dxa"/>
              <w:left w:w="56" w:type="dxa"/>
              <w:bottom w:w="56" w:type="dxa"/>
              <w:right w:w="56" w:type="dxa"/>
            </w:tcMar>
            <w:vAlign w:val="bottom"/>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APP / Privacy Component</w:t>
            </w:r>
          </w:p>
        </w:tc>
        <w:tc>
          <w:tcPr>
            <w:tcW w:w="3300" w:type="dxa"/>
            <w:shd w:val="clear" w:color="auto" w:fill="E6E6E6"/>
            <w:tcMar>
              <w:top w:w="56" w:type="dxa"/>
              <w:left w:w="56" w:type="dxa"/>
              <w:bottom w:w="56" w:type="dxa"/>
              <w:right w:w="56" w:type="dxa"/>
            </w:tcMar>
            <w:vAlign w:val="bottom"/>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Recommendation</w:t>
            </w:r>
          </w:p>
        </w:tc>
        <w:tc>
          <w:tcPr>
            <w:tcW w:w="2520" w:type="dxa"/>
            <w:shd w:val="clear" w:color="auto" w:fill="E6E6E6"/>
            <w:tcMar>
              <w:top w:w="56" w:type="dxa"/>
              <w:left w:w="56" w:type="dxa"/>
              <w:bottom w:w="56" w:type="dxa"/>
              <w:right w:w="56" w:type="dxa"/>
            </w:tcMar>
            <w:vAlign w:val="bottom"/>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Action Required</w:t>
            </w:r>
          </w:p>
        </w:tc>
        <w:tc>
          <w:tcPr>
            <w:tcW w:w="1080" w:type="dxa"/>
            <w:shd w:val="clear" w:color="auto" w:fill="E6E6E6"/>
            <w:tcMar>
              <w:top w:w="56" w:type="dxa"/>
              <w:left w:w="56" w:type="dxa"/>
              <w:bottom w:w="56" w:type="dxa"/>
              <w:right w:w="56" w:type="dxa"/>
            </w:tcMar>
            <w:vAlign w:val="bottom"/>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Agency responsible</w:t>
            </w:r>
          </w:p>
        </w:tc>
        <w:tc>
          <w:tcPr>
            <w:tcW w:w="810" w:type="dxa"/>
            <w:shd w:val="clear" w:color="auto" w:fill="E6E6E6"/>
            <w:tcMar>
              <w:top w:w="56" w:type="dxa"/>
              <w:left w:w="56" w:type="dxa"/>
              <w:bottom w:w="56" w:type="dxa"/>
              <w:right w:w="56" w:type="dxa"/>
            </w:tcMar>
            <w:vAlign w:val="bottom"/>
          </w:tcPr>
          <w:p w:rsidR="0074306C" w:rsidRDefault="00A57F4C">
            <w:pPr>
              <w:spacing w:before="0" w:after="0"/>
              <w:jc w:val="center"/>
              <w:rPr>
                <w:rFonts w:ascii="Arial" w:eastAsia="Arial" w:hAnsi="Arial" w:cs="Arial"/>
                <w:b/>
                <w:sz w:val="16"/>
                <w:szCs w:val="16"/>
              </w:rPr>
            </w:pPr>
            <w:r>
              <w:rPr>
                <w:rFonts w:ascii="Arial" w:eastAsia="Arial" w:hAnsi="Arial" w:cs="Arial"/>
                <w:b/>
                <w:sz w:val="16"/>
                <w:szCs w:val="16"/>
              </w:rPr>
              <w:t>Priority</w:t>
            </w:r>
          </w:p>
        </w:tc>
      </w:tr>
      <w:tr w:rsidR="0074306C">
        <w:trPr>
          <w:trHeight w:val="260"/>
          <w:jc w:val="center"/>
        </w:trPr>
        <w:tc>
          <w:tcPr>
            <w:tcW w:w="1350" w:type="dxa"/>
            <w:vMerge w:val="restart"/>
            <w:tcMar>
              <w:top w:w="56" w:type="dxa"/>
              <w:left w:w="56" w:type="dxa"/>
              <w:bottom w:w="56" w:type="dxa"/>
              <w:right w:w="56" w:type="dxa"/>
            </w:tcMar>
          </w:tcPr>
          <w:p w:rsidR="0074306C" w:rsidRDefault="00C907A7">
            <w:pPr>
              <w:spacing w:before="0" w:after="0"/>
              <w:rPr>
                <w:rFonts w:ascii="Arial" w:eastAsia="Arial" w:hAnsi="Arial" w:cs="Arial"/>
                <w:b/>
                <w:sz w:val="16"/>
                <w:szCs w:val="16"/>
              </w:rPr>
            </w:pPr>
            <w:hyperlink w:anchor="_23ckvvd">
              <w:r w:rsidR="00A57F4C">
                <w:rPr>
                  <w:rFonts w:ascii="Arial" w:eastAsia="Arial" w:hAnsi="Arial" w:cs="Arial"/>
                  <w:b/>
                  <w:color w:val="1155CC"/>
                  <w:sz w:val="16"/>
                  <w:szCs w:val="16"/>
                  <w:u w:val="single"/>
                </w:rPr>
                <w:t>APP 1</w:t>
              </w:r>
            </w:hyperlink>
            <w:r w:rsidR="00A57F4C">
              <w:rPr>
                <w:rFonts w:ascii="Arial" w:eastAsia="Arial" w:hAnsi="Arial" w:cs="Arial"/>
                <w:b/>
                <w:sz w:val="16"/>
                <w:szCs w:val="16"/>
              </w:rPr>
              <w:t xml:space="preserve"> – Openness and transparent management</w:t>
            </w:r>
          </w:p>
        </w:tc>
        <w:tc>
          <w:tcPr>
            <w:tcW w:w="3300" w:type="dxa"/>
            <w:tcMar>
              <w:top w:w="56" w:type="dxa"/>
              <w:left w:w="56" w:type="dxa"/>
              <w:bottom w:w="56" w:type="dxa"/>
              <w:right w:w="56" w:type="dxa"/>
            </w:tcMar>
          </w:tcPr>
          <w:p w:rsidR="0074306C" w:rsidRDefault="00C907A7">
            <w:pPr>
              <w:tabs>
                <w:tab w:val="left" w:pos="284"/>
              </w:tabs>
              <w:spacing w:before="0" w:after="0"/>
              <w:rPr>
                <w:rFonts w:ascii="Arial" w:eastAsia="Arial" w:hAnsi="Arial" w:cs="Arial"/>
                <w:sz w:val="16"/>
                <w:szCs w:val="16"/>
              </w:rPr>
            </w:pPr>
            <w:hyperlink w:anchor="_h95gtlklndnx">
              <w:r w:rsidR="00A57F4C">
                <w:rPr>
                  <w:rFonts w:ascii="Arial" w:eastAsia="Arial" w:hAnsi="Arial" w:cs="Arial"/>
                  <w:b/>
                  <w:color w:val="1155CC"/>
                  <w:sz w:val="16"/>
                  <w:szCs w:val="16"/>
                  <w:u w:val="single"/>
                </w:rPr>
                <w:t>Recommendation 1.</w:t>
              </w:r>
            </w:hyperlink>
            <w:hyperlink w:anchor="_h95gtlklndnx">
              <w:r w:rsidR="00A57F4C">
                <w:rPr>
                  <w:rFonts w:ascii="Arial" w:eastAsia="Arial" w:hAnsi="Arial" w:cs="Arial"/>
                  <w:color w:val="1155CC"/>
                  <w:sz w:val="16"/>
                  <w:szCs w:val="16"/>
                  <w:u w:val="single"/>
                </w:rPr>
                <w:t xml:space="preserve"> Improved openness in Privacy Policies about data sources</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and DHS to amend and review Privacy Policies.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br/>
            </w:r>
            <w:r>
              <w:rPr>
                <w:rFonts w:ascii="Arial" w:eastAsia="Arial" w:hAnsi="Arial" w:cs="Arial"/>
                <w:sz w:val="16"/>
                <w:szCs w:val="16"/>
              </w:rPr>
              <w:br/>
              <w:t>DHS</w:t>
            </w:r>
          </w:p>
        </w:tc>
        <w:tc>
          <w:tcPr>
            <w:tcW w:w="810" w:type="dxa"/>
            <w:shd w:val="clear" w:color="auto" w:fill="CC0000"/>
            <w:tcMar>
              <w:top w:w="56" w:type="dxa"/>
              <w:left w:w="56" w:type="dxa"/>
              <w:bottom w:w="56" w:type="dxa"/>
              <w:right w:w="56" w:type="dxa"/>
            </w:tcMar>
            <w:vAlign w:val="center"/>
          </w:tcPr>
          <w:p w:rsidR="0074306C" w:rsidRDefault="00A57F4C">
            <w:pPr>
              <w:spacing w:before="0" w:after="0"/>
              <w:jc w:val="center"/>
              <w:rPr>
                <w:rFonts w:ascii="Arial" w:eastAsia="Arial" w:hAnsi="Arial" w:cs="Arial"/>
                <w:b/>
                <w:sz w:val="16"/>
                <w:szCs w:val="16"/>
              </w:rPr>
            </w:pPr>
            <w:r>
              <w:rPr>
                <w:rFonts w:ascii="Arial" w:eastAsia="Arial" w:hAnsi="Arial" w:cs="Arial"/>
                <w:b/>
                <w:color w:val="FFFFFF"/>
                <w:sz w:val="16"/>
                <w:szCs w:val="16"/>
              </w:rPr>
              <w:t>High</w:t>
            </w:r>
          </w:p>
        </w:tc>
      </w:tr>
      <w:tr w:rsidR="0074306C">
        <w:trPr>
          <w:trHeight w:val="260"/>
          <w:jc w:val="center"/>
        </w:trPr>
        <w:tc>
          <w:tcPr>
            <w:tcW w:w="1350" w:type="dxa"/>
            <w:vMerge/>
            <w:tcMar>
              <w:top w:w="56" w:type="dxa"/>
              <w:left w:w="56" w:type="dxa"/>
              <w:bottom w:w="56" w:type="dxa"/>
              <w:right w:w="56" w:type="dxa"/>
            </w:tcMar>
          </w:tcPr>
          <w:p w:rsidR="0074306C" w:rsidRDefault="0074306C">
            <w:pPr>
              <w:tabs>
                <w:tab w:val="left" w:pos="284"/>
              </w:tabs>
              <w:spacing w:before="0" w:after="0" w:line="240" w:lineRule="auto"/>
              <w:rPr>
                <w:rFonts w:ascii="Arial" w:eastAsia="Arial" w:hAnsi="Arial" w:cs="Arial"/>
                <w:b/>
                <w:sz w:val="16"/>
                <w:szCs w:val="16"/>
              </w:rPr>
            </w:pPr>
          </w:p>
        </w:tc>
        <w:tc>
          <w:tcPr>
            <w:tcW w:w="3300" w:type="dxa"/>
            <w:tcMar>
              <w:top w:w="56" w:type="dxa"/>
              <w:left w:w="56" w:type="dxa"/>
              <w:bottom w:w="56" w:type="dxa"/>
              <w:right w:w="56" w:type="dxa"/>
            </w:tcMar>
          </w:tcPr>
          <w:p w:rsidR="0074306C" w:rsidRDefault="00C907A7">
            <w:pPr>
              <w:tabs>
                <w:tab w:val="left" w:pos="284"/>
              </w:tabs>
              <w:spacing w:before="0" w:after="0"/>
              <w:rPr>
                <w:rFonts w:ascii="Arial" w:eastAsia="Arial" w:hAnsi="Arial" w:cs="Arial"/>
                <w:sz w:val="16"/>
                <w:szCs w:val="16"/>
              </w:rPr>
            </w:pPr>
            <w:hyperlink w:anchor="_vvd1yziejqoe">
              <w:r w:rsidR="00A57F4C">
                <w:rPr>
                  <w:rFonts w:ascii="Arial" w:eastAsia="Arial" w:hAnsi="Arial" w:cs="Arial"/>
                  <w:b/>
                  <w:color w:val="1155CC"/>
                  <w:sz w:val="16"/>
                  <w:szCs w:val="16"/>
                  <w:u w:val="single"/>
                </w:rPr>
                <w:t xml:space="preserve">Recommendation 2. </w:t>
              </w:r>
            </w:hyperlink>
            <w:hyperlink w:anchor="_vvd1yziejqoe">
              <w:r w:rsidR="00A57F4C">
                <w:rPr>
                  <w:rFonts w:ascii="Arial" w:eastAsia="Arial" w:hAnsi="Arial" w:cs="Arial"/>
                  <w:color w:val="1155CC"/>
                  <w:sz w:val="16"/>
                  <w:szCs w:val="16"/>
                  <w:u w:val="single"/>
                </w:rPr>
                <w:t>Improved openness in Privacy Policies about data sharing / matching</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and DHS to amend and review Privacy Policies.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br/>
            </w:r>
            <w:r>
              <w:rPr>
                <w:rFonts w:ascii="Arial" w:eastAsia="Arial" w:hAnsi="Arial" w:cs="Arial"/>
                <w:sz w:val="16"/>
                <w:szCs w:val="16"/>
              </w:rPr>
              <w:br/>
              <w:t>DHS</w:t>
            </w:r>
          </w:p>
        </w:tc>
        <w:tc>
          <w:tcPr>
            <w:tcW w:w="810" w:type="dxa"/>
            <w:shd w:val="clear" w:color="auto" w:fill="CC0000"/>
            <w:tcMar>
              <w:top w:w="56" w:type="dxa"/>
              <w:left w:w="56" w:type="dxa"/>
              <w:bottom w:w="56" w:type="dxa"/>
              <w:right w:w="56" w:type="dxa"/>
            </w:tcMar>
            <w:vAlign w:val="center"/>
          </w:tcPr>
          <w:p w:rsidR="0074306C" w:rsidRDefault="00A57F4C">
            <w:pPr>
              <w:spacing w:before="0" w:after="0"/>
              <w:jc w:val="center"/>
              <w:rPr>
                <w:rFonts w:ascii="Arial" w:eastAsia="Arial" w:hAnsi="Arial" w:cs="Arial"/>
                <w:b/>
                <w:sz w:val="16"/>
                <w:szCs w:val="16"/>
              </w:rPr>
            </w:pPr>
            <w:r>
              <w:rPr>
                <w:rFonts w:ascii="Arial" w:eastAsia="Arial" w:hAnsi="Arial" w:cs="Arial"/>
                <w:b/>
                <w:color w:val="FFFFFF"/>
                <w:sz w:val="16"/>
                <w:szCs w:val="16"/>
              </w:rPr>
              <w:t>High</w:t>
            </w:r>
          </w:p>
        </w:tc>
      </w:tr>
      <w:tr w:rsidR="0074306C">
        <w:trPr>
          <w:trHeight w:val="260"/>
          <w:jc w:val="center"/>
        </w:trPr>
        <w:tc>
          <w:tcPr>
            <w:tcW w:w="1350" w:type="dxa"/>
            <w:vMerge/>
            <w:tcMar>
              <w:top w:w="56" w:type="dxa"/>
              <w:left w:w="56" w:type="dxa"/>
              <w:bottom w:w="56" w:type="dxa"/>
              <w:right w:w="56" w:type="dxa"/>
            </w:tcMar>
          </w:tcPr>
          <w:p w:rsidR="0074306C" w:rsidRDefault="0074306C">
            <w:pPr>
              <w:tabs>
                <w:tab w:val="left" w:pos="284"/>
              </w:tabs>
              <w:spacing w:before="0" w:after="0" w:line="240" w:lineRule="auto"/>
              <w:rPr>
                <w:rFonts w:ascii="Arial" w:eastAsia="Arial" w:hAnsi="Arial" w:cs="Arial"/>
                <w:b/>
                <w:sz w:val="16"/>
                <w:szCs w:val="16"/>
              </w:rPr>
            </w:pPr>
          </w:p>
        </w:tc>
        <w:tc>
          <w:tcPr>
            <w:tcW w:w="3300" w:type="dxa"/>
            <w:tcMar>
              <w:top w:w="56" w:type="dxa"/>
              <w:left w:w="56" w:type="dxa"/>
              <w:bottom w:w="56" w:type="dxa"/>
              <w:right w:w="56" w:type="dxa"/>
            </w:tcMar>
          </w:tcPr>
          <w:p w:rsidR="0074306C" w:rsidRDefault="00C907A7">
            <w:pPr>
              <w:tabs>
                <w:tab w:val="left" w:pos="284"/>
              </w:tabs>
              <w:spacing w:before="0" w:after="0"/>
              <w:rPr>
                <w:rFonts w:ascii="Arial" w:eastAsia="Arial" w:hAnsi="Arial" w:cs="Arial"/>
                <w:sz w:val="16"/>
                <w:szCs w:val="16"/>
              </w:rPr>
            </w:pPr>
            <w:hyperlink w:anchor="_71rmymedfxdc">
              <w:r w:rsidR="00A57F4C">
                <w:rPr>
                  <w:rFonts w:ascii="Arial" w:eastAsia="Arial" w:hAnsi="Arial" w:cs="Arial"/>
                  <w:b/>
                  <w:color w:val="1155CC"/>
                  <w:sz w:val="16"/>
                  <w:szCs w:val="16"/>
                  <w:u w:val="single"/>
                </w:rPr>
                <w:t xml:space="preserve">Recommendation 3. </w:t>
              </w:r>
            </w:hyperlink>
            <w:hyperlink w:anchor="_71rmymedfxdc">
              <w:r w:rsidR="00A57F4C">
                <w:rPr>
                  <w:rFonts w:ascii="Arial" w:eastAsia="Arial" w:hAnsi="Arial" w:cs="Arial"/>
                  <w:color w:val="1155CC"/>
                  <w:sz w:val="16"/>
                  <w:szCs w:val="16"/>
                  <w:u w:val="single"/>
                </w:rPr>
                <w:t>Establish an online resource to improve openness and transparency about data sharing / matching</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to establish new online resource.</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p>
        </w:tc>
        <w:tc>
          <w:tcPr>
            <w:tcW w:w="810" w:type="dxa"/>
            <w:shd w:val="clear" w:color="auto" w:fill="F1C232"/>
            <w:tcMar>
              <w:top w:w="56" w:type="dxa"/>
              <w:left w:w="56" w:type="dxa"/>
              <w:bottom w:w="56" w:type="dxa"/>
              <w:right w:w="56" w:type="dxa"/>
            </w:tcMar>
            <w:vAlign w:val="center"/>
          </w:tcPr>
          <w:p w:rsidR="0074306C" w:rsidRDefault="00A57F4C">
            <w:pPr>
              <w:spacing w:before="0" w:after="0"/>
              <w:jc w:val="center"/>
              <w:rPr>
                <w:rFonts w:ascii="Arial" w:eastAsia="Arial" w:hAnsi="Arial" w:cs="Arial"/>
                <w:b/>
                <w:sz w:val="16"/>
                <w:szCs w:val="16"/>
              </w:rPr>
            </w:pPr>
            <w:r>
              <w:rPr>
                <w:rFonts w:ascii="Arial" w:eastAsia="Arial" w:hAnsi="Arial" w:cs="Arial"/>
                <w:b/>
                <w:color w:val="FFFFFF"/>
                <w:sz w:val="16"/>
                <w:szCs w:val="16"/>
              </w:rPr>
              <w:t>Medium</w:t>
            </w:r>
          </w:p>
        </w:tc>
      </w:tr>
      <w:tr w:rsidR="0074306C">
        <w:trPr>
          <w:trHeight w:val="260"/>
          <w:jc w:val="center"/>
        </w:trPr>
        <w:tc>
          <w:tcPr>
            <w:tcW w:w="1350" w:type="dxa"/>
            <w:vMerge/>
            <w:tcMar>
              <w:top w:w="56" w:type="dxa"/>
              <w:left w:w="56" w:type="dxa"/>
              <w:bottom w:w="56" w:type="dxa"/>
              <w:right w:w="56" w:type="dxa"/>
            </w:tcMar>
          </w:tcPr>
          <w:p w:rsidR="0074306C" w:rsidRDefault="0074306C">
            <w:pPr>
              <w:tabs>
                <w:tab w:val="left" w:pos="284"/>
              </w:tabs>
              <w:spacing w:before="0" w:after="0" w:line="240" w:lineRule="auto"/>
              <w:rPr>
                <w:rFonts w:ascii="Arial" w:eastAsia="Arial" w:hAnsi="Arial" w:cs="Arial"/>
                <w:b/>
                <w:sz w:val="16"/>
                <w:szCs w:val="16"/>
              </w:rPr>
            </w:pPr>
          </w:p>
        </w:tc>
        <w:tc>
          <w:tcPr>
            <w:tcW w:w="3300" w:type="dxa"/>
            <w:tcMar>
              <w:top w:w="56" w:type="dxa"/>
              <w:left w:w="56" w:type="dxa"/>
              <w:bottom w:w="56" w:type="dxa"/>
              <w:right w:w="56" w:type="dxa"/>
            </w:tcMar>
          </w:tcPr>
          <w:p w:rsidR="0074306C" w:rsidRDefault="00C907A7">
            <w:pPr>
              <w:tabs>
                <w:tab w:val="left" w:pos="284"/>
              </w:tabs>
              <w:spacing w:before="0" w:after="0"/>
              <w:rPr>
                <w:rFonts w:ascii="Arial" w:eastAsia="Arial" w:hAnsi="Arial" w:cs="Arial"/>
                <w:sz w:val="16"/>
                <w:szCs w:val="16"/>
              </w:rPr>
            </w:pPr>
            <w:hyperlink w:anchor="_8dh5gk4qng02">
              <w:r w:rsidR="00A57F4C">
                <w:rPr>
                  <w:rFonts w:ascii="Arial" w:eastAsia="Arial" w:hAnsi="Arial" w:cs="Arial"/>
                  <w:b/>
                  <w:color w:val="1155CC"/>
                  <w:sz w:val="16"/>
                  <w:szCs w:val="16"/>
                  <w:u w:val="single"/>
                </w:rPr>
                <w:t xml:space="preserve">Recommendation 4. </w:t>
              </w:r>
            </w:hyperlink>
            <w:hyperlink w:anchor="_8dh5gk4qng02">
              <w:r w:rsidR="00A57F4C">
                <w:rPr>
                  <w:rFonts w:ascii="Arial" w:eastAsia="Arial" w:hAnsi="Arial" w:cs="Arial"/>
                  <w:color w:val="1155CC"/>
                  <w:sz w:val="16"/>
                  <w:szCs w:val="16"/>
                  <w:u w:val="single"/>
                </w:rPr>
                <w:t>Improve openness and transparency at partner agencies / data sources regarding data sharing / data matching with the Department of Health</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to reach agreements with data sources on openness.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p>
        </w:tc>
        <w:tc>
          <w:tcPr>
            <w:tcW w:w="810" w:type="dxa"/>
            <w:shd w:val="clear" w:color="auto" w:fill="F1C232"/>
            <w:tcMar>
              <w:top w:w="56" w:type="dxa"/>
              <w:left w:w="56" w:type="dxa"/>
              <w:bottom w:w="56" w:type="dxa"/>
              <w:right w:w="56" w:type="dxa"/>
            </w:tcMar>
            <w:vAlign w:val="center"/>
          </w:tcPr>
          <w:p w:rsidR="0074306C" w:rsidRDefault="00A57F4C">
            <w:pPr>
              <w:spacing w:before="0" w:after="0"/>
              <w:jc w:val="center"/>
              <w:rPr>
                <w:rFonts w:ascii="Arial" w:eastAsia="Arial" w:hAnsi="Arial" w:cs="Arial"/>
                <w:b/>
                <w:sz w:val="16"/>
                <w:szCs w:val="16"/>
              </w:rPr>
            </w:pPr>
            <w:r>
              <w:rPr>
                <w:rFonts w:ascii="Arial" w:eastAsia="Arial" w:hAnsi="Arial" w:cs="Arial"/>
                <w:b/>
                <w:color w:val="FFFFFF"/>
                <w:sz w:val="16"/>
                <w:szCs w:val="16"/>
              </w:rPr>
              <w:t>Medium</w:t>
            </w:r>
          </w:p>
        </w:tc>
      </w:tr>
      <w:tr w:rsidR="0074306C">
        <w:trPr>
          <w:trHeight w:val="260"/>
          <w:jc w:val="center"/>
        </w:trPr>
        <w:tc>
          <w:tcPr>
            <w:tcW w:w="1350" w:type="dxa"/>
            <w:tcMar>
              <w:top w:w="56" w:type="dxa"/>
              <w:left w:w="56" w:type="dxa"/>
              <w:bottom w:w="56" w:type="dxa"/>
              <w:right w:w="56" w:type="dxa"/>
            </w:tcMar>
          </w:tcPr>
          <w:p w:rsidR="0074306C" w:rsidRDefault="00C907A7">
            <w:pPr>
              <w:spacing w:before="0" w:after="0"/>
              <w:rPr>
                <w:rFonts w:ascii="Arial" w:eastAsia="Arial" w:hAnsi="Arial" w:cs="Arial"/>
                <w:b/>
                <w:sz w:val="16"/>
                <w:szCs w:val="16"/>
              </w:rPr>
            </w:pPr>
            <w:hyperlink w:anchor="_7ve6x3fb51mx">
              <w:r w:rsidR="00A57F4C">
                <w:rPr>
                  <w:rFonts w:ascii="Arial" w:eastAsia="Arial" w:hAnsi="Arial" w:cs="Arial"/>
                  <w:b/>
                  <w:color w:val="1155CC"/>
                  <w:sz w:val="16"/>
                  <w:szCs w:val="16"/>
                  <w:u w:val="single"/>
                </w:rPr>
                <w:t>APP 3</w:t>
              </w:r>
            </w:hyperlink>
            <w:r w:rsidR="00A57F4C">
              <w:rPr>
                <w:rFonts w:ascii="Arial" w:eastAsia="Arial" w:hAnsi="Arial" w:cs="Arial"/>
                <w:b/>
                <w:sz w:val="16"/>
                <w:szCs w:val="16"/>
              </w:rPr>
              <w:t xml:space="preserve"> – Collection of solicited personal information</w:t>
            </w:r>
          </w:p>
        </w:tc>
        <w:tc>
          <w:tcPr>
            <w:tcW w:w="3300" w:type="dxa"/>
            <w:tcMar>
              <w:top w:w="56" w:type="dxa"/>
              <w:left w:w="56" w:type="dxa"/>
              <w:bottom w:w="56" w:type="dxa"/>
              <w:right w:w="56" w:type="dxa"/>
            </w:tcMar>
          </w:tcPr>
          <w:p w:rsidR="0074306C" w:rsidRDefault="00C907A7">
            <w:pPr>
              <w:keepLines w:val="0"/>
              <w:widowControl w:val="0"/>
              <w:spacing w:before="0" w:after="0"/>
              <w:rPr>
                <w:rFonts w:ascii="Arial" w:eastAsia="Arial" w:hAnsi="Arial" w:cs="Arial"/>
                <w:sz w:val="16"/>
                <w:szCs w:val="16"/>
              </w:rPr>
            </w:pPr>
            <w:hyperlink w:anchor="_iud8j9kh85yy">
              <w:r w:rsidR="00A57F4C">
                <w:rPr>
                  <w:rFonts w:ascii="Arial" w:eastAsia="Arial" w:hAnsi="Arial" w:cs="Arial"/>
                  <w:b/>
                  <w:color w:val="1155CC"/>
                  <w:sz w:val="16"/>
                  <w:szCs w:val="16"/>
                  <w:u w:val="single"/>
                </w:rPr>
                <w:t xml:space="preserve">Recommendation 5. </w:t>
              </w:r>
            </w:hyperlink>
            <w:hyperlink w:anchor="_iud8j9kh85yy">
              <w:r w:rsidR="00A57F4C">
                <w:rPr>
                  <w:rFonts w:ascii="Arial" w:eastAsia="Arial" w:hAnsi="Arial" w:cs="Arial"/>
                  <w:color w:val="1155CC"/>
                  <w:sz w:val="16"/>
                  <w:szCs w:val="16"/>
                  <w:u w:val="single"/>
                </w:rPr>
                <w:t>Minimisation of data collection</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r>
              <w:rPr>
                <w:rFonts w:ascii="Arial" w:eastAsia="Arial" w:hAnsi="Arial" w:cs="Arial"/>
                <w:sz w:val="16"/>
                <w:szCs w:val="16"/>
              </w:rPr>
              <w:t>Data minimisation requirements to be added to:</w:t>
            </w:r>
          </w:p>
          <w:p w:rsidR="0074306C" w:rsidRDefault="00A57F4C" w:rsidP="004C3ED8">
            <w:pPr>
              <w:numPr>
                <w:ilvl w:val="0"/>
                <w:numId w:val="44"/>
              </w:numPr>
              <w:spacing w:before="0" w:after="0"/>
              <w:rPr>
                <w:rFonts w:ascii="Arial" w:eastAsia="Arial" w:hAnsi="Arial" w:cs="Arial"/>
                <w:sz w:val="16"/>
                <w:szCs w:val="16"/>
              </w:rPr>
            </w:pPr>
            <w:r>
              <w:rPr>
                <w:rFonts w:ascii="Arial" w:eastAsia="Arial" w:hAnsi="Arial" w:cs="Arial"/>
                <w:sz w:val="16"/>
                <w:szCs w:val="16"/>
              </w:rPr>
              <w:t>The proposed legislative framework</w:t>
            </w:r>
          </w:p>
          <w:p w:rsidR="0074306C" w:rsidRDefault="00A57F4C" w:rsidP="004C3ED8">
            <w:pPr>
              <w:numPr>
                <w:ilvl w:val="0"/>
                <w:numId w:val="44"/>
              </w:numPr>
              <w:spacing w:before="0" w:after="0"/>
              <w:rPr>
                <w:rFonts w:ascii="Arial" w:eastAsia="Arial" w:hAnsi="Arial" w:cs="Arial"/>
                <w:sz w:val="16"/>
                <w:szCs w:val="16"/>
              </w:rPr>
            </w:pPr>
            <w:r>
              <w:rPr>
                <w:rFonts w:ascii="Arial" w:eastAsia="Arial" w:hAnsi="Arial" w:cs="Arial"/>
                <w:sz w:val="16"/>
                <w:szCs w:val="16"/>
              </w:rPr>
              <w:t>Additional governance arrangements; and</w:t>
            </w:r>
          </w:p>
          <w:p w:rsidR="0074306C" w:rsidRDefault="00A57F4C" w:rsidP="004C3ED8">
            <w:pPr>
              <w:numPr>
                <w:ilvl w:val="0"/>
                <w:numId w:val="44"/>
              </w:numPr>
              <w:spacing w:before="0" w:after="0"/>
              <w:rPr>
                <w:rFonts w:ascii="Arial" w:eastAsia="Arial" w:hAnsi="Arial" w:cs="Arial"/>
                <w:sz w:val="16"/>
                <w:szCs w:val="16"/>
              </w:rPr>
            </w:pPr>
            <w:r>
              <w:rPr>
                <w:rFonts w:ascii="Arial" w:eastAsia="Arial" w:hAnsi="Arial" w:cs="Arial"/>
                <w:sz w:val="16"/>
                <w:szCs w:val="16"/>
              </w:rPr>
              <w:t>Agreements with data custodians.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p>
        </w:tc>
        <w:tc>
          <w:tcPr>
            <w:tcW w:w="810" w:type="dxa"/>
            <w:shd w:val="clear" w:color="auto" w:fill="8E7CC3"/>
            <w:tcMar>
              <w:top w:w="56" w:type="dxa"/>
              <w:left w:w="56" w:type="dxa"/>
              <w:bottom w:w="56" w:type="dxa"/>
              <w:right w:w="56" w:type="dxa"/>
            </w:tcMar>
            <w:vAlign w:val="center"/>
          </w:tcPr>
          <w:p w:rsidR="0074306C" w:rsidRDefault="00A57F4C">
            <w:pPr>
              <w:pBdr>
                <w:top w:val="nil"/>
                <w:left w:val="nil"/>
                <w:bottom w:val="nil"/>
                <w:right w:val="nil"/>
                <w:between w:val="nil"/>
              </w:pBdr>
              <w:spacing w:before="0" w:after="0"/>
              <w:jc w:val="center"/>
              <w:rPr>
                <w:rFonts w:ascii="Arial" w:eastAsia="Arial" w:hAnsi="Arial" w:cs="Arial"/>
                <w:b/>
                <w:color w:val="FFFFFF"/>
                <w:sz w:val="16"/>
                <w:szCs w:val="16"/>
              </w:rPr>
            </w:pPr>
            <w:r>
              <w:rPr>
                <w:rFonts w:ascii="Arial" w:eastAsia="Arial" w:hAnsi="Arial" w:cs="Arial"/>
                <w:b/>
                <w:color w:val="FFFFFF"/>
                <w:sz w:val="16"/>
                <w:szCs w:val="16"/>
              </w:rPr>
              <w:t>Low</w:t>
            </w:r>
          </w:p>
        </w:tc>
      </w:tr>
      <w:tr w:rsidR="0074306C">
        <w:trPr>
          <w:trHeight w:val="260"/>
          <w:jc w:val="center"/>
        </w:trPr>
        <w:tc>
          <w:tcPr>
            <w:tcW w:w="1350" w:type="dxa"/>
            <w:vMerge w:val="restart"/>
            <w:tcMar>
              <w:top w:w="56" w:type="dxa"/>
              <w:left w:w="56" w:type="dxa"/>
              <w:bottom w:w="56" w:type="dxa"/>
              <w:right w:w="56" w:type="dxa"/>
            </w:tcMar>
          </w:tcPr>
          <w:p w:rsidR="0074306C" w:rsidRDefault="00C907A7">
            <w:pPr>
              <w:tabs>
                <w:tab w:val="left" w:pos="284"/>
              </w:tabs>
              <w:spacing w:before="0" w:after="0"/>
              <w:rPr>
                <w:rFonts w:ascii="Arial" w:eastAsia="Arial" w:hAnsi="Arial" w:cs="Arial"/>
                <w:b/>
                <w:sz w:val="16"/>
                <w:szCs w:val="16"/>
              </w:rPr>
            </w:pPr>
            <w:hyperlink w:anchor="_93z46f4mb5yn">
              <w:r w:rsidR="00A57F4C">
                <w:rPr>
                  <w:rFonts w:ascii="Arial" w:eastAsia="Arial" w:hAnsi="Arial" w:cs="Arial"/>
                  <w:b/>
                  <w:color w:val="1155CC"/>
                  <w:sz w:val="16"/>
                  <w:szCs w:val="16"/>
                  <w:u w:val="single"/>
                </w:rPr>
                <w:t>APP 5</w:t>
              </w:r>
            </w:hyperlink>
            <w:r w:rsidR="00A57F4C">
              <w:rPr>
                <w:rFonts w:ascii="Arial" w:eastAsia="Arial" w:hAnsi="Arial" w:cs="Arial"/>
                <w:b/>
                <w:sz w:val="16"/>
                <w:szCs w:val="16"/>
              </w:rPr>
              <w:t xml:space="preserve"> – Notification</w:t>
            </w:r>
          </w:p>
        </w:tc>
        <w:tc>
          <w:tcPr>
            <w:tcW w:w="3300" w:type="dxa"/>
            <w:tcMar>
              <w:top w:w="56" w:type="dxa"/>
              <w:left w:w="56" w:type="dxa"/>
              <w:bottom w:w="56" w:type="dxa"/>
              <w:right w:w="56" w:type="dxa"/>
            </w:tcMar>
          </w:tcPr>
          <w:p w:rsidR="0074306C" w:rsidRDefault="00C907A7">
            <w:pPr>
              <w:tabs>
                <w:tab w:val="left" w:pos="284"/>
              </w:tabs>
              <w:spacing w:before="0" w:after="0"/>
              <w:rPr>
                <w:rFonts w:ascii="Arial" w:eastAsia="Arial" w:hAnsi="Arial" w:cs="Arial"/>
                <w:sz w:val="16"/>
                <w:szCs w:val="16"/>
              </w:rPr>
            </w:pPr>
            <w:hyperlink w:anchor="_uqjxnutego75">
              <w:r w:rsidR="00A57F4C">
                <w:rPr>
                  <w:rFonts w:ascii="Arial" w:eastAsia="Arial" w:hAnsi="Arial" w:cs="Arial"/>
                  <w:b/>
                  <w:color w:val="1155CC"/>
                  <w:sz w:val="16"/>
                  <w:szCs w:val="16"/>
                  <w:u w:val="single"/>
                </w:rPr>
                <w:t xml:space="preserve">Recommendation 6. </w:t>
              </w:r>
            </w:hyperlink>
            <w:hyperlink w:anchor="_uqjxnutego75">
              <w:r w:rsidR="00A57F4C">
                <w:rPr>
                  <w:rFonts w:ascii="Arial" w:eastAsia="Arial" w:hAnsi="Arial" w:cs="Arial"/>
                  <w:color w:val="1155CC"/>
                  <w:sz w:val="16"/>
                  <w:szCs w:val="16"/>
                  <w:u w:val="single"/>
                </w:rPr>
                <w:t>Amend privacy notices to clarify scope of third party data collection</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and DHS to amend and review Privacy Notices.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br/>
            </w:r>
            <w:r>
              <w:rPr>
                <w:rFonts w:ascii="Arial" w:eastAsia="Arial" w:hAnsi="Arial" w:cs="Arial"/>
                <w:sz w:val="16"/>
                <w:szCs w:val="16"/>
              </w:rPr>
              <w:br/>
              <w:t>DHS</w:t>
            </w:r>
          </w:p>
        </w:tc>
        <w:tc>
          <w:tcPr>
            <w:tcW w:w="810" w:type="dxa"/>
            <w:shd w:val="clear" w:color="auto" w:fill="F1C232"/>
            <w:tcMar>
              <w:top w:w="56" w:type="dxa"/>
              <w:left w:w="56" w:type="dxa"/>
              <w:bottom w:w="56" w:type="dxa"/>
              <w:right w:w="56" w:type="dxa"/>
            </w:tcMar>
            <w:vAlign w:val="center"/>
          </w:tcPr>
          <w:p w:rsidR="0074306C" w:rsidRDefault="00A57F4C">
            <w:pPr>
              <w:spacing w:before="0" w:after="0"/>
              <w:jc w:val="center"/>
              <w:rPr>
                <w:rFonts w:ascii="Arial" w:eastAsia="Arial" w:hAnsi="Arial" w:cs="Arial"/>
                <w:b/>
                <w:sz w:val="16"/>
                <w:szCs w:val="16"/>
              </w:rPr>
            </w:pPr>
            <w:r>
              <w:rPr>
                <w:rFonts w:ascii="Arial" w:eastAsia="Arial" w:hAnsi="Arial" w:cs="Arial"/>
                <w:b/>
                <w:color w:val="FFFFFF"/>
                <w:sz w:val="16"/>
                <w:szCs w:val="16"/>
              </w:rPr>
              <w:t>Medium</w:t>
            </w:r>
          </w:p>
        </w:tc>
      </w:tr>
      <w:tr w:rsidR="0074306C">
        <w:trPr>
          <w:trHeight w:val="260"/>
          <w:jc w:val="center"/>
        </w:trPr>
        <w:tc>
          <w:tcPr>
            <w:tcW w:w="1350" w:type="dxa"/>
            <w:vMerge/>
            <w:tcMar>
              <w:top w:w="56" w:type="dxa"/>
              <w:left w:w="56" w:type="dxa"/>
              <w:bottom w:w="56" w:type="dxa"/>
              <w:right w:w="56" w:type="dxa"/>
            </w:tcMar>
          </w:tcPr>
          <w:p w:rsidR="0074306C" w:rsidRDefault="0074306C">
            <w:pPr>
              <w:tabs>
                <w:tab w:val="left" w:pos="284"/>
              </w:tabs>
              <w:spacing w:before="0" w:after="0" w:line="240" w:lineRule="auto"/>
              <w:rPr>
                <w:rFonts w:ascii="Arial" w:eastAsia="Arial" w:hAnsi="Arial" w:cs="Arial"/>
                <w:b/>
                <w:sz w:val="16"/>
                <w:szCs w:val="16"/>
              </w:rPr>
            </w:pPr>
          </w:p>
        </w:tc>
        <w:tc>
          <w:tcPr>
            <w:tcW w:w="3300" w:type="dxa"/>
            <w:tcMar>
              <w:top w:w="56" w:type="dxa"/>
              <w:left w:w="56" w:type="dxa"/>
              <w:bottom w:w="56" w:type="dxa"/>
              <w:right w:w="56" w:type="dxa"/>
            </w:tcMar>
          </w:tcPr>
          <w:p w:rsidR="0074306C" w:rsidRDefault="00C907A7">
            <w:pPr>
              <w:tabs>
                <w:tab w:val="left" w:pos="284"/>
              </w:tabs>
              <w:spacing w:before="0" w:after="0"/>
              <w:rPr>
                <w:rFonts w:ascii="Arial" w:eastAsia="Arial" w:hAnsi="Arial" w:cs="Arial"/>
                <w:sz w:val="16"/>
                <w:szCs w:val="16"/>
              </w:rPr>
            </w:pPr>
            <w:hyperlink w:anchor="_jrjheql2o04k">
              <w:r w:rsidR="00A57F4C">
                <w:rPr>
                  <w:rFonts w:ascii="Arial" w:eastAsia="Arial" w:hAnsi="Arial" w:cs="Arial"/>
                  <w:b/>
                  <w:color w:val="1155CC"/>
                  <w:sz w:val="16"/>
                  <w:szCs w:val="16"/>
                  <w:u w:val="single"/>
                </w:rPr>
                <w:t xml:space="preserve">Recommendation 7. </w:t>
              </w:r>
            </w:hyperlink>
            <w:hyperlink w:anchor="_jrjheql2o04k">
              <w:r w:rsidR="00A57F4C">
                <w:rPr>
                  <w:rFonts w:ascii="Arial" w:eastAsia="Arial" w:hAnsi="Arial" w:cs="Arial"/>
                  <w:color w:val="1155CC"/>
                  <w:sz w:val="16"/>
                  <w:szCs w:val="16"/>
                  <w:u w:val="single"/>
                </w:rPr>
                <w:t>Amend privacy notices to clarify the scope of data matching</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and DHS to amend and review Privacy Notices.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br/>
            </w:r>
            <w:r>
              <w:rPr>
                <w:rFonts w:ascii="Arial" w:eastAsia="Arial" w:hAnsi="Arial" w:cs="Arial"/>
                <w:sz w:val="16"/>
                <w:szCs w:val="16"/>
              </w:rPr>
              <w:br/>
              <w:t>DHS</w:t>
            </w:r>
          </w:p>
        </w:tc>
        <w:tc>
          <w:tcPr>
            <w:tcW w:w="810" w:type="dxa"/>
            <w:shd w:val="clear" w:color="auto" w:fill="F1C232"/>
            <w:tcMar>
              <w:top w:w="56" w:type="dxa"/>
              <w:left w:w="56" w:type="dxa"/>
              <w:bottom w:w="56" w:type="dxa"/>
              <w:right w:w="56" w:type="dxa"/>
            </w:tcMar>
            <w:vAlign w:val="center"/>
          </w:tcPr>
          <w:p w:rsidR="0074306C" w:rsidRDefault="00A57F4C">
            <w:pPr>
              <w:spacing w:before="0" w:after="0"/>
              <w:jc w:val="center"/>
              <w:rPr>
                <w:rFonts w:ascii="Arial" w:eastAsia="Arial" w:hAnsi="Arial" w:cs="Arial"/>
                <w:b/>
                <w:sz w:val="16"/>
                <w:szCs w:val="16"/>
              </w:rPr>
            </w:pPr>
            <w:r>
              <w:rPr>
                <w:rFonts w:ascii="Arial" w:eastAsia="Arial" w:hAnsi="Arial" w:cs="Arial"/>
                <w:b/>
                <w:color w:val="FFFFFF"/>
                <w:sz w:val="16"/>
                <w:szCs w:val="16"/>
              </w:rPr>
              <w:t>Medium</w:t>
            </w:r>
          </w:p>
        </w:tc>
      </w:tr>
      <w:tr w:rsidR="0074306C">
        <w:trPr>
          <w:jc w:val="center"/>
        </w:trPr>
        <w:tc>
          <w:tcPr>
            <w:tcW w:w="1350" w:type="dxa"/>
            <w:tcMar>
              <w:top w:w="56" w:type="dxa"/>
              <w:left w:w="56" w:type="dxa"/>
              <w:bottom w:w="56" w:type="dxa"/>
              <w:right w:w="56" w:type="dxa"/>
            </w:tcMar>
          </w:tcPr>
          <w:p w:rsidR="0074306C" w:rsidRDefault="00C907A7">
            <w:pPr>
              <w:spacing w:before="0" w:after="0"/>
              <w:rPr>
                <w:rFonts w:ascii="Calibri" w:eastAsia="Calibri" w:hAnsi="Calibri" w:cs="Calibri"/>
                <w:sz w:val="22"/>
                <w:szCs w:val="22"/>
              </w:rPr>
            </w:pPr>
            <w:hyperlink w:anchor="_4h042r0">
              <w:r w:rsidR="00A57F4C">
                <w:rPr>
                  <w:rFonts w:ascii="Arial" w:eastAsia="Arial" w:hAnsi="Arial" w:cs="Arial"/>
                  <w:b/>
                  <w:color w:val="1155CC"/>
                  <w:sz w:val="16"/>
                  <w:szCs w:val="16"/>
                  <w:u w:val="single"/>
                </w:rPr>
                <w:t>APP 10</w:t>
              </w:r>
            </w:hyperlink>
            <w:r w:rsidR="00A57F4C">
              <w:rPr>
                <w:rFonts w:ascii="Arial" w:eastAsia="Arial" w:hAnsi="Arial" w:cs="Arial"/>
                <w:b/>
                <w:sz w:val="16"/>
                <w:szCs w:val="16"/>
              </w:rPr>
              <w:t xml:space="preserve"> – Quality of Personal Information</w:t>
            </w:r>
          </w:p>
        </w:tc>
        <w:tc>
          <w:tcPr>
            <w:tcW w:w="3300" w:type="dxa"/>
            <w:tcMar>
              <w:top w:w="56" w:type="dxa"/>
              <w:left w:w="56" w:type="dxa"/>
              <w:bottom w:w="56" w:type="dxa"/>
              <w:right w:w="56" w:type="dxa"/>
            </w:tcMar>
          </w:tcPr>
          <w:p w:rsidR="0074306C" w:rsidRDefault="00C907A7">
            <w:pPr>
              <w:pBdr>
                <w:top w:val="nil"/>
                <w:left w:val="nil"/>
                <w:bottom w:val="nil"/>
                <w:right w:val="nil"/>
                <w:between w:val="nil"/>
              </w:pBdr>
              <w:spacing w:before="0" w:after="0"/>
              <w:rPr>
                <w:rFonts w:ascii="Arial" w:eastAsia="Arial" w:hAnsi="Arial" w:cs="Arial"/>
                <w:sz w:val="16"/>
                <w:szCs w:val="16"/>
              </w:rPr>
            </w:pPr>
            <w:hyperlink w:anchor="_idtvcic1ppo">
              <w:r w:rsidR="00A57F4C">
                <w:rPr>
                  <w:rFonts w:ascii="Arial" w:eastAsia="Arial" w:hAnsi="Arial" w:cs="Arial"/>
                  <w:b/>
                  <w:color w:val="1155CC"/>
                  <w:sz w:val="16"/>
                  <w:szCs w:val="16"/>
                  <w:u w:val="single"/>
                </w:rPr>
                <w:t xml:space="preserve">Recommendation 8. </w:t>
              </w:r>
            </w:hyperlink>
            <w:hyperlink w:anchor="_idtvcic1ppo">
              <w:r w:rsidR="00A57F4C">
                <w:rPr>
                  <w:rFonts w:ascii="Arial" w:eastAsia="Arial" w:hAnsi="Arial" w:cs="Arial"/>
                  <w:color w:val="1155CC"/>
                  <w:sz w:val="16"/>
                  <w:szCs w:val="16"/>
                  <w:u w:val="single"/>
                </w:rPr>
                <w:t>Assess data quality benefits and risks</w:t>
              </w:r>
            </w:hyperlink>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r w:rsidR="00A57F4C">
              <w:rPr>
                <w:rFonts w:ascii="Arial" w:eastAsia="Arial" w:hAnsi="Arial" w:cs="Arial"/>
                <w:sz w:val="16"/>
                <w:szCs w:val="16"/>
              </w:rPr>
              <w:br/>
            </w:r>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to undertake a trial / evaluation for each proposal:</w:t>
            </w:r>
          </w:p>
          <w:p w:rsidR="0074306C" w:rsidRDefault="00C907A7" w:rsidP="004C3ED8">
            <w:pPr>
              <w:numPr>
                <w:ilvl w:val="0"/>
                <w:numId w:val="11"/>
              </w:numPr>
              <w:spacing w:before="0" w:after="0"/>
              <w:rPr>
                <w:rFonts w:ascii="Arial" w:eastAsia="Arial" w:hAnsi="Arial" w:cs="Arial"/>
                <w:sz w:val="16"/>
                <w:szCs w:val="16"/>
              </w:rPr>
            </w:pPr>
            <w:hyperlink w:anchor="_1d7fhilwiz2u">
              <w:r w:rsidR="00A57F4C">
                <w:rPr>
                  <w:rFonts w:ascii="Arial" w:eastAsia="Arial" w:hAnsi="Arial" w:cs="Arial"/>
                  <w:b/>
                  <w:color w:val="1155CC"/>
                  <w:sz w:val="16"/>
                  <w:szCs w:val="16"/>
                  <w:u w:val="single"/>
                </w:rPr>
                <w:t>Proposal 1</w:t>
              </w:r>
            </w:hyperlink>
            <w:r w:rsidR="00A57F4C">
              <w:rPr>
                <w:rFonts w:ascii="Arial" w:eastAsia="Arial" w:hAnsi="Arial" w:cs="Arial"/>
                <w:b/>
                <w:sz w:val="16"/>
                <w:szCs w:val="16"/>
              </w:rPr>
              <w:t>:</w:t>
            </w:r>
            <w:r w:rsidR="00A57F4C">
              <w:rPr>
                <w:rFonts w:ascii="Arial" w:eastAsia="Arial" w:hAnsi="Arial" w:cs="Arial"/>
                <w:sz w:val="16"/>
                <w:szCs w:val="16"/>
              </w:rPr>
              <w:t xml:space="preserve"> TGA – yet to be scheduled</w:t>
            </w:r>
          </w:p>
          <w:p w:rsidR="0074306C" w:rsidRDefault="00C907A7" w:rsidP="004C3ED8">
            <w:pPr>
              <w:numPr>
                <w:ilvl w:val="0"/>
                <w:numId w:val="11"/>
              </w:numPr>
              <w:spacing w:before="0" w:after="0"/>
              <w:rPr>
                <w:rFonts w:ascii="Arial" w:eastAsia="Arial" w:hAnsi="Arial" w:cs="Arial"/>
                <w:sz w:val="16"/>
                <w:szCs w:val="16"/>
              </w:rPr>
            </w:pPr>
            <w:hyperlink w:anchor="_p9u5k9p6gcf9">
              <w:r w:rsidR="00A57F4C">
                <w:rPr>
                  <w:rFonts w:ascii="Arial" w:eastAsia="Arial" w:hAnsi="Arial" w:cs="Arial"/>
                  <w:b/>
                  <w:color w:val="1155CC"/>
                  <w:sz w:val="16"/>
                  <w:szCs w:val="16"/>
                  <w:u w:val="single"/>
                </w:rPr>
                <w:t>Proposal 2</w:t>
              </w:r>
            </w:hyperlink>
            <w:r w:rsidR="00A57F4C">
              <w:rPr>
                <w:rFonts w:ascii="Arial" w:eastAsia="Arial" w:hAnsi="Arial" w:cs="Arial"/>
                <w:b/>
                <w:sz w:val="16"/>
                <w:szCs w:val="16"/>
              </w:rPr>
              <w:t>:</w:t>
            </w:r>
            <w:r w:rsidR="00A57F4C">
              <w:rPr>
                <w:rFonts w:ascii="Arial" w:eastAsia="Arial" w:hAnsi="Arial" w:cs="Arial"/>
                <w:sz w:val="16"/>
                <w:szCs w:val="16"/>
              </w:rPr>
              <w:t xml:space="preserve"> MBS/PBS – yet to be scheduled</w:t>
            </w:r>
          </w:p>
          <w:p w:rsidR="0074306C" w:rsidRDefault="00C907A7" w:rsidP="004C3ED8">
            <w:pPr>
              <w:numPr>
                <w:ilvl w:val="0"/>
                <w:numId w:val="11"/>
              </w:numPr>
              <w:spacing w:before="0" w:after="0"/>
              <w:rPr>
                <w:rFonts w:ascii="Arial" w:eastAsia="Arial" w:hAnsi="Arial" w:cs="Arial"/>
                <w:sz w:val="16"/>
                <w:szCs w:val="16"/>
              </w:rPr>
            </w:pPr>
            <w:hyperlink w:anchor="_qk24c9eopkxx">
              <w:r w:rsidR="00A57F4C">
                <w:rPr>
                  <w:rFonts w:ascii="Arial" w:eastAsia="Arial" w:hAnsi="Arial" w:cs="Arial"/>
                  <w:b/>
                  <w:color w:val="1155CC"/>
                  <w:sz w:val="16"/>
                  <w:szCs w:val="16"/>
                  <w:u w:val="single"/>
                </w:rPr>
                <w:t>Proposal 3</w:t>
              </w:r>
            </w:hyperlink>
            <w:r w:rsidR="00A57F4C">
              <w:rPr>
                <w:rFonts w:ascii="Arial" w:eastAsia="Arial" w:hAnsi="Arial" w:cs="Arial"/>
                <w:b/>
                <w:sz w:val="16"/>
                <w:szCs w:val="16"/>
              </w:rPr>
              <w:t>:</w:t>
            </w:r>
            <w:r w:rsidR="00A57F4C">
              <w:rPr>
                <w:rFonts w:ascii="Arial" w:eastAsia="Arial" w:hAnsi="Arial" w:cs="Arial"/>
                <w:sz w:val="16"/>
                <w:szCs w:val="16"/>
              </w:rPr>
              <w:t xml:space="preserve"> Insurers – yet to be scheduled</w:t>
            </w:r>
          </w:p>
          <w:p w:rsidR="0074306C" w:rsidRDefault="00C907A7" w:rsidP="004C3ED8">
            <w:pPr>
              <w:numPr>
                <w:ilvl w:val="0"/>
                <w:numId w:val="11"/>
              </w:numPr>
              <w:spacing w:before="0" w:after="0"/>
              <w:rPr>
                <w:rFonts w:ascii="Arial" w:eastAsia="Arial" w:hAnsi="Arial" w:cs="Arial"/>
                <w:sz w:val="16"/>
                <w:szCs w:val="16"/>
              </w:rPr>
            </w:pPr>
            <w:hyperlink w:anchor="_a4s6ohd7cfti">
              <w:r w:rsidR="00A57F4C">
                <w:rPr>
                  <w:rFonts w:ascii="Arial" w:eastAsia="Arial" w:hAnsi="Arial" w:cs="Arial"/>
                  <w:b/>
                  <w:color w:val="1155CC"/>
                  <w:sz w:val="16"/>
                  <w:szCs w:val="16"/>
                  <w:u w:val="single"/>
                </w:rPr>
                <w:t>Proposal 4</w:t>
              </w:r>
            </w:hyperlink>
            <w:r w:rsidR="00A57F4C">
              <w:rPr>
                <w:rFonts w:ascii="Arial" w:eastAsia="Arial" w:hAnsi="Arial" w:cs="Arial"/>
                <w:b/>
                <w:sz w:val="16"/>
                <w:szCs w:val="16"/>
              </w:rPr>
              <w:t>:</w:t>
            </w:r>
            <w:r w:rsidR="00A57F4C">
              <w:rPr>
                <w:rFonts w:ascii="Arial" w:eastAsia="Arial" w:hAnsi="Arial" w:cs="Arial"/>
                <w:sz w:val="16"/>
                <w:szCs w:val="16"/>
              </w:rPr>
              <w:t xml:space="preserve"> Home Affairs – completed</w:t>
            </w:r>
          </w:p>
          <w:p w:rsidR="0074306C" w:rsidRDefault="00C907A7" w:rsidP="004C3ED8">
            <w:pPr>
              <w:numPr>
                <w:ilvl w:val="0"/>
                <w:numId w:val="11"/>
              </w:numPr>
              <w:spacing w:before="0" w:after="0"/>
              <w:rPr>
                <w:rFonts w:ascii="Arial" w:eastAsia="Arial" w:hAnsi="Arial" w:cs="Arial"/>
                <w:sz w:val="16"/>
                <w:szCs w:val="16"/>
              </w:rPr>
            </w:pPr>
            <w:hyperlink w:anchor="_ic82kdt8ewo5">
              <w:r w:rsidR="00A57F4C">
                <w:rPr>
                  <w:rFonts w:ascii="Arial" w:eastAsia="Arial" w:hAnsi="Arial" w:cs="Arial"/>
                  <w:b/>
                  <w:color w:val="1155CC"/>
                  <w:sz w:val="16"/>
                  <w:szCs w:val="16"/>
                  <w:u w:val="single"/>
                </w:rPr>
                <w:t>Proposal 5</w:t>
              </w:r>
            </w:hyperlink>
            <w:r w:rsidR="00A57F4C">
              <w:rPr>
                <w:rFonts w:ascii="Arial" w:eastAsia="Arial" w:hAnsi="Arial" w:cs="Arial"/>
                <w:b/>
                <w:sz w:val="16"/>
                <w:szCs w:val="16"/>
              </w:rPr>
              <w:t>:</w:t>
            </w:r>
            <w:r w:rsidR="00A57F4C">
              <w:rPr>
                <w:rFonts w:ascii="Arial" w:eastAsia="Arial" w:hAnsi="Arial" w:cs="Arial"/>
                <w:sz w:val="16"/>
                <w:szCs w:val="16"/>
              </w:rPr>
              <w:t xml:space="preserve"> AHPRA – yet to be scheduled</w:t>
            </w:r>
          </w:p>
          <w:p w:rsidR="0074306C" w:rsidRDefault="00C907A7" w:rsidP="004C3ED8">
            <w:pPr>
              <w:numPr>
                <w:ilvl w:val="0"/>
                <w:numId w:val="11"/>
              </w:numPr>
              <w:spacing w:before="0" w:after="0"/>
              <w:rPr>
                <w:rFonts w:ascii="Arial" w:eastAsia="Arial" w:hAnsi="Arial" w:cs="Arial"/>
                <w:sz w:val="16"/>
                <w:szCs w:val="16"/>
              </w:rPr>
            </w:pPr>
            <w:hyperlink w:anchor="_pkkx5ohdrzvq">
              <w:r w:rsidR="00A57F4C">
                <w:rPr>
                  <w:rFonts w:ascii="Arial" w:eastAsia="Arial" w:hAnsi="Arial" w:cs="Arial"/>
                  <w:b/>
                  <w:color w:val="1155CC"/>
                  <w:sz w:val="16"/>
                  <w:szCs w:val="16"/>
                  <w:u w:val="single"/>
                </w:rPr>
                <w:t>Proposal 6</w:t>
              </w:r>
            </w:hyperlink>
            <w:r w:rsidR="00A57F4C">
              <w:rPr>
                <w:rFonts w:ascii="Arial" w:eastAsia="Arial" w:hAnsi="Arial" w:cs="Arial"/>
                <w:b/>
                <w:sz w:val="16"/>
                <w:szCs w:val="16"/>
              </w:rPr>
              <w:t>:</w:t>
            </w:r>
            <w:r w:rsidR="00A57F4C">
              <w:rPr>
                <w:rFonts w:ascii="Arial" w:eastAsia="Arial" w:hAnsi="Arial" w:cs="Arial"/>
                <w:sz w:val="16"/>
                <w:szCs w:val="16"/>
              </w:rPr>
              <w:t xml:space="preserve"> DVA – completed</w:t>
            </w:r>
          </w:p>
          <w:p w:rsidR="0074306C" w:rsidRDefault="00A57F4C" w:rsidP="004C3ED8">
            <w:pPr>
              <w:numPr>
                <w:ilvl w:val="0"/>
                <w:numId w:val="11"/>
              </w:numPr>
              <w:spacing w:before="0" w:after="0"/>
              <w:rPr>
                <w:rFonts w:ascii="Arial" w:eastAsia="Arial" w:hAnsi="Arial" w:cs="Arial"/>
                <w:sz w:val="16"/>
                <w:szCs w:val="16"/>
              </w:rPr>
            </w:pPr>
            <w:r>
              <w:rPr>
                <w:rFonts w:ascii="Arial" w:eastAsia="Arial" w:hAnsi="Arial" w:cs="Arial"/>
                <w:sz w:val="16"/>
                <w:szCs w:val="16"/>
              </w:rPr>
              <w:t>And all future proposals.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br/>
            </w:r>
            <w:r>
              <w:rPr>
                <w:rFonts w:ascii="Arial" w:eastAsia="Arial" w:hAnsi="Arial" w:cs="Arial"/>
                <w:sz w:val="16"/>
                <w:szCs w:val="16"/>
              </w:rPr>
              <w:br/>
              <w:t>Data custodians</w:t>
            </w:r>
          </w:p>
        </w:tc>
        <w:tc>
          <w:tcPr>
            <w:tcW w:w="810" w:type="dxa"/>
            <w:shd w:val="clear" w:color="auto" w:fill="8E7CC3"/>
            <w:tcMar>
              <w:top w:w="56" w:type="dxa"/>
              <w:left w:w="56" w:type="dxa"/>
              <w:bottom w:w="56" w:type="dxa"/>
              <w:right w:w="56" w:type="dxa"/>
            </w:tcMar>
            <w:vAlign w:val="center"/>
          </w:tcPr>
          <w:p w:rsidR="0074306C" w:rsidRDefault="00A57F4C">
            <w:pPr>
              <w:spacing w:before="0" w:after="0"/>
              <w:jc w:val="center"/>
              <w:rPr>
                <w:rFonts w:ascii="Arial" w:eastAsia="Arial" w:hAnsi="Arial" w:cs="Arial"/>
                <w:b/>
                <w:color w:val="FFFFFF"/>
                <w:sz w:val="16"/>
                <w:szCs w:val="16"/>
              </w:rPr>
            </w:pPr>
            <w:r>
              <w:rPr>
                <w:rFonts w:ascii="Arial" w:eastAsia="Arial" w:hAnsi="Arial" w:cs="Arial"/>
                <w:b/>
                <w:color w:val="FFFFFF"/>
                <w:sz w:val="16"/>
                <w:szCs w:val="16"/>
              </w:rPr>
              <w:t>Low</w:t>
            </w:r>
          </w:p>
        </w:tc>
      </w:tr>
      <w:tr w:rsidR="0074306C">
        <w:trPr>
          <w:jc w:val="center"/>
        </w:trPr>
        <w:tc>
          <w:tcPr>
            <w:tcW w:w="1350" w:type="dxa"/>
            <w:vMerge w:val="restart"/>
            <w:tcMar>
              <w:top w:w="56" w:type="dxa"/>
              <w:left w:w="56" w:type="dxa"/>
              <w:bottom w:w="56" w:type="dxa"/>
              <w:right w:w="56" w:type="dxa"/>
            </w:tcMar>
          </w:tcPr>
          <w:p w:rsidR="0074306C" w:rsidRDefault="00C907A7">
            <w:pPr>
              <w:spacing w:before="0" w:after="0"/>
              <w:rPr>
                <w:rFonts w:ascii="Calibri" w:eastAsia="Calibri" w:hAnsi="Calibri" w:cs="Calibri"/>
                <w:sz w:val="22"/>
                <w:szCs w:val="22"/>
              </w:rPr>
            </w:pPr>
            <w:hyperlink w:anchor="_pkwqa1">
              <w:r w:rsidR="00A57F4C">
                <w:rPr>
                  <w:rFonts w:ascii="Arial" w:eastAsia="Arial" w:hAnsi="Arial" w:cs="Arial"/>
                  <w:b/>
                  <w:color w:val="1155CC"/>
                  <w:sz w:val="16"/>
                  <w:szCs w:val="16"/>
                  <w:u w:val="single"/>
                </w:rPr>
                <w:t>APP 11</w:t>
              </w:r>
            </w:hyperlink>
            <w:r w:rsidR="00A57F4C">
              <w:rPr>
                <w:rFonts w:ascii="Arial" w:eastAsia="Arial" w:hAnsi="Arial" w:cs="Arial"/>
                <w:b/>
                <w:sz w:val="16"/>
                <w:szCs w:val="16"/>
              </w:rPr>
              <w:t xml:space="preserve"> – Security</w:t>
            </w:r>
          </w:p>
        </w:tc>
        <w:tc>
          <w:tcPr>
            <w:tcW w:w="3300" w:type="dxa"/>
            <w:tcMar>
              <w:top w:w="56" w:type="dxa"/>
              <w:left w:w="56" w:type="dxa"/>
              <w:bottom w:w="56" w:type="dxa"/>
              <w:right w:w="56" w:type="dxa"/>
            </w:tcMar>
          </w:tcPr>
          <w:p w:rsidR="0074306C" w:rsidRDefault="00C907A7" w:rsidP="00A57F4C">
            <w:pPr>
              <w:spacing w:before="0" w:after="0"/>
              <w:rPr>
                <w:rFonts w:ascii="Arial" w:eastAsia="Arial" w:hAnsi="Arial" w:cs="Arial"/>
                <w:sz w:val="16"/>
                <w:szCs w:val="16"/>
              </w:rPr>
            </w:pPr>
            <w:hyperlink w:anchor="_exn98e1rrf1v">
              <w:r w:rsidR="00A57F4C">
                <w:rPr>
                  <w:rFonts w:ascii="Arial" w:eastAsia="Arial" w:hAnsi="Arial" w:cs="Arial"/>
                  <w:b/>
                  <w:color w:val="1155CC"/>
                  <w:sz w:val="16"/>
                  <w:szCs w:val="16"/>
                  <w:u w:val="single"/>
                </w:rPr>
                <w:t xml:space="preserve">Recommendation 9. </w:t>
              </w:r>
            </w:hyperlink>
            <w:hyperlink w:anchor="_exn98e1rrf1v">
              <w:r w:rsidR="00A57F4C">
                <w:rPr>
                  <w:rFonts w:ascii="Arial" w:eastAsia="Arial" w:hAnsi="Arial" w:cs="Arial"/>
                  <w:color w:val="1155CC"/>
                  <w:sz w:val="16"/>
                  <w:szCs w:val="16"/>
                  <w:u w:val="single"/>
                </w:rPr>
                <w:t>Establish a security compliance framework</w:t>
              </w:r>
            </w:hyperlink>
            <w:r w:rsidR="00A57F4C">
              <w:rPr>
                <w:rFonts w:ascii="Arial" w:eastAsia="Arial" w:hAnsi="Arial" w:cs="Arial"/>
                <w:color w:val="1155CC"/>
                <w:sz w:val="16"/>
                <w:szCs w:val="16"/>
                <w:u w:val="single"/>
              </w:rPr>
              <w:br/>
            </w:r>
            <w:r w:rsidR="00A57F4C">
              <w:rPr>
                <w:rFonts w:ascii="Arial" w:eastAsia="Arial" w:hAnsi="Arial" w:cs="Arial"/>
                <w:color w:val="1155CC"/>
                <w:sz w:val="16"/>
                <w:szCs w:val="16"/>
                <w:u w:val="single"/>
              </w:rPr>
              <w:br/>
            </w:r>
            <w:r w:rsidR="00A57F4C">
              <w:rPr>
                <w:rFonts w:ascii="Arial" w:eastAsia="Arial" w:hAnsi="Arial" w:cs="Arial"/>
                <w:color w:val="1155CC"/>
                <w:sz w:val="16"/>
                <w:szCs w:val="16"/>
                <w:u w:val="single"/>
              </w:rPr>
              <w:br/>
            </w:r>
            <w:r w:rsidR="00A57F4C">
              <w:rPr>
                <w:rFonts w:ascii="Arial" w:eastAsia="Arial" w:hAnsi="Arial" w:cs="Arial"/>
                <w:color w:val="1155CC"/>
                <w:sz w:val="16"/>
                <w:szCs w:val="16"/>
                <w:u w:val="single"/>
              </w:rPr>
              <w:br/>
            </w:r>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to establish a minimum security standard and add it to:</w:t>
            </w:r>
          </w:p>
          <w:p w:rsidR="0074306C" w:rsidRDefault="00A57F4C" w:rsidP="004C3ED8">
            <w:pPr>
              <w:numPr>
                <w:ilvl w:val="0"/>
                <w:numId w:val="13"/>
              </w:numPr>
              <w:spacing w:before="0" w:after="0"/>
              <w:rPr>
                <w:rFonts w:ascii="Arial" w:eastAsia="Arial" w:hAnsi="Arial" w:cs="Arial"/>
                <w:sz w:val="16"/>
                <w:szCs w:val="16"/>
              </w:rPr>
            </w:pPr>
            <w:r>
              <w:rPr>
                <w:rFonts w:ascii="Arial" w:eastAsia="Arial" w:hAnsi="Arial" w:cs="Arial"/>
                <w:sz w:val="16"/>
                <w:szCs w:val="16"/>
              </w:rPr>
              <w:t>Additional governance arrangements; and</w:t>
            </w:r>
          </w:p>
          <w:p w:rsidR="0074306C" w:rsidRDefault="00A57F4C" w:rsidP="004C3ED8">
            <w:pPr>
              <w:numPr>
                <w:ilvl w:val="0"/>
                <w:numId w:val="13"/>
              </w:numPr>
              <w:spacing w:before="0" w:after="0"/>
              <w:rPr>
                <w:rFonts w:ascii="Arial" w:eastAsia="Arial" w:hAnsi="Arial" w:cs="Arial"/>
                <w:sz w:val="16"/>
                <w:szCs w:val="16"/>
              </w:rPr>
            </w:pPr>
            <w:r>
              <w:rPr>
                <w:rFonts w:ascii="Arial" w:eastAsia="Arial" w:hAnsi="Arial" w:cs="Arial"/>
                <w:sz w:val="16"/>
                <w:szCs w:val="16"/>
              </w:rPr>
              <w:t>Agreements with data custodians.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p>
        </w:tc>
        <w:tc>
          <w:tcPr>
            <w:tcW w:w="810" w:type="dxa"/>
            <w:shd w:val="clear" w:color="auto" w:fill="CC0000"/>
            <w:tcMar>
              <w:top w:w="56" w:type="dxa"/>
              <w:left w:w="56" w:type="dxa"/>
              <w:bottom w:w="56" w:type="dxa"/>
              <w:right w:w="56" w:type="dxa"/>
            </w:tcMar>
            <w:vAlign w:val="center"/>
          </w:tcPr>
          <w:p w:rsidR="0074306C" w:rsidRDefault="00A57F4C">
            <w:pPr>
              <w:spacing w:before="0" w:after="0"/>
              <w:jc w:val="center"/>
              <w:rPr>
                <w:rFonts w:ascii="Arial" w:eastAsia="Arial" w:hAnsi="Arial" w:cs="Arial"/>
                <w:b/>
                <w:sz w:val="16"/>
                <w:szCs w:val="16"/>
              </w:rPr>
            </w:pPr>
            <w:r>
              <w:rPr>
                <w:rFonts w:ascii="Arial" w:eastAsia="Arial" w:hAnsi="Arial" w:cs="Arial"/>
                <w:b/>
                <w:color w:val="FFFFFF"/>
                <w:sz w:val="16"/>
                <w:szCs w:val="16"/>
              </w:rPr>
              <w:t>High</w:t>
            </w:r>
          </w:p>
        </w:tc>
      </w:tr>
      <w:tr w:rsidR="0074306C">
        <w:trPr>
          <w:trHeight w:val="260"/>
          <w:jc w:val="center"/>
        </w:trPr>
        <w:tc>
          <w:tcPr>
            <w:tcW w:w="1350" w:type="dxa"/>
            <w:vMerge/>
            <w:tcMar>
              <w:top w:w="56" w:type="dxa"/>
              <w:left w:w="56" w:type="dxa"/>
              <w:bottom w:w="56" w:type="dxa"/>
              <w:right w:w="56" w:type="dxa"/>
            </w:tcMar>
          </w:tcPr>
          <w:p w:rsidR="0074306C" w:rsidRDefault="0074306C">
            <w:pPr>
              <w:keepLines w:val="0"/>
              <w:widowControl w:val="0"/>
              <w:spacing w:before="0" w:after="0" w:line="240" w:lineRule="auto"/>
              <w:rPr>
                <w:rFonts w:ascii="Arial" w:eastAsia="Arial" w:hAnsi="Arial" w:cs="Arial"/>
                <w:b/>
                <w:sz w:val="16"/>
                <w:szCs w:val="16"/>
              </w:rPr>
            </w:pPr>
          </w:p>
        </w:tc>
        <w:tc>
          <w:tcPr>
            <w:tcW w:w="3300" w:type="dxa"/>
            <w:tcMar>
              <w:top w:w="56" w:type="dxa"/>
              <w:left w:w="56" w:type="dxa"/>
              <w:bottom w:w="56" w:type="dxa"/>
              <w:right w:w="56" w:type="dxa"/>
            </w:tcMar>
          </w:tcPr>
          <w:p w:rsidR="0074306C" w:rsidRDefault="00C907A7">
            <w:pPr>
              <w:keepLines w:val="0"/>
              <w:widowControl w:val="0"/>
              <w:spacing w:before="0" w:after="0"/>
              <w:rPr>
                <w:rFonts w:ascii="Arial" w:eastAsia="Arial" w:hAnsi="Arial" w:cs="Arial"/>
                <w:sz w:val="16"/>
                <w:szCs w:val="16"/>
              </w:rPr>
            </w:pPr>
            <w:hyperlink w:anchor="_ree8mlkiflhv">
              <w:r w:rsidR="00A57F4C">
                <w:rPr>
                  <w:rFonts w:ascii="Arial" w:eastAsia="Arial" w:hAnsi="Arial" w:cs="Arial"/>
                  <w:b/>
                  <w:color w:val="1155CC"/>
                  <w:sz w:val="16"/>
                  <w:szCs w:val="16"/>
                  <w:u w:val="single"/>
                </w:rPr>
                <w:t xml:space="preserve">Recommendation 10. </w:t>
              </w:r>
            </w:hyperlink>
            <w:hyperlink w:anchor="_ree8mlkiflhv">
              <w:r w:rsidR="00A57F4C">
                <w:rPr>
                  <w:rFonts w:ascii="Arial" w:eastAsia="Arial" w:hAnsi="Arial" w:cs="Arial"/>
                  <w:color w:val="1155CC"/>
                  <w:sz w:val="16"/>
                  <w:szCs w:val="16"/>
                  <w:u w:val="single"/>
                </w:rPr>
                <w:t>Expansion of data destruction requirements</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to establish data destruction requirements and add them to:</w:t>
            </w:r>
          </w:p>
          <w:p w:rsidR="0074306C" w:rsidRDefault="00A57F4C" w:rsidP="004C3ED8">
            <w:pPr>
              <w:numPr>
                <w:ilvl w:val="0"/>
                <w:numId w:val="25"/>
              </w:numPr>
              <w:spacing w:before="0" w:after="0"/>
              <w:rPr>
                <w:rFonts w:ascii="Arial" w:eastAsia="Arial" w:hAnsi="Arial" w:cs="Arial"/>
                <w:sz w:val="16"/>
                <w:szCs w:val="16"/>
              </w:rPr>
            </w:pPr>
            <w:r>
              <w:rPr>
                <w:rFonts w:ascii="Arial" w:eastAsia="Arial" w:hAnsi="Arial" w:cs="Arial"/>
                <w:sz w:val="16"/>
                <w:szCs w:val="16"/>
              </w:rPr>
              <w:t>The proposed legislative framework</w:t>
            </w:r>
          </w:p>
          <w:p w:rsidR="0074306C" w:rsidRDefault="00A57F4C" w:rsidP="004C3ED8">
            <w:pPr>
              <w:numPr>
                <w:ilvl w:val="0"/>
                <w:numId w:val="25"/>
              </w:numPr>
              <w:spacing w:before="0" w:after="0"/>
              <w:rPr>
                <w:rFonts w:ascii="Arial" w:eastAsia="Arial" w:hAnsi="Arial" w:cs="Arial"/>
                <w:sz w:val="16"/>
                <w:szCs w:val="16"/>
              </w:rPr>
            </w:pPr>
            <w:r>
              <w:rPr>
                <w:rFonts w:ascii="Arial" w:eastAsia="Arial" w:hAnsi="Arial" w:cs="Arial"/>
                <w:sz w:val="16"/>
                <w:szCs w:val="16"/>
              </w:rPr>
              <w:t>Additional governance arrangements; and</w:t>
            </w:r>
          </w:p>
          <w:p w:rsidR="0074306C" w:rsidRDefault="00A57F4C" w:rsidP="004C3ED8">
            <w:pPr>
              <w:numPr>
                <w:ilvl w:val="0"/>
                <w:numId w:val="25"/>
              </w:numPr>
              <w:spacing w:before="0" w:after="0"/>
              <w:rPr>
                <w:rFonts w:ascii="Arial" w:eastAsia="Arial" w:hAnsi="Arial" w:cs="Arial"/>
                <w:sz w:val="16"/>
                <w:szCs w:val="16"/>
              </w:rPr>
            </w:pPr>
            <w:r>
              <w:rPr>
                <w:rFonts w:ascii="Arial" w:eastAsia="Arial" w:hAnsi="Arial" w:cs="Arial"/>
                <w:sz w:val="16"/>
                <w:szCs w:val="16"/>
              </w:rPr>
              <w:t>Agreements with data custodians.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p>
        </w:tc>
        <w:tc>
          <w:tcPr>
            <w:tcW w:w="810" w:type="dxa"/>
            <w:shd w:val="clear" w:color="auto" w:fill="F1C232"/>
            <w:tcMar>
              <w:top w:w="56" w:type="dxa"/>
              <w:left w:w="56" w:type="dxa"/>
              <w:bottom w:w="56" w:type="dxa"/>
              <w:right w:w="56" w:type="dxa"/>
            </w:tcMar>
            <w:vAlign w:val="center"/>
          </w:tcPr>
          <w:p w:rsidR="0074306C" w:rsidRDefault="00A57F4C">
            <w:pPr>
              <w:spacing w:before="0" w:after="0"/>
              <w:jc w:val="center"/>
              <w:rPr>
                <w:rFonts w:ascii="Arial" w:eastAsia="Arial" w:hAnsi="Arial" w:cs="Arial"/>
                <w:b/>
                <w:color w:val="FFFFFF"/>
                <w:sz w:val="16"/>
                <w:szCs w:val="16"/>
              </w:rPr>
            </w:pPr>
            <w:r>
              <w:rPr>
                <w:rFonts w:ascii="Arial" w:eastAsia="Arial" w:hAnsi="Arial" w:cs="Arial"/>
                <w:b/>
                <w:color w:val="FFFFFF"/>
                <w:sz w:val="16"/>
                <w:szCs w:val="16"/>
              </w:rPr>
              <w:t>Medium</w:t>
            </w:r>
          </w:p>
        </w:tc>
      </w:tr>
      <w:tr w:rsidR="0074306C">
        <w:trPr>
          <w:jc w:val="center"/>
        </w:trPr>
        <w:tc>
          <w:tcPr>
            <w:tcW w:w="1350" w:type="dxa"/>
            <w:tcMar>
              <w:top w:w="56" w:type="dxa"/>
              <w:left w:w="56" w:type="dxa"/>
              <w:bottom w:w="56" w:type="dxa"/>
              <w:right w:w="56" w:type="dxa"/>
            </w:tcMar>
          </w:tcPr>
          <w:p w:rsidR="0074306C" w:rsidRDefault="00C907A7">
            <w:pPr>
              <w:spacing w:before="0" w:after="0"/>
              <w:rPr>
                <w:rFonts w:ascii="Arial" w:eastAsia="Arial" w:hAnsi="Arial" w:cs="Arial"/>
                <w:b/>
                <w:sz w:val="16"/>
                <w:szCs w:val="16"/>
              </w:rPr>
            </w:pPr>
            <w:hyperlink w:anchor="_cft1sa4b0cus">
              <w:r w:rsidR="00A57F4C">
                <w:rPr>
                  <w:rFonts w:ascii="Arial" w:eastAsia="Arial" w:hAnsi="Arial" w:cs="Arial"/>
                  <w:b/>
                  <w:color w:val="1155CC"/>
                  <w:sz w:val="16"/>
                  <w:szCs w:val="16"/>
                  <w:u w:val="single"/>
                </w:rPr>
                <w:t>APP 13</w:t>
              </w:r>
            </w:hyperlink>
            <w:r w:rsidR="00A57F4C">
              <w:rPr>
                <w:rFonts w:ascii="Arial" w:eastAsia="Arial" w:hAnsi="Arial" w:cs="Arial"/>
                <w:b/>
                <w:sz w:val="16"/>
                <w:szCs w:val="16"/>
              </w:rPr>
              <w:t xml:space="preserve"> – Correction</w:t>
            </w:r>
          </w:p>
        </w:tc>
        <w:tc>
          <w:tcPr>
            <w:tcW w:w="3300" w:type="dxa"/>
            <w:tcMar>
              <w:top w:w="56" w:type="dxa"/>
              <w:left w:w="56" w:type="dxa"/>
              <w:bottom w:w="56" w:type="dxa"/>
              <w:right w:w="56" w:type="dxa"/>
            </w:tcMar>
          </w:tcPr>
          <w:p w:rsidR="0074306C" w:rsidRDefault="00C907A7">
            <w:pPr>
              <w:spacing w:before="0" w:after="0"/>
              <w:rPr>
                <w:rFonts w:ascii="Arial" w:eastAsia="Arial" w:hAnsi="Arial" w:cs="Arial"/>
                <w:sz w:val="16"/>
                <w:szCs w:val="16"/>
              </w:rPr>
            </w:pPr>
            <w:hyperlink w:anchor="_lqusjpwpam3p">
              <w:r w:rsidR="00A57F4C">
                <w:rPr>
                  <w:rFonts w:ascii="Arial" w:eastAsia="Arial" w:hAnsi="Arial" w:cs="Arial"/>
                  <w:b/>
                  <w:color w:val="1155CC"/>
                  <w:sz w:val="16"/>
                  <w:szCs w:val="16"/>
                  <w:u w:val="single"/>
                </w:rPr>
                <w:t xml:space="preserve">Recommendation 11. </w:t>
              </w:r>
            </w:hyperlink>
            <w:hyperlink w:anchor="_lqusjpwpam3p">
              <w:r w:rsidR="00A57F4C">
                <w:rPr>
                  <w:rFonts w:ascii="Arial" w:eastAsia="Arial" w:hAnsi="Arial" w:cs="Arial"/>
                  <w:color w:val="1155CC"/>
                  <w:sz w:val="16"/>
                  <w:szCs w:val="16"/>
                  <w:u w:val="single"/>
                </w:rPr>
                <w:t>Sharing corrections</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to establish a protocol for sharing relevant data corrections with data custodians.</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p>
        </w:tc>
        <w:tc>
          <w:tcPr>
            <w:tcW w:w="810" w:type="dxa"/>
            <w:shd w:val="clear" w:color="auto" w:fill="8E7CC3"/>
            <w:tcMar>
              <w:top w:w="56" w:type="dxa"/>
              <w:left w:w="56" w:type="dxa"/>
              <w:bottom w:w="56" w:type="dxa"/>
              <w:right w:w="56" w:type="dxa"/>
            </w:tcMar>
            <w:vAlign w:val="center"/>
          </w:tcPr>
          <w:p w:rsidR="0074306C" w:rsidRDefault="00A57F4C">
            <w:pPr>
              <w:spacing w:before="0" w:after="0"/>
              <w:jc w:val="center"/>
              <w:rPr>
                <w:rFonts w:ascii="Arial" w:eastAsia="Arial" w:hAnsi="Arial" w:cs="Arial"/>
                <w:b/>
                <w:color w:val="FFFFFF"/>
                <w:sz w:val="16"/>
                <w:szCs w:val="16"/>
              </w:rPr>
            </w:pPr>
            <w:r>
              <w:rPr>
                <w:rFonts w:ascii="Arial" w:eastAsia="Arial" w:hAnsi="Arial" w:cs="Arial"/>
                <w:b/>
                <w:color w:val="FFFFFF"/>
                <w:sz w:val="16"/>
                <w:szCs w:val="16"/>
              </w:rPr>
              <w:t>Low</w:t>
            </w:r>
          </w:p>
        </w:tc>
      </w:tr>
      <w:tr w:rsidR="0074306C">
        <w:trPr>
          <w:jc w:val="center"/>
        </w:trPr>
        <w:tc>
          <w:tcPr>
            <w:tcW w:w="1350" w:type="dxa"/>
            <w:tcMar>
              <w:top w:w="56" w:type="dxa"/>
              <w:left w:w="56" w:type="dxa"/>
              <w:bottom w:w="56" w:type="dxa"/>
              <w:right w:w="56" w:type="dxa"/>
            </w:tcMar>
          </w:tcPr>
          <w:p w:rsidR="0074306C" w:rsidRDefault="00C907A7">
            <w:pPr>
              <w:spacing w:before="0" w:after="0"/>
              <w:rPr>
                <w:rFonts w:ascii="Arial" w:eastAsia="Arial" w:hAnsi="Arial" w:cs="Arial"/>
                <w:b/>
                <w:sz w:val="16"/>
                <w:szCs w:val="16"/>
              </w:rPr>
            </w:pPr>
            <w:hyperlink w:anchor="_hwu4ntxo6632">
              <w:r w:rsidR="00A57F4C">
                <w:rPr>
                  <w:rFonts w:ascii="Arial" w:eastAsia="Arial" w:hAnsi="Arial" w:cs="Arial"/>
                  <w:b/>
                  <w:color w:val="1155CC"/>
                  <w:sz w:val="16"/>
                  <w:szCs w:val="16"/>
                  <w:u w:val="single"/>
                </w:rPr>
                <w:t>Section 18. Governance</w:t>
              </w:r>
            </w:hyperlink>
          </w:p>
        </w:tc>
        <w:tc>
          <w:tcPr>
            <w:tcW w:w="3300" w:type="dxa"/>
            <w:tcMar>
              <w:top w:w="56" w:type="dxa"/>
              <w:left w:w="56" w:type="dxa"/>
              <w:bottom w:w="56" w:type="dxa"/>
              <w:right w:w="56" w:type="dxa"/>
            </w:tcMar>
          </w:tcPr>
          <w:p w:rsidR="0074306C" w:rsidRDefault="00C907A7">
            <w:pPr>
              <w:spacing w:before="0" w:after="0"/>
              <w:rPr>
                <w:rFonts w:ascii="Arial" w:eastAsia="Arial" w:hAnsi="Arial" w:cs="Arial"/>
                <w:sz w:val="16"/>
                <w:szCs w:val="16"/>
              </w:rPr>
            </w:pPr>
            <w:hyperlink w:anchor="_mnioo566nsiz">
              <w:r w:rsidR="00A57F4C">
                <w:rPr>
                  <w:rFonts w:ascii="Arial" w:eastAsia="Arial" w:hAnsi="Arial" w:cs="Arial"/>
                  <w:b/>
                  <w:color w:val="1155CC"/>
                  <w:sz w:val="16"/>
                  <w:szCs w:val="16"/>
                  <w:u w:val="single"/>
                </w:rPr>
                <w:t xml:space="preserve">Recommendation 12. </w:t>
              </w:r>
            </w:hyperlink>
            <w:hyperlink w:anchor="_mnioo566nsiz">
              <w:r w:rsidR="00A57F4C">
                <w:rPr>
                  <w:rFonts w:ascii="Arial" w:eastAsia="Arial" w:hAnsi="Arial" w:cs="Arial"/>
                  <w:color w:val="1155CC"/>
                  <w:sz w:val="16"/>
                  <w:szCs w:val="16"/>
                  <w:u w:val="single"/>
                </w:rPr>
                <w:t>Establish privacy governance arrangements and then review, strengthen and enhance on a regular basis</w:t>
              </w:r>
            </w:hyperlink>
          </w:p>
        </w:tc>
        <w:tc>
          <w:tcPr>
            <w:tcW w:w="2520" w:type="dxa"/>
            <w:tcMar>
              <w:top w:w="56" w:type="dxa"/>
              <w:left w:w="56" w:type="dxa"/>
              <w:bottom w:w="56" w:type="dxa"/>
              <w:right w:w="56" w:type="dxa"/>
            </w:tcMar>
          </w:tcPr>
          <w:p w:rsidR="0074306C" w:rsidRDefault="00A57F4C">
            <w:pPr>
              <w:spacing w:before="0" w:after="0"/>
              <w:rPr>
                <w:rFonts w:ascii="Arial" w:eastAsia="Arial" w:hAnsi="Arial" w:cs="Arial"/>
                <w:sz w:val="16"/>
                <w:szCs w:val="16"/>
              </w:rPr>
            </w:pPr>
            <w:proofErr w:type="spellStart"/>
            <w:r>
              <w:rPr>
                <w:rFonts w:ascii="Arial" w:eastAsia="Arial" w:hAnsi="Arial" w:cs="Arial"/>
                <w:sz w:val="16"/>
                <w:szCs w:val="16"/>
              </w:rPr>
              <w:t>DoH</w:t>
            </w:r>
            <w:proofErr w:type="spellEnd"/>
            <w:r>
              <w:rPr>
                <w:rFonts w:ascii="Arial" w:eastAsia="Arial" w:hAnsi="Arial" w:cs="Arial"/>
                <w:sz w:val="16"/>
                <w:szCs w:val="16"/>
              </w:rPr>
              <w:t xml:space="preserve"> to enhance / upgrade some governance arrangements </w:t>
            </w:r>
          </w:p>
        </w:tc>
        <w:tc>
          <w:tcPr>
            <w:tcW w:w="1080" w:type="dxa"/>
            <w:tcMar>
              <w:top w:w="56" w:type="dxa"/>
              <w:left w:w="56" w:type="dxa"/>
              <w:bottom w:w="56" w:type="dxa"/>
              <w:right w:w="56" w:type="dxa"/>
            </w:tcMar>
          </w:tcPr>
          <w:p w:rsidR="0074306C" w:rsidRDefault="00A57F4C">
            <w:pPr>
              <w:spacing w:before="0" w:after="0"/>
              <w:jc w:val="center"/>
              <w:rPr>
                <w:rFonts w:ascii="Arial" w:eastAsia="Arial" w:hAnsi="Arial" w:cs="Arial"/>
                <w:sz w:val="16"/>
                <w:szCs w:val="16"/>
              </w:rPr>
            </w:pPr>
            <w:proofErr w:type="spellStart"/>
            <w:r>
              <w:rPr>
                <w:rFonts w:ascii="Arial" w:eastAsia="Arial" w:hAnsi="Arial" w:cs="Arial"/>
                <w:sz w:val="16"/>
                <w:szCs w:val="16"/>
              </w:rPr>
              <w:t>DoH</w:t>
            </w:r>
            <w:proofErr w:type="spellEnd"/>
          </w:p>
        </w:tc>
        <w:tc>
          <w:tcPr>
            <w:tcW w:w="810" w:type="dxa"/>
            <w:shd w:val="clear" w:color="auto" w:fill="CC0000"/>
            <w:tcMar>
              <w:top w:w="56" w:type="dxa"/>
              <w:left w:w="56" w:type="dxa"/>
              <w:bottom w:w="56" w:type="dxa"/>
              <w:right w:w="56" w:type="dxa"/>
            </w:tcMar>
            <w:vAlign w:val="center"/>
          </w:tcPr>
          <w:p w:rsidR="0074306C" w:rsidRDefault="00A57F4C">
            <w:pPr>
              <w:spacing w:before="0" w:after="0"/>
              <w:jc w:val="center"/>
              <w:rPr>
                <w:rFonts w:ascii="Arial" w:eastAsia="Arial" w:hAnsi="Arial" w:cs="Arial"/>
                <w:b/>
                <w:sz w:val="16"/>
                <w:szCs w:val="16"/>
              </w:rPr>
            </w:pPr>
            <w:r>
              <w:rPr>
                <w:rFonts w:ascii="Arial" w:eastAsia="Arial" w:hAnsi="Arial" w:cs="Arial"/>
                <w:b/>
                <w:color w:val="FFFFFF"/>
                <w:sz w:val="16"/>
                <w:szCs w:val="16"/>
              </w:rPr>
              <w:t>High</w:t>
            </w:r>
          </w:p>
        </w:tc>
      </w:tr>
    </w:tbl>
    <w:p w:rsidR="0074306C" w:rsidRDefault="0074306C"/>
    <w:sectPr w:rsidR="0074306C">
      <w:headerReference w:type="even" r:id="rId14"/>
      <w:headerReference w:type="default" r:id="rId15"/>
      <w:footerReference w:type="even" r:id="rId16"/>
      <w:footerReference w:type="default" r:id="rId17"/>
      <w:headerReference w:type="first" r:id="rId18"/>
      <w:footerReference w:type="first" r:id="rId19"/>
      <w:pgSz w:w="11906" w:h="16838"/>
      <w:pgMar w:top="1700" w:right="1417" w:bottom="566" w:left="1417"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D8" w:rsidRDefault="004C3ED8">
      <w:pPr>
        <w:spacing w:before="0" w:after="0" w:line="240" w:lineRule="auto"/>
      </w:pPr>
      <w:r>
        <w:separator/>
      </w:r>
    </w:p>
  </w:endnote>
  <w:endnote w:type="continuationSeparator" w:id="0">
    <w:p w:rsidR="004C3ED8" w:rsidRDefault="004C3E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4C" w:rsidRDefault="00A57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4C" w:rsidRDefault="00C907A7">
    <w:pPr>
      <w:pBdr>
        <w:top w:val="nil"/>
        <w:left w:val="nil"/>
        <w:bottom w:val="nil"/>
        <w:right w:val="nil"/>
        <w:between w:val="nil"/>
      </w:pBdr>
      <w:tabs>
        <w:tab w:val="center" w:pos="4253"/>
        <w:tab w:val="right" w:pos="8640"/>
      </w:tabs>
      <w:spacing w:before="0" w:after="0" w:line="240" w:lineRule="auto"/>
      <w:jc w:val="center"/>
    </w:pPr>
    <w:r>
      <w:rPr>
        <w:noProof/>
      </w:rPr>
      <w:pict>
        <v:rect id="_x0000_i1026" alt="" style="width:453.6pt;height:.05pt;mso-width-percent:0;mso-height-percent:0;mso-width-percent:0;mso-height-percent:0" o:hralign="center" o:hrstd="t" o:hr="t" fillcolor="#a0a0a0" stroked="f"/>
      </w:pict>
    </w:r>
  </w:p>
  <w:p w:rsidR="00A57F4C" w:rsidRDefault="00A57F4C">
    <w:pPr>
      <w:pBdr>
        <w:top w:val="nil"/>
        <w:left w:val="nil"/>
        <w:bottom w:val="nil"/>
        <w:right w:val="nil"/>
        <w:between w:val="nil"/>
      </w:pBdr>
      <w:tabs>
        <w:tab w:val="center" w:pos="4253"/>
        <w:tab w:val="right" w:pos="8640"/>
      </w:tabs>
      <w:spacing w:before="0" w:after="0" w:line="240" w:lineRule="auto"/>
      <w:rPr>
        <w:rFonts w:ascii="Noto Sans Symbols" w:eastAsia="Noto Sans Symbols" w:hAnsi="Noto Sans Symbols" w:cs="Noto Sans Symbols"/>
        <w:sz w:val="16"/>
        <w:szCs w:val="16"/>
      </w:rPr>
    </w:pPr>
    <w:r>
      <w:rPr>
        <w:rFonts w:ascii="Arial Narrow" w:eastAsia="Arial Narrow" w:hAnsi="Arial Narrow" w:cs="Arial Narrow"/>
        <w:sz w:val="16"/>
        <w:szCs w:val="16"/>
      </w:rPr>
      <w:t>gc525_health_data_matching_compliance_PIA_20190912_FINAL.pdf</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4C" w:rsidRDefault="00A57F4C">
    <w:pPr>
      <w:pBdr>
        <w:top w:val="nil"/>
        <w:left w:val="nil"/>
        <w:bottom w:val="nil"/>
        <w:right w:val="nil"/>
        <w:between w:val="nil"/>
      </w:pBdr>
      <w:tabs>
        <w:tab w:val="center" w:pos="4253"/>
        <w:tab w:val="right" w:pos="8640"/>
      </w:tabs>
      <w:spacing w:before="0" w:after="72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D8" w:rsidRDefault="004C3ED8">
      <w:pPr>
        <w:spacing w:before="0" w:after="0" w:line="240" w:lineRule="auto"/>
      </w:pPr>
      <w:r>
        <w:separator/>
      </w:r>
    </w:p>
  </w:footnote>
  <w:footnote w:type="continuationSeparator" w:id="0">
    <w:p w:rsidR="004C3ED8" w:rsidRDefault="004C3ED8">
      <w:pPr>
        <w:spacing w:before="0" w:after="0" w:line="240" w:lineRule="auto"/>
      </w:pPr>
      <w:r>
        <w:continuationSeparator/>
      </w:r>
    </w:p>
  </w:footnote>
  <w:footnote w:id="1">
    <w:p w:rsidR="00A57F4C" w:rsidRDefault="00A57F4C">
      <w:pPr>
        <w:spacing w:before="80" w:after="80" w:line="240" w:lineRule="auto"/>
        <w:rPr>
          <w:sz w:val="16"/>
          <w:szCs w:val="16"/>
        </w:rPr>
      </w:pPr>
      <w:r>
        <w:rPr>
          <w:vertAlign w:val="superscript"/>
        </w:rPr>
        <w:footnoteRef/>
      </w:r>
      <w:r>
        <w:rPr>
          <w:sz w:val="16"/>
          <w:szCs w:val="16"/>
        </w:rPr>
        <w:t xml:space="preserve"> The version reviewed for this PIA is v39 of 11 April 2019.</w:t>
      </w:r>
    </w:p>
  </w:footnote>
  <w:footnote w:id="2">
    <w:p w:rsidR="00A57F4C" w:rsidRDefault="00A57F4C">
      <w:pPr>
        <w:spacing w:before="0" w:after="0" w:line="240" w:lineRule="auto"/>
        <w:rPr>
          <w:sz w:val="16"/>
          <w:szCs w:val="16"/>
        </w:rPr>
      </w:pPr>
      <w:r>
        <w:rPr>
          <w:vertAlign w:val="superscript"/>
        </w:rPr>
        <w:footnoteRef/>
      </w:r>
      <w:r>
        <w:t xml:space="preserve"> </w:t>
      </w:r>
      <w:r>
        <w:rPr>
          <w:sz w:val="16"/>
          <w:szCs w:val="16"/>
        </w:rPr>
        <w:t xml:space="preserve">Office of the Australian Information Commissioner, Australian Government, </w:t>
      </w:r>
      <w:r>
        <w:rPr>
          <w:i/>
          <w:sz w:val="16"/>
          <w:szCs w:val="16"/>
        </w:rPr>
        <w:t xml:space="preserve">Guide to undertaking privacy impact assessments </w:t>
      </w:r>
      <w:r>
        <w:rPr>
          <w:sz w:val="16"/>
          <w:szCs w:val="16"/>
        </w:rPr>
        <w:t>(May 2014) &lt;</w:t>
      </w:r>
      <w:hyperlink r:id="rId1">
        <w:r>
          <w:rPr>
            <w:color w:val="1155CC"/>
            <w:sz w:val="16"/>
            <w:szCs w:val="16"/>
            <w:u w:val="single"/>
          </w:rPr>
          <w:t>www.oaic.gov.au/privacy/guidance-and-advice/guide-to-undertaking-privacy-impact-assessments</w:t>
        </w:r>
      </w:hyperlink>
      <w:r>
        <w:rPr>
          <w:sz w:val="16"/>
          <w:szCs w:val="16"/>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4C" w:rsidRDefault="00A57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4C" w:rsidRDefault="00A57F4C">
    <w:pPr>
      <w:pBdr>
        <w:top w:val="nil"/>
        <w:left w:val="nil"/>
        <w:bottom w:val="nil"/>
        <w:right w:val="nil"/>
        <w:between w:val="nil"/>
      </w:pBdr>
      <w:tabs>
        <w:tab w:val="right" w:pos="9067"/>
      </w:tabs>
      <w:spacing w:before="0" w:after="0" w:line="240" w:lineRule="auto"/>
      <w:jc w:val="center"/>
      <w:rPr>
        <w:sz w:val="8"/>
        <w:szCs w:val="8"/>
      </w:rPr>
    </w:pPr>
  </w:p>
  <w:tbl>
    <w:tblPr>
      <w:tblStyle w:val="afff0"/>
      <w:tblW w:w="9075" w:type="dxa"/>
      <w:jc w:val="center"/>
      <w:tblLayout w:type="fixed"/>
      <w:tblLook w:val="0600" w:firstRow="0" w:lastRow="0" w:firstColumn="0" w:lastColumn="0" w:noHBand="1" w:noVBand="1"/>
    </w:tblPr>
    <w:tblGrid>
      <w:gridCol w:w="3240"/>
      <w:gridCol w:w="5835"/>
    </w:tblGrid>
    <w:tr w:rsidR="00A57F4C" w:rsidRPr="00A57F4C">
      <w:trPr>
        <w:trHeight w:val="360"/>
        <w:jc w:val="center"/>
      </w:trPr>
      <w:tc>
        <w:tcPr>
          <w:tcW w:w="3240" w:type="dxa"/>
          <w:shd w:val="clear" w:color="auto" w:fill="auto"/>
          <w:tcMar>
            <w:top w:w="0" w:type="dxa"/>
            <w:left w:w="0" w:type="dxa"/>
            <w:bottom w:w="0" w:type="dxa"/>
            <w:right w:w="0" w:type="dxa"/>
          </w:tcMar>
        </w:tcPr>
        <w:p w:rsidR="00A57F4C" w:rsidRDefault="00A57F4C">
          <w:pPr>
            <w:tabs>
              <w:tab w:val="right" w:pos="9067"/>
            </w:tabs>
            <w:spacing w:before="0" w:after="0" w:line="240" w:lineRule="auto"/>
          </w:pPr>
          <w:r>
            <w:rPr>
              <w:noProof/>
              <w:lang w:val="en-AU" w:eastAsia="en-AU"/>
            </w:rPr>
            <w:drawing>
              <wp:inline distT="0" distB="0" distL="0" distR="0">
                <wp:extent cx="1055688" cy="287073"/>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1055688" cy="287073"/>
                        </a:xfrm>
                        <a:prstGeom prst="rect">
                          <a:avLst/>
                        </a:prstGeom>
                        <a:ln/>
                      </pic:spPr>
                    </pic:pic>
                  </a:graphicData>
                </a:graphic>
              </wp:inline>
            </w:drawing>
          </w:r>
          <w:r>
            <w:t xml:space="preserve"> </w:t>
          </w:r>
          <w:r>
            <w:rPr>
              <w:noProof/>
              <w:lang w:val="en-AU" w:eastAsia="en-AU"/>
            </w:rPr>
            <w:drawing>
              <wp:inline distT="0" distB="0" distL="0" distR="0">
                <wp:extent cx="685800" cy="282388"/>
                <wp:effectExtent l="0" t="0" r="0" b="0"/>
                <wp:docPr id="13" name="image3.png" descr="galexia_blue_oversize_logo_for_word_200501">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3" name="image3.png" descr="galexia_blue_oversize_logo_for_word_200501">
                          <a:hlinkClick r:id="rId2"/>
                        </pic:cNvPr>
                        <pic:cNvPicPr preferRelativeResize="0"/>
                      </pic:nvPicPr>
                      <pic:blipFill>
                        <a:blip r:embed="rId3"/>
                        <a:srcRect/>
                        <a:stretch>
                          <a:fillRect/>
                        </a:stretch>
                      </pic:blipFill>
                      <pic:spPr>
                        <a:xfrm>
                          <a:off x="0" y="0"/>
                          <a:ext cx="685800" cy="282388"/>
                        </a:xfrm>
                        <a:prstGeom prst="rect">
                          <a:avLst/>
                        </a:prstGeom>
                        <a:ln/>
                      </pic:spPr>
                    </pic:pic>
                  </a:graphicData>
                </a:graphic>
              </wp:inline>
            </w:drawing>
          </w:r>
        </w:p>
      </w:tc>
      <w:tc>
        <w:tcPr>
          <w:tcW w:w="5835" w:type="dxa"/>
          <w:shd w:val="clear" w:color="auto" w:fill="auto"/>
          <w:tcMar>
            <w:top w:w="0" w:type="dxa"/>
            <w:left w:w="0" w:type="dxa"/>
            <w:bottom w:w="0" w:type="dxa"/>
            <w:right w:w="0" w:type="dxa"/>
          </w:tcMar>
        </w:tcPr>
        <w:p w:rsidR="00A57F4C" w:rsidRPr="00A57F4C" w:rsidRDefault="00A57F4C">
          <w:pPr>
            <w:tabs>
              <w:tab w:val="right" w:pos="9067"/>
            </w:tabs>
            <w:spacing w:before="0" w:after="0" w:line="240" w:lineRule="auto"/>
            <w:ind w:hanging="141"/>
            <w:jc w:val="right"/>
            <w:rPr>
              <w:rFonts w:ascii="Arial" w:hAnsi="Arial" w:cs="Arial"/>
            </w:rPr>
          </w:pPr>
          <w:r w:rsidRPr="00A57F4C">
            <w:rPr>
              <w:rFonts w:ascii="Arial" w:eastAsia="Arial" w:hAnsi="Arial" w:cs="Arial"/>
              <w:b/>
              <w:sz w:val="16"/>
              <w:szCs w:val="16"/>
            </w:rPr>
            <w:t xml:space="preserve">Department of Health </w:t>
          </w:r>
          <w:r w:rsidRPr="00A57F4C">
            <w:rPr>
              <w:rFonts w:ascii="Arial" w:eastAsia="Arial" w:hAnsi="Arial" w:cs="Arial"/>
              <w:b/>
              <w:sz w:val="16"/>
              <w:szCs w:val="16"/>
            </w:rPr>
            <w:br/>
          </w:r>
          <w:r w:rsidRPr="00A57F4C">
            <w:rPr>
              <w:rFonts w:ascii="Arial" w:eastAsia="Arial Unicode MS" w:hAnsi="Arial" w:cs="Arial"/>
              <w:b/>
              <w:sz w:val="16"/>
              <w:szCs w:val="16"/>
            </w:rPr>
            <w:t xml:space="preserve">Data Matching PIA – Fraud Detection and Compliance Activities </w:t>
          </w:r>
          <w:r w:rsidRPr="00A57F4C">
            <w:rPr>
              <w:rFonts w:ascii="Arial" w:eastAsia="Arial Unicode MS" w:hAnsi="Arial" w:cs="Arial"/>
              <w:b/>
              <w:sz w:val="16"/>
              <w:szCs w:val="16"/>
            </w:rPr>
            <w:br/>
            <w:t xml:space="preserve"> (September 2019) [FINAL] ∙ Page </w:t>
          </w:r>
          <w:r w:rsidRPr="00A57F4C">
            <w:rPr>
              <w:rFonts w:ascii="Arial" w:eastAsia="Arial" w:hAnsi="Arial" w:cs="Arial"/>
              <w:b/>
              <w:sz w:val="16"/>
              <w:szCs w:val="16"/>
            </w:rPr>
            <w:fldChar w:fldCharType="begin"/>
          </w:r>
          <w:r w:rsidRPr="00A57F4C">
            <w:rPr>
              <w:rFonts w:ascii="Arial" w:eastAsia="Arial" w:hAnsi="Arial" w:cs="Arial"/>
              <w:b/>
              <w:sz w:val="16"/>
              <w:szCs w:val="16"/>
            </w:rPr>
            <w:instrText>PAGE</w:instrText>
          </w:r>
          <w:r w:rsidRPr="00A57F4C">
            <w:rPr>
              <w:rFonts w:ascii="Arial" w:eastAsia="Arial" w:hAnsi="Arial" w:cs="Arial"/>
              <w:b/>
              <w:sz w:val="16"/>
              <w:szCs w:val="16"/>
            </w:rPr>
            <w:fldChar w:fldCharType="separate"/>
          </w:r>
          <w:r w:rsidR="00C907A7">
            <w:rPr>
              <w:rFonts w:ascii="Arial" w:eastAsia="Arial" w:hAnsi="Arial" w:cs="Arial"/>
              <w:b/>
              <w:noProof/>
              <w:sz w:val="16"/>
              <w:szCs w:val="16"/>
            </w:rPr>
            <w:t>4</w:t>
          </w:r>
          <w:r w:rsidRPr="00A57F4C">
            <w:rPr>
              <w:rFonts w:ascii="Arial" w:eastAsia="Arial" w:hAnsi="Arial" w:cs="Arial"/>
              <w:b/>
              <w:sz w:val="16"/>
              <w:szCs w:val="16"/>
            </w:rPr>
            <w:fldChar w:fldCharType="end"/>
          </w:r>
        </w:p>
      </w:tc>
    </w:tr>
  </w:tbl>
  <w:p w:rsidR="00A57F4C" w:rsidRDefault="00C907A7">
    <w:pPr>
      <w:pBdr>
        <w:top w:val="nil"/>
        <w:left w:val="nil"/>
        <w:bottom w:val="nil"/>
        <w:right w:val="nil"/>
        <w:between w:val="nil"/>
      </w:pBdr>
      <w:tabs>
        <w:tab w:val="right" w:pos="9067"/>
      </w:tabs>
      <w:spacing w:before="0" w:after="0" w:line="240" w:lineRule="auto"/>
      <w:rPr>
        <w:sz w:val="12"/>
        <w:szCs w:val="12"/>
      </w:rPr>
    </w:pPr>
    <w:r>
      <w:rPr>
        <w:noProof/>
      </w:rPr>
      <w:pict>
        <v:rect id="_x0000_i1025" alt="" style="width:453.6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4C" w:rsidRDefault="00A57F4C">
    <w:pPr>
      <w:tabs>
        <w:tab w:val="right" w:pos="8505"/>
      </w:tabs>
      <w:spacing w:before="0" w:after="60" w:line="240" w:lineRule="auto"/>
      <w:jc w:val="center"/>
    </w:pPr>
    <w:r>
      <w:rPr>
        <w:noProof/>
        <w:lang w:val="en-AU" w:eastAsia="en-AU"/>
      </w:rPr>
      <w:drawing>
        <wp:inline distT="114300" distB="114300" distL="114300" distR="114300">
          <wp:extent cx="2228850" cy="601436"/>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2228850" cy="601436"/>
                  </a:xfrm>
                  <a:prstGeom prst="rect">
                    <a:avLst/>
                  </a:prstGeom>
                  <a:ln/>
                </pic:spPr>
              </pic:pic>
            </a:graphicData>
          </a:graphic>
        </wp:inline>
      </w:drawing>
    </w:r>
    <w:r>
      <w:br/>
    </w:r>
  </w:p>
  <w:p w:rsidR="00A57F4C" w:rsidRDefault="00A57F4C">
    <w:pPr>
      <w:tabs>
        <w:tab w:val="right" w:pos="8505"/>
      </w:tabs>
      <w:spacing w:before="0" w:after="60" w:line="240" w:lineRule="auto"/>
      <w:jc w:val="center"/>
    </w:pPr>
    <w:r w:rsidRPr="00A57F4C">
      <w:rPr>
        <w:noProof/>
        <w:lang w:val="en-AU" w:eastAsia="en-AU"/>
      </w:rPr>
      <w:drawing>
        <wp:inline distT="0" distB="0" distL="0" distR="0">
          <wp:extent cx="1803400" cy="736600"/>
          <wp:effectExtent l="0" t="0" r="0" b="0"/>
          <wp:docPr id="3" name="image3.png" descr="galexia_blue_oversize_logo_for_word_200501">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3" name="image3.png" descr="galexia_blue_oversize_logo_for_word_200501">
                    <a:hlinkClick r:id="rId2"/>
                  </pic:cNvPr>
                  <pic:cNvPicPr preferRelativeResize="0"/>
                </pic:nvPicPr>
                <pic:blipFill>
                  <a:blip r:embed="rId3"/>
                  <a:srcRect/>
                  <a:stretch>
                    <a:fillRect/>
                  </a:stretch>
                </pic:blipFill>
                <pic:spPr>
                  <a:xfrm>
                    <a:off x="0" y="0"/>
                    <a:ext cx="1803400" cy="736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FC7"/>
    <w:multiLevelType w:val="multilevel"/>
    <w:tmpl w:val="4754F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5F2ADD"/>
    <w:multiLevelType w:val="multilevel"/>
    <w:tmpl w:val="2CD686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545F61"/>
    <w:multiLevelType w:val="multilevel"/>
    <w:tmpl w:val="BFA22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9A41BF"/>
    <w:multiLevelType w:val="multilevel"/>
    <w:tmpl w:val="EA6E0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D45AA9"/>
    <w:multiLevelType w:val="multilevel"/>
    <w:tmpl w:val="7D162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9A3DB1"/>
    <w:multiLevelType w:val="multilevel"/>
    <w:tmpl w:val="D0C6B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095F07"/>
    <w:multiLevelType w:val="multilevel"/>
    <w:tmpl w:val="D6FAB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6F2385"/>
    <w:multiLevelType w:val="multilevel"/>
    <w:tmpl w:val="DAEAC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E63968"/>
    <w:multiLevelType w:val="multilevel"/>
    <w:tmpl w:val="3878CF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22B7BF8"/>
    <w:multiLevelType w:val="multilevel"/>
    <w:tmpl w:val="4F82A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64716B"/>
    <w:multiLevelType w:val="multilevel"/>
    <w:tmpl w:val="C316B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4F2394"/>
    <w:multiLevelType w:val="multilevel"/>
    <w:tmpl w:val="46827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B864F0"/>
    <w:multiLevelType w:val="multilevel"/>
    <w:tmpl w:val="204EA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4AF4A56"/>
    <w:multiLevelType w:val="multilevel"/>
    <w:tmpl w:val="FF90B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A57EAA"/>
    <w:multiLevelType w:val="multilevel"/>
    <w:tmpl w:val="41F6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076B2C"/>
    <w:multiLevelType w:val="multilevel"/>
    <w:tmpl w:val="80DCD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A6F6E83"/>
    <w:multiLevelType w:val="multilevel"/>
    <w:tmpl w:val="E0F25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EA4431"/>
    <w:multiLevelType w:val="multilevel"/>
    <w:tmpl w:val="8400533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8" w15:restartNumberingAfterBreak="0">
    <w:nsid w:val="3C0D6BC7"/>
    <w:multiLevelType w:val="multilevel"/>
    <w:tmpl w:val="0D060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440B76"/>
    <w:multiLevelType w:val="multilevel"/>
    <w:tmpl w:val="B32C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E419AC"/>
    <w:multiLevelType w:val="multilevel"/>
    <w:tmpl w:val="2CBA4D4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1" w15:restartNumberingAfterBreak="0">
    <w:nsid w:val="3F6A792A"/>
    <w:multiLevelType w:val="multilevel"/>
    <w:tmpl w:val="3AA4F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F793CBB"/>
    <w:multiLevelType w:val="multilevel"/>
    <w:tmpl w:val="49943D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2F7396F"/>
    <w:multiLevelType w:val="multilevel"/>
    <w:tmpl w:val="1F6E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70305E"/>
    <w:multiLevelType w:val="multilevel"/>
    <w:tmpl w:val="87BA65EE"/>
    <w:lvl w:ilvl="0">
      <w:start w:val="1"/>
      <w:numFmt w:val="bullet"/>
      <w:lvlText w:val="●"/>
      <w:lvlJc w:val="left"/>
      <w:pPr>
        <w:ind w:left="284" w:hanging="284"/>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5" w15:restartNumberingAfterBreak="0">
    <w:nsid w:val="47567E8A"/>
    <w:multiLevelType w:val="multilevel"/>
    <w:tmpl w:val="80AA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B34FA9"/>
    <w:multiLevelType w:val="multilevel"/>
    <w:tmpl w:val="A77CE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9686DD0"/>
    <w:multiLevelType w:val="multilevel"/>
    <w:tmpl w:val="34E6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B0C4BF0"/>
    <w:multiLevelType w:val="multilevel"/>
    <w:tmpl w:val="F42A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8D4C7E"/>
    <w:multiLevelType w:val="multilevel"/>
    <w:tmpl w:val="96188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F775F7"/>
    <w:multiLevelType w:val="multilevel"/>
    <w:tmpl w:val="901E49E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56D6F10"/>
    <w:multiLevelType w:val="multilevel"/>
    <w:tmpl w:val="1BB69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6E6ADD"/>
    <w:multiLevelType w:val="multilevel"/>
    <w:tmpl w:val="F940C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8410BF3"/>
    <w:multiLevelType w:val="multilevel"/>
    <w:tmpl w:val="35A8F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8921A00"/>
    <w:multiLevelType w:val="multilevel"/>
    <w:tmpl w:val="31E2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CE1A16"/>
    <w:multiLevelType w:val="multilevel"/>
    <w:tmpl w:val="CB0C2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6B0521"/>
    <w:multiLevelType w:val="multilevel"/>
    <w:tmpl w:val="C72A2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1D499D"/>
    <w:multiLevelType w:val="multilevel"/>
    <w:tmpl w:val="A6BC19E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26E693E"/>
    <w:multiLevelType w:val="multilevel"/>
    <w:tmpl w:val="7BE69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5D5D17"/>
    <w:multiLevelType w:val="multilevel"/>
    <w:tmpl w:val="28CA40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813DC0"/>
    <w:multiLevelType w:val="multilevel"/>
    <w:tmpl w:val="3AC85EC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1" w15:restartNumberingAfterBreak="0">
    <w:nsid w:val="68ED1077"/>
    <w:multiLevelType w:val="multilevel"/>
    <w:tmpl w:val="94C856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AF62121"/>
    <w:multiLevelType w:val="multilevel"/>
    <w:tmpl w:val="4B742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54425C"/>
    <w:multiLevelType w:val="multilevel"/>
    <w:tmpl w:val="0E5E765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4" w15:restartNumberingAfterBreak="0">
    <w:nsid w:val="71905F13"/>
    <w:multiLevelType w:val="multilevel"/>
    <w:tmpl w:val="50DEC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1A0681B"/>
    <w:multiLevelType w:val="multilevel"/>
    <w:tmpl w:val="59987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2951E61"/>
    <w:multiLevelType w:val="multilevel"/>
    <w:tmpl w:val="4F0AA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76361A0"/>
    <w:multiLevelType w:val="multilevel"/>
    <w:tmpl w:val="2B20B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8A21F68"/>
    <w:multiLevelType w:val="multilevel"/>
    <w:tmpl w:val="1A628C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B5A713E"/>
    <w:multiLevelType w:val="multilevel"/>
    <w:tmpl w:val="7200F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BD20B1E"/>
    <w:multiLevelType w:val="multilevel"/>
    <w:tmpl w:val="75C0A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E887261"/>
    <w:multiLevelType w:val="multilevel"/>
    <w:tmpl w:val="6BF89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8"/>
  </w:num>
  <w:num w:numId="3">
    <w:abstractNumId w:val="22"/>
  </w:num>
  <w:num w:numId="4">
    <w:abstractNumId w:val="32"/>
  </w:num>
  <w:num w:numId="5">
    <w:abstractNumId w:val="26"/>
  </w:num>
  <w:num w:numId="6">
    <w:abstractNumId w:val="46"/>
  </w:num>
  <w:num w:numId="7">
    <w:abstractNumId w:val="10"/>
  </w:num>
  <w:num w:numId="8">
    <w:abstractNumId w:val="21"/>
  </w:num>
  <w:num w:numId="9">
    <w:abstractNumId w:val="11"/>
  </w:num>
  <w:num w:numId="10">
    <w:abstractNumId w:val="48"/>
  </w:num>
  <w:num w:numId="11">
    <w:abstractNumId w:val="4"/>
  </w:num>
  <w:num w:numId="12">
    <w:abstractNumId w:val="0"/>
  </w:num>
  <w:num w:numId="13">
    <w:abstractNumId w:val="35"/>
  </w:num>
  <w:num w:numId="14">
    <w:abstractNumId w:val="23"/>
  </w:num>
  <w:num w:numId="15">
    <w:abstractNumId w:val="20"/>
  </w:num>
  <w:num w:numId="16">
    <w:abstractNumId w:val="36"/>
  </w:num>
  <w:num w:numId="17">
    <w:abstractNumId w:val="13"/>
  </w:num>
  <w:num w:numId="18">
    <w:abstractNumId w:val="27"/>
  </w:num>
  <w:num w:numId="19">
    <w:abstractNumId w:val="25"/>
  </w:num>
  <w:num w:numId="20">
    <w:abstractNumId w:val="2"/>
  </w:num>
  <w:num w:numId="21">
    <w:abstractNumId w:val="39"/>
  </w:num>
  <w:num w:numId="22">
    <w:abstractNumId w:val="40"/>
  </w:num>
  <w:num w:numId="23">
    <w:abstractNumId w:val="15"/>
  </w:num>
  <w:num w:numId="24">
    <w:abstractNumId w:val="50"/>
  </w:num>
  <w:num w:numId="25">
    <w:abstractNumId w:val="42"/>
  </w:num>
  <w:num w:numId="26">
    <w:abstractNumId w:val="5"/>
  </w:num>
  <w:num w:numId="27">
    <w:abstractNumId w:val="45"/>
  </w:num>
  <w:num w:numId="28">
    <w:abstractNumId w:val="49"/>
  </w:num>
  <w:num w:numId="29">
    <w:abstractNumId w:val="43"/>
  </w:num>
  <w:num w:numId="30">
    <w:abstractNumId w:val="17"/>
  </w:num>
  <w:num w:numId="31">
    <w:abstractNumId w:val="44"/>
  </w:num>
  <w:num w:numId="32">
    <w:abstractNumId w:val="1"/>
  </w:num>
  <w:num w:numId="33">
    <w:abstractNumId w:val="12"/>
  </w:num>
  <w:num w:numId="34">
    <w:abstractNumId w:val="30"/>
  </w:num>
  <w:num w:numId="35">
    <w:abstractNumId w:val="16"/>
  </w:num>
  <w:num w:numId="36">
    <w:abstractNumId w:val="34"/>
  </w:num>
  <w:num w:numId="37">
    <w:abstractNumId w:val="19"/>
  </w:num>
  <w:num w:numId="38">
    <w:abstractNumId w:val="41"/>
  </w:num>
  <w:num w:numId="39">
    <w:abstractNumId w:val="3"/>
  </w:num>
  <w:num w:numId="40">
    <w:abstractNumId w:val="31"/>
  </w:num>
  <w:num w:numId="41">
    <w:abstractNumId w:val="29"/>
  </w:num>
  <w:num w:numId="42">
    <w:abstractNumId w:val="51"/>
  </w:num>
  <w:num w:numId="43">
    <w:abstractNumId w:val="47"/>
  </w:num>
  <w:num w:numId="44">
    <w:abstractNumId w:val="38"/>
  </w:num>
  <w:num w:numId="45">
    <w:abstractNumId w:val="9"/>
  </w:num>
  <w:num w:numId="46">
    <w:abstractNumId w:val="24"/>
  </w:num>
  <w:num w:numId="47">
    <w:abstractNumId w:val="6"/>
  </w:num>
  <w:num w:numId="48">
    <w:abstractNumId w:val="8"/>
  </w:num>
  <w:num w:numId="49">
    <w:abstractNumId w:val="14"/>
  </w:num>
  <w:num w:numId="50">
    <w:abstractNumId w:val="33"/>
  </w:num>
  <w:num w:numId="51">
    <w:abstractNumId w:val="28"/>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6C"/>
    <w:rsid w:val="00236B9E"/>
    <w:rsid w:val="003B5443"/>
    <w:rsid w:val="0041296C"/>
    <w:rsid w:val="004C3ED8"/>
    <w:rsid w:val="005A0E2F"/>
    <w:rsid w:val="005F1971"/>
    <w:rsid w:val="00723E66"/>
    <w:rsid w:val="0074306C"/>
    <w:rsid w:val="00A57F4C"/>
    <w:rsid w:val="00C907A7"/>
    <w:rsid w:val="00D71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keepLines/>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line="264" w:lineRule="auto"/>
      <w:outlineLvl w:val="0"/>
    </w:pPr>
    <w:rPr>
      <w:rFonts w:ascii="Arial Black" w:eastAsia="Arial Black" w:hAnsi="Arial Black" w:cs="Arial Black"/>
      <w:sz w:val="24"/>
      <w:szCs w:val="24"/>
    </w:rPr>
  </w:style>
  <w:style w:type="paragraph" w:styleId="Heading2">
    <w:name w:val="heading 2"/>
    <w:basedOn w:val="Normal"/>
    <w:next w:val="Normal"/>
    <w:uiPriority w:val="9"/>
    <w:unhideWhenUsed/>
    <w:qFormat/>
    <w:pPr>
      <w:keepNext/>
      <w:spacing w:before="360"/>
      <w:ind w:left="-7"/>
      <w:outlineLvl w:val="1"/>
    </w:pPr>
    <w:rPr>
      <w:rFonts w:ascii="Arial Black" w:eastAsia="Arial Black" w:hAnsi="Arial Black" w:cs="Arial Black"/>
    </w:rPr>
  </w:style>
  <w:style w:type="paragraph" w:styleId="Heading3">
    <w:name w:val="heading 3"/>
    <w:basedOn w:val="Normal"/>
    <w:next w:val="Normal"/>
    <w:uiPriority w:val="9"/>
    <w:unhideWhenUsed/>
    <w:qFormat/>
    <w:pPr>
      <w:keepNext/>
      <w:tabs>
        <w:tab w:val="left" w:pos="284"/>
      </w:tabs>
      <w:spacing w:before="0" w:after="0"/>
      <w:outlineLvl w:val="2"/>
    </w:pPr>
    <w:rPr>
      <w:rFonts w:ascii="Arial" w:eastAsia="Arial" w:hAnsi="Arial" w:cs="Arial"/>
      <w:b/>
      <w:sz w:val="16"/>
      <w:szCs w:val="16"/>
    </w:rPr>
  </w:style>
  <w:style w:type="paragraph" w:styleId="Heading4">
    <w:name w:val="heading 4"/>
    <w:basedOn w:val="Normal"/>
    <w:next w:val="Normal"/>
    <w:uiPriority w:val="9"/>
    <w:unhideWhenUsed/>
    <w:qFormat/>
    <w:pPr>
      <w:keepNext/>
      <w:spacing w:before="240" w:after="0" w:line="264" w:lineRule="auto"/>
      <w:outlineLvl w:val="3"/>
    </w:pPr>
    <w:rPr>
      <w:b/>
      <w:color w:val="000000"/>
    </w:rPr>
  </w:style>
  <w:style w:type="paragraph" w:styleId="Heading5">
    <w:name w:val="heading 5"/>
    <w:basedOn w:val="Normal"/>
    <w:next w:val="Normal"/>
    <w:uiPriority w:val="9"/>
    <w:semiHidden/>
    <w:unhideWhenUsed/>
    <w:qFormat/>
    <w:pPr>
      <w:keepNext/>
      <w:spacing w:line="264" w:lineRule="auto"/>
      <w:ind w:left="1008" w:hanging="1008"/>
      <w:outlineLvl w:val="4"/>
    </w:pPr>
    <w:rPr>
      <w:i/>
      <w:color w:val="000000"/>
    </w:rPr>
  </w:style>
  <w:style w:type="paragraph" w:styleId="Heading6">
    <w:name w:val="heading 6"/>
    <w:basedOn w:val="Normal"/>
    <w:next w:val="Normal"/>
    <w:uiPriority w:val="9"/>
    <w:semiHidden/>
    <w:unhideWhenUsed/>
    <w:qFormat/>
    <w:pPr>
      <w:keepNext/>
      <w:spacing w:before="140" w:line="264" w:lineRule="auto"/>
      <w:ind w:left="1152" w:hanging="1152"/>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line="264" w:lineRule="auto"/>
      <w:ind w:left="60" w:right="60"/>
      <w:jc w:val="center"/>
    </w:pPr>
    <w:rPr>
      <w:rFonts w:ascii="Arial Black" w:eastAsia="Arial Black" w:hAnsi="Arial Black" w:cs="Arial Black"/>
      <w:color w:val="000000"/>
      <w:sz w:val="28"/>
      <w:szCs w:val="28"/>
    </w:rPr>
  </w:style>
  <w:style w:type="paragraph" w:styleId="Subtitle">
    <w:name w:val="Subtitle"/>
    <w:basedOn w:val="Normal"/>
    <w:next w:val="Normal"/>
    <w:uiPriority w:val="11"/>
    <w:qFormat/>
    <w:pPr>
      <w:keepNext/>
      <w:tabs>
        <w:tab w:val="left" w:pos="851"/>
        <w:tab w:val="left" w:pos="1701"/>
        <w:tab w:val="left" w:pos="2552"/>
      </w:tabs>
      <w:spacing w:after="60" w:line="264" w:lineRule="auto"/>
      <w:jc w:val="center"/>
    </w:pPr>
    <w:rPr>
      <w:rFonts w:ascii="Arial" w:eastAsia="Arial" w:hAnsi="Arial" w:cs="Arial"/>
      <w:i/>
      <w:color w:val="666666"/>
      <w:sz w:val="24"/>
      <w:szCs w:val="24"/>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57F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57F4C"/>
  </w:style>
  <w:style w:type="paragraph" w:styleId="Footer">
    <w:name w:val="footer"/>
    <w:basedOn w:val="Normal"/>
    <w:link w:val="FooterChar"/>
    <w:uiPriority w:val="99"/>
    <w:unhideWhenUsed/>
    <w:rsid w:val="00A57F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7F4C"/>
  </w:style>
  <w:style w:type="paragraph" w:styleId="Revision">
    <w:name w:val="Revision"/>
    <w:hidden/>
    <w:uiPriority w:val="99"/>
    <w:semiHidden/>
    <w:rsid w:val="00A57F4C"/>
    <w:pPr>
      <w:keepLines w:val="0"/>
      <w:spacing w:before="0" w:after="0" w:line="240" w:lineRule="auto"/>
    </w:pPr>
  </w:style>
  <w:style w:type="paragraph" w:styleId="BalloonText">
    <w:name w:val="Balloon Text"/>
    <w:basedOn w:val="Normal"/>
    <w:link w:val="BalloonTextChar"/>
    <w:uiPriority w:val="99"/>
    <w:semiHidden/>
    <w:unhideWhenUsed/>
    <w:rsid w:val="00A57F4C"/>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A57F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13" Type="http://schemas.openxmlformats.org/officeDocument/2006/relationships/hyperlink" Target="mailto:kwm-health@galexia.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anage@galexi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exia.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atrick.gunning@au.kwm.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kwm.com/en/au/people/patrick-gunnin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aic.gov.au/privacy/guidance-and-advice/guide-to-undertaking-privacy-impact-assessment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alexia.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alexia.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3924</Words>
  <Characters>22373</Characters>
  <Application>Microsoft Office Word</Application>
  <DocSecurity>0</DocSecurity>
  <Lines>186</Lines>
  <Paragraphs>52</Paragraphs>
  <ScaleCrop>false</ScaleCrop>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2019-09-20T05:11:00Z</dcterms:created>
  <dcterms:modified xsi:type="dcterms:W3CDTF">2019-09-20T05:12:00Z</dcterms:modified>
</cp:coreProperties>
</file>