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5D49" w14:textId="00C50ABC" w:rsidR="00775FE4" w:rsidRDefault="00775FE4" w:rsidP="00EC4A7B">
      <w:pPr>
        <w:spacing w:after="480"/>
        <w:rPr>
          <w:rFonts w:asciiTheme="minorHAnsi" w:hAnsiTheme="minorHAnsi" w:cstheme="minorHAnsi"/>
          <w:noProof/>
          <w:sz w:val="22"/>
          <w:szCs w:val="22"/>
        </w:rPr>
      </w:pPr>
      <w:bookmarkStart w:id="0" w:name="_GoBack"/>
      <w:bookmarkEnd w:id="0"/>
    </w:p>
    <w:p w14:paraId="3CDCA513" w14:textId="6DB73895" w:rsidR="003F47CB" w:rsidRPr="009D309B" w:rsidRDefault="00B451FE" w:rsidP="009D309B">
      <w:pPr>
        <w:tabs>
          <w:tab w:val="right" w:pos="9072"/>
        </w:tabs>
        <w:jc w:val="center"/>
        <w:rPr>
          <w:rFonts w:asciiTheme="minorHAnsi" w:hAnsiTheme="minorHAnsi" w:cstheme="minorHAnsi"/>
          <w:b/>
          <w:sz w:val="40"/>
          <w:szCs w:val="40"/>
        </w:rPr>
      </w:pPr>
      <w:bookmarkStart w:id="1" w:name="Title"/>
      <w:bookmarkEnd w:id="1"/>
      <w:r w:rsidRPr="009D309B">
        <w:rPr>
          <w:rFonts w:asciiTheme="minorHAnsi" w:hAnsiTheme="minorHAnsi" w:cstheme="minorHAnsi"/>
          <w:b/>
          <w:sz w:val="40"/>
          <w:szCs w:val="40"/>
        </w:rPr>
        <w:t>Health Legislation Amendment</w:t>
      </w:r>
      <w:r w:rsidR="003F47CB" w:rsidRPr="009D309B">
        <w:rPr>
          <w:rFonts w:asciiTheme="minorHAnsi" w:hAnsiTheme="minorHAnsi" w:cstheme="minorHAnsi"/>
          <w:b/>
          <w:sz w:val="40"/>
          <w:szCs w:val="40"/>
        </w:rPr>
        <w:t xml:space="preserve"> (Data-matching) Bill 2019</w:t>
      </w:r>
    </w:p>
    <w:p w14:paraId="37517739" w14:textId="77777777" w:rsidR="003F47CB" w:rsidRPr="009D309B" w:rsidRDefault="003F47CB" w:rsidP="009D309B">
      <w:pPr>
        <w:tabs>
          <w:tab w:val="right" w:pos="9072"/>
        </w:tabs>
        <w:jc w:val="center"/>
        <w:rPr>
          <w:rFonts w:asciiTheme="minorHAnsi" w:hAnsiTheme="minorHAnsi" w:cstheme="minorHAnsi"/>
          <w:sz w:val="22"/>
          <w:szCs w:val="22"/>
          <w:u w:val="single"/>
        </w:rPr>
      </w:pPr>
    </w:p>
    <w:p w14:paraId="557801AE" w14:textId="4F4357EC" w:rsidR="003F47CB" w:rsidRDefault="003F47CB" w:rsidP="005D1632">
      <w:pPr>
        <w:tabs>
          <w:tab w:val="right" w:pos="9072"/>
        </w:tabs>
        <w:jc w:val="center"/>
        <w:rPr>
          <w:rFonts w:asciiTheme="minorHAnsi" w:hAnsiTheme="minorHAnsi" w:cstheme="minorHAnsi"/>
          <w:b/>
          <w:color w:val="808080" w:themeColor="background1" w:themeShade="80"/>
          <w:sz w:val="28"/>
          <w:szCs w:val="28"/>
        </w:rPr>
      </w:pPr>
      <w:r w:rsidRPr="009D309B">
        <w:rPr>
          <w:rFonts w:asciiTheme="minorHAnsi" w:hAnsiTheme="minorHAnsi" w:cstheme="minorHAnsi"/>
          <w:b/>
          <w:color w:val="808080" w:themeColor="background1" w:themeShade="80"/>
          <w:sz w:val="28"/>
          <w:szCs w:val="28"/>
        </w:rPr>
        <w:t>Response to Privacy Impact Assessment for Fraud detection and compliance activities</w:t>
      </w:r>
    </w:p>
    <w:p w14:paraId="6590D9EA" w14:textId="0104D668" w:rsidR="005D1632" w:rsidRDefault="005D1632" w:rsidP="005D1632">
      <w:pPr>
        <w:tabs>
          <w:tab w:val="right" w:pos="9072"/>
        </w:tabs>
        <w:jc w:val="center"/>
        <w:rPr>
          <w:rFonts w:asciiTheme="minorHAnsi" w:hAnsiTheme="minorHAnsi" w:cstheme="minorHAnsi"/>
          <w:b/>
          <w:color w:val="808080" w:themeColor="background1" w:themeShade="80"/>
          <w:sz w:val="28"/>
          <w:szCs w:val="28"/>
        </w:rPr>
      </w:pPr>
    </w:p>
    <w:p w14:paraId="73A6F04C" w14:textId="4DB494F0" w:rsidR="00754965" w:rsidRPr="009D309B" w:rsidRDefault="00754965" w:rsidP="00754965">
      <w:pPr>
        <w:pStyle w:val="Header"/>
        <w:tabs>
          <w:tab w:val="left" w:pos="720"/>
        </w:tabs>
        <w:rPr>
          <w:rFonts w:asciiTheme="minorHAnsi" w:hAnsiTheme="minorHAnsi" w:cstheme="minorHAnsi"/>
          <w:sz w:val="22"/>
          <w:szCs w:val="22"/>
        </w:rPr>
      </w:pPr>
      <w:r w:rsidRPr="009D309B">
        <w:rPr>
          <w:rFonts w:asciiTheme="minorHAnsi" w:hAnsiTheme="minorHAnsi" w:cstheme="minorHAnsi"/>
          <w:sz w:val="22"/>
          <w:szCs w:val="22"/>
        </w:rPr>
        <w:t xml:space="preserve">The Department of Health </w:t>
      </w:r>
      <w:r w:rsidR="00B37948">
        <w:rPr>
          <w:rFonts w:asciiTheme="minorHAnsi" w:hAnsiTheme="minorHAnsi" w:cstheme="minorHAnsi"/>
          <w:sz w:val="22"/>
          <w:szCs w:val="22"/>
        </w:rPr>
        <w:t xml:space="preserve">(Health) </w:t>
      </w:r>
      <w:r w:rsidRPr="009D309B">
        <w:rPr>
          <w:rFonts w:asciiTheme="minorHAnsi" w:hAnsiTheme="minorHAnsi" w:cstheme="minorHAnsi"/>
          <w:sz w:val="22"/>
          <w:szCs w:val="22"/>
        </w:rPr>
        <w:t xml:space="preserve">is proposing changes through the Health Legislation Amendment (Data-matching) Bill 2019 (the Bill) to establish a new scheme </w:t>
      </w:r>
      <w:r w:rsidR="0096478F" w:rsidRPr="009D309B">
        <w:rPr>
          <w:rFonts w:asciiTheme="minorHAnsi" w:hAnsiTheme="minorHAnsi" w:cstheme="minorHAnsi"/>
          <w:sz w:val="22"/>
          <w:szCs w:val="22"/>
        </w:rPr>
        <w:t>of</w:t>
      </w:r>
      <w:r w:rsidRPr="009D309B">
        <w:rPr>
          <w:rFonts w:asciiTheme="minorHAnsi" w:hAnsiTheme="minorHAnsi" w:cstheme="minorHAnsi"/>
          <w:sz w:val="22"/>
          <w:szCs w:val="22"/>
        </w:rPr>
        <w:t xml:space="preserve"> data matching for specified Medicare compliance purposes.</w:t>
      </w:r>
    </w:p>
    <w:p w14:paraId="665D8353" w14:textId="77777777" w:rsidR="00754965" w:rsidRPr="009D309B" w:rsidRDefault="00754965" w:rsidP="00754965">
      <w:pPr>
        <w:rPr>
          <w:rFonts w:asciiTheme="minorHAnsi" w:hAnsiTheme="minorHAnsi" w:cstheme="minorHAnsi"/>
          <w:sz w:val="22"/>
          <w:szCs w:val="22"/>
        </w:rPr>
      </w:pPr>
    </w:p>
    <w:p w14:paraId="2C8400C3" w14:textId="03F2D2B6" w:rsidR="00754965" w:rsidRPr="009D309B" w:rsidRDefault="00754965" w:rsidP="00754965">
      <w:pPr>
        <w:pStyle w:val="Header"/>
        <w:tabs>
          <w:tab w:val="left" w:pos="720"/>
        </w:tabs>
        <w:rPr>
          <w:rFonts w:asciiTheme="minorHAnsi" w:hAnsiTheme="minorHAnsi" w:cstheme="minorHAnsi"/>
          <w:sz w:val="22"/>
          <w:szCs w:val="22"/>
        </w:rPr>
      </w:pPr>
      <w:r w:rsidRPr="009D309B">
        <w:rPr>
          <w:rFonts w:asciiTheme="minorHAnsi" w:hAnsiTheme="minorHAnsi" w:cstheme="minorHAnsi"/>
          <w:sz w:val="22"/>
          <w:szCs w:val="22"/>
        </w:rPr>
        <w:t xml:space="preserve">The Chief Executive Medicare is responsible for protecting the integrity of the Commonwealth’s health payment systems. </w:t>
      </w:r>
    </w:p>
    <w:p w14:paraId="5F1E0B1C" w14:textId="77777777" w:rsidR="00754965" w:rsidRPr="009D309B" w:rsidRDefault="00754965" w:rsidP="00754965">
      <w:pPr>
        <w:pStyle w:val="Header"/>
        <w:tabs>
          <w:tab w:val="left" w:pos="720"/>
        </w:tabs>
        <w:rPr>
          <w:rFonts w:asciiTheme="minorHAnsi" w:hAnsiTheme="minorHAnsi" w:cstheme="minorHAnsi"/>
          <w:sz w:val="22"/>
          <w:szCs w:val="22"/>
        </w:rPr>
      </w:pPr>
    </w:p>
    <w:p w14:paraId="1E9D1BF2" w14:textId="3C2C62B6" w:rsidR="00754965" w:rsidRPr="009D309B" w:rsidRDefault="0096478F" w:rsidP="00754965">
      <w:pPr>
        <w:pStyle w:val="Header"/>
        <w:tabs>
          <w:tab w:val="left" w:pos="720"/>
        </w:tabs>
        <w:rPr>
          <w:rFonts w:asciiTheme="minorHAnsi" w:hAnsiTheme="minorHAnsi" w:cstheme="minorHAnsi"/>
          <w:sz w:val="22"/>
          <w:szCs w:val="22"/>
        </w:rPr>
      </w:pPr>
      <w:r w:rsidRPr="009D309B">
        <w:rPr>
          <w:rFonts w:asciiTheme="minorHAnsi" w:hAnsiTheme="minorHAnsi" w:cstheme="minorHAnsi"/>
          <w:sz w:val="22"/>
          <w:szCs w:val="22"/>
        </w:rPr>
        <w:t>To</w:t>
      </w:r>
      <w:r w:rsidR="00754965" w:rsidRPr="009D309B">
        <w:rPr>
          <w:rFonts w:asciiTheme="minorHAnsi" w:hAnsiTheme="minorHAnsi" w:cstheme="minorHAnsi"/>
          <w:sz w:val="22"/>
          <w:szCs w:val="22"/>
        </w:rPr>
        <w:t xml:space="preserve"> examine</w:t>
      </w:r>
      <w:r w:rsidRPr="009D309B">
        <w:rPr>
          <w:rFonts w:asciiTheme="minorHAnsi" w:hAnsiTheme="minorHAnsi" w:cstheme="minorHAnsi"/>
          <w:sz w:val="22"/>
          <w:szCs w:val="22"/>
        </w:rPr>
        <w:t xml:space="preserve"> the</w:t>
      </w:r>
      <w:r w:rsidR="00754965" w:rsidRPr="009D309B">
        <w:rPr>
          <w:rFonts w:asciiTheme="minorHAnsi" w:hAnsiTheme="minorHAnsi" w:cstheme="minorHAnsi"/>
          <w:sz w:val="22"/>
          <w:szCs w:val="22"/>
        </w:rPr>
        <w:t xml:space="preserve"> privacy risks associated with</w:t>
      </w:r>
      <w:r w:rsidR="003B1D01" w:rsidRPr="009D309B">
        <w:rPr>
          <w:rFonts w:asciiTheme="minorHAnsi" w:hAnsiTheme="minorHAnsi" w:cstheme="minorHAnsi"/>
          <w:sz w:val="22"/>
          <w:szCs w:val="22"/>
        </w:rPr>
        <w:t xml:space="preserve"> the Bill and Health’s application of the legislation, </w:t>
      </w:r>
      <w:r w:rsidR="00754965" w:rsidRPr="009D309B">
        <w:rPr>
          <w:rFonts w:asciiTheme="minorHAnsi" w:hAnsiTheme="minorHAnsi" w:cstheme="minorHAnsi"/>
          <w:sz w:val="22"/>
          <w:szCs w:val="22"/>
        </w:rPr>
        <w:t>a Pri</w:t>
      </w:r>
      <w:r w:rsidR="003B1D01" w:rsidRPr="009D309B">
        <w:rPr>
          <w:rFonts w:asciiTheme="minorHAnsi" w:hAnsiTheme="minorHAnsi" w:cstheme="minorHAnsi"/>
          <w:sz w:val="22"/>
          <w:szCs w:val="22"/>
        </w:rPr>
        <w:t xml:space="preserve">vacy Impact Assessment (PIA) </w:t>
      </w:r>
      <w:r w:rsidR="00B37948">
        <w:rPr>
          <w:rFonts w:asciiTheme="minorHAnsi" w:hAnsiTheme="minorHAnsi" w:cstheme="minorHAnsi"/>
          <w:sz w:val="22"/>
          <w:szCs w:val="22"/>
        </w:rPr>
        <w:t xml:space="preserve">has been completed </w:t>
      </w:r>
      <w:r w:rsidR="003B1D01" w:rsidRPr="009D309B">
        <w:rPr>
          <w:rFonts w:asciiTheme="minorHAnsi" w:hAnsiTheme="minorHAnsi" w:cstheme="minorHAnsi"/>
          <w:sz w:val="22"/>
          <w:szCs w:val="22"/>
        </w:rPr>
        <w:t xml:space="preserve">by </w:t>
      </w:r>
      <w:r w:rsidR="00754965" w:rsidRPr="009D309B">
        <w:rPr>
          <w:rFonts w:asciiTheme="minorHAnsi" w:hAnsiTheme="minorHAnsi" w:cstheme="minorHAnsi"/>
          <w:sz w:val="22"/>
          <w:szCs w:val="22"/>
        </w:rPr>
        <w:t xml:space="preserve">independent, external </w:t>
      </w:r>
      <w:r w:rsidR="003B1D01" w:rsidRPr="009D309B">
        <w:rPr>
          <w:rFonts w:asciiTheme="minorHAnsi" w:hAnsiTheme="minorHAnsi" w:cstheme="minorHAnsi"/>
          <w:sz w:val="22"/>
          <w:szCs w:val="22"/>
        </w:rPr>
        <w:t>assessors</w:t>
      </w:r>
      <w:r w:rsidR="00754965" w:rsidRPr="009D309B">
        <w:rPr>
          <w:rFonts w:asciiTheme="minorHAnsi" w:hAnsiTheme="minorHAnsi" w:cstheme="minorHAnsi"/>
          <w:sz w:val="22"/>
          <w:szCs w:val="22"/>
        </w:rPr>
        <w:t xml:space="preserve">. This PIA </w:t>
      </w:r>
      <w:r w:rsidRPr="009D309B">
        <w:rPr>
          <w:rFonts w:asciiTheme="minorHAnsi" w:hAnsiTheme="minorHAnsi" w:cstheme="minorHAnsi"/>
          <w:sz w:val="22"/>
          <w:szCs w:val="22"/>
        </w:rPr>
        <w:t>will</w:t>
      </w:r>
      <w:r w:rsidR="00754965" w:rsidRPr="009D309B">
        <w:rPr>
          <w:rFonts w:asciiTheme="minorHAnsi" w:hAnsiTheme="minorHAnsi" w:cstheme="minorHAnsi"/>
          <w:sz w:val="22"/>
          <w:szCs w:val="22"/>
        </w:rPr>
        <w:t xml:space="preserve"> assist </w:t>
      </w:r>
      <w:r w:rsidR="0051340F" w:rsidRPr="009D309B">
        <w:rPr>
          <w:rFonts w:asciiTheme="minorHAnsi" w:hAnsiTheme="minorHAnsi" w:cstheme="minorHAnsi"/>
          <w:sz w:val="22"/>
          <w:szCs w:val="22"/>
        </w:rPr>
        <w:t>Health</w:t>
      </w:r>
      <w:r w:rsidR="00754965" w:rsidRPr="009D309B">
        <w:rPr>
          <w:rFonts w:asciiTheme="minorHAnsi" w:hAnsiTheme="minorHAnsi" w:cstheme="minorHAnsi"/>
          <w:sz w:val="22"/>
          <w:szCs w:val="22"/>
        </w:rPr>
        <w:t xml:space="preserve"> to systematically identify and manage privacy issues raised by the introduction of the legislative package. </w:t>
      </w:r>
    </w:p>
    <w:p w14:paraId="0C45E68A" w14:textId="77777777" w:rsidR="00754965" w:rsidRPr="009D309B" w:rsidRDefault="00754965" w:rsidP="00754965">
      <w:pPr>
        <w:pStyle w:val="Header"/>
        <w:tabs>
          <w:tab w:val="left" w:pos="720"/>
        </w:tabs>
        <w:rPr>
          <w:rFonts w:asciiTheme="minorHAnsi" w:hAnsiTheme="minorHAnsi" w:cstheme="minorHAnsi"/>
          <w:sz w:val="22"/>
          <w:szCs w:val="22"/>
        </w:rPr>
      </w:pPr>
    </w:p>
    <w:p w14:paraId="70A9E484" w14:textId="162367D8" w:rsidR="00754965" w:rsidRPr="009D309B" w:rsidRDefault="00754965" w:rsidP="00754965">
      <w:pPr>
        <w:pStyle w:val="Header"/>
        <w:tabs>
          <w:tab w:val="left" w:pos="720"/>
        </w:tabs>
        <w:rPr>
          <w:rFonts w:asciiTheme="minorHAnsi" w:hAnsiTheme="minorHAnsi" w:cstheme="minorHAnsi"/>
          <w:sz w:val="22"/>
          <w:szCs w:val="22"/>
        </w:rPr>
      </w:pPr>
      <w:r w:rsidRPr="009D309B">
        <w:rPr>
          <w:rFonts w:asciiTheme="minorHAnsi" w:hAnsiTheme="minorHAnsi" w:cstheme="minorHAnsi"/>
          <w:sz w:val="22"/>
          <w:szCs w:val="22"/>
        </w:rPr>
        <w:t xml:space="preserve">This document outlines </w:t>
      </w:r>
      <w:r w:rsidR="00B37948">
        <w:rPr>
          <w:rFonts w:asciiTheme="minorHAnsi" w:hAnsiTheme="minorHAnsi" w:cstheme="minorHAnsi"/>
          <w:sz w:val="22"/>
          <w:szCs w:val="22"/>
        </w:rPr>
        <w:t>Health’s</w:t>
      </w:r>
      <w:r w:rsidRPr="009D309B">
        <w:rPr>
          <w:rFonts w:asciiTheme="minorHAnsi" w:hAnsiTheme="minorHAnsi" w:cstheme="minorHAnsi"/>
          <w:sz w:val="22"/>
          <w:szCs w:val="22"/>
        </w:rPr>
        <w:t xml:space="preserve"> response to recommendations presented in the PIA for data matching for fraud detection and compliance activities.</w:t>
      </w:r>
    </w:p>
    <w:p w14:paraId="1619FCDD" w14:textId="336D3EE6" w:rsidR="009D309B" w:rsidRDefault="009D309B">
      <w:pPr>
        <w:rPr>
          <w:rFonts w:asciiTheme="minorHAnsi" w:hAnsiTheme="minorHAnsi" w:cstheme="minorHAnsi"/>
          <w:b/>
          <w:sz w:val="32"/>
          <w:szCs w:val="32"/>
        </w:rPr>
      </w:pPr>
    </w:p>
    <w:p w14:paraId="0112CB69" w14:textId="77777777" w:rsidR="007C2F48" w:rsidRDefault="007C2F48">
      <w:pPr>
        <w:rPr>
          <w:rFonts w:asciiTheme="minorHAnsi" w:hAnsiTheme="minorHAnsi" w:cstheme="minorHAnsi"/>
          <w:b/>
          <w:sz w:val="32"/>
          <w:szCs w:val="32"/>
        </w:rPr>
      </w:pPr>
    </w:p>
    <w:p w14:paraId="4F3B8DEA" w14:textId="34CF7721" w:rsidR="00BD3008" w:rsidRPr="009D309B" w:rsidRDefault="00BD3008" w:rsidP="00056700">
      <w:pPr>
        <w:tabs>
          <w:tab w:val="right" w:pos="9072"/>
        </w:tabs>
        <w:rPr>
          <w:rFonts w:asciiTheme="minorHAnsi" w:hAnsiTheme="minorHAnsi" w:cstheme="minorHAnsi"/>
          <w:b/>
          <w:sz w:val="32"/>
          <w:szCs w:val="32"/>
        </w:rPr>
      </w:pPr>
      <w:r w:rsidRPr="009D309B">
        <w:rPr>
          <w:rFonts w:asciiTheme="minorHAnsi" w:hAnsiTheme="minorHAnsi" w:cstheme="minorHAnsi"/>
          <w:b/>
          <w:sz w:val="32"/>
          <w:szCs w:val="32"/>
        </w:rPr>
        <w:t>RECOMMENDATIONS</w:t>
      </w:r>
    </w:p>
    <w:p w14:paraId="037186F2" w14:textId="20AAE1C4" w:rsidR="00B9486B" w:rsidRPr="009D309B" w:rsidRDefault="00B9486B" w:rsidP="00056700">
      <w:pPr>
        <w:tabs>
          <w:tab w:val="right" w:pos="9072"/>
        </w:tabs>
        <w:rPr>
          <w:rFonts w:asciiTheme="minorHAnsi" w:hAnsiTheme="minorHAnsi" w:cstheme="minorHAnsi"/>
          <w:b/>
          <w:sz w:val="22"/>
          <w:szCs w:val="22"/>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B9486B" w:rsidRPr="009D309B" w14:paraId="232330D5" w14:textId="77777777" w:rsidTr="005D1632">
        <w:trPr>
          <w:trHeight w:val="958"/>
        </w:trPr>
        <w:tc>
          <w:tcPr>
            <w:tcW w:w="100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D64CD3" w14:textId="22919C25" w:rsidR="00B9486B" w:rsidRPr="009D309B" w:rsidRDefault="00B9486B" w:rsidP="009D309B">
            <w:pPr>
              <w:tabs>
                <w:tab w:val="right" w:pos="9072"/>
              </w:tabs>
              <w:rPr>
                <w:rFonts w:asciiTheme="minorHAnsi" w:hAnsiTheme="minorHAnsi" w:cstheme="minorHAnsi"/>
                <w:b/>
                <w:sz w:val="28"/>
                <w:szCs w:val="28"/>
              </w:rPr>
            </w:pPr>
            <w:r w:rsidRPr="009D309B">
              <w:rPr>
                <w:rFonts w:asciiTheme="minorHAnsi" w:hAnsiTheme="minorHAnsi" w:cstheme="minorHAnsi"/>
                <w:b/>
                <w:sz w:val="28"/>
                <w:szCs w:val="28"/>
              </w:rPr>
              <w:t xml:space="preserve">Recommendation 1 – </w:t>
            </w:r>
            <w:r w:rsidR="003F47CB" w:rsidRPr="009D309B">
              <w:rPr>
                <w:rFonts w:asciiTheme="minorHAnsi" w:hAnsiTheme="minorHAnsi" w:cstheme="minorHAnsi"/>
                <w:b/>
                <w:sz w:val="28"/>
                <w:szCs w:val="28"/>
              </w:rPr>
              <w:t>Improved openness in Privacy Policies about data sources</w:t>
            </w:r>
          </w:p>
          <w:p w14:paraId="354DF852" w14:textId="77777777" w:rsidR="00B9486B" w:rsidRPr="009D309B" w:rsidRDefault="00B9486B" w:rsidP="009D309B">
            <w:pPr>
              <w:tabs>
                <w:tab w:val="right" w:pos="9072"/>
              </w:tabs>
              <w:rPr>
                <w:rFonts w:asciiTheme="minorHAnsi" w:hAnsiTheme="minorHAnsi" w:cstheme="minorHAnsi"/>
                <w:b/>
                <w:sz w:val="22"/>
                <w:szCs w:val="22"/>
              </w:rPr>
            </w:pPr>
          </w:p>
          <w:p w14:paraId="228518C2" w14:textId="77777777" w:rsidR="00B9486B" w:rsidRDefault="003F47CB" w:rsidP="009D309B">
            <w:pPr>
              <w:rPr>
                <w:rFonts w:asciiTheme="minorHAnsi" w:hAnsiTheme="minorHAnsi" w:cstheme="minorHAnsi"/>
                <w:sz w:val="22"/>
                <w:szCs w:val="22"/>
              </w:rPr>
            </w:pPr>
            <w:r w:rsidRPr="009D309B">
              <w:rPr>
                <w:rFonts w:asciiTheme="minorHAnsi" w:hAnsiTheme="minorHAnsi" w:cstheme="minorHAnsi"/>
                <w:sz w:val="22"/>
                <w:szCs w:val="22"/>
              </w:rPr>
              <w:t>The Department of Health should amend the Privacy Policy to be more open about the collection of new data fields and the extensive variety of data sources. As some initial data collection occurs via the Department of Human Services (DHS), this recommendation extends to the DHS Privacy Policy.</w:t>
            </w:r>
          </w:p>
          <w:p w14:paraId="71D568D2" w14:textId="2FDBE8F7" w:rsidR="009D309B" w:rsidRPr="009D309B" w:rsidRDefault="009D309B" w:rsidP="009D309B">
            <w:pPr>
              <w:rPr>
                <w:rFonts w:asciiTheme="minorHAnsi" w:hAnsiTheme="minorHAnsi" w:cstheme="minorHAnsi"/>
                <w:sz w:val="22"/>
                <w:szCs w:val="22"/>
              </w:rPr>
            </w:pPr>
          </w:p>
        </w:tc>
      </w:tr>
    </w:tbl>
    <w:p w14:paraId="56A3D034" w14:textId="77777777" w:rsidR="00B9486B" w:rsidRPr="009D309B" w:rsidRDefault="00B9486B" w:rsidP="00056700">
      <w:pPr>
        <w:tabs>
          <w:tab w:val="right" w:pos="9072"/>
        </w:tabs>
        <w:rPr>
          <w:rFonts w:asciiTheme="minorHAnsi" w:hAnsiTheme="minorHAnsi" w:cstheme="minorHAnsi"/>
          <w:b/>
          <w:sz w:val="22"/>
          <w:szCs w:val="22"/>
        </w:rPr>
      </w:pPr>
    </w:p>
    <w:p w14:paraId="69E369F8" w14:textId="6588EF68" w:rsidR="0027799F" w:rsidRPr="009D309B" w:rsidRDefault="00754965" w:rsidP="00056700">
      <w:pPr>
        <w:tabs>
          <w:tab w:val="right" w:pos="9072"/>
        </w:tabs>
        <w:rPr>
          <w:rFonts w:asciiTheme="minorHAnsi" w:hAnsiTheme="minorHAnsi" w:cstheme="minorHAnsi"/>
          <w:b/>
          <w:sz w:val="28"/>
          <w:szCs w:val="28"/>
        </w:rPr>
      </w:pPr>
      <w:r w:rsidRPr="009D309B">
        <w:rPr>
          <w:rFonts w:asciiTheme="minorHAnsi" w:hAnsiTheme="minorHAnsi" w:cstheme="minorHAnsi"/>
          <w:b/>
          <w:sz w:val="28"/>
          <w:szCs w:val="28"/>
        </w:rPr>
        <w:t>Departmental response:</w:t>
      </w:r>
    </w:p>
    <w:p w14:paraId="7446702F" w14:textId="77777777" w:rsidR="00754965" w:rsidRPr="009D309B" w:rsidRDefault="00754965" w:rsidP="00754965">
      <w:pPr>
        <w:rPr>
          <w:rFonts w:asciiTheme="minorHAnsi" w:hAnsiTheme="minorHAnsi" w:cstheme="minorHAnsi"/>
          <w:sz w:val="22"/>
          <w:szCs w:val="22"/>
        </w:rPr>
      </w:pPr>
    </w:p>
    <w:p w14:paraId="3E05AF84" w14:textId="6045E3F1" w:rsidR="00754965" w:rsidRPr="009D309B" w:rsidRDefault="00754965" w:rsidP="00754965">
      <w:pPr>
        <w:rPr>
          <w:rFonts w:asciiTheme="minorHAnsi" w:hAnsiTheme="minorHAnsi" w:cstheme="minorHAnsi"/>
          <w:b/>
          <w:sz w:val="22"/>
          <w:szCs w:val="22"/>
        </w:rPr>
      </w:pPr>
      <w:r w:rsidRPr="009D309B">
        <w:rPr>
          <w:rFonts w:asciiTheme="minorHAnsi" w:hAnsiTheme="minorHAnsi" w:cstheme="minorHAnsi"/>
          <w:b/>
          <w:sz w:val="22"/>
          <w:szCs w:val="22"/>
        </w:rPr>
        <w:t>Agreed.</w:t>
      </w:r>
    </w:p>
    <w:p w14:paraId="7B2B1D90" w14:textId="2503B738" w:rsidR="00754965" w:rsidRPr="009D309B" w:rsidRDefault="00754965" w:rsidP="00754965">
      <w:pPr>
        <w:rPr>
          <w:rFonts w:asciiTheme="minorHAnsi" w:hAnsiTheme="minorHAnsi" w:cstheme="minorHAnsi"/>
          <w:sz w:val="22"/>
          <w:szCs w:val="22"/>
        </w:rPr>
      </w:pPr>
      <w:r w:rsidRPr="009D309B">
        <w:rPr>
          <w:rFonts w:asciiTheme="minorHAnsi" w:hAnsiTheme="minorHAnsi" w:cstheme="minorHAnsi"/>
          <w:sz w:val="22"/>
          <w:szCs w:val="22"/>
        </w:rPr>
        <w:t xml:space="preserve">Health will work with </w:t>
      </w:r>
      <w:r w:rsidR="00B37948">
        <w:rPr>
          <w:rFonts w:asciiTheme="minorHAnsi" w:hAnsiTheme="minorHAnsi" w:cstheme="minorHAnsi"/>
          <w:sz w:val="22"/>
          <w:szCs w:val="22"/>
        </w:rPr>
        <w:t xml:space="preserve">Services Australia (formerly </w:t>
      </w:r>
      <w:r w:rsidRPr="009D309B">
        <w:rPr>
          <w:rFonts w:asciiTheme="minorHAnsi" w:hAnsiTheme="minorHAnsi" w:cstheme="minorHAnsi"/>
          <w:sz w:val="22"/>
          <w:szCs w:val="22"/>
        </w:rPr>
        <w:t>the Department of Human Services</w:t>
      </w:r>
      <w:r w:rsidR="00B37948">
        <w:rPr>
          <w:rFonts w:asciiTheme="minorHAnsi" w:hAnsiTheme="minorHAnsi" w:cstheme="minorHAnsi"/>
          <w:sz w:val="22"/>
          <w:szCs w:val="22"/>
        </w:rPr>
        <w:t>)</w:t>
      </w:r>
      <w:r w:rsidRPr="009D309B">
        <w:rPr>
          <w:rFonts w:asciiTheme="minorHAnsi" w:hAnsiTheme="minorHAnsi" w:cstheme="minorHAnsi"/>
          <w:sz w:val="22"/>
          <w:szCs w:val="22"/>
        </w:rPr>
        <w:t xml:space="preserve"> to ensure Privacy Policies are updated to accurately reflect the scope of data collection and ensure that </w:t>
      </w:r>
      <w:r w:rsidR="003B1D01" w:rsidRPr="009D309B">
        <w:rPr>
          <w:rFonts w:asciiTheme="minorHAnsi" w:hAnsiTheme="minorHAnsi" w:cstheme="minorHAnsi"/>
          <w:sz w:val="22"/>
          <w:szCs w:val="22"/>
        </w:rPr>
        <w:t>this</w:t>
      </w:r>
      <w:r w:rsidRPr="009D309B">
        <w:rPr>
          <w:rFonts w:asciiTheme="minorHAnsi" w:hAnsiTheme="minorHAnsi" w:cstheme="minorHAnsi"/>
          <w:sz w:val="22"/>
          <w:szCs w:val="22"/>
        </w:rPr>
        <w:t xml:space="preserve"> information is </w:t>
      </w:r>
      <w:r w:rsidR="003B1D01" w:rsidRPr="009D309B">
        <w:rPr>
          <w:rFonts w:asciiTheme="minorHAnsi" w:hAnsiTheme="minorHAnsi" w:cstheme="minorHAnsi"/>
          <w:sz w:val="22"/>
          <w:szCs w:val="22"/>
        </w:rPr>
        <w:t>readily</w:t>
      </w:r>
      <w:r w:rsidRPr="009D309B">
        <w:rPr>
          <w:rFonts w:asciiTheme="minorHAnsi" w:hAnsiTheme="minorHAnsi" w:cstheme="minorHAnsi"/>
          <w:sz w:val="22"/>
          <w:szCs w:val="22"/>
        </w:rPr>
        <w:t xml:space="preserve"> accessible to the public.</w:t>
      </w:r>
    </w:p>
    <w:p w14:paraId="515562C4" w14:textId="77777777" w:rsidR="00754965" w:rsidRPr="009D309B" w:rsidRDefault="00754965" w:rsidP="00056700">
      <w:pPr>
        <w:tabs>
          <w:tab w:val="right" w:pos="9072"/>
        </w:tabs>
        <w:rPr>
          <w:rFonts w:asciiTheme="minorHAnsi" w:hAnsiTheme="minorHAnsi" w:cstheme="minorHAnsi"/>
          <w:b/>
          <w:sz w:val="22"/>
          <w:szCs w:val="22"/>
        </w:rPr>
      </w:pPr>
    </w:p>
    <w:p w14:paraId="196F4BBB" w14:textId="5FAD47CE" w:rsidR="003F47CB" w:rsidRDefault="003F47CB" w:rsidP="00056700">
      <w:pPr>
        <w:tabs>
          <w:tab w:val="right" w:pos="9072"/>
        </w:tabs>
        <w:rPr>
          <w:rFonts w:asciiTheme="minorHAnsi" w:hAnsiTheme="minorHAnsi" w:cstheme="minorHAnsi"/>
          <w:b/>
          <w:sz w:val="22"/>
          <w:szCs w:val="22"/>
        </w:rPr>
      </w:pPr>
    </w:p>
    <w:p w14:paraId="15A8A219" w14:textId="77777777" w:rsidR="00A27AEC" w:rsidRPr="009D309B" w:rsidRDefault="00A27AEC" w:rsidP="00056700">
      <w:pPr>
        <w:tabs>
          <w:tab w:val="right" w:pos="9072"/>
        </w:tabs>
        <w:rPr>
          <w:rFonts w:asciiTheme="minorHAnsi" w:hAnsiTheme="minorHAnsi" w:cstheme="minorHAnsi"/>
          <w:b/>
          <w:sz w:val="22"/>
          <w:szCs w:val="22"/>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038"/>
      </w:tblGrid>
      <w:tr w:rsidR="00435F2F" w:rsidRPr="009D309B" w14:paraId="70926D3E" w14:textId="77777777" w:rsidTr="005D1632">
        <w:trPr>
          <w:trHeight w:val="1948"/>
        </w:trPr>
        <w:tc>
          <w:tcPr>
            <w:tcW w:w="10038" w:type="dxa"/>
            <w:tcBorders>
              <w:left w:val="single" w:sz="4" w:space="0" w:color="auto"/>
            </w:tcBorders>
            <w:shd w:val="clear" w:color="auto" w:fill="B8CCE4" w:themeFill="accent1" w:themeFillTint="66"/>
          </w:tcPr>
          <w:p w14:paraId="12BE2016" w14:textId="042FF149" w:rsidR="00435F2F" w:rsidRPr="009D309B" w:rsidRDefault="00435F2F" w:rsidP="009D309B">
            <w:pPr>
              <w:tabs>
                <w:tab w:val="right" w:pos="9072"/>
              </w:tabs>
              <w:rPr>
                <w:rFonts w:asciiTheme="minorHAnsi" w:hAnsiTheme="minorHAnsi" w:cstheme="minorHAnsi"/>
                <w:b/>
                <w:sz w:val="28"/>
                <w:szCs w:val="28"/>
              </w:rPr>
            </w:pPr>
            <w:r w:rsidRPr="009D309B">
              <w:rPr>
                <w:rFonts w:asciiTheme="minorHAnsi" w:hAnsiTheme="minorHAnsi" w:cstheme="minorHAnsi"/>
                <w:b/>
                <w:sz w:val="28"/>
                <w:szCs w:val="28"/>
              </w:rPr>
              <w:t xml:space="preserve">Recommendation 2 – </w:t>
            </w:r>
            <w:r w:rsidR="003F47CB" w:rsidRPr="009D309B">
              <w:rPr>
                <w:rFonts w:asciiTheme="minorHAnsi" w:hAnsiTheme="minorHAnsi" w:cstheme="minorHAnsi"/>
                <w:b/>
                <w:sz w:val="28"/>
                <w:szCs w:val="28"/>
              </w:rPr>
              <w:t>Improved openness in Privacy Policies about data sharing / matching</w:t>
            </w:r>
          </w:p>
          <w:p w14:paraId="35A5DAD2" w14:textId="77777777" w:rsidR="00A16645" w:rsidRPr="009D309B" w:rsidRDefault="00A16645" w:rsidP="009D309B">
            <w:pPr>
              <w:tabs>
                <w:tab w:val="right" w:pos="9072"/>
              </w:tabs>
              <w:rPr>
                <w:rFonts w:asciiTheme="minorHAnsi" w:hAnsiTheme="minorHAnsi" w:cstheme="minorHAnsi"/>
                <w:b/>
                <w:sz w:val="28"/>
                <w:szCs w:val="28"/>
              </w:rPr>
            </w:pPr>
          </w:p>
          <w:p w14:paraId="4E4F09D3" w14:textId="119CA030" w:rsidR="00435F2F" w:rsidRDefault="003F47CB" w:rsidP="009D309B">
            <w:pPr>
              <w:rPr>
                <w:rFonts w:asciiTheme="minorHAnsi" w:hAnsiTheme="minorHAnsi" w:cstheme="minorHAnsi"/>
                <w:sz w:val="22"/>
                <w:szCs w:val="22"/>
              </w:rPr>
            </w:pPr>
            <w:r w:rsidRPr="009D309B">
              <w:rPr>
                <w:rFonts w:asciiTheme="minorHAnsi" w:hAnsiTheme="minorHAnsi" w:cstheme="minorHAnsi"/>
                <w:sz w:val="22"/>
                <w:szCs w:val="22"/>
              </w:rPr>
              <w:t>The Department of Health should amend the Privacy Policy to be more open about the use</w:t>
            </w:r>
            <w:r w:rsidR="00B37948">
              <w:rPr>
                <w:rFonts w:asciiTheme="minorHAnsi" w:hAnsiTheme="minorHAnsi" w:cstheme="minorHAnsi"/>
                <w:sz w:val="22"/>
                <w:szCs w:val="22"/>
              </w:rPr>
              <w:t xml:space="preserve"> of</w:t>
            </w:r>
            <w:r w:rsidRPr="009D309B">
              <w:rPr>
                <w:rFonts w:asciiTheme="minorHAnsi" w:hAnsiTheme="minorHAnsi" w:cstheme="minorHAnsi"/>
                <w:sz w:val="22"/>
                <w:szCs w:val="22"/>
              </w:rPr>
              <w:t xml:space="preserve"> </w:t>
            </w:r>
            <w:r w:rsidR="00B451FE" w:rsidRPr="009D309B">
              <w:rPr>
                <w:rFonts w:asciiTheme="minorHAnsi" w:hAnsiTheme="minorHAnsi" w:cstheme="minorHAnsi"/>
                <w:sz w:val="22"/>
                <w:szCs w:val="22"/>
              </w:rPr>
              <w:t xml:space="preserve">routine </w:t>
            </w:r>
            <w:r w:rsidRPr="009D309B">
              <w:rPr>
                <w:rFonts w:asciiTheme="minorHAnsi" w:hAnsiTheme="minorHAnsi" w:cstheme="minorHAnsi"/>
                <w:sz w:val="22"/>
                <w:szCs w:val="22"/>
              </w:rPr>
              <w:t xml:space="preserve">data sharing for </w:t>
            </w:r>
            <w:r w:rsidR="00B451FE" w:rsidRPr="009D309B">
              <w:rPr>
                <w:rFonts w:asciiTheme="minorHAnsi" w:hAnsiTheme="minorHAnsi" w:cstheme="minorHAnsi"/>
                <w:sz w:val="22"/>
                <w:szCs w:val="22"/>
              </w:rPr>
              <w:t xml:space="preserve">controlled </w:t>
            </w:r>
            <w:r w:rsidRPr="009D309B">
              <w:rPr>
                <w:rFonts w:asciiTheme="minorHAnsi" w:hAnsiTheme="minorHAnsi" w:cstheme="minorHAnsi"/>
                <w:sz w:val="22"/>
                <w:szCs w:val="22"/>
              </w:rPr>
              <w:t>data matching activities, and to update the list of likely external agencies involved in data sharing / matching. As some initial data collection occurs via the DHS, this recommendation extends to the DHS Privacy Policy.</w:t>
            </w:r>
          </w:p>
          <w:p w14:paraId="6575BAF6" w14:textId="2CA4EE19" w:rsidR="009D309B" w:rsidRPr="009D309B" w:rsidRDefault="009D309B" w:rsidP="009D309B">
            <w:pPr>
              <w:rPr>
                <w:rFonts w:asciiTheme="minorHAnsi" w:hAnsiTheme="minorHAnsi" w:cstheme="minorHAnsi"/>
                <w:b/>
                <w:sz w:val="28"/>
                <w:szCs w:val="28"/>
              </w:rPr>
            </w:pPr>
          </w:p>
        </w:tc>
      </w:tr>
    </w:tbl>
    <w:p w14:paraId="059A3822" w14:textId="77777777" w:rsidR="00371E10" w:rsidRPr="009D309B" w:rsidRDefault="00371E10" w:rsidP="00056700">
      <w:pPr>
        <w:tabs>
          <w:tab w:val="right" w:pos="9072"/>
        </w:tabs>
        <w:rPr>
          <w:rFonts w:asciiTheme="minorHAnsi" w:hAnsiTheme="minorHAnsi" w:cstheme="minorHAnsi"/>
          <w:b/>
          <w:sz w:val="22"/>
          <w:szCs w:val="22"/>
        </w:rPr>
      </w:pPr>
    </w:p>
    <w:p w14:paraId="5CE53607" w14:textId="734BB995" w:rsidR="00205F79" w:rsidRPr="00A27AEC" w:rsidRDefault="00754965" w:rsidP="00056700">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lastRenderedPageBreak/>
        <w:t>Departmental response:</w:t>
      </w:r>
    </w:p>
    <w:p w14:paraId="3747167B" w14:textId="77777777" w:rsidR="00754965" w:rsidRPr="009D309B" w:rsidRDefault="00754965" w:rsidP="00754965">
      <w:pPr>
        <w:rPr>
          <w:rFonts w:asciiTheme="minorHAnsi" w:hAnsiTheme="minorHAnsi" w:cstheme="minorHAnsi"/>
          <w:sz w:val="22"/>
          <w:szCs w:val="22"/>
        </w:rPr>
      </w:pPr>
    </w:p>
    <w:p w14:paraId="7EC95684" w14:textId="451D9D78" w:rsidR="005D1632" w:rsidRPr="005D1632" w:rsidRDefault="00754965" w:rsidP="00754965">
      <w:pPr>
        <w:rPr>
          <w:rFonts w:asciiTheme="minorHAnsi" w:hAnsiTheme="minorHAnsi" w:cstheme="minorHAnsi"/>
          <w:b/>
          <w:sz w:val="22"/>
          <w:szCs w:val="22"/>
        </w:rPr>
      </w:pPr>
      <w:r w:rsidRPr="005D1632">
        <w:rPr>
          <w:rFonts w:asciiTheme="minorHAnsi" w:hAnsiTheme="minorHAnsi" w:cstheme="minorHAnsi"/>
          <w:b/>
          <w:sz w:val="22"/>
          <w:szCs w:val="22"/>
        </w:rPr>
        <w:t>Agreed.</w:t>
      </w:r>
    </w:p>
    <w:p w14:paraId="645F445B" w14:textId="48D357F8" w:rsidR="00754965" w:rsidRPr="009D309B" w:rsidRDefault="00754965" w:rsidP="00754965">
      <w:pPr>
        <w:rPr>
          <w:rFonts w:asciiTheme="minorHAnsi" w:hAnsiTheme="minorHAnsi" w:cstheme="minorHAnsi"/>
          <w:sz w:val="22"/>
          <w:szCs w:val="22"/>
        </w:rPr>
      </w:pPr>
      <w:r w:rsidRPr="009D309B">
        <w:rPr>
          <w:rFonts w:asciiTheme="minorHAnsi" w:hAnsiTheme="minorHAnsi" w:cstheme="minorHAnsi"/>
          <w:sz w:val="22"/>
          <w:szCs w:val="22"/>
        </w:rPr>
        <w:t xml:space="preserve">Health will work with </w:t>
      </w:r>
      <w:r w:rsidR="00FE3365">
        <w:rPr>
          <w:rFonts w:asciiTheme="minorHAnsi" w:hAnsiTheme="minorHAnsi" w:cstheme="minorHAnsi"/>
          <w:sz w:val="22"/>
          <w:szCs w:val="22"/>
        </w:rPr>
        <w:t xml:space="preserve">Services Australia </w:t>
      </w:r>
      <w:r w:rsidRPr="009D309B">
        <w:rPr>
          <w:rFonts w:asciiTheme="minorHAnsi" w:hAnsiTheme="minorHAnsi" w:cstheme="minorHAnsi"/>
          <w:sz w:val="22"/>
          <w:szCs w:val="22"/>
        </w:rPr>
        <w:t>to ensure Privacy Policies are updated to accurately reflect the scope of data sharing and data matching activities</w:t>
      </w:r>
      <w:r w:rsidR="00B37948">
        <w:rPr>
          <w:rFonts w:asciiTheme="minorHAnsi" w:hAnsiTheme="minorHAnsi" w:cstheme="minorHAnsi"/>
          <w:sz w:val="22"/>
          <w:szCs w:val="22"/>
        </w:rPr>
        <w:t>,</w:t>
      </w:r>
      <w:r w:rsidR="003B1D01" w:rsidRPr="009D309B">
        <w:rPr>
          <w:rFonts w:asciiTheme="minorHAnsi" w:hAnsiTheme="minorHAnsi" w:cstheme="minorHAnsi"/>
          <w:sz w:val="22"/>
          <w:szCs w:val="22"/>
        </w:rPr>
        <w:t xml:space="preserve"> </w:t>
      </w:r>
      <w:r w:rsidRPr="009D309B">
        <w:rPr>
          <w:rFonts w:asciiTheme="minorHAnsi" w:hAnsiTheme="minorHAnsi" w:cstheme="minorHAnsi"/>
          <w:sz w:val="22"/>
          <w:szCs w:val="22"/>
        </w:rPr>
        <w:t>including a list of partner agencies.</w:t>
      </w:r>
    </w:p>
    <w:p w14:paraId="3B1B8EF4" w14:textId="099C4BDB" w:rsidR="00754965" w:rsidRPr="009D309B" w:rsidRDefault="00754965" w:rsidP="00056700">
      <w:pPr>
        <w:tabs>
          <w:tab w:val="right" w:pos="9072"/>
        </w:tabs>
        <w:rPr>
          <w:rFonts w:asciiTheme="minorHAnsi" w:hAnsiTheme="minorHAnsi" w:cstheme="minorHAnsi"/>
          <w:b/>
          <w:sz w:val="22"/>
          <w:szCs w:val="22"/>
        </w:rPr>
      </w:pPr>
    </w:p>
    <w:p w14:paraId="74469893" w14:textId="77777777" w:rsidR="003F47CB" w:rsidRPr="009D309B" w:rsidRDefault="003F47CB" w:rsidP="00056700">
      <w:pPr>
        <w:tabs>
          <w:tab w:val="right" w:pos="9072"/>
        </w:tabs>
        <w:rPr>
          <w:rFonts w:asciiTheme="minorHAnsi" w:hAnsiTheme="minorHAnsi" w:cstheme="minorHAnsi"/>
          <w:b/>
          <w:sz w:val="22"/>
          <w:szCs w:val="22"/>
        </w:rPr>
      </w:pPr>
    </w:p>
    <w:tbl>
      <w:tblPr>
        <w:tblW w:w="1005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435F2F" w:rsidRPr="009D309B" w14:paraId="5EC19B5C" w14:textId="77777777" w:rsidTr="005D1632">
        <w:trPr>
          <w:trHeight w:val="1492"/>
        </w:trPr>
        <w:tc>
          <w:tcPr>
            <w:tcW w:w="10051" w:type="dxa"/>
            <w:shd w:val="clear" w:color="auto" w:fill="B8CCE4" w:themeFill="accent1" w:themeFillTint="66"/>
          </w:tcPr>
          <w:p w14:paraId="7EE3290F" w14:textId="4C1EE945" w:rsidR="00435F2F" w:rsidRPr="005D1632" w:rsidRDefault="00435F2F"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 xml:space="preserve">Recommendation 3 – </w:t>
            </w:r>
            <w:r w:rsidR="003F47CB" w:rsidRPr="005D1632">
              <w:rPr>
                <w:rFonts w:asciiTheme="minorHAnsi" w:hAnsiTheme="minorHAnsi" w:cstheme="minorHAnsi"/>
                <w:b/>
                <w:sz w:val="28"/>
                <w:szCs w:val="28"/>
              </w:rPr>
              <w:t xml:space="preserve">Establish an online resource to improve openness and transparency </w:t>
            </w:r>
            <w:r w:rsidR="005D1632" w:rsidRPr="005D1632">
              <w:rPr>
                <w:rFonts w:asciiTheme="minorHAnsi" w:hAnsiTheme="minorHAnsi" w:cstheme="minorHAnsi"/>
                <w:b/>
                <w:sz w:val="28"/>
                <w:szCs w:val="28"/>
              </w:rPr>
              <w:t xml:space="preserve">about data </w:t>
            </w:r>
            <w:r w:rsidR="003F47CB" w:rsidRPr="005D1632">
              <w:rPr>
                <w:rFonts w:asciiTheme="minorHAnsi" w:hAnsiTheme="minorHAnsi" w:cstheme="minorHAnsi"/>
                <w:b/>
                <w:sz w:val="28"/>
                <w:szCs w:val="28"/>
              </w:rPr>
              <w:t>sharing / matching</w:t>
            </w:r>
          </w:p>
          <w:p w14:paraId="3D220CC2" w14:textId="77777777" w:rsidR="00A16645" w:rsidRPr="005D1632" w:rsidRDefault="00A16645" w:rsidP="00435F2F">
            <w:pPr>
              <w:tabs>
                <w:tab w:val="right" w:pos="9072"/>
              </w:tabs>
              <w:ind w:left="128"/>
              <w:rPr>
                <w:rFonts w:asciiTheme="minorHAnsi" w:hAnsiTheme="minorHAnsi" w:cstheme="minorHAnsi"/>
                <w:b/>
                <w:sz w:val="28"/>
                <w:szCs w:val="28"/>
              </w:rPr>
            </w:pPr>
          </w:p>
          <w:p w14:paraId="4E7E6CF6" w14:textId="77777777"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The Department of Health should establish a dedicated website or portal with a list of key documents, a register of data matching activities, contact details and other relevant information about its data sharing / data matching activities.</w:t>
            </w:r>
          </w:p>
          <w:p w14:paraId="6FA66D72" w14:textId="583042C5" w:rsidR="00435F2F" w:rsidRPr="005D1632" w:rsidRDefault="00435F2F" w:rsidP="003F47CB">
            <w:pPr>
              <w:pStyle w:val="ListParagraph"/>
              <w:tabs>
                <w:tab w:val="right" w:pos="9072"/>
              </w:tabs>
              <w:ind w:left="451"/>
              <w:rPr>
                <w:rFonts w:asciiTheme="minorHAnsi" w:hAnsiTheme="minorHAnsi" w:cstheme="minorHAnsi"/>
                <w:b/>
                <w:sz w:val="28"/>
                <w:szCs w:val="28"/>
              </w:rPr>
            </w:pPr>
          </w:p>
        </w:tc>
      </w:tr>
    </w:tbl>
    <w:p w14:paraId="027E7723" w14:textId="77777777" w:rsidR="00371E10" w:rsidRPr="009D309B" w:rsidRDefault="00371E10" w:rsidP="00056700">
      <w:pPr>
        <w:tabs>
          <w:tab w:val="right" w:pos="9072"/>
        </w:tabs>
        <w:rPr>
          <w:rFonts w:asciiTheme="minorHAnsi" w:hAnsiTheme="minorHAnsi" w:cstheme="minorHAnsi"/>
          <w:b/>
          <w:sz w:val="22"/>
          <w:szCs w:val="22"/>
        </w:rPr>
      </w:pPr>
    </w:p>
    <w:p w14:paraId="0CDFE241" w14:textId="403F0EC3" w:rsidR="0027799F" w:rsidRPr="00A27AEC" w:rsidRDefault="00754965" w:rsidP="00056700">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4E262096" w14:textId="05AF2C46" w:rsidR="00754965" w:rsidRPr="009D309B" w:rsidRDefault="00754965" w:rsidP="00056700">
      <w:pPr>
        <w:tabs>
          <w:tab w:val="right" w:pos="9072"/>
        </w:tabs>
        <w:rPr>
          <w:rFonts w:asciiTheme="minorHAnsi" w:hAnsiTheme="minorHAnsi" w:cstheme="minorHAnsi"/>
          <w:b/>
          <w:sz w:val="22"/>
          <w:szCs w:val="22"/>
        </w:rPr>
      </w:pPr>
    </w:p>
    <w:p w14:paraId="49865491" w14:textId="3DE6BDD4" w:rsidR="005D1632" w:rsidRPr="005D1632" w:rsidRDefault="00753991" w:rsidP="00753991">
      <w:pPr>
        <w:rPr>
          <w:rFonts w:asciiTheme="minorHAnsi" w:hAnsiTheme="minorHAnsi" w:cstheme="minorHAnsi"/>
          <w:b/>
          <w:sz w:val="22"/>
          <w:szCs w:val="22"/>
        </w:rPr>
      </w:pPr>
      <w:r w:rsidRPr="005D1632">
        <w:rPr>
          <w:rFonts w:asciiTheme="minorHAnsi" w:hAnsiTheme="minorHAnsi" w:cstheme="minorHAnsi"/>
          <w:b/>
          <w:sz w:val="22"/>
          <w:szCs w:val="22"/>
        </w:rPr>
        <w:t>Agreed.</w:t>
      </w:r>
    </w:p>
    <w:p w14:paraId="416A83A9" w14:textId="48428858" w:rsidR="00EE1BAA" w:rsidRPr="009D309B" w:rsidRDefault="003B1D01" w:rsidP="00EE1BAA">
      <w:pPr>
        <w:rPr>
          <w:rFonts w:asciiTheme="minorHAnsi" w:hAnsiTheme="minorHAnsi" w:cstheme="minorHAnsi"/>
          <w:sz w:val="22"/>
          <w:szCs w:val="22"/>
        </w:rPr>
      </w:pPr>
      <w:r w:rsidRPr="009D309B">
        <w:rPr>
          <w:rFonts w:asciiTheme="minorHAnsi" w:hAnsiTheme="minorHAnsi" w:cstheme="minorHAnsi"/>
          <w:sz w:val="22"/>
          <w:szCs w:val="22"/>
        </w:rPr>
        <w:t>T</w:t>
      </w:r>
      <w:r w:rsidR="00EE1BAA" w:rsidRPr="009D309B">
        <w:rPr>
          <w:rFonts w:asciiTheme="minorHAnsi" w:hAnsiTheme="minorHAnsi" w:cstheme="minorHAnsi"/>
          <w:sz w:val="22"/>
          <w:szCs w:val="22"/>
        </w:rPr>
        <w:t xml:space="preserve">he Chief Executive Medicare </w:t>
      </w:r>
      <w:r w:rsidR="00B37948">
        <w:rPr>
          <w:rFonts w:asciiTheme="minorHAnsi" w:hAnsiTheme="minorHAnsi" w:cstheme="minorHAnsi"/>
          <w:sz w:val="22"/>
          <w:szCs w:val="22"/>
        </w:rPr>
        <w:t>will</w:t>
      </w:r>
      <w:r w:rsidR="00B37948" w:rsidRPr="009D309B">
        <w:rPr>
          <w:rFonts w:asciiTheme="minorHAnsi" w:hAnsiTheme="minorHAnsi" w:cstheme="minorHAnsi"/>
          <w:sz w:val="22"/>
          <w:szCs w:val="22"/>
        </w:rPr>
        <w:t xml:space="preserve"> </w:t>
      </w:r>
      <w:r w:rsidR="00EE1BAA" w:rsidRPr="009D309B">
        <w:rPr>
          <w:rFonts w:asciiTheme="minorHAnsi" w:hAnsiTheme="minorHAnsi" w:cstheme="minorHAnsi"/>
          <w:sz w:val="22"/>
          <w:szCs w:val="22"/>
        </w:rPr>
        <w:t xml:space="preserve">maintain a public register to report on all data matching activities. </w:t>
      </w:r>
    </w:p>
    <w:p w14:paraId="2E49C762" w14:textId="77777777" w:rsidR="00EE1BAA" w:rsidRPr="009D309B" w:rsidRDefault="00EE1BAA" w:rsidP="00EE1BAA">
      <w:pPr>
        <w:rPr>
          <w:rFonts w:asciiTheme="minorHAnsi" w:hAnsiTheme="minorHAnsi" w:cstheme="minorHAnsi"/>
          <w:sz w:val="22"/>
          <w:szCs w:val="22"/>
        </w:rPr>
      </w:pPr>
    </w:p>
    <w:p w14:paraId="5F72BE09" w14:textId="5E90D80D" w:rsidR="00EE1BAA" w:rsidRPr="009D309B" w:rsidRDefault="00EE1BAA" w:rsidP="00EE1BAA">
      <w:pPr>
        <w:rPr>
          <w:rFonts w:asciiTheme="minorHAnsi" w:hAnsiTheme="minorHAnsi" w:cstheme="minorHAnsi"/>
          <w:sz w:val="22"/>
          <w:szCs w:val="22"/>
        </w:rPr>
      </w:pPr>
      <w:r w:rsidRPr="009D309B">
        <w:rPr>
          <w:rFonts w:asciiTheme="minorHAnsi" w:hAnsiTheme="minorHAnsi" w:cstheme="minorHAnsi"/>
          <w:sz w:val="22"/>
          <w:szCs w:val="22"/>
        </w:rPr>
        <w:t>In addition</w:t>
      </w:r>
      <w:r w:rsidR="00102CFC" w:rsidRPr="009D309B">
        <w:rPr>
          <w:rFonts w:asciiTheme="minorHAnsi" w:hAnsiTheme="minorHAnsi" w:cstheme="minorHAnsi"/>
          <w:sz w:val="22"/>
          <w:szCs w:val="22"/>
        </w:rPr>
        <w:t>,</w:t>
      </w:r>
      <w:r w:rsidRPr="009D309B">
        <w:rPr>
          <w:rFonts w:asciiTheme="minorHAnsi" w:hAnsiTheme="minorHAnsi" w:cstheme="minorHAnsi"/>
          <w:sz w:val="22"/>
          <w:szCs w:val="22"/>
        </w:rPr>
        <w:t xml:space="preserve"> </w:t>
      </w:r>
      <w:r w:rsidR="00B37948">
        <w:rPr>
          <w:rFonts w:asciiTheme="minorHAnsi" w:hAnsiTheme="minorHAnsi" w:cstheme="minorHAnsi"/>
          <w:sz w:val="22"/>
          <w:szCs w:val="22"/>
        </w:rPr>
        <w:t>Health</w:t>
      </w:r>
      <w:r w:rsidRPr="009D309B">
        <w:rPr>
          <w:rFonts w:asciiTheme="minorHAnsi" w:hAnsiTheme="minorHAnsi" w:cstheme="minorHAnsi"/>
          <w:sz w:val="22"/>
          <w:szCs w:val="22"/>
        </w:rPr>
        <w:t xml:space="preserve"> </w:t>
      </w:r>
      <w:r w:rsidR="00102CFC" w:rsidRPr="009D309B">
        <w:rPr>
          <w:rFonts w:asciiTheme="minorHAnsi" w:hAnsiTheme="minorHAnsi" w:cstheme="minorHAnsi"/>
          <w:sz w:val="22"/>
          <w:szCs w:val="22"/>
        </w:rPr>
        <w:t>will</w:t>
      </w:r>
      <w:r w:rsidRPr="009D309B">
        <w:rPr>
          <w:rFonts w:asciiTheme="minorHAnsi" w:hAnsiTheme="minorHAnsi" w:cstheme="minorHAnsi"/>
          <w:sz w:val="22"/>
          <w:szCs w:val="22"/>
        </w:rPr>
        <w:t xml:space="preserve"> comply with</w:t>
      </w:r>
      <w:r w:rsidRPr="009D309B">
        <w:rPr>
          <w:rFonts w:asciiTheme="minorHAnsi" w:hAnsiTheme="minorHAnsi" w:cstheme="minorHAnsi"/>
          <w:i/>
          <w:sz w:val="22"/>
          <w:szCs w:val="22"/>
        </w:rPr>
        <w:t xml:space="preserve"> </w:t>
      </w:r>
      <w:r w:rsidR="00102CFC" w:rsidRPr="009D309B">
        <w:rPr>
          <w:rFonts w:asciiTheme="minorHAnsi" w:hAnsiTheme="minorHAnsi" w:cstheme="minorHAnsi"/>
          <w:i/>
          <w:sz w:val="22"/>
          <w:szCs w:val="22"/>
        </w:rPr>
        <w:t>t</w:t>
      </w:r>
      <w:r w:rsidRPr="009D309B">
        <w:rPr>
          <w:rFonts w:asciiTheme="minorHAnsi" w:hAnsiTheme="minorHAnsi" w:cstheme="minorHAnsi"/>
          <w:i/>
          <w:sz w:val="22"/>
          <w:szCs w:val="22"/>
        </w:rPr>
        <w:t>he Guidelines on Data Matching in Australian Government Administration (</w:t>
      </w:r>
      <w:r w:rsidRPr="009D309B">
        <w:rPr>
          <w:rFonts w:asciiTheme="minorHAnsi" w:hAnsiTheme="minorHAnsi" w:cstheme="minorHAnsi"/>
          <w:sz w:val="22"/>
          <w:szCs w:val="22"/>
        </w:rPr>
        <w:t>the Guidelines</w:t>
      </w:r>
      <w:r w:rsidRPr="009D309B">
        <w:rPr>
          <w:rFonts w:asciiTheme="minorHAnsi" w:hAnsiTheme="minorHAnsi" w:cstheme="minorHAnsi"/>
          <w:i/>
          <w:sz w:val="22"/>
          <w:szCs w:val="22"/>
        </w:rPr>
        <w:t>)</w:t>
      </w:r>
      <w:r w:rsidR="00102CFC" w:rsidRPr="009D309B">
        <w:rPr>
          <w:rFonts w:asciiTheme="minorHAnsi" w:hAnsiTheme="minorHAnsi" w:cstheme="minorHAnsi"/>
          <w:i/>
          <w:sz w:val="22"/>
          <w:szCs w:val="22"/>
        </w:rPr>
        <w:t xml:space="preserve"> </w:t>
      </w:r>
      <w:r w:rsidR="00102CFC" w:rsidRPr="009D309B">
        <w:rPr>
          <w:rFonts w:asciiTheme="minorHAnsi" w:hAnsiTheme="minorHAnsi" w:cstheme="minorHAnsi"/>
          <w:sz w:val="22"/>
          <w:szCs w:val="22"/>
        </w:rPr>
        <w:t>which are</w:t>
      </w:r>
      <w:r w:rsidRPr="009D309B">
        <w:rPr>
          <w:rFonts w:asciiTheme="minorHAnsi" w:hAnsiTheme="minorHAnsi" w:cstheme="minorHAnsi"/>
          <w:i/>
          <w:sz w:val="22"/>
          <w:szCs w:val="22"/>
        </w:rPr>
        <w:t xml:space="preserve"> </w:t>
      </w:r>
      <w:r w:rsidRPr="009D309B">
        <w:rPr>
          <w:rFonts w:asciiTheme="minorHAnsi" w:hAnsiTheme="minorHAnsi" w:cstheme="minorHAnsi"/>
          <w:sz w:val="22"/>
          <w:szCs w:val="22"/>
        </w:rPr>
        <w:t xml:space="preserve">issued by the Office of the Information Commissioner (OAIC). </w:t>
      </w:r>
      <w:r w:rsidR="00B37948">
        <w:rPr>
          <w:rFonts w:asciiTheme="minorHAnsi" w:hAnsiTheme="minorHAnsi" w:cstheme="minorHAnsi"/>
          <w:sz w:val="22"/>
          <w:szCs w:val="22"/>
        </w:rPr>
        <w:t>Health</w:t>
      </w:r>
      <w:r w:rsidR="00102CFC" w:rsidRPr="009D309B">
        <w:rPr>
          <w:rFonts w:asciiTheme="minorHAnsi" w:hAnsiTheme="minorHAnsi" w:cstheme="minorHAnsi"/>
          <w:sz w:val="22"/>
          <w:szCs w:val="22"/>
        </w:rPr>
        <w:t xml:space="preserve"> </w:t>
      </w:r>
      <w:r w:rsidR="00AA74B0" w:rsidRPr="009D309B">
        <w:rPr>
          <w:rFonts w:asciiTheme="minorHAnsi" w:hAnsiTheme="minorHAnsi" w:cstheme="minorHAnsi"/>
          <w:sz w:val="22"/>
          <w:szCs w:val="22"/>
        </w:rPr>
        <w:t>will</w:t>
      </w:r>
      <w:r w:rsidR="00102CFC" w:rsidRPr="009D309B">
        <w:rPr>
          <w:rFonts w:asciiTheme="minorHAnsi" w:hAnsiTheme="minorHAnsi" w:cstheme="minorHAnsi"/>
          <w:sz w:val="22"/>
          <w:szCs w:val="22"/>
        </w:rPr>
        <w:t xml:space="preserve"> </w:t>
      </w:r>
      <w:r w:rsidR="003B1D01" w:rsidRPr="009D309B">
        <w:rPr>
          <w:rFonts w:asciiTheme="minorHAnsi" w:hAnsiTheme="minorHAnsi" w:cstheme="minorHAnsi"/>
          <w:sz w:val="22"/>
          <w:szCs w:val="22"/>
        </w:rPr>
        <w:t>publish</w:t>
      </w:r>
      <w:r w:rsidR="00102CFC" w:rsidRPr="009D309B">
        <w:rPr>
          <w:rFonts w:asciiTheme="minorHAnsi" w:hAnsiTheme="minorHAnsi" w:cstheme="minorHAnsi"/>
          <w:sz w:val="22"/>
          <w:szCs w:val="22"/>
        </w:rPr>
        <w:t xml:space="preserve"> proposed data matching activities </w:t>
      </w:r>
      <w:r w:rsidR="00A92DF9" w:rsidRPr="009D309B">
        <w:rPr>
          <w:rFonts w:asciiTheme="minorHAnsi" w:hAnsiTheme="minorHAnsi" w:cstheme="minorHAnsi"/>
          <w:sz w:val="22"/>
          <w:szCs w:val="22"/>
        </w:rPr>
        <w:t>through publication of all data matching protocols and a public notice in the Commonwealth Government Gazette.</w:t>
      </w:r>
    </w:p>
    <w:p w14:paraId="5FC3A106" w14:textId="5C21A6EC" w:rsidR="00E06649" w:rsidRPr="009D309B" w:rsidRDefault="00E06649" w:rsidP="00056700">
      <w:pPr>
        <w:tabs>
          <w:tab w:val="right" w:pos="9072"/>
        </w:tabs>
        <w:rPr>
          <w:rFonts w:asciiTheme="minorHAnsi" w:hAnsiTheme="minorHAnsi" w:cstheme="minorHAnsi"/>
          <w:b/>
          <w:sz w:val="22"/>
          <w:szCs w:val="22"/>
        </w:rPr>
      </w:pPr>
    </w:p>
    <w:p w14:paraId="1C18956D" w14:textId="545EAF9E" w:rsidR="00A27AEC" w:rsidRPr="009D309B" w:rsidRDefault="00A27AEC" w:rsidP="00056700">
      <w:pPr>
        <w:tabs>
          <w:tab w:val="right" w:pos="9072"/>
        </w:tabs>
        <w:rPr>
          <w:rFonts w:asciiTheme="minorHAnsi" w:hAnsiTheme="minorHAnsi" w:cstheme="minorHAnsi"/>
          <w:b/>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065"/>
      </w:tblGrid>
      <w:tr w:rsidR="00A16645" w:rsidRPr="009D309B" w14:paraId="7C95F0CE" w14:textId="77777777" w:rsidTr="005D1632">
        <w:trPr>
          <w:trHeight w:val="841"/>
        </w:trPr>
        <w:tc>
          <w:tcPr>
            <w:tcW w:w="10065" w:type="dxa"/>
            <w:shd w:val="clear" w:color="auto" w:fill="B8CCE4" w:themeFill="accent1" w:themeFillTint="66"/>
          </w:tcPr>
          <w:p w14:paraId="4C6A912C" w14:textId="4F72CED4" w:rsidR="00A16645" w:rsidRDefault="00A16645"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 xml:space="preserve">Recommendation 4 – </w:t>
            </w:r>
            <w:r w:rsidR="003F47CB" w:rsidRPr="005D1632">
              <w:rPr>
                <w:rFonts w:asciiTheme="minorHAnsi" w:hAnsiTheme="minorHAnsi" w:cstheme="minorHAnsi"/>
                <w:b/>
                <w:sz w:val="28"/>
                <w:szCs w:val="28"/>
              </w:rPr>
              <w:t>Improve openness and transparency at partner agencies / data sources regarding data sharing / data matching with the Department of Health</w:t>
            </w:r>
          </w:p>
          <w:p w14:paraId="02756892" w14:textId="77777777" w:rsidR="005D1632" w:rsidRPr="005D1632" w:rsidRDefault="005D1632" w:rsidP="005D1632">
            <w:pPr>
              <w:tabs>
                <w:tab w:val="right" w:pos="9072"/>
              </w:tabs>
              <w:rPr>
                <w:rFonts w:asciiTheme="minorHAnsi" w:hAnsiTheme="minorHAnsi" w:cstheme="minorHAnsi"/>
                <w:b/>
                <w:sz w:val="28"/>
                <w:szCs w:val="28"/>
              </w:rPr>
            </w:pPr>
          </w:p>
          <w:p w14:paraId="55A2CC9D" w14:textId="29E04C71" w:rsidR="003F47CB" w:rsidRDefault="003F47CB" w:rsidP="005D1632">
            <w:pPr>
              <w:rPr>
                <w:rFonts w:asciiTheme="minorHAnsi" w:hAnsiTheme="minorHAnsi" w:cstheme="minorHAnsi"/>
                <w:sz w:val="22"/>
                <w:szCs w:val="22"/>
              </w:rPr>
            </w:pPr>
            <w:r w:rsidRPr="005D1632">
              <w:rPr>
                <w:rFonts w:asciiTheme="minorHAnsi" w:hAnsiTheme="minorHAnsi" w:cstheme="minorHAnsi"/>
                <w:sz w:val="22"/>
                <w:szCs w:val="22"/>
              </w:rPr>
              <w:t>The Department of Health should take steps to encourage improved openness and transparency at partner agencies and data sources regarding data sharing / data matching activities. This could include provisions in the data sharing agreements and regular checks and updates. Openness and transparency at partner agencies and data sources could be improved by:</w:t>
            </w:r>
          </w:p>
          <w:p w14:paraId="1CE160FF" w14:textId="77777777" w:rsidR="005D1632" w:rsidRPr="005D1632" w:rsidRDefault="005D1632" w:rsidP="005D1632">
            <w:pPr>
              <w:rPr>
                <w:rFonts w:asciiTheme="minorHAnsi" w:hAnsiTheme="minorHAnsi" w:cstheme="minorHAnsi"/>
                <w:sz w:val="22"/>
                <w:szCs w:val="22"/>
              </w:rPr>
            </w:pPr>
          </w:p>
          <w:p w14:paraId="619096DF" w14:textId="42F89423" w:rsidR="003F47CB" w:rsidRPr="005D1632" w:rsidRDefault="003F47CB" w:rsidP="005D1632">
            <w:pPr>
              <w:rPr>
                <w:rFonts w:asciiTheme="minorHAnsi" w:hAnsiTheme="minorHAnsi" w:cstheme="minorHAnsi"/>
                <w:sz w:val="22"/>
                <w:szCs w:val="22"/>
              </w:rPr>
            </w:pPr>
            <w:r w:rsidRPr="005D1632">
              <w:rPr>
                <w:rFonts w:asciiTheme="minorHAnsi" w:hAnsiTheme="minorHAnsi" w:cstheme="minorHAnsi"/>
                <w:sz w:val="22"/>
                <w:szCs w:val="22"/>
              </w:rPr>
              <w:t xml:space="preserve">1. </w:t>
            </w:r>
            <w:r w:rsidR="005D1632">
              <w:rPr>
                <w:rFonts w:asciiTheme="minorHAnsi" w:hAnsiTheme="minorHAnsi" w:cstheme="minorHAnsi"/>
                <w:sz w:val="22"/>
                <w:szCs w:val="22"/>
              </w:rPr>
              <w:tab/>
            </w:r>
            <w:r w:rsidRPr="005D1632">
              <w:rPr>
                <w:rFonts w:asciiTheme="minorHAnsi" w:hAnsiTheme="minorHAnsi" w:cstheme="minorHAnsi"/>
                <w:sz w:val="22"/>
                <w:szCs w:val="22"/>
              </w:rPr>
              <w:t xml:space="preserve">Changes to relevant privacy policies, naming the Department of Health as an entity that shares / </w:t>
            </w:r>
            <w:r w:rsidR="005D1632">
              <w:rPr>
                <w:rFonts w:asciiTheme="minorHAnsi" w:hAnsiTheme="minorHAnsi" w:cstheme="minorHAnsi"/>
                <w:sz w:val="22"/>
                <w:szCs w:val="22"/>
              </w:rPr>
              <w:tab/>
            </w:r>
            <w:r w:rsidRPr="005D1632">
              <w:rPr>
                <w:rFonts w:asciiTheme="minorHAnsi" w:hAnsiTheme="minorHAnsi" w:cstheme="minorHAnsi"/>
                <w:sz w:val="22"/>
                <w:szCs w:val="22"/>
              </w:rPr>
              <w:t>receives data; and</w:t>
            </w:r>
          </w:p>
          <w:p w14:paraId="1F48C4DF" w14:textId="55DAC13E" w:rsidR="003F47CB" w:rsidRPr="005D1632" w:rsidRDefault="003F47CB" w:rsidP="005D1632">
            <w:pPr>
              <w:rPr>
                <w:rFonts w:asciiTheme="minorHAnsi" w:hAnsiTheme="minorHAnsi" w:cstheme="minorHAnsi"/>
                <w:sz w:val="22"/>
                <w:szCs w:val="22"/>
              </w:rPr>
            </w:pPr>
            <w:r w:rsidRPr="005D1632">
              <w:rPr>
                <w:rFonts w:asciiTheme="minorHAnsi" w:hAnsiTheme="minorHAnsi" w:cstheme="minorHAnsi"/>
                <w:sz w:val="22"/>
                <w:szCs w:val="22"/>
              </w:rPr>
              <w:t xml:space="preserve">2. </w:t>
            </w:r>
            <w:r w:rsidR="005D1632">
              <w:rPr>
                <w:rFonts w:asciiTheme="minorHAnsi" w:hAnsiTheme="minorHAnsi" w:cstheme="minorHAnsi"/>
                <w:sz w:val="22"/>
                <w:szCs w:val="22"/>
              </w:rPr>
              <w:tab/>
            </w:r>
            <w:r w:rsidRPr="005D1632">
              <w:rPr>
                <w:rFonts w:asciiTheme="minorHAnsi" w:hAnsiTheme="minorHAnsi" w:cstheme="minorHAnsi"/>
                <w:sz w:val="22"/>
                <w:szCs w:val="22"/>
              </w:rPr>
              <w:t xml:space="preserve">Online information and resources, or links to the Department of Health online resource established </w:t>
            </w:r>
            <w:r w:rsidR="005D1632">
              <w:rPr>
                <w:rFonts w:asciiTheme="minorHAnsi" w:hAnsiTheme="minorHAnsi" w:cstheme="minorHAnsi"/>
                <w:sz w:val="22"/>
                <w:szCs w:val="22"/>
              </w:rPr>
              <w:tab/>
            </w:r>
            <w:r w:rsidRPr="005D1632">
              <w:rPr>
                <w:rFonts w:asciiTheme="minorHAnsi" w:hAnsiTheme="minorHAnsi" w:cstheme="minorHAnsi"/>
                <w:sz w:val="22"/>
                <w:szCs w:val="22"/>
              </w:rPr>
              <w:t xml:space="preserve">under </w:t>
            </w:r>
            <w:hyperlink w:anchor="_71rmymedfxdc">
              <w:r w:rsidRPr="005D1632">
                <w:rPr>
                  <w:rFonts w:asciiTheme="minorHAnsi" w:hAnsiTheme="minorHAnsi" w:cstheme="minorHAnsi"/>
                  <w:sz w:val="22"/>
                  <w:szCs w:val="22"/>
                </w:rPr>
                <w:t>Recommendation 3</w:t>
              </w:r>
            </w:hyperlink>
            <w:r w:rsidRPr="005D1632">
              <w:rPr>
                <w:rFonts w:asciiTheme="minorHAnsi" w:hAnsiTheme="minorHAnsi" w:cstheme="minorHAnsi"/>
                <w:sz w:val="22"/>
                <w:szCs w:val="22"/>
              </w:rPr>
              <w:t>.</w:t>
            </w:r>
          </w:p>
          <w:p w14:paraId="27477D12" w14:textId="010105D1" w:rsidR="005D1632" w:rsidRPr="009D309B" w:rsidRDefault="005D1632" w:rsidP="00B451FE">
            <w:pPr>
              <w:ind w:left="358"/>
              <w:rPr>
                <w:rFonts w:asciiTheme="minorHAnsi" w:hAnsiTheme="minorHAnsi" w:cstheme="minorHAnsi"/>
                <w:b/>
                <w:sz w:val="22"/>
                <w:szCs w:val="22"/>
              </w:rPr>
            </w:pPr>
          </w:p>
        </w:tc>
      </w:tr>
    </w:tbl>
    <w:p w14:paraId="51724B2C" w14:textId="7301137E" w:rsidR="003F47CB" w:rsidRPr="009D309B" w:rsidRDefault="003F47CB" w:rsidP="00DB6450">
      <w:pPr>
        <w:tabs>
          <w:tab w:val="right" w:pos="9072"/>
        </w:tabs>
        <w:rPr>
          <w:rFonts w:asciiTheme="minorHAnsi" w:hAnsiTheme="minorHAnsi" w:cstheme="minorHAnsi"/>
          <w:b/>
          <w:sz w:val="22"/>
          <w:szCs w:val="22"/>
        </w:rPr>
      </w:pPr>
    </w:p>
    <w:p w14:paraId="0B55B8CB" w14:textId="4D722B86" w:rsidR="00B451FE" w:rsidRPr="00A27AEC" w:rsidRDefault="00754965" w:rsidP="00DB6450">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2FFC91CA" w14:textId="77777777" w:rsidR="005D1632" w:rsidRPr="009D309B" w:rsidRDefault="005D1632" w:rsidP="00DB6450">
      <w:pPr>
        <w:tabs>
          <w:tab w:val="right" w:pos="9072"/>
        </w:tabs>
        <w:rPr>
          <w:rFonts w:asciiTheme="minorHAnsi" w:hAnsiTheme="minorHAnsi" w:cstheme="minorHAnsi"/>
          <w:b/>
          <w:sz w:val="22"/>
          <w:szCs w:val="22"/>
        </w:rPr>
      </w:pPr>
    </w:p>
    <w:p w14:paraId="7EA43399" w14:textId="7E54D67A" w:rsidR="005D1632" w:rsidRPr="00A27AEC" w:rsidRDefault="00753991" w:rsidP="00753991">
      <w:pPr>
        <w:rPr>
          <w:rFonts w:asciiTheme="minorHAnsi" w:hAnsiTheme="minorHAnsi" w:cstheme="minorHAnsi"/>
          <w:b/>
          <w:sz w:val="22"/>
          <w:szCs w:val="22"/>
        </w:rPr>
      </w:pPr>
      <w:r w:rsidRPr="005D1632">
        <w:rPr>
          <w:rFonts w:asciiTheme="minorHAnsi" w:hAnsiTheme="minorHAnsi" w:cstheme="minorHAnsi"/>
          <w:b/>
          <w:sz w:val="22"/>
          <w:szCs w:val="22"/>
        </w:rPr>
        <w:t>Agreed.</w:t>
      </w:r>
    </w:p>
    <w:p w14:paraId="7BCB7C0C" w14:textId="729DE173" w:rsidR="00953EB1" w:rsidRDefault="00953EB1" w:rsidP="00953EB1">
      <w:pPr>
        <w:rPr>
          <w:rFonts w:asciiTheme="minorHAnsi" w:hAnsiTheme="minorHAnsi" w:cstheme="minorHAnsi"/>
          <w:sz w:val="22"/>
          <w:szCs w:val="22"/>
        </w:rPr>
      </w:pPr>
      <w:r w:rsidRPr="009D309B">
        <w:rPr>
          <w:rFonts w:asciiTheme="minorHAnsi" w:hAnsiTheme="minorHAnsi" w:cstheme="minorHAnsi"/>
          <w:sz w:val="22"/>
          <w:szCs w:val="22"/>
        </w:rPr>
        <w:t xml:space="preserve">Health will work with partner agencies to </w:t>
      </w:r>
      <w:r w:rsidR="009D309B" w:rsidRPr="009D309B">
        <w:rPr>
          <w:rFonts w:asciiTheme="minorHAnsi" w:hAnsiTheme="minorHAnsi" w:cstheme="minorHAnsi"/>
          <w:sz w:val="22"/>
          <w:szCs w:val="22"/>
        </w:rPr>
        <w:t xml:space="preserve">ensure transparency and awareness that </w:t>
      </w:r>
      <w:r w:rsidRPr="009D309B">
        <w:rPr>
          <w:rFonts w:asciiTheme="minorHAnsi" w:hAnsiTheme="minorHAnsi" w:cstheme="minorHAnsi"/>
          <w:sz w:val="22"/>
          <w:szCs w:val="22"/>
        </w:rPr>
        <w:t>data is collected and used for Medicare compliance purposes</w:t>
      </w:r>
      <w:r w:rsidR="00B37948">
        <w:rPr>
          <w:rFonts w:asciiTheme="minorHAnsi" w:hAnsiTheme="minorHAnsi" w:cstheme="minorHAnsi"/>
          <w:sz w:val="22"/>
          <w:szCs w:val="22"/>
        </w:rPr>
        <w:t>,</w:t>
      </w:r>
      <w:r w:rsidRPr="009D309B">
        <w:rPr>
          <w:rFonts w:asciiTheme="minorHAnsi" w:hAnsiTheme="minorHAnsi" w:cstheme="minorHAnsi"/>
          <w:sz w:val="22"/>
          <w:szCs w:val="22"/>
        </w:rPr>
        <w:t xml:space="preserve"> and to ensure that relevant information is available in partner agencies’ privacy policies and online resources.</w:t>
      </w:r>
    </w:p>
    <w:p w14:paraId="7411C410" w14:textId="77777777" w:rsidR="005D1632" w:rsidRPr="009D309B" w:rsidRDefault="005D1632" w:rsidP="00953EB1">
      <w:pPr>
        <w:rPr>
          <w:rFonts w:asciiTheme="minorHAnsi" w:hAnsiTheme="minorHAnsi" w:cstheme="minorHAnsi"/>
          <w:sz w:val="22"/>
          <w:szCs w:val="22"/>
        </w:rPr>
      </w:pPr>
    </w:p>
    <w:p w14:paraId="5D16510A" w14:textId="77777777" w:rsidR="00B451FE" w:rsidRPr="009D309B" w:rsidRDefault="00B451FE" w:rsidP="00DB6450">
      <w:pPr>
        <w:tabs>
          <w:tab w:val="right" w:pos="9072"/>
        </w:tabs>
        <w:rPr>
          <w:rFonts w:asciiTheme="minorHAnsi" w:hAnsiTheme="minorHAnsi" w:cstheme="minorHAnsi"/>
          <w:b/>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065"/>
      </w:tblGrid>
      <w:tr w:rsidR="003F47CB" w:rsidRPr="009D309B" w14:paraId="2C4593C4" w14:textId="77777777" w:rsidTr="005D1632">
        <w:trPr>
          <w:trHeight w:val="1933"/>
        </w:trPr>
        <w:tc>
          <w:tcPr>
            <w:tcW w:w="10065" w:type="dxa"/>
            <w:shd w:val="clear" w:color="auto" w:fill="B8CCE4" w:themeFill="accent1" w:themeFillTint="66"/>
          </w:tcPr>
          <w:p w14:paraId="5D04E3DF" w14:textId="6BA9E546" w:rsidR="003F47CB" w:rsidRDefault="003F47CB"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lastRenderedPageBreak/>
              <w:t>Recommendation 5 – Minimisation of data collection</w:t>
            </w:r>
          </w:p>
          <w:p w14:paraId="6FCD94B4" w14:textId="77777777" w:rsidR="005D1632" w:rsidRPr="005D1632" w:rsidRDefault="005D1632" w:rsidP="005D1632">
            <w:pPr>
              <w:rPr>
                <w:rFonts w:asciiTheme="minorHAnsi" w:hAnsiTheme="minorHAnsi" w:cstheme="minorHAnsi"/>
                <w:sz w:val="22"/>
                <w:szCs w:val="22"/>
              </w:rPr>
            </w:pPr>
          </w:p>
          <w:p w14:paraId="47DBCA1B" w14:textId="10A027BB" w:rsidR="003F47CB" w:rsidRPr="005D1632" w:rsidRDefault="003F47CB" w:rsidP="005D1632">
            <w:pPr>
              <w:rPr>
                <w:rFonts w:asciiTheme="minorHAnsi" w:hAnsiTheme="minorHAnsi" w:cstheme="minorHAnsi"/>
                <w:sz w:val="22"/>
                <w:szCs w:val="22"/>
              </w:rPr>
            </w:pPr>
            <w:r w:rsidRPr="005D1632">
              <w:rPr>
                <w:rFonts w:asciiTheme="minorHAnsi" w:hAnsiTheme="minorHAnsi" w:cstheme="minorHAnsi"/>
                <w:sz w:val="22"/>
                <w:szCs w:val="22"/>
              </w:rPr>
              <w:t xml:space="preserve">The </w:t>
            </w:r>
            <w:r w:rsidR="00B451FE" w:rsidRPr="005D1632">
              <w:rPr>
                <w:rFonts w:asciiTheme="minorHAnsi" w:hAnsiTheme="minorHAnsi" w:cstheme="minorHAnsi"/>
                <w:sz w:val="22"/>
                <w:szCs w:val="22"/>
              </w:rPr>
              <w:t xml:space="preserve">systems and processes for proposed </w:t>
            </w:r>
            <w:r w:rsidRPr="005D1632">
              <w:rPr>
                <w:rFonts w:asciiTheme="minorHAnsi" w:hAnsiTheme="minorHAnsi" w:cstheme="minorHAnsi"/>
                <w:sz w:val="22"/>
                <w:szCs w:val="22"/>
              </w:rPr>
              <w:t>data sharing / data matching arrangements should require the minimisation of personal data collection by:</w:t>
            </w:r>
          </w:p>
          <w:p w14:paraId="0F0C5FEF" w14:textId="77777777" w:rsidR="005D1632" w:rsidRDefault="005D1632" w:rsidP="003F47CB">
            <w:pPr>
              <w:rPr>
                <w:rFonts w:asciiTheme="minorHAnsi" w:hAnsiTheme="minorHAnsi" w:cstheme="minorHAnsi"/>
                <w:sz w:val="22"/>
                <w:szCs w:val="22"/>
              </w:rPr>
            </w:pPr>
          </w:p>
          <w:p w14:paraId="55E55210" w14:textId="6D97D889"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 xml:space="preserve">1. </w:t>
            </w:r>
            <w:r w:rsidR="005D1632">
              <w:rPr>
                <w:rFonts w:asciiTheme="minorHAnsi" w:hAnsiTheme="minorHAnsi" w:cstheme="minorHAnsi"/>
                <w:sz w:val="22"/>
                <w:szCs w:val="22"/>
              </w:rPr>
              <w:tab/>
            </w:r>
            <w:r w:rsidRPr="005D1632">
              <w:rPr>
                <w:rFonts w:asciiTheme="minorHAnsi" w:hAnsiTheme="minorHAnsi" w:cstheme="minorHAnsi"/>
                <w:sz w:val="22"/>
                <w:szCs w:val="22"/>
              </w:rPr>
              <w:t>Only collecting data fields that are necessary;</w:t>
            </w:r>
          </w:p>
          <w:p w14:paraId="598A0B00" w14:textId="7D4511B0"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 xml:space="preserve">2. </w:t>
            </w:r>
            <w:r w:rsidR="005D1632">
              <w:rPr>
                <w:rFonts w:asciiTheme="minorHAnsi" w:hAnsiTheme="minorHAnsi" w:cstheme="minorHAnsi"/>
                <w:sz w:val="22"/>
                <w:szCs w:val="22"/>
              </w:rPr>
              <w:tab/>
            </w:r>
            <w:r w:rsidRPr="005D1632">
              <w:rPr>
                <w:rFonts w:asciiTheme="minorHAnsi" w:hAnsiTheme="minorHAnsi" w:cstheme="minorHAnsi"/>
                <w:sz w:val="22"/>
                <w:szCs w:val="22"/>
              </w:rPr>
              <w:t>Excluding irrelevant data subjects where possible;</w:t>
            </w:r>
          </w:p>
          <w:p w14:paraId="1FD4DB04" w14:textId="17B755A9"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 xml:space="preserve">3. </w:t>
            </w:r>
            <w:r w:rsidR="005D1632">
              <w:rPr>
                <w:rFonts w:asciiTheme="minorHAnsi" w:hAnsiTheme="minorHAnsi" w:cstheme="minorHAnsi"/>
                <w:sz w:val="22"/>
                <w:szCs w:val="22"/>
              </w:rPr>
              <w:tab/>
            </w:r>
            <w:r w:rsidRPr="005D1632">
              <w:rPr>
                <w:rFonts w:asciiTheme="minorHAnsi" w:hAnsiTheme="minorHAnsi" w:cstheme="minorHAnsi"/>
                <w:sz w:val="22"/>
                <w:szCs w:val="22"/>
              </w:rPr>
              <w:t>Using data verification (e.g. Yes/No responses) rather than data collection where possible.</w:t>
            </w:r>
          </w:p>
          <w:p w14:paraId="21ED6B99" w14:textId="77777777" w:rsidR="003F47CB" w:rsidRPr="009D309B" w:rsidRDefault="003F47CB" w:rsidP="00B17936">
            <w:pPr>
              <w:tabs>
                <w:tab w:val="right" w:pos="9072"/>
              </w:tabs>
              <w:ind w:left="193"/>
              <w:rPr>
                <w:rFonts w:asciiTheme="minorHAnsi" w:hAnsiTheme="minorHAnsi" w:cstheme="minorHAnsi"/>
                <w:b/>
                <w:sz w:val="22"/>
                <w:szCs w:val="22"/>
              </w:rPr>
            </w:pPr>
          </w:p>
        </w:tc>
      </w:tr>
    </w:tbl>
    <w:p w14:paraId="3CFB0207" w14:textId="71BB0F66" w:rsidR="003F47CB" w:rsidRPr="009D309B" w:rsidRDefault="003F47CB" w:rsidP="003F47CB">
      <w:pPr>
        <w:tabs>
          <w:tab w:val="right" w:pos="9072"/>
        </w:tabs>
        <w:rPr>
          <w:rFonts w:asciiTheme="minorHAnsi" w:hAnsiTheme="minorHAnsi" w:cstheme="minorHAnsi"/>
          <w:b/>
          <w:sz w:val="22"/>
          <w:szCs w:val="22"/>
        </w:rPr>
      </w:pPr>
    </w:p>
    <w:p w14:paraId="304AAE19" w14:textId="1CA56517" w:rsidR="003F47CB"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20494AB2" w14:textId="77777777" w:rsidR="00AB54D4" w:rsidRPr="009D309B" w:rsidRDefault="00AB54D4" w:rsidP="00753991">
      <w:pPr>
        <w:rPr>
          <w:rFonts w:asciiTheme="minorHAnsi" w:hAnsiTheme="minorHAnsi" w:cstheme="minorHAnsi"/>
          <w:sz w:val="22"/>
          <w:szCs w:val="22"/>
        </w:rPr>
      </w:pPr>
    </w:p>
    <w:p w14:paraId="362FC655" w14:textId="3C5DC14E" w:rsidR="005D1632" w:rsidRPr="005D1632" w:rsidRDefault="00753991" w:rsidP="00753991">
      <w:pPr>
        <w:rPr>
          <w:rFonts w:asciiTheme="minorHAnsi" w:hAnsiTheme="minorHAnsi" w:cstheme="minorHAnsi"/>
          <w:b/>
          <w:sz w:val="22"/>
          <w:szCs w:val="22"/>
        </w:rPr>
      </w:pPr>
      <w:r w:rsidRPr="005D1632">
        <w:rPr>
          <w:rFonts w:asciiTheme="minorHAnsi" w:hAnsiTheme="minorHAnsi" w:cstheme="minorHAnsi"/>
          <w:b/>
          <w:sz w:val="22"/>
          <w:szCs w:val="22"/>
        </w:rPr>
        <w:t>Agreed.</w:t>
      </w:r>
    </w:p>
    <w:p w14:paraId="6CBD00F2" w14:textId="4B5B8E81" w:rsidR="000A17C9" w:rsidRPr="009D309B" w:rsidRDefault="000A17C9" w:rsidP="000A17C9">
      <w:pPr>
        <w:rPr>
          <w:rFonts w:asciiTheme="minorHAnsi" w:hAnsiTheme="minorHAnsi" w:cstheme="minorHAnsi"/>
          <w:sz w:val="22"/>
          <w:szCs w:val="22"/>
        </w:rPr>
      </w:pPr>
      <w:r w:rsidRPr="009D309B">
        <w:rPr>
          <w:rFonts w:asciiTheme="minorHAnsi" w:hAnsiTheme="minorHAnsi" w:cstheme="minorHAnsi"/>
          <w:sz w:val="22"/>
          <w:szCs w:val="22"/>
        </w:rPr>
        <w:t xml:space="preserve">The </w:t>
      </w:r>
      <w:r w:rsidR="00B37948">
        <w:rPr>
          <w:rFonts w:asciiTheme="minorHAnsi" w:hAnsiTheme="minorHAnsi" w:cstheme="minorHAnsi"/>
          <w:sz w:val="22"/>
          <w:szCs w:val="22"/>
        </w:rPr>
        <w:t>legislation</w:t>
      </w:r>
      <w:r w:rsidR="00B37948" w:rsidRPr="009D309B">
        <w:rPr>
          <w:rFonts w:asciiTheme="minorHAnsi" w:hAnsiTheme="minorHAnsi" w:cstheme="minorHAnsi"/>
          <w:sz w:val="22"/>
          <w:szCs w:val="22"/>
        </w:rPr>
        <w:t xml:space="preserve"> </w:t>
      </w:r>
      <w:r w:rsidR="00FE40D9" w:rsidRPr="009D309B">
        <w:rPr>
          <w:rFonts w:asciiTheme="minorHAnsi" w:hAnsiTheme="minorHAnsi" w:cstheme="minorHAnsi"/>
          <w:sz w:val="22"/>
          <w:szCs w:val="22"/>
        </w:rPr>
        <w:t>will require</w:t>
      </w:r>
      <w:r w:rsidRPr="009D309B">
        <w:rPr>
          <w:rFonts w:asciiTheme="minorHAnsi" w:hAnsiTheme="minorHAnsi" w:cstheme="minorHAnsi"/>
          <w:sz w:val="22"/>
          <w:szCs w:val="22"/>
        </w:rPr>
        <w:t xml:space="preserve"> the Chief Executive Medicare to establish and maintain systems and </w:t>
      </w:r>
      <w:r w:rsidR="003B1D01" w:rsidRPr="009D309B">
        <w:rPr>
          <w:rFonts w:asciiTheme="minorHAnsi" w:hAnsiTheme="minorHAnsi" w:cstheme="minorHAnsi"/>
          <w:sz w:val="22"/>
          <w:szCs w:val="22"/>
        </w:rPr>
        <w:t>processes, which will require</w:t>
      </w:r>
      <w:r w:rsidR="00736E2F">
        <w:rPr>
          <w:rFonts w:asciiTheme="minorHAnsi" w:hAnsiTheme="minorHAnsi" w:cstheme="minorHAnsi"/>
          <w:sz w:val="22"/>
          <w:szCs w:val="22"/>
        </w:rPr>
        <w:t xml:space="preserve"> </w:t>
      </w:r>
      <w:r w:rsidR="003B1D01" w:rsidRPr="009D309B">
        <w:rPr>
          <w:rFonts w:asciiTheme="minorHAnsi" w:hAnsiTheme="minorHAnsi" w:cstheme="minorHAnsi"/>
          <w:sz w:val="22"/>
          <w:szCs w:val="22"/>
        </w:rPr>
        <w:t xml:space="preserve">the </w:t>
      </w:r>
      <w:r w:rsidR="00AA74B0" w:rsidRPr="009D309B">
        <w:rPr>
          <w:rFonts w:asciiTheme="minorHAnsi" w:hAnsiTheme="minorHAnsi" w:cstheme="minorHAnsi"/>
          <w:sz w:val="22"/>
          <w:szCs w:val="22"/>
        </w:rPr>
        <w:t>use</w:t>
      </w:r>
      <w:r w:rsidR="00D357AE" w:rsidRPr="009D309B">
        <w:rPr>
          <w:rFonts w:asciiTheme="minorHAnsi" w:hAnsiTheme="minorHAnsi" w:cstheme="minorHAnsi"/>
          <w:sz w:val="22"/>
          <w:szCs w:val="22"/>
        </w:rPr>
        <w:t xml:space="preserve"> </w:t>
      </w:r>
      <w:r w:rsidR="00B37948">
        <w:rPr>
          <w:rFonts w:asciiTheme="minorHAnsi" w:hAnsiTheme="minorHAnsi" w:cstheme="minorHAnsi"/>
          <w:sz w:val="22"/>
          <w:szCs w:val="22"/>
        </w:rPr>
        <w:t xml:space="preserve">of </w:t>
      </w:r>
      <w:r w:rsidR="00D357AE" w:rsidRPr="009D309B">
        <w:rPr>
          <w:rFonts w:asciiTheme="minorHAnsi" w:hAnsiTheme="minorHAnsi" w:cstheme="minorHAnsi"/>
          <w:sz w:val="22"/>
          <w:szCs w:val="22"/>
        </w:rPr>
        <w:t xml:space="preserve">information </w:t>
      </w:r>
      <w:r w:rsidR="003B1D01" w:rsidRPr="009D309B">
        <w:rPr>
          <w:rFonts w:asciiTheme="minorHAnsi" w:hAnsiTheme="minorHAnsi" w:cstheme="minorHAnsi"/>
          <w:sz w:val="22"/>
          <w:szCs w:val="22"/>
        </w:rPr>
        <w:t>is limited to what</w:t>
      </w:r>
      <w:r w:rsidR="00D357AE" w:rsidRPr="009D309B">
        <w:rPr>
          <w:rFonts w:asciiTheme="minorHAnsi" w:hAnsiTheme="minorHAnsi" w:cstheme="minorHAnsi"/>
          <w:sz w:val="22"/>
          <w:szCs w:val="22"/>
        </w:rPr>
        <w:t xml:space="preserve"> is </w:t>
      </w:r>
      <w:r w:rsidR="0095063B" w:rsidRPr="009D309B">
        <w:rPr>
          <w:rFonts w:asciiTheme="minorHAnsi" w:hAnsiTheme="minorHAnsi" w:cstheme="minorHAnsi"/>
          <w:sz w:val="22"/>
          <w:szCs w:val="22"/>
        </w:rPr>
        <w:t xml:space="preserve">reasonably </w:t>
      </w:r>
      <w:r w:rsidR="00D357AE" w:rsidRPr="009D309B">
        <w:rPr>
          <w:rFonts w:asciiTheme="minorHAnsi" w:hAnsiTheme="minorHAnsi" w:cstheme="minorHAnsi"/>
          <w:sz w:val="22"/>
          <w:szCs w:val="22"/>
        </w:rPr>
        <w:t xml:space="preserve">necessary for the purpose of data </w:t>
      </w:r>
      <w:r w:rsidR="00FE40D9" w:rsidRPr="009D309B">
        <w:rPr>
          <w:rFonts w:asciiTheme="minorHAnsi" w:hAnsiTheme="minorHAnsi" w:cstheme="minorHAnsi"/>
          <w:sz w:val="22"/>
          <w:szCs w:val="22"/>
        </w:rPr>
        <w:t>matching for permitted purposes</w:t>
      </w:r>
      <w:r w:rsidRPr="009D309B">
        <w:rPr>
          <w:rFonts w:asciiTheme="minorHAnsi" w:hAnsiTheme="minorHAnsi" w:cstheme="minorHAnsi"/>
          <w:sz w:val="22"/>
          <w:szCs w:val="22"/>
        </w:rPr>
        <w:t>.</w:t>
      </w:r>
    </w:p>
    <w:p w14:paraId="6D080A4A" w14:textId="1085B6A9" w:rsidR="00FE40D9" w:rsidRPr="009D309B" w:rsidRDefault="00FE40D9" w:rsidP="000A17C9">
      <w:pPr>
        <w:rPr>
          <w:rFonts w:asciiTheme="minorHAnsi" w:hAnsiTheme="minorHAnsi" w:cstheme="minorHAnsi"/>
          <w:sz w:val="22"/>
          <w:szCs w:val="22"/>
        </w:rPr>
      </w:pPr>
    </w:p>
    <w:p w14:paraId="74BD29E3" w14:textId="5484C72F" w:rsidR="00FE40D9" w:rsidRPr="009D309B" w:rsidRDefault="00AA74B0" w:rsidP="000A17C9">
      <w:pPr>
        <w:rPr>
          <w:rFonts w:asciiTheme="minorHAnsi" w:hAnsiTheme="minorHAnsi" w:cstheme="minorHAnsi"/>
          <w:sz w:val="22"/>
          <w:szCs w:val="22"/>
        </w:rPr>
      </w:pPr>
      <w:r w:rsidRPr="009D309B">
        <w:rPr>
          <w:rFonts w:asciiTheme="minorHAnsi" w:hAnsiTheme="minorHAnsi" w:cstheme="minorHAnsi"/>
          <w:sz w:val="22"/>
          <w:szCs w:val="22"/>
        </w:rPr>
        <w:t xml:space="preserve">In line with the </w:t>
      </w:r>
      <w:r w:rsidR="00FE40D9" w:rsidRPr="009D309B">
        <w:rPr>
          <w:rFonts w:asciiTheme="minorHAnsi" w:hAnsiTheme="minorHAnsi" w:cstheme="minorHAnsi"/>
          <w:sz w:val="22"/>
          <w:szCs w:val="22"/>
        </w:rPr>
        <w:t>Guidelines</w:t>
      </w:r>
      <w:r w:rsidR="00B37948">
        <w:rPr>
          <w:rFonts w:asciiTheme="minorHAnsi" w:hAnsiTheme="minorHAnsi" w:cstheme="minorHAnsi"/>
          <w:sz w:val="22"/>
          <w:szCs w:val="22"/>
        </w:rPr>
        <w:t>, Health</w:t>
      </w:r>
      <w:r w:rsidR="0095063B" w:rsidRPr="009D309B">
        <w:rPr>
          <w:rFonts w:asciiTheme="minorHAnsi" w:hAnsiTheme="minorHAnsi" w:cstheme="minorHAnsi"/>
          <w:sz w:val="22"/>
          <w:szCs w:val="22"/>
        </w:rPr>
        <w:t xml:space="preserve"> </w:t>
      </w:r>
      <w:r w:rsidRPr="009D309B">
        <w:rPr>
          <w:rFonts w:asciiTheme="minorHAnsi" w:hAnsiTheme="minorHAnsi" w:cstheme="minorHAnsi"/>
          <w:sz w:val="22"/>
          <w:szCs w:val="22"/>
        </w:rPr>
        <w:t>will</w:t>
      </w:r>
      <w:r w:rsidR="0095063B" w:rsidRPr="009D309B">
        <w:rPr>
          <w:rFonts w:asciiTheme="minorHAnsi" w:hAnsiTheme="minorHAnsi" w:cstheme="minorHAnsi"/>
          <w:sz w:val="22"/>
          <w:szCs w:val="22"/>
        </w:rPr>
        <w:t xml:space="preserve"> prepare a program protocol and technical standards </w:t>
      </w:r>
      <w:r w:rsidR="00AB54D4" w:rsidRPr="009D309B">
        <w:rPr>
          <w:rFonts w:asciiTheme="minorHAnsi" w:hAnsiTheme="minorHAnsi" w:cstheme="minorHAnsi"/>
          <w:sz w:val="22"/>
          <w:szCs w:val="22"/>
        </w:rPr>
        <w:t>report</w:t>
      </w:r>
      <w:r w:rsidR="00F06517">
        <w:rPr>
          <w:rFonts w:asciiTheme="minorHAnsi" w:hAnsiTheme="minorHAnsi" w:cstheme="minorHAnsi"/>
          <w:sz w:val="22"/>
          <w:szCs w:val="22"/>
        </w:rPr>
        <w:t>,</w:t>
      </w:r>
      <w:r w:rsidR="00AB54D4" w:rsidRPr="009D309B">
        <w:rPr>
          <w:rFonts w:asciiTheme="minorHAnsi" w:hAnsiTheme="minorHAnsi" w:cstheme="minorHAnsi"/>
          <w:sz w:val="22"/>
          <w:szCs w:val="22"/>
        </w:rPr>
        <w:t xml:space="preserve"> </w:t>
      </w:r>
      <w:r w:rsidR="0095063B" w:rsidRPr="009D309B">
        <w:rPr>
          <w:rFonts w:asciiTheme="minorHAnsi" w:hAnsiTheme="minorHAnsi" w:cstheme="minorHAnsi"/>
          <w:sz w:val="22"/>
          <w:szCs w:val="22"/>
        </w:rPr>
        <w:t>which will detail the reasons for matching specific data fields</w:t>
      </w:r>
      <w:r w:rsidR="00F06517">
        <w:rPr>
          <w:rFonts w:asciiTheme="minorHAnsi" w:hAnsiTheme="minorHAnsi" w:cstheme="minorHAnsi"/>
          <w:sz w:val="22"/>
          <w:szCs w:val="22"/>
        </w:rPr>
        <w:t>,</w:t>
      </w:r>
      <w:r w:rsidR="0095063B" w:rsidRPr="009D309B">
        <w:rPr>
          <w:rFonts w:asciiTheme="minorHAnsi" w:hAnsiTheme="minorHAnsi" w:cstheme="minorHAnsi"/>
          <w:sz w:val="22"/>
          <w:szCs w:val="22"/>
        </w:rPr>
        <w:t xml:space="preserve"> that </w:t>
      </w:r>
      <w:r w:rsidRPr="009D309B">
        <w:rPr>
          <w:rFonts w:asciiTheme="minorHAnsi" w:hAnsiTheme="minorHAnsi" w:cstheme="minorHAnsi"/>
          <w:sz w:val="22"/>
          <w:szCs w:val="22"/>
        </w:rPr>
        <w:t>will</w:t>
      </w:r>
      <w:r w:rsidR="0095063B" w:rsidRPr="009D309B">
        <w:rPr>
          <w:rFonts w:asciiTheme="minorHAnsi" w:hAnsiTheme="minorHAnsi" w:cstheme="minorHAnsi"/>
          <w:sz w:val="22"/>
          <w:szCs w:val="22"/>
        </w:rPr>
        <w:t xml:space="preserve"> be submitted to </w:t>
      </w:r>
      <w:r w:rsidR="0096478F" w:rsidRPr="009D309B">
        <w:rPr>
          <w:rFonts w:asciiTheme="minorHAnsi" w:hAnsiTheme="minorHAnsi" w:cstheme="minorHAnsi"/>
          <w:sz w:val="22"/>
          <w:szCs w:val="22"/>
        </w:rPr>
        <w:t>and av</w:t>
      </w:r>
      <w:r w:rsidR="0095063B" w:rsidRPr="009D309B">
        <w:rPr>
          <w:rFonts w:asciiTheme="minorHAnsi" w:hAnsiTheme="minorHAnsi" w:cstheme="minorHAnsi"/>
          <w:sz w:val="22"/>
          <w:szCs w:val="22"/>
        </w:rPr>
        <w:t>ailable for review</w:t>
      </w:r>
      <w:r w:rsidR="0096478F" w:rsidRPr="009D309B">
        <w:rPr>
          <w:rFonts w:asciiTheme="minorHAnsi" w:hAnsiTheme="minorHAnsi" w:cstheme="minorHAnsi"/>
          <w:sz w:val="22"/>
          <w:szCs w:val="22"/>
        </w:rPr>
        <w:t xml:space="preserve"> by the OAIC</w:t>
      </w:r>
      <w:r w:rsidR="0095063B" w:rsidRPr="009D309B">
        <w:rPr>
          <w:rFonts w:asciiTheme="minorHAnsi" w:hAnsiTheme="minorHAnsi" w:cstheme="minorHAnsi"/>
          <w:sz w:val="22"/>
          <w:szCs w:val="22"/>
        </w:rPr>
        <w:t>.</w:t>
      </w:r>
    </w:p>
    <w:p w14:paraId="1023E7B1" w14:textId="77777777" w:rsidR="000A17C9" w:rsidRPr="009D309B" w:rsidRDefault="000A17C9" w:rsidP="003F47CB">
      <w:pPr>
        <w:tabs>
          <w:tab w:val="right" w:pos="9072"/>
        </w:tabs>
        <w:rPr>
          <w:rFonts w:asciiTheme="minorHAnsi" w:hAnsiTheme="minorHAnsi" w:cstheme="minorHAnsi"/>
          <w:b/>
          <w:sz w:val="22"/>
          <w:szCs w:val="22"/>
        </w:rPr>
      </w:pPr>
    </w:p>
    <w:p w14:paraId="3CD8F564" w14:textId="2D65EF5B" w:rsidR="003F47CB" w:rsidRPr="009D309B" w:rsidRDefault="003F47CB" w:rsidP="003F47CB">
      <w:pPr>
        <w:tabs>
          <w:tab w:val="right" w:pos="9072"/>
        </w:tabs>
        <w:rPr>
          <w:rFonts w:asciiTheme="minorHAnsi" w:hAnsiTheme="minorHAnsi" w:cstheme="minorHAnsi"/>
          <w:b/>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065"/>
      </w:tblGrid>
      <w:tr w:rsidR="003F47CB" w:rsidRPr="009D309B" w14:paraId="473C01D3" w14:textId="77777777" w:rsidTr="005D1632">
        <w:trPr>
          <w:trHeight w:val="1309"/>
        </w:trPr>
        <w:tc>
          <w:tcPr>
            <w:tcW w:w="10065" w:type="dxa"/>
            <w:shd w:val="clear" w:color="auto" w:fill="B8CCE4" w:themeFill="accent1" w:themeFillTint="66"/>
          </w:tcPr>
          <w:p w14:paraId="73116C41" w14:textId="7E5A5960" w:rsidR="003F47CB" w:rsidRDefault="00D93737" w:rsidP="009D309B">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Recommendation 6</w:t>
            </w:r>
            <w:r w:rsidR="003F47CB" w:rsidRPr="005D1632">
              <w:rPr>
                <w:rFonts w:asciiTheme="minorHAnsi" w:hAnsiTheme="minorHAnsi" w:cstheme="minorHAnsi"/>
                <w:b/>
                <w:sz w:val="28"/>
                <w:szCs w:val="28"/>
              </w:rPr>
              <w:t xml:space="preserve"> – Amend </w:t>
            </w:r>
            <w:r w:rsidR="00B451FE" w:rsidRPr="005D1632">
              <w:rPr>
                <w:rFonts w:asciiTheme="minorHAnsi" w:hAnsiTheme="minorHAnsi" w:cstheme="minorHAnsi"/>
                <w:b/>
                <w:sz w:val="28"/>
                <w:szCs w:val="28"/>
              </w:rPr>
              <w:t>privacy notices to clarify scope</w:t>
            </w:r>
            <w:r w:rsidR="003F47CB" w:rsidRPr="005D1632">
              <w:rPr>
                <w:rFonts w:asciiTheme="minorHAnsi" w:hAnsiTheme="minorHAnsi" w:cstheme="minorHAnsi"/>
                <w:b/>
                <w:sz w:val="28"/>
                <w:szCs w:val="28"/>
              </w:rPr>
              <w:t xml:space="preserve"> of third party data collection</w:t>
            </w:r>
          </w:p>
          <w:p w14:paraId="6B23A5CB" w14:textId="77777777" w:rsidR="005D1632" w:rsidRPr="005D1632" w:rsidRDefault="005D1632" w:rsidP="009D309B">
            <w:pPr>
              <w:tabs>
                <w:tab w:val="right" w:pos="9072"/>
              </w:tabs>
              <w:rPr>
                <w:rFonts w:asciiTheme="minorHAnsi" w:hAnsiTheme="minorHAnsi" w:cstheme="minorHAnsi"/>
                <w:b/>
                <w:sz w:val="28"/>
                <w:szCs w:val="28"/>
              </w:rPr>
            </w:pPr>
          </w:p>
          <w:p w14:paraId="58237168" w14:textId="77777777"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 xml:space="preserve">The Department of Health and Department of Human Services privacy notices should be reviewed </w:t>
            </w:r>
            <w:r w:rsidR="00B451FE" w:rsidRPr="005D1632">
              <w:rPr>
                <w:rFonts w:asciiTheme="minorHAnsi" w:hAnsiTheme="minorHAnsi" w:cstheme="minorHAnsi"/>
                <w:sz w:val="22"/>
                <w:szCs w:val="22"/>
              </w:rPr>
              <w:t>and amended to clarify the scope</w:t>
            </w:r>
            <w:r w:rsidRPr="005D1632">
              <w:rPr>
                <w:rFonts w:asciiTheme="minorHAnsi" w:hAnsiTheme="minorHAnsi" w:cstheme="minorHAnsi"/>
                <w:sz w:val="22"/>
                <w:szCs w:val="22"/>
              </w:rPr>
              <w:t xml:space="preserve"> of third party data collection, and the expanded list of third parties that are involved.</w:t>
            </w:r>
          </w:p>
          <w:p w14:paraId="1C035762" w14:textId="01FCBE76" w:rsidR="005D1632" w:rsidRPr="009D309B" w:rsidRDefault="005D1632" w:rsidP="003F47CB">
            <w:pPr>
              <w:rPr>
                <w:rFonts w:asciiTheme="minorHAnsi" w:hAnsiTheme="minorHAnsi" w:cstheme="minorHAnsi"/>
                <w:i/>
                <w:sz w:val="22"/>
                <w:szCs w:val="22"/>
              </w:rPr>
            </w:pPr>
          </w:p>
        </w:tc>
      </w:tr>
    </w:tbl>
    <w:p w14:paraId="70E72A4B" w14:textId="355B3ACE" w:rsidR="003F47CB" w:rsidRPr="009D309B" w:rsidRDefault="003F47CB" w:rsidP="003F47CB">
      <w:pPr>
        <w:tabs>
          <w:tab w:val="right" w:pos="9072"/>
        </w:tabs>
        <w:rPr>
          <w:rFonts w:asciiTheme="minorHAnsi" w:hAnsiTheme="minorHAnsi" w:cstheme="minorHAnsi"/>
          <w:b/>
          <w:sz w:val="22"/>
          <w:szCs w:val="22"/>
        </w:rPr>
      </w:pPr>
    </w:p>
    <w:p w14:paraId="79985035" w14:textId="1D805C83" w:rsidR="003F47CB"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6069D5BE" w14:textId="77777777" w:rsidR="005D1632" w:rsidRPr="009D309B" w:rsidRDefault="005D1632" w:rsidP="003F47CB">
      <w:pPr>
        <w:tabs>
          <w:tab w:val="right" w:pos="9072"/>
        </w:tabs>
        <w:rPr>
          <w:rFonts w:asciiTheme="minorHAnsi" w:hAnsiTheme="minorHAnsi" w:cstheme="minorHAnsi"/>
          <w:b/>
          <w:sz w:val="22"/>
          <w:szCs w:val="22"/>
        </w:rPr>
      </w:pPr>
    </w:p>
    <w:p w14:paraId="19FE2789" w14:textId="2494ABAF" w:rsidR="005D1632" w:rsidRPr="00A27AEC" w:rsidRDefault="00753991" w:rsidP="00753991">
      <w:pPr>
        <w:rPr>
          <w:rFonts w:asciiTheme="minorHAnsi" w:hAnsiTheme="minorHAnsi" w:cstheme="minorHAnsi"/>
          <w:b/>
          <w:sz w:val="22"/>
          <w:szCs w:val="22"/>
        </w:rPr>
      </w:pPr>
      <w:r w:rsidRPr="005D1632">
        <w:rPr>
          <w:rFonts w:asciiTheme="minorHAnsi" w:hAnsiTheme="minorHAnsi" w:cstheme="minorHAnsi"/>
          <w:b/>
          <w:sz w:val="22"/>
          <w:szCs w:val="22"/>
        </w:rPr>
        <w:t>Agreed.</w:t>
      </w:r>
    </w:p>
    <w:p w14:paraId="52AB8B2A" w14:textId="1CE3755E" w:rsidR="003228CB" w:rsidRPr="009D309B" w:rsidRDefault="003228CB" w:rsidP="003228CB">
      <w:pPr>
        <w:rPr>
          <w:rFonts w:asciiTheme="minorHAnsi" w:hAnsiTheme="minorHAnsi" w:cstheme="minorHAnsi"/>
          <w:sz w:val="22"/>
          <w:szCs w:val="22"/>
        </w:rPr>
      </w:pPr>
      <w:r w:rsidRPr="009D309B">
        <w:rPr>
          <w:rFonts w:asciiTheme="minorHAnsi" w:hAnsiTheme="minorHAnsi" w:cstheme="minorHAnsi"/>
          <w:sz w:val="22"/>
          <w:szCs w:val="22"/>
        </w:rPr>
        <w:t xml:space="preserve">Health will work with </w:t>
      </w:r>
      <w:r w:rsidR="00FE3365">
        <w:rPr>
          <w:rFonts w:asciiTheme="minorHAnsi" w:hAnsiTheme="minorHAnsi" w:cstheme="minorHAnsi"/>
          <w:sz w:val="22"/>
          <w:szCs w:val="22"/>
        </w:rPr>
        <w:t>Services Australia</w:t>
      </w:r>
      <w:r w:rsidRPr="009D309B">
        <w:rPr>
          <w:rFonts w:asciiTheme="minorHAnsi" w:hAnsiTheme="minorHAnsi" w:cstheme="minorHAnsi"/>
          <w:sz w:val="22"/>
          <w:szCs w:val="22"/>
        </w:rPr>
        <w:t xml:space="preserve"> to update privacy notices where relevant to accurately </w:t>
      </w:r>
      <w:r w:rsidR="009D309B" w:rsidRPr="009D309B">
        <w:rPr>
          <w:rFonts w:asciiTheme="minorHAnsi" w:hAnsiTheme="minorHAnsi" w:cstheme="minorHAnsi"/>
          <w:sz w:val="22"/>
          <w:szCs w:val="22"/>
        </w:rPr>
        <w:t>describe</w:t>
      </w:r>
      <w:r w:rsidRPr="009D309B">
        <w:rPr>
          <w:rFonts w:asciiTheme="minorHAnsi" w:hAnsiTheme="minorHAnsi" w:cstheme="minorHAnsi"/>
          <w:sz w:val="22"/>
          <w:szCs w:val="22"/>
        </w:rPr>
        <w:t xml:space="preserve"> third party data collection</w:t>
      </w:r>
      <w:r w:rsidR="009D309B" w:rsidRPr="009D309B">
        <w:rPr>
          <w:rFonts w:asciiTheme="minorHAnsi" w:hAnsiTheme="minorHAnsi" w:cstheme="minorHAnsi"/>
          <w:sz w:val="22"/>
          <w:szCs w:val="22"/>
        </w:rPr>
        <w:t xml:space="preserve"> practices</w:t>
      </w:r>
      <w:r w:rsidRPr="009D309B">
        <w:rPr>
          <w:rFonts w:asciiTheme="minorHAnsi" w:hAnsiTheme="minorHAnsi" w:cstheme="minorHAnsi"/>
          <w:sz w:val="22"/>
          <w:szCs w:val="22"/>
        </w:rPr>
        <w:t>.</w:t>
      </w:r>
    </w:p>
    <w:p w14:paraId="6F1A2D95" w14:textId="26767349" w:rsidR="00A27AEC" w:rsidRDefault="00A27AEC" w:rsidP="003F47CB">
      <w:pPr>
        <w:tabs>
          <w:tab w:val="right" w:pos="9072"/>
        </w:tabs>
        <w:rPr>
          <w:rFonts w:asciiTheme="minorHAnsi" w:hAnsiTheme="minorHAnsi" w:cstheme="minorHAnsi"/>
          <w:b/>
          <w:sz w:val="22"/>
          <w:szCs w:val="22"/>
        </w:rPr>
      </w:pPr>
    </w:p>
    <w:p w14:paraId="29318C87" w14:textId="77777777" w:rsidR="00A27AEC" w:rsidRPr="009D309B" w:rsidRDefault="00A27AEC" w:rsidP="003F47CB">
      <w:pPr>
        <w:tabs>
          <w:tab w:val="right" w:pos="9072"/>
        </w:tabs>
        <w:rPr>
          <w:rFonts w:asciiTheme="minorHAnsi" w:hAnsiTheme="minorHAnsi" w:cstheme="minorHAnsi"/>
          <w:b/>
          <w:sz w:val="22"/>
          <w:szCs w:val="22"/>
        </w:rPr>
      </w:pPr>
    </w:p>
    <w:tbl>
      <w:tblPr>
        <w:tblW w:w="10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026"/>
      </w:tblGrid>
      <w:tr w:rsidR="003F47CB" w:rsidRPr="009D309B" w14:paraId="54450E36" w14:textId="77777777" w:rsidTr="005D1632">
        <w:trPr>
          <w:trHeight w:val="923"/>
        </w:trPr>
        <w:tc>
          <w:tcPr>
            <w:tcW w:w="10026" w:type="dxa"/>
            <w:shd w:val="clear" w:color="auto" w:fill="B8CCE4" w:themeFill="accent1" w:themeFillTint="66"/>
          </w:tcPr>
          <w:p w14:paraId="4512C547" w14:textId="77777777" w:rsidR="005D1632" w:rsidRDefault="003F47CB"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Recommendatio</w:t>
            </w:r>
            <w:r w:rsidR="00D93737" w:rsidRPr="005D1632">
              <w:rPr>
                <w:rFonts w:asciiTheme="minorHAnsi" w:hAnsiTheme="minorHAnsi" w:cstheme="minorHAnsi"/>
                <w:b/>
                <w:sz w:val="28"/>
                <w:szCs w:val="28"/>
              </w:rPr>
              <w:t>n 7</w:t>
            </w:r>
            <w:r w:rsidRPr="005D1632">
              <w:rPr>
                <w:rFonts w:asciiTheme="minorHAnsi" w:hAnsiTheme="minorHAnsi" w:cstheme="minorHAnsi"/>
                <w:b/>
                <w:sz w:val="28"/>
                <w:szCs w:val="28"/>
              </w:rPr>
              <w:t xml:space="preserve"> – Amend priv</w:t>
            </w:r>
            <w:r w:rsidR="00B451FE" w:rsidRPr="005D1632">
              <w:rPr>
                <w:rFonts w:asciiTheme="minorHAnsi" w:hAnsiTheme="minorHAnsi" w:cstheme="minorHAnsi"/>
                <w:b/>
                <w:sz w:val="28"/>
                <w:szCs w:val="28"/>
              </w:rPr>
              <w:t>acy notices to clarify the scope</w:t>
            </w:r>
            <w:r w:rsidRPr="005D1632">
              <w:rPr>
                <w:rFonts w:asciiTheme="minorHAnsi" w:hAnsiTheme="minorHAnsi" w:cstheme="minorHAnsi"/>
                <w:b/>
                <w:sz w:val="28"/>
                <w:szCs w:val="28"/>
              </w:rPr>
              <w:t xml:space="preserve"> of data matching</w:t>
            </w:r>
          </w:p>
          <w:p w14:paraId="4DE2AF89" w14:textId="20890F0A" w:rsidR="003F47CB" w:rsidRPr="005D1632" w:rsidRDefault="003F47CB"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 xml:space="preserve"> </w:t>
            </w:r>
          </w:p>
          <w:p w14:paraId="4016A564" w14:textId="6CB901BA" w:rsidR="003F47CB" w:rsidRPr="005D1632" w:rsidRDefault="003F47CB" w:rsidP="003F47CB">
            <w:pPr>
              <w:rPr>
                <w:rFonts w:asciiTheme="minorHAnsi" w:hAnsiTheme="minorHAnsi" w:cstheme="minorHAnsi"/>
                <w:sz w:val="22"/>
                <w:szCs w:val="22"/>
              </w:rPr>
            </w:pPr>
            <w:r w:rsidRPr="005D1632">
              <w:rPr>
                <w:rFonts w:asciiTheme="minorHAnsi" w:hAnsiTheme="minorHAnsi" w:cstheme="minorHAnsi"/>
                <w:sz w:val="22"/>
                <w:szCs w:val="22"/>
              </w:rPr>
              <w:t xml:space="preserve">The Department of Health and </w:t>
            </w:r>
            <w:proofErr w:type="gramStart"/>
            <w:r w:rsidRPr="005D1632">
              <w:rPr>
                <w:rFonts w:asciiTheme="minorHAnsi" w:hAnsiTheme="minorHAnsi" w:cstheme="minorHAnsi"/>
                <w:sz w:val="22"/>
                <w:szCs w:val="22"/>
              </w:rPr>
              <w:t>Department of Human Services</w:t>
            </w:r>
            <w:proofErr w:type="gramEnd"/>
            <w:r w:rsidRPr="005D1632">
              <w:rPr>
                <w:rFonts w:asciiTheme="minorHAnsi" w:hAnsiTheme="minorHAnsi" w:cstheme="minorHAnsi"/>
                <w:sz w:val="22"/>
                <w:szCs w:val="22"/>
              </w:rPr>
              <w:t xml:space="preserve"> privacy notices should be review</w:t>
            </w:r>
            <w:r w:rsidR="00B451FE" w:rsidRPr="005D1632">
              <w:rPr>
                <w:rFonts w:asciiTheme="minorHAnsi" w:hAnsiTheme="minorHAnsi" w:cstheme="minorHAnsi"/>
                <w:sz w:val="22"/>
                <w:szCs w:val="22"/>
              </w:rPr>
              <w:t>ed and amended to clarify the scope</w:t>
            </w:r>
            <w:r w:rsidRPr="005D1632">
              <w:rPr>
                <w:rFonts w:asciiTheme="minorHAnsi" w:hAnsiTheme="minorHAnsi" w:cstheme="minorHAnsi"/>
                <w:sz w:val="22"/>
                <w:szCs w:val="22"/>
              </w:rPr>
              <w:t xml:space="preserve"> of data matching and the expanded list of other agencies that are involved in the data matching </w:t>
            </w:r>
            <w:r w:rsidR="00B451FE" w:rsidRPr="005D1632">
              <w:rPr>
                <w:rFonts w:asciiTheme="minorHAnsi" w:hAnsiTheme="minorHAnsi" w:cstheme="minorHAnsi"/>
                <w:sz w:val="22"/>
                <w:szCs w:val="22"/>
              </w:rPr>
              <w:t>proposal</w:t>
            </w:r>
            <w:r w:rsidRPr="005D1632">
              <w:rPr>
                <w:rFonts w:asciiTheme="minorHAnsi" w:hAnsiTheme="minorHAnsi" w:cstheme="minorHAnsi"/>
                <w:sz w:val="22"/>
                <w:szCs w:val="22"/>
              </w:rPr>
              <w:t>.</w:t>
            </w:r>
          </w:p>
          <w:p w14:paraId="4247B705" w14:textId="227D684A" w:rsidR="003F47CB" w:rsidRPr="009D309B" w:rsidRDefault="003F47CB" w:rsidP="00B17936">
            <w:pPr>
              <w:rPr>
                <w:rFonts w:asciiTheme="minorHAnsi" w:hAnsiTheme="minorHAnsi" w:cstheme="minorHAnsi"/>
                <w:i/>
                <w:sz w:val="22"/>
                <w:szCs w:val="22"/>
              </w:rPr>
            </w:pPr>
          </w:p>
        </w:tc>
      </w:tr>
    </w:tbl>
    <w:p w14:paraId="01B0ACBC" w14:textId="467DC344" w:rsidR="003F47CB" w:rsidRPr="009D309B" w:rsidRDefault="003F47CB" w:rsidP="003F47CB">
      <w:pPr>
        <w:tabs>
          <w:tab w:val="right" w:pos="9072"/>
        </w:tabs>
        <w:rPr>
          <w:rFonts w:asciiTheme="minorHAnsi" w:hAnsiTheme="minorHAnsi" w:cstheme="minorHAnsi"/>
          <w:b/>
          <w:sz w:val="22"/>
          <w:szCs w:val="22"/>
        </w:rPr>
      </w:pPr>
    </w:p>
    <w:p w14:paraId="0AC93604" w14:textId="749D12CF" w:rsidR="003F47CB"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48E79339" w14:textId="77777777" w:rsidR="005D1632" w:rsidRPr="009D309B" w:rsidRDefault="005D1632" w:rsidP="003F47CB">
      <w:pPr>
        <w:tabs>
          <w:tab w:val="right" w:pos="9072"/>
        </w:tabs>
        <w:rPr>
          <w:rFonts w:asciiTheme="minorHAnsi" w:hAnsiTheme="minorHAnsi" w:cstheme="minorHAnsi"/>
          <w:b/>
          <w:sz w:val="22"/>
          <w:szCs w:val="22"/>
        </w:rPr>
      </w:pPr>
    </w:p>
    <w:p w14:paraId="4BDBD703" w14:textId="356C5504" w:rsidR="005D1632" w:rsidRPr="005D1632" w:rsidRDefault="00753991" w:rsidP="00753991">
      <w:pPr>
        <w:rPr>
          <w:rFonts w:asciiTheme="minorHAnsi" w:hAnsiTheme="minorHAnsi" w:cstheme="minorHAnsi"/>
          <w:b/>
          <w:sz w:val="22"/>
          <w:szCs w:val="22"/>
        </w:rPr>
      </w:pPr>
      <w:r w:rsidRPr="005D1632">
        <w:rPr>
          <w:rFonts w:asciiTheme="minorHAnsi" w:hAnsiTheme="minorHAnsi" w:cstheme="minorHAnsi"/>
          <w:b/>
          <w:sz w:val="22"/>
          <w:szCs w:val="22"/>
        </w:rPr>
        <w:t>Agreed.</w:t>
      </w:r>
    </w:p>
    <w:p w14:paraId="6A4FAC9C" w14:textId="46463D16" w:rsidR="003228CB" w:rsidRPr="009D309B" w:rsidRDefault="003228CB" w:rsidP="003228CB">
      <w:pPr>
        <w:rPr>
          <w:rFonts w:asciiTheme="minorHAnsi" w:hAnsiTheme="minorHAnsi" w:cstheme="minorHAnsi"/>
          <w:sz w:val="22"/>
          <w:szCs w:val="22"/>
        </w:rPr>
      </w:pPr>
      <w:r w:rsidRPr="009D309B">
        <w:rPr>
          <w:rFonts w:asciiTheme="minorHAnsi" w:hAnsiTheme="minorHAnsi" w:cstheme="minorHAnsi"/>
          <w:sz w:val="22"/>
          <w:szCs w:val="22"/>
        </w:rPr>
        <w:t xml:space="preserve">Health will work with </w:t>
      </w:r>
      <w:r w:rsidR="00FE3365">
        <w:rPr>
          <w:rFonts w:asciiTheme="minorHAnsi" w:hAnsiTheme="minorHAnsi" w:cstheme="minorHAnsi"/>
          <w:sz w:val="22"/>
          <w:szCs w:val="22"/>
        </w:rPr>
        <w:t>Services Australia</w:t>
      </w:r>
      <w:r w:rsidRPr="009D309B">
        <w:rPr>
          <w:rFonts w:asciiTheme="minorHAnsi" w:hAnsiTheme="minorHAnsi" w:cstheme="minorHAnsi"/>
          <w:sz w:val="22"/>
          <w:szCs w:val="22"/>
        </w:rPr>
        <w:t xml:space="preserve"> to ensure privacy notices are updated to accurately </w:t>
      </w:r>
      <w:r w:rsidR="009D309B" w:rsidRPr="009D309B">
        <w:rPr>
          <w:rFonts w:asciiTheme="minorHAnsi" w:hAnsiTheme="minorHAnsi" w:cstheme="minorHAnsi"/>
          <w:sz w:val="22"/>
          <w:szCs w:val="22"/>
        </w:rPr>
        <w:t>describe</w:t>
      </w:r>
      <w:r w:rsidRPr="009D309B">
        <w:rPr>
          <w:rFonts w:asciiTheme="minorHAnsi" w:hAnsiTheme="minorHAnsi" w:cstheme="minorHAnsi"/>
          <w:sz w:val="22"/>
          <w:szCs w:val="22"/>
        </w:rPr>
        <w:t xml:space="preserve"> the proposed data matching arrangements. </w:t>
      </w:r>
    </w:p>
    <w:p w14:paraId="34EEB34D" w14:textId="3FA75C65" w:rsidR="003F47CB" w:rsidRPr="009D309B" w:rsidRDefault="003F47CB" w:rsidP="003F47CB">
      <w:pPr>
        <w:rPr>
          <w:rFonts w:asciiTheme="minorHAnsi" w:hAnsiTheme="minorHAnsi" w:cstheme="minorHAnsi"/>
          <w:b/>
          <w:sz w:val="22"/>
          <w:szCs w:val="22"/>
        </w:rPr>
      </w:pPr>
    </w:p>
    <w:tbl>
      <w:tblPr>
        <w:tblW w:w="101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00" w:firstRow="0" w:lastRow="0" w:firstColumn="0" w:lastColumn="0" w:noHBand="0" w:noVBand="0"/>
      </w:tblPr>
      <w:tblGrid>
        <w:gridCol w:w="10115"/>
      </w:tblGrid>
      <w:tr w:rsidR="003F47CB" w:rsidRPr="009D309B" w14:paraId="0F7EFCDD" w14:textId="77777777" w:rsidTr="005D1632">
        <w:trPr>
          <w:trHeight w:val="986"/>
        </w:trPr>
        <w:tc>
          <w:tcPr>
            <w:tcW w:w="10115" w:type="dxa"/>
            <w:shd w:val="clear" w:color="auto" w:fill="B8CCE4" w:themeFill="accent1" w:themeFillTint="66"/>
          </w:tcPr>
          <w:p w14:paraId="7CA64824" w14:textId="1B0D049C" w:rsidR="003F47CB" w:rsidRDefault="00D93737"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lastRenderedPageBreak/>
              <w:t>Recommendation 8</w:t>
            </w:r>
            <w:r w:rsidR="003F47CB" w:rsidRPr="005D1632">
              <w:rPr>
                <w:rFonts w:asciiTheme="minorHAnsi" w:hAnsiTheme="minorHAnsi" w:cstheme="minorHAnsi"/>
                <w:b/>
                <w:sz w:val="28"/>
                <w:szCs w:val="28"/>
              </w:rPr>
              <w:t xml:space="preserve"> – Assess data quality benefits and risks</w:t>
            </w:r>
          </w:p>
          <w:p w14:paraId="5D768B4B" w14:textId="77777777" w:rsidR="005D1632" w:rsidRPr="005D1632" w:rsidRDefault="005D1632" w:rsidP="005D1632">
            <w:pPr>
              <w:tabs>
                <w:tab w:val="right" w:pos="9072"/>
              </w:tabs>
              <w:rPr>
                <w:rFonts w:asciiTheme="minorHAnsi" w:hAnsiTheme="minorHAnsi" w:cstheme="minorHAnsi"/>
                <w:b/>
                <w:sz w:val="28"/>
                <w:szCs w:val="28"/>
              </w:rPr>
            </w:pPr>
          </w:p>
          <w:p w14:paraId="122A7D53" w14:textId="57A065D5" w:rsidR="003F47CB" w:rsidRPr="005D1632" w:rsidRDefault="00FB73F9" w:rsidP="003F47CB">
            <w:pPr>
              <w:rPr>
                <w:rFonts w:asciiTheme="minorHAnsi" w:hAnsiTheme="minorHAnsi" w:cstheme="minorHAnsi"/>
                <w:sz w:val="22"/>
                <w:szCs w:val="22"/>
              </w:rPr>
            </w:pPr>
            <w:r w:rsidRPr="005D1632">
              <w:rPr>
                <w:rFonts w:asciiTheme="minorHAnsi" w:hAnsiTheme="minorHAnsi" w:cstheme="minorHAnsi"/>
                <w:sz w:val="22"/>
                <w:szCs w:val="22"/>
              </w:rPr>
              <w:t>The Data Matching Proposal</w:t>
            </w:r>
            <w:r w:rsidR="003F47CB" w:rsidRPr="005D1632">
              <w:rPr>
                <w:rFonts w:asciiTheme="minorHAnsi" w:hAnsiTheme="minorHAnsi" w:cstheme="minorHAnsi"/>
                <w:sz w:val="22"/>
                <w:szCs w:val="22"/>
              </w:rPr>
              <w:t xml:space="preserve"> should include a requirement </w:t>
            </w:r>
            <w:r w:rsidRPr="005D1632">
              <w:rPr>
                <w:rFonts w:asciiTheme="minorHAnsi" w:hAnsiTheme="minorHAnsi" w:cstheme="minorHAnsi"/>
                <w:sz w:val="22"/>
                <w:szCs w:val="22"/>
              </w:rPr>
              <w:t xml:space="preserve">for </w:t>
            </w:r>
            <w:r w:rsidR="00B451FE" w:rsidRPr="005D1632">
              <w:rPr>
                <w:rFonts w:asciiTheme="minorHAnsi" w:hAnsiTheme="minorHAnsi" w:cstheme="minorHAnsi"/>
                <w:sz w:val="22"/>
                <w:szCs w:val="22"/>
              </w:rPr>
              <w:t>routine data sharing in controlled data-matching</w:t>
            </w:r>
            <w:r w:rsidR="003F47CB" w:rsidRPr="005D1632">
              <w:rPr>
                <w:rFonts w:asciiTheme="minorHAnsi" w:hAnsiTheme="minorHAnsi" w:cstheme="minorHAnsi"/>
                <w:sz w:val="22"/>
                <w:szCs w:val="22"/>
              </w:rPr>
              <w:t xml:space="preserve"> to be assessed regarding the potential data quality benefits and risks.</w:t>
            </w:r>
          </w:p>
          <w:p w14:paraId="36FFD444" w14:textId="77777777" w:rsidR="003F47CB" w:rsidRPr="009D309B" w:rsidRDefault="003F47CB" w:rsidP="00B17936">
            <w:pPr>
              <w:rPr>
                <w:rFonts w:asciiTheme="minorHAnsi" w:hAnsiTheme="minorHAnsi" w:cstheme="minorHAnsi"/>
                <w:i/>
                <w:sz w:val="22"/>
                <w:szCs w:val="22"/>
              </w:rPr>
            </w:pPr>
          </w:p>
        </w:tc>
      </w:tr>
    </w:tbl>
    <w:p w14:paraId="0CF5AA6D" w14:textId="77777777" w:rsidR="003F47CB" w:rsidRPr="009D309B" w:rsidRDefault="003F47CB" w:rsidP="003F47CB">
      <w:pPr>
        <w:rPr>
          <w:rFonts w:asciiTheme="minorHAnsi" w:hAnsiTheme="minorHAnsi" w:cstheme="minorHAnsi"/>
          <w:b/>
          <w:sz w:val="22"/>
          <w:szCs w:val="22"/>
        </w:rPr>
      </w:pPr>
    </w:p>
    <w:p w14:paraId="36082E25" w14:textId="151D77F1" w:rsidR="003F47CB"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268F1CBD" w14:textId="77777777" w:rsidR="005D1632" w:rsidRPr="009D309B" w:rsidRDefault="005D1632" w:rsidP="003F47CB">
      <w:pPr>
        <w:tabs>
          <w:tab w:val="right" w:pos="9072"/>
        </w:tabs>
        <w:rPr>
          <w:rFonts w:asciiTheme="minorHAnsi" w:hAnsiTheme="minorHAnsi" w:cstheme="minorHAnsi"/>
          <w:b/>
          <w:sz w:val="22"/>
          <w:szCs w:val="22"/>
        </w:rPr>
      </w:pPr>
    </w:p>
    <w:p w14:paraId="05EBF16C" w14:textId="29771312" w:rsidR="005D1632" w:rsidRPr="00A27AEC" w:rsidRDefault="00753991" w:rsidP="00753991">
      <w:pPr>
        <w:rPr>
          <w:rFonts w:asciiTheme="minorHAnsi" w:hAnsiTheme="minorHAnsi" w:cstheme="minorHAnsi"/>
          <w:b/>
          <w:sz w:val="22"/>
          <w:szCs w:val="22"/>
        </w:rPr>
      </w:pPr>
      <w:r w:rsidRPr="00A27AEC">
        <w:rPr>
          <w:rFonts w:asciiTheme="minorHAnsi" w:hAnsiTheme="minorHAnsi" w:cstheme="minorHAnsi"/>
          <w:b/>
          <w:sz w:val="22"/>
          <w:szCs w:val="22"/>
        </w:rPr>
        <w:t>Agreed.</w:t>
      </w:r>
    </w:p>
    <w:p w14:paraId="5D7C182B" w14:textId="2304A6DB" w:rsidR="009D309B" w:rsidRDefault="00D46A90">
      <w:pPr>
        <w:rPr>
          <w:rFonts w:asciiTheme="minorHAnsi" w:hAnsiTheme="minorHAnsi" w:cstheme="minorHAnsi"/>
          <w:sz w:val="22"/>
          <w:szCs w:val="22"/>
        </w:rPr>
      </w:pPr>
      <w:r w:rsidRPr="009D309B">
        <w:rPr>
          <w:rFonts w:asciiTheme="minorHAnsi" w:hAnsiTheme="minorHAnsi" w:cstheme="minorHAnsi"/>
          <w:sz w:val="22"/>
          <w:szCs w:val="22"/>
        </w:rPr>
        <w:t>The Bill will require the Chief Executive Medicare to establish and maintain systems and processes for ensuring that information that is matched is accurate, up-to-date and complete. As part of these systems and process, an assessment of data quality benefits and risks will be included.</w:t>
      </w:r>
    </w:p>
    <w:p w14:paraId="0481EF36" w14:textId="77777777" w:rsidR="005D1632" w:rsidRPr="009D309B" w:rsidRDefault="005D1632">
      <w:pPr>
        <w:rPr>
          <w:rFonts w:asciiTheme="minorHAnsi" w:hAnsiTheme="minorHAnsi" w:cstheme="minorHAnsi"/>
          <w:b/>
          <w:sz w:val="22"/>
          <w:szCs w:val="22"/>
        </w:rPr>
      </w:pPr>
    </w:p>
    <w:p w14:paraId="12C70AB3" w14:textId="77777777" w:rsidR="003F47CB" w:rsidRPr="009D309B" w:rsidRDefault="003F47CB" w:rsidP="003F47CB">
      <w:pPr>
        <w:rPr>
          <w:rFonts w:asciiTheme="minorHAnsi" w:hAnsiTheme="minorHAnsi" w:cstheme="minorHAnsi"/>
          <w:b/>
          <w:sz w:val="22"/>
          <w:szCs w:val="22"/>
        </w:rPr>
      </w:pPr>
    </w:p>
    <w:tbl>
      <w:tblPr>
        <w:tblW w:w="10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3F47CB" w:rsidRPr="009D309B" w14:paraId="3810A4A8" w14:textId="77777777" w:rsidTr="009C7DF8">
        <w:trPr>
          <w:trHeight w:val="1085"/>
        </w:trPr>
        <w:tc>
          <w:tcPr>
            <w:tcW w:w="10152" w:type="dxa"/>
            <w:shd w:val="clear" w:color="auto" w:fill="B8CCE4" w:themeFill="accent1" w:themeFillTint="66"/>
          </w:tcPr>
          <w:p w14:paraId="630AD188" w14:textId="7166B327" w:rsidR="003F47CB" w:rsidRDefault="00D93737" w:rsidP="005D1632">
            <w:pPr>
              <w:tabs>
                <w:tab w:val="right" w:pos="9072"/>
              </w:tabs>
              <w:rPr>
                <w:rFonts w:asciiTheme="minorHAnsi" w:hAnsiTheme="minorHAnsi" w:cstheme="minorHAnsi"/>
                <w:b/>
                <w:sz w:val="28"/>
                <w:szCs w:val="28"/>
              </w:rPr>
            </w:pPr>
            <w:r w:rsidRPr="005D1632">
              <w:rPr>
                <w:rFonts w:asciiTheme="minorHAnsi" w:hAnsiTheme="minorHAnsi" w:cstheme="minorHAnsi"/>
                <w:b/>
                <w:sz w:val="28"/>
                <w:szCs w:val="28"/>
              </w:rPr>
              <w:t>Recommendation 9</w:t>
            </w:r>
            <w:r w:rsidR="003F47CB" w:rsidRPr="005D1632">
              <w:rPr>
                <w:rFonts w:asciiTheme="minorHAnsi" w:hAnsiTheme="minorHAnsi" w:cstheme="minorHAnsi"/>
                <w:b/>
                <w:sz w:val="28"/>
                <w:szCs w:val="28"/>
              </w:rPr>
              <w:t xml:space="preserve"> – Establish a security compliance framework</w:t>
            </w:r>
          </w:p>
          <w:p w14:paraId="0BF3D7A8" w14:textId="77777777" w:rsidR="005D1632" w:rsidRPr="005D1632" w:rsidRDefault="005D1632" w:rsidP="005D1632">
            <w:pPr>
              <w:tabs>
                <w:tab w:val="right" w:pos="9072"/>
              </w:tabs>
              <w:rPr>
                <w:rFonts w:asciiTheme="minorHAnsi" w:hAnsiTheme="minorHAnsi" w:cstheme="minorHAnsi"/>
                <w:b/>
                <w:sz w:val="28"/>
                <w:szCs w:val="28"/>
              </w:rPr>
            </w:pPr>
          </w:p>
          <w:p w14:paraId="721E24D4" w14:textId="77777777" w:rsidR="003F47CB" w:rsidRPr="009C7DF8" w:rsidRDefault="003F47CB" w:rsidP="00B17936">
            <w:pPr>
              <w:rPr>
                <w:rFonts w:asciiTheme="minorHAnsi" w:hAnsiTheme="minorHAnsi" w:cstheme="minorHAnsi"/>
                <w:sz w:val="22"/>
                <w:szCs w:val="22"/>
              </w:rPr>
            </w:pPr>
            <w:r w:rsidRPr="009C7DF8">
              <w:rPr>
                <w:rFonts w:asciiTheme="minorHAnsi" w:hAnsiTheme="minorHAnsi" w:cstheme="minorHAnsi"/>
                <w:sz w:val="22"/>
                <w:szCs w:val="22"/>
              </w:rPr>
              <w:t>Where data is shared with Commonwealth entities and other agencies, the Department of Health should establish a security compliance framework (consisting of mandatory security requirements backed by regular security audits, testing and reporting) that extends security measures to all participants in the Data Matching Proposal.</w:t>
            </w:r>
          </w:p>
          <w:p w14:paraId="15033B8F" w14:textId="5E6209C8" w:rsidR="005D1632" w:rsidRPr="009D309B" w:rsidRDefault="005D1632" w:rsidP="00B17936">
            <w:pPr>
              <w:rPr>
                <w:rFonts w:asciiTheme="minorHAnsi" w:hAnsiTheme="minorHAnsi" w:cstheme="minorHAnsi"/>
                <w:i/>
                <w:sz w:val="22"/>
                <w:szCs w:val="22"/>
              </w:rPr>
            </w:pPr>
          </w:p>
        </w:tc>
      </w:tr>
    </w:tbl>
    <w:p w14:paraId="37E949A8" w14:textId="5BFB1306" w:rsidR="003F47CB" w:rsidRPr="009D309B" w:rsidRDefault="003F47CB" w:rsidP="003F47CB">
      <w:pPr>
        <w:tabs>
          <w:tab w:val="right" w:pos="9072"/>
        </w:tabs>
        <w:rPr>
          <w:rFonts w:asciiTheme="minorHAnsi" w:hAnsiTheme="minorHAnsi" w:cstheme="minorHAnsi"/>
          <w:b/>
          <w:sz w:val="22"/>
          <w:szCs w:val="22"/>
        </w:rPr>
      </w:pPr>
    </w:p>
    <w:p w14:paraId="4A15B52E" w14:textId="52C4A477" w:rsidR="00754965"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2F119CA9" w14:textId="77777777" w:rsidR="00A27AEC" w:rsidRDefault="00A27AEC" w:rsidP="00753991">
      <w:pPr>
        <w:rPr>
          <w:rFonts w:asciiTheme="minorHAnsi" w:hAnsiTheme="minorHAnsi" w:cstheme="minorHAnsi"/>
          <w:sz w:val="22"/>
          <w:szCs w:val="22"/>
        </w:rPr>
      </w:pPr>
    </w:p>
    <w:p w14:paraId="6C702EF2" w14:textId="36F63839" w:rsidR="00753991" w:rsidRPr="00A27AEC" w:rsidRDefault="00A27AEC" w:rsidP="00753991">
      <w:pPr>
        <w:rPr>
          <w:rFonts w:asciiTheme="minorHAnsi" w:hAnsiTheme="minorHAnsi" w:cstheme="minorHAnsi"/>
          <w:b/>
          <w:sz w:val="22"/>
          <w:szCs w:val="22"/>
        </w:rPr>
      </w:pPr>
      <w:r w:rsidRPr="00A27AEC">
        <w:rPr>
          <w:rFonts w:asciiTheme="minorHAnsi" w:hAnsiTheme="minorHAnsi" w:cstheme="minorHAnsi"/>
          <w:b/>
          <w:sz w:val="22"/>
          <w:szCs w:val="22"/>
        </w:rPr>
        <w:t>Agree</w:t>
      </w:r>
      <w:r w:rsidR="00F06517">
        <w:rPr>
          <w:rFonts w:asciiTheme="minorHAnsi" w:hAnsiTheme="minorHAnsi" w:cstheme="minorHAnsi"/>
          <w:b/>
          <w:sz w:val="22"/>
          <w:szCs w:val="22"/>
        </w:rPr>
        <w:t>d</w:t>
      </w:r>
      <w:r w:rsidRPr="00A27AEC">
        <w:rPr>
          <w:rFonts w:asciiTheme="minorHAnsi" w:hAnsiTheme="minorHAnsi" w:cstheme="minorHAnsi"/>
          <w:b/>
          <w:sz w:val="22"/>
          <w:szCs w:val="22"/>
        </w:rPr>
        <w:t xml:space="preserve"> in principle.</w:t>
      </w:r>
    </w:p>
    <w:p w14:paraId="5CE63A00" w14:textId="3D5218F0" w:rsidR="00753991" w:rsidRPr="009D309B" w:rsidRDefault="00E3254A" w:rsidP="00C6055C">
      <w:pPr>
        <w:rPr>
          <w:rFonts w:asciiTheme="minorHAnsi" w:hAnsiTheme="minorHAnsi" w:cstheme="minorHAnsi"/>
          <w:sz w:val="22"/>
          <w:szCs w:val="22"/>
        </w:rPr>
      </w:pPr>
      <w:r w:rsidRPr="009D309B">
        <w:rPr>
          <w:rFonts w:asciiTheme="minorHAnsi" w:hAnsiTheme="minorHAnsi" w:cstheme="minorHAnsi"/>
          <w:sz w:val="22"/>
          <w:szCs w:val="22"/>
        </w:rPr>
        <w:t xml:space="preserve">Health </w:t>
      </w:r>
      <w:r w:rsidR="00F06517">
        <w:rPr>
          <w:rFonts w:asciiTheme="minorHAnsi" w:hAnsiTheme="minorHAnsi" w:cstheme="minorHAnsi"/>
          <w:sz w:val="22"/>
          <w:szCs w:val="22"/>
        </w:rPr>
        <w:t xml:space="preserve">already </w:t>
      </w:r>
      <w:r w:rsidRPr="009D309B">
        <w:rPr>
          <w:rFonts w:asciiTheme="minorHAnsi" w:hAnsiTheme="minorHAnsi" w:cstheme="minorHAnsi"/>
          <w:sz w:val="22"/>
          <w:szCs w:val="22"/>
        </w:rPr>
        <w:t>has strong security measures in place to safeguard data received and retained by the D</w:t>
      </w:r>
      <w:r w:rsidR="00C6055C" w:rsidRPr="009D309B">
        <w:rPr>
          <w:rFonts w:asciiTheme="minorHAnsi" w:hAnsiTheme="minorHAnsi" w:cstheme="minorHAnsi"/>
          <w:sz w:val="22"/>
          <w:szCs w:val="22"/>
        </w:rPr>
        <w:t xml:space="preserve">epartment, and </w:t>
      </w:r>
      <w:r w:rsidRPr="009D309B">
        <w:rPr>
          <w:rFonts w:asciiTheme="minorHAnsi" w:hAnsiTheme="minorHAnsi" w:cstheme="minorHAnsi"/>
          <w:sz w:val="22"/>
          <w:szCs w:val="22"/>
        </w:rPr>
        <w:t>manage</w:t>
      </w:r>
      <w:r w:rsidR="00F06517">
        <w:rPr>
          <w:rFonts w:asciiTheme="minorHAnsi" w:hAnsiTheme="minorHAnsi" w:cstheme="minorHAnsi"/>
          <w:sz w:val="22"/>
          <w:szCs w:val="22"/>
        </w:rPr>
        <w:t>s</w:t>
      </w:r>
      <w:r w:rsidRPr="009D309B">
        <w:rPr>
          <w:rFonts w:asciiTheme="minorHAnsi" w:hAnsiTheme="minorHAnsi" w:cstheme="minorHAnsi"/>
          <w:sz w:val="22"/>
          <w:szCs w:val="22"/>
        </w:rPr>
        <w:t xml:space="preserve"> data in accordance with legislative requirements and Australian Government standards</w:t>
      </w:r>
      <w:r w:rsidR="00F06517">
        <w:rPr>
          <w:rFonts w:asciiTheme="minorHAnsi" w:hAnsiTheme="minorHAnsi" w:cstheme="minorHAnsi"/>
          <w:sz w:val="22"/>
          <w:szCs w:val="22"/>
        </w:rPr>
        <w:t>,</w:t>
      </w:r>
      <w:r w:rsidRPr="009D309B">
        <w:rPr>
          <w:rFonts w:asciiTheme="minorHAnsi" w:hAnsiTheme="minorHAnsi" w:cstheme="minorHAnsi"/>
          <w:sz w:val="22"/>
          <w:szCs w:val="22"/>
        </w:rPr>
        <w:t xml:space="preserve"> including the Information Security Manual and Protective Security Policy Framework.</w:t>
      </w:r>
      <w:r w:rsidR="00816BEE" w:rsidRPr="009D309B">
        <w:rPr>
          <w:rFonts w:asciiTheme="minorHAnsi" w:hAnsiTheme="minorHAnsi" w:cstheme="minorHAnsi"/>
          <w:sz w:val="22"/>
          <w:szCs w:val="22"/>
        </w:rPr>
        <w:t xml:space="preserve"> Other Commonwealth entities are also bound by these standards.</w:t>
      </w:r>
    </w:p>
    <w:p w14:paraId="195E6B19" w14:textId="08C9C689" w:rsidR="00CE58D3" w:rsidRPr="009D309B" w:rsidRDefault="00CE58D3" w:rsidP="00C6055C">
      <w:pPr>
        <w:rPr>
          <w:rFonts w:asciiTheme="minorHAnsi" w:hAnsiTheme="minorHAnsi" w:cstheme="minorHAnsi"/>
          <w:sz w:val="22"/>
          <w:szCs w:val="22"/>
        </w:rPr>
      </w:pPr>
    </w:p>
    <w:p w14:paraId="3FD21936" w14:textId="3890EC27" w:rsidR="00CE58D3" w:rsidRPr="009D309B" w:rsidRDefault="00F06517" w:rsidP="00C6055C">
      <w:pPr>
        <w:rPr>
          <w:rFonts w:asciiTheme="minorHAnsi" w:hAnsiTheme="minorHAnsi" w:cstheme="minorHAnsi"/>
          <w:sz w:val="22"/>
          <w:szCs w:val="22"/>
        </w:rPr>
      </w:pPr>
      <w:r>
        <w:rPr>
          <w:rFonts w:asciiTheme="minorHAnsi" w:hAnsiTheme="minorHAnsi" w:cstheme="minorHAnsi"/>
          <w:sz w:val="22"/>
          <w:szCs w:val="22"/>
        </w:rPr>
        <w:t>Health</w:t>
      </w:r>
      <w:r w:rsidR="00CE58D3" w:rsidRPr="009D309B">
        <w:rPr>
          <w:rFonts w:asciiTheme="minorHAnsi" w:hAnsiTheme="minorHAnsi" w:cstheme="minorHAnsi"/>
          <w:sz w:val="22"/>
          <w:szCs w:val="22"/>
        </w:rPr>
        <w:t xml:space="preserve"> will establish a security compliance framework that covers all participants undertaking data matching.</w:t>
      </w:r>
      <w:r w:rsidR="00816BEE" w:rsidRPr="009D309B">
        <w:rPr>
          <w:rFonts w:asciiTheme="minorHAnsi" w:hAnsiTheme="minorHAnsi" w:cstheme="minorHAnsi"/>
          <w:sz w:val="22"/>
          <w:szCs w:val="22"/>
        </w:rPr>
        <w:t xml:space="preserve"> The technical standards that will be developed in compliance with the Guidelines will also detail the security arrangements that will be agreed between agencies.</w:t>
      </w:r>
    </w:p>
    <w:p w14:paraId="6A233C1E" w14:textId="77F11824" w:rsidR="003F47CB" w:rsidRPr="009D309B" w:rsidRDefault="003F47CB" w:rsidP="003F47CB">
      <w:pPr>
        <w:tabs>
          <w:tab w:val="right" w:pos="9072"/>
        </w:tabs>
        <w:rPr>
          <w:rFonts w:asciiTheme="minorHAnsi" w:hAnsiTheme="minorHAnsi" w:cstheme="minorHAnsi"/>
          <w:b/>
          <w:sz w:val="22"/>
          <w:szCs w:val="22"/>
        </w:rPr>
      </w:pPr>
    </w:p>
    <w:tbl>
      <w:tblPr>
        <w:tblW w:w="10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3F47CB" w:rsidRPr="009D309B" w14:paraId="7F58E881" w14:textId="77777777" w:rsidTr="009C7DF8">
        <w:trPr>
          <w:trHeight w:val="1284"/>
        </w:trPr>
        <w:tc>
          <w:tcPr>
            <w:tcW w:w="10152" w:type="dxa"/>
            <w:shd w:val="clear" w:color="auto" w:fill="B8CCE4" w:themeFill="accent1" w:themeFillTint="66"/>
          </w:tcPr>
          <w:p w14:paraId="0B172950" w14:textId="6131C530" w:rsidR="003F47CB" w:rsidRDefault="00D93737" w:rsidP="00B17936">
            <w:pPr>
              <w:rPr>
                <w:rFonts w:asciiTheme="minorHAnsi" w:hAnsiTheme="minorHAnsi" w:cstheme="minorHAnsi"/>
                <w:b/>
                <w:sz w:val="28"/>
                <w:szCs w:val="28"/>
              </w:rPr>
            </w:pPr>
            <w:r w:rsidRPr="009C7DF8">
              <w:rPr>
                <w:rFonts w:asciiTheme="minorHAnsi" w:hAnsiTheme="minorHAnsi" w:cstheme="minorHAnsi"/>
                <w:b/>
                <w:sz w:val="28"/>
                <w:szCs w:val="28"/>
              </w:rPr>
              <w:t>Recommendation 10</w:t>
            </w:r>
            <w:r w:rsidR="003F47CB" w:rsidRPr="009C7DF8">
              <w:rPr>
                <w:rFonts w:asciiTheme="minorHAnsi" w:hAnsiTheme="minorHAnsi" w:cstheme="minorHAnsi"/>
                <w:b/>
                <w:sz w:val="28"/>
                <w:szCs w:val="28"/>
              </w:rPr>
              <w:t xml:space="preserve"> – Expansion of data destruction requirements</w:t>
            </w:r>
          </w:p>
          <w:p w14:paraId="4D66A4D1" w14:textId="77777777" w:rsidR="009C7DF8" w:rsidRPr="009C7DF8" w:rsidRDefault="009C7DF8" w:rsidP="00B17936">
            <w:pPr>
              <w:rPr>
                <w:rFonts w:asciiTheme="minorHAnsi" w:hAnsiTheme="minorHAnsi" w:cstheme="minorHAnsi"/>
                <w:i/>
                <w:sz w:val="28"/>
                <w:szCs w:val="28"/>
              </w:rPr>
            </w:pPr>
          </w:p>
          <w:p w14:paraId="5FF5D984" w14:textId="77777777" w:rsidR="00AB2B16" w:rsidRDefault="003F47CB" w:rsidP="00B17936">
            <w:pPr>
              <w:rPr>
                <w:rFonts w:asciiTheme="minorHAnsi" w:hAnsiTheme="minorHAnsi" w:cstheme="minorHAnsi"/>
                <w:sz w:val="22"/>
                <w:szCs w:val="22"/>
              </w:rPr>
            </w:pPr>
            <w:r w:rsidRPr="009C7DF8">
              <w:rPr>
                <w:rFonts w:asciiTheme="minorHAnsi" w:hAnsiTheme="minorHAnsi" w:cstheme="minorHAnsi"/>
                <w:sz w:val="22"/>
                <w:szCs w:val="22"/>
              </w:rPr>
              <w:t xml:space="preserve">The Department of Health should expand processes for data retention / destruction to cover data that is shared by / with other </w:t>
            </w:r>
            <w:r w:rsidR="00AB2B16" w:rsidRPr="009C7DF8">
              <w:rPr>
                <w:rFonts w:asciiTheme="minorHAnsi" w:hAnsiTheme="minorHAnsi" w:cstheme="minorHAnsi"/>
                <w:sz w:val="22"/>
                <w:szCs w:val="22"/>
              </w:rPr>
              <w:t>Commonwealth entities and third parties</w:t>
            </w:r>
            <w:r w:rsidRPr="009C7DF8">
              <w:rPr>
                <w:rFonts w:asciiTheme="minorHAnsi" w:hAnsiTheme="minorHAnsi" w:cstheme="minorHAnsi"/>
                <w:sz w:val="22"/>
                <w:szCs w:val="22"/>
              </w:rPr>
              <w:t xml:space="preserve">, ensuring that </w:t>
            </w:r>
            <w:r w:rsidR="00AB2B16" w:rsidRPr="009C7DF8">
              <w:rPr>
                <w:rFonts w:asciiTheme="minorHAnsi" w:hAnsiTheme="minorHAnsi" w:cstheme="minorHAnsi"/>
                <w:sz w:val="22"/>
                <w:szCs w:val="22"/>
              </w:rPr>
              <w:t>participants</w:t>
            </w:r>
            <w:r w:rsidRPr="009C7DF8">
              <w:rPr>
                <w:rFonts w:asciiTheme="minorHAnsi" w:hAnsiTheme="minorHAnsi" w:cstheme="minorHAnsi"/>
                <w:sz w:val="22"/>
                <w:szCs w:val="22"/>
              </w:rPr>
              <w:t xml:space="preserve"> are complying with data destruction conditions imposed by the Department of Health and vice versa.</w:t>
            </w:r>
          </w:p>
          <w:p w14:paraId="030F5C69" w14:textId="63F242B4" w:rsidR="009C7DF8" w:rsidRPr="009C7DF8" w:rsidRDefault="009C7DF8" w:rsidP="00B17936">
            <w:pPr>
              <w:rPr>
                <w:rFonts w:asciiTheme="minorHAnsi" w:hAnsiTheme="minorHAnsi" w:cstheme="minorHAnsi"/>
                <w:sz w:val="22"/>
                <w:szCs w:val="22"/>
              </w:rPr>
            </w:pPr>
          </w:p>
        </w:tc>
      </w:tr>
    </w:tbl>
    <w:p w14:paraId="773826A5" w14:textId="6B914B45" w:rsidR="003F47CB" w:rsidRPr="009D309B" w:rsidRDefault="003F47CB" w:rsidP="003F47CB">
      <w:pPr>
        <w:tabs>
          <w:tab w:val="right" w:pos="9072"/>
        </w:tabs>
        <w:rPr>
          <w:rFonts w:asciiTheme="minorHAnsi" w:hAnsiTheme="minorHAnsi" w:cstheme="minorHAnsi"/>
          <w:b/>
          <w:sz w:val="22"/>
          <w:szCs w:val="22"/>
        </w:rPr>
      </w:pPr>
    </w:p>
    <w:p w14:paraId="400187E2" w14:textId="795F81D5" w:rsidR="00754965"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6004BE17" w14:textId="77777777" w:rsidR="00A27AEC" w:rsidRPr="00A27AEC" w:rsidRDefault="00A27AEC" w:rsidP="003F47CB">
      <w:pPr>
        <w:tabs>
          <w:tab w:val="right" w:pos="9072"/>
        </w:tabs>
        <w:rPr>
          <w:rFonts w:asciiTheme="minorHAnsi" w:hAnsiTheme="minorHAnsi" w:cstheme="minorHAnsi"/>
          <w:b/>
          <w:sz w:val="22"/>
          <w:szCs w:val="22"/>
        </w:rPr>
      </w:pPr>
    </w:p>
    <w:p w14:paraId="1D0350A2" w14:textId="7DF3B5AF" w:rsidR="00753991" w:rsidRPr="00A27AEC" w:rsidRDefault="00753991" w:rsidP="00753991">
      <w:pPr>
        <w:rPr>
          <w:rFonts w:asciiTheme="minorHAnsi" w:hAnsiTheme="minorHAnsi" w:cstheme="minorHAnsi"/>
          <w:b/>
          <w:sz w:val="22"/>
          <w:szCs w:val="22"/>
        </w:rPr>
      </w:pPr>
      <w:r w:rsidRPr="00A27AEC">
        <w:rPr>
          <w:rFonts w:asciiTheme="minorHAnsi" w:hAnsiTheme="minorHAnsi" w:cstheme="minorHAnsi"/>
          <w:b/>
          <w:sz w:val="22"/>
          <w:szCs w:val="22"/>
        </w:rPr>
        <w:t>Agreed.</w:t>
      </w:r>
    </w:p>
    <w:p w14:paraId="098DF83C" w14:textId="50B30614" w:rsidR="000F6737" w:rsidRDefault="000F6737" w:rsidP="000F6737">
      <w:pPr>
        <w:rPr>
          <w:rFonts w:asciiTheme="minorHAnsi" w:hAnsiTheme="minorHAnsi" w:cstheme="minorHAnsi"/>
          <w:sz w:val="22"/>
          <w:szCs w:val="22"/>
        </w:rPr>
      </w:pPr>
      <w:r w:rsidRPr="009D309B">
        <w:rPr>
          <w:rFonts w:asciiTheme="minorHAnsi" w:hAnsiTheme="minorHAnsi" w:cstheme="minorHAnsi"/>
          <w:sz w:val="22"/>
          <w:szCs w:val="22"/>
        </w:rPr>
        <w:t xml:space="preserve">The Bill will require the Chief Executive Medicare to establish and maintain systems and processes </w:t>
      </w:r>
      <w:r w:rsidR="0096478F" w:rsidRPr="009D309B">
        <w:rPr>
          <w:rFonts w:asciiTheme="minorHAnsi" w:hAnsiTheme="minorHAnsi" w:cstheme="minorHAnsi"/>
          <w:sz w:val="22"/>
          <w:szCs w:val="22"/>
        </w:rPr>
        <w:t xml:space="preserve">governing </w:t>
      </w:r>
      <w:r w:rsidRPr="009D309B">
        <w:rPr>
          <w:rFonts w:asciiTheme="minorHAnsi" w:hAnsiTheme="minorHAnsi" w:cstheme="minorHAnsi"/>
          <w:sz w:val="22"/>
          <w:szCs w:val="22"/>
        </w:rPr>
        <w:t xml:space="preserve">when and how information that is matched for Medicare compliance purposes and the results of the matching </w:t>
      </w:r>
      <w:r w:rsidR="0096478F" w:rsidRPr="009D309B">
        <w:rPr>
          <w:rFonts w:asciiTheme="minorHAnsi" w:hAnsiTheme="minorHAnsi" w:cstheme="minorHAnsi"/>
          <w:sz w:val="22"/>
          <w:szCs w:val="22"/>
        </w:rPr>
        <w:t>is</w:t>
      </w:r>
      <w:r w:rsidRPr="009D309B">
        <w:rPr>
          <w:rFonts w:asciiTheme="minorHAnsi" w:hAnsiTheme="minorHAnsi" w:cstheme="minorHAnsi"/>
          <w:sz w:val="22"/>
          <w:szCs w:val="22"/>
        </w:rPr>
        <w:t xml:space="preserve"> to be destroyed.</w:t>
      </w:r>
    </w:p>
    <w:p w14:paraId="7EFD03F4" w14:textId="68EB8D98" w:rsidR="00A86986" w:rsidRDefault="00A86986" w:rsidP="000F6737">
      <w:pPr>
        <w:rPr>
          <w:rFonts w:asciiTheme="minorHAnsi" w:hAnsiTheme="minorHAnsi" w:cstheme="minorHAnsi"/>
          <w:sz w:val="22"/>
          <w:szCs w:val="22"/>
        </w:rPr>
      </w:pPr>
    </w:p>
    <w:p w14:paraId="2FA3E513" w14:textId="77777777" w:rsidR="00A86986" w:rsidRPr="009D309B" w:rsidRDefault="00A86986" w:rsidP="000F6737">
      <w:pPr>
        <w:rPr>
          <w:rFonts w:asciiTheme="minorHAnsi" w:hAnsiTheme="minorHAnsi" w:cstheme="minorHAnsi"/>
          <w:sz w:val="22"/>
          <w:szCs w:val="22"/>
        </w:rPr>
      </w:pPr>
    </w:p>
    <w:p w14:paraId="2F106AE7" w14:textId="77777777" w:rsidR="00753991" w:rsidRPr="009D309B" w:rsidRDefault="00753991" w:rsidP="003F47CB">
      <w:pPr>
        <w:tabs>
          <w:tab w:val="right" w:pos="9072"/>
        </w:tabs>
        <w:rPr>
          <w:rFonts w:asciiTheme="minorHAnsi" w:hAnsiTheme="minorHAnsi" w:cstheme="minorHAnsi"/>
          <w:b/>
          <w:sz w:val="22"/>
          <w:szCs w:val="22"/>
        </w:rPr>
      </w:pPr>
    </w:p>
    <w:tbl>
      <w:tblPr>
        <w:tblW w:w="101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7"/>
      </w:tblGrid>
      <w:tr w:rsidR="003F47CB" w:rsidRPr="009D309B" w14:paraId="422728F4" w14:textId="77777777" w:rsidTr="009C7DF8">
        <w:trPr>
          <w:trHeight w:val="70"/>
        </w:trPr>
        <w:tc>
          <w:tcPr>
            <w:tcW w:w="10177" w:type="dxa"/>
            <w:shd w:val="clear" w:color="auto" w:fill="B8CCE4" w:themeFill="accent1" w:themeFillTint="66"/>
          </w:tcPr>
          <w:p w14:paraId="5B7984C8" w14:textId="5974C8B3" w:rsidR="003F47CB" w:rsidRDefault="003F47CB" w:rsidP="00B17936">
            <w:pPr>
              <w:rPr>
                <w:rFonts w:asciiTheme="minorHAnsi" w:hAnsiTheme="minorHAnsi" w:cstheme="minorHAnsi"/>
                <w:b/>
                <w:sz w:val="28"/>
                <w:szCs w:val="28"/>
              </w:rPr>
            </w:pPr>
            <w:r w:rsidRPr="009C7DF8">
              <w:rPr>
                <w:rFonts w:asciiTheme="minorHAnsi" w:hAnsiTheme="minorHAnsi" w:cstheme="minorHAnsi"/>
                <w:b/>
                <w:sz w:val="28"/>
                <w:szCs w:val="28"/>
              </w:rPr>
              <w:lastRenderedPageBreak/>
              <w:t>Recommendation 1</w:t>
            </w:r>
            <w:r w:rsidR="00D93737" w:rsidRPr="009C7DF8">
              <w:rPr>
                <w:rFonts w:asciiTheme="minorHAnsi" w:hAnsiTheme="minorHAnsi" w:cstheme="minorHAnsi"/>
                <w:b/>
                <w:sz w:val="28"/>
                <w:szCs w:val="28"/>
              </w:rPr>
              <w:t>1</w:t>
            </w:r>
            <w:r w:rsidRPr="009C7DF8">
              <w:rPr>
                <w:rFonts w:asciiTheme="minorHAnsi" w:hAnsiTheme="minorHAnsi" w:cstheme="minorHAnsi"/>
                <w:b/>
                <w:sz w:val="28"/>
                <w:szCs w:val="28"/>
              </w:rPr>
              <w:t xml:space="preserve"> – Sharing corrections</w:t>
            </w:r>
          </w:p>
          <w:p w14:paraId="70446C3E" w14:textId="77777777" w:rsidR="009C7DF8" w:rsidRPr="009C7DF8" w:rsidRDefault="009C7DF8" w:rsidP="00B17936">
            <w:pPr>
              <w:rPr>
                <w:rFonts w:asciiTheme="minorHAnsi" w:hAnsiTheme="minorHAnsi" w:cstheme="minorHAnsi"/>
                <w:i/>
                <w:sz w:val="28"/>
                <w:szCs w:val="28"/>
              </w:rPr>
            </w:pPr>
          </w:p>
          <w:p w14:paraId="090CBACE" w14:textId="77777777" w:rsidR="003F47CB" w:rsidRDefault="003F47CB" w:rsidP="00B17936">
            <w:pPr>
              <w:rPr>
                <w:rFonts w:asciiTheme="minorHAnsi" w:hAnsiTheme="minorHAnsi" w:cstheme="minorHAnsi"/>
                <w:sz w:val="22"/>
                <w:szCs w:val="22"/>
              </w:rPr>
            </w:pPr>
            <w:r w:rsidRPr="009C7DF8">
              <w:rPr>
                <w:rFonts w:asciiTheme="minorHAnsi" w:hAnsiTheme="minorHAnsi" w:cstheme="minorHAnsi"/>
                <w:sz w:val="22"/>
                <w:szCs w:val="22"/>
              </w:rPr>
              <w:t>The Department of Health should share all relevant data corrections with third parties involved in data matching.</w:t>
            </w:r>
          </w:p>
          <w:p w14:paraId="5B17FBE3" w14:textId="18762F99" w:rsidR="009C7DF8" w:rsidRPr="009C7DF8" w:rsidRDefault="009C7DF8" w:rsidP="00B17936">
            <w:pPr>
              <w:rPr>
                <w:rFonts w:asciiTheme="minorHAnsi" w:hAnsiTheme="minorHAnsi" w:cstheme="minorHAnsi"/>
                <w:sz w:val="22"/>
                <w:szCs w:val="22"/>
              </w:rPr>
            </w:pPr>
          </w:p>
        </w:tc>
      </w:tr>
    </w:tbl>
    <w:p w14:paraId="740A4D8F" w14:textId="0637C71F" w:rsidR="003F47CB" w:rsidRPr="009D309B" w:rsidRDefault="003F47CB" w:rsidP="003F47CB">
      <w:pPr>
        <w:tabs>
          <w:tab w:val="right" w:pos="9072"/>
        </w:tabs>
        <w:rPr>
          <w:rFonts w:asciiTheme="minorHAnsi" w:hAnsiTheme="minorHAnsi" w:cstheme="minorHAnsi"/>
          <w:b/>
          <w:sz w:val="22"/>
          <w:szCs w:val="22"/>
        </w:rPr>
      </w:pPr>
    </w:p>
    <w:p w14:paraId="24DEB2BA" w14:textId="23C74BF4" w:rsidR="00AB2B16"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688C2517" w14:textId="77777777" w:rsidR="00A27AEC" w:rsidRDefault="00A27AEC" w:rsidP="00753991">
      <w:pPr>
        <w:rPr>
          <w:rFonts w:asciiTheme="minorHAnsi" w:hAnsiTheme="minorHAnsi" w:cstheme="minorHAnsi"/>
          <w:sz w:val="22"/>
          <w:szCs w:val="22"/>
        </w:rPr>
      </w:pPr>
    </w:p>
    <w:p w14:paraId="794D5C36" w14:textId="22D88C54" w:rsidR="00753991" w:rsidRPr="00A27AEC" w:rsidRDefault="00753991" w:rsidP="00753991">
      <w:pPr>
        <w:rPr>
          <w:rFonts w:asciiTheme="minorHAnsi" w:hAnsiTheme="minorHAnsi" w:cstheme="minorHAnsi"/>
          <w:b/>
          <w:sz w:val="22"/>
          <w:szCs w:val="22"/>
        </w:rPr>
      </w:pPr>
      <w:r w:rsidRPr="00A27AEC">
        <w:rPr>
          <w:rFonts w:asciiTheme="minorHAnsi" w:hAnsiTheme="minorHAnsi" w:cstheme="minorHAnsi"/>
          <w:b/>
          <w:sz w:val="22"/>
          <w:szCs w:val="22"/>
        </w:rPr>
        <w:t>Agreed.</w:t>
      </w:r>
    </w:p>
    <w:p w14:paraId="39427257" w14:textId="038C960B" w:rsidR="000F6737" w:rsidRPr="009D309B" w:rsidRDefault="000F6737" w:rsidP="000F6737">
      <w:pPr>
        <w:rPr>
          <w:rFonts w:asciiTheme="minorHAnsi" w:hAnsiTheme="minorHAnsi" w:cstheme="minorHAnsi"/>
          <w:sz w:val="22"/>
          <w:szCs w:val="22"/>
        </w:rPr>
      </w:pPr>
      <w:r w:rsidRPr="009D309B">
        <w:rPr>
          <w:rFonts w:asciiTheme="minorHAnsi" w:hAnsiTheme="minorHAnsi" w:cstheme="minorHAnsi"/>
          <w:sz w:val="22"/>
          <w:szCs w:val="22"/>
        </w:rPr>
        <w:t xml:space="preserve">Health will update its agreements with third parties to include an obligation for </w:t>
      </w:r>
      <w:r w:rsidR="001E652F" w:rsidRPr="009D309B">
        <w:rPr>
          <w:rFonts w:asciiTheme="minorHAnsi" w:hAnsiTheme="minorHAnsi" w:cstheme="minorHAnsi"/>
          <w:sz w:val="22"/>
          <w:szCs w:val="22"/>
        </w:rPr>
        <w:t xml:space="preserve">the relevant third party to be responsible for correcting the original </w:t>
      </w:r>
      <w:r w:rsidRPr="009D309B">
        <w:rPr>
          <w:rFonts w:asciiTheme="minorHAnsi" w:hAnsiTheme="minorHAnsi" w:cstheme="minorHAnsi"/>
          <w:sz w:val="22"/>
          <w:szCs w:val="22"/>
        </w:rPr>
        <w:t>data</w:t>
      </w:r>
      <w:r w:rsidR="001E652F" w:rsidRPr="009D309B">
        <w:rPr>
          <w:rFonts w:asciiTheme="minorHAnsi" w:hAnsiTheme="minorHAnsi" w:cstheme="minorHAnsi"/>
          <w:sz w:val="22"/>
          <w:szCs w:val="22"/>
        </w:rPr>
        <w:t>set</w:t>
      </w:r>
      <w:r w:rsidRPr="009D309B">
        <w:rPr>
          <w:rFonts w:asciiTheme="minorHAnsi" w:hAnsiTheme="minorHAnsi" w:cstheme="minorHAnsi"/>
          <w:sz w:val="22"/>
          <w:szCs w:val="22"/>
        </w:rPr>
        <w:t xml:space="preserve">. </w:t>
      </w:r>
    </w:p>
    <w:p w14:paraId="2FB99B9F" w14:textId="2429FCD1" w:rsidR="00753991" w:rsidRDefault="00753991" w:rsidP="003F47CB">
      <w:pPr>
        <w:tabs>
          <w:tab w:val="right" w:pos="9072"/>
        </w:tabs>
        <w:rPr>
          <w:rFonts w:asciiTheme="minorHAnsi" w:hAnsiTheme="minorHAnsi" w:cstheme="minorHAnsi"/>
          <w:b/>
          <w:sz w:val="22"/>
          <w:szCs w:val="22"/>
        </w:rPr>
      </w:pPr>
    </w:p>
    <w:tbl>
      <w:tblPr>
        <w:tblW w:w="101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7"/>
      </w:tblGrid>
      <w:tr w:rsidR="009C7DF8" w:rsidRPr="009D309B" w14:paraId="7957850E" w14:textId="77777777" w:rsidTr="000732BD">
        <w:trPr>
          <w:trHeight w:val="70"/>
        </w:trPr>
        <w:tc>
          <w:tcPr>
            <w:tcW w:w="10177" w:type="dxa"/>
            <w:shd w:val="clear" w:color="auto" w:fill="B8CCE4" w:themeFill="accent1" w:themeFillTint="66"/>
          </w:tcPr>
          <w:p w14:paraId="4D70FC14" w14:textId="35C96F91" w:rsidR="009C7DF8" w:rsidRDefault="009C7DF8" w:rsidP="000732BD">
            <w:pPr>
              <w:rPr>
                <w:rFonts w:asciiTheme="minorHAnsi" w:hAnsiTheme="minorHAnsi" w:cstheme="minorHAnsi"/>
                <w:b/>
                <w:sz w:val="28"/>
                <w:szCs w:val="28"/>
              </w:rPr>
            </w:pPr>
            <w:r w:rsidRPr="009C7DF8">
              <w:rPr>
                <w:rFonts w:asciiTheme="minorHAnsi" w:hAnsiTheme="minorHAnsi" w:cstheme="minorHAnsi"/>
                <w:b/>
                <w:sz w:val="28"/>
                <w:szCs w:val="28"/>
              </w:rPr>
              <w:t>Recommendation 12 – Establish privacy governance arrangements and then review, strengthen and enhance on a regular basis</w:t>
            </w:r>
          </w:p>
          <w:p w14:paraId="0BC9EF16" w14:textId="77777777" w:rsidR="009C7DF8" w:rsidRPr="009C7DF8" w:rsidRDefault="009C7DF8" w:rsidP="000732BD">
            <w:pPr>
              <w:rPr>
                <w:rFonts w:asciiTheme="minorHAnsi" w:hAnsiTheme="minorHAnsi" w:cstheme="minorHAnsi"/>
                <w:b/>
                <w:sz w:val="28"/>
                <w:szCs w:val="28"/>
              </w:rPr>
            </w:pPr>
          </w:p>
          <w:p w14:paraId="1B3B37FE"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The Department of Health should formally establish core criteria for privacy governance arrangements including:</w:t>
            </w:r>
          </w:p>
          <w:p w14:paraId="49DFC964"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A.</w:t>
            </w:r>
            <w:r w:rsidRPr="009C7DF8">
              <w:rPr>
                <w:rFonts w:asciiTheme="minorHAnsi" w:hAnsiTheme="minorHAnsi" w:cstheme="minorHAnsi"/>
                <w:sz w:val="22"/>
                <w:szCs w:val="22"/>
              </w:rPr>
              <w:tab/>
              <w:t>Register of agreements</w:t>
            </w:r>
          </w:p>
          <w:p w14:paraId="293DCB0F"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B.</w:t>
            </w:r>
            <w:r w:rsidRPr="009C7DF8">
              <w:rPr>
                <w:rFonts w:asciiTheme="minorHAnsi" w:hAnsiTheme="minorHAnsi" w:cstheme="minorHAnsi"/>
                <w:sz w:val="22"/>
                <w:szCs w:val="22"/>
              </w:rPr>
              <w:tab/>
              <w:t>Data minimisation</w:t>
            </w:r>
          </w:p>
          <w:p w14:paraId="42A3CE19"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C.</w:t>
            </w:r>
            <w:r w:rsidRPr="009C7DF8">
              <w:rPr>
                <w:rFonts w:asciiTheme="minorHAnsi" w:hAnsiTheme="minorHAnsi" w:cstheme="minorHAnsi"/>
                <w:sz w:val="22"/>
                <w:szCs w:val="22"/>
              </w:rPr>
              <w:tab/>
              <w:t>Openness</w:t>
            </w:r>
          </w:p>
          <w:p w14:paraId="21267225"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D.</w:t>
            </w:r>
            <w:r w:rsidRPr="009C7DF8">
              <w:rPr>
                <w:rFonts w:asciiTheme="minorHAnsi" w:hAnsiTheme="minorHAnsi" w:cstheme="minorHAnsi"/>
                <w:sz w:val="22"/>
                <w:szCs w:val="22"/>
              </w:rPr>
              <w:tab/>
              <w:t>Notice</w:t>
            </w:r>
          </w:p>
          <w:p w14:paraId="5AF5BFD8"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E.</w:t>
            </w:r>
            <w:r w:rsidRPr="009C7DF8">
              <w:rPr>
                <w:rFonts w:asciiTheme="minorHAnsi" w:hAnsiTheme="minorHAnsi" w:cstheme="minorHAnsi"/>
                <w:sz w:val="22"/>
                <w:szCs w:val="22"/>
              </w:rPr>
              <w:tab/>
              <w:t>Data quality assessment</w:t>
            </w:r>
          </w:p>
          <w:p w14:paraId="20CDA979"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F.</w:t>
            </w:r>
            <w:r w:rsidRPr="009C7DF8">
              <w:rPr>
                <w:rFonts w:asciiTheme="minorHAnsi" w:hAnsiTheme="minorHAnsi" w:cstheme="minorHAnsi"/>
                <w:sz w:val="22"/>
                <w:szCs w:val="22"/>
              </w:rPr>
              <w:tab/>
              <w:t>Minimum security requirements and independent security risk assessments</w:t>
            </w:r>
          </w:p>
          <w:p w14:paraId="0CEB3EEF"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G.</w:t>
            </w:r>
            <w:r w:rsidRPr="009C7DF8">
              <w:rPr>
                <w:rFonts w:asciiTheme="minorHAnsi" w:hAnsiTheme="minorHAnsi" w:cstheme="minorHAnsi"/>
                <w:sz w:val="22"/>
                <w:szCs w:val="22"/>
              </w:rPr>
              <w:tab/>
              <w:t>Compliance audits</w:t>
            </w:r>
          </w:p>
          <w:p w14:paraId="37D9FE3D" w14:textId="77777777" w:rsidR="009C7DF8" w:rsidRP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H.</w:t>
            </w:r>
            <w:r w:rsidRPr="009C7DF8">
              <w:rPr>
                <w:rFonts w:asciiTheme="minorHAnsi" w:hAnsiTheme="minorHAnsi" w:cstheme="minorHAnsi"/>
                <w:sz w:val="22"/>
                <w:szCs w:val="22"/>
              </w:rPr>
              <w:tab/>
              <w:t>Managing data destruction</w:t>
            </w:r>
          </w:p>
          <w:p w14:paraId="40FB3277" w14:textId="77777777" w:rsidR="009C7DF8" w:rsidRPr="009C7DF8" w:rsidRDefault="009C7DF8" w:rsidP="009C7DF8">
            <w:pPr>
              <w:rPr>
                <w:rFonts w:asciiTheme="minorHAnsi" w:hAnsiTheme="minorHAnsi" w:cstheme="minorHAnsi"/>
                <w:sz w:val="22"/>
                <w:szCs w:val="22"/>
              </w:rPr>
            </w:pPr>
          </w:p>
          <w:p w14:paraId="0AA54CCD" w14:textId="7FCBE3EE" w:rsidR="009C7DF8" w:rsidRDefault="009C7DF8" w:rsidP="009C7DF8">
            <w:pPr>
              <w:rPr>
                <w:rFonts w:asciiTheme="minorHAnsi" w:hAnsiTheme="minorHAnsi" w:cstheme="minorHAnsi"/>
                <w:sz w:val="22"/>
                <w:szCs w:val="22"/>
              </w:rPr>
            </w:pPr>
            <w:r w:rsidRPr="009C7DF8">
              <w:rPr>
                <w:rFonts w:asciiTheme="minorHAnsi" w:hAnsiTheme="minorHAnsi" w:cstheme="minorHAnsi"/>
                <w:sz w:val="22"/>
                <w:szCs w:val="22"/>
              </w:rPr>
              <w:t>Once established, the Department should review, strengthen and enhance the privacy governance arrangements on a regular basis.</w:t>
            </w:r>
          </w:p>
          <w:p w14:paraId="6E2E17E4" w14:textId="734D44BD" w:rsidR="009C7DF8" w:rsidRPr="009C7DF8" w:rsidRDefault="009C7DF8" w:rsidP="000732BD">
            <w:pPr>
              <w:rPr>
                <w:rFonts w:asciiTheme="minorHAnsi" w:hAnsiTheme="minorHAnsi" w:cstheme="minorHAnsi"/>
                <w:sz w:val="22"/>
                <w:szCs w:val="22"/>
              </w:rPr>
            </w:pPr>
          </w:p>
        </w:tc>
      </w:tr>
    </w:tbl>
    <w:p w14:paraId="79D49119" w14:textId="77777777" w:rsidR="009C7DF8" w:rsidRPr="009D309B" w:rsidRDefault="009C7DF8" w:rsidP="003F47CB">
      <w:pPr>
        <w:tabs>
          <w:tab w:val="right" w:pos="9072"/>
        </w:tabs>
        <w:rPr>
          <w:rFonts w:asciiTheme="minorHAnsi" w:hAnsiTheme="minorHAnsi" w:cstheme="minorHAnsi"/>
          <w:b/>
          <w:sz w:val="22"/>
          <w:szCs w:val="22"/>
        </w:rPr>
      </w:pPr>
    </w:p>
    <w:p w14:paraId="216B1465" w14:textId="6F1EE832" w:rsidR="00754965" w:rsidRPr="00A27AEC" w:rsidRDefault="00754965" w:rsidP="003F47CB">
      <w:pPr>
        <w:tabs>
          <w:tab w:val="right" w:pos="9072"/>
        </w:tabs>
        <w:rPr>
          <w:rFonts w:asciiTheme="minorHAnsi" w:hAnsiTheme="minorHAnsi" w:cstheme="minorHAnsi"/>
          <w:b/>
          <w:sz w:val="28"/>
          <w:szCs w:val="28"/>
        </w:rPr>
      </w:pPr>
      <w:r w:rsidRPr="00A27AEC">
        <w:rPr>
          <w:rFonts w:asciiTheme="minorHAnsi" w:hAnsiTheme="minorHAnsi" w:cstheme="minorHAnsi"/>
          <w:b/>
          <w:sz w:val="28"/>
          <w:szCs w:val="28"/>
        </w:rPr>
        <w:t>Departmental response:</w:t>
      </w:r>
    </w:p>
    <w:p w14:paraId="20177B6F" w14:textId="77777777" w:rsidR="00A27AEC" w:rsidRDefault="00A27AEC" w:rsidP="000F6737">
      <w:pPr>
        <w:rPr>
          <w:rFonts w:asciiTheme="minorHAnsi" w:hAnsiTheme="minorHAnsi" w:cstheme="minorHAnsi"/>
          <w:sz w:val="22"/>
          <w:szCs w:val="22"/>
        </w:rPr>
      </w:pPr>
    </w:p>
    <w:p w14:paraId="0B251B04" w14:textId="146C76D5" w:rsidR="000F6737" w:rsidRPr="00A27AEC" w:rsidRDefault="000F6737" w:rsidP="000F6737">
      <w:pPr>
        <w:rPr>
          <w:rFonts w:asciiTheme="minorHAnsi" w:hAnsiTheme="minorHAnsi" w:cstheme="minorHAnsi"/>
          <w:b/>
          <w:sz w:val="22"/>
          <w:szCs w:val="22"/>
        </w:rPr>
      </w:pPr>
      <w:r w:rsidRPr="00A27AEC">
        <w:rPr>
          <w:rFonts w:asciiTheme="minorHAnsi" w:hAnsiTheme="minorHAnsi" w:cstheme="minorHAnsi"/>
          <w:b/>
          <w:sz w:val="22"/>
          <w:szCs w:val="22"/>
        </w:rPr>
        <w:t>Agreed.</w:t>
      </w:r>
    </w:p>
    <w:p w14:paraId="0FBEC59F" w14:textId="2978C94B" w:rsidR="000F6737" w:rsidRPr="009D309B" w:rsidRDefault="000F6737" w:rsidP="000F6737">
      <w:pPr>
        <w:tabs>
          <w:tab w:val="right" w:pos="9072"/>
        </w:tabs>
        <w:rPr>
          <w:rFonts w:asciiTheme="minorHAnsi" w:hAnsiTheme="minorHAnsi" w:cstheme="minorHAnsi"/>
          <w:b/>
          <w:sz w:val="22"/>
          <w:szCs w:val="22"/>
        </w:rPr>
      </w:pPr>
      <w:r w:rsidRPr="009D309B">
        <w:rPr>
          <w:rFonts w:asciiTheme="minorHAnsi" w:hAnsiTheme="minorHAnsi" w:cstheme="minorHAnsi"/>
          <w:sz w:val="22"/>
          <w:szCs w:val="22"/>
        </w:rPr>
        <w:t xml:space="preserve">Health will establish privacy governance arrangements that </w:t>
      </w:r>
      <w:r w:rsidR="001E652F" w:rsidRPr="009D309B">
        <w:rPr>
          <w:rFonts w:asciiTheme="minorHAnsi" w:hAnsiTheme="minorHAnsi" w:cstheme="minorHAnsi"/>
          <w:sz w:val="22"/>
          <w:szCs w:val="22"/>
        </w:rPr>
        <w:t>will</w:t>
      </w:r>
      <w:r w:rsidRPr="009D309B">
        <w:rPr>
          <w:rFonts w:asciiTheme="minorHAnsi" w:hAnsiTheme="minorHAnsi" w:cstheme="minorHAnsi"/>
          <w:sz w:val="22"/>
          <w:szCs w:val="22"/>
        </w:rPr>
        <w:t xml:space="preserve"> be reviewed, strengthened and enhanced </w:t>
      </w:r>
      <w:r w:rsidR="001E652F" w:rsidRPr="009D309B">
        <w:rPr>
          <w:rFonts w:asciiTheme="minorHAnsi" w:hAnsiTheme="minorHAnsi" w:cstheme="minorHAnsi"/>
          <w:sz w:val="22"/>
          <w:szCs w:val="22"/>
        </w:rPr>
        <w:t>in</w:t>
      </w:r>
      <w:r w:rsidRPr="009D309B">
        <w:rPr>
          <w:rFonts w:asciiTheme="minorHAnsi" w:hAnsiTheme="minorHAnsi" w:cstheme="minorHAnsi"/>
          <w:sz w:val="22"/>
          <w:szCs w:val="22"/>
        </w:rPr>
        <w:t xml:space="preserve"> consult</w:t>
      </w:r>
      <w:r w:rsidR="001E652F" w:rsidRPr="009D309B">
        <w:rPr>
          <w:rFonts w:asciiTheme="minorHAnsi" w:hAnsiTheme="minorHAnsi" w:cstheme="minorHAnsi"/>
          <w:sz w:val="22"/>
          <w:szCs w:val="22"/>
        </w:rPr>
        <w:t>ation</w:t>
      </w:r>
      <w:r w:rsidRPr="009D309B">
        <w:rPr>
          <w:rFonts w:asciiTheme="minorHAnsi" w:hAnsiTheme="minorHAnsi" w:cstheme="minorHAnsi"/>
          <w:sz w:val="22"/>
          <w:szCs w:val="22"/>
        </w:rPr>
        <w:t xml:space="preserve"> with the OAIC.</w:t>
      </w:r>
    </w:p>
    <w:sectPr w:rsidR="000F6737" w:rsidRPr="009D309B" w:rsidSect="001470B5">
      <w:headerReference w:type="even" r:id="rId7"/>
      <w:headerReference w:type="default" r:id="rId8"/>
      <w:footerReference w:type="even" r:id="rId9"/>
      <w:footerReference w:type="default" r:id="rId10"/>
      <w:headerReference w:type="first" r:id="rId11"/>
      <w:footerReference w:type="first" r:id="rId12"/>
      <w:pgSz w:w="11906" w:h="16838" w:code="9"/>
      <w:pgMar w:top="993" w:right="849" w:bottom="1440" w:left="108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8234" w14:textId="77777777" w:rsidR="00BD3008" w:rsidRDefault="00BD3008">
      <w:r>
        <w:separator/>
      </w:r>
    </w:p>
  </w:endnote>
  <w:endnote w:type="continuationSeparator" w:id="0">
    <w:p w14:paraId="1A5F266B" w14:textId="77777777" w:rsidR="00BD3008" w:rsidRDefault="00B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4673" w14:textId="77777777" w:rsidR="00E63A51" w:rsidRDefault="00E6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8F8D" w14:textId="77777777" w:rsidR="00E63A51" w:rsidRDefault="00E6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57CC" w14:textId="77777777" w:rsidR="00D912DB" w:rsidRDefault="00D912DB" w:rsidP="0089317D">
    <w:pPr>
      <w:pStyle w:val="Footer"/>
      <w:jc w:val="center"/>
      <w:rPr>
        <w:noProof/>
        <w:position w:val="4"/>
        <w:sz w:val="18"/>
      </w:rPr>
    </w:pPr>
  </w:p>
  <w:p w14:paraId="3059218D" w14:textId="77777777" w:rsidR="00D912DB" w:rsidRPr="00CF3477" w:rsidRDefault="00112C73" w:rsidP="004557B9">
    <w:pPr>
      <w:pStyle w:val="Footer"/>
      <w:spacing w:line="360" w:lineRule="auto"/>
      <w:jc w:val="center"/>
      <w:rPr>
        <w:rFonts w:ascii="Arial" w:hAnsi="Arial" w:cs="Arial"/>
        <w:sz w:val="14"/>
        <w:szCs w:val="14"/>
      </w:rPr>
    </w:pPr>
    <w:r>
      <w:rPr>
        <w:rFonts w:ascii="Arial" w:hAnsi="Arial" w:cs="Arial"/>
        <w:sz w:val="14"/>
        <w:szCs w:val="14"/>
      </w:rPr>
      <w:t xml:space="preserve"> </w:t>
    </w:r>
    <w:r w:rsidR="00DB0AD2">
      <w:rPr>
        <w:rFonts w:ascii="Arial" w:hAnsi="Arial" w:cs="Arial"/>
        <w:sz w:val="14"/>
        <w:szCs w:val="14"/>
      </w:rPr>
      <w:t xml:space="preserve">  </w:t>
    </w:r>
    <w:r>
      <w:rPr>
        <w:rFonts w:ascii="Arial" w:hAnsi="Arial" w:cs="Arial"/>
        <w:sz w:val="14"/>
        <w:szCs w:val="14"/>
      </w:rPr>
      <w:t xml:space="preserve"> </w:t>
    </w:r>
    <w:r w:rsidR="00DD5414">
      <w:rPr>
        <w:rFonts w:ascii="Arial" w:hAnsi="Arial" w:cs="Arial"/>
        <w:sz w:val="14"/>
        <w:szCs w:val="14"/>
      </w:rPr>
      <w:t xml:space="preserve"> </w:t>
    </w:r>
    <w:r w:rsidR="00DD5414">
      <w:rPr>
        <w:rFonts w:ascii="Arial" w:hAnsi="Arial" w:cs="Arial"/>
        <w:sz w:val="14"/>
        <w:szCs w:val="14"/>
      </w:rPr>
      <w:br/>
    </w:r>
    <w:r w:rsidR="00BD3008">
      <w:rPr>
        <w:rFonts w:ascii="Arial" w:hAnsi="Arial" w:cs="Arial"/>
        <w:sz w:val="14"/>
        <w:szCs w:val="14"/>
      </w:rPr>
      <w:t xml:space="preserve"> GPO Box 9848 Canberra ACT 2601</w:t>
    </w:r>
    <w:r w:rsidR="00DD5414">
      <w:rPr>
        <w:rFonts w:ascii="Arial" w:hAnsi="Arial" w:cs="Arial"/>
        <w:sz w:val="14"/>
        <w:szCs w:val="14"/>
      </w:rPr>
      <w:t xml:space="preserve"> </w:t>
    </w:r>
    <w:r w:rsidR="00BD3008">
      <w:rPr>
        <w:rFonts w:ascii="Arial" w:hAnsi="Arial" w:cs="Arial"/>
        <w:b/>
        <w:sz w:val="14"/>
        <w:szCs w:val="14"/>
      </w:rPr>
      <w:t>- www.health.gov.au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39C0" w14:textId="77777777" w:rsidR="00BD3008" w:rsidRDefault="00BD3008">
      <w:r>
        <w:separator/>
      </w:r>
    </w:p>
  </w:footnote>
  <w:footnote w:type="continuationSeparator" w:id="0">
    <w:p w14:paraId="3D4FF043" w14:textId="77777777" w:rsidR="00BD3008" w:rsidRDefault="00BD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1A29" w14:textId="77777777" w:rsidR="00E63A51" w:rsidRDefault="00E6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4B19" w14:textId="4A4694E6" w:rsidR="00D912DB" w:rsidRDefault="00D912DB">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14CD8">
      <w:rPr>
        <w:rStyle w:val="PageNumber"/>
        <w:noProof/>
        <w:sz w:val="20"/>
        <w:szCs w:val="20"/>
      </w:rPr>
      <w:t>2</w:t>
    </w:r>
    <w:r>
      <w:rPr>
        <w:rStyle w:val="PageNumber"/>
        <w:sz w:val="20"/>
        <w:szCs w:val="20"/>
      </w:rPr>
      <w:fldChar w:fldCharType="end"/>
    </w:r>
    <w:r>
      <w:rPr>
        <w:rStyle w:val="PageNumbe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BE19" w14:textId="77777777" w:rsidR="00E63A51" w:rsidRDefault="00E6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77"/>
    <w:multiLevelType w:val="hybridMultilevel"/>
    <w:tmpl w:val="64EE6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 w15:restartNumberingAfterBreak="0">
    <w:nsid w:val="10250DC9"/>
    <w:multiLevelType w:val="hybridMultilevel"/>
    <w:tmpl w:val="1054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91AF1"/>
    <w:multiLevelType w:val="hybridMultilevel"/>
    <w:tmpl w:val="AD8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928AE"/>
    <w:multiLevelType w:val="hybridMultilevel"/>
    <w:tmpl w:val="A12C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34A6B"/>
    <w:multiLevelType w:val="multilevel"/>
    <w:tmpl w:val="8D08050C"/>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15:restartNumberingAfterBreak="0">
    <w:nsid w:val="29A44255"/>
    <w:multiLevelType w:val="hybridMultilevel"/>
    <w:tmpl w:val="E4BA422C"/>
    <w:lvl w:ilvl="0" w:tplc="DFB26C8E">
      <w:start w:val="1"/>
      <w:numFmt w:val="bullet"/>
      <w:lvlText w:val="•"/>
      <w:lvlJc w:val="left"/>
      <w:pPr>
        <w:tabs>
          <w:tab w:val="num" w:pos="720"/>
        </w:tabs>
        <w:ind w:left="720" w:hanging="360"/>
      </w:pPr>
      <w:rPr>
        <w:rFonts w:ascii="Arial" w:hAnsi="Arial" w:hint="default"/>
      </w:rPr>
    </w:lvl>
    <w:lvl w:ilvl="1" w:tplc="FCA4BFE2" w:tentative="1">
      <w:start w:val="1"/>
      <w:numFmt w:val="bullet"/>
      <w:lvlText w:val="•"/>
      <w:lvlJc w:val="left"/>
      <w:pPr>
        <w:tabs>
          <w:tab w:val="num" w:pos="1440"/>
        </w:tabs>
        <w:ind w:left="1440" w:hanging="360"/>
      </w:pPr>
      <w:rPr>
        <w:rFonts w:ascii="Arial" w:hAnsi="Arial" w:hint="default"/>
      </w:rPr>
    </w:lvl>
    <w:lvl w:ilvl="2" w:tplc="E5F6BCA4" w:tentative="1">
      <w:start w:val="1"/>
      <w:numFmt w:val="bullet"/>
      <w:lvlText w:val="•"/>
      <w:lvlJc w:val="left"/>
      <w:pPr>
        <w:tabs>
          <w:tab w:val="num" w:pos="2160"/>
        </w:tabs>
        <w:ind w:left="2160" w:hanging="360"/>
      </w:pPr>
      <w:rPr>
        <w:rFonts w:ascii="Arial" w:hAnsi="Arial" w:hint="default"/>
      </w:rPr>
    </w:lvl>
    <w:lvl w:ilvl="3" w:tplc="60644FA2" w:tentative="1">
      <w:start w:val="1"/>
      <w:numFmt w:val="bullet"/>
      <w:lvlText w:val="•"/>
      <w:lvlJc w:val="left"/>
      <w:pPr>
        <w:tabs>
          <w:tab w:val="num" w:pos="2880"/>
        </w:tabs>
        <w:ind w:left="2880" w:hanging="360"/>
      </w:pPr>
      <w:rPr>
        <w:rFonts w:ascii="Arial" w:hAnsi="Arial" w:hint="default"/>
      </w:rPr>
    </w:lvl>
    <w:lvl w:ilvl="4" w:tplc="599893D0" w:tentative="1">
      <w:start w:val="1"/>
      <w:numFmt w:val="bullet"/>
      <w:lvlText w:val="•"/>
      <w:lvlJc w:val="left"/>
      <w:pPr>
        <w:tabs>
          <w:tab w:val="num" w:pos="3600"/>
        </w:tabs>
        <w:ind w:left="3600" w:hanging="360"/>
      </w:pPr>
      <w:rPr>
        <w:rFonts w:ascii="Arial" w:hAnsi="Arial" w:hint="default"/>
      </w:rPr>
    </w:lvl>
    <w:lvl w:ilvl="5" w:tplc="2F0AFBD4" w:tentative="1">
      <w:start w:val="1"/>
      <w:numFmt w:val="bullet"/>
      <w:lvlText w:val="•"/>
      <w:lvlJc w:val="left"/>
      <w:pPr>
        <w:tabs>
          <w:tab w:val="num" w:pos="4320"/>
        </w:tabs>
        <w:ind w:left="4320" w:hanging="360"/>
      </w:pPr>
      <w:rPr>
        <w:rFonts w:ascii="Arial" w:hAnsi="Arial" w:hint="default"/>
      </w:rPr>
    </w:lvl>
    <w:lvl w:ilvl="6" w:tplc="9EC8E972" w:tentative="1">
      <w:start w:val="1"/>
      <w:numFmt w:val="bullet"/>
      <w:lvlText w:val="•"/>
      <w:lvlJc w:val="left"/>
      <w:pPr>
        <w:tabs>
          <w:tab w:val="num" w:pos="5040"/>
        </w:tabs>
        <w:ind w:left="5040" w:hanging="360"/>
      </w:pPr>
      <w:rPr>
        <w:rFonts w:ascii="Arial" w:hAnsi="Arial" w:hint="default"/>
      </w:rPr>
    </w:lvl>
    <w:lvl w:ilvl="7" w:tplc="70A0154A" w:tentative="1">
      <w:start w:val="1"/>
      <w:numFmt w:val="bullet"/>
      <w:lvlText w:val="•"/>
      <w:lvlJc w:val="left"/>
      <w:pPr>
        <w:tabs>
          <w:tab w:val="num" w:pos="5760"/>
        </w:tabs>
        <w:ind w:left="5760" w:hanging="360"/>
      </w:pPr>
      <w:rPr>
        <w:rFonts w:ascii="Arial" w:hAnsi="Arial" w:hint="default"/>
      </w:rPr>
    </w:lvl>
    <w:lvl w:ilvl="8" w:tplc="34CA8A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82304"/>
    <w:multiLevelType w:val="hybridMultilevel"/>
    <w:tmpl w:val="F4D889BC"/>
    <w:lvl w:ilvl="0" w:tplc="CB66B7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04E30"/>
    <w:multiLevelType w:val="multilevel"/>
    <w:tmpl w:val="6AC816C8"/>
    <w:lvl w:ilvl="0">
      <w:start w:val="1"/>
      <w:numFmt w:val="decimal"/>
      <w:pStyle w:val="NumberLevel1"/>
      <w:lvlText w:val="%1."/>
      <w:lvlJc w:val="left"/>
      <w:pPr>
        <w:tabs>
          <w:tab w:val="num" w:pos="1418"/>
        </w:tabs>
        <w:ind w:left="709" w:hanging="709"/>
      </w:pPr>
      <w:rPr>
        <w:rFonts w:hint="default"/>
        <w:b w:val="0"/>
        <w:i w:val="0"/>
        <w:color w:val="auto"/>
        <w:sz w:val="20"/>
      </w:rPr>
    </w:lvl>
    <w:lvl w:ilvl="1">
      <w:start w:val="1"/>
      <w:numFmt w:val="decimal"/>
      <w:pStyle w:val="NumberLevel3"/>
      <w:lvlText w:val="%1.%2."/>
      <w:lvlJc w:val="left"/>
      <w:pPr>
        <w:tabs>
          <w:tab w:val="num" w:pos="1418"/>
        </w:tabs>
        <w:ind w:left="709" w:hanging="709"/>
      </w:pPr>
      <w:rPr>
        <w:rFonts w:hint="default"/>
        <w:color w:val="auto"/>
        <w:sz w:val="20"/>
      </w:rPr>
    </w:lvl>
    <w:lvl w:ilvl="2">
      <w:start w:val="1"/>
      <w:numFmt w:val="decimal"/>
      <w:lvlText w:val="%1.%2.%3."/>
      <w:lvlJc w:val="left"/>
      <w:pPr>
        <w:tabs>
          <w:tab w:val="num" w:pos="1418"/>
        </w:tabs>
        <w:ind w:left="709" w:hanging="709"/>
      </w:pPr>
      <w:rPr>
        <w:rFonts w:hint="default"/>
        <w:sz w:val="20"/>
      </w:rPr>
    </w:lvl>
    <w:lvl w:ilvl="3">
      <w:start w:val="1"/>
      <w:numFmt w:val="lowerLetter"/>
      <w:pStyle w:val="NumberLevel4"/>
      <w:lvlText w:val="%4."/>
      <w:lvlJc w:val="left"/>
      <w:pPr>
        <w:tabs>
          <w:tab w:val="num" w:pos="1135"/>
        </w:tabs>
        <w:ind w:left="851" w:hanging="425"/>
      </w:pPr>
      <w:rPr>
        <w:rFonts w:hint="default"/>
        <w:color w:val="auto"/>
      </w:rPr>
    </w:lvl>
    <w:lvl w:ilvl="4">
      <w:start w:val="1"/>
      <w:numFmt w:val="bullet"/>
      <w:pStyle w:val="NumberLevel5"/>
      <w:lvlText w:val=""/>
      <w:lvlJc w:val="left"/>
      <w:pPr>
        <w:tabs>
          <w:tab w:val="num" w:pos="1418"/>
        </w:tabs>
        <w:ind w:left="1134" w:hanging="425"/>
      </w:pPr>
      <w:rPr>
        <w:rFonts w:ascii="Symbol" w:hAnsi="Symbol" w:hint="default"/>
        <w:b w:val="0"/>
        <w:i w:val="0"/>
        <w:color w:val="auto"/>
      </w:rPr>
    </w:lvl>
    <w:lvl w:ilvl="5">
      <w:start w:val="1"/>
      <w:numFmt w:val="bullet"/>
      <w:pStyle w:val="NumberLevel6"/>
      <w:lvlText w:val=""/>
      <w:lvlJc w:val="left"/>
      <w:pPr>
        <w:tabs>
          <w:tab w:val="num" w:pos="1419"/>
        </w:tabs>
        <w:ind w:left="852" w:hanging="426"/>
      </w:pPr>
      <w:rPr>
        <w:rFonts w:ascii="Symbol" w:hAnsi="Symbol" w:hint="default"/>
        <w:b w:val="0"/>
        <w:i w:val="0"/>
      </w:rPr>
    </w:lvl>
    <w:lvl w:ilvl="6">
      <w:start w:val="1"/>
      <w:numFmt w:val="bullet"/>
      <w:pStyle w:val="NumberLevel7"/>
      <w:lvlText w:val="–"/>
      <w:lvlJc w:val="left"/>
      <w:pPr>
        <w:tabs>
          <w:tab w:val="num" w:pos="2552"/>
        </w:tabs>
        <w:ind w:left="1985" w:hanging="425"/>
      </w:pPr>
      <w:rPr>
        <w:rFonts w:hint="default"/>
        <w:b w:val="0"/>
        <w:i w:val="0"/>
      </w:rPr>
    </w:lvl>
    <w:lvl w:ilvl="7">
      <w:start w:val="1"/>
      <w:numFmt w:val="bullet"/>
      <w:pStyle w:val="NumberLevel8"/>
      <w:lvlText w:val="–"/>
      <w:lvlJc w:val="left"/>
      <w:pPr>
        <w:tabs>
          <w:tab w:val="num" w:pos="3119"/>
        </w:tabs>
        <w:ind w:left="2410" w:hanging="425"/>
      </w:pPr>
      <w:rPr>
        <w:rFonts w:hint="default"/>
        <w:b w:val="0"/>
        <w:i w:val="0"/>
      </w:rPr>
    </w:lvl>
    <w:lvl w:ilvl="8">
      <w:start w:val="1"/>
      <w:numFmt w:val="bullet"/>
      <w:pStyle w:val="NumberLevel9"/>
      <w:lvlText w:val="–"/>
      <w:lvlJc w:val="left"/>
      <w:pPr>
        <w:tabs>
          <w:tab w:val="num" w:pos="3544"/>
        </w:tabs>
        <w:ind w:left="2835" w:hanging="425"/>
      </w:pPr>
      <w:rPr>
        <w:rFonts w:hint="default"/>
        <w:b w:val="0"/>
        <w:i w:val="0"/>
      </w:rPr>
    </w:lvl>
  </w:abstractNum>
  <w:abstractNum w:abstractNumId="8" w15:restartNumberingAfterBreak="0">
    <w:nsid w:val="573F5E08"/>
    <w:multiLevelType w:val="multilevel"/>
    <w:tmpl w:val="14485B8E"/>
    <w:lvl w:ilvl="0">
      <w:start w:val="1"/>
      <w:numFmt w:val="bullet"/>
      <w:lvlText w:val=""/>
      <w:lvlJc w:val="left"/>
      <w:pPr>
        <w:tabs>
          <w:tab w:val="num" w:pos="1418"/>
        </w:tabs>
        <w:ind w:left="709" w:hanging="709"/>
      </w:pPr>
      <w:rPr>
        <w:rFonts w:ascii="Symbol" w:hAnsi="Symbol" w:hint="default"/>
        <w:color w:val="auto"/>
        <w:sz w:val="20"/>
      </w:rPr>
    </w:lvl>
    <w:lvl w:ilvl="1">
      <w:start w:val="1"/>
      <w:numFmt w:val="decimal"/>
      <w:lvlText w:val="%1.%2."/>
      <w:lvlJc w:val="left"/>
      <w:pPr>
        <w:tabs>
          <w:tab w:val="num" w:pos="1418"/>
        </w:tabs>
        <w:ind w:left="709" w:hanging="709"/>
      </w:pPr>
      <w:rPr>
        <w:rFonts w:hint="default"/>
        <w:color w:val="auto"/>
        <w:sz w:val="20"/>
      </w:rPr>
    </w:lvl>
    <w:lvl w:ilvl="2">
      <w:start w:val="1"/>
      <w:numFmt w:val="decimal"/>
      <w:lvlText w:val="%1.%2.%3."/>
      <w:lvlJc w:val="left"/>
      <w:pPr>
        <w:tabs>
          <w:tab w:val="num" w:pos="1418"/>
        </w:tabs>
        <w:ind w:left="709" w:hanging="709"/>
      </w:pPr>
      <w:rPr>
        <w:rFonts w:hint="default"/>
        <w:sz w:val="20"/>
      </w:rPr>
    </w:lvl>
    <w:lvl w:ilvl="3">
      <w:start w:val="1"/>
      <w:numFmt w:val="lowerLetter"/>
      <w:lvlText w:val="%4."/>
      <w:lvlJc w:val="left"/>
      <w:pPr>
        <w:tabs>
          <w:tab w:val="num" w:pos="1418"/>
        </w:tabs>
        <w:ind w:left="1134" w:hanging="425"/>
      </w:pPr>
      <w:rPr>
        <w:rFonts w:hint="default"/>
      </w:rPr>
    </w:lvl>
    <w:lvl w:ilvl="4">
      <w:start w:val="1"/>
      <w:numFmt w:val="bullet"/>
      <w:lvlText w:val=""/>
      <w:lvlJc w:val="left"/>
      <w:pPr>
        <w:tabs>
          <w:tab w:val="num" w:pos="1418"/>
        </w:tabs>
        <w:ind w:left="1134" w:hanging="425"/>
      </w:pPr>
      <w:rPr>
        <w:rFonts w:ascii="Symbol" w:hAnsi="Symbol" w:hint="default"/>
        <w:b w:val="0"/>
        <w:i w:val="0"/>
        <w:color w:val="auto"/>
      </w:rPr>
    </w:lvl>
    <w:lvl w:ilvl="5">
      <w:start w:val="1"/>
      <w:numFmt w:val="bullet"/>
      <w:lvlText w:val="–"/>
      <w:lvlJc w:val="left"/>
      <w:pPr>
        <w:tabs>
          <w:tab w:val="num" w:pos="2127"/>
        </w:tabs>
        <w:ind w:left="1560" w:hanging="426"/>
      </w:pPr>
      <w:rPr>
        <w:rFonts w:hint="default"/>
        <w:b w:val="0"/>
        <w:i w:val="0"/>
      </w:rPr>
    </w:lvl>
    <w:lvl w:ilvl="6">
      <w:start w:val="1"/>
      <w:numFmt w:val="bullet"/>
      <w:lvlText w:val="–"/>
      <w:lvlJc w:val="left"/>
      <w:pPr>
        <w:tabs>
          <w:tab w:val="num" w:pos="2552"/>
        </w:tabs>
        <w:ind w:left="1985" w:hanging="425"/>
      </w:pPr>
      <w:rPr>
        <w:rFonts w:hint="default"/>
        <w:b w:val="0"/>
        <w:i w:val="0"/>
      </w:rPr>
    </w:lvl>
    <w:lvl w:ilvl="7">
      <w:start w:val="1"/>
      <w:numFmt w:val="bullet"/>
      <w:lvlText w:val="–"/>
      <w:lvlJc w:val="left"/>
      <w:pPr>
        <w:tabs>
          <w:tab w:val="num" w:pos="3119"/>
        </w:tabs>
        <w:ind w:left="2410" w:hanging="425"/>
      </w:pPr>
      <w:rPr>
        <w:rFonts w:hint="default"/>
        <w:b w:val="0"/>
        <w:i w:val="0"/>
      </w:rPr>
    </w:lvl>
    <w:lvl w:ilvl="8">
      <w:start w:val="1"/>
      <w:numFmt w:val="bullet"/>
      <w:lvlText w:val="–"/>
      <w:lvlJc w:val="left"/>
      <w:pPr>
        <w:tabs>
          <w:tab w:val="num" w:pos="3544"/>
        </w:tabs>
        <w:ind w:left="2835" w:hanging="425"/>
      </w:pPr>
      <w:rPr>
        <w:rFonts w:hint="default"/>
        <w:b w:val="0"/>
        <w:i w:val="0"/>
      </w:rPr>
    </w:lvl>
  </w:abstractNum>
  <w:abstractNum w:abstractNumId="9" w15:restartNumberingAfterBreak="0">
    <w:nsid w:val="636E46C2"/>
    <w:multiLevelType w:val="hybridMultilevel"/>
    <w:tmpl w:val="A1361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3112E0"/>
    <w:multiLevelType w:val="hybridMultilevel"/>
    <w:tmpl w:val="96E65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65BAF"/>
    <w:multiLevelType w:val="hybridMultilevel"/>
    <w:tmpl w:val="6472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813D5"/>
    <w:multiLevelType w:val="hybridMultilevel"/>
    <w:tmpl w:val="C94A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0"/>
  </w:num>
  <w:num w:numId="6">
    <w:abstractNumId w:val="12"/>
  </w:num>
  <w:num w:numId="7">
    <w:abstractNumId w:val="0"/>
  </w:num>
  <w:num w:numId="8">
    <w:abstractNumId w:val="3"/>
  </w:num>
  <w:num w:numId="9">
    <w:abstractNumId w:val="2"/>
  </w:num>
  <w:num w:numId="10">
    <w:abstractNumId w:val="6"/>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8"/>
    <w:rsid w:val="0000021D"/>
    <w:rsid w:val="00041E2E"/>
    <w:rsid w:val="000460C4"/>
    <w:rsid w:val="00047105"/>
    <w:rsid w:val="00056700"/>
    <w:rsid w:val="00063FB6"/>
    <w:rsid w:val="00072F0C"/>
    <w:rsid w:val="0008401F"/>
    <w:rsid w:val="000906BD"/>
    <w:rsid w:val="000A17C9"/>
    <w:rsid w:val="000B478D"/>
    <w:rsid w:val="000C23A7"/>
    <w:rsid w:val="000E29EF"/>
    <w:rsid w:val="000E4D22"/>
    <w:rsid w:val="000E740A"/>
    <w:rsid w:val="000F2591"/>
    <w:rsid w:val="000F6737"/>
    <w:rsid w:val="001014B8"/>
    <w:rsid w:val="00102CFC"/>
    <w:rsid w:val="001045ED"/>
    <w:rsid w:val="00106120"/>
    <w:rsid w:val="001101BC"/>
    <w:rsid w:val="00112C73"/>
    <w:rsid w:val="00115456"/>
    <w:rsid w:val="001162DE"/>
    <w:rsid w:val="001305E2"/>
    <w:rsid w:val="001470B5"/>
    <w:rsid w:val="001572D2"/>
    <w:rsid w:val="00160564"/>
    <w:rsid w:val="0017608F"/>
    <w:rsid w:val="001823D0"/>
    <w:rsid w:val="00184454"/>
    <w:rsid w:val="00190EE6"/>
    <w:rsid w:val="0019136C"/>
    <w:rsid w:val="001D6BEF"/>
    <w:rsid w:val="001D75A2"/>
    <w:rsid w:val="001E4026"/>
    <w:rsid w:val="001E652F"/>
    <w:rsid w:val="001F0D48"/>
    <w:rsid w:val="001F20AF"/>
    <w:rsid w:val="00204AD9"/>
    <w:rsid w:val="00205F79"/>
    <w:rsid w:val="002167D8"/>
    <w:rsid w:val="00235958"/>
    <w:rsid w:val="002426B3"/>
    <w:rsid w:val="0024276B"/>
    <w:rsid w:val="002438FC"/>
    <w:rsid w:val="00243A2C"/>
    <w:rsid w:val="00251E49"/>
    <w:rsid w:val="00270C1F"/>
    <w:rsid w:val="00273053"/>
    <w:rsid w:val="002769C8"/>
    <w:rsid w:val="0027799F"/>
    <w:rsid w:val="0028002A"/>
    <w:rsid w:val="00296818"/>
    <w:rsid w:val="002C4FA0"/>
    <w:rsid w:val="002D1A4C"/>
    <w:rsid w:val="002E45FF"/>
    <w:rsid w:val="002F3611"/>
    <w:rsid w:val="002F4251"/>
    <w:rsid w:val="00300F73"/>
    <w:rsid w:val="003060D2"/>
    <w:rsid w:val="0030702A"/>
    <w:rsid w:val="00310CDA"/>
    <w:rsid w:val="00316F0A"/>
    <w:rsid w:val="003228CB"/>
    <w:rsid w:val="00363CF2"/>
    <w:rsid w:val="00364D56"/>
    <w:rsid w:val="00371E10"/>
    <w:rsid w:val="00372506"/>
    <w:rsid w:val="00373FD0"/>
    <w:rsid w:val="00377E84"/>
    <w:rsid w:val="00387426"/>
    <w:rsid w:val="00387536"/>
    <w:rsid w:val="003B1D01"/>
    <w:rsid w:val="003B75A3"/>
    <w:rsid w:val="003C1944"/>
    <w:rsid w:val="003C34FD"/>
    <w:rsid w:val="003C464D"/>
    <w:rsid w:val="003F47CB"/>
    <w:rsid w:val="004041D7"/>
    <w:rsid w:val="00405DF1"/>
    <w:rsid w:val="004124E0"/>
    <w:rsid w:val="00413130"/>
    <w:rsid w:val="00414CD8"/>
    <w:rsid w:val="00417888"/>
    <w:rsid w:val="00420B2C"/>
    <w:rsid w:val="00422496"/>
    <w:rsid w:val="004227ED"/>
    <w:rsid w:val="00432233"/>
    <w:rsid w:val="004352FF"/>
    <w:rsid w:val="004355D6"/>
    <w:rsid w:val="00435F2F"/>
    <w:rsid w:val="0044416F"/>
    <w:rsid w:val="0044779A"/>
    <w:rsid w:val="004557B9"/>
    <w:rsid w:val="00461016"/>
    <w:rsid w:val="00465451"/>
    <w:rsid w:val="004701C4"/>
    <w:rsid w:val="004735A2"/>
    <w:rsid w:val="004776E8"/>
    <w:rsid w:val="0048137D"/>
    <w:rsid w:val="004864D9"/>
    <w:rsid w:val="00492278"/>
    <w:rsid w:val="004972B9"/>
    <w:rsid w:val="004C0B1F"/>
    <w:rsid w:val="004C5F87"/>
    <w:rsid w:val="004C678C"/>
    <w:rsid w:val="004C7B6B"/>
    <w:rsid w:val="004E38D6"/>
    <w:rsid w:val="004F3200"/>
    <w:rsid w:val="005025B0"/>
    <w:rsid w:val="005041DA"/>
    <w:rsid w:val="0051340F"/>
    <w:rsid w:val="00515B36"/>
    <w:rsid w:val="00516621"/>
    <w:rsid w:val="0052011B"/>
    <w:rsid w:val="00531B2D"/>
    <w:rsid w:val="00533136"/>
    <w:rsid w:val="00536627"/>
    <w:rsid w:val="0054002A"/>
    <w:rsid w:val="005527BE"/>
    <w:rsid w:val="00552FCD"/>
    <w:rsid w:val="00556242"/>
    <w:rsid w:val="00562504"/>
    <w:rsid w:val="00562816"/>
    <w:rsid w:val="0057330E"/>
    <w:rsid w:val="00583DBD"/>
    <w:rsid w:val="005925BF"/>
    <w:rsid w:val="00592784"/>
    <w:rsid w:val="005B655E"/>
    <w:rsid w:val="005C6710"/>
    <w:rsid w:val="005C6ADE"/>
    <w:rsid w:val="005D1632"/>
    <w:rsid w:val="005D2DB1"/>
    <w:rsid w:val="005D6610"/>
    <w:rsid w:val="005E3018"/>
    <w:rsid w:val="005E57FD"/>
    <w:rsid w:val="005F028C"/>
    <w:rsid w:val="005F02F3"/>
    <w:rsid w:val="005F1575"/>
    <w:rsid w:val="005F759C"/>
    <w:rsid w:val="00601B9C"/>
    <w:rsid w:val="006052E9"/>
    <w:rsid w:val="006164B4"/>
    <w:rsid w:val="0062774D"/>
    <w:rsid w:val="006315DF"/>
    <w:rsid w:val="00631ADC"/>
    <w:rsid w:val="00633466"/>
    <w:rsid w:val="006344A2"/>
    <w:rsid w:val="0063526B"/>
    <w:rsid w:val="006353C6"/>
    <w:rsid w:val="00635412"/>
    <w:rsid w:val="006403CF"/>
    <w:rsid w:val="00641F00"/>
    <w:rsid w:val="00650E1D"/>
    <w:rsid w:val="00654CE5"/>
    <w:rsid w:val="0067082A"/>
    <w:rsid w:val="00672758"/>
    <w:rsid w:val="00676983"/>
    <w:rsid w:val="00691B7D"/>
    <w:rsid w:val="006A3B8F"/>
    <w:rsid w:val="006B4D31"/>
    <w:rsid w:val="006E7D7A"/>
    <w:rsid w:val="006F025E"/>
    <w:rsid w:val="006F1D13"/>
    <w:rsid w:val="006F43C3"/>
    <w:rsid w:val="007004A3"/>
    <w:rsid w:val="00706A24"/>
    <w:rsid w:val="007109FF"/>
    <w:rsid w:val="007211BC"/>
    <w:rsid w:val="0072510E"/>
    <w:rsid w:val="00730354"/>
    <w:rsid w:val="00731FCD"/>
    <w:rsid w:val="00736E2F"/>
    <w:rsid w:val="00742CDF"/>
    <w:rsid w:val="00753991"/>
    <w:rsid w:val="00754965"/>
    <w:rsid w:val="007744F2"/>
    <w:rsid w:val="00775FE4"/>
    <w:rsid w:val="0078078A"/>
    <w:rsid w:val="007815D0"/>
    <w:rsid w:val="00782FCB"/>
    <w:rsid w:val="00790C57"/>
    <w:rsid w:val="00794A2B"/>
    <w:rsid w:val="00796D88"/>
    <w:rsid w:val="007A090A"/>
    <w:rsid w:val="007A3D38"/>
    <w:rsid w:val="007A6745"/>
    <w:rsid w:val="007B097B"/>
    <w:rsid w:val="007C2F48"/>
    <w:rsid w:val="007D63B7"/>
    <w:rsid w:val="007F3885"/>
    <w:rsid w:val="007F4380"/>
    <w:rsid w:val="0080386E"/>
    <w:rsid w:val="0080719E"/>
    <w:rsid w:val="00816BEE"/>
    <w:rsid w:val="00822C1A"/>
    <w:rsid w:val="00836551"/>
    <w:rsid w:val="00855778"/>
    <w:rsid w:val="008621C3"/>
    <w:rsid w:val="00870541"/>
    <w:rsid w:val="00880F9E"/>
    <w:rsid w:val="00891700"/>
    <w:rsid w:val="0089317D"/>
    <w:rsid w:val="00893978"/>
    <w:rsid w:val="0089439E"/>
    <w:rsid w:val="00894F47"/>
    <w:rsid w:val="008A268E"/>
    <w:rsid w:val="008A4ACD"/>
    <w:rsid w:val="008A79A4"/>
    <w:rsid w:val="008B0D7D"/>
    <w:rsid w:val="008C0CFC"/>
    <w:rsid w:val="008F68F2"/>
    <w:rsid w:val="00903C1B"/>
    <w:rsid w:val="00910FFC"/>
    <w:rsid w:val="00911F6E"/>
    <w:rsid w:val="00915116"/>
    <w:rsid w:val="009200A4"/>
    <w:rsid w:val="0093202A"/>
    <w:rsid w:val="0093466D"/>
    <w:rsid w:val="00935E4C"/>
    <w:rsid w:val="00936E3B"/>
    <w:rsid w:val="00937489"/>
    <w:rsid w:val="0094101E"/>
    <w:rsid w:val="0095063B"/>
    <w:rsid w:val="009539F4"/>
    <w:rsid w:val="00953EB1"/>
    <w:rsid w:val="00960916"/>
    <w:rsid w:val="0096146C"/>
    <w:rsid w:val="0096478F"/>
    <w:rsid w:val="0096629A"/>
    <w:rsid w:val="00973568"/>
    <w:rsid w:val="00976CCA"/>
    <w:rsid w:val="009800E4"/>
    <w:rsid w:val="00985D9B"/>
    <w:rsid w:val="0099135B"/>
    <w:rsid w:val="009A2CD9"/>
    <w:rsid w:val="009A4C27"/>
    <w:rsid w:val="009A5333"/>
    <w:rsid w:val="009A6795"/>
    <w:rsid w:val="009A7761"/>
    <w:rsid w:val="009C3F3F"/>
    <w:rsid w:val="009C7DF8"/>
    <w:rsid w:val="009C7FA7"/>
    <w:rsid w:val="009D309B"/>
    <w:rsid w:val="009E365D"/>
    <w:rsid w:val="009E3D9F"/>
    <w:rsid w:val="009E78D5"/>
    <w:rsid w:val="009F2C8F"/>
    <w:rsid w:val="009F4DAC"/>
    <w:rsid w:val="009F5453"/>
    <w:rsid w:val="00A01B39"/>
    <w:rsid w:val="00A07D4C"/>
    <w:rsid w:val="00A114A1"/>
    <w:rsid w:val="00A16196"/>
    <w:rsid w:val="00A16645"/>
    <w:rsid w:val="00A20BC6"/>
    <w:rsid w:val="00A20E26"/>
    <w:rsid w:val="00A241EB"/>
    <w:rsid w:val="00A2432B"/>
    <w:rsid w:val="00A27AEC"/>
    <w:rsid w:val="00A3011E"/>
    <w:rsid w:val="00A309A6"/>
    <w:rsid w:val="00A52AA2"/>
    <w:rsid w:val="00A53488"/>
    <w:rsid w:val="00A653E0"/>
    <w:rsid w:val="00A76667"/>
    <w:rsid w:val="00A832DF"/>
    <w:rsid w:val="00A84ACC"/>
    <w:rsid w:val="00A86986"/>
    <w:rsid w:val="00A86DB1"/>
    <w:rsid w:val="00A92DF9"/>
    <w:rsid w:val="00A932D3"/>
    <w:rsid w:val="00AA74B0"/>
    <w:rsid w:val="00AB2279"/>
    <w:rsid w:val="00AB2B16"/>
    <w:rsid w:val="00AB54D4"/>
    <w:rsid w:val="00AC7598"/>
    <w:rsid w:val="00AC7FA6"/>
    <w:rsid w:val="00AD142B"/>
    <w:rsid w:val="00AD718D"/>
    <w:rsid w:val="00AE2684"/>
    <w:rsid w:val="00AF04D6"/>
    <w:rsid w:val="00AF08B4"/>
    <w:rsid w:val="00B047E4"/>
    <w:rsid w:val="00B0496E"/>
    <w:rsid w:val="00B14849"/>
    <w:rsid w:val="00B20688"/>
    <w:rsid w:val="00B21ED6"/>
    <w:rsid w:val="00B22355"/>
    <w:rsid w:val="00B33270"/>
    <w:rsid w:val="00B372F0"/>
    <w:rsid w:val="00B37948"/>
    <w:rsid w:val="00B44EC6"/>
    <w:rsid w:val="00B451FE"/>
    <w:rsid w:val="00B53800"/>
    <w:rsid w:val="00B54578"/>
    <w:rsid w:val="00B60BFA"/>
    <w:rsid w:val="00B61C58"/>
    <w:rsid w:val="00B7391A"/>
    <w:rsid w:val="00B8737D"/>
    <w:rsid w:val="00B9486B"/>
    <w:rsid w:val="00BB1078"/>
    <w:rsid w:val="00BD3008"/>
    <w:rsid w:val="00BD43D8"/>
    <w:rsid w:val="00BE388C"/>
    <w:rsid w:val="00BF7CB2"/>
    <w:rsid w:val="00C12EEB"/>
    <w:rsid w:val="00C21FDA"/>
    <w:rsid w:val="00C23A31"/>
    <w:rsid w:val="00C44A17"/>
    <w:rsid w:val="00C564E4"/>
    <w:rsid w:val="00C6055C"/>
    <w:rsid w:val="00C67E28"/>
    <w:rsid w:val="00C8019D"/>
    <w:rsid w:val="00C853DD"/>
    <w:rsid w:val="00C87A45"/>
    <w:rsid w:val="00C91ACF"/>
    <w:rsid w:val="00CA2C40"/>
    <w:rsid w:val="00CA627A"/>
    <w:rsid w:val="00CB6189"/>
    <w:rsid w:val="00CC0246"/>
    <w:rsid w:val="00CC0A5D"/>
    <w:rsid w:val="00CC178A"/>
    <w:rsid w:val="00CD5056"/>
    <w:rsid w:val="00CD5206"/>
    <w:rsid w:val="00CE4691"/>
    <w:rsid w:val="00CE4823"/>
    <w:rsid w:val="00CE58D3"/>
    <w:rsid w:val="00CF3477"/>
    <w:rsid w:val="00D07BD3"/>
    <w:rsid w:val="00D114FF"/>
    <w:rsid w:val="00D129AD"/>
    <w:rsid w:val="00D23FF4"/>
    <w:rsid w:val="00D32F30"/>
    <w:rsid w:val="00D357AE"/>
    <w:rsid w:val="00D451B8"/>
    <w:rsid w:val="00D46A90"/>
    <w:rsid w:val="00D67CDE"/>
    <w:rsid w:val="00D73387"/>
    <w:rsid w:val="00D77243"/>
    <w:rsid w:val="00D81676"/>
    <w:rsid w:val="00D840DB"/>
    <w:rsid w:val="00D8450A"/>
    <w:rsid w:val="00D912DB"/>
    <w:rsid w:val="00D91587"/>
    <w:rsid w:val="00D93737"/>
    <w:rsid w:val="00DA0569"/>
    <w:rsid w:val="00DA4A27"/>
    <w:rsid w:val="00DB0AD2"/>
    <w:rsid w:val="00DB6450"/>
    <w:rsid w:val="00DC3991"/>
    <w:rsid w:val="00DD5414"/>
    <w:rsid w:val="00DE3E81"/>
    <w:rsid w:val="00DF116F"/>
    <w:rsid w:val="00E06649"/>
    <w:rsid w:val="00E07F78"/>
    <w:rsid w:val="00E25AED"/>
    <w:rsid w:val="00E3254A"/>
    <w:rsid w:val="00E46D54"/>
    <w:rsid w:val="00E50657"/>
    <w:rsid w:val="00E5582E"/>
    <w:rsid w:val="00E579D8"/>
    <w:rsid w:val="00E63A51"/>
    <w:rsid w:val="00E645C6"/>
    <w:rsid w:val="00E65260"/>
    <w:rsid w:val="00E873F1"/>
    <w:rsid w:val="00E9452A"/>
    <w:rsid w:val="00EA312C"/>
    <w:rsid w:val="00EB0ED3"/>
    <w:rsid w:val="00EC415E"/>
    <w:rsid w:val="00EC4A7B"/>
    <w:rsid w:val="00ED7514"/>
    <w:rsid w:val="00EE1A8F"/>
    <w:rsid w:val="00EE1BAA"/>
    <w:rsid w:val="00EE2A11"/>
    <w:rsid w:val="00EF14F5"/>
    <w:rsid w:val="00F00237"/>
    <w:rsid w:val="00F054E3"/>
    <w:rsid w:val="00F05CFC"/>
    <w:rsid w:val="00F06517"/>
    <w:rsid w:val="00F141C6"/>
    <w:rsid w:val="00F14D38"/>
    <w:rsid w:val="00F2183C"/>
    <w:rsid w:val="00F21E8A"/>
    <w:rsid w:val="00F35708"/>
    <w:rsid w:val="00F41061"/>
    <w:rsid w:val="00F54B4A"/>
    <w:rsid w:val="00F72B1B"/>
    <w:rsid w:val="00F95FB3"/>
    <w:rsid w:val="00FB73F9"/>
    <w:rsid w:val="00FC2E6E"/>
    <w:rsid w:val="00FC3B9C"/>
    <w:rsid w:val="00FC639D"/>
    <w:rsid w:val="00FD38CB"/>
    <w:rsid w:val="00FE3365"/>
    <w:rsid w:val="00FE40D9"/>
    <w:rsid w:val="00FE41DE"/>
    <w:rsid w:val="00FE51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59F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7CB"/>
    <w:rPr>
      <w:rFonts w:ascii="Book Antiqua" w:hAnsi="Book Antiqua"/>
      <w:sz w:val="24"/>
      <w:szCs w:val="24"/>
    </w:rPr>
  </w:style>
  <w:style w:type="paragraph" w:styleId="Heading1">
    <w:name w:val="heading 1"/>
    <w:basedOn w:val="Normal"/>
    <w:next w:val="Normal"/>
    <w:link w:val="Heading1Char"/>
    <w:uiPriority w:val="9"/>
    <w:qFormat/>
    <w:rsid w:val="00731FCD"/>
    <w:pPr>
      <w:keepNext/>
      <w:keepLines/>
      <w:spacing w:before="48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635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731FCD"/>
    <w:rPr>
      <w:rFonts w:eastAsiaTheme="majorEastAsia" w:cstheme="majorBidi"/>
      <w:b/>
      <w:bCs/>
      <w:sz w:val="24"/>
      <w:szCs w:val="28"/>
    </w:rPr>
  </w:style>
  <w:style w:type="paragraph" w:styleId="NoSpacing">
    <w:name w:val="No Spacing"/>
    <w:link w:val="NoSpacingChar"/>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6353C6"/>
    <w:rPr>
      <w:rFonts w:asciiTheme="majorHAnsi" w:eastAsiaTheme="majorEastAsia" w:hAnsiTheme="majorHAnsi" w:cstheme="majorBidi"/>
      <w:b/>
      <w:bCs/>
      <w:color w:val="4F81BD" w:themeColor="accent1"/>
      <w:sz w:val="26"/>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customStyle="1" w:styleId="NumberLevel1">
    <w:name w:val="Number Level 1"/>
    <w:aliases w:val="N1,hea Level 1"/>
    <w:basedOn w:val="Normal"/>
    <w:link w:val="NumberLevel1CharChar"/>
    <w:uiPriority w:val="1"/>
    <w:qFormat/>
    <w:rsid w:val="00371E10"/>
    <w:pPr>
      <w:numPr>
        <w:numId w:val="1"/>
      </w:numPr>
      <w:spacing w:before="140" w:after="140" w:line="280" w:lineRule="atLeast"/>
    </w:pPr>
    <w:rPr>
      <w:rFonts w:ascii="Arial" w:hAnsi="Arial" w:cs="Arial"/>
      <w:sz w:val="22"/>
      <w:szCs w:val="22"/>
    </w:rPr>
  </w:style>
  <w:style w:type="paragraph" w:customStyle="1" w:styleId="NumberLevel3">
    <w:name w:val="Number Level 3"/>
    <w:aliases w:val="N3"/>
    <w:basedOn w:val="Normal"/>
    <w:autoRedefine/>
    <w:uiPriority w:val="1"/>
    <w:qFormat/>
    <w:rsid w:val="00371E10"/>
    <w:pPr>
      <w:numPr>
        <w:ilvl w:val="1"/>
        <w:numId w:val="1"/>
      </w:numPr>
      <w:spacing w:before="140" w:after="140" w:line="280" w:lineRule="atLeast"/>
    </w:pPr>
    <w:rPr>
      <w:rFonts w:ascii="Arial" w:hAnsi="Arial" w:cs="Arial"/>
      <w:sz w:val="22"/>
      <w:szCs w:val="22"/>
    </w:rPr>
  </w:style>
  <w:style w:type="paragraph" w:customStyle="1" w:styleId="NumberLevel4">
    <w:name w:val="Number Level 4"/>
    <w:aliases w:val="N4,theNumber Level 4"/>
    <w:basedOn w:val="Normal"/>
    <w:uiPriority w:val="1"/>
    <w:qFormat/>
    <w:rsid w:val="00371E10"/>
    <w:pPr>
      <w:numPr>
        <w:ilvl w:val="3"/>
        <w:numId w:val="1"/>
      </w:numPr>
      <w:tabs>
        <w:tab w:val="clear" w:pos="1135"/>
        <w:tab w:val="num" w:pos="1418"/>
      </w:tabs>
      <w:spacing w:after="140" w:line="280" w:lineRule="atLeast"/>
      <w:ind w:left="1134"/>
    </w:pPr>
    <w:rPr>
      <w:rFonts w:ascii="Arial" w:hAnsi="Arial" w:cs="Arial"/>
      <w:sz w:val="22"/>
      <w:szCs w:val="22"/>
    </w:rPr>
  </w:style>
  <w:style w:type="paragraph" w:customStyle="1" w:styleId="NumberLevel5">
    <w:name w:val="Number Level 5"/>
    <w:aliases w:val="N5"/>
    <w:basedOn w:val="Normal"/>
    <w:uiPriority w:val="1"/>
    <w:rsid w:val="00371E10"/>
    <w:pPr>
      <w:numPr>
        <w:ilvl w:val="4"/>
        <w:numId w:val="1"/>
      </w:numPr>
      <w:spacing w:after="140" w:line="280" w:lineRule="atLeast"/>
    </w:pPr>
    <w:rPr>
      <w:rFonts w:ascii="Arial" w:hAnsi="Arial" w:cs="Arial"/>
      <w:sz w:val="22"/>
      <w:szCs w:val="22"/>
    </w:rPr>
  </w:style>
  <w:style w:type="paragraph" w:customStyle="1" w:styleId="NumberLevel6">
    <w:name w:val="Number Level 6"/>
    <w:basedOn w:val="NumberLevel5"/>
    <w:uiPriority w:val="1"/>
    <w:rsid w:val="00371E10"/>
    <w:pPr>
      <w:numPr>
        <w:ilvl w:val="5"/>
      </w:numPr>
    </w:pPr>
  </w:style>
  <w:style w:type="paragraph" w:customStyle="1" w:styleId="NumberLevel7">
    <w:name w:val="Number Level 7"/>
    <w:basedOn w:val="NumberLevel6"/>
    <w:uiPriority w:val="1"/>
    <w:rsid w:val="00371E10"/>
    <w:pPr>
      <w:numPr>
        <w:ilvl w:val="6"/>
      </w:numPr>
    </w:pPr>
  </w:style>
  <w:style w:type="paragraph" w:customStyle="1" w:styleId="NumberLevel8">
    <w:name w:val="Number Level 8"/>
    <w:basedOn w:val="NumberLevel7"/>
    <w:uiPriority w:val="1"/>
    <w:rsid w:val="00371E10"/>
    <w:pPr>
      <w:numPr>
        <w:ilvl w:val="7"/>
      </w:numPr>
    </w:pPr>
  </w:style>
  <w:style w:type="paragraph" w:customStyle="1" w:styleId="NumberLevel9">
    <w:name w:val="Number Level 9"/>
    <w:basedOn w:val="NumberLevel8"/>
    <w:uiPriority w:val="1"/>
    <w:rsid w:val="00371E10"/>
    <w:pPr>
      <w:numPr>
        <w:ilvl w:val="8"/>
      </w:numPr>
    </w:pPr>
  </w:style>
  <w:style w:type="character" w:customStyle="1" w:styleId="NumberLevel1CharChar">
    <w:name w:val="Number Level 1 Char Char"/>
    <w:link w:val="NumberLevel1"/>
    <w:uiPriority w:val="1"/>
    <w:locked/>
    <w:rsid w:val="00371E10"/>
    <w:rPr>
      <w:rFonts w:ascii="Arial" w:hAnsi="Arial" w:cs="Arial"/>
      <w:sz w:val="22"/>
      <w:szCs w:val="22"/>
    </w:rPr>
  </w:style>
  <w:style w:type="table" w:customStyle="1" w:styleId="GridTable4-Accent11">
    <w:name w:val="Grid Table 4 - Accent 11"/>
    <w:basedOn w:val="TableNormal"/>
    <w:uiPriority w:val="49"/>
    <w:rsid w:val="00371E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t1">
    <w:name w:val="Dot1"/>
    <w:aliases w:val="DOT"/>
    <w:basedOn w:val="Normal"/>
    <w:link w:val="Dot1Char"/>
    <w:uiPriority w:val="2"/>
    <w:qFormat/>
    <w:rsid w:val="00371E10"/>
    <w:pPr>
      <w:numPr>
        <w:ilvl w:val="1"/>
        <w:numId w:val="2"/>
      </w:numPr>
      <w:spacing w:after="140" w:line="280" w:lineRule="atLeast"/>
    </w:pPr>
    <w:rPr>
      <w:rFonts w:ascii="Arial" w:hAnsi="Arial" w:cs="Arial"/>
      <w:sz w:val="22"/>
      <w:szCs w:val="22"/>
    </w:rPr>
  </w:style>
  <w:style w:type="character" w:customStyle="1" w:styleId="Dot1Char">
    <w:name w:val="Dot1 Char"/>
    <w:aliases w:val="DOT Char"/>
    <w:basedOn w:val="DefaultParagraphFont"/>
    <w:link w:val="Dot1"/>
    <w:uiPriority w:val="2"/>
    <w:rsid w:val="00371E10"/>
    <w:rPr>
      <w:rFonts w:ascii="Arial" w:hAnsi="Arial" w:cs="Arial"/>
      <w:sz w:val="22"/>
      <w:szCs w:val="22"/>
    </w:rPr>
  </w:style>
  <w:style w:type="paragraph" w:styleId="ListParagraph">
    <w:name w:val="List Paragraph"/>
    <w:basedOn w:val="Normal"/>
    <w:uiPriority w:val="34"/>
    <w:qFormat/>
    <w:rsid w:val="00371E10"/>
    <w:pPr>
      <w:ind w:left="720"/>
      <w:contextualSpacing/>
    </w:pPr>
  </w:style>
  <w:style w:type="paragraph" w:customStyle="1" w:styleId="PlainParagraph">
    <w:name w:val="Plain Paragraph"/>
    <w:aliases w:val="PP"/>
    <w:basedOn w:val="Normal"/>
    <w:link w:val="PlainParagraphChar"/>
    <w:qFormat/>
    <w:rsid w:val="00371E10"/>
    <w:pPr>
      <w:spacing w:before="140" w:after="140" w:line="280" w:lineRule="atLeast"/>
    </w:pPr>
    <w:rPr>
      <w:rFonts w:ascii="Arial" w:hAnsi="Arial" w:cs="Arial"/>
      <w:sz w:val="22"/>
      <w:szCs w:val="22"/>
    </w:rPr>
  </w:style>
  <w:style w:type="character" w:customStyle="1" w:styleId="PlainParagraphChar">
    <w:name w:val="Plain Paragraph Char"/>
    <w:aliases w:val="PP Char"/>
    <w:basedOn w:val="DefaultParagraphFont"/>
    <w:link w:val="PlainParagraph"/>
    <w:rsid w:val="00371E10"/>
    <w:rPr>
      <w:rFonts w:ascii="Arial" w:hAnsi="Arial" w:cs="Arial"/>
      <w:sz w:val="22"/>
      <w:szCs w:val="22"/>
    </w:rPr>
  </w:style>
  <w:style w:type="paragraph" w:styleId="CommentText">
    <w:name w:val="annotation text"/>
    <w:basedOn w:val="Normal"/>
    <w:link w:val="CommentTextChar"/>
    <w:uiPriority w:val="99"/>
    <w:unhideWhenUsed/>
    <w:rsid w:val="00184454"/>
    <w:rPr>
      <w:rFonts w:ascii="Arial" w:hAnsi="Arial" w:cs="Arial"/>
      <w:sz w:val="20"/>
      <w:szCs w:val="20"/>
    </w:rPr>
  </w:style>
  <w:style w:type="character" w:customStyle="1" w:styleId="CommentTextChar">
    <w:name w:val="Comment Text Char"/>
    <w:basedOn w:val="DefaultParagraphFont"/>
    <w:link w:val="CommentText"/>
    <w:uiPriority w:val="99"/>
    <w:rsid w:val="00184454"/>
    <w:rPr>
      <w:rFonts w:ascii="Arial" w:hAnsi="Arial" w:cs="Arial"/>
    </w:rPr>
  </w:style>
  <w:style w:type="character" w:customStyle="1" w:styleId="NoSpacingChar">
    <w:name w:val="No Spacing Char"/>
    <w:basedOn w:val="DefaultParagraphFont"/>
    <w:link w:val="NoSpacing"/>
    <w:uiPriority w:val="1"/>
    <w:rsid w:val="00A86DB1"/>
    <w:rPr>
      <w:sz w:val="24"/>
      <w:szCs w:val="24"/>
    </w:rPr>
  </w:style>
  <w:style w:type="character" w:styleId="CommentReference">
    <w:name w:val="annotation reference"/>
    <w:basedOn w:val="DefaultParagraphFont"/>
    <w:uiPriority w:val="99"/>
    <w:semiHidden/>
    <w:unhideWhenUsed/>
    <w:rsid w:val="00C44A17"/>
    <w:rPr>
      <w:sz w:val="16"/>
      <w:szCs w:val="16"/>
    </w:rPr>
  </w:style>
  <w:style w:type="paragraph" w:styleId="CommentSubject">
    <w:name w:val="annotation subject"/>
    <w:basedOn w:val="CommentText"/>
    <w:next w:val="CommentText"/>
    <w:link w:val="CommentSubjectChar"/>
    <w:uiPriority w:val="99"/>
    <w:semiHidden/>
    <w:unhideWhenUsed/>
    <w:rsid w:val="00C44A17"/>
    <w:rPr>
      <w:rFonts w:ascii="Book Antiqua" w:hAnsi="Book Antiqua" w:cs="Times New Roman"/>
      <w:b/>
      <w:bCs/>
    </w:rPr>
  </w:style>
  <w:style w:type="character" w:customStyle="1" w:styleId="CommentSubjectChar">
    <w:name w:val="Comment Subject Char"/>
    <w:basedOn w:val="CommentTextChar"/>
    <w:link w:val="CommentSubject"/>
    <w:uiPriority w:val="99"/>
    <w:semiHidden/>
    <w:rsid w:val="00C44A17"/>
    <w:rPr>
      <w:rFonts w:ascii="Book Antiqua" w:hAnsi="Book Antiqua" w:cs="Arial"/>
      <w:b/>
      <w:bCs/>
    </w:rPr>
  </w:style>
  <w:style w:type="paragraph" w:styleId="FootnoteText">
    <w:name w:val="footnote text"/>
    <w:basedOn w:val="Normal"/>
    <w:link w:val="FootnoteTextChar"/>
    <w:uiPriority w:val="99"/>
    <w:semiHidden/>
    <w:unhideWhenUsed/>
    <w:rsid w:val="00B0496E"/>
    <w:rPr>
      <w:sz w:val="20"/>
      <w:szCs w:val="20"/>
    </w:rPr>
  </w:style>
  <w:style w:type="character" w:customStyle="1" w:styleId="FootnoteTextChar">
    <w:name w:val="Footnote Text Char"/>
    <w:basedOn w:val="DefaultParagraphFont"/>
    <w:link w:val="FootnoteText"/>
    <w:uiPriority w:val="99"/>
    <w:semiHidden/>
    <w:rsid w:val="00B0496E"/>
    <w:rPr>
      <w:rFonts w:ascii="Book Antiqua" w:hAnsi="Book Antiqua"/>
    </w:rPr>
  </w:style>
  <w:style w:type="character" w:styleId="FootnoteReference">
    <w:name w:val="footnote reference"/>
    <w:basedOn w:val="DefaultParagraphFont"/>
    <w:uiPriority w:val="99"/>
    <w:semiHidden/>
    <w:unhideWhenUsed/>
    <w:rsid w:val="00B04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4903">
      <w:bodyDiv w:val="1"/>
      <w:marLeft w:val="0"/>
      <w:marRight w:val="0"/>
      <w:marTop w:val="0"/>
      <w:marBottom w:val="0"/>
      <w:divBdr>
        <w:top w:val="none" w:sz="0" w:space="0" w:color="auto"/>
        <w:left w:val="none" w:sz="0" w:space="0" w:color="auto"/>
        <w:bottom w:val="none" w:sz="0" w:space="0" w:color="auto"/>
        <w:right w:val="none" w:sz="0" w:space="0" w:color="auto"/>
      </w:divBdr>
    </w:div>
    <w:div w:id="963342676">
      <w:bodyDiv w:val="1"/>
      <w:marLeft w:val="0"/>
      <w:marRight w:val="0"/>
      <w:marTop w:val="0"/>
      <w:marBottom w:val="0"/>
      <w:divBdr>
        <w:top w:val="none" w:sz="0" w:space="0" w:color="auto"/>
        <w:left w:val="none" w:sz="0" w:space="0" w:color="auto"/>
        <w:bottom w:val="none" w:sz="0" w:space="0" w:color="auto"/>
        <w:right w:val="none" w:sz="0" w:space="0" w:color="auto"/>
      </w:divBdr>
    </w:div>
    <w:div w:id="1558978420">
      <w:bodyDiv w:val="1"/>
      <w:marLeft w:val="0"/>
      <w:marRight w:val="0"/>
      <w:marTop w:val="0"/>
      <w:marBottom w:val="0"/>
      <w:divBdr>
        <w:top w:val="none" w:sz="0" w:space="0" w:color="auto"/>
        <w:left w:val="none" w:sz="0" w:space="0" w:color="auto"/>
        <w:bottom w:val="none" w:sz="0" w:space="0" w:color="auto"/>
        <w:right w:val="none" w:sz="0" w:space="0" w:color="auto"/>
      </w:divBdr>
      <w:divsChild>
        <w:div w:id="1517618319">
          <w:marLeft w:val="274"/>
          <w:marRight w:val="0"/>
          <w:marTop w:val="0"/>
          <w:marBottom w:val="0"/>
          <w:divBdr>
            <w:top w:val="none" w:sz="0" w:space="0" w:color="auto"/>
            <w:left w:val="none" w:sz="0" w:space="0" w:color="auto"/>
            <w:bottom w:val="none" w:sz="0" w:space="0" w:color="auto"/>
            <w:right w:val="none" w:sz="0" w:space="0" w:color="auto"/>
          </w:divBdr>
        </w:div>
      </w:divsChild>
    </w:div>
    <w:div w:id="1981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2019-09-20T05:37:00Z</dcterms:created>
  <dcterms:modified xsi:type="dcterms:W3CDTF">2019-09-20T05:45:00Z</dcterms:modified>
</cp:coreProperties>
</file>