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713AA0" w14:textId="77777777" w:rsidR="00AE57C3" w:rsidRPr="00A4011C" w:rsidRDefault="004269BF" w:rsidP="00A4011C">
      <w:pPr>
        <w:pStyle w:val="Heading1"/>
        <w:numPr>
          <w:ilvl w:val="0"/>
          <w:numId w:val="0"/>
        </w:numPr>
        <w:spacing w:after="240"/>
        <w:ind w:left="431"/>
        <w:jc w:val="center"/>
        <w:rPr>
          <w:rStyle w:val="IntenseReference"/>
          <w:color w:val="1F4E79" w:themeColor="accent5" w:themeShade="80"/>
          <w:sz w:val="32"/>
          <w:szCs w:val="32"/>
        </w:rPr>
      </w:pPr>
      <w:bookmarkStart w:id="0" w:name="_Toc518909303"/>
      <w:bookmarkStart w:id="1" w:name="_GoBack"/>
      <w:bookmarkEnd w:id="1"/>
      <w:r w:rsidRPr="00A4011C">
        <w:rPr>
          <w:rStyle w:val="IntenseReference"/>
          <w:color w:val="1F4E79" w:themeColor="accent5" w:themeShade="80"/>
          <w:sz w:val="32"/>
          <w:szCs w:val="32"/>
        </w:rPr>
        <w:t>Consultation Guide</w:t>
      </w:r>
    </w:p>
    <w:p w14:paraId="66E2F1F3" w14:textId="77777777" w:rsidR="004269BF" w:rsidRPr="00A4011C" w:rsidRDefault="004269BF" w:rsidP="00A4011C">
      <w:pPr>
        <w:pStyle w:val="Heading1"/>
        <w:numPr>
          <w:ilvl w:val="0"/>
          <w:numId w:val="0"/>
        </w:numPr>
        <w:spacing w:before="360"/>
        <w:ind w:left="431"/>
        <w:jc w:val="center"/>
        <w:rPr>
          <w:rStyle w:val="IntenseReference"/>
          <w:color w:val="1F4E79" w:themeColor="accent5" w:themeShade="80"/>
          <w:sz w:val="32"/>
          <w:szCs w:val="32"/>
        </w:rPr>
      </w:pPr>
      <w:r w:rsidRPr="00A4011C">
        <w:rPr>
          <w:rStyle w:val="IntenseReference"/>
          <w:color w:val="1F4E79" w:themeColor="accent5" w:themeShade="80"/>
          <w:sz w:val="32"/>
          <w:szCs w:val="32"/>
        </w:rPr>
        <w:t>The Health Legislation Amendment (Data-matching) Bill 2019 and associated Regulations</w:t>
      </w:r>
    </w:p>
    <w:p w14:paraId="2B68F1B6" w14:textId="77777777" w:rsidR="00FF381B" w:rsidRDefault="00106C3E" w:rsidP="003A3777">
      <w:pPr>
        <w:pStyle w:val="Heading1"/>
        <w:numPr>
          <w:ilvl w:val="0"/>
          <w:numId w:val="0"/>
        </w:numPr>
      </w:pPr>
      <w:bookmarkStart w:id="2" w:name="_Toc17801743"/>
      <w:bookmarkEnd w:id="0"/>
      <w:r>
        <w:t>Introduction</w:t>
      </w:r>
      <w:bookmarkEnd w:id="2"/>
    </w:p>
    <w:p w14:paraId="740DA550" w14:textId="2AFCDC3D" w:rsidR="00D34C60" w:rsidRDefault="00F1483E" w:rsidP="0075258E">
      <w:pPr>
        <w:rPr>
          <w:lang w:val="en-US"/>
        </w:rPr>
      </w:pPr>
      <w:bookmarkStart w:id="3" w:name="_Toc17801744"/>
      <w:r w:rsidRPr="00F1483E">
        <w:rPr>
          <w:lang w:val="en-US"/>
        </w:rPr>
        <w:t>While the vast majority of Medicare</w:t>
      </w:r>
      <w:r>
        <w:rPr>
          <w:rStyle w:val="FootnoteReference"/>
          <w:lang w:val="en-US"/>
        </w:rPr>
        <w:footnoteReference w:id="1"/>
      </w:r>
      <w:r w:rsidRPr="00F1483E">
        <w:rPr>
          <w:lang w:val="en-US"/>
        </w:rPr>
        <w:t xml:space="preserve"> providers do the right thing,</w:t>
      </w:r>
      <w:r>
        <w:rPr>
          <w:lang w:val="en-US"/>
        </w:rPr>
        <w:t xml:space="preserve"> t</w:t>
      </w:r>
      <w:r w:rsidR="00D34C60" w:rsidRPr="004269BF">
        <w:rPr>
          <w:lang w:val="en-US"/>
        </w:rPr>
        <w:t xml:space="preserve">he Department of Health (the Department) has a responsibility to protect the integrity of </w:t>
      </w:r>
      <w:r w:rsidR="00E114B8">
        <w:rPr>
          <w:lang w:val="en-US"/>
        </w:rPr>
        <w:t xml:space="preserve">the </w:t>
      </w:r>
      <w:r w:rsidR="00D34C60">
        <w:rPr>
          <w:lang w:val="en-US"/>
        </w:rPr>
        <w:t>Medicare</w:t>
      </w:r>
      <w:r w:rsidR="00D34C60" w:rsidRPr="004269BF">
        <w:rPr>
          <w:lang w:val="en-US"/>
        </w:rPr>
        <w:t xml:space="preserve"> health payments system through prevention, identification and treatment of </w:t>
      </w:r>
      <w:r w:rsidR="00D34C60">
        <w:rPr>
          <w:lang w:val="en-US"/>
        </w:rPr>
        <w:t>fraud</w:t>
      </w:r>
      <w:r>
        <w:rPr>
          <w:lang w:val="en-US"/>
        </w:rPr>
        <w:t>ulent</w:t>
      </w:r>
      <w:r w:rsidR="00D34C60">
        <w:rPr>
          <w:lang w:val="en-US"/>
        </w:rPr>
        <w:t xml:space="preserve"> and </w:t>
      </w:r>
      <w:r w:rsidR="00D34C60" w:rsidRPr="00D34C60">
        <w:rPr>
          <w:lang w:val="en-US"/>
        </w:rPr>
        <w:t>incorrect claiming</w:t>
      </w:r>
      <w:r w:rsidR="00D34C60">
        <w:rPr>
          <w:lang w:val="en-US"/>
        </w:rPr>
        <w:t>. In order to better detect fraud and incorrect claiming the De</w:t>
      </w:r>
      <w:r w:rsidR="002257DD">
        <w:rPr>
          <w:lang w:val="en-US"/>
        </w:rPr>
        <w:t xml:space="preserve">partment proposes improved data </w:t>
      </w:r>
      <w:r w:rsidR="00D34C60">
        <w:rPr>
          <w:lang w:val="en-US"/>
        </w:rPr>
        <w:t>matching and sharing arrangement</w:t>
      </w:r>
      <w:r w:rsidR="00C9095F">
        <w:rPr>
          <w:lang w:val="en-US"/>
        </w:rPr>
        <w:t>s</w:t>
      </w:r>
      <w:r w:rsidR="00D34C60">
        <w:rPr>
          <w:lang w:val="en-US"/>
        </w:rPr>
        <w:t xml:space="preserve"> through changes to legislation. </w:t>
      </w:r>
    </w:p>
    <w:p w14:paraId="2D0EF2F3" w14:textId="7A5465E2" w:rsidR="00E102FA" w:rsidRPr="00E102FA" w:rsidRDefault="00E102FA" w:rsidP="002257DD">
      <w:pPr>
        <w:rPr>
          <w:lang w:val="en-US"/>
        </w:rPr>
      </w:pPr>
      <w:r w:rsidRPr="00E102FA">
        <w:rPr>
          <w:lang w:val="en-US"/>
        </w:rPr>
        <w:t xml:space="preserve">The </w:t>
      </w:r>
      <w:r w:rsidR="002257DD">
        <w:rPr>
          <w:lang w:val="en-US"/>
        </w:rPr>
        <w:t xml:space="preserve">proposed </w:t>
      </w:r>
      <w:r w:rsidRPr="00E102FA">
        <w:rPr>
          <w:lang w:val="en-US"/>
        </w:rPr>
        <w:t>Health Legislation Amendment (Data-matching) Bill 2019 (the Bill)</w:t>
      </w:r>
      <w:r w:rsidR="003C56FE">
        <w:rPr>
          <w:lang w:val="en-US"/>
        </w:rPr>
        <w:t xml:space="preserve"> </w:t>
      </w:r>
      <w:r w:rsidRPr="00E102FA">
        <w:rPr>
          <w:lang w:val="en-US"/>
        </w:rPr>
        <w:t xml:space="preserve">will amend the </w:t>
      </w:r>
      <w:r w:rsidRPr="003C56FE">
        <w:rPr>
          <w:i/>
          <w:lang w:val="en-US"/>
        </w:rPr>
        <w:t>National Health Act 1953</w:t>
      </w:r>
      <w:r w:rsidRPr="00E102FA">
        <w:rPr>
          <w:lang w:val="en-US"/>
        </w:rPr>
        <w:t xml:space="preserve"> </w:t>
      </w:r>
      <w:r w:rsidR="003C56FE">
        <w:rPr>
          <w:lang w:val="en-US"/>
        </w:rPr>
        <w:t xml:space="preserve">and the </w:t>
      </w:r>
      <w:r w:rsidR="003C56FE" w:rsidRPr="003C56FE">
        <w:rPr>
          <w:i/>
          <w:lang w:val="en-US"/>
        </w:rPr>
        <w:t>Health Insurance Act 1973</w:t>
      </w:r>
      <w:r w:rsidR="003C56FE">
        <w:rPr>
          <w:lang w:val="en-US"/>
        </w:rPr>
        <w:t xml:space="preserve"> </w:t>
      </w:r>
      <w:r w:rsidRPr="00E102FA">
        <w:rPr>
          <w:lang w:val="en-US"/>
        </w:rPr>
        <w:t xml:space="preserve">to </w:t>
      </w:r>
      <w:r w:rsidR="00F86837">
        <w:rPr>
          <w:lang w:val="en-US"/>
        </w:rPr>
        <w:t>enabl</w:t>
      </w:r>
      <w:r w:rsidRPr="00E102FA">
        <w:rPr>
          <w:lang w:val="en-US"/>
        </w:rPr>
        <w:t>e a scheme of data matching for permitte</w:t>
      </w:r>
      <w:r w:rsidR="003C56FE">
        <w:rPr>
          <w:lang w:val="en-US"/>
        </w:rPr>
        <w:t>d Medicare compliance purposes</w:t>
      </w:r>
      <w:r w:rsidR="002257DD">
        <w:rPr>
          <w:lang w:val="en-US"/>
        </w:rPr>
        <w:t>. The legislative package also include</w:t>
      </w:r>
      <w:r w:rsidR="00F717DF">
        <w:rPr>
          <w:lang w:val="en-US"/>
        </w:rPr>
        <w:t>s the</w:t>
      </w:r>
      <w:r w:rsidR="002257DD">
        <w:rPr>
          <w:lang w:val="en-US"/>
        </w:rPr>
        <w:t xml:space="preserve"> </w:t>
      </w:r>
      <w:r w:rsidR="002257DD" w:rsidRPr="00874237">
        <w:rPr>
          <w:lang w:val="en-US"/>
        </w:rPr>
        <w:t>Health Legislation Amendment (Permitted Information Disclosure) Regulations 2019</w:t>
      </w:r>
      <w:r w:rsidR="002257DD">
        <w:rPr>
          <w:lang w:val="en-US"/>
        </w:rPr>
        <w:t xml:space="preserve"> (the Regulations).</w:t>
      </w:r>
    </w:p>
    <w:p w14:paraId="4A8BD1DE" w14:textId="797493FC" w:rsidR="0075258E" w:rsidRDefault="0075258E" w:rsidP="0075258E">
      <w:pPr>
        <w:rPr>
          <w:lang w:val="en-US"/>
        </w:rPr>
      </w:pPr>
      <w:r>
        <w:rPr>
          <w:lang w:val="en-US"/>
        </w:rPr>
        <w:t>This consultation guide</w:t>
      </w:r>
      <w:r w:rsidR="007754BF">
        <w:rPr>
          <w:lang w:val="en-US"/>
        </w:rPr>
        <w:t xml:space="preserve"> </w:t>
      </w:r>
      <w:r w:rsidR="00E114B8">
        <w:rPr>
          <w:lang w:val="en-US"/>
        </w:rPr>
        <w:t>is published to assist health practitioners, members of the public, peak bodies and professional association</w:t>
      </w:r>
      <w:r w:rsidR="007754BF">
        <w:rPr>
          <w:lang w:val="en-US"/>
        </w:rPr>
        <w:t>s</w:t>
      </w:r>
      <w:r w:rsidR="00E114B8">
        <w:rPr>
          <w:lang w:val="en-US"/>
        </w:rPr>
        <w:t xml:space="preserve"> to </w:t>
      </w:r>
      <w:r w:rsidR="007754BF">
        <w:rPr>
          <w:lang w:val="en-US"/>
        </w:rPr>
        <w:t>scrutini</w:t>
      </w:r>
      <w:r w:rsidR="00874237">
        <w:rPr>
          <w:lang w:val="en-US"/>
        </w:rPr>
        <w:t>s</w:t>
      </w:r>
      <w:r w:rsidR="00E114B8">
        <w:rPr>
          <w:lang w:val="en-US"/>
        </w:rPr>
        <w:t xml:space="preserve">e the proposed legislation and participate in the consultation process. </w:t>
      </w:r>
    </w:p>
    <w:p w14:paraId="70FF0963" w14:textId="7D1E89AB" w:rsidR="0075258E" w:rsidRPr="00D3790F" w:rsidRDefault="0075258E" w:rsidP="0075258E">
      <w:pPr>
        <w:rPr>
          <w:color w:val="FF0000"/>
          <w:lang w:val="en-US"/>
        </w:rPr>
      </w:pPr>
      <w:r w:rsidRPr="0075258E">
        <w:t xml:space="preserve">The legislative package is not final. The Department </w:t>
      </w:r>
      <w:r w:rsidR="007754BF">
        <w:t xml:space="preserve">welcomes </w:t>
      </w:r>
      <w:r w:rsidRPr="0075258E">
        <w:t xml:space="preserve">comment regarding all aspects of </w:t>
      </w:r>
      <w:r w:rsidR="00A418C4">
        <w:t xml:space="preserve">the proposed </w:t>
      </w:r>
      <w:r w:rsidR="007754BF">
        <w:t>changes and this feedback will inform the final form of the legislative package introduced to Parliament</w:t>
      </w:r>
      <w:r w:rsidRPr="0075258E">
        <w:t xml:space="preserve">. Feedback and comments can be provided to the Department via the consultation page </w:t>
      </w:r>
      <w:r w:rsidR="007754BF">
        <w:t xml:space="preserve">at </w:t>
      </w:r>
      <w:hyperlink r:id="rId7" w:history="1">
        <w:r w:rsidRPr="0075258E">
          <w:rPr>
            <w:rStyle w:val="Hyperlink"/>
          </w:rPr>
          <w:t>https://consultations.health.gov.au/</w:t>
        </w:r>
      </w:hyperlink>
      <w:r w:rsidR="00E114B8" w:rsidRPr="00D3790F">
        <w:rPr>
          <w:rStyle w:val="Hyperlink"/>
          <w:color w:val="auto"/>
          <w:u w:val="none"/>
        </w:rPr>
        <w:t xml:space="preserve"> </w:t>
      </w:r>
      <w:r w:rsidR="00E114B8" w:rsidRPr="002031EB">
        <w:rPr>
          <w:rStyle w:val="Hyperlink"/>
          <w:color w:val="auto"/>
          <w:u w:val="none"/>
        </w:rPr>
        <w:t>by</w:t>
      </w:r>
      <w:r w:rsidR="00E114B8" w:rsidRPr="002031EB">
        <w:rPr>
          <w:rStyle w:val="Hyperlink"/>
          <w:b/>
          <w:color w:val="auto"/>
          <w:u w:val="none"/>
        </w:rPr>
        <w:t xml:space="preserve"> </w:t>
      </w:r>
      <w:r w:rsidR="00F1483E" w:rsidRPr="002031EB">
        <w:rPr>
          <w:rStyle w:val="Hyperlink"/>
          <w:b/>
          <w:color w:val="auto"/>
          <w:u w:val="none"/>
        </w:rPr>
        <w:t xml:space="preserve">11 </w:t>
      </w:r>
      <w:r w:rsidR="00E114B8" w:rsidRPr="002031EB">
        <w:rPr>
          <w:rStyle w:val="Hyperlink"/>
          <w:b/>
          <w:color w:val="auto"/>
          <w:u w:val="none"/>
        </w:rPr>
        <w:t>October 2019</w:t>
      </w:r>
      <w:r w:rsidR="00D3790F" w:rsidRPr="002031EB">
        <w:rPr>
          <w:rStyle w:val="Hyperlink"/>
          <w:b/>
          <w:color w:val="auto"/>
          <w:u w:val="none"/>
        </w:rPr>
        <w:t>.</w:t>
      </w:r>
    </w:p>
    <w:p w14:paraId="03180FB5" w14:textId="77777777" w:rsidR="00C874D0" w:rsidRPr="00510C2E" w:rsidRDefault="00371B49" w:rsidP="004269BF">
      <w:pPr>
        <w:pStyle w:val="Heading2"/>
      </w:pPr>
      <w:r>
        <w:t xml:space="preserve">Why are </w:t>
      </w:r>
      <w:r w:rsidR="005C394E">
        <w:t xml:space="preserve">the </w:t>
      </w:r>
      <w:r>
        <w:t>changes being proposed?</w:t>
      </w:r>
      <w:bookmarkEnd w:id="3"/>
    </w:p>
    <w:p w14:paraId="1B90B48B" w14:textId="1815B27B" w:rsidR="00E80D55" w:rsidRDefault="00E80D55" w:rsidP="00E80D55">
      <w:pPr>
        <w:rPr>
          <w:bCs/>
          <w:iCs/>
        </w:rPr>
      </w:pPr>
      <w:r>
        <w:rPr>
          <w:bCs/>
          <w:iCs/>
        </w:rPr>
        <w:t>To ensure</w:t>
      </w:r>
      <w:r w:rsidR="00C110C9">
        <w:rPr>
          <w:bCs/>
          <w:iCs/>
        </w:rPr>
        <w:t xml:space="preserve"> the sustainability of Medicare</w:t>
      </w:r>
      <w:r>
        <w:rPr>
          <w:bCs/>
          <w:iCs/>
        </w:rPr>
        <w:t xml:space="preserve"> into the future, it is critical to protect the integrity of its payment systems. In 2018-19, the Australian Government spent $37.1 billion on Medicare and other health services funded by the Department of Veterans’ Affairs (DVA). If only one </w:t>
      </w:r>
      <w:r w:rsidR="00F1483E">
        <w:rPr>
          <w:bCs/>
          <w:iCs/>
        </w:rPr>
        <w:t xml:space="preserve">half of a </w:t>
      </w:r>
      <w:r>
        <w:rPr>
          <w:bCs/>
          <w:iCs/>
        </w:rPr>
        <w:t xml:space="preserve">percent of Medicare payments are fraudulently, incorrectly or inappropriately billed, </w:t>
      </w:r>
      <w:r w:rsidR="00F1483E">
        <w:rPr>
          <w:bCs/>
          <w:iCs/>
        </w:rPr>
        <w:t xml:space="preserve">around </w:t>
      </w:r>
      <w:r>
        <w:rPr>
          <w:bCs/>
          <w:iCs/>
        </w:rPr>
        <w:t>$</w:t>
      </w:r>
      <w:r w:rsidR="00F1483E">
        <w:rPr>
          <w:bCs/>
          <w:iCs/>
        </w:rPr>
        <w:t>180 </w:t>
      </w:r>
      <w:r>
        <w:rPr>
          <w:bCs/>
          <w:iCs/>
        </w:rPr>
        <w:t>million of health benefits would be lost that could have otherwise contributed to essential health services for Australian</w:t>
      </w:r>
      <w:r w:rsidR="00F1483E">
        <w:rPr>
          <w:bCs/>
          <w:iCs/>
        </w:rPr>
        <w:t>s</w:t>
      </w:r>
      <w:r>
        <w:rPr>
          <w:bCs/>
          <w:iCs/>
        </w:rPr>
        <w:t>.</w:t>
      </w:r>
    </w:p>
    <w:p w14:paraId="43D6171C" w14:textId="6F07ADDF" w:rsidR="0029313D" w:rsidRDefault="00087A77" w:rsidP="00087A77">
      <w:r>
        <w:rPr>
          <w:bCs/>
          <w:iCs/>
        </w:rPr>
        <w:t xml:space="preserve">Currently, the Department </w:t>
      </w:r>
      <w:r w:rsidR="00F1483E">
        <w:rPr>
          <w:bCs/>
          <w:iCs/>
        </w:rPr>
        <w:t>uses a combination of tip-offs and data analys</w:t>
      </w:r>
      <w:r w:rsidR="000D1131">
        <w:rPr>
          <w:bCs/>
          <w:iCs/>
        </w:rPr>
        <w:t>i</w:t>
      </w:r>
      <w:r w:rsidR="00F1483E">
        <w:rPr>
          <w:bCs/>
          <w:iCs/>
        </w:rPr>
        <w:t>s</w:t>
      </w:r>
      <w:r w:rsidR="000D1131">
        <w:rPr>
          <w:bCs/>
          <w:iCs/>
        </w:rPr>
        <w:t xml:space="preserve"> of</w:t>
      </w:r>
      <w:r w:rsidR="00F1483E">
        <w:rPr>
          <w:bCs/>
          <w:iCs/>
        </w:rPr>
        <w:t xml:space="preserve"> </w:t>
      </w:r>
      <w:r w:rsidR="000D1131">
        <w:rPr>
          <w:bCs/>
          <w:iCs/>
        </w:rPr>
        <w:t xml:space="preserve">existing Medicare datasets </w:t>
      </w:r>
      <w:r w:rsidR="00F1483E">
        <w:rPr>
          <w:bCs/>
          <w:iCs/>
        </w:rPr>
        <w:t xml:space="preserve">to detect fraud and incorrect claiming. While tip-offs </w:t>
      </w:r>
      <w:r w:rsidR="000D1131">
        <w:rPr>
          <w:bCs/>
          <w:iCs/>
        </w:rPr>
        <w:t>will continue to be a highly valuable source of information</w:t>
      </w:r>
      <w:r w:rsidR="00F1483E">
        <w:rPr>
          <w:bCs/>
          <w:iCs/>
        </w:rPr>
        <w:t>, the Department</w:t>
      </w:r>
      <w:r w:rsidR="000D1131">
        <w:rPr>
          <w:bCs/>
          <w:iCs/>
        </w:rPr>
        <w:t xml:space="preserve"> is limited in its ability to analyse </w:t>
      </w:r>
      <w:r>
        <w:rPr>
          <w:bCs/>
          <w:iCs/>
        </w:rPr>
        <w:t xml:space="preserve">Medicare data to identify </w:t>
      </w:r>
      <w:r w:rsidR="000D76CC">
        <w:rPr>
          <w:bCs/>
          <w:iCs/>
        </w:rPr>
        <w:t>non-compliance</w:t>
      </w:r>
      <w:r>
        <w:rPr>
          <w:bCs/>
          <w:iCs/>
        </w:rPr>
        <w:t xml:space="preserve">. </w:t>
      </w:r>
      <w:r w:rsidR="007754BF">
        <w:rPr>
          <w:bCs/>
          <w:iCs/>
        </w:rPr>
        <w:t xml:space="preserve">Improved data-matching capabilities supported by </w:t>
      </w:r>
      <w:r w:rsidR="000D1131">
        <w:rPr>
          <w:bCs/>
          <w:iCs/>
        </w:rPr>
        <w:t xml:space="preserve">the proposed </w:t>
      </w:r>
      <w:r w:rsidR="007754BF">
        <w:rPr>
          <w:bCs/>
          <w:iCs/>
        </w:rPr>
        <w:t>legislative change</w:t>
      </w:r>
      <w:r w:rsidR="002031EB">
        <w:rPr>
          <w:bCs/>
          <w:iCs/>
        </w:rPr>
        <w:t>s</w:t>
      </w:r>
      <w:r w:rsidR="007754BF">
        <w:rPr>
          <w:bCs/>
          <w:iCs/>
        </w:rPr>
        <w:t xml:space="preserve"> will assist the </w:t>
      </w:r>
      <w:r w:rsidR="007754BF">
        <w:rPr>
          <w:bCs/>
          <w:iCs/>
        </w:rPr>
        <w:lastRenderedPageBreak/>
        <w:t xml:space="preserve">Department to </w:t>
      </w:r>
      <w:r w:rsidR="004515E6">
        <w:rPr>
          <w:bCs/>
          <w:iCs/>
        </w:rPr>
        <w:t>more efficient</w:t>
      </w:r>
      <w:r w:rsidR="00A4011C">
        <w:rPr>
          <w:bCs/>
          <w:iCs/>
        </w:rPr>
        <w:t>ly</w:t>
      </w:r>
      <w:r w:rsidR="004515E6">
        <w:rPr>
          <w:bCs/>
          <w:iCs/>
        </w:rPr>
        <w:t xml:space="preserve"> </w:t>
      </w:r>
      <w:r w:rsidR="00E80D55">
        <w:rPr>
          <w:bCs/>
          <w:iCs/>
        </w:rPr>
        <w:t xml:space="preserve">and accurately detect fraud, incorrect or </w:t>
      </w:r>
      <w:r w:rsidR="004515E6">
        <w:rPr>
          <w:bCs/>
          <w:iCs/>
        </w:rPr>
        <w:t xml:space="preserve">inappropriate claiming to </w:t>
      </w:r>
      <w:r w:rsidR="0029313D" w:rsidRPr="00C874D0">
        <w:t xml:space="preserve">ensure </w:t>
      </w:r>
      <w:r w:rsidR="004515E6">
        <w:t>a gre</w:t>
      </w:r>
      <w:r w:rsidR="005C394E">
        <w:t>a</w:t>
      </w:r>
      <w:r w:rsidR="004515E6">
        <w:t xml:space="preserve">ter percentage of </w:t>
      </w:r>
      <w:r w:rsidR="000D76CC">
        <w:t>incorrectly paid benefits are</w:t>
      </w:r>
      <w:r w:rsidR="004515E6">
        <w:t xml:space="preserve"> identified and recovered.</w:t>
      </w:r>
    </w:p>
    <w:p w14:paraId="0C23520F" w14:textId="09425E96" w:rsidR="00EB6327" w:rsidRDefault="00EB6327" w:rsidP="00EB6327">
      <w:pPr>
        <w:pStyle w:val="Heading2"/>
      </w:pPr>
      <w:r w:rsidRPr="009A66EC">
        <w:t xml:space="preserve">What is </w:t>
      </w:r>
      <w:r>
        <w:t>Medicare compliance?</w:t>
      </w:r>
    </w:p>
    <w:p w14:paraId="47DF6148" w14:textId="4A9721DC" w:rsidR="00936906" w:rsidRDefault="00C10A51" w:rsidP="00936906">
      <w:pPr>
        <w:keepNext/>
        <w:jc w:val="center"/>
      </w:pPr>
      <w:r>
        <w:rPr>
          <w:noProof/>
          <w:lang w:eastAsia="en-AU"/>
        </w:rPr>
        <w:drawing>
          <wp:inline distT="0" distB="0" distL="0" distR="0" wp14:anchorId="7E95863D" wp14:editId="6E4F163A">
            <wp:extent cx="3855674" cy="3021495"/>
            <wp:effectExtent l="0" t="0" r="0" b="7620"/>
            <wp:docPr id="1" name="Picture 1" descr="This pyramid outlines the level of health provider compliance within the Medicare healthcare system. At the bottom of the pyramid, there is a section titled 'Compliant.' This represents 95% of health providers in relation to Medicare compliance. Above that is a slightly smaller section titled 'Occasional or inadvertent non-compliance.' This represents between 2 to 4 percent of health providers. Above that, is the top of the pyramid, shared between Inappropriate practice, sustained non-compliance and fraud. Such activities consist of 1 percent of health providers. " title="Figure 1: Health Provider compliance pyrami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855674" cy="3021495"/>
                    </a:xfrm>
                    <a:prstGeom prst="rect">
                      <a:avLst/>
                    </a:prstGeom>
                  </pic:spPr>
                </pic:pic>
              </a:graphicData>
            </a:graphic>
          </wp:inline>
        </w:drawing>
      </w:r>
    </w:p>
    <w:p w14:paraId="58AEE776" w14:textId="0D32E868" w:rsidR="00C10A51" w:rsidRDefault="00936906" w:rsidP="00936906">
      <w:pPr>
        <w:pStyle w:val="Caption"/>
        <w:jc w:val="center"/>
      </w:pPr>
      <w:r>
        <w:t xml:space="preserve">Figure </w:t>
      </w:r>
      <w:r>
        <w:fldChar w:fldCharType="begin"/>
      </w:r>
      <w:r>
        <w:instrText xml:space="preserve"> SEQ Figure \* ARABIC </w:instrText>
      </w:r>
      <w:r>
        <w:fldChar w:fldCharType="separate"/>
      </w:r>
      <w:r>
        <w:rPr>
          <w:noProof/>
        </w:rPr>
        <w:t>1</w:t>
      </w:r>
      <w:r>
        <w:fldChar w:fldCharType="end"/>
      </w:r>
      <w:r>
        <w:t xml:space="preserve"> - Health provider compliance pyramid</w:t>
      </w:r>
    </w:p>
    <w:p w14:paraId="70BB2B0C" w14:textId="223AA469" w:rsidR="00485FA5" w:rsidRDefault="00485FA5" w:rsidP="004269BF">
      <w:pPr>
        <w:rPr>
          <w:bCs/>
          <w:iCs/>
        </w:rPr>
      </w:pPr>
      <w:r w:rsidRPr="004269BF">
        <w:rPr>
          <w:bCs/>
          <w:iCs/>
        </w:rPr>
        <w:t xml:space="preserve">The Department has a strong </w:t>
      </w:r>
      <w:r w:rsidR="000D1131">
        <w:rPr>
          <w:bCs/>
          <w:iCs/>
        </w:rPr>
        <w:t>and well</w:t>
      </w:r>
      <w:r w:rsidR="002031EB">
        <w:rPr>
          <w:bCs/>
          <w:iCs/>
        </w:rPr>
        <w:t>-</w:t>
      </w:r>
      <w:r w:rsidR="000D1131">
        <w:rPr>
          <w:bCs/>
          <w:iCs/>
        </w:rPr>
        <w:t xml:space="preserve">established </w:t>
      </w:r>
      <w:r w:rsidR="005C394E">
        <w:rPr>
          <w:bCs/>
          <w:iCs/>
        </w:rPr>
        <w:t xml:space="preserve">Medicare compliance </w:t>
      </w:r>
      <w:r w:rsidRPr="004269BF">
        <w:rPr>
          <w:bCs/>
          <w:iCs/>
        </w:rPr>
        <w:t>program that</w:t>
      </w:r>
      <w:r w:rsidR="000D1131">
        <w:rPr>
          <w:bCs/>
          <w:iCs/>
        </w:rPr>
        <w:t xml:space="preserve"> </w:t>
      </w:r>
      <w:r w:rsidRPr="004269BF">
        <w:rPr>
          <w:iCs/>
        </w:rPr>
        <w:t>protects</w:t>
      </w:r>
      <w:r w:rsidR="000D1131">
        <w:rPr>
          <w:bCs/>
          <w:iCs/>
        </w:rPr>
        <w:t xml:space="preserve"> </w:t>
      </w:r>
      <w:r w:rsidRPr="004269BF">
        <w:rPr>
          <w:bCs/>
          <w:iCs/>
        </w:rPr>
        <w:t>Australia’s health payments system through the prevention, identification and treatment of incorrect claiming, inappropriate practice and fraud by health care providers and suppliers.</w:t>
      </w:r>
    </w:p>
    <w:p w14:paraId="107FDA09" w14:textId="4437DD72" w:rsidR="004515E6" w:rsidRPr="004269BF" w:rsidRDefault="004515E6" w:rsidP="009B2F00">
      <w:pPr>
        <w:spacing w:after="240"/>
        <w:rPr>
          <w:bCs/>
          <w:iCs/>
        </w:rPr>
      </w:pPr>
      <w:r w:rsidRPr="004269BF">
        <w:rPr>
          <w:bCs/>
          <w:iCs/>
        </w:rPr>
        <w:t xml:space="preserve">The Department </w:t>
      </w:r>
      <w:r w:rsidR="00CC08AC">
        <w:rPr>
          <w:bCs/>
          <w:iCs/>
        </w:rPr>
        <w:t xml:space="preserve">currently </w:t>
      </w:r>
      <w:r w:rsidRPr="004269BF">
        <w:rPr>
          <w:bCs/>
          <w:iCs/>
        </w:rPr>
        <w:t>conduct</w:t>
      </w:r>
      <w:r w:rsidR="00485FA5">
        <w:rPr>
          <w:bCs/>
          <w:iCs/>
        </w:rPr>
        <w:t>s</w:t>
      </w:r>
      <w:r w:rsidRPr="004269BF">
        <w:rPr>
          <w:bCs/>
          <w:iCs/>
        </w:rPr>
        <w:t xml:space="preserve"> compliance activities </w:t>
      </w:r>
      <w:r w:rsidR="00E80D55">
        <w:rPr>
          <w:bCs/>
          <w:iCs/>
        </w:rPr>
        <w:t>that are proportionate to the type of non</w:t>
      </w:r>
      <w:r w:rsidR="000D1131">
        <w:rPr>
          <w:bCs/>
          <w:iCs/>
        </w:rPr>
        <w:noBreakHyphen/>
      </w:r>
      <w:r w:rsidR="00E80D55">
        <w:rPr>
          <w:bCs/>
          <w:iCs/>
        </w:rPr>
        <w:t xml:space="preserve">compliance identified </w:t>
      </w:r>
      <w:r w:rsidR="00E80D55" w:rsidRPr="00E80D55">
        <w:rPr>
          <w:bCs/>
          <w:i/>
          <w:iCs/>
        </w:rPr>
        <w:t>(Figure 1)</w:t>
      </w:r>
      <w:r w:rsidR="00E80D55">
        <w:rPr>
          <w:bCs/>
          <w:iCs/>
        </w:rPr>
        <w:t xml:space="preserve">. These activities </w:t>
      </w:r>
      <w:r w:rsidR="00C9095F" w:rsidRPr="004269BF">
        <w:rPr>
          <w:iCs/>
        </w:rPr>
        <w:t>include:</w:t>
      </w:r>
    </w:p>
    <w:p w14:paraId="5F5F1797" w14:textId="46A5F514" w:rsidR="00E80D55" w:rsidRDefault="00E80D55" w:rsidP="00087A77">
      <w:pPr>
        <w:pStyle w:val="paragraph"/>
        <w:numPr>
          <w:ilvl w:val="0"/>
          <w:numId w:val="39"/>
        </w:numPr>
        <w:spacing w:before="0" w:line="276" w:lineRule="auto"/>
        <w:ind w:left="1077" w:hanging="357"/>
        <w:rPr>
          <w:rFonts w:ascii="Arial" w:hAnsi="Arial" w:cs="Arial"/>
          <w:sz w:val="21"/>
          <w:szCs w:val="21"/>
        </w:rPr>
      </w:pPr>
      <w:r w:rsidRPr="004269BF">
        <w:rPr>
          <w:rFonts w:ascii="Arial" w:hAnsi="Arial" w:cs="Arial"/>
          <w:sz w:val="21"/>
          <w:szCs w:val="21"/>
        </w:rPr>
        <w:t>audits where sustained or opportunistic non-compliance is identifie</w:t>
      </w:r>
      <w:r>
        <w:rPr>
          <w:rFonts w:ascii="Arial" w:hAnsi="Arial" w:cs="Arial"/>
          <w:sz w:val="21"/>
          <w:szCs w:val="21"/>
        </w:rPr>
        <w:t xml:space="preserve">d; </w:t>
      </w:r>
    </w:p>
    <w:p w14:paraId="4CEDB59D" w14:textId="034BCD53" w:rsidR="00C9095F" w:rsidRPr="004269BF" w:rsidRDefault="00C9095F" w:rsidP="00087A77">
      <w:pPr>
        <w:pStyle w:val="paragraph"/>
        <w:numPr>
          <w:ilvl w:val="0"/>
          <w:numId w:val="39"/>
        </w:numPr>
        <w:spacing w:before="0" w:line="276" w:lineRule="auto"/>
        <w:ind w:left="1077" w:hanging="357"/>
        <w:rPr>
          <w:rFonts w:ascii="Arial" w:hAnsi="Arial" w:cs="Arial"/>
          <w:sz w:val="21"/>
          <w:szCs w:val="21"/>
        </w:rPr>
      </w:pPr>
      <w:r w:rsidRPr="004269BF">
        <w:rPr>
          <w:rFonts w:ascii="Arial" w:hAnsi="Arial" w:cs="Arial"/>
          <w:sz w:val="21"/>
          <w:szCs w:val="21"/>
        </w:rPr>
        <w:t>targeted le</w:t>
      </w:r>
      <w:r w:rsidR="00CC08AC">
        <w:rPr>
          <w:rFonts w:ascii="Arial" w:hAnsi="Arial" w:cs="Arial"/>
          <w:sz w:val="21"/>
          <w:szCs w:val="21"/>
        </w:rPr>
        <w:t>tter campaigns where unintentional</w:t>
      </w:r>
      <w:r w:rsidRPr="004269BF">
        <w:rPr>
          <w:rFonts w:ascii="Arial" w:hAnsi="Arial" w:cs="Arial"/>
          <w:sz w:val="21"/>
          <w:szCs w:val="21"/>
        </w:rPr>
        <w:t xml:space="preserve"> non-compliance is identified</w:t>
      </w:r>
      <w:r w:rsidR="007E7605">
        <w:rPr>
          <w:rFonts w:ascii="Arial" w:hAnsi="Arial" w:cs="Arial"/>
          <w:sz w:val="21"/>
          <w:szCs w:val="21"/>
        </w:rPr>
        <w:t>;</w:t>
      </w:r>
      <w:r w:rsidR="00E80D55">
        <w:rPr>
          <w:rFonts w:ascii="Arial" w:hAnsi="Arial" w:cs="Arial"/>
          <w:sz w:val="21"/>
          <w:szCs w:val="21"/>
        </w:rPr>
        <w:t xml:space="preserve"> </w:t>
      </w:r>
    </w:p>
    <w:p w14:paraId="01A9BDED" w14:textId="77777777" w:rsidR="000D1131" w:rsidRDefault="000D1131" w:rsidP="000D1131">
      <w:pPr>
        <w:pStyle w:val="paragraph"/>
        <w:numPr>
          <w:ilvl w:val="0"/>
          <w:numId w:val="39"/>
        </w:numPr>
        <w:spacing w:before="0" w:line="276" w:lineRule="auto"/>
        <w:ind w:left="1077" w:hanging="357"/>
        <w:rPr>
          <w:rFonts w:ascii="Arial" w:hAnsi="Arial" w:cs="Arial"/>
          <w:sz w:val="21"/>
          <w:szCs w:val="21"/>
        </w:rPr>
      </w:pPr>
      <w:r w:rsidRPr="004269BF">
        <w:rPr>
          <w:rFonts w:ascii="Arial" w:hAnsi="Arial" w:cs="Arial"/>
          <w:sz w:val="21"/>
          <w:szCs w:val="21"/>
        </w:rPr>
        <w:t xml:space="preserve">professional review </w:t>
      </w:r>
      <w:r>
        <w:rPr>
          <w:rFonts w:ascii="Arial" w:hAnsi="Arial" w:cs="Arial"/>
          <w:sz w:val="21"/>
          <w:szCs w:val="21"/>
        </w:rPr>
        <w:t xml:space="preserve">where </w:t>
      </w:r>
      <w:r w:rsidRPr="004269BF">
        <w:rPr>
          <w:rFonts w:ascii="Arial" w:hAnsi="Arial" w:cs="Arial"/>
          <w:sz w:val="21"/>
          <w:szCs w:val="21"/>
        </w:rPr>
        <w:t>inappropriate practice is identified</w:t>
      </w:r>
      <w:r>
        <w:rPr>
          <w:rFonts w:ascii="Arial" w:hAnsi="Arial" w:cs="Arial"/>
          <w:sz w:val="21"/>
          <w:szCs w:val="21"/>
        </w:rPr>
        <w:t>;</w:t>
      </w:r>
    </w:p>
    <w:p w14:paraId="04BA5FD9" w14:textId="4969120D" w:rsidR="000D1131" w:rsidRPr="004269BF" w:rsidRDefault="000D1131" w:rsidP="000D1131">
      <w:pPr>
        <w:pStyle w:val="paragraph"/>
        <w:numPr>
          <w:ilvl w:val="0"/>
          <w:numId w:val="39"/>
        </w:numPr>
        <w:spacing w:before="0" w:line="276" w:lineRule="auto"/>
        <w:ind w:left="1077" w:hanging="357"/>
        <w:rPr>
          <w:rFonts w:ascii="Arial" w:hAnsi="Arial" w:cs="Arial"/>
          <w:sz w:val="21"/>
          <w:szCs w:val="21"/>
        </w:rPr>
      </w:pPr>
      <w:r w:rsidRPr="004269BF">
        <w:rPr>
          <w:rFonts w:ascii="Arial" w:hAnsi="Arial" w:cs="Arial"/>
          <w:sz w:val="21"/>
          <w:szCs w:val="21"/>
        </w:rPr>
        <w:t>investigations of suspected fraudulent activity and prosecution of fraud through the Commonwealth Director of Public Prosecutions</w:t>
      </w:r>
      <w:r>
        <w:rPr>
          <w:rFonts w:ascii="Arial" w:hAnsi="Arial" w:cs="Arial"/>
          <w:sz w:val="21"/>
          <w:szCs w:val="21"/>
        </w:rPr>
        <w:t>; and</w:t>
      </w:r>
    </w:p>
    <w:p w14:paraId="0445D9EB" w14:textId="765AA22B" w:rsidR="00C9095F" w:rsidRPr="007E7605" w:rsidRDefault="007E7605" w:rsidP="00087A77">
      <w:pPr>
        <w:pStyle w:val="paragraph"/>
        <w:numPr>
          <w:ilvl w:val="0"/>
          <w:numId w:val="39"/>
        </w:numPr>
        <w:spacing w:before="0" w:line="276" w:lineRule="auto"/>
        <w:ind w:left="1077" w:hanging="357"/>
        <w:rPr>
          <w:rFonts w:ascii="Arial" w:hAnsi="Arial" w:cs="Arial"/>
          <w:sz w:val="21"/>
          <w:szCs w:val="21"/>
        </w:rPr>
      </w:pPr>
      <w:r>
        <w:rPr>
          <w:rFonts w:ascii="Arial" w:hAnsi="Arial" w:cs="Arial"/>
          <w:sz w:val="21"/>
          <w:szCs w:val="21"/>
        </w:rPr>
        <w:t xml:space="preserve">the </w:t>
      </w:r>
      <w:r w:rsidRPr="007E7605">
        <w:rPr>
          <w:rFonts w:ascii="Arial" w:hAnsi="Arial" w:cs="Arial"/>
          <w:sz w:val="21"/>
          <w:szCs w:val="21"/>
        </w:rPr>
        <w:t xml:space="preserve">recovery of debts that have been identified as </w:t>
      </w:r>
      <w:r w:rsidR="00E80D55">
        <w:rPr>
          <w:rFonts w:ascii="Arial" w:hAnsi="Arial" w:cs="Arial"/>
          <w:sz w:val="21"/>
          <w:szCs w:val="21"/>
        </w:rPr>
        <w:t xml:space="preserve">a result of </w:t>
      </w:r>
      <w:r w:rsidRPr="007E7605">
        <w:rPr>
          <w:rFonts w:ascii="Arial" w:hAnsi="Arial" w:cs="Arial"/>
          <w:sz w:val="21"/>
          <w:szCs w:val="21"/>
        </w:rPr>
        <w:t>incorrectly claimed benefits.</w:t>
      </w:r>
    </w:p>
    <w:p w14:paraId="06C5C1E0" w14:textId="77777777" w:rsidR="004515E6" w:rsidRPr="004269BF" w:rsidRDefault="004515E6" w:rsidP="009B2F00">
      <w:pPr>
        <w:spacing w:after="240"/>
        <w:rPr>
          <w:bCs/>
          <w:iCs/>
        </w:rPr>
      </w:pPr>
      <w:r w:rsidRPr="004269BF">
        <w:rPr>
          <w:bCs/>
          <w:iCs/>
        </w:rPr>
        <w:t>The Department continues to </w:t>
      </w:r>
      <w:hyperlink r:id="rId9" w:anchor="Changes" w:history="1">
        <w:r w:rsidRPr="004269BF">
          <w:rPr>
            <w:bCs/>
            <w:iCs/>
          </w:rPr>
          <w:t>improve Medicare compliance</w:t>
        </w:r>
      </w:hyperlink>
      <w:r w:rsidRPr="004269BF">
        <w:rPr>
          <w:bCs/>
          <w:iCs/>
        </w:rPr>
        <w:t> arrangements by:</w:t>
      </w:r>
    </w:p>
    <w:p w14:paraId="6BAB5602" w14:textId="3D5E74BE" w:rsidR="00C9095F" w:rsidRPr="004269BF" w:rsidRDefault="00C9095F" w:rsidP="00087A77">
      <w:pPr>
        <w:pStyle w:val="paragraph"/>
        <w:numPr>
          <w:ilvl w:val="0"/>
          <w:numId w:val="39"/>
        </w:numPr>
        <w:spacing w:before="0" w:line="276" w:lineRule="auto"/>
        <w:ind w:left="1077" w:hanging="357"/>
        <w:rPr>
          <w:rFonts w:ascii="Arial" w:hAnsi="Arial" w:cs="Arial"/>
          <w:sz w:val="21"/>
          <w:szCs w:val="21"/>
        </w:rPr>
      </w:pPr>
      <w:r w:rsidRPr="004269BF">
        <w:rPr>
          <w:rFonts w:ascii="Arial" w:hAnsi="Arial" w:cs="Arial"/>
          <w:sz w:val="21"/>
          <w:szCs w:val="21"/>
        </w:rPr>
        <w:t>consulting with professional bodies and stakeholder groups on its compl</w:t>
      </w:r>
      <w:r w:rsidR="007E7605">
        <w:rPr>
          <w:rFonts w:ascii="Arial" w:hAnsi="Arial" w:cs="Arial"/>
          <w:sz w:val="21"/>
          <w:szCs w:val="21"/>
        </w:rPr>
        <w:t>iance strategies and activities;</w:t>
      </w:r>
    </w:p>
    <w:p w14:paraId="270F8E4D" w14:textId="0517AEA8" w:rsidR="004515E6" w:rsidRPr="004269BF" w:rsidRDefault="004515E6" w:rsidP="00087A77">
      <w:pPr>
        <w:pStyle w:val="paragraph"/>
        <w:numPr>
          <w:ilvl w:val="0"/>
          <w:numId w:val="39"/>
        </w:numPr>
        <w:spacing w:before="0" w:line="276" w:lineRule="auto"/>
        <w:ind w:left="1077" w:hanging="357"/>
        <w:rPr>
          <w:rFonts w:ascii="Arial" w:hAnsi="Arial" w:cs="Arial"/>
          <w:sz w:val="21"/>
          <w:szCs w:val="21"/>
        </w:rPr>
      </w:pPr>
      <w:r w:rsidRPr="004269BF">
        <w:rPr>
          <w:rFonts w:ascii="Arial" w:hAnsi="Arial" w:cs="Arial"/>
          <w:sz w:val="21"/>
          <w:szCs w:val="21"/>
        </w:rPr>
        <w:t>using data analytics to better target compliance activities</w:t>
      </w:r>
      <w:r w:rsidR="007E7605">
        <w:rPr>
          <w:rFonts w:ascii="Arial" w:hAnsi="Arial" w:cs="Arial"/>
          <w:sz w:val="21"/>
          <w:szCs w:val="21"/>
        </w:rPr>
        <w:t>;</w:t>
      </w:r>
      <w:r w:rsidR="00F20267">
        <w:rPr>
          <w:rFonts w:ascii="Arial" w:hAnsi="Arial" w:cs="Arial"/>
          <w:sz w:val="21"/>
          <w:szCs w:val="21"/>
        </w:rPr>
        <w:t xml:space="preserve"> and</w:t>
      </w:r>
    </w:p>
    <w:p w14:paraId="2A8CF4D3" w14:textId="05B73F66" w:rsidR="004515E6" w:rsidRPr="00A020DF" w:rsidRDefault="007E7605" w:rsidP="00087A77">
      <w:pPr>
        <w:pStyle w:val="paragraph"/>
        <w:numPr>
          <w:ilvl w:val="0"/>
          <w:numId w:val="39"/>
        </w:numPr>
        <w:spacing w:before="0" w:line="276" w:lineRule="auto"/>
        <w:ind w:left="1077" w:hanging="357"/>
        <w:rPr>
          <w:rFonts w:ascii="Arial" w:hAnsi="Arial" w:cs="Arial"/>
          <w:sz w:val="21"/>
          <w:szCs w:val="21"/>
        </w:rPr>
      </w:pPr>
      <w:r>
        <w:rPr>
          <w:rFonts w:ascii="Arial" w:hAnsi="Arial" w:cs="Arial"/>
          <w:sz w:val="21"/>
          <w:szCs w:val="21"/>
        </w:rPr>
        <w:t xml:space="preserve">providing </w:t>
      </w:r>
      <w:r w:rsidR="004515E6" w:rsidRPr="004269BF">
        <w:rPr>
          <w:rFonts w:ascii="Arial" w:hAnsi="Arial" w:cs="Arial"/>
          <w:sz w:val="21"/>
          <w:szCs w:val="21"/>
        </w:rPr>
        <w:t>education support resources for health professionals.</w:t>
      </w:r>
    </w:p>
    <w:p w14:paraId="7C98FB5F" w14:textId="77777777" w:rsidR="00485FA5" w:rsidRPr="004269BF" w:rsidRDefault="00485FA5" w:rsidP="004269BF">
      <w:pPr>
        <w:pStyle w:val="paragraph"/>
        <w:ind w:left="1080" w:firstLine="0"/>
        <w:rPr>
          <w:rFonts w:ascii="Arial" w:hAnsi="Arial" w:cs="Arial"/>
          <w:sz w:val="21"/>
          <w:szCs w:val="21"/>
        </w:rPr>
      </w:pPr>
    </w:p>
    <w:p w14:paraId="495713B9" w14:textId="249158F6" w:rsidR="00A4011C" w:rsidRDefault="00FA171A" w:rsidP="00FA171A">
      <w:pPr>
        <w:spacing w:before="0" w:line="240" w:lineRule="auto"/>
        <w:rPr>
          <w:rFonts w:cs="Arial"/>
          <w:szCs w:val="21"/>
        </w:rPr>
      </w:pPr>
      <w:r>
        <w:rPr>
          <w:rFonts w:cs="Arial"/>
          <w:szCs w:val="21"/>
        </w:rPr>
        <w:t>T</w:t>
      </w:r>
      <w:r w:rsidRPr="002032B1">
        <w:rPr>
          <w:rFonts w:cs="Arial"/>
          <w:szCs w:val="21"/>
        </w:rPr>
        <w:t>he Medicare compliance process is</w:t>
      </w:r>
      <w:r>
        <w:rPr>
          <w:rFonts w:cs="Arial"/>
          <w:szCs w:val="21"/>
        </w:rPr>
        <w:t xml:space="preserve"> a prescriptive process </w:t>
      </w:r>
      <w:r w:rsidR="00E80D55">
        <w:rPr>
          <w:rFonts w:cs="Arial"/>
          <w:szCs w:val="21"/>
        </w:rPr>
        <w:t xml:space="preserve">that </w:t>
      </w:r>
      <w:r w:rsidRPr="002032B1">
        <w:rPr>
          <w:rFonts w:cs="Arial"/>
          <w:szCs w:val="21"/>
        </w:rPr>
        <w:t>incorporate</w:t>
      </w:r>
      <w:r w:rsidR="00E80D55">
        <w:rPr>
          <w:rFonts w:cs="Arial"/>
          <w:szCs w:val="21"/>
        </w:rPr>
        <w:t>s</w:t>
      </w:r>
      <w:r w:rsidRPr="002032B1">
        <w:rPr>
          <w:rFonts w:cs="Arial"/>
          <w:szCs w:val="21"/>
        </w:rPr>
        <w:t xml:space="preserve"> procedural fairness </w:t>
      </w:r>
      <w:r w:rsidR="00B615E1">
        <w:rPr>
          <w:rFonts w:cs="Arial"/>
          <w:szCs w:val="21"/>
        </w:rPr>
        <w:t>and</w:t>
      </w:r>
      <w:r w:rsidR="00047420">
        <w:rPr>
          <w:rFonts w:cs="Arial"/>
          <w:szCs w:val="21"/>
        </w:rPr>
        <w:t xml:space="preserve"> review rights</w:t>
      </w:r>
      <w:r w:rsidRPr="002032B1">
        <w:rPr>
          <w:rFonts w:cs="Arial"/>
          <w:szCs w:val="21"/>
        </w:rPr>
        <w:t>.</w:t>
      </w:r>
      <w:r>
        <w:rPr>
          <w:rFonts w:cs="Arial"/>
          <w:szCs w:val="21"/>
        </w:rPr>
        <w:t xml:space="preserve"> </w:t>
      </w:r>
      <w:r w:rsidRPr="00CF1B23">
        <w:rPr>
          <w:rFonts w:cs="Arial"/>
          <w:szCs w:val="21"/>
        </w:rPr>
        <w:t xml:space="preserve">Officers performing provider compliance functions within the Department </w:t>
      </w:r>
      <w:r>
        <w:rPr>
          <w:rFonts w:cs="Arial"/>
          <w:szCs w:val="21"/>
        </w:rPr>
        <w:t>must follow particular process</w:t>
      </w:r>
      <w:r w:rsidR="000D1131">
        <w:rPr>
          <w:rFonts w:cs="Arial"/>
          <w:szCs w:val="21"/>
        </w:rPr>
        <w:t>es</w:t>
      </w:r>
      <w:r>
        <w:rPr>
          <w:rFonts w:cs="Arial"/>
          <w:szCs w:val="21"/>
        </w:rPr>
        <w:t xml:space="preserve"> in sequential order</w:t>
      </w:r>
      <w:r w:rsidR="00B615E1">
        <w:rPr>
          <w:rFonts w:cs="Arial"/>
          <w:szCs w:val="21"/>
        </w:rPr>
        <w:t xml:space="preserve"> that affords an opportunity for providers to respond</w:t>
      </w:r>
      <w:r w:rsidRPr="00CF1B23">
        <w:rPr>
          <w:rFonts w:cs="Arial"/>
          <w:szCs w:val="21"/>
        </w:rPr>
        <w:t>.</w:t>
      </w:r>
      <w:r>
        <w:rPr>
          <w:rFonts w:cs="Arial"/>
          <w:szCs w:val="21"/>
        </w:rPr>
        <w:t xml:space="preserve"> </w:t>
      </w:r>
    </w:p>
    <w:p w14:paraId="656870CD" w14:textId="61E36519" w:rsidR="00E80D55" w:rsidRDefault="00E80D55" w:rsidP="00FA171A">
      <w:pPr>
        <w:spacing w:before="0" w:line="240" w:lineRule="auto"/>
        <w:rPr>
          <w:rFonts w:cs="Arial"/>
          <w:szCs w:val="21"/>
        </w:rPr>
      </w:pPr>
    </w:p>
    <w:p w14:paraId="69E80A3C" w14:textId="33B383C5" w:rsidR="000D1131" w:rsidRDefault="00E80D55" w:rsidP="00E80D55">
      <w:pPr>
        <w:spacing w:before="0" w:line="240" w:lineRule="auto"/>
      </w:pPr>
      <w:r>
        <w:rPr>
          <w:lang w:val="en-US"/>
        </w:rPr>
        <w:lastRenderedPageBreak/>
        <w:t>The proposed data-matching and sharing arrangements</w:t>
      </w:r>
      <w:r w:rsidRPr="00B1402A" w:rsidDel="00C9095F">
        <w:t xml:space="preserve"> </w:t>
      </w:r>
      <w:r>
        <w:t xml:space="preserve">do not expand the powers of the Department to conduct compliance activities. </w:t>
      </w:r>
      <w:r w:rsidR="000D1131">
        <w:t xml:space="preserve">Nor do they change the approach taken by the Department in conducting its compliance activities. </w:t>
      </w:r>
    </w:p>
    <w:p w14:paraId="30155C14" w14:textId="77777777" w:rsidR="000D1131" w:rsidRDefault="000D1131" w:rsidP="00E80D55">
      <w:pPr>
        <w:spacing w:before="0" w:line="240" w:lineRule="auto"/>
      </w:pPr>
    </w:p>
    <w:p w14:paraId="6F6D6C92" w14:textId="65EFEAEF" w:rsidR="00E80D55" w:rsidRDefault="00E80D55" w:rsidP="00E80D55">
      <w:pPr>
        <w:spacing w:before="0" w:line="240" w:lineRule="auto"/>
        <w:rPr>
          <w:rFonts w:cs="Arial"/>
          <w:szCs w:val="21"/>
        </w:rPr>
      </w:pPr>
      <w:r>
        <w:t xml:space="preserve">The changes focus only on </w:t>
      </w:r>
      <w:r w:rsidR="000D1131">
        <w:t xml:space="preserve">improving the Department’s ability to </w:t>
      </w:r>
      <w:r>
        <w:t>match and shar</w:t>
      </w:r>
      <w:r w:rsidR="000D1131">
        <w:t>e data</w:t>
      </w:r>
      <w:r>
        <w:t xml:space="preserve"> for the purposes of identifying fraud and incorrect or inappropriate claiming. </w:t>
      </w:r>
      <w:r w:rsidR="00B615E1">
        <w:t>The proposed changes will not authorise</w:t>
      </w:r>
      <w:r>
        <w:rPr>
          <w:rFonts w:cs="Arial"/>
          <w:szCs w:val="21"/>
        </w:rPr>
        <w:t xml:space="preserve"> the automation of compliance outcomes or raising of debts</w:t>
      </w:r>
      <w:r w:rsidR="000D1131">
        <w:rPr>
          <w:rFonts w:cs="Arial"/>
          <w:szCs w:val="21"/>
        </w:rPr>
        <w:t>,</w:t>
      </w:r>
      <w:r>
        <w:rPr>
          <w:rFonts w:cs="Arial"/>
          <w:szCs w:val="21"/>
        </w:rPr>
        <w:t xml:space="preserve"> and the Department’s compliance officers will continue to </w:t>
      </w:r>
      <w:r w:rsidR="000D1131">
        <w:rPr>
          <w:rFonts w:cs="Arial"/>
          <w:szCs w:val="21"/>
        </w:rPr>
        <w:t xml:space="preserve">follow </w:t>
      </w:r>
      <w:r>
        <w:rPr>
          <w:rFonts w:cs="Arial"/>
          <w:szCs w:val="21"/>
        </w:rPr>
        <w:t>prescribed and/or legislated compliance processes</w:t>
      </w:r>
      <w:r w:rsidRPr="00941549">
        <w:rPr>
          <w:rFonts w:cs="Arial"/>
          <w:szCs w:val="21"/>
        </w:rPr>
        <w:t>.</w:t>
      </w:r>
    </w:p>
    <w:p w14:paraId="2A090C9F" w14:textId="77777777" w:rsidR="00E80D55" w:rsidRDefault="00E80D55" w:rsidP="00E80D55">
      <w:pPr>
        <w:spacing w:before="0" w:line="240" w:lineRule="auto"/>
      </w:pPr>
    </w:p>
    <w:p w14:paraId="06841E22" w14:textId="77777777" w:rsidR="00FF381B" w:rsidRDefault="00072919" w:rsidP="00087A77">
      <w:pPr>
        <w:pStyle w:val="Heading2"/>
        <w:spacing w:before="0"/>
      </w:pPr>
      <w:bookmarkStart w:id="4" w:name="_Toc17801745"/>
      <w:r>
        <w:t>The scope of proposed legislative changes</w:t>
      </w:r>
      <w:bookmarkEnd w:id="4"/>
    </w:p>
    <w:p w14:paraId="1584C071" w14:textId="5120F648" w:rsidR="00B42CBC" w:rsidRDefault="00072919" w:rsidP="00072919">
      <w:pPr>
        <w:rPr>
          <w:bCs/>
          <w:iCs/>
        </w:rPr>
      </w:pPr>
      <w:r w:rsidRPr="00072919">
        <w:rPr>
          <w:bCs/>
          <w:iCs/>
        </w:rPr>
        <w:t xml:space="preserve">The </w:t>
      </w:r>
      <w:r w:rsidR="00485FA5">
        <w:rPr>
          <w:bCs/>
          <w:iCs/>
        </w:rPr>
        <w:t>legislation package</w:t>
      </w:r>
      <w:r w:rsidR="00485FA5" w:rsidRPr="00072919">
        <w:rPr>
          <w:bCs/>
          <w:iCs/>
        </w:rPr>
        <w:t xml:space="preserve"> </w:t>
      </w:r>
      <w:r w:rsidRPr="00072919">
        <w:rPr>
          <w:bCs/>
          <w:iCs/>
        </w:rPr>
        <w:t xml:space="preserve">will </w:t>
      </w:r>
      <w:r w:rsidR="0043139E">
        <w:rPr>
          <w:bCs/>
          <w:iCs/>
        </w:rPr>
        <w:t xml:space="preserve">amend </w:t>
      </w:r>
      <w:r w:rsidR="00F10542">
        <w:rPr>
          <w:bCs/>
          <w:iCs/>
        </w:rPr>
        <w:t>existing legislation</w:t>
      </w:r>
      <w:r w:rsidRPr="00072919">
        <w:rPr>
          <w:bCs/>
          <w:iCs/>
        </w:rPr>
        <w:t xml:space="preserve"> to introduce a scheme of data matching </w:t>
      </w:r>
      <w:r w:rsidR="00087A77">
        <w:rPr>
          <w:bCs/>
          <w:iCs/>
        </w:rPr>
        <w:t xml:space="preserve">with the following features: </w:t>
      </w:r>
    </w:p>
    <w:p w14:paraId="20D76A79" w14:textId="01786F6A" w:rsidR="00ED14A0" w:rsidRPr="00B42CBC" w:rsidRDefault="00485FA5" w:rsidP="00087A77">
      <w:pPr>
        <w:pStyle w:val="ListParagraph"/>
        <w:numPr>
          <w:ilvl w:val="0"/>
          <w:numId w:val="41"/>
        </w:numPr>
        <w:spacing w:line="240" w:lineRule="auto"/>
        <w:rPr>
          <w:bCs/>
          <w:iCs/>
        </w:rPr>
      </w:pPr>
      <w:r>
        <w:rPr>
          <w:bCs/>
          <w:iCs/>
        </w:rPr>
        <w:t>The Bill enables the m</w:t>
      </w:r>
      <w:r w:rsidR="00B42CBC">
        <w:rPr>
          <w:bCs/>
          <w:iCs/>
        </w:rPr>
        <w:t>atching</w:t>
      </w:r>
      <w:r>
        <w:rPr>
          <w:bCs/>
          <w:iCs/>
        </w:rPr>
        <w:t xml:space="preserve"> of</w:t>
      </w:r>
      <w:r w:rsidR="00B42CBC" w:rsidRPr="00B42CBC">
        <w:rPr>
          <w:bCs/>
          <w:iCs/>
        </w:rPr>
        <w:t xml:space="preserve"> specific data-sets </w:t>
      </w:r>
      <w:r w:rsidR="00ED14A0" w:rsidRPr="00B42CBC">
        <w:rPr>
          <w:bCs/>
          <w:iCs/>
        </w:rPr>
        <w:t xml:space="preserve">with </w:t>
      </w:r>
      <w:r>
        <w:rPr>
          <w:bCs/>
          <w:iCs/>
        </w:rPr>
        <w:t xml:space="preserve">other prescribed </w:t>
      </w:r>
      <w:r w:rsidR="000D1131">
        <w:rPr>
          <w:bCs/>
          <w:iCs/>
        </w:rPr>
        <w:t xml:space="preserve">Australian </w:t>
      </w:r>
      <w:r w:rsidR="00C10A51">
        <w:rPr>
          <w:bCs/>
          <w:iCs/>
        </w:rPr>
        <w:t xml:space="preserve">Government agencies </w:t>
      </w:r>
      <w:r w:rsidR="00ED14A0" w:rsidRPr="00B42CBC">
        <w:rPr>
          <w:bCs/>
          <w:iCs/>
        </w:rPr>
        <w:t xml:space="preserve">for the </w:t>
      </w:r>
      <w:r w:rsidR="00B42CBC" w:rsidRPr="00B42CBC">
        <w:rPr>
          <w:bCs/>
          <w:iCs/>
        </w:rPr>
        <w:t>following</w:t>
      </w:r>
      <w:r w:rsidR="00ED14A0" w:rsidRPr="00B42CBC">
        <w:rPr>
          <w:bCs/>
          <w:iCs/>
        </w:rPr>
        <w:t xml:space="preserve"> </w:t>
      </w:r>
      <w:r w:rsidR="0012609A">
        <w:rPr>
          <w:bCs/>
          <w:iCs/>
        </w:rPr>
        <w:t xml:space="preserve">legislated, permitted </w:t>
      </w:r>
      <w:r w:rsidR="00B42CBC" w:rsidRPr="00B42CBC">
        <w:rPr>
          <w:bCs/>
          <w:iCs/>
        </w:rPr>
        <w:t>Medicare compliance</w:t>
      </w:r>
      <w:r w:rsidR="00072919" w:rsidRPr="00B42CBC">
        <w:rPr>
          <w:bCs/>
          <w:iCs/>
        </w:rPr>
        <w:t xml:space="preserve"> purposes</w:t>
      </w:r>
      <w:r w:rsidR="00ED14A0" w:rsidRPr="00B42CBC">
        <w:rPr>
          <w:bCs/>
          <w:iCs/>
        </w:rPr>
        <w:t xml:space="preserve">: </w:t>
      </w:r>
    </w:p>
    <w:p w14:paraId="031C5903" w14:textId="77777777" w:rsidR="00ED14A0" w:rsidRPr="00941549" w:rsidRDefault="00ED14A0" w:rsidP="00087A77">
      <w:pPr>
        <w:pStyle w:val="paragraph"/>
        <w:numPr>
          <w:ilvl w:val="0"/>
          <w:numId w:val="39"/>
        </w:numPr>
        <w:spacing w:before="0"/>
        <w:ind w:left="1077" w:hanging="357"/>
        <w:rPr>
          <w:rFonts w:ascii="Arial" w:hAnsi="Arial" w:cs="Arial"/>
          <w:sz w:val="21"/>
          <w:szCs w:val="21"/>
        </w:rPr>
      </w:pPr>
      <w:r w:rsidRPr="00941549">
        <w:rPr>
          <w:rFonts w:ascii="Arial" w:hAnsi="Arial" w:cs="Arial"/>
          <w:sz w:val="21"/>
          <w:szCs w:val="21"/>
        </w:rPr>
        <w:t>identifying whether a person may have engaged in Medicare fraud or incorrect claiming;</w:t>
      </w:r>
    </w:p>
    <w:p w14:paraId="718F6C47" w14:textId="77777777" w:rsidR="00ED14A0" w:rsidRPr="00941549" w:rsidRDefault="00ED14A0" w:rsidP="00087A77">
      <w:pPr>
        <w:pStyle w:val="paragraph"/>
        <w:numPr>
          <w:ilvl w:val="0"/>
          <w:numId w:val="39"/>
        </w:numPr>
        <w:spacing w:before="0"/>
        <w:ind w:left="1077" w:hanging="357"/>
        <w:rPr>
          <w:rFonts w:ascii="Arial" w:hAnsi="Arial" w:cs="Arial"/>
          <w:sz w:val="21"/>
          <w:szCs w:val="21"/>
        </w:rPr>
      </w:pPr>
      <w:r w:rsidRPr="00941549">
        <w:rPr>
          <w:rFonts w:ascii="Arial" w:hAnsi="Arial" w:cs="Arial"/>
          <w:sz w:val="21"/>
          <w:szCs w:val="21"/>
        </w:rPr>
        <w:t xml:space="preserve">recovering overpayments of benefits due to fraud or incorrect claiming under a </w:t>
      </w:r>
      <w:r w:rsidR="00B42CBC" w:rsidRPr="00941549">
        <w:rPr>
          <w:rFonts w:ascii="Arial" w:hAnsi="Arial" w:cs="Arial"/>
          <w:sz w:val="21"/>
          <w:szCs w:val="21"/>
        </w:rPr>
        <w:t>M</w:t>
      </w:r>
      <w:r w:rsidRPr="00941549">
        <w:rPr>
          <w:rFonts w:ascii="Arial" w:hAnsi="Arial" w:cs="Arial"/>
          <w:sz w:val="21"/>
          <w:szCs w:val="21"/>
        </w:rPr>
        <w:t>edicare program;</w:t>
      </w:r>
    </w:p>
    <w:p w14:paraId="2639D5BC" w14:textId="77777777" w:rsidR="00ED14A0" w:rsidRPr="00941549" w:rsidRDefault="00ED14A0" w:rsidP="00087A77">
      <w:pPr>
        <w:pStyle w:val="paragraph"/>
        <w:numPr>
          <w:ilvl w:val="0"/>
          <w:numId w:val="39"/>
        </w:numPr>
        <w:spacing w:before="0"/>
        <w:ind w:left="1077" w:hanging="357"/>
        <w:rPr>
          <w:rFonts w:ascii="Arial" w:hAnsi="Arial" w:cs="Arial"/>
          <w:sz w:val="21"/>
          <w:szCs w:val="21"/>
        </w:rPr>
      </w:pPr>
      <w:r w:rsidRPr="00941549">
        <w:rPr>
          <w:rFonts w:ascii="Arial" w:hAnsi="Arial" w:cs="Arial"/>
          <w:sz w:val="21"/>
          <w:szCs w:val="21"/>
        </w:rPr>
        <w:t>detecting or investigating contraventions of a law in relation to Medicare;</w:t>
      </w:r>
    </w:p>
    <w:p w14:paraId="13C9541B" w14:textId="258DF079" w:rsidR="00ED14A0" w:rsidRPr="00941549" w:rsidRDefault="00ED14A0" w:rsidP="00087A77">
      <w:pPr>
        <w:pStyle w:val="paragraph"/>
        <w:numPr>
          <w:ilvl w:val="0"/>
          <w:numId w:val="39"/>
        </w:numPr>
        <w:spacing w:before="0"/>
        <w:ind w:left="1077" w:hanging="357"/>
        <w:rPr>
          <w:rFonts w:ascii="Arial" w:hAnsi="Arial" w:cs="Arial"/>
          <w:sz w:val="21"/>
          <w:szCs w:val="21"/>
        </w:rPr>
      </w:pPr>
      <w:r w:rsidRPr="00941549">
        <w:rPr>
          <w:rFonts w:ascii="Arial" w:hAnsi="Arial" w:cs="Arial"/>
          <w:sz w:val="21"/>
          <w:szCs w:val="21"/>
        </w:rPr>
        <w:t xml:space="preserve">detecting or investigating whether a </w:t>
      </w:r>
      <w:r w:rsidR="00A71AF0" w:rsidRPr="00941549">
        <w:rPr>
          <w:rFonts w:ascii="Arial" w:hAnsi="Arial" w:cs="Arial"/>
          <w:sz w:val="21"/>
          <w:szCs w:val="21"/>
        </w:rPr>
        <w:t xml:space="preserve">healthcare </w:t>
      </w:r>
      <w:r w:rsidR="00A71AF0">
        <w:rPr>
          <w:rFonts w:ascii="Arial" w:hAnsi="Arial" w:cs="Arial"/>
          <w:sz w:val="21"/>
          <w:szCs w:val="21"/>
        </w:rPr>
        <w:t>provider</w:t>
      </w:r>
      <w:r w:rsidR="00A71AF0" w:rsidRPr="00941549">
        <w:rPr>
          <w:rFonts w:ascii="Arial" w:hAnsi="Arial" w:cs="Arial"/>
          <w:sz w:val="21"/>
          <w:szCs w:val="21"/>
        </w:rPr>
        <w:t xml:space="preserve"> </w:t>
      </w:r>
      <w:r w:rsidRPr="00941549">
        <w:rPr>
          <w:rFonts w:ascii="Arial" w:hAnsi="Arial" w:cs="Arial"/>
          <w:sz w:val="21"/>
          <w:szCs w:val="21"/>
        </w:rPr>
        <w:t>may have engaged in inappropriate practice;</w:t>
      </w:r>
    </w:p>
    <w:p w14:paraId="2DAC5C3D" w14:textId="60524904" w:rsidR="00ED14A0" w:rsidRPr="00941549" w:rsidRDefault="00ED14A0" w:rsidP="00087A77">
      <w:pPr>
        <w:pStyle w:val="paragraph"/>
        <w:numPr>
          <w:ilvl w:val="0"/>
          <w:numId w:val="39"/>
        </w:numPr>
        <w:spacing w:before="0"/>
        <w:ind w:left="1077" w:hanging="357"/>
        <w:rPr>
          <w:rFonts w:ascii="Arial" w:hAnsi="Arial" w:cs="Arial"/>
          <w:sz w:val="21"/>
          <w:szCs w:val="21"/>
        </w:rPr>
      </w:pPr>
      <w:r w:rsidRPr="00941549">
        <w:rPr>
          <w:rFonts w:ascii="Arial" w:hAnsi="Arial" w:cs="Arial"/>
          <w:sz w:val="21"/>
          <w:szCs w:val="21"/>
        </w:rPr>
        <w:t>analysing services</w:t>
      </w:r>
      <w:r w:rsidR="00941549" w:rsidRPr="00941549">
        <w:rPr>
          <w:rFonts w:ascii="Arial" w:hAnsi="Arial" w:cs="Arial"/>
          <w:sz w:val="21"/>
          <w:szCs w:val="21"/>
        </w:rPr>
        <w:t xml:space="preserve"> and</w:t>
      </w:r>
      <w:r w:rsidRPr="00941549">
        <w:rPr>
          <w:rFonts w:ascii="Arial" w:hAnsi="Arial" w:cs="Arial"/>
          <w:sz w:val="21"/>
          <w:szCs w:val="21"/>
        </w:rPr>
        <w:t xml:space="preserve"> benefits</w:t>
      </w:r>
      <w:r w:rsidR="00B42CBC" w:rsidRPr="00941549">
        <w:rPr>
          <w:rFonts w:ascii="Arial" w:hAnsi="Arial" w:cs="Arial"/>
          <w:sz w:val="21"/>
          <w:szCs w:val="21"/>
        </w:rPr>
        <w:t xml:space="preserve"> for the purposes above; and</w:t>
      </w:r>
    </w:p>
    <w:p w14:paraId="485B4E20" w14:textId="02963EB1" w:rsidR="00485FA5" w:rsidRDefault="00ED14A0" w:rsidP="00087A77">
      <w:pPr>
        <w:pStyle w:val="paragraph"/>
        <w:numPr>
          <w:ilvl w:val="0"/>
          <w:numId w:val="39"/>
        </w:numPr>
        <w:spacing w:before="0"/>
        <w:ind w:left="1077" w:hanging="357"/>
        <w:rPr>
          <w:rFonts w:ascii="Arial" w:hAnsi="Arial" w:cs="Arial"/>
          <w:sz w:val="21"/>
          <w:szCs w:val="21"/>
        </w:rPr>
      </w:pPr>
      <w:r w:rsidRPr="00941549">
        <w:rPr>
          <w:rFonts w:ascii="Arial" w:hAnsi="Arial" w:cs="Arial"/>
          <w:sz w:val="21"/>
          <w:szCs w:val="21"/>
        </w:rPr>
        <w:t>educating healthca</w:t>
      </w:r>
      <w:r w:rsidR="00B42CBC" w:rsidRPr="00941549">
        <w:rPr>
          <w:rFonts w:ascii="Arial" w:hAnsi="Arial" w:cs="Arial"/>
          <w:sz w:val="21"/>
          <w:szCs w:val="21"/>
        </w:rPr>
        <w:t>re providers about M</w:t>
      </w:r>
      <w:r w:rsidRPr="00941549">
        <w:rPr>
          <w:rFonts w:ascii="Arial" w:hAnsi="Arial" w:cs="Arial"/>
          <w:sz w:val="21"/>
          <w:szCs w:val="21"/>
        </w:rPr>
        <w:t>edicare program requirements.</w:t>
      </w:r>
    </w:p>
    <w:p w14:paraId="58EFC1E0" w14:textId="77777777" w:rsidR="00A020DF" w:rsidRPr="00941549" w:rsidRDefault="00A020DF" w:rsidP="00087A77">
      <w:pPr>
        <w:pStyle w:val="paragraph"/>
        <w:spacing w:before="0"/>
        <w:ind w:left="1077" w:firstLine="0"/>
        <w:rPr>
          <w:rFonts w:ascii="Arial" w:hAnsi="Arial" w:cs="Arial"/>
          <w:sz w:val="21"/>
          <w:szCs w:val="21"/>
        </w:rPr>
      </w:pPr>
    </w:p>
    <w:p w14:paraId="3CC3C66C" w14:textId="432287C9" w:rsidR="00941549" w:rsidRDefault="00C10A51" w:rsidP="00087A77">
      <w:pPr>
        <w:pStyle w:val="ListParagraph"/>
        <w:numPr>
          <w:ilvl w:val="0"/>
          <w:numId w:val="41"/>
        </w:numPr>
        <w:spacing w:before="0" w:line="240" w:lineRule="auto"/>
        <w:ind w:left="714" w:hanging="357"/>
        <w:rPr>
          <w:bCs/>
          <w:iCs/>
        </w:rPr>
      </w:pPr>
      <w:r>
        <w:rPr>
          <w:bCs/>
          <w:iCs/>
        </w:rPr>
        <w:t xml:space="preserve">Currently, </w:t>
      </w:r>
      <w:r w:rsidR="005222F6">
        <w:rPr>
          <w:bCs/>
          <w:iCs/>
        </w:rPr>
        <w:t xml:space="preserve">section 135AA of the </w:t>
      </w:r>
      <w:r w:rsidR="005222F6">
        <w:rPr>
          <w:bCs/>
          <w:i/>
          <w:iCs/>
        </w:rPr>
        <w:t xml:space="preserve">National Health Act 1953 </w:t>
      </w:r>
      <w:r w:rsidR="005222F6">
        <w:rPr>
          <w:bCs/>
          <w:iCs/>
        </w:rPr>
        <w:t>and associated</w:t>
      </w:r>
      <w:r w:rsidR="00BB48C7">
        <w:rPr>
          <w:bCs/>
          <w:iCs/>
        </w:rPr>
        <w:t xml:space="preserve"> </w:t>
      </w:r>
      <w:r w:rsidR="00BB48C7" w:rsidRPr="00BB48C7">
        <w:rPr>
          <w:bCs/>
          <w:i/>
          <w:iCs/>
        </w:rPr>
        <w:t>National Health (Privacy) Rules 2018</w:t>
      </w:r>
      <w:r w:rsidR="005222F6">
        <w:rPr>
          <w:bCs/>
          <w:iCs/>
        </w:rPr>
        <w:t xml:space="preserve"> (the Privacy Rules) </w:t>
      </w:r>
      <w:r w:rsidR="006E727D">
        <w:rPr>
          <w:bCs/>
          <w:iCs/>
        </w:rPr>
        <w:t xml:space="preserve">only permit matching of </w:t>
      </w:r>
      <w:r w:rsidR="00612E50">
        <w:rPr>
          <w:bCs/>
          <w:iCs/>
        </w:rPr>
        <w:t>Medicare Benefits Schedule (</w:t>
      </w:r>
      <w:r>
        <w:rPr>
          <w:bCs/>
          <w:iCs/>
        </w:rPr>
        <w:t>MBS</w:t>
      </w:r>
      <w:r w:rsidR="00612E50">
        <w:rPr>
          <w:bCs/>
          <w:iCs/>
        </w:rPr>
        <w:t>)</w:t>
      </w:r>
      <w:r>
        <w:rPr>
          <w:bCs/>
          <w:iCs/>
        </w:rPr>
        <w:t xml:space="preserve"> and </w:t>
      </w:r>
      <w:r w:rsidR="00612E50">
        <w:rPr>
          <w:bCs/>
          <w:iCs/>
        </w:rPr>
        <w:t>Pharmaceutical Benefits Scheme (</w:t>
      </w:r>
      <w:r>
        <w:rPr>
          <w:bCs/>
          <w:iCs/>
        </w:rPr>
        <w:t>PBS</w:t>
      </w:r>
      <w:r w:rsidR="00612E50">
        <w:rPr>
          <w:bCs/>
          <w:iCs/>
        </w:rPr>
        <w:t>)</w:t>
      </w:r>
      <w:r w:rsidR="005222F6">
        <w:rPr>
          <w:bCs/>
          <w:iCs/>
        </w:rPr>
        <w:t xml:space="preserve"> data</w:t>
      </w:r>
      <w:r w:rsidR="006E727D">
        <w:rPr>
          <w:bCs/>
          <w:iCs/>
        </w:rPr>
        <w:t xml:space="preserve"> in narrow circumstances</w:t>
      </w:r>
      <w:r w:rsidR="005222F6">
        <w:rPr>
          <w:bCs/>
          <w:iCs/>
        </w:rPr>
        <w:t xml:space="preserve">. </w:t>
      </w:r>
      <w:r w:rsidR="00957096">
        <w:rPr>
          <w:bCs/>
          <w:iCs/>
        </w:rPr>
        <w:t xml:space="preserve">The proposed legislation will </w:t>
      </w:r>
      <w:r w:rsidR="00873192">
        <w:rPr>
          <w:bCs/>
          <w:iCs/>
        </w:rPr>
        <w:t>exclude</w:t>
      </w:r>
      <w:r w:rsidR="00957096">
        <w:rPr>
          <w:bCs/>
          <w:iCs/>
        </w:rPr>
        <w:t xml:space="preserve"> data matching from this restriction when the matching is undertaken for specified Medicare compliance purposes.</w:t>
      </w:r>
    </w:p>
    <w:p w14:paraId="33654D57" w14:textId="77777777" w:rsidR="00CA2196" w:rsidRDefault="00CA2196" w:rsidP="00087A77">
      <w:pPr>
        <w:pStyle w:val="ListParagraph"/>
        <w:spacing w:before="0" w:line="240" w:lineRule="auto"/>
        <w:ind w:left="714"/>
        <w:rPr>
          <w:bCs/>
          <w:iCs/>
        </w:rPr>
      </w:pPr>
    </w:p>
    <w:p w14:paraId="34610839" w14:textId="0A7F351F" w:rsidR="00CA2196" w:rsidRPr="00941549" w:rsidRDefault="006D6331" w:rsidP="00087A77">
      <w:pPr>
        <w:pStyle w:val="ListParagraph"/>
        <w:numPr>
          <w:ilvl w:val="0"/>
          <w:numId w:val="41"/>
        </w:numPr>
        <w:spacing w:after="240" w:line="240" w:lineRule="auto"/>
        <w:ind w:left="714" w:hanging="357"/>
        <w:rPr>
          <w:lang w:eastAsia="en-AU"/>
        </w:rPr>
      </w:pPr>
      <w:r>
        <w:rPr>
          <w:lang w:eastAsia="en-AU"/>
        </w:rPr>
        <w:t>The R</w:t>
      </w:r>
      <w:r w:rsidR="00CA2196">
        <w:rPr>
          <w:lang w:eastAsia="en-AU"/>
        </w:rPr>
        <w:t xml:space="preserve">egulations </w:t>
      </w:r>
      <w:r>
        <w:rPr>
          <w:lang w:eastAsia="en-AU"/>
        </w:rPr>
        <w:t xml:space="preserve">will </w:t>
      </w:r>
      <w:r w:rsidR="00CA2196" w:rsidRPr="00CA2196">
        <w:rPr>
          <w:bCs/>
          <w:iCs/>
        </w:rPr>
        <w:t>enable</w:t>
      </w:r>
      <w:r w:rsidR="00CA2196">
        <w:rPr>
          <w:lang w:eastAsia="en-AU"/>
        </w:rPr>
        <w:t xml:space="preserve"> the disclosure and sharing of certain information with prescribed government entities to assist them in performing their functions.</w:t>
      </w:r>
    </w:p>
    <w:p w14:paraId="57069377" w14:textId="77777777" w:rsidR="00CA2196" w:rsidRDefault="00CA2196" w:rsidP="00087A77">
      <w:pPr>
        <w:pStyle w:val="ListParagraph"/>
        <w:spacing w:line="240" w:lineRule="auto"/>
        <w:ind w:left="714"/>
        <w:rPr>
          <w:rFonts w:cs="Arial"/>
          <w:color w:val="000000" w:themeColor="text1"/>
          <w:szCs w:val="21"/>
        </w:rPr>
      </w:pPr>
    </w:p>
    <w:p w14:paraId="51716975" w14:textId="66677EA9" w:rsidR="008A4F65" w:rsidRPr="008A4F65" w:rsidRDefault="0012609A" w:rsidP="00087A77">
      <w:pPr>
        <w:pStyle w:val="ListParagraph"/>
        <w:numPr>
          <w:ilvl w:val="0"/>
          <w:numId w:val="41"/>
        </w:numPr>
        <w:spacing w:line="240" w:lineRule="auto"/>
        <w:ind w:left="714" w:hanging="357"/>
        <w:rPr>
          <w:rFonts w:cs="Arial"/>
          <w:color w:val="000000" w:themeColor="text1"/>
          <w:szCs w:val="21"/>
        </w:rPr>
      </w:pPr>
      <w:r>
        <w:rPr>
          <w:rFonts w:cs="Arial"/>
          <w:color w:val="000000" w:themeColor="text1"/>
          <w:szCs w:val="21"/>
        </w:rPr>
        <w:t>D</w:t>
      </w:r>
      <w:r w:rsidR="00CA2196">
        <w:rPr>
          <w:rFonts w:cs="Arial"/>
          <w:color w:val="000000" w:themeColor="text1"/>
          <w:szCs w:val="21"/>
        </w:rPr>
        <w:t>isclosure of certain information</w:t>
      </w:r>
      <w:r>
        <w:rPr>
          <w:rFonts w:cs="Arial"/>
          <w:color w:val="000000" w:themeColor="text1"/>
          <w:szCs w:val="21"/>
        </w:rPr>
        <w:t xml:space="preserve"> to </w:t>
      </w:r>
      <w:r w:rsidR="00A71AF0">
        <w:rPr>
          <w:rFonts w:cs="Arial"/>
          <w:color w:val="000000" w:themeColor="text1"/>
          <w:szCs w:val="21"/>
        </w:rPr>
        <w:t xml:space="preserve">Australian </w:t>
      </w:r>
      <w:r>
        <w:rPr>
          <w:rFonts w:cs="Arial"/>
          <w:color w:val="000000" w:themeColor="text1"/>
          <w:szCs w:val="21"/>
        </w:rPr>
        <w:t xml:space="preserve">Government agencies </w:t>
      </w:r>
      <w:r w:rsidR="00CA2196">
        <w:rPr>
          <w:rFonts w:cs="Arial"/>
          <w:color w:val="000000" w:themeColor="text1"/>
          <w:szCs w:val="21"/>
        </w:rPr>
        <w:t xml:space="preserve">for the purposes of matching </w:t>
      </w:r>
      <w:r>
        <w:rPr>
          <w:rFonts w:cs="Arial"/>
          <w:color w:val="000000" w:themeColor="text1"/>
          <w:szCs w:val="21"/>
        </w:rPr>
        <w:t>data on behalf of the Chief Executive Medicare will</w:t>
      </w:r>
      <w:r w:rsidR="008D7444">
        <w:rPr>
          <w:rFonts w:cs="Arial"/>
          <w:color w:val="000000" w:themeColor="text1"/>
          <w:szCs w:val="21"/>
        </w:rPr>
        <w:t xml:space="preserve"> be authorised </w:t>
      </w:r>
      <w:r>
        <w:rPr>
          <w:rFonts w:cs="Arial"/>
          <w:color w:val="000000" w:themeColor="text1"/>
          <w:szCs w:val="21"/>
        </w:rPr>
        <w:t xml:space="preserve">for </w:t>
      </w:r>
      <w:r>
        <w:rPr>
          <w:bCs/>
          <w:iCs/>
        </w:rPr>
        <w:t xml:space="preserve">legislated, permitted </w:t>
      </w:r>
      <w:r w:rsidRPr="00B42CBC">
        <w:rPr>
          <w:bCs/>
          <w:iCs/>
        </w:rPr>
        <w:t>Medicare compliance purposes</w:t>
      </w:r>
      <w:r w:rsidR="00CA2196">
        <w:rPr>
          <w:rFonts w:cs="Arial"/>
          <w:color w:val="000000" w:themeColor="text1"/>
          <w:szCs w:val="21"/>
        </w:rPr>
        <w:t>.</w:t>
      </w:r>
    </w:p>
    <w:p w14:paraId="6C7F7AD8" w14:textId="77777777" w:rsidR="008A4F65" w:rsidRDefault="008A4F65" w:rsidP="00087A77">
      <w:pPr>
        <w:pStyle w:val="ListParagraph"/>
        <w:spacing w:line="240" w:lineRule="auto"/>
        <w:ind w:left="714"/>
        <w:rPr>
          <w:bCs/>
          <w:iCs/>
        </w:rPr>
      </w:pPr>
    </w:p>
    <w:p w14:paraId="7D593BA6" w14:textId="512ADD2F" w:rsidR="00087A77" w:rsidRPr="00087A77" w:rsidRDefault="007E7605" w:rsidP="00087A77">
      <w:pPr>
        <w:pStyle w:val="ListParagraph"/>
        <w:numPr>
          <w:ilvl w:val="0"/>
          <w:numId w:val="41"/>
        </w:numPr>
        <w:spacing w:line="240" w:lineRule="auto"/>
        <w:ind w:left="714" w:hanging="357"/>
        <w:rPr>
          <w:bCs/>
          <w:iCs/>
        </w:rPr>
      </w:pPr>
      <w:r w:rsidRPr="00941549">
        <w:rPr>
          <w:bCs/>
          <w:iCs/>
        </w:rPr>
        <w:t>Data</w:t>
      </w:r>
      <w:r w:rsidRPr="000B487C">
        <w:rPr>
          <w:szCs w:val="22"/>
        </w:rPr>
        <w:t xml:space="preserve"> matching for Medicare compliance purposes usin</w:t>
      </w:r>
      <w:r w:rsidR="00AC5520">
        <w:rPr>
          <w:szCs w:val="22"/>
        </w:rPr>
        <w:t>g data from the MBS and PBS,</w:t>
      </w:r>
      <w:r>
        <w:rPr>
          <w:szCs w:val="22"/>
        </w:rPr>
        <w:t>DVA</w:t>
      </w:r>
      <w:r w:rsidRPr="000B487C">
        <w:rPr>
          <w:szCs w:val="22"/>
        </w:rPr>
        <w:t>, the Department of Home Affairs</w:t>
      </w:r>
      <w:r>
        <w:rPr>
          <w:szCs w:val="22"/>
        </w:rPr>
        <w:t xml:space="preserve"> (Home Affairs)</w:t>
      </w:r>
      <w:r w:rsidRPr="000B487C">
        <w:rPr>
          <w:szCs w:val="22"/>
        </w:rPr>
        <w:t>, the Australian Health</w:t>
      </w:r>
      <w:r>
        <w:rPr>
          <w:szCs w:val="22"/>
        </w:rPr>
        <w:t xml:space="preserve"> Practitioner Regulation Agency (AHPRA) and</w:t>
      </w:r>
      <w:r w:rsidRPr="000B487C">
        <w:rPr>
          <w:szCs w:val="22"/>
        </w:rPr>
        <w:t xml:space="preserve"> the Therapeutic Goods Administration</w:t>
      </w:r>
      <w:r>
        <w:rPr>
          <w:szCs w:val="22"/>
        </w:rPr>
        <w:t xml:space="preserve"> (TGA)</w:t>
      </w:r>
      <w:r w:rsidR="00BB48C7">
        <w:rPr>
          <w:szCs w:val="22"/>
        </w:rPr>
        <w:t>. Private Health I</w:t>
      </w:r>
      <w:r w:rsidRPr="000B487C">
        <w:rPr>
          <w:szCs w:val="22"/>
        </w:rPr>
        <w:t>nsurers</w:t>
      </w:r>
      <w:r w:rsidR="00BB48C7">
        <w:rPr>
          <w:szCs w:val="22"/>
        </w:rPr>
        <w:t xml:space="preserve"> (PHIs)</w:t>
      </w:r>
      <w:r w:rsidRPr="000B487C">
        <w:rPr>
          <w:szCs w:val="22"/>
        </w:rPr>
        <w:t xml:space="preserve"> </w:t>
      </w:r>
      <w:r>
        <w:rPr>
          <w:szCs w:val="22"/>
        </w:rPr>
        <w:t xml:space="preserve">may </w:t>
      </w:r>
      <w:r w:rsidRPr="000B487C">
        <w:rPr>
          <w:szCs w:val="22"/>
        </w:rPr>
        <w:t xml:space="preserve">also provide data </w:t>
      </w:r>
      <w:r w:rsidR="00C33495">
        <w:rPr>
          <w:szCs w:val="22"/>
        </w:rPr>
        <w:t>to</w:t>
      </w:r>
      <w:r w:rsidRPr="000B487C">
        <w:rPr>
          <w:szCs w:val="22"/>
        </w:rPr>
        <w:t xml:space="preserve"> the Department on a voluntary basis</w:t>
      </w:r>
      <w:r w:rsidR="00A71AF0">
        <w:rPr>
          <w:szCs w:val="22"/>
        </w:rPr>
        <w:t>, though Medicare data will not be permitted to be provided to PHIs</w:t>
      </w:r>
      <w:r w:rsidRPr="000B487C">
        <w:rPr>
          <w:szCs w:val="22"/>
        </w:rPr>
        <w:t xml:space="preserve">. </w:t>
      </w:r>
    </w:p>
    <w:p w14:paraId="5E64295D" w14:textId="5128EF3F" w:rsidR="00087A77" w:rsidRDefault="00087A77" w:rsidP="002031EB">
      <w:pPr>
        <w:pStyle w:val="ListParagraph"/>
        <w:ind w:left="357"/>
        <w:rPr>
          <w:bCs/>
          <w:iCs/>
        </w:rPr>
      </w:pPr>
    </w:p>
    <w:p w14:paraId="2A6F37A7" w14:textId="4077CA11" w:rsidR="00A71AF0" w:rsidRDefault="00A71AF0" w:rsidP="002031EB">
      <w:pPr>
        <w:pStyle w:val="ListParagraph"/>
        <w:ind w:left="357"/>
        <w:rPr>
          <w:bCs/>
          <w:iCs/>
        </w:rPr>
      </w:pPr>
      <w:r>
        <w:rPr>
          <w:bCs/>
          <w:iCs/>
        </w:rPr>
        <w:t>The changes will not allow the Department to access My Health Record data for the purposes of its Medicare compliance activities.</w:t>
      </w:r>
    </w:p>
    <w:p w14:paraId="4E8FB3EF" w14:textId="593EEF3E" w:rsidR="00A71AF0" w:rsidRDefault="00A71AF0" w:rsidP="002031EB">
      <w:pPr>
        <w:pStyle w:val="ListParagraph"/>
        <w:ind w:left="357"/>
        <w:rPr>
          <w:bCs/>
          <w:iCs/>
        </w:rPr>
      </w:pPr>
    </w:p>
    <w:p w14:paraId="57A85760" w14:textId="26460F64" w:rsidR="00F20267" w:rsidRDefault="00F20267" w:rsidP="002031EB">
      <w:pPr>
        <w:pStyle w:val="ListParagraph"/>
        <w:ind w:left="357"/>
        <w:rPr>
          <w:bCs/>
          <w:iCs/>
        </w:rPr>
      </w:pPr>
    </w:p>
    <w:p w14:paraId="68C92FB0" w14:textId="40589400" w:rsidR="00F20267" w:rsidRDefault="00F20267" w:rsidP="002031EB">
      <w:pPr>
        <w:pStyle w:val="ListParagraph"/>
        <w:ind w:left="357"/>
        <w:rPr>
          <w:bCs/>
          <w:iCs/>
        </w:rPr>
      </w:pPr>
    </w:p>
    <w:p w14:paraId="2132A46F" w14:textId="6096EC49" w:rsidR="00F20267" w:rsidRDefault="00F20267" w:rsidP="002031EB">
      <w:pPr>
        <w:pStyle w:val="ListParagraph"/>
        <w:ind w:left="357"/>
        <w:rPr>
          <w:bCs/>
          <w:iCs/>
        </w:rPr>
      </w:pPr>
    </w:p>
    <w:p w14:paraId="18F388E9" w14:textId="208CE25A" w:rsidR="00F20267" w:rsidRDefault="00F20267" w:rsidP="002031EB">
      <w:pPr>
        <w:pStyle w:val="ListParagraph"/>
        <w:ind w:left="357"/>
        <w:rPr>
          <w:bCs/>
          <w:iCs/>
        </w:rPr>
      </w:pPr>
    </w:p>
    <w:p w14:paraId="57D467C4" w14:textId="706BEE0D" w:rsidR="00F20267" w:rsidRDefault="00F20267" w:rsidP="002031EB">
      <w:pPr>
        <w:pStyle w:val="ListParagraph"/>
        <w:ind w:left="357"/>
        <w:rPr>
          <w:bCs/>
          <w:iCs/>
        </w:rPr>
      </w:pPr>
    </w:p>
    <w:p w14:paraId="25371F66" w14:textId="4F006518" w:rsidR="00F20267" w:rsidRDefault="00F20267" w:rsidP="002031EB">
      <w:pPr>
        <w:pStyle w:val="ListParagraph"/>
        <w:ind w:left="357"/>
        <w:rPr>
          <w:bCs/>
          <w:iCs/>
        </w:rPr>
      </w:pPr>
    </w:p>
    <w:p w14:paraId="28E00D94" w14:textId="1CE06F9E" w:rsidR="00F20267" w:rsidRDefault="00F20267">
      <w:pPr>
        <w:spacing w:before="0" w:line="240" w:lineRule="auto"/>
        <w:rPr>
          <w:bCs/>
          <w:iCs/>
        </w:rPr>
        <w:sectPr w:rsidR="00F20267" w:rsidSect="007E31F6">
          <w:headerReference w:type="even" r:id="rId10"/>
          <w:headerReference w:type="default" r:id="rId11"/>
          <w:footerReference w:type="even" r:id="rId12"/>
          <w:footerReference w:type="default" r:id="rId13"/>
          <w:headerReference w:type="first" r:id="rId14"/>
          <w:footerReference w:type="first" r:id="rId15"/>
          <w:pgSz w:w="11900" w:h="16840"/>
          <w:pgMar w:top="1440" w:right="1080" w:bottom="1440" w:left="1080" w:header="709" w:footer="709" w:gutter="0"/>
          <w:cols w:space="708"/>
          <w:titlePg/>
          <w:docGrid w:linePitch="360"/>
        </w:sectPr>
      </w:pPr>
    </w:p>
    <w:p w14:paraId="0212964D" w14:textId="5161A7A1" w:rsidR="00943CA8" w:rsidRDefault="00943CA8" w:rsidP="00943CA8">
      <w:pPr>
        <w:pStyle w:val="ListParagraph"/>
        <w:ind w:left="357"/>
        <w:rPr>
          <w:bCs/>
          <w:iCs/>
        </w:rPr>
      </w:pPr>
      <w:r>
        <w:rPr>
          <w:bCs/>
          <w:iCs/>
        </w:rPr>
        <w:lastRenderedPageBreak/>
        <w:t>For further information on what is in and out of scope refer to Figure 2 below.</w:t>
      </w:r>
    </w:p>
    <w:p w14:paraId="284C6B73" w14:textId="4C3400E1" w:rsidR="00612E50" w:rsidRDefault="00087A77" w:rsidP="00AD5DDF">
      <w:pPr>
        <w:spacing w:before="0" w:line="240" w:lineRule="auto"/>
        <w:jc w:val="center"/>
        <w:rPr>
          <w:bCs/>
          <w:iCs/>
        </w:rPr>
      </w:pPr>
      <w:r>
        <w:rPr>
          <w:bCs/>
          <w:iCs/>
          <w:noProof/>
          <w:color w:val="FF0000"/>
          <w:lang w:eastAsia="en-AU"/>
        </w:rPr>
        <w:drawing>
          <wp:inline distT="0" distB="0" distL="0" distR="0" wp14:anchorId="16E48ECD" wp14:editId="7B467B8B">
            <wp:extent cx="8309113" cy="5709312"/>
            <wp:effectExtent l="0" t="0" r="0" b="5715"/>
            <wp:docPr id="7" name="Picture 7" descr="Heading: In Scope.&#10;The Bill will authorise matching of the following data sets:&#10;- Medicare Benefits Schedule. &#10;- Pharmaceutical Benefits Scheme. &#10;- Therapeutic goods information.&#10;- Registration information from the Australian Health Practitioner Regulation Agency.&#10;- Department of Veterans' Affairs programs.&#10;- Information voluntarily provided by private health insurers. &#10;- Any other information that can be lawfully provided to the Chief Executive Medicare, such as information about whether a person is in Australia at the time of claimed service. &#10;- Held by the Chief Executive Medicare for the purposes of a Medicare program. &#10;&#10;For only Medicare compliance related purposes, such as:&#10;- Detecting Medicare fraud&#10;- Detecting Incorrect claiming&#10;- Detecting inappropriate practice by health providers. &#10;&#10;The Regulations will only authorise disclosure of Medicare or matched data under controlled circumstances such as:&#10;- Department of Veterans' Affairs.&#10;- AHPRA and related health practitioner boards.&#10;&#10;Heading: Out of Scope&#10;&#10;Use of any data collected under the My Health Record system.&#10;Data-matching for other purposes not related to Medicare compliance purposes, such as:&#10;- Research or policy development purposes&#10;- Private health insurance compliance purposes&#10;- Centrelink compliance purposes&#10;- Immigration compliance purposes&#10;&#10;Any changes to the current Medicare compliance process.&#10;&#10;Any automation of debts or compliance activity without human oversight.&#10;&#10;Any new or increased regulatory powers.&#10;&#10;Provision of Medicare data to private health insurers.&#10;&#10;" title="Figure 2: image showing what is in scope and out of scope for the data matching sche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V.2 Data-matching Legislation Scope Infographic(2).jpg"/>
                    <pic:cNvPicPr/>
                  </pic:nvPicPr>
                  <pic:blipFill>
                    <a:blip r:embed="rId16">
                      <a:extLst>
                        <a:ext uri="{28A0092B-C50C-407E-A947-70E740481C1C}">
                          <a14:useLocalDpi xmlns:a14="http://schemas.microsoft.com/office/drawing/2010/main" val="0"/>
                        </a:ext>
                      </a:extLst>
                    </a:blip>
                    <a:stretch>
                      <a:fillRect/>
                    </a:stretch>
                  </pic:blipFill>
                  <pic:spPr>
                    <a:xfrm>
                      <a:off x="0" y="0"/>
                      <a:ext cx="8562291" cy="5883274"/>
                    </a:xfrm>
                    <a:prstGeom prst="rect">
                      <a:avLst/>
                    </a:prstGeom>
                  </pic:spPr>
                </pic:pic>
              </a:graphicData>
            </a:graphic>
          </wp:inline>
        </w:drawing>
      </w:r>
    </w:p>
    <w:p w14:paraId="168DA950" w14:textId="77777777" w:rsidR="00236F9D" w:rsidRDefault="00087A77" w:rsidP="00087A77">
      <w:pPr>
        <w:pStyle w:val="Caption"/>
        <w:jc w:val="center"/>
        <w:sectPr w:rsidR="00236F9D" w:rsidSect="00F20267">
          <w:headerReference w:type="first" r:id="rId17"/>
          <w:pgSz w:w="16840" w:h="11900" w:orient="landscape"/>
          <w:pgMar w:top="1080" w:right="1440" w:bottom="1080" w:left="1440" w:header="709" w:footer="709" w:gutter="0"/>
          <w:cols w:space="708"/>
          <w:titlePg/>
          <w:docGrid w:linePitch="360"/>
        </w:sectPr>
      </w:pPr>
      <w:r>
        <w:t xml:space="preserve">Figure </w:t>
      </w:r>
      <w:r w:rsidR="0012609A">
        <w:t>2</w:t>
      </w:r>
      <w:r>
        <w:t xml:space="preserve"> - Data-matching scheme: In scope and out of scope</w:t>
      </w:r>
    </w:p>
    <w:p w14:paraId="16A9528E" w14:textId="77777777" w:rsidR="00AD5DDF" w:rsidRDefault="00612E50" w:rsidP="00AD5DDF">
      <w:pPr>
        <w:keepNext/>
        <w:rPr>
          <w:i/>
          <w:lang w:eastAsia="en-AU"/>
        </w:rPr>
      </w:pPr>
      <w:r>
        <w:rPr>
          <w:lang w:eastAsia="en-AU"/>
        </w:rPr>
        <w:lastRenderedPageBreak/>
        <w:t>The legislation will allow</w:t>
      </w:r>
      <w:r w:rsidR="00762134">
        <w:rPr>
          <w:lang w:eastAsia="en-AU"/>
        </w:rPr>
        <w:t xml:space="preserve"> both the matching of </w:t>
      </w:r>
      <w:r>
        <w:rPr>
          <w:lang w:eastAsia="en-AU"/>
        </w:rPr>
        <w:t>MBS and PBS datasets</w:t>
      </w:r>
      <w:r w:rsidR="00762134">
        <w:rPr>
          <w:lang w:eastAsia="en-AU"/>
        </w:rPr>
        <w:t xml:space="preserve"> and the matching of these data sets </w:t>
      </w:r>
      <w:r>
        <w:rPr>
          <w:lang w:eastAsia="en-AU"/>
        </w:rPr>
        <w:t>with other external datasets</w:t>
      </w:r>
      <w:r w:rsidR="007453AF">
        <w:rPr>
          <w:lang w:eastAsia="en-AU"/>
        </w:rPr>
        <w:t xml:space="preserve"> </w:t>
      </w:r>
      <w:r w:rsidR="00AD5DDF">
        <w:rPr>
          <w:i/>
          <w:lang w:eastAsia="en-AU"/>
        </w:rPr>
        <w:t xml:space="preserve">(Figure 3 and </w:t>
      </w:r>
      <w:r w:rsidR="007453AF" w:rsidRPr="00530C38">
        <w:rPr>
          <w:i/>
          <w:lang w:eastAsia="en-AU"/>
        </w:rPr>
        <w:t>Figure 4)</w:t>
      </w:r>
      <w:r w:rsidRPr="00530C38">
        <w:rPr>
          <w:i/>
          <w:lang w:eastAsia="en-AU"/>
        </w:rPr>
        <w:t>.</w:t>
      </w:r>
    </w:p>
    <w:p w14:paraId="7C7B89DE" w14:textId="687975CE" w:rsidR="00936906" w:rsidRDefault="007B3A6B" w:rsidP="00AD5DDF">
      <w:pPr>
        <w:keepNext/>
        <w:jc w:val="center"/>
      </w:pPr>
      <w:r>
        <w:rPr>
          <w:noProof/>
          <w:lang w:eastAsia="en-AU"/>
        </w:rPr>
        <w:drawing>
          <wp:inline distT="0" distB="0" distL="0" distR="0" wp14:anchorId="5A883B20" wp14:editId="532AB59C">
            <wp:extent cx="8006963" cy="5500484"/>
            <wp:effectExtent l="0" t="0" r="0" b="5080"/>
            <wp:docPr id="11" name="Picture 11" descr="This image has in the centre a solid circle with, 'Medicare programs: Medicare Benefits Scheme (MBS) and Provider Benefits Scheme (PBS). The circle is surrounded by an outer ring, like a doughnut, separated in to five sections: Home Affairs, Private Health Insurers (PHI), Australian Health Practitioner Regulation Agency (AHPRA); Therapeutic Goods Administration (TGA), and Department of Veterans' Affairs (DVA).&#10;For each of the five sections, there is a line from the inner circle, under the named section of the outer circle and to a text box. There are five text boxes like this and two text clouds for matching MBS and PBS data. The text clouds also start at the inner circle and over the top of the doughnut. The text clouds are in a darker blue than the other text boxes.&#10;Text box 1. For Home Affairs, matching MBS and immigration data will assist to detect when Medicare claims have been made for services provided when the practitioner or patient is not in Australia. &#10;Text box 2. For private health insurers, matching PBS dispensing to MBS data would assist to identify if corresponding medicare consultations and pathology services were provided to indicate if PBS prescribing requirements have been met. &#10;Text box 3. For the Australian Health Practitioner Regulation Agency (AHPRA) registration, data will be matched with MBS or PBS data to assist with identifying instances where a practitioner may be practising or prescribing outside AHPRA restrictions or registration conditions.&#10;Text box 4. For the Therapeutic Goods Administration (TGA), matching MBS and TGA data will assist with identifying where health providers have claimed MBS benefits for medical devices, which are not eligible for a Medicare rebate.&#10;Text box 5. For the Department of Veterans’ Affairs (DVA), matching MBS data and DVA data will assist with the detection of instances when the same health service is billed to the MBS and DVA. DVA services will also be counted towards the 80/20 rule. The 80/20 rule is when general practitioners or other medical practitioners engage in inappropriate practice by rendering or initiating 80 or more professional attendance services on each of 20 or more days in a 12 month period. This is known as prescribed pattern of services.&#10;Text cloud 1. Matching PBS dispensing to MBS data would assist to identify if corresponding medical consultations and pathology services were provided to indicate if PBS prescribing requirements have been met.&#10;Text cloud 2. Matching MBS and PBS data will assist with identifying instances of abnormal billing behaviour which could be indicative of pharmacy fraud.&#10;" title="Figure 3: Image with examples of how matching various datasets can assist with identifying non-compli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v.3 Matching Doughnut JPEG.jpg"/>
                    <pic:cNvPicPr/>
                  </pic:nvPicPr>
                  <pic:blipFill>
                    <a:blip r:embed="rId18">
                      <a:extLst>
                        <a:ext uri="{28A0092B-C50C-407E-A947-70E740481C1C}">
                          <a14:useLocalDpi xmlns:a14="http://schemas.microsoft.com/office/drawing/2010/main" val="0"/>
                        </a:ext>
                      </a:extLst>
                    </a:blip>
                    <a:stretch>
                      <a:fillRect/>
                    </a:stretch>
                  </pic:blipFill>
                  <pic:spPr>
                    <a:xfrm>
                      <a:off x="0" y="0"/>
                      <a:ext cx="8031388" cy="5517263"/>
                    </a:xfrm>
                    <a:prstGeom prst="rect">
                      <a:avLst/>
                    </a:prstGeom>
                  </pic:spPr>
                </pic:pic>
              </a:graphicData>
            </a:graphic>
          </wp:inline>
        </w:drawing>
      </w:r>
    </w:p>
    <w:p w14:paraId="4C3ECB7D" w14:textId="3468F502" w:rsidR="000D76CC" w:rsidRDefault="00936906" w:rsidP="000D76CC">
      <w:pPr>
        <w:pStyle w:val="Caption"/>
        <w:jc w:val="center"/>
      </w:pPr>
      <w:r>
        <w:t xml:space="preserve">Figure </w:t>
      </w:r>
      <w:r w:rsidR="0012609A">
        <w:t>3</w:t>
      </w:r>
      <w:r>
        <w:t xml:space="preserve"> - Datasets </w:t>
      </w:r>
      <w:r w:rsidR="000D76CC">
        <w:t>proposed to be used for matching</w:t>
      </w:r>
    </w:p>
    <w:tbl>
      <w:tblPr>
        <w:tblW w:w="5000" w:type="pct"/>
        <w:tblLook w:val="04A0" w:firstRow="1" w:lastRow="0" w:firstColumn="1" w:lastColumn="0" w:noHBand="0" w:noVBand="1"/>
      </w:tblPr>
      <w:tblGrid>
        <w:gridCol w:w="1684"/>
        <w:gridCol w:w="4452"/>
        <w:gridCol w:w="4202"/>
        <w:gridCol w:w="3602"/>
      </w:tblGrid>
      <w:tr w:rsidR="000E4018" w:rsidRPr="000E4018" w14:paraId="76A5D6FA" w14:textId="77777777" w:rsidTr="000E4018">
        <w:trPr>
          <w:trHeight w:val="315"/>
        </w:trPr>
        <w:tc>
          <w:tcPr>
            <w:tcW w:w="604" w:type="pct"/>
            <w:tcBorders>
              <w:top w:val="single" w:sz="8" w:space="0" w:color="auto"/>
              <w:left w:val="single" w:sz="8" w:space="0" w:color="auto"/>
              <w:bottom w:val="single" w:sz="4" w:space="0" w:color="auto"/>
              <w:right w:val="single" w:sz="4" w:space="0" w:color="auto"/>
            </w:tcBorders>
            <w:shd w:val="clear" w:color="000000" w:fill="DDEBF7"/>
            <w:vAlign w:val="bottom"/>
            <w:hideMark/>
          </w:tcPr>
          <w:p w14:paraId="2937C0C1" w14:textId="77777777" w:rsidR="000E4018" w:rsidRPr="000E4018" w:rsidRDefault="000E4018" w:rsidP="000E4018">
            <w:pPr>
              <w:spacing w:before="0" w:line="240" w:lineRule="auto"/>
              <w:jc w:val="center"/>
              <w:rPr>
                <w:rFonts w:ascii="Calibri" w:hAnsi="Calibri" w:cs="Calibri"/>
                <w:b/>
                <w:bCs/>
                <w:color w:val="000000"/>
                <w:sz w:val="20"/>
                <w:szCs w:val="20"/>
                <w:lang w:eastAsia="en-AU"/>
              </w:rPr>
            </w:pPr>
            <w:r w:rsidRPr="000E4018">
              <w:rPr>
                <w:rFonts w:ascii="Calibri" w:hAnsi="Calibri" w:cs="Calibri"/>
                <w:b/>
                <w:bCs/>
                <w:color w:val="000000"/>
                <w:sz w:val="20"/>
                <w:szCs w:val="20"/>
                <w:lang w:eastAsia="en-AU"/>
              </w:rPr>
              <w:lastRenderedPageBreak/>
              <w:t>Matched Datasets</w:t>
            </w:r>
          </w:p>
        </w:tc>
        <w:tc>
          <w:tcPr>
            <w:tcW w:w="1597" w:type="pct"/>
            <w:tcBorders>
              <w:top w:val="single" w:sz="8" w:space="0" w:color="auto"/>
              <w:left w:val="nil"/>
              <w:bottom w:val="single" w:sz="4" w:space="0" w:color="auto"/>
              <w:right w:val="single" w:sz="4" w:space="0" w:color="auto"/>
            </w:tcBorders>
            <w:shd w:val="clear" w:color="000000" w:fill="DDEBF7"/>
            <w:vAlign w:val="bottom"/>
            <w:hideMark/>
          </w:tcPr>
          <w:p w14:paraId="5AEA7A90" w14:textId="77777777" w:rsidR="000E4018" w:rsidRPr="000E4018" w:rsidRDefault="000E4018" w:rsidP="000E4018">
            <w:pPr>
              <w:spacing w:before="0" w:line="240" w:lineRule="auto"/>
              <w:jc w:val="center"/>
              <w:rPr>
                <w:rFonts w:ascii="Calibri" w:hAnsi="Calibri" w:cs="Calibri"/>
                <w:b/>
                <w:bCs/>
                <w:color w:val="000000"/>
                <w:sz w:val="20"/>
                <w:szCs w:val="20"/>
                <w:lang w:eastAsia="en-AU"/>
              </w:rPr>
            </w:pPr>
            <w:r w:rsidRPr="000E4018">
              <w:rPr>
                <w:rFonts w:ascii="Calibri" w:hAnsi="Calibri" w:cs="Calibri"/>
                <w:b/>
                <w:bCs/>
                <w:color w:val="000000"/>
                <w:sz w:val="20"/>
                <w:szCs w:val="20"/>
                <w:lang w:eastAsia="en-AU"/>
              </w:rPr>
              <w:t>Matching Method</w:t>
            </w:r>
          </w:p>
        </w:tc>
        <w:tc>
          <w:tcPr>
            <w:tcW w:w="1507" w:type="pct"/>
            <w:tcBorders>
              <w:top w:val="single" w:sz="8" w:space="0" w:color="auto"/>
              <w:left w:val="nil"/>
              <w:bottom w:val="single" w:sz="4" w:space="0" w:color="auto"/>
              <w:right w:val="single" w:sz="4" w:space="0" w:color="auto"/>
            </w:tcBorders>
            <w:shd w:val="clear" w:color="000000" w:fill="DDEBF7"/>
            <w:vAlign w:val="bottom"/>
            <w:hideMark/>
          </w:tcPr>
          <w:p w14:paraId="706CDDF8" w14:textId="77777777" w:rsidR="000E4018" w:rsidRPr="000E4018" w:rsidRDefault="000E4018" w:rsidP="000E4018">
            <w:pPr>
              <w:spacing w:before="0" w:line="240" w:lineRule="auto"/>
              <w:jc w:val="center"/>
              <w:rPr>
                <w:rFonts w:ascii="Calibri" w:hAnsi="Calibri" w:cs="Calibri"/>
                <w:b/>
                <w:bCs/>
                <w:color w:val="000000"/>
                <w:sz w:val="20"/>
                <w:szCs w:val="20"/>
                <w:lang w:eastAsia="en-AU"/>
              </w:rPr>
            </w:pPr>
            <w:r w:rsidRPr="000E4018">
              <w:rPr>
                <w:rFonts w:ascii="Calibri" w:hAnsi="Calibri" w:cs="Calibri"/>
                <w:b/>
                <w:bCs/>
                <w:color w:val="000000"/>
                <w:sz w:val="20"/>
                <w:szCs w:val="20"/>
                <w:lang w:eastAsia="en-AU"/>
              </w:rPr>
              <w:t>Current Capability</w:t>
            </w:r>
          </w:p>
        </w:tc>
        <w:tc>
          <w:tcPr>
            <w:tcW w:w="1292" w:type="pct"/>
            <w:tcBorders>
              <w:top w:val="single" w:sz="8" w:space="0" w:color="auto"/>
              <w:left w:val="nil"/>
              <w:bottom w:val="single" w:sz="4" w:space="0" w:color="auto"/>
              <w:right w:val="single" w:sz="8" w:space="0" w:color="auto"/>
            </w:tcBorders>
            <w:shd w:val="clear" w:color="000000" w:fill="DDEBF7"/>
            <w:vAlign w:val="bottom"/>
            <w:hideMark/>
          </w:tcPr>
          <w:p w14:paraId="1B8C765F" w14:textId="77777777" w:rsidR="000E4018" w:rsidRPr="000E4018" w:rsidRDefault="000E4018" w:rsidP="000E4018">
            <w:pPr>
              <w:spacing w:before="0" w:line="240" w:lineRule="auto"/>
              <w:jc w:val="center"/>
              <w:rPr>
                <w:rFonts w:ascii="Calibri" w:hAnsi="Calibri" w:cs="Calibri"/>
                <w:b/>
                <w:bCs/>
                <w:color w:val="000000"/>
                <w:sz w:val="20"/>
                <w:szCs w:val="20"/>
                <w:lang w:eastAsia="en-AU"/>
              </w:rPr>
            </w:pPr>
            <w:r w:rsidRPr="000E4018">
              <w:rPr>
                <w:rFonts w:ascii="Calibri" w:hAnsi="Calibri" w:cs="Calibri"/>
                <w:b/>
                <w:bCs/>
                <w:color w:val="000000"/>
                <w:sz w:val="20"/>
                <w:szCs w:val="20"/>
                <w:lang w:eastAsia="en-AU"/>
              </w:rPr>
              <w:t>Benefit</w:t>
            </w:r>
          </w:p>
        </w:tc>
      </w:tr>
      <w:tr w:rsidR="000E4018" w:rsidRPr="000E4018" w14:paraId="2D9F7168" w14:textId="77777777" w:rsidTr="000E4018">
        <w:trPr>
          <w:trHeight w:val="2177"/>
        </w:trPr>
        <w:tc>
          <w:tcPr>
            <w:tcW w:w="604" w:type="pct"/>
            <w:tcBorders>
              <w:top w:val="nil"/>
              <w:left w:val="single" w:sz="8" w:space="0" w:color="auto"/>
              <w:bottom w:val="single" w:sz="4" w:space="0" w:color="auto"/>
              <w:right w:val="single" w:sz="4" w:space="0" w:color="auto"/>
            </w:tcBorders>
            <w:shd w:val="clear" w:color="000000" w:fill="DDEBF7"/>
            <w:vAlign w:val="center"/>
            <w:hideMark/>
          </w:tcPr>
          <w:p w14:paraId="53352510" w14:textId="77777777" w:rsidR="000E4018" w:rsidRPr="000E4018" w:rsidRDefault="000E4018" w:rsidP="000E4018">
            <w:pPr>
              <w:spacing w:before="0" w:line="240" w:lineRule="auto"/>
              <w:rPr>
                <w:rFonts w:ascii="Calibri" w:hAnsi="Calibri" w:cs="Calibri"/>
                <w:b/>
                <w:bCs/>
                <w:color w:val="000000"/>
                <w:sz w:val="20"/>
                <w:szCs w:val="20"/>
                <w:lang w:eastAsia="en-AU"/>
              </w:rPr>
            </w:pPr>
            <w:r w:rsidRPr="000E4018">
              <w:rPr>
                <w:rFonts w:ascii="Calibri" w:hAnsi="Calibri" w:cs="Calibri"/>
                <w:b/>
                <w:bCs/>
                <w:color w:val="000000"/>
                <w:sz w:val="20"/>
                <w:szCs w:val="20"/>
                <w:lang w:eastAsia="en-AU"/>
              </w:rPr>
              <w:t>MBS data and PBS data</w:t>
            </w:r>
          </w:p>
        </w:tc>
        <w:tc>
          <w:tcPr>
            <w:tcW w:w="1597" w:type="pct"/>
            <w:tcBorders>
              <w:top w:val="nil"/>
              <w:left w:val="nil"/>
              <w:bottom w:val="single" w:sz="4" w:space="0" w:color="auto"/>
              <w:right w:val="single" w:sz="4" w:space="0" w:color="auto"/>
            </w:tcBorders>
            <w:shd w:val="clear" w:color="auto" w:fill="auto"/>
            <w:hideMark/>
          </w:tcPr>
          <w:p w14:paraId="38DBB48C" w14:textId="77F7F273"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 xml:space="preserve">Matching PBS dispensing data to MBS data would assist to identify whether corresponding medical consultations and pathology services were provided and indicate whether PBS requirements are being met.  </w:t>
            </w:r>
            <w:r w:rsidRPr="000E4018">
              <w:rPr>
                <w:rFonts w:ascii="Calibri" w:hAnsi="Calibri" w:cs="Calibri"/>
                <w:color w:val="000000"/>
                <w:sz w:val="20"/>
                <w:szCs w:val="20"/>
                <w:lang w:eastAsia="en-AU"/>
              </w:rPr>
              <w:br/>
            </w:r>
            <w:r w:rsidRPr="000E4018">
              <w:rPr>
                <w:rFonts w:ascii="Calibri" w:hAnsi="Calibri" w:cs="Calibri"/>
                <w:color w:val="000000"/>
                <w:sz w:val="20"/>
                <w:szCs w:val="20"/>
                <w:lang w:eastAsia="en-AU"/>
              </w:rPr>
              <w:br/>
              <w:t>Positive identification of claiming patterns outside the norm may be an indicator of fraud or inappropriate dispensing.</w:t>
            </w:r>
          </w:p>
        </w:tc>
        <w:tc>
          <w:tcPr>
            <w:tcW w:w="1507" w:type="pct"/>
            <w:tcBorders>
              <w:top w:val="nil"/>
              <w:left w:val="nil"/>
              <w:bottom w:val="single" w:sz="4" w:space="0" w:color="auto"/>
              <w:right w:val="single" w:sz="4" w:space="0" w:color="auto"/>
            </w:tcBorders>
            <w:shd w:val="clear" w:color="auto" w:fill="auto"/>
            <w:hideMark/>
          </w:tcPr>
          <w:p w14:paraId="5FAA419D" w14:textId="44D73DD2" w:rsidR="000E4018" w:rsidRPr="000E4018" w:rsidRDefault="000E4018" w:rsidP="00B615E1">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 xml:space="preserve">Currently, the Department relies on tip-offs and </w:t>
            </w:r>
            <w:r w:rsidR="00B615E1">
              <w:rPr>
                <w:rFonts w:ascii="Calibri" w:hAnsi="Calibri" w:cs="Calibri"/>
                <w:color w:val="000000"/>
                <w:sz w:val="20"/>
                <w:szCs w:val="20"/>
                <w:lang w:eastAsia="en-AU"/>
              </w:rPr>
              <w:t>has limitations to the extent it can</w:t>
            </w:r>
            <w:r w:rsidRPr="000E4018">
              <w:rPr>
                <w:rFonts w:ascii="Calibri" w:hAnsi="Calibri" w:cs="Calibri"/>
                <w:color w:val="000000"/>
                <w:sz w:val="20"/>
                <w:szCs w:val="20"/>
                <w:lang w:eastAsia="en-AU"/>
              </w:rPr>
              <w:t xml:space="preserve"> see if a patient who has high cost drugs dispensed has had any prior relevant MBS consultations. </w:t>
            </w:r>
            <w:r w:rsidRPr="000E4018">
              <w:rPr>
                <w:rFonts w:ascii="Calibri" w:hAnsi="Calibri" w:cs="Calibri"/>
                <w:color w:val="000000"/>
                <w:sz w:val="20"/>
                <w:szCs w:val="20"/>
                <w:lang w:eastAsia="en-AU"/>
              </w:rPr>
              <w:br/>
            </w:r>
            <w:r w:rsidRPr="000E4018">
              <w:rPr>
                <w:rFonts w:ascii="Calibri" w:hAnsi="Calibri" w:cs="Calibri"/>
                <w:color w:val="000000"/>
                <w:sz w:val="20"/>
                <w:szCs w:val="20"/>
                <w:lang w:eastAsia="en-AU"/>
              </w:rPr>
              <w:br/>
              <w:t xml:space="preserve">The Department is currently limited in its ability to analyse the relationship between MBS services and the claiming of PBS benefits. </w:t>
            </w:r>
          </w:p>
        </w:tc>
        <w:tc>
          <w:tcPr>
            <w:tcW w:w="1292" w:type="pct"/>
            <w:tcBorders>
              <w:top w:val="nil"/>
              <w:left w:val="nil"/>
              <w:bottom w:val="single" w:sz="4" w:space="0" w:color="auto"/>
              <w:right w:val="single" w:sz="8" w:space="0" w:color="auto"/>
            </w:tcBorders>
            <w:shd w:val="clear" w:color="auto" w:fill="auto"/>
            <w:hideMark/>
          </w:tcPr>
          <w:p w14:paraId="21A40D50" w14:textId="77777777"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Patient safety, recovery of incorrect or fraudulent claims, possible referral to responsible regulator or DPP, accurate health data demonstrating legitimate use of PBS benefits.</w:t>
            </w:r>
          </w:p>
        </w:tc>
      </w:tr>
      <w:tr w:rsidR="000E4018" w:rsidRPr="000E4018" w14:paraId="232F72F1" w14:textId="77777777" w:rsidTr="000E4018">
        <w:trPr>
          <w:trHeight w:val="1527"/>
        </w:trPr>
        <w:tc>
          <w:tcPr>
            <w:tcW w:w="604" w:type="pct"/>
            <w:tcBorders>
              <w:top w:val="nil"/>
              <w:left w:val="single" w:sz="8" w:space="0" w:color="auto"/>
              <w:bottom w:val="single" w:sz="4" w:space="0" w:color="auto"/>
              <w:right w:val="single" w:sz="4" w:space="0" w:color="auto"/>
            </w:tcBorders>
            <w:shd w:val="clear" w:color="000000" w:fill="DDEBF7"/>
            <w:vAlign w:val="center"/>
            <w:hideMark/>
          </w:tcPr>
          <w:p w14:paraId="58CE7739" w14:textId="77777777" w:rsidR="000E4018" w:rsidRPr="000E4018" w:rsidRDefault="000E4018" w:rsidP="000E4018">
            <w:pPr>
              <w:spacing w:before="0" w:line="240" w:lineRule="auto"/>
              <w:rPr>
                <w:rFonts w:ascii="Calibri" w:hAnsi="Calibri" w:cs="Calibri"/>
                <w:b/>
                <w:bCs/>
                <w:color w:val="000000"/>
                <w:sz w:val="20"/>
                <w:szCs w:val="20"/>
                <w:lang w:eastAsia="en-AU"/>
              </w:rPr>
            </w:pPr>
            <w:r w:rsidRPr="000E4018">
              <w:rPr>
                <w:rFonts w:ascii="Calibri" w:hAnsi="Calibri" w:cs="Calibri"/>
                <w:b/>
                <w:bCs/>
                <w:color w:val="000000"/>
                <w:sz w:val="20"/>
                <w:szCs w:val="20"/>
                <w:lang w:eastAsia="en-AU"/>
              </w:rPr>
              <w:t>MBS data and immigration data</w:t>
            </w:r>
          </w:p>
        </w:tc>
        <w:tc>
          <w:tcPr>
            <w:tcW w:w="1597" w:type="pct"/>
            <w:tcBorders>
              <w:top w:val="nil"/>
              <w:left w:val="nil"/>
              <w:bottom w:val="single" w:sz="4" w:space="0" w:color="auto"/>
              <w:right w:val="single" w:sz="4" w:space="0" w:color="auto"/>
            </w:tcBorders>
            <w:shd w:val="clear" w:color="auto" w:fill="auto"/>
            <w:hideMark/>
          </w:tcPr>
          <w:p w14:paraId="03C0BAC0" w14:textId="77777777"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Matching dates of claims made by providers to records confirming the provider or patient was overseas would assist in identifying instances where a provider may have fraudulently claimed Medicare benefits for services which were not validly provided.</w:t>
            </w:r>
          </w:p>
        </w:tc>
        <w:tc>
          <w:tcPr>
            <w:tcW w:w="1507" w:type="pct"/>
            <w:tcBorders>
              <w:top w:val="nil"/>
              <w:left w:val="nil"/>
              <w:bottom w:val="single" w:sz="4" w:space="0" w:color="auto"/>
              <w:right w:val="single" w:sz="4" w:space="0" w:color="auto"/>
            </w:tcBorders>
            <w:shd w:val="clear" w:color="auto" w:fill="auto"/>
            <w:hideMark/>
          </w:tcPr>
          <w:p w14:paraId="13C90097" w14:textId="77777777"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 xml:space="preserve">Currently, the Department relies on tip-offs and is not able to see whether practitioners billing MBS claims are in Australia at that time. </w:t>
            </w:r>
          </w:p>
        </w:tc>
        <w:tc>
          <w:tcPr>
            <w:tcW w:w="1292" w:type="pct"/>
            <w:tcBorders>
              <w:top w:val="nil"/>
              <w:left w:val="nil"/>
              <w:bottom w:val="single" w:sz="4" w:space="0" w:color="auto"/>
              <w:right w:val="single" w:sz="8" w:space="0" w:color="auto"/>
            </w:tcBorders>
            <w:shd w:val="clear" w:color="auto" w:fill="auto"/>
            <w:hideMark/>
          </w:tcPr>
          <w:p w14:paraId="2128541C" w14:textId="106B8552" w:rsidR="000E4018" w:rsidRPr="000E4018" w:rsidRDefault="000E4018" w:rsidP="00B615E1">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 xml:space="preserve">Recovery of fraudulent claims and prosecution, potential removal of future Medicare </w:t>
            </w:r>
            <w:r w:rsidR="00B615E1">
              <w:rPr>
                <w:rFonts w:ascii="Calibri" w:hAnsi="Calibri" w:cs="Calibri"/>
                <w:color w:val="000000"/>
                <w:sz w:val="20"/>
                <w:szCs w:val="20"/>
                <w:lang w:eastAsia="en-AU"/>
              </w:rPr>
              <w:t>privileges</w:t>
            </w:r>
            <w:r w:rsidRPr="000E4018">
              <w:rPr>
                <w:rFonts w:ascii="Calibri" w:hAnsi="Calibri" w:cs="Calibri"/>
                <w:color w:val="000000"/>
                <w:sz w:val="20"/>
                <w:szCs w:val="20"/>
                <w:lang w:eastAsia="en-AU"/>
              </w:rPr>
              <w:t>.</w:t>
            </w:r>
          </w:p>
        </w:tc>
      </w:tr>
      <w:tr w:rsidR="000E4018" w:rsidRPr="000E4018" w14:paraId="367C5DD8" w14:textId="77777777" w:rsidTr="000E4018">
        <w:trPr>
          <w:trHeight w:val="70"/>
        </w:trPr>
        <w:tc>
          <w:tcPr>
            <w:tcW w:w="604" w:type="pct"/>
            <w:tcBorders>
              <w:top w:val="nil"/>
              <w:left w:val="single" w:sz="8" w:space="0" w:color="auto"/>
              <w:bottom w:val="single" w:sz="4" w:space="0" w:color="auto"/>
              <w:right w:val="single" w:sz="4" w:space="0" w:color="auto"/>
            </w:tcBorders>
            <w:shd w:val="clear" w:color="000000" w:fill="DDEBF7"/>
            <w:vAlign w:val="center"/>
            <w:hideMark/>
          </w:tcPr>
          <w:p w14:paraId="6E5946F0" w14:textId="77777777" w:rsidR="000E4018" w:rsidRPr="000E4018" w:rsidRDefault="000E4018" w:rsidP="000E4018">
            <w:pPr>
              <w:spacing w:before="0" w:line="240" w:lineRule="auto"/>
              <w:rPr>
                <w:rFonts w:ascii="Calibri" w:hAnsi="Calibri" w:cs="Calibri"/>
                <w:b/>
                <w:bCs/>
                <w:color w:val="000000"/>
                <w:sz w:val="20"/>
                <w:szCs w:val="20"/>
                <w:lang w:eastAsia="en-AU"/>
              </w:rPr>
            </w:pPr>
            <w:r w:rsidRPr="000E4018">
              <w:rPr>
                <w:rFonts w:ascii="Calibri" w:hAnsi="Calibri" w:cs="Calibri"/>
                <w:b/>
                <w:bCs/>
                <w:color w:val="000000"/>
                <w:sz w:val="20"/>
                <w:szCs w:val="20"/>
                <w:lang w:eastAsia="en-AU"/>
              </w:rPr>
              <w:t>MBS data and DVA data</w:t>
            </w:r>
          </w:p>
        </w:tc>
        <w:tc>
          <w:tcPr>
            <w:tcW w:w="1597" w:type="pct"/>
            <w:tcBorders>
              <w:top w:val="nil"/>
              <w:left w:val="nil"/>
              <w:bottom w:val="single" w:sz="4" w:space="0" w:color="auto"/>
              <w:right w:val="single" w:sz="4" w:space="0" w:color="auto"/>
            </w:tcBorders>
            <w:shd w:val="clear" w:color="auto" w:fill="auto"/>
            <w:hideMark/>
          </w:tcPr>
          <w:p w14:paraId="720358A6" w14:textId="70AFE31B"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 xml:space="preserve">Matching dates of claims for the same provider and patient, to assist </w:t>
            </w:r>
            <w:r>
              <w:rPr>
                <w:rFonts w:ascii="Calibri" w:hAnsi="Calibri" w:cs="Calibri"/>
                <w:color w:val="000000"/>
                <w:sz w:val="20"/>
                <w:szCs w:val="20"/>
                <w:lang w:eastAsia="en-AU"/>
              </w:rPr>
              <w:t xml:space="preserve">in identifying instances where </w:t>
            </w:r>
            <w:r w:rsidRPr="000E4018">
              <w:rPr>
                <w:rFonts w:ascii="Calibri" w:hAnsi="Calibri" w:cs="Calibri"/>
                <w:color w:val="000000"/>
                <w:sz w:val="20"/>
                <w:szCs w:val="20"/>
                <w:lang w:eastAsia="en-AU"/>
              </w:rPr>
              <w:t>a provider is claiming both Medicare and DVA benefits for the same service when only entitled to claim one.</w:t>
            </w:r>
          </w:p>
        </w:tc>
        <w:tc>
          <w:tcPr>
            <w:tcW w:w="1507" w:type="pct"/>
            <w:tcBorders>
              <w:top w:val="nil"/>
              <w:left w:val="nil"/>
              <w:bottom w:val="single" w:sz="4" w:space="0" w:color="auto"/>
              <w:right w:val="single" w:sz="4" w:space="0" w:color="auto"/>
            </w:tcBorders>
            <w:shd w:val="clear" w:color="auto" w:fill="auto"/>
            <w:hideMark/>
          </w:tcPr>
          <w:p w14:paraId="056CD510" w14:textId="07E66113"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 xml:space="preserve">Currently, the Department has </w:t>
            </w:r>
            <w:r w:rsidR="00B615E1">
              <w:rPr>
                <w:rFonts w:ascii="Calibri" w:hAnsi="Calibri" w:cs="Calibri"/>
                <w:color w:val="000000"/>
                <w:sz w:val="20"/>
                <w:szCs w:val="20"/>
                <w:lang w:eastAsia="en-AU"/>
              </w:rPr>
              <w:t>limited</w:t>
            </w:r>
            <w:r w:rsidRPr="000E4018">
              <w:rPr>
                <w:rFonts w:ascii="Calibri" w:hAnsi="Calibri" w:cs="Calibri"/>
                <w:color w:val="000000"/>
                <w:sz w:val="20"/>
                <w:szCs w:val="20"/>
                <w:lang w:eastAsia="en-AU"/>
              </w:rPr>
              <w:t xml:space="preserve"> visibility of whether there has been a simultaneous claim made with DVA for a service where an MBS claim was made.</w:t>
            </w:r>
          </w:p>
        </w:tc>
        <w:tc>
          <w:tcPr>
            <w:tcW w:w="1292" w:type="pct"/>
            <w:tcBorders>
              <w:top w:val="nil"/>
              <w:left w:val="nil"/>
              <w:bottom w:val="single" w:sz="4" w:space="0" w:color="auto"/>
              <w:right w:val="single" w:sz="8" w:space="0" w:color="auto"/>
            </w:tcBorders>
            <w:shd w:val="clear" w:color="auto" w:fill="auto"/>
            <w:hideMark/>
          </w:tcPr>
          <w:p w14:paraId="3B368AEC" w14:textId="77777777"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Recovery of incorrect claims.</w:t>
            </w:r>
          </w:p>
        </w:tc>
      </w:tr>
      <w:tr w:rsidR="000E4018" w:rsidRPr="000E4018" w14:paraId="73F1BBC3" w14:textId="77777777" w:rsidTr="000E4018">
        <w:trPr>
          <w:cantSplit/>
          <w:trHeight w:val="1644"/>
        </w:trPr>
        <w:tc>
          <w:tcPr>
            <w:tcW w:w="604" w:type="pct"/>
            <w:tcBorders>
              <w:top w:val="nil"/>
              <w:left w:val="single" w:sz="8" w:space="0" w:color="auto"/>
              <w:bottom w:val="single" w:sz="4" w:space="0" w:color="auto"/>
              <w:right w:val="single" w:sz="4" w:space="0" w:color="auto"/>
            </w:tcBorders>
            <w:shd w:val="clear" w:color="000000" w:fill="DDEBF7"/>
            <w:vAlign w:val="center"/>
            <w:hideMark/>
          </w:tcPr>
          <w:p w14:paraId="5C2906B4" w14:textId="77777777" w:rsidR="000E4018" w:rsidRPr="000E4018" w:rsidRDefault="000E4018" w:rsidP="000E4018">
            <w:pPr>
              <w:spacing w:before="0" w:line="240" w:lineRule="auto"/>
              <w:rPr>
                <w:rFonts w:ascii="Calibri" w:hAnsi="Calibri" w:cs="Calibri"/>
                <w:b/>
                <w:bCs/>
                <w:color w:val="000000"/>
                <w:sz w:val="20"/>
                <w:szCs w:val="20"/>
                <w:lang w:eastAsia="en-AU"/>
              </w:rPr>
            </w:pPr>
            <w:r w:rsidRPr="000E4018">
              <w:rPr>
                <w:rFonts w:ascii="Calibri" w:hAnsi="Calibri" w:cs="Calibri"/>
                <w:b/>
                <w:bCs/>
                <w:color w:val="000000"/>
                <w:sz w:val="20"/>
                <w:szCs w:val="20"/>
                <w:lang w:eastAsia="en-AU"/>
              </w:rPr>
              <w:t>MBS data and TGA data</w:t>
            </w:r>
          </w:p>
        </w:tc>
        <w:tc>
          <w:tcPr>
            <w:tcW w:w="1597" w:type="pct"/>
            <w:tcBorders>
              <w:top w:val="nil"/>
              <w:left w:val="nil"/>
              <w:bottom w:val="single" w:sz="4" w:space="0" w:color="auto"/>
              <w:right w:val="single" w:sz="4" w:space="0" w:color="auto"/>
            </w:tcBorders>
            <w:shd w:val="clear" w:color="auto" w:fill="auto"/>
            <w:hideMark/>
          </w:tcPr>
          <w:p w14:paraId="2CF2FC10" w14:textId="77777777"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TGA provides information to Health about medical devices and the practitioners using them, to be matched with MBS data, to assist with identifying instances where providers may be claiming MBS benefits for the use of medical devices which do not attract a benefit.</w:t>
            </w:r>
          </w:p>
        </w:tc>
        <w:tc>
          <w:tcPr>
            <w:tcW w:w="1507" w:type="pct"/>
            <w:tcBorders>
              <w:top w:val="nil"/>
              <w:left w:val="nil"/>
              <w:bottom w:val="single" w:sz="4" w:space="0" w:color="auto"/>
              <w:right w:val="single" w:sz="4" w:space="0" w:color="auto"/>
            </w:tcBorders>
            <w:shd w:val="clear" w:color="auto" w:fill="auto"/>
            <w:hideMark/>
          </w:tcPr>
          <w:p w14:paraId="00BCAF08" w14:textId="2C26D7EA" w:rsidR="000E4018" w:rsidRPr="000E4018" w:rsidRDefault="000E4018" w:rsidP="00B615E1">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 xml:space="preserve">Currently, TGA is unable to provide this information to </w:t>
            </w:r>
            <w:r w:rsidR="00B615E1">
              <w:rPr>
                <w:rFonts w:ascii="Calibri" w:hAnsi="Calibri" w:cs="Calibri"/>
                <w:color w:val="000000"/>
                <w:sz w:val="20"/>
                <w:szCs w:val="20"/>
                <w:lang w:eastAsia="en-AU"/>
              </w:rPr>
              <w:t>the Chief Executive Medicare</w:t>
            </w:r>
            <w:r w:rsidRPr="000E4018">
              <w:rPr>
                <w:rFonts w:ascii="Calibri" w:hAnsi="Calibri" w:cs="Calibri"/>
                <w:color w:val="000000"/>
                <w:sz w:val="20"/>
                <w:szCs w:val="20"/>
                <w:lang w:eastAsia="en-AU"/>
              </w:rPr>
              <w:t xml:space="preserve"> routinely and it is not matched.</w:t>
            </w:r>
          </w:p>
        </w:tc>
        <w:tc>
          <w:tcPr>
            <w:tcW w:w="1292" w:type="pct"/>
            <w:tcBorders>
              <w:top w:val="nil"/>
              <w:left w:val="nil"/>
              <w:bottom w:val="single" w:sz="4" w:space="0" w:color="auto"/>
              <w:right w:val="single" w:sz="8" w:space="0" w:color="auto"/>
            </w:tcBorders>
            <w:shd w:val="clear" w:color="auto" w:fill="auto"/>
            <w:hideMark/>
          </w:tcPr>
          <w:p w14:paraId="619388BE" w14:textId="77777777"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Patient safety, recovery of incorrect claims, possible referral to responsible regulator.</w:t>
            </w:r>
          </w:p>
        </w:tc>
      </w:tr>
      <w:tr w:rsidR="000E4018" w:rsidRPr="000E4018" w14:paraId="36CE6A24" w14:textId="77777777" w:rsidTr="000E4018">
        <w:trPr>
          <w:trHeight w:val="1531"/>
        </w:trPr>
        <w:tc>
          <w:tcPr>
            <w:tcW w:w="604" w:type="pct"/>
            <w:tcBorders>
              <w:top w:val="nil"/>
              <w:left w:val="single" w:sz="8" w:space="0" w:color="auto"/>
              <w:bottom w:val="single" w:sz="8" w:space="0" w:color="auto"/>
              <w:right w:val="single" w:sz="4" w:space="0" w:color="auto"/>
            </w:tcBorders>
            <w:shd w:val="clear" w:color="000000" w:fill="DDEBF7"/>
            <w:vAlign w:val="center"/>
            <w:hideMark/>
          </w:tcPr>
          <w:p w14:paraId="1BBD0BDF" w14:textId="77777777" w:rsidR="000E4018" w:rsidRPr="000E4018" w:rsidRDefault="000E4018" w:rsidP="000E4018">
            <w:pPr>
              <w:spacing w:before="0" w:line="240" w:lineRule="auto"/>
              <w:rPr>
                <w:rFonts w:ascii="Calibri" w:hAnsi="Calibri" w:cs="Calibri"/>
                <w:b/>
                <w:bCs/>
                <w:color w:val="000000"/>
                <w:sz w:val="20"/>
                <w:szCs w:val="20"/>
                <w:lang w:eastAsia="en-AU"/>
              </w:rPr>
            </w:pPr>
            <w:r w:rsidRPr="000E4018">
              <w:rPr>
                <w:rFonts w:ascii="Calibri" w:hAnsi="Calibri" w:cs="Calibri"/>
                <w:b/>
                <w:bCs/>
                <w:color w:val="000000"/>
                <w:sz w:val="20"/>
                <w:szCs w:val="20"/>
                <w:lang w:eastAsia="en-AU"/>
              </w:rPr>
              <w:t>MBS data and private health data</w:t>
            </w:r>
          </w:p>
        </w:tc>
        <w:tc>
          <w:tcPr>
            <w:tcW w:w="1597" w:type="pct"/>
            <w:tcBorders>
              <w:top w:val="nil"/>
              <w:left w:val="nil"/>
              <w:bottom w:val="single" w:sz="8" w:space="0" w:color="auto"/>
              <w:right w:val="single" w:sz="4" w:space="0" w:color="auto"/>
            </w:tcBorders>
            <w:shd w:val="clear" w:color="auto" w:fill="auto"/>
            <w:hideMark/>
          </w:tcPr>
          <w:p w14:paraId="3E7D305F" w14:textId="4A5B2C96"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Private health insurers may voluntarily provi</w:t>
            </w:r>
            <w:r>
              <w:rPr>
                <w:rFonts w:ascii="Calibri" w:hAnsi="Calibri" w:cs="Calibri"/>
                <w:color w:val="000000"/>
                <w:sz w:val="20"/>
                <w:szCs w:val="20"/>
                <w:lang w:eastAsia="en-AU"/>
              </w:rPr>
              <w:t xml:space="preserve">de information to Health about </w:t>
            </w:r>
            <w:r w:rsidRPr="000E4018">
              <w:rPr>
                <w:rFonts w:ascii="Calibri" w:hAnsi="Calibri" w:cs="Calibri"/>
                <w:color w:val="000000"/>
                <w:sz w:val="20"/>
                <w:szCs w:val="20"/>
                <w:lang w:eastAsia="en-AU"/>
              </w:rPr>
              <w:t>anomalous claims with data that goes beyond what is routinely held as a result of Medicare claims. This additional information will assist Health to identify fraudulent or incorrect billing.</w:t>
            </w:r>
          </w:p>
        </w:tc>
        <w:tc>
          <w:tcPr>
            <w:tcW w:w="1507" w:type="pct"/>
            <w:tcBorders>
              <w:top w:val="nil"/>
              <w:left w:val="nil"/>
              <w:bottom w:val="single" w:sz="8" w:space="0" w:color="auto"/>
              <w:right w:val="single" w:sz="4" w:space="0" w:color="auto"/>
            </w:tcBorders>
            <w:shd w:val="clear" w:color="auto" w:fill="auto"/>
            <w:hideMark/>
          </w:tcPr>
          <w:p w14:paraId="63B5757D" w14:textId="32B83F70"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Currently, private health insurers are prevented from providing certain information to the Department. Private health insurers collect more information than what is logged with MBS claims, including details such as the start and end times of a surgical procedure.</w:t>
            </w:r>
          </w:p>
        </w:tc>
        <w:tc>
          <w:tcPr>
            <w:tcW w:w="1292" w:type="pct"/>
            <w:tcBorders>
              <w:top w:val="nil"/>
              <w:left w:val="nil"/>
              <w:bottom w:val="single" w:sz="8" w:space="0" w:color="auto"/>
              <w:right w:val="single" w:sz="8" w:space="0" w:color="auto"/>
            </w:tcBorders>
            <w:shd w:val="clear" w:color="auto" w:fill="auto"/>
            <w:hideMark/>
          </w:tcPr>
          <w:p w14:paraId="43693977" w14:textId="77777777" w:rsidR="000E4018" w:rsidRPr="000E4018" w:rsidRDefault="000E4018" w:rsidP="000E4018">
            <w:pPr>
              <w:spacing w:before="0" w:line="240" w:lineRule="auto"/>
              <w:rPr>
                <w:rFonts w:ascii="Calibri" w:hAnsi="Calibri" w:cs="Calibri"/>
                <w:color w:val="000000"/>
                <w:sz w:val="20"/>
                <w:szCs w:val="20"/>
                <w:lang w:eastAsia="en-AU"/>
              </w:rPr>
            </w:pPr>
            <w:r w:rsidRPr="000E4018">
              <w:rPr>
                <w:rFonts w:ascii="Calibri" w:hAnsi="Calibri" w:cs="Calibri"/>
                <w:color w:val="000000"/>
                <w:sz w:val="20"/>
                <w:szCs w:val="20"/>
                <w:lang w:eastAsia="en-AU"/>
              </w:rPr>
              <w:t>Recovery of incorrect or fraudulent claims.</w:t>
            </w:r>
          </w:p>
        </w:tc>
      </w:tr>
    </w:tbl>
    <w:p w14:paraId="521A6198" w14:textId="1F14DEAA" w:rsidR="00936906" w:rsidRDefault="00936906" w:rsidP="000D76CC">
      <w:pPr>
        <w:pStyle w:val="Caption"/>
        <w:jc w:val="center"/>
      </w:pPr>
    </w:p>
    <w:p w14:paraId="78EDB88D" w14:textId="77777777" w:rsidR="00236F9D" w:rsidRDefault="00936906" w:rsidP="00936906">
      <w:pPr>
        <w:pStyle w:val="Caption"/>
        <w:jc w:val="center"/>
        <w:sectPr w:rsidR="00236F9D" w:rsidSect="00F20267">
          <w:pgSz w:w="16840" w:h="11900" w:orient="landscape"/>
          <w:pgMar w:top="1080" w:right="1440" w:bottom="1080" w:left="1440" w:header="709" w:footer="709" w:gutter="0"/>
          <w:cols w:space="708"/>
          <w:titlePg/>
          <w:docGrid w:linePitch="360"/>
        </w:sectPr>
      </w:pPr>
      <w:r>
        <w:t xml:space="preserve">Figure </w:t>
      </w:r>
      <w:r>
        <w:fldChar w:fldCharType="begin"/>
      </w:r>
      <w:r>
        <w:instrText xml:space="preserve"> SEQ Figure \* ARABIC </w:instrText>
      </w:r>
      <w:r>
        <w:fldChar w:fldCharType="separate"/>
      </w:r>
      <w:r>
        <w:rPr>
          <w:noProof/>
        </w:rPr>
        <w:t>4</w:t>
      </w:r>
      <w:r>
        <w:fldChar w:fldCharType="end"/>
      </w:r>
      <w:r>
        <w:t xml:space="preserve"> - Examples of matching for compliance purposes</w:t>
      </w:r>
    </w:p>
    <w:p w14:paraId="22D2F8AE" w14:textId="14008E7C" w:rsidR="00306A61" w:rsidRDefault="002B07F8" w:rsidP="00306A61">
      <w:pPr>
        <w:pStyle w:val="Heading2"/>
        <w:rPr>
          <w:lang w:eastAsia="en-AU"/>
        </w:rPr>
      </w:pPr>
      <w:r>
        <w:rPr>
          <w:lang w:eastAsia="en-AU"/>
        </w:rPr>
        <w:lastRenderedPageBreak/>
        <w:t>How the privacy of individuals will continue to be protected</w:t>
      </w:r>
    </w:p>
    <w:p w14:paraId="0D08835E" w14:textId="58B085D2" w:rsidR="00425A39" w:rsidRPr="002031EB" w:rsidRDefault="00425A39" w:rsidP="00425A39">
      <w:pPr>
        <w:pStyle w:val="PolicyStatement"/>
        <w:rPr>
          <w:b/>
        </w:rPr>
      </w:pPr>
      <w:r w:rsidRPr="002031EB">
        <w:rPr>
          <w:b/>
        </w:rPr>
        <w:t xml:space="preserve">The Bill deems any breaches of any part of the </w:t>
      </w:r>
      <w:r w:rsidR="00B615E1">
        <w:rPr>
          <w:b/>
        </w:rPr>
        <w:t>new legislative provisions</w:t>
      </w:r>
      <w:r w:rsidRPr="002031EB">
        <w:rPr>
          <w:b/>
        </w:rPr>
        <w:t xml:space="preserve"> in relation to an individual to be considered</w:t>
      </w:r>
      <w:r w:rsidR="00A35715">
        <w:rPr>
          <w:b/>
        </w:rPr>
        <w:t xml:space="preserve"> as a breach of the </w:t>
      </w:r>
      <w:r w:rsidR="00A35715" w:rsidRPr="00A35715">
        <w:rPr>
          <w:b/>
          <w:i/>
        </w:rPr>
        <w:t>Privacy Act 1988</w:t>
      </w:r>
      <w:r w:rsidR="00A35715">
        <w:rPr>
          <w:b/>
        </w:rPr>
        <w:t xml:space="preserve"> (Privacy Act),</w:t>
      </w:r>
      <w:r w:rsidRPr="002031EB">
        <w:rPr>
          <w:b/>
        </w:rPr>
        <w:t xml:space="preserve"> thus ensuring that the scheme is subjected to the same protections and enforcement as the Privacy Act.</w:t>
      </w:r>
    </w:p>
    <w:p w14:paraId="129AEBE1" w14:textId="72DE2EFB" w:rsidR="00306A61" w:rsidRPr="00306A61" w:rsidRDefault="00306A61" w:rsidP="00306A61">
      <w:pPr>
        <w:rPr>
          <w:rFonts w:cs="Arial"/>
        </w:rPr>
      </w:pPr>
      <w:r w:rsidRPr="00306A61">
        <w:rPr>
          <w:rFonts w:cs="Arial"/>
        </w:rPr>
        <w:t>The Office of the Australian Information Commissioner</w:t>
      </w:r>
      <w:r w:rsidR="007453AF">
        <w:rPr>
          <w:rFonts w:cs="Arial"/>
        </w:rPr>
        <w:t xml:space="preserve"> </w:t>
      </w:r>
      <w:r w:rsidRPr="00306A61">
        <w:rPr>
          <w:rFonts w:cs="Arial"/>
        </w:rPr>
        <w:t>is responsi</w:t>
      </w:r>
      <w:r w:rsidR="00BC60C0">
        <w:rPr>
          <w:rFonts w:cs="Arial"/>
        </w:rPr>
        <w:t>ble for the privacy functions provided</w:t>
      </w:r>
      <w:r w:rsidRPr="00306A61">
        <w:rPr>
          <w:rFonts w:cs="Arial"/>
        </w:rPr>
        <w:t xml:space="preserve"> by the </w:t>
      </w:r>
      <w:r w:rsidR="00FA7CF3">
        <w:rPr>
          <w:rFonts w:cs="Arial"/>
        </w:rPr>
        <w:t xml:space="preserve">Privacy Act </w:t>
      </w:r>
      <w:r w:rsidRPr="00306A61">
        <w:rPr>
          <w:rFonts w:cs="Arial"/>
        </w:rPr>
        <w:t xml:space="preserve">and other laws. The Bill further expands the </w:t>
      </w:r>
      <w:r w:rsidR="00BD0971">
        <w:rPr>
          <w:rFonts w:cs="Arial"/>
        </w:rPr>
        <w:t xml:space="preserve">Information </w:t>
      </w:r>
      <w:r w:rsidRPr="00306A61">
        <w:rPr>
          <w:rFonts w:cs="Arial"/>
        </w:rPr>
        <w:t xml:space="preserve">Commissioner’s </w:t>
      </w:r>
      <w:r w:rsidR="00FA7CF3">
        <w:rPr>
          <w:rFonts w:cs="Arial"/>
        </w:rPr>
        <w:t>assessment powers to enable the</w:t>
      </w:r>
      <w:r w:rsidR="00BD0971">
        <w:rPr>
          <w:rFonts w:cs="Arial"/>
        </w:rPr>
        <w:t xml:space="preserve"> Information </w:t>
      </w:r>
      <w:r w:rsidR="003E06BD">
        <w:rPr>
          <w:rFonts w:cs="Arial"/>
        </w:rPr>
        <w:t>C</w:t>
      </w:r>
      <w:r w:rsidR="00BC60C0">
        <w:rPr>
          <w:rFonts w:cs="Arial"/>
        </w:rPr>
        <w:t>ommissioner to have oversight in relation to</w:t>
      </w:r>
      <w:r w:rsidRPr="00306A61">
        <w:rPr>
          <w:rFonts w:cs="Arial"/>
        </w:rPr>
        <w:t xml:space="preserve"> the data matching scheme. </w:t>
      </w:r>
    </w:p>
    <w:p w14:paraId="2D8E21D2" w14:textId="5200D6FE" w:rsidR="00306A61" w:rsidRPr="00306A61" w:rsidRDefault="00BD0971" w:rsidP="00306A61">
      <w:pPr>
        <w:rPr>
          <w:rFonts w:cs="Arial"/>
        </w:rPr>
      </w:pPr>
      <w:r>
        <w:rPr>
          <w:rFonts w:cs="Arial"/>
        </w:rPr>
        <w:t>T</w:t>
      </w:r>
      <w:r w:rsidR="00306A61" w:rsidRPr="00306A61">
        <w:rPr>
          <w:rFonts w:cs="Arial"/>
        </w:rPr>
        <w:t xml:space="preserve">he </w:t>
      </w:r>
      <w:r>
        <w:rPr>
          <w:rFonts w:cs="Arial"/>
        </w:rPr>
        <w:t>Department has c</w:t>
      </w:r>
      <w:r w:rsidR="00306A61" w:rsidRPr="00306A61">
        <w:rPr>
          <w:rFonts w:cs="Arial"/>
        </w:rPr>
        <w:t>ommissioned an independent</w:t>
      </w:r>
      <w:r w:rsidR="00BC60C0">
        <w:rPr>
          <w:rFonts w:cs="Arial"/>
        </w:rPr>
        <w:t xml:space="preserve"> Privacy Impact Assessment</w:t>
      </w:r>
      <w:r w:rsidR="007453AF">
        <w:rPr>
          <w:rFonts w:cs="Arial"/>
        </w:rPr>
        <w:t xml:space="preserve"> </w:t>
      </w:r>
      <w:r w:rsidR="00306A61" w:rsidRPr="00306A61">
        <w:rPr>
          <w:rFonts w:cs="Arial"/>
        </w:rPr>
        <w:t xml:space="preserve">to identify the impact </w:t>
      </w:r>
      <w:r w:rsidR="002B07F8">
        <w:rPr>
          <w:rFonts w:cs="Arial"/>
        </w:rPr>
        <w:t>the proposed changes</w:t>
      </w:r>
      <w:r w:rsidR="00306A61" w:rsidRPr="00306A61">
        <w:rPr>
          <w:rFonts w:cs="Arial"/>
        </w:rPr>
        <w:t xml:space="preserve"> might have on the privacy of individuals. </w:t>
      </w:r>
      <w:r w:rsidR="002B07F8">
        <w:rPr>
          <w:rFonts w:cs="Arial"/>
        </w:rPr>
        <w:t xml:space="preserve">In response to recommendations, </w:t>
      </w:r>
      <w:r w:rsidR="002B07F8" w:rsidRPr="00306A61">
        <w:rPr>
          <w:rFonts w:cs="Arial"/>
        </w:rPr>
        <w:t xml:space="preserve">privacy safeguards have been included within the Bill </w:t>
      </w:r>
      <w:r w:rsidR="002B07F8">
        <w:rPr>
          <w:rFonts w:cs="Arial"/>
        </w:rPr>
        <w:t xml:space="preserve">that require </w:t>
      </w:r>
      <w:r w:rsidR="00306A61" w:rsidRPr="00306A61">
        <w:rPr>
          <w:rFonts w:cs="Arial"/>
        </w:rPr>
        <w:t xml:space="preserve">the Department </w:t>
      </w:r>
      <w:r w:rsidR="002B07F8">
        <w:rPr>
          <w:rFonts w:cs="Arial"/>
        </w:rPr>
        <w:t>to put in place</w:t>
      </w:r>
      <w:r w:rsidR="00306A61" w:rsidRPr="00306A61">
        <w:rPr>
          <w:rFonts w:cs="Arial"/>
        </w:rPr>
        <w:t xml:space="preserve"> </w:t>
      </w:r>
      <w:r w:rsidR="002B07F8">
        <w:rPr>
          <w:rFonts w:cs="Arial"/>
        </w:rPr>
        <w:t>a range of measures to</w:t>
      </w:r>
      <w:r w:rsidR="00306A61" w:rsidRPr="00306A61">
        <w:rPr>
          <w:rFonts w:cs="Arial"/>
        </w:rPr>
        <w:t xml:space="preserve"> improve governance arrang</w:t>
      </w:r>
      <w:r w:rsidR="00D30B91">
        <w:rPr>
          <w:rFonts w:cs="Arial"/>
        </w:rPr>
        <w:t xml:space="preserve">ements and </w:t>
      </w:r>
      <w:r w:rsidR="002B07F8">
        <w:rPr>
          <w:rFonts w:cs="Arial"/>
        </w:rPr>
        <w:t xml:space="preserve">ensure appropriate </w:t>
      </w:r>
      <w:r w:rsidR="00D30B91">
        <w:rPr>
          <w:rFonts w:cs="Arial"/>
        </w:rPr>
        <w:t>privacy</w:t>
      </w:r>
      <w:r w:rsidR="002B07F8">
        <w:rPr>
          <w:rFonts w:cs="Arial"/>
        </w:rPr>
        <w:t xml:space="preserve"> protections</w:t>
      </w:r>
      <w:r w:rsidR="00D30B91">
        <w:rPr>
          <w:rFonts w:cs="Arial"/>
        </w:rPr>
        <w:t xml:space="preserve">. </w:t>
      </w:r>
    </w:p>
    <w:p w14:paraId="40B438BA" w14:textId="4187F37A" w:rsidR="00306A61" w:rsidRPr="00306A61" w:rsidRDefault="00306A61" w:rsidP="00306A61">
      <w:pPr>
        <w:rPr>
          <w:rFonts w:cs="Arial"/>
        </w:rPr>
      </w:pPr>
      <w:r w:rsidRPr="00306A61">
        <w:rPr>
          <w:rFonts w:cs="Arial"/>
        </w:rPr>
        <w:t xml:space="preserve">To ensure effective governance, </w:t>
      </w:r>
      <w:r w:rsidR="009B562D">
        <w:rPr>
          <w:rFonts w:cs="Arial"/>
        </w:rPr>
        <w:t>the Bill</w:t>
      </w:r>
      <w:r w:rsidRPr="00306A61">
        <w:rPr>
          <w:rFonts w:cs="Arial"/>
        </w:rPr>
        <w:t xml:space="preserve"> requires </w:t>
      </w:r>
      <w:r w:rsidR="002B179C">
        <w:rPr>
          <w:rFonts w:cs="Arial"/>
        </w:rPr>
        <w:t xml:space="preserve">the </w:t>
      </w:r>
      <w:r w:rsidR="00B615E1">
        <w:rPr>
          <w:rFonts w:cs="Arial"/>
        </w:rPr>
        <w:t>Chief Executive Medicare</w:t>
      </w:r>
      <w:r w:rsidR="00B615E1" w:rsidRPr="00306A61">
        <w:rPr>
          <w:rFonts w:cs="Arial"/>
        </w:rPr>
        <w:t xml:space="preserve"> </w:t>
      </w:r>
      <w:r w:rsidRPr="00306A61">
        <w:rPr>
          <w:rFonts w:cs="Arial"/>
        </w:rPr>
        <w:t xml:space="preserve">to establish and maintain systems and processes to: </w:t>
      </w:r>
    </w:p>
    <w:p w14:paraId="5CF0FD54" w14:textId="77777777" w:rsidR="00306A61" w:rsidRPr="008A4F65" w:rsidRDefault="00306A61" w:rsidP="008A4F65">
      <w:pPr>
        <w:pStyle w:val="paragraph"/>
        <w:numPr>
          <w:ilvl w:val="0"/>
          <w:numId w:val="39"/>
        </w:numPr>
        <w:spacing w:before="0"/>
        <w:ind w:left="1077" w:hanging="357"/>
        <w:rPr>
          <w:rFonts w:ascii="Arial" w:hAnsi="Arial" w:cs="Arial"/>
          <w:sz w:val="21"/>
          <w:szCs w:val="21"/>
        </w:rPr>
      </w:pPr>
      <w:r w:rsidRPr="008A4F65">
        <w:rPr>
          <w:rFonts w:ascii="Arial" w:hAnsi="Arial" w:cs="Arial"/>
          <w:sz w:val="21"/>
          <w:szCs w:val="21"/>
        </w:rPr>
        <w:t>ensure the information matched is reasonably necessary for identified purposes</w:t>
      </w:r>
      <w:r w:rsidR="00E76FFD" w:rsidRPr="008A4F65">
        <w:rPr>
          <w:rFonts w:ascii="Arial" w:hAnsi="Arial" w:cs="Arial"/>
          <w:sz w:val="21"/>
          <w:szCs w:val="21"/>
        </w:rPr>
        <w:t>;</w:t>
      </w:r>
    </w:p>
    <w:p w14:paraId="24335D7A" w14:textId="77777777" w:rsidR="00306A61" w:rsidRPr="008A4F65" w:rsidRDefault="00306A61" w:rsidP="008A4F65">
      <w:pPr>
        <w:pStyle w:val="paragraph"/>
        <w:numPr>
          <w:ilvl w:val="0"/>
          <w:numId w:val="39"/>
        </w:numPr>
        <w:spacing w:before="0"/>
        <w:ind w:left="1077" w:hanging="357"/>
        <w:rPr>
          <w:rFonts w:ascii="Arial" w:hAnsi="Arial" w:cs="Arial"/>
          <w:sz w:val="21"/>
          <w:szCs w:val="21"/>
        </w:rPr>
      </w:pPr>
      <w:r w:rsidRPr="008A4F65">
        <w:rPr>
          <w:rFonts w:ascii="Arial" w:hAnsi="Arial" w:cs="Arial"/>
          <w:sz w:val="21"/>
          <w:szCs w:val="21"/>
        </w:rPr>
        <w:t>have record-keeping requirements</w:t>
      </w:r>
      <w:r w:rsidR="00E76FFD" w:rsidRPr="008A4F65">
        <w:rPr>
          <w:rFonts w:ascii="Arial" w:hAnsi="Arial" w:cs="Arial"/>
          <w:sz w:val="21"/>
          <w:szCs w:val="21"/>
        </w:rPr>
        <w:t>;</w:t>
      </w:r>
    </w:p>
    <w:p w14:paraId="6195E29E" w14:textId="77777777" w:rsidR="00306A61" w:rsidRPr="008A4F65" w:rsidRDefault="00306A61" w:rsidP="008A4F65">
      <w:pPr>
        <w:pStyle w:val="paragraph"/>
        <w:numPr>
          <w:ilvl w:val="0"/>
          <w:numId w:val="39"/>
        </w:numPr>
        <w:spacing w:before="0"/>
        <w:ind w:left="1077" w:hanging="357"/>
        <w:rPr>
          <w:rFonts w:ascii="Arial" w:hAnsi="Arial" w:cs="Arial"/>
          <w:sz w:val="21"/>
          <w:szCs w:val="21"/>
        </w:rPr>
      </w:pPr>
      <w:r w:rsidRPr="008A4F65">
        <w:rPr>
          <w:rFonts w:ascii="Arial" w:hAnsi="Arial" w:cs="Arial"/>
          <w:sz w:val="21"/>
          <w:szCs w:val="21"/>
        </w:rPr>
        <w:t>ensure the information used for matching is accurate, up-to-date and complete</w:t>
      </w:r>
      <w:r w:rsidR="00E76FFD" w:rsidRPr="008A4F65">
        <w:rPr>
          <w:rFonts w:ascii="Arial" w:hAnsi="Arial" w:cs="Arial"/>
          <w:sz w:val="21"/>
          <w:szCs w:val="21"/>
        </w:rPr>
        <w:t>;</w:t>
      </w:r>
    </w:p>
    <w:p w14:paraId="4E23A44F" w14:textId="77777777" w:rsidR="00306A61" w:rsidRPr="008A4F65" w:rsidRDefault="00306A61" w:rsidP="008A4F65">
      <w:pPr>
        <w:pStyle w:val="paragraph"/>
        <w:numPr>
          <w:ilvl w:val="0"/>
          <w:numId w:val="39"/>
        </w:numPr>
        <w:spacing w:before="0"/>
        <w:ind w:left="1077" w:hanging="357"/>
        <w:rPr>
          <w:rFonts w:ascii="Arial" w:hAnsi="Arial" w:cs="Arial"/>
          <w:sz w:val="21"/>
          <w:szCs w:val="21"/>
        </w:rPr>
      </w:pPr>
      <w:r w:rsidRPr="008A4F65">
        <w:rPr>
          <w:rFonts w:ascii="Arial" w:hAnsi="Arial" w:cs="Arial"/>
          <w:sz w:val="21"/>
          <w:szCs w:val="21"/>
        </w:rPr>
        <w:t>ensure the timely destruction of information that is not in use</w:t>
      </w:r>
      <w:r w:rsidR="00E76FFD" w:rsidRPr="008A4F65">
        <w:rPr>
          <w:rFonts w:ascii="Arial" w:hAnsi="Arial" w:cs="Arial"/>
          <w:sz w:val="21"/>
          <w:szCs w:val="21"/>
        </w:rPr>
        <w:t>; and</w:t>
      </w:r>
    </w:p>
    <w:p w14:paraId="48634D88" w14:textId="77777777" w:rsidR="00306A61" w:rsidRPr="008A4F65" w:rsidRDefault="00306A61" w:rsidP="008A4F65">
      <w:pPr>
        <w:pStyle w:val="paragraph"/>
        <w:numPr>
          <w:ilvl w:val="0"/>
          <w:numId w:val="39"/>
        </w:numPr>
        <w:spacing w:before="0"/>
        <w:ind w:left="1077" w:hanging="357"/>
        <w:rPr>
          <w:rFonts w:ascii="Arial" w:hAnsi="Arial" w:cs="Arial"/>
          <w:sz w:val="21"/>
          <w:szCs w:val="21"/>
        </w:rPr>
      </w:pPr>
      <w:r w:rsidRPr="008A4F65">
        <w:rPr>
          <w:rFonts w:ascii="Arial" w:hAnsi="Arial" w:cs="Arial"/>
          <w:sz w:val="21"/>
          <w:szCs w:val="21"/>
        </w:rPr>
        <w:t>maintain a public register of matching activity.</w:t>
      </w:r>
    </w:p>
    <w:p w14:paraId="24A2244A" w14:textId="330883C6" w:rsidR="00306A61" w:rsidRPr="00306A61" w:rsidRDefault="00306A61" w:rsidP="00306A61">
      <w:pPr>
        <w:rPr>
          <w:rFonts w:cs="Arial"/>
        </w:rPr>
      </w:pPr>
      <w:r w:rsidRPr="00306A61">
        <w:rPr>
          <w:rFonts w:cs="Arial"/>
        </w:rPr>
        <w:t>To ensure these systems and processes are fit for purpose, there is also a legislative requirement</w:t>
      </w:r>
      <w:r w:rsidR="00612E50">
        <w:rPr>
          <w:rFonts w:cs="Arial"/>
        </w:rPr>
        <w:t xml:space="preserve"> to consult with the</w:t>
      </w:r>
      <w:r w:rsidR="00FA7CF3">
        <w:rPr>
          <w:rFonts w:cs="Arial"/>
        </w:rPr>
        <w:t xml:space="preserve"> Information </w:t>
      </w:r>
      <w:r w:rsidRPr="00306A61">
        <w:rPr>
          <w:rFonts w:cs="Arial"/>
        </w:rPr>
        <w:t>Commissioner on these arrangements.</w:t>
      </w:r>
    </w:p>
    <w:p w14:paraId="7B56E21A" w14:textId="339B4C0A" w:rsidR="001727C0" w:rsidRDefault="00FA7CF3" w:rsidP="00306A61">
      <w:pPr>
        <w:rPr>
          <w:rFonts w:cs="Arial"/>
        </w:rPr>
      </w:pPr>
      <w:r>
        <w:rPr>
          <w:rFonts w:cs="Arial"/>
        </w:rPr>
        <w:t>The Information C</w:t>
      </w:r>
      <w:r w:rsidR="00306A61" w:rsidRPr="00306A61">
        <w:rPr>
          <w:rFonts w:cs="Arial"/>
        </w:rPr>
        <w:t xml:space="preserve">ommissioner has also issued the </w:t>
      </w:r>
      <w:r w:rsidR="00306A61" w:rsidRPr="00306A61">
        <w:rPr>
          <w:rFonts w:cs="Arial"/>
          <w:i/>
        </w:rPr>
        <w:t>Guidelines on data matching in Australian Government administration</w:t>
      </w:r>
      <w:r w:rsidR="00E76FFD">
        <w:rPr>
          <w:rFonts w:cs="Arial"/>
          <w:i/>
        </w:rPr>
        <w:t xml:space="preserve"> </w:t>
      </w:r>
      <w:r w:rsidR="00E76FFD">
        <w:rPr>
          <w:rFonts w:cs="Arial"/>
        </w:rPr>
        <w:t>(the Guidelines)</w:t>
      </w:r>
      <w:r w:rsidR="00306A61" w:rsidRPr="00306A61">
        <w:rPr>
          <w:rFonts w:cs="Arial"/>
        </w:rPr>
        <w:t xml:space="preserve">, which provide guidance to government agencies on best practice in undertaking data matching activities. While the </w:t>
      </w:r>
      <w:r w:rsidR="00E76FFD">
        <w:rPr>
          <w:rFonts w:cs="Arial"/>
        </w:rPr>
        <w:t>G</w:t>
      </w:r>
      <w:r w:rsidR="00306A61" w:rsidRPr="00306A61">
        <w:rPr>
          <w:rFonts w:cs="Arial"/>
        </w:rPr>
        <w:t xml:space="preserve">uidelines are voluntary, the Department </w:t>
      </w:r>
      <w:r w:rsidR="00FE1A65">
        <w:rPr>
          <w:rFonts w:cs="Arial"/>
        </w:rPr>
        <w:t xml:space="preserve">has committed </w:t>
      </w:r>
      <w:r w:rsidR="00A37249">
        <w:rPr>
          <w:rFonts w:cs="Arial"/>
        </w:rPr>
        <w:t xml:space="preserve">to </w:t>
      </w:r>
      <w:r w:rsidR="007B408A">
        <w:rPr>
          <w:rFonts w:cs="Arial"/>
        </w:rPr>
        <w:t xml:space="preserve">adopt </w:t>
      </w:r>
      <w:r w:rsidR="00306A61" w:rsidRPr="00306A61">
        <w:rPr>
          <w:rFonts w:cs="Arial"/>
        </w:rPr>
        <w:t>the</w:t>
      </w:r>
      <w:r w:rsidR="002B07F8">
        <w:rPr>
          <w:rFonts w:cs="Arial"/>
        </w:rPr>
        <w:t>se</w:t>
      </w:r>
      <w:r w:rsidR="007B408A">
        <w:rPr>
          <w:rFonts w:cs="Arial"/>
        </w:rPr>
        <w:t xml:space="preserve"> for</w:t>
      </w:r>
      <w:r w:rsidR="00306A61" w:rsidRPr="00306A61">
        <w:rPr>
          <w:rFonts w:cs="Arial"/>
        </w:rPr>
        <w:t xml:space="preserve"> routine data matching enabled under the Bill and for future data matching Medicare compliance activities. </w:t>
      </w:r>
    </w:p>
    <w:p w14:paraId="4F2CFAA0" w14:textId="20B67DA9" w:rsidR="00306A61" w:rsidRDefault="00306A61" w:rsidP="00306A61">
      <w:pPr>
        <w:rPr>
          <w:rFonts w:cs="Arial"/>
        </w:rPr>
      </w:pPr>
      <w:r w:rsidRPr="00306A61">
        <w:rPr>
          <w:rFonts w:cs="Arial"/>
        </w:rPr>
        <w:t>The Guidelines require the Department to develop data matching protocols</w:t>
      </w:r>
      <w:r w:rsidR="00E76FFD">
        <w:rPr>
          <w:rFonts w:cs="Arial"/>
        </w:rPr>
        <w:t xml:space="preserve"> and</w:t>
      </w:r>
      <w:r w:rsidRPr="00306A61">
        <w:rPr>
          <w:rFonts w:cs="Arial"/>
        </w:rPr>
        <w:t xml:space="preserve"> technical standard</w:t>
      </w:r>
      <w:r w:rsidR="00E76FFD">
        <w:rPr>
          <w:rFonts w:cs="Arial"/>
        </w:rPr>
        <w:t xml:space="preserve"> reports </w:t>
      </w:r>
      <w:r w:rsidRPr="00306A61">
        <w:rPr>
          <w:rFonts w:cs="Arial"/>
        </w:rPr>
        <w:t>that c</w:t>
      </w:r>
      <w:r w:rsidR="00E76FFD">
        <w:rPr>
          <w:rFonts w:cs="Arial"/>
        </w:rPr>
        <w:t>an</w:t>
      </w:r>
      <w:r w:rsidR="00612E50">
        <w:rPr>
          <w:rFonts w:cs="Arial"/>
        </w:rPr>
        <w:t xml:space="preserve"> be reviewed by the</w:t>
      </w:r>
      <w:r w:rsidRPr="00306A61">
        <w:rPr>
          <w:rFonts w:cs="Arial"/>
        </w:rPr>
        <w:t xml:space="preserve"> </w:t>
      </w:r>
      <w:r w:rsidR="00FA7CF3">
        <w:rPr>
          <w:rFonts w:cs="Arial"/>
        </w:rPr>
        <w:t xml:space="preserve">Information </w:t>
      </w:r>
      <w:r w:rsidRPr="00306A61">
        <w:rPr>
          <w:rFonts w:cs="Arial"/>
        </w:rPr>
        <w:t>Commissioner, a</w:t>
      </w:r>
      <w:r w:rsidR="00E76FFD">
        <w:rPr>
          <w:rFonts w:cs="Arial"/>
        </w:rPr>
        <w:t>s well as</w:t>
      </w:r>
      <w:r w:rsidRPr="00306A61">
        <w:rPr>
          <w:rFonts w:cs="Arial"/>
        </w:rPr>
        <w:t xml:space="preserve"> other notification activities in addition to the governance requirements legislated under the Bill.</w:t>
      </w:r>
    </w:p>
    <w:p w14:paraId="39B7E142" w14:textId="7EEFF9A5" w:rsidR="001C0387" w:rsidRDefault="00597063" w:rsidP="003A3777">
      <w:pPr>
        <w:pStyle w:val="Heading2"/>
        <w:rPr>
          <w:lang w:eastAsia="en-AU"/>
        </w:rPr>
      </w:pPr>
      <w:bookmarkStart w:id="5" w:name="_Toc17801756"/>
      <w:r>
        <w:rPr>
          <w:lang w:eastAsia="en-AU"/>
        </w:rPr>
        <w:t>Regulations</w:t>
      </w:r>
      <w:bookmarkEnd w:id="5"/>
    </w:p>
    <w:p w14:paraId="62F625AA" w14:textId="179453A8" w:rsidR="001C0387" w:rsidRPr="008952B2" w:rsidRDefault="001C0387" w:rsidP="00CA2196">
      <w:pPr>
        <w:rPr>
          <w:rFonts w:cs="Arial"/>
          <w:color w:val="000000" w:themeColor="text1"/>
          <w:szCs w:val="21"/>
        </w:rPr>
      </w:pPr>
      <w:r w:rsidRPr="001C0387">
        <w:rPr>
          <w:rFonts w:cs="Arial"/>
          <w:color w:val="000000" w:themeColor="text1"/>
          <w:szCs w:val="21"/>
        </w:rPr>
        <w:t xml:space="preserve">The </w:t>
      </w:r>
      <w:r w:rsidR="00597063">
        <w:rPr>
          <w:rFonts w:cs="Arial"/>
          <w:color w:val="000000" w:themeColor="text1"/>
          <w:szCs w:val="21"/>
        </w:rPr>
        <w:t>Department also proposes Regulations to allow</w:t>
      </w:r>
      <w:r w:rsidR="00A37249">
        <w:rPr>
          <w:rFonts w:cs="Arial"/>
          <w:color w:val="000000" w:themeColor="text1"/>
          <w:szCs w:val="21"/>
        </w:rPr>
        <w:t xml:space="preserve"> the</w:t>
      </w:r>
      <w:r w:rsidR="00597063">
        <w:rPr>
          <w:rFonts w:cs="Arial"/>
          <w:color w:val="000000" w:themeColor="text1"/>
          <w:szCs w:val="21"/>
        </w:rPr>
        <w:t xml:space="preserve"> disclosure of cert</w:t>
      </w:r>
      <w:r w:rsidR="009B2F00">
        <w:rPr>
          <w:rFonts w:cs="Arial"/>
          <w:color w:val="000000" w:themeColor="text1"/>
          <w:szCs w:val="21"/>
        </w:rPr>
        <w:t>ain information</w:t>
      </w:r>
      <w:r w:rsidR="00597063">
        <w:rPr>
          <w:rFonts w:cs="Arial"/>
          <w:color w:val="000000" w:themeColor="text1"/>
          <w:szCs w:val="21"/>
        </w:rPr>
        <w:t>, including information</w:t>
      </w:r>
      <w:r w:rsidR="00B615E1">
        <w:rPr>
          <w:rFonts w:cs="Arial"/>
          <w:color w:val="000000" w:themeColor="text1"/>
          <w:szCs w:val="21"/>
        </w:rPr>
        <w:t xml:space="preserve"> resulting</w:t>
      </w:r>
      <w:r w:rsidR="00597063">
        <w:rPr>
          <w:rFonts w:cs="Arial"/>
          <w:color w:val="000000" w:themeColor="text1"/>
          <w:szCs w:val="21"/>
        </w:rPr>
        <w:t xml:space="preserve"> from data matching,</w:t>
      </w:r>
      <w:r w:rsidR="009B2F00">
        <w:rPr>
          <w:rFonts w:cs="Arial"/>
          <w:color w:val="000000" w:themeColor="text1"/>
          <w:szCs w:val="21"/>
        </w:rPr>
        <w:t xml:space="preserve"> to </w:t>
      </w:r>
      <w:r w:rsidR="00597063">
        <w:rPr>
          <w:rFonts w:cs="Arial"/>
          <w:color w:val="000000" w:themeColor="text1"/>
          <w:szCs w:val="21"/>
        </w:rPr>
        <w:t>prescribed</w:t>
      </w:r>
      <w:r w:rsidR="009B2F00">
        <w:rPr>
          <w:rFonts w:cs="Arial"/>
          <w:color w:val="000000" w:themeColor="text1"/>
          <w:szCs w:val="21"/>
        </w:rPr>
        <w:t xml:space="preserve"> </w:t>
      </w:r>
      <w:r w:rsidR="00425A39">
        <w:rPr>
          <w:rFonts w:cs="Arial"/>
          <w:color w:val="000000" w:themeColor="text1"/>
          <w:szCs w:val="21"/>
        </w:rPr>
        <w:t>Australian Government</w:t>
      </w:r>
      <w:r w:rsidR="00425A39" w:rsidRPr="001C0387">
        <w:rPr>
          <w:rFonts w:cs="Arial"/>
          <w:color w:val="000000" w:themeColor="text1"/>
          <w:szCs w:val="21"/>
        </w:rPr>
        <w:t xml:space="preserve"> </w:t>
      </w:r>
      <w:r w:rsidRPr="001C0387">
        <w:rPr>
          <w:rFonts w:cs="Arial"/>
          <w:color w:val="000000" w:themeColor="text1"/>
          <w:szCs w:val="21"/>
        </w:rPr>
        <w:t xml:space="preserve">agencies and </w:t>
      </w:r>
      <w:r w:rsidR="009B2F00">
        <w:rPr>
          <w:rFonts w:cs="Arial"/>
          <w:color w:val="000000" w:themeColor="text1"/>
          <w:szCs w:val="21"/>
        </w:rPr>
        <w:t xml:space="preserve">regulatory </w:t>
      </w:r>
      <w:r w:rsidRPr="001C0387">
        <w:rPr>
          <w:rFonts w:cs="Arial"/>
          <w:color w:val="000000" w:themeColor="text1"/>
          <w:szCs w:val="21"/>
        </w:rPr>
        <w:t>authorities</w:t>
      </w:r>
      <w:r w:rsidR="00597063">
        <w:rPr>
          <w:rFonts w:cs="Arial"/>
          <w:color w:val="000000" w:themeColor="text1"/>
          <w:szCs w:val="21"/>
        </w:rPr>
        <w:t>, in specified circumstances</w:t>
      </w:r>
      <w:r w:rsidR="009B2F00">
        <w:rPr>
          <w:rFonts w:cs="Arial"/>
          <w:color w:val="000000" w:themeColor="text1"/>
          <w:szCs w:val="21"/>
        </w:rPr>
        <w:t xml:space="preserve">. </w:t>
      </w:r>
    </w:p>
    <w:p w14:paraId="5D9E39F7" w14:textId="305A20AF" w:rsidR="001C0387" w:rsidRPr="000D76CC" w:rsidRDefault="000D76CC" w:rsidP="000D76CC">
      <w:pPr>
        <w:rPr>
          <w:rFonts w:cs="Arial"/>
          <w:color w:val="000000" w:themeColor="text1"/>
          <w:szCs w:val="21"/>
        </w:rPr>
      </w:pPr>
      <w:r>
        <w:rPr>
          <w:rFonts w:cs="Arial"/>
          <w:color w:val="000000" w:themeColor="text1"/>
          <w:szCs w:val="21"/>
        </w:rPr>
        <w:t>T</w:t>
      </w:r>
      <w:r w:rsidR="001C0387" w:rsidRPr="001C0387">
        <w:rPr>
          <w:rFonts w:cs="Arial"/>
          <w:color w:val="000000" w:themeColor="text1"/>
          <w:szCs w:val="21"/>
        </w:rPr>
        <w:t>he</w:t>
      </w:r>
      <w:r w:rsidR="00597063">
        <w:rPr>
          <w:rFonts w:cs="Arial"/>
          <w:color w:val="000000" w:themeColor="text1"/>
          <w:szCs w:val="21"/>
        </w:rPr>
        <w:t xml:space="preserve"> Regulations enable information disclosure </w:t>
      </w:r>
      <w:r>
        <w:rPr>
          <w:rFonts w:cs="Arial"/>
          <w:color w:val="000000" w:themeColor="text1"/>
          <w:szCs w:val="21"/>
        </w:rPr>
        <w:t xml:space="preserve">to </w:t>
      </w:r>
      <w:r w:rsidR="00025107" w:rsidRPr="000D76CC">
        <w:rPr>
          <w:rFonts w:cs="Arial"/>
          <w:color w:val="000000" w:themeColor="text1"/>
          <w:szCs w:val="21"/>
        </w:rPr>
        <w:t>DVA</w:t>
      </w:r>
      <w:r>
        <w:rPr>
          <w:rFonts w:cs="Arial"/>
          <w:color w:val="000000" w:themeColor="text1"/>
          <w:szCs w:val="21"/>
        </w:rPr>
        <w:t xml:space="preserve">, </w:t>
      </w:r>
      <w:r w:rsidR="001C0387" w:rsidRPr="000D76CC">
        <w:rPr>
          <w:rFonts w:cs="Arial"/>
          <w:color w:val="000000" w:themeColor="text1"/>
          <w:szCs w:val="21"/>
        </w:rPr>
        <w:t>AHPRA</w:t>
      </w:r>
      <w:r>
        <w:rPr>
          <w:rFonts w:cs="Arial"/>
          <w:color w:val="000000" w:themeColor="text1"/>
          <w:szCs w:val="21"/>
        </w:rPr>
        <w:t xml:space="preserve"> and the Health P</w:t>
      </w:r>
      <w:r w:rsidR="00597063" w:rsidRPr="000D76CC">
        <w:rPr>
          <w:rFonts w:cs="Arial"/>
          <w:color w:val="000000" w:themeColor="text1"/>
          <w:szCs w:val="21"/>
        </w:rPr>
        <w:t>rofessional</w:t>
      </w:r>
      <w:r>
        <w:rPr>
          <w:rFonts w:cs="Arial"/>
          <w:color w:val="000000" w:themeColor="text1"/>
          <w:szCs w:val="21"/>
        </w:rPr>
        <w:t xml:space="preserve"> B</w:t>
      </w:r>
      <w:r w:rsidR="001C0387" w:rsidRPr="000D76CC">
        <w:rPr>
          <w:rFonts w:cs="Arial"/>
          <w:color w:val="000000" w:themeColor="text1"/>
          <w:szCs w:val="21"/>
        </w:rPr>
        <w:t>oards and related</w:t>
      </w:r>
      <w:r w:rsidR="00025107" w:rsidRPr="000D76CC">
        <w:rPr>
          <w:rFonts w:cs="Arial"/>
          <w:color w:val="000000" w:themeColor="text1"/>
          <w:szCs w:val="21"/>
        </w:rPr>
        <w:t xml:space="preserve"> health practitioner </w:t>
      </w:r>
      <w:r>
        <w:rPr>
          <w:rFonts w:cs="Arial"/>
          <w:color w:val="000000" w:themeColor="text1"/>
          <w:szCs w:val="21"/>
        </w:rPr>
        <w:t>regulation</w:t>
      </w:r>
      <w:r w:rsidR="00025107" w:rsidRPr="000D76CC">
        <w:rPr>
          <w:rFonts w:cs="Arial"/>
          <w:color w:val="000000" w:themeColor="text1"/>
          <w:szCs w:val="21"/>
        </w:rPr>
        <w:t xml:space="preserve"> bodies</w:t>
      </w:r>
      <w:r w:rsidR="001C0387" w:rsidRPr="000D76CC">
        <w:rPr>
          <w:rFonts w:cs="Arial"/>
          <w:color w:val="000000" w:themeColor="text1"/>
          <w:szCs w:val="21"/>
        </w:rPr>
        <w:t>.</w:t>
      </w:r>
    </w:p>
    <w:p w14:paraId="1A229E56" w14:textId="308EE36B" w:rsidR="001C0387" w:rsidRPr="001C0387" w:rsidRDefault="00025107" w:rsidP="001C0387">
      <w:pPr>
        <w:autoSpaceDE w:val="0"/>
        <w:autoSpaceDN w:val="0"/>
        <w:rPr>
          <w:rFonts w:cs="Arial"/>
          <w:sz w:val="22"/>
          <w:szCs w:val="22"/>
          <w:lang w:eastAsia="en-AU"/>
        </w:rPr>
      </w:pPr>
      <w:r>
        <w:rPr>
          <w:rFonts w:cs="Arial"/>
          <w:color w:val="000000" w:themeColor="text1"/>
        </w:rPr>
        <w:t>DVA</w:t>
      </w:r>
      <w:r w:rsidR="00DC088C">
        <w:rPr>
          <w:rFonts w:cs="Arial"/>
          <w:color w:val="000000" w:themeColor="text1"/>
        </w:rPr>
        <w:t xml:space="preserve"> </w:t>
      </w:r>
      <w:r w:rsidR="000D76CC">
        <w:rPr>
          <w:rFonts w:cs="Arial"/>
          <w:color w:val="000000" w:themeColor="text1"/>
        </w:rPr>
        <w:t>would also</w:t>
      </w:r>
      <w:r w:rsidR="00DC088C">
        <w:rPr>
          <w:rFonts w:cs="Arial"/>
          <w:color w:val="000000" w:themeColor="text1"/>
        </w:rPr>
        <w:t xml:space="preserve"> be</w:t>
      </w:r>
      <w:r w:rsidR="001C0387" w:rsidRPr="001C0387">
        <w:rPr>
          <w:rFonts w:cs="Arial"/>
          <w:color w:val="000000" w:themeColor="text1"/>
        </w:rPr>
        <w:t xml:space="preserve"> a prescribed authority to allow the Dep</w:t>
      </w:r>
      <w:r w:rsidR="00597063">
        <w:rPr>
          <w:rFonts w:cs="Arial"/>
          <w:color w:val="000000" w:themeColor="text1"/>
        </w:rPr>
        <w:t>artment to disclose information relevant for DVA’s legislative functions</w:t>
      </w:r>
      <w:r w:rsidR="00425A39">
        <w:rPr>
          <w:rFonts w:cs="Arial"/>
          <w:color w:val="000000" w:themeColor="text1"/>
        </w:rPr>
        <w:t>,</w:t>
      </w:r>
      <w:r w:rsidR="00597063">
        <w:rPr>
          <w:rFonts w:cs="Arial"/>
          <w:color w:val="000000" w:themeColor="text1"/>
        </w:rPr>
        <w:t xml:space="preserve"> including </w:t>
      </w:r>
      <w:r w:rsidR="001C0387" w:rsidRPr="001C0387">
        <w:rPr>
          <w:rFonts w:cs="Arial"/>
          <w:color w:val="000000" w:themeColor="text1"/>
        </w:rPr>
        <w:t xml:space="preserve">program management purposes. </w:t>
      </w:r>
    </w:p>
    <w:p w14:paraId="7A246085" w14:textId="453D3455" w:rsidR="00597063" w:rsidRPr="000D76CC" w:rsidRDefault="001C0387" w:rsidP="00DC088C">
      <w:pPr>
        <w:rPr>
          <w:rFonts w:cs="Arial"/>
          <w:color w:val="000000" w:themeColor="text1"/>
          <w:szCs w:val="21"/>
        </w:rPr>
      </w:pPr>
      <w:r w:rsidRPr="001C0387">
        <w:rPr>
          <w:rFonts w:cs="Arial"/>
          <w:color w:val="000000" w:themeColor="text1"/>
        </w:rPr>
        <w:lastRenderedPageBreak/>
        <w:t xml:space="preserve">The Regulations </w:t>
      </w:r>
      <w:r w:rsidR="00DC088C">
        <w:rPr>
          <w:rFonts w:cs="Arial"/>
          <w:color w:val="000000" w:themeColor="text1"/>
        </w:rPr>
        <w:t>als</w:t>
      </w:r>
      <w:r w:rsidR="00597063">
        <w:rPr>
          <w:rFonts w:cs="Arial"/>
          <w:color w:val="000000" w:themeColor="text1"/>
        </w:rPr>
        <w:t xml:space="preserve">o </w:t>
      </w:r>
      <w:r w:rsidR="000D76CC">
        <w:rPr>
          <w:rFonts w:cs="Arial"/>
          <w:color w:val="000000" w:themeColor="text1"/>
        </w:rPr>
        <w:t>make</w:t>
      </w:r>
      <w:r w:rsidR="00597063">
        <w:rPr>
          <w:rFonts w:cs="Arial"/>
          <w:color w:val="000000" w:themeColor="text1"/>
        </w:rPr>
        <w:t xml:space="preserve"> </w:t>
      </w:r>
      <w:r w:rsidR="000D76CC" w:rsidRPr="000D76CC">
        <w:rPr>
          <w:rFonts w:cs="Arial"/>
          <w:color w:val="000000" w:themeColor="text1"/>
          <w:szCs w:val="21"/>
        </w:rPr>
        <w:t>AHPRA</w:t>
      </w:r>
      <w:r w:rsidR="000D76CC">
        <w:rPr>
          <w:rFonts w:cs="Arial"/>
          <w:color w:val="000000" w:themeColor="text1"/>
          <w:szCs w:val="21"/>
        </w:rPr>
        <w:t xml:space="preserve"> and the Health P</w:t>
      </w:r>
      <w:r w:rsidR="000D76CC" w:rsidRPr="000D76CC">
        <w:rPr>
          <w:rFonts w:cs="Arial"/>
          <w:color w:val="000000" w:themeColor="text1"/>
          <w:szCs w:val="21"/>
        </w:rPr>
        <w:t>rofessional</w:t>
      </w:r>
      <w:r w:rsidR="000D76CC">
        <w:rPr>
          <w:rFonts w:cs="Arial"/>
          <w:color w:val="000000" w:themeColor="text1"/>
          <w:szCs w:val="21"/>
        </w:rPr>
        <w:t xml:space="preserve"> B</w:t>
      </w:r>
      <w:r w:rsidR="000D76CC" w:rsidRPr="000D76CC">
        <w:rPr>
          <w:rFonts w:cs="Arial"/>
          <w:color w:val="000000" w:themeColor="text1"/>
          <w:szCs w:val="21"/>
        </w:rPr>
        <w:t xml:space="preserve">oards and related health practitioner </w:t>
      </w:r>
      <w:r w:rsidR="000D76CC">
        <w:rPr>
          <w:rFonts w:cs="Arial"/>
          <w:color w:val="000000" w:themeColor="text1"/>
          <w:szCs w:val="21"/>
        </w:rPr>
        <w:t>regulation</w:t>
      </w:r>
      <w:r w:rsidR="000D76CC" w:rsidRPr="000D76CC">
        <w:rPr>
          <w:rFonts w:cs="Arial"/>
          <w:color w:val="000000" w:themeColor="text1"/>
          <w:szCs w:val="21"/>
        </w:rPr>
        <w:t xml:space="preserve"> bodies</w:t>
      </w:r>
      <w:r w:rsidR="000D76CC">
        <w:rPr>
          <w:rFonts w:cs="Arial"/>
          <w:color w:val="000000" w:themeColor="text1"/>
          <w:szCs w:val="21"/>
        </w:rPr>
        <w:t xml:space="preserve"> </w:t>
      </w:r>
      <w:r w:rsidR="00425A39">
        <w:rPr>
          <w:rFonts w:cs="Arial"/>
          <w:color w:val="000000" w:themeColor="text1"/>
          <w:szCs w:val="21"/>
        </w:rPr>
        <w:t>“</w:t>
      </w:r>
      <w:r w:rsidR="00597063">
        <w:rPr>
          <w:rFonts w:cs="Arial"/>
          <w:color w:val="000000" w:themeColor="text1"/>
        </w:rPr>
        <w:t xml:space="preserve">prescribed </w:t>
      </w:r>
      <w:r w:rsidR="000D76CC">
        <w:rPr>
          <w:rFonts w:cs="Arial"/>
          <w:color w:val="000000" w:themeColor="text1"/>
        </w:rPr>
        <w:t>bodies</w:t>
      </w:r>
      <w:r w:rsidR="00425A39">
        <w:rPr>
          <w:rFonts w:cs="Arial"/>
          <w:color w:val="000000" w:themeColor="text1"/>
        </w:rPr>
        <w:t>”</w:t>
      </w:r>
      <w:r w:rsidR="000D76CC">
        <w:rPr>
          <w:rFonts w:cs="Arial"/>
          <w:color w:val="000000" w:themeColor="text1"/>
        </w:rPr>
        <w:t xml:space="preserve"> </w:t>
      </w:r>
      <w:r w:rsidR="00597063">
        <w:rPr>
          <w:rFonts w:cs="Arial"/>
          <w:color w:val="000000" w:themeColor="text1"/>
        </w:rPr>
        <w:t>to receive information</w:t>
      </w:r>
      <w:r w:rsidR="00F806ED">
        <w:rPr>
          <w:rFonts w:cs="Arial"/>
          <w:color w:val="000000" w:themeColor="text1"/>
        </w:rPr>
        <w:t xml:space="preserve"> so that </w:t>
      </w:r>
      <w:r w:rsidR="000D76CC">
        <w:rPr>
          <w:rFonts w:cs="Arial"/>
          <w:color w:val="000000" w:themeColor="text1"/>
        </w:rPr>
        <w:t>they are</w:t>
      </w:r>
      <w:r w:rsidR="00F806ED">
        <w:rPr>
          <w:rFonts w:cs="Arial"/>
          <w:color w:val="000000" w:themeColor="text1"/>
        </w:rPr>
        <w:t xml:space="preserve"> able to undertake investigative and disciplinary action to </w:t>
      </w:r>
      <w:r w:rsidR="000D76CC">
        <w:rPr>
          <w:rFonts w:cs="Arial"/>
          <w:color w:val="000000" w:themeColor="text1"/>
        </w:rPr>
        <w:t>fulfil their role of public protection.</w:t>
      </w:r>
      <w:r w:rsidR="00F806ED">
        <w:rPr>
          <w:rFonts w:cs="Arial"/>
          <w:color w:val="000000" w:themeColor="text1"/>
        </w:rPr>
        <w:t xml:space="preserve"> </w:t>
      </w:r>
    </w:p>
    <w:p w14:paraId="19B6F91A" w14:textId="6FCB399F" w:rsidR="00BC60C0" w:rsidRPr="00BC60C0" w:rsidRDefault="00BC60C0" w:rsidP="00BC60C0">
      <w:pPr>
        <w:pStyle w:val="Heading2"/>
        <w:rPr>
          <w:lang w:eastAsia="en-AU"/>
        </w:rPr>
      </w:pPr>
      <w:r w:rsidRPr="00BC60C0">
        <w:rPr>
          <w:lang w:eastAsia="en-AU"/>
        </w:rPr>
        <w:t>Stakeholder Questions</w:t>
      </w:r>
    </w:p>
    <w:p w14:paraId="07279886" w14:textId="7980C426" w:rsidR="00BC60C0" w:rsidRDefault="000D76CC" w:rsidP="00DC088C">
      <w:pPr>
        <w:rPr>
          <w:rFonts w:cs="Arial"/>
          <w:color w:val="000000" w:themeColor="text1"/>
        </w:rPr>
      </w:pPr>
      <w:r>
        <w:rPr>
          <w:rFonts w:cs="Arial"/>
          <w:color w:val="000000" w:themeColor="text1"/>
        </w:rPr>
        <w:t xml:space="preserve">The Department welcomes feedback on the </w:t>
      </w:r>
      <w:r w:rsidR="0012609A">
        <w:rPr>
          <w:rFonts w:cs="Arial"/>
          <w:color w:val="000000" w:themeColor="text1"/>
        </w:rPr>
        <w:t xml:space="preserve">proposed legislation from all interested parties. The Department will consider all submissions when formulating the final form of the Bill that will be introduced to Parliament. </w:t>
      </w:r>
      <w:r w:rsidR="00BC60C0">
        <w:rPr>
          <w:rFonts w:cs="Arial"/>
          <w:color w:val="000000" w:themeColor="text1"/>
        </w:rPr>
        <w:t>In developing your submission, you may wish to c</w:t>
      </w:r>
      <w:r w:rsidR="0012609A">
        <w:rPr>
          <w:rFonts w:cs="Arial"/>
          <w:color w:val="000000" w:themeColor="text1"/>
        </w:rPr>
        <w:t>onsider the following questions:</w:t>
      </w:r>
    </w:p>
    <w:p w14:paraId="337A7DB5" w14:textId="77777777" w:rsidR="00425A39" w:rsidRDefault="00425A39" w:rsidP="00425A39">
      <w:pPr>
        <w:pStyle w:val="ListParagraph"/>
        <w:numPr>
          <w:ilvl w:val="0"/>
          <w:numId w:val="46"/>
        </w:numPr>
        <w:spacing w:after="240" w:line="259" w:lineRule="auto"/>
        <w:ind w:left="360"/>
        <w:rPr>
          <w:rFonts w:cs="Arial"/>
        </w:rPr>
      </w:pPr>
      <w:r w:rsidRPr="00BC60C0">
        <w:rPr>
          <w:rFonts w:cs="Arial"/>
        </w:rPr>
        <w:t>Do you have concerns about this legislation with regard to privacy protections</w:t>
      </w:r>
      <w:r>
        <w:rPr>
          <w:rFonts w:cs="Arial"/>
        </w:rPr>
        <w:t>,</w:t>
      </w:r>
      <w:r w:rsidRPr="00BC60C0">
        <w:rPr>
          <w:rFonts w:cs="Arial"/>
        </w:rPr>
        <w:t xml:space="preserve"> the </w:t>
      </w:r>
      <w:r w:rsidRPr="00BC60C0">
        <w:rPr>
          <w:rFonts w:cs="Arial"/>
          <w:i/>
        </w:rPr>
        <w:t>Privacy Act 1988</w:t>
      </w:r>
      <w:r w:rsidRPr="00BC60C0">
        <w:rPr>
          <w:rFonts w:cs="Arial"/>
        </w:rPr>
        <w:t xml:space="preserve"> or the role of the Australian Information Commissioner?</w:t>
      </w:r>
    </w:p>
    <w:p w14:paraId="7D3549F0" w14:textId="77777777" w:rsidR="00425A39" w:rsidRPr="00BC60C0" w:rsidRDefault="00425A39" w:rsidP="00425A39">
      <w:pPr>
        <w:pStyle w:val="ListParagraph"/>
        <w:spacing w:after="240" w:line="259" w:lineRule="auto"/>
        <w:ind w:left="354"/>
        <w:rPr>
          <w:rFonts w:cs="Arial"/>
        </w:rPr>
      </w:pPr>
    </w:p>
    <w:p w14:paraId="2376B5BC" w14:textId="77777777" w:rsidR="00425A39" w:rsidRDefault="00425A39" w:rsidP="00425A39">
      <w:pPr>
        <w:pStyle w:val="ListParagraph"/>
        <w:numPr>
          <w:ilvl w:val="0"/>
          <w:numId w:val="46"/>
        </w:numPr>
        <w:spacing w:after="240" w:line="259" w:lineRule="auto"/>
        <w:ind w:left="360"/>
        <w:rPr>
          <w:rFonts w:cs="Arial"/>
        </w:rPr>
      </w:pPr>
      <w:r w:rsidRPr="00BC60C0">
        <w:rPr>
          <w:rFonts w:cs="Arial"/>
        </w:rPr>
        <w:t>Are there any additional agencies and entities that should be listed for potential disclosure of MB</w:t>
      </w:r>
      <w:r>
        <w:rPr>
          <w:rFonts w:cs="Arial"/>
        </w:rPr>
        <w:t xml:space="preserve">S and/or </w:t>
      </w:r>
      <w:r w:rsidRPr="00BC60C0">
        <w:rPr>
          <w:rFonts w:cs="Arial"/>
        </w:rPr>
        <w:t>PBS information, or notification of compliance outcomes for public interest reasons?</w:t>
      </w:r>
    </w:p>
    <w:p w14:paraId="1C26A4AC" w14:textId="77777777" w:rsidR="00425A39" w:rsidRDefault="00425A39" w:rsidP="00425A39">
      <w:pPr>
        <w:pStyle w:val="ListParagraph"/>
        <w:spacing w:after="240" w:line="259" w:lineRule="auto"/>
        <w:ind w:left="354"/>
        <w:rPr>
          <w:rFonts w:cs="Arial"/>
        </w:rPr>
      </w:pPr>
    </w:p>
    <w:p w14:paraId="118816E1" w14:textId="77777777" w:rsidR="00425A39" w:rsidRPr="00E102FA" w:rsidRDefault="00425A39" w:rsidP="00425A39">
      <w:pPr>
        <w:pStyle w:val="ListParagraph"/>
        <w:numPr>
          <w:ilvl w:val="0"/>
          <w:numId w:val="46"/>
        </w:numPr>
        <w:spacing w:after="240" w:line="259" w:lineRule="auto"/>
        <w:ind w:left="360"/>
        <w:rPr>
          <w:rFonts w:cs="Arial"/>
        </w:rPr>
      </w:pPr>
      <w:r w:rsidRPr="00E102FA">
        <w:rPr>
          <w:rFonts w:cs="Arial"/>
        </w:rPr>
        <w:t>Are there any other data sources that would be appropriate to match with MBS and</w:t>
      </w:r>
      <w:r>
        <w:rPr>
          <w:rFonts w:cs="Arial"/>
        </w:rPr>
        <w:t>/or</w:t>
      </w:r>
      <w:r w:rsidRPr="00E102FA">
        <w:rPr>
          <w:rFonts w:cs="Arial"/>
        </w:rPr>
        <w:t xml:space="preserve"> PBS data for Medicare compliance purposes?</w:t>
      </w:r>
    </w:p>
    <w:p w14:paraId="2CE278A7" w14:textId="77777777" w:rsidR="00425A39" w:rsidRDefault="00425A39" w:rsidP="00425A39">
      <w:pPr>
        <w:pStyle w:val="ListParagraph"/>
        <w:spacing w:after="240" w:line="259" w:lineRule="auto"/>
        <w:ind w:left="354"/>
        <w:rPr>
          <w:rFonts w:cs="Arial"/>
        </w:rPr>
      </w:pPr>
    </w:p>
    <w:p w14:paraId="62B3C6E6" w14:textId="77777777" w:rsidR="00B06EA2" w:rsidRDefault="00425A39" w:rsidP="00B06EA2">
      <w:pPr>
        <w:pStyle w:val="ListParagraph"/>
        <w:numPr>
          <w:ilvl w:val="0"/>
          <w:numId w:val="46"/>
        </w:numPr>
        <w:spacing w:after="240" w:line="259" w:lineRule="auto"/>
        <w:ind w:left="360"/>
        <w:rPr>
          <w:rFonts w:cs="Arial"/>
        </w:rPr>
      </w:pPr>
      <w:r w:rsidRPr="00E102FA">
        <w:rPr>
          <w:rFonts w:cs="Arial"/>
        </w:rPr>
        <w:t xml:space="preserve">Are there any additional safety and quality concerns in the health system that could be addressed through access to </w:t>
      </w:r>
      <w:r>
        <w:rPr>
          <w:rFonts w:cs="Arial"/>
        </w:rPr>
        <w:t>other</w:t>
      </w:r>
      <w:r w:rsidRPr="00E102FA">
        <w:rPr>
          <w:rFonts w:cs="Arial"/>
        </w:rPr>
        <w:t xml:space="preserve"> data?</w:t>
      </w:r>
    </w:p>
    <w:p w14:paraId="4CA45AAF" w14:textId="77777777" w:rsidR="00B06EA2" w:rsidRPr="00B06EA2" w:rsidRDefault="00B06EA2" w:rsidP="00B06EA2">
      <w:pPr>
        <w:pStyle w:val="ListParagraph"/>
        <w:rPr>
          <w:rFonts w:cs="Arial"/>
        </w:rPr>
      </w:pPr>
    </w:p>
    <w:p w14:paraId="49DDD0C1" w14:textId="0CA4AC73" w:rsidR="001C0387" w:rsidRDefault="00425A39" w:rsidP="00B06EA2">
      <w:pPr>
        <w:pStyle w:val="ListParagraph"/>
        <w:numPr>
          <w:ilvl w:val="0"/>
          <w:numId w:val="46"/>
        </w:numPr>
        <w:spacing w:after="240" w:line="259" w:lineRule="auto"/>
        <w:ind w:left="360"/>
        <w:rPr>
          <w:rFonts w:cs="Arial"/>
        </w:rPr>
      </w:pPr>
      <w:r w:rsidRPr="00B06EA2">
        <w:rPr>
          <w:rFonts w:cs="Arial"/>
        </w:rPr>
        <w:t xml:space="preserve">Should there be any other compliance purposes </w:t>
      </w:r>
      <w:r w:rsidR="00B615E1">
        <w:rPr>
          <w:rFonts w:cs="Arial"/>
        </w:rPr>
        <w:t>that</w:t>
      </w:r>
      <w:r w:rsidRPr="00B06EA2">
        <w:rPr>
          <w:rFonts w:cs="Arial"/>
        </w:rPr>
        <w:t xml:space="preserve"> should be permitted under the proposed legislation?</w:t>
      </w:r>
    </w:p>
    <w:p w14:paraId="1D7EFAA6" w14:textId="77777777" w:rsidR="00957096" w:rsidRPr="00957096" w:rsidRDefault="00957096" w:rsidP="00463428">
      <w:pPr>
        <w:pStyle w:val="ListParagraph"/>
        <w:rPr>
          <w:rFonts w:cs="Arial"/>
        </w:rPr>
      </w:pPr>
    </w:p>
    <w:p w14:paraId="18BF3D6A" w14:textId="5CE7E68A" w:rsidR="00957096" w:rsidRPr="00B06EA2" w:rsidRDefault="00957096" w:rsidP="00B06EA2">
      <w:pPr>
        <w:pStyle w:val="ListParagraph"/>
        <w:numPr>
          <w:ilvl w:val="0"/>
          <w:numId w:val="46"/>
        </w:numPr>
        <w:spacing w:after="240" w:line="259" w:lineRule="auto"/>
        <w:ind w:left="360"/>
        <w:rPr>
          <w:rFonts w:cs="Arial"/>
        </w:rPr>
      </w:pPr>
      <w:r>
        <w:rPr>
          <w:rFonts w:cs="Arial"/>
        </w:rPr>
        <w:t>Are there adequate transparency and accountability mechanisms built in to the framework?</w:t>
      </w:r>
    </w:p>
    <w:sectPr w:rsidR="00957096" w:rsidRPr="00B06EA2" w:rsidSect="00236F9D">
      <w:pgSz w:w="11900" w:h="16840"/>
      <w:pgMar w:top="1440" w:right="1080" w:bottom="1440" w:left="10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FDEB04" w14:textId="77777777" w:rsidR="00A10235" w:rsidRDefault="00A10235" w:rsidP="00F15E50">
      <w:pPr>
        <w:spacing w:before="0" w:line="240" w:lineRule="auto"/>
      </w:pPr>
      <w:r>
        <w:separator/>
      </w:r>
    </w:p>
  </w:endnote>
  <w:endnote w:type="continuationSeparator" w:id="0">
    <w:p w14:paraId="423571A3" w14:textId="77777777" w:rsidR="00A10235" w:rsidRDefault="00A10235" w:rsidP="00F15E50">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00"/>
    <w:family w:val="roman"/>
    <w:notTrueType/>
    <w:pitch w:val="default"/>
  </w:font>
  <w:font w:name="Times New Roman (Body CS)">
    <w:altName w:val="Arial"/>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A3269" w14:textId="77777777" w:rsidR="001301EA" w:rsidRDefault="00130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12041" w14:textId="0D8C7D1C" w:rsidR="00E76FFD" w:rsidRPr="00F15E50" w:rsidRDefault="00E76FFD" w:rsidP="00F15E50">
    <w:pPr>
      <w:pStyle w:val="Footer"/>
      <w:tabs>
        <w:tab w:val="clear" w:pos="4513"/>
        <w:tab w:val="clear" w:pos="9026"/>
        <w:tab w:val="left" w:pos="8505"/>
        <w:tab w:val="right" w:pos="9020"/>
      </w:tabs>
    </w:pPr>
    <w:r>
      <w:rPr>
        <w:sz w:val="20"/>
        <w:szCs w:val="20"/>
      </w:rPr>
      <w:t>Consultation Guide for the Data-matching Bill</w:t>
    </w:r>
    <w:r>
      <w:rPr>
        <w:sz w:val="20"/>
        <w:szCs w:val="20"/>
      </w:rPr>
      <w:tab/>
    </w:r>
    <w:r>
      <w:rPr>
        <w:sz w:val="20"/>
        <w:szCs w:val="20"/>
      </w:rPr>
      <w:tab/>
    </w:r>
    <w:r w:rsidRPr="00F15E50">
      <w:rPr>
        <w:sz w:val="20"/>
        <w:szCs w:val="20"/>
      </w:rPr>
      <w:t xml:space="preserve">pg. </w:t>
    </w:r>
    <w:r w:rsidRPr="00F15E50">
      <w:rPr>
        <w:sz w:val="20"/>
        <w:szCs w:val="20"/>
      </w:rPr>
      <w:fldChar w:fldCharType="begin"/>
    </w:r>
    <w:r w:rsidRPr="00F15E50">
      <w:rPr>
        <w:sz w:val="20"/>
        <w:szCs w:val="20"/>
      </w:rPr>
      <w:instrText xml:space="preserve"> PAGE  \* Arabic </w:instrText>
    </w:r>
    <w:r w:rsidRPr="00F15E50">
      <w:rPr>
        <w:sz w:val="20"/>
        <w:szCs w:val="20"/>
      </w:rPr>
      <w:fldChar w:fldCharType="separate"/>
    </w:r>
    <w:r w:rsidR="00BE57CE">
      <w:rPr>
        <w:noProof/>
        <w:sz w:val="20"/>
        <w:szCs w:val="20"/>
      </w:rPr>
      <w:t>6</w:t>
    </w:r>
    <w:r w:rsidRPr="00F15E5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F5475" w14:textId="73632F93" w:rsidR="00E76FFD" w:rsidRDefault="00C50934" w:rsidP="006D1A93">
    <w:pPr>
      <w:pStyle w:val="Footer"/>
      <w:tabs>
        <w:tab w:val="clear" w:pos="4513"/>
        <w:tab w:val="left" w:pos="8505"/>
      </w:tabs>
    </w:pPr>
    <w:r>
      <w:rPr>
        <w:sz w:val="20"/>
        <w:szCs w:val="20"/>
      </w:rPr>
      <w:t>Consultation Guide to the Data-matching Bill</w:t>
    </w:r>
    <w:r w:rsidR="00E76FFD">
      <w:rPr>
        <w:sz w:val="20"/>
        <w:szCs w:val="20"/>
      </w:rPr>
      <w:tab/>
    </w:r>
    <w:r w:rsidR="00E76FFD">
      <w:rPr>
        <w:sz w:val="20"/>
        <w:szCs w:val="20"/>
      </w:rPr>
      <w:tab/>
    </w:r>
    <w:r w:rsidR="00E76FFD" w:rsidRPr="00F15E50">
      <w:rPr>
        <w:sz w:val="20"/>
        <w:szCs w:val="20"/>
      </w:rPr>
      <w:t xml:space="preserve">pg. </w:t>
    </w:r>
    <w:r w:rsidR="00E76FFD" w:rsidRPr="00F15E50">
      <w:rPr>
        <w:sz w:val="20"/>
        <w:szCs w:val="20"/>
      </w:rPr>
      <w:fldChar w:fldCharType="begin"/>
    </w:r>
    <w:r w:rsidR="00E76FFD" w:rsidRPr="00F15E50">
      <w:rPr>
        <w:sz w:val="20"/>
        <w:szCs w:val="20"/>
      </w:rPr>
      <w:instrText xml:space="preserve"> PAGE  \* Arabic </w:instrText>
    </w:r>
    <w:r w:rsidR="00E76FFD" w:rsidRPr="00F15E50">
      <w:rPr>
        <w:sz w:val="20"/>
        <w:szCs w:val="20"/>
      </w:rPr>
      <w:fldChar w:fldCharType="separate"/>
    </w:r>
    <w:r w:rsidR="00BE57CE">
      <w:rPr>
        <w:noProof/>
        <w:sz w:val="20"/>
        <w:szCs w:val="20"/>
      </w:rPr>
      <w:t>5</w:t>
    </w:r>
    <w:r w:rsidR="00E76FFD" w:rsidRPr="00F15E5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D6A07" w14:textId="77777777" w:rsidR="00A10235" w:rsidRDefault="00A10235" w:rsidP="00F15E50">
      <w:pPr>
        <w:spacing w:before="0" w:line="240" w:lineRule="auto"/>
      </w:pPr>
      <w:r>
        <w:separator/>
      </w:r>
    </w:p>
  </w:footnote>
  <w:footnote w:type="continuationSeparator" w:id="0">
    <w:p w14:paraId="5F1CB54E" w14:textId="77777777" w:rsidR="00A10235" w:rsidRDefault="00A10235" w:rsidP="00F15E50">
      <w:pPr>
        <w:spacing w:before="0" w:line="240" w:lineRule="auto"/>
      </w:pPr>
      <w:r>
        <w:continuationSeparator/>
      </w:r>
    </w:p>
  </w:footnote>
  <w:footnote w:id="1">
    <w:p w14:paraId="3D72674F" w14:textId="0742FDD9" w:rsidR="00F1483E" w:rsidRDefault="00F1483E" w:rsidP="00F1483E">
      <w:pPr>
        <w:pStyle w:val="FootnoteText"/>
      </w:pPr>
      <w:r>
        <w:rPr>
          <w:rStyle w:val="FootnoteReference"/>
        </w:rPr>
        <w:footnoteRef/>
      </w:r>
      <w:r>
        <w:t xml:space="preserve"> </w:t>
      </w:r>
      <w:r w:rsidR="00B615E1">
        <w:t>In the context of this guide, the use of the term Medicare refers to Medicare programs including Medicare Benefits Schedule, the Pharmaceutical Benefits Scheme, the Child Dental Benefits Schedule and other health incentive payment schemes.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081CB" w14:textId="77777777" w:rsidR="001301EA" w:rsidRDefault="00130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F3E7B" w14:textId="77777777" w:rsidR="001301EA" w:rsidRDefault="001301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9AB23" w14:textId="77777777" w:rsidR="00E76FFD" w:rsidRDefault="00E76FFD">
    <w:pPr>
      <w:pStyle w:val="Header"/>
    </w:pPr>
    <w:r>
      <w:rPr>
        <w:noProof/>
        <w:lang w:eastAsia="en-AU"/>
      </w:rPr>
      <w:drawing>
        <wp:inline distT="0" distB="0" distL="0" distR="0" wp14:anchorId="113150C0" wp14:editId="2BF397C3">
          <wp:extent cx="5778500" cy="1047750"/>
          <wp:effectExtent l="0" t="0" r="12700" b="0"/>
          <wp:docPr id="3" name="Picture 3" descr="Graphics:Design Files:WIPs:Alicia:WIP Alicia:12307 Department of Health Visual Identity:12307 A4 Word Factsheet Template:12307 A4 Fact sheet header image Folder:Links:word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ics:Design Files:WIPs:Alicia:WIP Alicia:12307 Department of Health Visual Identity:12307 A4 Word Factsheet Template:12307 A4 Fact sheet header image Folder:Links:word heade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78500" cy="10477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96F2D2" w14:textId="6577553E" w:rsidR="00F20267" w:rsidRDefault="00F202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1B7828BC"/>
    <w:lvl w:ilvl="0">
      <w:start w:val="1"/>
      <w:numFmt w:val="decimal"/>
      <w:lvlText w:val="%1."/>
      <w:lvlJc w:val="left"/>
      <w:pPr>
        <w:tabs>
          <w:tab w:val="num" w:pos="643"/>
        </w:tabs>
        <w:ind w:left="643" w:hanging="360"/>
      </w:pPr>
    </w:lvl>
  </w:abstractNum>
  <w:abstractNum w:abstractNumId="1" w15:restartNumberingAfterBreak="0">
    <w:nsid w:val="FFFFFF88"/>
    <w:multiLevelType w:val="singleLevel"/>
    <w:tmpl w:val="587875E6"/>
    <w:lvl w:ilvl="0">
      <w:start w:val="1"/>
      <w:numFmt w:val="decimal"/>
      <w:lvlText w:val="%1."/>
      <w:lvlJc w:val="left"/>
      <w:pPr>
        <w:ind w:left="360" w:hanging="360"/>
      </w:pPr>
      <w:rPr>
        <w:rFonts w:hint="default"/>
        <w:color w:val="005B9B"/>
      </w:rPr>
    </w:lvl>
  </w:abstractNum>
  <w:abstractNum w:abstractNumId="2" w15:restartNumberingAfterBreak="0">
    <w:nsid w:val="FFFFFF89"/>
    <w:multiLevelType w:val="singleLevel"/>
    <w:tmpl w:val="A1C8EA72"/>
    <w:lvl w:ilvl="0">
      <w:start w:val="1"/>
      <w:numFmt w:val="bullet"/>
      <w:lvlText w:val=""/>
      <w:lvlJc w:val="left"/>
      <w:pPr>
        <w:ind w:left="360" w:hanging="360"/>
      </w:pPr>
      <w:rPr>
        <w:rFonts w:ascii="Symbol" w:hAnsi="Symbol" w:hint="default"/>
        <w:color w:val="005B9B"/>
      </w:rPr>
    </w:lvl>
  </w:abstractNum>
  <w:abstractNum w:abstractNumId="3" w15:restartNumberingAfterBreak="0">
    <w:nsid w:val="05443782"/>
    <w:multiLevelType w:val="hybridMultilevel"/>
    <w:tmpl w:val="D2905E5E"/>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981B89"/>
    <w:multiLevelType w:val="multilevel"/>
    <w:tmpl w:val="155CA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1511CF"/>
    <w:multiLevelType w:val="hybridMultilevel"/>
    <w:tmpl w:val="61D45AFC"/>
    <w:lvl w:ilvl="0" w:tplc="8C3C5AAE">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21448F1"/>
    <w:multiLevelType w:val="hybridMultilevel"/>
    <w:tmpl w:val="078E1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2AE4E69"/>
    <w:multiLevelType w:val="hybridMultilevel"/>
    <w:tmpl w:val="BCF0D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69273B"/>
    <w:multiLevelType w:val="hybridMultilevel"/>
    <w:tmpl w:val="91808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2A16D7"/>
    <w:multiLevelType w:val="multilevel"/>
    <w:tmpl w:val="857C8D78"/>
    <w:lvl w:ilvl="0">
      <w:start w:val="1"/>
      <w:numFmt w:val="bullet"/>
      <w:lvlText w:val=""/>
      <w:lvlJc w:val="left"/>
      <w:pPr>
        <w:ind w:left="284" w:hanging="284"/>
      </w:pPr>
      <w:rPr>
        <w:rFonts w:ascii="Wingdings" w:hAnsi="Wingdings" w:hint="default"/>
        <w:color w:val="000000"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4E22427"/>
    <w:multiLevelType w:val="hybridMultilevel"/>
    <w:tmpl w:val="E2EAD356"/>
    <w:lvl w:ilvl="0" w:tplc="64AE04B4">
      <w:start w:val="1"/>
      <w:numFmt w:val="bullet"/>
      <w:pStyle w:val="BulletPoint1"/>
      <w:lvlText w:val=""/>
      <w:lvlJc w:val="left"/>
      <w:pPr>
        <w:ind w:left="360" w:hanging="360"/>
      </w:pPr>
      <w:rPr>
        <w:rFonts w:ascii="Symbol" w:hAnsi="Symbol" w:hint="default"/>
        <w:color w:val="35818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265A27"/>
    <w:multiLevelType w:val="hybridMultilevel"/>
    <w:tmpl w:val="BAEEE37E"/>
    <w:lvl w:ilvl="0" w:tplc="A1B4016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DA670A6"/>
    <w:multiLevelType w:val="hybridMultilevel"/>
    <w:tmpl w:val="DFCAC32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35BF11F4"/>
    <w:multiLevelType w:val="hybridMultilevel"/>
    <w:tmpl w:val="02D04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0122E3"/>
    <w:multiLevelType w:val="hybridMultilevel"/>
    <w:tmpl w:val="4BD6C2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ACB3AA9"/>
    <w:multiLevelType w:val="multilevel"/>
    <w:tmpl w:val="3A68F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16513A1"/>
    <w:multiLevelType w:val="hybridMultilevel"/>
    <w:tmpl w:val="7E4A45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2D6409F"/>
    <w:multiLevelType w:val="hybridMultilevel"/>
    <w:tmpl w:val="8884A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3F85573"/>
    <w:multiLevelType w:val="hybridMultilevel"/>
    <w:tmpl w:val="477CF5D2"/>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7943F31"/>
    <w:multiLevelType w:val="hybridMultilevel"/>
    <w:tmpl w:val="21589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06B6D04"/>
    <w:multiLevelType w:val="hybridMultilevel"/>
    <w:tmpl w:val="5CC6AF52"/>
    <w:lvl w:ilvl="0" w:tplc="37646A60">
      <w:start w:val="1"/>
      <w:numFmt w:val="bullet"/>
      <w:lvlText w:val=""/>
      <w:lvlJc w:val="left"/>
      <w:pPr>
        <w:ind w:left="720" w:hanging="360"/>
      </w:pPr>
      <w:rPr>
        <w:rFonts w:ascii="Symbol" w:hAnsi="Symbol" w:hint="default"/>
        <w:color w:val="005B9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26EFC"/>
    <w:multiLevelType w:val="hybridMultilevel"/>
    <w:tmpl w:val="A002EB7C"/>
    <w:lvl w:ilvl="0" w:tplc="94C261E2">
      <w:start w:val="1"/>
      <w:numFmt w:val="lowerLetter"/>
      <w:lvlText w:val="(%1)"/>
      <w:lvlJc w:val="left"/>
      <w:pPr>
        <w:ind w:left="704" w:hanging="42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2" w15:restartNumberingAfterBreak="0">
    <w:nsid w:val="55C93EEC"/>
    <w:multiLevelType w:val="hybridMultilevel"/>
    <w:tmpl w:val="888A7F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8E044C1"/>
    <w:multiLevelType w:val="hybridMultilevel"/>
    <w:tmpl w:val="F8628906"/>
    <w:lvl w:ilvl="0" w:tplc="983838F2">
      <w:start w:val="1"/>
      <w:numFmt w:val="lowerLetter"/>
      <w:lvlText w:val="(%1)"/>
      <w:lvlJc w:val="left"/>
      <w:pPr>
        <w:ind w:left="1650" w:hanging="375"/>
      </w:pPr>
      <w:rPr>
        <w:rFonts w:hint="default"/>
      </w:rPr>
    </w:lvl>
    <w:lvl w:ilvl="1" w:tplc="0C090019" w:tentative="1">
      <w:start w:val="1"/>
      <w:numFmt w:val="lowerLetter"/>
      <w:lvlText w:val="%2."/>
      <w:lvlJc w:val="left"/>
      <w:pPr>
        <w:ind w:left="2355" w:hanging="360"/>
      </w:pPr>
    </w:lvl>
    <w:lvl w:ilvl="2" w:tplc="0C09001B" w:tentative="1">
      <w:start w:val="1"/>
      <w:numFmt w:val="lowerRoman"/>
      <w:lvlText w:val="%3."/>
      <w:lvlJc w:val="right"/>
      <w:pPr>
        <w:ind w:left="3075" w:hanging="180"/>
      </w:pPr>
    </w:lvl>
    <w:lvl w:ilvl="3" w:tplc="0C09000F" w:tentative="1">
      <w:start w:val="1"/>
      <w:numFmt w:val="decimal"/>
      <w:lvlText w:val="%4."/>
      <w:lvlJc w:val="left"/>
      <w:pPr>
        <w:ind w:left="3795" w:hanging="360"/>
      </w:pPr>
    </w:lvl>
    <w:lvl w:ilvl="4" w:tplc="0C090019" w:tentative="1">
      <w:start w:val="1"/>
      <w:numFmt w:val="lowerLetter"/>
      <w:lvlText w:val="%5."/>
      <w:lvlJc w:val="left"/>
      <w:pPr>
        <w:ind w:left="4515" w:hanging="360"/>
      </w:pPr>
    </w:lvl>
    <w:lvl w:ilvl="5" w:tplc="0C09001B" w:tentative="1">
      <w:start w:val="1"/>
      <w:numFmt w:val="lowerRoman"/>
      <w:lvlText w:val="%6."/>
      <w:lvlJc w:val="right"/>
      <w:pPr>
        <w:ind w:left="5235" w:hanging="180"/>
      </w:pPr>
    </w:lvl>
    <w:lvl w:ilvl="6" w:tplc="0C09000F" w:tentative="1">
      <w:start w:val="1"/>
      <w:numFmt w:val="decimal"/>
      <w:lvlText w:val="%7."/>
      <w:lvlJc w:val="left"/>
      <w:pPr>
        <w:ind w:left="5955" w:hanging="360"/>
      </w:pPr>
    </w:lvl>
    <w:lvl w:ilvl="7" w:tplc="0C090019" w:tentative="1">
      <w:start w:val="1"/>
      <w:numFmt w:val="lowerLetter"/>
      <w:lvlText w:val="%8."/>
      <w:lvlJc w:val="left"/>
      <w:pPr>
        <w:ind w:left="6675" w:hanging="360"/>
      </w:pPr>
    </w:lvl>
    <w:lvl w:ilvl="8" w:tplc="0C09001B" w:tentative="1">
      <w:start w:val="1"/>
      <w:numFmt w:val="lowerRoman"/>
      <w:lvlText w:val="%9."/>
      <w:lvlJc w:val="right"/>
      <w:pPr>
        <w:ind w:left="7395" w:hanging="180"/>
      </w:pPr>
    </w:lvl>
  </w:abstractNum>
  <w:abstractNum w:abstractNumId="24" w15:restartNumberingAfterBreak="0">
    <w:nsid w:val="64AA0BBF"/>
    <w:multiLevelType w:val="hybridMultilevel"/>
    <w:tmpl w:val="C0E6CAB2"/>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25" w15:restartNumberingAfterBreak="0">
    <w:nsid w:val="6BA97A87"/>
    <w:multiLevelType w:val="hybridMultilevel"/>
    <w:tmpl w:val="A78A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F3065A5"/>
    <w:multiLevelType w:val="multilevel"/>
    <w:tmpl w:val="9738B528"/>
    <w:lvl w:ilvl="0">
      <w:start w:val="1"/>
      <w:numFmt w:val="decimal"/>
      <w:pStyle w:val="Heading1"/>
      <w:lvlText w:val="%1"/>
      <w:lvlJc w:val="left"/>
      <w:pPr>
        <w:ind w:left="43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2."/>
      <w:lvlJc w:val="left"/>
      <w:pPr>
        <w:ind w:left="576" w:hanging="576"/>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7" w15:restartNumberingAfterBreak="0">
    <w:nsid w:val="6F584724"/>
    <w:multiLevelType w:val="multilevel"/>
    <w:tmpl w:val="8676EFCC"/>
    <w:lvl w:ilvl="0">
      <w:start w:val="1"/>
      <w:numFmt w:val="bullet"/>
      <w:lvlText w:val=""/>
      <w:lvlJc w:val="left"/>
      <w:pPr>
        <w:ind w:left="284" w:hanging="284"/>
      </w:pPr>
      <w:rPr>
        <w:rFonts w:ascii="Wingdings" w:hAnsi="Wingdings"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73C34827"/>
    <w:multiLevelType w:val="hybridMultilevel"/>
    <w:tmpl w:val="CF66F0B2"/>
    <w:lvl w:ilvl="0" w:tplc="E0DABF2E">
      <w:start w:val="1"/>
      <w:numFmt w:val="bullet"/>
      <w:pStyle w:val="Policystylebullet"/>
      <w:lvlText w:val=""/>
      <w:lvlJc w:val="left"/>
      <w:pPr>
        <w:ind w:left="587"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5185834"/>
    <w:multiLevelType w:val="hybridMultilevel"/>
    <w:tmpl w:val="33CC786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5F91B6F"/>
    <w:multiLevelType w:val="hybridMultilevel"/>
    <w:tmpl w:val="2E024C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93B1835"/>
    <w:multiLevelType w:val="hybridMultilevel"/>
    <w:tmpl w:val="ABC8991C"/>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2" w15:restartNumberingAfterBreak="0">
    <w:nsid w:val="7D6F5488"/>
    <w:multiLevelType w:val="multilevel"/>
    <w:tmpl w:val="1F266850"/>
    <w:lvl w:ilvl="0">
      <w:start w:val="1"/>
      <w:numFmt w:val="bullet"/>
      <w:lvlText w:val=""/>
      <w:lvlJc w:val="left"/>
      <w:pPr>
        <w:ind w:left="360" w:hanging="360"/>
      </w:pPr>
      <w:rPr>
        <w:rFonts w:ascii="Symbol" w:hAnsi="Symbol" w:hint="default"/>
        <w:color w:val="46A246"/>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2"/>
  </w:num>
  <w:num w:numId="2">
    <w:abstractNumId w:val="2"/>
  </w:num>
  <w:num w:numId="3">
    <w:abstractNumId w:val="1"/>
  </w:num>
  <w:num w:numId="4">
    <w:abstractNumId w:val="1"/>
  </w:num>
  <w:num w:numId="5">
    <w:abstractNumId w:val="0"/>
  </w:num>
  <w:num w:numId="6">
    <w:abstractNumId w:val="20"/>
  </w:num>
  <w:num w:numId="7">
    <w:abstractNumId w:val="28"/>
  </w:num>
  <w:num w:numId="8">
    <w:abstractNumId w:val="9"/>
  </w:num>
  <w:num w:numId="9">
    <w:abstractNumId w:val="10"/>
  </w:num>
  <w:num w:numId="10">
    <w:abstractNumId w:val="27"/>
  </w:num>
  <w:num w:numId="11">
    <w:abstractNumId w:val="32"/>
  </w:num>
  <w:num w:numId="12">
    <w:abstractNumId w:val="19"/>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7"/>
  </w:num>
  <w:num w:numId="17">
    <w:abstractNumId w:val="13"/>
  </w:num>
  <w:num w:numId="18">
    <w:abstractNumId w:val="11"/>
  </w:num>
  <w:num w:numId="19">
    <w:abstractNumId w:val="26"/>
  </w:num>
  <w:num w:numId="20">
    <w:abstractNumId w:val="25"/>
  </w:num>
  <w:num w:numId="21">
    <w:abstractNumId w:val="14"/>
  </w:num>
  <w:num w:numId="22">
    <w:abstractNumId w:val="26"/>
  </w:num>
  <w:num w:numId="23">
    <w:abstractNumId w:val="17"/>
  </w:num>
  <w:num w:numId="24">
    <w:abstractNumId w:val="24"/>
  </w:num>
  <w:num w:numId="25">
    <w:abstractNumId w:val="21"/>
  </w:num>
  <w:num w:numId="26">
    <w:abstractNumId w:val="16"/>
  </w:num>
  <w:num w:numId="27">
    <w:abstractNumId w:val="8"/>
  </w:num>
  <w:num w:numId="2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26"/>
  </w:num>
  <w:num w:numId="31">
    <w:abstractNumId w:val="26"/>
  </w:num>
  <w:num w:numId="32">
    <w:abstractNumId w:val="26"/>
  </w:num>
  <w:num w:numId="33">
    <w:abstractNumId w:val="31"/>
  </w:num>
  <w:num w:numId="34">
    <w:abstractNumId w:val="5"/>
  </w:num>
  <w:num w:numId="35">
    <w:abstractNumId w:val="26"/>
  </w:num>
  <w:num w:numId="36">
    <w:abstractNumId w:val="26"/>
  </w:num>
  <w:num w:numId="37">
    <w:abstractNumId w:val="15"/>
  </w:num>
  <w:num w:numId="38">
    <w:abstractNumId w:val="4"/>
  </w:num>
  <w:num w:numId="39">
    <w:abstractNumId w:val="12"/>
  </w:num>
  <w:num w:numId="40">
    <w:abstractNumId w:val="23"/>
  </w:num>
  <w:num w:numId="41">
    <w:abstractNumId w:val="18"/>
  </w:num>
  <w:num w:numId="42">
    <w:abstractNumId w:val="26"/>
  </w:num>
  <w:num w:numId="43">
    <w:abstractNumId w:val="26"/>
  </w:num>
  <w:num w:numId="44">
    <w:abstractNumId w:val="3"/>
  </w:num>
  <w:num w:numId="45">
    <w:abstractNumId w:val="6"/>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81B"/>
    <w:rsid w:val="00013B12"/>
    <w:rsid w:val="00025107"/>
    <w:rsid w:val="00037CE8"/>
    <w:rsid w:val="00047420"/>
    <w:rsid w:val="000571FD"/>
    <w:rsid w:val="00072919"/>
    <w:rsid w:val="000733E1"/>
    <w:rsid w:val="00081B2E"/>
    <w:rsid w:val="0008333A"/>
    <w:rsid w:val="00087A77"/>
    <w:rsid w:val="00097260"/>
    <w:rsid w:val="000B06D8"/>
    <w:rsid w:val="000B487C"/>
    <w:rsid w:val="000C11CB"/>
    <w:rsid w:val="000C51DE"/>
    <w:rsid w:val="000D1131"/>
    <w:rsid w:val="000D1B81"/>
    <w:rsid w:val="000D26D9"/>
    <w:rsid w:val="000D76CC"/>
    <w:rsid w:val="000E4018"/>
    <w:rsid w:val="000F6E3D"/>
    <w:rsid w:val="000F714E"/>
    <w:rsid w:val="001054CC"/>
    <w:rsid w:val="00106C3E"/>
    <w:rsid w:val="001108B0"/>
    <w:rsid w:val="00113A8C"/>
    <w:rsid w:val="0012609A"/>
    <w:rsid w:val="001301EA"/>
    <w:rsid w:val="00137E0E"/>
    <w:rsid w:val="00146678"/>
    <w:rsid w:val="001611D8"/>
    <w:rsid w:val="001727C0"/>
    <w:rsid w:val="001C0387"/>
    <w:rsid w:val="001D3848"/>
    <w:rsid w:val="001D3B66"/>
    <w:rsid w:val="001F64BF"/>
    <w:rsid w:val="002028D0"/>
    <w:rsid w:val="00202F82"/>
    <w:rsid w:val="002031EB"/>
    <w:rsid w:val="002032B1"/>
    <w:rsid w:val="002138E6"/>
    <w:rsid w:val="002257DD"/>
    <w:rsid w:val="00225F60"/>
    <w:rsid w:val="00236F9D"/>
    <w:rsid w:val="00247A7C"/>
    <w:rsid w:val="00250FD7"/>
    <w:rsid w:val="00257FD1"/>
    <w:rsid w:val="002609FD"/>
    <w:rsid w:val="002733B8"/>
    <w:rsid w:val="00280458"/>
    <w:rsid w:val="0028138A"/>
    <w:rsid w:val="0028549B"/>
    <w:rsid w:val="0029313D"/>
    <w:rsid w:val="0029368F"/>
    <w:rsid w:val="002A3352"/>
    <w:rsid w:val="002A3BFB"/>
    <w:rsid w:val="002A71B0"/>
    <w:rsid w:val="002B07F8"/>
    <w:rsid w:val="002B179C"/>
    <w:rsid w:val="002B2143"/>
    <w:rsid w:val="002C73CE"/>
    <w:rsid w:val="002E28C3"/>
    <w:rsid w:val="002E4793"/>
    <w:rsid w:val="002E5EA1"/>
    <w:rsid w:val="002E6C03"/>
    <w:rsid w:val="00305313"/>
    <w:rsid w:val="003056CE"/>
    <w:rsid w:val="00306A61"/>
    <w:rsid w:val="00307837"/>
    <w:rsid w:val="00326CE3"/>
    <w:rsid w:val="00332344"/>
    <w:rsid w:val="0033600D"/>
    <w:rsid w:val="00340D8E"/>
    <w:rsid w:val="003571BE"/>
    <w:rsid w:val="00371B49"/>
    <w:rsid w:val="00373AE3"/>
    <w:rsid w:val="003746C3"/>
    <w:rsid w:val="003A3777"/>
    <w:rsid w:val="003A77A6"/>
    <w:rsid w:val="003C56FE"/>
    <w:rsid w:val="003E06BD"/>
    <w:rsid w:val="003E3036"/>
    <w:rsid w:val="003F3887"/>
    <w:rsid w:val="003F6667"/>
    <w:rsid w:val="0040351B"/>
    <w:rsid w:val="0040691D"/>
    <w:rsid w:val="0041384D"/>
    <w:rsid w:val="00425A39"/>
    <w:rsid w:val="004269BF"/>
    <w:rsid w:val="0043139E"/>
    <w:rsid w:val="00434CFD"/>
    <w:rsid w:val="00441C2B"/>
    <w:rsid w:val="004515E6"/>
    <w:rsid w:val="004518E8"/>
    <w:rsid w:val="00455DAF"/>
    <w:rsid w:val="00463428"/>
    <w:rsid w:val="00464FF3"/>
    <w:rsid w:val="00467DAE"/>
    <w:rsid w:val="0048131F"/>
    <w:rsid w:val="0048373F"/>
    <w:rsid w:val="00485FA5"/>
    <w:rsid w:val="004B0101"/>
    <w:rsid w:val="004B402B"/>
    <w:rsid w:val="004D75C9"/>
    <w:rsid w:val="004E56BB"/>
    <w:rsid w:val="0051782C"/>
    <w:rsid w:val="00517893"/>
    <w:rsid w:val="005222F6"/>
    <w:rsid w:val="00524E66"/>
    <w:rsid w:val="005305AD"/>
    <w:rsid w:val="00530C38"/>
    <w:rsid w:val="00541E6D"/>
    <w:rsid w:val="00557B05"/>
    <w:rsid w:val="0056770A"/>
    <w:rsid w:val="00576E85"/>
    <w:rsid w:val="00584382"/>
    <w:rsid w:val="0059161C"/>
    <w:rsid w:val="00597063"/>
    <w:rsid w:val="005A528E"/>
    <w:rsid w:val="005B2BC4"/>
    <w:rsid w:val="005B615F"/>
    <w:rsid w:val="005C2D10"/>
    <w:rsid w:val="005C394E"/>
    <w:rsid w:val="005F35BC"/>
    <w:rsid w:val="00605C03"/>
    <w:rsid w:val="00612E50"/>
    <w:rsid w:val="00616171"/>
    <w:rsid w:val="006220FF"/>
    <w:rsid w:val="00625BFA"/>
    <w:rsid w:val="0062687B"/>
    <w:rsid w:val="00643318"/>
    <w:rsid w:val="006463A9"/>
    <w:rsid w:val="00671B69"/>
    <w:rsid w:val="006743DA"/>
    <w:rsid w:val="00675CDF"/>
    <w:rsid w:val="00682C30"/>
    <w:rsid w:val="006C6D4B"/>
    <w:rsid w:val="006D1A93"/>
    <w:rsid w:val="006D6331"/>
    <w:rsid w:val="006E021F"/>
    <w:rsid w:val="006E1019"/>
    <w:rsid w:val="006E727D"/>
    <w:rsid w:val="006F5B22"/>
    <w:rsid w:val="00704829"/>
    <w:rsid w:val="00710FA3"/>
    <w:rsid w:val="00730CAD"/>
    <w:rsid w:val="007453AF"/>
    <w:rsid w:val="0075034E"/>
    <w:rsid w:val="007512EA"/>
    <w:rsid w:val="0075258E"/>
    <w:rsid w:val="00756985"/>
    <w:rsid w:val="00762134"/>
    <w:rsid w:val="00763723"/>
    <w:rsid w:val="007754BF"/>
    <w:rsid w:val="0078622C"/>
    <w:rsid w:val="0078685A"/>
    <w:rsid w:val="007B3A6B"/>
    <w:rsid w:val="007B408A"/>
    <w:rsid w:val="007D015A"/>
    <w:rsid w:val="007E31F6"/>
    <w:rsid w:val="007E462F"/>
    <w:rsid w:val="007E7605"/>
    <w:rsid w:val="007F136F"/>
    <w:rsid w:val="0080134A"/>
    <w:rsid w:val="008074D9"/>
    <w:rsid w:val="00810F30"/>
    <w:rsid w:val="00826093"/>
    <w:rsid w:val="00830113"/>
    <w:rsid w:val="00843974"/>
    <w:rsid w:val="008603CF"/>
    <w:rsid w:val="00873192"/>
    <w:rsid w:val="00874237"/>
    <w:rsid w:val="008952B2"/>
    <w:rsid w:val="008A4F65"/>
    <w:rsid w:val="008D45A8"/>
    <w:rsid w:val="008D7444"/>
    <w:rsid w:val="008E50A4"/>
    <w:rsid w:val="008E6578"/>
    <w:rsid w:val="00936906"/>
    <w:rsid w:val="0094077E"/>
    <w:rsid w:val="00941549"/>
    <w:rsid w:val="00943CA8"/>
    <w:rsid w:val="00945A56"/>
    <w:rsid w:val="00952FE7"/>
    <w:rsid w:val="0095327E"/>
    <w:rsid w:val="00957096"/>
    <w:rsid w:val="00962C21"/>
    <w:rsid w:val="00977C47"/>
    <w:rsid w:val="009823BB"/>
    <w:rsid w:val="0099238A"/>
    <w:rsid w:val="009A66EC"/>
    <w:rsid w:val="009B2F00"/>
    <w:rsid w:val="009B562D"/>
    <w:rsid w:val="009C6B07"/>
    <w:rsid w:val="009E25D7"/>
    <w:rsid w:val="009F57F5"/>
    <w:rsid w:val="00A020DF"/>
    <w:rsid w:val="00A10235"/>
    <w:rsid w:val="00A354AF"/>
    <w:rsid w:val="00A35715"/>
    <w:rsid w:val="00A37249"/>
    <w:rsid w:val="00A4011C"/>
    <w:rsid w:val="00A41839"/>
    <w:rsid w:val="00A418C4"/>
    <w:rsid w:val="00A707AB"/>
    <w:rsid w:val="00A710B8"/>
    <w:rsid w:val="00A71AF0"/>
    <w:rsid w:val="00AA29B3"/>
    <w:rsid w:val="00AA45C7"/>
    <w:rsid w:val="00AC5520"/>
    <w:rsid w:val="00AD0586"/>
    <w:rsid w:val="00AD5DDF"/>
    <w:rsid w:val="00AE00D9"/>
    <w:rsid w:val="00AE57C3"/>
    <w:rsid w:val="00B06A65"/>
    <w:rsid w:val="00B06EA2"/>
    <w:rsid w:val="00B1402A"/>
    <w:rsid w:val="00B27969"/>
    <w:rsid w:val="00B27BF1"/>
    <w:rsid w:val="00B42CBC"/>
    <w:rsid w:val="00B45F6E"/>
    <w:rsid w:val="00B53650"/>
    <w:rsid w:val="00B556DD"/>
    <w:rsid w:val="00B615E1"/>
    <w:rsid w:val="00B64323"/>
    <w:rsid w:val="00BA72C3"/>
    <w:rsid w:val="00BB48C7"/>
    <w:rsid w:val="00BC60C0"/>
    <w:rsid w:val="00BD0971"/>
    <w:rsid w:val="00BE57CE"/>
    <w:rsid w:val="00BF16AB"/>
    <w:rsid w:val="00BF6352"/>
    <w:rsid w:val="00C10A51"/>
    <w:rsid w:val="00C110C9"/>
    <w:rsid w:val="00C33495"/>
    <w:rsid w:val="00C43809"/>
    <w:rsid w:val="00C50934"/>
    <w:rsid w:val="00C64BCF"/>
    <w:rsid w:val="00C74007"/>
    <w:rsid w:val="00C75F2B"/>
    <w:rsid w:val="00C84FF1"/>
    <w:rsid w:val="00C85FCE"/>
    <w:rsid w:val="00C867BE"/>
    <w:rsid w:val="00C874D0"/>
    <w:rsid w:val="00C9095F"/>
    <w:rsid w:val="00CA1D7A"/>
    <w:rsid w:val="00CA2196"/>
    <w:rsid w:val="00CB3B5D"/>
    <w:rsid w:val="00CC08AC"/>
    <w:rsid w:val="00CC193C"/>
    <w:rsid w:val="00CC39DD"/>
    <w:rsid w:val="00CC7585"/>
    <w:rsid w:val="00CD3C17"/>
    <w:rsid w:val="00CE238B"/>
    <w:rsid w:val="00CF1B23"/>
    <w:rsid w:val="00CF5BBF"/>
    <w:rsid w:val="00D04DE9"/>
    <w:rsid w:val="00D107AA"/>
    <w:rsid w:val="00D214F0"/>
    <w:rsid w:val="00D265AF"/>
    <w:rsid w:val="00D30B91"/>
    <w:rsid w:val="00D34C60"/>
    <w:rsid w:val="00D3790F"/>
    <w:rsid w:val="00D43843"/>
    <w:rsid w:val="00D461F5"/>
    <w:rsid w:val="00D63ED2"/>
    <w:rsid w:val="00D71560"/>
    <w:rsid w:val="00D75349"/>
    <w:rsid w:val="00D7704D"/>
    <w:rsid w:val="00D96E3A"/>
    <w:rsid w:val="00DA429F"/>
    <w:rsid w:val="00DC088C"/>
    <w:rsid w:val="00DC5331"/>
    <w:rsid w:val="00DE7C03"/>
    <w:rsid w:val="00DF6F9A"/>
    <w:rsid w:val="00E000A7"/>
    <w:rsid w:val="00E02BF6"/>
    <w:rsid w:val="00E04571"/>
    <w:rsid w:val="00E04B03"/>
    <w:rsid w:val="00E102FA"/>
    <w:rsid w:val="00E114B8"/>
    <w:rsid w:val="00E246D3"/>
    <w:rsid w:val="00E542CB"/>
    <w:rsid w:val="00E60511"/>
    <w:rsid w:val="00E7230B"/>
    <w:rsid w:val="00E76BA5"/>
    <w:rsid w:val="00E76FFD"/>
    <w:rsid w:val="00E80D55"/>
    <w:rsid w:val="00E81A09"/>
    <w:rsid w:val="00E92B33"/>
    <w:rsid w:val="00E9718D"/>
    <w:rsid w:val="00E97ECF"/>
    <w:rsid w:val="00EB0E4F"/>
    <w:rsid w:val="00EB24FE"/>
    <w:rsid w:val="00EB5800"/>
    <w:rsid w:val="00EB6327"/>
    <w:rsid w:val="00EC34BE"/>
    <w:rsid w:val="00EC5346"/>
    <w:rsid w:val="00EC7B1B"/>
    <w:rsid w:val="00ED136A"/>
    <w:rsid w:val="00ED14A0"/>
    <w:rsid w:val="00EF26CB"/>
    <w:rsid w:val="00F10542"/>
    <w:rsid w:val="00F1483E"/>
    <w:rsid w:val="00F15E50"/>
    <w:rsid w:val="00F20267"/>
    <w:rsid w:val="00F33CEE"/>
    <w:rsid w:val="00F62ED4"/>
    <w:rsid w:val="00F64926"/>
    <w:rsid w:val="00F71068"/>
    <w:rsid w:val="00F717DF"/>
    <w:rsid w:val="00F806ED"/>
    <w:rsid w:val="00F81571"/>
    <w:rsid w:val="00F85C60"/>
    <w:rsid w:val="00F86837"/>
    <w:rsid w:val="00FA171A"/>
    <w:rsid w:val="00FA62E3"/>
    <w:rsid w:val="00FA7CF3"/>
    <w:rsid w:val="00FB170C"/>
    <w:rsid w:val="00FC0398"/>
    <w:rsid w:val="00FC3C9B"/>
    <w:rsid w:val="00FC6E53"/>
    <w:rsid w:val="00FD1C3E"/>
    <w:rsid w:val="00FE1A65"/>
    <w:rsid w:val="00FE2CE0"/>
    <w:rsid w:val="00FF381B"/>
    <w:rsid w:val="00FF605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01"/>
    <o:shapelayout v:ext="edit">
      <o:idmap v:ext="edit" data="1"/>
    </o:shapelayout>
  </w:shapeDefaults>
  <w:decimalSymbol w:val="."/>
  <w:listSeparator w:val=","/>
  <w14:docId w14:val="53009C6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E53"/>
    <w:pPr>
      <w:spacing w:before="240" w:line="260" w:lineRule="auto"/>
    </w:pPr>
    <w:rPr>
      <w:rFonts w:ascii="Arial" w:eastAsia="Times New Roman" w:hAnsi="Arial" w:cs="Times New Roman"/>
      <w:sz w:val="21"/>
      <w:lang w:val="en-AU"/>
    </w:rPr>
  </w:style>
  <w:style w:type="paragraph" w:styleId="Heading1">
    <w:name w:val="heading 1"/>
    <w:next w:val="Normal"/>
    <w:link w:val="Heading1Char"/>
    <w:qFormat/>
    <w:rsid w:val="006D1A93"/>
    <w:pPr>
      <w:keepNext/>
      <w:keepLines/>
      <w:numPr>
        <w:numId w:val="13"/>
      </w:numPr>
      <w:spacing w:before="480" w:after="360"/>
      <w:outlineLvl w:val="0"/>
    </w:pPr>
    <w:rPr>
      <w:rFonts w:ascii="Arial" w:eastAsia="MS Gothic" w:hAnsi="Arial" w:cstheme="majorBidi"/>
      <w:color w:val="3F4A75"/>
      <w:sz w:val="40"/>
      <w:szCs w:val="36"/>
      <w:lang w:val="en-US" w:eastAsia="en-AU"/>
    </w:rPr>
  </w:style>
  <w:style w:type="paragraph" w:styleId="Heading2">
    <w:name w:val="heading 2"/>
    <w:basedOn w:val="Normal"/>
    <w:next w:val="Normal"/>
    <w:link w:val="Heading2Char"/>
    <w:uiPriority w:val="9"/>
    <w:unhideWhenUsed/>
    <w:qFormat/>
    <w:rsid w:val="000F714E"/>
    <w:pPr>
      <w:keepNext/>
      <w:keepLines/>
      <w:numPr>
        <w:ilvl w:val="1"/>
        <w:numId w:val="13"/>
      </w:numPr>
      <w:spacing w:before="360" w:after="120" w:line="281" w:lineRule="auto"/>
      <w:outlineLvl w:val="1"/>
    </w:pPr>
    <w:rPr>
      <w:rFonts w:eastAsia="MS Gothic"/>
      <w:bCs/>
      <w:color w:val="358189"/>
      <w:sz w:val="24"/>
      <w:szCs w:val="26"/>
      <w:lang w:val="en-US"/>
    </w:rPr>
  </w:style>
  <w:style w:type="paragraph" w:styleId="Heading3">
    <w:name w:val="heading 3"/>
    <w:basedOn w:val="Normal"/>
    <w:next w:val="Normal"/>
    <w:link w:val="Heading3Char"/>
    <w:uiPriority w:val="9"/>
    <w:unhideWhenUsed/>
    <w:qFormat/>
    <w:rsid w:val="00557B05"/>
    <w:pPr>
      <w:keepNext/>
      <w:keepLines/>
      <w:numPr>
        <w:ilvl w:val="2"/>
        <w:numId w:val="13"/>
      </w:numPr>
      <w:spacing w:before="360" w:line="271" w:lineRule="auto"/>
      <w:outlineLvl w:val="2"/>
    </w:pPr>
    <w:rPr>
      <w:rFonts w:eastAsia="MS Gothic"/>
      <w:b/>
      <w:color w:val="358189"/>
      <w:sz w:val="22"/>
      <w:lang w:val="en-US"/>
    </w:rPr>
  </w:style>
  <w:style w:type="paragraph" w:styleId="Heading4">
    <w:name w:val="heading 4"/>
    <w:basedOn w:val="Normal"/>
    <w:next w:val="Normal"/>
    <w:link w:val="Heading4Char"/>
    <w:uiPriority w:val="9"/>
    <w:unhideWhenUsed/>
    <w:qFormat/>
    <w:rsid w:val="00557B05"/>
    <w:pPr>
      <w:keepNext/>
      <w:keepLines/>
      <w:numPr>
        <w:ilvl w:val="3"/>
        <w:numId w:val="13"/>
      </w:numPr>
      <w:spacing w:before="360" w:line="259" w:lineRule="auto"/>
      <w:outlineLvl w:val="3"/>
    </w:pPr>
    <w:rPr>
      <w:rFonts w:eastAsia="MS Gothic"/>
      <w:i/>
      <w:iCs/>
      <w:color w:val="358189"/>
      <w:sz w:val="22"/>
      <w:lang w:val="en-US"/>
    </w:rPr>
  </w:style>
  <w:style w:type="paragraph" w:styleId="Heading5">
    <w:name w:val="heading 5"/>
    <w:basedOn w:val="Normal"/>
    <w:next w:val="Normal"/>
    <w:link w:val="Heading5Char"/>
    <w:rsid w:val="002E28C3"/>
    <w:pPr>
      <w:keepNext/>
      <w:numPr>
        <w:ilvl w:val="4"/>
        <w:numId w:val="13"/>
      </w:numPr>
      <w:spacing w:after="60"/>
      <w:outlineLvl w:val="4"/>
    </w:pPr>
    <w:rPr>
      <w:b/>
      <w:bCs/>
      <w:iCs/>
      <w:szCs w:val="26"/>
    </w:rPr>
  </w:style>
  <w:style w:type="paragraph" w:styleId="Heading6">
    <w:name w:val="heading 6"/>
    <w:basedOn w:val="Normal"/>
    <w:next w:val="Normal"/>
    <w:link w:val="Heading6Char"/>
    <w:uiPriority w:val="9"/>
    <w:semiHidden/>
    <w:unhideWhenUsed/>
    <w:qFormat/>
    <w:rsid w:val="00C874D0"/>
    <w:pPr>
      <w:keepNext/>
      <w:keepLines/>
      <w:numPr>
        <w:ilvl w:val="5"/>
        <w:numId w:val="1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C874D0"/>
    <w:pPr>
      <w:keepNext/>
      <w:keepLines/>
      <w:numPr>
        <w:ilvl w:val="6"/>
        <w:numId w:val="1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C874D0"/>
    <w:pPr>
      <w:keepNext/>
      <w:keepLines/>
      <w:numPr>
        <w:ilvl w:val="7"/>
        <w:numId w:val="13"/>
      </w:numPr>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C874D0"/>
    <w:pPr>
      <w:keepNext/>
      <w:keepLines/>
      <w:numPr>
        <w:ilvl w:val="8"/>
        <w:numId w:val="13"/>
      </w:numPr>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D1A93"/>
    <w:rPr>
      <w:rFonts w:ascii="Arial" w:eastAsia="MS Gothic" w:hAnsi="Arial" w:cstheme="majorBidi"/>
      <w:color w:val="3F4A75"/>
      <w:sz w:val="40"/>
      <w:szCs w:val="36"/>
      <w:lang w:val="en-US" w:eastAsia="en-AU"/>
    </w:rPr>
  </w:style>
  <w:style w:type="character" w:customStyle="1" w:styleId="Heading2Char">
    <w:name w:val="Heading 2 Char"/>
    <w:basedOn w:val="DefaultParagraphFont"/>
    <w:link w:val="Heading2"/>
    <w:uiPriority w:val="9"/>
    <w:rsid w:val="000F714E"/>
    <w:rPr>
      <w:rFonts w:ascii="Arial" w:eastAsia="MS Gothic" w:hAnsi="Arial" w:cs="Times New Roman"/>
      <w:bCs/>
      <w:color w:val="358189"/>
      <w:szCs w:val="26"/>
      <w:lang w:val="en-US"/>
    </w:rPr>
  </w:style>
  <w:style w:type="character" w:customStyle="1" w:styleId="Heading3Char">
    <w:name w:val="Heading 3 Char"/>
    <w:basedOn w:val="DefaultParagraphFont"/>
    <w:link w:val="Heading3"/>
    <w:uiPriority w:val="9"/>
    <w:rsid w:val="00557B05"/>
    <w:rPr>
      <w:rFonts w:ascii="Arial" w:eastAsia="MS Gothic" w:hAnsi="Arial" w:cs="Times New Roman"/>
      <w:b/>
      <w:color w:val="358189"/>
      <w:sz w:val="22"/>
      <w:lang w:val="en-US"/>
    </w:rPr>
  </w:style>
  <w:style w:type="character" w:customStyle="1" w:styleId="Heading4Char">
    <w:name w:val="Heading 4 Char"/>
    <w:basedOn w:val="DefaultParagraphFont"/>
    <w:link w:val="Heading4"/>
    <w:uiPriority w:val="9"/>
    <w:rsid w:val="00557B05"/>
    <w:rPr>
      <w:rFonts w:ascii="Arial" w:eastAsia="MS Gothic" w:hAnsi="Arial" w:cs="Times New Roman"/>
      <w:i/>
      <w:iCs/>
      <w:color w:val="358189"/>
      <w:sz w:val="22"/>
      <w:lang w:val="en-US"/>
    </w:rPr>
  </w:style>
  <w:style w:type="character" w:customStyle="1" w:styleId="Heading5Char">
    <w:name w:val="Heading 5 Char"/>
    <w:basedOn w:val="DefaultParagraphFont"/>
    <w:link w:val="Heading5"/>
    <w:rsid w:val="002E28C3"/>
    <w:rPr>
      <w:rFonts w:ascii="Arial" w:eastAsiaTheme="minorEastAsia" w:hAnsi="Arial"/>
      <w:b/>
      <w:bCs/>
      <w:iCs/>
      <w:color w:val="595959" w:themeColor="text1" w:themeTint="A6"/>
      <w:sz w:val="21"/>
      <w:szCs w:val="26"/>
      <w:lang w:val="en-AU" w:eastAsia="en-AU"/>
    </w:rPr>
  </w:style>
  <w:style w:type="paragraph" w:customStyle="1" w:styleId="IntroPara">
    <w:name w:val="Intro Para"/>
    <w:basedOn w:val="Normal"/>
    <w:qFormat/>
    <w:rsid w:val="002E28C3"/>
    <w:pPr>
      <w:spacing w:after="120" w:line="320" w:lineRule="auto"/>
    </w:pPr>
    <w:rPr>
      <w:rFonts w:cs="Times New Roman (Body CS)"/>
      <w:sz w:val="26"/>
    </w:rPr>
  </w:style>
  <w:style w:type="paragraph" w:styleId="ListBullet">
    <w:name w:val="List Bullet"/>
    <w:basedOn w:val="Normal"/>
    <w:uiPriority w:val="99"/>
    <w:unhideWhenUsed/>
    <w:qFormat/>
    <w:rsid w:val="002E28C3"/>
    <w:pPr>
      <w:spacing w:after="120" w:line="271" w:lineRule="auto"/>
      <w:ind w:left="357" w:hanging="357"/>
    </w:pPr>
    <w:rPr>
      <w:szCs w:val="21"/>
    </w:rPr>
  </w:style>
  <w:style w:type="paragraph" w:styleId="ListNumber">
    <w:name w:val="List Number"/>
    <w:basedOn w:val="Normal"/>
    <w:uiPriority w:val="99"/>
    <w:unhideWhenUsed/>
    <w:qFormat/>
    <w:rsid w:val="002E28C3"/>
    <w:pPr>
      <w:spacing w:after="120"/>
    </w:pPr>
  </w:style>
  <w:style w:type="paragraph" w:styleId="ListNumber2">
    <w:name w:val="List Number 2"/>
    <w:basedOn w:val="Normal"/>
    <w:uiPriority w:val="99"/>
    <w:unhideWhenUsed/>
    <w:qFormat/>
    <w:rsid w:val="002E28C3"/>
    <w:pPr>
      <w:contextualSpacing/>
    </w:pPr>
  </w:style>
  <w:style w:type="paragraph" w:styleId="ListParagraph">
    <w:name w:val="List Paragraph"/>
    <w:basedOn w:val="Normal"/>
    <w:uiPriority w:val="34"/>
    <w:qFormat/>
    <w:rsid w:val="002E28C3"/>
    <w:pPr>
      <w:ind w:left="720"/>
      <w:contextualSpacing/>
    </w:pPr>
  </w:style>
  <w:style w:type="character" w:styleId="Strong">
    <w:name w:val="Strong"/>
    <w:basedOn w:val="DefaultParagraphFont"/>
    <w:uiPriority w:val="22"/>
    <w:qFormat/>
    <w:rsid w:val="002E28C3"/>
    <w:rPr>
      <w:b/>
      <w:bCs/>
    </w:rPr>
  </w:style>
  <w:style w:type="paragraph" w:styleId="Title">
    <w:name w:val="Title"/>
    <w:basedOn w:val="Normal"/>
    <w:next w:val="Normal"/>
    <w:link w:val="TitleChar"/>
    <w:rsid w:val="002E28C3"/>
    <w:pPr>
      <w:pBdr>
        <w:bottom w:val="single" w:sz="8" w:space="4" w:color="4472C4" w:themeColor="accent1"/>
      </w:pBdr>
      <w:spacing w:after="300"/>
      <w:contextualSpacing/>
      <w:jc w:val="center"/>
    </w:pPr>
    <w:rPr>
      <w:rFonts w:eastAsiaTheme="majorEastAsia" w:cstheme="majorBidi"/>
      <w:b/>
      <w:kern w:val="28"/>
      <w:sz w:val="32"/>
      <w:szCs w:val="52"/>
    </w:rPr>
  </w:style>
  <w:style w:type="character" w:customStyle="1" w:styleId="TitleChar">
    <w:name w:val="Title Char"/>
    <w:basedOn w:val="DefaultParagraphFont"/>
    <w:link w:val="Title"/>
    <w:rsid w:val="002E28C3"/>
    <w:rPr>
      <w:rFonts w:ascii="Arial" w:eastAsiaTheme="majorEastAsia" w:hAnsi="Arial" w:cstheme="majorBidi"/>
      <w:b/>
      <w:color w:val="595959" w:themeColor="text1" w:themeTint="A6"/>
      <w:kern w:val="28"/>
      <w:sz w:val="32"/>
      <w:szCs w:val="52"/>
      <w:lang w:val="en-AU" w:eastAsia="en-AU"/>
    </w:rPr>
  </w:style>
  <w:style w:type="paragraph" w:styleId="IntenseQuote">
    <w:name w:val="Intense Quote"/>
    <w:basedOn w:val="Normal"/>
    <w:next w:val="Normal"/>
    <w:link w:val="IntenseQuoteChar"/>
    <w:autoRedefine/>
    <w:uiPriority w:val="30"/>
    <w:qFormat/>
    <w:rsid w:val="00C74007"/>
    <w:pPr>
      <w:spacing w:before="480" w:after="240" w:line="400" w:lineRule="exact"/>
      <w:ind w:right="1134"/>
    </w:pPr>
    <w:rPr>
      <w:iCs/>
      <w:color w:val="358189"/>
      <w:sz w:val="28"/>
    </w:rPr>
  </w:style>
  <w:style w:type="character" w:customStyle="1" w:styleId="IntenseQuoteChar">
    <w:name w:val="Intense Quote Char"/>
    <w:basedOn w:val="DefaultParagraphFont"/>
    <w:link w:val="IntenseQuote"/>
    <w:uiPriority w:val="30"/>
    <w:rsid w:val="00C74007"/>
    <w:rPr>
      <w:rFonts w:ascii="Arial" w:eastAsia="Times New Roman" w:hAnsi="Arial" w:cs="Times New Roman"/>
      <w:iCs/>
      <w:color w:val="358189"/>
      <w:sz w:val="28"/>
      <w:lang w:val="en-AU"/>
    </w:rPr>
  </w:style>
  <w:style w:type="paragraph" w:customStyle="1" w:styleId="PolicyStatement">
    <w:name w:val="PolicyStatement"/>
    <w:basedOn w:val="Normal"/>
    <w:qFormat/>
    <w:rsid w:val="00557B05"/>
    <w:pPr>
      <w:pBdr>
        <w:top w:val="single" w:sz="4" w:space="20" w:color="F2F2F2" w:themeColor="background1" w:themeShade="F2"/>
        <w:left w:val="single" w:sz="4" w:space="10" w:color="F2F2F2" w:themeColor="background1" w:themeShade="F2"/>
        <w:bottom w:val="single" w:sz="4" w:space="10" w:color="F2F2F2" w:themeColor="background1" w:themeShade="F2"/>
        <w:right w:val="single" w:sz="4" w:space="10" w:color="F2F2F2" w:themeColor="background1" w:themeShade="F2"/>
      </w:pBdr>
      <w:shd w:val="clear" w:color="auto" w:fill="F2F2F2" w:themeFill="background1" w:themeFillShade="F2"/>
      <w:ind w:left="227" w:right="227"/>
    </w:pPr>
  </w:style>
  <w:style w:type="paragraph" w:customStyle="1" w:styleId="VisionBox">
    <w:name w:val="VisionBox"/>
    <w:basedOn w:val="Normal"/>
    <w:qFormat/>
    <w:rsid w:val="00557B05"/>
    <w:pPr>
      <w:pBdr>
        <w:top w:val="single" w:sz="4" w:space="15" w:color="358189"/>
        <w:bottom w:val="single" w:sz="4" w:space="10" w:color="358189"/>
      </w:pBdr>
      <w:spacing w:before="360" w:after="360" w:line="340" w:lineRule="exact"/>
    </w:pPr>
    <w:rPr>
      <w:rFonts w:eastAsiaTheme="minorHAnsi"/>
      <w:color w:val="358189"/>
      <w:sz w:val="22"/>
    </w:rPr>
  </w:style>
  <w:style w:type="paragraph" w:customStyle="1" w:styleId="Policystylebullet">
    <w:name w:val="Policy style bullet"/>
    <w:basedOn w:val="PolicyStatement"/>
    <w:qFormat/>
    <w:rsid w:val="00FF381B"/>
    <w:pPr>
      <w:numPr>
        <w:numId w:val="7"/>
      </w:numPr>
    </w:pPr>
  </w:style>
  <w:style w:type="paragraph" w:customStyle="1" w:styleId="Style1">
    <w:name w:val="Style1"/>
    <w:next w:val="Normal"/>
    <w:qFormat/>
    <w:rsid w:val="00557B05"/>
    <w:pPr>
      <w:pBdr>
        <w:top w:val="single" w:sz="6" w:space="20" w:color="358189"/>
        <w:left w:val="single" w:sz="6" w:space="10" w:color="358189"/>
        <w:bottom w:val="single" w:sz="6" w:space="10" w:color="358189"/>
        <w:right w:val="single" w:sz="6" w:space="10" w:color="358189"/>
      </w:pBdr>
      <w:spacing w:after="240" w:line="260" w:lineRule="auto"/>
      <w:ind w:left="227" w:right="227"/>
    </w:pPr>
    <w:rPr>
      <w:rFonts w:ascii="Arial" w:eastAsia="Times New Roman" w:hAnsi="Arial" w:cs="Arial"/>
      <w:color w:val="000000" w:themeColor="text1"/>
      <w:sz w:val="21"/>
      <w:lang w:val="en"/>
    </w:rPr>
  </w:style>
  <w:style w:type="character" w:customStyle="1" w:styleId="BoldAllCaps">
    <w:name w:val="Bold All Caps"/>
    <w:basedOn w:val="DefaultParagraphFont"/>
    <w:uiPriority w:val="1"/>
    <w:qFormat/>
    <w:rsid w:val="00557B05"/>
    <w:rPr>
      <w:b/>
      <w:caps/>
      <w:smallCaps w:val="0"/>
      <w:color w:val="358189"/>
      <w:bdr w:val="none" w:sz="0" w:space="0" w:color="auto"/>
    </w:rPr>
  </w:style>
  <w:style w:type="paragraph" w:customStyle="1" w:styleId="BulletPoint1">
    <w:name w:val="Bullet Point 1"/>
    <w:basedOn w:val="Normal"/>
    <w:qFormat/>
    <w:rsid w:val="00557B05"/>
    <w:pPr>
      <w:numPr>
        <w:numId w:val="9"/>
      </w:numPr>
      <w:spacing w:before="120"/>
    </w:pPr>
    <w:rPr>
      <w:szCs w:val="22"/>
      <w:lang w:val="en-US"/>
    </w:rPr>
  </w:style>
  <w:style w:type="paragraph" w:styleId="Header">
    <w:name w:val="header"/>
    <w:basedOn w:val="Normal"/>
    <w:link w:val="HeaderChar"/>
    <w:uiPriority w:val="99"/>
    <w:unhideWhenUsed/>
    <w:rsid w:val="00F15E50"/>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15E50"/>
    <w:rPr>
      <w:rFonts w:ascii="Arial" w:eastAsia="Times New Roman" w:hAnsi="Arial" w:cs="Times New Roman"/>
      <w:sz w:val="21"/>
      <w:lang w:val="en-AU"/>
    </w:rPr>
  </w:style>
  <w:style w:type="paragraph" w:styleId="Footer">
    <w:name w:val="footer"/>
    <w:basedOn w:val="Normal"/>
    <w:link w:val="FooterChar"/>
    <w:uiPriority w:val="99"/>
    <w:unhideWhenUsed/>
    <w:rsid w:val="00F15E50"/>
    <w:pPr>
      <w:tabs>
        <w:tab w:val="center" w:pos="4513"/>
        <w:tab w:val="right" w:pos="9026"/>
      </w:tabs>
      <w:spacing w:before="0" w:line="240" w:lineRule="auto"/>
    </w:pPr>
    <w:rPr>
      <w:color w:val="358189"/>
    </w:rPr>
  </w:style>
  <w:style w:type="character" w:customStyle="1" w:styleId="FooterChar">
    <w:name w:val="Footer Char"/>
    <w:basedOn w:val="DefaultParagraphFont"/>
    <w:link w:val="Footer"/>
    <w:uiPriority w:val="99"/>
    <w:rsid w:val="00F15E50"/>
    <w:rPr>
      <w:rFonts w:ascii="Arial" w:eastAsia="Times New Roman" w:hAnsi="Arial" w:cs="Times New Roman"/>
      <w:color w:val="358189"/>
      <w:sz w:val="21"/>
      <w:lang w:val="en-AU"/>
    </w:rPr>
  </w:style>
  <w:style w:type="paragraph" w:styleId="BalloonText">
    <w:name w:val="Balloon Text"/>
    <w:basedOn w:val="Normal"/>
    <w:link w:val="BalloonTextChar"/>
    <w:uiPriority w:val="99"/>
    <w:semiHidden/>
    <w:unhideWhenUsed/>
    <w:rsid w:val="00C74007"/>
    <w:pPr>
      <w:spacing w:before="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C74007"/>
    <w:rPr>
      <w:rFonts w:ascii="Times New Roman" w:eastAsia="Times New Roman" w:hAnsi="Times New Roman" w:cs="Times New Roman"/>
      <w:sz w:val="18"/>
      <w:szCs w:val="18"/>
      <w:lang w:val="en-AU"/>
    </w:rPr>
  </w:style>
  <w:style w:type="paragraph" w:styleId="TOC1">
    <w:name w:val="toc 1"/>
    <w:basedOn w:val="Normal"/>
    <w:next w:val="Normal"/>
    <w:autoRedefine/>
    <w:uiPriority w:val="39"/>
    <w:unhideWhenUsed/>
    <w:rsid w:val="00AE57C3"/>
  </w:style>
  <w:style w:type="paragraph" w:styleId="TOC2">
    <w:name w:val="toc 2"/>
    <w:basedOn w:val="Normal"/>
    <w:next w:val="Normal"/>
    <w:autoRedefine/>
    <w:uiPriority w:val="39"/>
    <w:unhideWhenUsed/>
    <w:rsid w:val="00AE57C3"/>
    <w:pPr>
      <w:ind w:left="210"/>
    </w:pPr>
  </w:style>
  <w:style w:type="paragraph" w:styleId="TOC3">
    <w:name w:val="toc 3"/>
    <w:basedOn w:val="Normal"/>
    <w:next w:val="Normal"/>
    <w:autoRedefine/>
    <w:uiPriority w:val="39"/>
    <w:unhideWhenUsed/>
    <w:rsid w:val="00AE57C3"/>
    <w:pPr>
      <w:ind w:left="420"/>
    </w:pPr>
  </w:style>
  <w:style w:type="paragraph" w:styleId="TOC4">
    <w:name w:val="toc 4"/>
    <w:basedOn w:val="Normal"/>
    <w:next w:val="Normal"/>
    <w:autoRedefine/>
    <w:uiPriority w:val="39"/>
    <w:unhideWhenUsed/>
    <w:rsid w:val="00AE57C3"/>
    <w:pPr>
      <w:ind w:left="630"/>
    </w:pPr>
  </w:style>
  <w:style w:type="paragraph" w:styleId="TOC5">
    <w:name w:val="toc 5"/>
    <w:basedOn w:val="Normal"/>
    <w:next w:val="Normal"/>
    <w:autoRedefine/>
    <w:uiPriority w:val="39"/>
    <w:unhideWhenUsed/>
    <w:rsid w:val="00AE57C3"/>
    <w:pPr>
      <w:ind w:left="840"/>
    </w:pPr>
  </w:style>
  <w:style w:type="paragraph" w:styleId="TOC6">
    <w:name w:val="toc 6"/>
    <w:basedOn w:val="Normal"/>
    <w:next w:val="Normal"/>
    <w:autoRedefine/>
    <w:uiPriority w:val="39"/>
    <w:unhideWhenUsed/>
    <w:rsid w:val="00AE57C3"/>
    <w:pPr>
      <w:ind w:left="1050"/>
    </w:pPr>
  </w:style>
  <w:style w:type="paragraph" w:styleId="TOC7">
    <w:name w:val="toc 7"/>
    <w:basedOn w:val="Normal"/>
    <w:next w:val="Normal"/>
    <w:autoRedefine/>
    <w:uiPriority w:val="39"/>
    <w:unhideWhenUsed/>
    <w:rsid w:val="00AE57C3"/>
    <w:pPr>
      <w:ind w:left="1260"/>
    </w:pPr>
  </w:style>
  <w:style w:type="paragraph" w:styleId="TOC8">
    <w:name w:val="toc 8"/>
    <w:basedOn w:val="Normal"/>
    <w:next w:val="Normal"/>
    <w:autoRedefine/>
    <w:uiPriority w:val="39"/>
    <w:unhideWhenUsed/>
    <w:rsid w:val="00AE57C3"/>
    <w:pPr>
      <w:ind w:left="1470"/>
    </w:pPr>
  </w:style>
  <w:style w:type="paragraph" w:styleId="TOC9">
    <w:name w:val="toc 9"/>
    <w:basedOn w:val="Normal"/>
    <w:next w:val="Normal"/>
    <w:autoRedefine/>
    <w:uiPriority w:val="39"/>
    <w:unhideWhenUsed/>
    <w:rsid w:val="00AE57C3"/>
    <w:pPr>
      <w:ind w:left="1680"/>
    </w:pPr>
  </w:style>
  <w:style w:type="character" w:customStyle="1" w:styleId="Heading6Char">
    <w:name w:val="Heading 6 Char"/>
    <w:basedOn w:val="DefaultParagraphFont"/>
    <w:link w:val="Heading6"/>
    <w:uiPriority w:val="9"/>
    <w:semiHidden/>
    <w:rsid w:val="00C874D0"/>
    <w:rPr>
      <w:rFonts w:asciiTheme="majorHAnsi" w:eastAsiaTheme="majorEastAsia" w:hAnsiTheme="majorHAnsi" w:cstheme="majorBidi"/>
      <w:color w:val="1F3763" w:themeColor="accent1" w:themeShade="7F"/>
      <w:sz w:val="21"/>
      <w:lang w:val="en-AU"/>
    </w:rPr>
  </w:style>
  <w:style w:type="character" w:customStyle="1" w:styleId="Heading7Char">
    <w:name w:val="Heading 7 Char"/>
    <w:basedOn w:val="DefaultParagraphFont"/>
    <w:link w:val="Heading7"/>
    <w:uiPriority w:val="9"/>
    <w:semiHidden/>
    <w:rsid w:val="00C874D0"/>
    <w:rPr>
      <w:rFonts w:asciiTheme="majorHAnsi" w:eastAsiaTheme="majorEastAsia" w:hAnsiTheme="majorHAnsi" w:cstheme="majorBidi"/>
      <w:i/>
      <w:iCs/>
      <w:color w:val="1F3763" w:themeColor="accent1" w:themeShade="7F"/>
      <w:sz w:val="21"/>
      <w:lang w:val="en-AU"/>
    </w:rPr>
  </w:style>
  <w:style w:type="character" w:customStyle="1" w:styleId="Heading8Char">
    <w:name w:val="Heading 8 Char"/>
    <w:basedOn w:val="DefaultParagraphFont"/>
    <w:link w:val="Heading8"/>
    <w:uiPriority w:val="9"/>
    <w:semiHidden/>
    <w:rsid w:val="00C874D0"/>
    <w:rPr>
      <w:rFonts w:asciiTheme="majorHAnsi" w:eastAsiaTheme="majorEastAsia" w:hAnsiTheme="majorHAnsi" w:cstheme="majorBidi"/>
      <w:color w:val="272727" w:themeColor="text1" w:themeTint="D8"/>
      <w:sz w:val="21"/>
      <w:szCs w:val="21"/>
      <w:lang w:val="en-AU"/>
    </w:rPr>
  </w:style>
  <w:style w:type="character" w:customStyle="1" w:styleId="Heading9Char">
    <w:name w:val="Heading 9 Char"/>
    <w:basedOn w:val="DefaultParagraphFont"/>
    <w:link w:val="Heading9"/>
    <w:uiPriority w:val="9"/>
    <w:semiHidden/>
    <w:rsid w:val="00C874D0"/>
    <w:rPr>
      <w:rFonts w:asciiTheme="majorHAnsi" w:eastAsiaTheme="majorEastAsia" w:hAnsiTheme="majorHAnsi" w:cstheme="majorBidi"/>
      <w:i/>
      <w:iCs/>
      <w:color w:val="272727" w:themeColor="text1" w:themeTint="D8"/>
      <w:sz w:val="21"/>
      <w:szCs w:val="21"/>
      <w:lang w:val="en-AU"/>
    </w:rPr>
  </w:style>
  <w:style w:type="table" w:styleId="TableGrid">
    <w:name w:val="Table Grid"/>
    <w:basedOn w:val="TableNormal"/>
    <w:rsid w:val="00072919"/>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113A8C"/>
    <w:rPr>
      <w:sz w:val="16"/>
      <w:szCs w:val="16"/>
    </w:rPr>
  </w:style>
  <w:style w:type="paragraph" w:styleId="CommentText">
    <w:name w:val="annotation text"/>
    <w:basedOn w:val="Normal"/>
    <w:link w:val="CommentTextChar"/>
    <w:rsid w:val="00113A8C"/>
    <w:pPr>
      <w:spacing w:before="0" w:line="240" w:lineRule="auto"/>
    </w:pPr>
    <w:rPr>
      <w:rFonts w:ascii="Times New Roman" w:hAnsi="Times New Roman"/>
      <w:sz w:val="20"/>
      <w:szCs w:val="20"/>
    </w:rPr>
  </w:style>
  <w:style w:type="character" w:customStyle="1" w:styleId="CommentTextChar">
    <w:name w:val="Comment Text Char"/>
    <w:basedOn w:val="DefaultParagraphFont"/>
    <w:link w:val="CommentText"/>
    <w:rsid w:val="00113A8C"/>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1402A"/>
    <w:pPr>
      <w:spacing w:before="240"/>
    </w:pPr>
    <w:rPr>
      <w:rFonts w:ascii="Arial" w:hAnsi="Arial"/>
      <w:b/>
      <w:bCs/>
    </w:rPr>
  </w:style>
  <w:style w:type="character" w:customStyle="1" w:styleId="CommentSubjectChar">
    <w:name w:val="Comment Subject Char"/>
    <w:basedOn w:val="CommentTextChar"/>
    <w:link w:val="CommentSubject"/>
    <w:uiPriority w:val="99"/>
    <w:semiHidden/>
    <w:rsid w:val="00B1402A"/>
    <w:rPr>
      <w:rFonts w:ascii="Arial" w:eastAsia="Times New Roman" w:hAnsi="Arial" w:cs="Times New Roman"/>
      <w:b/>
      <w:bCs/>
      <w:sz w:val="20"/>
      <w:szCs w:val="20"/>
      <w:lang w:val="en-AU"/>
    </w:rPr>
  </w:style>
  <w:style w:type="character" w:styleId="Hyperlink">
    <w:name w:val="Hyperlink"/>
    <w:basedOn w:val="DefaultParagraphFont"/>
    <w:uiPriority w:val="99"/>
    <w:unhideWhenUsed/>
    <w:rsid w:val="0075258E"/>
    <w:rPr>
      <w:color w:val="0563C1" w:themeColor="hyperlink"/>
      <w:u w:val="single"/>
    </w:rPr>
  </w:style>
  <w:style w:type="paragraph" w:styleId="NormalWeb">
    <w:name w:val="Normal (Web)"/>
    <w:basedOn w:val="Normal"/>
    <w:uiPriority w:val="99"/>
    <w:semiHidden/>
    <w:unhideWhenUsed/>
    <w:rsid w:val="004515E6"/>
    <w:pPr>
      <w:spacing w:before="100" w:beforeAutospacing="1" w:after="100" w:afterAutospacing="1" w:line="240" w:lineRule="auto"/>
    </w:pPr>
    <w:rPr>
      <w:rFonts w:ascii="Times New Roman" w:hAnsi="Times New Roman"/>
      <w:sz w:val="24"/>
      <w:lang w:eastAsia="en-AU"/>
    </w:rPr>
  </w:style>
  <w:style w:type="paragraph" w:customStyle="1" w:styleId="paragraph">
    <w:name w:val="paragraph"/>
    <w:aliases w:val="a"/>
    <w:basedOn w:val="Normal"/>
    <w:rsid w:val="00ED14A0"/>
    <w:pPr>
      <w:tabs>
        <w:tab w:val="right" w:pos="1531"/>
      </w:tabs>
      <w:spacing w:before="40" w:line="240" w:lineRule="auto"/>
      <w:ind w:left="1644" w:hanging="1644"/>
    </w:pPr>
    <w:rPr>
      <w:rFonts w:ascii="Times New Roman" w:hAnsi="Times New Roman"/>
      <w:sz w:val="22"/>
      <w:szCs w:val="20"/>
      <w:lang w:eastAsia="en-AU"/>
    </w:rPr>
  </w:style>
  <w:style w:type="paragraph" w:styleId="Revision">
    <w:name w:val="Revision"/>
    <w:hidden/>
    <w:uiPriority w:val="99"/>
    <w:semiHidden/>
    <w:rsid w:val="005C394E"/>
    <w:rPr>
      <w:rFonts w:ascii="Arial" w:eastAsia="Times New Roman" w:hAnsi="Arial" w:cs="Times New Roman"/>
      <w:sz w:val="21"/>
      <w:lang w:val="en-AU"/>
    </w:rPr>
  </w:style>
  <w:style w:type="character" w:styleId="IntenseReference">
    <w:name w:val="Intense Reference"/>
    <w:basedOn w:val="DefaultParagraphFont"/>
    <w:uiPriority w:val="32"/>
    <w:qFormat/>
    <w:rsid w:val="004269BF"/>
    <w:rPr>
      <w:b/>
      <w:bCs/>
      <w:smallCaps/>
      <w:color w:val="4472C4" w:themeColor="accent1"/>
      <w:spacing w:val="5"/>
    </w:rPr>
  </w:style>
  <w:style w:type="paragraph" w:styleId="FootnoteText">
    <w:name w:val="footnote text"/>
    <w:basedOn w:val="Normal"/>
    <w:link w:val="FootnoteTextChar"/>
    <w:uiPriority w:val="99"/>
    <w:semiHidden/>
    <w:unhideWhenUsed/>
    <w:rsid w:val="00F86837"/>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86837"/>
    <w:rPr>
      <w:rFonts w:ascii="Arial" w:eastAsia="Times New Roman" w:hAnsi="Arial" w:cs="Times New Roman"/>
      <w:sz w:val="20"/>
      <w:szCs w:val="20"/>
      <w:lang w:val="en-AU"/>
    </w:rPr>
  </w:style>
  <w:style w:type="character" w:styleId="FootnoteReference">
    <w:name w:val="footnote reference"/>
    <w:basedOn w:val="DefaultParagraphFont"/>
    <w:uiPriority w:val="99"/>
    <w:semiHidden/>
    <w:unhideWhenUsed/>
    <w:rsid w:val="00F86837"/>
    <w:rPr>
      <w:vertAlign w:val="superscript"/>
    </w:rPr>
  </w:style>
  <w:style w:type="paragraph" w:styleId="Caption">
    <w:name w:val="caption"/>
    <w:basedOn w:val="Normal"/>
    <w:next w:val="Normal"/>
    <w:uiPriority w:val="35"/>
    <w:unhideWhenUsed/>
    <w:qFormat/>
    <w:rsid w:val="00936906"/>
    <w:pPr>
      <w:spacing w:before="0"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9246487">
      <w:bodyDiv w:val="1"/>
      <w:marLeft w:val="0"/>
      <w:marRight w:val="0"/>
      <w:marTop w:val="0"/>
      <w:marBottom w:val="0"/>
      <w:divBdr>
        <w:top w:val="none" w:sz="0" w:space="0" w:color="auto"/>
        <w:left w:val="none" w:sz="0" w:space="0" w:color="auto"/>
        <w:bottom w:val="none" w:sz="0" w:space="0" w:color="auto"/>
        <w:right w:val="none" w:sz="0" w:space="0" w:color="auto"/>
      </w:divBdr>
    </w:div>
    <w:div w:id="1328709392">
      <w:bodyDiv w:val="1"/>
      <w:marLeft w:val="0"/>
      <w:marRight w:val="0"/>
      <w:marTop w:val="0"/>
      <w:marBottom w:val="0"/>
      <w:divBdr>
        <w:top w:val="none" w:sz="0" w:space="0" w:color="auto"/>
        <w:left w:val="none" w:sz="0" w:space="0" w:color="auto"/>
        <w:bottom w:val="none" w:sz="0" w:space="0" w:color="auto"/>
        <w:right w:val="none" w:sz="0" w:space="0" w:color="auto"/>
      </w:divBdr>
    </w:div>
    <w:div w:id="1654522665">
      <w:bodyDiv w:val="1"/>
      <w:marLeft w:val="0"/>
      <w:marRight w:val="0"/>
      <w:marTop w:val="0"/>
      <w:marBottom w:val="0"/>
      <w:divBdr>
        <w:top w:val="none" w:sz="0" w:space="0" w:color="auto"/>
        <w:left w:val="none" w:sz="0" w:space="0" w:color="auto"/>
        <w:bottom w:val="none" w:sz="0" w:space="0" w:color="auto"/>
        <w:right w:val="none" w:sz="0" w:space="0" w:color="auto"/>
      </w:divBdr>
    </w:div>
    <w:div w:id="1863590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yperlink" Target="https://consultations.health.gov.au/" TargetMode="Externa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1.health.gov.au/internet/main/publishing.nsf/Content/health-compliance"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2219</Words>
  <Characters>12651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2019-09-23T02:45:00Z</dcterms:created>
  <dcterms:modified xsi:type="dcterms:W3CDTF">2019-09-23T03:23:00Z</dcterms:modified>
</cp:coreProperties>
</file>