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5935" w14:textId="77777777" w:rsidR="7A66F21C" w:rsidRDefault="3A021E7D" w:rsidP="7A66F21C">
      <w:pPr>
        <w:pStyle w:val="Title"/>
        <w:spacing w:before="120"/>
      </w:pPr>
      <w:r>
        <w:t xml:space="preserve"> </w:t>
      </w:r>
    </w:p>
    <w:p w14:paraId="063E3261" w14:textId="77777777" w:rsidR="7A66F21C" w:rsidRDefault="7A66F21C" w:rsidP="7A66F21C">
      <w:pPr>
        <w:pStyle w:val="Title"/>
        <w:spacing w:before="120"/>
      </w:pPr>
    </w:p>
    <w:p w14:paraId="1B1F6AEA" w14:textId="77777777" w:rsidR="00751A23" w:rsidRPr="00027163" w:rsidRDefault="612478BB" w:rsidP="00473DE9">
      <w:pPr>
        <w:pStyle w:val="Title"/>
        <w:spacing w:before="120"/>
      </w:pPr>
      <w:r>
        <w:t>Private Health Sector Reform</w:t>
      </w:r>
    </w:p>
    <w:p w14:paraId="424C9484" w14:textId="4AB5FD86" w:rsidR="003C34A9" w:rsidRDefault="11419F0B" w:rsidP="00994B0F">
      <w:pPr>
        <w:pStyle w:val="Subtitle"/>
        <w:spacing w:after="120"/>
      </w:pPr>
      <w:r>
        <w:t>Consultation Paper 1</w:t>
      </w:r>
      <w:r w:rsidR="704F8FD9">
        <w:t xml:space="preserve"> </w:t>
      </w:r>
    </w:p>
    <w:p w14:paraId="5B8FC087" w14:textId="00C9FE97" w:rsidR="00994B0F" w:rsidRPr="00994B0F" w:rsidRDefault="002161F9" w:rsidP="0869E81C">
      <w:pPr>
        <w:pStyle w:val="Subtitle"/>
        <w:spacing w:after="120"/>
        <w:rPr>
          <w:sz w:val="24"/>
        </w:rPr>
        <w:sectPr w:rsidR="00994B0F" w:rsidRPr="00994B0F" w:rsidSect="00D45D9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850" w:footer="709" w:gutter="0"/>
          <w:cols w:space="708"/>
          <w:titlePg/>
          <w:docGrid w:linePitch="360"/>
        </w:sectPr>
      </w:pPr>
      <w:r>
        <w:rPr>
          <w:sz w:val="24"/>
        </w:rPr>
        <w:t>2</w:t>
      </w:r>
      <w:r w:rsidR="00D7644A" w:rsidRPr="0869E81C">
        <w:rPr>
          <w:sz w:val="24"/>
        </w:rPr>
        <w:t xml:space="preserve"> July</w:t>
      </w:r>
      <w:r w:rsidR="01B0A7EB" w:rsidRPr="0869E81C">
        <w:rPr>
          <w:sz w:val="24"/>
        </w:rPr>
        <w:t xml:space="preserve"> </w:t>
      </w:r>
      <w:r w:rsidR="704F8FD9" w:rsidRPr="0869E81C">
        <w:rPr>
          <w:sz w:val="24"/>
        </w:rPr>
        <w:t>2026</w:t>
      </w:r>
    </w:p>
    <w:sdt>
      <w:sdtPr>
        <w:rPr>
          <w:rFonts w:ascii="Arial" w:eastAsia="Times New Roman" w:hAnsi="Arial" w:cs="Times New Roman"/>
          <w:color w:val="000000" w:themeColor="text1"/>
          <w:sz w:val="22"/>
          <w:szCs w:val="24"/>
          <w:lang w:val="en-GB" w:eastAsia="en-US"/>
        </w:rPr>
        <w:id w:val="-1809382118"/>
        <w:docPartObj>
          <w:docPartGallery w:val="Table of Contents"/>
          <w:docPartUnique/>
        </w:docPartObj>
      </w:sdtPr>
      <w:sdtEndPr>
        <w:rPr>
          <w:sz w:val="20"/>
          <w:szCs w:val="20"/>
        </w:rPr>
      </w:sdtEndPr>
      <w:sdtContent>
        <w:p w14:paraId="34D9E7C4" w14:textId="77777777" w:rsidR="00B02B8C" w:rsidRPr="00B02B8C" w:rsidRDefault="00B02B8C" w:rsidP="00473DE9">
          <w:pPr>
            <w:pStyle w:val="TOCHeading"/>
            <w:spacing w:before="120" w:after="120"/>
            <w:rPr>
              <w:rFonts w:ascii="Arial" w:eastAsia="Times New Roman" w:hAnsi="Arial" w:cs="Arial"/>
              <w:bCs/>
              <w:color w:val="3F4A75"/>
              <w:kern w:val="28"/>
              <w:sz w:val="36"/>
              <w:szCs w:val="36"/>
              <w:lang w:eastAsia="en-US"/>
            </w:rPr>
          </w:pPr>
          <w:r w:rsidRPr="00B02B8C">
            <w:rPr>
              <w:rFonts w:ascii="Arial" w:eastAsia="Times New Roman" w:hAnsi="Arial" w:cs="Arial"/>
              <w:bCs/>
              <w:color w:val="3F4A75"/>
              <w:kern w:val="28"/>
              <w:sz w:val="36"/>
              <w:szCs w:val="36"/>
              <w:lang w:eastAsia="en-US"/>
            </w:rPr>
            <w:t>Contents</w:t>
          </w:r>
        </w:p>
        <w:p w14:paraId="62E2CF7E" w14:textId="20790391" w:rsidR="00FF4872" w:rsidRDefault="00B02B8C">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rsidRPr="00405F9C">
            <w:fldChar w:fldCharType="begin"/>
          </w:r>
          <w:r>
            <w:instrText>TOC \o "1-3" \z \u \h</w:instrText>
          </w:r>
          <w:r w:rsidRPr="00405F9C">
            <w:fldChar w:fldCharType="separate"/>
          </w:r>
          <w:hyperlink w:anchor="_Toc233805015" w:history="1">
            <w:r w:rsidR="00FF4872" w:rsidRPr="00863BEC">
              <w:rPr>
                <w:rStyle w:val="Hyperlink"/>
                <w:noProof/>
              </w:rPr>
              <w:t>Overview</w:t>
            </w:r>
            <w:r w:rsidR="00FF4872">
              <w:rPr>
                <w:noProof/>
                <w:webHidden/>
              </w:rPr>
              <w:tab/>
            </w:r>
            <w:r w:rsidR="00FF4872">
              <w:rPr>
                <w:noProof/>
                <w:webHidden/>
              </w:rPr>
              <w:fldChar w:fldCharType="begin"/>
            </w:r>
            <w:r w:rsidR="00FF4872">
              <w:rPr>
                <w:noProof/>
                <w:webHidden/>
              </w:rPr>
              <w:instrText xml:space="preserve"> PAGEREF _Toc233805015 \h </w:instrText>
            </w:r>
            <w:r w:rsidR="00FF4872">
              <w:rPr>
                <w:noProof/>
                <w:webHidden/>
              </w:rPr>
            </w:r>
            <w:r w:rsidR="00FF4872">
              <w:rPr>
                <w:noProof/>
                <w:webHidden/>
              </w:rPr>
              <w:fldChar w:fldCharType="separate"/>
            </w:r>
            <w:r w:rsidR="00FF4872">
              <w:rPr>
                <w:noProof/>
                <w:webHidden/>
              </w:rPr>
              <w:t>4</w:t>
            </w:r>
            <w:r w:rsidR="00FF4872">
              <w:rPr>
                <w:noProof/>
                <w:webHidden/>
              </w:rPr>
              <w:fldChar w:fldCharType="end"/>
            </w:r>
          </w:hyperlink>
        </w:p>
        <w:p w14:paraId="323EF5CF" w14:textId="2764EC5B" w:rsidR="00FF4872" w:rsidRDefault="00FF4872">
          <w:pPr>
            <w:pStyle w:val="TOC2"/>
            <w:rPr>
              <w:rFonts w:asciiTheme="minorHAnsi" w:eastAsiaTheme="minorEastAsia" w:hAnsiTheme="minorHAnsi" w:cstheme="minorBidi"/>
              <w:iCs w:val="0"/>
              <w:color w:val="auto"/>
              <w:kern w:val="2"/>
              <w:sz w:val="24"/>
              <w:lang w:eastAsia="en-AU"/>
              <w14:ligatures w14:val="standardContextual"/>
            </w:rPr>
          </w:pPr>
          <w:hyperlink w:anchor="_Toc233805016" w:history="1">
            <w:r w:rsidRPr="00863BEC">
              <w:rPr>
                <w:rStyle w:val="Hyperlink"/>
              </w:rPr>
              <w:t>Consultation so far</w:t>
            </w:r>
            <w:r>
              <w:rPr>
                <w:webHidden/>
              </w:rPr>
              <w:tab/>
            </w:r>
            <w:r>
              <w:rPr>
                <w:webHidden/>
              </w:rPr>
              <w:fldChar w:fldCharType="begin"/>
            </w:r>
            <w:r>
              <w:rPr>
                <w:webHidden/>
              </w:rPr>
              <w:instrText xml:space="preserve"> PAGEREF _Toc233805016 \h </w:instrText>
            </w:r>
            <w:r>
              <w:rPr>
                <w:webHidden/>
              </w:rPr>
            </w:r>
            <w:r>
              <w:rPr>
                <w:webHidden/>
              </w:rPr>
              <w:fldChar w:fldCharType="separate"/>
            </w:r>
            <w:r>
              <w:rPr>
                <w:webHidden/>
              </w:rPr>
              <w:t>5</w:t>
            </w:r>
            <w:r>
              <w:rPr>
                <w:webHidden/>
              </w:rPr>
              <w:fldChar w:fldCharType="end"/>
            </w:r>
          </w:hyperlink>
        </w:p>
        <w:p w14:paraId="3468C24B" w14:textId="66706412" w:rsidR="00FF4872" w:rsidRDefault="00FF4872">
          <w:pPr>
            <w:pStyle w:val="TOC2"/>
            <w:rPr>
              <w:rFonts w:asciiTheme="minorHAnsi" w:eastAsiaTheme="minorEastAsia" w:hAnsiTheme="minorHAnsi" w:cstheme="minorBidi"/>
              <w:iCs w:val="0"/>
              <w:color w:val="auto"/>
              <w:kern w:val="2"/>
              <w:sz w:val="24"/>
              <w:lang w:eastAsia="en-AU"/>
              <w14:ligatures w14:val="standardContextual"/>
            </w:rPr>
          </w:pPr>
          <w:hyperlink w:anchor="_Toc233805017" w:history="1">
            <w:r w:rsidRPr="00863BEC">
              <w:rPr>
                <w:rStyle w:val="Hyperlink"/>
              </w:rPr>
              <w:t>This consultation</w:t>
            </w:r>
            <w:r>
              <w:rPr>
                <w:webHidden/>
              </w:rPr>
              <w:tab/>
            </w:r>
            <w:r>
              <w:rPr>
                <w:webHidden/>
              </w:rPr>
              <w:fldChar w:fldCharType="begin"/>
            </w:r>
            <w:r>
              <w:rPr>
                <w:webHidden/>
              </w:rPr>
              <w:instrText xml:space="preserve"> PAGEREF _Toc233805017 \h </w:instrText>
            </w:r>
            <w:r>
              <w:rPr>
                <w:webHidden/>
              </w:rPr>
            </w:r>
            <w:r>
              <w:rPr>
                <w:webHidden/>
              </w:rPr>
              <w:fldChar w:fldCharType="separate"/>
            </w:r>
            <w:r>
              <w:rPr>
                <w:webHidden/>
              </w:rPr>
              <w:t>5</w:t>
            </w:r>
            <w:r>
              <w:rPr>
                <w:webHidden/>
              </w:rPr>
              <w:fldChar w:fldCharType="end"/>
            </w:r>
          </w:hyperlink>
        </w:p>
        <w:p w14:paraId="31F284A6" w14:textId="44A123A2" w:rsidR="00FF4872" w:rsidRDefault="00FF4872">
          <w:pPr>
            <w:pStyle w:val="TOC2"/>
            <w:rPr>
              <w:rFonts w:asciiTheme="minorHAnsi" w:eastAsiaTheme="minorEastAsia" w:hAnsiTheme="minorHAnsi" w:cstheme="minorBidi"/>
              <w:iCs w:val="0"/>
              <w:color w:val="auto"/>
              <w:kern w:val="2"/>
              <w:sz w:val="24"/>
              <w:lang w:eastAsia="en-AU"/>
              <w14:ligatures w14:val="standardContextual"/>
            </w:rPr>
          </w:pPr>
          <w:hyperlink w:anchor="_Toc233805018" w:history="1">
            <w:r w:rsidRPr="00863BEC">
              <w:rPr>
                <w:rStyle w:val="Hyperlink"/>
              </w:rPr>
              <w:t>Future consultations</w:t>
            </w:r>
            <w:r>
              <w:rPr>
                <w:webHidden/>
              </w:rPr>
              <w:tab/>
            </w:r>
            <w:r>
              <w:rPr>
                <w:webHidden/>
              </w:rPr>
              <w:fldChar w:fldCharType="begin"/>
            </w:r>
            <w:r>
              <w:rPr>
                <w:webHidden/>
              </w:rPr>
              <w:instrText xml:space="preserve"> PAGEREF _Toc233805018 \h </w:instrText>
            </w:r>
            <w:r>
              <w:rPr>
                <w:webHidden/>
              </w:rPr>
            </w:r>
            <w:r>
              <w:rPr>
                <w:webHidden/>
              </w:rPr>
              <w:fldChar w:fldCharType="separate"/>
            </w:r>
            <w:r>
              <w:rPr>
                <w:webHidden/>
              </w:rPr>
              <w:t>6</w:t>
            </w:r>
            <w:r>
              <w:rPr>
                <w:webHidden/>
              </w:rPr>
              <w:fldChar w:fldCharType="end"/>
            </w:r>
          </w:hyperlink>
        </w:p>
        <w:p w14:paraId="3FD7A022" w14:textId="6EBFD574" w:rsidR="00FF4872" w:rsidRDefault="00FF4872">
          <w:pPr>
            <w:pStyle w:val="TOC2"/>
            <w:rPr>
              <w:rFonts w:asciiTheme="minorHAnsi" w:eastAsiaTheme="minorEastAsia" w:hAnsiTheme="minorHAnsi" w:cstheme="minorBidi"/>
              <w:iCs w:val="0"/>
              <w:color w:val="auto"/>
              <w:kern w:val="2"/>
              <w:sz w:val="24"/>
              <w:lang w:eastAsia="en-AU"/>
              <w14:ligatures w14:val="standardContextual"/>
            </w:rPr>
          </w:pPr>
          <w:hyperlink w:anchor="_Toc233805019" w:history="1">
            <w:r w:rsidRPr="00863BEC">
              <w:rPr>
                <w:rStyle w:val="Hyperlink"/>
              </w:rPr>
              <w:t>What we invite you to do</w:t>
            </w:r>
            <w:r>
              <w:rPr>
                <w:webHidden/>
              </w:rPr>
              <w:tab/>
            </w:r>
            <w:r>
              <w:rPr>
                <w:webHidden/>
              </w:rPr>
              <w:fldChar w:fldCharType="begin"/>
            </w:r>
            <w:r>
              <w:rPr>
                <w:webHidden/>
              </w:rPr>
              <w:instrText xml:space="preserve"> PAGEREF _Toc233805019 \h </w:instrText>
            </w:r>
            <w:r>
              <w:rPr>
                <w:webHidden/>
              </w:rPr>
            </w:r>
            <w:r>
              <w:rPr>
                <w:webHidden/>
              </w:rPr>
              <w:fldChar w:fldCharType="separate"/>
            </w:r>
            <w:r>
              <w:rPr>
                <w:webHidden/>
              </w:rPr>
              <w:t>7</w:t>
            </w:r>
            <w:r>
              <w:rPr>
                <w:webHidden/>
              </w:rPr>
              <w:fldChar w:fldCharType="end"/>
            </w:r>
          </w:hyperlink>
        </w:p>
        <w:p w14:paraId="4E270B4C" w14:textId="76FF1F2E" w:rsidR="00FF4872" w:rsidRDefault="00FF4872">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20" w:history="1">
            <w:r w:rsidRPr="00863BEC">
              <w:rPr>
                <w:rStyle w:val="Hyperlink"/>
                <w:i/>
                <w:iCs/>
                <w:noProof/>
              </w:rPr>
              <w:t>Publishing of stakeholder submissions</w:t>
            </w:r>
            <w:r>
              <w:rPr>
                <w:noProof/>
                <w:webHidden/>
              </w:rPr>
              <w:tab/>
            </w:r>
            <w:r>
              <w:rPr>
                <w:noProof/>
                <w:webHidden/>
              </w:rPr>
              <w:fldChar w:fldCharType="begin"/>
            </w:r>
            <w:r>
              <w:rPr>
                <w:noProof/>
                <w:webHidden/>
              </w:rPr>
              <w:instrText xml:space="preserve"> PAGEREF _Toc233805020 \h </w:instrText>
            </w:r>
            <w:r>
              <w:rPr>
                <w:noProof/>
                <w:webHidden/>
              </w:rPr>
            </w:r>
            <w:r>
              <w:rPr>
                <w:noProof/>
                <w:webHidden/>
              </w:rPr>
              <w:fldChar w:fldCharType="separate"/>
            </w:r>
            <w:r>
              <w:rPr>
                <w:noProof/>
                <w:webHidden/>
              </w:rPr>
              <w:t>7</w:t>
            </w:r>
            <w:r>
              <w:rPr>
                <w:noProof/>
                <w:webHidden/>
              </w:rPr>
              <w:fldChar w:fldCharType="end"/>
            </w:r>
          </w:hyperlink>
        </w:p>
        <w:p w14:paraId="4AE93F5F" w14:textId="4BD08C12" w:rsidR="00FF4872" w:rsidRDefault="00FF4872">
          <w:pPr>
            <w:pStyle w:val="TOC1"/>
            <w:tabs>
              <w:tab w:val="left" w:pos="44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21" w:history="1">
            <w:r w:rsidRPr="00863BEC">
              <w:rPr>
                <w:rStyle w:val="Hyperlink"/>
                <w:noProof/>
              </w:rPr>
              <w:t>1.</w:t>
            </w:r>
            <w:r>
              <w:rPr>
                <w:rFonts w:asciiTheme="minorHAnsi" w:eastAsiaTheme="minorEastAsia" w:hAnsiTheme="minorHAnsi" w:cstheme="minorBidi"/>
                <w:noProof/>
                <w:color w:val="auto"/>
                <w:kern w:val="2"/>
                <w:sz w:val="24"/>
                <w:lang w:eastAsia="en-AU"/>
                <w14:ligatures w14:val="standardContextual"/>
              </w:rPr>
              <w:tab/>
            </w:r>
            <w:r w:rsidRPr="00863BEC">
              <w:rPr>
                <w:rStyle w:val="Hyperlink"/>
                <w:noProof/>
              </w:rPr>
              <w:t>Prioritising contemporary models of care</w:t>
            </w:r>
            <w:r>
              <w:rPr>
                <w:noProof/>
                <w:webHidden/>
              </w:rPr>
              <w:tab/>
            </w:r>
            <w:r>
              <w:rPr>
                <w:noProof/>
                <w:webHidden/>
              </w:rPr>
              <w:fldChar w:fldCharType="begin"/>
            </w:r>
            <w:r>
              <w:rPr>
                <w:noProof/>
                <w:webHidden/>
              </w:rPr>
              <w:instrText xml:space="preserve"> PAGEREF _Toc233805021 \h </w:instrText>
            </w:r>
            <w:r>
              <w:rPr>
                <w:noProof/>
                <w:webHidden/>
              </w:rPr>
            </w:r>
            <w:r>
              <w:rPr>
                <w:noProof/>
                <w:webHidden/>
              </w:rPr>
              <w:fldChar w:fldCharType="separate"/>
            </w:r>
            <w:r>
              <w:rPr>
                <w:noProof/>
                <w:webHidden/>
              </w:rPr>
              <w:t>8</w:t>
            </w:r>
            <w:r>
              <w:rPr>
                <w:noProof/>
                <w:webHidden/>
              </w:rPr>
              <w:fldChar w:fldCharType="end"/>
            </w:r>
          </w:hyperlink>
        </w:p>
        <w:p w14:paraId="7130F467" w14:textId="31F93386" w:rsidR="00FF4872" w:rsidRDefault="00FF4872">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22" w:history="1">
            <w:r w:rsidRPr="00863BEC">
              <w:rPr>
                <w:rStyle w:val="Hyperlink"/>
                <w:i/>
                <w:iCs/>
                <w:noProof/>
              </w:rPr>
              <w:t>The changing private health care landscape</w:t>
            </w:r>
            <w:r>
              <w:rPr>
                <w:noProof/>
                <w:webHidden/>
              </w:rPr>
              <w:tab/>
            </w:r>
            <w:r>
              <w:rPr>
                <w:noProof/>
                <w:webHidden/>
              </w:rPr>
              <w:fldChar w:fldCharType="begin"/>
            </w:r>
            <w:r>
              <w:rPr>
                <w:noProof/>
                <w:webHidden/>
              </w:rPr>
              <w:instrText xml:space="preserve"> PAGEREF _Toc233805022 \h </w:instrText>
            </w:r>
            <w:r>
              <w:rPr>
                <w:noProof/>
                <w:webHidden/>
              </w:rPr>
            </w:r>
            <w:r>
              <w:rPr>
                <w:noProof/>
                <w:webHidden/>
              </w:rPr>
              <w:fldChar w:fldCharType="separate"/>
            </w:r>
            <w:r>
              <w:rPr>
                <w:noProof/>
                <w:webHidden/>
              </w:rPr>
              <w:t>8</w:t>
            </w:r>
            <w:r>
              <w:rPr>
                <w:noProof/>
                <w:webHidden/>
              </w:rPr>
              <w:fldChar w:fldCharType="end"/>
            </w:r>
          </w:hyperlink>
        </w:p>
        <w:p w14:paraId="7E1D0BE6" w14:textId="192955A0" w:rsidR="00FF4872" w:rsidRDefault="00FF4872">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23" w:history="1">
            <w:r w:rsidRPr="00863BEC">
              <w:rPr>
                <w:rStyle w:val="Hyperlink"/>
                <w:i/>
                <w:iCs/>
                <w:noProof/>
              </w:rPr>
              <w:t>A patient’s experience of contemporary care</w:t>
            </w:r>
            <w:r>
              <w:rPr>
                <w:noProof/>
                <w:webHidden/>
              </w:rPr>
              <w:tab/>
            </w:r>
            <w:r>
              <w:rPr>
                <w:noProof/>
                <w:webHidden/>
              </w:rPr>
              <w:fldChar w:fldCharType="begin"/>
            </w:r>
            <w:r>
              <w:rPr>
                <w:noProof/>
                <w:webHidden/>
              </w:rPr>
              <w:instrText xml:space="preserve"> PAGEREF _Toc233805023 \h </w:instrText>
            </w:r>
            <w:r>
              <w:rPr>
                <w:noProof/>
                <w:webHidden/>
              </w:rPr>
            </w:r>
            <w:r>
              <w:rPr>
                <w:noProof/>
                <w:webHidden/>
              </w:rPr>
              <w:fldChar w:fldCharType="separate"/>
            </w:r>
            <w:r>
              <w:rPr>
                <w:noProof/>
                <w:webHidden/>
              </w:rPr>
              <w:t>8</w:t>
            </w:r>
            <w:r>
              <w:rPr>
                <w:noProof/>
                <w:webHidden/>
              </w:rPr>
              <w:fldChar w:fldCharType="end"/>
            </w:r>
          </w:hyperlink>
        </w:p>
        <w:p w14:paraId="3B5E79C1" w14:textId="1D6CECAD" w:rsidR="00FF4872" w:rsidRDefault="00FF4872">
          <w:pPr>
            <w:pStyle w:val="TOC2"/>
            <w:rPr>
              <w:rFonts w:asciiTheme="minorHAnsi" w:eastAsiaTheme="minorEastAsia" w:hAnsiTheme="minorHAnsi" w:cstheme="minorBidi"/>
              <w:iCs w:val="0"/>
              <w:color w:val="auto"/>
              <w:kern w:val="2"/>
              <w:sz w:val="24"/>
              <w:lang w:eastAsia="en-AU"/>
              <w14:ligatures w14:val="standardContextual"/>
            </w:rPr>
          </w:pPr>
          <w:hyperlink w:anchor="_Toc233805024" w:history="1">
            <w:r w:rsidRPr="00863BEC">
              <w:rPr>
                <w:rStyle w:val="Hyperlink"/>
              </w:rPr>
              <w:t>1.1</w:t>
            </w:r>
            <w:r>
              <w:rPr>
                <w:rFonts w:asciiTheme="minorHAnsi" w:eastAsiaTheme="minorEastAsia" w:hAnsiTheme="minorHAnsi" w:cstheme="minorBidi"/>
                <w:iCs w:val="0"/>
                <w:color w:val="auto"/>
                <w:kern w:val="2"/>
                <w:sz w:val="24"/>
                <w:lang w:eastAsia="en-AU"/>
                <w14:ligatures w14:val="standardContextual"/>
              </w:rPr>
              <w:tab/>
            </w:r>
            <w:r w:rsidRPr="00863BEC">
              <w:rPr>
                <w:rStyle w:val="Hyperlink"/>
              </w:rPr>
              <w:t>Mental health care</w:t>
            </w:r>
            <w:r>
              <w:rPr>
                <w:webHidden/>
              </w:rPr>
              <w:tab/>
            </w:r>
            <w:r>
              <w:rPr>
                <w:webHidden/>
              </w:rPr>
              <w:fldChar w:fldCharType="begin"/>
            </w:r>
            <w:r>
              <w:rPr>
                <w:webHidden/>
              </w:rPr>
              <w:instrText xml:space="preserve"> PAGEREF _Toc233805024 \h </w:instrText>
            </w:r>
            <w:r>
              <w:rPr>
                <w:webHidden/>
              </w:rPr>
            </w:r>
            <w:r>
              <w:rPr>
                <w:webHidden/>
              </w:rPr>
              <w:fldChar w:fldCharType="separate"/>
            </w:r>
            <w:r>
              <w:rPr>
                <w:webHidden/>
              </w:rPr>
              <w:t>9</w:t>
            </w:r>
            <w:r>
              <w:rPr>
                <w:webHidden/>
              </w:rPr>
              <w:fldChar w:fldCharType="end"/>
            </w:r>
          </w:hyperlink>
        </w:p>
        <w:p w14:paraId="3271BD0D" w14:textId="4C9A0E36"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25" w:history="1">
            <w:r w:rsidRPr="00863BEC">
              <w:rPr>
                <w:rStyle w:val="Hyperlink"/>
                <w:i/>
                <w:iCs/>
                <w:noProof/>
              </w:rPr>
              <w:t>1.1.1</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Introduction</w:t>
            </w:r>
            <w:r>
              <w:rPr>
                <w:noProof/>
                <w:webHidden/>
              </w:rPr>
              <w:tab/>
            </w:r>
            <w:r>
              <w:rPr>
                <w:noProof/>
                <w:webHidden/>
              </w:rPr>
              <w:fldChar w:fldCharType="begin"/>
            </w:r>
            <w:r>
              <w:rPr>
                <w:noProof/>
                <w:webHidden/>
              </w:rPr>
              <w:instrText xml:space="preserve"> PAGEREF _Toc233805025 \h </w:instrText>
            </w:r>
            <w:r>
              <w:rPr>
                <w:noProof/>
                <w:webHidden/>
              </w:rPr>
            </w:r>
            <w:r>
              <w:rPr>
                <w:noProof/>
                <w:webHidden/>
              </w:rPr>
              <w:fldChar w:fldCharType="separate"/>
            </w:r>
            <w:r>
              <w:rPr>
                <w:noProof/>
                <w:webHidden/>
              </w:rPr>
              <w:t>10</w:t>
            </w:r>
            <w:r>
              <w:rPr>
                <w:noProof/>
                <w:webHidden/>
              </w:rPr>
              <w:fldChar w:fldCharType="end"/>
            </w:r>
          </w:hyperlink>
        </w:p>
        <w:p w14:paraId="506E70B1" w14:textId="6296D07B"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26" w:history="1">
            <w:r w:rsidRPr="00863BEC">
              <w:rPr>
                <w:rStyle w:val="Hyperlink"/>
                <w:i/>
                <w:iCs/>
                <w:noProof/>
              </w:rPr>
              <w:t>1.1.2</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Progress on reforms to support mental health services</w:t>
            </w:r>
            <w:r>
              <w:rPr>
                <w:noProof/>
                <w:webHidden/>
              </w:rPr>
              <w:tab/>
            </w:r>
            <w:r>
              <w:rPr>
                <w:noProof/>
                <w:webHidden/>
              </w:rPr>
              <w:fldChar w:fldCharType="begin"/>
            </w:r>
            <w:r>
              <w:rPr>
                <w:noProof/>
                <w:webHidden/>
              </w:rPr>
              <w:instrText xml:space="preserve"> PAGEREF _Toc233805026 \h </w:instrText>
            </w:r>
            <w:r>
              <w:rPr>
                <w:noProof/>
                <w:webHidden/>
              </w:rPr>
            </w:r>
            <w:r>
              <w:rPr>
                <w:noProof/>
                <w:webHidden/>
              </w:rPr>
              <w:fldChar w:fldCharType="separate"/>
            </w:r>
            <w:r>
              <w:rPr>
                <w:noProof/>
                <w:webHidden/>
              </w:rPr>
              <w:t>10</w:t>
            </w:r>
            <w:r>
              <w:rPr>
                <w:noProof/>
                <w:webHidden/>
              </w:rPr>
              <w:fldChar w:fldCharType="end"/>
            </w:r>
          </w:hyperlink>
        </w:p>
        <w:p w14:paraId="37E60F64" w14:textId="0EC1E955"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27" w:history="1">
            <w:r w:rsidRPr="00863BEC">
              <w:rPr>
                <w:rStyle w:val="Hyperlink"/>
                <w:i/>
                <w:iCs/>
                <w:noProof/>
              </w:rPr>
              <w:t>1.1.3</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Proposed reform initiatives to support private mental health</w:t>
            </w:r>
            <w:r>
              <w:rPr>
                <w:noProof/>
                <w:webHidden/>
              </w:rPr>
              <w:tab/>
            </w:r>
            <w:r>
              <w:rPr>
                <w:noProof/>
                <w:webHidden/>
              </w:rPr>
              <w:fldChar w:fldCharType="begin"/>
            </w:r>
            <w:r>
              <w:rPr>
                <w:noProof/>
                <w:webHidden/>
              </w:rPr>
              <w:instrText xml:space="preserve"> PAGEREF _Toc233805027 \h </w:instrText>
            </w:r>
            <w:r>
              <w:rPr>
                <w:noProof/>
                <w:webHidden/>
              </w:rPr>
            </w:r>
            <w:r>
              <w:rPr>
                <w:noProof/>
                <w:webHidden/>
              </w:rPr>
              <w:fldChar w:fldCharType="separate"/>
            </w:r>
            <w:r>
              <w:rPr>
                <w:noProof/>
                <w:webHidden/>
              </w:rPr>
              <w:t>11</w:t>
            </w:r>
            <w:r>
              <w:rPr>
                <w:noProof/>
                <w:webHidden/>
              </w:rPr>
              <w:fldChar w:fldCharType="end"/>
            </w:r>
          </w:hyperlink>
        </w:p>
        <w:p w14:paraId="0FE9480C" w14:textId="4FEC995A" w:rsidR="00FF4872" w:rsidRDefault="00FF4872">
          <w:pPr>
            <w:pStyle w:val="TOC2"/>
            <w:rPr>
              <w:rFonts w:asciiTheme="minorHAnsi" w:eastAsiaTheme="minorEastAsia" w:hAnsiTheme="minorHAnsi" w:cstheme="minorBidi"/>
              <w:iCs w:val="0"/>
              <w:color w:val="auto"/>
              <w:kern w:val="2"/>
              <w:sz w:val="24"/>
              <w:lang w:eastAsia="en-AU"/>
              <w14:ligatures w14:val="standardContextual"/>
            </w:rPr>
          </w:pPr>
          <w:hyperlink w:anchor="_Toc233805028" w:history="1">
            <w:r w:rsidRPr="00863BEC">
              <w:rPr>
                <w:rStyle w:val="Hyperlink"/>
              </w:rPr>
              <w:t>1.2</w:t>
            </w:r>
            <w:r>
              <w:rPr>
                <w:rFonts w:asciiTheme="minorHAnsi" w:eastAsiaTheme="minorEastAsia" w:hAnsiTheme="minorHAnsi" w:cstheme="minorBidi"/>
                <w:iCs w:val="0"/>
                <w:color w:val="auto"/>
                <w:kern w:val="2"/>
                <w:sz w:val="24"/>
                <w:lang w:eastAsia="en-AU"/>
                <w14:ligatures w14:val="standardContextual"/>
              </w:rPr>
              <w:tab/>
            </w:r>
            <w:r w:rsidRPr="00863BEC">
              <w:rPr>
                <w:rStyle w:val="Hyperlink"/>
              </w:rPr>
              <w:t>Maternity care</w:t>
            </w:r>
            <w:r>
              <w:rPr>
                <w:webHidden/>
              </w:rPr>
              <w:tab/>
            </w:r>
            <w:r>
              <w:rPr>
                <w:webHidden/>
              </w:rPr>
              <w:fldChar w:fldCharType="begin"/>
            </w:r>
            <w:r>
              <w:rPr>
                <w:webHidden/>
              </w:rPr>
              <w:instrText xml:space="preserve"> PAGEREF _Toc233805028 \h </w:instrText>
            </w:r>
            <w:r>
              <w:rPr>
                <w:webHidden/>
              </w:rPr>
            </w:r>
            <w:r>
              <w:rPr>
                <w:webHidden/>
              </w:rPr>
              <w:fldChar w:fldCharType="separate"/>
            </w:r>
            <w:r>
              <w:rPr>
                <w:webHidden/>
              </w:rPr>
              <w:t>17</w:t>
            </w:r>
            <w:r>
              <w:rPr>
                <w:webHidden/>
              </w:rPr>
              <w:fldChar w:fldCharType="end"/>
            </w:r>
          </w:hyperlink>
        </w:p>
        <w:p w14:paraId="037DAA3D" w14:textId="7129F8B3"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29" w:history="1">
            <w:r w:rsidRPr="00863BEC">
              <w:rPr>
                <w:rStyle w:val="Hyperlink"/>
                <w:i/>
                <w:iCs/>
                <w:noProof/>
              </w:rPr>
              <w:t>1.2.1</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Introduction</w:t>
            </w:r>
            <w:r>
              <w:rPr>
                <w:noProof/>
                <w:webHidden/>
              </w:rPr>
              <w:tab/>
            </w:r>
            <w:r>
              <w:rPr>
                <w:noProof/>
                <w:webHidden/>
              </w:rPr>
              <w:fldChar w:fldCharType="begin"/>
            </w:r>
            <w:r>
              <w:rPr>
                <w:noProof/>
                <w:webHidden/>
              </w:rPr>
              <w:instrText xml:space="preserve"> PAGEREF _Toc233805029 \h </w:instrText>
            </w:r>
            <w:r>
              <w:rPr>
                <w:noProof/>
                <w:webHidden/>
              </w:rPr>
            </w:r>
            <w:r>
              <w:rPr>
                <w:noProof/>
                <w:webHidden/>
              </w:rPr>
              <w:fldChar w:fldCharType="separate"/>
            </w:r>
            <w:r>
              <w:rPr>
                <w:noProof/>
                <w:webHidden/>
              </w:rPr>
              <w:t>18</w:t>
            </w:r>
            <w:r>
              <w:rPr>
                <w:noProof/>
                <w:webHidden/>
              </w:rPr>
              <w:fldChar w:fldCharType="end"/>
            </w:r>
          </w:hyperlink>
        </w:p>
        <w:p w14:paraId="06F88A48" w14:textId="3B563CF2"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30" w:history="1">
            <w:r w:rsidRPr="00863BEC">
              <w:rPr>
                <w:rStyle w:val="Hyperlink"/>
                <w:i/>
                <w:iCs/>
                <w:noProof/>
              </w:rPr>
              <w:t>1.2.2</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Barriers to</w:t>
            </w:r>
            <w:r w:rsidRPr="00863BEC">
              <w:rPr>
                <w:rStyle w:val="Hyperlink"/>
                <w:i/>
                <w:noProof/>
              </w:rPr>
              <w:t xml:space="preserve"> </w:t>
            </w:r>
            <w:r w:rsidRPr="00863BEC">
              <w:rPr>
                <w:rStyle w:val="Hyperlink"/>
                <w:i/>
                <w:iCs/>
                <w:noProof/>
              </w:rPr>
              <w:t xml:space="preserve">private sector </w:t>
            </w:r>
            <w:r w:rsidRPr="00863BEC">
              <w:rPr>
                <w:rStyle w:val="Hyperlink"/>
                <w:i/>
                <w:noProof/>
              </w:rPr>
              <w:t xml:space="preserve">maternity </w:t>
            </w:r>
            <w:r w:rsidRPr="00863BEC">
              <w:rPr>
                <w:rStyle w:val="Hyperlink"/>
                <w:i/>
                <w:iCs/>
                <w:noProof/>
              </w:rPr>
              <w:t>care access</w:t>
            </w:r>
            <w:r>
              <w:rPr>
                <w:noProof/>
                <w:webHidden/>
              </w:rPr>
              <w:tab/>
            </w:r>
            <w:r>
              <w:rPr>
                <w:noProof/>
                <w:webHidden/>
              </w:rPr>
              <w:fldChar w:fldCharType="begin"/>
            </w:r>
            <w:r>
              <w:rPr>
                <w:noProof/>
                <w:webHidden/>
              </w:rPr>
              <w:instrText xml:space="preserve"> PAGEREF _Toc233805030 \h </w:instrText>
            </w:r>
            <w:r>
              <w:rPr>
                <w:noProof/>
                <w:webHidden/>
              </w:rPr>
            </w:r>
            <w:r>
              <w:rPr>
                <w:noProof/>
                <w:webHidden/>
              </w:rPr>
              <w:fldChar w:fldCharType="separate"/>
            </w:r>
            <w:r>
              <w:rPr>
                <w:noProof/>
                <w:webHidden/>
              </w:rPr>
              <w:t>18</w:t>
            </w:r>
            <w:r>
              <w:rPr>
                <w:noProof/>
                <w:webHidden/>
              </w:rPr>
              <w:fldChar w:fldCharType="end"/>
            </w:r>
          </w:hyperlink>
        </w:p>
        <w:p w14:paraId="07DD8E67" w14:textId="4B5062C9"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31" w:history="1">
            <w:r w:rsidRPr="00863BEC">
              <w:rPr>
                <w:rStyle w:val="Hyperlink"/>
                <w:i/>
                <w:iCs/>
                <w:noProof/>
              </w:rPr>
              <w:t>1.2.3</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Proposed reform initiatives to PHI for maternity care</w:t>
            </w:r>
            <w:r>
              <w:rPr>
                <w:noProof/>
                <w:webHidden/>
              </w:rPr>
              <w:tab/>
            </w:r>
            <w:r>
              <w:rPr>
                <w:noProof/>
                <w:webHidden/>
              </w:rPr>
              <w:fldChar w:fldCharType="begin"/>
            </w:r>
            <w:r>
              <w:rPr>
                <w:noProof/>
                <w:webHidden/>
              </w:rPr>
              <w:instrText xml:space="preserve"> PAGEREF _Toc233805031 \h </w:instrText>
            </w:r>
            <w:r>
              <w:rPr>
                <w:noProof/>
                <w:webHidden/>
              </w:rPr>
            </w:r>
            <w:r>
              <w:rPr>
                <w:noProof/>
                <w:webHidden/>
              </w:rPr>
              <w:fldChar w:fldCharType="separate"/>
            </w:r>
            <w:r>
              <w:rPr>
                <w:noProof/>
                <w:webHidden/>
              </w:rPr>
              <w:t>19</w:t>
            </w:r>
            <w:r>
              <w:rPr>
                <w:noProof/>
                <w:webHidden/>
              </w:rPr>
              <w:fldChar w:fldCharType="end"/>
            </w:r>
          </w:hyperlink>
        </w:p>
        <w:p w14:paraId="59ACB944" w14:textId="7305541C" w:rsidR="00FF4872" w:rsidRDefault="00FF4872">
          <w:pPr>
            <w:pStyle w:val="TOC2"/>
            <w:rPr>
              <w:rFonts w:asciiTheme="minorHAnsi" w:eastAsiaTheme="minorEastAsia" w:hAnsiTheme="minorHAnsi" w:cstheme="minorBidi"/>
              <w:iCs w:val="0"/>
              <w:color w:val="auto"/>
              <w:kern w:val="2"/>
              <w:sz w:val="24"/>
              <w:lang w:eastAsia="en-AU"/>
              <w14:ligatures w14:val="standardContextual"/>
            </w:rPr>
          </w:pPr>
          <w:hyperlink w:anchor="_Toc233805032" w:history="1">
            <w:r w:rsidRPr="00863BEC">
              <w:rPr>
                <w:rStyle w:val="Hyperlink"/>
              </w:rPr>
              <w:t>1.3</w:t>
            </w:r>
            <w:r>
              <w:rPr>
                <w:rFonts w:asciiTheme="minorHAnsi" w:eastAsiaTheme="minorEastAsia" w:hAnsiTheme="minorHAnsi" w:cstheme="minorBidi"/>
                <w:iCs w:val="0"/>
                <w:color w:val="auto"/>
                <w:kern w:val="2"/>
                <w:sz w:val="24"/>
                <w:lang w:eastAsia="en-AU"/>
                <w14:ligatures w14:val="standardContextual"/>
              </w:rPr>
              <w:tab/>
            </w:r>
            <w:r w:rsidRPr="00863BEC">
              <w:rPr>
                <w:rStyle w:val="Hyperlink"/>
              </w:rPr>
              <w:t>Hospital in the Home</w:t>
            </w:r>
            <w:r>
              <w:rPr>
                <w:webHidden/>
              </w:rPr>
              <w:tab/>
            </w:r>
            <w:r>
              <w:rPr>
                <w:webHidden/>
              </w:rPr>
              <w:fldChar w:fldCharType="begin"/>
            </w:r>
            <w:r>
              <w:rPr>
                <w:webHidden/>
              </w:rPr>
              <w:instrText xml:space="preserve"> PAGEREF _Toc233805032 \h </w:instrText>
            </w:r>
            <w:r>
              <w:rPr>
                <w:webHidden/>
              </w:rPr>
            </w:r>
            <w:r>
              <w:rPr>
                <w:webHidden/>
              </w:rPr>
              <w:fldChar w:fldCharType="separate"/>
            </w:r>
            <w:r>
              <w:rPr>
                <w:webHidden/>
              </w:rPr>
              <w:t>21</w:t>
            </w:r>
            <w:r>
              <w:rPr>
                <w:webHidden/>
              </w:rPr>
              <w:fldChar w:fldCharType="end"/>
            </w:r>
          </w:hyperlink>
        </w:p>
        <w:p w14:paraId="524C5A37" w14:textId="64A0B929"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33" w:history="1">
            <w:r w:rsidRPr="00863BEC">
              <w:rPr>
                <w:rStyle w:val="Hyperlink"/>
                <w:i/>
                <w:iCs/>
                <w:noProof/>
              </w:rPr>
              <w:t>1.3.1</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Introduction</w:t>
            </w:r>
            <w:r>
              <w:rPr>
                <w:noProof/>
                <w:webHidden/>
              </w:rPr>
              <w:tab/>
            </w:r>
            <w:r>
              <w:rPr>
                <w:noProof/>
                <w:webHidden/>
              </w:rPr>
              <w:fldChar w:fldCharType="begin"/>
            </w:r>
            <w:r>
              <w:rPr>
                <w:noProof/>
                <w:webHidden/>
              </w:rPr>
              <w:instrText xml:space="preserve"> PAGEREF _Toc233805033 \h </w:instrText>
            </w:r>
            <w:r>
              <w:rPr>
                <w:noProof/>
                <w:webHidden/>
              </w:rPr>
            </w:r>
            <w:r>
              <w:rPr>
                <w:noProof/>
                <w:webHidden/>
              </w:rPr>
              <w:fldChar w:fldCharType="separate"/>
            </w:r>
            <w:r>
              <w:rPr>
                <w:noProof/>
                <w:webHidden/>
              </w:rPr>
              <w:t>22</w:t>
            </w:r>
            <w:r>
              <w:rPr>
                <w:noProof/>
                <w:webHidden/>
              </w:rPr>
              <w:fldChar w:fldCharType="end"/>
            </w:r>
          </w:hyperlink>
        </w:p>
        <w:p w14:paraId="562DDB20" w14:textId="7594D8F0"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34" w:history="1">
            <w:r w:rsidRPr="00863BEC">
              <w:rPr>
                <w:rStyle w:val="Hyperlink"/>
                <w:i/>
                <w:iCs/>
                <w:noProof/>
              </w:rPr>
              <w:t>1.3.2</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Option to expand HITH</w:t>
            </w:r>
            <w:r>
              <w:rPr>
                <w:noProof/>
                <w:webHidden/>
              </w:rPr>
              <w:tab/>
            </w:r>
            <w:r>
              <w:rPr>
                <w:noProof/>
                <w:webHidden/>
              </w:rPr>
              <w:fldChar w:fldCharType="begin"/>
            </w:r>
            <w:r>
              <w:rPr>
                <w:noProof/>
                <w:webHidden/>
              </w:rPr>
              <w:instrText xml:space="preserve"> PAGEREF _Toc233805034 \h </w:instrText>
            </w:r>
            <w:r>
              <w:rPr>
                <w:noProof/>
                <w:webHidden/>
              </w:rPr>
            </w:r>
            <w:r>
              <w:rPr>
                <w:noProof/>
                <w:webHidden/>
              </w:rPr>
              <w:fldChar w:fldCharType="separate"/>
            </w:r>
            <w:r>
              <w:rPr>
                <w:noProof/>
                <w:webHidden/>
              </w:rPr>
              <w:t>22</w:t>
            </w:r>
            <w:r>
              <w:rPr>
                <w:noProof/>
                <w:webHidden/>
              </w:rPr>
              <w:fldChar w:fldCharType="end"/>
            </w:r>
          </w:hyperlink>
        </w:p>
        <w:p w14:paraId="383C5116" w14:textId="1DE24148"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35" w:history="1">
            <w:r w:rsidRPr="00863BEC">
              <w:rPr>
                <w:rStyle w:val="Hyperlink"/>
                <w:i/>
                <w:iCs/>
                <w:noProof/>
              </w:rPr>
              <w:t>1.3.3</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Proposed initial tranche of HITH treatment services for introduction</w:t>
            </w:r>
            <w:r>
              <w:rPr>
                <w:noProof/>
                <w:webHidden/>
              </w:rPr>
              <w:tab/>
            </w:r>
            <w:r>
              <w:rPr>
                <w:noProof/>
                <w:webHidden/>
              </w:rPr>
              <w:fldChar w:fldCharType="begin"/>
            </w:r>
            <w:r>
              <w:rPr>
                <w:noProof/>
                <w:webHidden/>
              </w:rPr>
              <w:instrText xml:space="preserve"> PAGEREF _Toc233805035 \h </w:instrText>
            </w:r>
            <w:r>
              <w:rPr>
                <w:noProof/>
                <w:webHidden/>
              </w:rPr>
            </w:r>
            <w:r>
              <w:rPr>
                <w:noProof/>
                <w:webHidden/>
              </w:rPr>
              <w:fldChar w:fldCharType="separate"/>
            </w:r>
            <w:r>
              <w:rPr>
                <w:noProof/>
                <w:webHidden/>
              </w:rPr>
              <w:t>23</w:t>
            </w:r>
            <w:r>
              <w:rPr>
                <w:noProof/>
                <w:webHidden/>
              </w:rPr>
              <w:fldChar w:fldCharType="end"/>
            </w:r>
          </w:hyperlink>
        </w:p>
        <w:p w14:paraId="7CFF997F" w14:textId="71810C21"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36" w:history="1">
            <w:r w:rsidRPr="00863BEC">
              <w:rPr>
                <w:rStyle w:val="Hyperlink"/>
                <w:i/>
                <w:iCs/>
                <w:noProof/>
              </w:rPr>
              <w:t>1.3.4</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Considerations identified by the department when implementing HITH</w:t>
            </w:r>
            <w:r>
              <w:rPr>
                <w:noProof/>
                <w:webHidden/>
              </w:rPr>
              <w:tab/>
            </w:r>
            <w:r>
              <w:rPr>
                <w:noProof/>
                <w:webHidden/>
              </w:rPr>
              <w:fldChar w:fldCharType="begin"/>
            </w:r>
            <w:r>
              <w:rPr>
                <w:noProof/>
                <w:webHidden/>
              </w:rPr>
              <w:instrText xml:space="preserve"> PAGEREF _Toc233805036 \h </w:instrText>
            </w:r>
            <w:r>
              <w:rPr>
                <w:noProof/>
                <w:webHidden/>
              </w:rPr>
            </w:r>
            <w:r>
              <w:rPr>
                <w:noProof/>
                <w:webHidden/>
              </w:rPr>
              <w:fldChar w:fldCharType="separate"/>
            </w:r>
            <w:r>
              <w:rPr>
                <w:noProof/>
                <w:webHidden/>
              </w:rPr>
              <w:t>24</w:t>
            </w:r>
            <w:r>
              <w:rPr>
                <w:noProof/>
                <w:webHidden/>
              </w:rPr>
              <w:fldChar w:fldCharType="end"/>
            </w:r>
          </w:hyperlink>
        </w:p>
        <w:p w14:paraId="74B09B8A" w14:textId="713AF069"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37" w:history="1">
            <w:r w:rsidRPr="00863BEC">
              <w:rPr>
                <w:rStyle w:val="Hyperlink"/>
                <w:i/>
                <w:iCs/>
                <w:noProof/>
              </w:rPr>
              <w:t>1.3.5</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Implementation and timing</w:t>
            </w:r>
            <w:r>
              <w:rPr>
                <w:noProof/>
                <w:webHidden/>
              </w:rPr>
              <w:tab/>
            </w:r>
            <w:r>
              <w:rPr>
                <w:noProof/>
                <w:webHidden/>
              </w:rPr>
              <w:fldChar w:fldCharType="begin"/>
            </w:r>
            <w:r>
              <w:rPr>
                <w:noProof/>
                <w:webHidden/>
              </w:rPr>
              <w:instrText xml:space="preserve"> PAGEREF _Toc233805037 \h </w:instrText>
            </w:r>
            <w:r>
              <w:rPr>
                <w:noProof/>
                <w:webHidden/>
              </w:rPr>
            </w:r>
            <w:r>
              <w:rPr>
                <w:noProof/>
                <w:webHidden/>
              </w:rPr>
              <w:fldChar w:fldCharType="separate"/>
            </w:r>
            <w:r>
              <w:rPr>
                <w:noProof/>
                <w:webHidden/>
              </w:rPr>
              <w:t>26</w:t>
            </w:r>
            <w:r>
              <w:rPr>
                <w:noProof/>
                <w:webHidden/>
              </w:rPr>
              <w:fldChar w:fldCharType="end"/>
            </w:r>
          </w:hyperlink>
        </w:p>
        <w:p w14:paraId="364BE775" w14:textId="3344DFF1" w:rsidR="00FF4872" w:rsidRDefault="00FF4872">
          <w:pPr>
            <w:pStyle w:val="TOC2"/>
            <w:rPr>
              <w:rFonts w:asciiTheme="minorHAnsi" w:eastAsiaTheme="minorEastAsia" w:hAnsiTheme="minorHAnsi" w:cstheme="minorBidi"/>
              <w:iCs w:val="0"/>
              <w:color w:val="auto"/>
              <w:kern w:val="2"/>
              <w:sz w:val="24"/>
              <w:lang w:eastAsia="en-AU"/>
              <w14:ligatures w14:val="standardContextual"/>
            </w:rPr>
          </w:pPr>
          <w:hyperlink w:anchor="_Toc233805038" w:history="1">
            <w:r w:rsidRPr="00863BEC">
              <w:rPr>
                <w:rStyle w:val="Hyperlink"/>
              </w:rPr>
              <w:t>1.4</w:t>
            </w:r>
            <w:r>
              <w:rPr>
                <w:rFonts w:asciiTheme="minorHAnsi" w:eastAsiaTheme="minorEastAsia" w:hAnsiTheme="minorHAnsi" w:cstheme="minorBidi"/>
                <w:iCs w:val="0"/>
                <w:color w:val="auto"/>
                <w:kern w:val="2"/>
                <w:sz w:val="24"/>
                <w:lang w:eastAsia="en-AU"/>
                <w14:ligatures w14:val="standardContextual"/>
              </w:rPr>
              <w:tab/>
            </w:r>
            <w:r w:rsidRPr="00863BEC">
              <w:rPr>
                <w:rStyle w:val="Hyperlink"/>
              </w:rPr>
              <w:t>Type C certification requirements: exemption criteria</w:t>
            </w:r>
            <w:r>
              <w:rPr>
                <w:webHidden/>
              </w:rPr>
              <w:tab/>
            </w:r>
            <w:r>
              <w:rPr>
                <w:webHidden/>
              </w:rPr>
              <w:fldChar w:fldCharType="begin"/>
            </w:r>
            <w:r>
              <w:rPr>
                <w:webHidden/>
              </w:rPr>
              <w:instrText xml:space="preserve"> PAGEREF _Toc233805038 \h </w:instrText>
            </w:r>
            <w:r>
              <w:rPr>
                <w:webHidden/>
              </w:rPr>
            </w:r>
            <w:r>
              <w:rPr>
                <w:webHidden/>
              </w:rPr>
              <w:fldChar w:fldCharType="separate"/>
            </w:r>
            <w:r>
              <w:rPr>
                <w:webHidden/>
              </w:rPr>
              <w:t>27</w:t>
            </w:r>
            <w:r>
              <w:rPr>
                <w:webHidden/>
              </w:rPr>
              <w:fldChar w:fldCharType="end"/>
            </w:r>
          </w:hyperlink>
        </w:p>
        <w:p w14:paraId="18FB43C1" w14:textId="39BEB197"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39" w:history="1">
            <w:r w:rsidRPr="00863BEC">
              <w:rPr>
                <w:rStyle w:val="Hyperlink"/>
                <w:i/>
                <w:iCs/>
                <w:noProof/>
              </w:rPr>
              <w:t>1.4.1</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Introduction</w:t>
            </w:r>
            <w:r>
              <w:rPr>
                <w:noProof/>
                <w:webHidden/>
              </w:rPr>
              <w:tab/>
            </w:r>
            <w:r>
              <w:rPr>
                <w:noProof/>
                <w:webHidden/>
              </w:rPr>
              <w:fldChar w:fldCharType="begin"/>
            </w:r>
            <w:r>
              <w:rPr>
                <w:noProof/>
                <w:webHidden/>
              </w:rPr>
              <w:instrText xml:space="preserve"> PAGEREF _Toc233805039 \h </w:instrText>
            </w:r>
            <w:r>
              <w:rPr>
                <w:noProof/>
                <w:webHidden/>
              </w:rPr>
            </w:r>
            <w:r>
              <w:rPr>
                <w:noProof/>
                <w:webHidden/>
              </w:rPr>
              <w:fldChar w:fldCharType="separate"/>
            </w:r>
            <w:r>
              <w:rPr>
                <w:noProof/>
                <w:webHidden/>
              </w:rPr>
              <w:t>27</w:t>
            </w:r>
            <w:r>
              <w:rPr>
                <w:noProof/>
                <w:webHidden/>
              </w:rPr>
              <w:fldChar w:fldCharType="end"/>
            </w:r>
          </w:hyperlink>
        </w:p>
        <w:p w14:paraId="7A630B31" w14:textId="674263B7"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40" w:history="1">
            <w:r w:rsidRPr="00863BEC">
              <w:rPr>
                <w:rStyle w:val="Hyperlink"/>
                <w:i/>
                <w:iCs/>
                <w:noProof/>
              </w:rPr>
              <w:t>1.4.2</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Proposed exemption criteria</w:t>
            </w:r>
            <w:r>
              <w:rPr>
                <w:noProof/>
                <w:webHidden/>
              </w:rPr>
              <w:tab/>
            </w:r>
            <w:r>
              <w:rPr>
                <w:noProof/>
                <w:webHidden/>
              </w:rPr>
              <w:fldChar w:fldCharType="begin"/>
            </w:r>
            <w:r>
              <w:rPr>
                <w:noProof/>
                <w:webHidden/>
              </w:rPr>
              <w:instrText xml:space="preserve"> PAGEREF _Toc233805040 \h </w:instrText>
            </w:r>
            <w:r>
              <w:rPr>
                <w:noProof/>
                <w:webHidden/>
              </w:rPr>
            </w:r>
            <w:r>
              <w:rPr>
                <w:noProof/>
                <w:webHidden/>
              </w:rPr>
              <w:fldChar w:fldCharType="separate"/>
            </w:r>
            <w:r>
              <w:rPr>
                <w:noProof/>
                <w:webHidden/>
              </w:rPr>
              <w:t>28</w:t>
            </w:r>
            <w:r>
              <w:rPr>
                <w:noProof/>
                <w:webHidden/>
              </w:rPr>
              <w:fldChar w:fldCharType="end"/>
            </w:r>
          </w:hyperlink>
        </w:p>
        <w:p w14:paraId="44B14CF6" w14:textId="6B8548B6"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41" w:history="1">
            <w:r w:rsidRPr="00863BEC">
              <w:rPr>
                <w:rStyle w:val="Hyperlink"/>
                <w:i/>
                <w:iCs/>
                <w:noProof/>
              </w:rPr>
              <w:t>1.4.3</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Other – proposal to reclassify MBS item 14245 from a Type C to Type B procedure</w:t>
            </w:r>
            <w:r>
              <w:rPr>
                <w:noProof/>
                <w:webHidden/>
              </w:rPr>
              <w:tab/>
            </w:r>
            <w:r>
              <w:rPr>
                <w:noProof/>
                <w:webHidden/>
              </w:rPr>
              <w:fldChar w:fldCharType="begin"/>
            </w:r>
            <w:r>
              <w:rPr>
                <w:noProof/>
                <w:webHidden/>
              </w:rPr>
              <w:instrText xml:space="preserve"> PAGEREF _Toc233805041 \h </w:instrText>
            </w:r>
            <w:r>
              <w:rPr>
                <w:noProof/>
                <w:webHidden/>
              </w:rPr>
            </w:r>
            <w:r>
              <w:rPr>
                <w:noProof/>
                <w:webHidden/>
              </w:rPr>
              <w:fldChar w:fldCharType="separate"/>
            </w:r>
            <w:r>
              <w:rPr>
                <w:noProof/>
                <w:webHidden/>
              </w:rPr>
              <w:t>30</w:t>
            </w:r>
            <w:r>
              <w:rPr>
                <w:noProof/>
                <w:webHidden/>
              </w:rPr>
              <w:fldChar w:fldCharType="end"/>
            </w:r>
          </w:hyperlink>
        </w:p>
        <w:p w14:paraId="60E26470" w14:textId="793D3BF4" w:rsidR="00FF4872" w:rsidRDefault="00FF4872">
          <w:pPr>
            <w:pStyle w:val="TOC1"/>
            <w:tabs>
              <w:tab w:val="left" w:pos="44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42" w:history="1">
            <w:r w:rsidRPr="00863BEC">
              <w:rPr>
                <w:rStyle w:val="Hyperlink"/>
                <w:noProof/>
              </w:rPr>
              <w:t>2.</w:t>
            </w:r>
            <w:r>
              <w:rPr>
                <w:rFonts w:asciiTheme="minorHAnsi" w:eastAsiaTheme="minorEastAsia" w:hAnsiTheme="minorHAnsi" w:cstheme="minorBidi"/>
                <w:noProof/>
                <w:color w:val="auto"/>
                <w:kern w:val="2"/>
                <w:sz w:val="24"/>
                <w:lang w:eastAsia="en-AU"/>
                <w14:ligatures w14:val="standardContextual"/>
              </w:rPr>
              <w:tab/>
            </w:r>
            <w:r w:rsidRPr="00863BEC">
              <w:rPr>
                <w:rStyle w:val="Hyperlink"/>
                <w:noProof/>
              </w:rPr>
              <w:t>Delivering better value for consumers</w:t>
            </w:r>
            <w:r>
              <w:rPr>
                <w:noProof/>
                <w:webHidden/>
              </w:rPr>
              <w:tab/>
            </w:r>
            <w:r>
              <w:rPr>
                <w:noProof/>
                <w:webHidden/>
              </w:rPr>
              <w:fldChar w:fldCharType="begin"/>
            </w:r>
            <w:r>
              <w:rPr>
                <w:noProof/>
                <w:webHidden/>
              </w:rPr>
              <w:instrText xml:space="preserve"> PAGEREF _Toc233805042 \h </w:instrText>
            </w:r>
            <w:r>
              <w:rPr>
                <w:noProof/>
                <w:webHidden/>
              </w:rPr>
            </w:r>
            <w:r>
              <w:rPr>
                <w:noProof/>
                <w:webHidden/>
              </w:rPr>
              <w:fldChar w:fldCharType="separate"/>
            </w:r>
            <w:r>
              <w:rPr>
                <w:noProof/>
                <w:webHidden/>
              </w:rPr>
              <w:t>31</w:t>
            </w:r>
            <w:r>
              <w:rPr>
                <w:noProof/>
                <w:webHidden/>
              </w:rPr>
              <w:fldChar w:fldCharType="end"/>
            </w:r>
          </w:hyperlink>
        </w:p>
        <w:p w14:paraId="68340C2E" w14:textId="3EC6FA88" w:rsidR="00FF4872" w:rsidRDefault="00FF4872">
          <w:pPr>
            <w:pStyle w:val="TOC2"/>
            <w:rPr>
              <w:rFonts w:asciiTheme="minorHAnsi" w:eastAsiaTheme="minorEastAsia" w:hAnsiTheme="minorHAnsi" w:cstheme="minorBidi"/>
              <w:iCs w:val="0"/>
              <w:color w:val="auto"/>
              <w:kern w:val="2"/>
              <w:sz w:val="24"/>
              <w:lang w:eastAsia="en-AU"/>
              <w14:ligatures w14:val="standardContextual"/>
            </w:rPr>
          </w:pPr>
          <w:hyperlink w:anchor="_Toc233805043" w:history="1">
            <w:r w:rsidRPr="00863BEC">
              <w:rPr>
                <w:rStyle w:val="Hyperlink"/>
              </w:rPr>
              <w:t>2.1</w:t>
            </w:r>
            <w:r>
              <w:rPr>
                <w:rFonts w:asciiTheme="minorHAnsi" w:eastAsiaTheme="minorEastAsia" w:hAnsiTheme="minorHAnsi" w:cstheme="minorBidi"/>
                <w:iCs w:val="0"/>
                <w:color w:val="auto"/>
                <w:kern w:val="2"/>
                <w:sz w:val="24"/>
                <w:lang w:eastAsia="en-AU"/>
                <w14:ligatures w14:val="standardContextual"/>
              </w:rPr>
              <w:tab/>
            </w:r>
            <w:r w:rsidRPr="00863BEC">
              <w:rPr>
                <w:rStyle w:val="Hyperlink"/>
              </w:rPr>
              <w:t>Improving access to regional private hospitals</w:t>
            </w:r>
            <w:r>
              <w:rPr>
                <w:webHidden/>
              </w:rPr>
              <w:tab/>
            </w:r>
            <w:r>
              <w:rPr>
                <w:webHidden/>
              </w:rPr>
              <w:fldChar w:fldCharType="begin"/>
            </w:r>
            <w:r>
              <w:rPr>
                <w:webHidden/>
              </w:rPr>
              <w:instrText xml:space="preserve"> PAGEREF _Toc233805043 \h </w:instrText>
            </w:r>
            <w:r>
              <w:rPr>
                <w:webHidden/>
              </w:rPr>
            </w:r>
            <w:r>
              <w:rPr>
                <w:webHidden/>
              </w:rPr>
              <w:fldChar w:fldCharType="separate"/>
            </w:r>
            <w:r>
              <w:rPr>
                <w:webHidden/>
              </w:rPr>
              <w:t>31</w:t>
            </w:r>
            <w:r>
              <w:rPr>
                <w:webHidden/>
              </w:rPr>
              <w:fldChar w:fldCharType="end"/>
            </w:r>
          </w:hyperlink>
        </w:p>
        <w:p w14:paraId="2FC42557" w14:textId="1AB72712"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44" w:history="1">
            <w:r w:rsidRPr="00863BEC">
              <w:rPr>
                <w:rStyle w:val="Hyperlink"/>
                <w:i/>
                <w:iCs/>
                <w:noProof/>
              </w:rPr>
              <w:t>2.1.1</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Introduction</w:t>
            </w:r>
            <w:r>
              <w:rPr>
                <w:noProof/>
                <w:webHidden/>
              </w:rPr>
              <w:tab/>
            </w:r>
            <w:r>
              <w:rPr>
                <w:noProof/>
                <w:webHidden/>
              </w:rPr>
              <w:fldChar w:fldCharType="begin"/>
            </w:r>
            <w:r>
              <w:rPr>
                <w:noProof/>
                <w:webHidden/>
              </w:rPr>
              <w:instrText xml:space="preserve"> PAGEREF _Toc233805044 \h </w:instrText>
            </w:r>
            <w:r>
              <w:rPr>
                <w:noProof/>
                <w:webHidden/>
              </w:rPr>
            </w:r>
            <w:r>
              <w:rPr>
                <w:noProof/>
                <w:webHidden/>
              </w:rPr>
              <w:fldChar w:fldCharType="separate"/>
            </w:r>
            <w:r>
              <w:rPr>
                <w:noProof/>
                <w:webHidden/>
              </w:rPr>
              <w:t>31</w:t>
            </w:r>
            <w:r>
              <w:rPr>
                <w:noProof/>
                <w:webHidden/>
              </w:rPr>
              <w:fldChar w:fldCharType="end"/>
            </w:r>
          </w:hyperlink>
        </w:p>
        <w:p w14:paraId="12D95246" w14:textId="068CB3A9" w:rsidR="00FF4872" w:rsidRDefault="00FF4872">
          <w:pPr>
            <w:pStyle w:val="TOC2"/>
            <w:rPr>
              <w:rFonts w:asciiTheme="minorHAnsi" w:eastAsiaTheme="minorEastAsia" w:hAnsiTheme="minorHAnsi" w:cstheme="minorBidi"/>
              <w:iCs w:val="0"/>
              <w:color w:val="auto"/>
              <w:kern w:val="2"/>
              <w:sz w:val="24"/>
              <w:lang w:eastAsia="en-AU"/>
              <w14:ligatures w14:val="standardContextual"/>
            </w:rPr>
          </w:pPr>
          <w:hyperlink w:anchor="_Toc233805045" w:history="1">
            <w:r w:rsidRPr="00863BEC">
              <w:rPr>
                <w:rStyle w:val="Hyperlink"/>
              </w:rPr>
              <w:t>2.2</w:t>
            </w:r>
            <w:r>
              <w:rPr>
                <w:rFonts w:asciiTheme="minorHAnsi" w:eastAsiaTheme="minorEastAsia" w:hAnsiTheme="minorHAnsi" w:cstheme="minorBidi"/>
                <w:iCs w:val="0"/>
                <w:color w:val="auto"/>
                <w:kern w:val="2"/>
                <w:sz w:val="24"/>
                <w:lang w:eastAsia="en-AU"/>
                <w14:ligatures w14:val="standardContextual"/>
              </w:rPr>
              <w:tab/>
            </w:r>
            <w:r w:rsidRPr="00863BEC">
              <w:rPr>
                <w:rStyle w:val="Hyperlink"/>
              </w:rPr>
              <w:t>PHI product simplification</w:t>
            </w:r>
            <w:r>
              <w:rPr>
                <w:webHidden/>
              </w:rPr>
              <w:tab/>
            </w:r>
            <w:r>
              <w:rPr>
                <w:webHidden/>
              </w:rPr>
              <w:fldChar w:fldCharType="begin"/>
            </w:r>
            <w:r>
              <w:rPr>
                <w:webHidden/>
              </w:rPr>
              <w:instrText xml:space="preserve"> PAGEREF _Toc233805045 \h </w:instrText>
            </w:r>
            <w:r>
              <w:rPr>
                <w:webHidden/>
              </w:rPr>
            </w:r>
            <w:r>
              <w:rPr>
                <w:webHidden/>
              </w:rPr>
              <w:fldChar w:fldCharType="separate"/>
            </w:r>
            <w:r>
              <w:rPr>
                <w:webHidden/>
              </w:rPr>
              <w:t>33</w:t>
            </w:r>
            <w:r>
              <w:rPr>
                <w:webHidden/>
              </w:rPr>
              <w:fldChar w:fldCharType="end"/>
            </w:r>
          </w:hyperlink>
        </w:p>
        <w:p w14:paraId="36360ED6" w14:textId="2CC189DC"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46" w:history="1">
            <w:r w:rsidRPr="00863BEC">
              <w:rPr>
                <w:rStyle w:val="Hyperlink"/>
                <w:i/>
                <w:iCs/>
                <w:noProof/>
              </w:rPr>
              <w:t>2.2.1</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Introduction</w:t>
            </w:r>
            <w:r>
              <w:rPr>
                <w:noProof/>
                <w:webHidden/>
              </w:rPr>
              <w:tab/>
            </w:r>
            <w:r>
              <w:rPr>
                <w:noProof/>
                <w:webHidden/>
              </w:rPr>
              <w:fldChar w:fldCharType="begin"/>
            </w:r>
            <w:r>
              <w:rPr>
                <w:noProof/>
                <w:webHidden/>
              </w:rPr>
              <w:instrText xml:space="preserve"> PAGEREF _Toc233805046 \h </w:instrText>
            </w:r>
            <w:r>
              <w:rPr>
                <w:noProof/>
                <w:webHidden/>
              </w:rPr>
            </w:r>
            <w:r>
              <w:rPr>
                <w:noProof/>
                <w:webHidden/>
              </w:rPr>
              <w:fldChar w:fldCharType="separate"/>
            </w:r>
            <w:r>
              <w:rPr>
                <w:noProof/>
                <w:webHidden/>
              </w:rPr>
              <w:t>33</w:t>
            </w:r>
            <w:r>
              <w:rPr>
                <w:noProof/>
                <w:webHidden/>
              </w:rPr>
              <w:fldChar w:fldCharType="end"/>
            </w:r>
          </w:hyperlink>
        </w:p>
        <w:p w14:paraId="52E4058D" w14:textId="0378D954"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47" w:history="1">
            <w:r w:rsidRPr="00863BEC">
              <w:rPr>
                <w:rStyle w:val="Hyperlink"/>
                <w:i/>
                <w:iCs/>
                <w:noProof/>
              </w:rPr>
              <w:t>2.2.2</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Previous changes made to improve PHI product simplification</w:t>
            </w:r>
            <w:r>
              <w:rPr>
                <w:noProof/>
                <w:webHidden/>
              </w:rPr>
              <w:tab/>
            </w:r>
            <w:r>
              <w:rPr>
                <w:noProof/>
                <w:webHidden/>
              </w:rPr>
              <w:fldChar w:fldCharType="begin"/>
            </w:r>
            <w:r>
              <w:rPr>
                <w:noProof/>
                <w:webHidden/>
              </w:rPr>
              <w:instrText xml:space="preserve"> PAGEREF _Toc233805047 \h </w:instrText>
            </w:r>
            <w:r>
              <w:rPr>
                <w:noProof/>
                <w:webHidden/>
              </w:rPr>
            </w:r>
            <w:r>
              <w:rPr>
                <w:noProof/>
                <w:webHidden/>
              </w:rPr>
              <w:fldChar w:fldCharType="separate"/>
            </w:r>
            <w:r>
              <w:rPr>
                <w:noProof/>
                <w:webHidden/>
              </w:rPr>
              <w:t>34</w:t>
            </w:r>
            <w:r>
              <w:rPr>
                <w:noProof/>
                <w:webHidden/>
              </w:rPr>
              <w:fldChar w:fldCharType="end"/>
            </w:r>
          </w:hyperlink>
        </w:p>
        <w:p w14:paraId="10B5DBF3" w14:textId="0D0ACB0D"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48" w:history="1">
            <w:r w:rsidRPr="00863BEC">
              <w:rPr>
                <w:rStyle w:val="Hyperlink"/>
                <w:i/>
                <w:iCs/>
                <w:noProof/>
              </w:rPr>
              <w:t>2.2.3</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Proposed reform initiatives to PHI product simplification, sustainability, and affordability</w:t>
            </w:r>
            <w:r>
              <w:rPr>
                <w:noProof/>
                <w:webHidden/>
              </w:rPr>
              <w:tab/>
            </w:r>
            <w:r>
              <w:rPr>
                <w:noProof/>
                <w:webHidden/>
              </w:rPr>
              <w:fldChar w:fldCharType="begin"/>
            </w:r>
            <w:r>
              <w:rPr>
                <w:noProof/>
                <w:webHidden/>
              </w:rPr>
              <w:instrText xml:space="preserve"> PAGEREF _Toc233805048 \h </w:instrText>
            </w:r>
            <w:r>
              <w:rPr>
                <w:noProof/>
                <w:webHidden/>
              </w:rPr>
            </w:r>
            <w:r>
              <w:rPr>
                <w:noProof/>
                <w:webHidden/>
              </w:rPr>
              <w:fldChar w:fldCharType="separate"/>
            </w:r>
            <w:r>
              <w:rPr>
                <w:noProof/>
                <w:webHidden/>
              </w:rPr>
              <w:t>35</w:t>
            </w:r>
            <w:r>
              <w:rPr>
                <w:noProof/>
                <w:webHidden/>
              </w:rPr>
              <w:fldChar w:fldCharType="end"/>
            </w:r>
          </w:hyperlink>
        </w:p>
        <w:p w14:paraId="2BC3B812" w14:textId="49A4C1B2" w:rsidR="00FF4872" w:rsidRDefault="00FF4872">
          <w:pPr>
            <w:pStyle w:val="TOC2"/>
            <w:rPr>
              <w:rFonts w:asciiTheme="minorHAnsi" w:eastAsiaTheme="minorEastAsia" w:hAnsiTheme="minorHAnsi" w:cstheme="minorBidi"/>
              <w:iCs w:val="0"/>
              <w:color w:val="auto"/>
              <w:kern w:val="2"/>
              <w:sz w:val="24"/>
              <w:lang w:eastAsia="en-AU"/>
              <w14:ligatures w14:val="standardContextual"/>
            </w:rPr>
          </w:pPr>
          <w:hyperlink w:anchor="_Toc233805049" w:history="1">
            <w:r w:rsidRPr="00863BEC">
              <w:rPr>
                <w:rStyle w:val="Hyperlink"/>
              </w:rPr>
              <w:t>2.3</w:t>
            </w:r>
            <w:r>
              <w:rPr>
                <w:rFonts w:asciiTheme="minorHAnsi" w:eastAsiaTheme="minorEastAsia" w:hAnsiTheme="minorHAnsi" w:cstheme="minorBidi"/>
                <w:iCs w:val="0"/>
                <w:color w:val="auto"/>
                <w:kern w:val="2"/>
                <w:sz w:val="24"/>
                <w:lang w:eastAsia="en-AU"/>
                <w14:ligatures w14:val="standardContextual"/>
              </w:rPr>
              <w:tab/>
            </w:r>
            <w:r w:rsidRPr="00863BEC">
              <w:rPr>
                <w:rStyle w:val="Hyperlink"/>
              </w:rPr>
              <w:t>Risk Equalisation</w:t>
            </w:r>
            <w:r>
              <w:rPr>
                <w:webHidden/>
              </w:rPr>
              <w:tab/>
            </w:r>
            <w:r>
              <w:rPr>
                <w:webHidden/>
              </w:rPr>
              <w:fldChar w:fldCharType="begin"/>
            </w:r>
            <w:r>
              <w:rPr>
                <w:webHidden/>
              </w:rPr>
              <w:instrText xml:space="preserve"> PAGEREF _Toc233805049 \h </w:instrText>
            </w:r>
            <w:r>
              <w:rPr>
                <w:webHidden/>
              </w:rPr>
            </w:r>
            <w:r>
              <w:rPr>
                <w:webHidden/>
              </w:rPr>
              <w:fldChar w:fldCharType="separate"/>
            </w:r>
            <w:r>
              <w:rPr>
                <w:webHidden/>
              </w:rPr>
              <w:t>39</w:t>
            </w:r>
            <w:r>
              <w:rPr>
                <w:webHidden/>
              </w:rPr>
              <w:fldChar w:fldCharType="end"/>
            </w:r>
          </w:hyperlink>
        </w:p>
        <w:p w14:paraId="0E794643" w14:textId="4946E866"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50" w:history="1">
            <w:r w:rsidRPr="00863BEC">
              <w:rPr>
                <w:rStyle w:val="Hyperlink"/>
                <w:i/>
                <w:iCs/>
                <w:noProof/>
              </w:rPr>
              <w:t>2.3.1</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Introduction</w:t>
            </w:r>
            <w:r>
              <w:rPr>
                <w:noProof/>
                <w:webHidden/>
              </w:rPr>
              <w:tab/>
            </w:r>
            <w:r>
              <w:rPr>
                <w:noProof/>
                <w:webHidden/>
              </w:rPr>
              <w:fldChar w:fldCharType="begin"/>
            </w:r>
            <w:r>
              <w:rPr>
                <w:noProof/>
                <w:webHidden/>
              </w:rPr>
              <w:instrText xml:space="preserve"> PAGEREF _Toc233805050 \h </w:instrText>
            </w:r>
            <w:r>
              <w:rPr>
                <w:noProof/>
                <w:webHidden/>
              </w:rPr>
            </w:r>
            <w:r>
              <w:rPr>
                <w:noProof/>
                <w:webHidden/>
              </w:rPr>
              <w:fldChar w:fldCharType="separate"/>
            </w:r>
            <w:r>
              <w:rPr>
                <w:noProof/>
                <w:webHidden/>
              </w:rPr>
              <w:t>39</w:t>
            </w:r>
            <w:r>
              <w:rPr>
                <w:noProof/>
                <w:webHidden/>
              </w:rPr>
              <w:fldChar w:fldCharType="end"/>
            </w:r>
          </w:hyperlink>
        </w:p>
        <w:p w14:paraId="5D8922E6" w14:textId="1B78E417" w:rsidR="00FF4872" w:rsidRDefault="00FF4872">
          <w:pPr>
            <w:pStyle w:val="TOC3"/>
            <w:tabs>
              <w:tab w:val="left" w:pos="1200"/>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51" w:history="1">
            <w:r w:rsidRPr="00863BEC">
              <w:rPr>
                <w:rStyle w:val="Hyperlink"/>
                <w:i/>
                <w:iCs/>
                <w:noProof/>
              </w:rPr>
              <w:t>2.3.2</w:t>
            </w:r>
            <w:r>
              <w:rPr>
                <w:rFonts w:asciiTheme="minorHAnsi" w:eastAsiaTheme="minorEastAsia" w:hAnsiTheme="minorHAnsi" w:cstheme="minorBidi"/>
                <w:noProof/>
                <w:color w:val="auto"/>
                <w:kern w:val="2"/>
                <w:sz w:val="24"/>
                <w:lang w:eastAsia="en-AU"/>
                <w14:ligatures w14:val="standardContextual"/>
              </w:rPr>
              <w:tab/>
            </w:r>
            <w:r w:rsidRPr="00863BEC">
              <w:rPr>
                <w:rStyle w:val="Hyperlink"/>
                <w:i/>
                <w:iCs/>
                <w:noProof/>
              </w:rPr>
              <w:t>Proposed reform initiatives to Risk Equalisation</w:t>
            </w:r>
            <w:r>
              <w:rPr>
                <w:noProof/>
                <w:webHidden/>
              </w:rPr>
              <w:tab/>
            </w:r>
            <w:r>
              <w:rPr>
                <w:noProof/>
                <w:webHidden/>
              </w:rPr>
              <w:fldChar w:fldCharType="begin"/>
            </w:r>
            <w:r>
              <w:rPr>
                <w:noProof/>
                <w:webHidden/>
              </w:rPr>
              <w:instrText xml:space="preserve"> PAGEREF _Toc233805051 \h </w:instrText>
            </w:r>
            <w:r>
              <w:rPr>
                <w:noProof/>
                <w:webHidden/>
              </w:rPr>
            </w:r>
            <w:r>
              <w:rPr>
                <w:noProof/>
                <w:webHidden/>
              </w:rPr>
              <w:fldChar w:fldCharType="separate"/>
            </w:r>
            <w:r>
              <w:rPr>
                <w:noProof/>
                <w:webHidden/>
              </w:rPr>
              <w:t>40</w:t>
            </w:r>
            <w:r>
              <w:rPr>
                <w:noProof/>
                <w:webHidden/>
              </w:rPr>
              <w:fldChar w:fldCharType="end"/>
            </w:r>
          </w:hyperlink>
        </w:p>
        <w:p w14:paraId="710CB1FC" w14:textId="45C11B4A" w:rsidR="00FF4872" w:rsidRDefault="00FF4872">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52" w:history="1">
            <w:r w:rsidRPr="00863BEC">
              <w:rPr>
                <w:rStyle w:val="Hyperlink"/>
                <w:noProof/>
              </w:rPr>
              <w:t>Appendix A – Prioritisation and indicative schedule for proposed reform initiatives (Tranche 1)</w:t>
            </w:r>
            <w:r>
              <w:rPr>
                <w:noProof/>
                <w:webHidden/>
              </w:rPr>
              <w:tab/>
            </w:r>
            <w:r>
              <w:rPr>
                <w:noProof/>
                <w:webHidden/>
              </w:rPr>
              <w:fldChar w:fldCharType="begin"/>
            </w:r>
            <w:r>
              <w:rPr>
                <w:noProof/>
                <w:webHidden/>
              </w:rPr>
              <w:instrText xml:space="preserve"> PAGEREF _Toc233805052 \h </w:instrText>
            </w:r>
            <w:r>
              <w:rPr>
                <w:noProof/>
                <w:webHidden/>
              </w:rPr>
            </w:r>
            <w:r>
              <w:rPr>
                <w:noProof/>
                <w:webHidden/>
              </w:rPr>
              <w:fldChar w:fldCharType="separate"/>
            </w:r>
            <w:r>
              <w:rPr>
                <w:noProof/>
                <w:webHidden/>
              </w:rPr>
              <w:t>42</w:t>
            </w:r>
            <w:r>
              <w:rPr>
                <w:noProof/>
                <w:webHidden/>
              </w:rPr>
              <w:fldChar w:fldCharType="end"/>
            </w:r>
          </w:hyperlink>
        </w:p>
        <w:p w14:paraId="0F1507FC" w14:textId="7B80A872" w:rsidR="00FF4872" w:rsidRDefault="00FF4872">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53" w:history="1">
            <w:r w:rsidRPr="00863BEC">
              <w:rPr>
                <w:rStyle w:val="Hyperlink"/>
                <w:noProof/>
              </w:rPr>
              <w:t>Appendix B – Contemporary definitions of hospital treatment</w:t>
            </w:r>
            <w:r>
              <w:rPr>
                <w:noProof/>
                <w:webHidden/>
              </w:rPr>
              <w:tab/>
            </w:r>
            <w:r>
              <w:rPr>
                <w:noProof/>
                <w:webHidden/>
              </w:rPr>
              <w:fldChar w:fldCharType="begin"/>
            </w:r>
            <w:r>
              <w:rPr>
                <w:noProof/>
                <w:webHidden/>
              </w:rPr>
              <w:instrText xml:space="preserve"> PAGEREF _Toc233805053 \h </w:instrText>
            </w:r>
            <w:r>
              <w:rPr>
                <w:noProof/>
                <w:webHidden/>
              </w:rPr>
            </w:r>
            <w:r>
              <w:rPr>
                <w:noProof/>
                <w:webHidden/>
              </w:rPr>
              <w:fldChar w:fldCharType="separate"/>
            </w:r>
            <w:r>
              <w:rPr>
                <w:noProof/>
                <w:webHidden/>
              </w:rPr>
              <w:t>44</w:t>
            </w:r>
            <w:r>
              <w:rPr>
                <w:noProof/>
                <w:webHidden/>
              </w:rPr>
              <w:fldChar w:fldCharType="end"/>
            </w:r>
          </w:hyperlink>
        </w:p>
        <w:p w14:paraId="34E016B4" w14:textId="3539AACE" w:rsidR="00FF4872" w:rsidRDefault="00FF4872">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54" w:history="1">
            <w:r w:rsidRPr="00863BEC">
              <w:rPr>
                <w:rStyle w:val="Hyperlink"/>
                <w:rFonts w:cs="Arial"/>
                <w:b/>
                <w:bCs/>
                <w:noProof/>
                <w:kern w:val="28"/>
              </w:rPr>
              <w:t>Abbreviations and Acronyms</w:t>
            </w:r>
            <w:r>
              <w:rPr>
                <w:noProof/>
                <w:webHidden/>
              </w:rPr>
              <w:tab/>
            </w:r>
            <w:r>
              <w:rPr>
                <w:noProof/>
                <w:webHidden/>
              </w:rPr>
              <w:fldChar w:fldCharType="begin"/>
            </w:r>
            <w:r>
              <w:rPr>
                <w:noProof/>
                <w:webHidden/>
              </w:rPr>
              <w:instrText xml:space="preserve"> PAGEREF _Toc233805054 \h </w:instrText>
            </w:r>
            <w:r>
              <w:rPr>
                <w:noProof/>
                <w:webHidden/>
              </w:rPr>
            </w:r>
            <w:r>
              <w:rPr>
                <w:noProof/>
                <w:webHidden/>
              </w:rPr>
              <w:fldChar w:fldCharType="separate"/>
            </w:r>
            <w:r>
              <w:rPr>
                <w:noProof/>
                <w:webHidden/>
              </w:rPr>
              <w:t>47</w:t>
            </w:r>
            <w:r>
              <w:rPr>
                <w:noProof/>
                <w:webHidden/>
              </w:rPr>
              <w:fldChar w:fldCharType="end"/>
            </w:r>
          </w:hyperlink>
        </w:p>
        <w:p w14:paraId="13D3CE29" w14:textId="29E4B33D" w:rsidR="00FF4872" w:rsidRDefault="00FF4872">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55" w:history="1">
            <w:r w:rsidRPr="00863BEC">
              <w:rPr>
                <w:rStyle w:val="Hyperlink"/>
                <w:rFonts w:cs="Arial"/>
                <w:b/>
                <w:bCs/>
                <w:noProof/>
                <w:kern w:val="28"/>
              </w:rPr>
              <w:t>Glossary</w:t>
            </w:r>
            <w:r>
              <w:rPr>
                <w:noProof/>
                <w:webHidden/>
              </w:rPr>
              <w:tab/>
            </w:r>
            <w:r>
              <w:rPr>
                <w:noProof/>
                <w:webHidden/>
              </w:rPr>
              <w:fldChar w:fldCharType="begin"/>
            </w:r>
            <w:r>
              <w:rPr>
                <w:noProof/>
                <w:webHidden/>
              </w:rPr>
              <w:instrText xml:space="preserve"> PAGEREF _Toc233805055 \h </w:instrText>
            </w:r>
            <w:r>
              <w:rPr>
                <w:noProof/>
                <w:webHidden/>
              </w:rPr>
            </w:r>
            <w:r>
              <w:rPr>
                <w:noProof/>
                <w:webHidden/>
              </w:rPr>
              <w:fldChar w:fldCharType="separate"/>
            </w:r>
            <w:r>
              <w:rPr>
                <w:noProof/>
                <w:webHidden/>
              </w:rPr>
              <w:t>49</w:t>
            </w:r>
            <w:r>
              <w:rPr>
                <w:noProof/>
                <w:webHidden/>
              </w:rPr>
              <w:fldChar w:fldCharType="end"/>
            </w:r>
          </w:hyperlink>
        </w:p>
        <w:p w14:paraId="3F98BB68" w14:textId="7B1D431B" w:rsidR="00FF4872" w:rsidRDefault="00FF4872">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33805056" w:history="1">
            <w:r w:rsidRPr="00863BEC">
              <w:rPr>
                <w:rStyle w:val="Hyperlink"/>
                <w:rFonts w:cs="Arial"/>
                <w:b/>
                <w:bCs/>
                <w:noProof/>
                <w:kern w:val="28"/>
              </w:rPr>
              <w:t>References</w:t>
            </w:r>
            <w:r>
              <w:rPr>
                <w:noProof/>
                <w:webHidden/>
              </w:rPr>
              <w:tab/>
            </w:r>
            <w:r>
              <w:rPr>
                <w:noProof/>
                <w:webHidden/>
              </w:rPr>
              <w:fldChar w:fldCharType="begin"/>
            </w:r>
            <w:r>
              <w:rPr>
                <w:noProof/>
                <w:webHidden/>
              </w:rPr>
              <w:instrText xml:space="preserve"> PAGEREF _Toc233805056 \h </w:instrText>
            </w:r>
            <w:r>
              <w:rPr>
                <w:noProof/>
                <w:webHidden/>
              </w:rPr>
            </w:r>
            <w:r>
              <w:rPr>
                <w:noProof/>
                <w:webHidden/>
              </w:rPr>
              <w:fldChar w:fldCharType="separate"/>
            </w:r>
            <w:r>
              <w:rPr>
                <w:noProof/>
                <w:webHidden/>
              </w:rPr>
              <w:t>50</w:t>
            </w:r>
            <w:r>
              <w:rPr>
                <w:noProof/>
                <w:webHidden/>
              </w:rPr>
              <w:fldChar w:fldCharType="end"/>
            </w:r>
          </w:hyperlink>
        </w:p>
        <w:p w14:paraId="5AA5F1C9" w14:textId="615A6DAE" w:rsidR="00B02B8C" w:rsidRPr="00405F9C" w:rsidRDefault="00B02B8C" w:rsidP="00473DE9">
          <w:pPr>
            <w:pStyle w:val="TOC1"/>
            <w:tabs>
              <w:tab w:val="right" w:leader="dot" w:pos="9060"/>
            </w:tabs>
            <w:spacing w:after="120"/>
            <w:rPr>
              <w:sz w:val="20"/>
              <w:szCs w:val="22"/>
            </w:rPr>
          </w:pPr>
          <w:r w:rsidRPr="00405F9C">
            <w:rPr>
              <w:sz w:val="20"/>
              <w:szCs w:val="22"/>
              <w:lang w:val="en-GB"/>
            </w:rPr>
            <w:fldChar w:fldCharType="end"/>
          </w:r>
        </w:p>
      </w:sdtContent>
    </w:sdt>
    <w:p w14:paraId="2B399B11" w14:textId="77777777" w:rsidR="003D7E99" w:rsidRDefault="003D7E99" w:rsidP="00473DE9">
      <w:pPr>
        <w:spacing w:line="240" w:lineRule="auto"/>
        <w:rPr>
          <w:rFonts w:cs="Arial"/>
          <w:b/>
          <w:bCs/>
          <w:color w:val="3F4A75"/>
          <w:kern w:val="28"/>
          <w:sz w:val="36"/>
          <w:szCs w:val="36"/>
        </w:rPr>
      </w:pPr>
      <w:r>
        <w:rPr>
          <w:sz w:val="36"/>
        </w:rPr>
        <w:br w:type="page"/>
      </w:r>
    </w:p>
    <w:p w14:paraId="5BFE95FE" w14:textId="77777777" w:rsidR="00803139" w:rsidRDefault="3D9ED3CB" w:rsidP="008926E0">
      <w:pPr>
        <w:pStyle w:val="Heading1"/>
        <w:spacing w:after="120"/>
        <w:rPr>
          <w:sz w:val="36"/>
        </w:rPr>
      </w:pPr>
      <w:bookmarkStart w:id="0" w:name="_Toc233805015"/>
      <w:r w:rsidRPr="3D1C1472">
        <w:rPr>
          <w:sz w:val="36"/>
        </w:rPr>
        <w:lastRenderedPageBreak/>
        <w:t>Overview</w:t>
      </w:r>
      <w:bookmarkEnd w:id="0"/>
    </w:p>
    <w:p w14:paraId="50CD21AA" w14:textId="77777777" w:rsidR="003652D3" w:rsidRPr="007B55D1" w:rsidRDefault="003652D3" w:rsidP="00473DE9">
      <w:pPr>
        <w:pStyle w:val="Body"/>
        <w:spacing w:after="120"/>
        <w:rPr>
          <w:color w:val="auto"/>
        </w:rPr>
      </w:pPr>
      <w:r w:rsidRPr="007B55D1">
        <w:rPr>
          <w:color w:val="auto"/>
        </w:rPr>
        <w:t xml:space="preserve">Australia’s hospital system </w:t>
      </w:r>
      <w:r w:rsidR="00F73555" w:rsidRPr="007B55D1">
        <w:rPr>
          <w:color w:val="auto"/>
        </w:rPr>
        <w:t>combines</w:t>
      </w:r>
      <w:r w:rsidRPr="007B55D1">
        <w:rPr>
          <w:color w:val="auto"/>
        </w:rPr>
        <w:t xml:space="preserve"> public and private providers and </w:t>
      </w:r>
      <w:r w:rsidR="00917869" w:rsidRPr="007B55D1">
        <w:rPr>
          <w:color w:val="auto"/>
        </w:rPr>
        <w:t xml:space="preserve">makes use of </w:t>
      </w:r>
      <w:r w:rsidRPr="007B55D1">
        <w:rPr>
          <w:color w:val="auto"/>
        </w:rPr>
        <w:t>a range of funding arrangements to support access to hospital care based on clinical need, availability and patient choice.</w:t>
      </w:r>
    </w:p>
    <w:p w14:paraId="68916247" w14:textId="754DBBBD" w:rsidR="003652D3" w:rsidRDefault="0017778B" w:rsidP="00473DE9">
      <w:pPr>
        <w:pStyle w:val="Body"/>
        <w:spacing w:after="120"/>
      </w:pPr>
      <w:r>
        <w:t>Private health insurance (PHI) plays an important role within this syste</w:t>
      </w:r>
      <w:r w:rsidR="000346EA">
        <w:t xml:space="preserve">m. Around </w:t>
      </w:r>
      <w:r w:rsidR="003652D3" w:rsidRPr="003652D3">
        <w:t>12.6</w:t>
      </w:r>
      <w:r w:rsidR="005F6867">
        <w:t> </w:t>
      </w:r>
      <w:r w:rsidR="003652D3" w:rsidRPr="003652D3">
        <w:t>million Australians hold private hospital cover</w:t>
      </w:r>
      <w:r w:rsidR="00955E56">
        <w:t xml:space="preserve">. </w:t>
      </w:r>
      <w:r w:rsidR="00E71363">
        <w:t xml:space="preserve">Public </w:t>
      </w:r>
      <w:r w:rsidR="00855E1D">
        <w:t xml:space="preserve">patients </w:t>
      </w:r>
      <w:r w:rsidR="00C0040C">
        <w:t xml:space="preserve">also use </w:t>
      </w:r>
      <w:r w:rsidR="003652D3" w:rsidRPr="003652D3">
        <w:t xml:space="preserve">private hospitals </w:t>
      </w:r>
      <w:r w:rsidR="00924937">
        <w:t xml:space="preserve">through arrangements </w:t>
      </w:r>
      <w:r w:rsidR="00DE78CB">
        <w:t>including</w:t>
      </w:r>
      <w:r w:rsidR="003652D3" w:rsidRPr="003652D3">
        <w:t xml:space="preserve"> </w:t>
      </w:r>
      <w:r w:rsidR="0058707A">
        <w:t>Department of V</w:t>
      </w:r>
      <w:r w:rsidR="003652D3" w:rsidRPr="003652D3">
        <w:t>eterans’</w:t>
      </w:r>
      <w:r w:rsidR="0058707A">
        <w:t xml:space="preserve"> Affairs (DVA)</w:t>
      </w:r>
      <w:r w:rsidR="008D02FF">
        <w:t xml:space="preserve"> contracts</w:t>
      </w:r>
      <w:r w:rsidR="003652D3" w:rsidRPr="003652D3">
        <w:t>, compensation schemes and self</w:t>
      </w:r>
      <w:r w:rsidR="003652D3" w:rsidRPr="003652D3">
        <w:noBreakHyphen/>
        <w:t xml:space="preserve">funding. </w:t>
      </w:r>
      <w:r w:rsidR="00AB6090">
        <w:t>A</w:t>
      </w:r>
      <w:r w:rsidR="003652D3" w:rsidRPr="003652D3">
        <w:t>round 5 million hospitalisations occur in the private health sector</w:t>
      </w:r>
      <w:r w:rsidR="007A4AB2">
        <w:t xml:space="preserve"> </w:t>
      </w:r>
      <w:r w:rsidR="007A4AB2" w:rsidRPr="006456A6">
        <w:t>each year</w:t>
      </w:r>
      <w:r w:rsidR="003652D3" w:rsidRPr="006456A6">
        <w:t>, reflecting the scale and integration within the broader hospital system.</w:t>
      </w:r>
    </w:p>
    <w:p w14:paraId="2C7430BC" w14:textId="6705F7EC" w:rsidR="00AD2981" w:rsidRPr="007B55D1" w:rsidRDefault="00AD2981" w:rsidP="00473DE9">
      <w:pPr>
        <w:pStyle w:val="Body"/>
        <w:spacing w:after="120"/>
        <w:rPr>
          <w:color w:val="auto"/>
        </w:rPr>
      </w:pPr>
      <w:r>
        <w:rPr>
          <w:lang w:val="en-AU"/>
        </w:rPr>
        <w:t>I</w:t>
      </w:r>
      <w:r w:rsidRPr="00AD2981">
        <w:rPr>
          <w:lang w:val="en-AU"/>
        </w:rPr>
        <w:t xml:space="preserve">n Australia, PHI is 'community-rated', rather than 'risk-rated' like most forms of insurance. Private Health Insurers (insurers) cannot refuse to insure a person and must charge </w:t>
      </w:r>
      <w:r>
        <w:rPr>
          <w:lang w:val="en-AU"/>
        </w:rPr>
        <w:t xml:space="preserve">the </w:t>
      </w:r>
      <w:r w:rsidRPr="00AD2981">
        <w:rPr>
          <w:lang w:val="en-AU"/>
        </w:rPr>
        <w:t xml:space="preserve">same premium for the same level of cover, </w:t>
      </w:r>
      <w:r>
        <w:rPr>
          <w:lang w:val="en-AU"/>
        </w:rPr>
        <w:t>regardless of</w:t>
      </w:r>
      <w:r w:rsidRPr="00AD2981">
        <w:rPr>
          <w:lang w:val="en-AU"/>
        </w:rPr>
        <w:t xml:space="preserve"> risk profile and likel</w:t>
      </w:r>
      <w:r>
        <w:rPr>
          <w:lang w:val="en-AU"/>
        </w:rPr>
        <w:t xml:space="preserve">ihood of </w:t>
      </w:r>
      <w:r w:rsidRPr="00AD2981">
        <w:rPr>
          <w:lang w:val="en-AU"/>
        </w:rPr>
        <w:t>health service</w:t>
      </w:r>
      <w:r>
        <w:rPr>
          <w:lang w:val="en-AU"/>
        </w:rPr>
        <w:t xml:space="preserve"> use</w:t>
      </w:r>
      <w:r w:rsidRPr="00AD2981">
        <w:rPr>
          <w:lang w:val="en-AU"/>
        </w:rPr>
        <w:t>. </w:t>
      </w:r>
      <w:r>
        <w:rPr>
          <w:lang w:val="en-AU"/>
        </w:rPr>
        <w:t xml:space="preserve">However, there </w:t>
      </w:r>
      <w:r w:rsidRPr="00AD2981">
        <w:rPr>
          <w:lang w:val="en-AU"/>
        </w:rPr>
        <w:t>are </w:t>
      </w:r>
      <w:r w:rsidR="00341CD9" w:rsidRPr="00AD2981">
        <w:rPr>
          <w:lang w:val="en-AU"/>
        </w:rPr>
        <w:t>several types</w:t>
      </w:r>
      <w:r w:rsidRPr="00AD2981">
        <w:rPr>
          <w:lang w:val="en-AU"/>
        </w:rPr>
        <w:t> of private hospital cover that offer different benefits</w:t>
      </w:r>
      <w:r>
        <w:rPr>
          <w:lang w:val="en-AU"/>
        </w:rPr>
        <w:t>.</w:t>
      </w:r>
      <w:r w:rsidRPr="00AD2981">
        <w:rPr>
          <w:lang w:val="en-AU"/>
        </w:rPr>
        <w:t xml:space="preserve"> </w:t>
      </w:r>
      <w:r>
        <w:rPr>
          <w:lang w:val="en-AU"/>
        </w:rPr>
        <w:t>H</w:t>
      </w:r>
      <w:r w:rsidRPr="00AD2981">
        <w:rPr>
          <w:lang w:val="en-AU"/>
        </w:rPr>
        <w:t>ospital cover policies classified as Gold, Silver, Bronze and Basic hospital tiers. Insurers offer (and consumers select) PHI cover for </w:t>
      </w:r>
      <w:r w:rsidR="009C179D" w:rsidRPr="00AD2981">
        <w:rPr>
          <w:lang w:val="en-AU"/>
        </w:rPr>
        <w:t>varied reasons</w:t>
      </w:r>
      <w:r w:rsidRPr="00AD2981">
        <w:rPr>
          <w:lang w:val="en-AU"/>
        </w:rPr>
        <w:t>. The type of cover selected by consumers is informed by </w:t>
      </w:r>
      <w:r w:rsidR="008920C2" w:rsidRPr="00AD2981">
        <w:rPr>
          <w:lang w:val="en-AU"/>
        </w:rPr>
        <w:t>numerous factors</w:t>
      </w:r>
      <w:r w:rsidRPr="00AD2981">
        <w:rPr>
          <w:lang w:val="en-AU"/>
        </w:rPr>
        <w:t xml:space="preserve"> including personal health needs </w:t>
      </w:r>
      <w:r w:rsidRPr="007B55D1">
        <w:rPr>
          <w:color w:val="auto"/>
          <w:lang w:val="en-AU"/>
        </w:rPr>
        <w:t>and perceptions around the value and affordability of available health cover.</w:t>
      </w:r>
    </w:p>
    <w:p w14:paraId="007E6834" w14:textId="7143EDA0" w:rsidR="005A4CE7" w:rsidRDefault="002C718D" w:rsidP="00473DE9">
      <w:pPr>
        <w:pStyle w:val="Body"/>
        <w:spacing w:after="120"/>
        <w:rPr>
          <w:lang w:val="en-AU"/>
        </w:rPr>
      </w:pPr>
      <w:r w:rsidRPr="007B55D1">
        <w:rPr>
          <w:color w:val="auto"/>
          <w:lang w:val="en-AU"/>
        </w:rPr>
        <w:t>In 2024, the Department of Health, Disability and Ageing</w:t>
      </w:r>
      <w:r w:rsidR="008F2036" w:rsidRPr="007B55D1">
        <w:rPr>
          <w:color w:val="auto"/>
          <w:lang w:val="en-AU"/>
        </w:rPr>
        <w:t xml:space="preserve"> (the department)</w:t>
      </w:r>
      <w:r w:rsidRPr="007B55D1">
        <w:rPr>
          <w:color w:val="auto"/>
          <w:lang w:val="en-AU"/>
        </w:rPr>
        <w:t xml:space="preserve"> </w:t>
      </w:r>
      <w:r w:rsidR="00AD2981" w:rsidRPr="007B55D1">
        <w:rPr>
          <w:color w:val="auto"/>
          <w:lang w:val="en-AU"/>
        </w:rPr>
        <w:t>examined the financial sustainability of the private hospital sector through the</w:t>
      </w:r>
      <w:r w:rsidRPr="007B55D1">
        <w:rPr>
          <w:color w:val="auto"/>
          <w:lang w:val="en-AU"/>
        </w:rPr>
        <w:t xml:space="preserve"> </w:t>
      </w:r>
      <w:hyperlink r:id="rId17" w:history="1">
        <w:r w:rsidR="0087430E" w:rsidRPr="007B55D1">
          <w:rPr>
            <w:rStyle w:val="Hyperlink"/>
          </w:rPr>
          <w:t>Private Hospital Sector Financial Health Check</w:t>
        </w:r>
      </w:hyperlink>
      <w:r w:rsidR="0087430E" w:rsidRPr="00AD2981">
        <w:rPr>
          <w:color w:val="FF0000"/>
        </w:rPr>
        <w:t xml:space="preserve"> </w:t>
      </w:r>
      <w:r w:rsidR="0087430E" w:rsidRPr="007B55D1">
        <w:rPr>
          <w:color w:val="auto"/>
        </w:rPr>
        <w:t>(the</w:t>
      </w:r>
      <w:r w:rsidRPr="007B55D1">
        <w:rPr>
          <w:color w:val="auto"/>
          <w:lang w:val="en-AU"/>
        </w:rPr>
        <w:t xml:space="preserve"> Health Check</w:t>
      </w:r>
      <w:r w:rsidR="0087430E" w:rsidRPr="007B55D1">
        <w:rPr>
          <w:color w:val="auto"/>
          <w:lang w:val="en-AU"/>
        </w:rPr>
        <w:t>)</w:t>
      </w:r>
      <w:r w:rsidRPr="007B55D1">
        <w:rPr>
          <w:color w:val="auto"/>
          <w:lang w:val="en-AU"/>
        </w:rPr>
        <w:t xml:space="preserve">. </w:t>
      </w:r>
      <w:r w:rsidRPr="43971DE9">
        <w:rPr>
          <w:lang w:val="en-AU"/>
        </w:rPr>
        <w:t xml:space="preserve">The Health Check found that while parts of the sector continue to perform well, overall profitability has declined, largely because operating costs have increased faster than revenue. The </w:t>
      </w:r>
      <w:r w:rsidR="00743E11">
        <w:rPr>
          <w:lang w:val="en-AU"/>
        </w:rPr>
        <w:t>Health Check</w:t>
      </w:r>
      <w:r w:rsidRPr="43971DE9">
        <w:rPr>
          <w:lang w:val="en-AU"/>
        </w:rPr>
        <w:t xml:space="preserve"> also identified challenges in the delivery of private maternity and mental health services. In addition, private hospitals have been affected by major disruptions</w:t>
      </w:r>
      <w:r w:rsidR="00DB618C" w:rsidRPr="43971DE9">
        <w:rPr>
          <w:lang w:val="en-AU"/>
        </w:rPr>
        <w:t xml:space="preserve"> </w:t>
      </w:r>
      <w:r w:rsidRPr="43971DE9">
        <w:rPr>
          <w:lang w:val="en-AU"/>
        </w:rPr>
        <w:t xml:space="preserve">and continue to face ongoing pressures from inflation and workforce </w:t>
      </w:r>
      <w:r w:rsidR="004862BF" w:rsidRPr="43971DE9">
        <w:rPr>
          <w:lang w:val="en-AU"/>
        </w:rPr>
        <w:t>challenges</w:t>
      </w:r>
      <w:r w:rsidRPr="43971DE9">
        <w:rPr>
          <w:lang w:val="en-AU"/>
        </w:rPr>
        <w:t>.</w:t>
      </w:r>
      <w:r w:rsidR="00AD4909" w:rsidRPr="43971DE9">
        <w:rPr>
          <w:lang w:val="en-AU"/>
        </w:rPr>
        <w:t xml:space="preserve"> </w:t>
      </w:r>
    </w:p>
    <w:p w14:paraId="0C704672" w14:textId="3A94320B" w:rsidR="00251A20" w:rsidRPr="00393628" w:rsidRDefault="00AD7D11" w:rsidP="00473DE9">
      <w:pPr>
        <w:pStyle w:val="Body"/>
        <w:spacing w:after="120"/>
      </w:pPr>
      <w:r w:rsidRPr="00393628">
        <w:rPr>
          <w:lang w:val="en-AU"/>
        </w:rPr>
        <w:t>Following the release of the Health Check, the Department established the</w:t>
      </w:r>
      <w:r w:rsidR="00DC45EF" w:rsidRPr="00393628">
        <w:rPr>
          <w:lang w:val="en-AU"/>
        </w:rPr>
        <w:t xml:space="preserve"> </w:t>
      </w:r>
      <w:hyperlink r:id="rId18">
        <w:r w:rsidR="00DC45EF" w:rsidRPr="00393628">
          <w:rPr>
            <w:rStyle w:val="Hyperlink"/>
          </w:rPr>
          <w:t>Private Health Chief Executive Officer (CEO) Forum</w:t>
        </w:r>
      </w:hyperlink>
      <w:r w:rsidRPr="00393628">
        <w:rPr>
          <w:lang w:val="en-AU"/>
        </w:rPr>
        <w:t xml:space="preserve"> </w:t>
      </w:r>
      <w:r w:rsidR="00DC45EF" w:rsidRPr="00393628">
        <w:rPr>
          <w:lang w:val="en-AU"/>
        </w:rPr>
        <w:t>(the CEO Forum)</w:t>
      </w:r>
      <w:r w:rsidR="00705842" w:rsidRPr="00393628">
        <w:rPr>
          <w:lang w:val="en-AU"/>
        </w:rPr>
        <w:t>.</w:t>
      </w:r>
      <w:r w:rsidRPr="00393628">
        <w:rPr>
          <w:lang w:val="en-AU"/>
        </w:rPr>
        <w:t xml:space="preserve"> </w:t>
      </w:r>
      <w:r w:rsidR="00705842" w:rsidRPr="00393628">
        <w:rPr>
          <w:lang w:val="en-AU"/>
        </w:rPr>
        <w:t>T</w:t>
      </w:r>
      <w:r w:rsidRPr="00393628">
        <w:rPr>
          <w:lang w:val="en-AU"/>
        </w:rPr>
        <w:t>he Minister for Health</w:t>
      </w:r>
      <w:r w:rsidR="00705842" w:rsidRPr="00393628">
        <w:rPr>
          <w:lang w:val="en-AU"/>
        </w:rPr>
        <w:t>, the Hon.</w:t>
      </w:r>
      <w:r w:rsidR="00732865">
        <w:rPr>
          <w:lang w:val="en-AU"/>
        </w:rPr>
        <w:t> </w:t>
      </w:r>
      <w:r w:rsidR="00705842" w:rsidRPr="00393628">
        <w:rPr>
          <w:lang w:val="en-AU"/>
        </w:rPr>
        <w:t>Mark Butler MP, asked the CEO Forum to specifically provide advice on changes to</w:t>
      </w:r>
      <w:r w:rsidR="00251A20" w:rsidRPr="00393628">
        <w:rPr>
          <w:lang w:val="en-AU"/>
        </w:rPr>
        <w:t>:</w:t>
      </w:r>
      <w:r w:rsidR="00705842" w:rsidRPr="00393628">
        <w:rPr>
          <w:lang w:val="en-AU"/>
        </w:rPr>
        <w:t xml:space="preserve"> </w:t>
      </w:r>
    </w:p>
    <w:p w14:paraId="4A4B35B1" w14:textId="77777777" w:rsidR="00251A20" w:rsidRPr="00393628" w:rsidRDefault="00705842" w:rsidP="009257CE">
      <w:pPr>
        <w:pStyle w:val="Body"/>
        <w:numPr>
          <w:ilvl w:val="0"/>
          <w:numId w:val="23"/>
        </w:numPr>
        <w:spacing w:after="120"/>
        <w:ind w:left="714" w:hanging="357"/>
      </w:pPr>
      <w:r w:rsidRPr="00393628">
        <w:rPr>
          <w:lang w:val="en-AU"/>
        </w:rPr>
        <w:t>improve access to hospital</w:t>
      </w:r>
      <w:r w:rsidR="00251A20" w:rsidRPr="00393628">
        <w:rPr>
          <w:lang w:val="en-AU"/>
        </w:rPr>
        <w:t xml:space="preserve"> in the home care</w:t>
      </w:r>
    </w:p>
    <w:p w14:paraId="4257A812" w14:textId="77777777" w:rsidR="00251A20" w:rsidRPr="00393628" w:rsidRDefault="00251A20" w:rsidP="009257CE">
      <w:pPr>
        <w:pStyle w:val="Body"/>
        <w:numPr>
          <w:ilvl w:val="0"/>
          <w:numId w:val="23"/>
        </w:numPr>
        <w:spacing w:after="120"/>
        <w:ind w:left="714" w:hanging="357"/>
      </w:pPr>
      <w:r w:rsidRPr="00393628">
        <w:rPr>
          <w:lang w:val="en-AU"/>
        </w:rPr>
        <w:t>make mater</w:t>
      </w:r>
      <w:r w:rsidR="00F04794" w:rsidRPr="00393628">
        <w:rPr>
          <w:lang w:val="en-AU"/>
        </w:rPr>
        <w:t>n</w:t>
      </w:r>
      <w:r w:rsidRPr="00393628">
        <w:rPr>
          <w:lang w:val="en-AU"/>
        </w:rPr>
        <w:t>ity care more accessible and affordable</w:t>
      </w:r>
    </w:p>
    <w:p w14:paraId="37D797C0" w14:textId="77777777" w:rsidR="00251A20" w:rsidRPr="00393628" w:rsidRDefault="00251A20" w:rsidP="009257CE">
      <w:pPr>
        <w:pStyle w:val="Body"/>
        <w:numPr>
          <w:ilvl w:val="0"/>
          <w:numId w:val="23"/>
        </w:numPr>
        <w:spacing w:after="120"/>
        <w:ind w:left="714" w:hanging="357"/>
      </w:pPr>
      <w:r w:rsidRPr="00393628">
        <w:rPr>
          <w:lang w:val="en-AU"/>
        </w:rPr>
        <w:t>improve access to mental health care</w:t>
      </w:r>
    </w:p>
    <w:p w14:paraId="64E57917" w14:textId="77777777" w:rsidR="00F23FC4" w:rsidRPr="00393628" w:rsidRDefault="00F23FC4" w:rsidP="009257CE">
      <w:pPr>
        <w:pStyle w:val="Body"/>
        <w:numPr>
          <w:ilvl w:val="0"/>
          <w:numId w:val="23"/>
        </w:numPr>
        <w:spacing w:after="120"/>
        <w:ind w:left="714" w:hanging="357"/>
      </w:pPr>
      <w:r w:rsidRPr="00393628">
        <w:rPr>
          <w:lang w:val="en-AU"/>
        </w:rPr>
        <w:t>make contract negotiations fairer, and</w:t>
      </w:r>
    </w:p>
    <w:p w14:paraId="5263471D" w14:textId="77777777" w:rsidR="00AD7D11" w:rsidRPr="00393628" w:rsidRDefault="00F23FC4" w:rsidP="009257CE">
      <w:pPr>
        <w:pStyle w:val="Body"/>
        <w:numPr>
          <w:ilvl w:val="0"/>
          <w:numId w:val="23"/>
        </w:numPr>
        <w:spacing w:after="120"/>
        <w:ind w:left="714" w:hanging="357"/>
      </w:pPr>
      <w:r w:rsidRPr="00393628">
        <w:rPr>
          <w:lang w:val="en-AU"/>
        </w:rPr>
        <w:t>reduce red tape and improve productivity.</w:t>
      </w:r>
      <w:r w:rsidR="00251A20" w:rsidRPr="00393628">
        <w:rPr>
          <w:lang w:val="en-AU"/>
        </w:rPr>
        <w:t xml:space="preserve"> </w:t>
      </w:r>
    </w:p>
    <w:p w14:paraId="5F6D39E0" w14:textId="77777777" w:rsidR="0022455F" w:rsidRDefault="0022455F" w:rsidP="0022455F">
      <w:pPr>
        <w:pStyle w:val="Body"/>
        <w:spacing w:after="120"/>
      </w:pPr>
      <w:r>
        <w:rPr>
          <w:lang w:val="en-AU"/>
        </w:rPr>
        <w:t xml:space="preserve">The department is undertaking further consultation on proposed reforms to improve the private healthcare </w:t>
      </w:r>
      <w:r w:rsidRPr="007B55D1">
        <w:rPr>
          <w:color w:val="auto"/>
          <w:lang w:val="en-AU"/>
        </w:rPr>
        <w:t xml:space="preserve">sector following feedback received through the CEO Forum. </w:t>
      </w:r>
    </w:p>
    <w:p w14:paraId="03B78EEC" w14:textId="61A9847D" w:rsidR="0022455F" w:rsidRPr="00AD2981" w:rsidRDefault="0022455F" w:rsidP="00473DE9">
      <w:pPr>
        <w:pStyle w:val="Body"/>
        <w:spacing w:after="120"/>
        <w:rPr>
          <w:color w:val="FF0000"/>
          <w:lang w:val="en-AU"/>
        </w:rPr>
      </w:pPr>
      <w:r>
        <w:t xml:space="preserve">This paper and future consultation papers seek feedback on the implementation arrangements needed to support those reforms. </w:t>
      </w:r>
      <w:r w:rsidRPr="007B55D1">
        <w:rPr>
          <w:color w:val="auto"/>
          <w:lang w:val="en-AU"/>
        </w:rPr>
        <w:t xml:space="preserve">This </w:t>
      </w:r>
      <w:r w:rsidR="008A65E0">
        <w:rPr>
          <w:color w:val="auto"/>
          <w:lang w:val="en-AU"/>
        </w:rPr>
        <w:t>will ensure</w:t>
      </w:r>
      <w:r w:rsidRPr="007B55D1">
        <w:rPr>
          <w:color w:val="auto"/>
          <w:lang w:val="en-AU"/>
        </w:rPr>
        <w:t>, to the greatest extent possible, reforms can be factored into the 2027 Premium Round, which commences in mid-late 2026.</w:t>
      </w:r>
    </w:p>
    <w:p w14:paraId="72ED547E" w14:textId="77777777" w:rsidR="002B45F4" w:rsidRPr="002B45F4" w:rsidRDefault="47FC0F45" w:rsidP="008926E0">
      <w:pPr>
        <w:pStyle w:val="Heading2"/>
        <w:spacing w:after="120"/>
      </w:pPr>
      <w:bookmarkStart w:id="1" w:name="_Toc233805016"/>
      <w:r>
        <w:lastRenderedPageBreak/>
        <w:t>Consultation so far</w:t>
      </w:r>
      <w:bookmarkEnd w:id="1"/>
    </w:p>
    <w:p w14:paraId="15CF5199" w14:textId="77777777" w:rsidR="00242D8C" w:rsidRPr="007B55D1" w:rsidRDefault="00242D8C" w:rsidP="00473DE9">
      <w:pPr>
        <w:pStyle w:val="Body"/>
        <w:spacing w:after="120"/>
        <w:rPr>
          <w:color w:val="auto"/>
        </w:rPr>
      </w:pPr>
      <w:r w:rsidRPr="007B55D1">
        <w:rPr>
          <w:color w:val="auto"/>
        </w:rPr>
        <w:t xml:space="preserve">In 2024, the department </w:t>
      </w:r>
      <w:r w:rsidR="006B1513" w:rsidRPr="007B55D1">
        <w:rPr>
          <w:color w:val="auto"/>
        </w:rPr>
        <w:t>released a</w:t>
      </w:r>
      <w:r w:rsidR="006B1513" w:rsidRPr="00AD2981">
        <w:rPr>
          <w:color w:val="FF0000"/>
        </w:rPr>
        <w:t xml:space="preserve"> </w:t>
      </w:r>
      <w:hyperlink r:id="rId19" w:history="1">
        <w:r w:rsidR="006B1513" w:rsidRPr="00AD2981">
          <w:rPr>
            <w:rStyle w:val="Hyperlink"/>
          </w:rPr>
          <w:t>public summary of</w:t>
        </w:r>
        <w:r w:rsidR="002D666C" w:rsidRPr="00AD2981">
          <w:rPr>
            <w:rStyle w:val="Hyperlink"/>
          </w:rPr>
          <w:t xml:space="preserve"> the</w:t>
        </w:r>
        <w:r w:rsidR="00242668" w:rsidRPr="00AD2981">
          <w:rPr>
            <w:rStyle w:val="Hyperlink"/>
          </w:rPr>
          <w:t xml:space="preserve"> Health Check</w:t>
        </w:r>
      </w:hyperlink>
      <w:r w:rsidR="00AD2981" w:rsidRPr="007B55D1">
        <w:rPr>
          <w:color w:val="auto"/>
        </w:rPr>
        <w:t>. The Health Check</w:t>
      </w:r>
      <w:r w:rsidR="006B1513" w:rsidRPr="007B55D1">
        <w:rPr>
          <w:color w:val="auto"/>
        </w:rPr>
        <w:t xml:space="preserve"> </w:t>
      </w:r>
      <w:r w:rsidRPr="007B55D1">
        <w:rPr>
          <w:color w:val="auto"/>
        </w:rPr>
        <w:t>found</w:t>
      </w:r>
      <w:r w:rsidR="00AD2981" w:rsidRPr="007B55D1">
        <w:rPr>
          <w:color w:val="auto"/>
        </w:rPr>
        <w:t xml:space="preserve"> that</w:t>
      </w:r>
      <w:r w:rsidRPr="007B55D1">
        <w:rPr>
          <w:color w:val="auto"/>
        </w:rPr>
        <w:t xml:space="preserve"> the private hospital sector</w:t>
      </w:r>
      <w:r w:rsidR="00897ACE" w:rsidRPr="007B55D1">
        <w:rPr>
          <w:color w:val="auto"/>
        </w:rPr>
        <w:t xml:space="preserve"> </w:t>
      </w:r>
      <w:r w:rsidRPr="007B55D1">
        <w:rPr>
          <w:color w:val="auto"/>
        </w:rPr>
        <w:t xml:space="preserve">has </w:t>
      </w:r>
      <w:r w:rsidR="00897ACE" w:rsidRPr="007B55D1">
        <w:rPr>
          <w:color w:val="auto"/>
        </w:rPr>
        <w:t xml:space="preserve">and </w:t>
      </w:r>
      <w:r w:rsidRPr="007B55D1">
        <w:rPr>
          <w:color w:val="auto"/>
        </w:rPr>
        <w:t xml:space="preserve">was expected to continue to face systemic challenges to its sustainability. </w:t>
      </w:r>
    </w:p>
    <w:p w14:paraId="4D7A1CBE" w14:textId="6277F7A8" w:rsidR="00982AE1" w:rsidRPr="007B55D1" w:rsidRDefault="00980721" w:rsidP="00473DE9">
      <w:pPr>
        <w:pStyle w:val="Body"/>
        <w:spacing w:after="120"/>
        <w:rPr>
          <w:color w:val="auto"/>
        </w:rPr>
      </w:pPr>
      <w:r w:rsidRPr="007B55D1">
        <w:rPr>
          <w:color w:val="auto"/>
        </w:rPr>
        <w:t>In</w:t>
      </w:r>
      <w:r w:rsidR="00214B36" w:rsidRPr="007B55D1">
        <w:rPr>
          <w:color w:val="auto"/>
        </w:rPr>
        <w:t xml:space="preserve"> late</w:t>
      </w:r>
      <w:r w:rsidRPr="007B55D1">
        <w:rPr>
          <w:color w:val="auto"/>
        </w:rPr>
        <w:t xml:space="preserve"> 202</w:t>
      </w:r>
      <w:r w:rsidR="00214B36" w:rsidRPr="007B55D1">
        <w:rPr>
          <w:color w:val="auto"/>
        </w:rPr>
        <w:t>4</w:t>
      </w:r>
      <w:r w:rsidRPr="007B55D1">
        <w:rPr>
          <w:color w:val="auto"/>
        </w:rPr>
        <w:t xml:space="preserve">, </w:t>
      </w:r>
      <w:r w:rsidR="008642C2" w:rsidRPr="007B55D1">
        <w:rPr>
          <w:color w:val="auto"/>
        </w:rPr>
        <w:t xml:space="preserve">the </w:t>
      </w:r>
      <w:r w:rsidR="00406C23">
        <w:rPr>
          <w:color w:val="auto"/>
        </w:rPr>
        <w:t xml:space="preserve">department established the </w:t>
      </w:r>
      <w:r w:rsidR="008642C2" w:rsidRPr="007B55D1">
        <w:rPr>
          <w:color w:val="auto"/>
        </w:rPr>
        <w:t xml:space="preserve">CEO Forum </w:t>
      </w:r>
      <w:r w:rsidR="00D53C15" w:rsidRPr="007B55D1">
        <w:rPr>
          <w:color w:val="auto"/>
          <w:lang w:val="en-AU"/>
        </w:rPr>
        <w:t>to identify and provide advice on short and medium-long term reform options</w:t>
      </w:r>
      <w:r w:rsidR="00AD2981" w:rsidRPr="007B55D1">
        <w:rPr>
          <w:color w:val="auto"/>
          <w:lang w:val="en-AU"/>
        </w:rPr>
        <w:t xml:space="preserve">. The aim </w:t>
      </w:r>
      <w:r w:rsidR="00291204">
        <w:rPr>
          <w:color w:val="auto"/>
          <w:lang w:val="en-AU"/>
        </w:rPr>
        <w:t>being</w:t>
      </w:r>
      <w:r w:rsidR="00AD2981" w:rsidRPr="007B55D1">
        <w:rPr>
          <w:color w:val="auto"/>
          <w:lang w:val="en-AU"/>
        </w:rPr>
        <w:t xml:space="preserve"> to</w:t>
      </w:r>
      <w:r w:rsidR="00D53C15" w:rsidRPr="007B55D1">
        <w:rPr>
          <w:color w:val="auto"/>
          <w:lang w:val="en-AU"/>
        </w:rPr>
        <w:t xml:space="preserve"> improve the sustainability </w:t>
      </w:r>
      <w:r w:rsidR="00ED71A4">
        <w:rPr>
          <w:color w:val="auto"/>
          <w:lang w:val="en-AU"/>
        </w:rPr>
        <w:t xml:space="preserve">of </w:t>
      </w:r>
      <w:r w:rsidR="00D53C15" w:rsidRPr="007B55D1">
        <w:rPr>
          <w:color w:val="auto"/>
          <w:lang w:val="en-AU"/>
        </w:rPr>
        <w:t>the private health</w:t>
      </w:r>
      <w:r w:rsidR="001A1647" w:rsidRPr="007B55D1">
        <w:rPr>
          <w:color w:val="auto"/>
          <w:lang w:val="en-AU"/>
        </w:rPr>
        <w:t xml:space="preserve"> </w:t>
      </w:r>
      <w:r w:rsidR="00D53C15" w:rsidRPr="007B55D1">
        <w:rPr>
          <w:color w:val="auto"/>
          <w:lang w:val="en-AU"/>
        </w:rPr>
        <w:t>sector and result in better value for patients and the broader healthcare system</w:t>
      </w:r>
      <w:r w:rsidRPr="007B55D1">
        <w:rPr>
          <w:color w:val="auto"/>
        </w:rPr>
        <w:t>.</w:t>
      </w:r>
    </w:p>
    <w:p w14:paraId="60AD8DC6" w14:textId="77777777" w:rsidR="00857223" w:rsidRDefault="00982AE1" w:rsidP="001E6D3A">
      <w:pPr>
        <w:pStyle w:val="Body"/>
        <w:spacing w:after="120"/>
      </w:pPr>
      <w:r w:rsidRPr="00982AE1">
        <w:t xml:space="preserve">In January 2025, the department released a </w:t>
      </w:r>
      <w:hyperlink r:id="rId20" w:history="1">
        <w:r w:rsidRPr="0041188A">
          <w:rPr>
            <w:rStyle w:val="Hyperlink"/>
          </w:rPr>
          <w:t>consultation paper</w:t>
        </w:r>
      </w:hyperlink>
      <w:r w:rsidRPr="0041188A">
        <w:t xml:space="preserve"> </w:t>
      </w:r>
      <w:r w:rsidR="00201C8D">
        <w:t>which</w:t>
      </w:r>
      <w:r w:rsidRPr="00982AE1">
        <w:t xml:space="preserve"> sought feedback on short-term private health reform options. </w:t>
      </w:r>
      <w:r w:rsidR="0052236B">
        <w:t>Since</w:t>
      </w:r>
      <w:r w:rsidRPr="00982AE1">
        <w:t xml:space="preserve"> th</w:t>
      </w:r>
      <w:r w:rsidR="00891707">
        <w:t>is time</w:t>
      </w:r>
      <w:r w:rsidRPr="00982AE1">
        <w:t xml:space="preserve">, </w:t>
      </w:r>
      <w:r w:rsidR="000C290A">
        <w:t xml:space="preserve">the department has worked with the CEO Forum and key stakeholders to further refine </w:t>
      </w:r>
      <w:r w:rsidR="000A4687">
        <w:t>th</w:t>
      </w:r>
      <w:r w:rsidRPr="00982AE1">
        <w:t>e proposal</w:t>
      </w:r>
      <w:r w:rsidR="000A4687">
        <w:t>s</w:t>
      </w:r>
      <w:r w:rsidRPr="00982AE1">
        <w:t xml:space="preserve"> presented</w:t>
      </w:r>
      <w:r w:rsidR="000A4687">
        <w:t xml:space="preserve"> in this consultation paper</w:t>
      </w:r>
      <w:r w:rsidR="00141CC5">
        <w:t>.</w:t>
      </w:r>
      <w:r w:rsidR="00BF6FB6">
        <w:t xml:space="preserve"> </w:t>
      </w:r>
    </w:p>
    <w:p w14:paraId="7D24BC38" w14:textId="77777777" w:rsidR="00BF6FB6" w:rsidRDefault="002065F5" w:rsidP="001E6D3A">
      <w:pPr>
        <w:pStyle w:val="Body"/>
        <w:spacing w:after="120"/>
      </w:pPr>
      <w:r>
        <w:t>Members of the CEO Forum and other stakeholders</w:t>
      </w:r>
      <w:r w:rsidR="00475120" w:rsidRPr="00193206">
        <w:t xml:space="preserve"> </w:t>
      </w:r>
      <w:r w:rsidR="00B311C9" w:rsidRPr="00193206">
        <w:t xml:space="preserve">have </w:t>
      </w:r>
      <w:r w:rsidR="00E07C81">
        <w:t>called for</w:t>
      </w:r>
      <w:r w:rsidR="00B311C9" w:rsidRPr="00193206">
        <w:t xml:space="preserve"> </w:t>
      </w:r>
      <w:r w:rsidR="002371E2">
        <w:t>broad sector</w:t>
      </w:r>
      <w:r w:rsidR="00B311C9" w:rsidRPr="00193206">
        <w:t xml:space="preserve"> consultation prior to any </w:t>
      </w:r>
      <w:r w:rsidR="00727423" w:rsidRPr="00193206">
        <w:t>implementation of reform</w:t>
      </w:r>
      <w:r w:rsidR="00727423">
        <w:t>s</w:t>
      </w:r>
      <w:r w:rsidR="00292BF0">
        <w:t xml:space="preserve"> developed </w:t>
      </w:r>
      <w:r w:rsidR="00CB77FB">
        <w:t>during 2025</w:t>
      </w:r>
      <w:r w:rsidR="00304907">
        <w:t xml:space="preserve"> and early 2026</w:t>
      </w:r>
      <w:r w:rsidR="00292BF0">
        <w:t>.</w:t>
      </w:r>
      <w:r w:rsidR="00BF6FB6">
        <w:t xml:space="preserve"> </w:t>
      </w:r>
    </w:p>
    <w:p w14:paraId="0555A1A4" w14:textId="77777777" w:rsidR="000C4D7D" w:rsidRPr="000C4D7D" w:rsidRDefault="5173A286" w:rsidP="008926E0">
      <w:pPr>
        <w:pStyle w:val="Heading2"/>
        <w:spacing w:after="120"/>
      </w:pPr>
      <w:bookmarkStart w:id="2" w:name="_Toc233805017"/>
      <w:r>
        <w:t>This consultation</w:t>
      </w:r>
      <w:bookmarkEnd w:id="2"/>
      <w:r>
        <w:t xml:space="preserve"> </w:t>
      </w:r>
    </w:p>
    <w:p w14:paraId="26322F6E" w14:textId="3411D6EB" w:rsidR="00F7612E" w:rsidRDefault="00F7612E" w:rsidP="00473DE9">
      <w:pPr>
        <w:pStyle w:val="Body"/>
        <w:spacing w:after="120"/>
      </w:pPr>
      <w:r>
        <w:t xml:space="preserve">This is the first </w:t>
      </w:r>
      <w:r w:rsidR="631668DE">
        <w:t xml:space="preserve">in </w:t>
      </w:r>
      <w:r>
        <w:t xml:space="preserve">a suite of consultation papers </w:t>
      </w:r>
      <w:r w:rsidR="00814EFD">
        <w:t>which</w:t>
      </w:r>
      <w:r>
        <w:t xml:space="preserve"> the department will release over the coming months. The following diagram provides an indicative timeline for the 3 tranches of consultation over the coming months:</w:t>
      </w:r>
    </w:p>
    <w:p w14:paraId="052B368F" w14:textId="0553683D" w:rsidR="00953DCF" w:rsidRDefault="5057C173" w:rsidP="00953DCF">
      <w:pPr>
        <w:pStyle w:val="Body"/>
        <w:spacing w:after="120"/>
      </w:pPr>
      <w:r>
        <w:rPr>
          <w:noProof/>
        </w:rPr>
        <w:drawing>
          <wp:inline distT="0" distB="0" distL="0" distR="0" wp14:anchorId="19D2EED7" wp14:editId="0EF61730">
            <wp:extent cx="5962650" cy="1796383"/>
            <wp:effectExtent l="0" t="0" r="0" b="0"/>
            <wp:docPr id="1534150562" name="Picture 11" descr="This graphic shows the indicative timeline for the 3 tranches of consultation on Private Health Sector Reforms over the coming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150562" name="Picture 11" descr="This graphic shows the indicative timeline for the 3 tranches of consultation on Private Health Sector Reforms over the coming months."/>
                    <pic:cNvPicPr>
                      <a:picLocks noChangeAspect="1" noChangeArrowheads="1"/>
                    </pic:cNvPicPr>
                  </pic:nvPicPr>
                  <pic:blipFill>
                    <a:blip r:embed="rId21" cstate="print">
                      <a:extLst>
                        <a:ext uri="{28A0092B-C50C-407E-A947-70E740481C1C}">
                          <a14:useLocalDpi xmlns:a14="http://schemas.microsoft.com/office/drawing/2010/main"/>
                        </a:ext>
                      </a:extLst>
                    </a:blip>
                    <a:srcRect/>
                    <a:stretch>
                      <a:fillRect/>
                    </a:stretch>
                  </pic:blipFill>
                  <pic:spPr bwMode="auto">
                    <a:xfrm>
                      <a:off x="0" y="0"/>
                      <a:ext cx="5973830" cy="1799751"/>
                    </a:xfrm>
                    <a:prstGeom prst="rect">
                      <a:avLst/>
                    </a:prstGeom>
                    <a:noFill/>
                  </pic:spPr>
                </pic:pic>
              </a:graphicData>
            </a:graphic>
          </wp:inline>
        </w:drawing>
      </w:r>
    </w:p>
    <w:p w14:paraId="47479E6F" w14:textId="0EC5F4C2" w:rsidR="0086661E" w:rsidRDefault="0086661E" w:rsidP="00C5241A">
      <w:pPr>
        <w:pStyle w:val="Body"/>
        <w:spacing w:after="120"/>
        <w:rPr>
          <w:color w:val="auto"/>
        </w:rPr>
      </w:pPr>
      <w:r>
        <w:rPr>
          <w:color w:val="auto"/>
          <w:lang w:val="en-AU"/>
        </w:rPr>
        <w:t>The department anticipates that the</w:t>
      </w:r>
      <w:r w:rsidRPr="0086661E">
        <w:rPr>
          <w:color w:val="auto"/>
          <w:lang w:val="en-AU"/>
        </w:rPr>
        <w:t xml:space="preserve"> primary audience for this consultation </w:t>
      </w:r>
      <w:r>
        <w:rPr>
          <w:color w:val="auto"/>
          <w:lang w:val="en-AU"/>
        </w:rPr>
        <w:t>will include</w:t>
      </w:r>
      <w:r w:rsidR="002426FE">
        <w:rPr>
          <w:color w:val="auto"/>
          <w:lang w:val="en-AU"/>
        </w:rPr>
        <w:t xml:space="preserve"> </w:t>
      </w:r>
      <w:r w:rsidRPr="0086661E">
        <w:rPr>
          <w:color w:val="auto"/>
          <w:lang w:val="en-AU"/>
        </w:rPr>
        <w:t xml:space="preserve">insurers, private hospitals, </w:t>
      </w:r>
      <w:r>
        <w:rPr>
          <w:color w:val="auto"/>
          <w:lang w:val="en-AU"/>
        </w:rPr>
        <w:t>health professionals</w:t>
      </w:r>
      <w:r w:rsidR="0029533D">
        <w:rPr>
          <w:color w:val="auto"/>
          <w:lang w:val="en-AU"/>
        </w:rPr>
        <w:t>,</w:t>
      </w:r>
      <w:r w:rsidRPr="0086661E">
        <w:rPr>
          <w:color w:val="auto"/>
          <w:lang w:val="en-AU"/>
        </w:rPr>
        <w:t xml:space="preserve"> consumer</w:t>
      </w:r>
      <w:r w:rsidR="00C44780">
        <w:rPr>
          <w:color w:val="auto"/>
          <w:lang w:val="en-AU"/>
        </w:rPr>
        <w:t>/patient</w:t>
      </w:r>
      <w:r w:rsidRPr="0086661E">
        <w:rPr>
          <w:color w:val="auto"/>
          <w:lang w:val="en-AU"/>
        </w:rPr>
        <w:t xml:space="preserve"> </w:t>
      </w:r>
      <w:r w:rsidR="00C44780">
        <w:rPr>
          <w:color w:val="auto"/>
          <w:lang w:val="en-AU"/>
        </w:rPr>
        <w:t>advocates</w:t>
      </w:r>
      <w:r w:rsidR="7A938B2F" w:rsidRPr="36CD8249">
        <w:rPr>
          <w:color w:val="auto"/>
          <w:lang w:val="en-AU"/>
        </w:rPr>
        <w:t>, medical device companies</w:t>
      </w:r>
      <w:r w:rsidR="0029533D">
        <w:rPr>
          <w:color w:val="auto"/>
          <w:lang w:val="en-AU"/>
        </w:rPr>
        <w:t xml:space="preserve"> and </w:t>
      </w:r>
      <w:r w:rsidR="00C44780">
        <w:rPr>
          <w:color w:val="auto"/>
          <w:lang w:val="en-AU"/>
        </w:rPr>
        <w:t>jurisdictional government agencies</w:t>
      </w:r>
      <w:r w:rsidR="002426FE">
        <w:rPr>
          <w:color w:val="auto"/>
          <w:lang w:val="en-AU"/>
        </w:rPr>
        <w:t>.</w:t>
      </w:r>
    </w:p>
    <w:p w14:paraId="006DFF5F" w14:textId="77777777" w:rsidR="00150F8C" w:rsidRPr="005B00E0" w:rsidRDefault="00150F8C">
      <w:pPr>
        <w:pStyle w:val="Body"/>
        <w:spacing w:after="120"/>
        <w:rPr>
          <w:b/>
          <w:bCs/>
          <w:kern w:val="2"/>
          <w:szCs w:val="22"/>
          <w14:ligatures w14:val="standardContextual"/>
        </w:rPr>
      </w:pPr>
      <w:r w:rsidRPr="005B00E0">
        <w:rPr>
          <w:b/>
          <w:bCs/>
          <w:color w:val="auto"/>
        </w:rPr>
        <w:t>These proposals do not represent government policy. Government will decide whether to implement any changes, including potential changes to MBS items.</w:t>
      </w:r>
    </w:p>
    <w:p w14:paraId="43A403A7" w14:textId="1A7C80C6" w:rsidR="006E6136" w:rsidRPr="007B55D1" w:rsidRDefault="006E6136" w:rsidP="59EA302C">
      <w:pPr>
        <w:pStyle w:val="Body"/>
        <w:spacing w:after="120"/>
        <w:rPr>
          <w:color w:val="auto"/>
        </w:rPr>
      </w:pPr>
      <w:r w:rsidRPr="007B55D1">
        <w:rPr>
          <w:color w:val="auto"/>
        </w:rPr>
        <w:t xml:space="preserve">The decision to create new or amend MBS items are </w:t>
      </w:r>
      <w:r>
        <w:rPr>
          <w:color w:val="auto"/>
        </w:rPr>
        <w:t>informed by</w:t>
      </w:r>
      <w:r w:rsidRPr="007B55D1">
        <w:rPr>
          <w:color w:val="auto"/>
        </w:rPr>
        <w:t xml:space="preserve"> </w:t>
      </w:r>
      <w:r w:rsidR="004B1120" w:rsidRPr="007B55D1">
        <w:rPr>
          <w:color w:val="auto"/>
        </w:rPr>
        <w:t>well-established</w:t>
      </w:r>
      <w:r w:rsidRPr="007B55D1">
        <w:rPr>
          <w:color w:val="auto"/>
        </w:rPr>
        <w:t xml:space="preserve"> clinical and economic assessment processes including appropriate consideration and advice by </w:t>
      </w:r>
      <w:r w:rsidR="00126208">
        <w:rPr>
          <w:color w:val="auto"/>
        </w:rPr>
        <w:t xml:space="preserve">the </w:t>
      </w:r>
      <w:r w:rsidRPr="007B55D1">
        <w:rPr>
          <w:color w:val="auto"/>
        </w:rPr>
        <w:t>Medical Services Advisory Committee (MSAC).</w:t>
      </w:r>
    </w:p>
    <w:p w14:paraId="7F01343B" w14:textId="7A55852E" w:rsidR="00C5241A" w:rsidRPr="007B55D1" w:rsidRDefault="00BC4C6B" w:rsidP="00C5241A">
      <w:pPr>
        <w:pStyle w:val="Body"/>
        <w:spacing w:after="120"/>
        <w:rPr>
          <w:color w:val="auto"/>
        </w:rPr>
      </w:pPr>
      <w:r>
        <w:rPr>
          <w:color w:val="auto"/>
        </w:rPr>
        <w:t>The departm</w:t>
      </w:r>
      <w:r w:rsidR="006F4537">
        <w:rPr>
          <w:color w:val="auto"/>
        </w:rPr>
        <w:t>ent will use feedback</w:t>
      </w:r>
      <w:r w:rsidR="00C5241A" w:rsidRPr="007B55D1">
        <w:rPr>
          <w:color w:val="auto"/>
        </w:rPr>
        <w:t xml:space="preserve"> received through this consultation process </w:t>
      </w:r>
      <w:r w:rsidR="006F4537">
        <w:rPr>
          <w:color w:val="auto"/>
        </w:rPr>
        <w:t>to</w:t>
      </w:r>
      <w:r w:rsidR="006F4537" w:rsidRPr="007B55D1">
        <w:rPr>
          <w:color w:val="auto"/>
        </w:rPr>
        <w:t xml:space="preserve"> </w:t>
      </w:r>
      <w:r w:rsidR="00C5241A" w:rsidRPr="007B55D1">
        <w:rPr>
          <w:color w:val="auto"/>
        </w:rPr>
        <w:t>inform advice to government for consideration.</w:t>
      </w:r>
    </w:p>
    <w:p w14:paraId="06416BA8" w14:textId="77777777" w:rsidR="000B1DA7" w:rsidRDefault="000B1DA7">
      <w:pPr>
        <w:spacing w:before="0" w:after="0" w:line="240" w:lineRule="auto"/>
        <w:rPr>
          <w:color w:val="auto"/>
          <w:szCs w:val="28"/>
          <w:lang w:val="en-US"/>
        </w:rPr>
      </w:pPr>
      <w:r>
        <w:rPr>
          <w:color w:val="auto"/>
        </w:rPr>
        <w:br w:type="page"/>
      </w:r>
    </w:p>
    <w:p w14:paraId="6C3DA72E" w14:textId="3A811CFA" w:rsidR="00CA7101" w:rsidRDefault="002F3368" w:rsidP="00473DE9">
      <w:pPr>
        <w:pStyle w:val="Body"/>
        <w:spacing w:after="120"/>
      </w:pPr>
      <w:r>
        <w:rPr>
          <w:color w:val="auto"/>
        </w:rPr>
        <w:lastRenderedPageBreak/>
        <w:t>The department encourages insurers</w:t>
      </w:r>
      <w:r w:rsidR="00AF3A80" w:rsidRPr="007B55D1">
        <w:rPr>
          <w:color w:val="auto"/>
        </w:rPr>
        <w:t xml:space="preserve"> to take the </w:t>
      </w:r>
      <w:r w:rsidR="00AD2981" w:rsidRPr="007B55D1">
        <w:rPr>
          <w:color w:val="auto"/>
        </w:rPr>
        <w:t xml:space="preserve">proposed </w:t>
      </w:r>
      <w:r w:rsidR="00AF3A80" w:rsidRPr="007B55D1">
        <w:rPr>
          <w:color w:val="auto"/>
        </w:rPr>
        <w:t xml:space="preserve">reforms </w:t>
      </w:r>
      <w:r w:rsidR="00AD2981" w:rsidRPr="007B55D1">
        <w:rPr>
          <w:color w:val="auto"/>
        </w:rPr>
        <w:t>into consideration when</w:t>
      </w:r>
      <w:r w:rsidR="00AF3A80" w:rsidRPr="007B55D1">
        <w:rPr>
          <w:color w:val="auto"/>
        </w:rPr>
        <w:t xml:space="preserve"> developing new or amended products and premiums for the 2027 Premium Round (submissions due in November 2026). </w:t>
      </w:r>
      <w:r w:rsidR="0020662C" w:rsidRPr="007B55D1">
        <w:rPr>
          <w:color w:val="auto"/>
        </w:rPr>
        <w:t xml:space="preserve">This </w:t>
      </w:r>
      <w:r w:rsidR="0020662C">
        <w:t>paper covers</w:t>
      </w:r>
      <w:r w:rsidR="00351064">
        <w:t xml:space="preserve"> the following elements </w:t>
      </w:r>
      <w:r w:rsidR="004D1F41">
        <w:t>(Tranche 1)</w:t>
      </w:r>
      <w:r w:rsidR="0061096F">
        <w:t>:</w:t>
      </w:r>
    </w:p>
    <w:p w14:paraId="14437158" w14:textId="77777777" w:rsidR="00840B01" w:rsidRPr="00486FA8" w:rsidRDefault="00F75F26" w:rsidP="009257CE">
      <w:pPr>
        <w:pStyle w:val="Body"/>
        <w:numPr>
          <w:ilvl w:val="0"/>
          <w:numId w:val="7"/>
        </w:numPr>
        <w:spacing w:after="120"/>
        <w:ind w:hanging="357"/>
      </w:pPr>
      <w:r>
        <w:t>p</w:t>
      </w:r>
      <w:r w:rsidR="0020662C" w:rsidRPr="00F75F26">
        <w:t>r</w:t>
      </w:r>
      <w:r w:rsidR="0020662C" w:rsidRPr="00486FA8">
        <w:t xml:space="preserve">ioritising contemporary models of care </w:t>
      </w:r>
      <w:r w:rsidR="004A6492" w:rsidRPr="00486FA8">
        <w:t>including</w:t>
      </w:r>
      <w:r w:rsidR="00840B01" w:rsidRPr="00486FA8">
        <w:t>:</w:t>
      </w:r>
      <w:r w:rsidR="004A6492" w:rsidRPr="00486FA8">
        <w:t xml:space="preserve"> </w:t>
      </w:r>
    </w:p>
    <w:p w14:paraId="3E2C60E9" w14:textId="77777777" w:rsidR="00DA1B50" w:rsidRDefault="00DA1B50" w:rsidP="009257CE">
      <w:pPr>
        <w:pStyle w:val="Body"/>
        <w:numPr>
          <w:ilvl w:val="1"/>
          <w:numId w:val="15"/>
        </w:numPr>
        <w:spacing w:after="120"/>
        <w:ind w:hanging="357"/>
      </w:pPr>
      <w:r>
        <w:t>mental health care</w:t>
      </w:r>
    </w:p>
    <w:p w14:paraId="51806A14" w14:textId="77777777" w:rsidR="00047712" w:rsidRDefault="2EB19540" w:rsidP="009257CE">
      <w:pPr>
        <w:pStyle w:val="Body"/>
        <w:numPr>
          <w:ilvl w:val="1"/>
          <w:numId w:val="15"/>
        </w:numPr>
        <w:spacing w:after="120"/>
        <w:ind w:hanging="357"/>
      </w:pPr>
      <w:r>
        <w:t>maternity care</w:t>
      </w:r>
    </w:p>
    <w:p w14:paraId="4672727B" w14:textId="77777777" w:rsidR="00486FA8" w:rsidRPr="00486FA8" w:rsidRDefault="6E6E10AB" w:rsidP="009257CE">
      <w:pPr>
        <w:pStyle w:val="Body"/>
        <w:numPr>
          <w:ilvl w:val="1"/>
          <w:numId w:val="15"/>
        </w:numPr>
        <w:spacing w:after="120"/>
        <w:ind w:hanging="357"/>
      </w:pPr>
      <w:r>
        <w:t>Hospital in the Home (HITH)</w:t>
      </w:r>
      <w:r w:rsidR="5C89117C">
        <w:t>, and</w:t>
      </w:r>
    </w:p>
    <w:p w14:paraId="2F9EC422" w14:textId="77777777" w:rsidR="00486FA8" w:rsidRPr="00486FA8" w:rsidRDefault="00486FA8" w:rsidP="009257CE">
      <w:pPr>
        <w:pStyle w:val="Body"/>
        <w:numPr>
          <w:ilvl w:val="1"/>
          <w:numId w:val="15"/>
        </w:numPr>
        <w:spacing w:after="120"/>
        <w:ind w:hanging="357"/>
      </w:pPr>
      <w:r>
        <w:t>Type C</w:t>
      </w:r>
      <w:r w:rsidR="00586538" w:rsidRPr="25857C6C">
        <w:rPr>
          <w:lang w:val="en-AU"/>
        </w:rPr>
        <w:t xml:space="preserve"> certification requirements: </w:t>
      </w:r>
      <w:r>
        <w:t>exemption criteria</w:t>
      </w:r>
      <w:r w:rsidR="00AA2DCE">
        <w:t>, and</w:t>
      </w:r>
    </w:p>
    <w:p w14:paraId="78D711F5" w14:textId="77777777" w:rsidR="00840B01" w:rsidRDefault="00DB1FFE" w:rsidP="009257CE">
      <w:pPr>
        <w:pStyle w:val="Body"/>
        <w:numPr>
          <w:ilvl w:val="0"/>
          <w:numId w:val="7"/>
        </w:numPr>
        <w:spacing w:after="120"/>
        <w:ind w:hanging="357"/>
      </w:pPr>
      <w:r>
        <w:t>d</w:t>
      </w:r>
      <w:r w:rsidR="004A6492" w:rsidRPr="00F75F26">
        <w:t>elivering better value for consumers through</w:t>
      </w:r>
      <w:r w:rsidR="00840B01">
        <w:t>:</w:t>
      </w:r>
      <w:r w:rsidR="004A6492" w:rsidRPr="00F75F26">
        <w:t xml:space="preserve"> </w:t>
      </w:r>
    </w:p>
    <w:p w14:paraId="6DD8DA63" w14:textId="77777777" w:rsidR="006F3352" w:rsidRPr="0041455A" w:rsidRDefault="006F3352" w:rsidP="009257CE">
      <w:pPr>
        <w:pStyle w:val="Body"/>
        <w:numPr>
          <w:ilvl w:val="1"/>
          <w:numId w:val="16"/>
        </w:numPr>
        <w:spacing w:after="120"/>
        <w:ind w:hanging="357"/>
      </w:pPr>
      <w:r>
        <w:t>i</w:t>
      </w:r>
      <w:r w:rsidRPr="0041455A">
        <w:t xml:space="preserve">mproving access to regional private hospitals </w:t>
      </w:r>
    </w:p>
    <w:p w14:paraId="333F07DE" w14:textId="77777777" w:rsidR="00840B01" w:rsidRDefault="00816248" w:rsidP="009257CE">
      <w:pPr>
        <w:pStyle w:val="Body"/>
        <w:numPr>
          <w:ilvl w:val="1"/>
          <w:numId w:val="16"/>
        </w:numPr>
        <w:spacing w:after="120"/>
        <w:ind w:hanging="357"/>
      </w:pPr>
      <w:r>
        <w:t xml:space="preserve">PHI </w:t>
      </w:r>
      <w:r w:rsidR="004A6492" w:rsidRPr="00F75F26">
        <w:t>product simplification</w:t>
      </w:r>
      <w:r w:rsidR="00840B01">
        <w:t>,</w:t>
      </w:r>
      <w:r w:rsidR="004A6492" w:rsidRPr="00F75F26">
        <w:t xml:space="preserve"> and </w:t>
      </w:r>
    </w:p>
    <w:p w14:paraId="141DABE3" w14:textId="77777777" w:rsidR="004A6492" w:rsidRDefault="00456491" w:rsidP="009257CE">
      <w:pPr>
        <w:pStyle w:val="Body"/>
        <w:numPr>
          <w:ilvl w:val="1"/>
          <w:numId w:val="16"/>
        </w:numPr>
        <w:spacing w:after="120"/>
        <w:ind w:hanging="357"/>
      </w:pPr>
      <w:r>
        <w:t>updating</w:t>
      </w:r>
      <w:r w:rsidR="00F75F26" w:rsidRPr="00F75F26">
        <w:t xml:space="preserve"> </w:t>
      </w:r>
      <w:r w:rsidR="0030298C">
        <w:t>R</w:t>
      </w:r>
      <w:r w:rsidR="00F75F26" w:rsidRPr="00F75F26">
        <w:t xml:space="preserve">isk </w:t>
      </w:r>
      <w:r w:rsidR="0030298C">
        <w:t>E</w:t>
      </w:r>
      <w:r w:rsidR="00F75F26" w:rsidRPr="00F75F26">
        <w:t>qualisation</w:t>
      </w:r>
      <w:r w:rsidR="00AA2DCE">
        <w:t>.</w:t>
      </w:r>
    </w:p>
    <w:p w14:paraId="5157EDF1" w14:textId="4A9062AC" w:rsidR="00B0736F" w:rsidRDefault="00535109" w:rsidP="00473DE9">
      <w:pPr>
        <w:pStyle w:val="Body"/>
        <w:spacing w:after="120"/>
      </w:pPr>
      <w:r>
        <w:t>The paper seeks s</w:t>
      </w:r>
      <w:r w:rsidR="00E300EF">
        <w:t>takeholders’</w:t>
      </w:r>
      <w:r w:rsidR="005517BF">
        <w:t xml:space="preserve"> </w:t>
      </w:r>
      <w:r w:rsidR="00CB5403">
        <w:t xml:space="preserve">views on </w:t>
      </w:r>
      <w:r w:rsidR="003C2EF8">
        <w:t>the</w:t>
      </w:r>
      <w:r w:rsidR="005517BF">
        <w:t xml:space="preserve"> </w:t>
      </w:r>
      <w:r w:rsidR="00197D6D">
        <w:t xml:space="preserve">prioritisation and indicative scheduling of each of the proposed reform initiatives at </w:t>
      </w:r>
      <w:hyperlink w:anchor="_Appendix_A_–" w:history="1">
        <w:r w:rsidR="00197D6D" w:rsidRPr="00D55AA4">
          <w:rPr>
            <w:rStyle w:val="Hyperlink"/>
          </w:rPr>
          <w:t>Appendix A</w:t>
        </w:r>
      </w:hyperlink>
      <w:r w:rsidR="00DC4588">
        <w:t>.</w:t>
      </w:r>
      <w:r w:rsidR="00C22C2A">
        <w:t xml:space="preserve"> </w:t>
      </w:r>
    </w:p>
    <w:p w14:paraId="35502585" w14:textId="77777777" w:rsidR="00BC77B6" w:rsidRDefault="00BE3AE8" w:rsidP="008926E0">
      <w:pPr>
        <w:pStyle w:val="Heading2"/>
        <w:spacing w:after="120"/>
      </w:pPr>
      <w:bookmarkStart w:id="3" w:name="_Toc233805018"/>
      <w:r>
        <w:t>Fut</w:t>
      </w:r>
      <w:r w:rsidR="00E608DE">
        <w:t>ure</w:t>
      </w:r>
      <w:r w:rsidR="00BC77B6">
        <w:t xml:space="preserve"> consultations</w:t>
      </w:r>
      <w:bookmarkEnd w:id="3"/>
    </w:p>
    <w:p w14:paraId="5EBC3987" w14:textId="3E6ED7F0" w:rsidR="003F7A20" w:rsidRPr="007B55D1" w:rsidRDefault="00E20CCB" w:rsidP="00473DE9">
      <w:pPr>
        <w:pStyle w:val="Body"/>
        <w:spacing w:after="120"/>
        <w:rPr>
          <w:color w:val="auto"/>
        </w:rPr>
      </w:pPr>
      <w:r>
        <w:rPr>
          <w:color w:val="auto"/>
        </w:rPr>
        <w:t>The department will release f</w:t>
      </w:r>
      <w:r w:rsidR="003F7A20" w:rsidRPr="007B55D1">
        <w:rPr>
          <w:color w:val="auto"/>
        </w:rPr>
        <w:t xml:space="preserve">urther consultation </w:t>
      </w:r>
      <w:r w:rsidR="00A91ECF" w:rsidRPr="007B55D1">
        <w:rPr>
          <w:color w:val="auto"/>
        </w:rPr>
        <w:t>papers</w:t>
      </w:r>
      <w:r w:rsidR="000B62EF">
        <w:rPr>
          <w:color w:val="auto"/>
        </w:rPr>
        <w:t xml:space="preserve"> </w:t>
      </w:r>
      <w:r w:rsidR="003F7A20" w:rsidRPr="007B55D1">
        <w:rPr>
          <w:color w:val="auto"/>
        </w:rPr>
        <w:t>on the following topics:</w:t>
      </w:r>
    </w:p>
    <w:p w14:paraId="75F7E48E" w14:textId="77777777" w:rsidR="003F7A20" w:rsidRPr="007B55D1" w:rsidRDefault="00B80250" w:rsidP="009257CE">
      <w:pPr>
        <w:pStyle w:val="Body"/>
        <w:numPr>
          <w:ilvl w:val="0"/>
          <w:numId w:val="8"/>
        </w:numPr>
        <w:spacing w:after="120"/>
        <w:ind w:left="714" w:hanging="357"/>
        <w:rPr>
          <w:color w:val="auto"/>
        </w:rPr>
      </w:pPr>
      <w:r w:rsidRPr="007B55D1">
        <w:rPr>
          <w:color w:val="auto"/>
        </w:rPr>
        <w:t xml:space="preserve">reducing </w:t>
      </w:r>
      <w:r w:rsidR="00C42067" w:rsidRPr="007B55D1">
        <w:rPr>
          <w:color w:val="auto"/>
        </w:rPr>
        <w:t>information asymmetries for productive collaboration (including</w:t>
      </w:r>
      <w:r w:rsidR="00802BBE" w:rsidRPr="007B55D1">
        <w:rPr>
          <w:color w:val="auto"/>
        </w:rPr>
        <w:t xml:space="preserve"> sector compliance,</w:t>
      </w:r>
      <w:r w:rsidR="00C42067" w:rsidRPr="007B55D1">
        <w:rPr>
          <w:color w:val="auto"/>
        </w:rPr>
        <w:t xml:space="preserve"> codes of conduct and </w:t>
      </w:r>
      <w:r w:rsidR="007B1E98" w:rsidRPr="007B55D1">
        <w:rPr>
          <w:color w:val="auto"/>
        </w:rPr>
        <w:t>i</w:t>
      </w:r>
      <w:r w:rsidR="00BA14EF" w:rsidRPr="007B55D1">
        <w:rPr>
          <w:color w:val="auto"/>
        </w:rPr>
        <w:t>mproving funding</w:t>
      </w:r>
      <w:r w:rsidR="007113AD" w:rsidRPr="007B55D1">
        <w:rPr>
          <w:color w:val="auto"/>
        </w:rPr>
        <w:t xml:space="preserve">, </w:t>
      </w:r>
      <w:r w:rsidR="00BA14EF" w:rsidRPr="007B55D1">
        <w:rPr>
          <w:color w:val="auto"/>
        </w:rPr>
        <w:t xml:space="preserve">cost </w:t>
      </w:r>
      <w:r w:rsidR="007113AD" w:rsidRPr="007B55D1">
        <w:rPr>
          <w:color w:val="auto"/>
        </w:rPr>
        <w:t xml:space="preserve">and performance </w:t>
      </w:r>
      <w:r w:rsidR="001C7EAD" w:rsidRPr="007B55D1">
        <w:rPr>
          <w:color w:val="auto"/>
        </w:rPr>
        <w:t xml:space="preserve">data </w:t>
      </w:r>
      <w:r w:rsidR="00BA14EF" w:rsidRPr="007B55D1">
        <w:rPr>
          <w:color w:val="auto"/>
        </w:rPr>
        <w:t>transparency</w:t>
      </w:r>
      <w:r w:rsidR="00C42067" w:rsidRPr="007B55D1">
        <w:rPr>
          <w:color w:val="auto"/>
        </w:rPr>
        <w:t>)</w:t>
      </w:r>
      <w:r w:rsidR="004D1F41" w:rsidRPr="007B55D1">
        <w:rPr>
          <w:color w:val="auto"/>
        </w:rPr>
        <w:t xml:space="preserve"> (Tranche 2</w:t>
      </w:r>
      <w:r w:rsidR="00C42067" w:rsidRPr="007B55D1">
        <w:rPr>
          <w:color w:val="auto"/>
        </w:rPr>
        <w:t>)</w:t>
      </w:r>
      <w:r w:rsidR="00C91481" w:rsidRPr="007B55D1">
        <w:rPr>
          <w:color w:val="auto"/>
        </w:rPr>
        <w:t>,</w:t>
      </w:r>
      <w:r w:rsidR="000C359D" w:rsidRPr="007B55D1">
        <w:rPr>
          <w:color w:val="auto"/>
        </w:rPr>
        <w:t xml:space="preserve"> </w:t>
      </w:r>
      <w:r w:rsidR="007B1E98" w:rsidRPr="007B55D1">
        <w:rPr>
          <w:color w:val="auto"/>
        </w:rPr>
        <w:t>and</w:t>
      </w:r>
    </w:p>
    <w:p w14:paraId="0814FF56" w14:textId="77777777" w:rsidR="00E56678" w:rsidRPr="00A33171" w:rsidRDefault="00E56678" w:rsidP="009257CE">
      <w:pPr>
        <w:pStyle w:val="Body"/>
        <w:numPr>
          <w:ilvl w:val="0"/>
          <w:numId w:val="8"/>
        </w:numPr>
        <w:rPr>
          <w:color w:val="auto"/>
        </w:rPr>
      </w:pPr>
      <w:r>
        <w:rPr>
          <w:color w:val="auto"/>
        </w:rPr>
        <w:t>further measures to deliver better value for consumers, including further PHI product simplification and Risk Equalisation measures (Tranche 3). Feedback on Tranche 1 will help inform independent technical advice ahead of further consultation.</w:t>
      </w:r>
    </w:p>
    <w:p w14:paraId="48F72A8B" w14:textId="1C0B0434" w:rsidR="00EE1C63" w:rsidRPr="007B55D1" w:rsidRDefault="00EE1C63" w:rsidP="00EE1C63">
      <w:pPr>
        <w:pStyle w:val="Body"/>
        <w:spacing w:after="120"/>
        <w:rPr>
          <w:color w:val="auto"/>
        </w:rPr>
      </w:pPr>
      <w:r w:rsidRPr="00EE1C63">
        <w:rPr>
          <w:color w:val="auto"/>
        </w:rPr>
        <w:t xml:space="preserve">The first two consultation tranches will bring together proposed reform elements that the sector, including through the CEO Forum, have indicated are priorities. Stakeholders should note that proposals for the development of a Private National Efficient Price have not </w:t>
      </w:r>
      <w:r w:rsidRPr="007B55D1">
        <w:rPr>
          <w:color w:val="auto"/>
        </w:rPr>
        <w:t xml:space="preserve">been considered by government and are not the subject of upcoming consultations. </w:t>
      </w:r>
      <w:r w:rsidR="000B2B65">
        <w:rPr>
          <w:color w:val="auto"/>
        </w:rPr>
        <w:t xml:space="preserve">A separate consultation paper </w:t>
      </w:r>
      <w:r w:rsidR="00795BA1">
        <w:rPr>
          <w:color w:val="auto"/>
        </w:rPr>
        <w:t>on</w:t>
      </w:r>
      <w:r w:rsidR="000B2B65">
        <w:rPr>
          <w:color w:val="auto"/>
        </w:rPr>
        <w:t xml:space="preserve"> </w:t>
      </w:r>
      <w:r w:rsidR="00F81C46">
        <w:rPr>
          <w:color w:val="auto"/>
        </w:rPr>
        <w:t>i</w:t>
      </w:r>
      <w:r w:rsidRPr="007B55D1">
        <w:rPr>
          <w:color w:val="auto"/>
        </w:rPr>
        <w:t xml:space="preserve">mproving the transparency of cost and performance data through regular collection and publication will be </w:t>
      </w:r>
      <w:r w:rsidR="00F81C46">
        <w:rPr>
          <w:color w:val="auto"/>
        </w:rPr>
        <w:t>released</w:t>
      </w:r>
      <w:r w:rsidRPr="007B55D1">
        <w:rPr>
          <w:color w:val="auto"/>
        </w:rPr>
        <w:t xml:space="preserve"> in the coming months.</w:t>
      </w:r>
    </w:p>
    <w:p w14:paraId="1352615A" w14:textId="083114C2" w:rsidR="00A24364" w:rsidRPr="00AD2981" w:rsidRDefault="00A24364" w:rsidP="00473DE9">
      <w:pPr>
        <w:pStyle w:val="Body"/>
        <w:spacing w:after="120"/>
        <w:rPr>
          <w:color w:val="FF0000"/>
        </w:rPr>
      </w:pPr>
      <w:r>
        <w:t>Con</w:t>
      </w:r>
      <w:r w:rsidR="00B660D1">
        <w:t xml:space="preserve">currently, the department is consulting on </w:t>
      </w:r>
      <w:hyperlink r:id="rId22" w:history="1">
        <w:r w:rsidR="00B541E3" w:rsidRPr="00C75568">
          <w:rPr>
            <w:rStyle w:val="Hyperlink"/>
          </w:rPr>
          <w:t>reforms to specialist affordability</w:t>
        </w:r>
      </w:hyperlink>
      <w:r w:rsidR="00C75568">
        <w:t>.</w:t>
      </w:r>
      <w:r w:rsidR="00082DE3">
        <w:t xml:space="preserve"> </w:t>
      </w:r>
      <w:r w:rsidR="000172BB" w:rsidRPr="007B55D1">
        <w:rPr>
          <w:color w:val="auto"/>
        </w:rPr>
        <w:t>Additionally, the</w:t>
      </w:r>
      <w:r w:rsidR="00FE36C2" w:rsidRPr="007B55D1">
        <w:rPr>
          <w:color w:val="auto"/>
        </w:rPr>
        <w:t xml:space="preserve"> </w:t>
      </w:r>
      <w:r w:rsidR="002728A2" w:rsidRPr="007B55D1">
        <w:rPr>
          <w:color w:val="auto"/>
          <w:lang w:val="en-AU"/>
        </w:rPr>
        <w:t xml:space="preserve">House of Representatives Standing Committee on Health, Aged Care and Disability is running an </w:t>
      </w:r>
      <w:hyperlink r:id="rId23" w:history="1">
        <w:r w:rsidR="002728A2" w:rsidRPr="003B03C1">
          <w:rPr>
            <w:rStyle w:val="Hyperlink"/>
            <w:color w:val="auto"/>
            <w:u w:val="none"/>
            <w:lang w:val="en-AU"/>
          </w:rPr>
          <w:t>inquiry into access to and affordability of medical specialists in Australia</w:t>
        </w:r>
      </w:hyperlink>
      <w:r w:rsidR="002728A2" w:rsidRPr="003B03C1">
        <w:rPr>
          <w:color w:val="auto"/>
          <w:lang w:val="en-AU"/>
        </w:rPr>
        <w:t>.</w:t>
      </w:r>
      <w:r w:rsidR="000172BB" w:rsidRPr="007B55D1">
        <w:rPr>
          <w:color w:val="auto"/>
        </w:rPr>
        <w:t xml:space="preserve"> </w:t>
      </w:r>
    </w:p>
    <w:p w14:paraId="1EEF4D63" w14:textId="77777777" w:rsidR="000B1DA7" w:rsidRDefault="000B1DA7">
      <w:pPr>
        <w:spacing w:before="0" w:after="0" w:line="240" w:lineRule="auto"/>
        <w:rPr>
          <w:rFonts w:cs="Arial"/>
          <w:b/>
          <w:bCs/>
          <w:iCs/>
          <w:color w:val="358189"/>
          <w:sz w:val="36"/>
          <w:szCs w:val="28"/>
        </w:rPr>
      </w:pPr>
      <w:r>
        <w:br w:type="page"/>
      </w:r>
    </w:p>
    <w:p w14:paraId="5A6D7E54" w14:textId="16CBAE6D" w:rsidR="0085524E" w:rsidRPr="00591D30" w:rsidRDefault="0085524E" w:rsidP="008926E0">
      <w:pPr>
        <w:pStyle w:val="Heading2"/>
        <w:spacing w:after="120"/>
      </w:pPr>
      <w:bookmarkStart w:id="4" w:name="_Toc233805019"/>
      <w:r>
        <w:lastRenderedPageBreak/>
        <w:t>What we invite you to do</w:t>
      </w:r>
      <w:bookmarkEnd w:id="4"/>
    </w:p>
    <w:p w14:paraId="38247DC4" w14:textId="77777777" w:rsidR="00150F8C" w:rsidRDefault="0085524E">
      <w:pPr>
        <w:pStyle w:val="Body"/>
        <w:spacing w:after="120"/>
        <w:rPr>
          <w:kern w:val="2"/>
          <w:szCs w:val="22"/>
          <w14:ligatures w14:val="standardContextual"/>
        </w:rPr>
      </w:pPr>
      <w:r w:rsidRPr="00EA5337">
        <w:t xml:space="preserve">We ask stakeholders </w:t>
      </w:r>
      <w:r w:rsidR="00150F8C">
        <w:t xml:space="preserve">to </w:t>
      </w:r>
      <w:r w:rsidRPr="00EA5337">
        <w:t xml:space="preserve">provide feedback on the proposed measures via the consultation hub. </w:t>
      </w:r>
      <w:r w:rsidR="00150F8C">
        <w:t>This</w:t>
      </w:r>
      <w:r w:rsidR="0058017E">
        <w:t xml:space="preserve"> paper sets out </w:t>
      </w:r>
      <w:r w:rsidR="00150F8C">
        <w:t>proposed</w:t>
      </w:r>
      <w:r w:rsidR="00D637C6">
        <w:t xml:space="preserve"> reforms for implementation and </w:t>
      </w:r>
      <w:r w:rsidR="00A734A2">
        <w:t xml:space="preserve">asks </w:t>
      </w:r>
      <w:r w:rsidR="00D637C6">
        <w:t>q</w:t>
      </w:r>
      <w:r>
        <w:t>uestions</w:t>
      </w:r>
      <w:r w:rsidR="00D637C6">
        <w:t xml:space="preserve"> </w:t>
      </w:r>
      <w:r w:rsidR="00150F8C">
        <w:t xml:space="preserve">about each reform throughout. </w:t>
      </w:r>
      <w:r w:rsidRPr="00EA5337">
        <w:t>Please consider the</w:t>
      </w:r>
      <w:r>
        <w:t>se</w:t>
      </w:r>
      <w:r w:rsidRPr="00EA5337">
        <w:t xml:space="preserve"> questions and any other comments about the matter</w:t>
      </w:r>
      <w:r>
        <w:t>s raised</w:t>
      </w:r>
      <w:r w:rsidRPr="00EA5337">
        <w:t xml:space="preserve"> in this consultation paper</w:t>
      </w:r>
      <w:r>
        <w:t xml:space="preserve"> in</w:t>
      </w:r>
      <w:r w:rsidRPr="00EA5337">
        <w:t xml:space="preserve"> your respons</w:t>
      </w:r>
      <w:r>
        <w:t xml:space="preserve">e. </w:t>
      </w:r>
      <w:r w:rsidR="00150F8C">
        <w:t>The department will use this feedback to refine the measures and support subsequent consultation.</w:t>
      </w:r>
    </w:p>
    <w:p w14:paraId="14297963" w14:textId="77777777" w:rsidR="0085524E" w:rsidRPr="007B55D1" w:rsidRDefault="0085524E" w:rsidP="00473DE9">
      <w:pPr>
        <w:pStyle w:val="Body"/>
        <w:spacing w:after="120"/>
        <w:rPr>
          <w:color w:val="auto"/>
        </w:rPr>
      </w:pPr>
      <w:r w:rsidRPr="007B55D1">
        <w:rPr>
          <w:color w:val="auto"/>
        </w:rPr>
        <w:t>Further, the department acknowledges there have been a significant number of studies and reports in recent years into PHI and private hospital regulatory arrangements from a wide range of stakeholders. The department encourages stakeholders to reference these studies when providing feedback on the reform options outlined in this document.</w:t>
      </w:r>
    </w:p>
    <w:p w14:paraId="16227BE5" w14:textId="3DE99BBF" w:rsidR="2D880050" w:rsidRPr="007B55D1" w:rsidRDefault="006046BD" w:rsidP="1D54F66F">
      <w:pPr>
        <w:pStyle w:val="Body"/>
        <w:spacing w:after="120"/>
        <w:rPr>
          <w:color w:val="auto"/>
        </w:rPr>
      </w:pPr>
      <w:r w:rsidRPr="007B55D1">
        <w:rPr>
          <w:color w:val="auto"/>
        </w:rPr>
        <w:t>T</w:t>
      </w:r>
      <w:r w:rsidR="003B03C1">
        <w:rPr>
          <w:color w:val="auto"/>
        </w:rPr>
        <w:t>he</w:t>
      </w:r>
      <w:r w:rsidRPr="007B55D1">
        <w:rPr>
          <w:color w:val="auto"/>
        </w:rPr>
        <w:t xml:space="preserve"> department is interested in hearing from consumers of the private health sector</w:t>
      </w:r>
      <w:r w:rsidR="003B03C1">
        <w:rPr>
          <w:color w:val="auto"/>
        </w:rPr>
        <w:t>.</w:t>
      </w:r>
      <w:r w:rsidRPr="007B55D1">
        <w:rPr>
          <w:color w:val="auto"/>
        </w:rPr>
        <w:t xml:space="preserve"> </w:t>
      </w:r>
      <w:r w:rsidR="003B03C1">
        <w:rPr>
          <w:color w:val="auto"/>
        </w:rPr>
        <w:t>Many</w:t>
      </w:r>
      <w:r w:rsidR="2D880050" w:rsidRPr="007B55D1">
        <w:rPr>
          <w:color w:val="auto"/>
        </w:rPr>
        <w:t xml:space="preserve"> of the questions through</w:t>
      </w:r>
      <w:r w:rsidR="14254B65" w:rsidRPr="007B55D1">
        <w:rPr>
          <w:color w:val="auto"/>
        </w:rPr>
        <w:t>o</w:t>
      </w:r>
      <w:r w:rsidR="2D880050" w:rsidRPr="007B55D1">
        <w:rPr>
          <w:color w:val="auto"/>
        </w:rPr>
        <w:t xml:space="preserve">ut the paper are technical in nature and directed at </w:t>
      </w:r>
      <w:r w:rsidR="00833FB2" w:rsidRPr="007B55D1">
        <w:rPr>
          <w:color w:val="auto"/>
        </w:rPr>
        <w:t>insurers, hospitals and health professionals</w:t>
      </w:r>
      <w:r w:rsidR="003B03C1">
        <w:rPr>
          <w:color w:val="auto"/>
        </w:rPr>
        <w:t>.</w:t>
      </w:r>
      <w:r w:rsidR="00472AE4" w:rsidRPr="007B55D1">
        <w:rPr>
          <w:color w:val="auto"/>
        </w:rPr>
        <w:t xml:space="preserve"> </w:t>
      </w:r>
      <w:r w:rsidR="003B03C1">
        <w:rPr>
          <w:color w:val="auto"/>
        </w:rPr>
        <w:t xml:space="preserve">Additional questions </w:t>
      </w:r>
      <w:r w:rsidR="654CB2F6" w:rsidRPr="007B55D1">
        <w:rPr>
          <w:color w:val="auto"/>
        </w:rPr>
        <w:t>consumers</w:t>
      </w:r>
      <w:r w:rsidR="00E70554">
        <w:rPr>
          <w:color w:val="auto"/>
        </w:rPr>
        <w:t>/patients</w:t>
      </w:r>
      <w:r w:rsidR="654CB2F6" w:rsidRPr="007B55D1">
        <w:rPr>
          <w:color w:val="auto"/>
        </w:rPr>
        <w:t xml:space="preserve"> and</w:t>
      </w:r>
      <w:r w:rsidR="00E70554">
        <w:rPr>
          <w:color w:val="auto"/>
        </w:rPr>
        <w:t xml:space="preserve"> their</w:t>
      </w:r>
      <w:r w:rsidR="654CB2F6" w:rsidRPr="007B55D1">
        <w:rPr>
          <w:color w:val="auto"/>
        </w:rPr>
        <w:t xml:space="preserve"> advocates may wish to </w:t>
      </w:r>
      <w:r w:rsidR="003B03C1">
        <w:rPr>
          <w:color w:val="auto"/>
        </w:rPr>
        <w:t>focus on</w:t>
      </w:r>
      <w:r w:rsidR="654CB2F6" w:rsidRPr="007B55D1">
        <w:rPr>
          <w:color w:val="auto"/>
        </w:rPr>
        <w:t xml:space="preserve"> include:</w:t>
      </w:r>
    </w:p>
    <w:p w14:paraId="43F7CB1F" w14:textId="77777777" w:rsidR="7B6A7DFE" w:rsidRPr="007B55D1" w:rsidRDefault="7B6A7DFE" w:rsidP="009257CE">
      <w:pPr>
        <w:pStyle w:val="Body"/>
        <w:numPr>
          <w:ilvl w:val="0"/>
          <w:numId w:val="8"/>
        </w:numPr>
        <w:spacing w:after="120"/>
        <w:ind w:left="714" w:hanging="357"/>
        <w:rPr>
          <w:color w:val="auto"/>
        </w:rPr>
      </w:pPr>
      <w:r w:rsidRPr="007B55D1">
        <w:rPr>
          <w:color w:val="auto"/>
        </w:rPr>
        <w:t>w</w:t>
      </w:r>
      <w:r w:rsidR="654CB2F6" w:rsidRPr="007B55D1">
        <w:rPr>
          <w:color w:val="auto"/>
        </w:rPr>
        <w:t>ill the proposed reforms reduce out-of-pocket costs</w:t>
      </w:r>
      <w:r w:rsidR="00E541EA" w:rsidRPr="007B55D1">
        <w:rPr>
          <w:color w:val="auto"/>
        </w:rPr>
        <w:t xml:space="preserve"> for patients</w:t>
      </w:r>
      <w:r w:rsidR="654CB2F6" w:rsidRPr="007B55D1">
        <w:rPr>
          <w:color w:val="auto"/>
        </w:rPr>
        <w:t>?</w:t>
      </w:r>
    </w:p>
    <w:p w14:paraId="14383051" w14:textId="77777777" w:rsidR="6459A3C6" w:rsidRPr="007B55D1" w:rsidRDefault="6459A3C6" w:rsidP="009257CE">
      <w:pPr>
        <w:pStyle w:val="Body"/>
        <w:numPr>
          <w:ilvl w:val="0"/>
          <w:numId w:val="8"/>
        </w:numPr>
        <w:spacing w:after="120"/>
        <w:ind w:left="714" w:hanging="357"/>
        <w:rPr>
          <w:color w:val="auto"/>
        </w:rPr>
      </w:pPr>
      <w:r w:rsidRPr="007B55D1">
        <w:rPr>
          <w:color w:val="auto"/>
        </w:rPr>
        <w:t>w</w:t>
      </w:r>
      <w:r w:rsidR="526AD77E" w:rsidRPr="007B55D1">
        <w:rPr>
          <w:color w:val="auto"/>
        </w:rPr>
        <w:t xml:space="preserve">ill the proposed reforms improve access to safe, </w:t>
      </w:r>
      <w:r w:rsidR="01F2CAE9" w:rsidRPr="007B55D1">
        <w:rPr>
          <w:color w:val="auto"/>
        </w:rPr>
        <w:t xml:space="preserve">high </w:t>
      </w:r>
      <w:r w:rsidR="526AD77E" w:rsidRPr="007B55D1">
        <w:rPr>
          <w:color w:val="auto"/>
        </w:rPr>
        <w:t>qu</w:t>
      </w:r>
      <w:r w:rsidR="754AA84F" w:rsidRPr="007B55D1">
        <w:rPr>
          <w:color w:val="auto"/>
        </w:rPr>
        <w:t>ality</w:t>
      </w:r>
      <w:r w:rsidR="526AD77E" w:rsidRPr="007B55D1">
        <w:rPr>
          <w:color w:val="auto"/>
        </w:rPr>
        <w:t xml:space="preserve"> contemporary models of private health care?</w:t>
      </w:r>
    </w:p>
    <w:p w14:paraId="4AA254EA" w14:textId="77777777" w:rsidR="4583D7B0" w:rsidRPr="007B55D1" w:rsidRDefault="4583D7B0" w:rsidP="009257CE">
      <w:pPr>
        <w:pStyle w:val="Body"/>
        <w:numPr>
          <w:ilvl w:val="0"/>
          <w:numId w:val="8"/>
        </w:numPr>
        <w:spacing w:after="120"/>
        <w:ind w:left="714" w:hanging="357"/>
        <w:rPr>
          <w:color w:val="auto"/>
        </w:rPr>
      </w:pPr>
      <w:r w:rsidRPr="007B55D1">
        <w:rPr>
          <w:color w:val="auto"/>
        </w:rPr>
        <w:t>w</w:t>
      </w:r>
      <w:r w:rsidR="654CB2F6" w:rsidRPr="007B55D1">
        <w:rPr>
          <w:color w:val="auto"/>
        </w:rPr>
        <w:t xml:space="preserve">ill </w:t>
      </w:r>
      <w:r w:rsidR="1B73F123" w:rsidRPr="007B55D1">
        <w:rPr>
          <w:color w:val="auto"/>
        </w:rPr>
        <w:t xml:space="preserve">the </w:t>
      </w:r>
      <w:r w:rsidR="10334032" w:rsidRPr="007B55D1">
        <w:rPr>
          <w:color w:val="auto"/>
        </w:rPr>
        <w:t xml:space="preserve">proposed </w:t>
      </w:r>
      <w:r w:rsidR="654CB2F6" w:rsidRPr="007B55D1">
        <w:rPr>
          <w:color w:val="auto"/>
        </w:rPr>
        <w:t xml:space="preserve">product simplification </w:t>
      </w:r>
      <w:r w:rsidR="46053E83" w:rsidRPr="007B55D1">
        <w:rPr>
          <w:color w:val="auto"/>
        </w:rPr>
        <w:t xml:space="preserve">reforms </w:t>
      </w:r>
      <w:r w:rsidR="654CB2F6" w:rsidRPr="007B55D1">
        <w:rPr>
          <w:color w:val="auto"/>
        </w:rPr>
        <w:t>make</w:t>
      </w:r>
      <w:r w:rsidR="76498BB3" w:rsidRPr="007B55D1">
        <w:rPr>
          <w:color w:val="auto"/>
        </w:rPr>
        <w:t xml:space="preserve"> it easier to understand, choose and use PHI products</w:t>
      </w:r>
      <w:r w:rsidR="1C7B45AA" w:rsidRPr="007B55D1">
        <w:rPr>
          <w:color w:val="auto"/>
        </w:rPr>
        <w:t>?</w:t>
      </w:r>
    </w:p>
    <w:p w14:paraId="50A06568" w14:textId="64D17F10" w:rsidR="482966A5" w:rsidRPr="00833FB2" w:rsidRDefault="482966A5" w:rsidP="00833FB2">
      <w:pPr>
        <w:pStyle w:val="Body"/>
        <w:spacing w:after="120"/>
      </w:pPr>
      <w:r w:rsidRPr="00833FB2">
        <w:t>The department continues to work closely with Consumers Health Forum of Australia</w:t>
      </w:r>
      <w:r w:rsidR="00A07C84">
        <w:t xml:space="preserve"> and other consumer and patient representatives</w:t>
      </w:r>
      <w:r w:rsidRPr="00833FB2">
        <w:t xml:space="preserve"> to hear the consumer</w:t>
      </w:r>
      <w:r w:rsidR="00F04708">
        <w:t>’</w:t>
      </w:r>
      <w:r w:rsidR="00777F6D">
        <w:t>s</w:t>
      </w:r>
      <w:r w:rsidRPr="00833FB2">
        <w:t xml:space="preserve"> voice</w:t>
      </w:r>
      <w:r w:rsidR="00777F6D">
        <w:t xml:space="preserve"> and prior</w:t>
      </w:r>
      <w:r w:rsidR="0091668E">
        <w:t>i</w:t>
      </w:r>
      <w:r w:rsidR="00777F6D">
        <w:t>tise outcomes i</w:t>
      </w:r>
      <w:r w:rsidR="0091668E">
        <w:t>n the consumer</w:t>
      </w:r>
      <w:r w:rsidR="005379B3">
        <w:t xml:space="preserve"> and patient</w:t>
      </w:r>
      <w:r w:rsidR="002B7A12">
        <w:t xml:space="preserve"> interest</w:t>
      </w:r>
      <w:r w:rsidRPr="00833FB2">
        <w:t>.</w:t>
      </w:r>
    </w:p>
    <w:p w14:paraId="345F1CCD" w14:textId="510BA06D" w:rsidR="0085524E" w:rsidRPr="005C2A9E" w:rsidRDefault="0085524E" w:rsidP="00473DE9">
      <w:pPr>
        <w:pStyle w:val="Body"/>
        <w:spacing w:after="120"/>
      </w:pPr>
      <w:r w:rsidRPr="00193206">
        <w:t xml:space="preserve">The consultation period will run from </w:t>
      </w:r>
      <w:r w:rsidR="002161F9">
        <w:t>2</w:t>
      </w:r>
      <w:r w:rsidR="00A14D43" w:rsidRPr="00933540">
        <w:rPr>
          <w:color w:val="auto"/>
        </w:rPr>
        <w:t xml:space="preserve"> July</w:t>
      </w:r>
      <w:r w:rsidRPr="00933540">
        <w:rPr>
          <w:color w:val="auto"/>
        </w:rPr>
        <w:t xml:space="preserve"> 2026 to </w:t>
      </w:r>
      <w:r w:rsidR="00AA5890" w:rsidRPr="00933540">
        <w:rPr>
          <w:color w:val="auto"/>
        </w:rPr>
        <w:t>1</w:t>
      </w:r>
      <w:r w:rsidR="002161F9">
        <w:rPr>
          <w:color w:val="auto"/>
        </w:rPr>
        <w:t>3</w:t>
      </w:r>
      <w:r w:rsidR="00AA5890" w:rsidRPr="00933540">
        <w:rPr>
          <w:color w:val="auto"/>
        </w:rPr>
        <w:t xml:space="preserve"> August</w:t>
      </w:r>
      <w:r w:rsidRPr="00933540">
        <w:rPr>
          <w:color w:val="auto"/>
        </w:rPr>
        <w:t xml:space="preserve"> 2026</w:t>
      </w:r>
      <w:r w:rsidRPr="00933540">
        <w:t xml:space="preserve">. Feedback should be submitted via </w:t>
      </w:r>
      <w:r w:rsidR="00A37621" w:rsidRPr="00933540">
        <w:t xml:space="preserve">the </w:t>
      </w:r>
      <w:r w:rsidRPr="00933540">
        <w:t>consultation hub only. Feedback submitted via other means</w:t>
      </w:r>
      <w:r w:rsidRPr="00193206">
        <w:t xml:space="preserve"> may be</w:t>
      </w:r>
      <w:r>
        <w:t xml:space="preserve"> inadvertently</w:t>
      </w:r>
      <w:r w:rsidRPr="00193206">
        <w:t xml:space="preserve"> missed and subsequently may not be taken into consideration. </w:t>
      </w:r>
    </w:p>
    <w:p w14:paraId="3FE0AC08" w14:textId="77777777" w:rsidR="0085524E" w:rsidRPr="00221A12" w:rsidRDefault="0085524E" w:rsidP="008926E0">
      <w:pPr>
        <w:pStyle w:val="Heading3"/>
        <w:spacing w:before="240" w:after="120"/>
        <w:rPr>
          <w:b w:val="0"/>
          <w:bCs w:val="0"/>
          <w:i/>
          <w:iCs/>
          <w:sz w:val="28"/>
          <w:szCs w:val="28"/>
        </w:rPr>
      </w:pPr>
      <w:bookmarkStart w:id="5" w:name="_Toc233805020"/>
      <w:r w:rsidRPr="3D1C1472">
        <w:rPr>
          <w:b w:val="0"/>
          <w:bCs w:val="0"/>
          <w:i/>
          <w:iCs/>
          <w:sz w:val="28"/>
          <w:szCs w:val="28"/>
        </w:rPr>
        <w:t>Publishing of stakeholder submissions</w:t>
      </w:r>
      <w:bookmarkEnd w:id="5"/>
    </w:p>
    <w:p w14:paraId="2934744B" w14:textId="7899CF11" w:rsidR="0085524E" w:rsidRPr="007B55D1" w:rsidRDefault="00A27BB3" w:rsidP="00473DE9">
      <w:pPr>
        <w:pStyle w:val="Body"/>
        <w:spacing w:after="120"/>
        <w:rPr>
          <w:color w:val="auto"/>
        </w:rPr>
      </w:pPr>
      <w:r>
        <w:rPr>
          <w:color w:val="auto"/>
        </w:rPr>
        <w:t>T</w:t>
      </w:r>
      <w:r w:rsidR="0085524E" w:rsidRPr="007B55D1">
        <w:rPr>
          <w:color w:val="auto"/>
        </w:rPr>
        <w:t xml:space="preserve">he department </w:t>
      </w:r>
      <w:r w:rsidR="003B03C1">
        <w:rPr>
          <w:color w:val="auto"/>
        </w:rPr>
        <w:t>will</w:t>
      </w:r>
      <w:r w:rsidR="0085524E" w:rsidRPr="007B55D1">
        <w:rPr>
          <w:color w:val="auto"/>
        </w:rPr>
        <w:t xml:space="preserve"> publish </w:t>
      </w:r>
      <w:r>
        <w:rPr>
          <w:color w:val="auto"/>
        </w:rPr>
        <w:t>submissions</w:t>
      </w:r>
      <w:r w:rsidR="0085524E" w:rsidRPr="007B55D1">
        <w:rPr>
          <w:color w:val="auto"/>
        </w:rPr>
        <w:t xml:space="preserve">. Respondents are asked to clearly identify specific elements of the response which </w:t>
      </w:r>
      <w:r>
        <w:rPr>
          <w:color w:val="auto"/>
        </w:rPr>
        <w:t>they</w:t>
      </w:r>
      <w:r w:rsidR="0085524E" w:rsidRPr="007B55D1">
        <w:rPr>
          <w:color w:val="auto"/>
        </w:rPr>
        <w:t xml:space="preserve"> consider confidential and not for publication, as well as the reasons the specific elements are considered confidential. </w:t>
      </w:r>
    </w:p>
    <w:p w14:paraId="5C5E1C5D" w14:textId="77777777" w:rsidR="0085524E" w:rsidRPr="00EA5337" w:rsidRDefault="0085524E" w:rsidP="00473DE9">
      <w:pPr>
        <w:pStyle w:val="Body"/>
        <w:spacing w:after="120"/>
      </w:pPr>
      <w:r>
        <w:t>You should note that c</w:t>
      </w:r>
      <w:r w:rsidRPr="001F6A6B">
        <w:t>onfidential feedback may still be subject to access under freedom of information</w:t>
      </w:r>
      <w:r>
        <w:t xml:space="preserve"> (FOI)</w:t>
      </w:r>
      <w:r w:rsidRPr="001F6A6B">
        <w:t xml:space="preserve"> laws. The </w:t>
      </w:r>
      <w:r>
        <w:t xml:space="preserve">FOI </w:t>
      </w:r>
      <w:r w:rsidRPr="001F6A6B">
        <w:t>process includes consultation with a respondent prior to a decision about the release of information.</w:t>
      </w:r>
    </w:p>
    <w:p w14:paraId="217301B1" w14:textId="77777777" w:rsidR="00B036FB" w:rsidRDefault="00B036FB">
      <w:pPr>
        <w:spacing w:before="0" w:after="0" w:line="240" w:lineRule="auto"/>
        <w:rPr>
          <w:rFonts w:cs="Arial"/>
          <w:b/>
          <w:bCs/>
          <w:color w:val="3F4A75"/>
          <w:kern w:val="28"/>
          <w:sz w:val="36"/>
          <w:szCs w:val="36"/>
        </w:rPr>
      </w:pPr>
      <w:r>
        <w:rPr>
          <w:sz w:val="36"/>
        </w:rPr>
        <w:br w:type="page"/>
      </w:r>
    </w:p>
    <w:p w14:paraId="541497F9" w14:textId="77777777" w:rsidR="00803139" w:rsidRDefault="2FF1E4CE" w:rsidP="008926E0">
      <w:pPr>
        <w:pStyle w:val="Heading1"/>
        <w:numPr>
          <w:ilvl w:val="0"/>
          <w:numId w:val="14"/>
        </w:numPr>
        <w:spacing w:after="120"/>
        <w:ind w:left="357" w:hanging="357"/>
        <w:rPr>
          <w:sz w:val="36"/>
        </w:rPr>
      </w:pPr>
      <w:bookmarkStart w:id="6" w:name="_Toc233805021"/>
      <w:r w:rsidRPr="3D1C1472">
        <w:rPr>
          <w:sz w:val="36"/>
        </w:rPr>
        <w:lastRenderedPageBreak/>
        <w:t>Prioritising contemporary models of care</w:t>
      </w:r>
      <w:bookmarkEnd w:id="6"/>
    </w:p>
    <w:p w14:paraId="35171FE6" w14:textId="77777777" w:rsidR="00F55612" w:rsidRPr="00B036FB" w:rsidRDefault="00F55612" w:rsidP="008926E0">
      <w:pPr>
        <w:pStyle w:val="Heading3"/>
        <w:spacing w:before="240" w:after="120"/>
        <w:rPr>
          <w:b w:val="0"/>
          <w:bCs w:val="0"/>
          <w:i/>
          <w:iCs/>
          <w:sz w:val="28"/>
          <w:szCs w:val="28"/>
        </w:rPr>
      </w:pPr>
      <w:bookmarkStart w:id="7" w:name="_Toc231315818"/>
      <w:bookmarkStart w:id="8" w:name="_Toc233805022"/>
      <w:bookmarkEnd w:id="7"/>
      <w:r w:rsidRPr="00B036FB">
        <w:rPr>
          <w:b w:val="0"/>
          <w:bCs w:val="0"/>
          <w:i/>
          <w:iCs/>
          <w:sz w:val="28"/>
          <w:szCs w:val="28"/>
        </w:rPr>
        <w:t>The changing private health care landscape</w:t>
      </w:r>
      <w:bookmarkEnd w:id="8"/>
    </w:p>
    <w:p w14:paraId="532F785F" w14:textId="1AFB613F" w:rsidR="005746FE" w:rsidRDefault="005746FE" w:rsidP="00473DE9">
      <w:pPr>
        <w:pStyle w:val="Body"/>
        <w:spacing w:after="120"/>
        <w:rPr>
          <w:lang w:val="en-AU"/>
        </w:rPr>
      </w:pPr>
      <w:r w:rsidRPr="001F72EA">
        <w:rPr>
          <w:lang w:val="en-AU"/>
        </w:rPr>
        <w:t xml:space="preserve">The way Australians </w:t>
      </w:r>
      <w:r>
        <w:rPr>
          <w:lang w:val="en-AU"/>
        </w:rPr>
        <w:t xml:space="preserve">access </w:t>
      </w:r>
      <w:r w:rsidR="00AE2FD3">
        <w:rPr>
          <w:lang w:val="en-AU"/>
        </w:rPr>
        <w:t>and use</w:t>
      </w:r>
      <w:r w:rsidR="003C34A9">
        <w:rPr>
          <w:lang w:val="en-AU"/>
        </w:rPr>
        <w:t xml:space="preserve"> </w:t>
      </w:r>
      <w:r>
        <w:rPr>
          <w:lang w:val="en-AU"/>
        </w:rPr>
        <w:t xml:space="preserve">private hospital care </w:t>
      </w:r>
      <w:r w:rsidRPr="001F72EA">
        <w:rPr>
          <w:lang w:val="en-AU"/>
        </w:rPr>
        <w:t>is changing</w:t>
      </w:r>
      <w:r>
        <w:rPr>
          <w:lang w:val="en-AU"/>
        </w:rPr>
        <w:t xml:space="preserve">, through: </w:t>
      </w:r>
    </w:p>
    <w:p w14:paraId="5F29A8BB" w14:textId="77777777" w:rsidR="005746FE" w:rsidRDefault="005746FE" w:rsidP="009257CE">
      <w:pPr>
        <w:pStyle w:val="Body"/>
        <w:numPr>
          <w:ilvl w:val="0"/>
          <w:numId w:val="23"/>
        </w:numPr>
        <w:spacing w:after="120"/>
        <w:ind w:left="714" w:hanging="357"/>
        <w:rPr>
          <w:lang w:val="en-AU"/>
        </w:rPr>
      </w:pPr>
      <w:r>
        <w:rPr>
          <w:lang w:val="en-AU"/>
        </w:rPr>
        <w:t xml:space="preserve">evidence-based clinical </w:t>
      </w:r>
      <w:r w:rsidRPr="00500813">
        <w:rPr>
          <w:lang w:val="en-AU"/>
        </w:rPr>
        <w:t xml:space="preserve">practice </w:t>
      </w:r>
      <w:r w:rsidRPr="10E7077D">
        <w:rPr>
          <w:lang w:val="en-AU"/>
        </w:rPr>
        <w:t xml:space="preserve">that </w:t>
      </w:r>
      <w:r w:rsidRPr="00425F56">
        <w:rPr>
          <w:lang w:val="en-AU"/>
        </w:rPr>
        <w:t xml:space="preserve">has been </w:t>
      </w:r>
      <w:r w:rsidRPr="00500813">
        <w:rPr>
          <w:lang w:val="en-AU"/>
        </w:rPr>
        <w:t xml:space="preserve">sharpened by </w:t>
      </w:r>
      <w:r w:rsidRPr="00425F56">
        <w:rPr>
          <w:lang w:val="en-AU"/>
        </w:rPr>
        <w:t>the insights of</w:t>
      </w:r>
      <w:r w:rsidRPr="00500813">
        <w:rPr>
          <w:lang w:val="en-AU"/>
        </w:rPr>
        <w:t xml:space="preserve"> </w:t>
      </w:r>
      <w:r>
        <w:rPr>
          <w:lang w:val="en-AU"/>
        </w:rPr>
        <w:t xml:space="preserve">interdisciplinary </w:t>
      </w:r>
      <w:r w:rsidRPr="00425F56">
        <w:rPr>
          <w:lang w:val="en-AU"/>
        </w:rPr>
        <w:t>data analysis</w:t>
      </w:r>
    </w:p>
    <w:p w14:paraId="5C3AEE11" w14:textId="77777777" w:rsidR="005746FE" w:rsidRDefault="005746FE" w:rsidP="009257CE">
      <w:pPr>
        <w:pStyle w:val="Body"/>
        <w:numPr>
          <w:ilvl w:val="0"/>
          <w:numId w:val="23"/>
        </w:numPr>
        <w:spacing w:after="120"/>
        <w:ind w:left="714" w:hanging="357"/>
        <w:rPr>
          <w:lang w:val="en-AU"/>
        </w:rPr>
      </w:pPr>
      <w:r>
        <w:rPr>
          <w:lang w:val="en-AU"/>
        </w:rPr>
        <w:t>i</w:t>
      </w:r>
      <w:r w:rsidRPr="001F72EA">
        <w:rPr>
          <w:lang w:val="en-AU"/>
        </w:rPr>
        <w:t>mproved understanding of recovery</w:t>
      </w:r>
      <w:r>
        <w:rPr>
          <w:lang w:val="en-AU"/>
        </w:rPr>
        <w:t xml:space="preserve"> </w:t>
      </w:r>
      <w:r w:rsidRPr="5592D733">
        <w:rPr>
          <w:lang w:val="en-AU"/>
        </w:rPr>
        <w:t xml:space="preserve">that </w:t>
      </w:r>
      <w:r>
        <w:rPr>
          <w:lang w:val="en-AU"/>
        </w:rPr>
        <w:t xml:space="preserve">has reduced the </w:t>
      </w:r>
      <w:r w:rsidRPr="001F72EA">
        <w:rPr>
          <w:lang w:val="en-AU"/>
        </w:rPr>
        <w:t>leng</w:t>
      </w:r>
      <w:r>
        <w:rPr>
          <w:lang w:val="en-AU"/>
        </w:rPr>
        <w:t>th of</w:t>
      </w:r>
      <w:r w:rsidRPr="001F72EA">
        <w:rPr>
          <w:lang w:val="en-AU"/>
        </w:rPr>
        <w:t xml:space="preserve"> </w:t>
      </w:r>
      <w:r>
        <w:rPr>
          <w:lang w:val="en-AU"/>
        </w:rPr>
        <w:t xml:space="preserve">post-surgery </w:t>
      </w:r>
      <w:r w:rsidRPr="001F72EA">
        <w:rPr>
          <w:lang w:val="en-AU"/>
        </w:rPr>
        <w:t>hospital stay</w:t>
      </w:r>
      <w:r>
        <w:rPr>
          <w:lang w:val="en-AU"/>
        </w:rPr>
        <w:t>s</w:t>
      </w:r>
    </w:p>
    <w:p w14:paraId="5BCBDDBD" w14:textId="77777777" w:rsidR="005746FE" w:rsidRDefault="005746FE" w:rsidP="009257CE">
      <w:pPr>
        <w:pStyle w:val="Body"/>
        <w:numPr>
          <w:ilvl w:val="0"/>
          <w:numId w:val="23"/>
        </w:numPr>
        <w:spacing w:after="120"/>
        <w:ind w:left="714" w:hanging="357"/>
        <w:rPr>
          <w:lang w:val="en-AU"/>
        </w:rPr>
      </w:pPr>
      <w:r>
        <w:rPr>
          <w:lang w:val="en-AU"/>
        </w:rPr>
        <w:t>advances</w:t>
      </w:r>
      <w:r w:rsidRPr="001F72EA">
        <w:rPr>
          <w:lang w:val="en-AU"/>
        </w:rPr>
        <w:t xml:space="preserve"> in digital and </w:t>
      </w:r>
      <w:r>
        <w:rPr>
          <w:lang w:val="en-AU"/>
        </w:rPr>
        <w:t>health</w:t>
      </w:r>
      <w:r w:rsidRPr="001F72EA">
        <w:rPr>
          <w:lang w:val="en-AU"/>
        </w:rPr>
        <w:t xml:space="preserve"> technologies </w:t>
      </w:r>
      <w:r w:rsidRPr="2040B664">
        <w:rPr>
          <w:lang w:val="en-AU"/>
        </w:rPr>
        <w:t xml:space="preserve">which </w:t>
      </w:r>
      <w:r>
        <w:rPr>
          <w:lang w:val="en-AU"/>
        </w:rPr>
        <w:t xml:space="preserve">bring ‘virtual hospital’ direct to the patient, and </w:t>
      </w:r>
    </w:p>
    <w:p w14:paraId="37067427" w14:textId="77777777" w:rsidR="005746FE" w:rsidRDefault="005746FE" w:rsidP="009257CE">
      <w:pPr>
        <w:pStyle w:val="Body"/>
        <w:numPr>
          <w:ilvl w:val="0"/>
          <w:numId w:val="23"/>
        </w:numPr>
        <w:spacing w:after="120"/>
        <w:ind w:left="714" w:hanging="357"/>
        <w:rPr>
          <w:lang w:val="en-AU"/>
        </w:rPr>
      </w:pPr>
      <w:r>
        <w:rPr>
          <w:lang w:val="en-AU"/>
        </w:rPr>
        <w:t xml:space="preserve">care provided in the home </w:t>
      </w:r>
      <w:r w:rsidRPr="421EA787">
        <w:rPr>
          <w:lang w:val="en-AU"/>
        </w:rPr>
        <w:t>which improves</w:t>
      </w:r>
      <w:r>
        <w:rPr>
          <w:lang w:val="en-AU"/>
        </w:rPr>
        <w:t xml:space="preserve"> recovery and frees up hospital beds for acute care patients.</w:t>
      </w:r>
    </w:p>
    <w:p w14:paraId="0DA2C381" w14:textId="77777777" w:rsidR="005746FE" w:rsidRPr="00AD2981" w:rsidRDefault="005746FE" w:rsidP="00473DE9">
      <w:pPr>
        <w:pStyle w:val="Body"/>
        <w:spacing w:after="120"/>
        <w:rPr>
          <w:color w:val="FF0000"/>
          <w:lang w:val="en-AU"/>
        </w:rPr>
      </w:pPr>
      <w:r w:rsidRPr="007B55D1">
        <w:rPr>
          <w:color w:val="auto"/>
          <w:lang w:val="en-AU"/>
        </w:rPr>
        <w:t>Our regulatory framework links benefits eligibility to provider type</w:t>
      </w:r>
      <w:r w:rsidR="007B55D1" w:rsidRPr="007B55D1">
        <w:rPr>
          <w:color w:val="auto"/>
          <w:lang w:val="en-AU"/>
        </w:rPr>
        <w:t>.</w:t>
      </w:r>
      <w:r w:rsidRPr="007B55D1">
        <w:rPr>
          <w:color w:val="auto"/>
          <w:lang w:val="en-AU"/>
        </w:rPr>
        <w:t xml:space="preserve"> </w:t>
      </w:r>
      <w:r w:rsidR="007B55D1" w:rsidRPr="007B55D1">
        <w:rPr>
          <w:color w:val="auto"/>
          <w:lang w:val="en-AU"/>
        </w:rPr>
        <w:t>O</w:t>
      </w:r>
      <w:r w:rsidRPr="007B55D1">
        <w:rPr>
          <w:color w:val="auto"/>
          <w:lang w:val="en-AU"/>
        </w:rPr>
        <w:t xml:space="preserve">nly facilities that meet the Commonwealth definition of a hospital can provide or authorise services eligible for minimum hospital treatment benefits. However, the way care is delivered is evolving and there are new types of care which were unknown or rare ‘hospital’ </w:t>
      </w:r>
      <w:r w:rsidR="007B55D1" w:rsidRPr="007B55D1">
        <w:rPr>
          <w:color w:val="auto"/>
          <w:lang w:val="en-AU"/>
        </w:rPr>
        <w:t xml:space="preserve">definitions </w:t>
      </w:r>
      <w:r w:rsidRPr="007B55D1">
        <w:rPr>
          <w:color w:val="auto"/>
          <w:lang w:val="en-AU"/>
        </w:rPr>
        <w:t xml:space="preserve">were </w:t>
      </w:r>
      <w:r w:rsidR="007B55D1" w:rsidRPr="007B55D1">
        <w:rPr>
          <w:color w:val="auto"/>
          <w:lang w:val="en-AU"/>
        </w:rPr>
        <w:t xml:space="preserve">added </w:t>
      </w:r>
      <w:r w:rsidRPr="007B55D1">
        <w:rPr>
          <w:color w:val="auto"/>
          <w:lang w:val="en-AU"/>
        </w:rPr>
        <w:t xml:space="preserve">to the </w:t>
      </w:r>
      <w:hyperlink r:id="rId24">
        <w:r w:rsidRPr="007B55D1">
          <w:rPr>
            <w:rStyle w:val="Hyperlink"/>
            <w:i/>
            <w:iCs/>
            <w:lang w:val="en-AU"/>
          </w:rPr>
          <w:t>Private Health Insurance Act 2007</w:t>
        </w:r>
      </w:hyperlink>
      <w:r w:rsidRPr="00AD2981">
        <w:rPr>
          <w:color w:val="FF0000"/>
          <w:lang w:val="en-AU"/>
        </w:rPr>
        <w:t xml:space="preserve"> </w:t>
      </w:r>
      <w:r w:rsidRPr="007B55D1">
        <w:rPr>
          <w:color w:val="auto"/>
          <w:lang w:val="en-AU"/>
        </w:rPr>
        <w:t>(</w:t>
      </w:r>
      <w:r w:rsidR="00F34138" w:rsidRPr="007B55D1">
        <w:rPr>
          <w:color w:val="auto"/>
          <w:lang w:val="en-AU"/>
        </w:rPr>
        <w:t xml:space="preserve">the </w:t>
      </w:r>
      <w:r w:rsidRPr="007B55D1">
        <w:rPr>
          <w:color w:val="auto"/>
          <w:lang w:val="en-AU"/>
        </w:rPr>
        <w:t>PHI Act).</w:t>
      </w:r>
    </w:p>
    <w:p w14:paraId="3832DC58" w14:textId="77777777" w:rsidR="005746FE" w:rsidRDefault="005746FE" w:rsidP="00473DE9">
      <w:pPr>
        <w:pStyle w:val="Body"/>
        <w:spacing w:after="120"/>
        <w:rPr>
          <w:lang w:val="en-AU"/>
        </w:rPr>
      </w:pPr>
      <w:r>
        <w:rPr>
          <w:lang w:val="en-AU"/>
        </w:rPr>
        <w:t>As Australia’s population ages, early intervention through integrated systems can help meet growing needs for care within the available health, disability and aged care workforce</w:t>
      </w:r>
      <w:r w:rsidRPr="001F72EA">
        <w:rPr>
          <w:lang w:val="en-AU"/>
        </w:rPr>
        <w:t>.</w:t>
      </w:r>
      <w:r>
        <w:rPr>
          <w:lang w:val="en-AU"/>
        </w:rPr>
        <w:t xml:space="preserve"> </w:t>
      </w:r>
      <w:r w:rsidRPr="001F72EA">
        <w:rPr>
          <w:lang w:val="en-AU"/>
        </w:rPr>
        <w:t>Consumer demand</w:t>
      </w:r>
      <w:r>
        <w:rPr>
          <w:lang w:val="en-AU"/>
        </w:rPr>
        <w:t xml:space="preserve"> continues to </w:t>
      </w:r>
      <w:r w:rsidRPr="001F72EA">
        <w:rPr>
          <w:lang w:val="en-AU"/>
        </w:rPr>
        <w:t>grow for convenient</w:t>
      </w:r>
      <w:r>
        <w:rPr>
          <w:lang w:val="en-AU"/>
        </w:rPr>
        <w:t>, flexible access to</w:t>
      </w:r>
      <w:r w:rsidRPr="001F72EA">
        <w:rPr>
          <w:lang w:val="en-AU"/>
        </w:rPr>
        <w:t xml:space="preserve"> personalised healthcare</w:t>
      </w:r>
      <w:r>
        <w:rPr>
          <w:lang w:val="en-AU"/>
        </w:rPr>
        <w:t>.</w:t>
      </w:r>
    </w:p>
    <w:p w14:paraId="123BE374" w14:textId="2D0C388F" w:rsidR="005746FE" w:rsidRDefault="005746FE" w:rsidP="00473DE9">
      <w:pPr>
        <w:pStyle w:val="Body"/>
        <w:spacing w:after="120"/>
        <w:rPr>
          <w:lang w:val="en-AU"/>
        </w:rPr>
      </w:pPr>
      <w:r>
        <w:rPr>
          <w:lang w:val="en-AU"/>
        </w:rPr>
        <w:t>Our regulatory and benefit frameworks must continue to support patient access to contemporary models of safe, quality</w:t>
      </w:r>
      <w:r w:rsidR="006835F4">
        <w:rPr>
          <w:lang w:val="en-AU"/>
        </w:rPr>
        <w:t>-</w:t>
      </w:r>
      <w:r>
        <w:rPr>
          <w:lang w:val="en-AU"/>
        </w:rPr>
        <w:t xml:space="preserve">assured care. We want Australia’s </w:t>
      </w:r>
      <w:r w:rsidDel="00702597">
        <w:rPr>
          <w:lang w:val="en-AU"/>
        </w:rPr>
        <w:t>world</w:t>
      </w:r>
      <w:r>
        <w:rPr>
          <w:lang w:val="en-AU"/>
        </w:rPr>
        <w:t xml:space="preserve">-class health system positioned to respond dynamically to support </w:t>
      </w:r>
      <w:r w:rsidRPr="006E3125">
        <w:rPr>
          <w:lang w:val="en-AU"/>
        </w:rPr>
        <w:t xml:space="preserve">the </w:t>
      </w:r>
      <w:r>
        <w:rPr>
          <w:lang w:val="en-AU"/>
        </w:rPr>
        <w:t>r</w:t>
      </w:r>
      <w:r w:rsidRPr="006E3125">
        <w:rPr>
          <w:lang w:val="en-AU"/>
        </w:rPr>
        <w:t xml:space="preserve">evolution in care expected over the </w:t>
      </w:r>
      <w:r w:rsidRPr="00303C6E">
        <w:rPr>
          <w:lang w:val="en-AU"/>
        </w:rPr>
        <w:t xml:space="preserve">next </w:t>
      </w:r>
      <w:r>
        <w:rPr>
          <w:lang w:val="en-AU"/>
        </w:rPr>
        <w:t>20</w:t>
      </w:r>
      <w:r w:rsidRPr="00303C6E">
        <w:rPr>
          <w:lang w:val="en-AU"/>
        </w:rPr>
        <w:t xml:space="preserve"> years.</w:t>
      </w:r>
      <w:r>
        <w:rPr>
          <w:lang w:val="en-AU"/>
        </w:rPr>
        <w:t xml:space="preserve"> Stakeholder feedback is important for us to understand what is working and what can be improved.</w:t>
      </w:r>
    </w:p>
    <w:p w14:paraId="1E91978F" w14:textId="3FA9BF61" w:rsidR="005746FE" w:rsidRDefault="005746FE" w:rsidP="00473DE9">
      <w:pPr>
        <w:pStyle w:val="Body"/>
        <w:spacing w:after="120"/>
        <w:rPr>
          <w:lang w:val="en-AU"/>
        </w:rPr>
      </w:pPr>
      <w:r>
        <w:rPr>
          <w:lang w:val="en-AU"/>
        </w:rPr>
        <w:t xml:space="preserve">Further information is </w:t>
      </w:r>
      <w:r w:rsidR="00480A2B">
        <w:rPr>
          <w:lang w:val="en-AU"/>
        </w:rPr>
        <w:t xml:space="preserve">available </w:t>
      </w:r>
      <w:r>
        <w:rPr>
          <w:lang w:val="en-AU"/>
        </w:rPr>
        <w:t xml:space="preserve">at </w:t>
      </w:r>
      <w:hyperlink w:anchor="_Appendix_B_–" w:history="1">
        <w:r w:rsidR="00DC4588" w:rsidRPr="00D55AA4">
          <w:rPr>
            <w:rStyle w:val="Hyperlink"/>
            <w:lang w:val="en-AU"/>
          </w:rPr>
          <w:t>Appendix B: Contemporary definitions of hospital treatment</w:t>
        </w:r>
      </w:hyperlink>
      <w:r w:rsidR="00DF0987">
        <w:rPr>
          <w:lang w:val="en-AU"/>
        </w:rPr>
        <w:t>.</w:t>
      </w:r>
    </w:p>
    <w:p w14:paraId="52700830" w14:textId="77777777" w:rsidR="005746FE" w:rsidRDefault="005746FE" w:rsidP="008926E0">
      <w:pPr>
        <w:pStyle w:val="Heading3"/>
        <w:spacing w:before="240" w:after="120"/>
        <w:rPr>
          <w:b w:val="0"/>
          <w:bCs w:val="0"/>
          <w:i/>
          <w:iCs/>
          <w:sz w:val="28"/>
          <w:szCs w:val="28"/>
        </w:rPr>
      </w:pPr>
      <w:bookmarkStart w:id="9" w:name="_Toc233805023"/>
      <w:r w:rsidRPr="3D1C1472">
        <w:rPr>
          <w:b w:val="0"/>
          <w:bCs w:val="0"/>
          <w:i/>
          <w:iCs/>
          <w:sz w:val="28"/>
          <w:szCs w:val="28"/>
        </w:rPr>
        <w:t>A patient’s experience of contemporary care</w:t>
      </w:r>
      <w:bookmarkEnd w:id="9"/>
    </w:p>
    <w:p w14:paraId="2EF6FEF7" w14:textId="77777777" w:rsidR="005746FE" w:rsidRDefault="005746FE" w:rsidP="00473DE9">
      <w:r>
        <w:t>In 2026, a patient’s journey through injury or illness, treatment and recovery might include:</w:t>
      </w:r>
    </w:p>
    <w:p w14:paraId="54A0284A" w14:textId="77777777" w:rsidR="005746FE" w:rsidRPr="00287D17" w:rsidRDefault="005746FE" w:rsidP="009257CE">
      <w:pPr>
        <w:pStyle w:val="Body"/>
        <w:numPr>
          <w:ilvl w:val="0"/>
          <w:numId w:val="23"/>
        </w:numPr>
        <w:spacing w:after="120"/>
        <w:ind w:left="714" w:hanging="357"/>
        <w:rPr>
          <w:lang w:val="en-AU"/>
        </w:rPr>
      </w:pPr>
      <w:r w:rsidRPr="00287D17">
        <w:rPr>
          <w:lang w:val="en-AU"/>
        </w:rPr>
        <w:t>GP and specialist visits, diagnostic procedures and pre-habilitation classes</w:t>
      </w:r>
    </w:p>
    <w:p w14:paraId="1F368191" w14:textId="77777777" w:rsidR="005746FE" w:rsidRPr="00287D17" w:rsidRDefault="005746FE" w:rsidP="009257CE">
      <w:pPr>
        <w:pStyle w:val="Body"/>
        <w:numPr>
          <w:ilvl w:val="0"/>
          <w:numId w:val="23"/>
        </w:numPr>
        <w:spacing w:after="120"/>
        <w:ind w:left="714" w:hanging="357"/>
        <w:rPr>
          <w:lang w:val="en-AU"/>
        </w:rPr>
      </w:pPr>
      <w:r w:rsidRPr="00287D17">
        <w:rPr>
          <w:lang w:val="en-AU"/>
        </w:rPr>
        <w:t>a surgical procedure and day stay in a hospital facility</w:t>
      </w:r>
    </w:p>
    <w:p w14:paraId="0915539F" w14:textId="77777777" w:rsidR="005746FE" w:rsidRPr="007B55D1" w:rsidRDefault="005746FE" w:rsidP="009257CE">
      <w:pPr>
        <w:pStyle w:val="Body"/>
        <w:numPr>
          <w:ilvl w:val="0"/>
          <w:numId w:val="23"/>
        </w:numPr>
        <w:spacing w:after="120"/>
        <w:ind w:left="714" w:hanging="357"/>
        <w:rPr>
          <w:color w:val="auto"/>
          <w:lang w:val="en-AU"/>
        </w:rPr>
      </w:pPr>
      <w:r w:rsidRPr="007B55D1">
        <w:rPr>
          <w:color w:val="auto"/>
          <w:lang w:val="en-AU"/>
        </w:rPr>
        <w:t>post-surgical recovery in a hotel-like medical environment (‘medi-hotel’), or at home with daily health professional visits, remote monitoring and/or telehealth, and/or</w:t>
      </w:r>
    </w:p>
    <w:p w14:paraId="1235BA3B" w14:textId="77777777" w:rsidR="005746FE" w:rsidRPr="00287D17" w:rsidRDefault="005746FE" w:rsidP="009257CE">
      <w:pPr>
        <w:pStyle w:val="Body"/>
        <w:numPr>
          <w:ilvl w:val="0"/>
          <w:numId w:val="23"/>
        </w:numPr>
        <w:spacing w:after="120"/>
        <w:ind w:left="714" w:hanging="357"/>
        <w:rPr>
          <w:lang w:val="en-AU"/>
        </w:rPr>
      </w:pPr>
      <w:r w:rsidRPr="00287D17">
        <w:rPr>
          <w:lang w:val="en-AU"/>
        </w:rPr>
        <w:t>at-home post-surgical physiotherapy rehabilitation.</w:t>
      </w:r>
    </w:p>
    <w:p w14:paraId="32361724" w14:textId="614F8F26" w:rsidR="005746FE" w:rsidRPr="00AD2981" w:rsidRDefault="007B55D1" w:rsidP="00473DE9">
      <w:pPr>
        <w:rPr>
          <w:color w:val="FF0000"/>
        </w:rPr>
      </w:pPr>
      <w:r w:rsidRPr="007B55D1">
        <w:rPr>
          <w:color w:val="auto"/>
        </w:rPr>
        <w:t>At each stage, e</w:t>
      </w:r>
      <w:r w:rsidR="005746FE" w:rsidRPr="007B55D1">
        <w:rPr>
          <w:color w:val="auto"/>
        </w:rPr>
        <w:t xml:space="preserve">ligible benefits payable and out-of-pocket may vary by the type of provider (hospital or other), even for seemingly identical services. The impact on access to care is explored in sections </w:t>
      </w:r>
      <w:hyperlink w:anchor="_Improving_access_to" w:history="1">
        <w:r w:rsidR="00393A17" w:rsidRPr="007B55D1">
          <w:rPr>
            <w:rStyle w:val="Hyperlink"/>
            <w:szCs w:val="28"/>
          </w:rPr>
          <w:t>1.</w:t>
        </w:r>
        <w:r w:rsidR="00DA1B50">
          <w:rPr>
            <w:rStyle w:val="Hyperlink"/>
            <w:szCs w:val="28"/>
          </w:rPr>
          <w:t>1</w:t>
        </w:r>
        <w:r w:rsidR="00393A17" w:rsidRPr="007B55D1">
          <w:rPr>
            <w:rStyle w:val="Hyperlink"/>
            <w:szCs w:val="28"/>
          </w:rPr>
          <w:t xml:space="preserve"> Mental Health Care</w:t>
        </w:r>
      </w:hyperlink>
      <w:r w:rsidR="00DA1B50">
        <w:t xml:space="preserve">, </w:t>
      </w:r>
      <w:hyperlink w:anchor="_Hospital_in_the_1" w:history="1">
        <w:r w:rsidR="00DA1B50" w:rsidRPr="007B55D1">
          <w:rPr>
            <w:rStyle w:val="Hyperlink"/>
            <w:szCs w:val="28"/>
          </w:rPr>
          <w:t>1.</w:t>
        </w:r>
        <w:r w:rsidR="00DA1B50">
          <w:rPr>
            <w:rStyle w:val="Hyperlink"/>
            <w:szCs w:val="28"/>
          </w:rPr>
          <w:t>2</w:t>
        </w:r>
        <w:r w:rsidR="00DA1B50" w:rsidRPr="007B55D1">
          <w:rPr>
            <w:rStyle w:val="Hyperlink"/>
            <w:szCs w:val="28"/>
          </w:rPr>
          <w:t xml:space="preserve"> Maternity Care</w:t>
        </w:r>
      </w:hyperlink>
      <w:r w:rsidR="00393A17" w:rsidRPr="00AD2981">
        <w:rPr>
          <w:color w:val="FF0000"/>
        </w:rPr>
        <w:t xml:space="preserve"> </w:t>
      </w:r>
      <w:r w:rsidR="005746FE" w:rsidRPr="007B55D1">
        <w:rPr>
          <w:color w:val="auto"/>
        </w:rPr>
        <w:t>and</w:t>
      </w:r>
      <w:r w:rsidR="005746FE" w:rsidRPr="00AD2981">
        <w:rPr>
          <w:color w:val="FF0000"/>
        </w:rPr>
        <w:t xml:space="preserve"> </w:t>
      </w:r>
      <w:hyperlink w:anchor="_Hospital_in_the_1" w:history="1">
        <w:r w:rsidR="005746FE" w:rsidRPr="007B55D1">
          <w:rPr>
            <w:rStyle w:val="Hyperlink"/>
            <w:szCs w:val="28"/>
          </w:rPr>
          <w:t>1.</w:t>
        </w:r>
        <w:r w:rsidR="00EA61A7">
          <w:rPr>
            <w:rStyle w:val="Hyperlink"/>
            <w:szCs w:val="28"/>
          </w:rPr>
          <w:t>3</w:t>
        </w:r>
        <w:r w:rsidR="005746FE" w:rsidRPr="007B55D1">
          <w:rPr>
            <w:rStyle w:val="Hyperlink"/>
            <w:szCs w:val="28"/>
          </w:rPr>
          <w:t xml:space="preserve"> Hospital in the Home (HITH)</w:t>
        </w:r>
      </w:hyperlink>
      <w:r w:rsidR="005746FE" w:rsidRPr="007B55D1">
        <w:rPr>
          <w:color w:val="auto"/>
        </w:rPr>
        <w:t>.</w:t>
      </w:r>
      <w:r w:rsidR="003E225D" w:rsidRPr="007B55D1">
        <w:rPr>
          <w:color w:val="auto"/>
        </w:rPr>
        <w:t xml:space="preserve"> </w:t>
      </w:r>
    </w:p>
    <w:p w14:paraId="6B0F2508" w14:textId="77777777" w:rsidR="00BA1845" w:rsidRDefault="714ED2C2" w:rsidP="008926E0">
      <w:pPr>
        <w:pStyle w:val="Heading2"/>
        <w:numPr>
          <w:ilvl w:val="1"/>
          <w:numId w:val="14"/>
        </w:numPr>
        <w:spacing w:after="120"/>
        <w:ind w:left="601" w:hanging="601"/>
      </w:pPr>
      <w:bookmarkStart w:id="10" w:name="_Improving_access_to"/>
      <w:bookmarkStart w:id="11" w:name="_Maternity_care"/>
      <w:bookmarkStart w:id="12" w:name="_Toc231315821"/>
      <w:bookmarkStart w:id="13" w:name="_Toc231315822"/>
      <w:bookmarkStart w:id="14" w:name="_Toc231315823"/>
      <w:bookmarkStart w:id="15" w:name="_Toc231315824"/>
      <w:bookmarkStart w:id="16" w:name="_Toc231315825"/>
      <w:bookmarkStart w:id="17" w:name="_Toc231315826"/>
      <w:bookmarkStart w:id="18" w:name="_Toc231315827"/>
      <w:bookmarkStart w:id="19" w:name="_Toc231315828"/>
      <w:bookmarkStart w:id="20" w:name="_Toc231315829"/>
      <w:bookmarkStart w:id="21" w:name="_Toc231315830"/>
      <w:bookmarkStart w:id="22" w:name="_Toc231315831"/>
      <w:bookmarkStart w:id="23" w:name="_Toc231315832"/>
      <w:bookmarkStart w:id="24" w:name="_Toc231315833"/>
      <w:bookmarkStart w:id="25" w:name="_Toc231315834"/>
      <w:bookmarkStart w:id="26" w:name="_Toc231315835"/>
      <w:bookmarkStart w:id="27" w:name="_Mental_health_care_1"/>
      <w:bookmarkStart w:id="28" w:name="_Toc23380502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lastRenderedPageBreak/>
        <w:t>Mental health</w:t>
      </w:r>
      <w:r w:rsidR="00583AED">
        <w:t xml:space="preserve"> care</w:t>
      </w:r>
      <w:bookmarkEnd w:id="28"/>
    </w:p>
    <w:tbl>
      <w:tblPr>
        <w:tblStyle w:val="DepartmentofHealthtable"/>
        <w:tblW w:w="9951" w:type="dxa"/>
        <w:tblInd w:w="-289" w:type="dxa"/>
        <w:tblBorders>
          <w:left w:val="single" w:sz="4" w:space="0" w:color="auto"/>
          <w:right w:val="single" w:sz="4" w:space="0" w:color="auto"/>
          <w:insideV w:val="single" w:sz="4" w:space="0" w:color="auto"/>
        </w:tblBorders>
        <w:tblLayout w:type="fixed"/>
        <w:tblLook w:val="04A0" w:firstRow="1" w:lastRow="0" w:firstColumn="1" w:lastColumn="0" w:noHBand="0" w:noVBand="1"/>
        <w:tblDescription w:val="Add Alt Text describing the content of the table"/>
      </w:tblPr>
      <w:tblGrid>
        <w:gridCol w:w="4962"/>
        <w:gridCol w:w="4989"/>
      </w:tblGrid>
      <w:tr w:rsidR="00FB26CA" w:rsidRPr="00C3400A" w14:paraId="35B47EC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51" w:type="dxa"/>
            <w:gridSpan w:val="2"/>
            <w:tcBorders>
              <w:bottom w:val="single" w:sz="4" w:space="0" w:color="FFFFFF" w:themeColor="background1"/>
            </w:tcBorders>
          </w:tcPr>
          <w:p w14:paraId="18B6BE70" w14:textId="77777777" w:rsidR="00FB26CA" w:rsidRPr="00C3400A" w:rsidRDefault="00FB26CA" w:rsidP="00B41932">
            <w:pPr>
              <w:rPr>
                <w:rFonts w:eastAsia="Cambria"/>
                <w:b/>
                <w:color w:val="FFFFFF"/>
                <w:sz w:val="20"/>
                <w:lang w:val="en-US"/>
              </w:rPr>
            </w:pPr>
            <w:r w:rsidRPr="00C3400A">
              <w:rPr>
                <w:rFonts w:eastAsia="Cambria"/>
                <w:b/>
                <w:color w:val="FFFFFF"/>
                <w:sz w:val="20"/>
                <w:lang w:val="en-US"/>
              </w:rPr>
              <w:t>SUMMARY: Mental Health Care</w:t>
            </w:r>
          </w:p>
        </w:tc>
      </w:tr>
      <w:tr w:rsidR="00FB26CA" w:rsidRPr="00C3400A" w14:paraId="14987D4D" w14:textId="77777777" w:rsidTr="00111BCE">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FFFFFF" w:themeColor="background1"/>
            </w:tcBorders>
          </w:tcPr>
          <w:p w14:paraId="6870FCBF" w14:textId="77777777" w:rsidR="00FB26CA" w:rsidRPr="00C3400A" w:rsidRDefault="00FB26CA" w:rsidP="00B41932">
            <w:pPr>
              <w:rPr>
                <w:rFonts w:eastAsia="Cambria"/>
                <w:b/>
                <w:color w:val="FFFFFF"/>
                <w:sz w:val="20"/>
                <w:lang w:val="en-US"/>
              </w:rPr>
            </w:pPr>
            <w:r w:rsidRPr="00C3400A">
              <w:rPr>
                <w:rFonts w:eastAsia="Cambria"/>
                <w:b/>
                <w:color w:val="FFFFFF"/>
                <w:sz w:val="20"/>
                <w:lang w:val="en-US"/>
              </w:rPr>
              <w:t>Proposed reform initiative for implementation</w:t>
            </w:r>
          </w:p>
        </w:tc>
        <w:tc>
          <w:tcPr>
            <w:tcW w:w="4989" w:type="dxa"/>
            <w:tcBorders>
              <w:top w:val="single" w:sz="4" w:space="0" w:color="FFFFFF" w:themeColor="background1"/>
            </w:tcBorders>
          </w:tcPr>
          <w:p w14:paraId="519D24C5" w14:textId="77777777" w:rsidR="00FB26CA" w:rsidRPr="00C3400A" w:rsidRDefault="00FB26CA" w:rsidP="00B41932">
            <w:pPr>
              <w:cnfStyle w:val="100000000000" w:firstRow="1" w:lastRow="0" w:firstColumn="0" w:lastColumn="0" w:oddVBand="0" w:evenVBand="0" w:oddHBand="0" w:evenHBand="0" w:firstRowFirstColumn="0" w:firstRowLastColumn="0" w:lastRowFirstColumn="0" w:lastRowLastColumn="0"/>
              <w:rPr>
                <w:rFonts w:eastAsia="Cambria"/>
                <w:b/>
                <w:color w:val="FFFFFF"/>
                <w:sz w:val="20"/>
                <w:lang w:val="en-US"/>
              </w:rPr>
            </w:pPr>
            <w:r w:rsidRPr="00C3400A">
              <w:rPr>
                <w:rFonts w:eastAsia="Cambria"/>
                <w:b/>
                <w:color w:val="FFFFFF"/>
                <w:sz w:val="20"/>
                <w:lang w:val="en-US"/>
              </w:rPr>
              <w:t>Mechanism for implementation</w:t>
            </w:r>
          </w:p>
        </w:tc>
      </w:tr>
      <w:tr w:rsidR="00FB26CA" w:rsidRPr="00C3400A" w14:paraId="09621766" w14:textId="77777777" w:rsidTr="00111BCE">
        <w:tblPrEx>
          <w:tblBorders>
            <w:left w:val="none" w:sz="0" w:space="0" w:color="auto"/>
            <w:right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962" w:type="dxa"/>
            <w:tcBorders>
              <w:left w:val="single" w:sz="4" w:space="0" w:color="auto"/>
            </w:tcBorders>
            <w:shd w:val="clear" w:color="auto" w:fill="auto"/>
            <w:vAlign w:val="center"/>
          </w:tcPr>
          <w:p w14:paraId="390B9D62" w14:textId="77777777" w:rsidR="00FB26CA" w:rsidRPr="00C3400A" w:rsidRDefault="00FB26CA" w:rsidP="00B41932">
            <w:pPr>
              <w:rPr>
                <w:color w:val="000000"/>
                <w:sz w:val="20"/>
                <w:lang w:val="en-US"/>
              </w:rPr>
            </w:pPr>
            <w:r w:rsidRPr="00C3400A">
              <w:rPr>
                <w:b/>
                <w:bCs/>
                <w:color w:val="000000"/>
                <w:sz w:val="20"/>
                <w:lang w:val="en-US"/>
              </w:rPr>
              <w:t>Initiative 1:</w:t>
            </w:r>
            <w:r w:rsidRPr="00C3400A">
              <w:rPr>
                <w:color w:val="000000"/>
                <w:sz w:val="20"/>
                <w:lang w:val="en-US"/>
              </w:rPr>
              <w:t xml:space="preserve"> Allowing overseas-trained psychiatrists to practice in private hospitals</w:t>
            </w:r>
            <w:r w:rsidRPr="00C3400A" w:rsidDel="007F54FB">
              <w:rPr>
                <w:color w:val="000000"/>
                <w:sz w:val="20"/>
                <w:lang w:val="en-US"/>
              </w:rPr>
              <w:t>.</w:t>
            </w:r>
          </w:p>
        </w:tc>
        <w:tc>
          <w:tcPr>
            <w:tcW w:w="4989" w:type="dxa"/>
            <w:tcBorders>
              <w:right w:val="single" w:sz="4" w:space="0" w:color="auto"/>
            </w:tcBorders>
            <w:shd w:val="clear" w:color="auto" w:fill="auto"/>
            <w:vAlign w:val="center"/>
          </w:tcPr>
          <w:p w14:paraId="0DA18B1A" w14:textId="77777777" w:rsidR="00FB26CA" w:rsidRPr="008A276C" w:rsidRDefault="00FB26CA" w:rsidP="00B41932">
            <w:pPr>
              <w:cnfStyle w:val="000000100000" w:firstRow="0" w:lastRow="0" w:firstColumn="0" w:lastColumn="0" w:oddVBand="0" w:evenVBand="0" w:oddHBand="1" w:evenHBand="0" w:firstRowFirstColumn="0" w:firstRowLastColumn="0" w:lastRowFirstColumn="0" w:lastRowLastColumn="0"/>
              <w:rPr>
                <w:kern w:val="2"/>
                <w:szCs w:val="22"/>
                <w14:ligatures w14:val="standardContextual"/>
              </w:rPr>
            </w:pPr>
            <w:r w:rsidRPr="008A276C">
              <w:rPr>
                <w:color w:val="000000"/>
                <w:sz w:val="20"/>
                <w:lang w:val="en-US"/>
              </w:rPr>
              <w:t xml:space="preserve">Government to establish an exemption under section 19AB(3) of the Health Insurance Act 1973. </w:t>
            </w:r>
            <w:r>
              <w:rPr>
                <w:color w:val="000000"/>
                <w:sz w:val="20"/>
                <w:lang w:val="en-US"/>
              </w:rPr>
              <w:t>Several operational guardrail options</w:t>
            </w:r>
            <w:r w:rsidRPr="008A276C">
              <w:rPr>
                <w:color w:val="000000"/>
                <w:sz w:val="20"/>
                <w:lang w:val="en-US"/>
              </w:rPr>
              <w:t xml:space="preserve"> are presented for consideration.</w:t>
            </w:r>
          </w:p>
        </w:tc>
      </w:tr>
      <w:tr w:rsidR="00FB26CA" w:rsidRPr="00C3400A" w14:paraId="5835E1CA" w14:textId="77777777" w:rsidTr="00111BCE">
        <w:tblPrEx>
          <w:tblBorders>
            <w:left w:val="none" w:sz="0" w:space="0" w:color="auto"/>
            <w:right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4962" w:type="dxa"/>
            <w:tcBorders>
              <w:left w:val="single" w:sz="4" w:space="0" w:color="auto"/>
            </w:tcBorders>
            <w:shd w:val="clear" w:color="auto" w:fill="auto"/>
            <w:vAlign w:val="center"/>
          </w:tcPr>
          <w:p w14:paraId="13286B51" w14:textId="71217EA3" w:rsidR="00FB26CA" w:rsidRPr="00C3400A" w:rsidRDefault="00FB26CA" w:rsidP="00B41932">
            <w:pPr>
              <w:rPr>
                <w:b/>
                <w:bCs/>
                <w:color w:val="000000"/>
                <w:sz w:val="20"/>
                <w:lang w:val="en-US"/>
              </w:rPr>
            </w:pPr>
            <w:r w:rsidRPr="00C3400A">
              <w:rPr>
                <w:b/>
                <w:bCs/>
                <w:color w:val="000000"/>
                <w:sz w:val="20"/>
                <w:lang w:val="en-US"/>
              </w:rPr>
              <w:t>Initiative 2:</w:t>
            </w:r>
            <w:r w:rsidRPr="00C3400A">
              <w:rPr>
                <w:color w:val="000000"/>
                <w:sz w:val="20"/>
                <w:lang w:val="en-US"/>
              </w:rPr>
              <w:t xml:space="preserve"> </w:t>
            </w:r>
            <w:r w:rsidR="004F46E9">
              <w:rPr>
                <w:color w:val="000000"/>
                <w:sz w:val="20"/>
                <w:lang w:val="en-US"/>
              </w:rPr>
              <w:t>Increased access to</w:t>
            </w:r>
            <w:r w:rsidRPr="00C3400A">
              <w:rPr>
                <w:color w:val="000000"/>
                <w:sz w:val="20"/>
                <w:lang w:val="en-US"/>
              </w:rPr>
              <w:t xml:space="preserve"> contemporary models of mental health care.</w:t>
            </w:r>
          </w:p>
        </w:tc>
        <w:tc>
          <w:tcPr>
            <w:tcW w:w="4989" w:type="dxa"/>
            <w:tcBorders>
              <w:right w:val="single" w:sz="4" w:space="0" w:color="auto"/>
            </w:tcBorders>
            <w:shd w:val="clear" w:color="auto" w:fill="auto"/>
            <w:vAlign w:val="center"/>
          </w:tcPr>
          <w:p w14:paraId="10A9ABF0" w14:textId="77777777" w:rsidR="00FB26CA" w:rsidRPr="00C3400A" w:rsidRDefault="00FB26CA" w:rsidP="00B41932">
            <w:pPr>
              <w:cnfStyle w:val="000000010000" w:firstRow="0" w:lastRow="0" w:firstColumn="0" w:lastColumn="0" w:oddVBand="0" w:evenVBand="0" w:oddHBand="0" w:evenHBand="1" w:firstRowFirstColumn="0" w:firstRowLastColumn="0" w:lastRowFirstColumn="0" w:lastRowLastColumn="0"/>
              <w:rPr>
                <w:color w:val="000000"/>
                <w:sz w:val="20"/>
                <w:lang w:val="en-US"/>
              </w:rPr>
            </w:pPr>
            <w:r w:rsidRPr="009331E3">
              <w:rPr>
                <w:color w:val="000000"/>
                <w:sz w:val="20"/>
                <w:lang w:val="en-US"/>
              </w:rPr>
              <w:t>Increase case conferencing to more than once per hospital admission through amendment of MBS items</w:t>
            </w:r>
            <w:r>
              <w:rPr>
                <w:color w:val="000000"/>
                <w:sz w:val="20"/>
                <w:lang w:val="en-US"/>
              </w:rPr>
              <w:t xml:space="preserve"> (see: Note)</w:t>
            </w:r>
            <w:r w:rsidRPr="009331E3">
              <w:rPr>
                <w:color w:val="000000"/>
                <w:sz w:val="20"/>
                <w:lang w:val="en-US"/>
              </w:rPr>
              <w:t>.</w:t>
            </w:r>
          </w:p>
        </w:tc>
      </w:tr>
      <w:tr w:rsidR="00FB26CA" w:rsidRPr="00C3400A" w14:paraId="69E1DD36" w14:textId="77777777" w:rsidTr="00111BCE">
        <w:tblPrEx>
          <w:tblBorders>
            <w:left w:val="none" w:sz="0" w:space="0" w:color="auto"/>
            <w:right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962" w:type="dxa"/>
            <w:tcBorders>
              <w:left w:val="single" w:sz="4" w:space="0" w:color="auto"/>
            </w:tcBorders>
            <w:shd w:val="clear" w:color="auto" w:fill="auto"/>
            <w:vAlign w:val="center"/>
          </w:tcPr>
          <w:p w14:paraId="2623E6CA" w14:textId="77777777" w:rsidR="00FB26CA" w:rsidRPr="00C3400A" w:rsidRDefault="00FB26CA" w:rsidP="00B41932">
            <w:pPr>
              <w:rPr>
                <w:b/>
                <w:bCs/>
                <w:color w:val="000000"/>
                <w:sz w:val="20"/>
                <w:lang w:val="en-US"/>
              </w:rPr>
            </w:pPr>
            <w:r w:rsidRPr="00C3400A">
              <w:rPr>
                <w:b/>
                <w:bCs/>
                <w:color w:val="000000"/>
                <w:sz w:val="20"/>
                <w:lang w:val="en-US"/>
              </w:rPr>
              <w:t>Initiative</w:t>
            </w:r>
            <w:r w:rsidRPr="00C3400A" w:rsidDel="000C7127">
              <w:rPr>
                <w:b/>
                <w:bCs/>
                <w:color w:val="000000"/>
                <w:sz w:val="20"/>
                <w:lang w:val="en-US"/>
              </w:rPr>
              <w:t xml:space="preserve"> </w:t>
            </w:r>
            <w:r w:rsidRPr="00C3400A">
              <w:rPr>
                <w:b/>
                <w:bCs/>
                <w:color w:val="000000"/>
                <w:sz w:val="20"/>
                <w:lang w:val="en-US"/>
              </w:rPr>
              <w:t>3:</w:t>
            </w:r>
            <w:r w:rsidRPr="00C3400A">
              <w:rPr>
                <w:color w:val="000000"/>
                <w:sz w:val="20"/>
                <w:lang w:val="en-US"/>
              </w:rPr>
              <w:t xml:space="preserve"> </w:t>
            </w:r>
            <w:r>
              <w:rPr>
                <w:color w:val="000000"/>
                <w:sz w:val="20"/>
                <w:lang w:val="en-US"/>
              </w:rPr>
              <w:t>Private health s</w:t>
            </w:r>
            <w:r w:rsidRPr="00C3400A">
              <w:rPr>
                <w:color w:val="000000"/>
                <w:sz w:val="20"/>
                <w:lang w:val="en-US"/>
              </w:rPr>
              <w:t>ector to reconvene the Private Mental Health Alliance (PMHA).</w:t>
            </w:r>
          </w:p>
        </w:tc>
        <w:tc>
          <w:tcPr>
            <w:tcW w:w="4989" w:type="dxa"/>
            <w:tcBorders>
              <w:right w:val="single" w:sz="4" w:space="0" w:color="auto"/>
            </w:tcBorders>
            <w:shd w:val="clear" w:color="auto" w:fill="auto"/>
            <w:vAlign w:val="center"/>
          </w:tcPr>
          <w:p w14:paraId="4A599625" w14:textId="77777777" w:rsidR="00FB26CA" w:rsidRPr="00C3400A" w:rsidRDefault="00FB26CA" w:rsidP="00B41932">
            <w:pPr>
              <w:cnfStyle w:val="000000100000" w:firstRow="0" w:lastRow="0" w:firstColumn="0" w:lastColumn="0" w:oddVBand="0" w:evenVBand="0" w:oddHBand="1" w:evenHBand="0" w:firstRowFirstColumn="0" w:firstRowLastColumn="0" w:lastRowFirstColumn="0" w:lastRowLastColumn="0"/>
              <w:rPr>
                <w:color w:val="000000"/>
                <w:sz w:val="20"/>
                <w:lang w:val="en-US"/>
              </w:rPr>
            </w:pPr>
            <w:r w:rsidRPr="00C3400A">
              <w:rPr>
                <w:color w:val="000000"/>
                <w:sz w:val="20"/>
                <w:lang w:val="en-US"/>
              </w:rPr>
              <w:t>Sector to reconvene PMHA.</w:t>
            </w:r>
          </w:p>
        </w:tc>
      </w:tr>
      <w:tr w:rsidR="00FB26CA" w:rsidRPr="00C3400A" w14:paraId="0A598B96" w14:textId="77777777" w:rsidTr="00111BCE">
        <w:tblPrEx>
          <w:tblBorders>
            <w:left w:val="none" w:sz="0" w:space="0" w:color="auto"/>
            <w:right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962" w:type="dxa"/>
            <w:tcBorders>
              <w:left w:val="single" w:sz="4" w:space="0" w:color="auto"/>
            </w:tcBorders>
            <w:shd w:val="clear" w:color="auto" w:fill="auto"/>
            <w:vAlign w:val="center"/>
          </w:tcPr>
          <w:p w14:paraId="18F03D4E" w14:textId="77777777" w:rsidR="00FB26CA" w:rsidRPr="00C3400A" w:rsidRDefault="00FB26CA" w:rsidP="00B41932">
            <w:pPr>
              <w:rPr>
                <w:b/>
                <w:bCs/>
                <w:color w:val="000000"/>
                <w:sz w:val="20"/>
                <w:lang w:val="en-US"/>
              </w:rPr>
            </w:pPr>
            <w:r w:rsidRPr="000F30E5">
              <w:rPr>
                <w:b/>
                <w:bCs/>
                <w:color w:val="000000"/>
                <w:sz w:val="20"/>
                <w:lang w:val="en-US"/>
              </w:rPr>
              <w:t xml:space="preserve">Initiative </w:t>
            </w:r>
            <w:r>
              <w:rPr>
                <w:b/>
                <w:bCs/>
                <w:color w:val="000000"/>
                <w:sz w:val="20"/>
                <w:lang w:val="en-US"/>
              </w:rPr>
              <w:t>4</w:t>
            </w:r>
            <w:r w:rsidRPr="000F30E5">
              <w:rPr>
                <w:b/>
                <w:bCs/>
                <w:color w:val="000000"/>
                <w:sz w:val="20"/>
                <w:lang w:val="en-US"/>
              </w:rPr>
              <w:t xml:space="preserve">: </w:t>
            </w:r>
            <w:r w:rsidRPr="00745CA0">
              <w:rPr>
                <w:color w:val="000000"/>
                <w:sz w:val="20"/>
                <w:lang w:val="en-US"/>
              </w:rPr>
              <w:t>Review of risk equalisation arrangements.</w:t>
            </w:r>
          </w:p>
        </w:tc>
        <w:tc>
          <w:tcPr>
            <w:tcW w:w="4989" w:type="dxa"/>
            <w:tcBorders>
              <w:right w:val="single" w:sz="4" w:space="0" w:color="auto"/>
            </w:tcBorders>
            <w:shd w:val="clear" w:color="auto" w:fill="auto"/>
            <w:vAlign w:val="center"/>
          </w:tcPr>
          <w:p w14:paraId="536CA743" w14:textId="77777777" w:rsidR="00FB26CA" w:rsidRPr="00C3400A" w:rsidRDefault="00FB26CA" w:rsidP="00B41932">
            <w:pPr>
              <w:cnfStyle w:val="000000010000" w:firstRow="0" w:lastRow="0" w:firstColumn="0" w:lastColumn="0" w:oddVBand="0" w:evenVBand="0" w:oddHBand="0" w:evenHBand="1" w:firstRowFirstColumn="0" w:firstRowLastColumn="0" w:lastRowFirstColumn="0" w:lastRowLastColumn="0"/>
              <w:rPr>
                <w:color w:val="000000"/>
                <w:sz w:val="20"/>
                <w:lang w:val="en-US"/>
              </w:rPr>
            </w:pPr>
            <w:r w:rsidRPr="09D87331">
              <w:rPr>
                <w:sz w:val="20"/>
                <w:lang w:val="en-US"/>
              </w:rPr>
              <w:t>Refer to</w:t>
            </w:r>
            <w:r>
              <w:rPr>
                <w:rFonts w:eastAsia="Arial" w:cs="Arial"/>
                <w:sz w:val="20"/>
                <w:lang w:val="en-US"/>
              </w:rPr>
              <w:t xml:space="preserve"> </w:t>
            </w:r>
            <w:r w:rsidRPr="09D87331">
              <w:rPr>
                <w:rFonts w:eastAsia="Arial" w:cs="Arial"/>
                <w:sz w:val="20"/>
                <w:lang w:val="en-US"/>
              </w:rPr>
              <w:t xml:space="preserve">Section 2 of this paper: </w:t>
            </w:r>
            <w:hyperlink w:anchor="_Delivering_better_value_2" w:history="1">
              <w:r w:rsidRPr="00962AE7">
                <w:rPr>
                  <w:rStyle w:val="Hyperlink"/>
                  <w:rFonts w:eastAsia="Arial" w:cs="Arial"/>
                  <w:sz w:val="20"/>
                  <w:lang w:val="en-US"/>
                </w:rPr>
                <w:t>Delivering better value for consumers</w:t>
              </w:r>
            </w:hyperlink>
            <w:r w:rsidRPr="09D87331">
              <w:rPr>
                <w:rFonts w:eastAsia="Arial" w:cs="Arial"/>
                <w:sz w:val="20"/>
                <w:lang w:val="en-US"/>
              </w:rPr>
              <w:t>.</w:t>
            </w:r>
          </w:p>
        </w:tc>
      </w:tr>
      <w:tr w:rsidR="00FB26CA" w:rsidRPr="00C3400A" w14:paraId="20F9133E" w14:textId="77777777" w:rsidTr="00FB26CA">
        <w:tblPrEx>
          <w:tblBorders>
            <w:left w:val="none" w:sz="0" w:space="0" w:color="auto"/>
            <w:right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951" w:type="dxa"/>
            <w:gridSpan w:val="2"/>
            <w:tcBorders>
              <w:left w:val="single" w:sz="4" w:space="0" w:color="auto"/>
              <w:right w:val="single" w:sz="4" w:space="0" w:color="auto"/>
            </w:tcBorders>
            <w:shd w:val="clear" w:color="auto" w:fill="3F4A75"/>
          </w:tcPr>
          <w:p w14:paraId="284CAF98" w14:textId="77777777" w:rsidR="00FB26CA" w:rsidRPr="00C3400A" w:rsidRDefault="00FB26CA" w:rsidP="00B41932">
            <w:pPr>
              <w:rPr>
                <w:color w:val="000000"/>
                <w:sz w:val="20"/>
                <w:lang w:val="en-US"/>
              </w:rPr>
            </w:pPr>
            <w:r w:rsidRPr="00C3400A">
              <w:rPr>
                <w:rFonts w:eastAsia="Cambria"/>
                <w:b/>
                <w:color w:val="FFFFFF"/>
                <w:sz w:val="20"/>
                <w:lang w:val="en-US"/>
              </w:rPr>
              <w:t>Questions for stakeholder consideration</w:t>
            </w:r>
            <w:r w:rsidRPr="00C3400A">
              <w:rPr>
                <w:color w:val="FFFFFF"/>
                <w:sz w:val="20"/>
                <w:lang w:val="en-US"/>
              </w:rPr>
              <w:t xml:space="preserve"> </w:t>
            </w:r>
          </w:p>
        </w:tc>
      </w:tr>
      <w:tr w:rsidR="00FB26CA" w:rsidRPr="00C3400A" w14:paraId="113BBAC8" w14:textId="77777777" w:rsidTr="00FB26CA">
        <w:tblPrEx>
          <w:tblBorders>
            <w:left w:val="none" w:sz="0" w:space="0" w:color="auto"/>
            <w:right w:val="none" w:sz="0" w:space="0" w:color="auto"/>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951" w:type="dxa"/>
            <w:gridSpan w:val="2"/>
            <w:tcBorders>
              <w:left w:val="single" w:sz="4" w:space="0" w:color="auto"/>
              <w:bottom w:val="single" w:sz="4" w:space="0" w:color="auto"/>
              <w:right w:val="single" w:sz="4" w:space="0" w:color="auto"/>
            </w:tcBorders>
            <w:shd w:val="clear" w:color="auto" w:fill="auto"/>
          </w:tcPr>
          <w:p w14:paraId="0E63EDC5" w14:textId="77777777" w:rsidR="00FB26CA" w:rsidRPr="00C3400A" w:rsidRDefault="00FB26CA" w:rsidP="00B41932">
            <w:pPr>
              <w:rPr>
                <w:rFonts w:cs="Arial"/>
                <w:i/>
                <w:color w:val="358189"/>
                <w:sz w:val="20"/>
              </w:rPr>
            </w:pPr>
            <w:r w:rsidRPr="00C3400A">
              <w:rPr>
                <w:rFonts w:cs="Arial"/>
                <w:i/>
                <w:color w:val="358189"/>
                <w:sz w:val="20"/>
              </w:rPr>
              <w:t>Initiative 1: Allowing overseas-trained psychiatrists to practice in private hospitals</w:t>
            </w:r>
          </w:p>
          <w:p w14:paraId="2AA5538B" w14:textId="77777777" w:rsidR="00FB26CA" w:rsidRPr="00C3400A" w:rsidRDefault="00FB26CA" w:rsidP="009257CE">
            <w:pPr>
              <w:numPr>
                <w:ilvl w:val="0"/>
                <w:numId w:val="42"/>
              </w:numPr>
              <w:rPr>
                <w:color w:val="000000"/>
                <w:sz w:val="20"/>
                <w:lang w:val="en-US"/>
              </w:rPr>
            </w:pPr>
            <w:r w:rsidRPr="00C3400A">
              <w:rPr>
                <w:color w:val="000000"/>
                <w:sz w:val="20"/>
                <w:lang w:val="en-US"/>
              </w:rPr>
              <w:t xml:space="preserve">What difference would this </w:t>
            </w:r>
            <w:r w:rsidRPr="00375CF2">
              <w:rPr>
                <w:color w:val="000000"/>
                <w:sz w:val="20"/>
              </w:rPr>
              <w:t>reform initiative</w:t>
            </w:r>
            <w:r w:rsidRPr="00C3400A" w:rsidDel="00375CF2">
              <w:rPr>
                <w:color w:val="000000"/>
                <w:sz w:val="20"/>
                <w:lang w:val="en-US"/>
              </w:rPr>
              <w:t xml:space="preserve"> </w:t>
            </w:r>
            <w:r w:rsidRPr="00C3400A">
              <w:rPr>
                <w:color w:val="000000"/>
                <w:sz w:val="20"/>
                <w:lang w:val="en-US"/>
              </w:rPr>
              <w:t>make for patients requiring access to mental health treatment?</w:t>
            </w:r>
          </w:p>
          <w:p w14:paraId="2382BF15" w14:textId="77777777" w:rsidR="00FB26CA" w:rsidRPr="00C3400A" w:rsidRDefault="00FB26CA" w:rsidP="009257CE">
            <w:pPr>
              <w:numPr>
                <w:ilvl w:val="0"/>
                <w:numId w:val="42"/>
              </w:numPr>
              <w:rPr>
                <w:color w:val="000000"/>
                <w:sz w:val="20"/>
                <w:lang w:val="en-US"/>
              </w:rPr>
            </w:pPr>
            <w:r>
              <w:rPr>
                <w:color w:val="000000"/>
                <w:sz w:val="20"/>
                <w:lang w:val="en-US"/>
              </w:rPr>
              <w:t>Would this reform initiative</w:t>
            </w:r>
            <w:r w:rsidRPr="00C3400A" w:rsidDel="00961C9E">
              <w:rPr>
                <w:color w:val="000000"/>
                <w:sz w:val="20"/>
                <w:lang w:val="en-US"/>
              </w:rPr>
              <w:t xml:space="preserve"> </w:t>
            </w:r>
            <w:r w:rsidRPr="00C3400A">
              <w:rPr>
                <w:color w:val="000000"/>
                <w:sz w:val="20"/>
                <w:lang w:val="en-US"/>
              </w:rPr>
              <w:t>support the viability of private mental health services?</w:t>
            </w:r>
          </w:p>
          <w:p w14:paraId="69E95C52" w14:textId="77777777" w:rsidR="00FB26CA" w:rsidRPr="008E6A1B" w:rsidRDefault="00FB26CA" w:rsidP="009257CE">
            <w:pPr>
              <w:numPr>
                <w:ilvl w:val="0"/>
                <w:numId w:val="42"/>
              </w:numPr>
              <w:rPr>
                <w:color w:val="000000"/>
                <w:sz w:val="20"/>
                <w:lang w:val="en-US"/>
              </w:rPr>
            </w:pPr>
            <w:r>
              <w:rPr>
                <w:color w:val="000000"/>
                <w:sz w:val="20"/>
                <w:lang w:val="en-US"/>
              </w:rPr>
              <w:t>Would this initiative impact upon other parts of the mental health system, including the mental health workforce? Please provide details.</w:t>
            </w:r>
          </w:p>
          <w:p w14:paraId="3887B1DF" w14:textId="77777777" w:rsidR="00FB26CA" w:rsidRPr="00C3400A" w:rsidRDefault="00FB26CA" w:rsidP="009257CE">
            <w:pPr>
              <w:numPr>
                <w:ilvl w:val="0"/>
                <w:numId w:val="42"/>
              </w:numPr>
              <w:rPr>
                <w:color w:val="000000"/>
                <w:sz w:val="20"/>
                <w:lang w:val="en-US"/>
              </w:rPr>
            </w:pPr>
            <w:r w:rsidRPr="00C3400A">
              <w:rPr>
                <w:color w:val="000000"/>
                <w:sz w:val="20"/>
                <w:lang w:val="en-US"/>
              </w:rPr>
              <w:t>Which of the proposed</w:t>
            </w:r>
            <w:r>
              <w:rPr>
                <w:color w:val="000000"/>
                <w:sz w:val="20"/>
                <w:lang w:val="en-US"/>
              </w:rPr>
              <w:t xml:space="preserve"> Operational</w:t>
            </w:r>
            <w:r w:rsidRPr="00C3400A">
              <w:rPr>
                <w:color w:val="000000"/>
                <w:sz w:val="20"/>
                <w:lang w:val="en-US"/>
              </w:rPr>
              <w:t xml:space="preserve"> guardrail</w:t>
            </w:r>
            <w:r>
              <w:rPr>
                <w:color w:val="000000"/>
                <w:sz w:val="20"/>
                <w:lang w:val="en-US"/>
              </w:rPr>
              <w:t xml:space="preserve"> option</w:t>
            </w:r>
            <w:r w:rsidRPr="00C3400A">
              <w:rPr>
                <w:color w:val="000000"/>
                <w:sz w:val="20"/>
                <w:lang w:val="en-US"/>
              </w:rPr>
              <w:t xml:space="preserve">s </w:t>
            </w:r>
            <w:r>
              <w:rPr>
                <w:color w:val="000000"/>
                <w:sz w:val="20"/>
                <w:lang w:val="en-US"/>
              </w:rPr>
              <w:t>are</w:t>
            </w:r>
            <w:r w:rsidRPr="00C3400A">
              <w:rPr>
                <w:color w:val="000000"/>
                <w:sz w:val="20"/>
                <w:lang w:val="en-US"/>
              </w:rPr>
              <w:t xml:space="preserve"> suitable? </w:t>
            </w:r>
            <w:r>
              <w:rPr>
                <w:color w:val="000000"/>
                <w:sz w:val="20"/>
                <w:lang w:val="en-US"/>
              </w:rPr>
              <w:t>Provide</w:t>
            </w:r>
            <w:r w:rsidRPr="00C3400A">
              <w:rPr>
                <w:color w:val="000000"/>
                <w:sz w:val="20"/>
                <w:lang w:val="en-US"/>
              </w:rPr>
              <w:t xml:space="preserve"> reason</w:t>
            </w:r>
            <w:r>
              <w:rPr>
                <w:color w:val="000000"/>
                <w:sz w:val="20"/>
                <w:lang w:val="en-US"/>
              </w:rPr>
              <w:t>/</w:t>
            </w:r>
            <w:r w:rsidRPr="00C3400A">
              <w:rPr>
                <w:color w:val="000000"/>
                <w:sz w:val="20"/>
                <w:lang w:val="en-US"/>
              </w:rPr>
              <w:t xml:space="preserve">s </w:t>
            </w:r>
            <w:r>
              <w:rPr>
                <w:color w:val="000000"/>
                <w:sz w:val="20"/>
                <w:lang w:val="en-US"/>
              </w:rPr>
              <w:t>if</w:t>
            </w:r>
            <w:r w:rsidRPr="00C3400A">
              <w:rPr>
                <w:color w:val="000000"/>
                <w:sz w:val="20"/>
                <w:lang w:val="en-US"/>
              </w:rPr>
              <w:t xml:space="preserve"> a guardrail</w:t>
            </w:r>
            <w:r>
              <w:rPr>
                <w:color w:val="000000"/>
                <w:sz w:val="20"/>
                <w:lang w:val="en-US"/>
              </w:rPr>
              <w:t xml:space="preserve"> option</w:t>
            </w:r>
            <w:r w:rsidRPr="00C3400A">
              <w:rPr>
                <w:color w:val="000000"/>
                <w:sz w:val="20"/>
                <w:lang w:val="en-US"/>
              </w:rPr>
              <w:t xml:space="preserve"> is not supported. </w:t>
            </w:r>
          </w:p>
          <w:p w14:paraId="48BF8A0F" w14:textId="7687B9BD" w:rsidR="00FB26CA" w:rsidRPr="00C3400A" w:rsidRDefault="00FB26CA" w:rsidP="009257CE">
            <w:pPr>
              <w:numPr>
                <w:ilvl w:val="0"/>
                <w:numId w:val="42"/>
              </w:numPr>
              <w:rPr>
                <w:color w:val="000000"/>
                <w:sz w:val="20"/>
                <w:lang w:val="en-US"/>
              </w:rPr>
            </w:pPr>
            <w:r w:rsidRPr="00C3400A">
              <w:rPr>
                <w:color w:val="000000"/>
                <w:sz w:val="20"/>
                <w:lang w:val="en-US"/>
              </w:rPr>
              <w:t xml:space="preserve">Are there other issues to consider in the design or implementation of </w:t>
            </w:r>
            <w:r>
              <w:rPr>
                <w:color w:val="000000"/>
                <w:sz w:val="20"/>
                <w:lang w:val="en-US"/>
              </w:rPr>
              <w:t xml:space="preserve">this </w:t>
            </w:r>
            <w:r w:rsidRPr="00BE2CF7">
              <w:rPr>
                <w:color w:val="000000"/>
                <w:sz w:val="20"/>
              </w:rPr>
              <w:t xml:space="preserve">reform initiative </w:t>
            </w:r>
            <w:r w:rsidRPr="00C3400A">
              <w:rPr>
                <w:color w:val="000000"/>
                <w:sz w:val="20"/>
                <w:lang w:val="en-US"/>
              </w:rPr>
              <w:t>to improve its effectiveness, or to address risks?</w:t>
            </w:r>
            <w:r w:rsidR="002E78AE">
              <w:rPr>
                <w:color w:val="000000"/>
                <w:sz w:val="20"/>
                <w:lang w:val="en-US"/>
              </w:rPr>
              <w:t xml:space="preserve"> Please provide details.</w:t>
            </w:r>
          </w:p>
          <w:p w14:paraId="77203750" w14:textId="74EEC7C9" w:rsidR="00FB26CA" w:rsidRPr="00C3400A" w:rsidRDefault="00FB26CA" w:rsidP="00B41932">
            <w:pPr>
              <w:spacing w:line="240" w:lineRule="auto"/>
              <w:rPr>
                <w:rFonts w:cs="Arial"/>
                <w:i/>
                <w:color w:val="358189"/>
                <w:sz w:val="20"/>
              </w:rPr>
            </w:pPr>
            <w:r w:rsidRPr="00C3400A">
              <w:rPr>
                <w:rFonts w:cs="Arial"/>
                <w:i/>
                <w:color w:val="358189"/>
                <w:sz w:val="20"/>
              </w:rPr>
              <w:t xml:space="preserve">Initiative 2: </w:t>
            </w:r>
            <w:r w:rsidR="000A7517" w:rsidRPr="00C906EF">
              <w:rPr>
                <w:rFonts w:cs="Arial"/>
                <w:i/>
                <w:color w:val="358189"/>
                <w:sz w:val="20"/>
              </w:rPr>
              <w:t>Increased access to contemporary models of privately provided mental health care</w:t>
            </w:r>
          </w:p>
          <w:p w14:paraId="29F6FE69" w14:textId="77777777" w:rsidR="00FB26CA" w:rsidRPr="00C3400A" w:rsidRDefault="00FB26CA" w:rsidP="009257CE">
            <w:pPr>
              <w:numPr>
                <w:ilvl w:val="0"/>
                <w:numId w:val="42"/>
              </w:numPr>
              <w:rPr>
                <w:color w:val="000000"/>
                <w:sz w:val="20"/>
                <w:lang w:val="en-US"/>
              </w:rPr>
            </w:pPr>
            <w:r w:rsidRPr="00C3400A">
              <w:rPr>
                <w:color w:val="000000"/>
                <w:sz w:val="20"/>
                <w:lang w:val="en-US"/>
              </w:rPr>
              <w:t>What, if any, changes should be made to MBS case conferencing items? Please provide a justification and any supporting evidence for changes identified.</w:t>
            </w:r>
          </w:p>
          <w:p w14:paraId="038ACFD9" w14:textId="28842709" w:rsidR="00FB26CA" w:rsidRPr="00C3400A" w:rsidRDefault="00FB26CA" w:rsidP="009257CE">
            <w:pPr>
              <w:numPr>
                <w:ilvl w:val="0"/>
                <w:numId w:val="42"/>
              </w:numPr>
              <w:rPr>
                <w:color w:val="000000"/>
                <w:sz w:val="20"/>
                <w:lang w:val="en-US"/>
              </w:rPr>
            </w:pPr>
            <w:r w:rsidRPr="00C3400A">
              <w:rPr>
                <w:color w:val="000000"/>
                <w:sz w:val="20"/>
                <w:lang w:val="en-US"/>
              </w:rPr>
              <w:t>Are there other changes required to MBS items for inpatient psychiatry items to support contemporary mental health care?</w:t>
            </w:r>
            <w:r w:rsidR="002E78AE">
              <w:rPr>
                <w:color w:val="000000"/>
                <w:sz w:val="20"/>
                <w:lang w:val="en-US"/>
              </w:rPr>
              <w:t xml:space="preserve"> Please provide details</w:t>
            </w:r>
          </w:p>
          <w:p w14:paraId="7F54792A" w14:textId="77777777" w:rsidR="00FB26CA" w:rsidRPr="00C3400A" w:rsidRDefault="00FB26CA" w:rsidP="00B41932">
            <w:pPr>
              <w:spacing w:line="240" w:lineRule="auto"/>
              <w:rPr>
                <w:rFonts w:cs="Arial"/>
                <w:i/>
                <w:color w:val="358189"/>
                <w:sz w:val="20"/>
              </w:rPr>
            </w:pPr>
            <w:r w:rsidRPr="00C3400A">
              <w:rPr>
                <w:rFonts w:cs="Arial"/>
                <w:i/>
                <w:color w:val="358189"/>
                <w:sz w:val="20"/>
              </w:rPr>
              <w:t>Initiative 3: Supporting the Sector to reconvene the Private Mental Health Alliance (PMHA)</w:t>
            </w:r>
          </w:p>
          <w:p w14:paraId="66B94F72" w14:textId="01344E0F" w:rsidR="00FB26CA" w:rsidRPr="00C3400A" w:rsidRDefault="00FB26CA" w:rsidP="009257CE">
            <w:pPr>
              <w:numPr>
                <w:ilvl w:val="0"/>
                <w:numId w:val="42"/>
              </w:numPr>
              <w:rPr>
                <w:color w:val="000000"/>
                <w:sz w:val="20"/>
                <w:lang w:val="en-US"/>
              </w:rPr>
            </w:pPr>
            <w:r w:rsidRPr="00C3400A">
              <w:rPr>
                <w:color w:val="000000"/>
                <w:sz w:val="20"/>
                <w:lang w:val="en-US"/>
              </w:rPr>
              <w:t>If the PMHA were to be reconvened, what focus/es should it have?</w:t>
            </w:r>
            <w:r w:rsidR="002E78AE">
              <w:rPr>
                <w:color w:val="000000"/>
                <w:sz w:val="20"/>
                <w:lang w:val="en-US"/>
              </w:rPr>
              <w:t xml:space="preserve"> Please provide details</w:t>
            </w:r>
          </w:p>
          <w:p w14:paraId="6E29A6BF" w14:textId="77777777" w:rsidR="00FB26CA" w:rsidRPr="00CB139F" w:rsidRDefault="00FB26CA" w:rsidP="009257CE">
            <w:pPr>
              <w:numPr>
                <w:ilvl w:val="0"/>
                <w:numId w:val="42"/>
              </w:numPr>
              <w:rPr>
                <w:color w:val="000000"/>
                <w:sz w:val="20"/>
                <w:lang w:val="en-US"/>
              </w:rPr>
            </w:pPr>
            <w:r w:rsidRPr="00C3400A">
              <w:rPr>
                <w:color w:val="000000"/>
                <w:sz w:val="20"/>
              </w:rPr>
              <w:t>Noting the previous membership, which organisations should be included if the PMHA is reconvened?</w:t>
            </w:r>
          </w:p>
          <w:p w14:paraId="4EEEE186" w14:textId="77777777" w:rsidR="00FB26CA" w:rsidRDefault="00FB26CA" w:rsidP="00B41932">
            <w:pPr>
              <w:rPr>
                <w:rFonts w:cs="Arial"/>
                <w:i/>
                <w:color w:val="358189"/>
                <w:sz w:val="20"/>
              </w:rPr>
            </w:pPr>
            <w:r w:rsidRPr="00C3400A">
              <w:rPr>
                <w:rFonts w:cs="Arial"/>
                <w:i/>
                <w:color w:val="358189"/>
                <w:sz w:val="20"/>
              </w:rPr>
              <w:t xml:space="preserve">Initiative </w:t>
            </w:r>
            <w:r>
              <w:rPr>
                <w:rFonts w:cs="Arial"/>
                <w:i/>
                <w:color w:val="358189"/>
                <w:sz w:val="20"/>
              </w:rPr>
              <w:t>4</w:t>
            </w:r>
            <w:r w:rsidRPr="00C3400A">
              <w:rPr>
                <w:rFonts w:cs="Arial"/>
                <w:i/>
                <w:color w:val="358189"/>
                <w:sz w:val="20"/>
              </w:rPr>
              <w:t xml:space="preserve">: </w:t>
            </w:r>
            <w:r w:rsidRPr="00655D92">
              <w:rPr>
                <w:rFonts w:cs="Arial"/>
                <w:i/>
                <w:color w:val="358189"/>
                <w:sz w:val="20"/>
              </w:rPr>
              <w:t>Review of risk equalisation arrangements.</w:t>
            </w:r>
          </w:p>
          <w:p w14:paraId="3D4EC080" w14:textId="77777777" w:rsidR="00FB26CA" w:rsidRPr="00C3400A" w:rsidRDefault="00FB26CA" w:rsidP="00B41932">
            <w:pPr>
              <w:rPr>
                <w:color w:val="000000"/>
                <w:sz w:val="20"/>
                <w:lang w:val="en-US"/>
              </w:rPr>
            </w:pPr>
            <w:r w:rsidRPr="00624D1D">
              <w:rPr>
                <w:color w:val="000000"/>
                <w:sz w:val="20"/>
                <w:lang w:val="en-US"/>
              </w:rPr>
              <w:t>See questions under Section 2 of this paper</w:t>
            </w:r>
            <w:r w:rsidRPr="00C0388C">
              <w:rPr>
                <w:color w:val="000000"/>
                <w:sz w:val="20"/>
                <w:lang w:val="en-US"/>
              </w:rPr>
              <w:t xml:space="preserve">: </w:t>
            </w:r>
            <w:hyperlink w:anchor="_Delivering_better_value_2" w:history="1">
              <w:r w:rsidRPr="00C0388C">
                <w:rPr>
                  <w:rStyle w:val="Hyperlink"/>
                  <w:sz w:val="20"/>
                  <w:lang w:val="en-US"/>
                </w:rPr>
                <w:t>Delivering better value for consumers</w:t>
              </w:r>
            </w:hyperlink>
          </w:p>
        </w:tc>
      </w:tr>
      <w:tr w:rsidR="00FB26CA" w:rsidRPr="00C3400A" w14:paraId="34CD35F9" w14:textId="77777777" w:rsidTr="00FB26CA">
        <w:tblPrEx>
          <w:tblBorders>
            <w:left w:val="none" w:sz="0" w:space="0" w:color="auto"/>
            <w:right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951" w:type="dxa"/>
            <w:gridSpan w:val="2"/>
            <w:tcBorders>
              <w:left w:val="single" w:sz="4" w:space="0" w:color="auto"/>
              <w:bottom w:val="single" w:sz="4" w:space="0" w:color="auto"/>
              <w:right w:val="single" w:sz="4" w:space="0" w:color="auto"/>
            </w:tcBorders>
            <w:shd w:val="clear" w:color="auto" w:fill="auto"/>
          </w:tcPr>
          <w:p w14:paraId="3B793AB0" w14:textId="77777777" w:rsidR="00FB26CA" w:rsidRPr="00B2396F" w:rsidRDefault="00FB26CA" w:rsidP="00B41932">
            <w:pPr>
              <w:rPr>
                <w:i/>
                <w:iCs/>
                <w:sz w:val="18"/>
                <w:szCs w:val="18"/>
              </w:rPr>
            </w:pPr>
            <w:r>
              <w:rPr>
                <w:b/>
                <w:bCs/>
                <w:i/>
                <w:iCs/>
                <w:sz w:val="18"/>
                <w:szCs w:val="18"/>
              </w:rPr>
              <w:t xml:space="preserve">NOTE: </w:t>
            </w:r>
            <w:r w:rsidRPr="00B2396F">
              <w:rPr>
                <w:i/>
                <w:iCs/>
                <w:sz w:val="18"/>
                <w:szCs w:val="18"/>
              </w:rPr>
              <w:t>Any decision to create new MBS items or amend existing items would be subject to established Australian Government processes, including consideration through relevant advisory committees, expert clinical review mechanisms, and final approval by Government.</w:t>
            </w:r>
          </w:p>
        </w:tc>
      </w:tr>
    </w:tbl>
    <w:p w14:paraId="040C0226" w14:textId="77777777" w:rsidR="008F7154" w:rsidRPr="00E3223D" w:rsidRDefault="008F7154" w:rsidP="008926E0">
      <w:pPr>
        <w:pStyle w:val="Heading3"/>
        <w:numPr>
          <w:ilvl w:val="2"/>
          <w:numId w:val="14"/>
        </w:numPr>
        <w:tabs>
          <w:tab w:val="num" w:pos="360"/>
        </w:tabs>
        <w:spacing w:before="240" w:after="120"/>
        <w:ind w:left="0" w:firstLine="0"/>
        <w:rPr>
          <w:b w:val="0"/>
          <w:bCs w:val="0"/>
          <w:i/>
          <w:iCs/>
          <w:sz w:val="28"/>
          <w:szCs w:val="24"/>
        </w:rPr>
      </w:pPr>
      <w:bookmarkStart w:id="29" w:name="_Toc233049244"/>
      <w:bookmarkStart w:id="30" w:name="_Toc233805025"/>
      <w:r w:rsidRPr="00E3223D">
        <w:rPr>
          <w:b w:val="0"/>
          <w:bCs w:val="0"/>
          <w:i/>
          <w:iCs/>
          <w:sz w:val="28"/>
          <w:szCs w:val="24"/>
        </w:rPr>
        <w:lastRenderedPageBreak/>
        <w:t>Introduction</w:t>
      </w:r>
      <w:bookmarkEnd w:id="29"/>
      <w:bookmarkEnd w:id="30"/>
    </w:p>
    <w:p w14:paraId="5BBB1F5B" w14:textId="77777777" w:rsidR="008F7154" w:rsidRPr="0087691F" w:rsidRDefault="008F7154" w:rsidP="008F7154">
      <w:pPr>
        <w:pStyle w:val="Body"/>
        <w:spacing w:after="120"/>
        <w:rPr>
          <w:color w:val="auto"/>
          <w:lang w:val="en-AU"/>
        </w:rPr>
      </w:pPr>
      <w:r w:rsidRPr="0087691F">
        <w:rPr>
          <w:color w:val="auto"/>
        </w:rPr>
        <w:t xml:space="preserve">The </w:t>
      </w:r>
      <w:r w:rsidRPr="0087691F">
        <w:rPr>
          <w:color w:val="auto"/>
          <w:lang w:val="en-AU"/>
        </w:rPr>
        <w:t xml:space="preserve">Health Check reported growing pressure on private hospital mental health services </w:t>
      </w:r>
      <w:r>
        <w:rPr>
          <w:color w:val="auto"/>
          <w:lang w:val="en-AU"/>
        </w:rPr>
        <w:t>is</w:t>
      </w:r>
      <w:r w:rsidRPr="0087691F">
        <w:rPr>
          <w:color w:val="auto"/>
          <w:lang w:val="en-AU"/>
        </w:rPr>
        <w:t xml:space="preserve"> reducing patient access. This is partly due to challenges faced in recruiting and retaining psychiatrists for hospital</w:t>
      </w:r>
      <w:r w:rsidRPr="0087691F">
        <w:rPr>
          <w:rFonts w:ascii="Cambria Math" w:hAnsi="Cambria Math" w:cs="Cambria Math"/>
          <w:color w:val="auto"/>
          <w:lang w:val="en-AU"/>
        </w:rPr>
        <w:t>‑</w:t>
      </w:r>
      <w:r w:rsidRPr="0087691F">
        <w:rPr>
          <w:color w:val="auto"/>
          <w:lang w:val="en-AU"/>
        </w:rPr>
        <w:t>based work. The department has also received feedback that psychiatrists are generally better remunerated for services delivered outside the hospital setting which is further limiting the availability of hospital</w:t>
      </w:r>
      <w:r w:rsidRPr="0087691F">
        <w:rPr>
          <w:rFonts w:ascii="Cambria Math" w:hAnsi="Cambria Math" w:cs="Cambria Math"/>
          <w:color w:val="auto"/>
          <w:lang w:val="en-AU"/>
        </w:rPr>
        <w:t>‑</w:t>
      </w:r>
      <w:r w:rsidRPr="0087691F">
        <w:rPr>
          <w:color w:val="auto"/>
          <w:lang w:val="en-AU"/>
        </w:rPr>
        <w:t>based patient services.</w:t>
      </w:r>
    </w:p>
    <w:p w14:paraId="34AEBEB3" w14:textId="77777777" w:rsidR="008F7154" w:rsidRPr="00496485" w:rsidRDefault="008F7154" w:rsidP="008F7154">
      <w:pPr>
        <w:pStyle w:val="Body"/>
        <w:spacing w:after="120"/>
        <w:rPr>
          <w:lang w:val="en-AU"/>
        </w:rPr>
      </w:pPr>
      <w:r w:rsidRPr="0087691F">
        <w:rPr>
          <w:color w:val="auto"/>
        </w:rPr>
        <w:t xml:space="preserve">In 2025, the </w:t>
      </w:r>
      <w:r w:rsidRPr="0087691F">
        <w:rPr>
          <w:color w:val="auto"/>
          <w:lang w:val="en-AU"/>
        </w:rPr>
        <w:t xml:space="preserve">CEO Forum (supported by a working group) examined a range of potential reforms aimed at improving patient access and strengthening the sustainability of private hospital mental health services. It was acknowledged that there is no single solution to resolve the sustainability challenges for private hospital mental health services, and that a suite of coordinated changes would be required to achieve meaningful improvement. </w:t>
      </w:r>
      <w:r w:rsidRPr="00496485">
        <w:rPr>
          <w:lang w:val="en-AU"/>
        </w:rPr>
        <w:t>The CEO Forum and working group considered potential options including:</w:t>
      </w:r>
    </w:p>
    <w:p w14:paraId="2ED6AE4C" w14:textId="77777777" w:rsidR="008F7154" w:rsidRPr="00496485" w:rsidRDefault="008F7154" w:rsidP="009257CE">
      <w:pPr>
        <w:pStyle w:val="Body"/>
        <w:numPr>
          <w:ilvl w:val="0"/>
          <w:numId w:val="18"/>
        </w:numPr>
        <w:spacing w:after="120"/>
        <w:ind w:left="714" w:hanging="357"/>
        <w:rPr>
          <w:lang w:val="en-AU"/>
        </w:rPr>
      </w:pPr>
      <w:r w:rsidRPr="00496485">
        <w:rPr>
          <w:lang w:val="en-AU"/>
        </w:rPr>
        <w:t>increasing workforce supply through</w:t>
      </w:r>
      <w:r>
        <w:rPr>
          <w:lang w:val="en-AU"/>
        </w:rPr>
        <w:t xml:space="preserve"> the employment of </w:t>
      </w:r>
      <w:r w:rsidRPr="00496485">
        <w:rPr>
          <w:lang w:val="en-AU"/>
        </w:rPr>
        <w:t>overseas</w:t>
      </w:r>
      <w:r w:rsidRPr="00496485">
        <w:rPr>
          <w:rFonts w:ascii="Cambria Math" w:hAnsi="Cambria Math" w:cs="Cambria Math"/>
          <w:lang w:val="en-AU"/>
        </w:rPr>
        <w:t>‑</w:t>
      </w:r>
      <w:r w:rsidRPr="00496485">
        <w:rPr>
          <w:lang w:val="en-AU"/>
        </w:rPr>
        <w:t>trained psychiatrists</w:t>
      </w:r>
    </w:p>
    <w:p w14:paraId="7CE96835" w14:textId="77777777" w:rsidR="008F7154" w:rsidRPr="00496485" w:rsidRDefault="008F7154" w:rsidP="009257CE">
      <w:pPr>
        <w:pStyle w:val="Body"/>
        <w:numPr>
          <w:ilvl w:val="0"/>
          <w:numId w:val="18"/>
        </w:numPr>
        <w:spacing w:after="120"/>
        <w:ind w:left="714" w:hanging="357"/>
        <w:rPr>
          <w:lang w:val="en-AU"/>
        </w:rPr>
      </w:pPr>
      <w:r w:rsidRPr="00496485">
        <w:rPr>
          <w:lang w:val="en-AU"/>
        </w:rPr>
        <w:t>adopting contemporary models of care</w:t>
      </w:r>
      <w:r>
        <w:rPr>
          <w:lang w:val="en-AU"/>
        </w:rPr>
        <w:t>, including</w:t>
      </w:r>
      <w:r w:rsidDel="008017FC">
        <w:rPr>
          <w:lang w:val="en-AU"/>
        </w:rPr>
        <w:t xml:space="preserve"> </w:t>
      </w:r>
      <w:r w:rsidRPr="00496485">
        <w:rPr>
          <w:lang w:val="en-AU"/>
        </w:rPr>
        <w:t>multidisciplinary teams and telehealth</w:t>
      </w:r>
    </w:p>
    <w:p w14:paraId="214FA7DA" w14:textId="77777777" w:rsidR="008F7154" w:rsidRPr="00496485" w:rsidRDefault="008F7154" w:rsidP="009257CE">
      <w:pPr>
        <w:pStyle w:val="Body"/>
        <w:numPr>
          <w:ilvl w:val="0"/>
          <w:numId w:val="18"/>
        </w:numPr>
        <w:spacing w:after="120"/>
        <w:ind w:left="714" w:hanging="357"/>
        <w:rPr>
          <w:lang w:val="en-AU"/>
        </w:rPr>
      </w:pPr>
      <w:r w:rsidRPr="00496485">
        <w:rPr>
          <w:lang w:val="en-AU"/>
        </w:rPr>
        <w:t>sector</w:t>
      </w:r>
      <w:r w:rsidRPr="00496485">
        <w:rPr>
          <w:rFonts w:ascii="Cambria Math" w:hAnsi="Cambria Math" w:cs="Cambria Math"/>
          <w:lang w:val="en-AU"/>
        </w:rPr>
        <w:t>‑</w:t>
      </w:r>
      <w:r w:rsidRPr="00496485">
        <w:rPr>
          <w:lang w:val="en-AU"/>
        </w:rPr>
        <w:t>led governance reform</w:t>
      </w:r>
      <w:r>
        <w:rPr>
          <w:lang w:val="en-AU"/>
        </w:rPr>
        <w:t>, and</w:t>
      </w:r>
    </w:p>
    <w:p w14:paraId="07E70D92" w14:textId="77777777" w:rsidR="008F7154" w:rsidRPr="00496485" w:rsidRDefault="008F7154" w:rsidP="009257CE">
      <w:pPr>
        <w:pStyle w:val="Body"/>
        <w:numPr>
          <w:ilvl w:val="0"/>
          <w:numId w:val="18"/>
        </w:numPr>
        <w:spacing w:after="120"/>
        <w:ind w:left="714" w:hanging="357"/>
        <w:rPr>
          <w:lang w:val="en-AU"/>
        </w:rPr>
      </w:pPr>
      <w:r w:rsidRPr="00496485">
        <w:rPr>
          <w:lang w:val="en-AU"/>
        </w:rPr>
        <w:t xml:space="preserve">changes to </w:t>
      </w:r>
      <w:r>
        <w:rPr>
          <w:lang w:val="en-AU"/>
        </w:rPr>
        <w:t>PHI</w:t>
      </w:r>
      <w:r w:rsidRPr="00496485">
        <w:rPr>
          <w:lang w:val="en-AU"/>
        </w:rPr>
        <w:t xml:space="preserve"> </w:t>
      </w:r>
      <w:r>
        <w:rPr>
          <w:lang w:val="en-AU"/>
        </w:rPr>
        <w:t>R</w:t>
      </w:r>
      <w:r w:rsidRPr="00496485">
        <w:rPr>
          <w:lang w:val="en-AU"/>
        </w:rPr>
        <w:t xml:space="preserve">isk </w:t>
      </w:r>
      <w:r>
        <w:rPr>
          <w:lang w:val="en-AU"/>
        </w:rPr>
        <w:t>E</w:t>
      </w:r>
      <w:r w:rsidRPr="00496485">
        <w:rPr>
          <w:lang w:val="en-AU"/>
        </w:rPr>
        <w:t xml:space="preserve">qualisation arrangements to encourage prevention and reduce the cost of insurance for mental health </w:t>
      </w:r>
      <w:r>
        <w:rPr>
          <w:lang w:val="en-AU"/>
        </w:rPr>
        <w:t>(along with</w:t>
      </w:r>
      <w:r w:rsidRPr="00496485">
        <w:rPr>
          <w:lang w:val="en-AU"/>
        </w:rPr>
        <w:t xml:space="preserve"> maternity care</w:t>
      </w:r>
      <w:r>
        <w:rPr>
          <w:lang w:val="en-AU"/>
        </w:rPr>
        <w:t>).</w:t>
      </w:r>
    </w:p>
    <w:p w14:paraId="4600566E" w14:textId="77777777" w:rsidR="008F7154" w:rsidRPr="00E3223D" w:rsidRDefault="008F7154" w:rsidP="008926E0">
      <w:pPr>
        <w:pStyle w:val="Heading3"/>
        <w:numPr>
          <w:ilvl w:val="2"/>
          <w:numId w:val="14"/>
        </w:numPr>
        <w:tabs>
          <w:tab w:val="num" w:pos="360"/>
        </w:tabs>
        <w:spacing w:before="240" w:after="120"/>
        <w:ind w:left="0" w:firstLine="0"/>
        <w:rPr>
          <w:b w:val="0"/>
          <w:bCs w:val="0"/>
          <w:i/>
          <w:iCs/>
          <w:sz w:val="28"/>
          <w:szCs w:val="24"/>
        </w:rPr>
      </w:pPr>
      <w:bookmarkStart w:id="31" w:name="_Toc233049245"/>
      <w:bookmarkStart w:id="32" w:name="_Toc233805026"/>
      <w:r w:rsidRPr="00E3223D">
        <w:rPr>
          <w:b w:val="0"/>
          <w:bCs w:val="0"/>
          <w:i/>
          <w:iCs/>
          <w:sz w:val="28"/>
          <w:szCs w:val="24"/>
        </w:rPr>
        <w:t>Progress on reforms to support mental health services</w:t>
      </w:r>
      <w:bookmarkEnd w:id="31"/>
      <w:bookmarkEnd w:id="32"/>
      <w:r w:rsidRPr="00E3223D">
        <w:rPr>
          <w:b w:val="0"/>
          <w:bCs w:val="0"/>
          <w:i/>
          <w:iCs/>
          <w:sz w:val="28"/>
          <w:szCs w:val="24"/>
        </w:rPr>
        <w:t xml:space="preserve"> </w:t>
      </w:r>
    </w:p>
    <w:p w14:paraId="1600A33D" w14:textId="77777777" w:rsidR="008F7154" w:rsidRPr="0063310C" w:rsidRDefault="008F7154" w:rsidP="008926E0">
      <w:pPr>
        <w:pStyle w:val="Body"/>
        <w:spacing w:before="240" w:after="120"/>
        <w:rPr>
          <w:rFonts w:cs="Arial"/>
          <w:b/>
          <w:bCs/>
          <w:iCs/>
          <w:color w:val="358189"/>
          <w:szCs w:val="22"/>
          <w:u w:val="single"/>
        </w:rPr>
      </w:pPr>
      <w:r w:rsidRPr="0063310C">
        <w:rPr>
          <w:rFonts w:cs="Arial"/>
          <w:b/>
          <w:bCs/>
          <w:iCs/>
          <w:color w:val="358189"/>
          <w:szCs w:val="22"/>
          <w:u w:val="single"/>
        </w:rPr>
        <w:t>Inpatient telehealth psychiatry services</w:t>
      </w:r>
    </w:p>
    <w:p w14:paraId="31831681" w14:textId="77777777" w:rsidR="008F7154" w:rsidRPr="0087691F" w:rsidRDefault="008F7154" w:rsidP="008F7154">
      <w:pPr>
        <w:pStyle w:val="Body"/>
        <w:spacing w:after="120"/>
        <w:rPr>
          <w:color w:val="auto"/>
          <w:lang w:val="en-AU"/>
        </w:rPr>
      </w:pPr>
      <w:r w:rsidRPr="0087691F">
        <w:rPr>
          <w:color w:val="auto"/>
          <w:lang w:val="en-AU"/>
        </w:rPr>
        <w:t>In November 2024, the Government introduced temporary MBS psychiatry inpatient telehealth items to enable psychiatrists to support the timely admission of patients to hospital for mental health treatment. This also enabled subsequent time-tiered telehealth video attendances for the patient in hospital.</w:t>
      </w:r>
    </w:p>
    <w:p w14:paraId="0D032750" w14:textId="77777777" w:rsidR="008F7154" w:rsidRPr="00AD2981" w:rsidRDefault="008F7154" w:rsidP="008F7154">
      <w:pPr>
        <w:pStyle w:val="Body"/>
        <w:spacing w:after="120"/>
        <w:rPr>
          <w:color w:val="FF0000"/>
          <w:lang w:val="en-AU"/>
        </w:rPr>
      </w:pPr>
      <w:r w:rsidRPr="0056407B">
        <w:rPr>
          <w:color w:val="auto"/>
          <w:lang w:val="en-AU"/>
        </w:rPr>
        <w:t xml:space="preserve">A post-implementation review was conducted in 2025 to assess the effectiveness of these items in facilitating appropriate admissions and improving access to hospital </w:t>
      </w:r>
      <w:r w:rsidRPr="0087691F">
        <w:rPr>
          <w:color w:val="auto"/>
          <w:lang w:val="en-AU"/>
        </w:rPr>
        <w:t>care. The review, which included targeted stakeholder consultation, found that although uptake of the items has been relatively limited, feedback from stakeholders on the effectiveness of the arrangements was overwhelmingly positive. There was strong sector support for making the items permanent, with stakeholders noting that the current restriction—limiting subsequent consultations to one per week—was constraining continuity of care.</w:t>
      </w:r>
    </w:p>
    <w:p w14:paraId="4D07D060" w14:textId="77777777" w:rsidR="008F7154" w:rsidRPr="00195361" w:rsidRDefault="008F7154" w:rsidP="008F7154">
      <w:pPr>
        <w:pStyle w:val="Body"/>
        <w:spacing w:after="120"/>
        <w:rPr>
          <w:color w:val="FF0000"/>
          <w:lang w:val="en-AU"/>
        </w:rPr>
      </w:pPr>
      <w:r w:rsidRPr="0056407B">
        <w:rPr>
          <w:color w:val="auto"/>
          <w:lang w:val="en-AU"/>
        </w:rPr>
        <w:t>In the 2026</w:t>
      </w:r>
      <w:r>
        <w:rPr>
          <w:color w:val="auto"/>
          <w:lang w:val="en-AU"/>
        </w:rPr>
        <w:t>-</w:t>
      </w:r>
      <w:r w:rsidRPr="0056407B">
        <w:rPr>
          <w:color w:val="auto"/>
          <w:lang w:val="en-AU"/>
        </w:rPr>
        <w:t xml:space="preserve">27 Budget, the </w:t>
      </w:r>
      <w:r>
        <w:rPr>
          <w:color w:val="auto"/>
          <w:lang w:val="en-AU"/>
        </w:rPr>
        <w:t>G</w:t>
      </w:r>
      <w:r w:rsidRPr="0056407B">
        <w:rPr>
          <w:color w:val="auto"/>
          <w:lang w:val="en-AU"/>
        </w:rPr>
        <w:t>overnment decided to make the MBS psychiatry inpatient telehealth items permanent. It also agreed to revise the existing limit of one video consultation in a seven-day period, increasing this to two consultations per seven days. The current expectation for clinicians to conduct a face-to-face consultation with the patient within 48 hours will remain unchanged.</w:t>
      </w:r>
      <w:r>
        <w:rPr>
          <w:color w:val="auto"/>
          <w:lang w:val="en-AU"/>
        </w:rPr>
        <w:t xml:space="preserve"> </w:t>
      </w:r>
      <w:r w:rsidRPr="0056407B">
        <w:rPr>
          <w:color w:val="auto"/>
          <w:lang w:val="en-AU"/>
        </w:rPr>
        <w:t>The amended arrangements</w:t>
      </w:r>
      <w:r>
        <w:rPr>
          <w:color w:val="auto"/>
          <w:lang w:val="en-AU"/>
        </w:rPr>
        <w:t xml:space="preserve"> to </w:t>
      </w:r>
      <w:r w:rsidRPr="0056407B">
        <w:rPr>
          <w:color w:val="auto"/>
          <w:lang w:val="en-AU"/>
        </w:rPr>
        <w:t>MBS psychiatry inpatient telehealth items will take effect from 1 November 2026.</w:t>
      </w:r>
    </w:p>
    <w:p w14:paraId="781D5DDF" w14:textId="77777777" w:rsidR="00037808" w:rsidRDefault="00037808">
      <w:pPr>
        <w:spacing w:before="0" w:after="0" w:line="240" w:lineRule="auto"/>
        <w:rPr>
          <w:rFonts w:cs="Arial"/>
          <w:b/>
          <w:bCs/>
          <w:iCs/>
          <w:color w:val="358189"/>
          <w:szCs w:val="22"/>
          <w:u w:val="single"/>
        </w:rPr>
      </w:pPr>
      <w:r>
        <w:rPr>
          <w:rFonts w:cs="Arial"/>
          <w:b/>
          <w:bCs/>
          <w:iCs/>
          <w:color w:val="358189"/>
          <w:szCs w:val="22"/>
          <w:u w:val="single"/>
        </w:rPr>
        <w:br w:type="page"/>
      </w:r>
    </w:p>
    <w:p w14:paraId="3FD1C213" w14:textId="77777777" w:rsidR="008F7154" w:rsidRPr="00292173" w:rsidRDefault="008F7154" w:rsidP="008926E0">
      <w:pPr>
        <w:pStyle w:val="Body"/>
        <w:spacing w:before="240" w:after="120"/>
        <w:rPr>
          <w:rFonts w:cs="Arial"/>
          <w:b/>
          <w:bCs/>
          <w:iCs/>
          <w:color w:val="358189"/>
          <w:szCs w:val="22"/>
          <w:u w:val="single"/>
        </w:rPr>
      </w:pPr>
      <w:r w:rsidRPr="00292173">
        <w:rPr>
          <w:rFonts w:cs="Arial"/>
          <w:b/>
          <w:bCs/>
          <w:iCs/>
          <w:color w:val="358189"/>
          <w:szCs w:val="22"/>
          <w:u w:val="single"/>
        </w:rPr>
        <w:lastRenderedPageBreak/>
        <w:t>Sector-led guidelines</w:t>
      </w:r>
    </w:p>
    <w:p w14:paraId="6D0F2C84" w14:textId="77777777" w:rsidR="008F7154" w:rsidRPr="00AD2981" w:rsidRDefault="008F7154" w:rsidP="008F7154">
      <w:pPr>
        <w:pStyle w:val="Body"/>
        <w:spacing w:after="120"/>
        <w:rPr>
          <w:color w:val="FF0000"/>
        </w:rPr>
      </w:pPr>
      <w:r w:rsidRPr="00FD1BBD">
        <w:rPr>
          <w:color w:val="auto"/>
        </w:rPr>
        <w:t>Until 2015, the Private Mental Health Alliance (PMHA) collaborated,</w:t>
      </w:r>
      <w:r w:rsidRPr="00FD1BBD">
        <w:rPr>
          <w:rFonts w:ascii="Aptos" w:eastAsia="Aptos" w:hAnsi="Aptos" w:cs="Aptos"/>
          <w:color w:val="auto"/>
          <w:szCs w:val="22"/>
          <w:lang w:val="en-AU"/>
        </w:rPr>
        <w:t xml:space="preserve"> </w:t>
      </w:r>
      <w:r w:rsidRPr="00FD1BBD">
        <w:rPr>
          <w:color w:val="auto"/>
          <w:lang w:val="en-AU"/>
        </w:rPr>
        <w:t>regularly reviewed and maintained</w:t>
      </w:r>
      <w:r w:rsidRPr="00FD1BBD">
        <w:rPr>
          <w:color w:val="auto"/>
        </w:rPr>
        <w:t xml:space="preserve"> the </w:t>
      </w:r>
      <w:hyperlink r:id="rId25" w:history="1">
        <w:r w:rsidRPr="00FD1BBD">
          <w:rPr>
            <w:rStyle w:val="Hyperlink"/>
            <w:i/>
            <w:iCs/>
            <w:szCs w:val="24"/>
            <w:lang w:val="en-AU"/>
          </w:rPr>
          <w:t>Guidelines for Determining Benefits for Private Health Insurance Purposes for Private Mental Health Care</w:t>
        </w:r>
      </w:hyperlink>
      <w:r w:rsidRPr="00225AD3">
        <w:rPr>
          <w:rStyle w:val="Hyperlink"/>
          <w:i/>
          <w:iCs/>
          <w:szCs w:val="24"/>
          <w:u w:val="none"/>
          <w:lang w:val="en-AU"/>
        </w:rPr>
        <w:t xml:space="preserve"> </w:t>
      </w:r>
      <w:r w:rsidRPr="00FD1BBD">
        <w:rPr>
          <w:color w:val="auto"/>
        </w:rPr>
        <w:t>(the Sector Guidelines). The Sector Guidelines governed the delivery and funding of mental health programs for privately insured patients.</w:t>
      </w:r>
    </w:p>
    <w:p w14:paraId="7A2BA714" w14:textId="77777777" w:rsidR="008F7154" w:rsidRDefault="008F7154" w:rsidP="008F7154">
      <w:pPr>
        <w:pStyle w:val="Body"/>
        <w:spacing w:after="120"/>
      </w:pPr>
      <w:r w:rsidRPr="00FD1BBD">
        <w:rPr>
          <w:color w:val="auto"/>
          <w:lang w:val="en-AU"/>
        </w:rPr>
        <w:t>The Sector Guidelines provided direction on how private hospitals and insurers determined PHI benefits for hospital-based mental health care (including same</w:t>
      </w:r>
      <w:r w:rsidRPr="00FD1BBD">
        <w:rPr>
          <w:rFonts w:ascii="Cambria Math" w:hAnsi="Cambria Math" w:cs="Cambria Math"/>
          <w:color w:val="auto"/>
          <w:lang w:val="en-AU"/>
        </w:rPr>
        <w:t>‑</w:t>
      </w:r>
      <w:r w:rsidRPr="00FD1BBD">
        <w:rPr>
          <w:color w:val="auto"/>
          <w:lang w:val="en-AU"/>
        </w:rPr>
        <w:t xml:space="preserve">day, overnight services and services substituting for traditional inpatient care) and, where relevant, community and outpatient services. The department understands that, since 2015, </w:t>
      </w:r>
      <w:r w:rsidRPr="00FD1BBD">
        <w:rPr>
          <w:color w:val="auto"/>
        </w:rPr>
        <w:t xml:space="preserve">the Sector Guidelines are being disregarded by some </w:t>
      </w:r>
      <w:r w:rsidRPr="002A75FF">
        <w:t>insurers and hospitals</w:t>
      </w:r>
      <w:r>
        <w:t xml:space="preserve">. </w:t>
      </w:r>
    </w:p>
    <w:p w14:paraId="77B5B674" w14:textId="77777777" w:rsidR="008F7154" w:rsidRDefault="008F7154" w:rsidP="008F7154">
      <w:pPr>
        <w:pStyle w:val="Body"/>
        <w:spacing w:after="120"/>
      </w:pPr>
      <w:r>
        <w:t xml:space="preserve">A working group of the CEO Forum </w:t>
      </w:r>
      <w:r w:rsidRPr="00363A9B">
        <w:rPr>
          <w:lang w:val="en-AU"/>
        </w:rPr>
        <w:t xml:space="preserve">identified there are opportunities to update the </w:t>
      </w:r>
      <w:r>
        <w:rPr>
          <w:lang w:val="en-AU"/>
        </w:rPr>
        <w:t xml:space="preserve">Sector </w:t>
      </w:r>
      <w:r w:rsidRPr="00363A9B">
        <w:rPr>
          <w:lang w:val="en-AU"/>
        </w:rPr>
        <w:t>Guidelines to better reflect contemporary clinical practice and improve patient access.</w:t>
      </w:r>
      <w:r>
        <w:rPr>
          <w:lang w:val="en-AU"/>
        </w:rPr>
        <w:t xml:space="preserve"> </w:t>
      </w:r>
      <w:r w:rsidRPr="00010827">
        <w:t>The working group undertook a targeted review of the</w:t>
      </w:r>
      <w:r>
        <w:t xml:space="preserve"> Sector</w:t>
      </w:r>
      <w:r w:rsidRPr="00010827">
        <w:t xml:space="preserve"> Guidelines and proposed a series of updates, including</w:t>
      </w:r>
      <w:r>
        <w:t>:</w:t>
      </w:r>
      <w:r w:rsidRPr="00010827">
        <w:t xml:space="preserve"> </w:t>
      </w:r>
    </w:p>
    <w:p w14:paraId="11257AA7" w14:textId="77777777" w:rsidR="008F7154" w:rsidRDefault="008F7154" w:rsidP="009257CE">
      <w:pPr>
        <w:pStyle w:val="Body"/>
        <w:numPr>
          <w:ilvl w:val="0"/>
          <w:numId w:val="18"/>
        </w:numPr>
        <w:spacing w:after="120"/>
      </w:pPr>
      <w:r w:rsidRPr="00010827">
        <w:t>guidance to enable patient referrals to day programs by GPs</w:t>
      </w:r>
      <w:r>
        <w:t xml:space="preserve">, </w:t>
      </w:r>
      <w:r w:rsidRPr="00A617BA">
        <w:t>Addiction Medicine</w:t>
      </w:r>
      <w:r>
        <w:t xml:space="preserve"> </w:t>
      </w:r>
      <w:r w:rsidRPr="00A617BA">
        <w:t>Physician</w:t>
      </w:r>
      <w:r>
        <w:t xml:space="preserve">s, </w:t>
      </w:r>
      <w:r w:rsidRPr="00A617BA">
        <w:t>Specialist Pain Medicine Physician</w:t>
      </w:r>
      <w:r>
        <w:t>s</w:t>
      </w:r>
      <w:r w:rsidRPr="00010827">
        <w:t xml:space="preserve"> and nurse practitioners</w:t>
      </w:r>
    </w:p>
    <w:p w14:paraId="65DF0B8B" w14:textId="77777777" w:rsidR="008F7154" w:rsidRDefault="008F7154" w:rsidP="009257CE">
      <w:pPr>
        <w:pStyle w:val="Body"/>
        <w:numPr>
          <w:ilvl w:val="0"/>
          <w:numId w:val="18"/>
        </w:numPr>
        <w:spacing w:after="120"/>
      </w:pPr>
      <w:r w:rsidRPr="00010827">
        <w:t>recognition of contemporary pharmacotherapy</w:t>
      </w:r>
      <w:r>
        <w:t xml:space="preserve">, </w:t>
      </w:r>
      <w:r w:rsidRPr="00010827">
        <w:t>procedural</w:t>
      </w:r>
      <w:r>
        <w:t xml:space="preserve"> and</w:t>
      </w:r>
      <w:r w:rsidRPr="00010827">
        <w:t xml:space="preserve"> behavioural therapies</w:t>
      </w:r>
      <w:r>
        <w:t>,</w:t>
      </w:r>
      <w:r w:rsidRPr="00010827">
        <w:t xml:space="preserve"> and </w:t>
      </w:r>
    </w:p>
    <w:p w14:paraId="38CABA26" w14:textId="77777777" w:rsidR="008F7154" w:rsidRPr="00010827" w:rsidRDefault="008F7154" w:rsidP="009257CE">
      <w:pPr>
        <w:pStyle w:val="Body"/>
        <w:numPr>
          <w:ilvl w:val="0"/>
          <w:numId w:val="18"/>
        </w:numPr>
        <w:spacing w:after="120"/>
        <w:ind w:left="714" w:hanging="357"/>
      </w:pPr>
      <w:r w:rsidRPr="00010827">
        <w:t>care delivered by clinicians</w:t>
      </w:r>
      <w:r>
        <w:t xml:space="preserve"> including</w:t>
      </w:r>
      <w:r w:rsidRPr="00010827">
        <w:t xml:space="preserve"> </w:t>
      </w:r>
      <w:r w:rsidRPr="00432B00">
        <w:t>Addiction Medicine Physicians</w:t>
      </w:r>
      <w:r>
        <w:t xml:space="preserve"> and</w:t>
      </w:r>
      <w:r w:rsidRPr="00432B00">
        <w:t xml:space="preserve"> Specialist Pain Medicine Physicians</w:t>
      </w:r>
      <w:r w:rsidRPr="00010827">
        <w:t>.</w:t>
      </w:r>
    </w:p>
    <w:p w14:paraId="545417CC" w14:textId="1A6782E0" w:rsidR="008F7154" w:rsidRDefault="008F7154" w:rsidP="008F7154">
      <w:pPr>
        <w:pStyle w:val="Body"/>
        <w:spacing w:after="120"/>
        <w:rPr>
          <w:color w:val="auto"/>
        </w:rPr>
      </w:pPr>
      <w:r w:rsidRPr="00381604">
        <w:rPr>
          <w:color w:val="auto"/>
        </w:rPr>
        <w:t xml:space="preserve">Former PMHA member organisations </w:t>
      </w:r>
      <w:r>
        <w:rPr>
          <w:color w:val="auto"/>
        </w:rPr>
        <w:t xml:space="preserve">and other stakeholders </w:t>
      </w:r>
      <w:r w:rsidRPr="00381604">
        <w:rPr>
          <w:color w:val="auto"/>
        </w:rPr>
        <w:t xml:space="preserve">are </w:t>
      </w:r>
      <w:r>
        <w:rPr>
          <w:color w:val="auto"/>
        </w:rPr>
        <w:t xml:space="preserve">encouraged to consider </w:t>
      </w:r>
      <w:r w:rsidRPr="00381604">
        <w:rPr>
          <w:color w:val="auto"/>
        </w:rPr>
        <w:t>the proposed changes</w:t>
      </w:r>
      <w:r w:rsidRPr="00FD1BBD">
        <w:rPr>
          <w:color w:val="auto"/>
        </w:rPr>
        <w:t xml:space="preserve">. </w:t>
      </w:r>
      <w:r>
        <w:rPr>
          <w:color w:val="auto"/>
        </w:rPr>
        <w:t>By 2026 it</w:t>
      </w:r>
      <w:r w:rsidRPr="00FD1BBD">
        <w:rPr>
          <w:color w:val="auto"/>
        </w:rPr>
        <w:t xml:space="preserve"> is expected the updated Sector Guidelines would be</w:t>
      </w:r>
      <w:r>
        <w:rPr>
          <w:color w:val="auto"/>
        </w:rPr>
        <w:t>:</w:t>
      </w:r>
    </w:p>
    <w:p w14:paraId="3921DEB4" w14:textId="77777777" w:rsidR="008F7154" w:rsidRPr="00FD1BBD" w:rsidRDefault="008F7154" w:rsidP="009257CE">
      <w:pPr>
        <w:pStyle w:val="Body"/>
        <w:numPr>
          <w:ilvl w:val="0"/>
          <w:numId w:val="51"/>
        </w:numPr>
        <w:spacing w:after="120"/>
        <w:rPr>
          <w:rFonts w:cs="Arial"/>
          <w:color w:val="FF0000"/>
        </w:rPr>
      </w:pPr>
      <w:r w:rsidRPr="00FD1BBD">
        <w:rPr>
          <w:color w:val="auto"/>
          <w:lang w:val="en-AU"/>
        </w:rPr>
        <w:t>endorsed by the sector</w:t>
      </w:r>
    </w:p>
    <w:p w14:paraId="636960F3" w14:textId="77777777" w:rsidR="008F7154" w:rsidRPr="00FD1BBD" w:rsidRDefault="008F7154" w:rsidP="009257CE">
      <w:pPr>
        <w:pStyle w:val="Body"/>
        <w:numPr>
          <w:ilvl w:val="0"/>
          <w:numId w:val="51"/>
        </w:numPr>
        <w:spacing w:after="120"/>
        <w:rPr>
          <w:rFonts w:cs="Arial"/>
          <w:color w:val="FF0000"/>
        </w:rPr>
      </w:pPr>
      <w:r w:rsidRPr="00FD1BBD">
        <w:rPr>
          <w:color w:val="auto"/>
        </w:rPr>
        <w:t>disseminated across the sector</w:t>
      </w:r>
      <w:r>
        <w:rPr>
          <w:color w:val="auto"/>
        </w:rPr>
        <w:t>,</w:t>
      </w:r>
      <w:r w:rsidRPr="00FD1BBD">
        <w:rPr>
          <w:color w:val="auto"/>
        </w:rPr>
        <w:t xml:space="preserve"> and </w:t>
      </w:r>
    </w:p>
    <w:p w14:paraId="5CB94801" w14:textId="77777777" w:rsidR="008F7154" w:rsidRPr="00FD1BBD" w:rsidRDefault="008F7154" w:rsidP="009257CE">
      <w:pPr>
        <w:pStyle w:val="Body"/>
        <w:numPr>
          <w:ilvl w:val="0"/>
          <w:numId w:val="51"/>
        </w:numPr>
        <w:spacing w:after="120"/>
        <w:rPr>
          <w:rFonts w:cs="Arial"/>
          <w:color w:val="FF0000"/>
        </w:rPr>
      </w:pPr>
      <w:r w:rsidRPr="00FD1BBD">
        <w:rPr>
          <w:color w:val="auto"/>
        </w:rPr>
        <w:t>referenced consistently in insurer</w:t>
      </w:r>
      <w:r w:rsidRPr="00FD1BBD">
        <w:rPr>
          <w:color w:val="auto"/>
          <w:lang w:val="en-AU"/>
        </w:rPr>
        <w:t>-</w:t>
      </w:r>
      <w:r w:rsidRPr="00FD1BBD">
        <w:rPr>
          <w:color w:val="auto"/>
        </w:rPr>
        <w:t xml:space="preserve">hospital agreements during 2026. </w:t>
      </w:r>
    </w:p>
    <w:p w14:paraId="4B0C469F" w14:textId="77777777" w:rsidR="008F7154" w:rsidRPr="00AD2981" w:rsidRDefault="008F7154" w:rsidP="008F7154">
      <w:pPr>
        <w:pStyle w:val="Body"/>
        <w:spacing w:after="120"/>
        <w:rPr>
          <w:rFonts w:cs="Arial"/>
          <w:color w:val="FF0000"/>
        </w:rPr>
      </w:pPr>
      <w:r w:rsidRPr="00FD1BBD">
        <w:rPr>
          <w:color w:val="auto"/>
        </w:rPr>
        <w:t>The working group also recommended that the PMHA be reconvened to conduct a comprehensive review of the Sector Guidelines, and to oversee an ongoing maintenance process for the Sector Guidelines. A reconvened PMHA could also support ongoing sector collaboration between patient groups, clinicians, private hospitals and private health insurers to support further expansion of contemporary models of care.</w:t>
      </w:r>
    </w:p>
    <w:p w14:paraId="30FE300F" w14:textId="77777777" w:rsidR="008F7154" w:rsidRPr="00E3223D" w:rsidRDefault="008F7154" w:rsidP="00651D4E">
      <w:pPr>
        <w:pStyle w:val="Heading3"/>
        <w:numPr>
          <w:ilvl w:val="2"/>
          <w:numId w:val="14"/>
        </w:numPr>
        <w:tabs>
          <w:tab w:val="num" w:pos="360"/>
        </w:tabs>
        <w:spacing w:before="240" w:after="120"/>
        <w:ind w:left="0" w:firstLine="0"/>
        <w:rPr>
          <w:b w:val="0"/>
          <w:bCs w:val="0"/>
          <w:i/>
          <w:iCs/>
          <w:sz w:val="28"/>
          <w:szCs w:val="24"/>
        </w:rPr>
      </w:pPr>
      <w:bookmarkStart w:id="33" w:name="_Toc233049246"/>
      <w:bookmarkStart w:id="34" w:name="_Toc233805027"/>
      <w:r w:rsidRPr="00E3223D">
        <w:rPr>
          <w:b w:val="0"/>
          <w:bCs w:val="0"/>
          <w:i/>
          <w:iCs/>
          <w:sz w:val="28"/>
          <w:szCs w:val="24"/>
        </w:rPr>
        <w:t>Proposed reform initiatives to support private mental health</w:t>
      </w:r>
      <w:bookmarkEnd w:id="33"/>
      <w:bookmarkEnd w:id="34"/>
    </w:p>
    <w:p w14:paraId="22867150" w14:textId="77777777" w:rsidR="008F7154" w:rsidRDefault="008F7154" w:rsidP="008F7154">
      <w:r w:rsidRPr="00615CDA">
        <w:t xml:space="preserve">The department seeks sector feedback </w:t>
      </w:r>
      <w:r w:rsidRPr="00615CDA" w:rsidDel="000C7127">
        <w:t>on</w:t>
      </w:r>
      <w:r>
        <w:t xml:space="preserve"> the proposed</w:t>
      </w:r>
      <w:r w:rsidRPr="00615CDA" w:rsidDel="000C7127">
        <w:t xml:space="preserve"> </w:t>
      </w:r>
      <w:r w:rsidRPr="00615CDA">
        <w:t>reform</w:t>
      </w:r>
      <w:r>
        <w:t xml:space="preserve"> initiatives</w:t>
      </w:r>
      <w:r w:rsidRPr="00615CDA" w:rsidDel="000C7127">
        <w:t xml:space="preserve"> </w:t>
      </w:r>
      <w:r w:rsidRPr="00615CDA">
        <w:t>to improve patient access and support the sustainability of privately insured mental health care services</w:t>
      </w:r>
      <w:r>
        <w:t>:</w:t>
      </w:r>
    </w:p>
    <w:p w14:paraId="1AB5D6F1" w14:textId="77777777" w:rsidR="008F7154" w:rsidRPr="00E10208" w:rsidRDefault="008F7154" w:rsidP="009257CE">
      <w:pPr>
        <w:pStyle w:val="Body"/>
        <w:numPr>
          <w:ilvl w:val="0"/>
          <w:numId w:val="18"/>
        </w:numPr>
        <w:spacing w:after="120"/>
      </w:pPr>
      <w:r>
        <w:t xml:space="preserve">Initiative 1: </w:t>
      </w:r>
      <w:r w:rsidRPr="00E10208">
        <w:t>Allowing overseas-trained psychiatrists to practice in private hospitals</w:t>
      </w:r>
    </w:p>
    <w:p w14:paraId="4D039CF6" w14:textId="77777777" w:rsidR="008F7154" w:rsidRPr="00E10208" w:rsidRDefault="008F7154" w:rsidP="009257CE">
      <w:pPr>
        <w:pStyle w:val="Body"/>
        <w:numPr>
          <w:ilvl w:val="0"/>
          <w:numId w:val="18"/>
        </w:numPr>
        <w:spacing w:after="120"/>
      </w:pPr>
      <w:r>
        <w:t>Initiative</w:t>
      </w:r>
      <w:r w:rsidRPr="00E10208">
        <w:t xml:space="preserve"> 2: Contemporary models of</w:t>
      </w:r>
      <w:r>
        <w:t xml:space="preserve"> mental health</w:t>
      </w:r>
      <w:r w:rsidRPr="00E10208">
        <w:t xml:space="preserve"> care</w:t>
      </w:r>
      <w:r>
        <w:t>, and</w:t>
      </w:r>
    </w:p>
    <w:p w14:paraId="1EA9792A" w14:textId="77777777" w:rsidR="008F7154" w:rsidRPr="00E10208" w:rsidRDefault="008F7154" w:rsidP="009257CE">
      <w:pPr>
        <w:pStyle w:val="Body"/>
        <w:numPr>
          <w:ilvl w:val="0"/>
          <w:numId w:val="18"/>
        </w:numPr>
        <w:spacing w:after="120"/>
        <w:ind w:left="714" w:hanging="357"/>
      </w:pPr>
      <w:r>
        <w:t>Initiative</w:t>
      </w:r>
      <w:r w:rsidRPr="00E10208" w:rsidDel="000C7127">
        <w:t xml:space="preserve"> </w:t>
      </w:r>
      <w:r w:rsidRPr="00E10208">
        <w:t xml:space="preserve">3: </w:t>
      </w:r>
      <w:r>
        <w:t>R</w:t>
      </w:r>
      <w:r w:rsidRPr="00E10208">
        <w:t>econven</w:t>
      </w:r>
      <w:r>
        <w:t>e</w:t>
      </w:r>
      <w:r w:rsidRPr="00E10208">
        <w:t xml:space="preserve"> the Private Mental Health Alliance</w:t>
      </w:r>
      <w:r>
        <w:t xml:space="preserve"> (PMHA).</w:t>
      </w:r>
    </w:p>
    <w:p w14:paraId="5224B603" w14:textId="77777777" w:rsidR="00470BDD" w:rsidRDefault="00470BDD">
      <w:pPr>
        <w:spacing w:before="0" w:after="0" w:line="240" w:lineRule="auto"/>
        <w:rPr>
          <w:rFonts w:cs="Arial"/>
          <w:b/>
          <w:bCs/>
          <w:iCs/>
          <w:color w:val="358189"/>
          <w:szCs w:val="22"/>
          <w:u w:val="single"/>
        </w:rPr>
      </w:pPr>
      <w:r>
        <w:rPr>
          <w:rFonts w:cs="Arial"/>
          <w:b/>
          <w:bCs/>
          <w:iCs/>
          <w:color w:val="358189"/>
          <w:szCs w:val="22"/>
          <w:u w:val="single"/>
        </w:rPr>
        <w:br w:type="page"/>
      </w:r>
    </w:p>
    <w:p w14:paraId="6699F408" w14:textId="5750CF11" w:rsidR="008F7154" w:rsidRPr="00947B1C" w:rsidRDefault="008F7154" w:rsidP="008926E0">
      <w:pPr>
        <w:pStyle w:val="Body"/>
        <w:spacing w:before="240" w:after="120"/>
        <w:rPr>
          <w:rFonts w:cs="Arial"/>
          <w:b/>
          <w:bCs/>
          <w:iCs/>
          <w:color w:val="358189"/>
          <w:szCs w:val="22"/>
          <w:u w:val="single"/>
        </w:rPr>
      </w:pPr>
      <w:r>
        <w:rPr>
          <w:rFonts w:cs="Arial"/>
          <w:b/>
          <w:bCs/>
          <w:iCs/>
          <w:color w:val="358189"/>
          <w:szCs w:val="22"/>
          <w:u w:val="single"/>
        </w:rPr>
        <w:lastRenderedPageBreak/>
        <w:t>Initiative</w:t>
      </w:r>
      <w:r w:rsidRPr="00947B1C">
        <w:rPr>
          <w:rFonts w:cs="Arial"/>
          <w:b/>
          <w:bCs/>
          <w:iCs/>
          <w:color w:val="358189"/>
          <w:szCs w:val="22"/>
          <w:u w:val="single"/>
        </w:rPr>
        <w:t xml:space="preserve"> 1: Allowing overseas-trained psychiatrists to practice in private hospitals</w:t>
      </w:r>
    </w:p>
    <w:p w14:paraId="3B33C474" w14:textId="77777777" w:rsidR="008F7154" w:rsidRDefault="008F7154" w:rsidP="008F7154">
      <w:r w:rsidRPr="00B86115">
        <w:rPr>
          <w:b/>
          <w:bCs/>
        </w:rPr>
        <w:t>Problem</w:t>
      </w:r>
    </w:p>
    <w:p w14:paraId="4C045F0C" w14:textId="77777777" w:rsidR="008F7154" w:rsidRDefault="008F7154" w:rsidP="008F7154">
      <w:r>
        <w:t>The Health Check highlighted challenges providers face recruiting and retaining psychiatrists for hospital</w:t>
      </w:r>
      <w:r>
        <w:rPr>
          <w:rFonts w:ascii="Cambria Math" w:hAnsi="Cambria Math" w:cs="Cambria Math"/>
        </w:rPr>
        <w:t>‑</w:t>
      </w:r>
      <w:r>
        <w:t>based work. Stakeholders have suggested overseas-trained psychiatrists could help to address this problem.</w:t>
      </w:r>
    </w:p>
    <w:p w14:paraId="65184CA8" w14:textId="77777777" w:rsidR="008F7154" w:rsidRPr="007F6BC5" w:rsidRDefault="008F7154" w:rsidP="008F7154">
      <w:pPr>
        <w:rPr>
          <w:b/>
          <w:bCs/>
        </w:rPr>
      </w:pPr>
      <w:r w:rsidRPr="007F6BC5">
        <w:rPr>
          <w:b/>
          <w:bCs/>
        </w:rPr>
        <w:t>Context</w:t>
      </w:r>
    </w:p>
    <w:p w14:paraId="7041B5AD" w14:textId="77777777" w:rsidR="008F7154" w:rsidRPr="00A80BF4" w:rsidRDefault="008F7154" w:rsidP="008F7154">
      <w:pPr>
        <w:rPr>
          <w:color w:val="auto"/>
        </w:rPr>
      </w:pPr>
      <w:r>
        <w:t>A</w:t>
      </w:r>
      <w:r w:rsidRPr="007F6BC5">
        <w:t xml:space="preserve">ccess to MBS </w:t>
      </w:r>
      <w:r>
        <w:t>benefits</w:t>
      </w:r>
      <w:r w:rsidRPr="007F6BC5">
        <w:t xml:space="preserve"> </w:t>
      </w:r>
      <w:r>
        <w:t>is</w:t>
      </w:r>
      <w:r w:rsidRPr="007F6BC5">
        <w:t xml:space="preserve"> </w:t>
      </w:r>
      <w:r>
        <w:t>required</w:t>
      </w:r>
      <w:r w:rsidRPr="007F6BC5">
        <w:t xml:space="preserve"> for psychiatrists to admit patients to private hospitals and for insurers to pay rebates. </w:t>
      </w:r>
      <w:r w:rsidRPr="00FD1BBD">
        <w:rPr>
          <w:color w:val="auto"/>
        </w:rPr>
        <w:t xml:space="preserve">Under the </w:t>
      </w:r>
      <w:hyperlink r:id="rId26" w:history="1">
        <w:r w:rsidRPr="00FD1BBD">
          <w:rPr>
            <w:rStyle w:val="Hyperlink"/>
          </w:rPr>
          <w:t>Medicare moratorium</w:t>
        </w:r>
      </w:hyperlink>
      <w:r w:rsidRPr="00FD1BBD">
        <w:rPr>
          <w:color w:val="auto"/>
        </w:rPr>
        <w:t>, overseas</w:t>
      </w:r>
      <w:r w:rsidRPr="00FD1BBD">
        <w:rPr>
          <w:color w:val="auto"/>
        </w:rPr>
        <w:noBreakHyphen/>
        <w:t>trained doctors are prevented from accessing Medicare rebates</w:t>
      </w:r>
      <w:r>
        <w:rPr>
          <w:color w:val="auto"/>
        </w:rPr>
        <w:t xml:space="preserve"> until they have been registered in Australia for over</w:t>
      </w:r>
      <w:r w:rsidRPr="00FD1BBD">
        <w:rPr>
          <w:color w:val="auto"/>
        </w:rPr>
        <w:t xml:space="preserve"> 10 years</w:t>
      </w:r>
      <w:r>
        <w:rPr>
          <w:color w:val="auto"/>
        </w:rPr>
        <w:t>,</w:t>
      </w:r>
      <w:r w:rsidRPr="00FD1BBD">
        <w:rPr>
          <w:color w:val="auto"/>
        </w:rPr>
        <w:t xml:space="preserve"> unless they receive an exemption</w:t>
      </w:r>
      <w:r>
        <w:rPr>
          <w:color w:val="auto"/>
        </w:rPr>
        <w:t xml:space="preserve"> (i.e. </w:t>
      </w:r>
      <w:r w:rsidRPr="00FD1BBD">
        <w:rPr>
          <w:color w:val="auto"/>
        </w:rPr>
        <w:t>for working in a DWS area</w:t>
      </w:r>
      <w:r>
        <w:rPr>
          <w:color w:val="auto"/>
        </w:rPr>
        <w:t>)</w:t>
      </w:r>
      <w:r w:rsidRPr="00FD1BBD">
        <w:rPr>
          <w:color w:val="auto"/>
        </w:rPr>
        <w:t xml:space="preserve">. </w:t>
      </w:r>
      <w:r w:rsidRPr="00A80BF4">
        <w:rPr>
          <w:color w:val="auto"/>
        </w:rPr>
        <w:t>The Medicare moratorium is a longstanding policy to distribute overseas trained doctors to where they are needed.</w:t>
      </w:r>
    </w:p>
    <w:p w14:paraId="23E3963A" w14:textId="77777777" w:rsidR="008F7154" w:rsidRPr="00FD1BBD" w:rsidRDefault="008F7154" w:rsidP="008F7154">
      <w:pPr>
        <w:rPr>
          <w:color w:val="auto"/>
        </w:rPr>
      </w:pPr>
      <w:r w:rsidRPr="00FD1BBD">
        <w:rPr>
          <w:color w:val="auto"/>
        </w:rPr>
        <w:t>As a result, many overseas</w:t>
      </w:r>
      <w:r w:rsidRPr="00FD1BBD">
        <w:rPr>
          <w:color w:val="auto"/>
        </w:rPr>
        <w:noBreakHyphen/>
        <w:t>trained psychiatrists are generally unable to practice in private hospitals unless the hospital is in a DWS or the psychiatrist provides services after hours.</w:t>
      </w:r>
      <w:r>
        <w:rPr>
          <w:color w:val="auto"/>
        </w:rPr>
        <w:t xml:space="preserve"> With most</w:t>
      </w:r>
      <w:r w:rsidRPr="00FD1BBD">
        <w:rPr>
          <w:color w:val="auto"/>
        </w:rPr>
        <w:t xml:space="preserve"> private psychiatric hospitals in metropolitan areas, moratorium</w:t>
      </w:r>
      <w:r w:rsidRPr="00FD1BBD">
        <w:rPr>
          <w:color w:val="auto"/>
        </w:rPr>
        <w:noBreakHyphen/>
        <w:t>restricted psychiatrists are effectively prevented from practising in these settings (until they complete their 10-year moratorium).</w:t>
      </w:r>
    </w:p>
    <w:p w14:paraId="6D06E398" w14:textId="77777777" w:rsidR="008F7154" w:rsidRPr="00FD1BBD" w:rsidRDefault="008F7154" w:rsidP="008F7154">
      <w:pPr>
        <w:rPr>
          <w:color w:val="auto"/>
        </w:rPr>
      </w:pPr>
      <w:r w:rsidRPr="007F6BC5">
        <w:t xml:space="preserve">In January 2025, the </w:t>
      </w:r>
      <w:r>
        <w:t>d</w:t>
      </w:r>
      <w:r w:rsidRPr="007F6BC5">
        <w:t xml:space="preserve">epartment </w:t>
      </w:r>
      <w:r>
        <w:t xml:space="preserve">released </w:t>
      </w:r>
      <w:r w:rsidRPr="007F6BC5">
        <w:t xml:space="preserve">a </w:t>
      </w:r>
      <w:hyperlink r:id="rId27" w:history="1">
        <w:r>
          <w:rPr>
            <w:rStyle w:val="Hyperlink"/>
          </w:rPr>
          <w:t>c</w:t>
        </w:r>
        <w:r w:rsidRPr="007F6BC5">
          <w:rPr>
            <w:rStyle w:val="Hyperlink"/>
          </w:rPr>
          <w:t>onsultation paper</w:t>
        </w:r>
      </w:hyperlink>
      <w:r w:rsidRPr="007F6BC5">
        <w:t xml:space="preserve"> including an option for potential Medicare moratorium</w:t>
      </w:r>
      <w:r>
        <w:t xml:space="preserve"> exemptions</w:t>
      </w:r>
      <w:r w:rsidRPr="007F6BC5">
        <w:t xml:space="preserve">. </w:t>
      </w:r>
      <w:r w:rsidRPr="00FD1BBD">
        <w:rPr>
          <w:color w:val="auto"/>
        </w:rPr>
        <w:t xml:space="preserve">While some stakeholders (particularly private hospitals) expressed support for the proposal, others raised concern about potential impacts on regional services and public hospital mental health systems, including the: </w:t>
      </w:r>
    </w:p>
    <w:p w14:paraId="3C5624B9" w14:textId="77777777" w:rsidR="008F7154" w:rsidRDefault="008F7154" w:rsidP="009257CE">
      <w:pPr>
        <w:pStyle w:val="Body"/>
        <w:numPr>
          <w:ilvl w:val="0"/>
          <w:numId w:val="18"/>
        </w:numPr>
        <w:spacing w:after="120"/>
      </w:pPr>
      <w:r w:rsidRPr="007F6BC5">
        <w:t>risk that a new exemption from the moratorium could draw overseas</w:t>
      </w:r>
      <w:r w:rsidRPr="007F6BC5">
        <w:noBreakHyphen/>
        <w:t xml:space="preserve">trained psychiatrists away from </w:t>
      </w:r>
      <w:r>
        <w:t>regions</w:t>
      </w:r>
      <w:r w:rsidRPr="007F6BC5">
        <w:t xml:space="preserve"> classified as DWS</w:t>
      </w:r>
      <w:r>
        <w:t>, and</w:t>
      </w:r>
    </w:p>
    <w:p w14:paraId="4FCB9344" w14:textId="77777777" w:rsidR="008F7154" w:rsidRDefault="008F7154" w:rsidP="009257CE">
      <w:pPr>
        <w:pStyle w:val="Body"/>
        <w:numPr>
          <w:ilvl w:val="0"/>
          <w:numId w:val="18"/>
        </w:numPr>
        <w:spacing w:after="120"/>
        <w:ind w:left="714" w:hanging="357"/>
      </w:pPr>
      <w:r w:rsidRPr="007F6BC5">
        <w:t>exemption could also incentivise movement of psychiatrists from the public hospital system to the private sector, further exacerbating workforce pressures in regional areas and in public hospitals.</w:t>
      </w:r>
      <w:r>
        <w:t xml:space="preserve"> </w:t>
      </w:r>
    </w:p>
    <w:p w14:paraId="4FDD6B2C" w14:textId="77777777" w:rsidR="008F7154" w:rsidRPr="00754EEF" w:rsidRDefault="008F7154" w:rsidP="008F7154">
      <w:pPr>
        <w:spacing w:line="240" w:lineRule="auto"/>
        <w:rPr>
          <w:i/>
          <w:iCs/>
        </w:rPr>
      </w:pPr>
      <w:r w:rsidRPr="00754EEF">
        <w:rPr>
          <w:b/>
          <w:bCs/>
        </w:rPr>
        <w:t>Action</w:t>
      </w:r>
    </w:p>
    <w:p w14:paraId="7C655E28" w14:textId="77777777" w:rsidR="008F7154" w:rsidRPr="00754EEF" w:rsidRDefault="008F7154" w:rsidP="008F7154">
      <w:r w:rsidRPr="00754EEF">
        <w:t xml:space="preserve">Apply targeted </w:t>
      </w:r>
      <w:r>
        <w:t>exemptions</w:t>
      </w:r>
      <w:r w:rsidRPr="00754EEF">
        <w:t xml:space="preserve"> to the Medicare moratorium to enable overseas</w:t>
      </w:r>
      <w:r w:rsidRPr="00754EEF">
        <w:rPr>
          <w:rFonts w:ascii="Cambria Math" w:hAnsi="Cambria Math" w:cs="Cambria Math"/>
        </w:rPr>
        <w:t>‑</w:t>
      </w:r>
      <w:r w:rsidRPr="00754EEF">
        <w:t>trained psychiatrists to deliver admitted patient care in private hospitals not located in</w:t>
      </w:r>
      <w:r>
        <w:t xml:space="preserve"> a DWS</w:t>
      </w:r>
      <w:r w:rsidRPr="00754EEF">
        <w:t>.</w:t>
      </w:r>
    </w:p>
    <w:p w14:paraId="57DA294E" w14:textId="77777777" w:rsidR="008F7154" w:rsidRPr="00754EEF" w:rsidRDefault="008F7154" w:rsidP="008F7154">
      <w:pPr>
        <w:rPr>
          <w:i/>
          <w:iCs/>
        </w:rPr>
      </w:pPr>
      <w:r w:rsidRPr="00754EEF">
        <w:rPr>
          <w:b/>
          <w:bCs/>
        </w:rPr>
        <w:t>Objective</w:t>
      </w:r>
    </w:p>
    <w:p w14:paraId="676F6A14" w14:textId="77777777" w:rsidR="008F7154" w:rsidRPr="00754EEF" w:rsidRDefault="008F7154" w:rsidP="008F7154">
      <w:r w:rsidRPr="00754EEF">
        <w:t>Increase the supply of overseas trained psychiatrists who can admit patients to private hospitals. The intention is that this would improve patient access to care and support the viability of private hospitals providing psychiatric care.</w:t>
      </w:r>
    </w:p>
    <w:p w14:paraId="38456BD0" w14:textId="77777777" w:rsidR="008F7154" w:rsidRPr="00754EEF" w:rsidRDefault="008F7154" w:rsidP="008F7154">
      <w:pPr>
        <w:rPr>
          <w:i/>
          <w:iCs/>
        </w:rPr>
      </w:pPr>
      <w:r w:rsidRPr="00754EEF">
        <w:rPr>
          <w:b/>
          <w:bCs/>
        </w:rPr>
        <w:t>Details</w:t>
      </w:r>
    </w:p>
    <w:p w14:paraId="5A45EFA4" w14:textId="77777777" w:rsidR="008F7154" w:rsidRDefault="008F7154" w:rsidP="008F7154">
      <w:pPr>
        <w:rPr>
          <w:color w:val="auto"/>
        </w:rPr>
      </w:pPr>
      <w:r w:rsidRPr="00FD1BBD">
        <w:rPr>
          <w:color w:val="auto"/>
        </w:rPr>
        <w:t>An exemption would be established under section 19AB(3) of the HI Act for international medical graduate psychiatrists who admit and treat patients in declared private hospitals not in DWSs.</w:t>
      </w:r>
      <w:r>
        <w:rPr>
          <w:color w:val="auto"/>
        </w:rPr>
        <w:t xml:space="preserve"> </w:t>
      </w:r>
      <w:r w:rsidRPr="00417DFC">
        <w:rPr>
          <w:color w:val="auto"/>
        </w:rPr>
        <w:t>Overseas</w:t>
      </w:r>
      <w:r w:rsidRPr="00417DFC">
        <w:rPr>
          <w:rFonts w:ascii="Cambria Math" w:hAnsi="Cambria Math" w:cs="Cambria Math"/>
          <w:color w:val="auto"/>
        </w:rPr>
        <w:t>‑</w:t>
      </w:r>
      <w:r w:rsidRPr="00417DFC">
        <w:rPr>
          <w:color w:val="auto"/>
        </w:rPr>
        <w:t>trained psychiatrists would have to apply for exemption for each private hospital location through a Medicare provider number application</w:t>
      </w:r>
      <w:r w:rsidRPr="00417DFC">
        <w:rPr>
          <w:rStyle w:val="EndnoteReference"/>
          <w:color w:val="auto"/>
        </w:rPr>
        <w:endnoteReference w:id="2"/>
      </w:r>
      <w:r w:rsidRPr="00417DFC">
        <w:rPr>
          <w:color w:val="auto"/>
        </w:rPr>
        <w:t xml:space="preserve"> (i.e. they would not be granted a single exemption to cover all private hospitals not located in a DWS).</w:t>
      </w:r>
    </w:p>
    <w:p w14:paraId="480741B1" w14:textId="5CAEC3C3" w:rsidR="008F7154" w:rsidRDefault="008F7154" w:rsidP="008F7154">
      <w:pPr>
        <w:rPr>
          <w:b/>
          <w:bCs/>
        </w:rPr>
      </w:pPr>
      <w:r w:rsidRPr="0017599E">
        <w:rPr>
          <w:rStyle w:val="BodyChar"/>
        </w:rPr>
        <w:t xml:space="preserve">Based on previous feedback </w:t>
      </w:r>
      <w:r w:rsidR="00630E87" w:rsidRPr="0017599E">
        <w:rPr>
          <w:rStyle w:val="BodyChar"/>
        </w:rPr>
        <w:t>on</w:t>
      </w:r>
      <w:r w:rsidRPr="0017599E">
        <w:rPr>
          <w:rStyle w:val="BodyChar"/>
        </w:rPr>
        <w:t xml:space="preserve"> potential risks, several potential </w:t>
      </w:r>
      <w:r>
        <w:rPr>
          <w:rStyle w:val="BodyChar"/>
        </w:rPr>
        <w:t>operational</w:t>
      </w:r>
      <w:r w:rsidRPr="0017599E">
        <w:rPr>
          <w:rStyle w:val="BodyChar"/>
        </w:rPr>
        <w:t xml:space="preserve"> ‘guardrail’</w:t>
      </w:r>
      <w:r>
        <w:rPr>
          <w:rStyle w:val="BodyChar"/>
        </w:rPr>
        <w:t xml:space="preserve"> options</w:t>
      </w:r>
      <w:r w:rsidRPr="0017599E">
        <w:rPr>
          <w:rStyle w:val="BodyChar"/>
        </w:rPr>
        <w:t xml:space="preserve"> have been identified below.</w:t>
      </w:r>
    </w:p>
    <w:p w14:paraId="37972807" w14:textId="77777777" w:rsidR="00BF2B27" w:rsidRPr="000104CB" w:rsidRDefault="00BF2B27" w:rsidP="00BF2B27">
      <w:pPr>
        <w:rPr>
          <w:b/>
          <w:bCs/>
        </w:rPr>
      </w:pPr>
      <w:r>
        <w:rPr>
          <w:b/>
          <w:bCs/>
        </w:rPr>
        <w:lastRenderedPageBreak/>
        <w:t>Operational guardrail options</w:t>
      </w:r>
    </w:p>
    <w:p w14:paraId="3CE76923" w14:textId="77777777" w:rsidR="00BF2B27" w:rsidRDefault="00BF2B27" w:rsidP="00BF2B27">
      <w:pPr>
        <w:spacing w:line="240" w:lineRule="auto"/>
      </w:pPr>
      <w:r w:rsidRPr="0017599E">
        <w:rPr>
          <w:rStyle w:val="BodyChar"/>
        </w:rPr>
        <w:t>Feedback is sought on the suitability and effectiveness of the guardrails in supporting implementation of the proposed initiative</w:t>
      </w:r>
      <w:r w:rsidRPr="007F6BC5">
        <w:t>.</w:t>
      </w:r>
    </w:p>
    <w:tbl>
      <w:tblPr>
        <w:tblStyle w:val="DepartmentofHealthtable"/>
        <w:tblW w:w="10065" w:type="dxa"/>
        <w:tblInd w:w="-289" w:type="dxa"/>
        <w:tblBorders>
          <w:left w:val="single" w:sz="4" w:space="0" w:color="auto"/>
          <w:right w:val="single" w:sz="4" w:space="0" w:color="auto"/>
          <w:insideH w:val="none" w:sz="0" w:space="0" w:color="auto"/>
        </w:tblBorders>
        <w:tblLayout w:type="fixed"/>
        <w:tblLook w:val="04A0" w:firstRow="1" w:lastRow="0" w:firstColumn="1" w:lastColumn="0" w:noHBand="0" w:noVBand="1"/>
        <w:tblDescription w:val="Add Alt Text describing the content of the table"/>
      </w:tblPr>
      <w:tblGrid>
        <w:gridCol w:w="3261"/>
        <w:gridCol w:w="6804"/>
      </w:tblGrid>
      <w:tr w:rsidR="00BF2B27" w:rsidRPr="00C810F8" w14:paraId="65DF672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65" w:type="dxa"/>
            <w:gridSpan w:val="2"/>
            <w:tcBorders>
              <w:top w:val="single" w:sz="4" w:space="0" w:color="auto"/>
              <w:bottom w:val="single" w:sz="4" w:space="0" w:color="FFFFFF" w:themeColor="background1"/>
            </w:tcBorders>
          </w:tcPr>
          <w:p w14:paraId="15973BD7" w14:textId="77777777" w:rsidR="00BF2B27" w:rsidRPr="00C810F8" w:rsidRDefault="00BF2B27">
            <w:pPr>
              <w:pStyle w:val="TableHeader"/>
              <w:spacing w:before="120" w:after="120"/>
              <w:rPr>
                <w:sz w:val="20"/>
                <w:szCs w:val="20"/>
              </w:rPr>
            </w:pPr>
            <w:r w:rsidRPr="00C810F8">
              <w:rPr>
                <w:bCs/>
                <w:iCs/>
                <w:sz w:val="20"/>
                <w:szCs w:val="20"/>
                <w:lang w:val="en-AU"/>
              </w:rPr>
              <w:t>Mental Health Reform Initiative 1:</w:t>
            </w:r>
            <w:r w:rsidRPr="00C810F8">
              <w:rPr>
                <w:rFonts w:eastAsia="Times New Roman" w:cs="Arial"/>
                <w:bCs/>
                <w:iCs/>
                <w:color w:val="358189"/>
                <w:sz w:val="20"/>
                <w:szCs w:val="20"/>
                <w:u w:val="single"/>
                <w:lang w:val="en-AU"/>
              </w:rPr>
              <w:t xml:space="preserve"> </w:t>
            </w:r>
            <w:r w:rsidRPr="00C810F8">
              <w:rPr>
                <w:bCs/>
                <w:iCs/>
                <w:sz w:val="20"/>
                <w:szCs w:val="20"/>
                <w:lang w:val="en-AU"/>
              </w:rPr>
              <w:t>Allowing overseas-trained psychiatrists to practice in private hospitals</w:t>
            </w:r>
          </w:p>
        </w:tc>
      </w:tr>
      <w:tr w:rsidR="00BF2B27" w:rsidRPr="00C810F8" w14:paraId="14732A7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65" w:type="dxa"/>
            <w:gridSpan w:val="2"/>
            <w:tcBorders>
              <w:top w:val="single" w:sz="4" w:space="0" w:color="FFFFFF" w:themeColor="background1"/>
            </w:tcBorders>
          </w:tcPr>
          <w:p w14:paraId="4685C213" w14:textId="77777777" w:rsidR="00BF2B27" w:rsidRPr="00C810F8" w:rsidRDefault="00BF2B27">
            <w:pPr>
              <w:pStyle w:val="TableHeader"/>
              <w:spacing w:before="120" w:after="120"/>
              <w:rPr>
                <w:bCs/>
                <w:iCs/>
                <w:sz w:val="20"/>
                <w:szCs w:val="20"/>
                <w:lang w:val="en-AU"/>
              </w:rPr>
            </w:pPr>
            <w:r w:rsidRPr="00C810F8">
              <w:rPr>
                <w:sz w:val="20"/>
                <w:szCs w:val="20"/>
              </w:rPr>
              <w:t>Potential guardrail options</w:t>
            </w:r>
          </w:p>
        </w:tc>
      </w:tr>
      <w:tr w:rsidR="00BF2B27" w:rsidRPr="00D74F25" w14:paraId="2D654A22"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4" w:space="0" w:color="auto"/>
            </w:tcBorders>
            <w:shd w:val="clear" w:color="auto" w:fill="auto"/>
            <w:vAlign w:val="center"/>
          </w:tcPr>
          <w:p w14:paraId="21320A94" w14:textId="77777777" w:rsidR="00BF2B27" w:rsidRPr="00C810F8" w:rsidRDefault="00BF2B27">
            <w:pPr>
              <w:pStyle w:val="ListParagraph"/>
              <w:numPr>
                <w:ilvl w:val="0"/>
                <w:numId w:val="52"/>
              </w:numPr>
              <w:rPr>
                <w:b/>
                <w:bCs/>
                <w:i/>
                <w:iCs/>
                <w:sz w:val="20"/>
              </w:rPr>
            </w:pPr>
            <w:r w:rsidRPr="00C810F8">
              <w:rPr>
                <w:b/>
                <w:bCs/>
                <w:i/>
                <w:iCs/>
                <w:sz w:val="20"/>
              </w:rPr>
              <w:t xml:space="preserve">Restrict </w:t>
            </w:r>
            <w:r>
              <w:rPr>
                <w:b/>
                <w:bCs/>
                <w:i/>
                <w:iCs/>
                <w:sz w:val="20"/>
              </w:rPr>
              <w:t xml:space="preserve">the </w:t>
            </w:r>
            <w:r w:rsidRPr="00C810F8">
              <w:rPr>
                <w:b/>
                <w:bCs/>
                <w:i/>
                <w:iCs/>
                <w:sz w:val="20"/>
              </w:rPr>
              <w:t>exemption to admitted (inpatient) MBS services</w:t>
            </w:r>
          </w:p>
          <w:p w14:paraId="17CC8B56" w14:textId="77777777" w:rsidR="00BF2B27" w:rsidRPr="00C810F8" w:rsidRDefault="00BF2B27">
            <w:pPr>
              <w:ind w:left="360"/>
              <w:rPr>
                <w:sz w:val="20"/>
              </w:rPr>
            </w:pPr>
            <w:r w:rsidRPr="00C810F8">
              <w:rPr>
                <w:sz w:val="20"/>
              </w:rPr>
              <w:t>Psychiatrists can only access MBS benefits for services delivered to admitted patients (inpatients)</w:t>
            </w:r>
          </w:p>
        </w:tc>
        <w:tc>
          <w:tcPr>
            <w:tcW w:w="6804" w:type="dxa"/>
            <w:tcBorders>
              <w:top w:val="nil"/>
              <w:bottom w:val="single" w:sz="4" w:space="0" w:color="auto"/>
            </w:tcBorders>
            <w:shd w:val="clear" w:color="auto" w:fill="auto"/>
            <w:vAlign w:val="center"/>
          </w:tcPr>
          <w:p w14:paraId="1D0A253B" w14:textId="77777777" w:rsidR="00BF2B27" w:rsidRDefault="00BF2B27">
            <w:pPr>
              <w:pStyle w:val="ListParagraph"/>
              <w:ind w:left="360"/>
              <w:cnfStyle w:val="000000100000" w:firstRow="0" w:lastRow="0" w:firstColumn="0" w:lastColumn="0" w:oddVBand="0" w:evenVBand="0" w:oddHBand="1" w:evenHBand="0" w:firstRowFirstColumn="0" w:firstRowLastColumn="0" w:lastRowFirstColumn="0" w:lastRowLastColumn="0"/>
              <w:rPr>
                <w:sz w:val="20"/>
              </w:rPr>
            </w:pPr>
          </w:p>
          <w:p w14:paraId="29430ABF" w14:textId="77777777" w:rsidR="00BF2B27" w:rsidRDefault="00BF2B27">
            <w:pPr>
              <w:pStyle w:val="ListParagraph"/>
              <w:numPr>
                <w:ilvl w:val="1"/>
                <w:numId w:val="49"/>
              </w:numPr>
              <w:cnfStyle w:val="000000100000" w:firstRow="0" w:lastRow="0" w:firstColumn="0" w:lastColumn="0" w:oddVBand="0" w:evenVBand="0" w:oddHBand="1" w:evenHBand="0" w:firstRowFirstColumn="0" w:firstRowLastColumn="0" w:lastRowFirstColumn="0" w:lastRowLastColumn="0"/>
              <w:rPr>
                <w:sz w:val="20"/>
              </w:rPr>
            </w:pPr>
            <w:r>
              <w:rPr>
                <w:sz w:val="20"/>
              </w:rPr>
              <w:t>O</w:t>
            </w:r>
            <w:r w:rsidRPr="0065269F">
              <w:rPr>
                <w:sz w:val="20"/>
              </w:rPr>
              <w:t>verseas trained psychiatrists</w:t>
            </w:r>
            <w:r>
              <w:rPr>
                <w:sz w:val="20"/>
              </w:rPr>
              <w:t xml:space="preserve"> would </w:t>
            </w:r>
            <w:r w:rsidRPr="0065269F">
              <w:rPr>
                <w:sz w:val="20"/>
              </w:rPr>
              <w:t>only</w:t>
            </w:r>
            <w:r>
              <w:rPr>
                <w:sz w:val="20"/>
              </w:rPr>
              <w:t xml:space="preserve"> be able </w:t>
            </w:r>
            <w:r w:rsidRPr="0065269F">
              <w:rPr>
                <w:sz w:val="20"/>
              </w:rPr>
              <w:t>to access MBS benefits for services delivered to admitted patients (inpatients) at private hospitals located outside a DWS. The exemption would not extend to non-admitted (outpatient) services at that hospital location.</w:t>
            </w:r>
          </w:p>
          <w:p w14:paraId="0C0011B7" w14:textId="77777777" w:rsidR="00BF2B27" w:rsidRPr="0065269F" w:rsidRDefault="00BF2B27">
            <w:pPr>
              <w:pStyle w:val="ListParagraph"/>
              <w:numPr>
                <w:ilvl w:val="1"/>
                <w:numId w:val="49"/>
              </w:numPr>
              <w:cnfStyle w:val="000000100000" w:firstRow="0" w:lastRow="0" w:firstColumn="0" w:lastColumn="0" w:oddVBand="0" w:evenVBand="0" w:oddHBand="1" w:evenHBand="0" w:firstRowFirstColumn="0" w:firstRowLastColumn="0" w:lastRowFirstColumn="0" w:lastRowLastColumn="0"/>
              <w:rPr>
                <w:sz w:val="20"/>
              </w:rPr>
            </w:pPr>
            <w:r w:rsidRPr="0065269F">
              <w:rPr>
                <w:sz w:val="20"/>
              </w:rPr>
              <w:t>In practice, this would enable psychiatrists based in a DWS (e.g. an outer metropolitan area) to admit patients to a private hospital in a non</w:t>
            </w:r>
            <w:r w:rsidRPr="0065269F">
              <w:rPr>
                <w:rFonts w:ascii="Cambria Math" w:hAnsi="Cambria Math" w:cs="Cambria Math"/>
                <w:sz w:val="20"/>
              </w:rPr>
              <w:t>‑</w:t>
            </w:r>
            <w:r w:rsidRPr="0065269F">
              <w:rPr>
                <w:sz w:val="20"/>
              </w:rPr>
              <w:t>DWS area (e.g. an inner metropolitan area), treat those patients while they are admitted, and then provide any post</w:t>
            </w:r>
            <w:r w:rsidRPr="0065269F">
              <w:rPr>
                <w:rFonts w:ascii="Cambria Math" w:hAnsi="Cambria Math" w:cs="Cambria Math"/>
                <w:sz w:val="20"/>
              </w:rPr>
              <w:t>‑</w:t>
            </w:r>
            <w:r w:rsidRPr="0065269F">
              <w:rPr>
                <w:sz w:val="20"/>
              </w:rPr>
              <w:t>discharge (outpatient) care from their usual DWS practice location.</w:t>
            </w:r>
          </w:p>
          <w:p w14:paraId="79B4422A" w14:textId="77777777" w:rsidR="00BF2B27" w:rsidRDefault="00BF2B27">
            <w:pPr>
              <w:pStyle w:val="ListParagraph"/>
              <w:numPr>
                <w:ilvl w:val="1"/>
                <w:numId w:val="49"/>
              </w:numPr>
              <w:cnfStyle w:val="000000100000" w:firstRow="0" w:lastRow="0" w:firstColumn="0" w:lastColumn="0" w:oddVBand="0" w:evenVBand="0" w:oddHBand="1" w:evenHBand="0" w:firstRowFirstColumn="0" w:firstRowLastColumn="0" w:lastRowFirstColumn="0" w:lastRowLastColumn="0"/>
              <w:rPr>
                <w:sz w:val="20"/>
              </w:rPr>
            </w:pPr>
            <w:r w:rsidRPr="00923443">
              <w:rPr>
                <w:sz w:val="20"/>
              </w:rPr>
              <w:t>Th</w:t>
            </w:r>
            <w:r>
              <w:rPr>
                <w:sz w:val="20"/>
              </w:rPr>
              <w:t>is</w:t>
            </w:r>
            <w:r w:rsidRPr="00923443">
              <w:rPr>
                <w:sz w:val="20"/>
              </w:rPr>
              <w:t xml:space="preserve"> guardrail option is intended to prevent overseas</w:t>
            </w:r>
            <w:r w:rsidRPr="00923443">
              <w:rPr>
                <w:rFonts w:ascii="Cambria Math" w:hAnsi="Cambria Math" w:cs="Cambria Math"/>
                <w:sz w:val="20"/>
              </w:rPr>
              <w:t>‑</w:t>
            </w:r>
            <w:r w:rsidRPr="00923443">
              <w:rPr>
                <w:sz w:val="20"/>
              </w:rPr>
              <w:t>trained psychiatrists practising in DWS areas from relocating to establish room</w:t>
            </w:r>
            <w:r w:rsidRPr="00923443">
              <w:rPr>
                <w:rFonts w:ascii="Cambria Math" w:hAnsi="Cambria Math" w:cs="Cambria Math"/>
                <w:sz w:val="20"/>
              </w:rPr>
              <w:t>‑</w:t>
            </w:r>
            <w:r w:rsidRPr="00923443">
              <w:rPr>
                <w:sz w:val="20"/>
              </w:rPr>
              <w:t>based private practices within private hospitals in non</w:t>
            </w:r>
            <w:r w:rsidRPr="00923443">
              <w:rPr>
                <w:rFonts w:ascii="Cambria Math" w:hAnsi="Cambria Math" w:cs="Cambria Math"/>
                <w:sz w:val="20"/>
              </w:rPr>
              <w:t>‑</w:t>
            </w:r>
            <w:r w:rsidRPr="00923443">
              <w:rPr>
                <w:sz w:val="20"/>
              </w:rPr>
              <w:t>DWS locations.</w:t>
            </w:r>
          </w:p>
          <w:p w14:paraId="135B374D" w14:textId="77777777" w:rsidR="00BF2B27" w:rsidRPr="00D74F25" w:rsidRDefault="00BF2B27">
            <w:pPr>
              <w:pStyle w:val="ListParagraph"/>
              <w:ind w:left="360"/>
              <w:cnfStyle w:val="000000100000" w:firstRow="0" w:lastRow="0" w:firstColumn="0" w:lastColumn="0" w:oddVBand="0" w:evenVBand="0" w:oddHBand="1" w:evenHBand="0" w:firstRowFirstColumn="0" w:firstRowLastColumn="0" w:lastRowFirstColumn="0" w:lastRowLastColumn="0"/>
              <w:rPr>
                <w:sz w:val="20"/>
              </w:rPr>
            </w:pPr>
          </w:p>
        </w:tc>
      </w:tr>
      <w:tr w:rsidR="00BF2B27" w:rsidRPr="00C810F8" w14:paraId="4C539847" w14:textId="77777777">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4" w:space="0" w:color="auto"/>
            </w:tcBorders>
            <w:shd w:val="clear" w:color="auto" w:fill="auto"/>
            <w:vAlign w:val="center"/>
          </w:tcPr>
          <w:p w14:paraId="21D9C6EE" w14:textId="77777777" w:rsidR="00BF2B27" w:rsidRPr="00C810F8" w:rsidRDefault="00BF2B27">
            <w:pPr>
              <w:pStyle w:val="ListParagraph"/>
              <w:numPr>
                <w:ilvl w:val="0"/>
                <w:numId w:val="52"/>
              </w:numPr>
              <w:rPr>
                <w:b/>
                <w:bCs/>
                <w:i/>
                <w:iCs/>
                <w:sz w:val="20"/>
              </w:rPr>
            </w:pPr>
            <w:r w:rsidRPr="00C810F8">
              <w:rPr>
                <w:b/>
                <w:bCs/>
                <w:i/>
                <w:iCs/>
                <w:sz w:val="20"/>
              </w:rPr>
              <w:t>Limit the exemption to new</w:t>
            </w:r>
            <w:r w:rsidRPr="00C810F8">
              <w:rPr>
                <w:rFonts w:ascii="Cambria Math" w:hAnsi="Cambria Math" w:cs="Cambria Math"/>
                <w:b/>
                <w:bCs/>
                <w:i/>
                <w:iCs/>
                <w:sz w:val="20"/>
              </w:rPr>
              <w:t>‑</w:t>
            </w:r>
            <w:r w:rsidRPr="00C810F8">
              <w:rPr>
                <w:b/>
                <w:bCs/>
                <w:i/>
                <w:iCs/>
                <w:sz w:val="20"/>
              </w:rPr>
              <w:t>to</w:t>
            </w:r>
            <w:r w:rsidRPr="00C810F8">
              <w:rPr>
                <w:rFonts w:ascii="Cambria Math" w:hAnsi="Cambria Math" w:cs="Cambria Math"/>
                <w:b/>
                <w:bCs/>
                <w:i/>
                <w:iCs/>
                <w:sz w:val="20"/>
              </w:rPr>
              <w:t>‑</w:t>
            </w:r>
            <w:r w:rsidRPr="00C810F8">
              <w:rPr>
                <w:b/>
                <w:bCs/>
                <w:i/>
                <w:iCs/>
                <w:sz w:val="20"/>
              </w:rPr>
              <w:t>Australia psychiatrists</w:t>
            </w:r>
            <w:r w:rsidRPr="00C810F8">
              <w:rPr>
                <w:sz w:val="20"/>
              </w:rPr>
              <w:t xml:space="preserve"> </w:t>
            </w:r>
          </w:p>
          <w:p w14:paraId="3AB1645D" w14:textId="77777777" w:rsidR="00BF2B27" w:rsidRPr="00C810F8" w:rsidRDefault="00BF2B27">
            <w:pPr>
              <w:ind w:left="360"/>
              <w:rPr>
                <w:sz w:val="20"/>
              </w:rPr>
            </w:pPr>
            <w:r w:rsidRPr="00C810F8">
              <w:rPr>
                <w:sz w:val="20"/>
              </w:rPr>
              <w:t>Design the exemption to support the recruitment of psychiatrists from overseas</w:t>
            </w:r>
          </w:p>
        </w:tc>
        <w:tc>
          <w:tcPr>
            <w:tcW w:w="6804" w:type="dxa"/>
            <w:tcBorders>
              <w:top w:val="nil"/>
              <w:bottom w:val="single" w:sz="4" w:space="0" w:color="auto"/>
            </w:tcBorders>
            <w:shd w:val="clear" w:color="auto" w:fill="auto"/>
            <w:vAlign w:val="center"/>
          </w:tcPr>
          <w:p w14:paraId="08F55965" w14:textId="77777777" w:rsidR="00BF2B27" w:rsidRPr="005C4AC5" w:rsidRDefault="00BF2B27" w:rsidP="005C4AC5">
            <w:pPr>
              <w:cnfStyle w:val="000000010000" w:firstRow="0" w:lastRow="0" w:firstColumn="0" w:lastColumn="0" w:oddVBand="0" w:evenVBand="0" w:oddHBand="0" w:evenHBand="1" w:firstRowFirstColumn="0" w:firstRowLastColumn="0" w:lastRowFirstColumn="0" w:lastRowLastColumn="0"/>
              <w:rPr>
                <w:sz w:val="20"/>
              </w:rPr>
            </w:pPr>
          </w:p>
          <w:p w14:paraId="47731FEE" w14:textId="77777777" w:rsidR="00BF2B27" w:rsidRPr="0032062C" w:rsidRDefault="00BF2B27">
            <w:pPr>
              <w:pStyle w:val="ListParagraph"/>
              <w:numPr>
                <w:ilvl w:val="1"/>
                <w:numId w:val="49"/>
              </w:numPr>
              <w:cnfStyle w:val="000000010000" w:firstRow="0" w:lastRow="0" w:firstColumn="0" w:lastColumn="0" w:oddVBand="0" w:evenVBand="0" w:oddHBand="0" w:evenHBand="1" w:firstRowFirstColumn="0" w:firstRowLastColumn="0" w:lastRowFirstColumn="0" w:lastRowLastColumn="0"/>
              <w:rPr>
                <w:sz w:val="20"/>
              </w:rPr>
            </w:pPr>
            <w:r w:rsidRPr="0032062C">
              <w:rPr>
                <w:sz w:val="20"/>
              </w:rPr>
              <w:t>Overseas trained psychiatrists would be allowed to access MBS benefits for both admitted (inpatient) and non</w:t>
            </w:r>
            <w:r w:rsidRPr="0032062C">
              <w:rPr>
                <w:rFonts w:ascii="Cambria Math" w:hAnsi="Cambria Math" w:cs="Cambria Math"/>
                <w:sz w:val="20"/>
              </w:rPr>
              <w:t>‑</w:t>
            </w:r>
            <w:r w:rsidRPr="0032062C">
              <w:rPr>
                <w:sz w:val="20"/>
              </w:rPr>
              <w:t>admitted (outpatient) services delivered in a non</w:t>
            </w:r>
            <w:r w:rsidRPr="0032062C">
              <w:rPr>
                <w:rFonts w:ascii="Cambria Math" w:hAnsi="Cambria Math" w:cs="Cambria Math"/>
                <w:sz w:val="20"/>
              </w:rPr>
              <w:t>‑</w:t>
            </w:r>
            <w:r w:rsidRPr="0032062C">
              <w:rPr>
                <w:sz w:val="20"/>
              </w:rPr>
              <w:t xml:space="preserve">DWS location, where those services are associated with a private hospital. However, </w:t>
            </w:r>
            <w:r>
              <w:rPr>
                <w:sz w:val="20"/>
              </w:rPr>
              <w:t>t</w:t>
            </w:r>
            <w:r w:rsidRPr="0032062C">
              <w:rPr>
                <w:sz w:val="20"/>
              </w:rPr>
              <w:t>he psychiatrist would need to be a new</w:t>
            </w:r>
            <w:r w:rsidRPr="0032062C">
              <w:rPr>
                <w:rFonts w:ascii="Cambria Math" w:hAnsi="Cambria Math" w:cs="Cambria Math"/>
                <w:sz w:val="20"/>
              </w:rPr>
              <w:t>‑</w:t>
            </w:r>
            <w:r w:rsidRPr="0032062C">
              <w:rPr>
                <w:sz w:val="20"/>
              </w:rPr>
              <w:t>to</w:t>
            </w:r>
            <w:r w:rsidRPr="0032062C">
              <w:rPr>
                <w:rFonts w:ascii="Cambria Math" w:hAnsi="Cambria Math" w:cs="Cambria Math"/>
                <w:sz w:val="20"/>
              </w:rPr>
              <w:t>‑</w:t>
            </w:r>
            <w:r w:rsidRPr="0032062C">
              <w:rPr>
                <w:sz w:val="20"/>
              </w:rPr>
              <w:t>Australia doctor recruited overseas by the hospital.</w:t>
            </w:r>
          </w:p>
          <w:p w14:paraId="269CB5B2" w14:textId="77777777" w:rsidR="00BF2B27" w:rsidRPr="00C810F8" w:rsidRDefault="00BF2B27">
            <w:pPr>
              <w:pStyle w:val="ListParagraph"/>
              <w:numPr>
                <w:ilvl w:val="1"/>
                <w:numId w:val="49"/>
              </w:numPr>
              <w:cnfStyle w:val="000000010000" w:firstRow="0" w:lastRow="0" w:firstColumn="0" w:lastColumn="0" w:oddVBand="0" w:evenVBand="0" w:oddHBand="0" w:evenHBand="1" w:firstRowFirstColumn="0" w:firstRowLastColumn="0" w:lastRowFirstColumn="0" w:lastRowLastColumn="0"/>
              <w:rPr>
                <w:sz w:val="20"/>
              </w:rPr>
            </w:pPr>
            <w:r>
              <w:rPr>
                <w:sz w:val="20"/>
              </w:rPr>
              <w:t>These p</w:t>
            </w:r>
            <w:r w:rsidRPr="00C810F8">
              <w:rPr>
                <w:sz w:val="20"/>
              </w:rPr>
              <w:t>sychiatrists could provide a full scope of care in the non</w:t>
            </w:r>
            <w:r w:rsidRPr="000C4282">
              <w:rPr>
                <w:rFonts w:ascii="Cambria Math" w:hAnsi="Cambria Math" w:cs="Cambria Math"/>
                <w:sz w:val="20"/>
              </w:rPr>
              <w:t>‑</w:t>
            </w:r>
            <w:r w:rsidRPr="00C810F8">
              <w:rPr>
                <w:sz w:val="20"/>
              </w:rPr>
              <w:t>DWS location, including treating patients during admission and continuing care after discharge in an outpatient setting.</w:t>
            </w:r>
          </w:p>
          <w:p w14:paraId="64F32509" w14:textId="77777777" w:rsidR="00BF2B27" w:rsidRPr="00C810F8" w:rsidRDefault="00BF2B27">
            <w:pPr>
              <w:pStyle w:val="ListParagraph"/>
              <w:numPr>
                <w:ilvl w:val="1"/>
                <w:numId w:val="49"/>
              </w:numPr>
              <w:cnfStyle w:val="000000010000" w:firstRow="0" w:lastRow="0" w:firstColumn="0" w:lastColumn="0" w:oddVBand="0" w:evenVBand="0" w:oddHBand="0" w:evenHBand="1" w:firstRowFirstColumn="0" w:firstRowLastColumn="0" w:lastRowFirstColumn="0" w:lastRowLastColumn="0"/>
              <w:rPr>
                <w:sz w:val="20"/>
              </w:rPr>
            </w:pPr>
            <w:r w:rsidRPr="00C810F8">
              <w:rPr>
                <w:sz w:val="20"/>
              </w:rPr>
              <w:t>The exemption would be available to overseas trained doctors who are either recognised specialist psychiatrists at the time of recruitment or recruited for fellowship training at the sponsoring hospital.</w:t>
            </w:r>
          </w:p>
          <w:p w14:paraId="5EE0AD06" w14:textId="77777777" w:rsidR="00BF2B27" w:rsidRDefault="00BF2B27">
            <w:pPr>
              <w:pStyle w:val="ListParagraph"/>
              <w:numPr>
                <w:ilvl w:val="1"/>
                <w:numId w:val="49"/>
              </w:numPr>
              <w:cnfStyle w:val="000000010000" w:firstRow="0" w:lastRow="0" w:firstColumn="0" w:lastColumn="0" w:oddVBand="0" w:evenVBand="0" w:oddHBand="0" w:evenHBand="1" w:firstRowFirstColumn="0" w:firstRowLastColumn="0" w:lastRowFirstColumn="0" w:lastRowLastColumn="0"/>
              <w:rPr>
                <w:sz w:val="20"/>
              </w:rPr>
            </w:pPr>
            <w:r w:rsidRPr="00C810F8">
              <w:rPr>
                <w:sz w:val="20"/>
              </w:rPr>
              <w:t>Additional exemptions for these doctors could be available at multiple hospitals in non-DWS areas within a single hospital provider group (i.e. a hospital provider group with multiple private hospitals). Usual moratorium requirements would apply should the psychiatrist choose to leave the private hospital with whom they hold the exemption, or if they undertake additional work independently of the sponsoring hospital.</w:t>
            </w:r>
          </w:p>
          <w:p w14:paraId="6C5AA874" w14:textId="77777777" w:rsidR="00BF2B27" w:rsidRDefault="00BF2B27">
            <w:pPr>
              <w:pStyle w:val="ListParagraph"/>
              <w:numPr>
                <w:ilvl w:val="1"/>
                <w:numId w:val="49"/>
              </w:numPr>
              <w:cnfStyle w:val="000000010000" w:firstRow="0" w:lastRow="0" w:firstColumn="0" w:lastColumn="0" w:oddVBand="0" w:evenVBand="0" w:oddHBand="0" w:evenHBand="1" w:firstRowFirstColumn="0" w:firstRowLastColumn="0" w:lastRowFirstColumn="0" w:lastRowLastColumn="0"/>
              <w:rPr>
                <w:sz w:val="20"/>
              </w:rPr>
            </w:pPr>
            <w:r w:rsidRPr="00C810F8">
              <w:rPr>
                <w:sz w:val="20"/>
              </w:rPr>
              <w:t>Th</w:t>
            </w:r>
            <w:r>
              <w:rPr>
                <w:sz w:val="20"/>
              </w:rPr>
              <w:t xml:space="preserve">is guardrail option is intended to </w:t>
            </w:r>
            <w:r w:rsidRPr="00C810F8">
              <w:rPr>
                <w:sz w:val="20"/>
              </w:rPr>
              <w:t xml:space="preserve">support </w:t>
            </w:r>
            <w:r>
              <w:rPr>
                <w:sz w:val="20"/>
              </w:rPr>
              <w:t xml:space="preserve">private hospitals recruit </w:t>
            </w:r>
            <w:r w:rsidRPr="00141B70">
              <w:rPr>
                <w:sz w:val="20"/>
              </w:rPr>
              <w:t>new</w:t>
            </w:r>
            <w:r w:rsidRPr="00141B70">
              <w:rPr>
                <w:rFonts w:ascii="Cambria Math" w:hAnsi="Cambria Math" w:cs="Cambria Math"/>
                <w:sz w:val="20"/>
              </w:rPr>
              <w:t>‑</w:t>
            </w:r>
            <w:r w:rsidRPr="00141B70">
              <w:rPr>
                <w:sz w:val="20"/>
              </w:rPr>
              <w:t>to</w:t>
            </w:r>
            <w:r w:rsidRPr="00141B70">
              <w:rPr>
                <w:rFonts w:ascii="Cambria Math" w:hAnsi="Cambria Math" w:cs="Cambria Math"/>
                <w:sz w:val="20"/>
              </w:rPr>
              <w:t>‑</w:t>
            </w:r>
            <w:r w:rsidRPr="00141B70">
              <w:rPr>
                <w:sz w:val="20"/>
              </w:rPr>
              <w:t>Australia psychiatrists</w:t>
            </w:r>
            <w:r>
              <w:rPr>
                <w:sz w:val="20"/>
              </w:rPr>
              <w:t xml:space="preserve"> and to boost the </w:t>
            </w:r>
            <w:r w:rsidRPr="00C810F8">
              <w:rPr>
                <w:sz w:val="20"/>
              </w:rPr>
              <w:t>overall supply of psychiatrists.</w:t>
            </w:r>
          </w:p>
          <w:p w14:paraId="1FF89757" w14:textId="77777777" w:rsidR="00BF2B27" w:rsidRDefault="00BF2B27">
            <w:pPr>
              <w:cnfStyle w:val="000000010000" w:firstRow="0" w:lastRow="0" w:firstColumn="0" w:lastColumn="0" w:oddVBand="0" w:evenVBand="0" w:oddHBand="0" w:evenHBand="1" w:firstRowFirstColumn="0" w:firstRowLastColumn="0" w:lastRowFirstColumn="0" w:lastRowLastColumn="0"/>
              <w:rPr>
                <w:sz w:val="20"/>
              </w:rPr>
            </w:pPr>
          </w:p>
          <w:p w14:paraId="6CFD4BD8" w14:textId="04B71B7C" w:rsidR="005C4AC5" w:rsidRPr="00BF2B27" w:rsidRDefault="005C4AC5">
            <w:pPr>
              <w:cnfStyle w:val="000000010000" w:firstRow="0" w:lastRow="0" w:firstColumn="0" w:lastColumn="0" w:oddVBand="0" w:evenVBand="0" w:oddHBand="0" w:evenHBand="1" w:firstRowFirstColumn="0" w:firstRowLastColumn="0" w:lastRowFirstColumn="0" w:lastRowLastColumn="0"/>
              <w:rPr>
                <w:sz w:val="20"/>
              </w:rPr>
            </w:pPr>
          </w:p>
        </w:tc>
      </w:tr>
      <w:tr w:rsidR="00BF2B27" w:rsidRPr="00C810F8" w14:paraId="787656AA"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4" w:space="0" w:color="auto"/>
            </w:tcBorders>
            <w:shd w:val="clear" w:color="auto" w:fill="auto"/>
            <w:vAlign w:val="center"/>
          </w:tcPr>
          <w:p w14:paraId="3E05AA8B" w14:textId="77777777" w:rsidR="00BF2B27" w:rsidRPr="00741E2A" w:rsidRDefault="00BF2B27">
            <w:pPr>
              <w:rPr>
                <w:b/>
                <w:bCs/>
                <w:i/>
                <w:iCs/>
                <w:sz w:val="20"/>
              </w:rPr>
            </w:pPr>
          </w:p>
          <w:p w14:paraId="7A6C6CA9" w14:textId="77777777" w:rsidR="00BF2B27" w:rsidRDefault="00BF2B27">
            <w:pPr>
              <w:pStyle w:val="ListParagraph"/>
              <w:ind w:left="360"/>
              <w:rPr>
                <w:b/>
                <w:bCs/>
                <w:i/>
                <w:iCs/>
                <w:sz w:val="20"/>
              </w:rPr>
            </w:pPr>
          </w:p>
          <w:p w14:paraId="2C918B41" w14:textId="77777777" w:rsidR="00BF2B27" w:rsidRDefault="00BF2B27">
            <w:pPr>
              <w:pStyle w:val="ListParagraph"/>
              <w:ind w:left="360"/>
              <w:rPr>
                <w:b/>
                <w:bCs/>
                <w:i/>
                <w:iCs/>
                <w:sz w:val="20"/>
              </w:rPr>
            </w:pPr>
          </w:p>
          <w:p w14:paraId="6697F9D4" w14:textId="77777777" w:rsidR="00BF2B27" w:rsidRPr="00C810F8" w:rsidRDefault="00BF2B27">
            <w:pPr>
              <w:pStyle w:val="ListParagraph"/>
              <w:numPr>
                <w:ilvl w:val="0"/>
                <w:numId w:val="52"/>
              </w:numPr>
              <w:rPr>
                <w:b/>
                <w:bCs/>
                <w:i/>
                <w:iCs/>
                <w:sz w:val="20"/>
              </w:rPr>
            </w:pPr>
            <w:r w:rsidRPr="00C810F8">
              <w:rPr>
                <w:b/>
                <w:bCs/>
                <w:i/>
                <w:iCs/>
                <w:sz w:val="20"/>
              </w:rPr>
              <w:t>Cap exemptions applied at each individual private hospital</w:t>
            </w:r>
          </w:p>
          <w:p w14:paraId="6F582336" w14:textId="77777777" w:rsidR="00BF2B27" w:rsidRPr="00C810F8" w:rsidRDefault="00BF2B27">
            <w:pPr>
              <w:ind w:left="360"/>
              <w:rPr>
                <w:i/>
                <w:iCs/>
                <w:sz w:val="20"/>
              </w:rPr>
            </w:pPr>
            <w:r w:rsidRPr="00C810F8">
              <w:rPr>
                <w:sz w:val="20"/>
              </w:rPr>
              <w:t xml:space="preserve">Individual hospitals could access a maximum of 1-2 psychiatrists through the exemption. </w:t>
            </w:r>
          </w:p>
          <w:p w14:paraId="234BCFB9" w14:textId="77777777" w:rsidR="00BF2B27" w:rsidRPr="00C810F8" w:rsidRDefault="00BF2B27">
            <w:pPr>
              <w:rPr>
                <w:i/>
                <w:iCs/>
                <w:sz w:val="20"/>
              </w:rPr>
            </w:pPr>
          </w:p>
          <w:p w14:paraId="2E6C9E7C" w14:textId="77777777" w:rsidR="00BF2B27" w:rsidRPr="00C810F8" w:rsidRDefault="00BF2B27">
            <w:pPr>
              <w:rPr>
                <w:rFonts w:eastAsiaTheme="majorEastAsia"/>
                <w:sz w:val="20"/>
                <w:lang w:val="en-US"/>
              </w:rPr>
            </w:pPr>
          </w:p>
        </w:tc>
        <w:tc>
          <w:tcPr>
            <w:tcW w:w="6804" w:type="dxa"/>
            <w:tcBorders>
              <w:top w:val="nil"/>
              <w:bottom w:val="single" w:sz="4" w:space="0" w:color="auto"/>
            </w:tcBorders>
            <w:shd w:val="clear" w:color="auto" w:fill="auto"/>
            <w:vAlign w:val="center"/>
          </w:tcPr>
          <w:p w14:paraId="1808D051" w14:textId="77777777" w:rsidR="00BF2B27" w:rsidRPr="00BF2B27" w:rsidRDefault="00BF2B27">
            <w:pPr>
              <w:cnfStyle w:val="000000100000" w:firstRow="0" w:lastRow="0" w:firstColumn="0" w:lastColumn="0" w:oddVBand="0" w:evenVBand="0" w:oddHBand="1" w:evenHBand="0" w:firstRowFirstColumn="0" w:firstRowLastColumn="0" w:lastRowFirstColumn="0" w:lastRowLastColumn="0"/>
              <w:rPr>
                <w:sz w:val="20"/>
              </w:rPr>
            </w:pPr>
          </w:p>
          <w:p w14:paraId="252C8207" w14:textId="77777777" w:rsidR="00BF2B27" w:rsidRPr="00C810F8" w:rsidRDefault="00BF2B2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A cap would be placed on the number of exemptions assigned to each private hospital in a non-DWS area. The cap could be set a 1 or 2 exemptions per hospital</w:t>
            </w:r>
            <w:r w:rsidRPr="00C810F8">
              <w:rPr>
                <w:sz w:val="20"/>
              </w:rPr>
              <w:t>.</w:t>
            </w:r>
          </w:p>
          <w:p w14:paraId="37850EC6" w14:textId="77777777" w:rsidR="00BF2B27" w:rsidRPr="00C810F8" w:rsidRDefault="00BF2B2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sidRPr="00C810F8">
              <w:rPr>
                <w:sz w:val="20"/>
              </w:rPr>
              <w:t>For context, in 2024-25 there were approximately:</w:t>
            </w:r>
          </w:p>
          <w:p w14:paraId="06949FAB" w14:textId="77777777" w:rsidR="00BF2B27" w:rsidRPr="00C810F8" w:rsidRDefault="00BF2B27">
            <w:pPr>
              <w:numPr>
                <w:ilvl w:val="1"/>
                <w:numId w:val="12"/>
              </w:numPr>
              <w:cnfStyle w:val="000000100000" w:firstRow="0" w:lastRow="0" w:firstColumn="0" w:lastColumn="0" w:oddVBand="0" w:evenVBand="0" w:oddHBand="1" w:evenHBand="0" w:firstRowFirstColumn="0" w:firstRowLastColumn="0" w:lastRowFirstColumn="0" w:lastRowLastColumn="0"/>
              <w:rPr>
                <w:sz w:val="20"/>
                <w:lang w:val="en-US"/>
              </w:rPr>
            </w:pPr>
            <w:r w:rsidRPr="00C810F8">
              <w:rPr>
                <w:sz w:val="20"/>
                <w:lang w:val="en-US"/>
              </w:rPr>
              <w:t>60 private hospitals not in a DWS location which delivered mental health separations, and</w:t>
            </w:r>
          </w:p>
          <w:p w14:paraId="0EBE1F84" w14:textId="77777777" w:rsidR="00BF2B27" w:rsidRPr="00C810F8" w:rsidRDefault="00BF2B27">
            <w:pPr>
              <w:numPr>
                <w:ilvl w:val="1"/>
                <w:numId w:val="12"/>
              </w:numPr>
              <w:cnfStyle w:val="000000100000" w:firstRow="0" w:lastRow="0" w:firstColumn="0" w:lastColumn="0" w:oddVBand="0" w:evenVBand="0" w:oddHBand="1" w:evenHBand="0" w:firstRowFirstColumn="0" w:firstRowLastColumn="0" w:lastRowFirstColumn="0" w:lastRowLastColumn="0"/>
              <w:rPr>
                <w:sz w:val="20"/>
                <w:lang w:val="en-US"/>
              </w:rPr>
            </w:pPr>
            <w:r w:rsidRPr="00C810F8">
              <w:rPr>
                <w:sz w:val="20"/>
                <w:lang w:val="en-US"/>
              </w:rPr>
              <w:t>300 overseas-trained psychiatrists who were serving a moratorium period in a DWS.</w:t>
            </w:r>
          </w:p>
          <w:p w14:paraId="2ECBCDDE" w14:textId="18B899AB" w:rsidR="00BF2B27" w:rsidRPr="000D433C" w:rsidRDefault="00BF2B2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Pr>
                <w:sz w:val="20"/>
              </w:rPr>
              <w:t xml:space="preserve">This guardrail option could minimise the </w:t>
            </w:r>
            <w:r w:rsidRPr="00C810F8">
              <w:rPr>
                <w:sz w:val="20"/>
              </w:rPr>
              <w:t>risks of overseas</w:t>
            </w:r>
            <w:r w:rsidRPr="00E94221">
              <w:rPr>
                <w:rFonts w:ascii="Cambria Math" w:hAnsi="Cambria Math" w:cs="Cambria Math"/>
                <w:sz w:val="20"/>
              </w:rPr>
              <w:t>‑</w:t>
            </w:r>
            <w:r w:rsidRPr="00C810F8">
              <w:rPr>
                <w:sz w:val="20"/>
              </w:rPr>
              <w:t>trained psychiatrists avoiding DWS areas or leaving public hospitals in favour of roles in metropolitan private hospitals</w:t>
            </w:r>
            <w:r>
              <w:rPr>
                <w:sz w:val="20"/>
              </w:rPr>
              <w:t>.</w:t>
            </w:r>
          </w:p>
          <w:p w14:paraId="5BA578FE" w14:textId="77777777" w:rsidR="00BF2B27" w:rsidRPr="00E94221" w:rsidRDefault="00BF2B2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rPr>
            </w:pPr>
            <w:r w:rsidRPr="00E94221">
              <w:rPr>
                <w:sz w:val="20"/>
              </w:rPr>
              <w:t>This approach would present administrative challenges for private hospitals. Moratorium exemptions are granted to individual doctors through a Medicare provider number, rather than to facilities. Hospitals would have limited visibility of the exemptions associated with their facility, including when any hospital-level cap has been reached.</w:t>
            </w:r>
          </w:p>
          <w:p w14:paraId="761F7CB7" w14:textId="77777777" w:rsidR="00BF2B27" w:rsidRDefault="00BF2B27">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 w:val="20"/>
                <w:lang w:val="en-US"/>
              </w:rPr>
            </w:pPr>
            <w:r w:rsidRPr="00C810F8">
              <w:rPr>
                <w:sz w:val="20"/>
              </w:rPr>
              <w:t>Additional issues may arise</w:t>
            </w:r>
            <w:r w:rsidRPr="00C810F8">
              <w:rPr>
                <w:sz w:val="20"/>
                <w:lang w:val="en-US"/>
              </w:rPr>
              <w:t xml:space="preserve"> when a psychiatrist leaves a hospital and the departing psychiatrist fails to cancel their Medicare Provider Number for that hospital. This may preclude or delay the hospital from recruiting another overseas-trained psychiatrist.</w:t>
            </w:r>
          </w:p>
          <w:p w14:paraId="31006D85" w14:textId="77777777" w:rsidR="00BF2B27" w:rsidRPr="00C810F8" w:rsidRDefault="00BF2B27">
            <w:pPr>
              <w:pStyle w:val="ListParagraph"/>
              <w:ind w:left="360"/>
              <w:cnfStyle w:val="000000100000" w:firstRow="0" w:lastRow="0" w:firstColumn="0" w:lastColumn="0" w:oddVBand="0" w:evenVBand="0" w:oddHBand="1" w:evenHBand="0" w:firstRowFirstColumn="0" w:firstRowLastColumn="0" w:lastRowFirstColumn="0" w:lastRowLastColumn="0"/>
              <w:rPr>
                <w:sz w:val="20"/>
                <w:lang w:val="en-US"/>
              </w:rPr>
            </w:pPr>
          </w:p>
        </w:tc>
      </w:tr>
      <w:tr w:rsidR="00BF2B27" w:rsidRPr="00C810F8" w14:paraId="4A7C49A2" w14:textId="77777777">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bottom w:val="single" w:sz="4" w:space="0" w:color="auto"/>
            </w:tcBorders>
            <w:shd w:val="clear" w:color="auto" w:fill="auto"/>
            <w:vAlign w:val="center"/>
          </w:tcPr>
          <w:p w14:paraId="6EE79F4E" w14:textId="77777777" w:rsidR="00BF2B27" w:rsidRPr="00C810F8" w:rsidRDefault="00BF2B27">
            <w:pPr>
              <w:pStyle w:val="ListParagraph"/>
              <w:numPr>
                <w:ilvl w:val="0"/>
                <w:numId w:val="52"/>
              </w:numPr>
              <w:rPr>
                <w:b/>
                <w:bCs/>
                <w:i/>
                <w:iCs/>
                <w:sz w:val="20"/>
              </w:rPr>
            </w:pPr>
            <w:r w:rsidRPr="00C810F8">
              <w:rPr>
                <w:b/>
                <w:bCs/>
                <w:i/>
                <w:iCs/>
                <w:sz w:val="20"/>
              </w:rPr>
              <w:t>Timeshare commitment to public-private practice</w:t>
            </w:r>
          </w:p>
          <w:p w14:paraId="46D774BD" w14:textId="77777777" w:rsidR="00BF2B27" w:rsidRPr="00C810F8" w:rsidRDefault="00BF2B27">
            <w:pPr>
              <w:ind w:left="360"/>
              <w:rPr>
                <w:i/>
                <w:iCs/>
                <w:sz w:val="20"/>
              </w:rPr>
            </w:pPr>
            <w:r w:rsidRPr="00C810F8">
              <w:rPr>
                <w:sz w:val="20"/>
                <w:lang w:val="en-US"/>
              </w:rPr>
              <w:t>Require overseas</w:t>
            </w:r>
            <w:r w:rsidRPr="00C810F8">
              <w:rPr>
                <w:rFonts w:ascii="Cambria Math" w:hAnsi="Cambria Math" w:cs="Cambria Math"/>
                <w:sz w:val="20"/>
                <w:lang w:val="en-US"/>
              </w:rPr>
              <w:t>‑</w:t>
            </w:r>
            <w:r w:rsidRPr="00C810F8">
              <w:rPr>
                <w:sz w:val="20"/>
                <w:lang w:val="en-US"/>
              </w:rPr>
              <w:t>trained psychiatrists to dedicate time in public and private settings.</w:t>
            </w:r>
          </w:p>
        </w:tc>
        <w:tc>
          <w:tcPr>
            <w:tcW w:w="6804" w:type="dxa"/>
            <w:tcBorders>
              <w:top w:val="single" w:sz="4" w:space="0" w:color="auto"/>
              <w:bottom w:val="single" w:sz="4" w:space="0" w:color="auto"/>
            </w:tcBorders>
            <w:shd w:val="clear" w:color="auto" w:fill="auto"/>
            <w:vAlign w:val="center"/>
          </w:tcPr>
          <w:p w14:paraId="52A644CF" w14:textId="77777777" w:rsidR="00BF2B27" w:rsidRDefault="00BF2B27">
            <w:pPr>
              <w:pStyle w:val="ListParagraph"/>
              <w:tabs>
                <w:tab w:val="num" w:pos="720"/>
              </w:tabs>
              <w:ind w:left="357"/>
              <w:cnfStyle w:val="000000010000" w:firstRow="0" w:lastRow="0" w:firstColumn="0" w:lastColumn="0" w:oddVBand="0" w:evenVBand="0" w:oddHBand="0" w:evenHBand="1" w:firstRowFirstColumn="0" w:firstRowLastColumn="0" w:lastRowFirstColumn="0" w:lastRowLastColumn="0"/>
              <w:rPr>
                <w:sz w:val="20"/>
                <w:lang w:val="en-US"/>
              </w:rPr>
            </w:pPr>
          </w:p>
          <w:p w14:paraId="4FAAA459" w14:textId="5EC92441" w:rsidR="00BF2B27" w:rsidRPr="00366811" w:rsidRDefault="00BF2B27">
            <w:pPr>
              <w:pStyle w:val="ListParagraph"/>
              <w:numPr>
                <w:ilvl w:val="1"/>
                <w:numId w:val="19"/>
              </w:numPr>
              <w:tabs>
                <w:tab w:val="num" w:pos="720"/>
              </w:tabs>
              <w:ind w:left="357" w:hanging="357"/>
              <w:cnfStyle w:val="000000010000" w:firstRow="0" w:lastRow="0" w:firstColumn="0" w:lastColumn="0" w:oddVBand="0" w:evenVBand="0" w:oddHBand="0" w:evenHBand="1" w:firstRowFirstColumn="0" w:firstRowLastColumn="0" w:lastRowFirstColumn="0" w:lastRowLastColumn="0"/>
              <w:rPr>
                <w:sz w:val="20"/>
                <w:lang w:val="en-US"/>
              </w:rPr>
            </w:pPr>
            <w:r>
              <w:rPr>
                <w:sz w:val="20"/>
                <w:lang w:val="en-US"/>
              </w:rPr>
              <w:t xml:space="preserve">It has been </w:t>
            </w:r>
            <w:r w:rsidR="00087C00">
              <w:rPr>
                <w:sz w:val="20"/>
                <w:lang w:val="en-US"/>
              </w:rPr>
              <w:t>suggested that</w:t>
            </w:r>
            <w:r>
              <w:rPr>
                <w:sz w:val="20"/>
                <w:lang w:val="en-US"/>
              </w:rPr>
              <w:t xml:space="preserve"> an exemption could be tied to a requirement that </w:t>
            </w:r>
            <w:r w:rsidRPr="003B0215">
              <w:rPr>
                <w:sz w:val="20"/>
                <w:lang w:val="en-US"/>
              </w:rPr>
              <w:t>overseas trained</w:t>
            </w:r>
            <w:r>
              <w:rPr>
                <w:sz w:val="20"/>
                <w:lang w:val="en-US"/>
              </w:rPr>
              <w:t xml:space="preserve"> </w:t>
            </w:r>
            <w:r w:rsidRPr="003B0215">
              <w:rPr>
                <w:sz w:val="20"/>
                <w:lang w:val="en-US"/>
              </w:rPr>
              <w:t xml:space="preserve">psychiatrists dedicate time </w:t>
            </w:r>
            <w:r w:rsidR="00637E0B" w:rsidRPr="003B0215">
              <w:rPr>
                <w:sz w:val="20"/>
                <w:lang w:val="en-US"/>
              </w:rPr>
              <w:t>to</w:t>
            </w:r>
            <w:r w:rsidRPr="003B0215">
              <w:rPr>
                <w:sz w:val="20"/>
                <w:lang w:val="en-US"/>
              </w:rPr>
              <w:t xml:space="preserve"> both public and private hospital settings</w:t>
            </w:r>
            <w:r>
              <w:rPr>
                <w:sz w:val="20"/>
                <w:lang w:val="en-US"/>
              </w:rPr>
              <w:t xml:space="preserve">. </w:t>
            </w:r>
          </w:p>
          <w:p w14:paraId="606FBA6E" w14:textId="77777777" w:rsidR="00BF2B27" w:rsidRPr="00BF2B27" w:rsidRDefault="00BF2B27">
            <w:pPr>
              <w:pStyle w:val="ListParagraph"/>
              <w:numPr>
                <w:ilvl w:val="1"/>
                <w:numId w:val="19"/>
              </w:numPr>
              <w:tabs>
                <w:tab w:val="num" w:pos="720"/>
              </w:tabs>
              <w:ind w:left="357" w:hanging="357"/>
              <w:cnfStyle w:val="000000010000" w:firstRow="0" w:lastRow="0" w:firstColumn="0" w:lastColumn="0" w:oddVBand="0" w:evenVBand="0" w:oddHBand="0" w:evenHBand="1" w:firstRowFirstColumn="0" w:firstRowLastColumn="0" w:lastRowFirstColumn="0" w:lastRowLastColumn="0"/>
              <w:rPr>
                <w:b/>
                <w:bCs/>
                <w:sz w:val="20"/>
                <w:lang w:val="en-US"/>
              </w:rPr>
            </w:pPr>
            <w:r w:rsidRPr="00C810F8">
              <w:rPr>
                <w:sz w:val="20"/>
              </w:rPr>
              <w:t>The department received feedback that there would be practical challenges operationalising a model where overseas</w:t>
            </w:r>
            <w:r w:rsidRPr="00C810F8">
              <w:rPr>
                <w:rFonts w:ascii="Cambria Math" w:hAnsi="Cambria Math" w:cs="Cambria Math"/>
                <w:sz w:val="20"/>
              </w:rPr>
              <w:t>‑</w:t>
            </w:r>
            <w:r w:rsidRPr="00C810F8">
              <w:rPr>
                <w:sz w:val="20"/>
              </w:rPr>
              <w:t>trained psychiatrists commit to sharing time between public and private hospital settings</w:t>
            </w:r>
            <w:r w:rsidRPr="00C810F8">
              <w:rPr>
                <w:sz w:val="20"/>
                <w:lang w:val="en-US"/>
              </w:rPr>
              <w:t>. The regulatory burden of these arrangements needs to be carefully considered.</w:t>
            </w:r>
          </w:p>
          <w:p w14:paraId="394FEE78" w14:textId="77777777" w:rsidR="00BF2B27" w:rsidRPr="00C810F8" w:rsidRDefault="00BF2B27">
            <w:pPr>
              <w:pStyle w:val="ListParagraph"/>
              <w:tabs>
                <w:tab w:val="num" w:pos="720"/>
              </w:tabs>
              <w:ind w:left="357"/>
              <w:cnfStyle w:val="000000010000" w:firstRow="0" w:lastRow="0" w:firstColumn="0" w:lastColumn="0" w:oddVBand="0" w:evenVBand="0" w:oddHBand="0" w:evenHBand="1" w:firstRowFirstColumn="0" w:firstRowLastColumn="0" w:lastRowFirstColumn="0" w:lastRowLastColumn="0"/>
              <w:rPr>
                <w:b/>
                <w:bCs/>
                <w:sz w:val="20"/>
                <w:lang w:val="en-US"/>
              </w:rPr>
            </w:pPr>
          </w:p>
        </w:tc>
      </w:tr>
    </w:tbl>
    <w:p w14:paraId="66140771" w14:textId="77777777" w:rsidR="008F7154" w:rsidRPr="001958F7" w:rsidRDefault="008F7154" w:rsidP="005C4AC5">
      <w:pPr>
        <w:spacing w:before="240" w:line="259" w:lineRule="auto"/>
        <w:rPr>
          <w:b/>
        </w:rPr>
      </w:pPr>
      <w:r w:rsidRPr="001958F7">
        <w:rPr>
          <w:b/>
        </w:rPr>
        <w:t>Implementation and review</w:t>
      </w:r>
    </w:p>
    <w:p w14:paraId="296E699F" w14:textId="77777777" w:rsidR="008F7154" w:rsidRPr="00754EEF" w:rsidRDefault="008F7154" w:rsidP="008F7154">
      <w:r w:rsidRPr="00417DFC">
        <w:rPr>
          <w:color w:val="auto"/>
        </w:rPr>
        <w:t xml:space="preserve">These exemption arrangements could be introduced for an initial period of 3 years, with a post-implementation review (at 12- to 24-months) to assess the effectiveness of the arrangements, including any negative or unforeseen consequences. </w:t>
      </w:r>
      <w:r w:rsidRPr="00754EEF">
        <w:t>Implementation for an initial period of 3</w:t>
      </w:r>
      <w:r>
        <w:t> </w:t>
      </w:r>
      <w:r w:rsidRPr="00754EEF">
        <w:t>years would provide psychiatrists with sufficient time and certainty to establish private practice arrangements to support patients.</w:t>
      </w:r>
    </w:p>
    <w:p w14:paraId="0BD6BE00" w14:textId="77777777" w:rsidR="008F7154" w:rsidRPr="00F746C0" w:rsidRDefault="008F7154" w:rsidP="008F7154">
      <w:r w:rsidRPr="00754EEF">
        <w:t xml:space="preserve">Extension or continuation of the arrangements would be subject to </w:t>
      </w:r>
      <w:r>
        <w:t>the G</w:t>
      </w:r>
      <w:r w:rsidRPr="00754EEF">
        <w:t>overnment</w:t>
      </w:r>
      <w:r>
        <w:t>’s</w:t>
      </w:r>
      <w:r w:rsidRPr="00754EEF">
        <w:t xml:space="preserve"> consideration of the review findings.</w:t>
      </w:r>
    </w:p>
    <w:p w14:paraId="0F36B476" w14:textId="1FC583E5" w:rsidR="00A81AA3" w:rsidRPr="00700000" w:rsidRDefault="00C745BB" w:rsidP="008926E0">
      <w:pPr>
        <w:pStyle w:val="Body"/>
        <w:spacing w:before="240" w:after="120"/>
        <w:rPr>
          <w:rFonts w:cs="Arial"/>
          <w:b/>
          <w:bCs/>
          <w:iCs/>
          <w:color w:val="358189"/>
          <w:szCs w:val="22"/>
          <w:u w:val="single"/>
        </w:rPr>
      </w:pPr>
      <w:r>
        <w:rPr>
          <w:rFonts w:cs="Arial"/>
          <w:b/>
          <w:bCs/>
          <w:iCs/>
          <w:color w:val="358189"/>
          <w:szCs w:val="22"/>
          <w:u w:val="single"/>
        </w:rPr>
        <w:lastRenderedPageBreak/>
        <w:t>Initiative</w:t>
      </w:r>
      <w:r w:rsidR="00A81AA3" w:rsidRPr="00947B1C">
        <w:rPr>
          <w:rFonts w:cs="Arial"/>
          <w:b/>
          <w:bCs/>
          <w:iCs/>
          <w:color w:val="358189"/>
          <w:szCs w:val="22"/>
          <w:u w:val="single"/>
        </w:rPr>
        <w:t xml:space="preserve"> 2</w:t>
      </w:r>
      <w:r w:rsidR="00A81AA3" w:rsidRPr="00700000">
        <w:rPr>
          <w:rFonts w:cs="Arial"/>
          <w:b/>
          <w:bCs/>
          <w:iCs/>
          <w:color w:val="358189"/>
          <w:szCs w:val="22"/>
          <w:u w:val="single"/>
        </w:rPr>
        <w:t xml:space="preserve">: </w:t>
      </w:r>
      <w:r w:rsidR="00046ECB" w:rsidRPr="00700000">
        <w:rPr>
          <w:rFonts w:cs="Arial"/>
          <w:b/>
          <w:bCs/>
          <w:iCs/>
          <w:color w:val="358189"/>
          <w:szCs w:val="22"/>
          <w:u w:val="single"/>
        </w:rPr>
        <w:t>Increased access to contemporary</w:t>
      </w:r>
      <w:r w:rsidR="00454FAE" w:rsidRPr="00700000">
        <w:rPr>
          <w:rFonts w:cs="Arial"/>
          <w:b/>
          <w:bCs/>
          <w:iCs/>
          <w:color w:val="358189"/>
          <w:szCs w:val="22"/>
          <w:u w:val="single"/>
        </w:rPr>
        <w:t xml:space="preserve"> models of</w:t>
      </w:r>
      <w:r w:rsidR="00700373" w:rsidRPr="00700000">
        <w:rPr>
          <w:rFonts w:cs="Arial"/>
          <w:b/>
          <w:bCs/>
          <w:iCs/>
          <w:color w:val="358189"/>
          <w:szCs w:val="22"/>
          <w:u w:val="single"/>
        </w:rPr>
        <w:t xml:space="preserve"> </w:t>
      </w:r>
      <w:r w:rsidR="003C10EA" w:rsidRPr="00700000">
        <w:rPr>
          <w:rFonts w:cs="Arial"/>
          <w:b/>
          <w:bCs/>
          <w:iCs/>
          <w:color w:val="358189"/>
          <w:szCs w:val="22"/>
          <w:u w:val="single"/>
        </w:rPr>
        <w:t xml:space="preserve">privately provided </w:t>
      </w:r>
      <w:r w:rsidR="00700373" w:rsidRPr="00700000">
        <w:rPr>
          <w:rFonts w:cs="Arial"/>
          <w:b/>
          <w:bCs/>
          <w:iCs/>
          <w:color w:val="358189"/>
          <w:szCs w:val="22"/>
          <w:u w:val="single"/>
        </w:rPr>
        <w:t>mental health</w:t>
      </w:r>
      <w:r w:rsidR="00454FAE" w:rsidRPr="00700000">
        <w:rPr>
          <w:rFonts w:cs="Arial"/>
          <w:b/>
          <w:bCs/>
          <w:iCs/>
          <w:color w:val="358189"/>
          <w:szCs w:val="22"/>
          <w:u w:val="single"/>
        </w:rPr>
        <w:t xml:space="preserve"> care</w:t>
      </w:r>
    </w:p>
    <w:p w14:paraId="40B5CA3D" w14:textId="77777777" w:rsidR="00AA3B0E" w:rsidRPr="00AA3B0E" w:rsidRDefault="00AA3B0E" w:rsidP="00DF26A1">
      <w:pPr>
        <w:pStyle w:val="Body"/>
        <w:spacing w:after="120"/>
        <w:rPr>
          <w:b/>
          <w:bCs/>
          <w:lang w:val="en-AU"/>
        </w:rPr>
      </w:pPr>
      <w:r w:rsidRPr="00AA3B0E">
        <w:rPr>
          <w:b/>
          <w:bCs/>
          <w:lang w:val="en-AU"/>
        </w:rPr>
        <w:t>Problem</w:t>
      </w:r>
    </w:p>
    <w:p w14:paraId="191C68EB" w14:textId="77777777" w:rsidR="00AA3B0E" w:rsidRPr="00417DFC" w:rsidRDefault="00AA3B0E" w:rsidP="00473DE9">
      <w:pPr>
        <w:pStyle w:val="Body"/>
        <w:spacing w:after="120"/>
        <w:rPr>
          <w:color w:val="auto"/>
          <w:lang w:val="en-AU"/>
        </w:rPr>
      </w:pPr>
      <w:r w:rsidRPr="00AA3B0E">
        <w:rPr>
          <w:lang w:val="en-AU"/>
        </w:rPr>
        <w:t xml:space="preserve">Stakeholder feedback has indicated sector funding arrangements have not kept pace with contemporary models of care, including use of multidisciplinary teams. The updated </w:t>
      </w:r>
      <w:r w:rsidR="00BC6D65">
        <w:rPr>
          <w:lang w:val="en-AU"/>
        </w:rPr>
        <w:t xml:space="preserve">Sector </w:t>
      </w:r>
      <w:r w:rsidRPr="00924B57">
        <w:rPr>
          <w:color w:val="auto"/>
          <w:lang w:val="en-AU"/>
        </w:rPr>
        <w:t xml:space="preserve">Guidelines </w:t>
      </w:r>
      <w:r w:rsidR="003B606F">
        <w:rPr>
          <w:color w:val="auto"/>
          <w:lang w:val="en-AU"/>
        </w:rPr>
        <w:t xml:space="preserve">are </w:t>
      </w:r>
      <w:r w:rsidRPr="00924B57">
        <w:rPr>
          <w:color w:val="auto"/>
          <w:lang w:val="en-AU"/>
        </w:rPr>
        <w:t xml:space="preserve">being considered by sector peak bodies include proposed changes to support contemporary care, </w:t>
      </w:r>
      <w:r w:rsidR="008D6FD7" w:rsidRPr="00924B57">
        <w:rPr>
          <w:color w:val="auto"/>
          <w:lang w:val="en-AU"/>
        </w:rPr>
        <w:t>such as</w:t>
      </w:r>
      <w:r w:rsidRPr="00924B57">
        <w:rPr>
          <w:color w:val="auto"/>
          <w:lang w:val="en-AU"/>
        </w:rPr>
        <w:t xml:space="preserve"> integrating other health workers</w:t>
      </w:r>
      <w:r w:rsidR="008D6FD7" w:rsidRPr="00924B57">
        <w:rPr>
          <w:color w:val="auto"/>
          <w:lang w:val="en-AU"/>
        </w:rPr>
        <w:t xml:space="preserve"> (e.g.</w:t>
      </w:r>
      <w:r w:rsidRPr="00924B57">
        <w:rPr>
          <w:color w:val="auto"/>
          <w:lang w:val="en-AU"/>
        </w:rPr>
        <w:t xml:space="preserve"> GPs</w:t>
      </w:r>
      <w:r w:rsidRPr="00AA3B0E">
        <w:rPr>
          <w:lang w:val="en-AU"/>
        </w:rPr>
        <w:t xml:space="preserve">, nurse practitioners </w:t>
      </w:r>
      <w:r w:rsidRPr="00417DFC">
        <w:rPr>
          <w:color w:val="auto"/>
          <w:lang w:val="en-AU"/>
        </w:rPr>
        <w:t>and allied health providers</w:t>
      </w:r>
      <w:r w:rsidR="008D6FD7" w:rsidRPr="00417DFC">
        <w:rPr>
          <w:color w:val="auto"/>
          <w:lang w:val="en-AU"/>
        </w:rPr>
        <w:t>)</w:t>
      </w:r>
      <w:r w:rsidRPr="00417DFC">
        <w:rPr>
          <w:color w:val="auto"/>
          <w:lang w:val="en-AU"/>
        </w:rPr>
        <w:t xml:space="preserve"> into insurer-funded hospital programs.</w:t>
      </w:r>
    </w:p>
    <w:p w14:paraId="71F1C248" w14:textId="0D2E0AD9" w:rsidR="00AA3B0E" w:rsidRPr="00AA3B0E" w:rsidRDefault="00AA3B0E" w:rsidP="00473DE9">
      <w:pPr>
        <w:pStyle w:val="Body"/>
        <w:spacing w:after="120"/>
        <w:rPr>
          <w:lang w:val="en-AU"/>
        </w:rPr>
      </w:pPr>
      <w:r w:rsidRPr="00417DFC">
        <w:rPr>
          <w:color w:val="auto"/>
          <w:lang w:val="en-AU"/>
        </w:rPr>
        <w:t xml:space="preserve">The department also received feedback </w:t>
      </w:r>
      <w:r w:rsidR="001634BF" w:rsidRPr="00417DFC">
        <w:rPr>
          <w:color w:val="auto"/>
          <w:lang w:val="en-AU"/>
        </w:rPr>
        <w:t xml:space="preserve">that </w:t>
      </w:r>
      <w:r w:rsidRPr="00417DFC">
        <w:rPr>
          <w:color w:val="auto"/>
          <w:lang w:val="en-AU"/>
        </w:rPr>
        <w:t xml:space="preserve">there are areas of the MBS </w:t>
      </w:r>
      <w:r w:rsidR="00772232" w:rsidRPr="00417DFC">
        <w:rPr>
          <w:color w:val="auto"/>
          <w:lang w:val="en-AU"/>
        </w:rPr>
        <w:t>which</w:t>
      </w:r>
      <w:r w:rsidRPr="00417DFC">
        <w:rPr>
          <w:color w:val="auto"/>
          <w:lang w:val="en-AU"/>
        </w:rPr>
        <w:t xml:space="preserve"> could be improved to support multi</w:t>
      </w:r>
      <w:r w:rsidR="008D6FD7" w:rsidRPr="00417DFC">
        <w:rPr>
          <w:color w:val="auto"/>
          <w:lang w:val="en-AU"/>
        </w:rPr>
        <w:t>-</w:t>
      </w:r>
      <w:r w:rsidRPr="00417DFC">
        <w:rPr>
          <w:color w:val="auto"/>
          <w:lang w:val="en-AU"/>
        </w:rPr>
        <w:t>disciplinary care, including case conferencing during a patient’s admission to hospital. The department has been told that Hospital Purchaser Provider Agreements generally require weekly</w:t>
      </w:r>
      <w:r w:rsidR="00F92FDB" w:rsidRPr="00417DFC">
        <w:rPr>
          <w:color w:val="auto"/>
          <w:lang w:val="en-AU"/>
        </w:rPr>
        <w:t xml:space="preserve"> multi-disciplinary team</w:t>
      </w:r>
      <w:r w:rsidRPr="00417DFC">
        <w:rPr>
          <w:color w:val="auto"/>
          <w:lang w:val="en-AU"/>
        </w:rPr>
        <w:t xml:space="preserve"> case conferences to be undertaken during a patient’s admission</w:t>
      </w:r>
      <w:r w:rsidR="007A17CE" w:rsidRPr="00417DFC">
        <w:rPr>
          <w:color w:val="auto"/>
          <w:lang w:val="en-AU"/>
        </w:rPr>
        <w:t xml:space="preserve"> for psychiatric care</w:t>
      </w:r>
      <w:r w:rsidRPr="00417DFC">
        <w:rPr>
          <w:color w:val="auto"/>
          <w:lang w:val="en-AU"/>
        </w:rPr>
        <w:t xml:space="preserve">. Stakeholders identified </w:t>
      </w:r>
      <w:r w:rsidR="00D437D4" w:rsidRPr="00417DFC">
        <w:rPr>
          <w:color w:val="auto"/>
          <w:lang w:val="en-AU"/>
        </w:rPr>
        <w:t>that</w:t>
      </w:r>
      <w:r w:rsidRPr="00417DFC">
        <w:rPr>
          <w:color w:val="auto"/>
          <w:lang w:val="en-AU"/>
        </w:rPr>
        <w:t xml:space="preserve"> MBS psychiatry items which include case conferencing are restrictive </w:t>
      </w:r>
      <w:r w:rsidRPr="00AA3B0E">
        <w:rPr>
          <w:lang w:val="en-AU"/>
        </w:rPr>
        <w:t>as they are capped to one service for each hospital admission.</w:t>
      </w:r>
    </w:p>
    <w:p w14:paraId="62B725DC" w14:textId="77777777" w:rsidR="00AA3B0E" w:rsidRPr="00AA3B0E" w:rsidRDefault="00AA3B0E" w:rsidP="00473DE9">
      <w:pPr>
        <w:pStyle w:val="Body"/>
        <w:spacing w:after="120"/>
        <w:rPr>
          <w:b/>
          <w:bCs/>
          <w:lang w:val="en-AU"/>
        </w:rPr>
      </w:pPr>
      <w:r w:rsidRPr="00AA3B0E">
        <w:rPr>
          <w:b/>
          <w:bCs/>
          <w:lang w:val="en-AU"/>
        </w:rPr>
        <w:t>Context</w:t>
      </w:r>
    </w:p>
    <w:p w14:paraId="273463BB" w14:textId="77777777" w:rsidR="00AA3B0E" w:rsidRPr="00AD2981" w:rsidRDefault="00AA3B0E" w:rsidP="00473DE9">
      <w:pPr>
        <w:pStyle w:val="Body"/>
        <w:spacing w:after="120"/>
        <w:rPr>
          <w:color w:val="FF0000"/>
          <w:lang w:val="en-AU"/>
        </w:rPr>
      </w:pPr>
      <w:r w:rsidRPr="00AA3B0E">
        <w:rPr>
          <w:lang w:val="en-AU"/>
        </w:rPr>
        <w:t xml:space="preserve">The purpose of a case conference is to establish and coordinate the management of the care needs of the patient. The MBS includes a range of items for case conferences by consultant psychiatrists in community settings and for discharge planning for hospital inpatients. </w:t>
      </w:r>
      <w:r w:rsidRPr="00417DFC">
        <w:rPr>
          <w:color w:val="auto"/>
          <w:lang w:val="en-AU"/>
        </w:rPr>
        <w:t xml:space="preserve">These MBS items were introduced to improve the effectiveness of psychiatric case conferences and </w:t>
      </w:r>
      <w:r w:rsidR="00417DFC" w:rsidRPr="00417DFC">
        <w:rPr>
          <w:color w:val="auto"/>
          <w:lang w:val="en-AU"/>
        </w:rPr>
        <w:t xml:space="preserve">to ensure better coordinated care for patients by making </w:t>
      </w:r>
      <w:r w:rsidRPr="00417DFC">
        <w:rPr>
          <w:color w:val="auto"/>
          <w:lang w:val="en-AU"/>
        </w:rPr>
        <w:t xml:space="preserve">it easier for psychiatrists to work with </w:t>
      </w:r>
      <w:r w:rsidR="00417DFC" w:rsidRPr="00417DFC">
        <w:rPr>
          <w:color w:val="auto"/>
          <w:lang w:val="en-AU"/>
        </w:rPr>
        <w:t>other</w:t>
      </w:r>
      <w:r w:rsidRPr="00417DFC">
        <w:rPr>
          <w:color w:val="auto"/>
          <w:lang w:val="en-AU"/>
        </w:rPr>
        <w:t xml:space="preserve"> health care professionals</w:t>
      </w:r>
      <w:r w:rsidR="00417DFC" w:rsidRPr="00417DFC">
        <w:rPr>
          <w:color w:val="auto"/>
          <w:lang w:val="en-AU"/>
        </w:rPr>
        <w:t>.</w:t>
      </w:r>
      <w:r w:rsidRPr="00417DFC">
        <w:rPr>
          <w:color w:val="auto"/>
          <w:lang w:val="en-AU"/>
        </w:rPr>
        <w:t xml:space="preserve"> </w:t>
      </w:r>
    </w:p>
    <w:p w14:paraId="1FE2CB9C" w14:textId="379F0C45" w:rsidR="00C63F64" w:rsidRPr="00353DDB" w:rsidRDefault="00B80D17" w:rsidP="00473DE9">
      <w:pPr>
        <w:pStyle w:val="Body"/>
        <w:spacing w:after="120"/>
        <w:rPr>
          <w:lang w:val="en-AU"/>
        </w:rPr>
      </w:pPr>
      <w:r>
        <w:rPr>
          <w:lang w:val="en-AU"/>
        </w:rPr>
        <w:t xml:space="preserve">There are </w:t>
      </w:r>
      <w:r w:rsidR="00AA3B0E" w:rsidRPr="00AA3B0E">
        <w:rPr>
          <w:lang w:val="en-AU"/>
        </w:rPr>
        <w:t xml:space="preserve">3 MBS </w:t>
      </w:r>
      <w:r>
        <w:rPr>
          <w:lang w:val="en-AU"/>
        </w:rPr>
        <w:t>i</w:t>
      </w:r>
      <w:r w:rsidRPr="00AA3B0E">
        <w:rPr>
          <w:lang w:val="en-AU"/>
        </w:rPr>
        <w:t xml:space="preserve">tems </w:t>
      </w:r>
      <w:r w:rsidR="00AA3B0E" w:rsidRPr="00AA3B0E">
        <w:rPr>
          <w:lang w:val="en-AU"/>
        </w:rPr>
        <w:t>for discharge case conference</w:t>
      </w:r>
      <w:r>
        <w:rPr>
          <w:lang w:val="en-AU"/>
        </w:rPr>
        <w:t>s</w:t>
      </w:r>
      <w:r w:rsidR="00AA3B0E" w:rsidRPr="00AA3B0E">
        <w:rPr>
          <w:lang w:val="en-AU"/>
        </w:rPr>
        <w:t xml:space="preserve"> </w:t>
      </w:r>
      <w:r w:rsidR="00A4777D" w:rsidRPr="00AA3B0E">
        <w:rPr>
          <w:lang w:val="en-AU"/>
        </w:rPr>
        <w:t>conducted</w:t>
      </w:r>
      <w:r w:rsidR="00AA3B0E" w:rsidRPr="00AA3B0E">
        <w:rPr>
          <w:lang w:val="en-AU"/>
        </w:rPr>
        <w:t xml:space="preserve"> before the patient is discharged from a hospital (MBS </w:t>
      </w:r>
      <w:r w:rsidR="00137A3E">
        <w:rPr>
          <w:lang w:val="en-AU"/>
        </w:rPr>
        <w:t xml:space="preserve">items </w:t>
      </w:r>
      <w:r w:rsidR="00AA3B0E" w:rsidRPr="00AA3B0E">
        <w:rPr>
          <w:lang w:val="en-AU"/>
        </w:rPr>
        <w:t>861, 864 and 866). These items are payable not more than once for each hospital admission.</w:t>
      </w:r>
    </w:p>
    <w:p w14:paraId="5AA9EEDF" w14:textId="77777777" w:rsidR="0008212B" w:rsidRDefault="0008212B" w:rsidP="00473DE9">
      <w:pPr>
        <w:pStyle w:val="Body"/>
        <w:spacing w:after="120"/>
        <w:rPr>
          <w:b/>
          <w:bCs/>
          <w:lang w:val="en-AU"/>
        </w:rPr>
      </w:pPr>
      <w:r>
        <w:rPr>
          <w:b/>
          <w:bCs/>
          <w:lang w:val="en-AU"/>
        </w:rPr>
        <w:t>Action</w:t>
      </w:r>
    </w:p>
    <w:p w14:paraId="443DBAA0" w14:textId="334C037B" w:rsidR="0008212B" w:rsidRPr="0008212B" w:rsidRDefault="00AC760A" w:rsidP="00473DE9">
      <w:pPr>
        <w:pStyle w:val="Body"/>
        <w:spacing w:after="120"/>
        <w:rPr>
          <w:lang w:val="en-AU"/>
        </w:rPr>
      </w:pPr>
      <w:r>
        <w:rPr>
          <w:lang w:val="en-AU"/>
        </w:rPr>
        <w:t xml:space="preserve">Amend </w:t>
      </w:r>
      <w:r w:rsidR="00484F59">
        <w:rPr>
          <w:lang w:val="en-AU"/>
        </w:rPr>
        <w:t xml:space="preserve">MBS items for </w:t>
      </w:r>
      <w:r w:rsidR="00320392">
        <w:rPr>
          <w:lang w:val="en-AU"/>
        </w:rPr>
        <w:t xml:space="preserve">case conferences by </w:t>
      </w:r>
      <w:r w:rsidR="00DA79F5" w:rsidRPr="00DA79F5">
        <w:rPr>
          <w:lang w:val="en-AU"/>
        </w:rPr>
        <w:t>Consultant Psychiatrists</w:t>
      </w:r>
      <w:r w:rsidR="00DA79F5">
        <w:rPr>
          <w:lang w:val="en-AU"/>
        </w:rPr>
        <w:t xml:space="preserve"> allow</w:t>
      </w:r>
      <w:r w:rsidR="00E871A9">
        <w:rPr>
          <w:lang w:val="en-AU"/>
        </w:rPr>
        <w:t>ing</w:t>
      </w:r>
      <w:r w:rsidR="00DA79F5">
        <w:rPr>
          <w:lang w:val="en-AU"/>
        </w:rPr>
        <w:t xml:space="preserve"> for </w:t>
      </w:r>
      <w:r w:rsidR="00AA1ACA">
        <w:rPr>
          <w:lang w:val="en-AU"/>
        </w:rPr>
        <w:t xml:space="preserve">multiple case conferencing </w:t>
      </w:r>
      <w:r w:rsidR="002217F0">
        <w:rPr>
          <w:lang w:val="en-AU"/>
        </w:rPr>
        <w:t xml:space="preserve">services </w:t>
      </w:r>
      <w:r w:rsidR="00060371">
        <w:rPr>
          <w:lang w:val="en-AU"/>
        </w:rPr>
        <w:t xml:space="preserve">to be </w:t>
      </w:r>
      <w:r w:rsidR="00B95794">
        <w:rPr>
          <w:lang w:val="en-AU"/>
        </w:rPr>
        <w:t xml:space="preserve">funded </w:t>
      </w:r>
      <w:r w:rsidR="001E24DD">
        <w:rPr>
          <w:lang w:val="en-AU"/>
        </w:rPr>
        <w:t xml:space="preserve">during a patient’s </w:t>
      </w:r>
      <w:r w:rsidR="00D17960">
        <w:rPr>
          <w:lang w:val="en-AU"/>
        </w:rPr>
        <w:t xml:space="preserve">admission to </w:t>
      </w:r>
      <w:r w:rsidR="00630216">
        <w:rPr>
          <w:lang w:val="en-AU"/>
        </w:rPr>
        <w:t xml:space="preserve">hospital </w:t>
      </w:r>
      <w:r w:rsidR="00DB438D">
        <w:rPr>
          <w:lang w:val="en-AU"/>
        </w:rPr>
        <w:t>for mental health treatment</w:t>
      </w:r>
      <w:r w:rsidR="00A24CC0">
        <w:rPr>
          <w:lang w:val="en-AU"/>
        </w:rPr>
        <w:t xml:space="preserve">. </w:t>
      </w:r>
    </w:p>
    <w:p w14:paraId="221B7BE3" w14:textId="77777777" w:rsidR="004B2404" w:rsidRDefault="004B2404">
      <w:pPr>
        <w:spacing w:before="0" w:after="0" w:line="240" w:lineRule="auto"/>
        <w:rPr>
          <w:rFonts w:cs="Arial"/>
          <w:b/>
          <w:bCs/>
          <w:iCs/>
          <w:color w:val="358189"/>
          <w:szCs w:val="22"/>
          <w:u w:val="single"/>
        </w:rPr>
      </w:pPr>
      <w:r>
        <w:rPr>
          <w:rFonts w:cs="Arial"/>
          <w:b/>
          <w:bCs/>
          <w:iCs/>
          <w:color w:val="358189"/>
          <w:szCs w:val="22"/>
          <w:u w:val="single"/>
        </w:rPr>
        <w:br w:type="page"/>
      </w:r>
    </w:p>
    <w:p w14:paraId="0F2D6F42" w14:textId="700244EF" w:rsidR="00F11BD8" w:rsidRPr="00947B1C" w:rsidRDefault="00C745BB" w:rsidP="008926E0">
      <w:pPr>
        <w:pStyle w:val="Body"/>
        <w:spacing w:before="240" w:after="120"/>
        <w:rPr>
          <w:rFonts w:cs="Arial"/>
          <w:b/>
          <w:bCs/>
          <w:iCs/>
          <w:color w:val="358189"/>
          <w:szCs w:val="22"/>
          <w:u w:val="single"/>
        </w:rPr>
      </w:pPr>
      <w:r>
        <w:rPr>
          <w:rFonts w:cs="Arial"/>
          <w:b/>
          <w:bCs/>
          <w:iCs/>
          <w:color w:val="358189"/>
          <w:szCs w:val="22"/>
          <w:u w:val="single"/>
        </w:rPr>
        <w:lastRenderedPageBreak/>
        <w:t>Initiative</w:t>
      </w:r>
      <w:r w:rsidRPr="00947B1C">
        <w:rPr>
          <w:rFonts w:cs="Arial"/>
          <w:b/>
          <w:bCs/>
          <w:iCs/>
          <w:color w:val="358189"/>
          <w:szCs w:val="22"/>
          <w:u w:val="single"/>
        </w:rPr>
        <w:t xml:space="preserve"> </w:t>
      </w:r>
      <w:r w:rsidR="00F11BD8" w:rsidRPr="00947B1C">
        <w:rPr>
          <w:rFonts w:cs="Arial"/>
          <w:b/>
          <w:bCs/>
          <w:color w:val="358189"/>
          <w:szCs w:val="22"/>
          <w:u w:val="single"/>
        </w:rPr>
        <w:t xml:space="preserve">3: </w:t>
      </w:r>
      <w:r w:rsidR="00564520" w:rsidRPr="00947B1C">
        <w:rPr>
          <w:rFonts w:cs="Arial"/>
          <w:b/>
          <w:bCs/>
          <w:iCs/>
          <w:color w:val="358189"/>
          <w:szCs w:val="22"/>
          <w:u w:val="single"/>
        </w:rPr>
        <w:t>Reconvening the Private Mental Health Alliance (PMHA)</w:t>
      </w:r>
    </w:p>
    <w:p w14:paraId="5D11F65D" w14:textId="77777777" w:rsidR="008644EC" w:rsidRPr="008644EC" w:rsidRDefault="008644EC" w:rsidP="00473DE9">
      <w:pPr>
        <w:rPr>
          <w:b/>
          <w:bCs/>
        </w:rPr>
      </w:pPr>
      <w:r w:rsidRPr="008644EC">
        <w:rPr>
          <w:b/>
          <w:bCs/>
        </w:rPr>
        <w:t>Problem</w:t>
      </w:r>
    </w:p>
    <w:p w14:paraId="15254141" w14:textId="77777777" w:rsidR="008644EC" w:rsidRPr="008644EC" w:rsidRDefault="008644EC" w:rsidP="00473DE9">
      <w:r w:rsidRPr="00417DFC">
        <w:rPr>
          <w:color w:val="auto"/>
        </w:rPr>
        <w:t xml:space="preserve">There is no collaborative forum where private mental health stakeholders can come together to discuss matters that affect the sector, creating a gap in sector-wide coordination and continuous improvement. This </w:t>
      </w:r>
      <w:r w:rsidRPr="008644EC">
        <w:t xml:space="preserve">is particularly important in the context of ongoing review and oversight of the Sector Guidelines to ensure continued alignment with contemporary models of care and clinical practice. </w:t>
      </w:r>
    </w:p>
    <w:p w14:paraId="60B3401B" w14:textId="77777777" w:rsidR="008644EC" w:rsidRPr="008644EC" w:rsidRDefault="008644EC" w:rsidP="00473DE9">
      <w:pPr>
        <w:rPr>
          <w:b/>
          <w:bCs/>
        </w:rPr>
      </w:pPr>
      <w:r w:rsidRPr="008644EC">
        <w:rPr>
          <w:b/>
          <w:bCs/>
        </w:rPr>
        <w:t>Context</w:t>
      </w:r>
    </w:p>
    <w:p w14:paraId="57AF2712" w14:textId="05942E28" w:rsidR="00A43DD1" w:rsidRDefault="008644EC" w:rsidP="00473DE9">
      <w:r w:rsidRPr="008644EC">
        <w:rPr>
          <w:lang w:val="en-US"/>
        </w:rPr>
        <w:t>The</w:t>
      </w:r>
      <w:r w:rsidR="00D04B30">
        <w:rPr>
          <w:lang w:val="en-US"/>
        </w:rPr>
        <w:t xml:space="preserve"> Private Mental Health Alliance</w:t>
      </w:r>
      <w:r w:rsidRPr="008644EC">
        <w:rPr>
          <w:lang w:val="en-US"/>
        </w:rPr>
        <w:t xml:space="preserve"> </w:t>
      </w:r>
      <w:r w:rsidR="00D04B30">
        <w:rPr>
          <w:lang w:val="en-US"/>
        </w:rPr>
        <w:t>(</w:t>
      </w:r>
      <w:r w:rsidRPr="008644EC">
        <w:rPr>
          <w:lang w:val="en-US"/>
        </w:rPr>
        <w:t>PMHA</w:t>
      </w:r>
      <w:r w:rsidR="00D04B30">
        <w:rPr>
          <w:lang w:val="en-US"/>
        </w:rPr>
        <w:t>)</w:t>
      </w:r>
      <w:r w:rsidRPr="008644EC">
        <w:rPr>
          <w:lang w:val="en-US"/>
        </w:rPr>
        <w:t xml:space="preserve"> was a national industry alliance that operated, in various forms, from 1996 until 2016. </w:t>
      </w:r>
      <w:r w:rsidRPr="00417DFC">
        <w:rPr>
          <w:color w:val="auto"/>
          <w:lang w:val="en-US"/>
        </w:rPr>
        <w:t xml:space="preserve">The role of the PMHA was to address issues </w:t>
      </w:r>
      <w:r w:rsidR="00417DFC" w:rsidRPr="00417DFC">
        <w:rPr>
          <w:color w:val="auto"/>
          <w:lang w:val="en-US"/>
        </w:rPr>
        <w:t>of</w:t>
      </w:r>
      <w:r w:rsidRPr="00417DFC">
        <w:rPr>
          <w:color w:val="auto"/>
          <w:lang w:val="en-US"/>
        </w:rPr>
        <w:t xml:space="preserve"> funding, classification, quality of care, outcome measurement, consumer and carer participation and </w:t>
      </w:r>
      <w:r w:rsidR="00417DFC" w:rsidRPr="00417DFC">
        <w:rPr>
          <w:color w:val="auto"/>
          <w:lang w:val="en-US"/>
        </w:rPr>
        <w:t xml:space="preserve">other </w:t>
      </w:r>
      <w:r w:rsidRPr="00417DFC">
        <w:rPr>
          <w:color w:val="auto"/>
          <w:lang w:val="en-US"/>
        </w:rPr>
        <w:t xml:space="preserve">topics </w:t>
      </w:r>
      <w:r w:rsidR="00417DFC" w:rsidRPr="00417DFC">
        <w:rPr>
          <w:color w:val="auto"/>
          <w:lang w:val="en-US"/>
        </w:rPr>
        <w:t>affecting</w:t>
      </w:r>
      <w:r w:rsidRPr="00417DFC">
        <w:rPr>
          <w:color w:val="auto"/>
          <w:lang w:val="en-US"/>
        </w:rPr>
        <w:t xml:space="preserve"> the private mental health sector.</w:t>
      </w:r>
      <w:r w:rsidR="009F5E6D" w:rsidRPr="00417DFC">
        <w:rPr>
          <w:color w:val="auto"/>
          <w:lang w:val="en-US"/>
        </w:rPr>
        <w:t xml:space="preserve"> </w:t>
      </w:r>
      <w:r w:rsidR="004D2A9E">
        <w:t>In 2015</w:t>
      </w:r>
      <w:r w:rsidR="003B126A">
        <w:t>,</w:t>
      </w:r>
      <w:r w:rsidR="00A43DD1">
        <w:t xml:space="preserve"> </w:t>
      </w:r>
      <w:r w:rsidR="00A43DD1" w:rsidRPr="00A43DD1">
        <w:t>PMHA</w:t>
      </w:r>
      <w:r w:rsidR="00A43DD1">
        <w:t xml:space="preserve"> membership</w:t>
      </w:r>
      <w:r w:rsidR="00A43DD1" w:rsidRPr="00A43DD1">
        <w:t xml:space="preserve"> comprised representatives </w:t>
      </w:r>
      <w:r w:rsidR="00B207A8">
        <w:t>from:</w:t>
      </w:r>
      <w:r w:rsidR="00A43DD1" w:rsidRPr="00A43DD1">
        <w:t xml:space="preserve"> </w:t>
      </w:r>
    </w:p>
    <w:p w14:paraId="757AC084" w14:textId="5594BBA9" w:rsidR="00A43DD1" w:rsidRPr="00A43DD1" w:rsidRDefault="00A43DD1" w:rsidP="009257CE">
      <w:pPr>
        <w:pStyle w:val="Body"/>
        <w:numPr>
          <w:ilvl w:val="0"/>
          <w:numId w:val="18"/>
        </w:numPr>
        <w:spacing w:after="120"/>
      </w:pPr>
      <w:r w:rsidRPr="00A43DD1">
        <w:t>Australian</w:t>
      </w:r>
      <w:r w:rsidRPr="00BD4736">
        <w:t xml:space="preserve"> Medical Association</w:t>
      </w:r>
    </w:p>
    <w:p w14:paraId="01388623" w14:textId="45F02680" w:rsidR="00B207A8" w:rsidRPr="00B207A8" w:rsidRDefault="00A43DD1" w:rsidP="009257CE">
      <w:pPr>
        <w:pStyle w:val="Body"/>
        <w:numPr>
          <w:ilvl w:val="0"/>
          <w:numId w:val="18"/>
        </w:numPr>
        <w:spacing w:after="120"/>
      </w:pPr>
      <w:r w:rsidRPr="00BD4736">
        <w:t>Private Healthcare Australia</w:t>
      </w:r>
    </w:p>
    <w:p w14:paraId="707E9BB1" w14:textId="2901C9C1" w:rsidR="00B207A8" w:rsidRPr="00B207A8" w:rsidRDefault="00A43DD1" w:rsidP="009257CE">
      <w:pPr>
        <w:pStyle w:val="Body"/>
        <w:numPr>
          <w:ilvl w:val="0"/>
          <w:numId w:val="18"/>
        </w:numPr>
        <w:spacing w:after="120"/>
      </w:pPr>
      <w:r w:rsidRPr="00BD4736">
        <w:t>the Australian Private Hospitals Association</w:t>
      </w:r>
    </w:p>
    <w:p w14:paraId="4427D13C" w14:textId="77777777" w:rsidR="00B207A8" w:rsidRPr="00B207A8" w:rsidRDefault="00A43DD1" w:rsidP="009257CE">
      <w:pPr>
        <w:pStyle w:val="Body"/>
        <w:numPr>
          <w:ilvl w:val="0"/>
          <w:numId w:val="18"/>
        </w:numPr>
        <w:spacing w:after="120"/>
      </w:pPr>
      <w:r w:rsidRPr="00BD4736">
        <w:t xml:space="preserve">the Private Mental Health Consumer Carer Network </w:t>
      </w:r>
      <w:r w:rsidR="008F16B7" w:rsidRPr="00BD4736">
        <w:t>(</w:t>
      </w:r>
      <w:r w:rsidR="00C47E5C" w:rsidRPr="00BD4736">
        <w:t>now</w:t>
      </w:r>
      <w:r w:rsidR="008F16B7" w:rsidRPr="00BD4736">
        <w:t xml:space="preserve"> Lived Experience </w:t>
      </w:r>
      <w:r w:rsidR="006F1592" w:rsidRPr="00BD4736">
        <w:t>Australia)</w:t>
      </w:r>
    </w:p>
    <w:p w14:paraId="4692BA72" w14:textId="77777777" w:rsidR="00B207A8" w:rsidRPr="00B207A8" w:rsidRDefault="00A43DD1" w:rsidP="009257CE">
      <w:pPr>
        <w:pStyle w:val="Body"/>
        <w:numPr>
          <w:ilvl w:val="0"/>
          <w:numId w:val="18"/>
        </w:numPr>
        <w:spacing w:after="120"/>
      </w:pPr>
      <w:r w:rsidRPr="00BD4736">
        <w:t xml:space="preserve">the department, and </w:t>
      </w:r>
    </w:p>
    <w:p w14:paraId="0607847B" w14:textId="77777777" w:rsidR="00DC3703" w:rsidRPr="00DC3703" w:rsidRDefault="00A43DD1" w:rsidP="009257CE">
      <w:pPr>
        <w:pStyle w:val="Body"/>
        <w:numPr>
          <w:ilvl w:val="0"/>
          <w:numId w:val="18"/>
        </w:numPr>
        <w:spacing w:after="120"/>
      </w:pPr>
      <w:r w:rsidRPr="00BD4736">
        <w:t>the</w:t>
      </w:r>
      <w:r w:rsidR="00857367" w:rsidRPr="00BD4736">
        <w:t xml:space="preserve"> </w:t>
      </w:r>
      <w:r w:rsidRPr="00BD4736">
        <w:t>DVA.</w:t>
      </w:r>
    </w:p>
    <w:p w14:paraId="697206B9" w14:textId="77777777" w:rsidR="0072722F" w:rsidRDefault="00DC3703" w:rsidP="00DC3703">
      <w:r>
        <w:t xml:space="preserve">The PMHA </w:t>
      </w:r>
      <w:r w:rsidR="005911DE">
        <w:t xml:space="preserve">regularly </w:t>
      </w:r>
      <w:r w:rsidR="00290E5B">
        <w:t xml:space="preserve">engaged with a broader range of </w:t>
      </w:r>
      <w:r w:rsidR="005911DE">
        <w:t xml:space="preserve">organisations </w:t>
      </w:r>
      <w:r w:rsidR="00E958C3">
        <w:t xml:space="preserve">to undertake </w:t>
      </w:r>
      <w:r w:rsidR="0072722F">
        <w:t xml:space="preserve">ongoing </w:t>
      </w:r>
      <w:r w:rsidR="00B97C7E">
        <w:t xml:space="preserve">process of </w:t>
      </w:r>
      <w:r w:rsidR="0072722F">
        <w:t>review of the Sector Guidelines. These organisations included:</w:t>
      </w:r>
    </w:p>
    <w:p w14:paraId="5678CF35" w14:textId="77777777" w:rsidR="00A43DD1" w:rsidRDefault="00841A4E" w:rsidP="009257CE">
      <w:pPr>
        <w:pStyle w:val="Body"/>
        <w:numPr>
          <w:ilvl w:val="0"/>
          <w:numId w:val="18"/>
        </w:numPr>
        <w:spacing w:after="120"/>
      </w:pPr>
      <w:r w:rsidRPr="00841A4E">
        <w:t>The Royal Australian and New Zealand College of Psychiatrists</w:t>
      </w:r>
    </w:p>
    <w:p w14:paraId="73B20296" w14:textId="77777777" w:rsidR="00841A4E" w:rsidRDefault="000E2C54" w:rsidP="009257CE">
      <w:pPr>
        <w:pStyle w:val="Body"/>
        <w:numPr>
          <w:ilvl w:val="0"/>
          <w:numId w:val="18"/>
        </w:numPr>
        <w:spacing w:after="120"/>
      </w:pPr>
      <w:r w:rsidRPr="000E2C54">
        <w:t>The Royal Australian College of General Practitioners</w:t>
      </w:r>
    </w:p>
    <w:p w14:paraId="0F1A28A2" w14:textId="77777777" w:rsidR="002017E6" w:rsidRDefault="002017E6" w:rsidP="009257CE">
      <w:pPr>
        <w:pStyle w:val="Body"/>
        <w:numPr>
          <w:ilvl w:val="0"/>
          <w:numId w:val="18"/>
        </w:numPr>
        <w:spacing w:after="120"/>
      </w:pPr>
      <w:r w:rsidRPr="002017E6">
        <w:t>Australian College of Mental Health Nurses</w:t>
      </w:r>
    </w:p>
    <w:p w14:paraId="7995974E" w14:textId="77777777" w:rsidR="002017E6" w:rsidRDefault="00EA6C5C" w:rsidP="009257CE">
      <w:pPr>
        <w:pStyle w:val="Body"/>
        <w:numPr>
          <w:ilvl w:val="0"/>
          <w:numId w:val="18"/>
        </w:numPr>
        <w:spacing w:after="120"/>
      </w:pPr>
      <w:r w:rsidRPr="00EA6C5C">
        <w:t>Australian Psychological Society</w:t>
      </w:r>
    </w:p>
    <w:p w14:paraId="7ADA7DF9" w14:textId="77777777" w:rsidR="00EA6C5C" w:rsidRDefault="00C70B3A" w:rsidP="009257CE">
      <w:pPr>
        <w:pStyle w:val="Body"/>
        <w:numPr>
          <w:ilvl w:val="0"/>
          <w:numId w:val="18"/>
        </w:numPr>
        <w:spacing w:after="120"/>
      </w:pPr>
      <w:r w:rsidRPr="00C70B3A">
        <w:t>Australian Association of Social Workers</w:t>
      </w:r>
    </w:p>
    <w:p w14:paraId="2B1FB65D" w14:textId="77777777" w:rsidR="00C70B3A" w:rsidRDefault="00FB699D" w:rsidP="009257CE">
      <w:pPr>
        <w:pStyle w:val="Body"/>
        <w:numPr>
          <w:ilvl w:val="0"/>
          <w:numId w:val="18"/>
        </w:numPr>
        <w:spacing w:after="120"/>
      </w:pPr>
      <w:r w:rsidRPr="00FB699D">
        <w:t>Occupational Therapy Australia</w:t>
      </w:r>
      <w:r w:rsidR="00B97C7E">
        <w:t>.</w:t>
      </w:r>
    </w:p>
    <w:p w14:paraId="464B8505" w14:textId="77777777" w:rsidR="00B34512" w:rsidRPr="00327BA9" w:rsidRDefault="00B34512" w:rsidP="008926E0">
      <w:pPr>
        <w:pStyle w:val="Body"/>
        <w:spacing w:before="240" w:after="120"/>
        <w:rPr>
          <w:rFonts w:cs="Arial"/>
          <w:b/>
          <w:color w:val="358189"/>
          <w:u w:val="single"/>
          <w:lang w:val="en-AU"/>
        </w:rPr>
      </w:pPr>
      <w:bookmarkStart w:id="35" w:name="_Toc231315842"/>
      <w:bookmarkStart w:id="36" w:name="_Toc231316831"/>
      <w:bookmarkStart w:id="37" w:name="_Toc231316865"/>
      <w:bookmarkStart w:id="38" w:name="_Hospital_in_the"/>
      <w:bookmarkEnd w:id="35"/>
      <w:bookmarkEnd w:id="36"/>
      <w:bookmarkEnd w:id="37"/>
      <w:bookmarkEnd w:id="38"/>
      <w:r>
        <w:rPr>
          <w:rFonts w:cs="Arial"/>
          <w:b/>
          <w:bCs/>
          <w:iCs/>
          <w:color w:val="358189"/>
          <w:szCs w:val="22"/>
          <w:u w:val="single"/>
          <w:lang w:val="en-AU"/>
        </w:rPr>
        <w:t>Initiative</w:t>
      </w:r>
      <w:r w:rsidRPr="789A4F1F" w:rsidDel="000C7127">
        <w:rPr>
          <w:rFonts w:cs="Arial"/>
          <w:b/>
          <w:color w:val="358189" w:themeColor="accent2"/>
          <w:u w:val="single"/>
          <w:lang w:val="en-AU"/>
        </w:rPr>
        <w:t xml:space="preserve"> </w:t>
      </w:r>
      <w:r>
        <w:rPr>
          <w:rFonts w:cs="Arial"/>
          <w:b/>
          <w:color w:val="358189" w:themeColor="accent2"/>
          <w:u w:val="single"/>
          <w:lang w:val="en-AU"/>
        </w:rPr>
        <w:t>4</w:t>
      </w:r>
      <w:r w:rsidRPr="789A4F1F">
        <w:rPr>
          <w:rFonts w:cs="Arial"/>
          <w:b/>
          <w:color w:val="358189" w:themeColor="accent2"/>
          <w:u w:val="single"/>
          <w:lang w:val="en-AU"/>
        </w:rPr>
        <w:t xml:space="preserve">: Review of risk equalisation arrangements </w:t>
      </w:r>
    </w:p>
    <w:p w14:paraId="5A3AEC74" w14:textId="2B1AB0B1" w:rsidR="00B34512" w:rsidRPr="006E18EE" w:rsidRDefault="00B34512" w:rsidP="00B34512">
      <w:r w:rsidRPr="00417DFC">
        <w:rPr>
          <w:color w:val="auto"/>
        </w:rPr>
        <w:t>This reform initiative would involve consideration of different arrangements for benefits paid for the ‘</w:t>
      </w:r>
      <w:r w:rsidR="00046747" w:rsidRPr="00417DFC">
        <w:rPr>
          <w:color w:val="auto"/>
        </w:rPr>
        <w:t>Hospital psychiatric services</w:t>
      </w:r>
      <w:r w:rsidRPr="00417DFC">
        <w:rPr>
          <w:color w:val="auto"/>
        </w:rPr>
        <w:t xml:space="preserve">’ clinical category to improve the attractiveness of </w:t>
      </w:r>
      <w:r w:rsidR="003E3CFF" w:rsidRPr="00417DFC">
        <w:rPr>
          <w:color w:val="auto"/>
        </w:rPr>
        <w:t xml:space="preserve">mental health </w:t>
      </w:r>
      <w:r w:rsidRPr="00417DFC">
        <w:rPr>
          <w:color w:val="auto"/>
        </w:rPr>
        <w:t>products for consumers.</w:t>
      </w:r>
      <w:r w:rsidRPr="00AD2981">
        <w:rPr>
          <w:color w:val="FF0000"/>
        </w:rPr>
        <w:t xml:space="preserve"> </w:t>
      </w:r>
      <w:r>
        <w:t xml:space="preserve">Further information on this reform initiative is in </w:t>
      </w:r>
      <w:hyperlink w:anchor="_Delivering_better_value_2" w:history="1">
        <w:r w:rsidR="00B74F68" w:rsidRPr="000A64ED">
          <w:rPr>
            <w:rStyle w:val="Hyperlink"/>
            <w:szCs w:val="28"/>
          </w:rPr>
          <w:t xml:space="preserve">Section 2: </w:t>
        </w:r>
        <w:r w:rsidR="00B74F68" w:rsidRPr="000A64ED">
          <w:rPr>
            <w:rStyle w:val="Hyperlink"/>
            <w:szCs w:val="28"/>
            <w:lang w:val="en-US" w:eastAsia="en-AU"/>
          </w:rPr>
          <w:t>Delivering better value for consumers</w:t>
        </w:r>
      </w:hyperlink>
      <w:r w:rsidR="00B74F68" w:rsidRPr="00B74F68">
        <w:rPr>
          <w:color w:val="000000"/>
          <w:szCs w:val="28"/>
          <w:lang w:val="en-US" w:eastAsia="en-AU"/>
        </w:rPr>
        <w:t xml:space="preserve">. </w:t>
      </w:r>
    </w:p>
    <w:p w14:paraId="218DFD9A" w14:textId="77777777" w:rsidR="00B872D9" w:rsidRDefault="00B872D9" w:rsidP="00473DE9">
      <w:pPr>
        <w:spacing w:line="240" w:lineRule="auto"/>
        <w:rPr>
          <w:rFonts w:cs="Arial"/>
          <w:b/>
          <w:bCs/>
          <w:iCs/>
          <w:color w:val="358189"/>
          <w:sz w:val="36"/>
          <w:szCs w:val="28"/>
        </w:rPr>
      </w:pPr>
      <w:r>
        <w:br w:type="page"/>
      </w:r>
    </w:p>
    <w:p w14:paraId="769D8353" w14:textId="77777777" w:rsidR="00DA1B50" w:rsidRDefault="00DA1B50" w:rsidP="00651D4E">
      <w:pPr>
        <w:pStyle w:val="Heading2"/>
        <w:numPr>
          <w:ilvl w:val="1"/>
          <w:numId w:val="14"/>
        </w:numPr>
        <w:spacing w:after="120"/>
        <w:ind w:left="601" w:hanging="601"/>
      </w:pPr>
      <w:bookmarkStart w:id="39" w:name="_Hospital_in_the_1"/>
      <w:bookmarkStart w:id="40" w:name="_Toc233805028"/>
      <w:bookmarkEnd w:id="39"/>
      <w:r>
        <w:lastRenderedPageBreak/>
        <w:t>Maternity care</w:t>
      </w:r>
      <w:bookmarkEnd w:id="40"/>
    </w:p>
    <w:tbl>
      <w:tblPr>
        <w:tblStyle w:val="DepartmentofHealthtable"/>
        <w:tblW w:w="9951" w:type="dxa"/>
        <w:tblInd w:w="-289" w:type="dxa"/>
        <w:tblBorders>
          <w:left w:val="single" w:sz="4" w:space="0" w:color="auto"/>
          <w:right w:val="single" w:sz="4" w:space="0" w:color="auto"/>
          <w:insideV w:val="single" w:sz="4" w:space="0" w:color="auto"/>
        </w:tblBorders>
        <w:tblLayout w:type="fixed"/>
        <w:tblLook w:val="04A0" w:firstRow="1" w:lastRow="0" w:firstColumn="1" w:lastColumn="0" w:noHBand="0" w:noVBand="1"/>
      </w:tblPr>
      <w:tblGrid>
        <w:gridCol w:w="5671"/>
        <w:gridCol w:w="4280"/>
      </w:tblGrid>
      <w:tr w:rsidR="00DA1B50" w:rsidRPr="00624D1D" w14:paraId="637A72DF" w14:textId="77777777" w:rsidTr="00651E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51" w:type="dxa"/>
            <w:gridSpan w:val="2"/>
            <w:tcBorders>
              <w:top w:val="single" w:sz="4" w:space="0" w:color="auto"/>
              <w:left w:val="single" w:sz="4" w:space="0" w:color="auto"/>
              <w:bottom w:val="single" w:sz="4" w:space="0" w:color="FFFFFF" w:themeColor="background1"/>
              <w:right w:val="single" w:sz="4" w:space="0" w:color="auto"/>
            </w:tcBorders>
          </w:tcPr>
          <w:p w14:paraId="13C40EDA" w14:textId="77777777" w:rsidR="00DA1B50" w:rsidRPr="00624D1D" w:rsidRDefault="00DA1B50" w:rsidP="00B41932">
            <w:pPr>
              <w:rPr>
                <w:rFonts w:eastAsia="Cambria"/>
                <w:b/>
                <w:color w:val="FFFFFF"/>
                <w:sz w:val="20"/>
                <w:szCs w:val="20"/>
                <w:lang w:val="en-US" w:eastAsia="en-AU"/>
              </w:rPr>
            </w:pPr>
            <w:r w:rsidRPr="00624D1D">
              <w:rPr>
                <w:rFonts w:eastAsia="Cambria"/>
                <w:b/>
                <w:color w:val="FFFFFF"/>
                <w:sz w:val="20"/>
                <w:szCs w:val="20"/>
                <w:lang w:val="en-US" w:eastAsia="en-AU"/>
              </w:rPr>
              <w:t>SUMMARY: Maternity Care</w:t>
            </w:r>
          </w:p>
        </w:tc>
      </w:tr>
      <w:tr w:rsidR="00DA1B50" w:rsidRPr="00624D1D" w14:paraId="5D545E2B" w14:textId="77777777" w:rsidTr="00651E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1" w:type="dxa"/>
            <w:tcBorders>
              <w:top w:val="single" w:sz="4" w:space="0" w:color="FFFFFF" w:themeColor="background1"/>
            </w:tcBorders>
          </w:tcPr>
          <w:p w14:paraId="6B95BF42" w14:textId="77777777" w:rsidR="00DA1B50" w:rsidRPr="00624D1D" w:rsidRDefault="00DA1B50" w:rsidP="00B41932">
            <w:pPr>
              <w:rPr>
                <w:rFonts w:eastAsia="Cambria"/>
                <w:b/>
                <w:color w:val="FFFFFF"/>
                <w:sz w:val="20"/>
                <w:szCs w:val="20"/>
                <w:lang w:val="en-US" w:eastAsia="en-AU"/>
              </w:rPr>
            </w:pPr>
            <w:r w:rsidRPr="00624D1D">
              <w:rPr>
                <w:rFonts w:eastAsia="Cambria"/>
                <w:b/>
                <w:color w:val="FFFFFF"/>
                <w:sz w:val="20"/>
                <w:szCs w:val="20"/>
                <w:lang w:val="en-US" w:eastAsia="en-AU"/>
              </w:rPr>
              <w:t xml:space="preserve">Proposed reform initiative </w:t>
            </w:r>
            <w:r w:rsidRPr="00624D1D" w:rsidDel="00624D1D">
              <w:rPr>
                <w:rFonts w:eastAsia="Cambria"/>
                <w:b/>
                <w:color w:val="FFFFFF"/>
                <w:sz w:val="20"/>
                <w:szCs w:val="20"/>
                <w:lang w:val="en-US" w:eastAsia="en-AU"/>
              </w:rPr>
              <w:t>for implementation</w:t>
            </w:r>
          </w:p>
        </w:tc>
        <w:tc>
          <w:tcPr>
            <w:tcW w:w="4280" w:type="dxa"/>
            <w:tcBorders>
              <w:top w:val="single" w:sz="4" w:space="0" w:color="FFFFFF" w:themeColor="background1"/>
            </w:tcBorders>
          </w:tcPr>
          <w:p w14:paraId="6AD7368B" w14:textId="77777777" w:rsidR="00DA1B50" w:rsidRPr="00624D1D" w:rsidRDefault="00DA1B50" w:rsidP="00B41932">
            <w:pPr>
              <w:cnfStyle w:val="100000000000" w:firstRow="1" w:lastRow="0" w:firstColumn="0" w:lastColumn="0" w:oddVBand="0" w:evenVBand="0" w:oddHBand="0" w:evenHBand="0" w:firstRowFirstColumn="0" w:firstRowLastColumn="0" w:lastRowFirstColumn="0" w:lastRowLastColumn="0"/>
              <w:rPr>
                <w:rFonts w:eastAsia="Cambria"/>
                <w:b/>
                <w:color w:val="FFFFFF"/>
                <w:sz w:val="20"/>
                <w:szCs w:val="20"/>
                <w:lang w:val="en-US" w:eastAsia="en-AU"/>
              </w:rPr>
            </w:pPr>
            <w:r w:rsidRPr="00624D1D">
              <w:rPr>
                <w:rFonts w:eastAsia="Cambria"/>
                <w:b/>
                <w:color w:val="FFFFFF"/>
                <w:sz w:val="20"/>
                <w:szCs w:val="20"/>
                <w:lang w:val="en-US" w:eastAsia="en-AU"/>
              </w:rPr>
              <w:t>Mechanism for implementation</w:t>
            </w:r>
          </w:p>
        </w:tc>
      </w:tr>
      <w:tr w:rsidR="00DA1B50" w:rsidRPr="00624D1D" w14:paraId="7690E36D" w14:textId="77777777" w:rsidTr="00651EAF">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5671" w:type="dxa"/>
            <w:shd w:val="clear" w:color="auto" w:fill="auto"/>
            <w:vAlign w:val="center"/>
          </w:tcPr>
          <w:p w14:paraId="08AD7237" w14:textId="77777777" w:rsidR="00DA1B50" w:rsidRPr="00624D1D" w:rsidRDefault="00DA1B50" w:rsidP="00B41932">
            <w:pPr>
              <w:rPr>
                <w:color w:val="000000"/>
                <w:sz w:val="20"/>
                <w:szCs w:val="20"/>
                <w:lang w:val="en-US" w:eastAsia="en-AU"/>
              </w:rPr>
            </w:pPr>
            <w:r w:rsidRPr="00624D1D">
              <w:rPr>
                <w:b/>
                <w:bCs/>
                <w:color w:val="000000"/>
                <w:sz w:val="20"/>
                <w:szCs w:val="20"/>
                <w:lang w:val="en-US" w:eastAsia="en-AU"/>
              </w:rPr>
              <w:t>Initiative 1:</w:t>
            </w:r>
            <w:r w:rsidRPr="00624D1D">
              <w:rPr>
                <w:color w:val="000000"/>
                <w:sz w:val="20"/>
                <w:szCs w:val="20"/>
                <w:lang w:val="en-US" w:eastAsia="en-AU"/>
              </w:rPr>
              <w:t xml:space="preserve"> Sector education</w:t>
            </w:r>
            <w:r>
              <w:rPr>
                <w:color w:val="000000"/>
                <w:sz w:val="20"/>
                <w:szCs w:val="20"/>
                <w:lang w:val="en-US" w:eastAsia="en-AU"/>
              </w:rPr>
              <w:t>.</w:t>
            </w:r>
          </w:p>
        </w:tc>
        <w:tc>
          <w:tcPr>
            <w:tcW w:w="4280" w:type="dxa"/>
            <w:shd w:val="clear" w:color="auto" w:fill="auto"/>
            <w:vAlign w:val="center"/>
          </w:tcPr>
          <w:p w14:paraId="01034C40" w14:textId="77777777" w:rsidR="00DA1B50" w:rsidRPr="00624D1D" w:rsidRDefault="00DA1B50" w:rsidP="00B41932">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en-AU"/>
              </w:rPr>
            </w:pPr>
            <w:r w:rsidRPr="5FAC9E8C">
              <w:rPr>
                <w:sz w:val="20"/>
                <w:szCs w:val="20"/>
                <w:lang w:val="en-US" w:eastAsia="en-AU"/>
              </w:rPr>
              <w:t xml:space="preserve">Department </w:t>
            </w:r>
            <w:r w:rsidRPr="5C51DB8E">
              <w:rPr>
                <w:sz w:val="20"/>
                <w:szCs w:val="20"/>
                <w:lang w:val="en-US" w:eastAsia="en-AU"/>
              </w:rPr>
              <w:t xml:space="preserve">and sector </w:t>
            </w:r>
            <w:r w:rsidRPr="51BDDBD8">
              <w:rPr>
                <w:sz w:val="20"/>
                <w:szCs w:val="20"/>
                <w:lang w:val="en-US" w:eastAsia="en-AU"/>
              </w:rPr>
              <w:t xml:space="preserve">collaboration through workshops and </w:t>
            </w:r>
            <w:r w:rsidRPr="39463C35">
              <w:rPr>
                <w:sz w:val="20"/>
                <w:szCs w:val="20"/>
                <w:lang w:val="en-US" w:eastAsia="en-AU"/>
              </w:rPr>
              <w:t>resources</w:t>
            </w:r>
            <w:r>
              <w:rPr>
                <w:sz w:val="20"/>
                <w:szCs w:val="20"/>
                <w:lang w:val="en-US" w:eastAsia="en-AU"/>
              </w:rPr>
              <w:t>.</w:t>
            </w:r>
          </w:p>
        </w:tc>
      </w:tr>
      <w:tr w:rsidR="00DA1B50" w:rsidRPr="00624D1D" w14:paraId="2F2DF065" w14:textId="77777777" w:rsidTr="00651EAF">
        <w:trPr>
          <w:cnfStyle w:val="000000010000" w:firstRow="0" w:lastRow="0" w:firstColumn="0" w:lastColumn="0" w:oddVBand="0" w:evenVBand="0" w:oddHBand="0" w:evenHBand="1"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5671" w:type="dxa"/>
            <w:shd w:val="clear" w:color="auto" w:fill="auto"/>
            <w:vAlign w:val="center"/>
          </w:tcPr>
          <w:p w14:paraId="2F71C4EF" w14:textId="77777777" w:rsidR="00DA1B50" w:rsidRPr="00624D1D" w:rsidRDefault="00DA1B50" w:rsidP="00B41932">
            <w:pPr>
              <w:rPr>
                <w:b/>
                <w:bCs/>
                <w:color w:val="000000"/>
                <w:sz w:val="20"/>
                <w:szCs w:val="20"/>
                <w:lang w:val="en-US" w:eastAsia="en-AU"/>
              </w:rPr>
            </w:pPr>
            <w:r w:rsidRPr="16C5E555">
              <w:rPr>
                <w:b/>
                <w:sz w:val="20"/>
                <w:szCs w:val="20"/>
                <w:lang w:val="en-US" w:eastAsia="en-AU"/>
              </w:rPr>
              <w:t>Initiative 2:</w:t>
            </w:r>
            <w:r w:rsidRPr="16C5E555">
              <w:rPr>
                <w:sz w:val="20"/>
                <w:szCs w:val="20"/>
                <w:lang w:val="en-US" w:eastAsia="en-AU"/>
              </w:rPr>
              <w:t xml:space="preserve"> Increased </w:t>
            </w:r>
            <w:r w:rsidRPr="005A7730">
              <w:rPr>
                <w:sz w:val="20"/>
                <w:szCs w:val="20"/>
                <w:lang w:val="en-US" w:eastAsia="en-AU"/>
              </w:rPr>
              <w:t xml:space="preserve">access and choice </w:t>
            </w:r>
            <w:r>
              <w:rPr>
                <w:sz w:val="20"/>
                <w:szCs w:val="20"/>
                <w:lang w:val="en-US" w:eastAsia="en-AU"/>
              </w:rPr>
              <w:t xml:space="preserve">to different </w:t>
            </w:r>
            <w:r w:rsidRPr="005A7730">
              <w:rPr>
                <w:sz w:val="20"/>
                <w:szCs w:val="20"/>
                <w:lang w:val="en-US" w:eastAsia="en-AU"/>
              </w:rPr>
              <w:t xml:space="preserve">models of </w:t>
            </w:r>
            <w:r>
              <w:rPr>
                <w:sz w:val="20"/>
                <w:szCs w:val="20"/>
                <w:lang w:val="en-US" w:eastAsia="en-AU"/>
              </w:rPr>
              <w:t xml:space="preserve">maternity </w:t>
            </w:r>
            <w:r w:rsidRPr="005A7730">
              <w:rPr>
                <w:sz w:val="20"/>
                <w:szCs w:val="20"/>
                <w:lang w:val="en-US" w:eastAsia="en-AU"/>
              </w:rPr>
              <w:t>care.</w:t>
            </w:r>
          </w:p>
        </w:tc>
        <w:tc>
          <w:tcPr>
            <w:tcW w:w="4280" w:type="dxa"/>
            <w:shd w:val="clear" w:color="auto" w:fill="auto"/>
            <w:vAlign w:val="center"/>
          </w:tcPr>
          <w:p w14:paraId="3A9CDF43" w14:textId="77777777" w:rsidR="00DA1B50" w:rsidRPr="00624D1D" w:rsidRDefault="00DA1B50" w:rsidP="00B41932">
            <w:pPr>
              <w:cnfStyle w:val="000000010000" w:firstRow="0" w:lastRow="0" w:firstColumn="0" w:lastColumn="0" w:oddVBand="0" w:evenVBand="0" w:oddHBand="0" w:evenHBand="1" w:firstRowFirstColumn="0" w:firstRowLastColumn="0" w:lastRowFirstColumn="0" w:lastRowLastColumn="0"/>
              <w:rPr>
                <w:color w:val="000000"/>
                <w:sz w:val="20"/>
                <w:szCs w:val="20"/>
                <w:lang w:val="en-US" w:eastAsia="en-AU"/>
              </w:rPr>
            </w:pPr>
            <w:r w:rsidRPr="00624D1D">
              <w:rPr>
                <w:color w:val="000000"/>
                <w:sz w:val="20"/>
                <w:szCs w:val="20"/>
                <w:lang w:val="en-US" w:eastAsia="en-AU"/>
              </w:rPr>
              <w:t>Sector led.</w:t>
            </w:r>
          </w:p>
        </w:tc>
      </w:tr>
      <w:tr w:rsidR="00DA1B50" w:rsidRPr="00624D1D" w14:paraId="67433870" w14:textId="77777777" w:rsidTr="00651EAF">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5671" w:type="dxa"/>
            <w:shd w:val="clear" w:color="auto" w:fill="auto"/>
            <w:vAlign w:val="center"/>
          </w:tcPr>
          <w:p w14:paraId="106C317B" w14:textId="77777777" w:rsidR="00DA1B50" w:rsidRPr="00624D1D" w:rsidRDefault="00DA1B50" w:rsidP="00B41932">
            <w:pPr>
              <w:rPr>
                <w:b/>
                <w:bCs/>
                <w:color w:val="000000"/>
                <w:sz w:val="20"/>
                <w:szCs w:val="20"/>
                <w:lang w:val="en-US" w:eastAsia="en-AU"/>
              </w:rPr>
            </w:pPr>
            <w:r w:rsidRPr="00624D1D">
              <w:rPr>
                <w:b/>
                <w:bCs/>
                <w:color w:val="000000"/>
                <w:sz w:val="20"/>
                <w:szCs w:val="20"/>
                <w:lang w:val="en-US" w:eastAsia="en-AU"/>
              </w:rPr>
              <w:t>Initiative</w:t>
            </w:r>
            <w:r w:rsidRPr="00624D1D" w:rsidDel="000C7127">
              <w:rPr>
                <w:b/>
                <w:bCs/>
                <w:color w:val="000000"/>
                <w:sz w:val="20"/>
                <w:szCs w:val="20"/>
                <w:lang w:val="en-US" w:eastAsia="en-AU"/>
              </w:rPr>
              <w:t xml:space="preserve"> </w:t>
            </w:r>
            <w:r w:rsidRPr="00624D1D">
              <w:rPr>
                <w:b/>
                <w:bCs/>
                <w:color w:val="000000"/>
                <w:sz w:val="20"/>
                <w:szCs w:val="20"/>
                <w:lang w:val="en-US" w:eastAsia="en-AU"/>
              </w:rPr>
              <w:t>3:</w:t>
            </w:r>
            <w:r w:rsidRPr="00624D1D">
              <w:rPr>
                <w:color w:val="000000"/>
                <w:sz w:val="20"/>
                <w:szCs w:val="20"/>
                <w:lang w:val="en-US" w:eastAsia="en-AU"/>
              </w:rPr>
              <w:t xml:space="preserve"> </w:t>
            </w:r>
            <w:r w:rsidRPr="00624D1D">
              <w:rPr>
                <w:color w:val="000000"/>
                <w:sz w:val="20"/>
                <w:szCs w:val="20"/>
                <w:lang w:eastAsia="en-AU"/>
              </w:rPr>
              <w:t xml:space="preserve">Shorter </w:t>
            </w:r>
            <w:r w:rsidRPr="005A7730">
              <w:rPr>
                <w:color w:val="000000"/>
                <w:sz w:val="20"/>
                <w:szCs w:val="20"/>
                <w:lang w:eastAsia="en-AU"/>
              </w:rPr>
              <w:t>PHI</w:t>
            </w:r>
            <w:r>
              <w:rPr>
                <w:color w:val="000000"/>
                <w:sz w:val="20"/>
                <w:szCs w:val="20"/>
                <w:lang w:eastAsia="en-AU"/>
              </w:rPr>
              <w:t xml:space="preserve"> </w:t>
            </w:r>
            <w:r w:rsidRPr="00624D1D">
              <w:rPr>
                <w:color w:val="000000"/>
                <w:sz w:val="20"/>
                <w:szCs w:val="20"/>
                <w:lang w:eastAsia="en-AU"/>
              </w:rPr>
              <w:t>waiting periods for pregnancy and birth</w:t>
            </w:r>
            <w:r>
              <w:rPr>
                <w:color w:val="000000"/>
                <w:sz w:val="20"/>
                <w:szCs w:val="20"/>
                <w:lang w:eastAsia="en-AU"/>
              </w:rPr>
              <w:t>.</w:t>
            </w:r>
          </w:p>
        </w:tc>
        <w:tc>
          <w:tcPr>
            <w:tcW w:w="4280" w:type="dxa"/>
            <w:shd w:val="clear" w:color="auto" w:fill="auto"/>
            <w:vAlign w:val="center"/>
          </w:tcPr>
          <w:p w14:paraId="21B2E68B" w14:textId="77777777" w:rsidR="00DA1B50" w:rsidRPr="0074063E" w:rsidRDefault="00DA1B50" w:rsidP="00B41932">
            <w:pPr>
              <w:cnfStyle w:val="000000100000" w:firstRow="0" w:lastRow="0" w:firstColumn="0" w:lastColumn="0" w:oddVBand="0" w:evenVBand="0" w:oddHBand="1" w:evenHBand="0" w:firstRowFirstColumn="0" w:firstRowLastColumn="0" w:lastRowFirstColumn="0" w:lastRowLastColumn="0"/>
              <w:rPr>
                <w:sz w:val="20"/>
                <w:szCs w:val="20"/>
                <w:lang w:val="en-US" w:eastAsia="en-AU"/>
              </w:rPr>
            </w:pPr>
            <w:r w:rsidRPr="6D927220">
              <w:rPr>
                <w:sz w:val="20"/>
                <w:szCs w:val="20"/>
                <w:lang w:val="en-US" w:eastAsia="en-AU"/>
              </w:rPr>
              <w:t>Department consultation with sector</w:t>
            </w:r>
            <w:r>
              <w:rPr>
                <w:sz w:val="20"/>
                <w:szCs w:val="20"/>
                <w:lang w:val="en-US" w:eastAsia="en-AU"/>
              </w:rPr>
              <w:t xml:space="preserve"> and c</w:t>
            </w:r>
            <w:r w:rsidRPr="0FB79AFC">
              <w:rPr>
                <w:sz w:val="20"/>
                <w:szCs w:val="20"/>
                <w:lang w:val="en-US" w:eastAsia="en-AU"/>
              </w:rPr>
              <w:t>hanges to</w:t>
            </w:r>
            <w:r>
              <w:rPr>
                <w:sz w:val="20"/>
                <w:szCs w:val="20"/>
                <w:lang w:val="en-US" w:eastAsia="en-AU"/>
              </w:rPr>
              <w:t xml:space="preserve"> the</w:t>
            </w:r>
            <w:r w:rsidRPr="0FB79AFC">
              <w:rPr>
                <w:sz w:val="20"/>
                <w:szCs w:val="20"/>
                <w:lang w:val="en-US" w:eastAsia="en-AU"/>
              </w:rPr>
              <w:t xml:space="preserve"> PHI Act.</w:t>
            </w:r>
          </w:p>
        </w:tc>
      </w:tr>
      <w:tr w:rsidR="00DA1B50" w:rsidRPr="00624D1D" w14:paraId="79024EBC" w14:textId="77777777" w:rsidTr="00651EAF">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5671" w:type="dxa"/>
            <w:shd w:val="clear" w:color="auto" w:fill="auto"/>
            <w:vAlign w:val="center"/>
          </w:tcPr>
          <w:p w14:paraId="18D907A4" w14:textId="77777777" w:rsidR="00DA1B50" w:rsidRPr="00624D1D" w:rsidRDefault="00DA1B50" w:rsidP="00B41932">
            <w:pPr>
              <w:rPr>
                <w:b/>
                <w:bCs/>
                <w:color w:val="000000"/>
                <w:sz w:val="20"/>
                <w:szCs w:val="20"/>
                <w:lang w:eastAsia="en-AU"/>
              </w:rPr>
            </w:pPr>
            <w:r w:rsidRPr="00624D1D">
              <w:rPr>
                <w:b/>
                <w:bCs/>
                <w:iCs/>
                <w:color w:val="000000"/>
                <w:sz w:val="20"/>
                <w:szCs w:val="20"/>
                <w:lang w:eastAsia="en-AU"/>
              </w:rPr>
              <w:t>Initiative</w:t>
            </w:r>
            <w:r w:rsidRPr="00624D1D" w:rsidDel="00621A9F">
              <w:rPr>
                <w:b/>
                <w:bCs/>
                <w:color w:val="000000"/>
                <w:sz w:val="20"/>
                <w:szCs w:val="20"/>
                <w:lang w:eastAsia="en-AU"/>
              </w:rPr>
              <w:t xml:space="preserve"> </w:t>
            </w:r>
            <w:r w:rsidRPr="00624D1D">
              <w:rPr>
                <w:b/>
                <w:bCs/>
                <w:color w:val="000000"/>
                <w:sz w:val="20"/>
                <w:szCs w:val="20"/>
                <w:lang w:eastAsia="en-AU"/>
              </w:rPr>
              <w:t xml:space="preserve">4: </w:t>
            </w:r>
            <w:r w:rsidRPr="00624D1D">
              <w:rPr>
                <w:color w:val="000000"/>
                <w:sz w:val="20"/>
                <w:szCs w:val="20"/>
                <w:lang w:eastAsia="en-AU"/>
              </w:rPr>
              <w:t>Review of product tier structure</w:t>
            </w:r>
            <w:r>
              <w:rPr>
                <w:color w:val="000000"/>
                <w:sz w:val="20"/>
                <w:szCs w:val="20"/>
                <w:lang w:eastAsia="en-AU"/>
              </w:rPr>
              <w:t>.</w:t>
            </w:r>
          </w:p>
        </w:tc>
        <w:tc>
          <w:tcPr>
            <w:tcW w:w="4280" w:type="dxa"/>
            <w:vMerge w:val="restart"/>
            <w:shd w:val="clear" w:color="auto" w:fill="auto"/>
            <w:vAlign w:val="center"/>
          </w:tcPr>
          <w:p w14:paraId="5906E815" w14:textId="77777777" w:rsidR="00DA1B50" w:rsidRPr="00624D1D" w:rsidRDefault="00DA1B50" w:rsidP="00B41932">
            <w:pPr>
              <w:cnfStyle w:val="000000010000" w:firstRow="0" w:lastRow="0" w:firstColumn="0" w:lastColumn="0" w:oddVBand="0" w:evenVBand="0" w:oddHBand="0" w:evenHBand="1" w:firstRowFirstColumn="0" w:firstRowLastColumn="0" w:lastRowFirstColumn="0" w:lastRowLastColumn="0"/>
              <w:rPr>
                <w:color w:val="000000"/>
                <w:sz w:val="20"/>
                <w:szCs w:val="20"/>
                <w:lang w:val="en-US" w:eastAsia="en-AU"/>
              </w:rPr>
            </w:pPr>
            <w:r w:rsidRPr="09D87331">
              <w:rPr>
                <w:sz w:val="20"/>
                <w:szCs w:val="20"/>
                <w:lang w:val="en-US" w:eastAsia="en-AU"/>
              </w:rPr>
              <w:t>Refer to</w:t>
            </w:r>
            <w:r>
              <w:rPr>
                <w:sz w:val="20"/>
                <w:szCs w:val="20"/>
                <w:lang w:val="en-US" w:eastAsia="en-AU"/>
              </w:rPr>
              <w:t xml:space="preserve"> </w:t>
            </w:r>
            <w:hyperlink w:anchor="_Delivering_better_value_2" w:history="1">
              <w:r w:rsidRPr="00920BB3">
                <w:rPr>
                  <w:rStyle w:val="Hyperlink"/>
                  <w:sz w:val="20"/>
                  <w:szCs w:val="20"/>
                  <w:lang w:val="en-US" w:eastAsia="en-AU"/>
                </w:rPr>
                <w:t xml:space="preserve">Section 2: </w:t>
              </w:r>
              <w:r w:rsidRPr="00962AE7">
                <w:rPr>
                  <w:rStyle w:val="Hyperlink"/>
                  <w:rFonts w:eastAsia="Arial" w:cs="Arial"/>
                  <w:sz w:val="20"/>
                  <w:szCs w:val="20"/>
                  <w:lang w:val="en-US"/>
                </w:rPr>
                <w:t>Delivering better value for consumers</w:t>
              </w:r>
            </w:hyperlink>
            <w:r>
              <w:rPr>
                <w:rFonts w:eastAsia="Arial" w:cs="Arial"/>
                <w:sz w:val="20"/>
                <w:szCs w:val="20"/>
                <w:lang w:val="en-US"/>
              </w:rPr>
              <w:t>.</w:t>
            </w:r>
          </w:p>
        </w:tc>
      </w:tr>
      <w:tr w:rsidR="00DA1B50" w:rsidRPr="00624D1D" w14:paraId="42E3A47C" w14:textId="77777777" w:rsidTr="00651EAF">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671" w:type="dxa"/>
            <w:shd w:val="clear" w:color="auto" w:fill="auto"/>
            <w:vAlign w:val="center"/>
          </w:tcPr>
          <w:p w14:paraId="68936BB8" w14:textId="77777777" w:rsidR="00DA1B50" w:rsidRPr="00624D1D" w:rsidRDefault="00DA1B50" w:rsidP="00B41932">
            <w:pPr>
              <w:rPr>
                <w:b/>
                <w:bCs/>
                <w:color w:val="000000"/>
                <w:sz w:val="20"/>
                <w:szCs w:val="20"/>
                <w:lang w:eastAsia="en-AU"/>
              </w:rPr>
            </w:pPr>
            <w:r w:rsidRPr="00624D1D">
              <w:rPr>
                <w:b/>
                <w:bCs/>
                <w:iCs/>
                <w:color w:val="000000"/>
                <w:sz w:val="20"/>
                <w:szCs w:val="20"/>
                <w:lang w:eastAsia="en-AU"/>
              </w:rPr>
              <w:t>Initiative</w:t>
            </w:r>
            <w:r w:rsidRPr="00624D1D" w:rsidDel="000C7127">
              <w:rPr>
                <w:b/>
                <w:bCs/>
                <w:color w:val="000000"/>
                <w:sz w:val="20"/>
                <w:szCs w:val="20"/>
                <w:lang w:eastAsia="en-AU"/>
              </w:rPr>
              <w:t xml:space="preserve"> </w:t>
            </w:r>
            <w:r w:rsidRPr="00624D1D">
              <w:rPr>
                <w:b/>
                <w:bCs/>
                <w:color w:val="000000"/>
                <w:sz w:val="20"/>
                <w:szCs w:val="20"/>
                <w:lang w:eastAsia="en-AU"/>
              </w:rPr>
              <w:t xml:space="preserve">5: </w:t>
            </w:r>
            <w:r w:rsidRPr="00624D1D">
              <w:rPr>
                <w:color w:val="000000"/>
                <w:sz w:val="20"/>
                <w:szCs w:val="20"/>
                <w:lang w:eastAsia="en-AU"/>
              </w:rPr>
              <w:t>Review of risk equalisation arrangement</w:t>
            </w:r>
            <w:r w:rsidRPr="00437479">
              <w:rPr>
                <w:color w:val="000000"/>
                <w:sz w:val="20"/>
                <w:szCs w:val="20"/>
                <w:lang w:eastAsia="en-AU"/>
              </w:rPr>
              <w:t>s.</w:t>
            </w:r>
          </w:p>
        </w:tc>
        <w:tc>
          <w:tcPr>
            <w:tcW w:w="4280" w:type="dxa"/>
            <w:vMerge/>
            <w:vAlign w:val="center"/>
          </w:tcPr>
          <w:p w14:paraId="7A98618F" w14:textId="77777777" w:rsidR="00DA1B50" w:rsidRPr="00624D1D" w:rsidRDefault="00DA1B50" w:rsidP="00B41932">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en-AU"/>
              </w:rPr>
            </w:pPr>
          </w:p>
        </w:tc>
      </w:tr>
      <w:tr w:rsidR="00DA1B50" w:rsidRPr="00624D1D" w14:paraId="1E7FFD19" w14:textId="77777777" w:rsidTr="00651EAF">
        <w:trPr>
          <w:cnfStyle w:val="000000010000" w:firstRow="0" w:lastRow="0" w:firstColumn="0" w:lastColumn="0" w:oddVBand="0" w:evenVBand="0" w:oddHBand="0" w:evenHBand="1"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5671" w:type="dxa"/>
            <w:shd w:val="clear" w:color="auto" w:fill="auto"/>
            <w:vAlign w:val="center"/>
          </w:tcPr>
          <w:p w14:paraId="3229F480" w14:textId="77777777" w:rsidR="00DA1B50" w:rsidRPr="00624D1D" w:rsidRDefault="00DA1B50" w:rsidP="00B41932">
            <w:pPr>
              <w:rPr>
                <w:b/>
                <w:bCs/>
                <w:iCs/>
                <w:color w:val="000000"/>
                <w:sz w:val="20"/>
                <w:szCs w:val="20"/>
                <w:lang w:eastAsia="en-AU"/>
              </w:rPr>
            </w:pPr>
            <w:r w:rsidRPr="00624D1D">
              <w:rPr>
                <w:b/>
                <w:bCs/>
                <w:iCs/>
                <w:color w:val="000000"/>
                <w:sz w:val="20"/>
                <w:szCs w:val="20"/>
                <w:lang w:eastAsia="en-AU"/>
              </w:rPr>
              <w:t>Initiative</w:t>
            </w:r>
            <w:r w:rsidRPr="00624D1D" w:rsidDel="000C7127">
              <w:rPr>
                <w:b/>
                <w:bCs/>
                <w:iCs/>
                <w:color w:val="000000"/>
                <w:sz w:val="20"/>
                <w:szCs w:val="20"/>
                <w:lang w:eastAsia="en-AU"/>
              </w:rPr>
              <w:t xml:space="preserve"> </w:t>
            </w:r>
            <w:r w:rsidRPr="00624D1D">
              <w:rPr>
                <w:b/>
                <w:bCs/>
                <w:iCs/>
                <w:color w:val="000000"/>
                <w:sz w:val="20"/>
                <w:szCs w:val="20"/>
                <w:lang w:eastAsia="en-AU"/>
              </w:rPr>
              <w:t xml:space="preserve">6: </w:t>
            </w:r>
            <w:r w:rsidRPr="00624D1D">
              <w:rPr>
                <w:iCs/>
                <w:color w:val="000000"/>
                <w:sz w:val="20"/>
                <w:szCs w:val="20"/>
                <w:lang w:eastAsia="en-AU"/>
              </w:rPr>
              <w:t>Review of MBS items for paediatricians</w:t>
            </w:r>
            <w:r>
              <w:rPr>
                <w:iCs/>
                <w:color w:val="000000"/>
                <w:sz w:val="20"/>
                <w:szCs w:val="20"/>
                <w:lang w:eastAsia="en-AU"/>
              </w:rPr>
              <w:t>.</w:t>
            </w:r>
          </w:p>
        </w:tc>
        <w:tc>
          <w:tcPr>
            <w:tcW w:w="4280" w:type="dxa"/>
            <w:shd w:val="clear" w:color="auto" w:fill="auto"/>
            <w:vAlign w:val="center"/>
          </w:tcPr>
          <w:p w14:paraId="0E95A8F8" w14:textId="77777777" w:rsidR="00DA1B50" w:rsidRPr="00624D1D" w:rsidRDefault="00DA1B50" w:rsidP="00B41932">
            <w:pPr>
              <w:cnfStyle w:val="000000010000" w:firstRow="0" w:lastRow="0" w:firstColumn="0" w:lastColumn="0" w:oddVBand="0" w:evenVBand="0" w:oddHBand="0" w:evenHBand="1" w:firstRowFirstColumn="0" w:firstRowLastColumn="0" w:lastRowFirstColumn="0" w:lastRowLastColumn="0"/>
              <w:rPr>
                <w:color w:val="000000"/>
                <w:sz w:val="20"/>
                <w:szCs w:val="20"/>
                <w:lang w:val="en-US" w:eastAsia="en-AU"/>
              </w:rPr>
            </w:pPr>
            <w:r w:rsidRPr="00624D1D">
              <w:rPr>
                <w:color w:val="000000"/>
                <w:sz w:val="20"/>
                <w:szCs w:val="20"/>
                <w:lang w:val="en-US" w:eastAsia="en-AU"/>
              </w:rPr>
              <w:t>Amendment of MBS items</w:t>
            </w:r>
            <w:r>
              <w:rPr>
                <w:color w:val="000000"/>
                <w:sz w:val="20"/>
                <w:szCs w:val="20"/>
                <w:lang w:val="en-US" w:eastAsia="en-AU"/>
              </w:rPr>
              <w:t xml:space="preserve"> (see: Note).</w:t>
            </w:r>
          </w:p>
        </w:tc>
      </w:tr>
      <w:tr w:rsidR="00DA1B50" w:rsidRPr="00624D1D" w14:paraId="1908782D" w14:textId="77777777" w:rsidTr="00651EA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3F4A75" w:themeFill="accent1"/>
          </w:tcPr>
          <w:p w14:paraId="2F1D7B1B" w14:textId="77777777" w:rsidR="00DA1B50" w:rsidRPr="00624D1D" w:rsidRDefault="00DA1B50" w:rsidP="00B41932">
            <w:pPr>
              <w:rPr>
                <w:color w:val="000000"/>
                <w:sz w:val="20"/>
                <w:szCs w:val="20"/>
                <w:lang w:val="en-US" w:eastAsia="en-AU"/>
              </w:rPr>
            </w:pPr>
            <w:r w:rsidRPr="00624D1D">
              <w:rPr>
                <w:rFonts w:eastAsia="Cambria"/>
                <w:b/>
                <w:color w:val="FFFFFF"/>
                <w:sz w:val="20"/>
                <w:szCs w:val="20"/>
                <w:lang w:val="en-US" w:eastAsia="en-AU"/>
              </w:rPr>
              <w:t>Questions for stakeholder consideration</w:t>
            </w:r>
            <w:r w:rsidRPr="00624D1D">
              <w:rPr>
                <w:color w:val="FFFFFF"/>
                <w:sz w:val="20"/>
                <w:szCs w:val="20"/>
                <w:lang w:val="en-US" w:eastAsia="en-AU"/>
              </w:rPr>
              <w:t xml:space="preserve"> </w:t>
            </w:r>
          </w:p>
        </w:tc>
      </w:tr>
      <w:tr w:rsidR="00DA1B50" w:rsidRPr="00624D1D" w14:paraId="1EC276D7" w14:textId="77777777" w:rsidTr="00651EAF">
        <w:trPr>
          <w:cnfStyle w:val="000000010000" w:firstRow="0" w:lastRow="0" w:firstColumn="0" w:lastColumn="0" w:oddVBand="0" w:evenVBand="0" w:oddHBand="0" w:evenHBand="1" w:firstRowFirstColumn="0" w:firstRowLastColumn="0" w:lastRowFirstColumn="0" w:lastRowLastColumn="0"/>
          <w:trHeight w:val="6211"/>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auto"/>
          </w:tcPr>
          <w:p w14:paraId="74F7271E" w14:textId="77777777" w:rsidR="00DA1B50" w:rsidRPr="00624D1D" w:rsidRDefault="00DA1B50" w:rsidP="00B41932">
            <w:pPr>
              <w:rPr>
                <w:rFonts w:cs="Arial"/>
                <w:i/>
                <w:color w:val="358189"/>
                <w:sz w:val="20"/>
                <w:szCs w:val="20"/>
                <w:lang w:eastAsia="en-AU"/>
              </w:rPr>
            </w:pPr>
            <w:r w:rsidRPr="00624D1D">
              <w:rPr>
                <w:rFonts w:cs="Arial"/>
                <w:i/>
                <w:color w:val="358189"/>
                <w:sz w:val="20"/>
                <w:szCs w:val="20"/>
                <w:lang w:eastAsia="en-AU"/>
              </w:rPr>
              <w:t>Initiative 1: Sector education</w:t>
            </w:r>
          </w:p>
          <w:p w14:paraId="48A4A2C2" w14:textId="77777777" w:rsidR="00DA1B50" w:rsidRPr="007B55D1" w:rsidRDefault="00DA1B50" w:rsidP="009257CE">
            <w:pPr>
              <w:numPr>
                <w:ilvl w:val="0"/>
                <w:numId w:val="40"/>
              </w:numPr>
              <w:rPr>
                <w:color w:val="auto"/>
                <w:sz w:val="20"/>
                <w:lang w:val="en-US" w:eastAsia="en-AU"/>
              </w:rPr>
            </w:pPr>
            <w:r w:rsidRPr="007B55D1">
              <w:rPr>
                <w:color w:val="auto"/>
                <w:sz w:val="20"/>
                <w:lang w:val="en-US" w:eastAsia="en-AU"/>
              </w:rPr>
              <w:t>Do you agree or disagree that sector education about innovative models of maternity care would help to raise awareness of models and build a clearer understanding of regulatory enablers?</w:t>
            </w:r>
            <w:r>
              <w:rPr>
                <w:color w:val="auto"/>
                <w:sz w:val="20"/>
                <w:lang w:val="en-US" w:eastAsia="en-AU"/>
              </w:rPr>
              <w:t xml:space="preserve"> Why do you agree or disagree?</w:t>
            </w:r>
          </w:p>
          <w:p w14:paraId="6F04C5DD" w14:textId="77777777" w:rsidR="00DA1B50" w:rsidRPr="00624D1D" w:rsidRDefault="00DA1B50" w:rsidP="009257CE">
            <w:pPr>
              <w:numPr>
                <w:ilvl w:val="0"/>
                <w:numId w:val="40"/>
              </w:numPr>
              <w:rPr>
                <w:color w:val="000000"/>
                <w:sz w:val="20"/>
                <w:lang w:val="en-US" w:eastAsia="en-AU"/>
              </w:rPr>
            </w:pPr>
            <w:r w:rsidRPr="00624D1D">
              <w:rPr>
                <w:color w:val="000000"/>
                <w:sz w:val="20"/>
                <w:lang w:val="en-US" w:eastAsia="en-AU"/>
              </w:rPr>
              <w:t xml:space="preserve">What mechanisms should be used </w:t>
            </w:r>
            <w:r>
              <w:rPr>
                <w:color w:val="000000"/>
                <w:sz w:val="20"/>
                <w:lang w:val="en-US" w:eastAsia="en-AU"/>
              </w:rPr>
              <w:t>to educate the</w:t>
            </w:r>
            <w:r w:rsidRPr="00624D1D">
              <w:rPr>
                <w:color w:val="000000"/>
                <w:sz w:val="20"/>
                <w:lang w:val="en-US" w:eastAsia="en-AU"/>
              </w:rPr>
              <w:t xml:space="preserve"> sector?</w:t>
            </w:r>
          </w:p>
          <w:p w14:paraId="2527A3E0" w14:textId="77777777" w:rsidR="00DA1B50" w:rsidRPr="00624D1D" w:rsidRDefault="00DA1B50" w:rsidP="00B41932">
            <w:pPr>
              <w:rPr>
                <w:rFonts w:cs="Arial"/>
                <w:i/>
                <w:color w:val="358189"/>
                <w:sz w:val="20"/>
                <w:szCs w:val="20"/>
                <w:lang w:eastAsia="en-AU"/>
              </w:rPr>
            </w:pPr>
            <w:r w:rsidRPr="00624D1D">
              <w:rPr>
                <w:rFonts w:cs="Arial"/>
                <w:i/>
                <w:color w:val="358189"/>
                <w:sz w:val="20"/>
                <w:szCs w:val="20"/>
                <w:lang w:eastAsia="en-AU"/>
              </w:rPr>
              <w:t xml:space="preserve">Initiative 2: </w:t>
            </w:r>
            <w:r w:rsidRPr="005A7730">
              <w:rPr>
                <w:rFonts w:cs="Arial"/>
                <w:i/>
                <w:color w:val="358189"/>
                <w:sz w:val="20"/>
                <w:szCs w:val="20"/>
                <w:lang w:eastAsia="en-AU"/>
              </w:rPr>
              <w:t xml:space="preserve">Increased access and choice </w:t>
            </w:r>
            <w:r w:rsidRPr="002C219D">
              <w:rPr>
                <w:rFonts w:cs="Arial"/>
                <w:i/>
                <w:color w:val="358189"/>
                <w:sz w:val="20"/>
                <w:szCs w:val="20"/>
                <w:lang w:val="en-US" w:eastAsia="en-AU"/>
              </w:rPr>
              <w:t xml:space="preserve">to different models of </w:t>
            </w:r>
            <w:r>
              <w:rPr>
                <w:rFonts w:cs="Arial"/>
                <w:i/>
                <w:color w:val="358189"/>
                <w:sz w:val="20"/>
                <w:szCs w:val="20"/>
                <w:lang w:val="en-US" w:eastAsia="en-AU"/>
              </w:rPr>
              <w:t xml:space="preserve">private </w:t>
            </w:r>
            <w:r w:rsidRPr="002C219D">
              <w:rPr>
                <w:rFonts w:cs="Arial"/>
                <w:i/>
                <w:color w:val="358189"/>
                <w:sz w:val="20"/>
                <w:szCs w:val="20"/>
                <w:lang w:val="en-US" w:eastAsia="en-AU"/>
              </w:rPr>
              <w:t>maternity care.</w:t>
            </w:r>
          </w:p>
          <w:p w14:paraId="7CC69420" w14:textId="77777777" w:rsidR="00DA1B50" w:rsidRPr="00624D1D" w:rsidRDefault="00DA1B50" w:rsidP="009257CE">
            <w:pPr>
              <w:numPr>
                <w:ilvl w:val="0"/>
                <w:numId w:val="40"/>
              </w:numPr>
              <w:rPr>
                <w:color w:val="000000"/>
                <w:sz w:val="20"/>
                <w:szCs w:val="20"/>
                <w:lang w:val="en-US" w:eastAsia="en-AU"/>
              </w:rPr>
            </w:pPr>
            <w:r w:rsidRPr="5462A4FE">
              <w:rPr>
                <w:sz w:val="20"/>
                <w:szCs w:val="20"/>
                <w:lang w:val="en-US" w:eastAsia="en-AU"/>
              </w:rPr>
              <w:t>Would you participate in the development and implementation of innovative models of care with other practitioners in the private maternity sector? Please provide details.</w:t>
            </w:r>
          </w:p>
          <w:p w14:paraId="692D81F7" w14:textId="77777777" w:rsidR="00DA1B50" w:rsidRPr="00624D1D" w:rsidRDefault="00DA1B50" w:rsidP="00B41932">
            <w:pPr>
              <w:rPr>
                <w:rFonts w:cs="Arial"/>
                <w:i/>
                <w:color w:val="358189"/>
                <w:sz w:val="20"/>
                <w:szCs w:val="20"/>
                <w:lang w:eastAsia="en-AU"/>
              </w:rPr>
            </w:pPr>
            <w:r w:rsidRPr="00624D1D">
              <w:rPr>
                <w:rFonts w:cs="Arial"/>
                <w:i/>
                <w:color w:val="358189"/>
                <w:sz w:val="20"/>
                <w:szCs w:val="20"/>
                <w:lang w:eastAsia="en-AU"/>
              </w:rPr>
              <w:t xml:space="preserve">Initiative 3: Shorter </w:t>
            </w:r>
            <w:r w:rsidRPr="005A7730">
              <w:rPr>
                <w:rFonts w:cs="Arial"/>
                <w:i/>
                <w:color w:val="358189"/>
                <w:sz w:val="20"/>
                <w:szCs w:val="20"/>
                <w:lang w:eastAsia="en-AU"/>
              </w:rPr>
              <w:t>PHI</w:t>
            </w:r>
            <w:r w:rsidRPr="00624D1D">
              <w:rPr>
                <w:rFonts w:cs="Arial"/>
                <w:i/>
                <w:color w:val="358189"/>
                <w:sz w:val="20"/>
                <w:szCs w:val="20"/>
                <w:lang w:eastAsia="en-AU"/>
              </w:rPr>
              <w:t xml:space="preserve"> waiting periods for </w:t>
            </w:r>
            <w:r>
              <w:rPr>
                <w:rFonts w:cs="Arial"/>
                <w:i/>
                <w:color w:val="358189"/>
                <w:sz w:val="20"/>
                <w:szCs w:val="20"/>
                <w:lang w:eastAsia="en-AU"/>
              </w:rPr>
              <w:t xml:space="preserve">privately provided </w:t>
            </w:r>
            <w:r w:rsidRPr="00624D1D">
              <w:rPr>
                <w:rFonts w:cs="Arial"/>
                <w:i/>
                <w:color w:val="358189"/>
                <w:sz w:val="20"/>
                <w:szCs w:val="20"/>
                <w:lang w:eastAsia="en-AU"/>
              </w:rPr>
              <w:t>pregnancy and birth</w:t>
            </w:r>
          </w:p>
          <w:p w14:paraId="11DFC1C4" w14:textId="77777777" w:rsidR="00DA1B50" w:rsidRPr="00624D1D" w:rsidRDefault="00DA1B50" w:rsidP="009257CE">
            <w:pPr>
              <w:numPr>
                <w:ilvl w:val="0"/>
                <w:numId w:val="40"/>
              </w:numPr>
              <w:rPr>
                <w:color w:val="000000"/>
                <w:sz w:val="20"/>
                <w:lang w:val="en-US" w:eastAsia="en-AU"/>
              </w:rPr>
            </w:pPr>
            <w:r w:rsidRPr="00624D1D">
              <w:rPr>
                <w:color w:val="000000"/>
                <w:sz w:val="20"/>
                <w:lang w:val="en-US" w:eastAsia="en-AU"/>
              </w:rPr>
              <w:t>Do you agree or disagree the maximum waiting period should be reduced for the ‘Pregnancy and birth’ clinical category?</w:t>
            </w:r>
            <w:r>
              <w:rPr>
                <w:color w:val="000000"/>
                <w:sz w:val="20"/>
                <w:lang w:val="en-US" w:eastAsia="en-AU"/>
              </w:rPr>
              <w:t xml:space="preserve"> Please specify why.</w:t>
            </w:r>
          </w:p>
          <w:p w14:paraId="5019384C" w14:textId="77777777" w:rsidR="00DA1B50" w:rsidRPr="00624D1D" w:rsidRDefault="00DA1B50" w:rsidP="00B41932">
            <w:pPr>
              <w:rPr>
                <w:rFonts w:cs="Arial"/>
                <w:i/>
                <w:color w:val="358189"/>
                <w:sz w:val="20"/>
                <w:szCs w:val="20"/>
                <w:lang w:eastAsia="en-AU"/>
              </w:rPr>
            </w:pPr>
            <w:r w:rsidRPr="00624D1D">
              <w:rPr>
                <w:rFonts w:cs="Arial"/>
                <w:i/>
                <w:color w:val="358189"/>
                <w:sz w:val="20"/>
                <w:szCs w:val="20"/>
                <w:lang w:eastAsia="en-AU"/>
              </w:rPr>
              <w:t>Initiative 4: Review of product tier structure</w:t>
            </w:r>
          </w:p>
          <w:p w14:paraId="72918902" w14:textId="77777777" w:rsidR="00DA1B50" w:rsidRPr="00624D1D" w:rsidRDefault="00DA1B50" w:rsidP="009257CE">
            <w:pPr>
              <w:numPr>
                <w:ilvl w:val="0"/>
                <w:numId w:val="40"/>
              </w:numPr>
              <w:rPr>
                <w:color w:val="000000"/>
                <w:sz w:val="20"/>
                <w:lang w:val="en-US" w:eastAsia="en-AU"/>
              </w:rPr>
            </w:pPr>
            <w:r w:rsidRPr="00624D1D">
              <w:rPr>
                <w:color w:val="000000"/>
                <w:sz w:val="20"/>
                <w:lang w:val="en-US" w:eastAsia="en-AU"/>
              </w:rPr>
              <w:t>Do you agree or disagree the ‘Pregnancy and birth’ clinical category should be a minimum requirement of a product tier other than Gold?</w:t>
            </w:r>
          </w:p>
          <w:p w14:paraId="544203EB" w14:textId="77777777" w:rsidR="00DA1B50" w:rsidRDefault="00DA1B50" w:rsidP="00B41932">
            <w:pPr>
              <w:rPr>
                <w:color w:val="000000"/>
                <w:sz w:val="20"/>
                <w:lang w:val="en-US" w:eastAsia="en-AU"/>
              </w:rPr>
            </w:pPr>
            <w:r w:rsidRPr="00624D1D">
              <w:rPr>
                <w:color w:val="000000"/>
                <w:sz w:val="20"/>
                <w:lang w:val="en-US" w:eastAsia="en-AU"/>
              </w:rPr>
              <w:t xml:space="preserve">See further questions under </w:t>
            </w:r>
            <w:hyperlink w:anchor="_Delivering_better_value_2" w:history="1">
              <w:r w:rsidRPr="00920BB3">
                <w:rPr>
                  <w:rStyle w:val="Hyperlink"/>
                  <w:sz w:val="20"/>
                  <w:lang w:val="en-US" w:eastAsia="en-AU"/>
                </w:rPr>
                <w:t>Section 2: Delivering better value for consumers</w:t>
              </w:r>
            </w:hyperlink>
            <w:r>
              <w:rPr>
                <w:color w:val="000000"/>
                <w:sz w:val="20"/>
                <w:lang w:val="en-US" w:eastAsia="en-AU"/>
              </w:rPr>
              <w:t xml:space="preserve">. </w:t>
            </w:r>
          </w:p>
          <w:p w14:paraId="039D2152" w14:textId="77777777" w:rsidR="00DA1B50" w:rsidRPr="00624D1D" w:rsidRDefault="00DA1B50" w:rsidP="00B41932">
            <w:pPr>
              <w:rPr>
                <w:rFonts w:cs="Arial"/>
                <w:i/>
                <w:color w:val="358189"/>
                <w:sz w:val="20"/>
                <w:szCs w:val="20"/>
                <w:lang w:eastAsia="en-AU"/>
              </w:rPr>
            </w:pPr>
            <w:r w:rsidRPr="00624D1D">
              <w:rPr>
                <w:rFonts w:cs="Arial"/>
                <w:i/>
                <w:color w:val="358189"/>
                <w:sz w:val="20"/>
                <w:szCs w:val="20"/>
                <w:lang w:eastAsia="en-AU"/>
              </w:rPr>
              <w:t xml:space="preserve">Initiative 5: Review of risk equalisation arrangements </w:t>
            </w:r>
          </w:p>
          <w:p w14:paraId="3E13FD30" w14:textId="77777777" w:rsidR="00DA1B50" w:rsidRDefault="00DA1B50" w:rsidP="00B41932">
            <w:pPr>
              <w:rPr>
                <w:rFonts w:cs="Arial"/>
                <w:i/>
                <w:color w:val="358189"/>
                <w:sz w:val="20"/>
                <w:szCs w:val="20"/>
                <w:lang w:eastAsia="en-AU"/>
              </w:rPr>
            </w:pPr>
            <w:r w:rsidRPr="00624D1D">
              <w:rPr>
                <w:color w:val="000000"/>
                <w:sz w:val="20"/>
                <w:lang w:val="en-US" w:eastAsia="en-AU"/>
              </w:rPr>
              <w:t xml:space="preserve">See questions under </w:t>
            </w:r>
            <w:hyperlink w:anchor="_Delivering_better_value_2" w:history="1">
              <w:r w:rsidRPr="00920BB3">
                <w:rPr>
                  <w:rStyle w:val="Hyperlink"/>
                  <w:sz w:val="20"/>
                  <w:lang w:val="en-US" w:eastAsia="en-AU"/>
                </w:rPr>
                <w:t>Section 2: Delivering better value for consumers</w:t>
              </w:r>
            </w:hyperlink>
          </w:p>
          <w:p w14:paraId="1FE4EF55" w14:textId="77777777" w:rsidR="00DA1B50" w:rsidRPr="00624D1D" w:rsidRDefault="00DA1B50" w:rsidP="00B41932">
            <w:pPr>
              <w:rPr>
                <w:rFonts w:cs="Arial"/>
                <w:i/>
                <w:color w:val="358189"/>
                <w:sz w:val="20"/>
                <w:szCs w:val="20"/>
                <w:lang w:eastAsia="en-AU"/>
              </w:rPr>
            </w:pPr>
            <w:r w:rsidRPr="00624D1D">
              <w:rPr>
                <w:rFonts w:cs="Arial"/>
                <w:i/>
                <w:color w:val="358189"/>
                <w:sz w:val="20"/>
                <w:szCs w:val="20"/>
                <w:lang w:eastAsia="en-AU"/>
              </w:rPr>
              <w:t>Initiative 6: Review of MBS items for paediatricians</w:t>
            </w:r>
          </w:p>
          <w:p w14:paraId="2CBE6200" w14:textId="39C3A2CE" w:rsidR="00DA1B50" w:rsidRPr="00624D1D" w:rsidRDefault="00DA1B50" w:rsidP="009257CE">
            <w:pPr>
              <w:numPr>
                <w:ilvl w:val="0"/>
                <w:numId w:val="40"/>
              </w:numPr>
              <w:contextualSpacing/>
              <w:rPr>
                <w:color w:val="000000"/>
                <w:sz w:val="20"/>
                <w:szCs w:val="20"/>
                <w:lang w:val="en-US" w:eastAsia="en-AU"/>
              </w:rPr>
            </w:pPr>
            <w:r w:rsidRPr="00624D1D">
              <w:rPr>
                <w:color w:val="000000"/>
                <w:sz w:val="20"/>
                <w:szCs w:val="20"/>
                <w:lang w:val="en-US" w:eastAsia="en-AU"/>
              </w:rPr>
              <w:t xml:space="preserve">Do you agree or </w:t>
            </w:r>
            <w:r w:rsidR="00883BF5" w:rsidRPr="00624D1D">
              <w:rPr>
                <w:color w:val="000000"/>
                <w:sz w:val="20"/>
                <w:szCs w:val="20"/>
                <w:lang w:val="en-US" w:eastAsia="en-AU"/>
              </w:rPr>
              <w:t>disagree that</w:t>
            </w:r>
            <w:r w:rsidRPr="00624D1D">
              <w:rPr>
                <w:color w:val="000000"/>
                <w:sz w:val="20"/>
                <w:szCs w:val="20"/>
                <w:lang w:val="en-US" w:eastAsia="en-AU"/>
              </w:rPr>
              <w:t xml:space="preserve"> there should be consideration of an amendment to the MBS item for paediatricians?</w:t>
            </w:r>
            <w:r>
              <w:rPr>
                <w:color w:val="000000"/>
                <w:sz w:val="20"/>
                <w:szCs w:val="20"/>
                <w:lang w:val="en-US" w:eastAsia="en-AU"/>
              </w:rPr>
              <w:t xml:space="preserve"> Please specify why.</w:t>
            </w:r>
          </w:p>
        </w:tc>
      </w:tr>
      <w:tr w:rsidR="00DA1B50" w:rsidRPr="00624D1D" w14:paraId="6770C74F" w14:textId="77777777" w:rsidTr="00651EAF">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auto"/>
          </w:tcPr>
          <w:p w14:paraId="2555CB9B" w14:textId="77777777" w:rsidR="00DA1B50" w:rsidRPr="00B2396F" w:rsidRDefault="00DA1B50" w:rsidP="00B41932">
            <w:pPr>
              <w:rPr>
                <w:i/>
                <w:iCs/>
                <w:sz w:val="18"/>
                <w:szCs w:val="18"/>
              </w:rPr>
            </w:pPr>
            <w:r>
              <w:rPr>
                <w:b/>
                <w:bCs/>
                <w:i/>
                <w:iCs/>
                <w:sz w:val="18"/>
                <w:szCs w:val="18"/>
              </w:rPr>
              <w:t xml:space="preserve">NOTE: </w:t>
            </w:r>
            <w:r w:rsidRPr="00B2396F">
              <w:rPr>
                <w:i/>
                <w:iCs/>
                <w:sz w:val="18"/>
                <w:szCs w:val="18"/>
              </w:rPr>
              <w:t>Any decision to create new MBS items or amend existing items would be subject to established Australian Government processes, including consideration through relevant advisory committees, expert clinical review mechanisms, and final approval by Government.</w:t>
            </w:r>
          </w:p>
        </w:tc>
      </w:tr>
    </w:tbl>
    <w:p w14:paraId="6C9AFEE8" w14:textId="77777777" w:rsidR="00DA1B50" w:rsidRPr="00DF78E1" w:rsidRDefault="00DA1B50" w:rsidP="00651D4E">
      <w:pPr>
        <w:pStyle w:val="Heading3"/>
        <w:numPr>
          <w:ilvl w:val="2"/>
          <w:numId w:val="14"/>
        </w:numPr>
        <w:spacing w:before="240" w:after="120"/>
        <w:rPr>
          <w:b w:val="0"/>
          <w:bCs w:val="0"/>
          <w:i/>
          <w:iCs/>
          <w:sz w:val="28"/>
          <w:szCs w:val="28"/>
        </w:rPr>
      </w:pPr>
      <w:bookmarkStart w:id="41" w:name="_Toc233805029"/>
      <w:r w:rsidRPr="3D1C1472">
        <w:rPr>
          <w:b w:val="0"/>
          <w:bCs w:val="0"/>
          <w:i/>
          <w:iCs/>
          <w:sz w:val="28"/>
          <w:szCs w:val="28"/>
        </w:rPr>
        <w:lastRenderedPageBreak/>
        <w:t>Introduction</w:t>
      </w:r>
      <w:bookmarkEnd w:id="41"/>
    </w:p>
    <w:p w14:paraId="113208FD" w14:textId="77777777" w:rsidR="00DA1B50" w:rsidRDefault="00DA1B50" w:rsidP="00DA1B50">
      <w:pPr>
        <w:rPr>
          <w:kern w:val="2"/>
          <w:szCs w:val="22"/>
          <w14:ligatures w14:val="standardContextual"/>
        </w:rPr>
      </w:pPr>
      <w:r>
        <w:t>Consumers value choice and access to maternity care options. Several factors influence choice of maternity care models, including:</w:t>
      </w:r>
    </w:p>
    <w:p w14:paraId="478F8B61" w14:textId="77777777" w:rsidR="00DA1B50" w:rsidRPr="007B55D1" w:rsidRDefault="00DA1B50" w:rsidP="009257CE">
      <w:pPr>
        <w:numPr>
          <w:ilvl w:val="0"/>
          <w:numId w:val="18"/>
        </w:numPr>
        <w:ind w:left="714" w:hanging="357"/>
        <w:rPr>
          <w:color w:val="auto"/>
        </w:rPr>
      </w:pPr>
      <w:r w:rsidRPr="007B55D1">
        <w:rPr>
          <w:color w:val="auto"/>
        </w:rPr>
        <w:t>the fees charged by medical practitioners for private pregnancy and birth services</w:t>
      </w:r>
    </w:p>
    <w:p w14:paraId="68E2EE4A" w14:textId="77777777" w:rsidR="00DA1B50" w:rsidRDefault="00DA1B50" w:rsidP="009257CE">
      <w:pPr>
        <w:numPr>
          <w:ilvl w:val="0"/>
          <w:numId w:val="18"/>
        </w:numPr>
        <w:ind w:left="714" w:hanging="357"/>
      </w:pPr>
      <w:r w:rsidRPr="00360DAE">
        <w:t>the cost/value proposition</w:t>
      </w:r>
    </w:p>
    <w:p w14:paraId="64DC75DB" w14:textId="77777777" w:rsidR="00DA1B50" w:rsidRDefault="00DA1B50" w:rsidP="009257CE">
      <w:pPr>
        <w:numPr>
          <w:ilvl w:val="0"/>
          <w:numId w:val="18"/>
        </w:numPr>
        <w:ind w:left="714" w:hanging="357"/>
      </w:pPr>
      <w:r w:rsidRPr="00360DAE">
        <w:t>continuity of care</w:t>
      </w:r>
      <w:r>
        <w:t>, and</w:t>
      </w:r>
    </w:p>
    <w:p w14:paraId="78A23EC0" w14:textId="77777777" w:rsidR="00DA1B50" w:rsidRDefault="00DA1B50" w:rsidP="009257CE">
      <w:pPr>
        <w:numPr>
          <w:ilvl w:val="0"/>
          <w:numId w:val="18"/>
        </w:numPr>
        <w:ind w:left="714" w:hanging="357"/>
      </w:pPr>
      <w:r>
        <w:t xml:space="preserve">available </w:t>
      </w:r>
      <w:r w:rsidRPr="00360DAE">
        <w:t>models of care</w:t>
      </w:r>
      <w:r>
        <w:t>.</w:t>
      </w:r>
      <w:r w:rsidRPr="00360DAE">
        <w:t xml:space="preserve"> </w:t>
      </w:r>
    </w:p>
    <w:p w14:paraId="034E570C" w14:textId="77777777" w:rsidR="00DA1B50" w:rsidRDefault="00DA1B50" w:rsidP="00DA1B50">
      <w:r>
        <w:t xml:space="preserve">There is limited choice regarding the type of care available during pregnancy and birth </w:t>
      </w:r>
      <w:r w:rsidRPr="005A7730">
        <w:t>in the private sector.</w:t>
      </w:r>
      <w:r>
        <w:t xml:space="preserve"> Innovative care models will make private maternity services more attractive </w:t>
      </w:r>
      <w:r w:rsidRPr="005A7730">
        <w:t xml:space="preserve">and </w:t>
      </w:r>
      <w:r>
        <w:t>improve</w:t>
      </w:r>
      <w:r w:rsidRPr="005A7730">
        <w:t xml:space="preserve"> choice and access </w:t>
      </w:r>
      <w:r>
        <w:t xml:space="preserve">during pregnancy. Sector-wide collaboration is essential to design and implement new offerings. There are no regulatory barriers to </w:t>
      </w:r>
      <w:r w:rsidRPr="005A7730">
        <w:t>the sector implementing</w:t>
      </w:r>
      <w:r>
        <w:t xml:space="preserve"> innovative models of care, however other factors are limiting the diversity of </w:t>
      </w:r>
      <w:r w:rsidRPr="005A7730">
        <w:t>models of</w:t>
      </w:r>
      <w:r>
        <w:t xml:space="preserve"> care </w:t>
      </w:r>
      <w:r w:rsidRPr="005A7730">
        <w:t>that are offered. This includes a</w:t>
      </w:r>
      <w:r>
        <w:t xml:space="preserve"> lack of awareness by some in the sector </w:t>
      </w:r>
      <w:r w:rsidRPr="005A7730">
        <w:t>of the ability to introduce new and</w:t>
      </w:r>
      <w:r>
        <w:t xml:space="preserve"> innovative models of care </w:t>
      </w:r>
      <w:r w:rsidRPr="005A7730">
        <w:t>that are best practice models</w:t>
      </w:r>
      <w:r>
        <w:t xml:space="preserve">. These models </w:t>
      </w:r>
      <w:r w:rsidRPr="005A7730">
        <w:t>of care could</w:t>
      </w:r>
      <w:r>
        <w:t xml:space="preserve"> include:</w:t>
      </w:r>
    </w:p>
    <w:p w14:paraId="6F6E0E3F" w14:textId="77777777" w:rsidR="00DA1B50" w:rsidRDefault="00DA1B50" w:rsidP="009257CE">
      <w:pPr>
        <w:numPr>
          <w:ilvl w:val="0"/>
          <w:numId w:val="18"/>
        </w:numPr>
        <w:ind w:left="714" w:hanging="357"/>
      </w:pPr>
      <w:r>
        <w:t>shared care between pools of obstetricians and midwives</w:t>
      </w:r>
    </w:p>
    <w:p w14:paraId="6C256B24" w14:textId="77777777" w:rsidR="00DA1B50" w:rsidRDefault="00DA1B50" w:rsidP="009257CE">
      <w:pPr>
        <w:numPr>
          <w:ilvl w:val="0"/>
          <w:numId w:val="18"/>
        </w:numPr>
        <w:ind w:left="714" w:hanging="357"/>
      </w:pPr>
      <w:r>
        <w:t>shared care between an obstetrician and small group of midwives, and</w:t>
      </w:r>
    </w:p>
    <w:p w14:paraId="728C3657" w14:textId="77777777" w:rsidR="00DA1B50" w:rsidRDefault="00DA1B50" w:rsidP="009257CE">
      <w:pPr>
        <w:numPr>
          <w:ilvl w:val="0"/>
          <w:numId w:val="18"/>
        </w:numPr>
        <w:ind w:left="714" w:hanging="357"/>
      </w:pPr>
      <w:r w:rsidRPr="005A7730">
        <w:t>partnership models of care</w:t>
      </w:r>
      <w:r>
        <w:t xml:space="preserve"> with an endorsed midwife and obstetrician partnership, </w:t>
      </w:r>
      <w:r w:rsidRPr="005A7730">
        <w:t>where the endorsed midwife can primarily lead care</w:t>
      </w:r>
      <w:r>
        <w:t xml:space="preserve">. </w:t>
      </w:r>
    </w:p>
    <w:p w14:paraId="080DA7F6" w14:textId="77777777" w:rsidR="00DA1B50" w:rsidRPr="00327BA9" w:rsidRDefault="00DA1B50" w:rsidP="00651D4E">
      <w:pPr>
        <w:pStyle w:val="Heading3"/>
        <w:numPr>
          <w:ilvl w:val="2"/>
          <w:numId w:val="14"/>
        </w:numPr>
        <w:spacing w:before="240" w:after="120"/>
        <w:rPr>
          <w:b w:val="0"/>
          <w:bCs w:val="0"/>
          <w:i/>
          <w:iCs/>
          <w:sz w:val="28"/>
          <w:szCs w:val="28"/>
        </w:rPr>
      </w:pPr>
      <w:bookmarkStart w:id="42" w:name="_Toc233805030"/>
      <w:r w:rsidRPr="3D1C1472">
        <w:rPr>
          <w:b w:val="0"/>
          <w:bCs w:val="0"/>
          <w:i/>
          <w:iCs/>
          <w:sz w:val="28"/>
          <w:szCs w:val="28"/>
        </w:rPr>
        <w:t>Barriers to</w:t>
      </w:r>
      <w:r w:rsidRPr="000A64ED">
        <w:rPr>
          <w:b w:val="0"/>
          <w:i/>
          <w:color w:val="358189" w:themeColor="accent2"/>
          <w:sz w:val="28"/>
          <w:szCs w:val="28"/>
        </w:rPr>
        <w:t xml:space="preserve"> </w:t>
      </w:r>
      <w:r w:rsidRPr="000A64ED">
        <w:rPr>
          <w:b w:val="0"/>
          <w:bCs w:val="0"/>
          <w:i/>
          <w:iCs/>
          <w:color w:val="358189" w:themeColor="accent2"/>
          <w:sz w:val="28"/>
          <w:szCs w:val="28"/>
        </w:rPr>
        <w:t xml:space="preserve">private sector </w:t>
      </w:r>
      <w:r w:rsidRPr="000A64ED">
        <w:rPr>
          <w:b w:val="0"/>
          <w:i/>
          <w:color w:val="358189" w:themeColor="accent2"/>
          <w:sz w:val="28"/>
          <w:szCs w:val="28"/>
        </w:rPr>
        <w:t xml:space="preserve">maternity </w:t>
      </w:r>
      <w:r w:rsidRPr="3D1C1472">
        <w:rPr>
          <w:b w:val="0"/>
          <w:bCs w:val="0"/>
          <w:i/>
          <w:iCs/>
          <w:sz w:val="28"/>
          <w:szCs w:val="28"/>
        </w:rPr>
        <w:t>care access</w:t>
      </w:r>
      <w:bookmarkEnd w:id="42"/>
    </w:p>
    <w:p w14:paraId="0EF141B1" w14:textId="77777777" w:rsidR="00DA1B50" w:rsidRPr="005A5A62" w:rsidRDefault="00DA1B50" w:rsidP="008926E0">
      <w:pPr>
        <w:pStyle w:val="Body"/>
        <w:spacing w:before="240" w:after="120"/>
        <w:rPr>
          <w:rFonts w:cs="Arial"/>
          <w:b/>
          <w:bCs/>
          <w:color w:val="358189" w:themeColor="accent2"/>
          <w:u w:val="single"/>
        </w:rPr>
      </w:pPr>
      <w:r w:rsidRPr="005A5A62">
        <w:rPr>
          <w:rFonts w:cs="Arial"/>
          <w:b/>
          <w:bCs/>
          <w:color w:val="358189" w:themeColor="accent2"/>
          <w:u w:val="single"/>
        </w:rPr>
        <w:t>Cost of private maternity services</w:t>
      </w:r>
    </w:p>
    <w:p w14:paraId="5871D50D" w14:textId="77777777" w:rsidR="00DA1B50" w:rsidRPr="005A5A62" w:rsidRDefault="00DA1B50" w:rsidP="00DA1B50">
      <w:pPr>
        <w:rPr>
          <w:color w:val="auto"/>
        </w:rPr>
      </w:pPr>
      <w:r>
        <w:t xml:space="preserve">Cost is a significant barrier to choice in maternity services. </w:t>
      </w:r>
      <w:r w:rsidRPr="005A5A62">
        <w:rPr>
          <w:color w:val="auto"/>
        </w:rPr>
        <w:t xml:space="preserve">On average, </w:t>
      </w:r>
      <w:r>
        <w:rPr>
          <w:color w:val="auto"/>
        </w:rPr>
        <w:t>the cost of</w:t>
      </w:r>
      <w:r w:rsidRPr="005A5A62">
        <w:rPr>
          <w:color w:val="auto"/>
        </w:rPr>
        <w:t xml:space="preserve"> using private obstetrician-led maternity care </w:t>
      </w:r>
      <w:r>
        <w:rPr>
          <w:color w:val="auto"/>
        </w:rPr>
        <w:t>is</w:t>
      </w:r>
      <w:r w:rsidRPr="005A5A62">
        <w:rPr>
          <w:color w:val="auto"/>
        </w:rPr>
        <w:t xml:space="preserve"> more than $12,000 (including insurance premiums for Gold tier and out-of-pocket costs). This is compared with $726 for birth in the public system (including GP out-of-pocket costs, genetic testing and, if relevant, costs for home births).</w:t>
      </w:r>
    </w:p>
    <w:p w14:paraId="220744F1" w14:textId="77777777" w:rsidR="00DA1B50" w:rsidRPr="008B48AC" w:rsidRDefault="00DA1B50" w:rsidP="008926E0">
      <w:pPr>
        <w:pStyle w:val="Body"/>
        <w:spacing w:before="240" w:after="120"/>
        <w:rPr>
          <w:rFonts w:cs="Arial"/>
          <w:b/>
          <w:bCs/>
          <w:color w:val="358189" w:themeColor="accent2"/>
          <w:u w:val="single"/>
        </w:rPr>
      </w:pPr>
      <w:r w:rsidRPr="008B48AC">
        <w:rPr>
          <w:rFonts w:cs="Arial"/>
          <w:b/>
          <w:bCs/>
          <w:color w:val="358189" w:themeColor="accent2"/>
          <w:u w:val="single"/>
        </w:rPr>
        <w:t xml:space="preserve">System pressures </w:t>
      </w:r>
    </w:p>
    <w:p w14:paraId="0BEC96A3" w14:textId="77777777" w:rsidR="00DA1B50" w:rsidRDefault="00DA1B50" w:rsidP="00DA1B50">
      <w:r>
        <w:t>The birth rate for women of reproductive age (aged 15 to 44 years) in Australia has been decreasing:</w:t>
      </w:r>
    </w:p>
    <w:p w14:paraId="0E5BB0D4" w14:textId="77777777" w:rsidR="00DA1B50" w:rsidRPr="007B55D1" w:rsidRDefault="00DA1B50" w:rsidP="009257CE">
      <w:pPr>
        <w:numPr>
          <w:ilvl w:val="0"/>
          <w:numId w:val="41"/>
        </w:numPr>
        <w:ind w:left="714" w:hanging="357"/>
        <w:rPr>
          <w:color w:val="auto"/>
        </w:rPr>
      </w:pPr>
      <w:r w:rsidRPr="007B55D1">
        <w:rPr>
          <w:color w:val="auto"/>
        </w:rPr>
        <w:t>in 2024, the total fertility rate (TFR) was 1.481 babies per woman, lower than 2023 (1.499) and the rate 10 years ago (1.795 in 2014)</w:t>
      </w:r>
      <w:r w:rsidRPr="007B55D1">
        <w:rPr>
          <w:rStyle w:val="EndnoteReference"/>
          <w:color w:val="auto"/>
        </w:rPr>
        <w:endnoteReference w:id="3"/>
      </w:r>
      <w:r w:rsidRPr="007B55D1">
        <w:rPr>
          <w:color w:val="auto"/>
        </w:rPr>
        <w:t>, and</w:t>
      </w:r>
    </w:p>
    <w:p w14:paraId="6E9B5EAC" w14:textId="77777777" w:rsidR="00DA1B50" w:rsidRDefault="00DA1B50" w:rsidP="009257CE">
      <w:pPr>
        <w:numPr>
          <w:ilvl w:val="0"/>
          <w:numId w:val="41"/>
        </w:numPr>
        <w:ind w:left="714" w:hanging="357"/>
      </w:pPr>
      <w:r>
        <w:t xml:space="preserve">in 2024-24, there were </w:t>
      </w:r>
      <w:r w:rsidRPr="00291D39">
        <w:t>279,301 childbirth</w:t>
      </w:r>
      <w:r w:rsidRPr="00291D39" w:rsidDel="00291D39">
        <w:t xml:space="preserve"> </w:t>
      </w:r>
      <w:r>
        <w:t>separations in hospitals in Australia. 21% of these births occurred in private hospital facilities, a decrease of births in private hospitals of 4.5 per cent from the previous year</w:t>
      </w:r>
      <w:r>
        <w:rPr>
          <w:rStyle w:val="EndnoteReference"/>
        </w:rPr>
        <w:endnoteReference w:id="4"/>
      </w:r>
      <w:r>
        <w:t>.</w:t>
      </w:r>
    </w:p>
    <w:p w14:paraId="598BEC63" w14:textId="77777777" w:rsidR="00DA1B50" w:rsidRPr="00AD2981" w:rsidRDefault="00DA1B50" w:rsidP="00DA1B50">
      <w:pPr>
        <w:rPr>
          <w:color w:val="FF0000"/>
        </w:rPr>
      </w:pPr>
      <w:r>
        <w:t xml:space="preserve">This declining birth rate can impact </w:t>
      </w:r>
      <w:r w:rsidRPr="005A5A62">
        <w:rPr>
          <w:color w:val="auto"/>
        </w:rPr>
        <w:t>viability of private maternity care services.</w:t>
      </w:r>
    </w:p>
    <w:p w14:paraId="67F86E33" w14:textId="77777777" w:rsidR="00DA1B50" w:rsidRDefault="00DA1B50" w:rsidP="00DA1B50">
      <w:pPr>
        <w:spacing w:before="0" w:after="0" w:line="240" w:lineRule="auto"/>
        <w:rPr>
          <w:rFonts w:cs="Arial"/>
          <w:b/>
          <w:bCs/>
          <w:color w:val="358189" w:themeColor="accent2"/>
          <w:szCs w:val="28"/>
          <w:u w:val="single"/>
        </w:rPr>
      </w:pPr>
      <w:r>
        <w:rPr>
          <w:rFonts w:cs="Arial"/>
          <w:b/>
          <w:bCs/>
          <w:color w:val="358189" w:themeColor="accent2"/>
          <w:u w:val="single"/>
        </w:rPr>
        <w:br w:type="page"/>
      </w:r>
    </w:p>
    <w:p w14:paraId="40A88B5F" w14:textId="77777777" w:rsidR="00DA1B50" w:rsidRPr="001F2A47" w:rsidRDefault="00DA1B50" w:rsidP="008926E0">
      <w:pPr>
        <w:pStyle w:val="Body"/>
        <w:spacing w:before="240" w:after="120"/>
        <w:rPr>
          <w:rFonts w:cs="Arial"/>
          <w:b/>
          <w:color w:val="358189"/>
          <w:u w:val="single"/>
          <w:lang w:val="en-AU"/>
        </w:rPr>
      </w:pPr>
      <w:r w:rsidRPr="21001A40">
        <w:rPr>
          <w:rFonts w:cs="Arial"/>
          <w:b/>
          <w:bCs/>
          <w:color w:val="358189" w:themeColor="accent2"/>
          <w:u w:val="single"/>
          <w:lang w:val="en-AU"/>
        </w:rPr>
        <w:lastRenderedPageBreak/>
        <w:t>Cessation</w:t>
      </w:r>
      <w:r w:rsidRPr="4FF8C0A0">
        <w:rPr>
          <w:rFonts w:cs="Arial"/>
          <w:b/>
          <w:color w:val="358189" w:themeColor="accent2"/>
          <w:u w:val="single"/>
          <w:lang w:val="en-AU"/>
        </w:rPr>
        <w:t xml:space="preserve"> of private hospital </w:t>
      </w:r>
      <w:r w:rsidRPr="60248E3A">
        <w:rPr>
          <w:rFonts w:cs="Arial"/>
          <w:b/>
          <w:bCs/>
          <w:color w:val="358189" w:themeColor="accent2"/>
          <w:u w:val="single"/>
          <w:lang w:val="en-AU"/>
        </w:rPr>
        <w:t>services</w:t>
      </w:r>
    </w:p>
    <w:p w14:paraId="1CF7841F" w14:textId="77777777" w:rsidR="00DA1B50" w:rsidRPr="007B55D1" w:rsidRDefault="00DA1B50" w:rsidP="00DA1B50">
      <w:pPr>
        <w:rPr>
          <w:color w:val="auto"/>
        </w:rPr>
      </w:pPr>
      <w:r>
        <w:t xml:space="preserve">Birth separations from private hospitals are decreasing at a greater rate than separations from public hospitals. </w:t>
      </w:r>
      <w:r w:rsidRPr="007B55D1">
        <w:rPr>
          <w:color w:val="auto"/>
        </w:rPr>
        <w:t xml:space="preserve">This decrease is impacting a sector that is in financial stress and contributed to the closure of 10 private hospital maternity services between 1 July 2017 and 1 May 2025. </w:t>
      </w:r>
    </w:p>
    <w:p w14:paraId="5E944D1C" w14:textId="77777777" w:rsidR="00DA1B50" w:rsidRDefault="00DA1B50" w:rsidP="00DA1B50">
      <w:pPr>
        <w:rPr>
          <w:color w:val="auto"/>
        </w:rPr>
      </w:pPr>
      <w:r w:rsidRPr="007B55D1">
        <w:rPr>
          <w:color w:val="auto"/>
        </w:rPr>
        <w:t>Potential further maternity service closures and declining birth rate will continue to challenge private maternity care which relies almost entirely on access to hospitals and one model of care (obstetrician-led). Some stakeholders have suggested that, without changes to the current approach and the implementation of more innovative, and potentially lower cost, models of care, private maternity will become unsustainable.</w:t>
      </w:r>
    </w:p>
    <w:p w14:paraId="7A5F1FAF" w14:textId="77777777" w:rsidR="00DA1B50" w:rsidRDefault="00DA1B50" w:rsidP="00651D4E">
      <w:pPr>
        <w:pStyle w:val="Heading3"/>
        <w:numPr>
          <w:ilvl w:val="2"/>
          <w:numId w:val="14"/>
        </w:numPr>
        <w:spacing w:before="240" w:after="120"/>
        <w:rPr>
          <w:b w:val="0"/>
          <w:bCs w:val="0"/>
          <w:i/>
          <w:iCs/>
          <w:sz w:val="28"/>
          <w:szCs w:val="28"/>
        </w:rPr>
      </w:pPr>
      <w:bookmarkStart w:id="43" w:name="_Toc233805031"/>
      <w:r w:rsidRPr="3D1C1472">
        <w:rPr>
          <w:b w:val="0"/>
          <w:bCs w:val="0"/>
          <w:i/>
          <w:iCs/>
          <w:sz w:val="28"/>
          <w:szCs w:val="28"/>
        </w:rPr>
        <w:t>Proposed reform initiatives to PHI for maternity care</w:t>
      </w:r>
      <w:bookmarkEnd w:id="43"/>
    </w:p>
    <w:p w14:paraId="2E4F67B9" w14:textId="77777777" w:rsidR="00DA1B50" w:rsidRDefault="00DA1B50" w:rsidP="00DA1B50">
      <w:r>
        <w:t>In considering the issues outlined above, the CEO Forum established a Private Maternity Working Group which primarily focused on:</w:t>
      </w:r>
    </w:p>
    <w:p w14:paraId="374AF475" w14:textId="77777777" w:rsidR="00DA1B50" w:rsidRPr="007B55D1" w:rsidRDefault="00DA1B50" w:rsidP="009257CE">
      <w:pPr>
        <w:numPr>
          <w:ilvl w:val="0"/>
          <w:numId w:val="18"/>
        </w:numPr>
        <w:ind w:left="714" w:hanging="357"/>
        <w:rPr>
          <w:color w:val="auto"/>
        </w:rPr>
      </w:pPr>
      <w:r w:rsidRPr="007B55D1">
        <w:rPr>
          <w:color w:val="auto"/>
        </w:rPr>
        <w:t>exploration of innovative mixed models, including midwife/obstetrician partnership</w:t>
      </w:r>
      <w:r w:rsidRPr="007B55D1" w:rsidDel="00616BE0">
        <w:rPr>
          <w:color w:val="auto"/>
        </w:rPr>
        <w:t xml:space="preserve"> </w:t>
      </w:r>
      <w:r w:rsidRPr="007B55D1">
        <w:rPr>
          <w:color w:val="auto"/>
        </w:rPr>
        <w:t>where endorsed midwives can work to full scope of practice, providing greater choice on the model of maternity care, and</w:t>
      </w:r>
    </w:p>
    <w:p w14:paraId="5190F496" w14:textId="77777777" w:rsidR="00DA1B50" w:rsidRPr="007B55D1" w:rsidRDefault="00DA1B50" w:rsidP="009257CE">
      <w:pPr>
        <w:numPr>
          <w:ilvl w:val="0"/>
          <w:numId w:val="18"/>
        </w:numPr>
        <w:ind w:left="714" w:hanging="357"/>
        <w:rPr>
          <w:color w:val="auto"/>
        </w:rPr>
      </w:pPr>
      <w:r w:rsidRPr="007B55D1">
        <w:rPr>
          <w:color w:val="auto"/>
        </w:rPr>
        <w:t>amendments to risk equalisation to allow maternity costs to be shared across the insurance sector, resulting in lower cost maternity product options and thereby increasing the value proposition of maternity care options.</w:t>
      </w:r>
    </w:p>
    <w:p w14:paraId="4103EE4B" w14:textId="77777777" w:rsidR="00DA1B50" w:rsidRDefault="00DA1B50" w:rsidP="00DA1B50">
      <w:r>
        <w:t>The department seeks sector feedback on the proposed initiatives to encourage adoption of innovative models of maternity care and welcomes views on other reform initiatives. The Private Maternity Working Group recommended the following initiatives.</w:t>
      </w:r>
    </w:p>
    <w:p w14:paraId="4ED977E1" w14:textId="77777777" w:rsidR="00DA1B50" w:rsidRPr="001F2A47" w:rsidRDefault="00DA1B50" w:rsidP="008926E0">
      <w:pPr>
        <w:pStyle w:val="Body"/>
        <w:spacing w:before="240" w:after="120"/>
        <w:rPr>
          <w:rFonts w:cs="Arial"/>
          <w:b/>
          <w:bCs/>
          <w:iCs/>
          <w:color w:val="358189"/>
          <w:szCs w:val="22"/>
          <w:u w:val="single"/>
          <w:lang w:val="en-AU"/>
        </w:rPr>
      </w:pPr>
      <w:r>
        <w:rPr>
          <w:rFonts w:cs="Arial"/>
          <w:b/>
          <w:bCs/>
          <w:iCs/>
          <w:color w:val="358189"/>
          <w:szCs w:val="22"/>
          <w:u w:val="single"/>
          <w:lang w:val="en-AU"/>
        </w:rPr>
        <w:t>Initiative</w:t>
      </w:r>
      <w:r w:rsidRPr="001F2A47">
        <w:rPr>
          <w:rFonts w:cs="Arial"/>
          <w:b/>
          <w:bCs/>
          <w:iCs/>
          <w:color w:val="358189"/>
          <w:szCs w:val="22"/>
          <w:u w:val="single"/>
          <w:lang w:val="en-AU"/>
        </w:rPr>
        <w:t xml:space="preserve"> 1: Sector education</w:t>
      </w:r>
    </w:p>
    <w:p w14:paraId="07D8DB44" w14:textId="77777777" w:rsidR="00DA1B50" w:rsidRDefault="00DA1B50" w:rsidP="00DA1B50">
      <w:pPr>
        <w:pStyle w:val="Body"/>
        <w:spacing w:after="120"/>
      </w:pPr>
      <w:r>
        <w:t xml:space="preserve">Sector education could be used to </w:t>
      </w:r>
      <w:r w:rsidRPr="005A7730">
        <w:t xml:space="preserve">raise awareness of models of </w:t>
      </w:r>
      <w:r>
        <w:t xml:space="preserve">private sector </w:t>
      </w:r>
      <w:r w:rsidRPr="005A7730">
        <w:t>maternity care available and</w:t>
      </w:r>
      <w:r>
        <w:t xml:space="preserve"> dispel myths about regulatory barriers to innovation. This may include workshops to facilitate discussions between sector participants concerning existing innovative models and provide opportunities for connection and engagement to discuss models.</w:t>
      </w:r>
    </w:p>
    <w:p w14:paraId="25608217" w14:textId="039F7A72" w:rsidR="00DA1B50" w:rsidRPr="008926E0" w:rsidRDefault="00DA1B50" w:rsidP="008926E0">
      <w:pPr>
        <w:pStyle w:val="Body"/>
        <w:spacing w:before="240" w:after="120"/>
        <w:rPr>
          <w:rFonts w:cs="Arial"/>
          <w:b/>
          <w:bCs/>
          <w:iCs/>
          <w:color w:val="358189"/>
          <w:szCs w:val="22"/>
          <w:u w:val="single"/>
          <w:lang w:val="en-AU"/>
        </w:rPr>
      </w:pPr>
      <w:r w:rsidRPr="008926E0">
        <w:rPr>
          <w:rFonts w:cs="Arial"/>
          <w:b/>
          <w:bCs/>
          <w:iCs/>
          <w:color w:val="358189"/>
          <w:szCs w:val="22"/>
          <w:u w:val="single"/>
          <w:lang w:val="en-AU"/>
        </w:rPr>
        <w:t>Initiative 2: Increased access and choice to different models of private maternity care</w:t>
      </w:r>
    </w:p>
    <w:p w14:paraId="026B83A7" w14:textId="77777777" w:rsidR="00DA1B50" w:rsidRPr="0087691F" w:rsidRDefault="00DA1B50" w:rsidP="00DA1B50">
      <w:pPr>
        <w:pStyle w:val="Body"/>
        <w:spacing w:after="120"/>
        <w:rPr>
          <w:color w:val="auto"/>
        </w:rPr>
      </w:pPr>
      <w:r w:rsidRPr="0087691F">
        <w:rPr>
          <w:color w:val="auto"/>
        </w:rPr>
        <w:t>This would involve the sector developing new and innovative models of care, including models that provide greater choice of care providers (i.e. endorsed midwives being involved in their care in partnership with an obstetrician).</w:t>
      </w:r>
    </w:p>
    <w:p w14:paraId="71A6423B" w14:textId="77777777" w:rsidR="00DA1B50" w:rsidRDefault="00DA1B50" w:rsidP="008926E0">
      <w:pPr>
        <w:pStyle w:val="Body"/>
        <w:spacing w:before="240" w:after="120"/>
        <w:rPr>
          <w:rFonts w:cs="Arial"/>
          <w:b/>
          <w:bCs/>
          <w:color w:val="358189" w:themeColor="accent2"/>
          <w:u w:val="single"/>
          <w:lang w:val="en-AU"/>
        </w:rPr>
      </w:pPr>
      <w:r w:rsidRPr="5462A4FE">
        <w:rPr>
          <w:rFonts w:cs="Arial"/>
          <w:b/>
          <w:color w:val="358189" w:themeColor="accent2"/>
          <w:u w:val="single"/>
          <w:lang w:val="en-AU"/>
        </w:rPr>
        <w:t>Initiative</w:t>
      </w:r>
      <w:r w:rsidRPr="789A4F1F" w:rsidDel="00621A9F">
        <w:rPr>
          <w:rFonts w:cs="Arial"/>
          <w:b/>
          <w:bCs/>
          <w:color w:val="358189" w:themeColor="accent2"/>
          <w:u w:val="single"/>
          <w:lang w:val="en-AU"/>
        </w:rPr>
        <w:t xml:space="preserve"> </w:t>
      </w:r>
      <w:r w:rsidRPr="789A4F1F">
        <w:rPr>
          <w:rFonts w:cs="Arial"/>
          <w:b/>
          <w:bCs/>
          <w:color w:val="358189" w:themeColor="accent2"/>
          <w:u w:val="single"/>
          <w:lang w:val="en-AU"/>
        </w:rPr>
        <w:t xml:space="preserve">3: Shorter waiting </w:t>
      </w:r>
      <w:r w:rsidRPr="005A7730">
        <w:rPr>
          <w:rFonts w:cs="Arial"/>
          <w:b/>
          <w:color w:val="358189" w:themeColor="accent2"/>
          <w:u w:val="single"/>
          <w:lang w:val="en-AU"/>
        </w:rPr>
        <w:t>PHI</w:t>
      </w:r>
      <w:r>
        <w:rPr>
          <w:rFonts w:cs="Arial"/>
          <w:b/>
          <w:bCs/>
          <w:color w:val="358189" w:themeColor="accent2"/>
          <w:u w:val="single"/>
          <w:lang w:val="en-AU"/>
        </w:rPr>
        <w:t xml:space="preserve"> </w:t>
      </w:r>
      <w:r w:rsidRPr="789A4F1F">
        <w:rPr>
          <w:rFonts w:cs="Arial"/>
          <w:b/>
          <w:bCs/>
          <w:color w:val="358189" w:themeColor="accent2"/>
          <w:u w:val="single"/>
          <w:lang w:val="en-AU"/>
        </w:rPr>
        <w:t xml:space="preserve">periods for </w:t>
      </w:r>
      <w:r w:rsidRPr="5462A4FE">
        <w:rPr>
          <w:rFonts w:cs="Arial"/>
          <w:b/>
          <w:bCs/>
          <w:color w:val="358189" w:themeColor="accent2"/>
          <w:u w:val="single"/>
          <w:lang w:val="en-AU"/>
        </w:rPr>
        <w:t xml:space="preserve">private </w:t>
      </w:r>
      <w:r>
        <w:rPr>
          <w:rFonts w:cs="Arial"/>
          <w:b/>
          <w:bCs/>
          <w:color w:val="358189" w:themeColor="accent2"/>
          <w:u w:val="single"/>
          <w:lang w:val="en-AU"/>
        </w:rPr>
        <w:t>provided</w:t>
      </w:r>
      <w:r w:rsidRPr="5462A4FE">
        <w:rPr>
          <w:rFonts w:cs="Arial"/>
          <w:b/>
          <w:bCs/>
          <w:color w:val="358189" w:themeColor="accent2"/>
          <w:u w:val="single"/>
          <w:lang w:val="en-AU"/>
        </w:rPr>
        <w:t xml:space="preserve"> </w:t>
      </w:r>
      <w:r w:rsidRPr="789A4F1F">
        <w:rPr>
          <w:rFonts w:cs="Arial"/>
          <w:b/>
          <w:bCs/>
          <w:color w:val="358189" w:themeColor="accent2"/>
          <w:u w:val="single"/>
          <w:lang w:val="en-AU"/>
        </w:rPr>
        <w:t>pregnancy and birth</w:t>
      </w:r>
    </w:p>
    <w:p w14:paraId="1247C3DB" w14:textId="77777777" w:rsidR="00DA1B50" w:rsidRDefault="00DA1B50" w:rsidP="00DA1B50">
      <w:pPr>
        <w:pStyle w:val="Body"/>
        <w:spacing w:after="120"/>
      </w:pPr>
      <w:r w:rsidRPr="0087691F">
        <w:rPr>
          <w:color w:val="auto"/>
        </w:rPr>
        <w:t xml:space="preserve">Reviewing PHI waiting periods and early access to maternity care would involve consideration of mechanisms to facilitate shorter waiting periods for benefits for the ‘Pregnancy and birth’ clinical category. </w:t>
      </w:r>
      <w:r>
        <w:t>Insurers usually impose the maximum waiting period of 12 months for pregnancy and birth. However, they can reduce the waiting period at their discretion.</w:t>
      </w:r>
    </w:p>
    <w:p w14:paraId="66315AAF" w14:textId="77777777" w:rsidR="00DA1B50" w:rsidRDefault="00DA1B50" w:rsidP="00DA1B50">
      <w:pPr>
        <w:spacing w:before="0" w:after="0" w:line="240" w:lineRule="auto"/>
        <w:rPr>
          <w:rFonts w:cs="Arial"/>
          <w:b/>
          <w:bCs/>
          <w:iCs/>
          <w:color w:val="358189"/>
          <w:szCs w:val="22"/>
          <w:u w:val="single"/>
        </w:rPr>
      </w:pPr>
      <w:r>
        <w:rPr>
          <w:rFonts w:cs="Arial"/>
          <w:b/>
          <w:bCs/>
          <w:iCs/>
          <w:color w:val="358189"/>
          <w:szCs w:val="22"/>
          <w:u w:val="single"/>
        </w:rPr>
        <w:br w:type="page"/>
      </w:r>
    </w:p>
    <w:p w14:paraId="0E70D946" w14:textId="77777777" w:rsidR="00DA1B50" w:rsidRPr="00327BA9" w:rsidRDefault="00DA1B50" w:rsidP="008926E0">
      <w:pPr>
        <w:pStyle w:val="Body"/>
        <w:spacing w:before="240" w:after="120"/>
        <w:rPr>
          <w:rFonts w:cs="Arial"/>
          <w:b/>
          <w:color w:val="358189"/>
          <w:u w:val="single"/>
          <w:lang w:val="en-AU"/>
        </w:rPr>
      </w:pPr>
      <w:r>
        <w:rPr>
          <w:rFonts w:cs="Arial"/>
          <w:b/>
          <w:bCs/>
          <w:iCs/>
          <w:color w:val="358189"/>
          <w:szCs w:val="22"/>
          <w:u w:val="single"/>
          <w:lang w:val="en-AU"/>
        </w:rPr>
        <w:lastRenderedPageBreak/>
        <w:t>Initiative</w:t>
      </w:r>
      <w:r w:rsidRPr="789A4F1F" w:rsidDel="00621A9F">
        <w:rPr>
          <w:rFonts w:cs="Arial"/>
          <w:b/>
          <w:color w:val="358189" w:themeColor="accent2"/>
          <w:u w:val="single"/>
          <w:lang w:val="en-AU"/>
        </w:rPr>
        <w:t xml:space="preserve"> </w:t>
      </w:r>
      <w:r w:rsidRPr="789A4F1F">
        <w:rPr>
          <w:rFonts w:cs="Arial"/>
          <w:b/>
          <w:bCs/>
          <w:color w:val="358189" w:themeColor="accent2"/>
          <w:u w:val="single"/>
          <w:lang w:val="en-AU"/>
        </w:rPr>
        <w:t>4</w:t>
      </w:r>
      <w:r w:rsidRPr="789A4F1F">
        <w:rPr>
          <w:rFonts w:cs="Arial"/>
          <w:b/>
          <w:color w:val="358189" w:themeColor="accent2"/>
          <w:u w:val="single"/>
          <w:lang w:val="en-AU"/>
        </w:rPr>
        <w:t>: Review of product tier structure</w:t>
      </w:r>
    </w:p>
    <w:p w14:paraId="1A4C02E9" w14:textId="77777777" w:rsidR="00DA1B50" w:rsidRDefault="00DA1B50" w:rsidP="00DA1B50">
      <w:pPr>
        <w:pStyle w:val="Body"/>
        <w:spacing w:after="120"/>
      </w:pPr>
      <w:r>
        <w:t xml:space="preserve">This would involve consideration of the ‘Pregnancy and birth’ clinical category as a minimum requirement of a product tier other than Gold. Further information on this reform initiative is in </w:t>
      </w:r>
      <w:hyperlink w:anchor="_Delivering_better_value_2" w:history="1">
        <w:r w:rsidRPr="00A9207B">
          <w:rPr>
            <w:rStyle w:val="Hyperlink"/>
            <w:lang w:val="en-AU"/>
          </w:rPr>
          <w:t>Section 2: Delivering better value for consumers</w:t>
        </w:r>
      </w:hyperlink>
      <w:r>
        <w:t xml:space="preserve">. </w:t>
      </w:r>
    </w:p>
    <w:p w14:paraId="71186C20" w14:textId="77777777" w:rsidR="00DA1B50" w:rsidRPr="00327BA9" w:rsidRDefault="00DA1B50" w:rsidP="008926E0">
      <w:pPr>
        <w:pStyle w:val="Body"/>
        <w:spacing w:before="240" w:after="120"/>
        <w:rPr>
          <w:rFonts w:cs="Arial"/>
          <w:b/>
          <w:color w:val="358189"/>
          <w:u w:val="single"/>
          <w:lang w:val="en-AU"/>
        </w:rPr>
      </w:pPr>
      <w:r>
        <w:rPr>
          <w:rFonts w:cs="Arial"/>
          <w:b/>
          <w:bCs/>
          <w:iCs/>
          <w:color w:val="358189"/>
          <w:szCs w:val="22"/>
          <w:u w:val="single"/>
          <w:lang w:val="en-AU"/>
        </w:rPr>
        <w:t>Initiative</w:t>
      </w:r>
      <w:r w:rsidRPr="789A4F1F" w:rsidDel="000C7127">
        <w:rPr>
          <w:rFonts w:cs="Arial"/>
          <w:b/>
          <w:color w:val="358189" w:themeColor="accent2"/>
          <w:u w:val="single"/>
          <w:lang w:val="en-AU"/>
        </w:rPr>
        <w:t xml:space="preserve"> </w:t>
      </w:r>
      <w:r>
        <w:rPr>
          <w:rFonts w:cs="Arial"/>
          <w:b/>
          <w:color w:val="358189" w:themeColor="accent2"/>
          <w:u w:val="single"/>
          <w:lang w:val="en-AU"/>
        </w:rPr>
        <w:t>5</w:t>
      </w:r>
      <w:r w:rsidRPr="789A4F1F">
        <w:rPr>
          <w:rFonts w:cs="Arial"/>
          <w:b/>
          <w:color w:val="358189" w:themeColor="accent2"/>
          <w:u w:val="single"/>
          <w:lang w:val="en-AU"/>
        </w:rPr>
        <w:t xml:space="preserve">: Review of risk equalisation arrangements </w:t>
      </w:r>
    </w:p>
    <w:p w14:paraId="50F8EC67" w14:textId="77777777" w:rsidR="00DA1B50" w:rsidRPr="006E18EE" w:rsidRDefault="00DA1B50" w:rsidP="00DA1B50">
      <w:r>
        <w:t xml:space="preserve">This reform initiative would involve consideration of different arrangements for benefits paid for the ‘Pregnancy and birth’ clinical category to improve the attractiveness of maternity products for consumers. Further information on this reform initiative is in </w:t>
      </w:r>
      <w:hyperlink w:anchor="_Delivering_better_value_2" w:history="1">
        <w:r w:rsidRPr="00920BB3">
          <w:rPr>
            <w:rStyle w:val="Hyperlink"/>
            <w:szCs w:val="22"/>
            <w:lang w:val="en-US" w:eastAsia="en-AU"/>
          </w:rPr>
          <w:t>Section 2: Delivering better value for consumers</w:t>
        </w:r>
      </w:hyperlink>
      <w:r>
        <w:t>.</w:t>
      </w:r>
    </w:p>
    <w:p w14:paraId="78921118" w14:textId="77777777" w:rsidR="00DA1B50" w:rsidRDefault="00DA1B50" w:rsidP="008926E0">
      <w:pPr>
        <w:pStyle w:val="Body"/>
        <w:spacing w:before="240" w:after="120"/>
        <w:rPr>
          <w:rFonts w:cs="Arial"/>
          <w:b/>
          <w:bCs/>
          <w:color w:val="358189" w:themeColor="accent2"/>
          <w:u w:val="single"/>
        </w:rPr>
      </w:pPr>
      <w:r>
        <w:rPr>
          <w:rFonts w:cs="Arial"/>
          <w:b/>
          <w:bCs/>
          <w:iCs/>
          <w:color w:val="358189"/>
          <w:szCs w:val="22"/>
          <w:u w:val="single"/>
        </w:rPr>
        <w:t>Initiative</w:t>
      </w:r>
      <w:r w:rsidRPr="789A4F1F" w:rsidDel="000C7127">
        <w:rPr>
          <w:rFonts w:cs="Arial"/>
          <w:b/>
          <w:bCs/>
          <w:color w:val="358189" w:themeColor="accent2"/>
          <w:u w:val="single"/>
        </w:rPr>
        <w:t xml:space="preserve"> </w:t>
      </w:r>
      <w:r w:rsidRPr="789A4F1F">
        <w:rPr>
          <w:rFonts w:cs="Arial"/>
          <w:b/>
          <w:bCs/>
          <w:color w:val="358189" w:themeColor="accent2"/>
          <w:u w:val="single"/>
        </w:rPr>
        <w:t>6: Review of MBS items for paediatricians</w:t>
      </w:r>
    </w:p>
    <w:p w14:paraId="16A6B238" w14:textId="77777777" w:rsidR="00DA1B50" w:rsidRDefault="00DA1B50" w:rsidP="00DA1B50">
      <w:r>
        <w:t xml:space="preserve">Following birth, newborns are not typically admitted as a patient to the hospital unless they have a disease, injury or condition that requires management. However, it is common for there to be a professional attendance by a paediatrician to check on the health of the newborn without a hospital admission. If this occurs, the paediatrician will usually claim an MBS item for out-of-hospital treatment. Insurers are not permitted to pay benefits for out-of-hospital treatment where there is an MBS item. Sometimes patients report they are unaware the attendance is an additional payment which incurs an out-of-pocket cost. </w:t>
      </w:r>
    </w:p>
    <w:p w14:paraId="140FC26C" w14:textId="77777777" w:rsidR="00DA1B50" w:rsidRDefault="00DA1B50" w:rsidP="00DA1B50">
      <w:r w:rsidRPr="0087691F">
        <w:rPr>
          <w:color w:val="auto"/>
        </w:rPr>
        <w:t xml:space="preserve">If they have a disease, injury or condition that requires clinical management, a newborn may be admitted to hospital (i.e. through the Neonatal Intensive Care Unit, Special Care Nursery or be admitted under a paediatrician). </w:t>
      </w:r>
      <w:r>
        <w:t xml:space="preserve">This means the treatment provided is hospital treatment and the insurer will pay benefits. </w:t>
      </w:r>
    </w:p>
    <w:p w14:paraId="3BA265ED" w14:textId="77777777" w:rsidR="00DA1B50" w:rsidRDefault="00DA1B50" w:rsidP="00DA1B50">
      <w:r w:rsidRPr="0087691F">
        <w:rPr>
          <w:color w:val="auto"/>
        </w:rPr>
        <w:t xml:space="preserve">The Private Maternity Working Group suggested changing MBS arrangements so the attendance by a paediatrician provided MBS benefits at a level that did not require out-of-pocket costs to the patient. This would also assist with the supply of paediatric specialists, particularly in rural and remote </w:t>
      </w:r>
      <w:r>
        <w:t>locations. It is the role of MSAC to consider the development of new MBS items, as well as significant changes to existing MBS items.</w:t>
      </w:r>
    </w:p>
    <w:p w14:paraId="602D13E1" w14:textId="77777777" w:rsidR="00DA1B50" w:rsidRDefault="00DA1B50" w:rsidP="00DA1B50">
      <w:pPr>
        <w:spacing w:line="240" w:lineRule="auto"/>
        <w:rPr>
          <w:rFonts w:cs="Arial"/>
          <w:b/>
          <w:bCs/>
          <w:iCs/>
          <w:color w:val="358189"/>
          <w:sz w:val="36"/>
          <w:szCs w:val="28"/>
        </w:rPr>
      </w:pPr>
      <w:bookmarkStart w:id="44" w:name="_Mental_health_care"/>
      <w:bookmarkEnd w:id="44"/>
      <w:r>
        <w:br w:type="page"/>
      </w:r>
    </w:p>
    <w:p w14:paraId="5F46C028" w14:textId="4121559A" w:rsidR="00F15BA5" w:rsidRPr="00FB30E9" w:rsidRDefault="00F15BA5" w:rsidP="00651D4E">
      <w:pPr>
        <w:pStyle w:val="Heading2"/>
        <w:numPr>
          <w:ilvl w:val="1"/>
          <w:numId w:val="14"/>
        </w:numPr>
        <w:spacing w:after="120"/>
        <w:ind w:left="601" w:hanging="601"/>
      </w:pPr>
      <w:bookmarkStart w:id="45" w:name="_Toc233805032"/>
      <w:r>
        <w:lastRenderedPageBreak/>
        <w:t>Hospital in the Home</w:t>
      </w:r>
      <w:bookmarkEnd w:id="45"/>
    </w:p>
    <w:tbl>
      <w:tblPr>
        <w:tblStyle w:val="DepartmentofHealthtable"/>
        <w:tblW w:w="9951" w:type="dxa"/>
        <w:tblInd w:w="-289" w:type="dxa"/>
        <w:tblBorders>
          <w:left w:val="single" w:sz="4" w:space="0" w:color="auto"/>
          <w:right w:val="single" w:sz="4" w:space="0" w:color="auto"/>
          <w:insideV w:val="single" w:sz="4" w:space="0" w:color="auto"/>
        </w:tblBorders>
        <w:tblLayout w:type="fixed"/>
        <w:tblLook w:val="04A0" w:firstRow="1" w:lastRow="0" w:firstColumn="1" w:lastColumn="0" w:noHBand="0" w:noVBand="1"/>
      </w:tblPr>
      <w:tblGrid>
        <w:gridCol w:w="4975"/>
        <w:gridCol w:w="4976"/>
      </w:tblGrid>
      <w:tr w:rsidR="00C5241A" w:rsidRPr="00413B1C" w14:paraId="06EBAAB7"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51" w:type="dxa"/>
            <w:gridSpan w:val="2"/>
            <w:tcBorders>
              <w:top w:val="single" w:sz="4" w:space="0" w:color="000000" w:themeColor="text1"/>
              <w:left w:val="single" w:sz="4" w:space="0" w:color="000000" w:themeColor="text1"/>
              <w:bottom w:val="single" w:sz="4" w:space="0" w:color="FFFFFF" w:themeColor="background1"/>
              <w:right w:val="single" w:sz="4" w:space="0" w:color="000000" w:themeColor="text1"/>
            </w:tcBorders>
          </w:tcPr>
          <w:p w14:paraId="384695C0" w14:textId="77777777" w:rsidR="00C5241A" w:rsidRPr="00413B1C" w:rsidRDefault="00C5241A" w:rsidP="00473DE9">
            <w:pPr>
              <w:rPr>
                <w:rFonts w:eastAsia="Cambria"/>
                <w:b/>
                <w:color w:val="FFFFFF"/>
                <w:sz w:val="20"/>
                <w:szCs w:val="20"/>
                <w:lang w:val="en-US" w:eastAsia="en-AU"/>
              </w:rPr>
            </w:pPr>
            <w:r w:rsidRPr="00413B1C">
              <w:rPr>
                <w:rFonts w:eastAsia="Cambria"/>
                <w:b/>
                <w:color w:val="FFFFFF"/>
                <w:sz w:val="20"/>
                <w:szCs w:val="20"/>
                <w:lang w:val="en-US" w:eastAsia="en-AU"/>
              </w:rPr>
              <w:t>SUMMARY: Hospital in the Home</w:t>
            </w:r>
            <w:r w:rsidR="003C4F1B">
              <w:rPr>
                <w:rFonts w:eastAsia="Cambria"/>
                <w:b/>
                <w:color w:val="FFFFFF"/>
                <w:sz w:val="20"/>
                <w:szCs w:val="20"/>
                <w:lang w:val="en-US" w:eastAsia="en-AU"/>
              </w:rPr>
              <w:t xml:space="preserve"> (HITH)</w:t>
            </w:r>
          </w:p>
        </w:tc>
      </w:tr>
      <w:tr w:rsidR="00C5241A" w:rsidRPr="00413B1C" w14:paraId="34A77B58"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75" w:type="dxa"/>
            <w:tcBorders>
              <w:top w:val="single" w:sz="4" w:space="0" w:color="FFFFFF" w:themeColor="background1"/>
            </w:tcBorders>
          </w:tcPr>
          <w:p w14:paraId="1A00D84B" w14:textId="77777777" w:rsidR="00C5241A" w:rsidRPr="00413B1C" w:rsidRDefault="00C5241A" w:rsidP="00473DE9">
            <w:pPr>
              <w:rPr>
                <w:rFonts w:eastAsia="Cambria"/>
                <w:b/>
                <w:color w:val="FFFFFF"/>
                <w:sz w:val="20"/>
                <w:szCs w:val="20"/>
                <w:lang w:val="en-US" w:eastAsia="en-AU"/>
              </w:rPr>
            </w:pPr>
            <w:r w:rsidRPr="00413B1C">
              <w:rPr>
                <w:rFonts w:eastAsia="Cambria"/>
                <w:b/>
                <w:color w:val="FFFFFF"/>
                <w:sz w:val="20"/>
                <w:szCs w:val="20"/>
                <w:lang w:val="en-US" w:eastAsia="en-AU"/>
              </w:rPr>
              <w:t>Proposed reform initiative for implementation</w:t>
            </w:r>
          </w:p>
        </w:tc>
        <w:tc>
          <w:tcPr>
            <w:tcW w:w="4976" w:type="dxa"/>
            <w:tcBorders>
              <w:top w:val="single" w:sz="4" w:space="0" w:color="FFFFFF" w:themeColor="background1"/>
            </w:tcBorders>
          </w:tcPr>
          <w:p w14:paraId="2D76765C" w14:textId="77777777" w:rsidR="00C5241A" w:rsidRPr="00413B1C" w:rsidRDefault="00C5241A" w:rsidP="00473DE9">
            <w:pPr>
              <w:cnfStyle w:val="100000000000" w:firstRow="1" w:lastRow="0" w:firstColumn="0" w:lastColumn="0" w:oddVBand="0" w:evenVBand="0" w:oddHBand="0" w:evenHBand="0" w:firstRowFirstColumn="0" w:firstRowLastColumn="0" w:lastRowFirstColumn="0" w:lastRowLastColumn="0"/>
              <w:rPr>
                <w:rFonts w:eastAsia="Cambria"/>
                <w:b/>
                <w:color w:val="FFFFFF"/>
                <w:sz w:val="20"/>
                <w:szCs w:val="20"/>
                <w:lang w:val="en-US" w:eastAsia="en-AU"/>
              </w:rPr>
            </w:pPr>
            <w:r w:rsidRPr="00413B1C">
              <w:rPr>
                <w:rFonts w:eastAsia="Cambria"/>
                <w:b/>
                <w:color w:val="FFFFFF"/>
                <w:sz w:val="20"/>
                <w:szCs w:val="20"/>
                <w:lang w:val="en-US" w:eastAsia="en-AU"/>
              </w:rPr>
              <w:t>Mechanism for implementation</w:t>
            </w:r>
          </w:p>
        </w:tc>
      </w:tr>
      <w:tr w:rsidR="00C5241A" w:rsidRPr="00413B1C" w14:paraId="6913AD9B" w14:textId="77777777" w:rsidTr="1F75EC24">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975" w:type="dxa"/>
            <w:shd w:val="clear" w:color="auto" w:fill="auto"/>
            <w:vAlign w:val="center"/>
          </w:tcPr>
          <w:p w14:paraId="1833A33B" w14:textId="77777777" w:rsidR="00C5241A" w:rsidRPr="00413B1C" w:rsidRDefault="00C5241A" w:rsidP="00473DE9">
            <w:pPr>
              <w:rPr>
                <w:color w:val="000000"/>
                <w:sz w:val="20"/>
                <w:szCs w:val="20"/>
                <w:lang w:val="en-US" w:eastAsia="en-AU"/>
              </w:rPr>
            </w:pPr>
            <w:r w:rsidRPr="00413B1C">
              <w:rPr>
                <w:color w:val="000000"/>
                <w:sz w:val="20"/>
                <w:szCs w:val="20"/>
                <w:lang w:val="en-US" w:eastAsia="en-AU"/>
              </w:rPr>
              <w:t xml:space="preserve">Apply a minimum hospital benefit for HITH </w:t>
            </w:r>
            <w:r w:rsidR="00A73F86">
              <w:rPr>
                <w:color w:val="000000"/>
                <w:sz w:val="20"/>
                <w:szCs w:val="20"/>
                <w:lang w:val="en-US" w:eastAsia="en-AU"/>
              </w:rPr>
              <w:t xml:space="preserve">of </w:t>
            </w:r>
            <w:r w:rsidRPr="00413B1C">
              <w:rPr>
                <w:color w:val="000000"/>
                <w:sz w:val="20"/>
                <w:szCs w:val="20"/>
                <w:lang w:eastAsia="en-AU"/>
              </w:rPr>
              <w:t>$360 per day</w:t>
            </w:r>
            <w:r w:rsidR="00A73F86">
              <w:rPr>
                <w:color w:val="000000"/>
                <w:sz w:val="20"/>
                <w:szCs w:val="20"/>
                <w:lang w:val="en-US" w:eastAsia="en-AU"/>
              </w:rPr>
              <w:t xml:space="preserve"> </w:t>
            </w:r>
            <w:r w:rsidRPr="00413B1C">
              <w:rPr>
                <w:color w:val="000000"/>
                <w:sz w:val="20"/>
                <w:szCs w:val="20"/>
                <w:lang w:val="en-US" w:eastAsia="en-AU"/>
              </w:rPr>
              <w:t>for an initial tranche of 3 treatment services:</w:t>
            </w:r>
          </w:p>
          <w:p w14:paraId="1009D41F" w14:textId="77777777" w:rsidR="00C5241A" w:rsidRPr="0044645C" w:rsidRDefault="00C5241A" w:rsidP="009257CE">
            <w:pPr>
              <w:pStyle w:val="ListParagraph"/>
              <w:numPr>
                <w:ilvl w:val="1"/>
                <w:numId w:val="19"/>
              </w:numPr>
              <w:tabs>
                <w:tab w:val="num" w:pos="720"/>
              </w:tabs>
              <w:rPr>
                <w:sz w:val="20"/>
                <w:szCs w:val="20"/>
                <w:lang w:eastAsia="en-AU"/>
              </w:rPr>
            </w:pPr>
            <w:r w:rsidRPr="0044645C">
              <w:rPr>
                <w:sz w:val="20"/>
                <w:szCs w:val="20"/>
                <w:lang w:eastAsia="en-AU"/>
              </w:rPr>
              <w:t>intravenous (IV) infusions </w:t>
            </w:r>
          </w:p>
          <w:p w14:paraId="641B59E3" w14:textId="77777777" w:rsidR="00C5241A" w:rsidRPr="0044645C" w:rsidRDefault="00C5241A" w:rsidP="009257CE">
            <w:pPr>
              <w:pStyle w:val="ListParagraph"/>
              <w:numPr>
                <w:ilvl w:val="1"/>
                <w:numId w:val="19"/>
              </w:numPr>
              <w:tabs>
                <w:tab w:val="num" w:pos="720"/>
              </w:tabs>
              <w:rPr>
                <w:sz w:val="20"/>
                <w:szCs w:val="20"/>
                <w:lang w:eastAsia="en-AU"/>
              </w:rPr>
            </w:pPr>
            <w:r w:rsidRPr="0044645C">
              <w:rPr>
                <w:sz w:val="20"/>
                <w:szCs w:val="20"/>
                <w:lang w:eastAsia="en-AU"/>
              </w:rPr>
              <w:t xml:space="preserve">complex wound care, and </w:t>
            </w:r>
          </w:p>
          <w:p w14:paraId="08545540" w14:textId="77777777" w:rsidR="00C5241A" w:rsidRPr="00856547" w:rsidRDefault="00C5241A" w:rsidP="009257CE">
            <w:pPr>
              <w:pStyle w:val="ListParagraph"/>
              <w:numPr>
                <w:ilvl w:val="1"/>
                <w:numId w:val="19"/>
              </w:numPr>
              <w:tabs>
                <w:tab w:val="num" w:pos="720"/>
              </w:tabs>
              <w:rPr>
                <w:color w:val="000000"/>
                <w:sz w:val="20"/>
                <w:szCs w:val="20"/>
                <w:lang w:eastAsia="en-AU"/>
              </w:rPr>
            </w:pPr>
            <w:r w:rsidRPr="0044645C">
              <w:rPr>
                <w:sz w:val="20"/>
                <w:szCs w:val="20"/>
                <w:lang w:eastAsia="en-AU"/>
              </w:rPr>
              <w:t>palliative care.</w:t>
            </w:r>
          </w:p>
          <w:p w14:paraId="26572E6D" w14:textId="77777777" w:rsidR="00C5241A" w:rsidRPr="00AD2981" w:rsidRDefault="00C5241A" w:rsidP="00856547">
            <w:pPr>
              <w:tabs>
                <w:tab w:val="num" w:pos="720"/>
              </w:tabs>
              <w:rPr>
                <w:color w:val="FF0000"/>
                <w:sz w:val="18"/>
                <w:szCs w:val="18"/>
                <w:lang w:eastAsia="en-AU"/>
              </w:rPr>
            </w:pPr>
            <w:r w:rsidRPr="00417DFC">
              <w:rPr>
                <w:color w:val="auto"/>
                <w:sz w:val="20"/>
                <w:szCs w:val="20"/>
                <w:lang w:val="en-US"/>
              </w:rPr>
              <w:t xml:space="preserve">MBS benefit for </w:t>
            </w:r>
            <w:r w:rsidR="007A5537" w:rsidRPr="00417DFC">
              <w:rPr>
                <w:color w:val="auto"/>
                <w:sz w:val="20"/>
                <w:szCs w:val="20"/>
                <w:lang w:val="en-US"/>
              </w:rPr>
              <w:t xml:space="preserve">eligible </w:t>
            </w:r>
            <w:r w:rsidRPr="00417DFC">
              <w:rPr>
                <w:color w:val="auto"/>
                <w:sz w:val="20"/>
                <w:szCs w:val="20"/>
                <w:lang w:val="en-US"/>
              </w:rPr>
              <w:t>medical services provided to the patient would be 75% of the Schedule item fee</w:t>
            </w:r>
            <w:r w:rsidR="00417DFC" w:rsidRPr="00417DFC">
              <w:rPr>
                <w:color w:val="auto"/>
                <w:sz w:val="20"/>
                <w:szCs w:val="20"/>
                <w:lang w:val="en-US"/>
              </w:rPr>
              <w:t>. Insurers</w:t>
            </w:r>
            <w:r w:rsidRPr="00417DFC">
              <w:rPr>
                <w:color w:val="auto"/>
                <w:sz w:val="20"/>
                <w:szCs w:val="20"/>
                <w:lang w:val="en-US"/>
              </w:rPr>
              <w:t xml:space="preserve"> would be required to pay the additional 25% of the Schedule item fee.</w:t>
            </w:r>
          </w:p>
        </w:tc>
        <w:tc>
          <w:tcPr>
            <w:tcW w:w="4976" w:type="dxa"/>
            <w:shd w:val="clear" w:color="auto" w:fill="auto"/>
            <w:vAlign w:val="center"/>
          </w:tcPr>
          <w:p w14:paraId="799CCB95" w14:textId="77777777" w:rsidR="00C5241A" w:rsidRDefault="00C5241A" w:rsidP="2F9AE938">
            <w:pPr>
              <w:cnfStyle w:val="000000100000" w:firstRow="0" w:lastRow="0" w:firstColumn="0" w:lastColumn="0" w:oddVBand="0" w:evenVBand="0" w:oddHBand="1" w:evenHBand="0" w:firstRowFirstColumn="0" w:firstRowLastColumn="0" w:lastRowFirstColumn="0" w:lastRowLastColumn="0"/>
              <w:rPr>
                <w:sz w:val="20"/>
                <w:szCs w:val="20"/>
                <w:lang w:val="en-US" w:eastAsia="en-AU"/>
              </w:rPr>
            </w:pPr>
            <w:r w:rsidRPr="1F75EC24">
              <w:rPr>
                <w:sz w:val="20"/>
                <w:szCs w:val="20"/>
                <w:lang w:val="en-US" w:eastAsia="en-AU"/>
              </w:rPr>
              <w:t>Department to amend the Benefit Requirements Rules</w:t>
            </w:r>
            <w:r w:rsidRPr="1F75EC24" w:rsidDel="00C5241A">
              <w:rPr>
                <w:sz w:val="20"/>
                <w:szCs w:val="20"/>
                <w:lang w:val="en-US" w:eastAsia="en-AU"/>
              </w:rPr>
              <w:t>.</w:t>
            </w:r>
          </w:p>
          <w:p w14:paraId="0F3B17FB" w14:textId="77777777" w:rsidR="00C5241A" w:rsidRPr="00417DFC" w:rsidRDefault="00417DFC" w:rsidP="00417DFC">
            <w:pPr>
              <w:cnfStyle w:val="000000100000" w:firstRow="0" w:lastRow="0" w:firstColumn="0" w:lastColumn="0" w:oddVBand="0" w:evenVBand="0" w:oddHBand="1" w:evenHBand="0" w:firstRowFirstColumn="0" w:firstRowLastColumn="0" w:lastRowFirstColumn="0" w:lastRowLastColumn="0"/>
              <w:rPr>
                <w:sz w:val="20"/>
                <w:szCs w:val="20"/>
                <w:lang w:val="en-US" w:eastAsia="en-AU"/>
              </w:rPr>
            </w:pPr>
            <w:r w:rsidRPr="00417DFC">
              <w:rPr>
                <w:sz w:val="20"/>
                <w:szCs w:val="20"/>
                <w:lang w:val="en-US" w:eastAsia="en-AU"/>
              </w:rPr>
              <w:t xml:space="preserve">The Department is considering options for amending the Benefit Requirements Rules </w:t>
            </w:r>
            <w:r w:rsidR="00291204">
              <w:rPr>
                <w:sz w:val="20"/>
                <w:szCs w:val="20"/>
                <w:lang w:val="en-US" w:eastAsia="en-AU"/>
              </w:rPr>
              <w:t>for</w:t>
            </w:r>
            <w:r w:rsidRPr="00417DFC">
              <w:rPr>
                <w:sz w:val="20"/>
                <w:szCs w:val="20"/>
                <w:lang w:val="en-US" w:eastAsia="en-AU"/>
              </w:rPr>
              <w:t xml:space="preserve"> this initiative. This paper outlines one option that is under consideration, but this is subject to final confirmation of approach.</w:t>
            </w:r>
          </w:p>
        </w:tc>
      </w:tr>
      <w:tr w:rsidR="00C5241A" w:rsidRPr="00413B1C" w14:paraId="7FB6C32B" w14:textId="77777777" w:rsidTr="1F75EC24">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975" w:type="dxa"/>
            <w:shd w:val="clear" w:color="auto" w:fill="auto"/>
            <w:vAlign w:val="center"/>
          </w:tcPr>
          <w:p w14:paraId="32F800B4" w14:textId="77777777" w:rsidR="00C5241A" w:rsidRPr="00413B1C" w:rsidRDefault="00C5241A" w:rsidP="00473DE9">
            <w:pPr>
              <w:rPr>
                <w:color w:val="000000"/>
                <w:sz w:val="20"/>
                <w:szCs w:val="20"/>
                <w:lang w:val="en-US" w:eastAsia="en-AU"/>
              </w:rPr>
            </w:pPr>
            <w:r>
              <w:rPr>
                <w:color w:val="000000"/>
                <w:sz w:val="20"/>
                <w:szCs w:val="20"/>
                <w:lang w:val="en-US" w:eastAsia="en-AU"/>
              </w:rPr>
              <w:t>Introduction of a telehealth item for HITH services (where relevant).</w:t>
            </w:r>
          </w:p>
        </w:tc>
        <w:tc>
          <w:tcPr>
            <w:tcW w:w="4976" w:type="dxa"/>
            <w:shd w:val="clear" w:color="auto" w:fill="auto"/>
            <w:vAlign w:val="center"/>
          </w:tcPr>
          <w:p w14:paraId="6F3FDAB8" w14:textId="77777777" w:rsidR="00C5241A" w:rsidRPr="00413B1C" w:rsidRDefault="00C5241A" w:rsidP="00473DE9">
            <w:pPr>
              <w:cnfStyle w:val="000000010000" w:firstRow="0" w:lastRow="0" w:firstColumn="0" w:lastColumn="0" w:oddVBand="0" w:evenVBand="0" w:oddHBand="0" w:evenHBand="1" w:firstRowFirstColumn="0" w:firstRowLastColumn="0" w:lastRowFirstColumn="0" w:lastRowLastColumn="0"/>
              <w:rPr>
                <w:color w:val="000000"/>
                <w:sz w:val="20"/>
                <w:szCs w:val="20"/>
                <w:lang w:val="en-US" w:eastAsia="en-AU"/>
              </w:rPr>
            </w:pPr>
            <w:r>
              <w:rPr>
                <w:color w:val="000000"/>
                <w:sz w:val="20"/>
                <w:szCs w:val="20"/>
                <w:lang w:val="en-US" w:eastAsia="en-AU"/>
              </w:rPr>
              <w:t>A</w:t>
            </w:r>
            <w:r w:rsidRPr="009331E3">
              <w:rPr>
                <w:color w:val="000000"/>
                <w:sz w:val="20"/>
                <w:szCs w:val="20"/>
                <w:lang w:val="en-US" w:eastAsia="en-AU"/>
              </w:rPr>
              <w:t>mendment of MBS items</w:t>
            </w:r>
            <w:r w:rsidR="00377639">
              <w:rPr>
                <w:color w:val="000000"/>
                <w:sz w:val="20"/>
                <w:szCs w:val="20"/>
                <w:lang w:val="en-US" w:eastAsia="en-AU"/>
              </w:rPr>
              <w:t xml:space="preserve"> (see: Note)</w:t>
            </w:r>
            <w:r w:rsidRPr="009331E3">
              <w:rPr>
                <w:color w:val="000000"/>
                <w:sz w:val="20"/>
                <w:szCs w:val="20"/>
                <w:lang w:val="en-US" w:eastAsia="en-AU"/>
              </w:rPr>
              <w:t>.</w:t>
            </w:r>
          </w:p>
        </w:tc>
      </w:tr>
      <w:tr w:rsidR="00413B1C" w:rsidRPr="00413B1C" w14:paraId="06E887D9" w14:textId="77777777" w:rsidTr="1F75EC24">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3F4A75" w:themeFill="accent1"/>
          </w:tcPr>
          <w:p w14:paraId="216A526B" w14:textId="77777777" w:rsidR="00413B1C" w:rsidRPr="00413B1C" w:rsidRDefault="00413B1C" w:rsidP="00473DE9">
            <w:pPr>
              <w:rPr>
                <w:color w:val="000000"/>
                <w:sz w:val="20"/>
                <w:szCs w:val="20"/>
                <w:lang w:val="en-US" w:eastAsia="en-AU"/>
              </w:rPr>
            </w:pPr>
            <w:r w:rsidRPr="00413B1C">
              <w:rPr>
                <w:rFonts w:eastAsia="Cambria"/>
                <w:b/>
                <w:color w:val="FFFFFF"/>
                <w:sz w:val="20"/>
                <w:szCs w:val="20"/>
                <w:lang w:val="en-US" w:eastAsia="en-AU"/>
              </w:rPr>
              <w:t>Questions for stakeholder consideration</w:t>
            </w:r>
            <w:r w:rsidRPr="00413B1C">
              <w:rPr>
                <w:color w:val="FFFFFF"/>
                <w:sz w:val="20"/>
                <w:szCs w:val="20"/>
                <w:lang w:val="en-US" w:eastAsia="en-AU"/>
              </w:rPr>
              <w:t xml:space="preserve"> </w:t>
            </w:r>
          </w:p>
        </w:tc>
      </w:tr>
      <w:tr w:rsidR="00413B1C" w:rsidRPr="00413B1C" w14:paraId="442BBFB7" w14:textId="77777777" w:rsidTr="1F75EC24">
        <w:trPr>
          <w:cnfStyle w:val="000000010000" w:firstRow="0" w:lastRow="0" w:firstColumn="0" w:lastColumn="0" w:oddVBand="0" w:evenVBand="0" w:oddHBand="0" w:evenHBand="1" w:firstRowFirstColumn="0" w:firstRowLastColumn="0" w:lastRowFirstColumn="0" w:lastRowLastColumn="0"/>
          <w:trHeight w:val="5554"/>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auto"/>
          </w:tcPr>
          <w:p w14:paraId="21B0536B" w14:textId="77777777" w:rsidR="00413B1C" w:rsidRPr="00413B1C" w:rsidRDefault="00413B1C" w:rsidP="009257CE">
            <w:pPr>
              <w:numPr>
                <w:ilvl w:val="0"/>
                <w:numId w:val="24"/>
              </w:numPr>
              <w:ind w:left="360"/>
              <w:rPr>
                <w:color w:val="000000"/>
                <w:sz w:val="20"/>
                <w:szCs w:val="28"/>
                <w:lang w:val="en-US" w:eastAsia="en-AU"/>
              </w:rPr>
            </w:pPr>
            <w:r w:rsidRPr="00413B1C">
              <w:rPr>
                <w:color w:val="000000"/>
                <w:sz w:val="20"/>
                <w:szCs w:val="28"/>
                <w:lang w:val="en-US" w:eastAsia="en-AU"/>
              </w:rPr>
              <w:t>Is the amount of the proposed minimum hospital benefit for HITH appropriate (i.e. $360 per day)? If not, please provide a proposed alternate default benefit amount, including methodology and supporting data.</w:t>
            </w:r>
          </w:p>
          <w:p w14:paraId="047D0392" w14:textId="7FEC5444" w:rsidR="00413B1C" w:rsidRPr="00413B1C" w:rsidRDefault="00413B1C" w:rsidP="009257CE">
            <w:pPr>
              <w:numPr>
                <w:ilvl w:val="0"/>
                <w:numId w:val="24"/>
              </w:numPr>
              <w:ind w:left="360"/>
              <w:rPr>
                <w:color w:val="000000"/>
                <w:sz w:val="20"/>
                <w:szCs w:val="28"/>
                <w:lang w:val="en-US" w:eastAsia="en-AU"/>
              </w:rPr>
            </w:pPr>
            <w:r w:rsidRPr="00413B1C">
              <w:rPr>
                <w:color w:val="000000"/>
                <w:sz w:val="20"/>
                <w:szCs w:val="28"/>
                <w:lang w:val="en-US" w:eastAsia="en-AU"/>
              </w:rPr>
              <w:t>Should the</w:t>
            </w:r>
            <w:r w:rsidR="0006135F">
              <w:rPr>
                <w:color w:val="000000"/>
                <w:sz w:val="20"/>
                <w:szCs w:val="28"/>
                <w:lang w:val="en-US" w:eastAsia="en-AU"/>
              </w:rPr>
              <w:t xml:space="preserve"> department consider</w:t>
            </w:r>
            <w:r w:rsidRPr="00413B1C">
              <w:rPr>
                <w:color w:val="000000"/>
                <w:sz w:val="20"/>
                <w:szCs w:val="28"/>
                <w:lang w:val="en-US" w:eastAsia="en-AU"/>
              </w:rPr>
              <w:t xml:space="preserve"> different minimum hospital benefit</w:t>
            </w:r>
            <w:r w:rsidR="00F63B45">
              <w:rPr>
                <w:color w:val="000000"/>
                <w:sz w:val="20"/>
                <w:szCs w:val="28"/>
                <w:lang w:val="en-US" w:eastAsia="en-AU"/>
              </w:rPr>
              <w:t>s</w:t>
            </w:r>
            <w:r w:rsidRPr="00413B1C">
              <w:rPr>
                <w:color w:val="000000"/>
                <w:sz w:val="20"/>
                <w:szCs w:val="28"/>
                <w:lang w:val="en-US" w:eastAsia="en-AU"/>
              </w:rPr>
              <w:t xml:space="preserve"> for </w:t>
            </w:r>
            <w:r w:rsidR="007377EC">
              <w:rPr>
                <w:color w:val="000000"/>
                <w:sz w:val="20"/>
                <w:szCs w:val="28"/>
                <w:lang w:val="en-US" w:eastAsia="en-AU"/>
              </w:rPr>
              <w:t xml:space="preserve">different types of </w:t>
            </w:r>
            <w:r w:rsidRPr="00413B1C">
              <w:rPr>
                <w:color w:val="000000"/>
                <w:sz w:val="20"/>
                <w:szCs w:val="28"/>
                <w:lang w:val="en-US" w:eastAsia="en-AU"/>
              </w:rPr>
              <w:t xml:space="preserve">HITH </w:t>
            </w:r>
            <w:r w:rsidR="007377EC">
              <w:rPr>
                <w:color w:val="000000"/>
                <w:sz w:val="20"/>
                <w:szCs w:val="28"/>
                <w:lang w:val="en-US" w:eastAsia="en-AU"/>
              </w:rPr>
              <w:t>services</w:t>
            </w:r>
            <w:r w:rsidR="00052234">
              <w:rPr>
                <w:color w:val="000000"/>
                <w:sz w:val="20"/>
                <w:szCs w:val="28"/>
                <w:lang w:val="en-US" w:eastAsia="en-AU"/>
              </w:rPr>
              <w:t xml:space="preserve">, </w:t>
            </w:r>
            <w:r w:rsidR="00FB44A6">
              <w:rPr>
                <w:color w:val="000000"/>
                <w:sz w:val="20"/>
                <w:szCs w:val="28"/>
                <w:lang w:val="en-US" w:eastAsia="en-AU"/>
              </w:rPr>
              <w:t>e.g.</w:t>
            </w:r>
            <w:r w:rsidR="00052234">
              <w:rPr>
                <w:color w:val="000000"/>
                <w:sz w:val="20"/>
                <w:szCs w:val="28"/>
                <w:lang w:val="en-US" w:eastAsia="en-AU"/>
              </w:rPr>
              <w:t xml:space="preserve"> to </w:t>
            </w:r>
            <w:r w:rsidRPr="00413B1C">
              <w:rPr>
                <w:color w:val="000000"/>
                <w:sz w:val="20"/>
                <w:szCs w:val="28"/>
                <w:lang w:val="en-US" w:eastAsia="en-AU"/>
              </w:rPr>
              <w:t>recognise additional complexity? If yes, please provide proposed alternative benefit amount</w:t>
            </w:r>
            <w:r w:rsidR="00052234">
              <w:rPr>
                <w:color w:val="000000"/>
                <w:sz w:val="20"/>
                <w:szCs w:val="28"/>
                <w:lang w:val="en-US" w:eastAsia="en-AU"/>
              </w:rPr>
              <w:t>s</w:t>
            </w:r>
            <w:r w:rsidRPr="00413B1C">
              <w:rPr>
                <w:color w:val="000000"/>
                <w:sz w:val="20"/>
                <w:szCs w:val="28"/>
                <w:lang w:val="en-US" w:eastAsia="en-AU"/>
              </w:rPr>
              <w:t>, including</w:t>
            </w:r>
            <w:r w:rsidR="00057D16">
              <w:rPr>
                <w:color w:val="000000"/>
                <w:sz w:val="20"/>
                <w:szCs w:val="28"/>
                <w:lang w:val="en-US" w:eastAsia="en-AU"/>
              </w:rPr>
              <w:t xml:space="preserve"> your</w:t>
            </w:r>
            <w:r w:rsidRPr="00413B1C">
              <w:rPr>
                <w:color w:val="000000"/>
                <w:sz w:val="20"/>
                <w:szCs w:val="28"/>
                <w:lang w:val="en-US" w:eastAsia="en-AU"/>
              </w:rPr>
              <w:t xml:space="preserve"> rationale and supporting data.</w:t>
            </w:r>
          </w:p>
          <w:p w14:paraId="4AFEA765" w14:textId="77777777" w:rsidR="00413B1C" w:rsidRPr="00413B1C" w:rsidRDefault="00413B1C" w:rsidP="009257CE">
            <w:pPr>
              <w:numPr>
                <w:ilvl w:val="0"/>
                <w:numId w:val="24"/>
              </w:numPr>
              <w:ind w:left="360"/>
              <w:rPr>
                <w:color w:val="000000"/>
                <w:sz w:val="20"/>
                <w:szCs w:val="28"/>
                <w:lang w:eastAsia="en-AU"/>
              </w:rPr>
            </w:pPr>
            <w:r w:rsidRPr="00413B1C">
              <w:rPr>
                <w:color w:val="000000"/>
                <w:sz w:val="20"/>
                <w:szCs w:val="28"/>
                <w:lang w:eastAsia="en-AU"/>
              </w:rPr>
              <w:t>Do you have any comments about the inclusion of IV chemotherapy as an eligible IV infusion in the initial tranche of HITH treatment services? Please provide detail on why or why not.</w:t>
            </w:r>
          </w:p>
          <w:p w14:paraId="26689FBD" w14:textId="77777777" w:rsidR="00413B1C" w:rsidRPr="00413B1C" w:rsidRDefault="00413B1C" w:rsidP="009257CE">
            <w:pPr>
              <w:numPr>
                <w:ilvl w:val="0"/>
                <w:numId w:val="24"/>
              </w:numPr>
              <w:ind w:left="360"/>
              <w:rPr>
                <w:color w:val="000000"/>
                <w:sz w:val="20"/>
                <w:szCs w:val="28"/>
                <w:lang w:val="en-US" w:eastAsia="en-AU"/>
              </w:rPr>
            </w:pPr>
            <w:r w:rsidRPr="00413B1C">
              <w:rPr>
                <w:color w:val="000000"/>
                <w:sz w:val="20"/>
                <w:szCs w:val="28"/>
                <w:lang w:val="en-US" w:eastAsia="en-AU"/>
              </w:rPr>
              <w:t>Can hospitals and insurers implement this proposal as described? If not, please provide details on why, e.g. additional barriers not canvassed in this paper.</w:t>
            </w:r>
          </w:p>
          <w:p w14:paraId="16C4EB88" w14:textId="77777777" w:rsidR="00413B1C" w:rsidRPr="00413B1C" w:rsidRDefault="00413B1C" w:rsidP="009257CE">
            <w:pPr>
              <w:numPr>
                <w:ilvl w:val="0"/>
                <w:numId w:val="24"/>
              </w:numPr>
              <w:ind w:left="360"/>
              <w:rPr>
                <w:color w:val="000000"/>
                <w:sz w:val="20"/>
                <w:szCs w:val="28"/>
                <w:lang w:val="en-US" w:eastAsia="en-AU"/>
              </w:rPr>
            </w:pPr>
            <w:r w:rsidRPr="00413B1C">
              <w:rPr>
                <w:color w:val="000000"/>
                <w:sz w:val="20"/>
                <w:szCs w:val="28"/>
                <w:lang w:val="en-US" w:eastAsia="en-AU"/>
              </w:rPr>
              <w:t xml:space="preserve">Do you have any comments regarding the interaction of MBS and professional services attendance billing and the feasibility of this reform proposal? </w:t>
            </w:r>
          </w:p>
          <w:p w14:paraId="1B8C7A07" w14:textId="60CE7477" w:rsidR="00B50CFD" w:rsidRDefault="00E64046" w:rsidP="009257CE">
            <w:pPr>
              <w:numPr>
                <w:ilvl w:val="0"/>
                <w:numId w:val="24"/>
              </w:numPr>
              <w:ind w:left="360"/>
              <w:rPr>
                <w:color w:val="000000"/>
                <w:sz w:val="20"/>
                <w:szCs w:val="28"/>
                <w:lang w:val="en-US" w:eastAsia="en-AU"/>
              </w:rPr>
            </w:pPr>
            <w:r w:rsidRPr="00417DFC">
              <w:rPr>
                <w:color w:val="auto"/>
                <w:sz w:val="20"/>
                <w:szCs w:val="28"/>
                <w:lang w:val="en-US" w:eastAsia="en-AU"/>
              </w:rPr>
              <w:t xml:space="preserve">Do you have any further comments on the considerations raised </w:t>
            </w:r>
            <w:r w:rsidR="003B0B45" w:rsidRPr="00417DFC">
              <w:rPr>
                <w:color w:val="auto"/>
                <w:sz w:val="20"/>
                <w:szCs w:val="28"/>
                <w:lang w:val="en-US" w:eastAsia="en-AU"/>
              </w:rPr>
              <w:t xml:space="preserve">under </w:t>
            </w:r>
            <w:hyperlink w:anchor="_Proposed_initial_tranche" w:history="1">
              <w:r w:rsidR="004411E3" w:rsidRPr="004411E3">
                <w:rPr>
                  <w:rStyle w:val="Hyperlink"/>
                  <w:sz w:val="20"/>
                  <w:szCs w:val="28"/>
                  <w:lang w:val="en-US" w:eastAsia="en-AU"/>
                </w:rPr>
                <w:t>S</w:t>
              </w:r>
              <w:r w:rsidR="003B0B45" w:rsidRPr="004411E3">
                <w:rPr>
                  <w:rStyle w:val="Hyperlink"/>
                  <w:sz w:val="20"/>
                  <w:szCs w:val="28"/>
                  <w:lang w:val="en-US" w:eastAsia="en-AU"/>
                </w:rPr>
                <w:t>ection 1.</w:t>
              </w:r>
              <w:r w:rsidR="00AB7252" w:rsidRPr="004411E3">
                <w:rPr>
                  <w:rStyle w:val="Hyperlink"/>
                  <w:sz w:val="20"/>
                  <w:szCs w:val="28"/>
                  <w:lang w:val="en-US" w:eastAsia="en-AU"/>
                </w:rPr>
                <w:t>3</w:t>
              </w:r>
              <w:r w:rsidR="003B0B45" w:rsidRPr="004411E3">
                <w:rPr>
                  <w:rStyle w:val="Hyperlink"/>
                  <w:sz w:val="20"/>
                  <w:szCs w:val="28"/>
                  <w:lang w:val="en-US" w:eastAsia="en-AU"/>
                </w:rPr>
                <w:t>.3</w:t>
              </w:r>
            </w:hyperlink>
            <w:r w:rsidRPr="00417DFC">
              <w:rPr>
                <w:color w:val="auto"/>
                <w:sz w:val="20"/>
                <w:szCs w:val="28"/>
                <w:lang w:val="en-US" w:eastAsia="en-AU"/>
              </w:rPr>
              <w:t xml:space="preserve"> </w:t>
            </w:r>
            <w:r w:rsidR="00F36921" w:rsidRPr="00417DFC">
              <w:rPr>
                <w:color w:val="auto"/>
                <w:sz w:val="20"/>
                <w:szCs w:val="28"/>
                <w:lang w:val="en-US" w:eastAsia="en-AU"/>
              </w:rPr>
              <w:t xml:space="preserve">that have not been </w:t>
            </w:r>
            <w:r w:rsidR="003F5022" w:rsidRPr="00417DFC">
              <w:rPr>
                <w:color w:val="auto"/>
                <w:sz w:val="20"/>
                <w:szCs w:val="28"/>
                <w:lang w:val="en-US" w:eastAsia="en-AU"/>
              </w:rPr>
              <w:t xml:space="preserve">provided in response to questions above? </w:t>
            </w:r>
            <w:r w:rsidR="003F5022">
              <w:rPr>
                <w:color w:val="000000"/>
                <w:sz w:val="20"/>
                <w:szCs w:val="28"/>
                <w:lang w:val="en-US" w:eastAsia="en-AU"/>
              </w:rPr>
              <w:t>If yes, please provide details.</w:t>
            </w:r>
            <w:r>
              <w:rPr>
                <w:color w:val="000000"/>
                <w:sz w:val="20"/>
                <w:szCs w:val="28"/>
                <w:lang w:val="en-US" w:eastAsia="en-AU"/>
              </w:rPr>
              <w:t xml:space="preserve"> </w:t>
            </w:r>
          </w:p>
          <w:p w14:paraId="77322C2A" w14:textId="77777777" w:rsidR="00552C83" w:rsidRPr="00CE23AD" w:rsidRDefault="00CE23AD" w:rsidP="009257CE">
            <w:pPr>
              <w:numPr>
                <w:ilvl w:val="0"/>
                <w:numId w:val="24"/>
              </w:numPr>
              <w:ind w:left="360"/>
              <w:rPr>
                <w:color w:val="000000"/>
                <w:sz w:val="20"/>
                <w:szCs w:val="28"/>
                <w:lang w:val="en-US" w:eastAsia="en-AU"/>
              </w:rPr>
            </w:pPr>
            <w:r w:rsidRPr="00413B1C">
              <w:rPr>
                <w:color w:val="000000"/>
                <w:sz w:val="20"/>
                <w:szCs w:val="28"/>
                <w:lang w:val="en-US" w:eastAsia="en-AU"/>
              </w:rPr>
              <w:t>Do the proposed changes have consequences which the department does not appear to have foreseen, based on the details in this paper? If yes, please provide details.</w:t>
            </w:r>
          </w:p>
          <w:p w14:paraId="5AD54E5A" w14:textId="05D6D9F8" w:rsidR="00413B1C" w:rsidRPr="00413B1C" w:rsidRDefault="00413B1C" w:rsidP="009257CE">
            <w:pPr>
              <w:numPr>
                <w:ilvl w:val="0"/>
                <w:numId w:val="24"/>
              </w:numPr>
              <w:ind w:left="360"/>
              <w:rPr>
                <w:color w:val="000000"/>
                <w:sz w:val="20"/>
                <w:szCs w:val="20"/>
                <w:lang w:val="en-US" w:eastAsia="en-AU"/>
              </w:rPr>
            </w:pPr>
            <w:r w:rsidRPr="227D45E1">
              <w:rPr>
                <w:sz w:val="20"/>
                <w:szCs w:val="20"/>
                <w:lang w:val="en-US" w:eastAsia="en-AU"/>
              </w:rPr>
              <w:t xml:space="preserve">Are there any further issues that </w:t>
            </w:r>
            <w:r w:rsidR="25F43247" w:rsidRPr="018F883B">
              <w:rPr>
                <w:sz w:val="20"/>
                <w:szCs w:val="20"/>
                <w:lang w:val="en-US" w:eastAsia="en-AU"/>
              </w:rPr>
              <w:t xml:space="preserve">the department </w:t>
            </w:r>
            <w:r w:rsidR="6FB86129" w:rsidRPr="018F883B">
              <w:rPr>
                <w:sz w:val="20"/>
                <w:szCs w:val="20"/>
                <w:lang w:val="en-US" w:eastAsia="en-AU"/>
              </w:rPr>
              <w:t>should</w:t>
            </w:r>
            <w:r w:rsidRPr="227D45E1">
              <w:rPr>
                <w:sz w:val="20"/>
                <w:szCs w:val="20"/>
                <w:lang w:val="en-US" w:eastAsia="en-AU"/>
              </w:rPr>
              <w:t xml:space="preserve"> consider</w:t>
            </w:r>
            <w:r w:rsidR="00712EC1">
              <w:rPr>
                <w:sz w:val="20"/>
                <w:szCs w:val="20"/>
                <w:lang w:val="en-US" w:eastAsia="en-AU"/>
              </w:rPr>
              <w:t xml:space="preserve"> in relation to</w:t>
            </w:r>
            <w:r w:rsidRPr="227D45E1">
              <w:rPr>
                <w:sz w:val="20"/>
                <w:szCs w:val="20"/>
                <w:lang w:val="en-US" w:eastAsia="en-AU"/>
              </w:rPr>
              <w:t xml:space="preserve"> the proposed evaluation to measure the success of this proposal?</w:t>
            </w:r>
          </w:p>
        </w:tc>
      </w:tr>
      <w:tr w:rsidR="00377639" w:rsidRPr="00AD2981" w14:paraId="48210D73" w14:textId="77777777" w:rsidTr="1F75EC2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auto"/>
          </w:tcPr>
          <w:p w14:paraId="5D66B455" w14:textId="02F6DE20" w:rsidR="00377639" w:rsidRPr="00B2396F" w:rsidRDefault="00417DFC" w:rsidP="00377639">
            <w:pPr>
              <w:rPr>
                <w:i/>
                <w:iCs/>
                <w:sz w:val="18"/>
                <w:szCs w:val="18"/>
              </w:rPr>
            </w:pPr>
            <w:r w:rsidRPr="0074063E">
              <w:rPr>
                <w:b/>
                <w:bCs/>
                <w:i/>
                <w:iCs/>
                <w:sz w:val="18"/>
                <w:szCs w:val="18"/>
              </w:rPr>
              <w:t xml:space="preserve">NOTE: </w:t>
            </w:r>
            <w:r w:rsidR="00B2396F" w:rsidRPr="00B2396F">
              <w:rPr>
                <w:i/>
                <w:iCs/>
                <w:sz w:val="18"/>
                <w:szCs w:val="18"/>
              </w:rPr>
              <w:t>Any decision to create new MBS items or amend existing items would be subject to established Australian Government processes, including consideration through relevant advisory committees, expert clinical review mechanisms, and final approval by Government.</w:t>
            </w:r>
          </w:p>
        </w:tc>
      </w:tr>
    </w:tbl>
    <w:p w14:paraId="370DD62F" w14:textId="77777777" w:rsidR="00E14894" w:rsidRPr="00AD2981" w:rsidRDefault="00E14894" w:rsidP="00734DEC">
      <w:pPr>
        <w:pStyle w:val="Body"/>
        <w:rPr>
          <w:color w:val="FF0000"/>
        </w:rPr>
      </w:pPr>
    </w:p>
    <w:p w14:paraId="28DEA803" w14:textId="77777777" w:rsidR="00E14894" w:rsidRPr="00AD2981" w:rsidRDefault="00E14894">
      <w:pPr>
        <w:spacing w:before="0" w:after="0" w:line="240" w:lineRule="auto"/>
        <w:rPr>
          <w:rFonts w:cs="Arial"/>
          <w:i/>
          <w:iCs/>
          <w:color w:val="FF0000"/>
          <w:sz w:val="28"/>
          <w:szCs w:val="28"/>
        </w:rPr>
      </w:pPr>
      <w:r w:rsidRPr="00AD2981">
        <w:rPr>
          <w:b/>
          <w:bCs/>
          <w:i/>
          <w:iCs/>
          <w:color w:val="FF0000"/>
          <w:sz w:val="28"/>
          <w:szCs w:val="28"/>
        </w:rPr>
        <w:br w:type="page"/>
      </w:r>
    </w:p>
    <w:p w14:paraId="00E033E4" w14:textId="77777777" w:rsidR="00B872D9" w:rsidRPr="00DF78E1" w:rsidRDefault="00B872D9" w:rsidP="00651D4E">
      <w:pPr>
        <w:pStyle w:val="Heading3"/>
        <w:numPr>
          <w:ilvl w:val="2"/>
          <w:numId w:val="14"/>
        </w:numPr>
        <w:spacing w:before="240" w:after="120"/>
        <w:rPr>
          <w:b w:val="0"/>
          <w:bCs w:val="0"/>
          <w:i/>
          <w:iCs/>
          <w:sz w:val="28"/>
          <w:szCs w:val="28"/>
        </w:rPr>
      </w:pPr>
      <w:bookmarkStart w:id="46" w:name="_Toc233805033"/>
      <w:r w:rsidRPr="3D1C1472">
        <w:rPr>
          <w:b w:val="0"/>
          <w:bCs w:val="0"/>
          <w:i/>
          <w:iCs/>
          <w:sz w:val="28"/>
          <w:szCs w:val="28"/>
        </w:rPr>
        <w:lastRenderedPageBreak/>
        <w:t>Introduction</w:t>
      </w:r>
      <w:bookmarkEnd w:id="46"/>
    </w:p>
    <w:p w14:paraId="3433592B" w14:textId="77777777" w:rsidR="00F15BA5" w:rsidRDefault="00F15BA5" w:rsidP="00473DE9">
      <w:pPr>
        <w:rPr>
          <w:szCs w:val="22"/>
          <w:lang w:val="en-US"/>
        </w:rPr>
      </w:pPr>
      <w:r w:rsidRPr="00417C30">
        <w:rPr>
          <w:szCs w:val="22"/>
          <w:lang w:val="en-US"/>
        </w:rPr>
        <w:t>Hospital in the Home (HITH) is a well-established and recognised model of care, used both internationally and within Australia. While HITH is widely utilised across the public hospital system, its uptake in the private health sector remains relatively limited.</w:t>
      </w:r>
      <w:r>
        <w:rPr>
          <w:szCs w:val="22"/>
          <w:lang w:val="en-US"/>
        </w:rPr>
        <w:t xml:space="preserve"> </w:t>
      </w:r>
      <w:r w:rsidRPr="00B86313">
        <w:rPr>
          <w:szCs w:val="22"/>
          <w:lang w:val="en-US"/>
        </w:rPr>
        <w:t>Some HITH</w:t>
      </w:r>
      <w:r w:rsidR="00F56EDC">
        <w:rPr>
          <w:szCs w:val="22"/>
          <w:lang w:val="en-US"/>
        </w:rPr>
        <w:t xml:space="preserve"> service delivery</w:t>
      </w:r>
      <w:r w:rsidRPr="00B86313">
        <w:rPr>
          <w:szCs w:val="22"/>
          <w:lang w:val="en-US"/>
        </w:rPr>
        <w:t xml:space="preserve"> is occurring in the private</w:t>
      </w:r>
      <w:r>
        <w:rPr>
          <w:szCs w:val="22"/>
          <w:lang w:val="en-US"/>
        </w:rPr>
        <w:t xml:space="preserve"> hospital</w:t>
      </w:r>
      <w:r w:rsidRPr="00B86313">
        <w:rPr>
          <w:szCs w:val="22"/>
          <w:lang w:val="en-US"/>
        </w:rPr>
        <w:t xml:space="preserve"> sector where insurers and private hospital providers have reached a contractual arrangement for the delivery of HITH services. However, such arrangements are not widespread, and privately insured patients generally have low access to HITH services.</w:t>
      </w:r>
    </w:p>
    <w:p w14:paraId="30F087F6" w14:textId="77777777" w:rsidR="00F15BA5" w:rsidRDefault="00F15BA5" w:rsidP="00473DE9">
      <w:pPr>
        <w:rPr>
          <w:szCs w:val="22"/>
        </w:rPr>
      </w:pPr>
      <w:r w:rsidRPr="00417DFC">
        <w:rPr>
          <w:color w:val="auto"/>
          <w:szCs w:val="22"/>
          <w:lang w:val="en-US"/>
        </w:rPr>
        <w:t xml:space="preserve">Consultation undertaken by the </w:t>
      </w:r>
      <w:r w:rsidR="00EA490C" w:rsidRPr="00417DFC">
        <w:rPr>
          <w:color w:val="auto"/>
          <w:szCs w:val="22"/>
          <w:lang w:val="en-US"/>
        </w:rPr>
        <w:t>d</w:t>
      </w:r>
      <w:r w:rsidRPr="00417DFC">
        <w:rPr>
          <w:color w:val="auto"/>
          <w:szCs w:val="22"/>
          <w:lang w:val="en-US"/>
        </w:rPr>
        <w:t xml:space="preserve">epartment in 2025, including discussions through the CEO Forum, identified HITH offers a range of potential benefits for patients, providers, funders, and the broader health system. </w:t>
      </w:r>
      <w:r>
        <w:rPr>
          <w:szCs w:val="22"/>
          <w:lang w:val="en-US"/>
        </w:rPr>
        <w:t>Stakeholders expressed strong</w:t>
      </w:r>
      <w:r w:rsidRPr="00F17C5D">
        <w:rPr>
          <w:szCs w:val="22"/>
        </w:rPr>
        <w:t xml:space="preserve"> support for reform to increase accessibility of HITH services for privately insured patients.</w:t>
      </w:r>
    </w:p>
    <w:p w14:paraId="169CB655" w14:textId="77777777" w:rsidR="00F15BA5" w:rsidRPr="00FB30E9" w:rsidRDefault="00F15BA5" w:rsidP="00651D4E">
      <w:pPr>
        <w:pStyle w:val="Heading3"/>
        <w:numPr>
          <w:ilvl w:val="2"/>
          <w:numId w:val="14"/>
        </w:numPr>
        <w:spacing w:before="240" w:after="120"/>
        <w:rPr>
          <w:b w:val="0"/>
          <w:bCs w:val="0"/>
          <w:i/>
          <w:iCs/>
          <w:sz w:val="28"/>
          <w:szCs w:val="28"/>
        </w:rPr>
      </w:pPr>
      <w:bookmarkStart w:id="47" w:name="_Toc233805034"/>
      <w:r w:rsidRPr="3D1C1472">
        <w:rPr>
          <w:b w:val="0"/>
          <w:bCs w:val="0"/>
          <w:i/>
          <w:iCs/>
          <w:sz w:val="28"/>
          <w:szCs w:val="28"/>
        </w:rPr>
        <w:t>Option to expand HITH</w:t>
      </w:r>
      <w:bookmarkEnd w:id="47"/>
    </w:p>
    <w:p w14:paraId="150BA16D" w14:textId="78C67108" w:rsidR="00397858" w:rsidRPr="00397858" w:rsidRDefault="00397858" w:rsidP="00473DE9">
      <w:pPr>
        <w:rPr>
          <w:szCs w:val="22"/>
          <w:lang w:val="en-US"/>
        </w:rPr>
      </w:pPr>
      <w:r w:rsidRPr="00397858">
        <w:rPr>
          <w:szCs w:val="22"/>
          <w:lang w:val="en-US"/>
        </w:rPr>
        <w:t xml:space="preserve">To support the expansion of HITH services within the private health sector, it is proposed that a minimum hospital benefit be introduced under the </w:t>
      </w:r>
      <w:r w:rsidRPr="00FB30E9">
        <w:rPr>
          <w:szCs w:val="22"/>
          <w:lang w:val="en-US"/>
        </w:rPr>
        <w:t>Benefit Requirements Rules</w:t>
      </w:r>
      <w:r w:rsidRPr="00BF524B">
        <w:rPr>
          <w:szCs w:val="22"/>
          <w:lang w:val="en-US"/>
        </w:rPr>
        <w:t>.</w:t>
      </w:r>
      <w:r w:rsidRPr="00397858">
        <w:rPr>
          <w:szCs w:val="22"/>
          <w:lang w:val="en-US"/>
        </w:rPr>
        <w:t xml:space="preserve"> This benefit would apply to HITH treatment services</w:t>
      </w:r>
      <w:r w:rsidR="00A5581F">
        <w:rPr>
          <w:szCs w:val="22"/>
          <w:lang w:val="en-US"/>
        </w:rPr>
        <w:t xml:space="preserve"> </w:t>
      </w:r>
      <w:r w:rsidR="00A5581F" w:rsidRPr="00397858">
        <w:rPr>
          <w:szCs w:val="22"/>
          <w:lang w:val="en-US"/>
        </w:rPr>
        <w:t>for privately insured patients</w:t>
      </w:r>
      <w:r w:rsidRPr="00397858">
        <w:rPr>
          <w:szCs w:val="22"/>
          <w:lang w:val="en-US"/>
        </w:rPr>
        <w:t xml:space="preserve"> that are provided by, or arranged</w:t>
      </w:r>
      <w:r w:rsidR="00B71F76">
        <w:rPr>
          <w:szCs w:val="22"/>
          <w:lang w:val="en-US"/>
        </w:rPr>
        <w:t xml:space="preserve"> with the direct involvement of</w:t>
      </w:r>
      <w:r w:rsidRPr="00397858">
        <w:rPr>
          <w:szCs w:val="22"/>
          <w:lang w:val="en-US"/>
        </w:rPr>
        <w:t>, private hospitals.</w:t>
      </w:r>
    </w:p>
    <w:p w14:paraId="7A3C99D0" w14:textId="77777777" w:rsidR="00397858" w:rsidRPr="00AD2981" w:rsidRDefault="00397858" w:rsidP="00473DE9">
      <w:pPr>
        <w:rPr>
          <w:color w:val="FF0000"/>
          <w:szCs w:val="22"/>
          <w:lang w:val="en-US"/>
        </w:rPr>
      </w:pPr>
      <w:r w:rsidRPr="00397858">
        <w:rPr>
          <w:szCs w:val="22"/>
          <w:lang w:val="en-US"/>
        </w:rPr>
        <w:t>The proposed benefit would represent the</w:t>
      </w:r>
      <w:r w:rsidR="00F173F9">
        <w:rPr>
          <w:szCs w:val="22"/>
          <w:lang w:val="en-US"/>
        </w:rPr>
        <w:t xml:space="preserve"> </w:t>
      </w:r>
      <w:r w:rsidRPr="00397858">
        <w:rPr>
          <w:szCs w:val="22"/>
          <w:lang w:val="en-US"/>
        </w:rPr>
        <w:t>insurer’s payment to the hospital for</w:t>
      </w:r>
      <w:r w:rsidR="00F173F9">
        <w:rPr>
          <w:szCs w:val="22"/>
          <w:lang w:val="en-US"/>
        </w:rPr>
        <w:t xml:space="preserve"> patient</w:t>
      </w:r>
      <w:r w:rsidRPr="00397858">
        <w:rPr>
          <w:szCs w:val="22"/>
          <w:lang w:val="en-US"/>
        </w:rPr>
        <w:t xml:space="preserve"> treatment and care that would otherwise attract an accommodation benefit if delivered on-site.</w:t>
      </w:r>
      <w:r w:rsidR="00A75902">
        <w:rPr>
          <w:szCs w:val="22"/>
          <w:lang w:val="en-US"/>
        </w:rPr>
        <w:t xml:space="preserve"> </w:t>
      </w:r>
      <w:r w:rsidR="00A75902" w:rsidRPr="00417DFC">
        <w:rPr>
          <w:color w:val="auto"/>
          <w:szCs w:val="22"/>
          <w:lang w:val="en-US"/>
        </w:rPr>
        <w:t xml:space="preserve">The minimum hospital benefit for HITH would be separate </w:t>
      </w:r>
      <w:r w:rsidR="003963FA" w:rsidRPr="00417DFC">
        <w:rPr>
          <w:color w:val="auto"/>
          <w:szCs w:val="22"/>
          <w:lang w:val="en-US"/>
        </w:rPr>
        <w:t xml:space="preserve">to any </w:t>
      </w:r>
      <w:r w:rsidR="00A42B87" w:rsidRPr="00417DFC">
        <w:rPr>
          <w:color w:val="auto"/>
          <w:szCs w:val="22"/>
          <w:lang w:val="en-US"/>
        </w:rPr>
        <w:t xml:space="preserve">MBS benefits that may be </w:t>
      </w:r>
      <w:r w:rsidR="002C0C71" w:rsidRPr="00417DFC">
        <w:rPr>
          <w:color w:val="auto"/>
          <w:szCs w:val="22"/>
          <w:lang w:val="en-US"/>
        </w:rPr>
        <w:t>pa</w:t>
      </w:r>
      <w:r w:rsidR="00F173F9" w:rsidRPr="00417DFC">
        <w:rPr>
          <w:color w:val="auto"/>
          <w:szCs w:val="22"/>
          <w:lang w:val="en-US"/>
        </w:rPr>
        <w:t xml:space="preserve">yable </w:t>
      </w:r>
      <w:r w:rsidR="002C0C71" w:rsidRPr="00417DFC">
        <w:rPr>
          <w:color w:val="auto"/>
          <w:szCs w:val="22"/>
          <w:lang w:val="en-US"/>
        </w:rPr>
        <w:t xml:space="preserve">for medical services provided to the patient </w:t>
      </w:r>
      <w:r w:rsidR="00D95C6D" w:rsidRPr="00417DFC">
        <w:rPr>
          <w:color w:val="auto"/>
          <w:szCs w:val="22"/>
          <w:lang w:val="en-US"/>
        </w:rPr>
        <w:t>as part of</w:t>
      </w:r>
      <w:r w:rsidR="009D34A0" w:rsidRPr="00417DFC">
        <w:rPr>
          <w:color w:val="auto"/>
          <w:szCs w:val="22"/>
          <w:lang w:val="en-US"/>
        </w:rPr>
        <w:t xml:space="preserve"> their </w:t>
      </w:r>
      <w:r w:rsidR="00D95C6D" w:rsidRPr="00417DFC">
        <w:rPr>
          <w:color w:val="auto"/>
          <w:szCs w:val="22"/>
          <w:lang w:val="en-US"/>
        </w:rPr>
        <w:t>HITH</w:t>
      </w:r>
      <w:r w:rsidR="001402C3" w:rsidRPr="00417DFC">
        <w:rPr>
          <w:color w:val="auto"/>
          <w:szCs w:val="22"/>
          <w:lang w:val="en-US"/>
        </w:rPr>
        <w:t xml:space="preserve"> treatment</w:t>
      </w:r>
      <w:r w:rsidR="00D95C6D" w:rsidRPr="00417DFC">
        <w:rPr>
          <w:color w:val="auto"/>
          <w:szCs w:val="22"/>
          <w:lang w:val="en-US"/>
        </w:rPr>
        <w:t>.</w:t>
      </w:r>
      <w:r w:rsidRPr="00417DFC">
        <w:rPr>
          <w:color w:val="auto"/>
          <w:szCs w:val="22"/>
          <w:lang w:val="en-US"/>
        </w:rPr>
        <w:t xml:space="preserve"> Under this</w:t>
      </w:r>
      <w:r w:rsidR="00ED4F3D" w:rsidRPr="00417DFC">
        <w:rPr>
          <w:color w:val="auto"/>
          <w:szCs w:val="22"/>
          <w:lang w:val="en-US"/>
        </w:rPr>
        <w:t xml:space="preserve"> arrangement</w:t>
      </w:r>
      <w:r w:rsidRPr="00417DFC">
        <w:rPr>
          <w:color w:val="auto"/>
          <w:szCs w:val="22"/>
          <w:lang w:val="en-US"/>
        </w:rPr>
        <w:t>, insurers would be required to pay a daily minimum hospital benefit to private hospitals delivering HITH services, initially limited to a defined tranche of three treatment types (outlined below).</w:t>
      </w:r>
    </w:p>
    <w:p w14:paraId="01E5C680" w14:textId="77777777" w:rsidR="00397858" w:rsidRPr="00AD2981" w:rsidRDefault="00397858" w:rsidP="00473DE9">
      <w:pPr>
        <w:rPr>
          <w:color w:val="FF0000"/>
          <w:szCs w:val="22"/>
          <w:lang w:val="en-US"/>
        </w:rPr>
      </w:pPr>
      <w:r w:rsidRPr="00417DFC">
        <w:rPr>
          <w:color w:val="auto"/>
          <w:szCs w:val="22"/>
          <w:lang w:val="en-US"/>
        </w:rPr>
        <w:t xml:space="preserve">It is proposed that the minimum hospital benefit for HITH be implemented for an initial </w:t>
      </w:r>
      <w:r w:rsidR="008E3B29" w:rsidRPr="00417DFC">
        <w:rPr>
          <w:color w:val="auto"/>
          <w:szCs w:val="22"/>
          <w:lang w:val="en-US"/>
        </w:rPr>
        <w:t>3</w:t>
      </w:r>
      <w:r w:rsidRPr="00417DFC">
        <w:rPr>
          <w:color w:val="auto"/>
          <w:szCs w:val="22"/>
          <w:lang w:val="en-US"/>
        </w:rPr>
        <w:t>-year period</w:t>
      </w:r>
      <w:r w:rsidR="00A52B19">
        <w:rPr>
          <w:color w:val="auto"/>
          <w:szCs w:val="22"/>
          <w:lang w:val="en-US"/>
        </w:rPr>
        <w:t>.</w:t>
      </w:r>
      <w:r w:rsidRPr="00417DFC">
        <w:rPr>
          <w:color w:val="auto"/>
          <w:szCs w:val="22"/>
          <w:lang w:val="en-US"/>
        </w:rPr>
        <w:t xml:space="preserve"> </w:t>
      </w:r>
      <w:r w:rsidR="00A52B19">
        <w:rPr>
          <w:color w:val="auto"/>
          <w:szCs w:val="22"/>
          <w:lang w:val="en-US"/>
        </w:rPr>
        <w:t>A</w:t>
      </w:r>
      <w:r w:rsidRPr="00417DFC">
        <w:rPr>
          <w:color w:val="auto"/>
          <w:szCs w:val="22"/>
          <w:lang w:val="en-US"/>
        </w:rPr>
        <w:t xml:space="preserve"> formal review </w:t>
      </w:r>
      <w:r w:rsidR="00A52B19">
        <w:rPr>
          <w:color w:val="auto"/>
          <w:szCs w:val="22"/>
          <w:lang w:val="en-US"/>
        </w:rPr>
        <w:t xml:space="preserve">would be </w:t>
      </w:r>
      <w:r w:rsidRPr="00417DFC">
        <w:rPr>
          <w:color w:val="auto"/>
          <w:szCs w:val="22"/>
          <w:lang w:val="en-US"/>
        </w:rPr>
        <w:t xml:space="preserve">undertaken after </w:t>
      </w:r>
      <w:r w:rsidR="008E3B29" w:rsidRPr="00417DFC">
        <w:rPr>
          <w:color w:val="auto"/>
          <w:szCs w:val="22"/>
          <w:lang w:val="en-US"/>
        </w:rPr>
        <w:t>2</w:t>
      </w:r>
      <w:r w:rsidR="00BE6874" w:rsidRPr="00417DFC">
        <w:rPr>
          <w:color w:val="auto"/>
          <w:szCs w:val="22"/>
          <w:lang w:val="en-US"/>
        </w:rPr>
        <w:t xml:space="preserve"> years</w:t>
      </w:r>
      <w:r w:rsidRPr="00417DFC">
        <w:rPr>
          <w:color w:val="auto"/>
          <w:szCs w:val="22"/>
          <w:lang w:val="en-US"/>
        </w:rPr>
        <w:t xml:space="preserve"> to assess its effectiveness. </w:t>
      </w:r>
      <w:r w:rsidRPr="00A52B19">
        <w:rPr>
          <w:color w:val="auto"/>
          <w:szCs w:val="22"/>
          <w:lang w:val="en-US"/>
        </w:rPr>
        <w:t>Any decision to extend or modify the arrangements</w:t>
      </w:r>
      <w:r w:rsidR="002B0E3C" w:rsidRPr="00A52B19">
        <w:rPr>
          <w:color w:val="auto"/>
          <w:szCs w:val="22"/>
          <w:lang w:val="en-US"/>
        </w:rPr>
        <w:t xml:space="preserve"> (</w:t>
      </w:r>
      <w:r w:rsidRPr="00A52B19">
        <w:rPr>
          <w:color w:val="auto"/>
          <w:szCs w:val="22"/>
          <w:lang w:val="en-US"/>
        </w:rPr>
        <w:t>including consideration of additional treatment service tranches</w:t>
      </w:r>
      <w:r w:rsidR="002B0E3C" w:rsidRPr="00A52B19">
        <w:rPr>
          <w:color w:val="auto"/>
          <w:szCs w:val="22"/>
          <w:lang w:val="en-US"/>
        </w:rPr>
        <w:t xml:space="preserve">) </w:t>
      </w:r>
      <w:r w:rsidRPr="00A52B19">
        <w:rPr>
          <w:color w:val="auto"/>
          <w:szCs w:val="22"/>
          <w:lang w:val="en-US"/>
        </w:rPr>
        <w:t xml:space="preserve">would be informed by the outcomes of this review and subject to </w:t>
      </w:r>
      <w:r w:rsidR="00FA617A" w:rsidRPr="00A52B19">
        <w:rPr>
          <w:color w:val="auto"/>
          <w:szCs w:val="22"/>
          <w:lang w:val="en-US"/>
        </w:rPr>
        <w:t>the G</w:t>
      </w:r>
      <w:r w:rsidRPr="00A52B19">
        <w:rPr>
          <w:color w:val="auto"/>
          <w:szCs w:val="22"/>
          <w:lang w:val="en-US"/>
        </w:rPr>
        <w:t>overnment</w:t>
      </w:r>
      <w:r w:rsidR="00FA617A" w:rsidRPr="00A52B19">
        <w:rPr>
          <w:color w:val="auto"/>
          <w:szCs w:val="22"/>
          <w:lang w:val="en-US"/>
        </w:rPr>
        <w:t>’s</w:t>
      </w:r>
      <w:r w:rsidRPr="00A52B19">
        <w:rPr>
          <w:color w:val="auto"/>
          <w:szCs w:val="22"/>
          <w:lang w:val="en-US"/>
        </w:rPr>
        <w:t xml:space="preserve"> consideration.</w:t>
      </w:r>
    </w:p>
    <w:p w14:paraId="66FCD704" w14:textId="6FEB3E9B" w:rsidR="00F15BA5" w:rsidRDefault="00F15BA5" w:rsidP="00473DE9">
      <w:pPr>
        <w:rPr>
          <w:szCs w:val="22"/>
        </w:rPr>
      </w:pPr>
      <w:r w:rsidRPr="00A52B19">
        <w:rPr>
          <w:color w:val="auto"/>
          <w:szCs w:val="22"/>
          <w:lang w:val="en-US"/>
        </w:rPr>
        <w:t>Under the proposal, </w:t>
      </w:r>
      <w:r w:rsidR="00831AAD">
        <w:rPr>
          <w:color w:val="auto"/>
          <w:szCs w:val="22"/>
          <w:lang w:val="en-US"/>
        </w:rPr>
        <w:t xml:space="preserve">the department anticipates </w:t>
      </w:r>
      <w:r w:rsidRPr="00A52B19">
        <w:rPr>
          <w:color w:val="auto"/>
          <w:szCs w:val="22"/>
          <w:lang w:val="en-US"/>
        </w:rPr>
        <w:t>that private hospital providers would have increased certainty of funding to invest in increasing their HITH service offerings</w:t>
      </w:r>
      <w:r w:rsidR="00A52B19" w:rsidRPr="00A52B19">
        <w:rPr>
          <w:color w:val="auto"/>
          <w:szCs w:val="22"/>
          <w:lang w:val="en-US"/>
        </w:rPr>
        <w:t xml:space="preserve">, improving </w:t>
      </w:r>
      <w:r w:rsidRPr="00A52B19">
        <w:rPr>
          <w:color w:val="auto"/>
          <w:szCs w:val="22"/>
          <w:lang w:val="en-US"/>
        </w:rPr>
        <w:t xml:space="preserve">patient access to HITH treatment services. In the medium term, expansion of HITH across the private health sector may lead to private hospitals and insurers increasing their contracting for these services, reducing reliance on the minimum benefit. Contracting </w:t>
      </w:r>
      <w:r w:rsidRPr="00F17C5D">
        <w:rPr>
          <w:szCs w:val="22"/>
          <w:lang w:val="en-US"/>
        </w:rPr>
        <w:t>would allow providers and insurers to establish arrangements around such factors as patient eligibility and service standards.</w:t>
      </w:r>
      <w:r w:rsidRPr="00F17C5D">
        <w:rPr>
          <w:szCs w:val="22"/>
        </w:rPr>
        <w:t> </w:t>
      </w:r>
    </w:p>
    <w:p w14:paraId="0CD1AF57" w14:textId="77777777" w:rsidR="00F15BA5" w:rsidRPr="00F17C5D" w:rsidRDefault="00524A89" w:rsidP="00473DE9">
      <w:pPr>
        <w:rPr>
          <w:szCs w:val="22"/>
        </w:rPr>
      </w:pPr>
      <w:r>
        <w:rPr>
          <w:szCs w:val="22"/>
          <w:lang w:val="en-US"/>
        </w:rPr>
        <w:t>T</w:t>
      </w:r>
      <w:r w:rsidR="00F15BA5">
        <w:rPr>
          <w:szCs w:val="22"/>
          <w:lang w:val="en-US"/>
        </w:rPr>
        <w:t xml:space="preserve">he intended definition </w:t>
      </w:r>
      <w:r w:rsidR="00F15BA5" w:rsidDel="00407F71">
        <w:rPr>
          <w:szCs w:val="22"/>
          <w:lang w:val="en-US"/>
        </w:rPr>
        <w:t xml:space="preserve">of a </w:t>
      </w:r>
      <w:r w:rsidR="00F15BA5" w:rsidRPr="00F17C5D">
        <w:rPr>
          <w:szCs w:val="22"/>
          <w:lang w:val="en-US"/>
        </w:rPr>
        <w:t xml:space="preserve">HITH service </w:t>
      </w:r>
      <w:r w:rsidR="00F15BA5">
        <w:rPr>
          <w:szCs w:val="22"/>
          <w:lang w:val="en-US"/>
        </w:rPr>
        <w:t xml:space="preserve">would align with the </w:t>
      </w:r>
      <w:r w:rsidR="00F15BA5" w:rsidRPr="0070449A">
        <w:rPr>
          <w:szCs w:val="22"/>
          <w:lang w:val="en-US"/>
        </w:rPr>
        <w:t>Australian Institute of Health and Welfare’s Metadata Online Registry</w:t>
      </w:r>
      <w:r w:rsidR="00F15BA5">
        <w:rPr>
          <w:szCs w:val="22"/>
          <w:lang w:val="en-US"/>
        </w:rPr>
        <w:t xml:space="preserve"> definition</w:t>
      </w:r>
      <w:r w:rsidR="00F15BA5" w:rsidRPr="00F17C5D">
        <w:rPr>
          <w:szCs w:val="22"/>
          <w:lang w:val="en-US"/>
        </w:rPr>
        <w:t>:</w:t>
      </w:r>
      <w:r w:rsidR="00F15BA5" w:rsidRPr="00F17C5D">
        <w:rPr>
          <w:szCs w:val="22"/>
        </w:rPr>
        <w:t> </w:t>
      </w:r>
    </w:p>
    <w:p w14:paraId="634062E3" w14:textId="77777777" w:rsidR="00F15BA5" w:rsidRPr="00F17C5D" w:rsidRDefault="00722287" w:rsidP="00473DE9">
      <w:pPr>
        <w:ind w:left="720"/>
        <w:rPr>
          <w:szCs w:val="22"/>
        </w:rPr>
      </w:pPr>
      <w:r>
        <w:rPr>
          <w:i/>
          <w:iCs/>
          <w:szCs w:val="22"/>
          <w:lang w:val="en-US"/>
        </w:rPr>
        <w:t>‘</w:t>
      </w:r>
      <w:r w:rsidR="00F15BA5" w:rsidRPr="00FC44FC">
        <w:rPr>
          <w:i/>
          <w:iCs/>
          <w:szCs w:val="22"/>
          <w:lang w:val="en-US"/>
        </w:rPr>
        <w:t>Provision of care to hospital admitted patients in their place of residence as a substitute for hospital accommodation. Place of residence may be permanent or temporary</w:t>
      </w:r>
      <w:r w:rsidR="00CE5AF2">
        <w:rPr>
          <w:i/>
          <w:iCs/>
          <w:szCs w:val="22"/>
          <w:lang w:val="en-US"/>
        </w:rPr>
        <w:t>.</w:t>
      </w:r>
      <w:r>
        <w:rPr>
          <w:i/>
          <w:iCs/>
          <w:szCs w:val="22"/>
          <w:lang w:val="en-US"/>
        </w:rPr>
        <w:t>’</w:t>
      </w:r>
      <w:r w:rsidR="00A13C4E">
        <w:rPr>
          <w:rStyle w:val="EndnoteReference"/>
          <w:i/>
          <w:iCs/>
          <w:szCs w:val="22"/>
          <w:lang w:val="en-US"/>
        </w:rPr>
        <w:endnoteReference w:id="5"/>
      </w:r>
      <w:r w:rsidR="00F15BA5" w:rsidRPr="00F17C5D">
        <w:rPr>
          <w:szCs w:val="22"/>
        </w:rPr>
        <w:t> </w:t>
      </w:r>
    </w:p>
    <w:p w14:paraId="381E86D7" w14:textId="77777777" w:rsidR="00F15BA5" w:rsidRPr="00FB30E9" w:rsidRDefault="00F15BA5" w:rsidP="00651D4E">
      <w:pPr>
        <w:pStyle w:val="Heading3"/>
        <w:numPr>
          <w:ilvl w:val="2"/>
          <w:numId w:val="14"/>
        </w:numPr>
        <w:spacing w:before="240" w:after="120"/>
        <w:rPr>
          <w:b w:val="0"/>
          <w:bCs w:val="0"/>
          <w:i/>
          <w:iCs/>
          <w:sz w:val="28"/>
          <w:szCs w:val="28"/>
        </w:rPr>
      </w:pPr>
      <w:bookmarkStart w:id="48" w:name="_Proposed_initial_tranche"/>
      <w:bookmarkStart w:id="49" w:name="_Toc233805035"/>
      <w:bookmarkEnd w:id="48"/>
      <w:r w:rsidRPr="3D1C1472">
        <w:rPr>
          <w:b w:val="0"/>
          <w:bCs w:val="0"/>
          <w:i/>
          <w:iCs/>
          <w:sz w:val="28"/>
          <w:szCs w:val="28"/>
        </w:rPr>
        <w:lastRenderedPageBreak/>
        <w:t>Proposed initial tranche of HITH treatment services for introduction</w:t>
      </w:r>
      <w:bookmarkEnd w:id="49"/>
      <w:r w:rsidRPr="3D1C1472">
        <w:rPr>
          <w:b w:val="0"/>
          <w:bCs w:val="0"/>
          <w:i/>
          <w:iCs/>
          <w:sz w:val="28"/>
          <w:szCs w:val="28"/>
        </w:rPr>
        <w:t>  </w:t>
      </w:r>
    </w:p>
    <w:p w14:paraId="0627C0EC" w14:textId="77777777" w:rsidR="00F15BA5" w:rsidRPr="00AD2981" w:rsidRDefault="00A52B19" w:rsidP="00473DE9">
      <w:pPr>
        <w:rPr>
          <w:color w:val="FF0000"/>
          <w:szCs w:val="22"/>
        </w:rPr>
      </w:pPr>
      <w:r>
        <w:rPr>
          <w:color w:val="auto"/>
          <w:szCs w:val="22"/>
          <w:lang w:val="en-US"/>
        </w:rPr>
        <w:t>Previous e</w:t>
      </w:r>
      <w:r w:rsidR="00F15BA5" w:rsidRPr="00A52B19">
        <w:rPr>
          <w:color w:val="auto"/>
          <w:szCs w:val="22"/>
          <w:lang w:val="en-US"/>
        </w:rPr>
        <w:t>ngagement with stakeholders</w:t>
      </w:r>
      <w:r w:rsidR="00F15BA5" w:rsidRPr="00AD2981">
        <w:rPr>
          <w:color w:val="FF0000"/>
          <w:szCs w:val="22"/>
          <w:lang w:val="en-US"/>
        </w:rPr>
        <w:t xml:space="preserve"> </w:t>
      </w:r>
      <w:r w:rsidR="00F15BA5" w:rsidRPr="00A52B19">
        <w:rPr>
          <w:color w:val="auto"/>
          <w:szCs w:val="22"/>
          <w:lang w:val="en-US"/>
        </w:rPr>
        <w:t xml:space="preserve">has identified an initial tranche of 3 treatment services </w:t>
      </w:r>
      <w:r w:rsidR="00BC38DA" w:rsidRPr="00A52B19">
        <w:rPr>
          <w:color w:val="auto"/>
          <w:szCs w:val="22"/>
          <w:lang w:val="en-US"/>
        </w:rPr>
        <w:t>as</w:t>
      </w:r>
      <w:r w:rsidR="00F15BA5" w:rsidRPr="00A52B19" w:rsidDel="0067171C">
        <w:rPr>
          <w:color w:val="auto"/>
          <w:szCs w:val="22"/>
          <w:lang w:val="en-US"/>
        </w:rPr>
        <w:t xml:space="preserve"> </w:t>
      </w:r>
      <w:r w:rsidR="00F15BA5" w:rsidRPr="00A52B19">
        <w:rPr>
          <w:color w:val="auto"/>
          <w:szCs w:val="22"/>
          <w:lang w:val="en-US"/>
        </w:rPr>
        <w:t>suitable to attract a minimum hospital benefit for HITH:</w:t>
      </w:r>
      <w:r w:rsidR="00F15BA5" w:rsidRPr="00A52B19">
        <w:rPr>
          <w:color w:val="auto"/>
          <w:szCs w:val="22"/>
        </w:rPr>
        <w:t> </w:t>
      </w:r>
    </w:p>
    <w:p w14:paraId="3E20D6E8" w14:textId="77777777" w:rsidR="00F15BA5" w:rsidRPr="00F17C5D" w:rsidRDefault="00F15BA5" w:rsidP="009257CE">
      <w:pPr>
        <w:numPr>
          <w:ilvl w:val="0"/>
          <w:numId w:val="25"/>
        </w:numPr>
        <w:spacing w:line="259" w:lineRule="auto"/>
        <w:ind w:left="714" w:hanging="357"/>
        <w:rPr>
          <w:szCs w:val="22"/>
        </w:rPr>
      </w:pPr>
      <w:r w:rsidRPr="00F17C5D">
        <w:rPr>
          <w:szCs w:val="22"/>
          <w:lang w:val="en-US"/>
        </w:rPr>
        <w:t>intravenous (IV) infusions</w:t>
      </w:r>
      <w:r w:rsidRPr="00F17C5D">
        <w:rPr>
          <w:szCs w:val="22"/>
        </w:rPr>
        <w:t> </w:t>
      </w:r>
    </w:p>
    <w:p w14:paraId="0CE14C77" w14:textId="77777777" w:rsidR="00F15BA5" w:rsidRPr="00F17C5D" w:rsidRDefault="00F15BA5" w:rsidP="009257CE">
      <w:pPr>
        <w:numPr>
          <w:ilvl w:val="0"/>
          <w:numId w:val="26"/>
        </w:numPr>
        <w:spacing w:line="259" w:lineRule="auto"/>
        <w:ind w:left="714" w:hanging="357"/>
        <w:rPr>
          <w:szCs w:val="22"/>
        </w:rPr>
      </w:pPr>
      <w:r>
        <w:rPr>
          <w:szCs w:val="22"/>
          <w:lang w:val="en-US"/>
        </w:rPr>
        <w:t xml:space="preserve">complex </w:t>
      </w:r>
      <w:r w:rsidRPr="00F17C5D">
        <w:rPr>
          <w:szCs w:val="22"/>
          <w:lang w:val="en-US"/>
        </w:rPr>
        <w:t>wound care, and </w:t>
      </w:r>
      <w:r w:rsidRPr="00F17C5D">
        <w:rPr>
          <w:szCs w:val="22"/>
        </w:rPr>
        <w:t> </w:t>
      </w:r>
    </w:p>
    <w:p w14:paraId="3A3F1DF7" w14:textId="77777777" w:rsidR="00F15BA5" w:rsidRPr="00F17C5D" w:rsidRDefault="00F15BA5" w:rsidP="009257CE">
      <w:pPr>
        <w:numPr>
          <w:ilvl w:val="0"/>
          <w:numId w:val="27"/>
        </w:numPr>
        <w:spacing w:line="259" w:lineRule="auto"/>
        <w:ind w:left="714" w:hanging="357"/>
        <w:rPr>
          <w:szCs w:val="22"/>
        </w:rPr>
      </w:pPr>
      <w:r w:rsidRPr="00F17C5D">
        <w:rPr>
          <w:szCs w:val="22"/>
          <w:lang w:val="en-US"/>
        </w:rPr>
        <w:t>palliative care. </w:t>
      </w:r>
      <w:r w:rsidRPr="00F17C5D">
        <w:rPr>
          <w:szCs w:val="22"/>
        </w:rPr>
        <w:t> </w:t>
      </w:r>
    </w:p>
    <w:p w14:paraId="226D5111" w14:textId="77777777" w:rsidR="00F15BA5" w:rsidRPr="00FB30E9" w:rsidRDefault="00F15BA5" w:rsidP="008926E0">
      <w:pPr>
        <w:pStyle w:val="Body"/>
        <w:spacing w:before="240" w:after="120"/>
        <w:rPr>
          <w:rFonts w:cs="Arial"/>
          <w:b/>
          <w:bCs/>
          <w:color w:val="358189"/>
          <w:highlight w:val="yellow"/>
          <w:u w:val="single"/>
        </w:rPr>
      </w:pPr>
      <w:r w:rsidRPr="050EF472">
        <w:rPr>
          <w:rFonts w:cs="Arial"/>
          <w:b/>
          <w:bCs/>
          <w:color w:val="358189" w:themeColor="accent2"/>
          <w:u w:val="single"/>
        </w:rPr>
        <w:t>Application of the minimum hospital benefit for HITH</w:t>
      </w:r>
    </w:p>
    <w:p w14:paraId="56CBC5D4" w14:textId="77777777" w:rsidR="00F15BA5" w:rsidRPr="00F17C5D" w:rsidRDefault="00F15BA5" w:rsidP="050EF472">
      <w:pPr>
        <w:rPr>
          <w:highlight w:val="yellow"/>
        </w:rPr>
      </w:pPr>
      <w:r w:rsidRPr="050EF472">
        <w:rPr>
          <w:lang w:val="en-US"/>
        </w:rPr>
        <w:t>The minimum hospital benefit for HITH would apply where: </w:t>
      </w:r>
      <w:r>
        <w:t> </w:t>
      </w:r>
    </w:p>
    <w:p w14:paraId="627128E2" w14:textId="77777777" w:rsidR="00015125" w:rsidRPr="00773209" w:rsidRDefault="00D9651A" w:rsidP="009257CE">
      <w:pPr>
        <w:numPr>
          <w:ilvl w:val="0"/>
          <w:numId w:val="28"/>
        </w:numPr>
        <w:spacing w:line="259" w:lineRule="auto"/>
        <w:rPr>
          <w:color w:val="auto"/>
          <w:lang w:val="en-US"/>
        </w:rPr>
      </w:pPr>
      <w:r w:rsidRPr="00773209">
        <w:rPr>
          <w:color w:val="auto"/>
          <w:lang w:val="en-US"/>
        </w:rPr>
        <w:t>t</w:t>
      </w:r>
      <w:r w:rsidR="00F15BA5" w:rsidRPr="00773209">
        <w:rPr>
          <w:color w:val="auto"/>
          <w:lang w:val="en-US"/>
        </w:rPr>
        <w:t xml:space="preserve">he patient is a privately insured </w:t>
      </w:r>
      <w:r w:rsidR="00773209" w:rsidRPr="00773209">
        <w:rPr>
          <w:color w:val="auto"/>
          <w:lang w:val="en-US"/>
        </w:rPr>
        <w:t xml:space="preserve">(with the appropriate level of cover) </w:t>
      </w:r>
      <w:r w:rsidR="00F15BA5" w:rsidRPr="00773209">
        <w:rPr>
          <w:color w:val="auto"/>
          <w:lang w:val="en-US"/>
        </w:rPr>
        <w:t>receiving HITH treatment services</w:t>
      </w:r>
      <w:r w:rsidR="00F15BA5" w:rsidRPr="00773209">
        <w:rPr>
          <w:color w:val="auto"/>
        </w:rPr>
        <w:t xml:space="preserve"> </w:t>
      </w:r>
      <w:r w:rsidR="00F15BA5" w:rsidRPr="00773209">
        <w:rPr>
          <w:color w:val="auto"/>
          <w:lang w:val="en-US"/>
        </w:rPr>
        <w:t>of IV infusions; and/or complex wound care; and/or palliative care</w:t>
      </w:r>
      <w:r w:rsidR="00015125" w:rsidRPr="00773209">
        <w:rPr>
          <w:color w:val="auto"/>
          <w:lang w:val="en-US"/>
        </w:rPr>
        <w:t xml:space="preserve"> </w:t>
      </w:r>
    </w:p>
    <w:p w14:paraId="2A3A6242" w14:textId="2ECDC682" w:rsidR="00015125" w:rsidRPr="00773209" w:rsidRDefault="00015125" w:rsidP="009257CE">
      <w:pPr>
        <w:numPr>
          <w:ilvl w:val="0"/>
          <w:numId w:val="28"/>
        </w:numPr>
        <w:spacing w:line="259" w:lineRule="auto"/>
        <w:rPr>
          <w:color w:val="auto"/>
          <w:lang w:val="en-US"/>
        </w:rPr>
      </w:pPr>
      <w:r w:rsidRPr="00773209">
        <w:rPr>
          <w:color w:val="auto"/>
          <w:lang w:val="en-US"/>
        </w:rPr>
        <w:t>the HITH treatment service is</w:t>
      </w:r>
      <w:r w:rsidR="00F15BA5" w:rsidRPr="00773209">
        <w:rPr>
          <w:color w:val="auto"/>
          <w:lang w:val="en-US"/>
        </w:rPr>
        <w:t xml:space="preserve"> provided by, or </w:t>
      </w:r>
      <w:r w:rsidR="00BB227B" w:rsidRPr="00773209">
        <w:rPr>
          <w:color w:val="auto"/>
          <w:lang w:val="en-US"/>
        </w:rPr>
        <w:t>arranged with the direct involvement</w:t>
      </w:r>
      <w:r w:rsidR="00F15BA5" w:rsidRPr="00773209">
        <w:rPr>
          <w:color w:val="auto"/>
          <w:lang w:val="en-US"/>
        </w:rPr>
        <w:t xml:space="preserve"> of the private hospital</w:t>
      </w:r>
    </w:p>
    <w:p w14:paraId="1CD856FE" w14:textId="77777777" w:rsidR="00F15BA5" w:rsidRPr="00773209" w:rsidRDefault="00D9651A" w:rsidP="009257CE">
      <w:pPr>
        <w:numPr>
          <w:ilvl w:val="0"/>
          <w:numId w:val="28"/>
        </w:numPr>
        <w:spacing w:line="259" w:lineRule="auto"/>
        <w:rPr>
          <w:color w:val="auto"/>
          <w:lang w:val="en-US"/>
        </w:rPr>
      </w:pPr>
      <w:r w:rsidRPr="00773209">
        <w:rPr>
          <w:color w:val="auto"/>
          <w:lang w:val="en-US"/>
        </w:rPr>
        <w:t>t</w:t>
      </w:r>
      <w:r w:rsidR="00F15BA5" w:rsidRPr="00773209">
        <w:rPr>
          <w:color w:val="auto"/>
          <w:lang w:val="en-US"/>
        </w:rPr>
        <w:t>he private hospital</w:t>
      </w:r>
      <w:r w:rsidR="00FC4F9B" w:rsidRPr="00773209">
        <w:rPr>
          <w:color w:val="auto"/>
          <w:lang w:val="en-US"/>
        </w:rPr>
        <w:t>,</w:t>
      </w:r>
      <w:r w:rsidR="00F15BA5" w:rsidRPr="00773209">
        <w:rPr>
          <w:color w:val="auto"/>
          <w:lang w:val="en-US"/>
        </w:rPr>
        <w:t xml:space="preserve"> providing or arranging the HITH service</w:t>
      </w:r>
      <w:r w:rsidR="00FC4F9B" w:rsidRPr="00773209">
        <w:rPr>
          <w:color w:val="auto"/>
          <w:lang w:val="en-US"/>
        </w:rPr>
        <w:t>,</w:t>
      </w:r>
      <w:r w:rsidR="00F15BA5" w:rsidRPr="00773209">
        <w:rPr>
          <w:color w:val="auto"/>
          <w:lang w:val="en-US"/>
        </w:rPr>
        <w:t xml:space="preserve"> has been declared by the Minister to be a private hospital</w:t>
      </w:r>
      <w:r w:rsidR="00F15BA5" w:rsidRPr="00773209">
        <w:rPr>
          <w:color w:val="auto"/>
        </w:rPr>
        <w:t xml:space="preserve"> </w:t>
      </w:r>
      <w:r w:rsidR="00F15BA5" w:rsidRPr="00773209">
        <w:rPr>
          <w:color w:val="auto"/>
          <w:lang w:val="en-US"/>
        </w:rPr>
        <w:t>under section 121</w:t>
      </w:r>
      <w:r w:rsidR="00A36C34" w:rsidRPr="00773209">
        <w:rPr>
          <w:color w:val="auto"/>
          <w:lang w:val="en-US"/>
        </w:rPr>
        <w:t>-</w:t>
      </w:r>
      <w:r w:rsidR="00F15BA5" w:rsidRPr="00773209">
        <w:rPr>
          <w:color w:val="auto"/>
          <w:lang w:val="en-US"/>
        </w:rPr>
        <w:t xml:space="preserve">5(6) of </w:t>
      </w:r>
      <w:r w:rsidRPr="00773209">
        <w:rPr>
          <w:color w:val="auto"/>
          <w:lang w:val="en-US"/>
        </w:rPr>
        <w:t>the PHI Act</w:t>
      </w:r>
    </w:p>
    <w:p w14:paraId="328E2005" w14:textId="77777777" w:rsidR="00F15BA5" w:rsidRPr="00773209" w:rsidRDefault="00D9651A" w:rsidP="009257CE">
      <w:pPr>
        <w:numPr>
          <w:ilvl w:val="0"/>
          <w:numId w:val="29"/>
        </w:numPr>
        <w:spacing w:line="259" w:lineRule="auto"/>
        <w:rPr>
          <w:color w:val="auto"/>
        </w:rPr>
      </w:pPr>
      <w:r w:rsidRPr="00773209">
        <w:rPr>
          <w:color w:val="auto"/>
        </w:rPr>
        <w:t>a</w:t>
      </w:r>
      <w:r w:rsidR="00F15BA5" w:rsidRPr="00773209">
        <w:rPr>
          <w:color w:val="auto"/>
        </w:rPr>
        <w:t>n admitted patient’s movements between a physical hospital and their place of residence may not be linear.</w:t>
      </w:r>
      <w:r w:rsidRPr="00773209">
        <w:rPr>
          <w:color w:val="auto"/>
        </w:rPr>
        <w:t xml:space="preserve"> Admitted</w:t>
      </w:r>
      <w:r w:rsidR="00F15BA5" w:rsidRPr="00773209">
        <w:rPr>
          <w:color w:val="auto"/>
          <w:lang w:val="en-US"/>
        </w:rPr>
        <w:t xml:space="preserve"> patients may receive the HITH treatment services at the beginning, middle or end of their episode of treatment</w:t>
      </w:r>
      <w:r w:rsidRPr="00773209">
        <w:rPr>
          <w:color w:val="auto"/>
        </w:rPr>
        <w:t>, and</w:t>
      </w:r>
    </w:p>
    <w:p w14:paraId="116F402D" w14:textId="77777777" w:rsidR="00F15BA5" w:rsidRPr="00773209" w:rsidRDefault="00D9651A" w:rsidP="009257CE">
      <w:pPr>
        <w:numPr>
          <w:ilvl w:val="0"/>
          <w:numId w:val="30"/>
        </w:numPr>
        <w:spacing w:line="259" w:lineRule="auto"/>
        <w:ind w:left="714" w:hanging="357"/>
        <w:rPr>
          <w:color w:val="auto"/>
          <w:lang w:val="en-US"/>
        </w:rPr>
      </w:pPr>
      <w:r w:rsidRPr="00773209">
        <w:rPr>
          <w:color w:val="auto"/>
          <w:lang w:val="en-US"/>
        </w:rPr>
        <w:t>i</w:t>
      </w:r>
      <w:r w:rsidR="00F15BA5" w:rsidRPr="00773209">
        <w:rPr>
          <w:color w:val="auto"/>
          <w:lang w:val="en-US"/>
        </w:rPr>
        <w:t>f a patient receives more than one of the specified HITH treatment services at any time, the minimum hospital benefit will only be paid once per day (i.e. multiple minimum benefits for the same day(s) of HITH treatment will not be payable).</w:t>
      </w:r>
    </w:p>
    <w:p w14:paraId="73FDC873" w14:textId="77777777" w:rsidR="00F15BA5" w:rsidRPr="00FB30E9" w:rsidRDefault="00F15BA5" w:rsidP="008926E0">
      <w:pPr>
        <w:pStyle w:val="Body"/>
        <w:spacing w:before="240" w:after="120"/>
        <w:rPr>
          <w:rFonts w:cs="Arial"/>
          <w:b/>
          <w:bCs/>
          <w:color w:val="358189"/>
          <w:szCs w:val="22"/>
          <w:u w:val="single"/>
        </w:rPr>
      </w:pPr>
      <w:r w:rsidRPr="00FB30E9">
        <w:rPr>
          <w:rFonts w:cs="Arial"/>
          <w:b/>
          <w:bCs/>
          <w:color w:val="358189"/>
          <w:szCs w:val="22"/>
          <w:u w:val="single"/>
        </w:rPr>
        <w:t>Exclusions – where the minimum hospital benefit for HITH would not apply</w:t>
      </w:r>
    </w:p>
    <w:p w14:paraId="69FFD644" w14:textId="77777777" w:rsidR="00F15BA5" w:rsidRPr="00773209" w:rsidRDefault="00F15BA5" w:rsidP="00473DE9">
      <w:pPr>
        <w:rPr>
          <w:color w:val="auto"/>
          <w:szCs w:val="22"/>
          <w:lang w:val="en-US"/>
        </w:rPr>
      </w:pPr>
      <w:r w:rsidRPr="00773209">
        <w:rPr>
          <w:color w:val="auto"/>
          <w:szCs w:val="22"/>
          <w:lang w:val="en-US"/>
        </w:rPr>
        <w:t xml:space="preserve">The minimum benefit for HITH would </w:t>
      </w:r>
      <w:r w:rsidRPr="00773209">
        <w:rPr>
          <w:color w:val="auto"/>
          <w:szCs w:val="22"/>
        </w:rPr>
        <w:t xml:space="preserve">not apply where HITH services other than those specified in this proposal are delivered </w:t>
      </w:r>
      <w:r w:rsidRPr="00773209">
        <w:rPr>
          <w:color w:val="auto"/>
          <w:szCs w:val="22"/>
          <w:lang w:val="en-US"/>
        </w:rPr>
        <w:t>at person's place of residence (or other non-hospital treatment location).</w:t>
      </w:r>
    </w:p>
    <w:p w14:paraId="16CBDD86" w14:textId="77777777" w:rsidR="00F15BA5" w:rsidRPr="00773209" w:rsidRDefault="00F15BA5" w:rsidP="00473DE9">
      <w:pPr>
        <w:rPr>
          <w:color w:val="auto"/>
          <w:szCs w:val="22"/>
          <w:lang w:val="en-US"/>
        </w:rPr>
      </w:pPr>
      <w:r w:rsidRPr="00773209">
        <w:rPr>
          <w:color w:val="auto"/>
          <w:szCs w:val="22"/>
          <w:lang w:val="en-US"/>
        </w:rPr>
        <w:t xml:space="preserve">Where a private hospital and insurer have </w:t>
      </w:r>
      <w:r w:rsidRPr="00773209">
        <w:rPr>
          <w:color w:val="auto"/>
          <w:szCs w:val="22"/>
        </w:rPr>
        <w:t>established contractual arrangements for the provision of HITH treatment services incorporating</w:t>
      </w:r>
      <w:r w:rsidR="00773209" w:rsidRPr="00773209">
        <w:rPr>
          <w:color w:val="auto"/>
          <w:szCs w:val="22"/>
        </w:rPr>
        <w:t xml:space="preserve"> any of</w:t>
      </w:r>
      <w:r w:rsidRPr="00773209">
        <w:rPr>
          <w:color w:val="auto"/>
          <w:szCs w:val="22"/>
        </w:rPr>
        <w:t xml:space="preserve"> </w:t>
      </w:r>
      <w:r w:rsidR="00773209" w:rsidRPr="00773209">
        <w:rPr>
          <w:color w:val="auto"/>
          <w:szCs w:val="22"/>
        </w:rPr>
        <w:t>the 3 services</w:t>
      </w:r>
      <w:r w:rsidRPr="00773209">
        <w:rPr>
          <w:color w:val="auto"/>
          <w:szCs w:val="22"/>
          <w:lang w:val="en-US"/>
        </w:rPr>
        <w:t>, insurer payments would be made in accordance with the relevant negotiated agreement</w:t>
      </w:r>
      <w:r w:rsidR="00773209" w:rsidRPr="00773209">
        <w:rPr>
          <w:color w:val="auto"/>
          <w:szCs w:val="22"/>
          <w:lang w:val="en-US"/>
        </w:rPr>
        <w:t>. A minimum hospital benefit for HITH would not apply.</w:t>
      </w:r>
    </w:p>
    <w:p w14:paraId="25FE29F5" w14:textId="77777777" w:rsidR="00F15BA5" w:rsidRDefault="00F15BA5" w:rsidP="00473DE9">
      <w:pPr>
        <w:rPr>
          <w:szCs w:val="22"/>
          <w:lang w:val="en-US"/>
        </w:rPr>
      </w:pPr>
      <w:r w:rsidRPr="00B6684A">
        <w:rPr>
          <w:szCs w:val="22"/>
          <w:lang w:val="en-US"/>
        </w:rPr>
        <w:t xml:space="preserve">A provider that is not a declared private hospital would not be eligible to receive </w:t>
      </w:r>
      <w:r>
        <w:rPr>
          <w:szCs w:val="22"/>
          <w:lang w:val="en-US"/>
        </w:rPr>
        <w:t>the</w:t>
      </w:r>
      <w:r w:rsidRPr="00B6684A">
        <w:rPr>
          <w:szCs w:val="22"/>
          <w:lang w:val="en-US"/>
        </w:rPr>
        <w:t xml:space="preserve"> minimum hospital benefit for HITH. Private hospitals would not be precluded from sub-contracting HITH services delivered on behalf of the hospital by another organisation. However, the declared </w:t>
      </w:r>
      <w:r>
        <w:rPr>
          <w:szCs w:val="22"/>
          <w:lang w:val="en-US"/>
        </w:rPr>
        <w:t xml:space="preserve">private </w:t>
      </w:r>
      <w:r w:rsidRPr="00B6684A">
        <w:rPr>
          <w:szCs w:val="22"/>
          <w:lang w:val="en-US"/>
        </w:rPr>
        <w:t>hospital would need to remain responsible for ensuring all relevant requirements associated with its declaration are met, including accreditation standards.</w:t>
      </w:r>
    </w:p>
    <w:p w14:paraId="229C7266" w14:textId="234261DB" w:rsidR="00F15BA5" w:rsidRDefault="00773209" w:rsidP="00473DE9">
      <w:pPr>
        <w:rPr>
          <w:szCs w:val="22"/>
          <w:lang w:val="en-US"/>
        </w:rPr>
      </w:pPr>
      <w:r w:rsidRPr="00773209">
        <w:rPr>
          <w:color w:val="auto"/>
          <w:szCs w:val="22"/>
          <w:lang w:val="en-US"/>
        </w:rPr>
        <w:t xml:space="preserve">The </w:t>
      </w:r>
      <w:r w:rsidR="00F15BA5" w:rsidRPr="00773209">
        <w:rPr>
          <w:color w:val="auto"/>
          <w:szCs w:val="22"/>
          <w:lang w:val="en-US"/>
        </w:rPr>
        <w:t xml:space="preserve">minimum hospital benefit for HITH treatment services is not intended to apply to privately insured patients treated by a public hospital (i.e. </w:t>
      </w:r>
      <w:r w:rsidR="00F15BA5" w:rsidRPr="00F940A9">
        <w:rPr>
          <w:szCs w:val="22"/>
          <w:lang w:val="en-US"/>
        </w:rPr>
        <w:t>services provided by a state/territory Local Hospital Network).</w:t>
      </w:r>
    </w:p>
    <w:p w14:paraId="66DD7716" w14:textId="77777777" w:rsidR="00F15BA5" w:rsidRPr="00A9387A" w:rsidRDefault="00F15BA5" w:rsidP="050EF472">
      <w:pPr>
        <w:rPr>
          <w:lang w:val="en-US"/>
        </w:rPr>
      </w:pPr>
      <w:r w:rsidRPr="00A9387A">
        <w:rPr>
          <w:lang w:val="en-US"/>
        </w:rPr>
        <w:t>The minimum hospital benefit for HITH would not apply to hospital-substitute treatment</w:t>
      </w:r>
      <w:r w:rsidR="00DA6BCD" w:rsidRPr="00A9387A">
        <w:rPr>
          <w:lang w:val="en-US"/>
        </w:rPr>
        <w:t xml:space="preserve">, which the </w:t>
      </w:r>
      <w:r w:rsidR="00FC0C62" w:rsidRPr="00A9387A">
        <w:rPr>
          <w:lang w:val="en-US"/>
        </w:rPr>
        <w:t>PHI</w:t>
      </w:r>
      <w:r w:rsidRPr="00A9387A">
        <w:rPr>
          <w:lang w:val="en-US"/>
        </w:rPr>
        <w:t xml:space="preserve"> Act</w:t>
      </w:r>
      <w:r w:rsidR="00DA6BCD" w:rsidRPr="00A9387A">
        <w:rPr>
          <w:lang w:val="en-US"/>
        </w:rPr>
        <w:t xml:space="preserve"> defines as</w:t>
      </w:r>
      <w:r w:rsidRPr="00A9387A">
        <w:rPr>
          <w:lang w:val="en-US"/>
        </w:rPr>
        <w:t xml:space="preserve"> General Treatment</w:t>
      </w:r>
      <w:r w:rsidR="00DA6BCD" w:rsidRPr="00A9387A">
        <w:rPr>
          <w:lang w:val="en-US"/>
        </w:rPr>
        <w:t>.</w:t>
      </w:r>
    </w:p>
    <w:p w14:paraId="592E847F" w14:textId="77777777" w:rsidR="00D1598E" w:rsidRDefault="00D1598E">
      <w:pPr>
        <w:spacing w:before="0" w:after="0" w:line="240" w:lineRule="auto"/>
        <w:rPr>
          <w:rFonts w:cs="Arial"/>
          <w:b/>
          <w:bCs/>
          <w:color w:val="358189"/>
          <w:szCs w:val="22"/>
          <w:u w:val="single"/>
        </w:rPr>
      </w:pPr>
      <w:r>
        <w:rPr>
          <w:rFonts w:cs="Arial"/>
          <w:b/>
          <w:bCs/>
          <w:color w:val="358189"/>
          <w:szCs w:val="22"/>
          <w:u w:val="single"/>
        </w:rPr>
        <w:br w:type="page"/>
      </w:r>
    </w:p>
    <w:p w14:paraId="689DDF7D" w14:textId="77777777" w:rsidR="00F15BA5" w:rsidRPr="00FB30E9" w:rsidRDefault="00F15BA5" w:rsidP="008926E0">
      <w:pPr>
        <w:pStyle w:val="Body"/>
        <w:spacing w:before="240" w:after="120"/>
        <w:rPr>
          <w:rFonts w:cs="Arial"/>
          <w:b/>
          <w:bCs/>
          <w:color w:val="358189"/>
          <w:szCs w:val="22"/>
          <w:u w:val="single"/>
        </w:rPr>
      </w:pPr>
      <w:r w:rsidRPr="00FB30E9">
        <w:rPr>
          <w:rFonts w:cs="Arial"/>
          <w:b/>
          <w:bCs/>
          <w:color w:val="358189"/>
          <w:szCs w:val="22"/>
          <w:u w:val="single"/>
        </w:rPr>
        <w:lastRenderedPageBreak/>
        <w:t>Establishing the level of the minimum hospital benefit for HITH</w:t>
      </w:r>
    </w:p>
    <w:p w14:paraId="0B93B912" w14:textId="77777777" w:rsidR="00F15BA5" w:rsidRPr="00F17C5D" w:rsidRDefault="00F15BA5" w:rsidP="00473DE9">
      <w:pPr>
        <w:rPr>
          <w:szCs w:val="22"/>
        </w:rPr>
      </w:pPr>
      <w:r w:rsidRPr="00F17C5D">
        <w:rPr>
          <w:szCs w:val="22"/>
          <w:lang w:val="en-US"/>
        </w:rPr>
        <w:t xml:space="preserve">Establishing an appropriate </w:t>
      </w:r>
      <w:r>
        <w:rPr>
          <w:szCs w:val="22"/>
          <w:lang w:val="en-US"/>
        </w:rPr>
        <w:t>minimum</w:t>
      </w:r>
      <w:r w:rsidRPr="00F17C5D">
        <w:rPr>
          <w:szCs w:val="22"/>
          <w:lang w:val="en-US"/>
        </w:rPr>
        <w:t> </w:t>
      </w:r>
      <w:r>
        <w:rPr>
          <w:szCs w:val="22"/>
          <w:lang w:val="en-US"/>
        </w:rPr>
        <w:t>hospital benefit</w:t>
      </w:r>
      <w:r w:rsidRPr="00F17C5D">
        <w:rPr>
          <w:szCs w:val="22"/>
          <w:lang w:val="en-US"/>
        </w:rPr>
        <w:t xml:space="preserve"> requires consideration of a range of factors including:</w:t>
      </w:r>
      <w:r w:rsidRPr="00F17C5D">
        <w:rPr>
          <w:szCs w:val="22"/>
        </w:rPr>
        <w:t> </w:t>
      </w:r>
    </w:p>
    <w:p w14:paraId="3D2FA847" w14:textId="77777777" w:rsidR="00F15BA5" w:rsidRPr="00F17C5D" w:rsidRDefault="00F15BA5" w:rsidP="009257CE">
      <w:pPr>
        <w:numPr>
          <w:ilvl w:val="0"/>
          <w:numId w:val="31"/>
        </w:numPr>
        <w:spacing w:line="259" w:lineRule="auto"/>
        <w:ind w:left="714" w:hanging="357"/>
        <w:rPr>
          <w:szCs w:val="22"/>
        </w:rPr>
      </w:pPr>
      <w:r w:rsidRPr="00F17C5D">
        <w:rPr>
          <w:szCs w:val="22"/>
          <w:lang w:val="en-US"/>
        </w:rPr>
        <w:t>the cost of delivering the service and potential economies of scale</w:t>
      </w:r>
      <w:r w:rsidRPr="00F17C5D">
        <w:rPr>
          <w:szCs w:val="22"/>
        </w:rPr>
        <w:t> </w:t>
      </w:r>
    </w:p>
    <w:p w14:paraId="6857833B" w14:textId="77777777" w:rsidR="00F15BA5" w:rsidRPr="00F17C5D" w:rsidRDefault="00F15BA5" w:rsidP="009257CE">
      <w:pPr>
        <w:numPr>
          <w:ilvl w:val="0"/>
          <w:numId w:val="32"/>
        </w:numPr>
        <w:spacing w:line="259" w:lineRule="auto"/>
        <w:ind w:left="714" w:hanging="357"/>
        <w:rPr>
          <w:szCs w:val="22"/>
        </w:rPr>
      </w:pPr>
      <w:r w:rsidRPr="00F17C5D">
        <w:rPr>
          <w:szCs w:val="22"/>
          <w:lang w:val="en-US"/>
        </w:rPr>
        <w:t>the cost of treating a patient in the hospital</w:t>
      </w:r>
      <w:r>
        <w:rPr>
          <w:szCs w:val="22"/>
          <w:lang w:val="en-US"/>
        </w:rPr>
        <w:t xml:space="preserve"> location</w:t>
      </w:r>
      <w:r w:rsidRPr="00F17C5D">
        <w:rPr>
          <w:szCs w:val="22"/>
        </w:rPr>
        <w:t> </w:t>
      </w:r>
    </w:p>
    <w:p w14:paraId="00526DAB" w14:textId="77777777" w:rsidR="00F15BA5" w:rsidRPr="00F17C5D" w:rsidRDefault="00F15BA5" w:rsidP="009257CE">
      <w:pPr>
        <w:numPr>
          <w:ilvl w:val="0"/>
          <w:numId w:val="33"/>
        </w:numPr>
        <w:spacing w:line="259" w:lineRule="auto"/>
        <w:ind w:left="714" w:hanging="357"/>
        <w:rPr>
          <w:szCs w:val="22"/>
        </w:rPr>
      </w:pPr>
      <w:r w:rsidRPr="00F17C5D">
        <w:rPr>
          <w:szCs w:val="22"/>
          <w:lang w:val="en-US"/>
        </w:rPr>
        <w:t>the cost of treating the patient in the home</w:t>
      </w:r>
      <w:r w:rsidRPr="00F17C5D">
        <w:rPr>
          <w:szCs w:val="22"/>
        </w:rPr>
        <w:t> </w:t>
      </w:r>
    </w:p>
    <w:p w14:paraId="7545D691" w14:textId="77777777" w:rsidR="00F15BA5" w:rsidRPr="00F17C5D" w:rsidRDefault="00F15BA5" w:rsidP="009257CE">
      <w:pPr>
        <w:numPr>
          <w:ilvl w:val="0"/>
          <w:numId w:val="34"/>
        </w:numPr>
        <w:spacing w:line="259" w:lineRule="auto"/>
        <w:ind w:left="714" w:hanging="357"/>
        <w:rPr>
          <w:szCs w:val="22"/>
        </w:rPr>
      </w:pPr>
      <w:r w:rsidRPr="00F17C5D">
        <w:rPr>
          <w:szCs w:val="22"/>
          <w:lang w:val="en-US"/>
        </w:rPr>
        <w:t xml:space="preserve">relativities to other </w:t>
      </w:r>
      <w:r>
        <w:rPr>
          <w:szCs w:val="22"/>
          <w:lang w:val="en-US"/>
        </w:rPr>
        <w:t>minimum hospital</w:t>
      </w:r>
      <w:r w:rsidRPr="00F17C5D">
        <w:rPr>
          <w:szCs w:val="22"/>
          <w:lang w:val="en-US"/>
        </w:rPr>
        <w:t xml:space="preserve"> benefit arrangements, and </w:t>
      </w:r>
      <w:r w:rsidRPr="00F17C5D">
        <w:rPr>
          <w:szCs w:val="22"/>
        </w:rPr>
        <w:t> </w:t>
      </w:r>
    </w:p>
    <w:p w14:paraId="13456148" w14:textId="77777777" w:rsidR="00F15BA5" w:rsidRPr="00F17C5D" w:rsidRDefault="00F15BA5" w:rsidP="009257CE">
      <w:pPr>
        <w:numPr>
          <w:ilvl w:val="0"/>
          <w:numId w:val="35"/>
        </w:numPr>
        <w:spacing w:line="259" w:lineRule="auto"/>
        <w:ind w:left="714" w:hanging="357"/>
        <w:rPr>
          <w:szCs w:val="22"/>
        </w:rPr>
      </w:pPr>
      <w:r w:rsidRPr="00F17C5D">
        <w:rPr>
          <w:szCs w:val="22"/>
          <w:lang w:val="en-US"/>
        </w:rPr>
        <w:t>the potential impacts on premiums.</w:t>
      </w:r>
      <w:r w:rsidRPr="00F17C5D">
        <w:rPr>
          <w:szCs w:val="22"/>
        </w:rPr>
        <w:t> </w:t>
      </w:r>
    </w:p>
    <w:p w14:paraId="67B1B888" w14:textId="77777777" w:rsidR="00F15BA5" w:rsidRPr="00773209" w:rsidRDefault="00331357" w:rsidP="00473DE9">
      <w:pPr>
        <w:rPr>
          <w:color w:val="auto"/>
          <w:szCs w:val="22"/>
        </w:rPr>
      </w:pPr>
      <w:r w:rsidRPr="00773209">
        <w:rPr>
          <w:color w:val="auto"/>
          <w:szCs w:val="22"/>
          <w:lang w:val="en-US"/>
        </w:rPr>
        <w:t xml:space="preserve">A minimum hospital benefit </w:t>
      </w:r>
      <w:r w:rsidR="00773209" w:rsidRPr="00773209">
        <w:rPr>
          <w:color w:val="auto"/>
          <w:szCs w:val="22"/>
          <w:lang w:val="en-US"/>
        </w:rPr>
        <w:t>must</w:t>
      </w:r>
      <w:r w:rsidR="00EC4CEC" w:rsidRPr="00773209">
        <w:rPr>
          <w:color w:val="auto"/>
          <w:szCs w:val="22"/>
          <w:lang w:val="en-US"/>
        </w:rPr>
        <w:t xml:space="preserve"> balance each of these factors </w:t>
      </w:r>
      <w:r w:rsidR="008D772A" w:rsidRPr="00773209">
        <w:rPr>
          <w:color w:val="auto"/>
          <w:szCs w:val="22"/>
          <w:lang w:val="en-US"/>
        </w:rPr>
        <w:t xml:space="preserve">to </w:t>
      </w:r>
      <w:r w:rsidR="00B8347D" w:rsidRPr="00773209">
        <w:rPr>
          <w:color w:val="auto"/>
          <w:szCs w:val="22"/>
          <w:lang w:val="en-US"/>
        </w:rPr>
        <w:t xml:space="preserve">ensure </w:t>
      </w:r>
      <w:r w:rsidR="004F6D0D" w:rsidRPr="00773209">
        <w:rPr>
          <w:color w:val="auto"/>
          <w:szCs w:val="22"/>
          <w:lang w:val="en-US"/>
        </w:rPr>
        <w:t xml:space="preserve">the service is financially </w:t>
      </w:r>
      <w:r w:rsidR="002373AA" w:rsidRPr="00773209">
        <w:rPr>
          <w:color w:val="auto"/>
          <w:szCs w:val="22"/>
          <w:lang w:val="en-US"/>
        </w:rPr>
        <w:t>sustainable</w:t>
      </w:r>
      <w:r w:rsidR="004F6D0D" w:rsidRPr="00773209">
        <w:rPr>
          <w:color w:val="auto"/>
          <w:szCs w:val="22"/>
          <w:lang w:val="en-US"/>
        </w:rPr>
        <w:t xml:space="preserve"> for </w:t>
      </w:r>
      <w:r w:rsidR="007C14FE" w:rsidRPr="00773209">
        <w:rPr>
          <w:color w:val="auto"/>
          <w:szCs w:val="22"/>
          <w:lang w:val="en-US"/>
        </w:rPr>
        <w:t xml:space="preserve">private </w:t>
      </w:r>
      <w:r w:rsidR="00773209" w:rsidRPr="00773209">
        <w:rPr>
          <w:color w:val="auto"/>
          <w:szCs w:val="22"/>
          <w:lang w:val="en-US"/>
        </w:rPr>
        <w:t xml:space="preserve">hospitals </w:t>
      </w:r>
      <w:r w:rsidR="000B0F4F" w:rsidRPr="00773209">
        <w:rPr>
          <w:color w:val="auto"/>
          <w:szCs w:val="22"/>
          <w:lang w:val="en-US"/>
        </w:rPr>
        <w:t>and insurers</w:t>
      </w:r>
      <w:r w:rsidR="00B46256" w:rsidRPr="00773209">
        <w:rPr>
          <w:color w:val="auto"/>
          <w:szCs w:val="22"/>
          <w:lang w:val="en-US"/>
        </w:rPr>
        <w:t>.</w:t>
      </w:r>
      <w:r w:rsidR="008101D4" w:rsidRPr="00773209">
        <w:rPr>
          <w:color w:val="auto"/>
          <w:szCs w:val="22"/>
          <w:lang w:val="en-US"/>
        </w:rPr>
        <w:t xml:space="preserve"> </w:t>
      </w:r>
      <w:r w:rsidR="00F15BA5" w:rsidRPr="00773209">
        <w:rPr>
          <w:color w:val="auto"/>
          <w:szCs w:val="22"/>
          <w:lang w:val="en-US"/>
        </w:rPr>
        <w:t>The department seeks feedback on a minimum hospital benefit for HITH being set at $360</w:t>
      </w:r>
      <w:r w:rsidR="00CF4D6D" w:rsidRPr="00773209">
        <w:rPr>
          <w:color w:val="auto"/>
          <w:szCs w:val="22"/>
          <w:lang w:val="en-US"/>
        </w:rPr>
        <w:t> </w:t>
      </w:r>
      <w:r w:rsidR="00F15BA5" w:rsidRPr="00773209">
        <w:rPr>
          <w:color w:val="auto"/>
          <w:szCs w:val="22"/>
          <w:lang w:val="en-US"/>
        </w:rPr>
        <w:t>per day. </w:t>
      </w:r>
      <w:r w:rsidR="00F15BA5" w:rsidRPr="00773209">
        <w:rPr>
          <w:color w:val="auto"/>
          <w:szCs w:val="22"/>
        </w:rPr>
        <w:t> </w:t>
      </w:r>
    </w:p>
    <w:p w14:paraId="28012E25" w14:textId="77777777" w:rsidR="00F15BA5" w:rsidRPr="00FB30E9" w:rsidRDefault="001B32ED" w:rsidP="00651D4E">
      <w:pPr>
        <w:pStyle w:val="Heading3"/>
        <w:numPr>
          <w:ilvl w:val="2"/>
          <w:numId w:val="14"/>
        </w:numPr>
        <w:spacing w:before="240" w:after="120"/>
        <w:rPr>
          <w:b w:val="0"/>
          <w:bCs w:val="0"/>
          <w:i/>
          <w:iCs/>
          <w:sz w:val="28"/>
          <w:szCs w:val="28"/>
        </w:rPr>
      </w:pPr>
      <w:bookmarkStart w:id="50" w:name="_Toc233805036"/>
      <w:r w:rsidRPr="3D1C1472">
        <w:rPr>
          <w:b w:val="0"/>
          <w:bCs w:val="0"/>
          <w:i/>
          <w:iCs/>
          <w:sz w:val="28"/>
          <w:szCs w:val="28"/>
        </w:rPr>
        <w:t>C</w:t>
      </w:r>
      <w:r w:rsidR="00AE495B" w:rsidRPr="3D1C1472">
        <w:rPr>
          <w:b w:val="0"/>
          <w:bCs w:val="0"/>
          <w:i/>
          <w:iCs/>
          <w:sz w:val="28"/>
          <w:szCs w:val="28"/>
        </w:rPr>
        <w:t>onsiderations identified by the department</w:t>
      </w:r>
      <w:r w:rsidR="00F15BA5" w:rsidRPr="3D1C1472">
        <w:rPr>
          <w:b w:val="0"/>
          <w:bCs w:val="0"/>
          <w:i/>
          <w:iCs/>
          <w:sz w:val="28"/>
          <w:szCs w:val="28"/>
        </w:rPr>
        <w:t xml:space="preserve"> when implementing HITH</w:t>
      </w:r>
      <w:bookmarkEnd w:id="50"/>
      <w:r w:rsidR="00F15BA5" w:rsidRPr="3D1C1472">
        <w:rPr>
          <w:b w:val="0"/>
          <w:bCs w:val="0"/>
          <w:i/>
          <w:iCs/>
          <w:sz w:val="28"/>
          <w:szCs w:val="28"/>
        </w:rPr>
        <w:t> </w:t>
      </w:r>
    </w:p>
    <w:p w14:paraId="50541B21" w14:textId="77777777" w:rsidR="00AE495B" w:rsidRDefault="00F16F82" w:rsidP="00473DE9">
      <w:pPr>
        <w:pStyle w:val="Body"/>
        <w:spacing w:after="120"/>
      </w:pPr>
      <w:r>
        <w:t xml:space="preserve">In </w:t>
      </w:r>
      <w:r w:rsidR="009F6A97">
        <w:t xml:space="preserve">developing </w:t>
      </w:r>
      <w:r w:rsidR="00D87069">
        <w:t>the proposed approach to HITH implementation, the department has</w:t>
      </w:r>
      <w:r w:rsidR="009B741E">
        <w:t xml:space="preserve"> made the following</w:t>
      </w:r>
      <w:r w:rsidR="00D87069">
        <w:t xml:space="preserve"> </w:t>
      </w:r>
      <w:r w:rsidR="009B741E">
        <w:t xml:space="preserve">policy </w:t>
      </w:r>
      <w:r w:rsidR="00D87069">
        <w:t>consider</w:t>
      </w:r>
      <w:r w:rsidR="009B741E">
        <w:t>ations</w:t>
      </w:r>
      <w:r w:rsidR="004167D0">
        <w:t>:</w:t>
      </w:r>
      <w:r w:rsidR="00D87069">
        <w:t xml:space="preserve"> </w:t>
      </w:r>
    </w:p>
    <w:p w14:paraId="45A1AB16" w14:textId="77777777" w:rsidR="00F15BA5" w:rsidRPr="00FB30E9" w:rsidRDefault="00AE495B" w:rsidP="008926E0">
      <w:pPr>
        <w:pStyle w:val="Body"/>
        <w:spacing w:before="240" w:after="120"/>
        <w:rPr>
          <w:rFonts w:cs="Arial"/>
          <w:b/>
          <w:bCs/>
          <w:color w:val="358189"/>
          <w:szCs w:val="22"/>
          <w:u w:val="single"/>
        </w:rPr>
      </w:pPr>
      <w:r>
        <w:rPr>
          <w:rFonts w:cs="Arial"/>
          <w:b/>
          <w:bCs/>
          <w:color w:val="358189"/>
          <w:szCs w:val="22"/>
          <w:u w:val="single"/>
        </w:rPr>
        <w:t>Consideration</w:t>
      </w:r>
      <w:r w:rsidRPr="00FB30E9">
        <w:rPr>
          <w:rFonts w:cs="Arial"/>
          <w:b/>
          <w:bCs/>
          <w:color w:val="358189"/>
          <w:szCs w:val="22"/>
          <w:u w:val="single"/>
        </w:rPr>
        <w:t xml:space="preserve"> </w:t>
      </w:r>
      <w:r w:rsidR="00F15BA5" w:rsidRPr="00FB30E9">
        <w:rPr>
          <w:rFonts w:cs="Arial"/>
          <w:b/>
          <w:bCs/>
          <w:color w:val="358189"/>
          <w:szCs w:val="22"/>
          <w:u w:val="single"/>
        </w:rPr>
        <w:t>1: IV infusions and chemotherapy</w:t>
      </w:r>
    </w:p>
    <w:p w14:paraId="662D4C9F" w14:textId="77777777" w:rsidR="00F15BA5" w:rsidRDefault="00F15BA5" w:rsidP="00473DE9">
      <w:pPr>
        <w:rPr>
          <w:szCs w:val="22"/>
        </w:rPr>
      </w:pPr>
      <w:r w:rsidRPr="00773209">
        <w:rPr>
          <w:color w:val="auto"/>
          <w:szCs w:val="22"/>
        </w:rPr>
        <w:t>Chemotherapy is the treatment of disease by means of chemical substances or drugs, with injection into a vein (</w:t>
      </w:r>
      <w:r w:rsidR="007A038E" w:rsidRPr="00773209">
        <w:rPr>
          <w:color w:val="auto"/>
          <w:szCs w:val="22"/>
        </w:rPr>
        <w:t>IV</w:t>
      </w:r>
      <w:r w:rsidRPr="00773209">
        <w:rPr>
          <w:color w:val="auto"/>
          <w:szCs w:val="22"/>
        </w:rPr>
        <w:t xml:space="preserve"> chemotherapy) the most common way to administer these medications</w:t>
      </w:r>
      <w:r w:rsidR="00F859E1" w:rsidRPr="00773209">
        <w:rPr>
          <w:rStyle w:val="EndnoteReference"/>
          <w:color w:val="auto"/>
          <w:szCs w:val="22"/>
        </w:rPr>
        <w:endnoteReference w:id="6"/>
      </w:r>
      <w:r w:rsidR="0059466C" w:rsidRPr="00773209">
        <w:rPr>
          <w:color w:val="auto"/>
          <w:szCs w:val="22"/>
          <w:vertAlign w:val="superscript"/>
        </w:rPr>
        <w:t>,</w:t>
      </w:r>
      <w:r w:rsidR="00DD2E20" w:rsidRPr="00773209">
        <w:rPr>
          <w:rStyle w:val="EndnoteReference"/>
          <w:color w:val="auto"/>
          <w:szCs w:val="22"/>
        </w:rPr>
        <w:endnoteReference w:id="7"/>
      </w:r>
      <w:r w:rsidRPr="00773209">
        <w:rPr>
          <w:color w:val="auto"/>
          <w:szCs w:val="22"/>
        </w:rPr>
        <w:t xml:space="preserve">. </w:t>
      </w:r>
      <w:r w:rsidRPr="004A1D51">
        <w:rPr>
          <w:szCs w:val="22"/>
        </w:rPr>
        <w:t xml:space="preserve">Chemotherapy </w:t>
      </w:r>
      <w:r>
        <w:rPr>
          <w:szCs w:val="22"/>
        </w:rPr>
        <w:t>treatments are u</w:t>
      </w:r>
      <w:r w:rsidRPr="004A1D51">
        <w:rPr>
          <w:szCs w:val="22"/>
        </w:rPr>
        <w:t>sually given in a hospital or treatment centre</w:t>
      </w:r>
      <w:r>
        <w:rPr>
          <w:szCs w:val="22"/>
        </w:rPr>
        <w:t>. D</w:t>
      </w:r>
      <w:r w:rsidRPr="004A1D51">
        <w:rPr>
          <w:szCs w:val="22"/>
        </w:rPr>
        <w:t xml:space="preserve">epending on the </w:t>
      </w:r>
      <w:r>
        <w:rPr>
          <w:szCs w:val="22"/>
        </w:rPr>
        <w:t>prescribed t</w:t>
      </w:r>
      <w:r w:rsidRPr="004A1D51">
        <w:rPr>
          <w:szCs w:val="22"/>
        </w:rPr>
        <w:t xml:space="preserve">reatment, some people may be able to receive their chemotherapy at home as HITH </w:t>
      </w:r>
      <w:r>
        <w:rPr>
          <w:szCs w:val="22"/>
        </w:rPr>
        <w:t>care</w:t>
      </w:r>
      <w:r w:rsidR="00A968FC">
        <w:rPr>
          <w:szCs w:val="22"/>
        </w:rPr>
        <w:t>.</w:t>
      </w:r>
      <w:r w:rsidR="00417E96">
        <w:rPr>
          <w:rStyle w:val="EndnoteReference"/>
          <w:szCs w:val="22"/>
        </w:rPr>
        <w:endnoteReference w:id="8"/>
      </w:r>
      <w:r>
        <w:rPr>
          <w:szCs w:val="22"/>
        </w:rPr>
        <w:t xml:space="preserve"> </w:t>
      </w:r>
    </w:p>
    <w:p w14:paraId="72E16399" w14:textId="77777777" w:rsidR="00F15BA5" w:rsidRPr="00773209" w:rsidRDefault="00F15BA5" w:rsidP="00473DE9">
      <w:pPr>
        <w:rPr>
          <w:color w:val="auto"/>
          <w:szCs w:val="22"/>
          <w:highlight w:val="yellow"/>
        </w:rPr>
      </w:pPr>
      <w:r>
        <w:rPr>
          <w:szCs w:val="22"/>
        </w:rPr>
        <w:t>Chemotherapy is a specialised treatment sometimes involving high-risk medications. Chemotherapy requires robust safety and quality and clinical governance protocols to be in place to protect the patient</w:t>
      </w:r>
      <w:r w:rsidR="00983B77">
        <w:rPr>
          <w:szCs w:val="22"/>
        </w:rPr>
        <w:t>,</w:t>
      </w:r>
      <w:r>
        <w:rPr>
          <w:szCs w:val="22"/>
        </w:rPr>
        <w:t xml:space="preserve"> and their carer/family and clinicians. </w:t>
      </w:r>
      <w:r w:rsidRPr="00773209">
        <w:rPr>
          <w:color w:val="auto"/>
          <w:szCs w:val="22"/>
        </w:rPr>
        <w:t xml:space="preserve">Noting these </w:t>
      </w:r>
      <w:r w:rsidR="00983B77" w:rsidRPr="00773209">
        <w:rPr>
          <w:color w:val="auto"/>
          <w:szCs w:val="22"/>
        </w:rPr>
        <w:t>issues</w:t>
      </w:r>
      <w:r w:rsidRPr="00773209">
        <w:rPr>
          <w:color w:val="auto"/>
          <w:szCs w:val="22"/>
        </w:rPr>
        <w:t>, the department seeks stakeholder views on whether IV chemotherapy should be included as an eligible IV infusion in the initial tranche of HITH treatment services.</w:t>
      </w:r>
    </w:p>
    <w:p w14:paraId="4BB6DDBE" w14:textId="77777777" w:rsidR="00F15BA5" w:rsidRPr="00FB30E9" w:rsidRDefault="004167D0" w:rsidP="008926E0">
      <w:pPr>
        <w:pStyle w:val="Body"/>
        <w:spacing w:before="240" w:after="120"/>
        <w:rPr>
          <w:rFonts w:cs="Arial"/>
          <w:b/>
          <w:bCs/>
          <w:color w:val="358189"/>
          <w:szCs w:val="22"/>
          <w:u w:val="single"/>
        </w:rPr>
      </w:pPr>
      <w:r>
        <w:rPr>
          <w:rFonts w:cs="Arial"/>
          <w:b/>
          <w:bCs/>
          <w:color w:val="358189"/>
          <w:szCs w:val="22"/>
          <w:u w:val="single"/>
        </w:rPr>
        <w:t>Consideration</w:t>
      </w:r>
      <w:r w:rsidR="00F15BA5" w:rsidRPr="00FB30E9">
        <w:rPr>
          <w:rFonts w:cs="Arial"/>
          <w:b/>
          <w:bCs/>
          <w:color w:val="358189"/>
          <w:szCs w:val="22"/>
          <w:u w:val="single"/>
        </w:rPr>
        <w:t xml:space="preserve"> 2: Complex wound care</w:t>
      </w:r>
    </w:p>
    <w:p w14:paraId="416590EC" w14:textId="77777777" w:rsidR="00773209" w:rsidRPr="00773209" w:rsidRDefault="00F15BA5" w:rsidP="00473DE9">
      <w:pPr>
        <w:rPr>
          <w:color w:val="auto"/>
          <w:szCs w:val="22"/>
          <w:lang w:val="en-US"/>
        </w:rPr>
      </w:pPr>
      <w:r w:rsidRPr="00773209">
        <w:rPr>
          <w:color w:val="auto"/>
          <w:szCs w:val="22"/>
          <w:lang w:val="en-US"/>
        </w:rPr>
        <w:t>For the purposes of this proposal, the term ‘complex wound care’ refer</w:t>
      </w:r>
      <w:r w:rsidR="00773209" w:rsidRPr="00773209">
        <w:rPr>
          <w:color w:val="auto"/>
          <w:szCs w:val="22"/>
          <w:lang w:val="en-US"/>
        </w:rPr>
        <w:t>s</w:t>
      </w:r>
      <w:r w:rsidRPr="00773209">
        <w:rPr>
          <w:color w:val="auto"/>
          <w:szCs w:val="22"/>
          <w:lang w:val="en-US"/>
        </w:rPr>
        <w:t xml:space="preserve"> to treatment for a break or tear in the skin that is clinically assessed as requiring admitted hospital wound management and treatment. </w:t>
      </w:r>
      <w:r w:rsidR="00773209" w:rsidRPr="00773209">
        <w:rPr>
          <w:color w:val="auto"/>
          <w:szCs w:val="22"/>
          <w:lang w:val="en-US"/>
        </w:rPr>
        <w:t xml:space="preserve">Damage to the skin is often the result of an accident, surgery, a skin condition or an underlying condition like diabetes. </w:t>
      </w:r>
    </w:p>
    <w:p w14:paraId="707591D6" w14:textId="77777777" w:rsidR="00F15BA5" w:rsidRPr="00AD2981" w:rsidRDefault="00F15BA5" w:rsidP="00473DE9">
      <w:pPr>
        <w:rPr>
          <w:color w:val="FF0000"/>
          <w:szCs w:val="22"/>
          <w:lang w:val="en-US"/>
        </w:rPr>
      </w:pPr>
      <w:r w:rsidRPr="00773209">
        <w:rPr>
          <w:color w:val="auto"/>
          <w:szCs w:val="22"/>
          <w:lang w:val="en-US"/>
        </w:rPr>
        <w:t xml:space="preserve">Uncomplicated post-operative wound care provided to a patient as part of normal aftercare following an operation or procedure, would not be considered as ‘complex wound care’ (refer to </w:t>
      </w:r>
      <w:r w:rsidR="009A13FA" w:rsidRPr="00773209">
        <w:rPr>
          <w:color w:val="auto"/>
          <w:szCs w:val="22"/>
          <w:lang w:val="en-US"/>
        </w:rPr>
        <w:t>I</w:t>
      </w:r>
      <w:r w:rsidRPr="00773209">
        <w:rPr>
          <w:color w:val="auto"/>
          <w:szCs w:val="22"/>
          <w:lang w:val="en-US"/>
        </w:rPr>
        <w:t xml:space="preserve">ssue </w:t>
      </w:r>
      <w:r w:rsidR="009A13FA" w:rsidRPr="00773209">
        <w:rPr>
          <w:color w:val="auto"/>
          <w:szCs w:val="22"/>
          <w:lang w:val="en-US"/>
        </w:rPr>
        <w:t>6</w:t>
      </w:r>
      <w:r w:rsidR="009750DD" w:rsidRPr="00773209">
        <w:rPr>
          <w:color w:val="auto"/>
          <w:szCs w:val="22"/>
          <w:lang w:val="en-US"/>
        </w:rPr>
        <w:t>:</w:t>
      </w:r>
      <w:r w:rsidRPr="00773209">
        <w:rPr>
          <w:color w:val="auto"/>
          <w:szCs w:val="22"/>
          <w:lang w:val="en-US"/>
        </w:rPr>
        <w:t xml:space="preserve"> </w:t>
      </w:r>
      <w:r w:rsidR="009A13FA" w:rsidRPr="00773209">
        <w:rPr>
          <w:color w:val="auto"/>
          <w:szCs w:val="22"/>
          <w:lang w:val="en-US"/>
        </w:rPr>
        <w:t>A</w:t>
      </w:r>
      <w:r w:rsidRPr="00773209">
        <w:rPr>
          <w:color w:val="auto"/>
          <w:szCs w:val="22"/>
          <w:lang w:val="en-US"/>
        </w:rPr>
        <w:t>ftercare</w:t>
      </w:r>
      <w:r w:rsidR="008237CD" w:rsidRPr="00773209">
        <w:rPr>
          <w:color w:val="auto"/>
          <w:szCs w:val="22"/>
          <w:lang w:val="en-US"/>
        </w:rPr>
        <w:t xml:space="preserve"> below</w:t>
      </w:r>
      <w:r w:rsidRPr="00773209">
        <w:rPr>
          <w:color w:val="auto"/>
          <w:szCs w:val="22"/>
          <w:lang w:val="en-US"/>
        </w:rPr>
        <w:t xml:space="preserve">). </w:t>
      </w:r>
    </w:p>
    <w:p w14:paraId="253AA9F3" w14:textId="77777777" w:rsidR="00F437F0" w:rsidRDefault="00F437F0">
      <w:pPr>
        <w:spacing w:before="0" w:after="0" w:line="240" w:lineRule="auto"/>
        <w:rPr>
          <w:rFonts w:cs="Arial"/>
          <w:b/>
          <w:bCs/>
          <w:color w:val="358189"/>
          <w:szCs w:val="22"/>
          <w:u w:val="single"/>
          <w:lang w:val="en-US"/>
        </w:rPr>
      </w:pPr>
      <w:r>
        <w:rPr>
          <w:rFonts w:cs="Arial"/>
          <w:b/>
          <w:bCs/>
          <w:color w:val="358189"/>
          <w:szCs w:val="22"/>
          <w:u w:val="single"/>
        </w:rPr>
        <w:br w:type="page"/>
      </w:r>
    </w:p>
    <w:p w14:paraId="6968B25B" w14:textId="77777777" w:rsidR="00F15BA5" w:rsidRPr="00FB30E9" w:rsidRDefault="004167D0" w:rsidP="008926E0">
      <w:pPr>
        <w:pStyle w:val="Body"/>
        <w:spacing w:before="240" w:after="120"/>
        <w:rPr>
          <w:rFonts w:cs="Arial"/>
          <w:b/>
          <w:bCs/>
          <w:color w:val="358189"/>
          <w:szCs w:val="22"/>
          <w:u w:val="single"/>
        </w:rPr>
      </w:pPr>
      <w:r>
        <w:rPr>
          <w:rFonts w:cs="Arial"/>
          <w:b/>
          <w:bCs/>
          <w:color w:val="358189"/>
          <w:szCs w:val="22"/>
          <w:u w:val="single"/>
        </w:rPr>
        <w:lastRenderedPageBreak/>
        <w:t xml:space="preserve">Consideration </w:t>
      </w:r>
      <w:r w:rsidR="00F15BA5" w:rsidRPr="00FB30E9">
        <w:rPr>
          <w:rFonts w:cs="Arial"/>
          <w:b/>
          <w:bCs/>
          <w:color w:val="358189"/>
          <w:szCs w:val="22"/>
          <w:u w:val="single"/>
        </w:rPr>
        <w:t>3: Palliative care </w:t>
      </w:r>
    </w:p>
    <w:p w14:paraId="5D68F638" w14:textId="77777777" w:rsidR="008926E0" w:rsidRDefault="00F15BA5" w:rsidP="00473DE9">
      <w:pPr>
        <w:rPr>
          <w:rFonts w:cs="Arial"/>
          <w:b/>
          <w:bCs/>
          <w:color w:val="358189"/>
          <w:szCs w:val="22"/>
          <w:u w:val="single"/>
        </w:rPr>
      </w:pPr>
      <w:r>
        <w:rPr>
          <w:szCs w:val="22"/>
        </w:rPr>
        <w:t>Patients</w:t>
      </w:r>
      <w:r w:rsidRPr="00F17C5D">
        <w:rPr>
          <w:szCs w:val="22"/>
        </w:rPr>
        <w:t xml:space="preserve"> receiving palliative care at home have been shown to have increased quality of life and reduced need for hospital-based</w:t>
      </w:r>
      <w:r w:rsidR="00FE790C">
        <w:rPr>
          <w:szCs w:val="22"/>
        </w:rPr>
        <w:t xml:space="preserve"> care.</w:t>
      </w:r>
      <w:r w:rsidRPr="00F17C5D">
        <w:rPr>
          <w:szCs w:val="22"/>
        </w:rPr>
        <w:t> </w:t>
      </w:r>
      <w:r w:rsidRPr="00773209">
        <w:rPr>
          <w:color w:val="auto"/>
          <w:szCs w:val="22"/>
        </w:rPr>
        <w:t xml:space="preserve">The department has received feedback that palliative care can be more resource intensive than other </w:t>
      </w:r>
      <w:r w:rsidR="00403124" w:rsidRPr="00773209">
        <w:rPr>
          <w:color w:val="auto"/>
          <w:szCs w:val="22"/>
        </w:rPr>
        <w:t>types</w:t>
      </w:r>
      <w:r w:rsidRPr="00773209">
        <w:rPr>
          <w:color w:val="auto"/>
          <w:szCs w:val="22"/>
        </w:rPr>
        <w:t xml:space="preserve"> of care provided as HITH treatment, such as IV infusions or wound care.</w:t>
      </w:r>
      <w:r w:rsidRPr="00AD2981">
        <w:rPr>
          <w:color w:val="FF0000"/>
          <w:szCs w:val="22"/>
        </w:rPr>
        <w:t xml:space="preserve"> </w:t>
      </w:r>
      <w:r w:rsidRPr="00005366">
        <w:rPr>
          <w:szCs w:val="22"/>
        </w:rPr>
        <w:t>The department seeks stakeholder feedback on whether HITH palliative care would require a different minimum benefit amount to be viable.</w:t>
      </w:r>
    </w:p>
    <w:p w14:paraId="4066851F" w14:textId="4E3EE1CB" w:rsidR="00F15BA5" w:rsidRPr="00FB30E9" w:rsidRDefault="006217BC" w:rsidP="008926E0">
      <w:pPr>
        <w:pStyle w:val="Body"/>
        <w:spacing w:before="240" w:after="120"/>
        <w:rPr>
          <w:rFonts w:cs="Arial"/>
          <w:b/>
          <w:bCs/>
          <w:color w:val="358189"/>
          <w:szCs w:val="22"/>
          <w:u w:val="single"/>
        </w:rPr>
      </w:pPr>
      <w:r>
        <w:rPr>
          <w:rFonts w:cs="Arial"/>
          <w:b/>
          <w:bCs/>
          <w:color w:val="358189"/>
          <w:szCs w:val="22"/>
          <w:u w:val="single"/>
        </w:rPr>
        <w:t xml:space="preserve">Consideration </w:t>
      </w:r>
      <w:r w:rsidR="00F15BA5" w:rsidRPr="00FB30E9">
        <w:rPr>
          <w:rFonts w:cs="Arial"/>
          <w:b/>
          <w:bCs/>
          <w:color w:val="358189"/>
          <w:szCs w:val="22"/>
          <w:u w:val="single"/>
        </w:rPr>
        <w:t>4: MBS considerations</w:t>
      </w:r>
    </w:p>
    <w:p w14:paraId="380DCE4E" w14:textId="77777777" w:rsidR="00F15BA5" w:rsidRPr="00AD2981" w:rsidRDefault="00F15BA5" w:rsidP="00473DE9">
      <w:pPr>
        <w:rPr>
          <w:color w:val="FF0000"/>
          <w:szCs w:val="22"/>
        </w:rPr>
      </w:pPr>
      <w:r>
        <w:rPr>
          <w:szCs w:val="22"/>
          <w:lang w:val="en-US"/>
        </w:rPr>
        <w:t>Under the proposal</w:t>
      </w:r>
      <w:r w:rsidR="00C800A1">
        <w:rPr>
          <w:szCs w:val="22"/>
          <w:lang w:val="en-US"/>
        </w:rPr>
        <w:t>,</w:t>
      </w:r>
      <w:r>
        <w:rPr>
          <w:szCs w:val="22"/>
          <w:lang w:val="en-US"/>
        </w:rPr>
        <w:t xml:space="preserve"> </w:t>
      </w:r>
      <w:r w:rsidRPr="00F17C5D">
        <w:rPr>
          <w:szCs w:val="22"/>
          <w:lang w:val="en-US"/>
        </w:rPr>
        <w:t>services</w:t>
      </w:r>
      <w:r>
        <w:rPr>
          <w:szCs w:val="22"/>
          <w:lang w:val="en-US"/>
        </w:rPr>
        <w:t xml:space="preserve"> would be eligible for </w:t>
      </w:r>
      <w:r w:rsidRPr="007D569C">
        <w:rPr>
          <w:szCs w:val="22"/>
          <w:lang w:val="en-US"/>
        </w:rPr>
        <w:t xml:space="preserve">minimum hospital benefit </w:t>
      </w:r>
      <w:r>
        <w:rPr>
          <w:szCs w:val="22"/>
          <w:lang w:val="en-US"/>
        </w:rPr>
        <w:t xml:space="preserve">where </w:t>
      </w:r>
      <w:r w:rsidRPr="00F17C5D">
        <w:rPr>
          <w:szCs w:val="22"/>
          <w:lang w:val="en-US"/>
        </w:rPr>
        <w:t>the patient</w:t>
      </w:r>
      <w:r>
        <w:rPr>
          <w:szCs w:val="22"/>
          <w:lang w:val="en-US"/>
        </w:rPr>
        <w:t xml:space="preserve"> receiving HITH services</w:t>
      </w:r>
      <w:r w:rsidRPr="00F17C5D">
        <w:rPr>
          <w:szCs w:val="22"/>
          <w:lang w:val="en-US"/>
        </w:rPr>
        <w:t> </w:t>
      </w:r>
      <w:r>
        <w:rPr>
          <w:szCs w:val="22"/>
          <w:lang w:val="en-US"/>
        </w:rPr>
        <w:t>is</w:t>
      </w:r>
      <w:r w:rsidRPr="00F17C5D">
        <w:rPr>
          <w:szCs w:val="22"/>
          <w:lang w:val="en-US"/>
        </w:rPr>
        <w:t xml:space="preserve"> an admitted hospital patient</w:t>
      </w:r>
      <w:r>
        <w:rPr>
          <w:szCs w:val="22"/>
          <w:lang w:val="en-US"/>
        </w:rPr>
        <w:t xml:space="preserve">. </w:t>
      </w:r>
      <w:r w:rsidR="00773209" w:rsidRPr="00773209">
        <w:rPr>
          <w:color w:val="auto"/>
          <w:szCs w:val="22"/>
          <w:lang w:val="en-US"/>
        </w:rPr>
        <w:t>The</w:t>
      </w:r>
      <w:r w:rsidRPr="00773209">
        <w:rPr>
          <w:color w:val="auto"/>
          <w:szCs w:val="22"/>
          <w:lang w:val="en-US"/>
        </w:rPr>
        <w:t xml:space="preserve"> MBS benefit for </w:t>
      </w:r>
      <w:r w:rsidR="002B47E0" w:rsidRPr="00773209">
        <w:rPr>
          <w:color w:val="auto"/>
          <w:szCs w:val="22"/>
          <w:lang w:val="en-US"/>
        </w:rPr>
        <w:t xml:space="preserve">eligible </w:t>
      </w:r>
      <w:r w:rsidRPr="00773209">
        <w:rPr>
          <w:color w:val="auto"/>
          <w:szCs w:val="22"/>
          <w:lang w:val="en-US"/>
        </w:rPr>
        <w:t>medical services provided would be 75% of the Schedule item fee and insurers would be required to pay the additional 25% of the Schedule item fee.</w:t>
      </w:r>
    </w:p>
    <w:p w14:paraId="04B04A3A" w14:textId="77777777" w:rsidR="00F15BA5" w:rsidRPr="00F17C5D" w:rsidRDefault="00F15BA5" w:rsidP="00473DE9">
      <w:pPr>
        <w:rPr>
          <w:szCs w:val="22"/>
        </w:rPr>
      </w:pPr>
      <w:r w:rsidRPr="00F17C5D">
        <w:rPr>
          <w:szCs w:val="22"/>
        </w:rPr>
        <w:t xml:space="preserve">The intention is the HITH treatment services in this proposal </w:t>
      </w:r>
      <w:r>
        <w:rPr>
          <w:szCs w:val="22"/>
        </w:rPr>
        <w:t>would be</w:t>
      </w:r>
      <w:r w:rsidRPr="00F17C5D">
        <w:rPr>
          <w:szCs w:val="22"/>
        </w:rPr>
        <w:t xml:space="preserve"> substitutive for an individual patient (i.e. the patient would receive the same care in a hospital as they </w:t>
      </w:r>
      <w:r>
        <w:rPr>
          <w:szCs w:val="22"/>
        </w:rPr>
        <w:t>would</w:t>
      </w:r>
      <w:r w:rsidRPr="00F17C5D">
        <w:rPr>
          <w:szCs w:val="22"/>
        </w:rPr>
        <w:t xml:space="preserve"> in their own home)</w:t>
      </w:r>
      <w:r>
        <w:rPr>
          <w:szCs w:val="22"/>
        </w:rPr>
        <w:t xml:space="preserve">. The introduction of a </w:t>
      </w:r>
      <w:r w:rsidRPr="003C70B6">
        <w:rPr>
          <w:szCs w:val="22"/>
        </w:rPr>
        <w:t>minimum hospital benefit for HITH</w:t>
      </w:r>
      <w:r w:rsidRPr="00F17C5D">
        <w:rPr>
          <w:szCs w:val="22"/>
        </w:rPr>
        <w:t> </w:t>
      </w:r>
      <w:r>
        <w:rPr>
          <w:szCs w:val="22"/>
        </w:rPr>
        <w:t xml:space="preserve">is not expected to result in </w:t>
      </w:r>
      <w:r w:rsidRPr="00F17C5D">
        <w:rPr>
          <w:szCs w:val="22"/>
        </w:rPr>
        <w:t>new</w:t>
      </w:r>
      <w:r>
        <w:rPr>
          <w:szCs w:val="22"/>
        </w:rPr>
        <w:t xml:space="preserve"> or additional</w:t>
      </w:r>
      <w:r w:rsidRPr="00F17C5D">
        <w:rPr>
          <w:szCs w:val="22"/>
        </w:rPr>
        <w:t xml:space="preserve"> MBS services and/or costs. </w:t>
      </w:r>
    </w:p>
    <w:p w14:paraId="7A1C35E9" w14:textId="77777777" w:rsidR="00F15BA5" w:rsidRPr="00773209" w:rsidRDefault="00F15BA5" w:rsidP="00473DE9">
      <w:pPr>
        <w:rPr>
          <w:color w:val="auto"/>
        </w:rPr>
      </w:pPr>
      <w:r w:rsidRPr="00773209">
        <w:rPr>
          <w:color w:val="auto"/>
          <w:szCs w:val="22"/>
          <w:lang w:val="en-US"/>
        </w:rPr>
        <w:t>Initial discussions with stakeholders have raised the potential interaction of these reforms with the MBS, </w:t>
      </w:r>
      <w:r w:rsidRPr="00773209">
        <w:rPr>
          <w:color w:val="auto"/>
          <w:szCs w:val="22"/>
        </w:rPr>
        <w:t>particularly</w:t>
      </w:r>
      <w:r w:rsidRPr="00773209">
        <w:rPr>
          <w:color w:val="auto"/>
          <w:szCs w:val="22"/>
          <w:lang w:val="en-US"/>
        </w:rPr>
        <w:t> around telehealth access and professional services attendance billing during aftercare</w:t>
      </w:r>
      <w:r w:rsidR="002A232F" w:rsidRPr="00773209">
        <w:rPr>
          <w:color w:val="auto"/>
          <w:szCs w:val="22"/>
          <w:lang w:val="en-US"/>
        </w:rPr>
        <w:t xml:space="preserve"> (</w:t>
      </w:r>
      <w:r w:rsidR="00B869D8" w:rsidRPr="00773209">
        <w:rPr>
          <w:color w:val="auto"/>
          <w:szCs w:val="22"/>
          <w:lang w:val="en-US"/>
        </w:rPr>
        <w:t>see</w:t>
      </w:r>
      <w:r w:rsidR="002A232F" w:rsidRPr="00773209">
        <w:rPr>
          <w:color w:val="auto"/>
          <w:szCs w:val="22"/>
          <w:lang w:val="en-US"/>
        </w:rPr>
        <w:t xml:space="preserve"> below)</w:t>
      </w:r>
      <w:r w:rsidRPr="00773209">
        <w:rPr>
          <w:color w:val="auto"/>
          <w:lang w:val="en-US"/>
        </w:rPr>
        <w:t>.</w:t>
      </w:r>
    </w:p>
    <w:p w14:paraId="274D173E" w14:textId="77777777" w:rsidR="00F15BA5" w:rsidRPr="00F17C5D" w:rsidRDefault="006217BC" w:rsidP="008926E0">
      <w:pPr>
        <w:pStyle w:val="Body"/>
        <w:spacing w:before="240" w:after="120"/>
        <w:rPr>
          <w:b/>
          <w:bCs/>
          <w:color w:val="3F4A75" w:themeColor="accent1"/>
          <w:sz w:val="24"/>
        </w:rPr>
      </w:pPr>
      <w:r>
        <w:rPr>
          <w:rFonts w:cs="Arial"/>
          <w:b/>
          <w:bCs/>
          <w:color w:val="358189"/>
          <w:szCs w:val="22"/>
          <w:u w:val="single"/>
        </w:rPr>
        <w:t xml:space="preserve">Consideration </w:t>
      </w:r>
      <w:r w:rsidR="00F15BA5" w:rsidRPr="00FB30E9">
        <w:rPr>
          <w:rFonts w:cs="Arial"/>
          <w:b/>
          <w:bCs/>
          <w:color w:val="358189"/>
          <w:szCs w:val="22"/>
          <w:u w:val="single"/>
        </w:rPr>
        <w:t>5: Telehealth</w:t>
      </w:r>
    </w:p>
    <w:p w14:paraId="53817911" w14:textId="387B92BD" w:rsidR="00F15BA5" w:rsidRPr="00F17C5D" w:rsidRDefault="00F15BA5" w:rsidP="00473DE9">
      <w:pPr>
        <w:rPr>
          <w:szCs w:val="22"/>
        </w:rPr>
      </w:pPr>
      <w:r w:rsidRPr="00F17C5D">
        <w:rPr>
          <w:szCs w:val="22"/>
        </w:rPr>
        <w:t xml:space="preserve">Except for </w:t>
      </w:r>
      <w:r>
        <w:rPr>
          <w:szCs w:val="22"/>
        </w:rPr>
        <w:t xml:space="preserve">a limited range of </w:t>
      </w:r>
      <w:r w:rsidRPr="00F17C5D">
        <w:rPr>
          <w:szCs w:val="22"/>
        </w:rPr>
        <w:t>MBS</w:t>
      </w:r>
      <w:r>
        <w:rPr>
          <w:szCs w:val="22"/>
        </w:rPr>
        <w:t xml:space="preserve"> inpatient</w:t>
      </w:r>
      <w:r w:rsidRPr="00F17C5D">
        <w:rPr>
          <w:szCs w:val="22"/>
        </w:rPr>
        <w:t xml:space="preserve"> </w:t>
      </w:r>
      <w:r>
        <w:rPr>
          <w:szCs w:val="22"/>
        </w:rPr>
        <w:t xml:space="preserve">telehealth </w:t>
      </w:r>
      <w:r w:rsidRPr="00F17C5D">
        <w:rPr>
          <w:szCs w:val="22"/>
        </w:rPr>
        <w:t>psychiat</w:t>
      </w:r>
      <w:r>
        <w:rPr>
          <w:szCs w:val="22"/>
        </w:rPr>
        <w:t>ry</w:t>
      </w:r>
      <w:r w:rsidRPr="00F17C5D">
        <w:rPr>
          <w:szCs w:val="22"/>
        </w:rPr>
        <w:t xml:space="preserve"> items, the MBS does not</w:t>
      </w:r>
      <w:r>
        <w:rPr>
          <w:szCs w:val="22"/>
        </w:rPr>
        <w:t xml:space="preserve"> </w:t>
      </w:r>
      <w:r w:rsidRPr="00F17C5D">
        <w:rPr>
          <w:szCs w:val="22"/>
        </w:rPr>
        <w:t>provide a benefit for telehealth services provided to an admitted hospital patient</w:t>
      </w:r>
      <w:r w:rsidR="00A24CC0" w:rsidRPr="00F17C5D">
        <w:rPr>
          <w:szCs w:val="22"/>
        </w:rPr>
        <w:t xml:space="preserve">. </w:t>
      </w:r>
    </w:p>
    <w:p w14:paraId="290E6F52" w14:textId="13C38856" w:rsidR="00F15BA5" w:rsidRPr="00D12421" w:rsidRDefault="00F15BA5" w:rsidP="00473DE9">
      <w:pPr>
        <w:rPr>
          <w:color w:val="auto"/>
          <w:szCs w:val="22"/>
        </w:rPr>
      </w:pPr>
      <w:r w:rsidRPr="00D12421">
        <w:rPr>
          <w:color w:val="auto"/>
          <w:szCs w:val="22"/>
        </w:rPr>
        <w:t>Under this proposal HITH treatment services will be</w:t>
      </w:r>
      <w:r w:rsidR="00D12421" w:rsidRPr="00D12421">
        <w:rPr>
          <w:color w:val="auto"/>
          <w:szCs w:val="22"/>
        </w:rPr>
        <w:t xml:space="preserve"> delivered to</w:t>
      </w:r>
      <w:r w:rsidRPr="00D12421">
        <w:rPr>
          <w:color w:val="auto"/>
          <w:szCs w:val="22"/>
        </w:rPr>
        <w:t xml:space="preserve"> admitted hospital patients</w:t>
      </w:r>
      <w:r w:rsidR="00D12421" w:rsidRPr="00D12421">
        <w:rPr>
          <w:color w:val="auto"/>
          <w:szCs w:val="22"/>
        </w:rPr>
        <w:t>. Existing</w:t>
      </w:r>
      <w:r w:rsidRPr="00D12421">
        <w:rPr>
          <w:color w:val="auto"/>
          <w:szCs w:val="22"/>
        </w:rPr>
        <w:t xml:space="preserve"> Medicare </w:t>
      </w:r>
      <w:r w:rsidR="00065747" w:rsidRPr="00D12421">
        <w:rPr>
          <w:color w:val="auto"/>
          <w:szCs w:val="22"/>
        </w:rPr>
        <w:t>arrangement</w:t>
      </w:r>
      <w:r w:rsidR="00413C81" w:rsidRPr="00D12421">
        <w:rPr>
          <w:color w:val="auto"/>
          <w:szCs w:val="22"/>
        </w:rPr>
        <w:t>s</w:t>
      </w:r>
      <w:r w:rsidRPr="00D12421">
        <w:rPr>
          <w:color w:val="auto"/>
          <w:szCs w:val="22"/>
        </w:rPr>
        <w:t xml:space="preserve"> would prohibit the payment of MBS benefits for telehealth services delivered to the patient </w:t>
      </w:r>
      <w:r w:rsidR="0023703B" w:rsidRPr="00D12421">
        <w:rPr>
          <w:color w:val="auto"/>
          <w:szCs w:val="22"/>
        </w:rPr>
        <w:t xml:space="preserve">as part of </w:t>
      </w:r>
      <w:r w:rsidRPr="00D12421">
        <w:rPr>
          <w:color w:val="auto"/>
          <w:szCs w:val="22"/>
        </w:rPr>
        <w:t>HITH treatment. Some stakeholders have provided feedback that restricting access to MBS benefits for telehealth services may limit the viability of HITH services</w:t>
      </w:r>
      <w:r w:rsidR="00A24CC0" w:rsidRPr="00D12421">
        <w:rPr>
          <w:color w:val="auto"/>
          <w:szCs w:val="22"/>
        </w:rPr>
        <w:t xml:space="preserve">. </w:t>
      </w:r>
    </w:p>
    <w:p w14:paraId="29D17714" w14:textId="77777777" w:rsidR="00F15BA5" w:rsidRPr="00D12421" w:rsidRDefault="00D12421" w:rsidP="00473DE9">
      <w:pPr>
        <w:rPr>
          <w:color w:val="auto"/>
        </w:rPr>
      </w:pPr>
      <w:r w:rsidRPr="00D12421">
        <w:rPr>
          <w:color w:val="auto"/>
          <w:szCs w:val="22"/>
        </w:rPr>
        <w:t>S</w:t>
      </w:r>
      <w:r w:rsidR="00F15BA5" w:rsidRPr="00D12421">
        <w:rPr>
          <w:color w:val="auto"/>
          <w:szCs w:val="22"/>
        </w:rPr>
        <w:t>takeholder</w:t>
      </w:r>
      <w:r w:rsidRPr="00D12421">
        <w:rPr>
          <w:color w:val="auto"/>
          <w:szCs w:val="22"/>
        </w:rPr>
        <w:t xml:space="preserve"> are encouraged to outline their</w:t>
      </w:r>
      <w:r w:rsidR="00F15BA5" w:rsidRPr="00D12421">
        <w:rPr>
          <w:color w:val="auto"/>
          <w:szCs w:val="22"/>
        </w:rPr>
        <w:t xml:space="preserve"> views on </w:t>
      </w:r>
      <w:r w:rsidR="00C35F6D" w:rsidRPr="00D12421">
        <w:rPr>
          <w:color w:val="auto"/>
          <w:szCs w:val="22"/>
        </w:rPr>
        <w:t>access to</w:t>
      </w:r>
      <w:r w:rsidR="00F15BA5" w:rsidRPr="00D12421">
        <w:rPr>
          <w:color w:val="auto"/>
          <w:szCs w:val="22"/>
        </w:rPr>
        <w:t> professional services attendance billing </w:t>
      </w:r>
      <w:r w:rsidR="0011117E" w:rsidRPr="00D12421">
        <w:rPr>
          <w:color w:val="auto"/>
          <w:szCs w:val="22"/>
        </w:rPr>
        <w:t xml:space="preserve">for telehealth </w:t>
      </w:r>
      <w:r w:rsidR="00F15BA5" w:rsidRPr="00D12421">
        <w:rPr>
          <w:color w:val="auto"/>
          <w:szCs w:val="22"/>
        </w:rPr>
        <w:t>to support the</w:t>
      </w:r>
      <w:r w:rsidR="0011117E" w:rsidRPr="00D12421">
        <w:rPr>
          <w:color w:val="auto"/>
          <w:szCs w:val="22"/>
        </w:rPr>
        <w:t xml:space="preserve"> ongoing management of</w:t>
      </w:r>
      <w:r w:rsidR="00F768F7" w:rsidRPr="00D12421">
        <w:rPr>
          <w:color w:val="auto"/>
          <w:szCs w:val="22"/>
        </w:rPr>
        <w:t xml:space="preserve"> patients receiving </w:t>
      </w:r>
      <w:r w:rsidR="00F15BA5" w:rsidRPr="00D12421">
        <w:rPr>
          <w:color w:val="auto"/>
          <w:szCs w:val="22"/>
        </w:rPr>
        <w:t>HITH treatment services under this proposal.</w:t>
      </w:r>
      <w:r w:rsidR="00F15BA5" w:rsidRPr="00D12421">
        <w:rPr>
          <w:color w:val="auto"/>
        </w:rPr>
        <w:t> </w:t>
      </w:r>
    </w:p>
    <w:p w14:paraId="63D20F62" w14:textId="77777777" w:rsidR="00F15BA5" w:rsidRPr="00FB30E9" w:rsidRDefault="006217BC" w:rsidP="008926E0">
      <w:pPr>
        <w:pStyle w:val="Body"/>
        <w:spacing w:before="240" w:after="120"/>
        <w:rPr>
          <w:rFonts w:cs="Arial"/>
          <w:b/>
          <w:bCs/>
          <w:color w:val="358189"/>
          <w:szCs w:val="22"/>
          <w:u w:val="single"/>
        </w:rPr>
      </w:pPr>
      <w:r>
        <w:rPr>
          <w:rFonts w:cs="Arial"/>
          <w:b/>
          <w:bCs/>
          <w:color w:val="358189"/>
          <w:szCs w:val="22"/>
          <w:u w:val="single"/>
        </w:rPr>
        <w:t>Consideration</w:t>
      </w:r>
      <w:r w:rsidR="00CB2F62" w:rsidRPr="00FB30E9">
        <w:rPr>
          <w:rFonts w:cs="Arial"/>
          <w:b/>
          <w:bCs/>
          <w:color w:val="358189"/>
          <w:szCs w:val="22"/>
          <w:u w:val="single"/>
        </w:rPr>
        <w:t xml:space="preserve"> 6: </w:t>
      </w:r>
      <w:r w:rsidR="00F15BA5" w:rsidRPr="00FB30E9">
        <w:rPr>
          <w:rFonts w:cs="Arial"/>
          <w:b/>
          <w:bCs/>
          <w:color w:val="358189"/>
          <w:szCs w:val="22"/>
          <w:u w:val="single"/>
        </w:rPr>
        <w:t>Aftercare</w:t>
      </w:r>
    </w:p>
    <w:p w14:paraId="0CA509A2" w14:textId="77777777" w:rsidR="00F15BA5" w:rsidRDefault="003A293E" w:rsidP="00473DE9">
      <w:pPr>
        <w:rPr>
          <w:rStyle w:val="normaltextrun"/>
          <w:rFonts w:eastAsiaTheme="majorEastAsia" w:cs="Arial"/>
          <w:color w:val="000000"/>
          <w:szCs w:val="22"/>
        </w:rPr>
      </w:pPr>
      <w:r>
        <w:rPr>
          <w:szCs w:val="22"/>
        </w:rPr>
        <w:t>The MBS recognises a</w:t>
      </w:r>
      <w:r w:rsidR="00F15BA5" w:rsidRPr="00F17C5D">
        <w:rPr>
          <w:szCs w:val="22"/>
        </w:rPr>
        <w:t xml:space="preserve">ftercare </w:t>
      </w:r>
      <w:r w:rsidR="00F17F47">
        <w:rPr>
          <w:szCs w:val="22"/>
        </w:rPr>
        <w:t>as</w:t>
      </w:r>
      <w:r w:rsidR="00F15BA5" w:rsidRPr="00F17C5D">
        <w:rPr>
          <w:szCs w:val="22"/>
        </w:rPr>
        <w:t xml:space="preserve"> post-operative care and treatment provided to patients after an operation</w:t>
      </w:r>
      <w:r w:rsidR="007E23B9">
        <w:rPr>
          <w:szCs w:val="22"/>
        </w:rPr>
        <w:t>.</w:t>
      </w:r>
      <w:r w:rsidR="007E23B9">
        <w:rPr>
          <w:rStyle w:val="EndnoteReference"/>
          <w:szCs w:val="22"/>
        </w:rPr>
        <w:endnoteReference w:id="9"/>
      </w:r>
      <w:r w:rsidR="00F15BA5" w:rsidRPr="00F17C5D">
        <w:rPr>
          <w:szCs w:val="22"/>
        </w:rPr>
        <w:t xml:space="preserve"> </w:t>
      </w:r>
      <w:r w:rsidR="00F45AA9">
        <w:rPr>
          <w:szCs w:val="22"/>
        </w:rPr>
        <w:t>Aftercare</w:t>
      </w:r>
      <w:r w:rsidR="00F15BA5" w:rsidRPr="00F17C5D">
        <w:rPr>
          <w:szCs w:val="22"/>
        </w:rPr>
        <w:t xml:space="preserve"> includes all attendances until recovery and the final check or examination</w:t>
      </w:r>
      <w:r w:rsidR="00F15BA5">
        <w:rPr>
          <w:szCs w:val="22"/>
        </w:rPr>
        <w:t xml:space="preserve"> of the patient</w:t>
      </w:r>
      <w:r w:rsidR="00F15BA5" w:rsidRPr="00F17C5D">
        <w:rPr>
          <w:szCs w:val="22"/>
        </w:rPr>
        <w:t xml:space="preserve">. Aftercare can take place in a hospital, private rooms or a patient’s home. Some MBS </w:t>
      </w:r>
      <w:r w:rsidR="00F15BA5" w:rsidRPr="00913B88">
        <w:rPr>
          <w:szCs w:val="22"/>
        </w:rPr>
        <w:t>surgical items include a minimum aftercare period in their description or explanatory note</w:t>
      </w:r>
      <w:r w:rsidR="00F15BA5" w:rsidRPr="00F17C5D">
        <w:rPr>
          <w:szCs w:val="22"/>
        </w:rPr>
        <w:t xml:space="preserve">. </w:t>
      </w:r>
      <w:r w:rsidR="00F15BA5" w:rsidRPr="00A71265">
        <w:rPr>
          <w:rStyle w:val="normaltextrun"/>
          <w:rFonts w:eastAsiaTheme="majorEastAsia" w:cs="Arial"/>
          <w:color w:val="000000"/>
          <w:szCs w:val="22"/>
        </w:rPr>
        <w:t>MBS fees for most surgical items in MBS Group</w:t>
      </w:r>
      <w:r w:rsidR="00F15BA5">
        <w:rPr>
          <w:rStyle w:val="normaltextrun"/>
          <w:rFonts w:eastAsiaTheme="majorEastAsia" w:cs="Arial"/>
          <w:color w:val="000000"/>
          <w:szCs w:val="22"/>
        </w:rPr>
        <w:t xml:space="preserve"> </w:t>
      </w:r>
      <w:r w:rsidR="00F15BA5" w:rsidRPr="00A71265">
        <w:rPr>
          <w:rStyle w:val="normaltextrun"/>
          <w:rFonts w:eastAsiaTheme="majorEastAsia" w:cs="Arial"/>
          <w:color w:val="000000"/>
          <w:szCs w:val="22"/>
        </w:rPr>
        <w:t>T8 include</w:t>
      </w:r>
      <w:r w:rsidR="00F15BA5">
        <w:rPr>
          <w:rStyle w:val="normaltextrun"/>
          <w:rFonts w:eastAsiaTheme="majorEastAsia" w:cs="Arial"/>
          <w:color w:val="000000"/>
          <w:szCs w:val="22"/>
        </w:rPr>
        <w:t xml:space="preserve"> an</w:t>
      </w:r>
      <w:r w:rsidR="00F15BA5" w:rsidRPr="00A71265">
        <w:rPr>
          <w:rStyle w:val="normaltextrun"/>
          <w:rFonts w:eastAsiaTheme="majorEastAsia" w:cs="Arial"/>
          <w:color w:val="000000"/>
          <w:szCs w:val="22"/>
        </w:rPr>
        <w:t> </w:t>
      </w:r>
      <w:r w:rsidR="00F15BA5">
        <w:rPr>
          <w:rStyle w:val="normaltextrun"/>
          <w:rFonts w:eastAsiaTheme="majorEastAsia" w:cs="Arial"/>
          <w:color w:val="000000"/>
          <w:szCs w:val="22"/>
        </w:rPr>
        <w:t>a</w:t>
      </w:r>
      <w:r w:rsidR="00F15BA5" w:rsidRPr="00A71265">
        <w:rPr>
          <w:rStyle w:val="normaltextrun"/>
          <w:rFonts w:eastAsiaTheme="majorEastAsia" w:cs="Arial"/>
          <w:color w:val="000000"/>
          <w:szCs w:val="22"/>
        </w:rPr>
        <w:t>ftercare component.</w:t>
      </w:r>
    </w:p>
    <w:p w14:paraId="326F35F6" w14:textId="77777777" w:rsidR="00F15BA5" w:rsidRPr="006D70DA" w:rsidRDefault="00F15BA5" w:rsidP="00473DE9">
      <w:pPr>
        <w:rPr>
          <w:rStyle w:val="normaltextrun"/>
          <w:rFonts w:eastAsiaTheme="majorEastAsia" w:cs="Arial"/>
          <w:szCs w:val="22"/>
        </w:rPr>
      </w:pPr>
      <w:r>
        <w:rPr>
          <w:rStyle w:val="normaltextrun"/>
          <w:rFonts w:eastAsiaTheme="majorEastAsia" w:cs="Arial"/>
          <w:color w:val="000000"/>
          <w:szCs w:val="22"/>
        </w:rPr>
        <w:t>Medicare billing rules specify that</w:t>
      </w:r>
      <w:r w:rsidRPr="00A71265">
        <w:rPr>
          <w:rStyle w:val="normaltextrun"/>
          <w:rFonts w:eastAsiaTheme="majorEastAsia" w:cs="Arial"/>
          <w:color w:val="000000"/>
          <w:szCs w:val="22"/>
          <w:shd w:val="clear" w:color="auto" w:fill="FFFFFF"/>
        </w:rPr>
        <w:t> </w:t>
      </w:r>
      <w:r>
        <w:rPr>
          <w:rStyle w:val="normaltextrun"/>
          <w:rFonts w:eastAsiaTheme="majorEastAsia" w:cs="Arial"/>
          <w:color w:val="000000"/>
          <w:szCs w:val="22"/>
          <w:shd w:val="clear" w:color="auto" w:fill="FFFFFF"/>
        </w:rPr>
        <w:t>a</w:t>
      </w:r>
      <w:r w:rsidRPr="00B75BA1">
        <w:rPr>
          <w:rStyle w:val="normaltextrun"/>
          <w:rFonts w:eastAsiaTheme="majorEastAsia" w:cs="Arial"/>
          <w:color w:val="000000"/>
          <w:szCs w:val="22"/>
          <w:shd w:val="clear" w:color="auto" w:fill="FFFFFF"/>
        </w:rPr>
        <w:t>dditional</w:t>
      </w:r>
      <w:r>
        <w:rPr>
          <w:rStyle w:val="normaltextrun"/>
          <w:rFonts w:eastAsiaTheme="majorEastAsia" w:cs="Arial"/>
          <w:color w:val="000000"/>
          <w:szCs w:val="22"/>
          <w:shd w:val="clear" w:color="auto" w:fill="FFFFFF"/>
        </w:rPr>
        <w:t xml:space="preserve"> MBS</w:t>
      </w:r>
      <w:r w:rsidRPr="00B75BA1">
        <w:rPr>
          <w:rStyle w:val="normaltextrun"/>
          <w:rFonts w:eastAsiaTheme="majorEastAsia" w:cs="Arial"/>
          <w:color w:val="000000"/>
          <w:szCs w:val="22"/>
          <w:shd w:val="clear" w:color="auto" w:fill="FFFFFF"/>
        </w:rPr>
        <w:t xml:space="preserve"> attendance items for normal aftercare cannot be billed</w:t>
      </w:r>
      <w:r>
        <w:rPr>
          <w:rStyle w:val="normaltextrun"/>
          <w:rFonts w:eastAsiaTheme="majorEastAsia" w:cs="Arial"/>
          <w:color w:val="000000"/>
          <w:szCs w:val="22"/>
          <w:shd w:val="clear" w:color="auto" w:fill="FFFFFF"/>
        </w:rPr>
        <w:t>. D</w:t>
      </w:r>
      <w:r w:rsidRPr="00854105">
        <w:rPr>
          <w:rStyle w:val="normaltextrun"/>
          <w:rFonts w:eastAsiaTheme="majorEastAsia" w:cs="Arial"/>
          <w:color w:val="000000"/>
          <w:szCs w:val="22"/>
          <w:shd w:val="clear" w:color="auto" w:fill="FFFFFF"/>
        </w:rPr>
        <w:t xml:space="preserve">uring </w:t>
      </w:r>
      <w:r>
        <w:rPr>
          <w:rStyle w:val="normaltextrun"/>
          <w:rFonts w:eastAsiaTheme="majorEastAsia" w:cs="Arial"/>
          <w:color w:val="000000"/>
          <w:szCs w:val="22"/>
          <w:shd w:val="clear" w:color="auto" w:fill="FFFFFF"/>
        </w:rPr>
        <w:t>the</w:t>
      </w:r>
      <w:r w:rsidRPr="00854105">
        <w:rPr>
          <w:rStyle w:val="normaltextrun"/>
          <w:rFonts w:eastAsiaTheme="majorEastAsia" w:cs="Arial"/>
          <w:color w:val="000000"/>
          <w:szCs w:val="22"/>
          <w:shd w:val="clear" w:color="auto" w:fill="FFFFFF"/>
        </w:rPr>
        <w:t xml:space="preserve"> aftercare period, a service considered ‘not normal aftercare’ </w:t>
      </w:r>
      <w:r>
        <w:rPr>
          <w:rStyle w:val="normaltextrun"/>
          <w:rFonts w:eastAsiaTheme="majorEastAsia" w:cs="Arial"/>
          <w:color w:val="000000"/>
          <w:szCs w:val="22"/>
          <w:shd w:val="clear" w:color="auto" w:fill="FFFFFF"/>
        </w:rPr>
        <w:t xml:space="preserve">may </w:t>
      </w:r>
      <w:r w:rsidRPr="00854105">
        <w:rPr>
          <w:rStyle w:val="normaltextrun"/>
          <w:rFonts w:eastAsiaTheme="majorEastAsia" w:cs="Arial"/>
          <w:color w:val="000000"/>
          <w:szCs w:val="22"/>
          <w:shd w:val="clear" w:color="auto" w:fill="FFFFFF"/>
        </w:rPr>
        <w:t>be billed</w:t>
      </w:r>
      <w:r>
        <w:rPr>
          <w:rStyle w:val="normaltextrun"/>
          <w:rFonts w:eastAsiaTheme="majorEastAsia" w:cs="Arial"/>
          <w:color w:val="000000"/>
          <w:szCs w:val="22"/>
          <w:shd w:val="clear" w:color="auto" w:fill="FFFFFF"/>
        </w:rPr>
        <w:t xml:space="preserve"> </w:t>
      </w:r>
      <w:r w:rsidRPr="00854105">
        <w:rPr>
          <w:rStyle w:val="normaltextrun"/>
          <w:rFonts w:eastAsiaTheme="majorEastAsia" w:cs="Arial"/>
          <w:color w:val="000000"/>
          <w:szCs w:val="22"/>
          <w:shd w:val="clear" w:color="auto" w:fill="FFFFFF"/>
        </w:rPr>
        <w:t>(</w:t>
      </w:r>
      <w:r>
        <w:rPr>
          <w:rStyle w:val="normaltextrun"/>
          <w:rFonts w:eastAsiaTheme="majorEastAsia" w:cs="Arial"/>
          <w:color w:val="000000"/>
          <w:szCs w:val="22"/>
          <w:shd w:val="clear" w:color="auto" w:fill="FFFFFF"/>
        </w:rPr>
        <w:t xml:space="preserve">e.g. if </w:t>
      </w:r>
      <w:r w:rsidRPr="00854105">
        <w:rPr>
          <w:rStyle w:val="normaltextrun"/>
          <w:rFonts w:eastAsiaTheme="majorEastAsia" w:cs="Arial"/>
          <w:color w:val="000000"/>
          <w:szCs w:val="22"/>
          <w:shd w:val="clear" w:color="auto" w:fill="FFFFFF"/>
        </w:rPr>
        <w:t>the patient is seen for either an unrelated condition, or complications from the operation)</w:t>
      </w:r>
      <w:r>
        <w:rPr>
          <w:rStyle w:val="normaltextrun"/>
          <w:rFonts w:eastAsiaTheme="majorEastAsia" w:cs="Arial"/>
          <w:color w:val="000000"/>
          <w:szCs w:val="22"/>
          <w:shd w:val="clear" w:color="auto" w:fill="FFFFFF"/>
        </w:rPr>
        <w:t xml:space="preserve">. </w:t>
      </w:r>
      <w:r w:rsidRPr="00A71265">
        <w:rPr>
          <w:rStyle w:val="normaltextrun"/>
          <w:rFonts w:eastAsiaTheme="majorEastAsia" w:cs="Arial"/>
          <w:color w:val="000000"/>
          <w:szCs w:val="22"/>
        </w:rPr>
        <w:t xml:space="preserve">When an item does not include aftercare, this is noted in the item </w:t>
      </w:r>
      <w:r w:rsidRPr="006D70DA">
        <w:rPr>
          <w:rStyle w:val="normaltextrun"/>
          <w:rFonts w:eastAsiaTheme="majorEastAsia" w:cs="Arial"/>
          <w:szCs w:val="22"/>
        </w:rPr>
        <w:t>description or explanatory notes of the MBS.</w:t>
      </w:r>
    </w:p>
    <w:p w14:paraId="6F75FB5A" w14:textId="77777777" w:rsidR="00F437F0" w:rsidRDefault="00F15BA5" w:rsidP="00F437F0">
      <w:pPr>
        <w:rPr>
          <w:szCs w:val="22"/>
        </w:rPr>
      </w:pPr>
      <w:r w:rsidRPr="00F17C5D">
        <w:rPr>
          <w:szCs w:val="22"/>
        </w:rPr>
        <w:lastRenderedPageBreak/>
        <w:t xml:space="preserve">This proposal </w:t>
      </w:r>
      <w:r>
        <w:rPr>
          <w:szCs w:val="22"/>
        </w:rPr>
        <w:t>would</w:t>
      </w:r>
      <w:r w:rsidRPr="00F17C5D">
        <w:rPr>
          <w:szCs w:val="22"/>
        </w:rPr>
        <w:t xml:space="preserve"> not change existing MBS aftercare billing arrangements.</w:t>
      </w:r>
      <w:r>
        <w:rPr>
          <w:szCs w:val="22"/>
        </w:rPr>
        <w:t xml:space="preserve"> This means that a practitioner providing normal aftercare to a HITH patient would not be eligible to bill these attendances to Medicare.</w:t>
      </w:r>
      <w:r w:rsidRPr="00F17C5D">
        <w:rPr>
          <w:szCs w:val="22"/>
        </w:rPr>
        <w:t xml:space="preserve"> The department is not considering any amendments to </w:t>
      </w:r>
      <w:r>
        <w:rPr>
          <w:szCs w:val="22"/>
        </w:rPr>
        <w:t xml:space="preserve">MBS </w:t>
      </w:r>
      <w:r w:rsidRPr="00F17C5D">
        <w:rPr>
          <w:szCs w:val="22"/>
        </w:rPr>
        <w:t xml:space="preserve">aftercare billing arrangements as part of this </w:t>
      </w:r>
      <w:r w:rsidR="007569E1">
        <w:rPr>
          <w:szCs w:val="22"/>
        </w:rPr>
        <w:t>proposal</w:t>
      </w:r>
      <w:r w:rsidRPr="00F17C5D">
        <w:rPr>
          <w:szCs w:val="22"/>
        </w:rPr>
        <w:t>.</w:t>
      </w:r>
    </w:p>
    <w:p w14:paraId="1C38957F" w14:textId="29F3D2EB" w:rsidR="00F15BA5" w:rsidRPr="00FB30E9" w:rsidRDefault="006217BC" w:rsidP="00F437F0">
      <w:pPr>
        <w:spacing w:before="240"/>
        <w:rPr>
          <w:rFonts w:cs="Arial"/>
          <w:b/>
          <w:bCs/>
          <w:color w:val="358189"/>
          <w:szCs w:val="22"/>
          <w:u w:val="single"/>
        </w:rPr>
      </w:pPr>
      <w:r>
        <w:rPr>
          <w:rFonts w:cs="Arial"/>
          <w:b/>
          <w:bCs/>
          <w:color w:val="358189"/>
          <w:szCs w:val="22"/>
          <w:u w:val="single"/>
        </w:rPr>
        <w:t>Consideration</w:t>
      </w:r>
      <w:r w:rsidR="00CB2F62" w:rsidRPr="00FB30E9">
        <w:rPr>
          <w:rFonts w:cs="Arial"/>
          <w:b/>
          <w:bCs/>
          <w:color w:val="358189"/>
          <w:szCs w:val="22"/>
          <w:u w:val="single"/>
        </w:rPr>
        <w:t xml:space="preserve"> 7: </w:t>
      </w:r>
      <w:r w:rsidR="00757136">
        <w:rPr>
          <w:rFonts w:cs="Arial"/>
          <w:b/>
          <w:bCs/>
          <w:color w:val="358189"/>
          <w:szCs w:val="22"/>
          <w:u w:val="single"/>
        </w:rPr>
        <w:t>Safety and quality and c</w:t>
      </w:r>
      <w:r w:rsidR="00F15BA5" w:rsidRPr="00FB30E9">
        <w:rPr>
          <w:rFonts w:cs="Arial"/>
          <w:b/>
          <w:bCs/>
          <w:color w:val="358189"/>
          <w:szCs w:val="22"/>
          <w:u w:val="single"/>
        </w:rPr>
        <w:t>linical service requirements</w:t>
      </w:r>
    </w:p>
    <w:p w14:paraId="41CBEEE5" w14:textId="77777777" w:rsidR="00455851" w:rsidRPr="00455851" w:rsidRDefault="00455851" w:rsidP="00455851">
      <w:pPr>
        <w:rPr>
          <w:szCs w:val="22"/>
        </w:rPr>
      </w:pPr>
      <w:r w:rsidRPr="00455851">
        <w:rPr>
          <w:szCs w:val="22"/>
        </w:rPr>
        <w:t xml:space="preserve">The safety and quality of healthcare services are of paramount importance. The proposed initiative would introduce a minimum hospital benefit payable to declared private hospitals. Eligible HITH services </w:t>
      </w:r>
      <w:r w:rsidR="00075203">
        <w:rPr>
          <w:szCs w:val="22"/>
        </w:rPr>
        <w:t xml:space="preserve">would be </w:t>
      </w:r>
      <w:r w:rsidRPr="00455851">
        <w:rPr>
          <w:szCs w:val="22"/>
        </w:rPr>
        <w:t>provided by, or arranged with the direct involvement of, private hospitals</w:t>
      </w:r>
      <w:r w:rsidR="00075203">
        <w:rPr>
          <w:szCs w:val="22"/>
        </w:rPr>
        <w:t>.</w:t>
      </w:r>
      <w:r w:rsidR="00751111">
        <w:rPr>
          <w:szCs w:val="22"/>
        </w:rPr>
        <w:t xml:space="preserve"> T</w:t>
      </w:r>
      <w:r w:rsidR="00075203">
        <w:rPr>
          <w:szCs w:val="22"/>
        </w:rPr>
        <w:t>hese services</w:t>
      </w:r>
      <w:r w:rsidRPr="00455851">
        <w:rPr>
          <w:szCs w:val="22"/>
        </w:rPr>
        <w:t xml:space="preserve"> would be required to meet the standards of safety, quality and clinical governance that apply to </w:t>
      </w:r>
      <w:r w:rsidR="0097172E">
        <w:rPr>
          <w:szCs w:val="22"/>
        </w:rPr>
        <w:t>all care</w:t>
      </w:r>
      <w:r w:rsidRPr="00455851">
        <w:rPr>
          <w:szCs w:val="22"/>
        </w:rPr>
        <w:t xml:space="preserve"> provided </w:t>
      </w:r>
      <w:r w:rsidR="0097172E">
        <w:rPr>
          <w:szCs w:val="22"/>
        </w:rPr>
        <w:t xml:space="preserve">by that </w:t>
      </w:r>
      <w:r w:rsidRPr="00455851">
        <w:rPr>
          <w:szCs w:val="22"/>
        </w:rPr>
        <w:t>hospital.</w:t>
      </w:r>
    </w:p>
    <w:p w14:paraId="4798A527" w14:textId="77777777" w:rsidR="00455851" w:rsidRPr="00D12421" w:rsidRDefault="00455851" w:rsidP="00455851">
      <w:pPr>
        <w:rPr>
          <w:color w:val="auto"/>
          <w:szCs w:val="22"/>
        </w:rPr>
      </w:pPr>
      <w:r w:rsidRPr="00D12421">
        <w:rPr>
          <w:color w:val="auto"/>
          <w:szCs w:val="22"/>
        </w:rPr>
        <w:t xml:space="preserve">Private hospitals delivering or arranging HITH services would remain accountable for ensuring that all aspects of the care they provide, including HITH programs, comply with the National Safety and Quality Health Service (NSQHS) Standards issued by the </w:t>
      </w:r>
      <w:hyperlink r:id="rId28" w:history="1">
        <w:r w:rsidRPr="00D12421">
          <w:rPr>
            <w:rStyle w:val="Hyperlink"/>
            <w:szCs w:val="22"/>
          </w:rPr>
          <w:t>Australian Commission on Safety and Quality in Health Care</w:t>
        </w:r>
      </w:hyperlink>
      <w:r w:rsidR="00D12421">
        <w:rPr>
          <w:color w:val="auto"/>
          <w:szCs w:val="22"/>
        </w:rPr>
        <w:t xml:space="preserve"> (ACSQHC)</w:t>
      </w:r>
      <w:r w:rsidRPr="00D12421">
        <w:rPr>
          <w:color w:val="auto"/>
          <w:szCs w:val="22"/>
        </w:rPr>
        <w:t>.</w:t>
      </w:r>
    </w:p>
    <w:p w14:paraId="46049A77" w14:textId="66B6EF44" w:rsidR="00F15BA5" w:rsidRDefault="00455851" w:rsidP="00455851">
      <w:pPr>
        <w:rPr>
          <w:szCs w:val="22"/>
        </w:rPr>
      </w:pPr>
      <w:r w:rsidRPr="00455851">
        <w:rPr>
          <w:szCs w:val="22"/>
        </w:rPr>
        <w:t>The Government does not prescribe clinical service requirements for other treatment categories where minimum hospital benefits apply, such as surgical, psychiatric or rehabilitation services. Consistent with this approach, the Government does not intend to establish specific clinical service requirements for the delivery of HITH treatment programs</w:t>
      </w:r>
      <w:r w:rsidR="00436D1A">
        <w:rPr>
          <w:szCs w:val="22"/>
        </w:rPr>
        <w:t xml:space="preserve"> </w:t>
      </w:r>
      <w:r w:rsidR="005759E5">
        <w:rPr>
          <w:szCs w:val="22"/>
        </w:rPr>
        <w:t>beyond the existing accreditation requirements</w:t>
      </w:r>
      <w:r w:rsidRPr="00455851">
        <w:rPr>
          <w:szCs w:val="22"/>
        </w:rPr>
        <w:t>.</w:t>
      </w:r>
      <w:r w:rsidRPr="00455851" w:rsidDel="006B4CBC">
        <w:rPr>
          <w:szCs w:val="22"/>
        </w:rPr>
        <w:t xml:space="preserve"> </w:t>
      </w:r>
      <w:r w:rsidR="00F15BA5">
        <w:rPr>
          <w:szCs w:val="22"/>
        </w:rPr>
        <w:t>.</w:t>
      </w:r>
    </w:p>
    <w:p w14:paraId="39A6A424" w14:textId="77777777" w:rsidR="00F15BA5" w:rsidRPr="00FB30E9" w:rsidRDefault="00803639" w:rsidP="00651D4E">
      <w:pPr>
        <w:pStyle w:val="Heading3"/>
        <w:numPr>
          <w:ilvl w:val="2"/>
          <w:numId w:val="14"/>
        </w:numPr>
        <w:spacing w:before="240" w:after="120"/>
        <w:rPr>
          <w:b w:val="0"/>
          <w:bCs w:val="0"/>
          <w:i/>
          <w:iCs/>
          <w:sz w:val="28"/>
          <w:szCs w:val="28"/>
        </w:rPr>
      </w:pPr>
      <w:r w:rsidRPr="3D1C1472">
        <w:rPr>
          <w:b w:val="0"/>
          <w:bCs w:val="0"/>
          <w:i/>
          <w:iCs/>
          <w:sz w:val="28"/>
          <w:szCs w:val="28"/>
        </w:rPr>
        <w:t xml:space="preserve"> </w:t>
      </w:r>
      <w:bookmarkStart w:id="51" w:name="_Toc233805037"/>
      <w:r w:rsidR="00F15BA5" w:rsidRPr="3D1C1472">
        <w:rPr>
          <w:b w:val="0"/>
          <w:bCs w:val="0"/>
          <w:i/>
          <w:iCs/>
          <w:sz w:val="28"/>
          <w:szCs w:val="28"/>
        </w:rPr>
        <w:t>Implementation and timing</w:t>
      </w:r>
      <w:bookmarkEnd w:id="51"/>
      <w:r w:rsidR="00F15BA5" w:rsidRPr="3D1C1472">
        <w:rPr>
          <w:b w:val="0"/>
          <w:bCs w:val="0"/>
          <w:i/>
          <w:iCs/>
          <w:sz w:val="28"/>
          <w:szCs w:val="28"/>
        </w:rPr>
        <w:t> </w:t>
      </w:r>
    </w:p>
    <w:p w14:paraId="48F3DBE9" w14:textId="4646E818" w:rsidR="00F15BA5" w:rsidRPr="00F17C5D" w:rsidRDefault="00F15BA5" w:rsidP="00473DE9">
      <w:pPr>
        <w:rPr>
          <w:szCs w:val="22"/>
        </w:rPr>
      </w:pPr>
      <w:r w:rsidRPr="00F17C5D">
        <w:rPr>
          <w:szCs w:val="22"/>
          <w:lang w:val="en-US"/>
        </w:rPr>
        <w:t>If agreed by Government, the</w:t>
      </w:r>
      <w:r w:rsidR="00CE6AF0">
        <w:rPr>
          <w:szCs w:val="22"/>
          <w:lang w:val="en-US"/>
        </w:rPr>
        <w:t xml:space="preserve"> department would implement the</w:t>
      </w:r>
      <w:r w:rsidRPr="00F17C5D">
        <w:rPr>
          <w:szCs w:val="22"/>
          <w:lang w:val="en-US"/>
        </w:rPr>
        <w:t xml:space="preserve"> </w:t>
      </w:r>
      <w:r w:rsidRPr="00F17C5D" w:rsidDel="002C1B8B">
        <w:rPr>
          <w:szCs w:val="22"/>
          <w:lang w:val="en-US"/>
        </w:rPr>
        <w:t xml:space="preserve">proposed </w:t>
      </w:r>
      <w:r w:rsidR="002C1B8B">
        <w:rPr>
          <w:szCs w:val="22"/>
          <w:lang w:val="en-US"/>
        </w:rPr>
        <w:t>initiative</w:t>
      </w:r>
      <w:r w:rsidRPr="00F17C5D">
        <w:rPr>
          <w:szCs w:val="22"/>
          <w:lang w:val="en-US"/>
        </w:rPr>
        <w:t xml:space="preserve"> through an amendment to the Benefit Requirements Rules. </w:t>
      </w:r>
      <w:r>
        <w:rPr>
          <w:szCs w:val="22"/>
          <w:lang w:val="en-US"/>
        </w:rPr>
        <w:t>A</w:t>
      </w:r>
      <w:r w:rsidRPr="00F17C5D">
        <w:rPr>
          <w:szCs w:val="22"/>
          <w:lang w:val="en-US"/>
        </w:rPr>
        <w:t xml:space="preserve"> </w:t>
      </w:r>
      <w:r>
        <w:rPr>
          <w:szCs w:val="22"/>
          <w:lang w:val="en-US"/>
        </w:rPr>
        <w:t xml:space="preserve">minimum hospital </w:t>
      </w:r>
      <w:r w:rsidRPr="00F17C5D">
        <w:rPr>
          <w:szCs w:val="22"/>
          <w:lang w:val="en-US"/>
        </w:rPr>
        <w:t xml:space="preserve">benefit for the first tranche of HITH services </w:t>
      </w:r>
      <w:r>
        <w:rPr>
          <w:szCs w:val="22"/>
          <w:lang w:val="en-US"/>
        </w:rPr>
        <w:t xml:space="preserve">could potentially </w:t>
      </w:r>
      <w:r w:rsidRPr="00F17C5D">
        <w:rPr>
          <w:szCs w:val="22"/>
          <w:lang w:val="en-US"/>
        </w:rPr>
        <w:t>come into effect in line with new premium round changes</w:t>
      </w:r>
      <w:r>
        <w:rPr>
          <w:szCs w:val="22"/>
          <w:lang w:val="en-US"/>
        </w:rPr>
        <w:t xml:space="preserve"> on</w:t>
      </w:r>
      <w:r w:rsidRPr="00F17C5D">
        <w:rPr>
          <w:szCs w:val="22"/>
          <w:lang w:val="en-US"/>
        </w:rPr>
        <w:t> 1</w:t>
      </w:r>
      <w:r>
        <w:rPr>
          <w:szCs w:val="22"/>
          <w:lang w:val="en-US"/>
        </w:rPr>
        <w:t> </w:t>
      </w:r>
      <w:r w:rsidRPr="00F17C5D">
        <w:rPr>
          <w:szCs w:val="22"/>
          <w:lang w:val="en-US"/>
        </w:rPr>
        <w:t>April 2027</w:t>
      </w:r>
      <w:r>
        <w:rPr>
          <w:szCs w:val="22"/>
          <w:lang w:val="en-US"/>
        </w:rPr>
        <w:t xml:space="preserve">. </w:t>
      </w:r>
      <w:r w:rsidR="00D12421" w:rsidRPr="00D12421">
        <w:rPr>
          <w:color w:val="auto"/>
          <w:szCs w:val="22"/>
          <w:lang w:val="en-US"/>
        </w:rPr>
        <w:t>If</w:t>
      </w:r>
      <w:r w:rsidRPr="00D12421">
        <w:rPr>
          <w:color w:val="auto"/>
          <w:szCs w:val="22"/>
          <w:lang w:val="en-US"/>
        </w:rPr>
        <w:t xml:space="preserve"> the Government decide</w:t>
      </w:r>
      <w:r w:rsidR="00D12421" w:rsidRPr="00D12421">
        <w:rPr>
          <w:color w:val="auto"/>
          <w:szCs w:val="22"/>
          <w:lang w:val="en-US"/>
        </w:rPr>
        <w:t>s</w:t>
      </w:r>
      <w:r w:rsidRPr="00D12421">
        <w:rPr>
          <w:color w:val="auto"/>
          <w:szCs w:val="22"/>
          <w:lang w:val="en-US"/>
        </w:rPr>
        <w:t xml:space="preserve"> to implement the proposal</w:t>
      </w:r>
      <w:r w:rsidR="00D12421" w:rsidRPr="00D12421">
        <w:rPr>
          <w:color w:val="auto"/>
          <w:szCs w:val="22"/>
          <w:lang w:val="en-US"/>
        </w:rPr>
        <w:t xml:space="preserve"> </w:t>
      </w:r>
      <w:r w:rsidRPr="00D12421">
        <w:rPr>
          <w:color w:val="auto"/>
          <w:szCs w:val="22"/>
          <w:lang w:val="en-US"/>
        </w:rPr>
        <w:t>it would</w:t>
      </w:r>
      <w:r w:rsidR="00D12421" w:rsidRPr="00D12421">
        <w:rPr>
          <w:color w:val="auto"/>
          <w:szCs w:val="22"/>
          <w:lang w:val="en-US"/>
        </w:rPr>
        <w:t xml:space="preserve"> be</w:t>
      </w:r>
      <w:r w:rsidRPr="00D12421">
        <w:rPr>
          <w:color w:val="auto"/>
          <w:szCs w:val="22"/>
          <w:lang w:val="en-US"/>
        </w:rPr>
        <w:t xml:space="preserve"> announce</w:t>
      </w:r>
      <w:r w:rsidR="00D12421" w:rsidRPr="00D12421">
        <w:rPr>
          <w:color w:val="auto"/>
          <w:szCs w:val="22"/>
          <w:lang w:val="en-US"/>
        </w:rPr>
        <w:t>d</w:t>
      </w:r>
      <w:r w:rsidRPr="00D12421">
        <w:rPr>
          <w:color w:val="auto"/>
          <w:szCs w:val="22"/>
          <w:lang w:val="en-US"/>
        </w:rPr>
        <w:t xml:space="preserve"> by late-2026, to enable insurers to incorporate this policy into their 2027 Premium Round submissions. </w:t>
      </w:r>
      <w:r w:rsidR="008566A9">
        <w:rPr>
          <w:szCs w:val="22"/>
          <w:lang w:val="en-US"/>
        </w:rPr>
        <w:t>The department expects the</w:t>
      </w:r>
      <w:r>
        <w:rPr>
          <w:szCs w:val="22"/>
          <w:lang w:val="en-US"/>
        </w:rPr>
        <w:t xml:space="preserve"> p</w:t>
      </w:r>
      <w:r w:rsidRPr="00F17C5D">
        <w:rPr>
          <w:szCs w:val="22"/>
          <w:lang w:val="en-US"/>
        </w:rPr>
        <w:t>roposed draft Rule amendments </w:t>
      </w:r>
      <w:r w:rsidR="00AC0265">
        <w:rPr>
          <w:szCs w:val="22"/>
          <w:lang w:val="en-US"/>
        </w:rPr>
        <w:t>to</w:t>
      </w:r>
      <w:r>
        <w:rPr>
          <w:szCs w:val="22"/>
          <w:lang w:val="en-US"/>
        </w:rPr>
        <w:t xml:space="preserve"> be issued for public </w:t>
      </w:r>
      <w:r w:rsidRPr="00F17C5D">
        <w:rPr>
          <w:szCs w:val="22"/>
          <w:lang w:val="en-US"/>
        </w:rPr>
        <w:t>consult</w:t>
      </w:r>
      <w:r w:rsidR="005E713C">
        <w:rPr>
          <w:szCs w:val="22"/>
          <w:lang w:val="en-US"/>
        </w:rPr>
        <w:t>ation</w:t>
      </w:r>
      <w:r>
        <w:rPr>
          <w:szCs w:val="22"/>
          <w:lang w:val="en-US"/>
        </w:rPr>
        <w:t xml:space="preserve"> prior to implementation of the policy</w:t>
      </w:r>
      <w:r w:rsidRPr="00F17C5D">
        <w:rPr>
          <w:szCs w:val="22"/>
          <w:lang w:val="en-US"/>
        </w:rPr>
        <w:t>.</w:t>
      </w:r>
      <w:r w:rsidRPr="00F17C5D">
        <w:rPr>
          <w:szCs w:val="22"/>
        </w:rPr>
        <w:t> </w:t>
      </w:r>
    </w:p>
    <w:p w14:paraId="4E484386" w14:textId="77777777" w:rsidR="00F15BA5" w:rsidRPr="00F17C5D" w:rsidRDefault="00F15BA5" w:rsidP="00473DE9">
      <w:pPr>
        <w:rPr>
          <w:szCs w:val="22"/>
        </w:rPr>
      </w:pPr>
      <w:r w:rsidRPr="00F17C5D">
        <w:rPr>
          <w:szCs w:val="22"/>
          <w:lang w:val="en-US"/>
        </w:rPr>
        <w:t>Following the rollout of the initial tranche of HITH services, an evaluation will take place to determine whether:</w:t>
      </w:r>
      <w:r w:rsidRPr="00F17C5D">
        <w:rPr>
          <w:szCs w:val="22"/>
        </w:rPr>
        <w:t> </w:t>
      </w:r>
    </w:p>
    <w:p w14:paraId="45534944" w14:textId="77777777" w:rsidR="00F15BA5" w:rsidRPr="00F17C5D" w:rsidRDefault="00F15BA5" w:rsidP="009257CE">
      <w:pPr>
        <w:numPr>
          <w:ilvl w:val="0"/>
          <w:numId w:val="36"/>
        </w:numPr>
        <w:spacing w:line="259" w:lineRule="auto"/>
        <w:ind w:left="714" w:hanging="357"/>
        <w:rPr>
          <w:szCs w:val="22"/>
        </w:rPr>
      </w:pPr>
      <w:r w:rsidRPr="00F17C5D">
        <w:rPr>
          <w:szCs w:val="22"/>
          <w:lang w:val="en-US"/>
        </w:rPr>
        <w:t>changes have delivered the policy intent</w:t>
      </w:r>
      <w:r w:rsidRPr="00F17C5D">
        <w:rPr>
          <w:szCs w:val="22"/>
        </w:rPr>
        <w:t> </w:t>
      </w:r>
    </w:p>
    <w:p w14:paraId="272E8A86" w14:textId="77777777" w:rsidR="00F15BA5" w:rsidRPr="00F17C5D" w:rsidRDefault="00F15BA5" w:rsidP="009257CE">
      <w:pPr>
        <w:numPr>
          <w:ilvl w:val="0"/>
          <w:numId w:val="37"/>
        </w:numPr>
        <w:spacing w:line="259" w:lineRule="auto"/>
        <w:ind w:left="714" w:hanging="357"/>
        <w:rPr>
          <w:szCs w:val="22"/>
        </w:rPr>
      </w:pPr>
      <w:r>
        <w:rPr>
          <w:szCs w:val="22"/>
          <w:lang w:val="en-US"/>
        </w:rPr>
        <w:t>minimum hospital</w:t>
      </w:r>
      <w:r w:rsidRPr="00F17C5D">
        <w:rPr>
          <w:szCs w:val="22"/>
          <w:lang w:val="en-US"/>
        </w:rPr>
        <w:t xml:space="preserve"> benefit</w:t>
      </w:r>
      <w:r>
        <w:rPr>
          <w:szCs w:val="22"/>
          <w:lang w:val="en-US"/>
        </w:rPr>
        <w:t xml:space="preserve"> for HITH</w:t>
      </w:r>
      <w:r w:rsidRPr="00F17C5D">
        <w:rPr>
          <w:szCs w:val="22"/>
          <w:lang w:val="en-US"/>
        </w:rPr>
        <w:t> was set at an appropriate amount for the 3 HITH treatment services rolled out in th</w:t>
      </w:r>
      <w:r>
        <w:rPr>
          <w:szCs w:val="22"/>
          <w:lang w:val="en-US"/>
        </w:rPr>
        <w:t>e</w:t>
      </w:r>
      <w:r w:rsidRPr="00F17C5D">
        <w:rPr>
          <w:szCs w:val="22"/>
          <w:lang w:val="en-US"/>
        </w:rPr>
        <w:t> initial tranche</w:t>
      </w:r>
    </w:p>
    <w:p w14:paraId="3F8501D5" w14:textId="77777777" w:rsidR="00F15BA5" w:rsidRPr="00F17C5D" w:rsidRDefault="00F15BA5" w:rsidP="009257CE">
      <w:pPr>
        <w:numPr>
          <w:ilvl w:val="0"/>
          <w:numId w:val="38"/>
        </w:numPr>
        <w:spacing w:line="259" w:lineRule="auto"/>
        <w:ind w:left="714" w:hanging="357"/>
        <w:rPr>
          <w:szCs w:val="22"/>
        </w:rPr>
      </w:pPr>
      <w:r>
        <w:rPr>
          <w:szCs w:val="22"/>
          <w:lang w:val="en-US"/>
        </w:rPr>
        <w:t>minimum hospital</w:t>
      </w:r>
      <w:r w:rsidRPr="00F17C5D">
        <w:rPr>
          <w:szCs w:val="22"/>
          <w:lang w:val="en-US"/>
        </w:rPr>
        <w:t xml:space="preserve"> benefit</w:t>
      </w:r>
      <w:r>
        <w:rPr>
          <w:szCs w:val="22"/>
          <w:lang w:val="en-US"/>
        </w:rPr>
        <w:t xml:space="preserve"> for HITH</w:t>
      </w:r>
      <w:r w:rsidRPr="00F17C5D">
        <w:rPr>
          <w:szCs w:val="22"/>
          <w:lang w:val="en-US"/>
        </w:rPr>
        <w:t xml:space="preserve"> should continue for the 3 HITH treatment services rolled out in this initial tranche</w:t>
      </w:r>
      <w:r w:rsidR="00D9561C">
        <w:rPr>
          <w:szCs w:val="22"/>
          <w:lang w:val="en-US"/>
        </w:rPr>
        <w:t>, and</w:t>
      </w:r>
      <w:r w:rsidRPr="00F17C5D">
        <w:rPr>
          <w:szCs w:val="22"/>
        </w:rPr>
        <w:t> </w:t>
      </w:r>
    </w:p>
    <w:p w14:paraId="6CA42955" w14:textId="77777777" w:rsidR="00F15BA5" w:rsidRPr="00F17C5D" w:rsidRDefault="00F15BA5" w:rsidP="009257CE">
      <w:pPr>
        <w:numPr>
          <w:ilvl w:val="0"/>
          <w:numId w:val="39"/>
        </w:numPr>
        <w:spacing w:line="259" w:lineRule="auto"/>
        <w:ind w:left="714" w:hanging="357"/>
        <w:rPr>
          <w:szCs w:val="22"/>
        </w:rPr>
      </w:pPr>
      <w:r>
        <w:rPr>
          <w:szCs w:val="22"/>
          <w:lang w:val="en-US"/>
        </w:rPr>
        <w:t>further minimum hospital</w:t>
      </w:r>
      <w:r w:rsidRPr="00F17C5D">
        <w:rPr>
          <w:szCs w:val="22"/>
          <w:lang w:val="en-US"/>
        </w:rPr>
        <w:t xml:space="preserve"> benefit</w:t>
      </w:r>
      <w:r>
        <w:rPr>
          <w:szCs w:val="22"/>
          <w:lang w:val="en-US"/>
        </w:rPr>
        <w:t>s for HITH</w:t>
      </w:r>
      <w:r w:rsidRPr="00F17C5D">
        <w:rPr>
          <w:szCs w:val="22"/>
          <w:lang w:val="en-US"/>
        </w:rPr>
        <w:t xml:space="preserve"> should be implemented for additional HITH treatment services.</w:t>
      </w:r>
      <w:r w:rsidRPr="00F17C5D">
        <w:rPr>
          <w:szCs w:val="22"/>
        </w:rPr>
        <w:t> </w:t>
      </w:r>
    </w:p>
    <w:p w14:paraId="70D2A3BA" w14:textId="77777777" w:rsidR="00051B57" w:rsidRPr="00CD6787" w:rsidRDefault="00F15BA5" w:rsidP="00473DE9">
      <w:pPr>
        <w:rPr>
          <w:lang w:val="en-US"/>
        </w:rPr>
      </w:pPr>
      <w:r w:rsidRPr="00F17C5D">
        <w:rPr>
          <w:szCs w:val="22"/>
          <w:lang w:val="en-US"/>
        </w:rPr>
        <w:t>Work to develop the evaluation plan is ongoing, particularly around the timing of the evaluation. This will be dependent on the available data sources. The department will consult further on this in due course</w:t>
      </w:r>
      <w:r w:rsidRPr="00051B57">
        <w:rPr>
          <w:szCs w:val="22"/>
          <w:lang w:val="en-US"/>
        </w:rPr>
        <w:t>.</w:t>
      </w:r>
    </w:p>
    <w:p w14:paraId="5BE00E87" w14:textId="77777777" w:rsidR="00B872D9" w:rsidRDefault="00B872D9" w:rsidP="00473DE9">
      <w:pPr>
        <w:spacing w:line="240" w:lineRule="auto"/>
        <w:rPr>
          <w:rFonts w:cs="Arial"/>
          <w:b/>
          <w:bCs/>
          <w:iCs/>
          <w:color w:val="358189"/>
          <w:sz w:val="36"/>
          <w:szCs w:val="28"/>
        </w:rPr>
      </w:pPr>
      <w:bookmarkStart w:id="52" w:name="_Toc225762674"/>
      <w:bookmarkStart w:id="53" w:name="_Toc225762679"/>
      <w:bookmarkEnd w:id="52"/>
      <w:bookmarkEnd w:id="53"/>
      <w:r>
        <w:br w:type="page"/>
      </w:r>
    </w:p>
    <w:p w14:paraId="3D9A49E7" w14:textId="77777777" w:rsidR="00BA1845" w:rsidRPr="006015BE" w:rsidRDefault="6EA042A2" w:rsidP="00651D4E">
      <w:pPr>
        <w:pStyle w:val="Heading2"/>
        <w:numPr>
          <w:ilvl w:val="1"/>
          <w:numId w:val="14"/>
        </w:numPr>
        <w:spacing w:after="120"/>
        <w:ind w:left="601" w:hanging="601"/>
      </w:pPr>
      <w:bookmarkStart w:id="54" w:name="_Toc233805038"/>
      <w:r>
        <w:lastRenderedPageBreak/>
        <w:t xml:space="preserve">Type C </w:t>
      </w:r>
      <w:r w:rsidR="78EF65FE">
        <w:t>certification requirements:</w:t>
      </w:r>
      <w:r>
        <w:t xml:space="preserve"> exemption criteria</w:t>
      </w:r>
      <w:bookmarkEnd w:id="54"/>
    </w:p>
    <w:tbl>
      <w:tblPr>
        <w:tblStyle w:val="DepartmentofHealthtable"/>
        <w:tblW w:w="9951" w:type="dxa"/>
        <w:tblInd w:w="-289" w:type="dxa"/>
        <w:tblBorders>
          <w:left w:val="single" w:sz="4" w:space="0" w:color="auto"/>
          <w:right w:val="single" w:sz="4" w:space="0" w:color="auto"/>
          <w:insideV w:val="single" w:sz="4" w:space="0" w:color="auto"/>
        </w:tblBorders>
        <w:tblLayout w:type="fixed"/>
        <w:tblLook w:val="04A0" w:firstRow="1" w:lastRow="0" w:firstColumn="1" w:lastColumn="0" w:noHBand="0" w:noVBand="1"/>
      </w:tblPr>
      <w:tblGrid>
        <w:gridCol w:w="5813"/>
        <w:gridCol w:w="4138"/>
      </w:tblGrid>
      <w:tr w:rsidR="00C5241A" w:rsidRPr="00C41E0F" w14:paraId="4406510E"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51" w:type="dxa"/>
            <w:gridSpan w:val="2"/>
            <w:tcBorders>
              <w:top w:val="single" w:sz="4" w:space="0" w:color="auto"/>
              <w:left w:val="single" w:sz="4" w:space="0" w:color="auto"/>
              <w:bottom w:val="single" w:sz="4" w:space="0" w:color="FFFFFF" w:themeColor="background1"/>
              <w:right w:val="single" w:sz="4" w:space="0" w:color="auto"/>
            </w:tcBorders>
          </w:tcPr>
          <w:p w14:paraId="6311FC3B" w14:textId="77777777" w:rsidR="00C5241A" w:rsidRPr="00C41E0F" w:rsidRDefault="00C5241A" w:rsidP="00473DE9">
            <w:pPr>
              <w:rPr>
                <w:rFonts w:eastAsia="Cambria"/>
                <w:b/>
                <w:color w:val="FFFFFF"/>
                <w:sz w:val="20"/>
                <w:szCs w:val="20"/>
                <w:lang w:val="en-US" w:eastAsia="en-AU"/>
              </w:rPr>
            </w:pPr>
            <w:r w:rsidRPr="00C41E0F">
              <w:rPr>
                <w:rFonts w:eastAsia="Cambria"/>
                <w:b/>
                <w:color w:val="FFFFFF"/>
                <w:sz w:val="20"/>
                <w:szCs w:val="20"/>
                <w:lang w:val="en-US" w:eastAsia="en-AU"/>
              </w:rPr>
              <w:t>SUMMARY: Type C certification requirements: exemption criteria</w:t>
            </w:r>
          </w:p>
        </w:tc>
      </w:tr>
      <w:tr w:rsidR="00C5241A" w:rsidRPr="00C41E0F" w14:paraId="398FD380"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13" w:type="dxa"/>
            <w:tcBorders>
              <w:top w:val="single" w:sz="4" w:space="0" w:color="FFFFFF" w:themeColor="background1"/>
            </w:tcBorders>
          </w:tcPr>
          <w:p w14:paraId="416055F6" w14:textId="77777777" w:rsidR="00C5241A" w:rsidRPr="00C41E0F" w:rsidRDefault="00C5241A" w:rsidP="00473DE9">
            <w:pPr>
              <w:rPr>
                <w:rFonts w:eastAsia="Cambria"/>
                <w:b/>
                <w:color w:val="FFFFFF"/>
                <w:sz w:val="20"/>
                <w:szCs w:val="20"/>
                <w:lang w:val="en-US" w:eastAsia="en-AU"/>
              </w:rPr>
            </w:pPr>
            <w:r w:rsidRPr="00C41E0F">
              <w:rPr>
                <w:rFonts w:eastAsia="Cambria"/>
                <w:b/>
                <w:color w:val="FFFFFF"/>
                <w:sz w:val="20"/>
                <w:szCs w:val="20"/>
                <w:lang w:val="en-US" w:eastAsia="en-AU"/>
              </w:rPr>
              <w:t>Proposed reform initiative for implementation</w:t>
            </w:r>
          </w:p>
        </w:tc>
        <w:tc>
          <w:tcPr>
            <w:tcW w:w="4138" w:type="dxa"/>
            <w:tcBorders>
              <w:top w:val="single" w:sz="4" w:space="0" w:color="FFFFFF" w:themeColor="background1"/>
            </w:tcBorders>
          </w:tcPr>
          <w:p w14:paraId="27CE89F9" w14:textId="77777777" w:rsidR="00C5241A" w:rsidRPr="00C41E0F" w:rsidRDefault="00C5241A" w:rsidP="00473DE9">
            <w:pPr>
              <w:cnfStyle w:val="100000000000" w:firstRow="1" w:lastRow="0" w:firstColumn="0" w:lastColumn="0" w:oddVBand="0" w:evenVBand="0" w:oddHBand="0" w:evenHBand="0" w:firstRowFirstColumn="0" w:firstRowLastColumn="0" w:lastRowFirstColumn="0" w:lastRowLastColumn="0"/>
              <w:rPr>
                <w:rFonts w:eastAsia="Cambria"/>
                <w:b/>
                <w:color w:val="FFFFFF"/>
                <w:sz w:val="20"/>
                <w:szCs w:val="20"/>
                <w:lang w:val="en-US" w:eastAsia="en-AU"/>
              </w:rPr>
            </w:pPr>
            <w:r w:rsidRPr="00C41E0F">
              <w:rPr>
                <w:rFonts w:eastAsia="Cambria"/>
                <w:b/>
                <w:color w:val="FFFFFF"/>
                <w:sz w:val="20"/>
                <w:szCs w:val="20"/>
                <w:lang w:val="en-US" w:eastAsia="en-AU"/>
              </w:rPr>
              <w:t>Mechanism for implementation</w:t>
            </w:r>
          </w:p>
        </w:tc>
      </w:tr>
      <w:tr w:rsidR="00C5241A" w:rsidRPr="00C41E0F" w14:paraId="60CD639D" w14:textId="77777777" w:rsidTr="001336D1">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813" w:type="dxa"/>
            <w:shd w:val="clear" w:color="auto" w:fill="auto"/>
            <w:vAlign w:val="center"/>
          </w:tcPr>
          <w:p w14:paraId="5DB19842" w14:textId="77777777" w:rsidR="00C5241A" w:rsidRPr="004F1187" w:rsidRDefault="00C5241A" w:rsidP="00473DE9">
            <w:pPr>
              <w:rPr>
                <w:color w:val="000000"/>
                <w:sz w:val="20"/>
                <w:szCs w:val="20"/>
                <w:lang w:val="en-US" w:eastAsia="en-AU"/>
              </w:rPr>
            </w:pPr>
            <w:r w:rsidRPr="00112CCC">
              <w:rPr>
                <w:color w:val="000000"/>
                <w:sz w:val="20"/>
                <w:szCs w:val="20"/>
                <w:lang w:val="en-US" w:eastAsia="en-AU"/>
              </w:rPr>
              <w:t xml:space="preserve">Implement two ‘exemption criteria’ for the certification requirements for MBS items classified as Type C procedures, </w:t>
            </w:r>
            <w:r w:rsidRPr="004F1187">
              <w:rPr>
                <w:color w:val="000000"/>
                <w:sz w:val="20"/>
                <w:szCs w:val="20"/>
                <w:lang w:val="en-US" w:eastAsia="en-AU"/>
              </w:rPr>
              <w:t>where:</w:t>
            </w:r>
          </w:p>
          <w:p w14:paraId="012B161D" w14:textId="77777777" w:rsidR="00C5241A" w:rsidRPr="0044645C" w:rsidRDefault="007A1DEE" w:rsidP="009257CE">
            <w:pPr>
              <w:pStyle w:val="ListParagraph"/>
              <w:numPr>
                <w:ilvl w:val="1"/>
                <w:numId w:val="19"/>
              </w:numPr>
              <w:tabs>
                <w:tab w:val="num" w:pos="720"/>
              </w:tabs>
              <w:rPr>
                <w:sz w:val="20"/>
                <w:szCs w:val="20"/>
                <w:lang w:eastAsia="en-AU"/>
              </w:rPr>
            </w:pPr>
            <w:r>
              <w:rPr>
                <w:sz w:val="20"/>
                <w:szCs w:val="20"/>
                <w:lang w:eastAsia="en-AU"/>
              </w:rPr>
              <w:t xml:space="preserve">a patient </w:t>
            </w:r>
            <w:r w:rsidR="00C5241A" w:rsidRPr="0044645C">
              <w:rPr>
                <w:sz w:val="20"/>
                <w:szCs w:val="20"/>
                <w:lang w:eastAsia="en-AU"/>
              </w:rPr>
              <w:t>is ≥ 75 years of age, and</w:t>
            </w:r>
          </w:p>
          <w:p w14:paraId="6CFC0CDB" w14:textId="3E401518" w:rsidR="00C5241A" w:rsidRPr="000E3EFC" w:rsidRDefault="00C5241A" w:rsidP="009257CE">
            <w:pPr>
              <w:pStyle w:val="ListParagraph"/>
              <w:numPr>
                <w:ilvl w:val="1"/>
                <w:numId w:val="19"/>
              </w:numPr>
              <w:tabs>
                <w:tab w:val="num" w:pos="720"/>
              </w:tabs>
              <w:rPr>
                <w:lang w:val="en-US" w:eastAsia="en-AU"/>
              </w:rPr>
            </w:pPr>
            <w:r w:rsidRPr="0044645C">
              <w:rPr>
                <w:sz w:val="20"/>
                <w:szCs w:val="20"/>
                <w:lang w:eastAsia="en-AU"/>
              </w:rPr>
              <w:t xml:space="preserve">the </w:t>
            </w:r>
            <w:r w:rsidR="0081347C">
              <w:rPr>
                <w:sz w:val="20"/>
                <w:szCs w:val="20"/>
                <w:lang w:eastAsia="en-AU"/>
              </w:rPr>
              <w:t xml:space="preserve">procedure </w:t>
            </w:r>
            <w:r w:rsidR="00154AFA">
              <w:rPr>
                <w:sz w:val="20"/>
                <w:szCs w:val="20"/>
                <w:lang w:eastAsia="en-AU"/>
              </w:rPr>
              <w:t>is</w:t>
            </w:r>
            <w:r w:rsidR="0081347C" w:rsidDel="00154AFA">
              <w:rPr>
                <w:sz w:val="20"/>
                <w:szCs w:val="20"/>
                <w:lang w:eastAsia="en-AU"/>
              </w:rPr>
              <w:t xml:space="preserve"> </w:t>
            </w:r>
            <w:r w:rsidR="0096302F">
              <w:rPr>
                <w:sz w:val="20"/>
                <w:szCs w:val="20"/>
                <w:lang w:eastAsia="en-AU"/>
              </w:rPr>
              <w:t>conducted</w:t>
            </w:r>
            <w:r w:rsidR="005F16AF">
              <w:rPr>
                <w:sz w:val="20"/>
                <w:szCs w:val="20"/>
                <w:lang w:eastAsia="en-AU"/>
              </w:rPr>
              <w:t xml:space="preserve"> </w:t>
            </w:r>
            <w:r w:rsidR="001A69C8">
              <w:rPr>
                <w:sz w:val="20"/>
                <w:szCs w:val="20"/>
                <w:lang w:eastAsia="en-AU"/>
              </w:rPr>
              <w:t xml:space="preserve">under </w:t>
            </w:r>
            <w:r w:rsidRPr="0044645C">
              <w:rPr>
                <w:sz w:val="20"/>
                <w:szCs w:val="20"/>
                <w:lang w:eastAsia="en-AU"/>
              </w:rPr>
              <w:t>general anaesthesia</w:t>
            </w:r>
            <w:r w:rsidR="006F139D">
              <w:rPr>
                <w:sz w:val="20"/>
                <w:szCs w:val="20"/>
                <w:lang w:eastAsia="en-AU"/>
              </w:rPr>
              <w:t>,</w:t>
            </w:r>
            <w:r w:rsidR="00815AB9">
              <w:rPr>
                <w:sz w:val="20"/>
                <w:szCs w:val="20"/>
                <w:lang w:eastAsia="en-AU"/>
              </w:rPr>
              <w:t xml:space="preserve"> </w:t>
            </w:r>
            <w:r w:rsidR="006F139D">
              <w:rPr>
                <w:sz w:val="20"/>
                <w:szCs w:val="20"/>
                <w:lang w:eastAsia="en-AU"/>
              </w:rPr>
              <w:t>regional anaesth</w:t>
            </w:r>
            <w:r w:rsidR="00B44DAC">
              <w:rPr>
                <w:sz w:val="20"/>
                <w:szCs w:val="20"/>
                <w:lang w:eastAsia="en-AU"/>
              </w:rPr>
              <w:t>es</w:t>
            </w:r>
            <w:r w:rsidR="007E4D98">
              <w:rPr>
                <w:sz w:val="20"/>
                <w:szCs w:val="20"/>
                <w:lang w:eastAsia="en-AU"/>
              </w:rPr>
              <w:t>ia</w:t>
            </w:r>
            <w:r w:rsidRPr="0044645C">
              <w:rPr>
                <w:sz w:val="20"/>
                <w:szCs w:val="20"/>
                <w:lang w:eastAsia="en-AU"/>
              </w:rPr>
              <w:t xml:space="preserve"> or </w:t>
            </w:r>
            <w:r w:rsidR="007A038E">
              <w:rPr>
                <w:sz w:val="20"/>
                <w:szCs w:val="20"/>
                <w:lang w:eastAsia="en-AU"/>
              </w:rPr>
              <w:t>IV</w:t>
            </w:r>
            <w:r w:rsidRPr="0044645C">
              <w:rPr>
                <w:sz w:val="20"/>
                <w:szCs w:val="20"/>
                <w:lang w:eastAsia="en-AU"/>
              </w:rPr>
              <w:t xml:space="preserve"> sedation.</w:t>
            </w:r>
          </w:p>
        </w:tc>
        <w:tc>
          <w:tcPr>
            <w:tcW w:w="4138" w:type="dxa"/>
            <w:shd w:val="clear" w:color="auto" w:fill="auto"/>
            <w:vAlign w:val="center"/>
          </w:tcPr>
          <w:p w14:paraId="1C8621DA" w14:textId="77777777" w:rsidR="00C5241A" w:rsidRPr="00C41E0F" w:rsidRDefault="00C5241A" w:rsidP="00473DE9">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en-AU"/>
              </w:rPr>
            </w:pPr>
            <w:r w:rsidRPr="00C41E0F">
              <w:rPr>
                <w:color w:val="000000"/>
                <w:sz w:val="20"/>
                <w:szCs w:val="20"/>
                <w:lang w:val="en-US" w:eastAsia="en-AU"/>
              </w:rPr>
              <w:t>Department to amend the Benefit Requirements Rules</w:t>
            </w:r>
            <w:r w:rsidR="0078775A">
              <w:rPr>
                <w:color w:val="000000"/>
                <w:sz w:val="20"/>
                <w:szCs w:val="20"/>
                <w:lang w:val="en-US" w:eastAsia="en-AU"/>
              </w:rPr>
              <w:t>.</w:t>
            </w:r>
          </w:p>
        </w:tc>
      </w:tr>
      <w:tr w:rsidR="00C41E0F" w:rsidRPr="00C41E0F" w14:paraId="5E3B5B54" w14:textId="77777777" w:rsidTr="5E963F47">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3F4A75" w:themeFill="accent1"/>
          </w:tcPr>
          <w:p w14:paraId="42735973" w14:textId="77777777" w:rsidR="00C41E0F" w:rsidRPr="00C41E0F" w:rsidRDefault="00C41E0F" w:rsidP="00473DE9">
            <w:pPr>
              <w:rPr>
                <w:color w:val="000000"/>
                <w:sz w:val="20"/>
                <w:szCs w:val="20"/>
                <w:lang w:val="en-US" w:eastAsia="en-AU"/>
              </w:rPr>
            </w:pPr>
            <w:r w:rsidRPr="00C41E0F">
              <w:rPr>
                <w:rFonts w:eastAsia="Cambria"/>
                <w:b/>
                <w:color w:val="FFFFFF"/>
                <w:sz w:val="20"/>
                <w:szCs w:val="20"/>
                <w:lang w:val="en-US" w:eastAsia="en-AU"/>
              </w:rPr>
              <w:t>Questions for stakeholder consideration</w:t>
            </w:r>
            <w:r w:rsidRPr="00C41E0F">
              <w:rPr>
                <w:color w:val="FFFFFF"/>
                <w:sz w:val="20"/>
                <w:szCs w:val="20"/>
                <w:lang w:val="en-US" w:eastAsia="en-AU"/>
              </w:rPr>
              <w:t xml:space="preserve"> </w:t>
            </w:r>
          </w:p>
        </w:tc>
      </w:tr>
      <w:tr w:rsidR="00C41E0F" w:rsidRPr="00C41E0F" w14:paraId="5DCDB22A" w14:textId="77777777" w:rsidTr="5E963F4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auto"/>
          </w:tcPr>
          <w:p w14:paraId="262B9B74" w14:textId="77777777" w:rsidR="00C41E0F" w:rsidRPr="00C41E0F" w:rsidRDefault="00C41E0F" w:rsidP="009257CE">
            <w:pPr>
              <w:numPr>
                <w:ilvl w:val="0"/>
                <w:numId w:val="43"/>
              </w:numPr>
              <w:rPr>
                <w:color w:val="000000"/>
                <w:sz w:val="20"/>
                <w:szCs w:val="28"/>
                <w:lang w:val="en-US" w:eastAsia="en-AU"/>
              </w:rPr>
            </w:pPr>
            <w:r w:rsidRPr="00C41E0F">
              <w:rPr>
                <w:color w:val="000000"/>
                <w:sz w:val="20"/>
                <w:szCs w:val="28"/>
                <w:lang w:val="en-US" w:eastAsia="en-AU"/>
              </w:rPr>
              <w:t xml:space="preserve">Do you </w:t>
            </w:r>
            <w:r w:rsidR="002D6166">
              <w:rPr>
                <w:color w:val="000000"/>
                <w:sz w:val="20"/>
                <w:szCs w:val="28"/>
                <w:lang w:val="en-US" w:eastAsia="en-AU"/>
              </w:rPr>
              <w:t xml:space="preserve">support </w:t>
            </w:r>
            <w:r w:rsidR="003B1A0B">
              <w:rPr>
                <w:color w:val="000000"/>
                <w:sz w:val="20"/>
                <w:szCs w:val="28"/>
                <w:lang w:val="en-US" w:eastAsia="en-AU"/>
              </w:rPr>
              <w:t xml:space="preserve">the proposal to </w:t>
            </w:r>
            <w:r w:rsidR="002D6166">
              <w:rPr>
                <w:color w:val="000000"/>
                <w:sz w:val="20"/>
                <w:szCs w:val="28"/>
                <w:lang w:val="en-US" w:eastAsia="en-AU"/>
              </w:rPr>
              <w:t>implement</w:t>
            </w:r>
            <w:r w:rsidRPr="00C41E0F">
              <w:rPr>
                <w:color w:val="000000"/>
                <w:sz w:val="20"/>
                <w:szCs w:val="28"/>
                <w:lang w:val="en-US" w:eastAsia="en-AU"/>
              </w:rPr>
              <w:t xml:space="preserve"> </w:t>
            </w:r>
            <w:r w:rsidR="00AF07CA">
              <w:rPr>
                <w:color w:val="000000"/>
                <w:sz w:val="20"/>
                <w:szCs w:val="28"/>
                <w:lang w:val="en-US" w:eastAsia="en-AU"/>
              </w:rPr>
              <w:t xml:space="preserve">two </w:t>
            </w:r>
            <w:r w:rsidRPr="00C41E0F">
              <w:rPr>
                <w:color w:val="000000"/>
                <w:sz w:val="20"/>
                <w:szCs w:val="28"/>
                <w:lang w:val="en-US" w:eastAsia="en-AU"/>
              </w:rPr>
              <w:t>exemption criteria</w:t>
            </w:r>
            <w:r w:rsidR="00675E0E">
              <w:rPr>
                <w:color w:val="000000"/>
                <w:sz w:val="20"/>
                <w:szCs w:val="28"/>
                <w:lang w:val="en-US" w:eastAsia="en-AU"/>
              </w:rPr>
              <w:t xml:space="preserve"> for Type C certification</w:t>
            </w:r>
            <w:r w:rsidRPr="00C41E0F">
              <w:rPr>
                <w:color w:val="000000"/>
                <w:sz w:val="20"/>
                <w:szCs w:val="28"/>
                <w:lang w:val="en-US" w:eastAsia="en-AU"/>
              </w:rPr>
              <w:t>?</w:t>
            </w:r>
            <w:r w:rsidR="007A7A98" w:rsidDel="00582212">
              <w:rPr>
                <w:color w:val="000000"/>
                <w:sz w:val="20"/>
                <w:szCs w:val="28"/>
                <w:lang w:val="en-US" w:eastAsia="en-AU"/>
              </w:rPr>
              <w:t xml:space="preserve"> </w:t>
            </w:r>
            <w:r w:rsidR="00486EB6">
              <w:rPr>
                <w:color w:val="000000"/>
                <w:sz w:val="20"/>
                <w:szCs w:val="28"/>
                <w:lang w:val="en-US" w:eastAsia="en-AU"/>
              </w:rPr>
              <w:t>Please provide reasons.</w:t>
            </w:r>
          </w:p>
          <w:p w14:paraId="71F7873B" w14:textId="77777777" w:rsidR="00C41E0F" w:rsidRPr="001E4282" w:rsidRDefault="3E20CC75" w:rsidP="009257CE">
            <w:pPr>
              <w:numPr>
                <w:ilvl w:val="0"/>
                <w:numId w:val="43"/>
              </w:numPr>
              <w:rPr>
                <w:color w:val="000000"/>
                <w:sz w:val="20"/>
                <w:szCs w:val="20"/>
                <w:lang w:val="en-US" w:eastAsia="en-AU"/>
              </w:rPr>
            </w:pPr>
            <w:r w:rsidRPr="5E963F47">
              <w:rPr>
                <w:sz w:val="20"/>
                <w:szCs w:val="20"/>
                <w:lang w:val="en-US" w:eastAsia="en-AU"/>
              </w:rPr>
              <w:t xml:space="preserve">Do you agree that implementing the proposed exemption criteria would </w:t>
            </w:r>
            <w:r w:rsidR="00827DF6">
              <w:rPr>
                <w:sz w:val="20"/>
                <w:szCs w:val="20"/>
                <w:lang w:val="en-US" w:eastAsia="en-AU"/>
              </w:rPr>
              <w:t xml:space="preserve">meet the intent of the proposal to </w:t>
            </w:r>
            <w:r w:rsidRPr="5E963F47">
              <w:rPr>
                <w:sz w:val="20"/>
                <w:szCs w:val="20"/>
                <w:lang w:val="en-US" w:eastAsia="en-AU"/>
              </w:rPr>
              <w:t>reduc</w:t>
            </w:r>
            <w:r w:rsidR="0076154B">
              <w:rPr>
                <w:sz w:val="20"/>
                <w:szCs w:val="20"/>
                <w:lang w:val="en-US" w:eastAsia="en-AU"/>
              </w:rPr>
              <w:t>e</w:t>
            </w:r>
            <w:r w:rsidRPr="5E963F47">
              <w:rPr>
                <w:sz w:val="20"/>
                <w:szCs w:val="20"/>
                <w:lang w:val="en-US" w:eastAsia="en-AU"/>
              </w:rPr>
              <w:t xml:space="preserve"> administrative burden? Provide </w:t>
            </w:r>
            <w:r w:rsidR="001D52FC">
              <w:rPr>
                <w:sz w:val="20"/>
                <w:szCs w:val="20"/>
                <w:lang w:val="en-US" w:eastAsia="en-AU"/>
              </w:rPr>
              <w:t>comments</w:t>
            </w:r>
            <w:r w:rsidRPr="5E963F47">
              <w:rPr>
                <w:sz w:val="20"/>
                <w:szCs w:val="20"/>
                <w:lang w:val="en-US" w:eastAsia="en-AU"/>
              </w:rPr>
              <w:t xml:space="preserve"> and supporting evidence.</w:t>
            </w:r>
          </w:p>
          <w:p w14:paraId="400BD752" w14:textId="77777777" w:rsidR="00511C22" w:rsidRPr="00511C22" w:rsidRDefault="4304EF27" w:rsidP="009257CE">
            <w:pPr>
              <w:numPr>
                <w:ilvl w:val="0"/>
                <w:numId w:val="43"/>
              </w:numPr>
              <w:rPr>
                <w:color w:val="000000"/>
                <w:sz w:val="20"/>
                <w:szCs w:val="20"/>
                <w:lang w:val="en-US" w:eastAsia="en-AU"/>
              </w:rPr>
            </w:pPr>
            <w:r w:rsidRPr="5E963F47">
              <w:rPr>
                <w:sz w:val="20"/>
                <w:szCs w:val="20"/>
                <w:lang w:val="en-US" w:eastAsia="en-AU"/>
              </w:rPr>
              <w:t xml:space="preserve">Can hospitals and private health insurers implement this proposal as described? If not, please provide details on </w:t>
            </w:r>
            <w:r w:rsidR="55E08D46" w:rsidRPr="5E963F47">
              <w:rPr>
                <w:sz w:val="20"/>
                <w:szCs w:val="20"/>
                <w:lang w:val="en-US" w:eastAsia="en-AU"/>
              </w:rPr>
              <w:t>why</w:t>
            </w:r>
            <w:r w:rsidRPr="5E963F47">
              <w:rPr>
                <w:sz w:val="20"/>
                <w:szCs w:val="20"/>
                <w:lang w:val="en-US" w:eastAsia="en-AU"/>
              </w:rPr>
              <w:t xml:space="preserve"> e.g. additional legislative barriers</w:t>
            </w:r>
            <w:r w:rsidR="21F407C6" w:rsidRPr="5E963F47">
              <w:rPr>
                <w:sz w:val="20"/>
                <w:szCs w:val="20"/>
                <w:lang w:val="en-US" w:eastAsia="en-AU"/>
              </w:rPr>
              <w:t xml:space="preserve">, </w:t>
            </w:r>
            <w:r w:rsidR="2F106B2A" w:rsidRPr="5E963F47">
              <w:rPr>
                <w:sz w:val="20"/>
                <w:szCs w:val="20"/>
                <w:lang w:val="en-US" w:eastAsia="en-AU"/>
              </w:rPr>
              <w:t xml:space="preserve">exemption criteria not </w:t>
            </w:r>
            <w:r w:rsidR="04FAE552" w:rsidRPr="5E963F47">
              <w:rPr>
                <w:sz w:val="20"/>
                <w:szCs w:val="20"/>
                <w:lang w:val="en-US" w:eastAsia="en-AU"/>
              </w:rPr>
              <w:t>captured through ECLIPSE</w:t>
            </w:r>
            <w:r w:rsidR="249755F7" w:rsidRPr="5E963F47">
              <w:rPr>
                <w:sz w:val="20"/>
                <w:szCs w:val="20"/>
                <w:lang w:val="en-US" w:eastAsia="en-AU"/>
              </w:rPr>
              <w:t>.</w:t>
            </w:r>
          </w:p>
          <w:p w14:paraId="21504C6B" w14:textId="77777777" w:rsidR="00C41E0F" w:rsidRPr="00DB4682" w:rsidRDefault="682E8661" w:rsidP="009257CE">
            <w:pPr>
              <w:numPr>
                <w:ilvl w:val="0"/>
                <w:numId w:val="43"/>
              </w:numPr>
              <w:rPr>
                <w:sz w:val="20"/>
                <w:szCs w:val="20"/>
                <w:lang w:val="en-US" w:eastAsia="en-AU"/>
              </w:rPr>
            </w:pPr>
            <w:r w:rsidRPr="15092AC1">
              <w:rPr>
                <w:sz w:val="20"/>
                <w:szCs w:val="20"/>
                <w:lang w:val="en-US" w:eastAsia="en-AU"/>
              </w:rPr>
              <w:t xml:space="preserve">Would you support the inclusion of any other </w:t>
            </w:r>
            <w:r w:rsidR="3F0178C2" w:rsidRPr="15092AC1">
              <w:rPr>
                <w:sz w:val="20"/>
                <w:szCs w:val="20"/>
                <w:lang w:val="en-US" w:eastAsia="en-AU"/>
              </w:rPr>
              <w:t xml:space="preserve">exemption </w:t>
            </w:r>
            <w:r w:rsidRPr="15092AC1">
              <w:rPr>
                <w:sz w:val="20"/>
                <w:szCs w:val="20"/>
                <w:lang w:val="en-US" w:eastAsia="en-AU"/>
              </w:rPr>
              <w:t>criteria</w:t>
            </w:r>
            <w:r w:rsidR="15B0AB43" w:rsidRPr="15092AC1">
              <w:rPr>
                <w:sz w:val="20"/>
                <w:szCs w:val="20"/>
                <w:lang w:val="en-US" w:eastAsia="en-AU"/>
              </w:rPr>
              <w:t xml:space="preserve">, </w:t>
            </w:r>
            <w:r w:rsidR="47F38FC3" w:rsidRPr="15092AC1">
              <w:rPr>
                <w:sz w:val="20"/>
                <w:szCs w:val="20"/>
                <w:lang w:val="en-US" w:eastAsia="en-AU"/>
              </w:rPr>
              <w:t>as part of a po</w:t>
            </w:r>
            <w:r w:rsidR="75FF5CFB" w:rsidRPr="15092AC1">
              <w:rPr>
                <w:sz w:val="20"/>
                <w:szCs w:val="20"/>
                <w:lang w:val="en-US" w:eastAsia="en-AU"/>
              </w:rPr>
              <w:t>ssible ongoing process</w:t>
            </w:r>
            <w:r w:rsidRPr="15092AC1">
              <w:rPr>
                <w:sz w:val="20"/>
                <w:szCs w:val="20"/>
                <w:lang w:val="en-US" w:eastAsia="en-AU"/>
              </w:rPr>
              <w:t xml:space="preserve">? Provide details </w:t>
            </w:r>
            <w:r w:rsidR="336CF5EE" w:rsidRPr="15092AC1">
              <w:rPr>
                <w:sz w:val="20"/>
                <w:szCs w:val="20"/>
                <w:lang w:val="en-US" w:eastAsia="en-AU"/>
              </w:rPr>
              <w:t xml:space="preserve">on </w:t>
            </w:r>
            <w:r w:rsidR="1AF3E0D3" w:rsidRPr="15092AC1">
              <w:rPr>
                <w:sz w:val="20"/>
                <w:szCs w:val="20"/>
                <w:lang w:val="en-US" w:eastAsia="en-AU"/>
              </w:rPr>
              <w:t>other</w:t>
            </w:r>
            <w:r w:rsidR="336CF5EE" w:rsidRPr="15092AC1">
              <w:rPr>
                <w:sz w:val="20"/>
                <w:szCs w:val="20"/>
                <w:lang w:val="en-US" w:eastAsia="en-AU"/>
              </w:rPr>
              <w:t xml:space="preserve"> proposed criteria </w:t>
            </w:r>
            <w:r w:rsidRPr="15092AC1">
              <w:rPr>
                <w:sz w:val="20"/>
                <w:szCs w:val="20"/>
                <w:lang w:val="en-US" w:eastAsia="en-AU"/>
              </w:rPr>
              <w:t>and supporting evidence.</w:t>
            </w:r>
          </w:p>
          <w:p w14:paraId="2090605E" w14:textId="77777777" w:rsidR="00C41E0F" w:rsidRPr="00DB4682" w:rsidRDefault="754A10B7" w:rsidP="009257CE">
            <w:pPr>
              <w:numPr>
                <w:ilvl w:val="0"/>
                <w:numId w:val="43"/>
              </w:numPr>
              <w:rPr>
                <w:sz w:val="20"/>
                <w:szCs w:val="20"/>
                <w:lang w:val="en-US" w:eastAsia="en-AU"/>
              </w:rPr>
            </w:pPr>
            <w:r w:rsidRPr="5E963F47">
              <w:rPr>
                <w:sz w:val="20"/>
                <w:szCs w:val="20"/>
                <w:lang w:val="en-US" w:eastAsia="en-AU"/>
              </w:rPr>
              <w:t>Do you support the proposal to reclassify MBS item 14245 from a Type C to a Type B procedure?</w:t>
            </w:r>
            <w:r w:rsidR="00D83E35">
              <w:rPr>
                <w:sz w:val="20"/>
                <w:szCs w:val="20"/>
                <w:lang w:val="en-US" w:eastAsia="en-AU"/>
              </w:rPr>
              <w:t xml:space="preserve"> Please provide reason</w:t>
            </w:r>
            <w:r w:rsidR="00C76403">
              <w:rPr>
                <w:sz w:val="20"/>
                <w:szCs w:val="20"/>
                <w:lang w:val="en-US" w:eastAsia="en-AU"/>
              </w:rPr>
              <w:t>s.</w:t>
            </w:r>
          </w:p>
        </w:tc>
      </w:tr>
    </w:tbl>
    <w:p w14:paraId="3738E20E" w14:textId="77777777" w:rsidR="00B872D9" w:rsidRPr="00DF78E1" w:rsidRDefault="00B872D9" w:rsidP="00651D4E">
      <w:pPr>
        <w:pStyle w:val="Heading3"/>
        <w:numPr>
          <w:ilvl w:val="2"/>
          <w:numId w:val="14"/>
        </w:numPr>
        <w:spacing w:before="240" w:after="120"/>
        <w:rPr>
          <w:b w:val="0"/>
          <w:bCs w:val="0"/>
          <w:i/>
          <w:iCs/>
          <w:sz w:val="28"/>
          <w:szCs w:val="28"/>
        </w:rPr>
      </w:pPr>
      <w:bookmarkStart w:id="55" w:name="_Toc233805039"/>
      <w:r w:rsidRPr="3D1C1472">
        <w:rPr>
          <w:b w:val="0"/>
          <w:bCs w:val="0"/>
          <w:i/>
          <w:iCs/>
          <w:sz w:val="28"/>
          <w:szCs w:val="28"/>
        </w:rPr>
        <w:t>Introduction</w:t>
      </w:r>
      <w:bookmarkEnd w:id="55"/>
    </w:p>
    <w:p w14:paraId="1C450309" w14:textId="77777777" w:rsidR="00B01119" w:rsidRPr="001A57FE" w:rsidRDefault="00B01119" w:rsidP="00473DE9">
      <w:pPr>
        <w:pStyle w:val="Body"/>
        <w:spacing w:after="120"/>
        <w:rPr>
          <w:color w:val="auto"/>
        </w:rPr>
      </w:pPr>
      <w:r w:rsidRPr="001A57FE">
        <w:rPr>
          <w:color w:val="auto"/>
        </w:rPr>
        <w:t xml:space="preserve">MBS </w:t>
      </w:r>
      <w:r w:rsidR="00337ABC" w:rsidRPr="001A57FE">
        <w:rPr>
          <w:color w:val="auto"/>
        </w:rPr>
        <w:t xml:space="preserve">items </w:t>
      </w:r>
      <w:r w:rsidRPr="001A57FE">
        <w:rPr>
          <w:color w:val="auto"/>
        </w:rPr>
        <w:t xml:space="preserve">with the potential </w:t>
      </w:r>
      <w:r w:rsidR="00337ABC" w:rsidRPr="001A57FE">
        <w:rPr>
          <w:color w:val="auto"/>
        </w:rPr>
        <w:t xml:space="preserve">to </w:t>
      </w:r>
      <w:r w:rsidRPr="001A57FE">
        <w:rPr>
          <w:color w:val="auto"/>
        </w:rPr>
        <w:t xml:space="preserve">be provided to privately insured patients as </w:t>
      </w:r>
      <w:r w:rsidR="00103D79" w:rsidRPr="001A57FE">
        <w:rPr>
          <w:color w:val="auto"/>
        </w:rPr>
        <w:t>hospital treatment</w:t>
      </w:r>
      <w:r w:rsidRPr="001A57FE">
        <w:rPr>
          <w:color w:val="auto"/>
        </w:rPr>
        <w:t xml:space="preserve"> are allocated to hospital accommodation</w:t>
      </w:r>
      <w:r w:rsidR="006015BE" w:rsidRPr="001A57FE">
        <w:rPr>
          <w:color w:val="auto"/>
        </w:rPr>
        <w:t>/</w:t>
      </w:r>
      <w:r w:rsidRPr="001A57FE">
        <w:rPr>
          <w:color w:val="auto"/>
        </w:rPr>
        <w:t>procedure type classifications under the Benefit Requirements Rules</w:t>
      </w:r>
      <w:r w:rsidR="001A57FE" w:rsidRPr="001A57FE">
        <w:rPr>
          <w:color w:val="auto"/>
        </w:rPr>
        <w:t>. These classifications are:</w:t>
      </w:r>
    </w:p>
    <w:p w14:paraId="1E9242D8" w14:textId="77777777" w:rsidR="00B01119" w:rsidRPr="00064075" w:rsidRDefault="00B01119" w:rsidP="009257CE">
      <w:pPr>
        <w:pStyle w:val="Body"/>
        <w:numPr>
          <w:ilvl w:val="0"/>
          <w:numId w:val="10"/>
        </w:numPr>
        <w:spacing w:after="120"/>
        <w:ind w:left="714" w:hanging="357"/>
      </w:pPr>
      <w:r w:rsidRPr="00064075">
        <w:t>Type A – procedures requiring hospital treatment that includes part of an overnight stay</w:t>
      </w:r>
    </w:p>
    <w:p w14:paraId="6C1B1263" w14:textId="77777777" w:rsidR="00B01119" w:rsidRPr="00064075" w:rsidRDefault="00B01119" w:rsidP="009257CE">
      <w:pPr>
        <w:pStyle w:val="Body"/>
        <w:numPr>
          <w:ilvl w:val="0"/>
          <w:numId w:val="10"/>
        </w:numPr>
        <w:spacing w:after="120"/>
        <w:ind w:left="714" w:hanging="357"/>
      </w:pPr>
      <w:r w:rsidRPr="00064075">
        <w:t>Type B – procedures requiring same-day hospital treatment</w:t>
      </w:r>
      <w:r w:rsidR="007905B5">
        <w:t>, and</w:t>
      </w:r>
    </w:p>
    <w:p w14:paraId="659D4976" w14:textId="77777777" w:rsidR="00B01119" w:rsidRPr="00064075" w:rsidRDefault="00B01119" w:rsidP="009257CE">
      <w:pPr>
        <w:pStyle w:val="Body"/>
        <w:numPr>
          <w:ilvl w:val="0"/>
          <w:numId w:val="10"/>
        </w:numPr>
        <w:spacing w:after="120"/>
        <w:ind w:left="714" w:hanging="357"/>
      </w:pPr>
      <w:r w:rsidRPr="00064075">
        <w:t>Type C –</w:t>
      </w:r>
      <w:r>
        <w:t xml:space="preserve"> </w:t>
      </w:r>
      <w:r w:rsidRPr="00064075">
        <w:t>procedures that do not normally require hospital treatment</w:t>
      </w:r>
      <w:r w:rsidR="00103D79">
        <w:t>.</w:t>
      </w:r>
    </w:p>
    <w:p w14:paraId="5E182A7A" w14:textId="77777777" w:rsidR="00B01119" w:rsidRPr="001A57FE" w:rsidRDefault="00B01119" w:rsidP="00473DE9">
      <w:pPr>
        <w:pStyle w:val="Body"/>
        <w:spacing w:after="120"/>
        <w:rPr>
          <w:color w:val="auto"/>
        </w:rPr>
      </w:pPr>
      <w:r w:rsidRPr="001A57FE">
        <w:rPr>
          <w:color w:val="auto"/>
        </w:rPr>
        <w:t>Classification of MBS items into procedure types provide</w:t>
      </w:r>
      <w:r w:rsidR="001A57FE" w:rsidRPr="001A57FE">
        <w:rPr>
          <w:color w:val="auto"/>
        </w:rPr>
        <w:t>s</w:t>
      </w:r>
      <w:r w:rsidRPr="001A57FE">
        <w:rPr>
          <w:color w:val="auto"/>
        </w:rPr>
        <w:t xml:space="preserve"> clarity in the administration of treatments across </w:t>
      </w:r>
      <w:r w:rsidR="0067502C" w:rsidRPr="001A57FE">
        <w:rPr>
          <w:color w:val="auto"/>
        </w:rPr>
        <w:t>PHI</w:t>
      </w:r>
      <w:r w:rsidRPr="001A57FE">
        <w:rPr>
          <w:color w:val="auto"/>
        </w:rPr>
        <w:t xml:space="preserve"> policy tier</w:t>
      </w:r>
      <w:r w:rsidR="001A57FE" w:rsidRPr="001A57FE">
        <w:rPr>
          <w:color w:val="auto"/>
        </w:rPr>
        <w:t>s. It also</w:t>
      </w:r>
      <w:r w:rsidRPr="001A57FE">
        <w:rPr>
          <w:color w:val="auto"/>
        </w:rPr>
        <w:t xml:space="preserve"> facilitate</w:t>
      </w:r>
      <w:r w:rsidR="001A57FE" w:rsidRPr="001A57FE">
        <w:rPr>
          <w:color w:val="auto"/>
        </w:rPr>
        <w:t>s</w:t>
      </w:r>
      <w:r w:rsidRPr="001A57FE">
        <w:rPr>
          <w:color w:val="auto"/>
        </w:rPr>
        <w:t xml:space="preserve"> claims and minimum benefit payments (accommodation payments) to hospitals.</w:t>
      </w:r>
    </w:p>
    <w:p w14:paraId="602278C3" w14:textId="77777777" w:rsidR="00396155" w:rsidRDefault="00337ABC" w:rsidP="00473DE9">
      <w:pPr>
        <w:pStyle w:val="Body"/>
        <w:spacing w:after="120"/>
      </w:pPr>
      <w:r w:rsidRPr="001A57FE">
        <w:rPr>
          <w:color w:val="auto"/>
        </w:rPr>
        <w:t xml:space="preserve">The </w:t>
      </w:r>
      <w:r w:rsidR="00B01119" w:rsidRPr="001A57FE">
        <w:rPr>
          <w:color w:val="auto"/>
        </w:rPr>
        <w:t>Benefit Requirements Rules</w:t>
      </w:r>
      <w:r w:rsidR="001A57FE" w:rsidRPr="001A57FE">
        <w:rPr>
          <w:i/>
          <w:iCs/>
          <w:color w:val="auto"/>
        </w:rPr>
        <w:t xml:space="preserve"> </w:t>
      </w:r>
      <w:r w:rsidR="001A57FE" w:rsidRPr="001A57FE">
        <w:rPr>
          <w:color w:val="auto"/>
        </w:rPr>
        <w:t>and</w:t>
      </w:r>
      <w:r w:rsidR="00F14C62" w:rsidRPr="001A57FE">
        <w:rPr>
          <w:color w:val="auto"/>
        </w:rPr>
        <w:t xml:space="preserve"> </w:t>
      </w:r>
      <w:r w:rsidR="004F2A68" w:rsidRPr="001A57FE">
        <w:rPr>
          <w:color w:val="auto"/>
        </w:rPr>
        <w:t xml:space="preserve">the Business </w:t>
      </w:r>
      <w:r w:rsidR="00291204" w:rsidRPr="001A57FE">
        <w:rPr>
          <w:color w:val="auto"/>
        </w:rPr>
        <w:t>Rules</w:t>
      </w:r>
      <w:r w:rsidRPr="001A57FE">
        <w:rPr>
          <w:color w:val="auto"/>
        </w:rPr>
        <w:t xml:space="preserve"> establish that </w:t>
      </w:r>
      <w:r w:rsidR="00B01119" w:rsidRPr="001A57FE">
        <w:rPr>
          <w:color w:val="auto"/>
        </w:rPr>
        <w:t xml:space="preserve">Type C </w:t>
      </w:r>
      <w:r w:rsidRPr="001A57FE">
        <w:rPr>
          <w:color w:val="auto"/>
        </w:rPr>
        <w:t xml:space="preserve">procedures </w:t>
      </w:r>
      <w:r w:rsidR="00B01119" w:rsidRPr="001A57FE">
        <w:rPr>
          <w:color w:val="auto"/>
        </w:rPr>
        <w:t xml:space="preserve">do not normally qualify </w:t>
      </w:r>
      <w:r w:rsidRPr="001A57FE">
        <w:rPr>
          <w:color w:val="auto"/>
        </w:rPr>
        <w:t xml:space="preserve">for </w:t>
      </w:r>
      <w:r w:rsidR="00B01119" w:rsidRPr="001A57FE">
        <w:rPr>
          <w:color w:val="auto"/>
        </w:rPr>
        <w:t>minimum benefits for hospital treatment</w:t>
      </w:r>
      <w:r w:rsidR="001A57FE" w:rsidRPr="001A57FE">
        <w:rPr>
          <w:color w:val="auto"/>
        </w:rPr>
        <w:t>. Exceptions include</w:t>
      </w:r>
      <w:r w:rsidR="00B01119" w:rsidRPr="001A57FE">
        <w:rPr>
          <w:color w:val="auto"/>
        </w:rPr>
        <w:t xml:space="preserve"> circumstances where a patient</w:t>
      </w:r>
      <w:r w:rsidR="001A57FE">
        <w:rPr>
          <w:color w:val="auto"/>
        </w:rPr>
        <w:t xml:space="preserve"> </w:t>
      </w:r>
      <w:r w:rsidR="00B01119" w:rsidRPr="001A57FE">
        <w:rPr>
          <w:color w:val="auto"/>
        </w:rPr>
        <w:t>receive</w:t>
      </w:r>
      <w:r w:rsidR="001A57FE">
        <w:rPr>
          <w:color w:val="auto"/>
        </w:rPr>
        <w:t>s</w:t>
      </w:r>
      <w:r w:rsidR="00B01119" w:rsidRPr="001A57FE">
        <w:rPr>
          <w:color w:val="auto"/>
        </w:rPr>
        <w:t xml:space="preserve"> hospital treatment</w:t>
      </w:r>
      <w:r w:rsidR="001A57FE">
        <w:rPr>
          <w:color w:val="auto"/>
        </w:rPr>
        <w:t xml:space="preserve"> that is either</w:t>
      </w:r>
      <w:r w:rsidR="00B01119" w:rsidRPr="001A57FE">
        <w:rPr>
          <w:color w:val="auto"/>
        </w:rPr>
        <w:t xml:space="preserve"> a </w:t>
      </w:r>
      <w:r w:rsidR="00B01119" w:rsidRPr="001A57FE">
        <w:rPr>
          <w:i/>
          <w:iCs/>
          <w:color w:val="auto"/>
        </w:rPr>
        <w:t xml:space="preserve">Certified Type </w:t>
      </w:r>
      <w:r w:rsidRPr="001A57FE">
        <w:rPr>
          <w:i/>
          <w:iCs/>
          <w:color w:val="auto"/>
        </w:rPr>
        <w:t xml:space="preserve">C </w:t>
      </w:r>
      <w:r w:rsidR="00B01119" w:rsidRPr="001A57FE">
        <w:rPr>
          <w:i/>
          <w:iCs/>
          <w:color w:val="auto"/>
        </w:rPr>
        <w:t>Procedure</w:t>
      </w:r>
      <w:r w:rsidR="00B01119" w:rsidRPr="001A57FE">
        <w:rPr>
          <w:color w:val="auto"/>
        </w:rPr>
        <w:t xml:space="preserve"> or a </w:t>
      </w:r>
      <w:r w:rsidR="00B01119" w:rsidRPr="001A57FE">
        <w:rPr>
          <w:i/>
          <w:iCs/>
          <w:color w:val="auto"/>
        </w:rPr>
        <w:t xml:space="preserve">Certified Overnight Type C </w:t>
      </w:r>
      <w:r w:rsidR="00B658E2" w:rsidRPr="001A57FE">
        <w:rPr>
          <w:i/>
          <w:iCs/>
          <w:color w:val="auto"/>
        </w:rPr>
        <w:t>P</w:t>
      </w:r>
      <w:r w:rsidR="00B01119" w:rsidRPr="001A57FE">
        <w:rPr>
          <w:i/>
          <w:iCs/>
          <w:color w:val="auto"/>
        </w:rPr>
        <w:t>rocedure</w:t>
      </w:r>
      <w:r w:rsidRPr="001A57FE">
        <w:rPr>
          <w:color w:val="auto"/>
        </w:rPr>
        <w:t xml:space="preserve">. </w:t>
      </w:r>
      <w:r w:rsidR="00B01119" w:rsidRPr="00C228FD">
        <w:t xml:space="preserve">Schedule 3 Part 3 </w:t>
      </w:r>
      <w:r w:rsidRPr="00C228FD">
        <w:t>of the</w:t>
      </w:r>
      <w:r>
        <w:t xml:space="preserve"> </w:t>
      </w:r>
      <w:r w:rsidR="00B01119" w:rsidRPr="00C228FD">
        <w:t xml:space="preserve">Benefit Requirements </w:t>
      </w:r>
      <w:r w:rsidRPr="00C228FD">
        <w:t>Rules</w:t>
      </w:r>
      <w:r>
        <w:t xml:space="preserve"> </w:t>
      </w:r>
      <w:r w:rsidRPr="00C228FD">
        <w:t>identifies</w:t>
      </w:r>
      <w:r>
        <w:t xml:space="preserve"> </w:t>
      </w:r>
      <w:r w:rsidR="00B01119" w:rsidRPr="00C228FD">
        <w:t>Type C procedures by MBS item number.</w:t>
      </w:r>
    </w:p>
    <w:p w14:paraId="257FC701" w14:textId="4443F066" w:rsidR="00004706" w:rsidRDefault="001A57FE" w:rsidP="00473DE9">
      <w:pPr>
        <w:pStyle w:val="Body"/>
        <w:spacing w:after="120"/>
      </w:pPr>
      <w:r w:rsidRPr="001A57FE">
        <w:rPr>
          <w:color w:val="auto"/>
        </w:rPr>
        <w:lastRenderedPageBreak/>
        <w:t>Previous</w:t>
      </w:r>
      <w:r w:rsidR="00004706" w:rsidRPr="001A57FE">
        <w:rPr>
          <w:color w:val="auto"/>
        </w:rPr>
        <w:t xml:space="preserve"> consultation and </w:t>
      </w:r>
      <w:r w:rsidRPr="001A57FE">
        <w:rPr>
          <w:color w:val="auto"/>
        </w:rPr>
        <w:t>CEO</w:t>
      </w:r>
      <w:r w:rsidR="00004706" w:rsidRPr="001A57FE">
        <w:rPr>
          <w:color w:val="auto"/>
        </w:rPr>
        <w:t xml:space="preserve"> Forum</w:t>
      </w:r>
      <w:r w:rsidRPr="001A57FE">
        <w:rPr>
          <w:color w:val="auto"/>
        </w:rPr>
        <w:t xml:space="preserve"> discussions</w:t>
      </w:r>
      <w:r w:rsidR="00004706" w:rsidRPr="001A57FE">
        <w:rPr>
          <w:color w:val="auto"/>
        </w:rPr>
        <w:t xml:space="preserve"> </w:t>
      </w:r>
      <w:r w:rsidRPr="001A57FE">
        <w:rPr>
          <w:color w:val="auto"/>
        </w:rPr>
        <w:t xml:space="preserve">have highlighted </w:t>
      </w:r>
      <w:r w:rsidR="00004706" w:rsidRPr="001A57FE">
        <w:rPr>
          <w:color w:val="auto"/>
        </w:rPr>
        <w:t>the sector</w:t>
      </w:r>
      <w:r w:rsidRPr="001A57FE">
        <w:rPr>
          <w:color w:val="auto"/>
        </w:rPr>
        <w:t>’s</w:t>
      </w:r>
      <w:r w:rsidR="00004706" w:rsidRPr="001A57FE">
        <w:rPr>
          <w:color w:val="auto"/>
        </w:rPr>
        <w:t xml:space="preserve"> general support to deliver administrative efficiencies and reduce the administrative burden associated with the certification process for Type C procedures. </w:t>
      </w:r>
      <w:r w:rsidR="00216695">
        <w:t>The</w:t>
      </w:r>
      <w:r w:rsidR="00B96FFF">
        <w:t xml:space="preserve"> department proposes</w:t>
      </w:r>
      <w:r w:rsidR="00FB1E18">
        <w:t xml:space="preserve"> implement</w:t>
      </w:r>
      <w:r w:rsidR="0069045E">
        <w:t>ing</w:t>
      </w:r>
      <w:r w:rsidR="00D86BC9">
        <w:t xml:space="preserve"> two</w:t>
      </w:r>
      <w:r w:rsidR="00004706">
        <w:t xml:space="preserve"> </w:t>
      </w:r>
      <w:r w:rsidR="00BB4FE6">
        <w:t>‘</w:t>
      </w:r>
      <w:r w:rsidR="00004706">
        <w:t>exemption criteria</w:t>
      </w:r>
      <w:r w:rsidR="00BB4FE6">
        <w:t>’</w:t>
      </w:r>
      <w:r w:rsidR="00004706">
        <w:t xml:space="preserve"> for the certification requirements for MBS items classified as Type C procedures under the</w:t>
      </w:r>
      <w:r w:rsidR="00B01119">
        <w:t xml:space="preserve"> </w:t>
      </w:r>
      <w:r w:rsidR="00507468">
        <w:t>Benefit Requirements Rules</w:t>
      </w:r>
      <w:r w:rsidR="00FB1E18">
        <w:t>.</w:t>
      </w:r>
      <w:r w:rsidR="00004706">
        <w:t xml:space="preserve"> Where an exemption criterion is applicable, the procedure would default to a Type B </w:t>
      </w:r>
      <w:r w:rsidR="00FB1E18">
        <w:t>procedure,</w:t>
      </w:r>
      <w:r w:rsidR="00004706">
        <w:t xml:space="preserve"> and </w:t>
      </w:r>
      <w:r w:rsidR="00693FC9">
        <w:t xml:space="preserve">no </w:t>
      </w:r>
      <w:r w:rsidR="00FA4703">
        <w:t>Type C certificate would be re</w:t>
      </w:r>
      <w:r w:rsidR="00EE66D9">
        <w:t xml:space="preserve">quired. </w:t>
      </w:r>
      <w:r w:rsidR="005A4F9D">
        <w:t xml:space="preserve">The </w:t>
      </w:r>
      <w:r w:rsidR="00004706">
        <w:t>proposed exemption criteria are</w:t>
      </w:r>
      <w:r w:rsidR="00B25AF3">
        <w:t>:</w:t>
      </w:r>
    </w:p>
    <w:p w14:paraId="32023600" w14:textId="77777777" w:rsidR="0037188E" w:rsidRDefault="004E14A7" w:rsidP="009257CE">
      <w:pPr>
        <w:pStyle w:val="Body"/>
        <w:numPr>
          <w:ilvl w:val="0"/>
          <w:numId w:val="9"/>
        </w:numPr>
        <w:spacing w:after="120"/>
        <w:ind w:left="714" w:hanging="357"/>
      </w:pPr>
      <w:r>
        <w:t>the</w:t>
      </w:r>
      <w:r w:rsidR="00010E64">
        <w:t xml:space="preserve"> patient </w:t>
      </w:r>
      <w:r w:rsidR="00004706">
        <w:t>is ≥ 75 years of age</w:t>
      </w:r>
      <w:r w:rsidR="008D0FAC">
        <w:t>, and</w:t>
      </w:r>
    </w:p>
    <w:p w14:paraId="19DE602A" w14:textId="77777777" w:rsidR="0037188E" w:rsidRDefault="00085AAF" w:rsidP="009257CE">
      <w:pPr>
        <w:pStyle w:val="Body"/>
        <w:numPr>
          <w:ilvl w:val="0"/>
          <w:numId w:val="9"/>
        </w:numPr>
        <w:spacing w:after="120"/>
        <w:ind w:left="714" w:hanging="357"/>
      </w:pPr>
      <w:r>
        <w:t>the</w:t>
      </w:r>
      <w:r w:rsidR="00004706">
        <w:t xml:space="preserve"> </w:t>
      </w:r>
      <w:r w:rsidR="00643BE7">
        <w:t xml:space="preserve">procedure </w:t>
      </w:r>
      <w:r w:rsidR="00B25AF3">
        <w:t>is</w:t>
      </w:r>
      <w:r w:rsidR="00643BE7">
        <w:t xml:space="preserve"> carried out under </w:t>
      </w:r>
      <w:r w:rsidR="00004706">
        <w:t>general anaesthesia</w:t>
      </w:r>
      <w:r w:rsidR="00643BE7">
        <w:t xml:space="preserve">, </w:t>
      </w:r>
      <w:r w:rsidR="00B92A2E">
        <w:t>regional anaesthesia</w:t>
      </w:r>
      <w:r w:rsidR="00004706">
        <w:t xml:space="preserve"> or </w:t>
      </w:r>
      <w:r w:rsidR="007A038E">
        <w:t>IV</w:t>
      </w:r>
      <w:r w:rsidR="00004706">
        <w:t xml:space="preserve"> sedation</w:t>
      </w:r>
      <w:r w:rsidR="008D0FAC">
        <w:t>.</w:t>
      </w:r>
    </w:p>
    <w:p w14:paraId="031BEDA6" w14:textId="77777777" w:rsidR="00915210" w:rsidRPr="0018757C" w:rsidRDefault="00915210" w:rsidP="00473DE9">
      <w:pPr>
        <w:pStyle w:val="Body"/>
        <w:spacing w:after="120"/>
        <w:rPr>
          <w:color w:val="auto"/>
        </w:rPr>
      </w:pPr>
      <w:r w:rsidRPr="0018757C">
        <w:rPr>
          <w:color w:val="auto"/>
        </w:rPr>
        <w:t>The intent of the proposal is to reduce</w:t>
      </w:r>
      <w:r w:rsidR="006B2A57" w:rsidRPr="0018757C">
        <w:rPr>
          <w:color w:val="auto"/>
        </w:rPr>
        <w:t xml:space="preserve"> </w:t>
      </w:r>
      <w:r w:rsidRPr="0018757C">
        <w:rPr>
          <w:color w:val="auto"/>
        </w:rPr>
        <w:t xml:space="preserve">the administrative and cost burden related to the certification process for Type C procedures by implementing standing exemption criteria. </w:t>
      </w:r>
      <w:r w:rsidR="00F3297F" w:rsidRPr="0018757C">
        <w:rPr>
          <w:color w:val="auto"/>
        </w:rPr>
        <w:t xml:space="preserve">The </w:t>
      </w:r>
      <w:r w:rsidRPr="0018757C">
        <w:rPr>
          <w:color w:val="auto"/>
        </w:rPr>
        <w:t>‘exemption criteria’ would</w:t>
      </w:r>
      <w:r w:rsidR="00326ACB" w:rsidRPr="0018757C">
        <w:rPr>
          <w:color w:val="auto"/>
        </w:rPr>
        <w:t xml:space="preserve"> </w:t>
      </w:r>
      <w:r w:rsidRPr="0018757C">
        <w:rPr>
          <w:color w:val="auto"/>
        </w:rPr>
        <w:t>be applied</w:t>
      </w:r>
      <w:r w:rsidR="00326ACB" w:rsidRPr="0018757C">
        <w:rPr>
          <w:color w:val="auto"/>
        </w:rPr>
        <w:t xml:space="preserve"> </w:t>
      </w:r>
      <w:r w:rsidRPr="0018757C">
        <w:rPr>
          <w:color w:val="auto"/>
        </w:rPr>
        <w:t>to</w:t>
      </w:r>
      <w:r w:rsidR="00326ACB" w:rsidRPr="0018757C">
        <w:rPr>
          <w:color w:val="auto"/>
        </w:rPr>
        <w:t xml:space="preserve"> </w:t>
      </w:r>
      <w:r w:rsidRPr="0018757C">
        <w:rPr>
          <w:color w:val="auto"/>
        </w:rPr>
        <w:t>all relevant patients and would exempt clinicians from having to complete a Type C certificate for patients captured under the criteria.</w:t>
      </w:r>
    </w:p>
    <w:p w14:paraId="6178AA3B" w14:textId="751D144A" w:rsidR="00F63D04" w:rsidRDefault="00C62DB0" w:rsidP="00473DE9">
      <w:pPr>
        <w:pStyle w:val="Body"/>
        <w:spacing w:after="120"/>
      </w:pPr>
      <w:r>
        <w:t>E</w:t>
      </w:r>
      <w:r w:rsidR="00915210" w:rsidRPr="00915210">
        <w:t>xemption criteria would lead to</w:t>
      </w:r>
      <w:r w:rsidR="00F63D04">
        <w:t>:</w:t>
      </w:r>
      <w:r w:rsidR="00915210" w:rsidRPr="00915210">
        <w:t xml:space="preserve"> </w:t>
      </w:r>
    </w:p>
    <w:p w14:paraId="6D278ABA" w14:textId="77777777" w:rsidR="003379BB" w:rsidRDefault="003379BB" w:rsidP="009257CE">
      <w:pPr>
        <w:pStyle w:val="Body"/>
        <w:numPr>
          <w:ilvl w:val="0"/>
          <w:numId w:val="10"/>
        </w:numPr>
        <w:spacing w:after="120"/>
        <w:ind w:left="714" w:hanging="357"/>
      </w:pPr>
      <w:r>
        <w:t xml:space="preserve">a </w:t>
      </w:r>
      <w:r w:rsidR="00915210" w:rsidRPr="00915210">
        <w:t>reduction in the number of certificates</w:t>
      </w:r>
      <w:r w:rsidR="003B03C1">
        <w:t xml:space="preserve"> a</w:t>
      </w:r>
      <w:r w:rsidR="00915210" w:rsidRPr="00915210">
        <w:t xml:space="preserve"> treating doctor</w:t>
      </w:r>
      <w:r w:rsidR="003B03C1">
        <w:t xml:space="preserve"> is</w:t>
      </w:r>
      <w:r w:rsidR="00915210" w:rsidRPr="00915210">
        <w:t xml:space="preserve"> required to produce</w:t>
      </w:r>
    </w:p>
    <w:p w14:paraId="2101E4A1" w14:textId="77777777" w:rsidR="003379BB" w:rsidRDefault="00915210" w:rsidP="009257CE">
      <w:pPr>
        <w:pStyle w:val="Body"/>
        <w:numPr>
          <w:ilvl w:val="0"/>
          <w:numId w:val="10"/>
        </w:numPr>
        <w:spacing w:after="120"/>
        <w:ind w:left="714" w:hanging="357"/>
      </w:pPr>
      <w:r w:rsidRPr="00915210">
        <w:t>minimis</w:t>
      </w:r>
      <w:r w:rsidR="003379BB">
        <w:t>ation of</w:t>
      </w:r>
      <w:r w:rsidRPr="00915210">
        <w:t xml:space="preserve"> the time and resources allocated by </w:t>
      </w:r>
      <w:r w:rsidR="00283B2D">
        <w:t xml:space="preserve">clinicians, </w:t>
      </w:r>
      <w:r w:rsidRPr="00915210">
        <w:t>hospitals and insurers towards administrative processes</w:t>
      </w:r>
    </w:p>
    <w:p w14:paraId="60ACAD0F" w14:textId="77777777" w:rsidR="003379BB" w:rsidRDefault="003379BB" w:rsidP="009257CE">
      <w:pPr>
        <w:pStyle w:val="Body"/>
        <w:numPr>
          <w:ilvl w:val="0"/>
          <w:numId w:val="10"/>
        </w:numPr>
        <w:spacing w:after="120"/>
        <w:ind w:left="714" w:hanging="357"/>
      </w:pPr>
      <w:r>
        <w:t>possible</w:t>
      </w:r>
      <w:r w:rsidR="00915210" w:rsidRPr="00915210">
        <w:t xml:space="preserve"> improv</w:t>
      </w:r>
      <w:r>
        <w:t>ement to</w:t>
      </w:r>
      <w:r w:rsidR="00915210" w:rsidRPr="00915210">
        <w:t xml:space="preserve"> hospital cash-flow</w:t>
      </w:r>
      <w:r>
        <w:t>,</w:t>
      </w:r>
      <w:r w:rsidR="00915210" w:rsidRPr="00915210">
        <w:t xml:space="preserve"> and </w:t>
      </w:r>
    </w:p>
    <w:p w14:paraId="5B77F79B" w14:textId="77777777" w:rsidR="00915210" w:rsidRPr="00915210" w:rsidRDefault="00915210" w:rsidP="009257CE">
      <w:pPr>
        <w:pStyle w:val="Body"/>
        <w:numPr>
          <w:ilvl w:val="0"/>
          <w:numId w:val="10"/>
        </w:numPr>
        <w:spacing w:after="120"/>
        <w:ind w:left="714" w:hanging="357"/>
      </w:pPr>
      <w:r w:rsidRPr="00915210">
        <w:t xml:space="preserve">greater certainty </w:t>
      </w:r>
      <w:r w:rsidR="00ED1455">
        <w:t>for</w:t>
      </w:r>
      <w:r w:rsidRPr="00915210">
        <w:t xml:space="preserve"> consumers about access to care and expected out</w:t>
      </w:r>
      <w:r w:rsidR="00CF0D04">
        <w:t>-</w:t>
      </w:r>
      <w:r w:rsidRPr="00915210">
        <w:t>of</w:t>
      </w:r>
      <w:r w:rsidR="00CF0D04">
        <w:t>-</w:t>
      </w:r>
      <w:r w:rsidRPr="00915210">
        <w:t>pocket costs.</w:t>
      </w:r>
    </w:p>
    <w:p w14:paraId="2462E960" w14:textId="77777777" w:rsidR="00923835" w:rsidRDefault="00923835" w:rsidP="00473DE9">
      <w:pPr>
        <w:pStyle w:val="Body"/>
        <w:spacing w:after="120"/>
      </w:pPr>
      <w:r w:rsidRPr="00A919B4">
        <w:t xml:space="preserve">If agreed by Government, the proposed </w:t>
      </w:r>
      <w:r>
        <w:t>exemption criteria</w:t>
      </w:r>
      <w:r w:rsidRPr="00A919B4">
        <w:t xml:space="preserve"> could be made by amendments to the </w:t>
      </w:r>
      <w:r w:rsidR="00507468">
        <w:t xml:space="preserve">Benefit Requirements Rules </w:t>
      </w:r>
      <w:r w:rsidRPr="00A919B4">
        <w:t>and implemented</w:t>
      </w:r>
      <w:r>
        <w:t xml:space="preserve"> from</w:t>
      </w:r>
      <w:r w:rsidRPr="00A919B4">
        <w:t xml:space="preserve"> 1 April 2027.</w:t>
      </w:r>
      <w:r>
        <w:t xml:space="preserve"> Insurers should </w:t>
      </w:r>
      <w:r w:rsidR="00E55D27">
        <w:t>consider</w:t>
      </w:r>
      <w:r w:rsidR="007905B5">
        <w:t xml:space="preserve"> </w:t>
      </w:r>
      <w:r w:rsidR="00E55D27">
        <w:t xml:space="preserve">the impact of </w:t>
      </w:r>
      <w:r w:rsidR="004F774F">
        <w:t xml:space="preserve">these changes </w:t>
      </w:r>
      <w:r w:rsidR="003B03C1">
        <w:t>on</w:t>
      </w:r>
      <w:r>
        <w:t xml:space="preserve"> the</w:t>
      </w:r>
      <w:r w:rsidR="00E55D27">
        <w:t>ir</w:t>
      </w:r>
      <w:r>
        <w:t xml:space="preserve"> 2027 Premium Round</w:t>
      </w:r>
      <w:r w:rsidR="00E55D27">
        <w:t xml:space="preserve"> application</w:t>
      </w:r>
      <w:r>
        <w:t>.</w:t>
      </w:r>
    </w:p>
    <w:p w14:paraId="019FC937" w14:textId="5B6648AC" w:rsidR="00923835" w:rsidRPr="00923835" w:rsidRDefault="004E2E4E" w:rsidP="00473DE9">
      <w:pPr>
        <w:pStyle w:val="Body"/>
        <w:spacing w:after="120"/>
        <w:rPr>
          <w:highlight w:val="yellow"/>
        </w:rPr>
      </w:pPr>
      <w:r>
        <w:t xml:space="preserve">The department would undertake </w:t>
      </w:r>
      <w:r w:rsidR="009B3E42">
        <w:t>post-implementation</w:t>
      </w:r>
      <w:r w:rsidR="00923835">
        <w:t xml:space="preserve"> </w:t>
      </w:r>
      <w:r w:rsidR="00DE0251">
        <w:t xml:space="preserve">monitoring of MBS claims </w:t>
      </w:r>
      <w:r w:rsidR="00AF7E46">
        <w:t>data would be undertaken</w:t>
      </w:r>
      <w:r w:rsidR="00341F4D">
        <w:t xml:space="preserve"> to </w:t>
      </w:r>
      <w:r w:rsidR="00B67DB8">
        <w:t xml:space="preserve">monitor for </w:t>
      </w:r>
      <w:r w:rsidR="00D01404">
        <w:t xml:space="preserve">any </w:t>
      </w:r>
      <w:r w:rsidR="00B67DB8">
        <w:t>unusual</w:t>
      </w:r>
      <w:r w:rsidR="000E4F20">
        <w:t xml:space="preserve"> </w:t>
      </w:r>
      <w:r w:rsidR="003F3A70">
        <w:t xml:space="preserve">claiming </w:t>
      </w:r>
      <w:r w:rsidR="00D01404">
        <w:t>practices.</w:t>
      </w:r>
    </w:p>
    <w:p w14:paraId="69F70571" w14:textId="77777777" w:rsidR="00671707" w:rsidRDefault="13C2AC20" w:rsidP="00651D4E">
      <w:pPr>
        <w:pStyle w:val="Heading3"/>
        <w:numPr>
          <w:ilvl w:val="2"/>
          <w:numId w:val="14"/>
        </w:numPr>
        <w:spacing w:before="240" w:after="120"/>
        <w:rPr>
          <w:b w:val="0"/>
          <w:bCs w:val="0"/>
          <w:i/>
          <w:iCs/>
          <w:sz w:val="28"/>
          <w:szCs w:val="28"/>
        </w:rPr>
      </w:pPr>
      <w:bookmarkStart w:id="56" w:name="_Toc233805040"/>
      <w:r w:rsidRPr="3D1C1472">
        <w:rPr>
          <w:b w:val="0"/>
          <w:bCs w:val="0"/>
          <w:i/>
          <w:iCs/>
          <w:sz w:val="28"/>
          <w:szCs w:val="28"/>
        </w:rPr>
        <w:t>Proposed exemption criteria</w:t>
      </w:r>
      <w:bookmarkEnd w:id="56"/>
      <w:r w:rsidR="330CCAFC" w:rsidRPr="3D1C1472">
        <w:rPr>
          <w:b w:val="0"/>
          <w:bCs w:val="0"/>
          <w:i/>
          <w:iCs/>
          <w:sz w:val="28"/>
          <w:szCs w:val="28"/>
        </w:rPr>
        <w:t xml:space="preserve"> </w:t>
      </w:r>
    </w:p>
    <w:p w14:paraId="44989E50" w14:textId="77777777" w:rsidR="007E6664" w:rsidRPr="003640BB" w:rsidRDefault="00262A86" w:rsidP="008926E0">
      <w:pPr>
        <w:pStyle w:val="Body"/>
        <w:spacing w:before="240" w:after="120"/>
        <w:rPr>
          <w:rFonts w:cs="Arial"/>
          <w:b/>
          <w:bCs/>
          <w:iCs/>
          <w:color w:val="358189"/>
          <w:szCs w:val="22"/>
          <w:u w:val="single"/>
        </w:rPr>
      </w:pPr>
      <w:r w:rsidRPr="003640BB">
        <w:rPr>
          <w:rFonts w:cs="Arial"/>
          <w:b/>
          <w:bCs/>
          <w:iCs/>
          <w:color w:val="358189"/>
          <w:szCs w:val="22"/>
          <w:u w:val="single"/>
        </w:rPr>
        <w:t xml:space="preserve">Patient is </w:t>
      </w:r>
      <w:r w:rsidR="007E6664" w:rsidRPr="003640BB">
        <w:rPr>
          <w:rFonts w:cs="Arial"/>
          <w:b/>
          <w:bCs/>
          <w:iCs/>
          <w:color w:val="358189"/>
          <w:szCs w:val="22"/>
          <w:u w:val="single"/>
        </w:rPr>
        <w:t>≥ 75 years of age</w:t>
      </w:r>
    </w:p>
    <w:p w14:paraId="2DFE3556" w14:textId="77777777" w:rsidR="00E57017" w:rsidRPr="00846ECE" w:rsidRDefault="009F1398" w:rsidP="00473DE9">
      <w:r w:rsidRPr="0018757C">
        <w:rPr>
          <w:color w:val="auto"/>
        </w:rPr>
        <w:t>A certification exemption is proposed for those patients aged 75 years and over</w:t>
      </w:r>
      <w:r w:rsidR="0018757C" w:rsidRPr="0018757C">
        <w:rPr>
          <w:color w:val="auto"/>
        </w:rPr>
        <w:t>due to</w:t>
      </w:r>
      <w:r w:rsidRPr="0018757C">
        <w:rPr>
          <w:color w:val="auto"/>
        </w:rPr>
        <w:t xml:space="preserve"> the </w:t>
      </w:r>
      <w:r w:rsidR="00DC70F2" w:rsidRPr="0018757C">
        <w:rPr>
          <w:color w:val="auto"/>
        </w:rPr>
        <w:t xml:space="preserve">increased complexity and higher risk </w:t>
      </w:r>
      <w:r w:rsidRPr="0018757C">
        <w:rPr>
          <w:color w:val="auto"/>
        </w:rPr>
        <w:t xml:space="preserve">associated with providing care to older </w:t>
      </w:r>
      <w:r w:rsidR="004F1880" w:rsidRPr="0018757C">
        <w:rPr>
          <w:color w:val="auto"/>
        </w:rPr>
        <w:t>patients</w:t>
      </w:r>
      <w:r w:rsidR="00755737" w:rsidRPr="0018757C">
        <w:rPr>
          <w:color w:val="auto"/>
        </w:rPr>
        <w:t xml:space="preserve">. </w:t>
      </w:r>
      <w:r w:rsidR="00E57017" w:rsidRPr="0018757C">
        <w:rPr>
          <w:color w:val="auto"/>
        </w:rPr>
        <w:t xml:space="preserve">This frequently justifies care being delivered in higher acuity facilities where there is more </w:t>
      </w:r>
      <w:r w:rsidR="00E57017" w:rsidRPr="00846ECE">
        <w:t xml:space="preserve">support and clinical supervision. </w:t>
      </w:r>
    </w:p>
    <w:p w14:paraId="0C50E8A8" w14:textId="77777777" w:rsidR="00644908" w:rsidRPr="00AD2981" w:rsidRDefault="00E57017" w:rsidP="00473DE9">
      <w:pPr>
        <w:rPr>
          <w:color w:val="FF0000"/>
        </w:rPr>
      </w:pPr>
      <w:r w:rsidRPr="00846ECE">
        <w:t>Multimorbidity is common and becomes more common with age. In 2022, 76</w:t>
      </w:r>
      <w:r w:rsidR="00FF2C47">
        <w:t>%</w:t>
      </w:r>
      <w:r w:rsidRPr="00846ECE">
        <w:t xml:space="preserve"> of </w:t>
      </w:r>
      <w:r w:rsidRPr="0018757C">
        <w:rPr>
          <w:color w:val="auto"/>
        </w:rPr>
        <w:t>persons in Australia aged 75 and over were living with two or more long-term health conditions</w:t>
      </w:r>
      <w:r w:rsidR="00C444D1" w:rsidRPr="0018757C">
        <w:rPr>
          <w:rStyle w:val="EndnoteReference"/>
          <w:color w:val="auto"/>
        </w:rPr>
        <w:endnoteReference w:id="10"/>
      </w:r>
      <w:r w:rsidRPr="0018757C">
        <w:rPr>
          <w:color w:val="auto"/>
        </w:rPr>
        <w:t xml:space="preserve">. </w:t>
      </w:r>
      <w:r w:rsidR="00480174" w:rsidRPr="0018757C">
        <w:rPr>
          <w:color w:val="auto"/>
        </w:rPr>
        <w:t>For patients</w:t>
      </w:r>
      <w:r w:rsidR="001B450D" w:rsidRPr="0018757C">
        <w:rPr>
          <w:color w:val="auto"/>
        </w:rPr>
        <w:t xml:space="preserve"> admitted to a private hospital and undergoing anaesthesia</w:t>
      </w:r>
      <w:r w:rsidR="005942EA" w:rsidRPr="0018757C">
        <w:rPr>
          <w:color w:val="auto"/>
        </w:rPr>
        <w:t>, the patient</w:t>
      </w:r>
      <w:r w:rsidR="009E1235" w:rsidRPr="0018757C">
        <w:rPr>
          <w:color w:val="auto"/>
        </w:rPr>
        <w:t>’</w:t>
      </w:r>
      <w:r w:rsidR="00DE42C4" w:rsidRPr="0018757C">
        <w:rPr>
          <w:color w:val="auto"/>
        </w:rPr>
        <w:t xml:space="preserve">s </w:t>
      </w:r>
      <w:r w:rsidR="00826D22" w:rsidRPr="0018757C">
        <w:rPr>
          <w:color w:val="auto"/>
        </w:rPr>
        <w:t xml:space="preserve">physical </w:t>
      </w:r>
      <w:r w:rsidR="00DE42C4" w:rsidRPr="0018757C">
        <w:rPr>
          <w:color w:val="auto"/>
        </w:rPr>
        <w:t xml:space="preserve">status </w:t>
      </w:r>
      <w:r w:rsidR="00D03F1F" w:rsidRPr="0018757C">
        <w:rPr>
          <w:color w:val="auto"/>
        </w:rPr>
        <w:t xml:space="preserve">(determined by their </w:t>
      </w:r>
      <w:r w:rsidR="00174046" w:rsidRPr="0018757C">
        <w:rPr>
          <w:color w:val="auto"/>
        </w:rPr>
        <w:t xml:space="preserve">ASA </w:t>
      </w:r>
      <w:r w:rsidR="002D37FD" w:rsidRPr="0018757C">
        <w:rPr>
          <w:color w:val="auto"/>
        </w:rPr>
        <w:t>C</w:t>
      </w:r>
      <w:r w:rsidR="00174046" w:rsidRPr="0018757C">
        <w:rPr>
          <w:color w:val="auto"/>
        </w:rPr>
        <w:t>lass</w:t>
      </w:r>
      <w:r w:rsidR="005616ED" w:rsidRPr="0018757C">
        <w:rPr>
          <w:color w:val="auto"/>
        </w:rPr>
        <w:t>ification</w:t>
      </w:r>
      <w:r w:rsidR="00174046" w:rsidRPr="0018757C">
        <w:rPr>
          <w:color w:val="auto"/>
        </w:rPr>
        <w:t xml:space="preserve">) </w:t>
      </w:r>
      <w:r w:rsidR="00FD4C5F" w:rsidRPr="0018757C">
        <w:rPr>
          <w:color w:val="auto"/>
        </w:rPr>
        <w:t xml:space="preserve">significantly </w:t>
      </w:r>
      <w:r w:rsidR="00174046" w:rsidRPr="0018757C">
        <w:rPr>
          <w:color w:val="auto"/>
        </w:rPr>
        <w:t xml:space="preserve">increases </w:t>
      </w:r>
      <w:r w:rsidR="007D6340" w:rsidRPr="0018757C">
        <w:rPr>
          <w:color w:val="auto"/>
        </w:rPr>
        <w:t>for patients aged 75</w:t>
      </w:r>
      <w:r w:rsidR="006D4722" w:rsidRPr="0018757C">
        <w:rPr>
          <w:color w:val="auto"/>
        </w:rPr>
        <w:t> </w:t>
      </w:r>
      <w:r w:rsidR="007D6340" w:rsidRPr="0018757C">
        <w:rPr>
          <w:color w:val="auto"/>
        </w:rPr>
        <w:t xml:space="preserve">years and older. </w:t>
      </w:r>
    </w:p>
    <w:p w14:paraId="16FA224A" w14:textId="77777777" w:rsidR="00C707BD" w:rsidRDefault="00E57017" w:rsidP="00473DE9">
      <w:r w:rsidRPr="00846ECE">
        <w:t xml:space="preserve">Patient care becomes increasingly complex when managing patients with multiple chronic conditions due to the potential effect on acute illnesses, treatment regimens and the overall </w:t>
      </w:r>
      <w:r w:rsidRPr="00846ECE">
        <w:lastRenderedPageBreak/>
        <w:t>patient risk profile. Older age is also linked to increasing physical frailty, indicated by symptoms such as weakness, fatigue, slow movement, and increased risk of falls</w:t>
      </w:r>
      <w:r w:rsidR="0043336A">
        <w:t xml:space="preserve">. </w:t>
      </w:r>
    </w:p>
    <w:p w14:paraId="15023FA3" w14:textId="77777777" w:rsidR="009F1398" w:rsidRPr="009F1398" w:rsidRDefault="00E57017" w:rsidP="00473DE9">
      <w:r w:rsidRPr="00846ECE">
        <w:t>These factors contribute to a clinician’s decision to treat an older patient in a hospital setting for a procedure that is generally considered not to require hospital treatment.</w:t>
      </w:r>
      <w:r w:rsidR="00434479">
        <w:t xml:space="preserve"> Therefore, i</w:t>
      </w:r>
      <w:r w:rsidRPr="00846ECE">
        <w:t>t is reasonable clinicians be given this discretion, given the relative frequency</w:t>
      </w:r>
      <w:r w:rsidR="00EE736B">
        <w:rPr>
          <w:rStyle w:val="EndnoteReference"/>
        </w:rPr>
        <w:endnoteReference w:id="11"/>
      </w:r>
      <w:r w:rsidRPr="00846ECE">
        <w:t>, without the need to explicitly justify through certification based on individual circumstances.</w:t>
      </w:r>
    </w:p>
    <w:p w14:paraId="12500006" w14:textId="3CADDD0D" w:rsidR="00401FAB" w:rsidRPr="003640BB" w:rsidRDefault="0053682A" w:rsidP="008926E0">
      <w:pPr>
        <w:pStyle w:val="Body"/>
        <w:spacing w:before="240" w:after="120"/>
        <w:rPr>
          <w:rFonts w:cs="Arial"/>
          <w:b/>
          <w:bCs/>
          <w:iCs/>
          <w:color w:val="358189"/>
          <w:szCs w:val="22"/>
          <w:u w:val="single"/>
        </w:rPr>
      </w:pPr>
      <w:r>
        <w:rPr>
          <w:rFonts w:cs="Arial"/>
          <w:b/>
          <w:bCs/>
          <w:iCs/>
          <w:color w:val="358189"/>
          <w:szCs w:val="22"/>
          <w:u w:val="single"/>
        </w:rPr>
        <w:t>The</w:t>
      </w:r>
      <w:r w:rsidR="00D40A7F" w:rsidRPr="003640BB">
        <w:rPr>
          <w:rFonts w:cs="Arial"/>
          <w:b/>
          <w:bCs/>
          <w:iCs/>
          <w:color w:val="358189"/>
          <w:szCs w:val="22"/>
          <w:u w:val="single"/>
        </w:rPr>
        <w:t xml:space="preserve"> </w:t>
      </w:r>
      <w:r w:rsidR="00215785">
        <w:rPr>
          <w:rFonts w:cs="Arial"/>
          <w:b/>
          <w:bCs/>
          <w:iCs/>
          <w:color w:val="358189"/>
          <w:szCs w:val="22"/>
          <w:u w:val="single"/>
        </w:rPr>
        <w:t xml:space="preserve">procedure </w:t>
      </w:r>
      <w:r>
        <w:rPr>
          <w:rFonts w:cs="Arial"/>
          <w:b/>
          <w:bCs/>
          <w:iCs/>
          <w:color w:val="358189"/>
          <w:szCs w:val="22"/>
          <w:u w:val="single"/>
        </w:rPr>
        <w:t>is</w:t>
      </w:r>
      <w:r w:rsidR="00215785">
        <w:rPr>
          <w:rFonts w:cs="Arial"/>
          <w:b/>
          <w:bCs/>
          <w:iCs/>
          <w:color w:val="358189"/>
          <w:szCs w:val="22"/>
          <w:u w:val="single"/>
        </w:rPr>
        <w:t xml:space="preserve"> </w:t>
      </w:r>
      <w:r w:rsidR="0096302F">
        <w:rPr>
          <w:rFonts w:cs="Arial"/>
          <w:b/>
          <w:bCs/>
          <w:iCs/>
          <w:color w:val="358189"/>
          <w:szCs w:val="22"/>
          <w:u w:val="single"/>
        </w:rPr>
        <w:t>conducted</w:t>
      </w:r>
      <w:r w:rsidR="00215785">
        <w:rPr>
          <w:rFonts w:cs="Arial"/>
          <w:b/>
          <w:bCs/>
          <w:iCs/>
          <w:color w:val="358189"/>
          <w:szCs w:val="22"/>
          <w:u w:val="single"/>
        </w:rPr>
        <w:t xml:space="preserve"> under </w:t>
      </w:r>
      <w:r w:rsidR="00D40A7F" w:rsidRPr="003640BB">
        <w:rPr>
          <w:rFonts w:cs="Arial"/>
          <w:b/>
          <w:bCs/>
          <w:iCs/>
          <w:color w:val="358189"/>
          <w:szCs w:val="22"/>
          <w:u w:val="single"/>
        </w:rPr>
        <w:t>general anaesthesia</w:t>
      </w:r>
      <w:r w:rsidR="00215785">
        <w:rPr>
          <w:rFonts w:cs="Arial"/>
          <w:b/>
          <w:bCs/>
          <w:iCs/>
          <w:color w:val="358189"/>
          <w:szCs w:val="22"/>
          <w:u w:val="single"/>
        </w:rPr>
        <w:t>, regional anaesthesia</w:t>
      </w:r>
      <w:r w:rsidR="00D40A7F" w:rsidRPr="003640BB">
        <w:rPr>
          <w:rFonts w:cs="Arial"/>
          <w:b/>
          <w:bCs/>
          <w:iCs/>
          <w:color w:val="358189"/>
          <w:szCs w:val="22"/>
          <w:u w:val="single"/>
        </w:rPr>
        <w:t xml:space="preserve"> or </w:t>
      </w:r>
      <w:r w:rsidR="007A038E">
        <w:rPr>
          <w:rFonts w:cs="Arial"/>
          <w:b/>
          <w:bCs/>
          <w:iCs/>
          <w:color w:val="358189"/>
          <w:szCs w:val="22"/>
          <w:u w:val="single"/>
        </w:rPr>
        <w:t>IV</w:t>
      </w:r>
      <w:r w:rsidR="00EF7820" w:rsidRPr="003640BB">
        <w:rPr>
          <w:rFonts w:cs="Arial"/>
          <w:b/>
          <w:bCs/>
          <w:iCs/>
          <w:color w:val="358189"/>
          <w:szCs w:val="22"/>
          <w:u w:val="single"/>
        </w:rPr>
        <w:t xml:space="preserve"> </w:t>
      </w:r>
      <w:r w:rsidR="00D40A7F" w:rsidRPr="003640BB">
        <w:rPr>
          <w:rFonts w:cs="Arial"/>
          <w:b/>
          <w:bCs/>
          <w:iCs/>
          <w:color w:val="358189"/>
          <w:szCs w:val="22"/>
          <w:u w:val="single"/>
        </w:rPr>
        <w:t>sedation </w:t>
      </w:r>
    </w:p>
    <w:p w14:paraId="221D9550" w14:textId="05AF8467" w:rsidR="00E51CB5" w:rsidRPr="00E51CB5" w:rsidRDefault="00E51CB5" w:rsidP="00473DE9">
      <w:pPr>
        <w:pStyle w:val="Body"/>
        <w:spacing w:after="120"/>
        <w:rPr>
          <w:lang w:val="en-AU"/>
        </w:rPr>
      </w:pPr>
      <w:r w:rsidRPr="00E51CB5">
        <w:rPr>
          <w:lang w:val="en-AU"/>
        </w:rPr>
        <w:t xml:space="preserve">A certification exemption is proposed for patients </w:t>
      </w:r>
      <w:r w:rsidR="00A5607C">
        <w:rPr>
          <w:lang w:val="en-AU"/>
        </w:rPr>
        <w:t>who</w:t>
      </w:r>
      <w:r w:rsidRPr="00E51CB5">
        <w:rPr>
          <w:lang w:val="en-AU"/>
        </w:rPr>
        <w:t xml:space="preserve"> </w:t>
      </w:r>
      <w:r w:rsidR="00F85658">
        <w:rPr>
          <w:lang w:val="en-AU"/>
        </w:rPr>
        <w:t xml:space="preserve">require their procedure </w:t>
      </w:r>
      <w:r w:rsidR="00577818">
        <w:rPr>
          <w:lang w:val="en-AU"/>
        </w:rPr>
        <w:t xml:space="preserve">be </w:t>
      </w:r>
      <w:r w:rsidR="0096302F">
        <w:rPr>
          <w:lang w:val="en-AU"/>
        </w:rPr>
        <w:t>conducted</w:t>
      </w:r>
      <w:r w:rsidR="00577818">
        <w:rPr>
          <w:lang w:val="en-AU"/>
        </w:rPr>
        <w:t xml:space="preserve"> under </w:t>
      </w:r>
      <w:r w:rsidRPr="00E51CB5">
        <w:rPr>
          <w:lang w:val="en-AU"/>
        </w:rPr>
        <w:t>general anaesthesia</w:t>
      </w:r>
      <w:r w:rsidR="00577818">
        <w:rPr>
          <w:lang w:val="en-AU"/>
        </w:rPr>
        <w:t>, regional</w:t>
      </w:r>
      <w:r w:rsidRPr="00E51CB5">
        <w:rPr>
          <w:lang w:val="en-AU"/>
        </w:rPr>
        <w:t xml:space="preserve"> anaesthesia or </w:t>
      </w:r>
      <w:r w:rsidR="007A038E">
        <w:rPr>
          <w:lang w:val="en-AU"/>
        </w:rPr>
        <w:t>IV</w:t>
      </w:r>
      <w:r w:rsidR="00EF7820" w:rsidRPr="00E51CB5">
        <w:rPr>
          <w:lang w:val="en-AU"/>
        </w:rPr>
        <w:t xml:space="preserve"> </w:t>
      </w:r>
      <w:r w:rsidRPr="00E51CB5">
        <w:rPr>
          <w:lang w:val="en-AU"/>
        </w:rPr>
        <w:t>sedation</w:t>
      </w:r>
      <w:r w:rsidR="00934A75">
        <w:rPr>
          <w:lang w:val="en-AU"/>
        </w:rPr>
        <w:t>.</w:t>
      </w:r>
      <w:r w:rsidRPr="00E51CB5">
        <w:rPr>
          <w:lang w:val="en-AU"/>
        </w:rPr>
        <w:t xml:space="preserve"> </w:t>
      </w:r>
    </w:p>
    <w:p w14:paraId="63F5DB34" w14:textId="77777777" w:rsidR="00E410F5" w:rsidRDefault="00744939" w:rsidP="00473DE9">
      <w:pPr>
        <w:pStyle w:val="Body"/>
        <w:spacing w:after="120"/>
        <w:rPr>
          <w:lang w:val="en-AU"/>
        </w:rPr>
      </w:pPr>
      <w:r>
        <w:rPr>
          <w:lang w:val="en-AU"/>
        </w:rPr>
        <w:t xml:space="preserve">The </w:t>
      </w:r>
      <w:r w:rsidRPr="00744939">
        <w:rPr>
          <w:lang w:val="en-AU"/>
        </w:rPr>
        <w:t xml:space="preserve">Australian and New Zealand College of Anaesthetists (ANZCA) </w:t>
      </w:r>
      <w:r w:rsidR="00E51CB5" w:rsidRPr="00E51CB5">
        <w:rPr>
          <w:lang w:val="en-AU"/>
        </w:rPr>
        <w:t>produces position statements on the best practice administration of anaesthesia and sedation, including</w:t>
      </w:r>
      <w:r w:rsidR="00E410F5">
        <w:rPr>
          <w:lang w:val="en-AU"/>
        </w:rPr>
        <w:t>:</w:t>
      </w:r>
      <w:r w:rsidR="00E51CB5" w:rsidRPr="00E51CB5">
        <w:rPr>
          <w:lang w:val="en-AU"/>
        </w:rPr>
        <w:t xml:space="preserve"> </w:t>
      </w:r>
    </w:p>
    <w:p w14:paraId="69E73C1F" w14:textId="77777777" w:rsidR="00E410F5" w:rsidRDefault="00E51CB5" w:rsidP="009257CE">
      <w:pPr>
        <w:pStyle w:val="Body"/>
        <w:numPr>
          <w:ilvl w:val="0"/>
          <w:numId w:val="9"/>
        </w:numPr>
        <w:spacing w:after="120"/>
        <w:ind w:left="714" w:hanging="357"/>
        <w:rPr>
          <w:lang w:val="en-AU"/>
        </w:rPr>
      </w:pPr>
      <w:r w:rsidRPr="00E51CB5">
        <w:t>minimum</w:t>
      </w:r>
      <w:r w:rsidRPr="00E51CB5">
        <w:rPr>
          <w:lang w:val="en-AU"/>
        </w:rPr>
        <w:t xml:space="preserve"> safe facilities (including staffing, physical location, equipment, emergency medications)</w:t>
      </w:r>
    </w:p>
    <w:p w14:paraId="66FA501E" w14:textId="77777777" w:rsidR="00E410F5" w:rsidRDefault="00E51CB5" w:rsidP="009257CE">
      <w:pPr>
        <w:pStyle w:val="Body"/>
        <w:numPr>
          <w:ilvl w:val="0"/>
          <w:numId w:val="9"/>
        </w:numPr>
        <w:spacing w:after="120"/>
        <w:ind w:left="714" w:hanging="357"/>
        <w:rPr>
          <w:lang w:val="en-AU"/>
        </w:rPr>
      </w:pPr>
      <w:r w:rsidRPr="00E51CB5">
        <w:rPr>
          <w:lang w:val="en-AU"/>
        </w:rPr>
        <w:t>monitoring during anaesthetics</w:t>
      </w:r>
      <w:r w:rsidR="008D0FAC">
        <w:rPr>
          <w:lang w:val="en-AU"/>
        </w:rPr>
        <w:t>, and</w:t>
      </w:r>
    </w:p>
    <w:p w14:paraId="2BE08D74" w14:textId="77777777" w:rsidR="00E410F5" w:rsidRDefault="00E51CB5" w:rsidP="009257CE">
      <w:pPr>
        <w:pStyle w:val="Body"/>
        <w:numPr>
          <w:ilvl w:val="0"/>
          <w:numId w:val="9"/>
        </w:numPr>
        <w:spacing w:after="120"/>
        <w:ind w:left="714" w:hanging="357"/>
        <w:rPr>
          <w:lang w:val="en-AU"/>
        </w:rPr>
      </w:pPr>
      <w:r w:rsidRPr="00E51CB5">
        <w:rPr>
          <w:lang w:val="en-AU"/>
        </w:rPr>
        <w:t>post-anaesthesia care</w:t>
      </w:r>
      <w:r w:rsidR="008D0FAC">
        <w:rPr>
          <w:lang w:val="en-AU"/>
        </w:rPr>
        <w:t>.</w:t>
      </w:r>
    </w:p>
    <w:p w14:paraId="609F6CF6" w14:textId="347FD0FF" w:rsidR="00434479" w:rsidRDefault="00E11E2F" w:rsidP="00473DE9">
      <w:pPr>
        <w:pStyle w:val="Body"/>
        <w:spacing w:after="120"/>
        <w:rPr>
          <w:lang w:val="en-AU"/>
        </w:rPr>
      </w:pPr>
      <w:r>
        <w:rPr>
          <w:lang w:val="en-AU"/>
        </w:rPr>
        <w:t>ANZCA provides g</w:t>
      </w:r>
      <w:r w:rsidR="005C036D">
        <w:rPr>
          <w:lang w:val="en-AU"/>
        </w:rPr>
        <w:t xml:space="preserve">uidance </w:t>
      </w:r>
      <w:r w:rsidR="000B6642">
        <w:rPr>
          <w:lang w:val="en-AU"/>
        </w:rPr>
        <w:t xml:space="preserve">on safe </w:t>
      </w:r>
      <w:r w:rsidR="00E51CB5" w:rsidRPr="00E51CB5">
        <w:rPr>
          <w:lang w:val="en-AU"/>
        </w:rPr>
        <w:t>patient management that</w:t>
      </w:r>
      <w:r w:rsidR="00434479">
        <w:rPr>
          <w:lang w:val="en-AU"/>
        </w:rPr>
        <w:t>:</w:t>
      </w:r>
      <w:r w:rsidR="00E51CB5" w:rsidRPr="00E51CB5">
        <w:rPr>
          <w:lang w:val="en-AU"/>
        </w:rPr>
        <w:t xml:space="preserve"> </w:t>
      </w:r>
    </w:p>
    <w:p w14:paraId="5F2400B1" w14:textId="77777777" w:rsidR="00434479" w:rsidRDefault="00E51CB5" w:rsidP="009257CE">
      <w:pPr>
        <w:pStyle w:val="Body"/>
        <w:numPr>
          <w:ilvl w:val="0"/>
          <w:numId w:val="9"/>
        </w:numPr>
        <w:spacing w:after="120"/>
        <w:ind w:left="714" w:hanging="357"/>
        <w:rPr>
          <w:lang w:val="en-AU"/>
        </w:rPr>
      </w:pPr>
      <w:r w:rsidRPr="00E51CB5">
        <w:rPr>
          <w:lang w:val="en-AU"/>
        </w:rPr>
        <w:t>aligns with the procedure performed</w:t>
      </w:r>
    </w:p>
    <w:p w14:paraId="033B72A7" w14:textId="77777777" w:rsidR="00434479" w:rsidRDefault="00E51CB5" w:rsidP="009257CE">
      <w:pPr>
        <w:pStyle w:val="Body"/>
        <w:numPr>
          <w:ilvl w:val="0"/>
          <w:numId w:val="9"/>
        </w:numPr>
        <w:spacing w:after="120"/>
        <w:ind w:left="714" w:hanging="357"/>
        <w:rPr>
          <w:lang w:val="en-AU"/>
        </w:rPr>
      </w:pPr>
      <w:r w:rsidRPr="00E51CB5">
        <w:rPr>
          <w:lang w:val="en-AU"/>
        </w:rPr>
        <w:t xml:space="preserve">the anaesthesia or sedation technique </w:t>
      </w:r>
    </w:p>
    <w:p w14:paraId="1AAA16CF" w14:textId="77777777" w:rsidR="004E7018" w:rsidRDefault="00E51CB5" w:rsidP="009257CE">
      <w:pPr>
        <w:pStyle w:val="Body"/>
        <w:numPr>
          <w:ilvl w:val="0"/>
          <w:numId w:val="9"/>
        </w:numPr>
        <w:spacing w:after="120"/>
        <w:ind w:left="714" w:hanging="357"/>
        <w:rPr>
          <w:lang w:val="en-AU"/>
        </w:rPr>
      </w:pPr>
      <w:r w:rsidRPr="00E51CB5">
        <w:rPr>
          <w:lang w:val="en-AU"/>
        </w:rPr>
        <w:t>the patient profile including age and co-morbidities</w:t>
      </w:r>
    </w:p>
    <w:p w14:paraId="0A39C824" w14:textId="77777777" w:rsidR="004E7018" w:rsidRDefault="00E51CB5" w:rsidP="009257CE">
      <w:pPr>
        <w:pStyle w:val="Body"/>
        <w:numPr>
          <w:ilvl w:val="0"/>
          <w:numId w:val="9"/>
        </w:numPr>
        <w:spacing w:after="120"/>
        <w:ind w:left="714" w:hanging="357"/>
        <w:rPr>
          <w:lang w:val="en-AU"/>
        </w:rPr>
      </w:pPr>
      <w:r w:rsidRPr="00E51CB5">
        <w:rPr>
          <w:lang w:val="en-AU"/>
        </w:rPr>
        <w:t>the skills of nursing staff</w:t>
      </w:r>
      <w:r w:rsidR="004E7018">
        <w:rPr>
          <w:lang w:val="en-AU"/>
        </w:rPr>
        <w:t>,</w:t>
      </w:r>
      <w:r w:rsidRPr="00E51CB5">
        <w:rPr>
          <w:lang w:val="en-AU"/>
        </w:rPr>
        <w:t xml:space="preserve"> and </w:t>
      </w:r>
    </w:p>
    <w:p w14:paraId="65BFB563" w14:textId="77777777" w:rsidR="00E51CB5" w:rsidRPr="00E51CB5" w:rsidRDefault="00E51CB5" w:rsidP="009257CE">
      <w:pPr>
        <w:pStyle w:val="Body"/>
        <w:numPr>
          <w:ilvl w:val="0"/>
          <w:numId w:val="9"/>
        </w:numPr>
        <w:spacing w:after="120"/>
        <w:ind w:left="714" w:hanging="357"/>
        <w:rPr>
          <w:lang w:val="en-AU"/>
        </w:rPr>
      </w:pPr>
      <w:r w:rsidRPr="00E51CB5">
        <w:rPr>
          <w:lang w:val="en-AU"/>
        </w:rPr>
        <w:t>the facility environment.</w:t>
      </w:r>
    </w:p>
    <w:p w14:paraId="069E8C88" w14:textId="77777777" w:rsidR="00362EC7" w:rsidRPr="0018757C" w:rsidRDefault="0018757C" w:rsidP="00473DE9">
      <w:pPr>
        <w:pStyle w:val="Body"/>
        <w:spacing w:after="120"/>
        <w:rPr>
          <w:color w:val="auto"/>
          <w:lang w:val="en-AU"/>
        </w:rPr>
      </w:pPr>
      <w:r w:rsidRPr="0018757C">
        <w:rPr>
          <w:color w:val="auto"/>
          <w:lang w:val="en-AU"/>
        </w:rPr>
        <w:t>If</w:t>
      </w:r>
      <w:r w:rsidR="00B87C65" w:rsidRPr="0018757C">
        <w:rPr>
          <w:color w:val="auto"/>
          <w:lang w:val="en-AU"/>
        </w:rPr>
        <w:t xml:space="preserve"> a clinician determine</w:t>
      </w:r>
      <w:r w:rsidRPr="0018757C">
        <w:rPr>
          <w:color w:val="auto"/>
          <w:lang w:val="en-AU"/>
        </w:rPr>
        <w:t>s</w:t>
      </w:r>
      <w:r w:rsidR="00B87C65" w:rsidRPr="0018757C">
        <w:rPr>
          <w:color w:val="auto"/>
          <w:lang w:val="en-AU"/>
        </w:rPr>
        <w:t xml:space="preserve"> that a patient requires administration of general anaesthesia</w:t>
      </w:r>
      <w:r w:rsidR="00826C94" w:rsidRPr="0018757C">
        <w:rPr>
          <w:color w:val="auto"/>
          <w:lang w:val="en-AU"/>
        </w:rPr>
        <w:t>, regional anaesthesia</w:t>
      </w:r>
      <w:r w:rsidR="00B87C65" w:rsidRPr="0018757C">
        <w:rPr>
          <w:color w:val="auto"/>
          <w:lang w:val="en-AU"/>
        </w:rPr>
        <w:t xml:space="preserve"> or </w:t>
      </w:r>
      <w:r w:rsidR="00D41105" w:rsidRPr="0018757C">
        <w:rPr>
          <w:color w:val="auto"/>
          <w:lang w:val="en-AU"/>
        </w:rPr>
        <w:t>IV</w:t>
      </w:r>
      <w:r w:rsidR="00B87C65" w:rsidRPr="0018757C">
        <w:rPr>
          <w:color w:val="auto"/>
          <w:lang w:val="en-AU"/>
        </w:rPr>
        <w:t xml:space="preserve"> sedation as part of their treatment, this procedure would be performed in a hospital setting and a Type C certificate should not be required.</w:t>
      </w:r>
    </w:p>
    <w:p w14:paraId="0B81F0A9" w14:textId="77777777" w:rsidR="00133ED5" w:rsidRPr="003640BB" w:rsidRDefault="00133ED5" w:rsidP="008926E0">
      <w:pPr>
        <w:pStyle w:val="Body"/>
        <w:spacing w:before="240" w:after="120"/>
        <w:rPr>
          <w:rFonts w:cs="Arial"/>
          <w:b/>
          <w:bCs/>
          <w:iCs/>
          <w:color w:val="358189"/>
          <w:szCs w:val="22"/>
          <w:u w:val="single"/>
          <w:lang w:val="en-AU"/>
        </w:rPr>
      </w:pPr>
      <w:r w:rsidRPr="008926E0">
        <w:rPr>
          <w:rFonts w:cs="Arial"/>
          <w:b/>
          <w:bCs/>
          <w:iCs/>
          <w:color w:val="358189"/>
          <w:szCs w:val="22"/>
          <w:u w:val="single"/>
        </w:rPr>
        <w:t>Other</w:t>
      </w:r>
      <w:r w:rsidRPr="003640BB">
        <w:rPr>
          <w:rFonts w:cs="Arial"/>
          <w:b/>
          <w:bCs/>
          <w:iCs/>
          <w:color w:val="358189"/>
          <w:szCs w:val="22"/>
          <w:u w:val="single"/>
          <w:lang w:val="en-AU"/>
        </w:rPr>
        <w:t xml:space="preserve"> possible exemption criteria</w:t>
      </w:r>
    </w:p>
    <w:p w14:paraId="12FA402A" w14:textId="4FDAF48B" w:rsidR="00133ED5" w:rsidRPr="00133ED5" w:rsidRDefault="00865A3D" w:rsidP="00473DE9">
      <w:pPr>
        <w:pStyle w:val="Body"/>
        <w:spacing w:after="120"/>
        <w:rPr>
          <w:lang w:val="en-AU"/>
        </w:rPr>
      </w:pPr>
      <w:r>
        <w:rPr>
          <w:lang w:val="en-AU"/>
        </w:rPr>
        <w:t>T</w:t>
      </w:r>
      <w:r w:rsidR="005E7DDA" w:rsidRPr="005E7DDA">
        <w:rPr>
          <w:lang w:val="en-AU"/>
        </w:rPr>
        <w:t xml:space="preserve">he department would </w:t>
      </w:r>
      <w:r w:rsidR="000B6C88">
        <w:rPr>
          <w:lang w:val="en-AU"/>
        </w:rPr>
        <w:t xml:space="preserve">also </w:t>
      </w:r>
      <w:r w:rsidR="005E7DDA" w:rsidRPr="005E7DDA">
        <w:rPr>
          <w:lang w:val="en-AU"/>
        </w:rPr>
        <w:t xml:space="preserve">like stakeholders to </w:t>
      </w:r>
      <w:r w:rsidR="00267BF9" w:rsidRPr="005E7DDA">
        <w:rPr>
          <w:lang w:val="en-AU"/>
        </w:rPr>
        <w:t>consider</w:t>
      </w:r>
      <w:r w:rsidR="00267BF9">
        <w:rPr>
          <w:lang w:val="en-AU"/>
        </w:rPr>
        <w:t xml:space="preserve"> </w:t>
      </w:r>
      <w:r w:rsidR="005B428F">
        <w:rPr>
          <w:lang w:val="en-AU"/>
        </w:rPr>
        <w:t xml:space="preserve">and provide </w:t>
      </w:r>
      <w:r w:rsidR="00B26764">
        <w:rPr>
          <w:lang w:val="en-AU"/>
        </w:rPr>
        <w:t xml:space="preserve">general </w:t>
      </w:r>
      <w:r w:rsidR="005B428F">
        <w:rPr>
          <w:lang w:val="en-AU"/>
        </w:rPr>
        <w:t xml:space="preserve">feedback </w:t>
      </w:r>
      <w:r w:rsidR="00941CF0">
        <w:rPr>
          <w:lang w:val="en-AU"/>
        </w:rPr>
        <w:t>on</w:t>
      </w:r>
      <w:r w:rsidR="004055E5">
        <w:rPr>
          <w:lang w:val="en-AU"/>
        </w:rPr>
        <w:t xml:space="preserve"> </w:t>
      </w:r>
      <w:r w:rsidR="000B6C88">
        <w:rPr>
          <w:lang w:val="en-AU"/>
        </w:rPr>
        <w:t>o</w:t>
      </w:r>
      <w:r w:rsidR="000B6C88" w:rsidRPr="00133ED5">
        <w:rPr>
          <w:lang w:val="en-AU"/>
        </w:rPr>
        <w:t xml:space="preserve">ther </w:t>
      </w:r>
      <w:r w:rsidR="00CF73BB">
        <w:rPr>
          <w:lang w:val="en-AU"/>
        </w:rPr>
        <w:t>feasible options</w:t>
      </w:r>
      <w:r w:rsidR="000B6C88">
        <w:rPr>
          <w:lang w:val="en-AU"/>
        </w:rPr>
        <w:t xml:space="preserve"> for</w:t>
      </w:r>
      <w:r w:rsidR="000B6C88" w:rsidRPr="00133ED5">
        <w:rPr>
          <w:lang w:val="en-AU"/>
        </w:rPr>
        <w:t xml:space="preserve"> exemption criteria</w:t>
      </w:r>
      <w:r w:rsidR="000B6C88" w:rsidRPr="005E7DDA">
        <w:rPr>
          <w:lang w:val="en-AU"/>
        </w:rPr>
        <w:t xml:space="preserve"> </w:t>
      </w:r>
      <w:r w:rsidR="00133ED5" w:rsidRPr="00133ED5">
        <w:rPr>
          <w:lang w:val="en-AU"/>
        </w:rPr>
        <w:t>includ</w:t>
      </w:r>
      <w:r w:rsidR="00B1583C">
        <w:rPr>
          <w:lang w:val="en-AU"/>
        </w:rPr>
        <w:t>ing</w:t>
      </w:r>
      <w:r w:rsidR="00A94F9A">
        <w:rPr>
          <w:lang w:val="en-AU"/>
        </w:rPr>
        <w:t>,</w:t>
      </w:r>
      <w:r w:rsidR="005E7DDA" w:rsidRPr="005E7DDA">
        <w:rPr>
          <w:lang w:val="en-AU"/>
        </w:rPr>
        <w:t xml:space="preserve"> but not limited to</w:t>
      </w:r>
      <w:r w:rsidR="00133ED5" w:rsidRPr="00133ED5">
        <w:rPr>
          <w:lang w:val="en-AU"/>
        </w:rPr>
        <w:t>: </w:t>
      </w:r>
    </w:p>
    <w:p w14:paraId="257C4AA6" w14:textId="77777777" w:rsidR="00A40F17" w:rsidRDefault="00A40F17" w:rsidP="009257CE">
      <w:pPr>
        <w:pStyle w:val="Body"/>
        <w:numPr>
          <w:ilvl w:val="0"/>
          <w:numId w:val="19"/>
        </w:numPr>
        <w:spacing w:after="120"/>
        <w:ind w:left="714" w:hanging="357"/>
        <w:rPr>
          <w:lang w:val="en-AU"/>
        </w:rPr>
      </w:pPr>
      <w:r>
        <w:rPr>
          <w:lang w:val="en-AU"/>
        </w:rPr>
        <w:t>younger patient</w:t>
      </w:r>
      <w:r w:rsidR="00C90913">
        <w:rPr>
          <w:lang w:val="en-AU"/>
        </w:rPr>
        <w:t xml:space="preserve">s e.g. aged </w:t>
      </w:r>
      <w:r w:rsidR="38DFAC6A" w:rsidRPr="2881A3C6">
        <w:rPr>
          <w:lang w:val="en-AU"/>
        </w:rPr>
        <w:t>5</w:t>
      </w:r>
      <w:r w:rsidR="00420B88">
        <w:rPr>
          <w:lang w:val="en-AU"/>
        </w:rPr>
        <w:t xml:space="preserve"> years and under</w:t>
      </w:r>
      <w:r>
        <w:rPr>
          <w:lang w:val="en-AU"/>
        </w:rPr>
        <w:t xml:space="preserve"> </w:t>
      </w:r>
    </w:p>
    <w:p w14:paraId="2C488F68" w14:textId="77777777" w:rsidR="00133ED5" w:rsidRPr="00133ED5" w:rsidRDefault="00133ED5" w:rsidP="009257CE">
      <w:pPr>
        <w:pStyle w:val="Body"/>
        <w:numPr>
          <w:ilvl w:val="0"/>
          <w:numId w:val="19"/>
        </w:numPr>
        <w:spacing w:after="120"/>
        <w:ind w:left="714" w:hanging="357"/>
        <w:rPr>
          <w:lang w:val="en-AU"/>
        </w:rPr>
      </w:pPr>
      <w:r w:rsidRPr="00133ED5">
        <w:rPr>
          <w:lang w:val="en-AU"/>
        </w:rPr>
        <w:t>referred rural and remote patient</w:t>
      </w:r>
      <w:r w:rsidR="00C90913">
        <w:rPr>
          <w:lang w:val="en-AU"/>
        </w:rPr>
        <w:t>s</w:t>
      </w:r>
      <w:r w:rsidRPr="00133ED5">
        <w:rPr>
          <w:lang w:val="en-AU"/>
        </w:rPr>
        <w:t xml:space="preserve"> e.g</w:t>
      </w:r>
      <w:r w:rsidR="002B63B0" w:rsidRPr="00133ED5">
        <w:rPr>
          <w:lang w:val="en-AU"/>
        </w:rPr>
        <w:t>.</w:t>
      </w:r>
      <w:r w:rsidR="002B63B0">
        <w:rPr>
          <w:lang w:val="en-AU"/>
        </w:rPr>
        <w:t xml:space="preserve"> </w:t>
      </w:r>
      <w:r w:rsidR="002B63B0" w:rsidRPr="00133ED5">
        <w:rPr>
          <w:lang w:val="en-AU"/>
        </w:rPr>
        <w:t>a</w:t>
      </w:r>
      <w:r w:rsidR="002B63B0">
        <w:rPr>
          <w:lang w:val="en-AU"/>
        </w:rPr>
        <w:t xml:space="preserve"> </w:t>
      </w:r>
      <w:r w:rsidR="002B63B0" w:rsidRPr="00133ED5">
        <w:rPr>
          <w:lang w:val="en-AU"/>
        </w:rPr>
        <w:t>patient</w:t>
      </w:r>
      <w:r w:rsidR="002B63B0">
        <w:rPr>
          <w:lang w:val="en-AU"/>
        </w:rPr>
        <w:t xml:space="preserve"> </w:t>
      </w:r>
      <w:r w:rsidR="002B63B0" w:rsidRPr="00133ED5">
        <w:rPr>
          <w:lang w:val="en-AU"/>
        </w:rPr>
        <w:t>required</w:t>
      </w:r>
      <w:r w:rsidR="002B63B0">
        <w:rPr>
          <w:lang w:val="en-AU"/>
        </w:rPr>
        <w:t xml:space="preserve"> </w:t>
      </w:r>
      <w:r w:rsidRPr="00133ED5">
        <w:rPr>
          <w:lang w:val="en-AU"/>
        </w:rPr>
        <w:t xml:space="preserve">to </w:t>
      </w:r>
      <w:r w:rsidR="002B63B0" w:rsidRPr="00133ED5">
        <w:rPr>
          <w:lang w:val="en-AU"/>
        </w:rPr>
        <w:t>travel</w:t>
      </w:r>
      <w:r w:rsidR="002B63B0">
        <w:rPr>
          <w:lang w:val="en-AU"/>
        </w:rPr>
        <w:t xml:space="preserve"> </w:t>
      </w:r>
      <w:r w:rsidRPr="00133ED5">
        <w:rPr>
          <w:lang w:val="en-AU"/>
        </w:rPr>
        <w:t xml:space="preserve">more </w:t>
      </w:r>
      <w:r w:rsidR="002B63B0" w:rsidRPr="00133ED5">
        <w:rPr>
          <w:lang w:val="en-AU"/>
        </w:rPr>
        <w:t>than</w:t>
      </w:r>
      <w:r w:rsidR="002B63B0">
        <w:rPr>
          <w:lang w:val="en-AU"/>
        </w:rPr>
        <w:t xml:space="preserve"> </w:t>
      </w:r>
      <w:r w:rsidRPr="00133ED5">
        <w:rPr>
          <w:lang w:val="en-AU"/>
        </w:rPr>
        <w:t xml:space="preserve">100km </w:t>
      </w:r>
      <w:r w:rsidR="002B63B0" w:rsidRPr="00133ED5">
        <w:rPr>
          <w:lang w:val="en-AU"/>
        </w:rPr>
        <w:t>to</w:t>
      </w:r>
      <w:r w:rsidR="002B63B0">
        <w:rPr>
          <w:lang w:val="en-AU"/>
        </w:rPr>
        <w:t xml:space="preserve"> </w:t>
      </w:r>
      <w:r w:rsidRPr="00133ED5">
        <w:rPr>
          <w:lang w:val="en-AU"/>
        </w:rPr>
        <w:t>the service</w:t>
      </w:r>
    </w:p>
    <w:p w14:paraId="76B25F18" w14:textId="77777777" w:rsidR="00133ED5" w:rsidRPr="0018757C" w:rsidRDefault="005E7DDA" w:rsidP="009257CE">
      <w:pPr>
        <w:pStyle w:val="Body"/>
        <w:numPr>
          <w:ilvl w:val="0"/>
          <w:numId w:val="20"/>
        </w:numPr>
        <w:spacing w:after="120"/>
        <w:ind w:left="714" w:hanging="357"/>
        <w:rPr>
          <w:color w:val="auto"/>
          <w:lang w:val="en-AU"/>
        </w:rPr>
      </w:pPr>
      <w:r w:rsidRPr="005E7DDA">
        <w:rPr>
          <w:lang w:val="en-AU"/>
        </w:rPr>
        <w:t>w</w:t>
      </w:r>
      <w:r w:rsidR="00133ED5" w:rsidRPr="00133ED5">
        <w:rPr>
          <w:lang w:val="en-AU"/>
        </w:rPr>
        <w:t xml:space="preserve">here the Type C procedure is considered </w:t>
      </w:r>
      <w:r w:rsidR="003808D5">
        <w:rPr>
          <w:lang w:val="en-AU"/>
        </w:rPr>
        <w:t xml:space="preserve">adjunct </w:t>
      </w:r>
      <w:r w:rsidR="00133ED5" w:rsidRPr="00133ED5">
        <w:rPr>
          <w:lang w:val="en-AU"/>
        </w:rPr>
        <w:t>to the primary</w:t>
      </w:r>
      <w:r w:rsidR="007777B4">
        <w:rPr>
          <w:lang w:val="en-AU"/>
        </w:rPr>
        <w:t xml:space="preserve"> </w:t>
      </w:r>
      <w:r w:rsidR="00133ED5" w:rsidRPr="00133ED5">
        <w:rPr>
          <w:lang w:val="en-AU"/>
        </w:rPr>
        <w:t>reason for admission</w:t>
      </w:r>
      <w:r w:rsidR="004E7018">
        <w:rPr>
          <w:lang w:val="en-AU"/>
        </w:rPr>
        <w:t xml:space="preserve"> </w:t>
      </w:r>
      <w:r w:rsidR="004E7018" w:rsidRPr="00133ED5">
        <w:rPr>
          <w:lang w:val="en-AU"/>
        </w:rPr>
        <w:t xml:space="preserve">e.g. </w:t>
      </w:r>
      <w:r w:rsidR="004E7018" w:rsidRPr="0018757C">
        <w:rPr>
          <w:color w:val="auto"/>
          <w:lang w:val="en-AU"/>
        </w:rPr>
        <w:t>consultation</w:t>
      </w:r>
      <w:r w:rsidR="00D43895" w:rsidRPr="0018757C">
        <w:rPr>
          <w:color w:val="auto"/>
          <w:lang w:val="en-AU"/>
        </w:rPr>
        <w:t xml:space="preserve"> or</w:t>
      </w:r>
      <w:r w:rsidR="004E7018" w:rsidRPr="0018757C">
        <w:rPr>
          <w:color w:val="auto"/>
          <w:lang w:val="en-AU"/>
        </w:rPr>
        <w:t xml:space="preserve"> pathology</w:t>
      </w:r>
      <w:r w:rsidR="00035EAF" w:rsidRPr="0018757C">
        <w:rPr>
          <w:color w:val="auto"/>
          <w:lang w:val="en-AU"/>
        </w:rPr>
        <w:t xml:space="preserve"> </w:t>
      </w:r>
      <w:r w:rsidR="004101BC" w:rsidRPr="0018757C">
        <w:rPr>
          <w:color w:val="auto"/>
          <w:lang w:val="en-AU"/>
        </w:rPr>
        <w:t xml:space="preserve">items, </w:t>
      </w:r>
      <w:r w:rsidR="00035EAF" w:rsidRPr="0018757C">
        <w:rPr>
          <w:color w:val="auto"/>
          <w:lang w:val="en-AU"/>
        </w:rPr>
        <w:t xml:space="preserve">where you would expect to see the </w:t>
      </w:r>
      <w:r w:rsidR="00D4176A" w:rsidRPr="0018757C">
        <w:rPr>
          <w:color w:val="auto"/>
          <w:lang w:val="en-AU"/>
        </w:rPr>
        <w:t xml:space="preserve">Type C procedure co-claimed with </w:t>
      </w:r>
      <w:r w:rsidR="000E1EA5" w:rsidRPr="0018757C">
        <w:rPr>
          <w:color w:val="auto"/>
          <w:lang w:val="en-AU"/>
        </w:rPr>
        <w:t>a higher classified (A or B) MBS item</w:t>
      </w:r>
      <w:r w:rsidRPr="0018757C">
        <w:rPr>
          <w:color w:val="auto"/>
          <w:lang w:val="en-AU"/>
        </w:rPr>
        <w:t>, and/or</w:t>
      </w:r>
    </w:p>
    <w:p w14:paraId="33F72583" w14:textId="77777777" w:rsidR="00133ED5" w:rsidRDefault="005E7DDA" w:rsidP="009257CE">
      <w:pPr>
        <w:pStyle w:val="Body"/>
        <w:numPr>
          <w:ilvl w:val="0"/>
          <w:numId w:val="20"/>
        </w:numPr>
        <w:spacing w:after="120"/>
        <w:ind w:left="714" w:hanging="357"/>
        <w:rPr>
          <w:lang w:val="en-AU"/>
        </w:rPr>
      </w:pPr>
      <w:r w:rsidRPr="005E7DDA">
        <w:rPr>
          <w:lang w:val="en-AU"/>
        </w:rPr>
        <w:t>t</w:t>
      </w:r>
      <w:r w:rsidR="00133ED5" w:rsidRPr="00133ED5">
        <w:rPr>
          <w:lang w:val="en-AU"/>
        </w:rPr>
        <w:t xml:space="preserve">he patient </w:t>
      </w:r>
      <w:r w:rsidR="00C241E5" w:rsidRPr="00133ED5">
        <w:rPr>
          <w:lang w:val="en-AU"/>
        </w:rPr>
        <w:t>is</w:t>
      </w:r>
      <w:r w:rsidR="00C241E5">
        <w:rPr>
          <w:lang w:val="en-AU"/>
        </w:rPr>
        <w:t xml:space="preserve"> </w:t>
      </w:r>
      <w:r w:rsidR="00C241E5" w:rsidRPr="00133ED5">
        <w:rPr>
          <w:lang w:val="en-AU"/>
        </w:rPr>
        <w:t>admitted</w:t>
      </w:r>
      <w:r w:rsidR="00C241E5">
        <w:rPr>
          <w:lang w:val="en-AU"/>
        </w:rPr>
        <w:t xml:space="preserve"> </w:t>
      </w:r>
      <w:r w:rsidR="00133ED5" w:rsidRPr="00133ED5">
        <w:rPr>
          <w:lang w:val="en-AU"/>
        </w:rPr>
        <w:t xml:space="preserve">after a certain time </w:t>
      </w:r>
      <w:r w:rsidR="00715C02">
        <w:rPr>
          <w:lang w:val="en-AU"/>
        </w:rPr>
        <w:t>(</w:t>
      </w:r>
      <w:r w:rsidR="00133ED5" w:rsidRPr="00133ED5">
        <w:rPr>
          <w:lang w:val="en-AU"/>
        </w:rPr>
        <w:t>e.g. 3:00pm</w:t>
      </w:r>
      <w:r w:rsidR="00715C02">
        <w:rPr>
          <w:lang w:val="en-AU"/>
        </w:rPr>
        <w:t>).</w:t>
      </w:r>
      <w:r w:rsidR="00133ED5" w:rsidRPr="00133ED5">
        <w:rPr>
          <w:lang w:val="en-AU"/>
        </w:rPr>
        <w:t> </w:t>
      </w:r>
    </w:p>
    <w:p w14:paraId="2B66EDEE" w14:textId="77777777" w:rsidR="002316EC" w:rsidRDefault="008F0EEC" w:rsidP="00473DE9">
      <w:pPr>
        <w:pStyle w:val="Body"/>
        <w:spacing w:after="120"/>
        <w:rPr>
          <w:lang w:val="en-AU"/>
        </w:rPr>
      </w:pPr>
      <w:r>
        <w:rPr>
          <w:lang w:val="en-AU"/>
        </w:rPr>
        <w:t xml:space="preserve">While not </w:t>
      </w:r>
      <w:r w:rsidR="00724EB9">
        <w:rPr>
          <w:lang w:val="en-AU"/>
        </w:rPr>
        <w:t>proposed for implementation</w:t>
      </w:r>
      <w:r w:rsidR="00E95D6D">
        <w:rPr>
          <w:lang w:val="en-AU"/>
        </w:rPr>
        <w:t xml:space="preserve"> at this time</w:t>
      </w:r>
      <w:r w:rsidR="0024617E">
        <w:rPr>
          <w:lang w:val="en-AU"/>
        </w:rPr>
        <w:t xml:space="preserve">, other exemption criteria could be considered </w:t>
      </w:r>
      <w:r w:rsidR="00E77CDA">
        <w:rPr>
          <w:lang w:val="en-AU"/>
        </w:rPr>
        <w:t xml:space="preserve">as part of </w:t>
      </w:r>
      <w:r w:rsidR="007E586D">
        <w:rPr>
          <w:lang w:val="en-AU"/>
        </w:rPr>
        <w:t>an ongoing</w:t>
      </w:r>
      <w:r w:rsidR="00417B19">
        <w:rPr>
          <w:lang w:val="en-AU"/>
        </w:rPr>
        <w:t>, later process.</w:t>
      </w:r>
    </w:p>
    <w:p w14:paraId="26C2870C" w14:textId="77777777" w:rsidR="00CA11D9" w:rsidRPr="008F4ACF" w:rsidRDefault="008F4ACF" w:rsidP="00651D4E">
      <w:pPr>
        <w:pStyle w:val="Heading3"/>
        <w:numPr>
          <w:ilvl w:val="2"/>
          <w:numId w:val="14"/>
        </w:numPr>
        <w:spacing w:before="240" w:after="120"/>
        <w:rPr>
          <w:b w:val="0"/>
          <w:bCs w:val="0"/>
          <w:i/>
          <w:iCs/>
          <w:sz w:val="28"/>
          <w:szCs w:val="28"/>
        </w:rPr>
      </w:pPr>
      <w:bookmarkStart w:id="57" w:name="_Toc233805041"/>
      <w:r w:rsidRPr="3D1C1472">
        <w:rPr>
          <w:b w:val="0"/>
          <w:bCs w:val="0"/>
          <w:i/>
          <w:iCs/>
          <w:sz w:val="28"/>
          <w:szCs w:val="28"/>
        </w:rPr>
        <w:lastRenderedPageBreak/>
        <w:t>Other – proposal to reclassify MBS item 14245 from a Type C to Type B procedure</w:t>
      </w:r>
      <w:bookmarkEnd w:id="57"/>
    </w:p>
    <w:p w14:paraId="0FC3AB0F" w14:textId="77777777" w:rsidR="004657BC" w:rsidRDefault="004657BC" w:rsidP="00473DE9">
      <w:pPr>
        <w:pStyle w:val="Body"/>
        <w:spacing w:after="120"/>
        <w:rPr>
          <w:lang w:val="en-AU"/>
        </w:rPr>
      </w:pPr>
      <w:r w:rsidRPr="004657BC">
        <w:rPr>
          <w:lang w:val="en-AU"/>
        </w:rPr>
        <w:t>This proposal is to reclassify MBS item 14245 from a Type C procedure to a Type B procedure, under</w:t>
      </w:r>
      <w:r w:rsidR="008618DE">
        <w:rPr>
          <w:lang w:val="en-AU"/>
        </w:rPr>
        <w:t xml:space="preserve"> </w:t>
      </w:r>
      <w:r w:rsidRPr="004657BC">
        <w:rPr>
          <w:lang w:val="en-AU"/>
        </w:rPr>
        <w:t xml:space="preserve">the Benefit Requirements Rules. </w:t>
      </w:r>
    </w:p>
    <w:p w14:paraId="60860DCD" w14:textId="77777777" w:rsidR="006F17F9" w:rsidRPr="008A1EB7" w:rsidRDefault="003E6D8C" w:rsidP="00473DE9">
      <w:pPr>
        <w:rPr>
          <w:rFonts w:cs="Arial"/>
          <w:szCs w:val="22"/>
          <w:lang w:val="en-US"/>
        </w:rPr>
      </w:pPr>
      <w:r>
        <w:rPr>
          <w:rFonts w:cs="Arial"/>
          <w:szCs w:val="22"/>
          <w:lang w:val="en-US"/>
        </w:rPr>
        <w:t xml:space="preserve">Under the </w:t>
      </w:r>
      <w:r w:rsidR="00291B1E">
        <w:rPr>
          <w:rFonts w:cs="Arial"/>
          <w:szCs w:val="22"/>
          <w:lang w:val="en-US"/>
        </w:rPr>
        <w:t>Medicare Benefits Schedule</w:t>
      </w:r>
      <w:r w:rsidR="000D6AF7">
        <w:rPr>
          <w:rFonts w:cs="Arial"/>
          <w:szCs w:val="22"/>
          <w:lang w:val="en-US"/>
        </w:rPr>
        <w:t>,</w:t>
      </w:r>
      <w:r w:rsidR="006F17F9" w:rsidRPr="0003493D">
        <w:rPr>
          <w:rFonts w:cs="Arial"/>
          <w:szCs w:val="22"/>
          <w:lang w:val="en-US"/>
        </w:rPr>
        <w:t xml:space="preserve"> </w:t>
      </w:r>
      <w:r w:rsidR="0003493D" w:rsidRPr="0003493D">
        <w:rPr>
          <w:rFonts w:cs="Arial"/>
          <w:szCs w:val="22"/>
          <w:lang w:val="en-US"/>
        </w:rPr>
        <w:t xml:space="preserve">item </w:t>
      </w:r>
      <w:r w:rsidR="006F17F9" w:rsidRPr="0003493D">
        <w:rPr>
          <w:rFonts w:cs="Arial"/>
          <w:szCs w:val="22"/>
          <w:lang w:val="en-US"/>
        </w:rPr>
        <w:t>14245</w:t>
      </w:r>
      <w:r w:rsidR="006F17F9" w:rsidRPr="008A1EB7">
        <w:rPr>
          <w:rFonts w:cs="Arial"/>
          <w:szCs w:val="22"/>
          <w:lang w:val="en-US"/>
        </w:rPr>
        <w:t xml:space="preserve"> is classified as a ‘Therapeutic procedure’ and provides for:</w:t>
      </w:r>
    </w:p>
    <w:p w14:paraId="11CC69E3" w14:textId="77777777" w:rsidR="006F17F9" w:rsidRPr="0018757C" w:rsidRDefault="006F17F9" w:rsidP="00473DE9">
      <w:pPr>
        <w:ind w:left="720" w:firstLine="45"/>
        <w:rPr>
          <w:rFonts w:cs="Arial"/>
          <w:i/>
          <w:iCs/>
          <w:color w:val="auto"/>
          <w:szCs w:val="22"/>
        </w:rPr>
      </w:pPr>
      <w:r w:rsidRPr="0018757C">
        <w:rPr>
          <w:rFonts w:cs="Arial"/>
          <w:i/>
          <w:iCs/>
          <w:color w:val="auto"/>
          <w:szCs w:val="22"/>
          <w:lang w:val="en-US"/>
        </w:rPr>
        <w:t>‘</w:t>
      </w:r>
      <w:r w:rsidRPr="0018757C">
        <w:rPr>
          <w:rFonts w:cs="Arial"/>
          <w:i/>
          <w:iCs/>
          <w:color w:val="auto"/>
          <w:szCs w:val="22"/>
        </w:rPr>
        <w:t xml:space="preserve">IMMUNOMODULATING AGENT, administration of, by intravenous infusion for at least 2 hours duration </w:t>
      </w:r>
      <w:r w:rsidR="00B957A7" w:rsidRPr="0018757C">
        <w:rPr>
          <w:rFonts w:cs="Arial"/>
          <w:i/>
          <w:iCs/>
          <w:color w:val="auto"/>
          <w:szCs w:val="22"/>
        </w:rPr>
        <w:t>–</w:t>
      </w:r>
      <w:r w:rsidRPr="0018757C">
        <w:rPr>
          <w:rFonts w:cs="Arial"/>
          <w:i/>
          <w:iCs/>
          <w:color w:val="auto"/>
          <w:szCs w:val="22"/>
        </w:rPr>
        <w:t xml:space="preserve"> payable once only on the same day and where the agent is provided under section 100 of the Pharmaceutical Benefits Scheme</w:t>
      </w:r>
      <w:r w:rsidR="00B957A7" w:rsidRPr="0018757C">
        <w:rPr>
          <w:rFonts w:cs="Arial"/>
          <w:i/>
          <w:iCs/>
          <w:color w:val="auto"/>
          <w:szCs w:val="22"/>
        </w:rPr>
        <w:t>.</w:t>
      </w:r>
      <w:r w:rsidRPr="0018757C" w:rsidDel="00CD124A">
        <w:rPr>
          <w:rFonts w:cs="Arial"/>
          <w:i/>
          <w:iCs/>
          <w:color w:val="auto"/>
          <w:szCs w:val="22"/>
        </w:rPr>
        <w:t>’</w:t>
      </w:r>
    </w:p>
    <w:p w14:paraId="6A06D8F8" w14:textId="77777777" w:rsidR="006F17F9" w:rsidRPr="0018757C" w:rsidRDefault="006F17F9" w:rsidP="00473DE9">
      <w:pPr>
        <w:rPr>
          <w:rFonts w:cs="Arial"/>
          <w:i/>
          <w:iCs/>
          <w:color w:val="auto"/>
          <w:szCs w:val="22"/>
        </w:rPr>
      </w:pPr>
      <w:r w:rsidRPr="0018757C">
        <w:rPr>
          <w:rFonts w:cs="Arial"/>
          <w:color w:val="auto"/>
          <w:szCs w:val="22"/>
        </w:rPr>
        <w:t xml:space="preserve">MBS item 14245 is accompanied by explanatory note </w:t>
      </w:r>
      <w:hyperlink r:id="rId29" w:history="1">
        <w:r w:rsidRPr="0018757C">
          <w:rPr>
            <w:rStyle w:val="Hyperlink"/>
          </w:rPr>
          <w:t>TN.1.19</w:t>
        </w:r>
      </w:hyperlink>
      <w:r w:rsidR="0007296A" w:rsidRPr="0018757C">
        <w:rPr>
          <w:rStyle w:val="EndnoteReference"/>
          <w:color w:val="auto"/>
        </w:rPr>
        <w:endnoteReference w:id="12"/>
      </w:r>
      <w:r w:rsidR="00593774" w:rsidRPr="0018757C">
        <w:rPr>
          <w:rFonts w:cs="Arial"/>
          <w:color w:val="auto"/>
          <w:szCs w:val="22"/>
        </w:rPr>
        <w:t xml:space="preserve"> </w:t>
      </w:r>
      <w:r w:rsidR="005F4A33" w:rsidRPr="0018757C">
        <w:rPr>
          <w:rFonts w:cs="Arial"/>
          <w:color w:val="auto"/>
          <w:szCs w:val="22"/>
        </w:rPr>
        <w:t xml:space="preserve">which includes </w:t>
      </w:r>
      <w:r w:rsidR="00E45488" w:rsidRPr="0018757C">
        <w:rPr>
          <w:rFonts w:cs="Arial"/>
          <w:color w:val="auto"/>
          <w:szCs w:val="22"/>
        </w:rPr>
        <w:t>reference to these</w:t>
      </w:r>
      <w:r w:rsidRPr="0018757C">
        <w:rPr>
          <w:rFonts w:cs="Arial"/>
          <w:color w:val="auto"/>
          <w:szCs w:val="22"/>
        </w:rPr>
        <w:t xml:space="preserve"> drugs </w:t>
      </w:r>
      <w:r w:rsidR="00E45488" w:rsidRPr="0018757C">
        <w:rPr>
          <w:rFonts w:cs="Arial"/>
          <w:color w:val="auto"/>
          <w:szCs w:val="22"/>
        </w:rPr>
        <w:t>being</w:t>
      </w:r>
      <w:r w:rsidRPr="0018757C">
        <w:rPr>
          <w:rFonts w:cs="Arial"/>
          <w:color w:val="auto"/>
          <w:szCs w:val="22"/>
        </w:rPr>
        <w:t xml:space="preserve"> associated with risk of anaphylaxis</w:t>
      </w:r>
      <w:r w:rsidR="0018757C">
        <w:rPr>
          <w:rFonts w:cs="Arial"/>
          <w:color w:val="auto"/>
          <w:szCs w:val="22"/>
        </w:rPr>
        <w:t>. Therefore, they</w:t>
      </w:r>
      <w:r w:rsidRPr="0018757C">
        <w:rPr>
          <w:rFonts w:cs="Arial"/>
          <w:color w:val="auto"/>
          <w:szCs w:val="22"/>
        </w:rPr>
        <w:t xml:space="preserve"> must be treated by a medical practitioner</w:t>
      </w:r>
      <w:r w:rsidR="00427285" w:rsidRPr="0018757C">
        <w:rPr>
          <w:rFonts w:cs="Arial"/>
          <w:color w:val="auto"/>
          <w:szCs w:val="22"/>
        </w:rPr>
        <w:t xml:space="preserve"> and </w:t>
      </w:r>
      <w:r w:rsidR="00EB3B12" w:rsidRPr="0018757C">
        <w:rPr>
          <w:rFonts w:cs="Arial"/>
          <w:color w:val="auto"/>
          <w:szCs w:val="22"/>
        </w:rPr>
        <w:t xml:space="preserve">a </w:t>
      </w:r>
      <w:r w:rsidR="00C43016" w:rsidRPr="0018757C">
        <w:rPr>
          <w:rFonts w:cs="Arial"/>
          <w:color w:val="auto"/>
          <w:szCs w:val="22"/>
        </w:rPr>
        <w:t>medical</w:t>
      </w:r>
      <w:r w:rsidRPr="0018757C">
        <w:rPr>
          <w:rFonts w:cs="Arial"/>
          <w:color w:val="auto"/>
          <w:szCs w:val="22"/>
        </w:rPr>
        <w:t xml:space="preserve"> practitioner </w:t>
      </w:r>
      <w:r w:rsidR="0018757C">
        <w:rPr>
          <w:rFonts w:cs="Arial"/>
          <w:color w:val="auto"/>
          <w:szCs w:val="22"/>
        </w:rPr>
        <w:t>must</w:t>
      </w:r>
      <w:r w:rsidRPr="0018757C">
        <w:rPr>
          <w:rFonts w:cs="Arial"/>
          <w:color w:val="auto"/>
          <w:szCs w:val="22"/>
        </w:rPr>
        <w:t xml:space="preserve"> </w:t>
      </w:r>
      <w:r w:rsidR="0023084B" w:rsidRPr="0018757C">
        <w:rPr>
          <w:rFonts w:cs="Arial"/>
          <w:color w:val="auto"/>
          <w:szCs w:val="22"/>
        </w:rPr>
        <w:t>always be available</w:t>
      </w:r>
      <w:r w:rsidRPr="0018757C">
        <w:rPr>
          <w:rFonts w:cs="Arial"/>
          <w:color w:val="auto"/>
          <w:szCs w:val="22"/>
        </w:rPr>
        <w:t xml:space="preserve"> during the infusion in case of an emergency</w:t>
      </w:r>
      <w:r w:rsidR="00B957A7" w:rsidRPr="0018757C">
        <w:rPr>
          <w:rFonts w:cs="Arial"/>
          <w:color w:val="auto"/>
          <w:szCs w:val="22"/>
        </w:rPr>
        <w:t>.</w:t>
      </w:r>
    </w:p>
    <w:p w14:paraId="23BE8214" w14:textId="77777777" w:rsidR="00F140A8" w:rsidRPr="008926E0" w:rsidRDefault="00F140A8" w:rsidP="008926E0">
      <w:pPr>
        <w:pStyle w:val="Body"/>
        <w:spacing w:before="240" w:after="120"/>
        <w:rPr>
          <w:rFonts w:cs="Arial"/>
          <w:b/>
          <w:bCs/>
          <w:iCs/>
          <w:color w:val="358189"/>
          <w:szCs w:val="22"/>
          <w:u w:val="single"/>
        </w:rPr>
      </w:pPr>
      <w:r w:rsidRPr="008926E0">
        <w:rPr>
          <w:rFonts w:cs="Arial"/>
          <w:b/>
          <w:bCs/>
          <w:iCs/>
          <w:color w:val="358189"/>
          <w:szCs w:val="22"/>
          <w:u w:val="single"/>
        </w:rPr>
        <w:t>Context</w:t>
      </w:r>
    </w:p>
    <w:p w14:paraId="5E9106E4" w14:textId="149544E4" w:rsidR="00B90457" w:rsidRPr="00E8616A" w:rsidRDefault="39BE6F3A" w:rsidP="3E890C56">
      <w:pPr>
        <w:rPr>
          <w:rFonts w:cs="Arial"/>
        </w:rPr>
      </w:pPr>
      <w:r w:rsidRPr="05151A11">
        <w:rPr>
          <w:rFonts w:cs="Arial"/>
          <w:color w:val="auto"/>
        </w:rPr>
        <w:t>T</w:t>
      </w:r>
      <w:r w:rsidR="740F8597" w:rsidRPr="05151A11">
        <w:rPr>
          <w:rFonts w:cs="Arial"/>
          <w:color w:val="auto"/>
        </w:rPr>
        <w:t>he</w:t>
      </w:r>
      <w:r w:rsidR="00F140A8" w:rsidRPr="0018757C">
        <w:rPr>
          <w:rFonts w:cs="Arial"/>
          <w:color w:val="auto"/>
        </w:rPr>
        <w:t xml:space="preserve"> department </w:t>
      </w:r>
      <w:r w:rsidR="2F0F2B2C" w:rsidRPr="717267F4">
        <w:rPr>
          <w:rFonts w:cs="Arial"/>
          <w:color w:val="auto"/>
        </w:rPr>
        <w:t xml:space="preserve">received a </w:t>
      </w:r>
      <w:r w:rsidR="2F0F2B2C" w:rsidRPr="170B58C4">
        <w:rPr>
          <w:rFonts w:cs="Arial"/>
          <w:color w:val="auto"/>
        </w:rPr>
        <w:t xml:space="preserve">proposal seeking </w:t>
      </w:r>
      <w:r w:rsidR="00F140A8" w:rsidRPr="0018757C">
        <w:rPr>
          <w:rFonts w:cs="Arial"/>
          <w:color w:val="auto"/>
        </w:rPr>
        <w:t>a</w:t>
      </w:r>
      <w:r w:rsidR="003B03C1">
        <w:rPr>
          <w:rFonts w:cs="Arial"/>
          <w:color w:val="auto"/>
        </w:rPr>
        <w:t>n</w:t>
      </w:r>
      <w:r w:rsidR="00F140A8" w:rsidRPr="0018757C">
        <w:rPr>
          <w:rFonts w:cs="Arial"/>
          <w:color w:val="auto"/>
        </w:rPr>
        <w:t xml:space="preserve"> </w:t>
      </w:r>
      <w:r w:rsidR="003B03C1" w:rsidRPr="0018757C">
        <w:rPr>
          <w:rFonts w:cs="Arial"/>
          <w:color w:val="auto"/>
        </w:rPr>
        <w:t>exemption criterion</w:t>
      </w:r>
      <w:r w:rsidR="0018757C">
        <w:rPr>
          <w:rFonts w:cs="Arial"/>
          <w:color w:val="auto"/>
        </w:rPr>
        <w:t xml:space="preserve"> </w:t>
      </w:r>
      <w:r w:rsidR="003B03C1">
        <w:rPr>
          <w:rFonts w:cs="Arial"/>
          <w:color w:val="auto"/>
        </w:rPr>
        <w:t xml:space="preserve">for </w:t>
      </w:r>
      <w:r w:rsidR="003B03C1" w:rsidRPr="0018757C">
        <w:rPr>
          <w:rFonts w:cs="Arial"/>
          <w:color w:val="auto"/>
        </w:rPr>
        <w:t xml:space="preserve">Type C certification </w:t>
      </w:r>
      <w:r w:rsidR="00F140A8" w:rsidRPr="0018757C">
        <w:rPr>
          <w:rFonts w:cs="Arial"/>
          <w:color w:val="auto"/>
        </w:rPr>
        <w:t xml:space="preserve">where a ‘patient receives a section 100 drug </w:t>
      </w:r>
      <w:r w:rsidR="003C4F1B" w:rsidRPr="0018757C">
        <w:rPr>
          <w:rFonts w:cs="Arial"/>
          <w:color w:val="auto"/>
        </w:rPr>
        <w:t>IV</w:t>
      </w:r>
      <w:r w:rsidR="00F140A8" w:rsidRPr="0018757C">
        <w:rPr>
          <w:rFonts w:cs="Arial"/>
          <w:color w:val="auto"/>
        </w:rPr>
        <w:t xml:space="preserve"> infusion under the </w:t>
      </w:r>
      <w:hyperlink r:id="rId30">
        <w:r w:rsidR="00F76075">
          <w:rPr>
            <w:rStyle w:val="Hyperlink"/>
          </w:rPr>
          <w:t xml:space="preserve">Pharmaceutical Benefit Scheme (PBS) </w:t>
        </w:r>
        <w:r w:rsidR="00F140A8" w:rsidRPr="0018757C">
          <w:rPr>
            <w:rStyle w:val="Hyperlink"/>
          </w:rPr>
          <w:t>Highly Specialised Drug Program</w:t>
        </w:r>
      </w:hyperlink>
      <w:r w:rsidR="00F140A8" w:rsidRPr="0018757C">
        <w:rPr>
          <w:rFonts w:cs="Arial"/>
          <w:color w:val="auto"/>
        </w:rPr>
        <w:t xml:space="preserve">’. </w:t>
      </w:r>
      <w:r w:rsidR="00F140A8" w:rsidRPr="3E890C56">
        <w:rPr>
          <w:rFonts w:cs="Arial"/>
        </w:rPr>
        <w:t xml:space="preserve">On examining the </w:t>
      </w:r>
      <w:r w:rsidR="003B03C1" w:rsidRPr="3E890C56">
        <w:rPr>
          <w:rFonts w:cs="Arial"/>
        </w:rPr>
        <w:t>proposal,</w:t>
      </w:r>
      <w:r w:rsidR="00F140A8" w:rsidRPr="3E890C56">
        <w:rPr>
          <w:rFonts w:cs="Arial"/>
        </w:rPr>
        <w:t xml:space="preserve"> the department</w:t>
      </w:r>
      <w:r w:rsidR="4EBF912E" w:rsidRPr="3E890C56">
        <w:rPr>
          <w:rFonts w:cs="Arial"/>
        </w:rPr>
        <w:t xml:space="preserve"> </w:t>
      </w:r>
      <w:r w:rsidR="5C24A233" w:rsidRPr="3E890C56">
        <w:rPr>
          <w:rFonts w:cs="Arial"/>
        </w:rPr>
        <w:t xml:space="preserve">considered </w:t>
      </w:r>
      <w:r w:rsidR="3EBC2E30" w:rsidRPr="3E890C56">
        <w:rPr>
          <w:rFonts w:cs="Arial"/>
        </w:rPr>
        <w:t>several</w:t>
      </w:r>
      <w:r w:rsidR="6AB99559" w:rsidRPr="3E890C56">
        <w:rPr>
          <w:rFonts w:cs="Arial"/>
        </w:rPr>
        <w:t xml:space="preserve"> </w:t>
      </w:r>
      <w:r w:rsidR="5C24A233" w:rsidRPr="3E890C56">
        <w:rPr>
          <w:rFonts w:cs="Arial"/>
        </w:rPr>
        <w:t>matters</w:t>
      </w:r>
      <w:r w:rsidR="7BE76742" w:rsidRPr="3E890C56">
        <w:rPr>
          <w:rFonts w:cs="Arial"/>
        </w:rPr>
        <w:t>, including</w:t>
      </w:r>
      <w:r w:rsidR="59589236" w:rsidRPr="3E890C56">
        <w:rPr>
          <w:rFonts w:cs="Arial"/>
        </w:rPr>
        <w:t>:</w:t>
      </w:r>
    </w:p>
    <w:p w14:paraId="7CC2398F" w14:textId="77777777" w:rsidR="00E8616A" w:rsidRPr="0018757C" w:rsidRDefault="003977AB" w:rsidP="009257CE">
      <w:pPr>
        <w:pStyle w:val="Body"/>
        <w:numPr>
          <w:ilvl w:val="0"/>
          <w:numId w:val="19"/>
        </w:numPr>
        <w:spacing w:after="120"/>
        <w:ind w:left="714" w:hanging="357"/>
        <w:rPr>
          <w:color w:val="auto"/>
          <w:lang w:val="en-AU"/>
        </w:rPr>
      </w:pPr>
      <w:r w:rsidRPr="0018757C">
        <w:rPr>
          <w:color w:val="auto"/>
          <w:lang w:val="en-AU"/>
        </w:rPr>
        <w:t>t</w:t>
      </w:r>
      <w:r w:rsidR="00CD6F4F" w:rsidRPr="0018757C">
        <w:rPr>
          <w:color w:val="auto"/>
          <w:lang w:val="en-AU"/>
        </w:rPr>
        <w:t>he underlying objective</w:t>
      </w:r>
      <w:r w:rsidR="0072474C" w:rsidRPr="0018757C">
        <w:rPr>
          <w:color w:val="auto"/>
          <w:lang w:val="en-AU"/>
        </w:rPr>
        <w:t xml:space="preserve"> of implementing exemption</w:t>
      </w:r>
      <w:r w:rsidR="005E076D" w:rsidRPr="0018757C">
        <w:rPr>
          <w:color w:val="auto"/>
          <w:lang w:val="en-AU"/>
        </w:rPr>
        <w:t xml:space="preserve"> </w:t>
      </w:r>
      <w:r w:rsidR="00514BAE" w:rsidRPr="0018757C">
        <w:rPr>
          <w:color w:val="auto"/>
          <w:lang w:val="en-AU"/>
        </w:rPr>
        <w:t>criteria</w:t>
      </w:r>
      <w:r w:rsidR="002057F2" w:rsidRPr="0018757C">
        <w:rPr>
          <w:color w:val="auto"/>
          <w:lang w:val="en-AU"/>
        </w:rPr>
        <w:t xml:space="preserve"> for Type C certification</w:t>
      </w:r>
      <w:r w:rsidR="000375B5" w:rsidRPr="0018757C">
        <w:rPr>
          <w:color w:val="auto"/>
          <w:lang w:val="en-AU"/>
        </w:rPr>
        <w:t xml:space="preserve"> is to deliver efficiencies and reduce administrative burden, where exemptions generally align with clinical circumstances cited by clinicians for certification</w:t>
      </w:r>
    </w:p>
    <w:p w14:paraId="42270FE5" w14:textId="77777777" w:rsidR="00345E56" w:rsidRPr="0018757C" w:rsidRDefault="003977AB" w:rsidP="009257CE">
      <w:pPr>
        <w:pStyle w:val="Body"/>
        <w:numPr>
          <w:ilvl w:val="0"/>
          <w:numId w:val="19"/>
        </w:numPr>
        <w:spacing w:after="120"/>
        <w:ind w:left="714" w:hanging="357"/>
        <w:rPr>
          <w:color w:val="auto"/>
          <w:lang w:val="en-AU"/>
        </w:rPr>
      </w:pPr>
      <w:r w:rsidRPr="0018757C">
        <w:rPr>
          <w:color w:val="auto"/>
          <w:lang w:val="en-AU"/>
        </w:rPr>
        <w:t>t</w:t>
      </w:r>
      <w:r w:rsidR="00345E56" w:rsidRPr="0018757C">
        <w:rPr>
          <w:color w:val="auto"/>
          <w:lang w:val="en-AU"/>
        </w:rPr>
        <w:t xml:space="preserve">he exemption criteria </w:t>
      </w:r>
      <w:r w:rsidR="00235BE7" w:rsidRPr="0018757C">
        <w:rPr>
          <w:color w:val="auto"/>
          <w:lang w:val="en-AU"/>
        </w:rPr>
        <w:t xml:space="preserve">seek to </w:t>
      </w:r>
      <w:r w:rsidR="00BA7A11" w:rsidRPr="0018757C">
        <w:rPr>
          <w:color w:val="auto"/>
          <w:lang w:val="en-AU"/>
        </w:rPr>
        <w:t xml:space="preserve">take into consideration the clinical circumstances surrounding </w:t>
      </w:r>
      <w:r w:rsidR="00D81BA7" w:rsidRPr="0018757C">
        <w:rPr>
          <w:color w:val="auto"/>
          <w:lang w:val="en-AU"/>
        </w:rPr>
        <w:t xml:space="preserve">the </w:t>
      </w:r>
      <w:r w:rsidR="000029F1" w:rsidRPr="0018757C">
        <w:rPr>
          <w:color w:val="auto"/>
          <w:lang w:val="en-AU"/>
        </w:rPr>
        <w:t xml:space="preserve">delivery of a </w:t>
      </w:r>
      <w:r w:rsidR="0049425F" w:rsidRPr="0018757C">
        <w:rPr>
          <w:color w:val="auto"/>
          <w:lang w:val="en-AU"/>
        </w:rPr>
        <w:t xml:space="preserve">Type C </w:t>
      </w:r>
      <w:r w:rsidR="000029F1" w:rsidRPr="0018757C">
        <w:rPr>
          <w:color w:val="auto"/>
          <w:lang w:val="en-AU"/>
        </w:rPr>
        <w:t>pro</w:t>
      </w:r>
      <w:r w:rsidR="00D7381A" w:rsidRPr="0018757C">
        <w:rPr>
          <w:color w:val="auto"/>
          <w:lang w:val="en-AU"/>
        </w:rPr>
        <w:t xml:space="preserve">cedure, </w:t>
      </w:r>
      <w:r w:rsidR="006C1201" w:rsidRPr="0018757C">
        <w:rPr>
          <w:color w:val="auto"/>
          <w:lang w:val="en-AU"/>
        </w:rPr>
        <w:t xml:space="preserve">but </w:t>
      </w:r>
      <w:r w:rsidR="00376167" w:rsidRPr="0018757C">
        <w:rPr>
          <w:color w:val="auto"/>
          <w:lang w:val="en-AU"/>
        </w:rPr>
        <w:t xml:space="preserve">do </w:t>
      </w:r>
      <w:r w:rsidR="00345E56" w:rsidRPr="0018757C">
        <w:rPr>
          <w:color w:val="auto"/>
          <w:lang w:val="en-AU"/>
        </w:rPr>
        <w:t xml:space="preserve">not question the </w:t>
      </w:r>
      <w:r w:rsidR="00045CE2" w:rsidRPr="0018757C">
        <w:rPr>
          <w:color w:val="auto"/>
          <w:lang w:val="en-AU"/>
        </w:rPr>
        <w:t xml:space="preserve">underlying </w:t>
      </w:r>
      <w:r w:rsidR="00345E56" w:rsidRPr="0018757C">
        <w:rPr>
          <w:color w:val="auto"/>
          <w:lang w:val="en-AU"/>
        </w:rPr>
        <w:t>classification of individual MBS items as Type C procedures</w:t>
      </w:r>
    </w:p>
    <w:p w14:paraId="6F99A239" w14:textId="77777777" w:rsidR="0096600E" w:rsidRPr="0018757C" w:rsidRDefault="003977AB" w:rsidP="009257CE">
      <w:pPr>
        <w:pStyle w:val="Body"/>
        <w:numPr>
          <w:ilvl w:val="0"/>
          <w:numId w:val="19"/>
        </w:numPr>
        <w:spacing w:after="120"/>
        <w:ind w:left="714" w:hanging="357"/>
        <w:rPr>
          <w:color w:val="auto"/>
          <w:lang w:val="en-AU"/>
        </w:rPr>
      </w:pPr>
      <w:r w:rsidRPr="0018757C">
        <w:rPr>
          <w:color w:val="auto"/>
          <w:lang w:val="en-AU"/>
        </w:rPr>
        <w:t>t</w:t>
      </w:r>
      <w:r w:rsidR="00F140A8" w:rsidRPr="0018757C">
        <w:rPr>
          <w:color w:val="auto"/>
          <w:lang w:val="en-AU"/>
        </w:rPr>
        <w:t>he proposal as put to the department stem</w:t>
      </w:r>
      <w:r w:rsidR="00D61432" w:rsidRPr="0018757C">
        <w:rPr>
          <w:color w:val="auto"/>
          <w:lang w:val="en-AU"/>
        </w:rPr>
        <w:t>med</w:t>
      </w:r>
      <w:r w:rsidR="00F140A8" w:rsidRPr="0018757C">
        <w:rPr>
          <w:color w:val="auto"/>
          <w:lang w:val="en-AU"/>
        </w:rPr>
        <w:t xml:space="preserve"> from concerns regarding MBS item</w:t>
      </w:r>
      <w:r w:rsidR="00725611" w:rsidRPr="0018757C">
        <w:rPr>
          <w:color w:val="auto"/>
          <w:lang w:val="en-AU"/>
        </w:rPr>
        <w:t> </w:t>
      </w:r>
      <w:r w:rsidR="00F140A8" w:rsidRPr="0018757C">
        <w:rPr>
          <w:color w:val="auto"/>
          <w:lang w:val="en-AU"/>
        </w:rPr>
        <w:t>14245</w:t>
      </w:r>
      <w:r w:rsidR="00237FD3" w:rsidRPr="0018757C">
        <w:rPr>
          <w:color w:val="auto"/>
          <w:lang w:val="en-AU"/>
        </w:rPr>
        <w:t xml:space="preserve">, </w:t>
      </w:r>
      <w:r w:rsidR="00F140A8" w:rsidRPr="0018757C">
        <w:rPr>
          <w:color w:val="auto"/>
          <w:lang w:val="en-AU"/>
        </w:rPr>
        <w:t>includ</w:t>
      </w:r>
      <w:r w:rsidR="00237FD3" w:rsidRPr="0018757C">
        <w:rPr>
          <w:color w:val="auto"/>
          <w:lang w:val="en-AU"/>
        </w:rPr>
        <w:t xml:space="preserve">ing </w:t>
      </w:r>
      <w:r w:rsidR="00F16074" w:rsidRPr="0018757C">
        <w:rPr>
          <w:color w:val="auto"/>
          <w:lang w:val="en-AU"/>
        </w:rPr>
        <w:t>clinical risks</w:t>
      </w:r>
      <w:r w:rsidR="00D97635" w:rsidRPr="0018757C">
        <w:rPr>
          <w:color w:val="auto"/>
          <w:lang w:val="en-AU"/>
        </w:rPr>
        <w:t xml:space="preserve">, </w:t>
      </w:r>
      <w:r w:rsidR="00C14178" w:rsidRPr="0018757C">
        <w:rPr>
          <w:color w:val="auto"/>
          <w:lang w:val="en-AU"/>
        </w:rPr>
        <w:t>patient ac</w:t>
      </w:r>
      <w:r w:rsidR="00F41DD5" w:rsidRPr="0018757C">
        <w:rPr>
          <w:color w:val="auto"/>
          <w:lang w:val="en-AU"/>
        </w:rPr>
        <w:t>cess</w:t>
      </w:r>
      <w:r w:rsidR="00943453" w:rsidRPr="0018757C">
        <w:rPr>
          <w:color w:val="auto"/>
          <w:lang w:val="en-AU"/>
        </w:rPr>
        <w:t xml:space="preserve"> and unknown out-of-pocket costs, and inconsistent treatment </w:t>
      </w:r>
      <w:r w:rsidR="00F64953" w:rsidRPr="0018757C">
        <w:rPr>
          <w:color w:val="auto"/>
          <w:lang w:val="en-AU"/>
        </w:rPr>
        <w:t xml:space="preserve">by insurers when </w:t>
      </w:r>
      <w:r w:rsidR="00843A54" w:rsidRPr="0018757C">
        <w:rPr>
          <w:color w:val="auto"/>
          <w:lang w:val="en-AU"/>
        </w:rPr>
        <w:t xml:space="preserve">processing </w:t>
      </w:r>
      <w:r w:rsidR="00E373EC" w:rsidRPr="0018757C">
        <w:rPr>
          <w:color w:val="auto"/>
          <w:lang w:val="en-AU"/>
        </w:rPr>
        <w:t>claims for benefits</w:t>
      </w:r>
    </w:p>
    <w:p w14:paraId="73F16355" w14:textId="06F85D57" w:rsidR="00B86113" w:rsidRPr="0018757C" w:rsidRDefault="003977AB" w:rsidP="009257CE">
      <w:pPr>
        <w:pStyle w:val="Body"/>
        <w:numPr>
          <w:ilvl w:val="0"/>
          <w:numId w:val="19"/>
        </w:numPr>
        <w:spacing w:after="120"/>
        <w:ind w:left="714" w:hanging="357"/>
        <w:rPr>
          <w:color w:val="auto"/>
          <w:lang w:val="en-AU"/>
        </w:rPr>
      </w:pPr>
      <w:r w:rsidRPr="0018757C">
        <w:rPr>
          <w:color w:val="auto"/>
          <w:lang w:val="en-AU"/>
        </w:rPr>
        <w:t>c</w:t>
      </w:r>
      <w:r w:rsidR="004C0B7E" w:rsidRPr="0018757C">
        <w:rPr>
          <w:color w:val="auto"/>
          <w:lang w:val="en-AU"/>
        </w:rPr>
        <w:t>linical advice</w:t>
      </w:r>
      <w:r w:rsidR="00C46137" w:rsidRPr="0018757C">
        <w:rPr>
          <w:color w:val="auto"/>
          <w:lang w:val="en-AU"/>
        </w:rPr>
        <w:t xml:space="preserve"> </w:t>
      </w:r>
      <w:r w:rsidR="0078618F" w:rsidRPr="0018757C">
        <w:rPr>
          <w:color w:val="auto"/>
          <w:lang w:val="en-AU"/>
        </w:rPr>
        <w:t xml:space="preserve">on </w:t>
      </w:r>
      <w:r w:rsidR="00F140A8" w:rsidRPr="0018757C">
        <w:rPr>
          <w:color w:val="auto"/>
          <w:lang w:val="en-AU"/>
        </w:rPr>
        <w:t>the level of clinical risk associated with administering immunomodulating agents, a</w:t>
      </w:r>
      <w:r w:rsidR="00047E2B" w:rsidRPr="0018757C">
        <w:rPr>
          <w:color w:val="auto"/>
          <w:lang w:val="en-AU"/>
        </w:rPr>
        <w:t>s well as</w:t>
      </w:r>
      <w:r w:rsidR="00B3747C" w:rsidRPr="0018757C">
        <w:rPr>
          <w:color w:val="auto"/>
          <w:lang w:val="en-AU"/>
        </w:rPr>
        <w:t xml:space="preserve"> </w:t>
      </w:r>
      <w:r w:rsidR="00F140A8" w:rsidRPr="0018757C">
        <w:rPr>
          <w:color w:val="auto"/>
          <w:lang w:val="en-AU"/>
        </w:rPr>
        <w:t xml:space="preserve">the </w:t>
      </w:r>
      <w:r w:rsidR="005E5492" w:rsidRPr="0018757C">
        <w:rPr>
          <w:color w:val="auto"/>
          <w:lang w:val="en-AU"/>
        </w:rPr>
        <w:t>inclusion</w:t>
      </w:r>
      <w:r w:rsidR="00C71F8D" w:rsidRPr="0018757C">
        <w:rPr>
          <w:color w:val="auto"/>
          <w:lang w:val="en-AU"/>
        </w:rPr>
        <w:t xml:space="preserve"> of </w:t>
      </w:r>
      <w:r w:rsidR="00427776" w:rsidRPr="0018757C">
        <w:rPr>
          <w:color w:val="auto"/>
          <w:lang w:val="en-AU"/>
        </w:rPr>
        <w:t xml:space="preserve">Therapeutic Goods </w:t>
      </w:r>
      <w:r w:rsidR="00F140A8" w:rsidRPr="0018757C">
        <w:rPr>
          <w:color w:val="auto"/>
          <w:lang w:val="en-AU"/>
        </w:rPr>
        <w:t>Administration</w:t>
      </w:r>
      <w:r w:rsidR="00514CC4">
        <w:rPr>
          <w:color w:val="auto"/>
          <w:lang w:val="en-AU"/>
        </w:rPr>
        <w:t xml:space="preserve"> </w:t>
      </w:r>
      <w:r w:rsidR="00D47475" w:rsidRPr="0018757C">
        <w:rPr>
          <w:color w:val="auto"/>
          <w:lang w:val="en-AU"/>
        </w:rPr>
        <w:t>approved</w:t>
      </w:r>
      <w:r w:rsidR="00F140A8" w:rsidRPr="0018757C">
        <w:rPr>
          <w:color w:val="auto"/>
          <w:lang w:val="en-AU"/>
        </w:rPr>
        <w:t xml:space="preserve"> </w:t>
      </w:r>
      <w:r w:rsidR="00D82539" w:rsidRPr="0018757C">
        <w:rPr>
          <w:color w:val="auto"/>
          <w:lang w:val="en-AU"/>
        </w:rPr>
        <w:t xml:space="preserve">Product </w:t>
      </w:r>
      <w:r w:rsidR="00F140A8" w:rsidRPr="0018757C">
        <w:rPr>
          <w:color w:val="auto"/>
          <w:lang w:val="en-AU"/>
        </w:rPr>
        <w:t xml:space="preserve">Information </w:t>
      </w:r>
      <w:r w:rsidR="00697509" w:rsidRPr="0018757C">
        <w:rPr>
          <w:color w:val="auto"/>
          <w:lang w:val="en-AU"/>
        </w:rPr>
        <w:t xml:space="preserve">on </w:t>
      </w:r>
      <w:r w:rsidR="13280B52" w:rsidRPr="0018757C">
        <w:rPr>
          <w:color w:val="auto"/>
          <w:lang w:val="en-AU"/>
        </w:rPr>
        <w:t xml:space="preserve">some </w:t>
      </w:r>
      <w:r w:rsidR="00697509" w:rsidRPr="0018757C">
        <w:rPr>
          <w:color w:val="auto"/>
          <w:lang w:val="en-AU"/>
        </w:rPr>
        <w:t>specific medicines</w:t>
      </w:r>
      <w:r w:rsidR="00AD5965" w:rsidRPr="0018757C">
        <w:rPr>
          <w:color w:val="auto"/>
          <w:lang w:val="en-AU"/>
        </w:rPr>
        <w:t xml:space="preserve"> (i.e.</w:t>
      </w:r>
      <w:r w:rsidR="00F140A8" w:rsidRPr="0018757C">
        <w:rPr>
          <w:color w:val="auto"/>
          <w:lang w:val="en-AU"/>
        </w:rPr>
        <w:t xml:space="preserve"> statements that the</w:t>
      </w:r>
      <w:r w:rsidR="002571E3" w:rsidRPr="0018757C">
        <w:rPr>
          <w:color w:val="auto"/>
          <w:lang w:val="en-AU"/>
        </w:rPr>
        <w:t xml:space="preserve"> medicine</w:t>
      </w:r>
      <w:r w:rsidR="00F140A8" w:rsidRPr="0018757C">
        <w:rPr>
          <w:color w:val="auto"/>
          <w:lang w:val="en-AU"/>
        </w:rPr>
        <w:t xml:space="preserve"> be administered in a hospital setting </w:t>
      </w:r>
      <w:r w:rsidR="007E253E" w:rsidRPr="0018757C">
        <w:rPr>
          <w:color w:val="auto"/>
          <w:lang w:val="en-AU"/>
        </w:rPr>
        <w:t xml:space="preserve">and </w:t>
      </w:r>
      <w:r w:rsidR="00F140A8" w:rsidRPr="0018757C">
        <w:rPr>
          <w:color w:val="auto"/>
          <w:lang w:val="en-AU"/>
        </w:rPr>
        <w:t>with immediate access to the necessary medical personnel and full resuscitation facilities</w:t>
      </w:r>
      <w:r w:rsidR="00AD5965" w:rsidRPr="0018757C">
        <w:rPr>
          <w:color w:val="auto"/>
          <w:lang w:val="en-AU"/>
        </w:rPr>
        <w:t>)</w:t>
      </w:r>
      <w:r w:rsidRPr="0018757C">
        <w:rPr>
          <w:color w:val="auto"/>
          <w:lang w:val="en-AU"/>
        </w:rPr>
        <w:t>, and</w:t>
      </w:r>
    </w:p>
    <w:p w14:paraId="0E7CB32F" w14:textId="77777777" w:rsidR="00F140A8" w:rsidRPr="0018757C" w:rsidRDefault="003977AB" w:rsidP="009257CE">
      <w:pPr>
        <w:pStyle w:val="Body"/>
        <w:numPr>
          <w:ilvl w:val="0"/>
          <w:numId w:val="19"/>
        </w:numPr>
        <w:spacing w:after="120"/>
        <w:ind w:left="714" w:hanging="357"/>
        <w:rPr>
          <w:color w:val="auto"/>
          <w:lang w:val="en-AU"/>
        </w:rPr>
      </w:pPr>
      <w:r w:rsidRPr="0018757C">
        <w:rPr>
          <w:color w:val="auto"/>
          <w:lang w:val="en-AU"/>
        </w:rPr>
        <w:t>c</w:t>
      </w:r>
      <w:r w:rsidR="0041696E" w:rsidRPr="0018757C">
        <w:rPr>
          <w:color w:val="auto"/>
          <w:lang w:val="en-AU"/>
        </w:rPr>
        <w:t xml:space="preserve">urrent </w:t>
      </w:r>
      <w:r w:rsidR="00F5460F" w:rsidRPr="0018757C">
        <w:rPr>
          <w:color w:val="auto"/>
          <w:lang w:val="en-AU"/>
        </w:rPr>
        <w:t>clinical setting for delivery</w:t>
      </w:r>
      <w:r w:rsidR="00E66AB0" w:rsidRPr="0018757C">
        <w:rPr>
          <w:color w:val="auto"/>
          <w:lang w:val="en-AU"/>
        </w:rPr>
        <w:t>, with r</w:t>
      </w:r>
      <w:r w:rsidR="00DE35B0" w:rsidRPr="0018757C">
        <w:rPr>
          <w:color w:val="auto"/>
          <w:lang w:val="en-AU"/>
        </w:rPr>
        <w:t>ecent d</w:t>
      </w:r>
      <w:r w:rsidR="00C703F7" w:rsidRPr="0018757C">
        <w:rPr>
          <w:color w:val="auto"/>
          <w:lang w:val="en-AU"/>
        </w:rPr>
        <w:t>ata</w:t>
      </w:r>
      <w:r w:rsidR="00DE35B0" w:rsidRPr="0018757C">
        <w:rPr>
          <w:color w:val="auto"/>
          <w:lang w:val="en-AU"/>
        </w:rPr>
        <w:t xml:space="preserve"> </w:t>
      </w:r>
      <w:r w:rsidR="003C3679" w:rsidRPr="0018757C">
        <w:rPr>
          <w:color w:val="auto"/>
          <w:lang w:val="en-AU"/>
        </w:rPr>
        <w:t>indicating</w:t>
      </w:r>
      <w:r w:rsidR="00C50AF2" w:rsidRPr="0018757C">
        <w:rPr>
          <w:color w:val="auto"/>
          <w:lang w:val="en-AU"/>
        </w:rPr>
        <w:t xml:space="preserve"> MBS</w:t>
      </w:r>
      <w:r w:rsidR="003C3679" w:rsidRPr="0018757C">
        <w:rPr>
          <w:color w:val="auto"/>
          <w:lang w:val="en-AU"/>
        </w:rPr>
        <w:t xml:space="preserve"> </w:t>
      </w:r>
      <w:r w:rsidR="00F140A8" w:rsidRPr="0018757C">
        <w:rPr>
          <w:color w:val="auto"/>
          <w:lang w:val="en-AU"/>
        </w:rPr>
        <w:t>item 142</w:t>
      </w:r>
      <w:r w:rsidR="7E408B0E" w:rsidRPr="0018757C">
        <w:rPr>
          <w:color w:val="auto"/>
          <w:lang w:val="en-AU"/>
        </w:rPr>
        <w:t>4</w:t>
      </w:r>
      <w:r w:rsidR="00F140A8" w:rsidRPr="0018757C">
        <w:rPr>
          <w:color w:val="auto"/>
          <w:lang w:val="en-AU"/>
        </w:rPr>
        <w:t>5 is normally performed in a hospital</w:t>
      </w:r>
      <w:r w:rsidR="00F426BF" w:rsidRPr="0018757C">
        <w:rPr>
          <w:color w:val="auto"/>
          <w:lang w:val="en-AU"/>
        </w:rPr>
        <w:t xml:space="preserve"> </w:t>
      </w:r>
      <w:r w:rsidR="007111F2" w:rsidRPr="0018757C">
        <w:rPr>
          <w:color w:val="auto"/>
          <w:lang w:val="en-AU"/>
        </w:rPr>
        <w:t>(</w:t>
      </w:r>
      <w:r w:rsidR="00F140A8" w:rsidRPr="0018757C">
        <w:rPr>
          <w:color w:val="auto"/>
          <w:lang w:val="en-AU"/>
        </w:rPr>
        <w:t>with approximately 6</w:t>
      </w:r>
      <w:r w:rsidR="7A6081C8" w:rsidRPr="0018757C">
        <w:rPr>
          <w:color w:val="auto"/>
          <w:lang w:val="en-AU"/>
        </w:rPr>
        <w:t>2</w:t>
      </w:r>
      <w:r w:rsidR="00F140A8" w:rsidRPr="0018757C">
        <w:rPr>
          <w:color w:val="auto"/>
          <w:lang w:val="en-AU"/>
        </w:rPr>
        <w:t>% or over 16,000 procedures being performed in hospital in 2024</w:t>
      </w:r>
      <w:r w:rsidR="00077806" w:rsidRPr="0018757C">
        <w:rPr>
          <w:color w:val="auto"/>
          <w:lang w:val="en-AU"/>
        </w:rPr>
        <w:t>-</w:t>
      </w:r>
      <w:r w:rsidR="00F140A8" w:rsidRPr="0018757C">
        <w:rPr>
          <w:color w:val="auto"/>
          <w:lang w:val="en-AU"/>
        </w:rPr>
        <w:t>25</w:t>
      </w:r>
      <w:r w:rsidR="007111F2" w:rsidRPr="0018757C">
        <w:rPr>
          <w:color w:val="auto"/>
          <w:lang w:val="en-AU"/>
        </w:rPr>
        <w:t>)</w:t>
      </w:r>
      <w:r w:rsidR="00F140A8" w:rsidRPr="0018757C">
        <w:rPr>
          <w:color w:val="auto"/>
          <w:lang w:val="en-AU"/>
        </w:rPr>
        <w:t xml:space="preserve"> suggest</w:t>
      </w:r>
      <w:r w:rsidR="00F426BF" w:rsidRPr="0018757C">
        <w:rPr>
          <w:color w:val="auto"/>
          <w:lang w:val="en-AU"/>
        </w:rPr>
        <w:t>ing</w:t>
      </w:r>
      <w:r w:rsidR="00F140A8" w:rsidRPr="0018757C">
        <w:rPr>
          <w:color w:val="auto"/>
          <w:lang w:val="en-AU"/>
        </w:rPr>
        <w:t xml:space="preserve"> that in </w:t>
      </w:r>
      <w:r w:rsidR="003B03C1" w:rsidRPr="0018757C">
        <w:rPr>
          <w:color w:val="auto"/>
          <w:lang w:val="en-AU"/>
        </w:rPr>
        <w:t>most</w:t>
      </w:r>
      <w:r w:rsidR="00F140A8" w:rsidRPr="0018757C">
        <w:rPr>
          <w:color w:val="auto"/>
          <w:lang w:val="en-AU"/>
        </w:rPr>
        <w:t xml:space="preserve"> cases, doctors are determining it is appropriate and necessary to treat patients in hospital. </w:t>
      </w:r>
    </w:p>
    <w:p w14:paraId="60F2DCED" w14:textId="77777777" w:rsidR="00C0694D" w:rsidRPr="0018757C" w:rsidRDefault="00F140A8" w:rsidP="00473DE9">
      <w:pPr>
        <w:rPr>
          <w:rFonts w:cs="Arial"/>
          <w:b/>
          <w:bCs/>
          <w:color w:val="auto"/>
          <w:kern w:val="28"/>
          <w:sz w:val="36"/>
          <w:szCs w:val="36"/>
        </w:rPr>
      </w:pPr>
      <w:r w:rsidRPr="0018757C">
        <w:rPr>
          <w:rFonts w:cs="Arial"/>
          <w:color w:val="auto"/>
          <w:szCs w:val="22"/>
        </w:rPr>
        <w:t>Base</w:t>
      </w:r>
      <w:r w:rsidR="00DD788E" w:rsidRPr="0018757C">
        <w:rPr>
          <w:rFonts w:cs="Arial"/>
          <w:color w:val="auto"/>
          <w:szCs w:val="22"/>
        </w:rPr>
        <w:t>d</w:t>
      </w:r>
      <w:r w:rsidRPr="0018757C">
        <w:rPr>
          <w:rFonts w:cs="Arial"/>
          <w:color w:val="auto"/>
          <w:szCs w:val="22"/>
        </w:rPr>
        <w:t xml:space="preserve"> on </w:t>
      </w:r>
      <w:r w:rsidR="00C7772C" w:rsidRPr="0018757C">
        <w:rPr>
          <w:rFonts w:cs="Arial"/>
          <w:color w:val="auto"/>
          <w:szCs w:val="22"/>
        </w:rPr>
        <w:t>these factors</w:t>
      </w:r>
      <w:r w:rsidRPr="0018757C">
        <w:rPr>
          <w:rFonts w:cs="Arial"/>
          <w:color w:val="auto"/>
          <w:szCs w:val="22"/>
        </w:rPr>
        <w:t xml:space="preserve">, </w:t>
      </w:r>
      <w:r w:rsidR="00E5124F" w:rsidRPr="0018757C">
        <w:rPr>
          <w:rFonts w:cs="Arial"/>
          <w:color w:val="auto"/>
          <w:szCs w:val="22"/>
        </w:rPr>
        <w:t xml:space="preserve">the department </w:t>
      </w:r>
      <w:r w:rsidR="0018757C" w:rsidRPr="0018757C">
        <w:rPr>
          <w:rFonts w:cs="Arial"/>
          <w:color w:val="auto"/>
          <w:szCs w:val="22"/>
        </w:rPr>
        <w:t xml:space="preserve">decided </w:t>
      </w:r>
      <w:r w:rsidR="00D40DDB" w:rsidRPr="0018757C">
        <w:rPr>
          <w:rFonts w:cs="Arial"/>
          <w:color w:val="auto"/>
          <w:szCs w:val="22"/>
        </w:rPr>
        <w:t xml:space="preserve">that </w:t>
      </w:r>
      <w:r w:rsidR="0028300C" w:rsidRPr="0018757C">
        <w:rPr>
          <w:rFonts w:cs="Arial"/>
          <w:color w:val="auto"/>
          <w:szCs w:val="22"/>
        </w:rPr>
        <w:t xml:space="preserve">an alternative </w:t>
      </w:r>
      <w:r w:rsidR="00CD00EA" w:rsidRPr="0018757C">
        <w:rPr>
          <w:rFonts w:cs="Arial"/>
          <w:color w:val="auto"/>
          <w:szCs w:val="22"/>
        </w:rPr>
        <w:t>proposal to recla</w:t>
      </w:r>
      <w:r w:rsidR="00A449D9" w:rsidRPr="0018757C">
        <w:rPr>
          <w:rFonts w:cs="Arial"/>
          <w:color w:val="auto"/>
          <w:szCs w:val="22"/>
        </w:rPr>
        <w:t xml:space="preserve">ssify the item from a Type C to Type B </w:t>
      </w:r>
      <w:r w:rsidR="003941F7" w:rsidRPr="0018757C">
        <w:rPr>
          <w:rFonts w:cs="Arial"/>
          <w:color w:val="auto"/>
          <w:szCs w:val="22"/>
        </w:rPr>
        <w:t>w</w:t>
      </w:r>
      <w:r w:rsidR="0084468E" w:rsidRPr="0018757C">
        <w:rPr>
          <w:rFonts w:cs="Arial"/>
          <w:color w:val="auto"/>
          <w:szCs w:val="22"/>
        </w:rPr>
        <w:t>ould be</w:t>
      </w:r>
      <w:r w:rsidR="003941F7" w:rsidRPr="0018757C">
        <w:rPr>
          <w:rFonts w:cs="Arial"/>
          <w:color w:val="auto"/>
          <w:szCs w:val="22"/>
        </w:rPr>
        <w:t xml:space="preserve"> a</w:t>
      </w:r>
      <w:r w:rsidR="00236993" w:rsidRPr="0018757C">
        <w:rPr>
          <w:rFonts w:cs="Arial"/>
          <w:color w:val="auto"/>
          <w:szCs w:val="22"/>
        </w:rPr>
        <w:t xml:space="preserve"> </w:t>
      </w:r>
      <w:r w:rsidR="00A449D9" w:rsidRPr="0018757C">
        <w:rPr>
          <w:rFonts w:cs="Arial"/>
          <w:color w:val="auto"/>
          <w:szCs w:val="22"/>
        </w:rPr>
        <w:t>more appropriate</w:t>
      </w:r>
      <w:r w:rsidR="00236993" w:rsidRPr="0018757C">
        <w:rPr>
          <w:rFonts w:cs="Arial"/>
          <w:color w:val="auto"/>
          <w:szCs w:val="22"/>
        </w:rPr>
        <w:t xml:space="preserve"> </w:t>
      </w:r>
      <w:r w:rsidR="00EF78A8" w:rsidRPr="0018757C">
        <w:rPr>
          <w:rFonts w:cs="Arial"/>
          <w:color w:val="auto"/>
          <w:szCs w:val="22"/>
        </w:rPr>
        <w:t>change</w:t>
      </w:r>
      <w:r w:rsidR="003941F7" w:rsidRPr="0018757C">
        <w:rPr>
          <w:rFonts w:cs="Arial"/>
          <w:color w:val="auto"/>
          <w:szCs w:val="22"/>
        </w:rPr>
        <w:t xml:space="preserve"> </w:t>
      </w:r>
      <w:r w:rsidR="00A449D9" w:rsidRPr="0018757C">
        <w:rPr>
          <w:rFonts w:cs="Arial"/>
          <w:color w:val="auto"/>
          <w:szCs w:val="22"/>
        </w:rPr>
        <w:t>than implementing</w:t>
      </w:r>
      <w:r w:rsidR="00DD7B34" w:rsidRPr="0018757C">
        <w:rPr>
          <w:rFonts w:cs="Arial"/>
          <w:color w:val="auto"/>
          <w:szCs w:val="22"/>
        </w:rPr>
        <w:t xml:space="preserve"> a</w:t>
      </w:r>
      <w:r w:rsidR="00891C01" w:rsidRPr="0018757C">
        <w:rPr>
          <w:rFonts w:cs="Arial"/>
          <w:color w:val="auto"/>
          <w:szCs w:val="22"/>
        </w:rPr>
        <w:t>n</w:t>
      </w:r>
      <w:r w:rsidR="00DD7B34" w:rsidRPr="0018757C">
        <w:rPr>
          <w:rFonts w:cs="Arial"/>
          <w:color w:val="auto"/>
          <w:szCs w:val="22"/>
        </w:rPr>
        <w:t xml:space="preserve"> ex</w:t>
      </w:r>
      <w:r w:rsidR="006D526A" w:rsidRPr="0018757C">
        <w:rPr>
          <w:rFonts w:cs="Arial"/>
          <w:color w:val="auto"/>
          <w:szCs w:val="22"/>
        </w:rPr>
        <w:t>emption criterion</w:t>
      </w:r>
      <w:r w:rsidR="0018757C" w:rsidRPr="0018757C">
        <w:rPr>
          <w:rFonts w:cs="Arial"/>
          <w:color w:val="auto"/>
          <w:szCs w:val="22"/>
        </w:rPr>
        <w:t xml:space="preserve"> and </w:t>
      </w:r>
      <w:r w:rsidR="006D526A" w:rsidRPr="0018757C">
        <w:rPr>
          <w:rFonts w:cs="Arial"/>
          <w:color w:val="auto"/>
          <w:szCs w:val="22"/>
        </w:rPr>
        <w:t xml:space="preserve">could </w:t>
      </w:r>
      <w:r w:rsidR="00306483" w:rsidRPr="0018757C">
        <w:rPr>
          <w:rFonts w:cs="Arial"/>
          <w:color w:val="auto"/>
          <w:szCs w:val="22"/>
        </w:rPr>
        <w:t xml:space="preserve">be applied </w:t>
      </w:r>
      <w:r w:rsidR="00DD0473" w:rsidRPr="0018757C">
        <w:rPr>
          <w:rFonts w:cs="Arial"/>
          <w:color w:val="auto"/>
          <w:szCs w:val="22"/>
        </w:rPr>
        <w:t xml:space="preserve">more broadly </w:t>
      </w:r>
      <w:r w:rsidR="00306483" w:rsidRPr="0018757C">
        <w:rPr>
          <w:rFonts w:cs="Arial"/>
          <w:color w:val="auto"/>
          <w:szCs w:val="22"/>
        </w:rPr>
        <w:t xml:space="preserve">to </w:t>
      </w:r>
      <w:r w:rsidR="00172585" w:rsidRPr="0018757C">
        <w:rPr>
          <w:rFonts w:cs="Arial"/>
          <w:color w:val="auto"/>
          <w:szCs w:val="22"/>
        </w:rPr>
        <w:t>a class of medicines.</w:t>
      </w:r>
      <w:bookmarkStart w:id="58" w:name="_Delivering_better_value"/>
      <w:bookmarkEnd w:id="58"/>
      <w:r w:rsidR="0018757C" w:rsidRPr="0018757C">
        <w:rPr>
          <w:rFonts w:cs="Arial"/>
          <w:color w:val="auto"/>
          <w:szCs w:val="22"/>
        </w:rPr>
        <w:t xml:space="preserve"> This was based on the department’s view that the underlying concern and current challenges mainly lie with the individual MBS item (PHI classification and item descriptor).</w:t>
      </w:r>
    </w:p>
    <w:p w14:paraId="3B4ECF78" w14:textId="77777777" w:rsidR="004B4526" w:rsidRPr="0067796C" w:rsidRDefault="78EAD7ED" w:rsidP="00651D4E">
      <w:pPr>
        <w:pStyle w:val="Heading1"/>
        <w:numPr>
          <w:ilvl w:val="0"/>
          <w:numId w:val="14"/>
        </w:numPr>
        <w:spacing w:after="120"/>
        <w:ind w:left="357" w:hanging="357"/>
        <w:rPr>
          <w:sz w:val="36"/>
        </w:rPr>
      </w:pPr>
      <w:bookmarkStart w:id="59" w:name="_Delivering_better_value_1"/>
      <w:bookmarkStart w:id="60" w:name="_Delivering_better_value_2"/>
      <w:bookmarkStart w:id="61" w:name="_Toc233805042"/>
      <w:bookmarkEnd w:id="59"/>
      <w:bookmarkEnd w:id="60"/>
      <w:r w:rsidRPr="3D1C1472">
        <w:rPr>
          <w:sz w:val="36"/>
        </w:rPr>
        <w:lastRenderedPageBreak/>
        <w:t>Delivering better value for consumers</w:t>
      </w:r>
      <w:bookmarkEnd w:id="61"/>
    </w:p>
    <w:p w14:paraId="5979FE9E" w14:textId="77777777" w:rsidR="006F3352" w:rsidRPr="006F3352" w:rsidRDefault="006F3352" w:rsidP="00651D4E">
      <w:pPr>
        <w:pStyle w:val="Heading2"/>
        <w:numPr>
          <w:ilvl w:val="1"/>
          <w:numId w:val="14"/>
        </w:numPr>
        <w:spacing w:after="120"/>
        <w:ind w:left="601" w:hanging="601"/>
      </w:pPr>
      <w:bookmarkStart w:id="62" w:name="_Improving_access_to_1"/>
      <w:bookmarkStart w:id="63" w:name="_Toc233805043"/>
      <w:bookmarkEnd w:id="62"/>
      <w:r>
        <w:t>Improving access to regional private hospitals</w:t>
      </w:r>
      <w:bookmarkEnd w:id="63"/>
    </w:p>
    <w:tbl>
      <w:tblPr>
        <w:tblStyle w:val="DepartmentofHealthtable"/>
        <w:tblW w:w="9951" w:type="dxa"/>
        <w:tblInd w:w="-289" w:type="dxa"/>
        <w:tblBorders>
          <w:left w:val="single" w:sz="4" w:space="0" w:color="auto"/>
          <w:right w:val="single" w:sz="4" w:space="0" w:color="auto"/>
          <w:insideV w:val="single" w:sz="4" w:space="0" w:color="auto"/>
        </w:tblBorders>
        <w:tblLayout w:type="fixed"/>
        <w:tblLook w:val="04A0" w:firstRow="1" w:lastRow="0" w:firstColumn="1" w:lastColumn="0" w:noHBand="0" w:noVBand="1"/>
      </w:tblPr>
      <w:tblGrid>
        <w:gridCol w:w="5246"/>
        <w:gridCol w:w="4705"/>
      </w:tblGrid>
      <w:tr w:rsidR="00C5241A" w:rsidRPr="00961ED8" w14:paraId="36A7EF5A"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51" w:type="dxa"/>
            <w:gridSpan w:val="2"/>
            <w:tcBorders>
              <w:bottom w:val="single" w:sz="4" w:space="0" w:color="FFFFFF" w:themeColor="background1"/>
            </w:tcBorders>
          </w:tcPr>
          <w:p w14:paraId="3829CCF0" w14:textId="77777777" w:rsidR="00C5241A" w:rsidRPr="00961ED8" w:rsidRDefault="00C5241A" w:rsidP="00473DE9">
            <w:pPr>
              <w:rPr>
                <w:rFonts w:eastAsia="Cambria"/>
                <w:b/>
                <w:color w:val="FFFFFF"/>
                <w:sz w:val="20"/>
                <w:szCs w:val="20"/>
                <w:lang w:val="en-US" w:eastAsia="en-AU"/>
              </w:rPr>
            </w:pPr>
            <w:r w:rsidRPr="00961ED8">
              <w:rPr>
                <w:rFonts w:eastAsia="Cambria"/>
                <w:b/>
                <w:color w:val="FFFFFF"/>
                <w:sz w:val="20"/>
                <w:szCs w:val="20"/>
                <w:lang w:val="en-US" w:eastAsia="en-AU"/>
              </w:rPr>
              <w:t xml:space="preserve">SUMMARY: </w:t>
            </w:r>
            <w:r w:rsidRPr="00961ED8">
              <w:rPr>
                <w:rFonts w:eastAsia="Cambria"/>
                <w:b/>
                <w:bCs/>
                <w:iCs/>
                <w:color w:val="FFFFFF"/>
                <w:sz w:val="20"/>
                <w:szCs w:val="20"/>
                <w:lang w:eastAsia="en-AU"/>
              </w:rPr>
              <w:t>Improving access to regional private hospitals</w:t>
            </w:r>
          </w:p>
        </w:tc>
      </w:tr>
      <w:tr w:rsidR="00C5241A" w:rsidRPr="00961ED8" w14:paraId="2FA50B06" w14:textId="77777777" w:rsidTr="00193A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6" w:type="dxa"/>
            <w:tcBorders>
              <w:top w:val="single" w:sz="4" w:space="0" w:color="FFFFFF" w:themeColor="background1"/>
            </w:tcBorders>
          </w:tcPr>
          <w:p w14:paraId="63961334" w14:textId="77777777" w:rsidR="00C5241A" w:rsidRPr="00961ED8" w:rsidRDefault="00C5241A" w:rsidP="00473DE9">
            <w:pPr>
              <w:rPr>
                <w:rFonts w:eastAsia="Cambria"/>
                <w:b/>
                <w:color w:val="FFFFFF"/>
                <w:sz w:val="20"/>
                <w:szCs w:val="20"/>
                <w:lang w:val="en-US" w:eastAsia="en-AU"/>
              </w:rPr>
            </w:pPr>
            <w:r w:rsidRPr="00961ED8">
              <w:rPr>
                <w:rFonts w:eastAsia="Cambria"/>
                <w:b/>
                <w:color w:val="FFFFFF"/>
                <w:sz w:val="20"/>
                <w:szCs w:val="20"/>
                <w:lang w:val="en-US" w:eastAsia="en-AU"/>
              </w:rPr>
              <w:t>Proposed reform initiative for implementation</w:t>
            </w:r>
          </w:p>
        </w:tc>
        <w:tc>
          <w:tcPr>
            <w:tcW w:w="4705" w:type="dxa"/>
            <w:tcBorders>
              <w:top w:val="single" w:sz="4" w:space="0" w:color="FFFFFF" w:themeColor="background1"/>
            </w:tcBorders>
          </w:tcPr>
          <w:p w14:paraId="0F6BA4FC" w14:textId="77777777" w:rsidR="00C5241A" w:rsidRPr="00961ED8" w:rsidRDefault="00C5241A" w:rsidP="00473DE9">
            <w:pPr>
              <w:cnfStyle w:val="100000000000" w:firstRow="1" w:lastRow="0" w:firstColumn="0" w:lastColumn="0" w:oddVBand="0" w:evenVBand="0" w:oddHBand="0" w:evenHBand="0" w:firstRowFirstColumn="0" w:firstRowLastColumn="0" w:lastRowFirstColumn="0" w:lastRowLastColumn="0"/>
              <w:rPr>
                <w:rFonts w:eastAsia="Cambria"/>
                <w:b/>
                <w:color w:val="FFFFFF"/>
                <w:sz w:val="20"/>
                <w:szCs w:val="20"/>
                <w:lang w:val="en-US" w:eastAsia="en-AU"/>
              </w:rPr>
            </w:pPr>
            <w:r w:rsidRPr="00961ED8">
              <w:rPr>
                <w:rFonts w:eastAsia="Cambria"/>
                <w:b/>
                <w:color w:val="FFFFFF"/>
                <w:sz w:val="20"/>
                <w:szCs w:val="20"/>
                <w:lang w:val="en-US" w:eastAsia="en-AU"/>
              </w:rPr>
              <w:t>Mechanism for implementation</w:t>
            </w:r>
          </w:p>
        </w:tc>
      </w:tr>
      <w:tr w:rsidR="00C5241A" w:rsidRPr="00961ED8" w14:paraId="12F522B8" w14:textId="77777777" w:rsidTr="00193A96">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246" w:type="dxa"/>
            <w:shd w:val="clear" w:color="auto" w:fill="auto"/>
            <w:vAlign w:val="center"/>
          </w:tcPr>
          <w:p w14:paraId="69A4B6D9" w14:textId="77777777" w:rsidR="00C5241A" w:rsidRPr="00961ED8" w:rsidRDefault="00C5241A" w:rsidP="00473DE9">
            <w:pPr>
              <w:rPr>
                <w:color w:val="000000"/>
                <w:sz w:val="20"/>
                <w:szCs w:val="20"/>
                <w:lang w:val="en-US" w:eastAsia="en-AU"/>
              </w:rPr>
            </w:pPr>
            <w:r w:rsidRPr="00961ED8">
              <w:rPr>
                <w:color w:val="000000"/>
                <w:sz w:val="20"/>
                <w:szCs w:val="20"/>
                <w:lang w:eastAsia="en-AU"/>
              </w:rPr>
              <w:t>Increase the second-tier benefits from 85% to 100% for established regional private hospitals.</w:t>
            </w:r>
          </w:p>
        </w:tc>
        <w:tc>
          <w:tcPr>
            <w:tcW w:w="4705" w:type="dxa"/>
            <w:shd w:val="clear" w:color="auto" w:fill="auto"/>
            <w:vAlign w:val="center"/>
          </w:tcPr>
          <w:p w14:paraId="6F07A295" w14:textId="77777777" w:rsidR="00C5241A" w:rsidRPr="00961ED8" w:rsidRDefault="00780B0A" w:rsidP="00473DE9">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en-AU"/>
              </w:rPr>
            </w:pPr>
            <w:r>
              <w:rPr>
                <w:color w:val="000000"/>
                <w:sz w:val="20"/>
                <w:szCs w:val="20"/>
                <w:lang w:val="en-US" w:eastAsia="en-AU"/>
              </w:rPr>
              <w:t>Department to make c</w:t>
            </w:r>
            <w:r w:rsidR="00C5241A">
              <w:rPr>
                <w:color w:val="000000"/>
                <w:sz w:val="20"/>
                <w:szCs w:val="20"/>
                <w:lang w:val="en-US" w:eastAsia="en-AU"/>
              </w:rPr>
              <w:t>hanges to</w:t>
            </w:r>
            <w:r w:rsidR="00C5241A" w:rsidRPr="00961ED8">
              <w:rPr>
                <w:color w:val="000000"/>
                <w:sz w:val="20"/>
                <w:szCs w:val="20"/>
                <w:lang w:val="en-US" w:eastAsia="en-AU"/>
              </w:rPr>
              <w:t xml:space="preserve"> the Benefit Requirements Rules.</w:t>
            </w:r>
          </w:p>
        </w:tc>
      </w:tr>
      <w:tr w:rsidR="00961ED8" w:rsidRPr="00961ED8" w14:paraId="3153918F" w14:textId="77777777">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3F4A75"/>
          </w:tcPr>
          <w:p w14:paraId="6141B898" w14:textId="77777777" w:rsidR="00961ED8" w:rsidRPr="00961ED8" w:rsidRDefault="00961ED8" w:rsidP="00473DE9">
            <w:pPr>
              <w:rPr>
                <w:color w:val="000000"/>
                <w:sz w:val="20"/>
                <w:szCs w:val="20"/>
                <w:lang w:val="en-US" w:eastAsia="en-AU"/>
              </w:rPr>
            </w:pPr>
            <w:r w:rsidRPr="00961ED8">
              <w:rPr>
                <w:rFonts w:eastAsia="Cambria"/>
                <w:b/>
                <w:color w:val="FFFFFF"/>
                <w:sz w:val="20"/>
                <w:szCs w:val="20"/>
                <w:lang w:val="en-US" w:eastAsia="en-AU"/>
              </w:rPr>
              <w:t>Questions for stakeholder consideration</w:t>
            </w:r>
            <w:r w:rsidRPr="00961ED8">
              <w:rPr>
                <w:color w:val="FFFFFF"/>
                <w:sz w:val="20"/>
                <w:szCs w:val="20"/>
                <w:lang w:val="en-US" w:eastAsia="en-AU"/>
              </w:rPr>
              <w:t xml:space="preserve"> </w:t>
            </w:r>
          </w:p>
        </w:tc>
      </w:tr>
      <w:tr w:rsidR="00961ED8" w:rsidRPr="00961ED8" w14:paraId="5FA27D37" w14:textId="7777777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auto"/>
          </w:tcPr>
          <w:p w14:paraId="6E03FBD4" w14:textId="7D5989AC" w:rsidR="00961ED8" w:rsidRPr="00961ED8" w:rsidRDefault="00961ED8" w:rsidP="009257CE">
            <w:pPr>
              <w:numPr>
                <w:ilvl w:val="0"/>
                <w:numId w:val="44"/>
              </w:numPr>
              <w:rPr>
                <w:color w:val="000000"/>
                <w:sz w:val="20"/>
                <w:szCs w:val="28"/>
                <w:lang w:val="en-US" w:eastAsia="en-AU"/>
              </w:rPr>
            </w:pPr>
            <w:r w:rsidRPr="00961ED8">
              <w:rPr>
                <w:color w:val="000000"/>
                <w:sz w:val="20"/>
                <w:szCs w:val="28"/>
                <w:lang w:val="en-US" w:eastAsia="en-AU"/>
              </w:rPr>
              <w:t>Should the proposed changes be implemented</w:t>
            </w:r>
            <w:r w:rsidR="00583831">
              <w:rPr>
                <w:color w:val="000000"/>
                <w:sz w:val="20"/>
                <w:szCs w:val="28"/>
                <w:lang w:val="en-US" w:eastAsia="en-AU"/>
              </w:rPr>
              <w:t xml:space="preserve"> by government</w:t>
            </w:r>
            <w:r w:rsidRPr="00961ED8">
              <w:rPr>
                <w:color w:val="000000"/>
                <w:sz w:val="20"/>
                <w:szCs w:val="28"/>
                <w:lang w:val="en-US" w:eastAsia="en-AU"/>
              </w:rPr>
              <w:t xml:space="preserve"> on a temporary or permanent basis? When should a post-implementation review be undertaken?</w:t>
            </w:r>
          </w:p>
          <w:p w14:paraId="29E0EEE6" w14:textId="012194C5" w:rsidR="00961ED8" w:rsidRPr="00961ED8" w:rsidRDefault="00961ED8" w:rsidP="009257CE">
            <w:pPr>
              <w:numPr>
                <w:ilvl w:val="0"/>
                <w:numId w:val="44"/>
              </w:numPr>
              <w:rPr>
                <w:color w:val="000000"/>
                <w:sz w:val="20"/>
                <w:szCs w:val="28"/>
                <w:lang w:val="en-US" w:eastAsia="en-AU"/>
              </w:rPr>
            </w:pPr>
            <w:r w:rsidRPr="00961ED8">
              <w:rPr>
                <w:color w:val="000000"/>
                <w:sz w:val="20"/>
                <w:szCs w:val="28"/>
                <w:lang w:val="en-US" w:eastAsia="en-AU"/>
              </w:rPr>
              <w:t>When should</w:t>
            </w:r>
            <w:r w:rsidR="00583831">
              <w:rPr>
                <w:color w:val="000000"/>
                <w:sz w:val="20"/>
                <w:szCs w:val="28"/>
                <w:lang w:val="en-US" w:eastAsia="en-AU"/>
              </w:rPr>
              <w:t xml:space="preserve"> government commence</w:t>
            </w:r>
            <w:r w:rsidRPr="00961ED8">
              <w:rPr>
                <w:color w:val="000000"/>
                <w:sz w:val="20"/>
                <w:szCs w:val="28"/>
                <w:lang w:val="en-US" w:eastAsia="en-AU"/>
              </w:rPr>
              <w:t xml:space="preserve"> the proposed changes, noting the current annual processes for second-tier audit, categorisation and rate calculation?</w:t>
            </w:r>
          </w:p>
          <w:p w14:paraId="3539C333" w14:textId="77777777" w:rsidR="00961ED8" w:rsidRPr="00961ED8" w:rsidRDefault="00961ED8" w:rsidP="009257CE">
            <w:pPr>
              <w:numPr>
                <w:ilvl w:val="0"/>
                <w:numId w:val="44"/>
              </w:numPr>
              <w:rPr>
                <w:color w:val="000000"/>
                <w:sz w:val="20"/>
                <w:szCs w:val="28"/>
                <w:lang w:val="en-US" w:eastAsia="en-AU"/>
              </w:rPr>
            </w:pPr>
            <w:r w:rsidRPr="00961ED8">
              <w:rPr>
                <w:color w:val="000000"/>
                <w:sz w:val="20"/>
                <w:szCs w:val="28"/>
                <w:lang w:val="en-US" w:eastAsia="en-AU"/>
              </w:rPr>
              <w:t xml:space="preserve">Provide feedback on the criteria for determining what should constitute an established regional hospital eligible for a higher second-tier default benefit (i.e. MM2 </w:t>
            </w:r>
            <w:r w:rsidR="00F34FE5">
              <w:rPr>
                <w:color w:val="000000"/>
                <w:sz w:val="20"/>
                <w:szCs w:val="28"/>
                <w:lang w:val="en-US" w:eastAsia="en-AU"/>
              </w:rPr>
              <w:t>to MM7</w:t>
            </w:r>
            <w:r w:rsidRPr="00961ED8">
              <w:rPr>
                <w:color w:val="000000"/>
                <w:sz w:val="20"/>
                <w:szCs w:val="28"/>
                <w:lang w:val="en-US" w:eastAsia="en-AU"/>
              </w:rPr>
              <w:t>).</w:t>
            </w:r>
          </w:p>
          <w:p w14:paraId="0402469C" w14:textId="77777777" w:rsidR="00961ED8" w:rsidRPr="0018757C" w:rsidRDefault="00961ED8" w:rsidP="009257CE">
            <w:pPr>
              <w:numPr>
                <w:ilvl w:val="0"/>
                <w:numId w:val="44"/>
              </w:numPr>
              <w:rPr>
                <w:color w:val="auto"/>
                <w:sz w:val="20"/>
                <w:szCs w:val="28"/>
                <w:lang w:val="en-US" w:eastAsia="en-AU"/>
              </w:rPr>
            </w:pPr>
            <w:r w:rsidRPr="0018757C">
              <w:rPr>
                <w:color w:val="auto"/>
                <w:sz w:val="20"/>
                <w:szCs w:val="28"/>
                <w:lang w:val="en-US" w:eastAsia="en-AU"/>
              </w:rPr>
              <w:t>Comment on the level of the proposed increase to the second-tier rate for established regional hospitals and estimated impact on private health insurance benefit amounts</w:t>
            </w:r>
            <w:r w:rsidR="00943CE0" w:rsidRPr="0018757C">
              <w:rPr>
                <w:color w:val="auto"/>
                <w:sz w:val="20"/>
                <w:szCs w:val="28"/>
                <w:lang w:val="en-US" w:eastAsia="en-AU"/>
              </w:rPr>
              <w:t xml:space="preserve"> </w:t>
            </w:r>
            <w:r w:rsidR="00DB309C" w:rsidRPr="0018757C">
              <w:rPr>
                <w:color w:val="auto"/>
                <w:sz w:val="20"/>
                <w:szCs w:val="28"/>
                <w:lang w:val="en-US" w:eastAsia="en-AU"/>
              </w:rPr>
              <w:t>(e.g.</w:t>
            </w:r>
            <w:r w:rsidR="00943CE0" w:rsidRPr="0018757C">
              <w:rPr>
                <w:color w:val="auto"/>
                <w:sz w:val="20"/>
                <w:szCs w:val="28"/>
                <w:lang w:val="en-US" w:eastAsia="en-AU"/>
              </w:rPr>
              <w:t xml:space="preserve"> s</w:t>
            </w:r>
            <w:r w:rsidR="00743D52" w:rsidRPr="0018757C">
              <w:rPr>
                <w:color w:val="auto"/>
                <w:sz w:val="20"/>
                <w:szCs w:val="28"/>
                <w:lang w:val="en-US" w:eastAsia="en-AU"/>
              </w:rPr>
              <w:t xml:space="preserve">hould </w:t>
            </w:r>
            <w:r w:rsidR="00743D52" w:rsidRPr="0018757C">
              <w:rPr>
                <w:color w:val="auto"/>
                <w:sz w:val="20"/>
                <w:szCs w:val="28"/>
                <w:lang w:eastAsia="en-AU"/>
              </w:rPr>
              <w:t>caps or other limits on out-of-pocket costs be applied under second-tier arrangements?</w:t>
            </w:r>
            <w:r w:rsidR="00D14EBB" w:rsidRPr="0018757C">
              <w:rPr>
                <w:color w:val="auto"/>
                <w:sz w:val="20"/>
                <w:szCs w:val="28"/>
                <w:lang w:eastAsia="en-AU"/>
              </w:rPr>
              <w:t>).</w:t>
            </w:r>
          </w:p>
          <w:p w14:paraId="665B824C" w14:textId="71B76A0C" w:rsidR="00961ED8" w:rsidRPr="00961ED8" w:rsidRDefault="00961ED8" w:rsidP="009257CE">
            <w:pPr>
              <w:numPr>
                <w:ilvl w:val="0"/>
                <w:numId w:val="44"/>
              </w:numPr>
              <w:rPr>
                <w:color w:val="000000"/>
                <w:sz w:val="20"/>
                <w:szCs w:val="28"/>
                <w:lang w:val="en-US" w:eastAsia="en-AU"/>
              </w:rPr>
            </w:pPr>
            <w:r w:rsidRPr="00961ED8">
              <w:rPr>
                <w:color w:val="000000"/>
                <w:sz w:val="20"/>
                <w:szCs w:val="28"/>
                <w:lang w:val="en-US" w:eastAsia="en-AU"/>
              </w:rPr>
              <w:t>Are there any additional arrangements to support the effectiveness of the proposed changes</w:t>
            </w:r>
            <w:r w:rsidR="00583831">
              <w:rPr>
                <w:color w:val="000000"/>
                <w:sz w:val="20"/>
                <w:szCs w:val="28"/>
                <w:lang w:val="en-US" w:eastAsia="en-AU"/>
              </w:rPr>
              <w:t xml:space="preserve"> that the department should consider</w:t>
            </w:r>
            <w:r w:rsidRPr="00961ED8">
              <w:rPr>
                <w:color w:val="000000"/>
                <w:sz w:val="20"/>
                <w:szCs w:val="28"/>
                <w:lang w:val="en-US" w:eastAsia="en-AU"/>
              </w:rPr>
              <w:t>, including audits of calculations and the publication of second-tier rates?</w:t>
            </w:r>
          </w:p>
        </w:tc>
      </w:tr>
    </w:tbl>
    <w:p w14:paraId="77AA9E7D" w14:textId="77777777" w:rsidR="00B872D9" w:rsidRPr="00DF78E1" w:rsidRDefault="00B872D9" w:rsidP="00651D4E">
      <w:pPr>
        <w:pStyle w:val="Heading3"/>
        <w:numPr>
          <w:ilvl w:val="2"/>
          <w:numId w:val="14"/>
        </w:numPr>
        <w:spacing w:before="240" w:after="120"/>
        <w:rPr>
          <w:b w:val="0"/>
          <w:bCs w:val="0"/>
          <w:i/>
          <w:iCs/>
          <w:sz w:val="28"/>
          <w:szCs w:val="28"/>
        </w:rPr>
      </w:pPr>
      <w:bookmarkStart w:id="64" w:name="_Toc233805044"/>
      <w:r w:rsidRPr="3D1C1472">
        <w:rPr>
          <w:b w:val="0"/>
          <w:bCs w:val="0"/>
          <w:i/>
          <w:iCs/>
          <w:sz w:val="28"/>
          <w:szCs w:val="28"/>
        </w:rPr>
        <w:t>Introduction</w:t>
      </w:r>
      <w:bookmarkEnd w:id="64"/>
    </w:p>
    <w:p w14:paraId="678F16BF" w14:textId="77777777" w:rsidR="006F3352" w:rsidRPr="006F3352" w:rsidRDefault="006F3352" w:rsidP="00473DE9">
      <w:pPr>
        <w:rPr>
          <w:szCs w:val="28"/>
          <w:lang w:val="en-US"/>
        </w:rPr>
      </w:pPr>
      <w:r w:rsidRPr="006F3352">
        <w:rPr>
          <w:szCs w:val="28"/>
          <w:lang w:val="en-US"/>
        </w:rPr>
        <w:t>The Health Check found that some regional private hospitals in Australia are under significant financial pressure and risk closure, which:</w:t>
      </w:r>
    </w:p>
    <w:p w14:paraId="7768889B" w14:textId="77777777" w:rsidR="006F3352" w:rsidRPr="006F3352" w:rsidRDefault="006F3352" w:rsidP="009257CE">
      <w:pPr>
        <w:numPr>
          <w:ilvl w:val="0"/>
          <w:numId w:val="18"/>
        </w:numPr>
        <w:ind w:left="714" w:hanging="357"/>
      </w:pPr>
      <w:r w:rsidRPr="006F3352">
        <w:t>will reduce patient access to care with many of these facilities being the only private hospital in the area</w:t>
      </w:r>
    </w:p>
    <w:p w14:paraId="004D9FBE" w14:textId="77777777" w:rsidR="006F3352" w:rsidRPr="006F3352" w:rsidRDefault="006F3352" w:rsidP="009257CE">
      <w:pPr>
        <w:numPr>
          <w:ilvl w:val="0"/>
          <w:numId w:val="18"/>
        </w:numPr>
        <w:ind w:left="714" w:hanging="357"/>
      </w:pPr>
      <w:r w:rsidRPr="006F3352">
        <w:t>undermines the value of PHI for Australians living in regional and rural areas, and</w:t>
      </w:r>
    </w:p>
    <w:p w14:paraId="3CF5F232" w14:textId="77777777" w:rsidR="006F3352" w:rsidRPr="006F3352" w:rsidRDefault="006F3352" w:rsidP="009257CE">
      <w:pPr>
        <w:numPr>
          <w:ilvl w:val="0"/>
          <w:numId w:val="18"/>
        </w:numPr>
        <w:ind w:left="714" w:hanging="357"/>
      </w:pPr>
      <w:r w:rsidRPr="006F3352">
        <w:t>is likely to impact local public hospitals, including their workforce.</w:t>
      </w:r>
    </w:p>
    <w:p w14:paraId="42594E85" w14:textId="77777777" w:rsidR="006F3352" w:rsidRPr="00CD2DBE" w:rsidRDefault="0018757C" w:rsidP="00473DE9">
      <w:pPr>
        <w:rPr>
          <w:color w:val="auto"/>
          <w:szCs w:val="28"/>
          <w:lang w:val="en-US"/>
        </w:rPr>
      </w:pPr>
      <w:r w:rsidRPr="00CD2DBE">
        <w:rPr>
          <w:color w:val="auto"/>
          <w:szCs w:val="28"/>
          <w:lang w:val="en-US"/>
        </w:rPr>
        <w:t>Increasing the second-tier default benefits from 85% to up to 100% is a</w:t>
      </w:r>
      <w:r w:rsidR="006F3352" w:rsidRPr="00CD2DBE">
        <w:rPr>
          <w:color w:val="auto"/>
          <w:szCs w:val="28"/>
          <w:lang w:val="en-US"/>
        </w:rPr>
        <w:t xml:space="preserve"> short-term reform that may keep established regional private hospitals viable</w:t>
      </w:r>
      <w:r w:rsidRPr="00CD2DBE">
        <w:rPr>
          <w:color w:val="auto"/>
          <w:szCs w:val="28"/>
          <w:lang w:val="en-US"/>
        </w:rPr>
        <w:t>.</w:t>
      </w:r>
    </w:p>
    <w:p w14:paraId="77260AD2" w14:textId="77777777" w:rsidR="006F3352" w:rsidRPr="00CD2DBE" w:rsidRDefault="006F3352" w:rsidP="00473DE9">
      <w:pPr>
        <w:rPr>
          <w:color w:val="auto"/>
          <w:szCs w:val="28"/>
        </w:rPr>
      </w:pPr>
      <w:r w:rsidRPr="00CD2DBE">
        <w:rPr>
          <w:color w:val="auto"/>
          <w:szCs w:val="28"/>
        </w:rPr>
        <w:t>Default benefits aim to promote equity between consumers by providing a guaranteed level of financial support for hospital treatment</w:t>
      </w:r>
      <w:r w:rsidR="0018757C" w:rsidRPr="00CD2DBE">
        <w:rPr>
          <w:color w:val="auto"/>
          <w:szCs w:val="28"/>
        </w:rPr>
        <w:t>. Default benefits also allow</w:t>
      </w:r>
      <w:r w:rsidRPr="00CD2DBE">
        <w:rPr>
          <w:color w:val="auto"/>
          <w:szCs w:val="28"/>
        </w:rPr>
        <w:t xml:space="preserve"> insurers to provide a level of differentiation between private hospitals via contracting.</w:t>
      </w:r>
    </w:p>
    <w:p w14:paraId="097A1793" w14:textId="77777777" w:rsidR="006F3352" w:rsidRPr="00CD2DBE" w:rsidRDefault="00CD2DBE" w:rsidP="00473DE9">
      <w:pPr>
        <w:rPr>
          <w:color w:val="auto"/>
          <w:szCs w:val="28"/>
        </w:rPr>
      </w:pPr>
      <w:r w:rsidRPr="00CD2DBE">
        <w:rPr>
          <w:color w:val="auto"/>
          <w:szCs w:val="28"/>
        </w:rPr>
        <w:t>I</w:t>
      </w:r>
      <w:r w:rsidR="006F3352" w:rsidRPr="00CD2DBE">
        <w:rPr>
          <w:color w:val="auto"/>
          <w:szCs w:val="28"/>
        </w:rPr>
        <w:t>nsurers are required to pay second-tier default benefits for most episodes of hospital treatment where the insurer does not have a negotiated agreement for that service with an eligible private hospital.</w:t>
      </w:r>
    </w:p>
    <w:p w14:paraId="2BE70A7E" w14:textId="77777777" w:rsidR="006F3352" w:rsidRPr="00CD2DBE" w:rsidRDefault="006F3352" w:rsidP="00473DE9">
      <w:pPr>
        <w:rPr>
          <w:color w:val="FF0000"/>
          <w:szCs w:val="28"/>
        </w:rPr>
      </w:pPr>
      <w:r w:rsidRPr="00CD2DBE">
        <w:rPr>
          <w:color w:val="auto"/>
          <w:szCs w:val="28"/>
        </w:rPr>
        <w:t>The Benefit Requirements Rules</w:t>
      </w:r>
      <w:r w:rsidR="00CD2DBE" w:rsidRPr="00CD2DBE">
        <w:rPr>
          <w:color w:val="auto"/>
          <w:szCs w:val="28"/>
        </w:rPr>
        <w:t xml:space="preserve"> and</w:t>
      </w:r>
      <w:r w:rsidRPr="00CD2DBE">
        <w:rPr>
          <w:color w:val="auto"/>
          <w:szCs w:val="28"/>
        </w:rPr>
        <w:t xml:space="preserve"> </w:t>
      </w:r>
      <w:hyperlink r:id="rId31" w:history="1">
        <w:r w:rsidRPr="00CD2DBE">
          <w:rPr>
            <w:rStyle w:val="Hyperlink"/>
          </w:rPr>
          <w:t>Second-tier default benefits guidelines</w:t>
        </w:r>
      </w:hyperlink>
      <w:r w:rsidRPr="00CD2DBE">
        <w:rPr>
          <w:color w:val="auto"/>
          <w:szCs w:val="28"/>
        </w:rPr>
        <w:t xml:space="preserve">, mandate that the second-tier default benefit </w:t>
      </w:r>
      <w:r w:rsidR="00CD2DBE" w:rsidRPr="00CD2DBE">
        <w:rPr>
          <w:color w:val="auto"/>
          <w:szCs w:val="28"/>
        </w:rPr>
        <w:t xml:space="preserve">must </w:t>
      </w:r>
      <w:r w:rsidRPr="00CD2DBE">
        <w:rPr>
          <w:color w:val="auto"/>
          <w:szCs w:val="28"/>
        </w:rPr>
        <w:t xml:space="preserve">be at least 85% of the average charge for the equivalent episode of treatment </w:t>
      </w:r>
      <w:r w:rsidR="00CD2DBE" w:rsidRPr="00CD2DBE">
        <w:rPr>
          <w:color w:val="auto"/>
          <w:szCs w:val="28"/>
        </w:rPr>
        <w:t>provided by a comparable private hospital that the</w:t>
      </w:r>
      <w:r w:rsidRPr="00CD2DBE">
        <w:rPr>
          <w:color w:val="auto"/>
          <w:szCs w:val="28"/>
        </w:rPr>
        <w:t xml:space="preserve"> insurer</w:t>
      </w:r>
      <w:r w:rsidR="00CD2DBE" w:rsidRPr="00CD2DBE">
        <w:rPr>
          <w:color w:val="auto"/>
          <w:szCs w:val="28"/>
        </w:rPr>
        <w:t xml:space="preserve"> has a</w:t>
      </w:r>
      <w:r w:rsidRPr="00CD2DBE">
        <w:rPr>
          <w:color w:val="auto"/>
          <w:szCs w:val="28"/>
        </w:rPr>
        <w:t xml:space="preserve"> negotiated agreement</w:t>
      </w:r>
      <w:r w:rsidR="00CD2DBE" w:rsidRPr="00CD2DBE">
        <w:rPr>
          <w:color w:val="auto"/>
          <w:szCs w:val="28"/>
        </w:rPr>
        <w:t xml:space="preserve"> within the same state.</w:t>
      </w:r>
      <w:r w:rsidRPr="00CD2DBE">
        <w:rPr>
          <w:color w:val="FF0000"/>
          <w:szCs w:val="28"/>
        </w:rPr>
        <w:t xml:space="preserve"> </w:t>
      </w:r>
    </w:p>
    <w:p w14:paraId="598A3E11" w14:textId="77777777" w:rsidR="00CD2DBE" w:rsidRPr="00CD2DBE" w:rsidRDefault="006F3352" w:rsidP="00473DE9">
      <w:pPr>
        <w:rPr>
          <w:color w:val="auto"/>
          <w:szCs w:val="28"/>
        </w:rPr>
      </w:pPr>
      <w:r w:rsidRPr="00CD2DBE">
        <w:rPr>
          <w:color w:val="auto"/>
          <w:szCs w:val="28"/>
        </w:rPr>
        <w:lastRenderedPageBreak/>
        <w:t xml:space="preserve">The department </w:t>
      </w:r>
      <w:r w:rsidR="00CD2DBE" w:rsidRPr="00CD2DBE">
        <w:rPr>
          <w:color w:val="auto"/>
          <w:szCs w:val="28"/>
        </w:rPr>
        <w:t>uses</w:t>
      </w:r>
      <w:r w:rsidRPr="00CD2DBE">
        <w:rPr>
          <w:color w:val="auto"/>
          <w:szCs w:val="28"/>
        </w:rPr>
        <w:t xml:space="preserve"> the </w:t>
      </w:r>
      <w:hyperlink r:id="rId32">
        <w:r w:rsidRPr="00CD2DBE">
          <w:rPr>
            <w:rStyle w:val="Hyperlink"/>
          </w:rPr>
          <w:t>Modified Monash Model (MMM)</w:t>
        </w:r>
      </w:hyperlink>
      <w:r w:rsidR="00CD2DBE" w:rsidRPr="00CD2DBE">
        <w:rPr>
          <w:color w:val="auto"/>
          <w:szCs w:val="28"/>
        </w:rPr>
        <w:t xml:space="preserve">. For the </w:t>
      </w:r>
      <w:r w:rsidRPr="00CD2DBE">
        <w:rPr>
          <w:color w:val="auto"/>
          <w:szCs w:val="28"/>
        </w:rPr>
        <w:t xml:space="preserve">purposes of this reform, private hospitals in MM2 </w:t>
      </w:r>
      <w:r w:rsidR="0074401A" w:rsidRPr="00CD2DBE">
        <w:rPr>
          <w:color w:val="auto"/>
          <w:szCs w:val="28"/>
        </w:rPr>
        <w:t>to MM7</w:t>
      </w:r>
      <w:r w:rsidRPr="00CD2DBE">
        <w:rPr>
          <w:color w:val="auto"/>
          <w:szCs w:val="28"/>
        </w:rPr>
        <w:t xml:space="preserve"> would be included (approximately </w:t>
      </w:r>
      <w:r w:rsidR="000B7A7E" w:rsidRPr="00CD2DBE">
        <w:rPr>
          <w:color w:val="auto"/>
          <w:szCs w:val="28"/>
        </w:rPr>
        <w:t>115</w:t>
      </w:r>
      <w:r w:rsidR="000B7A7E" w:rsidRPr="00CD2DBE">
        <w:rPr>
          <w:b/>
          <w:bCs/>
          <w:color w:val="auto"/>
          <w:szCs w:val="28"/>
        </w:rPr>
        <w:t xml:space="preserve"> </w:t>
      </w:r>
      <w:r w:rsidRPr="00CD2DBE">
        <w:rPr>
          <w:color w:val="auto"/>
          <w:szCs w:val="28"/>
        </w:rPr>
        <w:t>hospitals)</w:t>
      </w:r>
      <w:r w:rsidR="000B7A7E" w:rsidRPr="00CD2DBE">
        <w:rPr>
          <w:rStyle w:val="EndnoteReference"/>
          <w:color w:val="auto"/>
          <w:szCs w:val="28"/>
        </w:rPr>
        <w:endnoteReference w:id="13"/>
      </w:r>
      <w:r w:rsidRPr="00CD2DBE">
        <w:rPr>
          <w:color w:val="auto"/>
          <w:szCs w:val="28"/>
        </w:rPr>
        <w:t xml:space="preserve">. </w:t>
      </w:r>
      <w:r w:rsidR="006E0F61" w:rsidRPr="00CD2DBE">
        <w:rPr>
          <w:color w:val="auto"/>
          <w:szCs w:val="28"/>
        </w:rPr>
        <w:t>In 2024-25,</w:t>
      </w:r>
      <w:r w:rsidR="00500932" w:rsidRPr="00CD2DBE">
        <w:rPr>
          <w:color w:val="auto"/>
          <w:szCs w:val="28"/>
        </w:rPr>
        <w:t xml:space="preserve"> t</w:t>
      </w:r>
      <w:r w:rsidRPr="00CD2DBE">
        <w:rPr>
          <w:color w:val="auto"/>
          <w:szCs w:val="28"/>
        </w:rPr>
        <w:t xml:space="preserve">he number of separations </w:t>
      </w:r>
      <w:r w:rsidR="00CD2DBE" w:rsidRPr="00CD2DBE">
        <w:rPr>
          <w:color w:val="auto"/>
          <w:szCs w:val="28"/>
        </w:rPr>
        <w:t xml:space="preserve">in </w:t>
      </w:r>
      <w:r w:rsidRPr="00CD2DBE">
        <w:rPr>
          <w:color w:val="auto"/>
          <w:szCs w:val="28"/>
        </w:rPr>
        <w:t>these hospitals account</w:t>
      </w:r>
      <w:r w:rsidR="00CD2DBE" w:rsidRPr="00CD2DBE">
        <w:rPr>
          <w:color w:val="auto"/>
          <w:szCs w:val="28"/>
        </w:rPr>
        <w:t>ed</w:t>
      </w:r>
      <w:r w:rsidRPr="00CD2DBE">
        <w:rPr>
          <w:color w:val="auto"/>
          <w:szCs w:val="28"/>
        </w:rPr>
        <w:t xml:space="preserve"> for</w:t>
      </w:r>
      <w:r w:rsidR="00CD2DBE" w:rsidRPr="00CD2DBE">
        <w:rPr>
          <w:color w:val="auto"/>
          <w:szCs w:val="28"/>
        </w:rPr>
        <w:t xml:space="preserve"> </w:t>
      </w:r>
      <w:r w:rsidRPr="00CD2DBE">
        <w:rPr>
          <w:color w:val="auto"/>
          <w:szCs w:val="28"/>
        </w:rPr>
        <w:t>approximately</w:t>
      </w:r>
      <w:r w:rsidR="00CD2DBE" w:rsidRPr="00CD2DBE">
        <w:rPr>
          <w:color w:val="auto"/>
          <w:szCs w:val="28"/>
        </w:rPr>
        <w:t>:</w:t>
      </w:r>
      <w:r w:rsidRPr="00CD2DBE">
        <w:rPr>
          <w:color w:val="auto"/>
          <w:szCs w:val="28"/>
        </w:rPr>
        <w:t xml:space="preserve"> </w:t>
      </w:r>
    </w:p>
    <w:p w14:paraId="277BF828" w14:textId="77777777" w:rsidR="00CD2DBE" w:rsidRPr="00CD2DBE" w:rsidRDefault="006F3352" w:rsidP="009257CE">
      <w:pPr>
        <w:numPr>
          <w:ilvl w:val="0"/>
          <w:numId w:val="18"/>
        </w:numPr>
        <w:ind w:left="714" w:hanging="357"/>
        <w:rPr>
          <w:color w:val="auto"/>
          <w:szCs w:val="28"/>
        </w:rPr>
      </w:pPr>
      <w:r w:rsidRPr="00CD2DBE">
        <w:rPr>
          <w:color w:val="auto"/>
          <w:szCs w:val="28"/>
        </w:rPr>
        <w:t>14% of all private hospital separations</w:t>
      </w:r>
      <w:r w:rsidR="00CD2DBE" w:rsidRPr="00CD2DBE">
        <w:rPr>
          <w:color w:val="auto"/>
          <w:szCs w:val="28"/>
        </w:rPr>
        <w:t>,</w:t>
      </w:r>
      <w:r w:rsidRPr="00CD2DBE">
        <w:rPr>
          <w:color w:val="auto"/>
          <w:szCs w:val="28"/>
        </w:rPr>
        <w:t xml:space="preserve"> and </w:t>
      </w:r>
    </w:p>
    <w:p w14:paraId="59EBD22C" w14:textId="77777777" w:rsidR="006F3352" w:rsidRPr="00CD2DBE" w:rsidRDefault="006F3352" w:rsidP="009257CE">
      <w:pPr>
        <w:numPr>
          <w:ilvl w:val="0"/>
          <w:numId w:val="18"/>
        </w:numPr>
        <w:ind w:left="714" w:hanging="357"/>
        <w:rPr>
          <w:color w:val="auto"/>
          <w:szCs w:val="28"/>
        </w:rPr>
      </w:pPr>
      <w:r w:rsidRPr="00CD2DBE">
        <w:rPr>
          <w:color w:val="auto"/>
          <w:szCs w:val="28"/>
        </w:rPr>
        <w:t>12% of all private hospital treatment associated revenues (noting that not all hospitals accessed second-tier benefits)</w:t>
      </w:r>
      <w:r w:rsidR="004712C2" w:rsidRPr="00CD2DBE">
        <w:rPr>
          <w:rStyle w:val="EndnoteReference"/>
          <w:color w:val="auto"/>
          <w:szCs w:val="28"/>
        </w:rPr>
        <w:endnoteReference w:id="14"/>
      </w:r>
      <w:r w:rsidRPr="00CD2DBE">
        <w:rPr>
          <w:color w:val="auto"/>
          <w:szCs w:val="28"/>
        </w:rPr>
        <w:t>.</w:t>
      </w:r>
    </w:p>
    <w:p w14:paraId="46EAD24D" w14:textId="77777777" w:rsidR="006F3352" w:rsidRPr="006F3352" w:rsidRDefault="006F3352" w:rsidP="00473DE9">
      <w:pPr>
        <w:rPr>
          <w:szCs w:val="28"/>
        </w:rPr>
      </w:pPr>
      <w:r w:rsidRPr="006F3352">
        <w:rPr>
          <w:szCs w:val="28"/>
        </w:rPr>
        <w:t>Increasing the second-tier benefits to 100% for established regional private hospitals will:</w:t>
      </w:r>
    </w:p>
    <w:p w14:paraId="3992B887" w14:textId="77777777" w:rsidR="006F3352" w:rsidRPr="006F3352" w:rsidRDefault="006F3352" w:rsidP="009257CE">
      <w:pPr>
        <w:numPr>
          <w:ilvl w:val="0"/>
          <w:numId w:val="18"/>
        </w:numPr>
        <w:ind w:left="714" w:hanging="357"/>
      </w:pPr>
      <w:r w:rsidRPr="006F3352">
        <w:t xml:space="preserve">safeguard regional and rural consumers access to, and choice of, healthcare provider </w:t>
      </w:r>
    </w:p>
    <w:p w14:paraId="4CBDE3BE" w14:textId="77777777" w:rsidR="006F3352" w:rsidRPr="006F3352" w:rsidRDefault="006F3352" w:rsidP="009257CE">
      <w:pPr>
        <w:numPr>
          <w:ilvl w:val="0"/>
          <w:numId w:val="18"/>
        </w:numPr>
        <w:ind w:left="714" w:hanging="357"/>
      </w:pPr>
      <w:r w:rsidRPr="006F3352">
        <w:t>support retention of health workforce in regional areas and continued investment in regional private hospital services, and</w:t>
      </w:r>
    </w:p>
    <w:p w14:paraId="2BD6BB8D" w14:textId="77777777" w:rsidR="006F3352" w:rsidRPr="006F3352" w:rsidRDefault="006F3352" w:rsidP="009257CE">
      <w:pPr>
        <w:numPr>
          <w:ilvl w:val="0"/>
          <w:numId w:val="18"/>
        </w:numPr>
        <w:ind w:left="714" w:hanging="357"/>
      </w:pPr>
      <w:r w:rsidRPr="006F3352">
        <w:t>support continued value proposition of PHI for consumers in regional and rural areas.</w:t>
      </w:r>
    </w:p>
    <w:p w14:paraId="67E5EDA8" w14:textId="77777777" w:rsidR="006F3352" w:rsidRPr="00AD2981" w:rsidRDefault="006F3352" w:rsidP="00473DE9">
      <w:pPr>
        <w:rPr>
          <w:color w:val="FF0000"/>
        </w:rPr>
      </w:pPr>
      <w:r w:rsidRPr="006F3352">
        <w:t xml:space="preserve">To implement this reform, the department would need to change the calculation methodology detailed in the Benefit </w:t>
      </w:r>
      <w:r w:rsidRPr="00CD2DBE">
        <w:rPr>
          <w:color w:val="auto"/>
        </w:rPr>
        <w:t xml:space="preserve">Requirements Rules. This change may also be accompanied </w:t>
      </w:r>
      <w:r w:rsidR="00CD2DBE" w:rsidRPr="00CD2DBE">
        <w:rPr>
          <w:color w:val="auto"/>
        </w:rPr>
        <w:t>by a</w:t>
      </w:r>
      <w:r w:rsidRPr="00CD2DBE">
        <w:rPr>
          <w:color w:val="auto"/>
        </w:rPr>
        <w:t xml:space="preserve"> requirement that the calculation use volume-weighting in determining second-tier default benefit rates to reflect actual claim volumes paid through each contract. </w:t>
      </w:r>
    </w:p>
    <w:p w14:paraId="7ADB3346" w14:textId="77777777" w:rsidR="00B872D9" w:rsidRPr="00AD2981" w:rsidRDefault="00B872D9" w:rsidP="00473DE9">
      <w:pPr>
        <w:spacing w:line="240" w:lineRule="auto"/>
        <w:rPr>
          <w:rFonts w:cs="Arial"/>
          <w:b/>
          <w:bCs/>
          <w:iCs/>
          <w:color w:val="FF0000"/>
          <w:sz w:val="36"/>
          <w:szCs w:val="28"/>
        </w:rPr>
      </w:pPr>
      <w:r w:rsidRPr="00AD2981">
        <w:rPr>
          <w:color w:val="FF0000"/>
        </w:rPr>
        <w:br w:type="page"/>
      </w:r>
    </w:p>
    <w:p w14:paraId="464AFE30" w14:textId="5F3A47DA" w:rsidR="00FE3896" w:rsidRDefault="1838EE07" w:rsidP="00651D4E">
      <w:pPr>
        <w:pStyle w:val="Heading2"/>
        <w:numPr>
          <w:ilvl w:val="1"/>
          <w:numId w:val="14"/>
        </w:numPr>
        <w:spacing w:after="120"/>
        <w:ind w:left="601" w:hanging="601"/>
      </w:pPr>
      <w:bookmarkStart w:id="65" w:name="_Toc233805045"/>
      <w:r>
        <w:lastRenderedPageBreak/>
        <w:t>P</w:t>
      </w:r>
      <w:r w:rsidR="006530F2">
        <w:t>HI p</w:t>
      </w:r>
      <w:r>
        <w:t>roduct simplification</w:t>
      </w:r>
      <w:bookmarkEnd w:id="65"/>
    </w:p>
    <w:tbl>
      <w:tblPr>
        <w:tblStyle w:val="DepartmentofHealthtable"/>
        <w:tblW w:w="9951" w:type="dxa"/>
        <w:tblInd w:w="-289" w:type="dxa"/>
        <w:tblBorders>
          <w:left w:val="single" w:sz="4" w:space="0" w:color="auto"/>
          <w:right w:val="single" w:sz="4" w:space="0" w:color="auto"/>
          <w:insideV w:val="single" w:sz="4" w:space="0" w:color="auto"/>
        </w:tblBorders>
        <w:tblLayout w:type="fixed"/>
        <w:tblLook w:val="04A0" w:firstRow="1" w:lastRow="0" w:firstColumn="1" w:lastColumn="0" w:noHBand="0" w:noVBand="1"/>
      </w:tblPr>
      <w:tblGrid>
        <w:gridCol w:w="5671"/>
        <w:gridCol w:w="4280"/>
      </w:tblGrid>
      <w:tr w:rsidR="00C5241A" w:rsidRPr="00E00B36" w14:paraId="7C601757"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51" w:type="dxa"/>
            <w:gridSpan w:val="2"/>
            <w:tcBorders>
              <w:bottom w:val="single" w:sz="4" w:space="0" w:color="FFFFFF" w:themeColor="background1"/>
            </w:tcBorders>
          </w:tcPr>
          <w:p w14:paraId="460657B8" w14:textId="5D67F25D" w:rsidR="00C5241A" w:rsidRPr="00E00B36" w:rsidRDefault="00C5241A" w:rsidP="00473DE9">
            <w:pPr>
              <w:rPr>
                <w:rFonts w:eastAsia="Cambria"/>
                <w:b/>
                <w:color w:val="FFFFFF"/>
                <w:sz w:val="20"/>
                <w:szCs w:val="20"/>
                <w:lang w:val="en-US" w:eastAsia="en-AU"/>
              </w:rPr>
            </w:pPr>
            <w:r w:rsidRPr="00E00B36">
              <w:rPr>
                <w:rFonts w:eastAsia="Cambria"/>
                <w:b/>
                <w:color w:val="FFFFFF"/>
                <w:sz w:val="20"/>
                <w:szCs w:val="20"/>
                <w:lang w:val="en-US" w:eastAsia="en-AU"/>
              </w:rPr>
              <w:t xml:space="preserve">SUMMARY: </w:t>
            </w:r>
            <w:r w:rsidR="00FF5A98">
              <w:rPr>
                <w:rFonts w:eastAsia="Cambria"/>
                <w:b/>
                <w:color w:val="FFFFFF"/>
                <w:sz w:val="20"/>
                <w:szCs w:val="20"/>
                <w:lang w:val="en-US" w:eastAsia="en-AU"/>
              </w:rPr>
              <w:t xml:space="preserve">PHI </w:t>
            </w:r>
            <w:r w:rsidRPr="00E00B36">
              <w:rPr>
                <w:rFonts w:eastAsia="Cambria"/>
                <w:b/>
                <w:bCs/>
                <w:iCs/>
                <w:color w:val="FFFFFF"/>
                <w:sz w:val="20"/>
                <w:szCs w:val="20"/>
                <w:lang w:eastAsia="en-AU"/>
              </w:rPr>
              <w:t>Product Simplification</w:t>
            </w:r>
          </w:p>
        </w:tc>
      </w:tr>
      <w:tr w:rsidR="00C5241A" w:rsidRPr="00E00B36" w14:paraId="049B7445" w14:textId="77777777" w:rsidTr="00D14E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1" w:type="dxa"/>
            <w:tcBorders>
              <w:top w:val="single" w:sz="4" w:space="0" w:color="FFFFFF" w:themeColor="background1"/>
            </w:tcBorders>
          </w:tcPr>
          <w:p w14:paraId="0D6C5B38" w14:textId="77777777" w:rsidR="00C5241A" w:rsidRPr="00E00B36" w:rsidRDefault="00C5241A" w:rsidP="00473DE9">
            <w:pPr>
              <w:rPr>
                <w:rFonts w:eastAsia="Cambria"/>
                <w:b/>
                <w:color w:val="FFFFFF"/>
                <w:sz w:val="20"/>
                <w:szCs w:val="20"/>
                <w:lang w:val="en-US" w:eastAsia="en-AU"/>
              </w:rPr>
            </w:pPr>
            <w:r w:rsidRPr="00E00B36">
              <w:rPr>
                <w:rFonts w:eastAsia="Cambria"/>
                <w:b/>
                <w:color w:val="FFFFFF"/>
                <w:sz w:val="20"/>
                <w:szCs w:val="20"/>
                <w:lang w:val="en-US" w:eastAsia="en-AU"/>
              </w:rPr>
              <w:t>Proposed reform initiative for implementation</w:t>
            </w:r>
          </w:p>
        </w:tc>
        <w:tc>
          <w:tcPr>
            <w:tcW w:w="4280" w:type="dxa"/>
            <w:tcBorders>
              <w:top w:val="single" w:sz="4" w:space="0" w:color="FFFFFF" w:themeColor="background1"/>
            </w:tcBorders>
          </w:tcPr>
          <w:p w14:paraId="10F43B81" w14:textId="77777777" w:rsidR="00C5241A" w:rsidRPr="00E00B36" w:rsidRDefault="00C5241A" w:rsidP="00473DE9">
            <w:pPr>
              <w:cnfStyle w:val="100000000000" w:firstRow="1" w:lastRow="0" w:firstColumn="0" w:lastColumn="0" w:oddVBand="0" w:evenVBand="0" w:oddHBand="0" w:evenHBand="0" w:firstRowFirstColumn="0" w:firstRowLastColumn="0" w:lastRowFirstColumn="0" w:lastRowLastColumn="0"/>
              <w:rPr>
                <w:rFonts w:eastAsia="Cambria"/>
                <w:b/>
                <w:color w:val="FFFFFF"/>
                <w:sz w:val="20"/>
                <w:szCs w:val="20"/>
                <w:lang w:val="en-US" w:eastAsia="en-AU"/>
              </w:rPr>
            </w:pPr>
            <w:r w:rsidRPr="00E00B36">
              <w:rPr>
                <w:rFonts w:eastAsia="Cambria"/>
                <w:b/>
                <w:color w:val="FFFFFF"/>
                <w:sz w:val="20"/>
                <w:szCs w:val="20"/>
                <w:lang w:val="en-US" w:eastAsia="en-AU"/>
              </w:rPr>
              <w:t>Mechanism for implementation</w:t>
            </w:r>
          </w:p>
        </w:tc>
      </w:tr>
      <w:tr w:rsidR="00C5241A" w:rsidRPr="00E00B36" w14:paraId="4BEEAFFC" w14:textId="77777777" w:rsidTr="00D14EBB">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5671" w:type="dxa"/>
            <w:shd w:val="clear" w:color="auto" w:fill="auto"/>
            <w:vAlign w:val="center"/>
          </w:tcPr>
          <w:p w14:paraId="5AC83B94" w14:textId="200A31B6" w:rsidR="00C5241A" w:rsidRPr="00E00B36" w:rsidRDefault="00C5241A" w:rsidP="00473DE9">
            <w:pPr>
              <w:rPr>
                <w:color w:val="000000"/>
                <w:sz w:val="20"/>
                <w:szCs w:val="20"/>
                <w:lang w:val="en-US" w:eastAsia="en-AU"/>
              </w:rPr>
            </w:pPr>
            <w:r w:rsidRPr="00E00B36">
              <w:rPr>
                <w:b/>
                <w:bCs/>
                <w:color w:val="000000"/>
                <w:sz w:val="20"/>
                <w:szCs w:val="20"/>
                <w:lang w:val="en-US" w:eastAsia="en-AU"/>
              </w:rPr>
              <w:t>Initiative 1:</w:t>
            </w:r>
            <w:r w:rsidRPr="00E00B36">
              <w:rPr>
                <w:color w:val="000000"/>
                <w:sz w:val="20"/>
                <w:szCs w:val="20"/>
                <w:lang w:val="en-US" w:eastAsia="en-AU"/>
              </w:rPr>
              <w:t xml:space="preserve"> simplifying</w:t>
            </w:r>
            <w:r w:rsidR="00744251">
              <w:rPr>
                <w:color w:val="000000"/>
                <w:sz w:val="20"/>
                <w:szCs w:val="20"/>
                <w:lang w:val="en-US" w:eastAsia="en-AU"/>
              </w:rPr>
              <w:t xml:space="preserve"> PHI</w:t>
            </w:r>
            <w:r w:rsidRPr="00E00B36">
              <w:rPr>
                <w:color w:val="000000"/>
                <w:sz w:val="20"/>
                <w:szCs w:val="20"/>
                <w:lang w:val="en-US" w:eastAsia="en-AU"/>
              </w:rPr>
              <w:t xml:space="preserve"> product structure</w:t>
            </w:r>
          </w:p>
        </w:tc>
        <w:tc>
          <w:tcPr>
            <w:tcW w:w="4280" w:type="dxa"/>
            <w:vMerge w:val="restart"/>
            <w:shd w:val="clear" w:color="auto" w:fill="auto"/>
            <w:vAlign w:val="center"/>
          </w:tcPr>
          <w:p w14:paraId="4EA285AA" w14:textId="77777777" w:rsidR="00C5241A" w:rsidRPr="00E00B36" w:rsidRDefault="00C5241A" w:rsidP="00473DE9">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en-AU"/>
              </w:rPr>
            </w:pPr>
            <w:r w:rsidRPr="42D2CFE8">
              <w:rPr>
                <w:sz w:val="20"/>
                <w:szCs w:val="20"/>
                <w:lang w:val="en-US" w:eastAsia="en-AU"/>
              </w:rPr>
              <w:t xml:space="preserve">Changes to the PHI Act and </w:t>
            </w:r>
            <w:r w:rsidRPr="1C86EE76">
              <w:rPr>
                <w:sz w:val="20"/>
                <w:szCs w:val="20"/>
                <w:lang w:val="en-US" w:eastAsia="en-AU"/>
              </w:rPr>
              <w:t>associated PHI Rules</w:t>
            </w:r>
            <w:r w:rsidRPr="42D2CFE8">
              <w:rPr>
                <w:sz w:val="20"/>
                <w:szCs w:val="20"/>
                <w:lang w:val="en-US" w:eastAsia="en-AU"/>
              </w:rPr>
              <w:t>.</w:t>
            </w:r>
          </w:p>
        </w:tc>
      </w:tr>
      <w:tr w:rsidR="00C5241A" w:rsidRPr="00E00B36" w14:paraId="0DD8996A" w14:textId="77777777" w:rsidTr="1C4EBF7B">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671" w:type="dxa"/>
            <w:shd w:val="clear" w:color="auto" w:fill="auto"/>
            <w:vAlign w:val="center"/>
          </w:tcPr>
          <w:p w14:paraId="1EE23F99" w14:textId="77777777" w:rsidR="00C5241A" w:rsidRPr="00E00B36" w:rsidRDefault="00C5241A" w:rsidP="00473DE9">
            <w:pPr>
              <w:rPr>
                <w:color w:val="000000"/>
                <w:sz w:val="20"/>
                <w:szCs w:val="20"/>
                <w:lang w:val="en-US" w:eastAsia="en-AU"/>
              </w:rPr>
            </w:pPr>
            <w:r w:rsidRPr="00E00B36">
              <w:rPr>
                <w:b/>
                <w:bCs/>
                <w:color w:val="000000"/>
                <w:sz w:val="20"/>
                <w:szCs w:val="20"/>
                <w:lang w:val="en-US" w:eastAsia="en-AU"/>
              </w:rPr>
              <w:t>Initiative 2:</w:t>
            </w:r>
            <w:r w:rsidRPr="00E00B36">
              <w:rPr>
                <w:color w:val="000000"/>
                <w:sz w:val="20"/>
                <w:szCs w:val="20"/>
                <w:lang w:val="en-US" w:eastAsia="en-AU"/>
              </w:rPr>
              <w:t xml:space="preserve"> standardising the age threshold and associated eligibility for dependants</w:t>
            </w:r>
          </w:p>
        </w:tc>
        <w:tc>
          <w:tcPr>
            <w:tcW w:w="4280" w:type="dxa"/>
            <w:vMerge/>
            <w:vAlign w:val="center"/>
          </w:tcPr>
          <w:p w14:paraId="68AE9D62" w14:textId="77777777" w:rsidR="00C5241A" w:rsidRPr="00E00B36" w:rsidRDefault="00C5241A" w:rsidP="00473DE9">
            <w:pPr>
              <w:cnfStyle w:val="000000010000" w:firstRow="0" w:lastRow="0" w:firstColumn="0" w:lastColumn="0" w:oddVBand="0" w:evenVBand="0" w:oddHBand="0" w:evenHBand="1" w:firstRowFirstColumn="0" w:firstRowLastColumn="0" w:lastRowFirstColumn="0" w:lastRowLastColumn="0"/>
              <w:rPr>
                <w:color w:val="000000"/>
                <w:sz w:val="20"/>
                <w:szCs w:val="20"/>
                <w:lang w:val="en-US" w:eastAsia="en-AU"/>
              </w:rPr>
            </w:pPr>
          </w:p>
        </w:tc>
      </w:tr>
      <w:tr w:rsidR="00C5241A" w:rsidRPr="00E00B36" w14:paraId="7FAC82A9" w14:textId="77777777" w:rsidTr="00AE2F6C">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5671" w:type="dxa"/>
            <w:shd w:val="clear" w:color="auto" w:fill="auto"/>
            <w:vAlign w:val="center"/>
          </w:tcPr>
          <w:p w14:paraId="49821EB2" w14:textId="77777777" w:rsidR="00C5241A" w:rsidRPr="00E00B36" w:rsidRDefault="00C5241A" w:rsidP="00473DE9">
            <w:pPr>
              <w:rPr>
                <w:color w:val="000000"/>
                <w:sz w:val="20"/>
                <w:szCs w:val="20"/>
                <w:lang w:val="en-US" w:eastAsia="en-AU"/>
              </w:rPr>
            </w:pPr>
            <w:r w:rsidRPr="00E00B36">
              <w:rPr>
                <w:b/>
                <w:bCs/>
                <w:color w:val="000000"/>
                <w:sz w:val="20"/>
                <w:szCs w:val="20"/>
                <w:lang w:val="en-US" w:eastAsia="en-AU"/>
              </w:rPr>
              <w:t>Initiative 3:</w:t>
            </w:r>
            <w:r w:rsidRPr="00E00B36">
              <w:rPr>
                <w:color w:val="000000"/>
                <w:sz w:val="20"/>
                <w:szCs w:val="20"/>
                <w:lang w:val="en-US" w:eastAsia="en-AU"/>
              </w:rPr>
              <w:t xml:space="preserve"> excess and co-payment standardisation</w:t>
            </w:r>
          </w:p>
        </w:tc>
        <w:tc>
          <w:tcPr>
            <w:tcW w:w="4280" w:type="dxa"/>
            <w:vMerge/>
            <w:vAlign w:val="center"/>
          </w:tcPr>
          <w:p w14:paraId="1FE06C6E" w14:textId="77777777" w:rsidR="00C5241A" w:rsidRPr="00E00B36" w:rsidRDefault="00C5241A" w:rsidP="00473DE9">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en-AU"/>
              </w:rPr>
            </w:pPr>
          </w:p>
        </w:tc>
      </w:tr>
      <w:tr w:rsidR="00C5241A" w:rsidRPr="00E00B36" w14:paraId="5433F3A5" w14:textId="77777777" w:rsidTr="00AE2F6C">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671" w:type="dxa"/>
            <w:shd w:val="clear" w:color="auto" w:fill="auto"/>
            <w:vAlign w:val="center"/>
          </w:tcPr>
          <w:p w14:paraId="181D9145" w14:textId="77777777" w:rsidR="00C5241A" w:rsidRPr="00E00B36" w:rsidRDefault="00C5241A" w:rsidP="00473DE9">
            <w:pPr>
              <w:rPr>
                <w:color w:val="000000"/>
                <w:sz w:val="20"/>
                <w:szCs w:val="20"/>
                <w:lang w:val="en-US" w:eastAsia="en-AU"/>
              </w:rPr>
            </w:pPr>
            <w:r w:rsidRPr="00E00B36">
              <w:rPr>
                <w:b/>
                <w:bCs/>
                <w:color w:val="000000"/>
                <w:sz w:val="20"/>
                <w:szCs w:val="20"/>
                <w:lang w:val="en-US" w:eastAsia="en-AU"/>
              </w:rPr>
              <w:t>Initiative 4:</w:t>
            </w:r>
            <w:r w:rsidRPr="00E00B36">
              <w:rPr>
                <w:color w:val="000000"/>
                <w:sz w:val="20"/>
                <w:szCs w:val="20"/>
                <w:lang w:val="en-US" w:eastAsia="en-AU"/>
              </w:rPr>
              <w:t xml:space="preserve"> ensuring consistency across premium structures.</w:t>
            </w:r>
          </w:p>
        </w:tc>
        <w:tc>
          <w:tcPr>
            <w:tcW w:w="4280" w:type="dxa"/>
            <w:vMerge/>
            <w:vAlign w:val="center"/>
          </w:tcPr>
          <w:p w14:paraId="415AD1EB" w14:textId="77777777" w:rsidR="00C5241A" w:rsidRPr="00E00B36" w:rsidRDefault="00C5241A" w:rsidP="00473DE9">
            <w:pPr>
              <w:cnfStyle w:val="000000010000" w:firstRow="0" w:lastRow="0" w:firstColumn="0" w:lastColumn="0" w:oddVBand="0" w:evenVBand="0" w:oddHBand="0" w:evenHBand="1" w:firstRowFirstColumn="0" w:firstRowLastColumn="0" w:lastRowFirstColumn="0" w:lastRowLastColumn="0"/>
              <w:rPr>
                <w:color w:val="000000"/>
                <w:sz w:val="20"/>
                <w:szCs w:val="20"/>
                <w:lang w:val="en-US" w:eastAsia="en-AU"/>
              </w:rPr>
            </w:pPr>
          </w:p>
        </w:tc>
      </w:tr>
      <w:tr w:rsidR="00E00B36" w:rsidRPr="00E00B36" w14:paraId="50D6B0B0" w14:textId="77777777" w:rsidTr="42D2CFE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3F4A75" w:themeFill="accent1"/>
          </w:tcPr>
          <w:p w14:paraId="6816E186" w14:textId="77777777" w:rsidR="00E00B36" w:rsidRPr="00E00B36" w:rsidRDefault="00E00B36" w:rsidP="00473DE9">
            <w:pPr>
              <w:rPr>
                <w:color w:val="000000"/>
                <w:sz w:val="20"/>
                <w:szCs w:val="20"/>
                <w:lang w:val="en-US" w:eastAsia="en-AU"/>
              </w:rPr>
            </w:pPr>
            <w:r w:rsidRPr="00E00B36">
              <w:rPr>
                <w:rFonts w:eastAsia="Cambria"/>
                <w:b/>
                <w:color w:val="FFFFFF"/>
                <w:sz w:val="20"/>
                <w:szCs w:val="20"/>
                <w:lang w:val="en-US" w:eastAsia="en-AU"/>
              </w:rPr>
              <w:t>Questions for stakeholder consideration</w:t>
            </w:r>
            <w:r w:rsidRPr="00E00B36">
              <w:rPr>
                <w:color w:val="FFFFFF"/>
                <w:sz w:val="20"/>
                <w:szCs w:val="20"/>
                <w:lang w:val="en-US" w:eastAsia="en-AU"/>
              </w:rPr>
              <w:t xml:space="preserve"> </w:t>
            </w:r>
          </w:p>
        </w:tc>
      </w:tr>
      <w:tr w:rsidR="00E00B36" w:rsidRPr="00E00B36" w14:paraId="21523503" w14:textId="77777777">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auto"/>
          </w:tcPr>
          <w:p w14:paraId="57453610" w14:textId="77777777" w:rsidR="00E00B36" w:rsidRPr="00E00B36" w:rsidRDefault="00E00B36" w:rsidP="009257CE">
            <w:pPr>
              <w:numPr>
                <w:ilvl w:val="0"/>
                <w:numId w:val="45"/>
              </w:numPr>
              <w:rPr>
                <w:color w:val="000000"/>
                <w:sz w:val="20"/>
                <w:szCs w:val="28"/>
                <w:lang w:val="en-US" w:eastAsia="en-AU"/>
              </w:rPr>
            </w:pPr>
            <w:r w:rsidRPr="00E00B36">
              <w:rPr>
                <w:color w:val="000000"/>
                <w:sz w:val="20"/>
                <w:szCs w:val="28"/>
                <w:lang w:val="en-US" w:eastAsia="en-AU"/>
              </w:rPr>
              <w:t>Do you agree or disagree with (or are you unsure about) each of the reform initiatives below:</w:t>
            </w:r>
          </w:p>
          <w:p w14:paraId="1537F3C2" w14:textId="2FAF9E58" w:rsidR="00E00B36" w:rsidRPr="00E00B36" w:rsidRDefault="00E00B36" w:rsidP="009257CE">
            <w:pPr>
              <w:numPr>
                <w:ilvl w:val="2"/>
                <w:numId w:val="17"/>
              </w:numPr>
              <w:ind w:left="888"/>
              <w:rPr>
                <w:color w:val="000000"/>
                <w:sz w:val="20"/>
                <w:szCs w:val="28"/>
                <w:lang w:val="en-US" w:eastAsia="en-AU"/>
              </w:rPr>
            </w:pPr>
            <w:r w:rsidRPr="00E00B36">
              <w:rPr>
                <w:color w:val="000000"/>
                <w:sz w:val="20"/>
                <w:szCs w:val="28"/>
                <w:lang w:val="en-US" w:eastAsia="en-AU"/>
              </w:rPr>
              <w:t>Initiative 1: simplifying</w:t>
            </w:r>
            <w:r w:rsidR="00FF5A98">
              <w:rPr>
                <w:color w:val="000000"/>
                <w:sz w:val="20"/>
                <w:szCs w:val="28"/>
                <w:lang w:val="en-US" w:eastAsia="en-AU"/>
              </w:rPr>
              <w:t xml:space="preserve"> PHI</w:t>
            </w:r>
            <w:r w:rsidRPr="00E00B36">
              <w:rPr>
                <w:color w:val="000000"/>
                <w:sz w:val="20"/>
                <w:szCs w:val="28"/>
                <w:lang w:val="en-US" w:eastAsia="en-AU"/>
              </w:rPr>
              <w:t xml:space="preserve"> product structure</w:t>
            </w:r>
          </w:p>
          <w:p w14:paraId="1E8F1B31" w14:textId="77777777" w:rsidR="00E00B36" w:rsidRPr="00E00B36" w:rsidRDefault="00E00B36" w:rsidP="009257CE">
            <w:pPr>
              <w:numPr>
                <w:ilvl w:val="2"/>
                <w:numId w:val="17"/>
              </w:numPr>
              <w:ind w:left="888"/>
              <w:rPr>
                <w:color w:val="000000"/>
                <w:sz w:val="20"/>
                <w:szCs w:val="28"/>
                <w:lang w:val="en-US" w:eastAsia="en-AU"/>
              </w:rPr>
            </w:pPr>
            <w:r w:rsidRPr="00E00B36">
              <w:rPr>
                <w:color w:val="000000"/>
                <w:sz w:val="20"/>
                <w:szCs w:val="28"/>
                <w:lang w:val="en-US" w:eastAsia="en-AU"/>
              </w:rPr>
              <w:t>Initiative 2: standardising the age threshold and associated eligibility for dependants</w:t>
            </w:r>
          </w:p>
          <w:p w14:paraId="7312E5BD" w14:textId="77777777" w:rsidR="00E00B36" w:rsidRPr="00E00B36" w:rsidRDefault="00E00B36" w:rsidP="009257CE">
            <w:pPr>
              <w:numPr>
                <w:ilvl w:val="2"/>
                <w:numId w:val="17"/>
              </w:numPr>
              <w:ind w:left="888"/>
              <w:rPr>
                <w:color w:val="000000"/>
                <w:sz w:val="20"/>
                <w:szCs w:val="28"/>
                <w:lang w:val="en-US" w:eastAsia="en-AU"/>
              </w:rPr>
            </w:pPr>
            <w:r w:rsidRPr="00E00B36">
              <w:rPr>
                <w:color w:val="000000"/>
                <w:sz w:val="20"/>
                <w:szCs w:val="28"/>
                <w:lang w:val="en-US" w:eastAsia="en-AU"/>
              </w:rPr>
              <w:t>Initiative 3: excess and co-payment standardisation, and</w:t>
            </w:r>
          </w:p>
          <w:p w14:paraId="370473AE" w14:textId="77777777" w:rsidR="00E00B36" w:rsidRPr="00E00B36" w:rsidRDefault="00E00B36" w:rsidP="009257CE">
            <w:pPr>
              <w:numPr>
                <w:ilvl w:val="2"/>
                <w:numId w:val="17"/>
              </w:numPr>
              <w:ind w:left="888"/>
              <w:rPr>
                <w:color w:val="000000"/>
                <w:sz w:val="20"/>
                <w:szCs w:val="28"/>
                <w:lang w:val="en-US" w:eastAsia="en-AU"/>
              </w:rPr>
            </w:pPr>
            <w:r w:rsidRPr="00E00B36">
              <w:rPr>
                <w:color w:val="000000"/>
                <w:sz w:val="20"/>
                <w:szCs w:val="28"/>
                <w:lang w:val="en-US" w:eastAsia="en-AU"/>
              </w:rPr>
              <w:t>Initiative 4: ensuring consistency across premium structures.</w:t>
            </w:r>
          </w:p>
          <w:p w14:paraId="40D6A2F7" w14:textId="77777777" w:rsidR="00F15492" w:rsidRPr="00E00B36" w:rsidRDefault="00E00B36" w:rsidP="009257CE">
            <w:pPr>
              <w:numPr>
                <w:ilvl w:val="0"/>
                <w:numId w:val="45"/>
              </w:numPr>
              <w:rPr>
                <w:color w:val="000000"/>
                <w:sz w:val="20"/>
                <w:szCs w:val="28"/>
                <w:lang w:val="en-US" w:eastAsia="en-AU"/>
              </w:rPr>
            </w:pPr>
            <w:r w:rsidRPr="00E00B36">
              <w:rPr>
                <w:color w:val="000000"/>
                <w:sz w:val="20"/>
                <w:szCs w:val="28"/>
                <w:lang w:val="en-US" w:eastAsia="en-AU"/>
              </w:rPr>
              <w:t xml:space="preserve">Do you have any specific comments </w:t>
            </w:r>
            <w:r w:rsidR="005E58BE">
              <w:rPr>
                <w:color w:val="000000"/>
                <w:sz w:val="20"/>
                <w:szCs w:val="28"/>
                <w:lang w:val="en-US" w:eastAsia="en-AU"/>
              </w:rPr>
              <w:t>on</w:t>
            </w:r>
            <w:r w:rsidRPr="00E00B36">
              <w:rPr>
                <w:color w:val="000000"/>
                <w:sz w:val="20"/>
                <w:szCs w:val="28"/>
                <w:lang w:val="en-US" w:eastAsia="en-AU"/>
              </w:rPr>
              <w:t xml:space="preserve"> each of the </w:t>
            </w:r>
            <w:r w:rsidR="00F15492" w:rsidRPr="00F15492">
              <w:rPr>
                <w:color w:val="000000"/>
                <w:sz w:val="20"/>
                <w:szCs w:val="28"/>
                <w:lang w:eastAsia="en-AU"/>
              </w:rPr>
              <w:t>reform initiative</w:t>
            </w:r>
            <w:r w:rsidR="00F15492">
              <w:rPr>
                <w:color w:val="000000"/>
                <w:sz w:val="20"/>
                <w:szCs w:val="28"/>
                <w:lang w:eastAsia="en-AU"/>
              </w:rPr>
              <w:t>s</w:t>
            </w:r>
            <w:r w:rsidRPr="00E00B36">
              <w:rPr>
                <w:color w:val="000000"/>
                <w:sz w:val="20"/>
                <w:szCs w:val="28"/>
                <w:lang w:val="en-US" w:eastAsia="en-AU"/>
              </w:rPr>
              <w:t xml:space="preserve"> raised?</w:t>
            </w:r>
          </w:p>
          <w:p w14:paraId="0536C5E2" w14:textId="59B866EF" w:rsidR="00E00B36" w:rsidRPr="00E00B36" w:rsidRDefault="00E00B36" w:rsidP="009257CE">
            <w:pPr>
              <w:numPr>
                <w:ilvl w:val="0"/>
                <w:numId w:val="45"/>
              </w:numPr>
              <w:rPr>
                <w:color w:val="000000"/>
                <w:sz w:val="20"/>
                <w:szCs w:val="20"/>
                <w:lang w:val="en-US" w:eastAsia="en-AU"/>
              </w:rPr>
            </w:pPr>
            <w:r w:rsidRPr="1C4EBF7B">
              <w:rPr>
                <w:sz w:val="20"/>
                <w:szCs w:val="20"/>
                <w:lang w:val="en-US" w:eastAsia="en-AU"/>
              </w:rPr>
              <w:t xml:space="preserve">Are there any other options or solutions that </w:t>
            </w:r>
            <w:r w:rsidR="70B5E8C6" w:rsidRPr="71765135">
              <w:rPr>
                <w:sz w:val="20"/>
                <w:szCs w:val="20"/>
                <w:lang w:val="en-US" w:eastAsia="en-AU"/>
              </w:rPr>
              <w:t xml:space="preserve">the department </w:t>
            </w:r>
            <w:r w:rsidR="0541B4A0" w:rsidRPr="71765135">
              <w:rPr>
                <w:sz w:val="20"/>
                <w:szCs w:val="20"/>
                <w:lang w:val="en-US" w:eastAsia="en-AU"/>
              </w:rPr>
              <w:t>should</w:t>
            </w:r>
            <w:r w:rsidRPr="1C4EBF7B">
              <w:rPr>
                <w:sz w:val="20"/>
                <w:szCs w:val="20"/>
                <w:lang w:val="en-US" w:eastAsia="en-AU"/>
              </w:rPr>
              <w:t xml:space="preserve"> consider?</w:t>
            </w:r>
          </w:p>
        </w:tc>
      </w:tr>
      <w:tr w:rsidR="00BA54A6" w:rsidRPr="00E00B36" w14:paraId="4AEEB82E" w14:textId="77777777">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auto"/>
          </w:tcPr>
          <w:p w14:paraId="69C8799F" w14:textId="77777777" w:rsidR="00BA54A6" w:rsidRPr="00BA54A6" w:rsidRDefault="00BA54A6" w:rsidP="00826258">
            <w:pPr>
              <w:rPr>
                <w:i/>
                <w:iCs/>
                <w:color w:val="000000"/>
                <w:sz w:val="20"/>
                <w:szCs w:val="28"/>
                <w:lang w:val="en-US" w:eastAsia="en-AU"/>
              </w:rPr>
            </w:pPr>
            <w:r w:rsidRPr="00BA54A6">
              <w:rPr>
                <w:b/>
                <w:bCs/>
                <w:i/>
                <w:iCs/>
                <w:color w:val="000000"/>
                <w:sz w:val="20"/>
                <w:szCs w:val="28"/>
                <w:lang w:val="en-US" w:eastAsia="en-AU"/>
              </w:rPr>
              <w:t>NOTE:</w:t>
            </w:r>
            <w:r w:rsidRPr="00BA54A6">
              <w:rPr>
                <w:i/>
                <w:iCs/>
                <w:color w:val="000000"/>
                <w:sz w:val="20"/>
                <w:szCs w:val="28"/>
                <w:lang w:val="en-US" w:eastAsia="en-AU"/>
              </w:rPr>
              <w:t xml:space="preserve"> this is the initial tranche of consultation on product simplification which will be used to inform independent technical expertise prior to further consultation.</w:t>
            </w:r>
          </w:p>
        </w:tc>
      </w:tr>
    </w:tbl>
    <w:p w14:paraId="431C9A5F" w14:textId="77777777" w:rsidR="00B872D9" w:rsidRPr="00DF78E1" w:rsidRDefault="00B872D9" w:rsidP="00651D4E">
      <w:pPr>
        <w:pStyle w:val="Heading3"/>
        <w:numPr>
          <w:ilvl w:val="2"/>
          <w:numId w:val="14"/>
        </w:numPr>
        <w:spacing w:before="240" w:after="120"/>
        <w:rPr>
          <w:b w:val="0"/>
          <w:bCs w:val="0"/>
          <w:i/>
          <w:iCs/>
          <w:sz w:val="28"/>
          <w:szCs w:val="28"/>
        </w:rPr>
      </w:pPr>
      <w:bookmarkStart w:id="66" w:name="_Toc233805046"/>
      <w:r w:rsidRPr="3D1C1472">
        <w:rPr>
          <w:b w:val="0"/>
          <w:bCs w:val="0"/>
          <w:i/>
          <w:iCs/>
          <w:sz w:val="28"/>
          <w:szCs w:val="28"/>
        </w:rPr>
        <w:t>Introduction</w:t>
      </w:r>
      <w:bookmarkEnd w:id="66"/>
    </w:p>
    <w:p w14:paraId="3B5B0A4D" w14:textId="77777777" w:rsidR="00250CCF" w:rsidRPr="00D248D4" w:rsidRDefault="44C448E5" w:rsidP="00473DE9">
      <w:pPr>
        <w:pStyle w:val="Body"/>
        <w:spacing w:after="120"/>
      </w:pPr>
      <w:r>
        <w:t>Consumer</w:t>
      </w:r>
      <w:r w:rsidR="0023084B">
        <w:t xml:space="preserve"> groups</w:t>
      </w:r>
      <w:r>
        <w:t xml:space="preserve"> </w:t>
      </w:r>
      <w:r w:rsidR="00462389">
        <w:t xml:space="preserve">have </w:t>
      </w:r>
      <w:r w:rsidR="00BA717F">
        <w:t xml:space="preserve">told us about </w:t>
      </w:r>
      <w:r w:rsidR="006253A0">
        <w:t>the</w:t>
      </w:r>
      <w:r>
        <w:t xml:space="preserve"> challenges with the affordability of </w:t>
      </w:r>
      <w:r w:rsidR="006253A0">
        <w:t>PHI</w:t>
      </w:r>
      <w:r>
        <w:t xml:space="preserve"> as premiums increase. </w:t>
      </w:r>
      <w:r w:rsidR="00AD070C">
        <w:t xml:space="preserve">Meanwhile, </w:t>
      </w:r>
      <w:r>
        <w:t>insurers report challenges with the sustainability of products as benefits paid and premiums increase.</w:t>
      </w:r>
    </w:p>
    <w:p w14:paraId="2EA6F302" w14:textId="77777777" w:rsidR="00250CCF" w:rsidRPr="00D248D4" w:rsidRDefault="44C448E5" w:rsidP="00473DE9">
      <w:pPr>
        <w:pStyle w:val="Body"/>
        <w:spacing w:after="120"/>
      </w:pPr>
      <w:r>
        <w:t>Premiums are set according to factors such as:</w:t>
      </w:r>
    </w:p>
    <w:p w14:paraId="55C54EB2" w14:textId="77777777" w:rsidR="00250CCF" w:rsidRPr="00D248D4" w:rsidRDefault="44C448E5" w:rsidP="009257CE">
      <w:pPr>
        <w:numPr>
          <w:ilvl w:val="0"/>
          <w:numId w:val="18"/>
        </w:numPr>
        <w:ind w:left="714" w:hanging="357"/>
      </w:pPr>
      <w:r>
        <w:t>benefits paid, historical and forecast, arising from the cost of services and utilisation of services</w:t>
      </w:r>
    </w:p>
    <w:p w14:paraId="0D68DAA2" w14:textId="77777777" w:rsidR="00250CCF" w:rsidRPr="00D248D4" w:rsidRDefault="66D3B874" w:rsidP="009257CE">
      <w:pPr>
        <w:numPr>
          <w:ilvl w:val="0"/>
          <w:numId w:val="18"/>
        </w:numPr>
        <w:ind w:left="714" w:hanging="357"/>
      </w:pPr>
      <w:r>
        <w:t>administrative expenses</w:t>
      </w:r>
    </w:p>
    <w:p w14:paraId="0A9835C6" w14:textId="77777777" w:rsidR="00250CCF" w:rsidRPr="00D248D4" w:rsidRDefault="44C448E5" w:rsidP="009257CE">
      <w:pPr>
        <w:numPr>
          <w:ilvl w:val="0"/>
          <w:numId w:val="18"/>
        </w:numPr>
        <w:ind w:left="714" w:hanging="357"/>
      </w:pPr>
      <w:r>
        <w:t>profit margin</w:t>
      </w:r>
      <w:r w:rsidR="007347A6">
        <w:t>,</w:t>
      </w:r>
      <w:r>
        <w:t xml:space="preserve"> and</w:t>
      </w:r>
    </w:p>
    <w:p w14:paraId="0C5393E5" w14:textId="77777777" w:rsidR="00250CCF" w:rsidRPr="00D248D4" w:rsidRDefault="44C448E5" w:rsidP="009257CE">
      <w:pPr>
        <w:numPr>
          <w:ilvl w:val="0"/>
          <w:numId w:val="18"/>
        </w:numPr>
        <w:ind w:left="714" w:hanging="357"/>
      </w:pPr>
      <w:r>
        <w:t>competition.</w:t>
      </w:r>
    </w:p>
    <w:p w14:paraId="0CAF5ED1" w14:textId="77777777" w:rsidR="00BC5F71" w:rsidRDefault="00BC5F71">
      <w:pPr>
        <w:spacing w:before="0" w:after="0" w:line="240" w:lineRule="auto"/>
        <w:rPr>
          <w:szCs w:val="28"/>
          <w:lang w:val="en-US"/>
        </w:rPr>
      </w:pPr>
      <w:r>
        <w:br w:type="page"/>
      </w:r>
    </w:p>
    <w:p w14:paraId="7D5D7D0C" w14:textId="77777777" w:rsidR="00EE4334" w:rsidRDefault="44C448E5" w:rsidP="00473DE9">
      <w:pPr>
        <w:pStyle w:val="Body"/>
        <w:spacing w:after="120"/>
      </w:pPr>
      <w:r>
        <w:lastRenderedPageBreak/>
        <w:t xml:space="preserve">In circumstances where there are a substantial number of products and coverage combinations, there will generally be </w:t>
      </w:r>
      <w:r w:rsidR="007347A6">
        <w:t>a</w:t>
      </w:r>
      <w:r>
        <w:t xml:space="preserve"> smaller number of people covered by a product. This means fewer people who do not claim benefits to balance against the people who claim benefits, for a particular product</w:t>
      </w:r>
      <w:r w:rsidR="00EE4334">
        <w:t xml:space="preserve"> which will</w:t>
      </w:r>
      <w:r>
        <w:t xml:space="preserve"> likely </w:t>
      </w:r>
      <w:r w:rsidR="00EE4334">
        <w:t>increase:</w:t>
      </w:r>
      <w:r>
        <w:t xml:space="preserve"> </w:t>
      </w:r>
    </w:p>
    <w:p w14:paraId="069332CB" w14:textId="77777777" w:rsidR="00EE4334" w:rsidRDefault="44C448E5" w:rsidP="009257CE">
      <w:pPr>
        <w:numPr>
          <w:ilvl w:val="0"/>
          <w:numId w:val="18"/>
        </w:numPr>
        <w:ind w:left="714" w:hanging="357"/>
      </w:pPr>
      <w:r>
        <w:t>the uncertainty of the forecast benefits</w:t>
      </w:r>
    </w:p>
    <w:p w14:paraId="58104BEB" w14:textId="77777777" w:rsidR="00EE4334" w:rsidRDefault="106FB835" w:rsidP="009257CE">
      <w:pPr>
        <w:numPr>
          <w:ilvl w:val="0"/>
          <w:numId w:val="18"/>
        </w:numPr>
        <w:ind w:left="714" w:hanging="357"/>
      </w:pPr>
      <w:r>
        <w:t>administrative expense burden,</w:t>
      </w:r>
      <w:r w:rsidR="44C448E5">
        <w:t xml:space="preserve"> and </w:t>
      </w:r>
    </w:p>
    <w:p w14:paraId="043D5CBA" w14:textId="77777777" w:rsidR="004F5610" w:rsidRDefault="44C448E5" w:rsidP="009257CE">
      <w:pPr>
        <w:numPr>
          <w:ilvl w:val="0"/>
          <w:numId w:val="18"/>
        </w:numPr>
        <w:ind w:left="714" w:hanging="357"/>
      </w:pPr>
      <w:r>
        <w:t xml:space="preserve">the quantum of the profit margin. </w:t>
      </w:r>
    </w:p>
    <w:p w14:paraId="411B03B1" w14:textId="77777777" w:rsidR="00250CCF" w:rsidRPr="00D248D4" w:rsidRDefault="44C448E5" w:rsidP="00473DE9">
      <w:pPr>
        <w:pStyle w:val="Body"/>
        <w:spacing w:after="120"/>
      </w:pPr>
      <w:r>
        <w:t xml:space="preserve">A simpler product structure offers the opportunity for a broader pool of insured people for a particular product, and downward impact on premium increases for consumers. </w:t>
      </w:r>
    </w:p>
    <w:p w14:paraId="44697903" w14:textId="77777777" w:rsidR="00250CCF" w:rsidRPr="00CD2DBE" w:rsidRDefault="00CD2DBE" w:rsidP="00473DE9">
      <w:pPr>
        <w:pStyle w:val="Body"/>
        <w:spacing w:after="120"/>
        <w:rPr>
          <w:color w:val="auto"/>
        </w:rPr>
      </w:pPr>
      <w:r w:rsidRPr="00CD2DBE">
        <w:rPr>
          <w:color w:val="auto"/>
        </w:rPr>
        <w:t>Th</w:t>
      </w:r>
      <w:r w:rsidR="00250CCF" w:rsidRPr="00CD2DBE">
        <w:rPr>
          <w:color w:val="auto"/>
        </w:rPr>
        <w:t xml:space="preserve">e CEO Forum highlighted </w:t>
      </w:r>
      <w:r w:rsidR="00730578" w:rsidRPr="00CD2DBE">
        <w:rPr>
          <w:color w:val="auto"/>
        </w:rPr>
        <w:t>that</w:t>
      </w:r>
      <w:r w:rsidR="00250CCF" w:rsidRPr="00CD2DBE">
        <w:rPr>
          <w:color w:val="auto"/>
        </w:rPr>
        <w:t xml:space="preserve"> </w:t>
      </w:r>
      <w:r w:rsidR="133CAFB0" w:rsidRPr="00CD2DBE">
        <w:rPr>
          <w:color w:val="auto"/>
        </w:rPr>
        <w:t xml:space="preserve">the product offerings from insurers permitted under </w:t>
      </w:r>
      <w:r w:rsidR="00250CCF" w:rsidRPr="00CD2DBE">
        <w:rPr>
          <w:color w:val="auto"/>
        </w:rPr>
        <w:t xml:space="preserve">PHI product tiers </w:t>
      </w:r>
      <w:r w:rsidR="00EC0168" w:rsidRPr="00CD2DBE">
        <w:rPr>
          <w:color w:val="auto"/>
        </w:rPr>
        <w:t xml:space="preserve">can be </w:t>
      </w:r>
      <w:r w:rsidR="00250CCF" w:rsidRPr="00CD2DBE">
        <w:rPr>
          <w:color w:val="auto"/>
        </w:rPr>
        <w:t xml:space="preserve">unnecessarily complex and </w:t>
      </w:r>
      <w:r w:rsidR="23AF9C98" w:rsidRPr="00CD2DBE">
        <w:rPr>
          <w:color w:val="auto"/>
        </w:rPr>
        <w:t>out</w:t>
      </w:r>
      <w:r w:rsidRPr="00CD2DBE">
        <w:rPr>
          <w:color w:val="auto"/>
        </w:rPr>
        <w:t>-</w:t>
      </w:r>
      <w:r w:rsidR="23AF9C98" w:rsidRPr="00CD2DBE">
        <w:rPr>
          <w:color w:val="auto"/>
        </w:rPr>
        <w:t>of</w:t>
      </w:r>
      <w:r w:rsidRPr="00CD2DBE">
        <w:rPr>
          <w:color w:val="auto"/>
        </w:rPr>
        <w:t>-</w:t>
      </w:r>
      <w:r w:rsidR="23AF9C98" w:rsidRPr="00CD2DBE">
        <w:rPr>
          <w:color w:val="auto"/>
        </w:rPr>
        <w:t>date</w:t>
      </w:r>
      <w:r w:rsidRPr="00CD2DBE">
        <w:rPr>
          <w:color w:val="auto"/>
        </w:rPr>
        <w:t xml:space="preserve"> and </w:t>
      </w:r>
      <w:r w:rsidR="67B5C69F" w:rsidRPr="00CD2DBE">
        <w:rPr>
          <w:color w:val="auto"/>
        </w:rPr>
        <w:t xml:space="preserve">no longer </w:t>
      </w:r>
      <w:r w:rsidRPr="00CD2DBE">
        <w:rPr>
          <w:color w:val="auto"/>
        </w:rPr>
        <w:t>meet</w:t>
      </w:r>
      <w:r w:rsidR="67B5C69F" w:rsidRPr="00CD2DBE">
        <w:rPr>
          <w:color w:val="auto"/>
        </w:rPr>
        <w:t xml:space="preserve"> the need</w:t>
      </w:r>
      <w:r w:rsidR="00823D40" w:rsidRPr="00CD2DBE">
        <w:rPr>
          <w:color w:val="auto"/>
        </w:rPr>
        <w:t>s</w:t>
      </w:r>
      <w:r w:rsidR="67B5C69F" w:rsidRPr="00CD2DBE">
        <w:rPr>
          <w:color w:val="auto"/>
        </w:rPr>
        <w:t xml:space="preserve"> of</w:t>
      </w:r>
      <w:r w:rsidR="00250CCF" w:rsidRPr="00CD2DBE">
        <w:rPr>
          <w:color w:val="auto"/>
        </w:rPr>
        <w:t xml:space="preserve"> consumers and insurers.</w:t>
      </w:r>
    </w:p>
    <w:p w14:paraId="1D544E85" w14:textId="77777777" w:rsidR="00250CCF" w:rsidRDefault="009E1886" w:rsidP="00473DE9">
      <w:pPr>
        <w:pStyle w:val="Body"/>
        <w:spacing w:after="120"/>
      </w:pPr>
      <w:r>
        <w:t>Australian Government</w:t>
      </w:r>
      <w:r w:rsidR="0022100C">
        <w:t xml:space="preserve"> PHI</w:t>
      </w:r>
      <w:r w:rsidR="00250CCF" w:rsidRPr="0053483D">
        <w:t xml:space="preserve"> incentives also influence insurer product design and consumer choice. The structure of </w:t>
      </w:r>
      <w:r w:rsidR="03397378">
        <w:t xml:space="preserve">the </w:t>
      </w:r>
      <w:r w:rsidR="00250CCF" w:rsidRPr="0053483D">
        <w:t>PHI rebate</w:t>
      </w:r>
      <w:r w:rsidR="00CF1111" w:rsidRPr="0053483D">
        <w:t>,</w:t>
      </w:r>
      <w:r w:rsidR="00CF1111">
        <w:t xml:space="preserve"> </w:t>
      </w:r>
      <w:r w:rsidR="00250CCF" w:rsidRPr="0053483D">
        <w:t xml:space="preserve">Lifetime Health Cover (LHC) and Medicare Levy Surcharge (MLS) can affect </w:t>
      </w:r>
      <w:r w:rsidR="754A02EC">
        <w:t xml:space="preserve">the </w:t>
      </w:r>
      <w:r w:rsidR="00250CCF" w:rsidRPr="0053483D">
        <w:t>affordability</w:t>
      </w:r>
      <w:r w:rsidR="482287F1">
        <w:t xml:space="preserve"> and complexity of products</w:t>
      </w:r>
      <w:r w:rsidR="00250CCF" w:rsidRPr="0053483D">
        <w:t>. Recognising the interaction between these incentives and product design is important when considering any future reforms. </w:t>
      </w:r>
    </w:p>
    <w:p w14:paraId="46550368" w14:textId="1F6713D5" w:rsidR="00671707" w:rsidRDefault="6EA042A2" w:rsidP="00651D4E">
      <w:pPr>
        <w:pStyle w:val="Heading3"/>
        <w:numPr>
          <w:ilvl w:val="2"/>
          <w:numId w:val="14"/>
        </w:numPr>
        <w:spacing w:before="240" w:after="120"/>
        <w:rPr>
          <w:b w:val="0"/>
          <w:bCs w:val="0"/>
          <w:i/>
          <w:iCs/>
          <w:sz w:val="28"/>
          <w:szCs w:val="28"/>
        </w:rPr>
      </w:pPr>
      <w:bookmarkStart w:id="67" w:name="_Toc233805047"/>
      <w:r w:rsidRPr="3D1C1472">
        <w:rPr>
          <w:b w:val="0"/>
          <w:bCs w:val="0"/>
          <w:i/>
          <w:iCs/>
          <w:sz w:val="28"/>
          <w:szCs w:val="28"/>
        </w:rPr>
        <w:t xml:space="preserve">Previous changes made to improve </w:t>
      </w:r>
      <w:r w:rsidR="00FF5A98">
        <w:rPr>
          <w:b w:val="0"/>
          <w:bCs w:val="0"/>
          <w:i/>
          <w:iCs/>
          <w:sz w:val="28"/>
          <w:szCs w:val="28"/>
        </w:rPr>
        <w:t xml:space="preserve">PHI </w:t>
      </w:r>
      <w:r w:rsidRPr="3D1C1472">
        <w:rPr>
          <w:b w:val="0"/>
          <w:bCs w:val="0"/>
          <w:i/>
          <w:iCs/>
          <w:sz w:val="28"/>
          <w:szCs w:val="28"/>
        </w:rPr>
        <w:t>product simplification</w:t>
      </w:r>
      <w:bookmarkEnd w:id="67"/>
      <w:r w:rsidRPr="3D1C1472">
        <w:rPr>
          <w:b w:val="0"/>
          <w:bCs w:val="0"/>
          <w:i/>
          <w:iCs/>
          <w:sz w:val="28"/>
          <w:szCs w:val="28"/>
        </w:rPr>
        <w:t> </w:t>
      </w:r>
    </w:p>
    <w:p w14:paraId="4670845F" w14:textId="77777777" w:rsidR="00250CCF" w:rsidRPr="00AD2981" w:rsidRDefault="00250CCF" w:rsidP="00473DE9">
      <w:pPr>
        <w:pStyle w:val="Body"/>
        <w:spacing w:after="120"/>
        <w:rPr>
          <w:color w:val="FF0000"/>
        </w:rPr>
      </w:pPr>
      <w:r w:rsidRPr="005E01BD">
        <w:t>In</w:t>
      </w:r>
      <w:r w:rsidR="008B6181">
        <w:t xml:space="preserve"> </w:t>
      </w:r>
      <w:r w:rsidRPr="005E01BD">
        <w:t>2019, a product tier classification system for hospital treatment products, based on clinical categories,</w:t>
      </w:r>
      <w:r w:rsidR="00761ABF">
        <w:t xml:space="preserve"> </w:t>
      </w:r>
      <w:r w:rsidRPr="005E01BD">
        <w:t xml:space="preserve">was introduced. </w:t>
      </w:r>
      <w:r>
        <w:t>The system offers coverage at</w:t>
      </w:r>
      <w:r w:rsidR="00761ABF">
        <w:t xml:space="preserve"> </w:t>
      </w:r>
      <w:r>
        <w:t>different levels, with</w:t>
      </w:r>
      <w:r w:rsidR="00761ABF">
        <w:t xml:space="preserve"> </w:t>
      </w:r>
      <w:r>
        <w:t>Gold, Silver,</w:t>
      </w:r>
      <w:r w:rsidR="00761ABF">
        <w:t xml:space="preserve"> </w:t>
      </w:r>
      <w:r>
        <w:t>Bronze</w:t>
      </w:r>
      <w:r w:rsidR="00761ABF">
        <w:t xml:space="preserve"> </w:t>
      </w:r>
      <w:r>
        <w:t>and Basic</w:t>
      </w:r>
      <w:r w:rsidR="00761ABF">
        <w:t xml:space="preserve"> </w:t>
      </w:r>
      <w:hyperlink r:id="rId33">
        <w:r w:rsidRPr="58ABDC52">
          <w:rPr>
            <w:rStyle w:val="Hyperlink"/>
          </w:rPr>
          <w:t>product tiers</w:t>
        </w:r>
      </w:hyperlink>
      <w:r>
        <w:t xml:space="preserve">. </w:t>
      </w:r>
      <w:r w:rsidRPr="005E01BD">
        <w:t>The</w:t>
      </w:r>
      <w:r w:rsidR="00761ABF">
        <w:t xml:space="preserve"> </w:t>
      </w:r>
      <w:r w:rsidRPr="005E01BD">
        <w:t xml:space="preserve">intention of </w:t>
      </w:r>
      <w:r w:rsidR="52143434">
        <w:t>product tiers and clinical categories</w:t>
      </w:r>
      <w:r w:rsidR="00761ABF">
        <w:t xml:space="preserve"> </w:t>
      </w:r>
      <w:r w:rsidRPr="005E01BD">
        <w:t xml:space="preserve">was to make </w:t>
      </w:r>
      <w:r>
        <w:t xml:space="preserve">PHI </w:t>
      </w:r>
      <w:r w:rsidR="6D81E7B6">
        <w:t xml:space="preserve">easier to understand </w:t>
      </w:r>
      <w:r w:rsidRPr="005E01BD">
        <w:t>and help people choose the cover that best suits their needs. What is, and is not,</w:t>
      </w:r>
      <w:r w:rsidR="00D03281">
        <w:t xml:space="preserve"> </w:t>
      </w:r>
      <w:r w:rsidRPr="005E01BD">
        <w:t>covered</w:t>
      </w:r>
      <w:r w:rsidR="00D03281">
        <w:t xml:space="preserve"> </w:t>
      </w:r>
      <w:r w:rsidRPr="005E01BD">
        <w:t>for each product tier</w:t>
      </w:r>
      <w:r w:rsidR="00D03281">
        <w:t xml:space="preserve"> </w:t>
      </w:r>
      <w:r w:rsidRPr="005E01BD">
        <w:t>is based on</w:t>
      </w:r>
      <w:r w:rsidR="00D03281">
        <w:t xml:space="preserve"> </w:t>
      </w:r>
      <w:r w:rsidRPr="005E01BD">
        <w:t>minimum</w:t>
      </w:r>
      <w:r w:rsidR="00D03281">
        <w:t xml:space="preserve"> </w:t>
      </w:r>
      <w:r w:rsidRPr="005E01BD">
        <w:t>standard clinical categories. This has ensured consistency in the definitions of</w:t>
      </w:r>
      <w:r w:rsidR="00B33EF0">
        <w:t xml:space="preserve"> </w:t>
      </w:r>
      <w:r w:rsidRPr="005E01BD">
        <w:t>covered</w:t>
      </w:r>
      <w:r w:rsidR="00D03281">
        <w:t xml:space="preserve"> </w:t>
      </w:r>
      <w:r w:rsidRPr="005E01BD">
        <w:t>treatment, allowing consumers to</w:t>
      </w:r>
      <w:r w:rsidR="00B33EF0">
        <w:t xml:space="preserve"> </w:t>
      </w:r>
      <w:r w:rsidRPr="005E01BD">
        <w:t>more easily compare products and transfer</w:t>
      </w:r>
      <w:r w:rsidR="00B33EF0">
        <w:t xml:space="preserve"> </w:t>
      </w:r>
      <w:r w:rsidRPr="005E01BD">
        <w:t xml:space="preserve">between insurers. </w:t>
      </w:r>
      <w:r w:rsidRPr="00CD2DBE">
        <w:rPr>
          <w:color w:val="auto"/>
        </w:rPr>
        <w:t xml:space="preserve">However, the addition of </w:t>
      </w:r>
      <w:r w:rsidR="00BB4FE6" w:rsidRPr="00CD2DBE">
        <w:rPr>
          <w:color w:val="auto"/>
        </w:rPr>
        <w:t>‘</w:t>
      </w:r>
      <w:r w:rsidRPr="00CD2DBE">
        <w:rPr>
          <w:color w:val="auto"/>
        </w:rPr>
        <w:t>plus</w:t>
      </w:r>
      <w:r w:rsidR="00B33EF0" w:rsidRPr="00CD2DBE">
        <w:rPr>
          <w:color w:val="auto"/>
        </w:rPr>
        <w:t xml:space="preserve"> </w:t>
      </w:r>
      <w:r w:rsidRPr="00CD2DBE">
        <w:rPr>
          <w:color w:val="auto"/>
        </w:rPr>
        <w:t>products</w:t>
      </w:r>
      <w:r w:rsidR="00BB4FE6" w:rsidRPr="00CD2DBE">
        <w:rPr>
          <w:color w:val="auto"/>
        </w:rPr>
        <w:t>’</w:t>
      </w:r>
      <w:r w:rsidRPr="00CD2DBE">
        <w:rPr>
          <w:color w:val="auto"/>
        </w:rPr>
        <w:t xml:space="preserve"> has</w:t>
      </w:r>
      <w:r w:rsidR="00B33EF0" w:rsidRPr="00CD2DBE">
        <w:rPr>
          <w:color w:val="auto"/>
        </w:rPr>
        <w:t xml:space="preserve"> </w:t>
      </w:r>
      <w:r w:rsidRPr="00CD2DBE">
        <w:rPr>
          <w:color w:val="auto"/>
        </w:rPr>
        <w:t>introduced a new level of</w:t>
      </w:r>
      <w:r w:rsidR="00B33EF0" w:rsidRPr="00CD2DBE">
        <w:rPr>
          <w:color w:val="auto"/>
        </w:rPr>
        <w:t xml:space="preserve"> complexity </w:t>
      </w:r>
      <w:r w:rsidRPr="00CD2DBE">
        <w:rPr>
          <w:color w:val="auto"/>
        </w:rPr>
        <w:t>to the product tiers</w:t>
      </w:r>
      <w:r w:rsidR="00CD2DBE" w:rsidRPr="00CD2DBE">
        <w:rPr>
          <w:color w:val="auto"/>
        </w:rPr>
        <w:t>. This has</w:t>
      </w:r>
      <w:r w:rsidRPr="00CD2DBE">
        <w:rPr>
          <w:color w:val="auto"/>
        </w:rPr>
        <w:t xml:space="preserve"> resulted in a system that can be difficult to navigate</w:t>
      </w:r>
      <w:r w:rsidR="00B33EF0" w:rsidRPr="00CD2DBE">
        <w:rPr>
          <w:color w:val="auto"/>
        </w:rPr>
        <w:t xml:space="preserve">, </w:t>
      </w:r>
      <w:r w:rsidRPr="00CD2DBE">
        <w:rPr>
          <w:color w:val="auto"/>
        </w:rPr>
        <w:t>limiting the value of PHI and reducing accessibility. </w:t>
      </w:r>
    </w:p>
    <w:p w14:paraId="65931750" w14:textId="1251B541" w:rsidR="00820324" w:rsidRPr="005E01BD" w:rsidRDefault="00250CCF" w:rsidP="00473DE9">
      <w:pPr>
        <w:pStyle w:val="Body"/>
        <w:spacing w:after="120"/>
      </w:pPr>
      <w:r w:rsidRPr="00CD2DBE">
        <w:rPr>
          <w:color w:val="auto"/>
        </w:rPr>
        <w:t xml:space="preserve">In 2024, </w:t>
      </w:r>
      <w:r w:rsidR="009F32DF" w:rsidRPr="00CD2DBE">
        <w:rPr>
          <w:color w:val="auto"/>
        </w:rPr>
        <w:t xml:space="preserve">the </w:t>
      </w:r>
      <w:hyperlink r:id="rId34">
        <w:r w:rsidR="0A1E32F1" w:rsidRPr="5D1BDBF2">
          <w:rPr>
            <w:rStyle w:val="Hyperlink"/>
          </w:rPr>
          <w:t>Clinical Categories Review</w:t>
        </w:r>
      </w:hyperlink>
      <w:r w:rsidR="009F32DF" w:rsidRPr="00AD2981">
        <w:rPr>
          <w:color w:val="FF0000"/>
        </w:rPr>
        <w:t xml:space="preserve"> </w:t>
      </w:r>
      <w:r w:rsidRPr="00CD2DBE">
        <w:rPr>
          <w:color w:val="auto"/>
        </w:rPr>
        <w:t xml:space="preserve">noted the clinical categories </w:t>
      </w:r>
      <w:r w:rsidR="009F32DF" w:rsidRPr="00CD2DBE">
        <w:rPr>
          <w:color w:val="auto"/>
        </w:rPr>
        <w:t xml:space="preserve">assisted </w:t>
      </w:r>
      <w:r w:rsidRPr="00CD2DBE">
        <w:rPr>
          <w:color w:val="auto"/>
        </w:rPr>
        <w:t xml:space="preserve">consumers to better understand the services covered in their policy and to compare products more easily across the market. </w:t>
      </w:r>
      <w:r w:rsidR="009F32DF" w:rsidRPr="00CD2DBE">
        <w:rPr>
          <w:color w:val="auto"/>
        </w:rPr>
        <w:t xml:space="preserve">This </w:t>
      </w:r>
      <w:r w:rsidR="009553B9" w:rsidRPr="00CD2DBE">
        <w:rPr>
          <w:color w:val="auto"/>
        </w:rPr>
        <w:t>r</w:t>
      </w:r>
      <w:r w:rsidRPr="00CD2DBE">
        <w:rPr>
          <w:color w:val="auto"/>
        </w:rPr>
        <w:t xml:space="preserve">eview </w:t>
      </w:r>
      <w:r w:rsidR="009F32DF" w:rsidRPr="00CD2DBE">
        <w:rPr>
          <w:color w:val="auto"/>
        </w:rPr>
        <w:t xml:space="preserve">also identified </w:t>
      </w:r>
      <w:r w:rsidRPr="00CD2DBE">
        <w:rPr>
          <w:color w:val="auto"/>
        </w:rPr>
        <w:t xml:space="preserve">where the categories could be </w:t>
      </w:r>
      <w:r w:rsidRPr="005E01BD">
        <w:t xml:space="preserve">further simplified and improved. </w:t>
      </w:r>
      <w:r w:rsidR="43F682EC">
        <w:t xml:space="preserve">The </w:t>
      </w:r>
      <w:r w:rsidR="03ACBCBF">
        <w:t xml:space="preserve">department will consider </w:t>
      </w:r>
      <w:r w:rsidR="43F682EC">
        <w:t>recommendations</w:t>
      </w:r>
      <w:r w:rsidRPr="005E01BD">
        <w:t xml:space="preserve"> and stakeholder feedback as a part of the broader reform context. </w:t>
      </w:r>
    </w:p>
    <w:p w14:paraId="56F239FE" w14:textId="77777777" w:rsidR="00BF55F7" w:rsidRPr="00AD2981" w:rsidRDefault="00250CCF" w:rsidP="00473DE9">
      <w:pPr>
        <w:pStyle w:val="Body"/>
        <w:spacing w:after="120"/>
        <w:rPr>
          <w:color w:val="FF0000"/>
        </w:rPr>
      </w:pPr>
      <w:r w:rsidRPr="005E01BD">
        <w:t xml:space="preserve">In 2021, reforms extended </w:t>
      </w:r>
      <w:r w:rsidR="0080420B" w:rsidRPr="005E01BD">
        <w:t>the</w:t>
      </w:r>
      <w:r w:rsidR="0080420B">
        <w:t xml:space="preserve"> </w:t>
      </w:r>
      <w:hyperlink r:id="rId35">
        <w:r w:rsidR="45A5AD56" w:rsidRPr="2D2FB95E">
          <w:rPr>
            <w:rStyle w:val="Hyperlink"/>
          </w:rPr>
          <w:t>age of dependants</w:t>
        </w:r>
      </w:hyperlink>
      <w:r w:rsidR="45A5AD56">
        <w:t>.</w:t>
      </w:r>
      <w:r w:rsidRPr="005E01BD">
        <w:t xml:space="preserve"> This </w:t>
      </w:r>
      <w:r w:rsidR="0080420B" w:rsidRPr="005E01BD">
        <w:t>allowed</w:t>
      </w:r>
      <w:r w:rsidR="0080420B">
        <w:t xml:space="preserve"> </w:t>
      </w:r>
      <w:r w:rsidRPr="005E01BD">
        <w:t xml:space="preserve">young adults to remain on a family policy until the age of 31 </w:t>
      </w:r>
      <w:r w:rsidR="00BA28A0" w:rsidRPr="005E01BD">
        <w:t>and</w:t>
      </w:r>
      <w:r w:rsidR="00BA28A0">
        <w:t xml:space="preserve"> </w:t>
      </w:r>
      <w:r w:rsidR="00BA28A0" w:rsidRPr="005E01BD">
        <w:t>removed</w:t>
      </w:r>
      <w:r w:rsidR="00BA28A0">
        <w:t xml:space="preserve"> </w:t>
      </w:r>
      <w:r w:rsidRPr="005E01BD">
        <w:t xml:space="preserve">age </w:t>
      </w:r>
      <w:r w:rsidR="45A5AD56">
        <w:t>restriction</w:t>
      </w:r>
      <w:r w:rsidR="37981D4A">
        <w:t>s</w:t>
      </w:r>
      <w:r w:rsidRPr="005E01BD">
        <w:t xml:space="preserve"> for</w:t>
      </w:r>
      <w:r>
        <w:t xml:space="preserve"> dependants who have a</w:t>
      </w:r>
      <w:r w:rsidRPr="005E01BD">
        <w:t xml:space="preserve"> disability. This change aimed to improve affordability for young adults and families, and to provide continuity of cover.</w:t>
      </w:r>
      <w:r w:rsidR="00CD2DBE">
        <w:t xml:space="preserve"> However, the</w:t>
      </w:r>
      <w:r w:rsidR="007F741C" w:rsidRPr="00AD2981">
        <w:rPr>
          <w:color w:val="FF0000"/>
        </w:rPr>
        <w:t xml:space="preserve"> </w:t>
      </w:r>
      <w:r w:rsidR="007F741C" w:rsidRPr="00CD2DBE">
        <w:rPr>
          <w:color w:val="auto"/>
        </w:rPr>
        <w:t xml:space="preserve">way </w:t>
      </w:r>
      <w:r w:rsidRPr="00CD2DBE">
        <w:rPr>
          <w:color w:val="auto"/>
        </w:rPr>
        <w:t>it was implemented has resulted in unnecessary complexity in the product structure</w:t>
      </w:r>
      <w:r w:rsidR="000A61DD" w:rsidRPr="00CD2DBE">
        <w:rPr>
          <w:color w:val="auto"/>
        </w:rPr>
        <w:t xml:space="preserve"> and</w:t>
      </w:r>
      <w:r w:rsidRPr="00CD2DBE">
        <w:rPr>
          <w:color w:val="auto"/>
        </w:rPr>
        <w:t xml:space="preserve"> insufficient coverage</w:t>
      </w:r>
      <w:r w:rsidR="000A61DD" w:rsidRPr="00CD2DBE">
        <w:rPr>
          <w:color w:val="auto"/>
        </w:rPr>
        <w:t xml:space="preserve"> provided</w:t>
      </w:r>
      <w:r w:rsidRPr="00CD2DBE">
        <w:rPr>
          <w:color w:val="auto"/>
        </w:rPr>
        <w:t xml:space="preserve"> to dependant people with a disability who are aged over 31. </w:t>
      </w:r>
    </w:p>
    <w:p w14:paraId="7123B971" w14:textId="77777777" w:rsidR="00B473E5" w:rsidRDefault="00B473E5">
      <w:pPr>
        <w:spacing w:before="0" w:after="0" w:line="240" w:lineRule="auto"/>
        <w:rPr>
          <w:color w:val="auto"/>
          <w:szCs w:val="28"/>
        </w:rPr>
      </w:pPr>
      <w:r>
        <w:rPr>
          <w:color w:val="auto"/>
        </w:rPr>
        <w:br w:type="page"/>
      </w:r>
    </w:p>
    <w:p w14:paraId="25A7AEA0" w14:textId="77777777" w:rsidR="00250CCF" w:rsidRDefault="00250CCF" w:rsidP="00473DE9">
      <w:pPr>
        <w:pStyle w:val="Body"/>
        <w:spacing w:after="120"/>
        <w:rPr>
          <w:color w:val="auto"/>
          <w:highlight w:val="yellow"/>
        </w:rPr>
      </w:pPr>
      <w:r w:rsidRPr="00CD2DBE">
        <w:rPr>
          <w:color w:val="auto"/>
          <w:lang w:val="en-AU"/>
        </w:rPr>
        <w:lastRenderedPageBreak/>
        <w:t xml:space="preserve">In 2025, the department consulted on proposals to address </w:t>
      </w:r>
      <w:r w:rsidR="0067502C" w:rsidRPr="00CD2DBE">
        <w:rPr>
          <w:color w:val="auto"/>
          <w:lang w:val="en-AU"/>
        </w:rPr>
        <w:t>PHI</w:t>
      </w:r>
      <w:r w:rsidRPr="00CD2DBE">
        <w:rPr>
          <w:color w:val="auto"/>
          <w:lang w:val="en-AU"/>
        </w:rPr>
        <w:t xml:space="preserve"> </w:t>
      </w:r>
      <w:r w:rsidR="0066215C" w:rsidRPr="00CD2DBE">
        <w:rPr>
          <w:color w:val="auto"/>
          <w:lang w:val="en-AU"/>
        </w:rPr>
        <w:t xml:space="preserve">product </w:t>
      </w:r>
      <w:hyperlink r:id="rId36">
        <w:r w:rsidR="45A5AD56" w:rsidRPr="00CD2DBE">
          <w:rPr>
            <w:rStyle w:val="Hyperlink"/>
            <w:lang w:val="en-AU"/>
          </w:rPr>
          <w:t>phoenixing</w:t>
        </w:r>
      </w:hyperlink>
      <w:r w:rsidR="00CD2DBE" w:rsidRPr="00CD2DBE">
        <w:rPr>
          <w:color w:val="auto"/>
          <w:lang w:val="en-AU"/>
        </w:rPr>
        <w:t xml:space="preserve">. Phoenixing </w:t>
      </w:r>
      <w:r w:rsidRPr="00CD2DBE">
        <w:rPr>
          <w:color w:val="auto"/>
          <w:lang w:val="en-AU"/>
        </w:rPr>
        <w:t>involves an insurer closing a product and opening a similar new product at a higher price point, avoiding Ministerial review of price changes</w:t>
      </w:r>
      <w:r w:rsidRPr="00CD2DBE">
        <w:rPr>
          <w:color w:val="auto"/>
        </w:rPr>
        <w:t xml:space="preserve">. Legislation closing the </w:t>
      </w:r>
      <w:r w:rsidRPr="00C010D1">
        <w:t xml:space="preserve">loophole that allows phoenixing and similar behaviour </w:t>
      </w:r>
      <w:r w:rsidRPr="008B4D26">
        <w:rPr>
          <w:color w:val="auto"/>
          <w:lang w:val="en-AU"/>
        </w:rPr>
        <w:t>is progressing through the Parliament.</w:t>
      </w:r>
      <w:r w:rsidRPr="008B4D26">
        <w:rPr>
          <w:rStyle w:val="EndnoteReference"/>
          <w:color w:val="auto"/>
          <w:lang w:val="en-AU"/>
        </w:rPr>
        <w:endnoteReference w:id="15"/>
      </w:r>
      <w:r w:rsidRPr="008B4D26">
        <w:rPr>
          <w:color w:val="auto"/>
        </w:rPr>
        <w:t xml:space="preserve"> Timing for passage of this legislation to protect consumers from unregulated </w:t>
      </w:r>
      <w:r w:rsidR="0067502C" w:rsidRPr="008B4D26">
        <w:rPr>
          <w:color w:val="auto"/>
        </w:rPr>
        <w:t>PHI</w:t>
      </w:r>
      <w:r w:rsidRPr="008B4D26">
        <w:rPr>
          <w:color w:val="auto"/>
        </w:rPr>
        <w:t xml:space="preserve"> premiums is a matter for Parliament.</w:t>
      </w:r>
    </w:p>
    <w:p w14:paraId="2CE2F270" w14:textId="77777777" w:rsidR="003C21A0" w:rsidRPr="00E14339" w:rsidRDefault="000D3A0A" w:rsidP="00473DE9">
      <w:pPr>
        <w:pStyle w:val="Body"/>
        <w:spacing w:after="120"/>
        <w:rPr>
          <w:lang w:val="en-AU"/>
        </w:rPr>
      </w:pPr>
      <w:r w:rsidRPr="00E14339">
        <w:rPr>
          <w:lang w:val="en-AU"/>
        </w:rPr>
        <w:t>The inclusion of maternity in the</w:t>
      </w:r>
      <w:r w:rsidR="006260CB" w:rsidRPr="00E14339">
        <w:rPr>
          <w:lang w:val="en-AU"/>
        </w:rPr>
        <w:t xml:space="preserve"> Gold </w:t>
      </w:r>
      <w:r w:rsidR="00E049EC" w:rsidRPr="00E14339">
        <w:rPr>
          <w:lang w:val="en-AU"/>
        </w:rPr>
        <w:t>classification tier ha</w:t>
      </w:r>
      <w:r w:rsidR="00E14339">
        <w:rPr>
          <w:lang w:val="en-AU"/>
        </w:rPr>
        <w:t xml:space="preserve">s </w:t>
      </w:r>
      <w:r w:rsidR="00F94FF5" w:rsidRPr="00E14339">
        <w:rPr>
          <w:lang w:val="en-AU"/>
        </w:rPr>
        <w:t>resulted in premium pressure for these products</w:t>
      </w:r>
      <w:r w:rsidR="00F94FF5" w:rsidRPr="00EC2C9D">
        <w:rPr>
          <w:color w:val="auto"/>
          <w:lang w:val="en-AU"/>
        </w:rPr>
        <w:t>. Reduced uptake of Gold products</w:t>
      </w:r>
      <w:r w:rsidR="00EC2C9D" w:rsidRPr="00EC2C9D">
        <w:rPr>
          <w:color w:val="auto"/>
          <w:lang w:val="en-AU"/>
        </w:rPr>
        <w:t xml:space="preserve"> and the</w:t>
      </w:r>
      <w:r w:rsidR="00F94FF5" w:rsidRPr="00EC2C9D">
        <w:rPr>
          <w:color w:val="auto"/>
          <w:lang w:val="en-AU"/>
        </w:rPr>
        <w:t xml:space="preserve"> increase in Silver and Bronze products, </w:t>
      </w:r>
      <w:r w:rsidR="00B4088C" w:rsidRPr="00EC2C9D">
        <w:rPr>
          <w:color w:val="auto"/>
          <w:lang w:val="en-AU"/>
        </w:rPr>
        <w:t>means there is a</w:t>
      </w:r>
      <w:r w:rsidR="00F94FF5" w:rsidRPr="00EC2C9D">
        <w:rPr>
          <w:color w:val="auto"/>
          <w:lang w:val="en-AU"/>
        </w:rPr>
        <w:t xml:space="preserve"> growing cohort of policyholders who are not eligible for private health rebates for all treatments. This </w:t>
      </w:r>
      <w:r w:rsidR="00F94FF5" w:rsidRPr="00E14339">
        <w:rPr>
          <w:lang w:val="en-AU"/>
        </w:rPr>
        <w:t xml:space="preserve">results in </w:t>
      </w:r>
      <w:r w:rsidR="00E14339" w:rsidRPr="00E14339">
        <w:rPr>
          <w:lang w:val="en-AU"/>
        </w:rPr>
        <w:t>bill shock and a reliance on the public health system</w:t>
      </w:r>
      <w:r w:rsidR="00553B53">
        <w:rPr>
          <w:lang w:val="en-AU"/>
        </w:rPr>
        <w:t>,</w:t>
      </w:r>
      <w:r w:rsidR="00E14339" w:rsidRPr="00E14339">
        <w:rPr>
          <w:lang w:val="en-AU"/>
        </w:rPr>
        <w:t xml:space="preserve"> further reducing the perceived value of private health insurance.</w:t>
      </w:r>
    </w:p>
    <w:p w14:paraId="197B8303" w14:textId="4A309B4B" w:rsidR="00671707" w:rsidRPr="005E01BD" w:rsidRDefault="00D14068" w:rsidP="00651D4E">
      <w:pPr>
        <w:pStyle w:val="Heading3"/>
        <w:numPr>
          <w:ilvl w:val="2"/>
          <w:numId w:val="14"/>
        </w:numPr>
        <w:spacing w:before="240" w:after="120"/>
        <w:rPr>
          <w:b w:val="0"/>
          <w:bCs w:val="0"/>
          <w:i/>
          <w:iCs/>
          <w:sz w:val="28"/>
          <w:szCs w:val="28"/>
        </w:rPr>
      </w:pPr>
      <w:bookmarkStart w:id="68" w:name="_Toc233805048"/>
      <w:r w:rsidRPr="3D1C1472">
        <w:rPr>
          <w:b w:val="0"/>
          <w:bCs w:val="0"/>
          <w:i/>
          <w:iCs/>
          <w:sz w:val="28"/>
          <w:szCs w:val="28"/>
        </w:rPr>
        <w:t xml:space="preserve">Proposed </w:t>
      </w:r>
      <w:r w:rsidR="330CCAFC" w:rsidRPr="3D1C1472">
        <w:rPr>
          <w:b w:val="0"/>
          <w:bCs w:val="0"/>
          <w:i/>
          <w:iCs/>
          <w:sz w:val="28"/>
          <w:szCs w:val="28"/>
        </w:rPr>
        <w:t xml:space="preserve">reform </w:t>
      </w:r>
      <w:r w:rsidRPr="3D1C1472">
        <w:rPr>
          <w:b w:val="0"/>
          <w:bCs w:val="0"/>
          <w:i/>
          <w:iCs/>
          <w:sz w:val="28"/>
          <w:szCs w:val="28"/>
        </w:rPr>
        <w:t xml:space="preserve">initiatives </w:t>
      </w:r>
      <w:r w:rsidR="330CCAFC" w:rsidRPr="3D1C1472">
        <w:rPr>
          <w:b w:val="0"/>
          <w:bCs w:val="0"/>
          <w:i/>
          <w:iCs/>
          <w:sz w:val="28"/>
          <w:szCs w:val="28"/>
        </w:rPr>
        <w:t xml:space="preserve">to </w:t>
      </w:r>
      <w:r w:rsidR="00F76543">
        <w:rPr>
          <w:b w:val="0"/>
          <w:bCs w:val="0"/>
          <w:i/>
          <w:iCs/>
          <w:sz w:val="28"/>
          <w:szCs w:val="28"/>
        </w:rPr>
        <w:t xml:space="preserve">PHI </w:t>
      </w:r>
      <w:r w:rsidR="330CCAFC" w:rsidRPr="3D1C1472">
        <w:rPr>
          <w:b w:val="0"/>
          <w:bCs w:val="0"/>
          <w:i/>
          <w:iCs/>
          <w:sz w:val="28"/>
          <w:szCs w:val="28"/>
        </w:rPr>
        <w:t>product simplification</w:t>
      </w:r>
      <w:r w:rsidR="716A3268" w:rsidRPr="3D1C1472">
        <w:rPr>
          <w:b w:val="0"/>
          <w:bCs w:val="0"/>
          <w:i/>
          <w:iCs/>
          <w:sz w:val="28"/>
          <w:szCs w:val="28"/>
        </w:rPr>
        <w:t>, sustainability, and affordability</w:t>
      </w:r>
      <w:bookmarkEnd w:id="68"/>
    </w:p>
    <w:p w14:paraId="325DD924" w14:textId="77777777" w:rsidR="00250CCF" w:rsidRDefault="00250CCF" w:rsidP="00473DE9">
      <w:pPr>
        <w:pStyle w:val="Body"/>
        <w:spacing w:after="120"/>
      </w:pPr>
      <w:r>
        <w:t>There are still significant steps that could be taken to ease the burden on both consumers and insurers when it comes to product simplification</w:t>
      </w:r>
      <w:r w:rsidR="4BCA7454">
        <w:t xml:space="preserve">, sustainability, and </w:t>
      </w:r>
      <w:r w:rsidR="0084048D">
        <w:t>affordability</w:t>
      </w:r>
      <w:r w:rsidR="00186A67">
        <w:t xml:space="preserve">. </w:t>
      </w:r>
      <w:r w:rsidR="007B120D">
        <w:t>R</w:t>
      </w:r>
      <w:r w:rsidR="00D14068">
        <w:t xml:space="preserve">eform initiatives </w:t>
      </w:r>
      <w:r w:rsidR="007B120D">
        <w:t>proposed for implementation</w:t>
      </w:r>
      <w:r w:rsidR="00D14068">
        <w:t xml:space="preserve"> </w:t>
      </w:r>
      <w:r>
        <w:t>includ</w:t>
      </w:r>
      <w:r w:rsidR="008F4E52">
        <w:t>e</w:t>
      </w:r>
      <w:r w:rsidR="03C5F559">
        <w:t>,</w:t>
      </w:r>
      <w:r>
        <w:t xml:space="preserve"> but </w:t>
      </w:r>
      <w:r w:rsidR="008F4E52">
        <w:t xml:space="preserve">are </w:t>
      </w:r>
      <w:r>
        <w:t>not limited to:</w:t>
      </w:r>
    </w:p>
    <w:p w14:paraId="556005C1" w14:textId="77777777" w:rsidR="00250CCF" w:rsidRDefault="006545D5" w:rsidP="009257CE">
      <w:pPr>
        <w:pStyle w:val="Body"/>
        <w:numPr>
          <w:ilvl w:val="0"/>
          <w:numId w:val="11"/>
        </w:numPr>
        <w:spacing w:after="120"/>
        <w:ind w:left="714" w:hanging="357"/>
      </w:pPr>
      <w:r>
        <w:t xml:space="preserve">Initiative 1: </w:t>
      </w:r>
      <w:r w:rsidR="00250CCF">
        <w:t>simplifying product structure</w:t>
      </w:r>
    </w:p>
    <w:p w14:paraId="5FC9A87C" w14:textId="77777777" w:rsidR="00250CCF" w:rsidRDefault="006545D5" w:rsidP="009257CE">
      <w:pPr>
        <w:pStyle w:val="Body"/>
        <w:numPr>
          <w:ilvl w:val="0"/>
          <w:numId w:val="11"/>
        </w:numPr>
        <w:spacing w:after="120"/>
        <w:ind w:left="714" w:hanging="357"/>
      </w:pPr>
      <w:r>
        <w:t xml:space="preserve">Initiative 2: </w:t>
      </w:r>
      <w:r w:rsidR="00250CCF">
        <w:t>standardis</w:t>
      </w:r>
      <w:r w:rsidR="008905A3">
        <w:t>ing</w:t>
      </w:r>
      <w:r w:rsidR="00250CCF">
        <w:t xml:space="preserve"> the age threshold and associated eligibility for depend</w:t>
      </w:r>
      <w:r w:rsidR="00C9249D">
        <w:t>a</w:t>
      </w:r>
      <w:r w:rsidR="00250CCF">
        <w:t>nts</w:t>
      </w:r>
    </w:p>
    <w:p w14:paraId="5651820D" w14:textId="77777777" w:rsidR="00250CCF" w:rsidRDefault="006545D5" w:rsidP="009257CE">
      <w:pPr>
        <w:pStyle w:val="Body"/>
        <w:numPr>
          <w:ilvl w:val="0"/>
          <w:numId w:val="11"/>
        </w:numPr>
        <w:spacing w:after="120"/>
        <w:ind w:left="714" w:hanging="357"/>
      </w:pPr>
      <w:r>
        <w:t xml:space="preserve">Initiative 3: </w:t>
      </w:r>
      <w:r w:rsidR="00250CCF">
        <w:t>excess and co-payment standardisation, and</w:t>
      </w:r>
    </w:p>
    <w:p w14:paraId="0FF700DF" w14:textId="77777777" w:rsidR="00250CCF" w:rsidRDefault="006545D5" w:rsidP="009257CE">
      <w:pPr>
        <w:pStyle w:val="Body"/>
        <w:numPr>
          <w:ilvl w:val="0"/>
          <w:numId w:val="11"/>
        </w:numPr>
        <w:spacing w:after="120"/>
        <w:ind w:left="714" w:hanging="357"/>
      </w:pPr>
      <w:r>
        <w:t xml:space="preserve">Initiative 4: </w:t>
      </w:r>
      <w:r w:rsidR="00250CCF">
        <w:t>ensuring consistency across premium structures.</w:t>
      </w:r>
    </w:p>
    <w:p w14:paraId="11E91DD1" w14:textId="77777777" w:rsidR="00250CCF" w:rsidRDefault="00250CCF" w:rsidP="00C3146F">
      <w:pPr>
        <w:pStyle w:val="Body"/>
      </w:pPr>
      <w:r>
        <w:t xml:space="preserve">Each of the possible </w:t>
      </w:r>
      <w:r w:rsidR="00D14068">
        <w:t>proposed reform initiatives</w:t>
      </w:r>
      <w:r>
        <w:t xml:space="preserve"> is outlined below, noting that some </w:t>
      </w:r>
      <w:r w:rsidR="00D14068">
        <w:t xml:space="preserve">initiatives </w:t>
      </w:r>
      <w:r>
        <w:t>may conflict with others.</w:t>
      </w:r>
      <w:r w:rsidR="00C3146F">
        <w:t xml:space="preserve"> Stakeholders should note that this </w:t>
      </w:r>
      <w:r w:rsidR="00C3146F" w:rsidRPr="00C3146F">
        <w:t>is the initial tranche of consultation on product simplification which will be used to inform independent technical expertise prior to further consultation.</w:t>
      </w:r>
    </w:p>
    <w:p w14:paraId="3729943F" w14:textId="4B268D8E" w:rsidR="00250CCF" w:rsidRPr="008926E0" w:rsidRDefault="00D14068" w:rsidP="008926E0">
      <w:pPr>
        <w:pStyle w:val="Body"/>
        <w:spacing w:before="240" w:after="120"/>
        <w:rPr>
          <w:rFonts w:cs="Arial"/>
          <w:b/>
          <w:bCs/>
          <w:iCs/>
          <w:color w:val="358189"/>
          <w:szCs w:val="22"/>
          <w:u w:val="single"/>
        </w:rPr>
      </w:pPr>
      <w:r w:rsidRPr="008926E0">
        <w:rPr>
          <w:rFonts w:cs="Arial"/>
          <w:b/>
          <w:bCs/>
          <w:iCs/>
          <w:color w:val="358189"/>
          <w:szCs w:val="22"/>
          <w:u w:val="single"/>
        </w:rPr>
        <w:t xml:space="preserve">Initiative </w:t>
      </w:r>
      <w:r w:rsidR="00453818" w:rsidRPr="008926E0">
        <w:rPr>
          <w:rFonts w:cs="Arial"/>
          <w:b/>
          <w:bCs/>
          <w:iCs/>
          <w:color w:val="358189"/>
          <w:szCs w:val="22"/>
          <w:u w:val="single"/>
        </w:rPr>
        <w:t xml:space="preserve">1: </w:t>
      </w:r>
      <w:r w:rsidR="00250CCF" w:rsidRPr="008926E0">
        <w:rPr>
          <w:rFonts w:cs="Arial"/>
          <w:b/>
          <w:bCs/>
          <w:iCs/>
          <w:color w:val="358189"/>
          <w:szCs w:val="22"/>
          <w:u w:val="single"/>
        </w:rPr>
        <w:t>Simplifying</w:t>
      </w:r>
      <w:r w:rsidR="00F76543" w:rsidRPr="008926E0">
        <w:rPr>
          <w:rFonts w:cs="Arial"/>
          <w:b/>
          <w:bCs/>
          <w:iCs/>
          <w:color w:val="358189"/>
          <w:szCs w:val="22"/>
          <w:u w:val="single"/>
        </w:rPr>
        <w:t xml:space="preserve"> PHI</w:t>
      </w:r>
      <w:r w:rsidR="00250CCF" w:rsidRPr="008926E0">
        <w:rPr>
          <w:rFonts w:cs="Arial"/>
          <w:b/>
          <w:bCs/>
          <w:iCs/>
          <w:color w:val="358189"/>
          <w:szCs w:val="22"/>
          <w:u w:val="single"/>
        </w:rPr>
        <w:t xml:space="preserve"> product structure</w:t>
      </w:r>
    </w:p>
    <w:p w14:paraId="51290D00" w14:textId="77777777" w:rsidR="00250CCF" w:rsidRDefault="00250CCF" w:rsidP="00473DE9">
      <w:pPr>
        <w:pStyle w:val="Body"/>
        <w:spacing w:after="120"/>
        <w:rPr>
          <w:b/>
        </w:rPr>
      </w:pPr>
      <w:r>
        <w:t>There are an estimated 5,</w:t>
      </w:r>
      <w:r w:rsidR="5600CCC0">
        <w:t>0</w:t>
      </w:r>
      <w:r>
        <w:t xml:space="preserve">00 different PHI products on the Australian market for consumers to select from. This makes the process of choosing a health insurance product unnecessarily complex and confusing </w:t>
      </w:r>
      <w:r w:rsidR="008905A3">
        <w:t>for</w:t>
      </w:r>
      <w:r>
        <w:t xml:space="preserve"> consumers.</w:t>
      </w:r>
    </w:p>
    <w:p w14:paraId="2EE4AA38" w14:textId="14B8AF27" w:rsidR="00250CCF" w:rsidRDefault="00250CCF" w:rsidP="00473DE9">
      <w:pPr>
        <w:pStyle w:val="Body"/>
        <w:spacing w:after="120"/>
        <w:rPr>
          <w:b/>
        </w:rPr>
      </w:pPr>
      <w:r>
        <w:t xml:space="preserve">Additionally, products tiers that provide a minimum coverage amount (e.g. </w:t>
      </w:r>
      <w:r w:rsidRPr="00EC2C9D">
        <w:rPr>
          <w:color w:val="auto"/>
        </w:rPr>
        <w:t xml:space="preserve">Basic products) </w:t>
      </w:r>
      <w:r w:rsidR="00EC2C9D" w:rsidRPr="00EC2C9D">
        <w:rPr>
          <w:color w:val="auto"/>
        </w:rPr>
        <w:t xml:space="preserve">often have </w:t>
      </w:r>
      <w:r w:rsidR="006F37D7" w:rsidRPr="00EC2C9D">
        <w:rPr>
          <w:color w:val="auto"/>
        </w:rPr>
        <w:t>limited coverage</w:t>
      </w:r>
      <w:r w:rsidR="00EE74E9">
        <w:rPr>
          <w:color w:val="auto"/>
        </w:rPr>
        <w:t>.</w:t>
      </w:r>
      <w:r w:rsidR="007630B1" w:rsidRPr="00EC2C9D">
        <w:rPr>
          <w:color w:val="auto"/>
        </w:rPr>
        <w:t xml:space="preserve"> </w:t>
      </w:r>
      <w:r w:rsidR="00EE74E9">
        <w:rPr>
          <w:color w:val="auto"/>
        </w:rPr>
        <w:t>T</w:t>
      </w:r>
      <w:r w:rsidR="007630B1" w:rsidRPr="00EC2C9D">
        <w:rPr>
          <w:color w:val="auto"/>
        </w:rPr>
        <w:t xml:space="preserve">hese products </w:t>
      </w:r>
      <w:r w:rsidR="00950093">
        <w:rPr>
          <w:color w:val="auto"/>
        </w:rPr>
        <w:t xml:space="preserve">often </w:t>
      </w:r>
      <w:r w:rsidR="007630B1" w:rsidRPr="00EC2C9D">
        <w:rPr>
          <w:color w:val="auto"/>
        </w:rPr>
        <w:t>offer and</w:t>
      </w:r>
      <w:r w:rsidR="00F337D6" w:rsidRPr="00EC2C9D">
        <w:rPr>
          <w:color w:val="auto"/>
        </w:rPr>
        <w:t>/or</w:t>
      </w:r>
      <w:r w:rsidR="006F37D7" w:rsidRPr="00EC2C9D">
        <w:rPr>
          <w:color w:val="auto"/>
        </w:rPr>
        <w:t xml:space="preserve"> </w:t>
      </w:r>
      <w:r w:rsidR="00950093">
        <w:rPr>
          <w:color w:val="auto"/>
        </w:rPr>
        <w:t xml:space="preserve">have </w:t>
      </w:r>
      <w:r w:rsidRPr="00EC2C9D">
        <w:rPr>
          <w:color w:val="auto"/>
        </w:rPr>
        <w:t xml:space="preserve">higher out-of-pocket costs </w:t>
      </w:r>
      <w:r w:rsidR="00721A40" w:rsidRPr="00EC2C9D">
        <w:rPr>
          <w:color w:val="auto"/>
        </w:rPr>
        <w:t xml:space="preserve">if they </w:t>
      </w:r>
      <w:r w:rsidR="00673241" w:rsidRPr="00EC2C9D">
        <w:rPr>
          <w:color w:val="auto"/>
        </w:rPr>
        <w:t xml:space="preserve">require hospital </w:t>
      </w:r>
      <w:r w:rsidR="005C74B3" w:rsidRPr="00EC2C9D">
        <w:rPr>
          <w:color w:val="auto"/>
        </w:rPr>
        <w:t>care</w:t>
      </w:r>
      <w:r w:rsidRPr="00EC2C9D">
        <w:rPr>
          <w:color w:val="auto"/>
        </w:rPr>
        <w:t xml:space="preserve">. This not only causes </w:t>
      </w:r>
      <w:r w:rsidR="00EC2C9D" w:rsidRPr="00EC2C9D">
        <w:rPr>
          <w:color w:val="auto"/>
        </w:rPr>
        <w:t xml:space="preserve">consumer </w:t>
      </w:r>
      <w:r w:rsidRPr="00EC2C9D">
        <w:rPr>
          <w:color w:val="auto"/>
        </w:rPr>
        <w:t>confusion</w:t>
      </w:r>
      <w:r w:rsidR="00EC2C9D" w:rsidRPr="00EC2C9D">
        <w:rPr>
          <w:color w:val="auto"/>
        </w:rPr>
        <w:t xml:space="preserve"> about and lack of confidence in the value of PHI. It </w:t>
      </w:r>
      <w:r w:rsidRPr="00EC2C9D">
        <w:rPr>
          <w:color w:val="auto"/>
        </w:rPr>
        <w:t>also undermines the objective of reducing pressure on public hospitals</w:t>
      </w:r>
      <w:r>
        <w:t>.</w:t>
      </w:r>
    </w:p>
    <w:p w14:paraId="1562EB6E" w14:textId="77777777" w:rsidR="00250CCF" w:rsidRPr="00AD2981" w:rsidRDefault="00250CCF" w:rsidP="00473DE9">
      <w:pPr>
        <w:pStyle w:val="Body"/>
        <w:spacing w:after="120"/>
        <w:rPr>
          <w:b/>
          <w:bCs/>
          <w:color w:val="FF0000"/>
        </w:rPr>
      </w:pPr>
      <w:r>
        <w:t>Further, some hospital</w:t>
      </w:r>
      <w:r w:rsidR="00C24FDE">
        <w:t xml:space="preserve"> </w:t>
      </w:r>
      <w:r w:rsidRPr="00EC2C9D">
        <w:rPr>
          <w:color w:val="auto"/>
        </w:rPr>
        <w:t xml:space="preserve">treatment </w:t>
      </w:r>
      <w:r w:rsidR="00C24FDE" w:rsidRPr="00EC2C9D">
        <w:rPr>
          <w:color w:val="auto"/>
        </w:rPr>
        <w:t xml:space="preserve">products </w:t>
      </w:r>
      <w:r w:rsidRPr="00EC2C9D">
        <w:rPr>
          <w:color w:val="auto"/>
        </w:rPr>
        <w:t xml:space="preserve">appear to </w:t>
      </w:r>
      <w:r w:rsidR="00C24FDE" w:rsidRPr="00EC2C9D">
        <w:rPr>
          <w:color w:val="auto"/>
        </w:rPr>
        <w:t xml:space="preserve">provide </w:t>
      </w:r>
      <w:r w:rsidRPr="00EC2C9D">
        <w:rPr>
          <w:color w:val="auto"/>
        </w:rPr>
        <w:t xml:space="preserve">benefits </w:t>
      </w:r>
      <w:r w:rsidR="00C24FDE" w:rsidRPr="00EC2C9D">
        <w:rPr>
          <w:color w:val="auto"/>
        </w:rPr>
        <w:t>for</w:t>
      </w:r>
      <w:r w:rsidR="003E6B83" w:rsidRPr="00EC2C9D">
        <w:rPr>
          <w:color w:val="auto"/>
        </w:rPr>
        <w:t xml:space="preserve"> excluded</w:t>
      </w:r>
      <w:r w:rsidR="00C24FDE" w:rsidRPr="00EC2C9D">
        <w:rPr>
          <w:color w:val="auto"/>
        </w:rPr>
        <w:t xml:space="preserve"> </w:t>
      </w:r>
      <w:r w:rsidRPr="00EC2C9D">
        <w:rPr>
          <w:color w:val="auto"/>
        </w:rPr>
        <w:t xml:space="preserve">general treatment </w:t>
      </w:r>
      <w:r w:rsidR="00C24FDE" w:rsidRPr="00EC2C9D">
        <w:rPr>
          <w:color w:val="auto"/>
        </w:rPr>
        <w:t xml:space="preserve">services </w:t>
      </w:r>
      <w:r w:rsidRPr="00EC2C9D">
        <w:rPr>
          <w:color w:val="auto"/>
        </w:rPr>
        <w:t>(e.g</w:t>
      </w:r>
      <w:r w:rsidR="00C24FDE" w:rsidRPr="00EC2C9D">
        <w:rPr>
          <w:color w:val="auto"/>
        </w:rPr>
        <w:t xml:space="preserve">. </w:t>
      </w:r>
      <w:r w:rsidRPr="00EC2C9D">
        <w:rPr>
          <w:color w:val="auto"/>
        </w:rPr>
        <w:t>ambulance</w:t>
      </w:r>
      <w:r w:rsidR="009F2D05" w:rsidRPr="00EC2C9D">
        <w:rPr>
          <w:color w:val="auto"/>
        </w:rPr>
        <w:t>,</w:t>
      </w:r>
      <w:r w:rsidRPr="00EC2C9D">
        <w:rPr>
          <w:color w:val="auto"/>
        </w:rPr>
        <w:t xml:space="preserve"> emergency department</w:t>
      </w:r>
      <w:r w:rsidR="009F2D05" w:rsidRPr="00EC2C9D">
        <w:rPr>
          <w:color w:val="auto"/>
        </w:rPr>
        <w:t xml:space="preserve"> and</w:t>
      </w:r>
      <w:r w:rsidRPr="00EC2C9D">
        <w:rPr>
          <w:color w:val="auto"/>
        </w:rPr>
        <w:t xml:space="preserve"> </w:t>
      </w:r>
      <w:r w:rsidR="003B03C1" w:rsidRPr="00EC2C9D">
        <w:rPr>
          <w:color w:val="auto"/>
        </w:rPr>
        <w:t>hospital substitute</w:t>
      </w:r>
      <w:r w:rsidRPr="00EC2C9D">
        <w:rPr>
          <w:color w:val="auto"/>
        </w:rPr>
        <w:t>)</w:t>
      </w:r>
      <w:r w:rsidR="00EC2C9D" w:rsidRPr="00EC2C9D">
        <w:rPr>
          <w:color w:val="auto"/>
        </w:rPr>
        <w:t>. This can</w:t>
      </w:r>
      <w:r w:rsidRPr="00EC2C9D">
        <w:rPr>
          <w:color w:val="auto"/>
        </w:rPr>
        <w:t xml:space="preserve"> </w:t>
      </w:r>
      <w:r w:rsidR="00C24FDE" w:rsidRPr="00EC2C9D">
        <w:rPr>
          <w:color w:val="auto"/>
        </w:rPr>
        <w:t>create</w:t>
      </w:r>
      <w:r w:rsidR="00EC2C9D" w:rsidRPr="00EC2C9D">
        <w:rPr>
          <w:color w:val="auto"/>
        </w:rPr>
        <w:t xml:space="preserve"> further</w:t>
      </w:r>
      <w:r w:rsidR="00C24FDE" w:rsidRPr="00EC2C9D">
        <w:rPr>
          <w:color w:val="auto"/>
        </w:rPr>
        <w:t xml:space="preserve"> confusion </w:t>
      </w:r>
      <w:r w:rsidRPr="00EC2C9D">
        <w:rPr>
          <w:color w:val="auto"/>
        </w:rPr>
        <w:t xml:space="preserve">for </w:t>
      </w:r>
      <w:r w:rsidR="00C24FDE" w:rsidRPr="00EC2C9D">
        <w:rPr>
          <w:color w:val="auto"/>
        </w:rPr>
        <w:t xml:space="preserve">consumers about </w:t>
      </w:r>
      <w:r w:rsidRPr="00EC2C9D">
        <w:rPr>
          <w:color w:val="auto"/>
        </w:rPr>
        <w:t>the scope of services they are covered</w:t>
      </w:r>
      <w:r w:rsidR="00EC2C9D" w:rsidRPr="00EC2C9D">
        <w:rPr>
          <w:color w:val="auto"/>
        </w:rPr>
        <w:t xml:space="preserve"> for</w:t>
      </w:r>
      <w:r w:rsidR="00C24FDE" w:rsidRPr="00EC2C9D">
        <w:rPr>
          <w:color w:val="auto"/>
        </w:rPr>
        <w:t xml:space="preserve"> and </w:t>
      </w:r>
      <w:r w:rsidRPr="00EC2C9D">
        <w:rPr>
          <w:color w:val="auto"/>
        </w:rPr>
        <w:t xml:space="preserve">whether they are covered by a </w:t>
      </w:r>
      <w:r w:rsidR="00B14628" w:rsidRPr="00EC2C9D">
        <w:rPr>
          <w:color w:val="auto"/>
        </w:rPr>
        <w:t>hospital-</w:t>
      </w:r>
      <w:r w:rsidRPr="00EC2C9D">
        <w:rPr>
          <w:color w:val="auto"/>
        </w:rPr>
        <w:t>only product or combined product.</w:t>
      </w:r>
    </w:p>
    <w:p w14:paraId="70C29C0C" w14:textId="77777777" w:rsidR="00F42CE6" w:rsidRDefault="00F42CE6">
      <w:pPr>
        <w:spacing w:before="0" w:after="0" w:line="240" w:lineRule="auto"/>
        <w:rPr>
          <w:szCs w:val="28"/>
          <w:lang w:val="en-US"/>
        </w:rPr>
      </w:pPr>
      <w:r>
        <w:br w:type="page"/>
      </w:r>
    </w:p>
    <w:p w14:paraId="0EEEA093" w14:textId="328699AF" w:rsidR="7A4295D7" w:rsidRDefault="7A4295D7" w:rsidP="00473DE9">
      <w:pPr>
        <w:pStyle w:val="Body"/>
        <w:spacing w:after="120"/>
      </w:pPr>
      <w:r>
        <w:lastRenderedPageBreak/>
        <w:t xml:space="preserve">A simplified product structure may provide consumers with more confidence about purchasing and retaining private health insurance. A larger and broader pool of insured people for </w:t>
      </w:r>
      <w:r w:rsidR="369CDFD9">
        <w:t xml:space="preserve">a smaller range of unique </w:t>
      </w:r>
      <w:r>
        <w:t>product</w:t>
      </w:r>
      <w:r w:rsidR="67E51945">
        <w:t>s</w:t>
      </w:r>
      <w:r w:rsidR="19222B22">
        <w:t xml:space="preserve"> can facilitate a </w:t>
      </w:r>
      <w:r>
        <w:t>downward impact on premium increases for consumers</w:t>
      </w:r>
      <w:r w:rsidR="00B872D9">
        <w:t>.</w:t>
      </w:r>
    </w:p>
    <w:tbl>
      <w:tblPr>
        <w:tblStyle w:val="DepartmentofHealthtable"/>
        <w:tblW w:w="9951" w:type="dxa"/>
        <w:tblInd w:w="-289" w:type="dxa"/>
        <w:tblBorders>
          <w:left w:val="single" w:sz="4" w:space="0" w:color="auto"/>
          <w:right w:val="single" w:sz="4" w:space="0" w:color="auto"/>
          <w:insideH w:val="none" w:sz="0" w:space="0" w:color="auto"/>
        </w:tblBorders>
        <w:tblLayout w:type="fixed"/>
        <w:tblLook w:val="04A0" w:firstRow="1" w:lastRow="0" w:firstColumn="1" w:lastColumn="0" w:noHBand="0" w:noVBand="1"/>
        <w:tblDescription w:val="Add Alt Text describing the content of the table"/>
      </w:tblPr>
      <w:tblGrid>
        <w:gridCol w:w="4975"/>
        <w:gridCol w:w="4976"/>
      </w:tblGrid>
      <w:tr w:rsidR="002C398F" w:rsidRPr="001070A6" w14:paraId="626B2C5A"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51" w:type="dxa"/>
            <w:gridSpan w:val="2"/>
            <w:tcBorders>
              <w:top w:val="single" w:sz="4" w:space="0" w:color="auto"/>
              <w:bottom w:val="single" w:sz="4" w:space="0" w:color="FFFFFF" w:themeColor="background1"/>
            </w:tcBorders>
          </w:tcPr>
          <w:p w14:paraId="7392D10F" w14:textId="239A1210" w:rsidR="002C398F" w:rsidRPr="001070A6" w:rsidRDefault="00123190" w:rsidP="00473DE9">
            <w:pPr>
              <w:pStyle w:val="TableHeader"/>
              <w:spacing w:before="120" w:after="120"/>
              <w:rPr>
                <w:sz w:val="20"/>
                <w:szCs w:val="20"/>
              </w:rPr>
            </w:pPr>
            <w:r>
              <w:rPr>
                <w:bCs/>
                <w:iCs/>
                <w:sz w:val="20"/>
                <w:szCs w:val="20"/>
              </w:rPr>
              <w:t xml:space="preserve">PHI </w:t>
            </w:r>
            <w:r w:rsidR="001F312C">
              <w:rPr>
                <w:bCs/>
                <w:iCs/>
                <w:sz w:val="20"/>
                <w:szCs w:val="20"/>
              </w:rPr>
              <w:t>Product Simplification</w:t>
            </w:r>
            <w:r w:rsidR="002C398F">
              <w:rPr>
                <w:bCs/>
                <w:iCs/>
                <w:sz w:val="20"/>
                <w:szCs w:val="20"/>
              </w:rPr>
              <w:t xml:space="preserve"> Reform </w:t>
            </w:r>
            <w:r w:rsidR="002C398F" w:rsidRPr="00DF78E1">
              <w:rPr>
                <w:sz w:val="20"/>
                <w:szCs w:val="20"/>
              </w:rPr>
              <w:t>Initiative 1: Simplifying product structure</w:t>
            </w:r>
          </w:p>
        </w:tc>
      </w:tr>
      <w:tr w:rsidR="00250CCF" w:rsidRPr="001070A6" w14:paraId="7FE1BBF0"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75" w:type="dxa"/>
            <w:tcBorders>
              <w:top w:val="single" w:sz="4" w:space="0" w:color="FFFFFF" w:themeColor="background1"/>
            </w:tcBorders>
          </w:tcPr>
          <w:p w14:paraId="449154EF" w14:textId="77777777" w:rsidR="00250CCF" w:rsidRPr="001070A6" w:rsidRDefault="00250CCF" w:rsidP="00473DE9">
            <w:pPr>
              <w:pStyle w:val="TableHeaderWhite"/>
              <w:spacing w:before="120" w:after="120"/>
              <w:rPr>
                <w:sz w:val="20"/>
                <w:szCs w:val="20"/>
              </w:rPr>
            </w:pPr>
            <w:r w:rsidRPr="001070A6">
              <w:rPr>
                <w:sz w:val="20"/>
                <w:szCs w:val="20"/>
              </w:rPr>
              <w:t>Possible solution/s</w:t>
            </w:r>
          </w:p>
        </w:tc>
        <w:tc>
          <w:tcPr>
            <w:tcW w:w="4976" w:type="dxa"/>
            <w:tcBorders>
              <w:top w:val="single" w:sz="4" w:space="0" w:color="FFFFFF" w:themeColor="background1"/>
            </w:tcBorders>
          </w:tcPr>
          <w:p w14:paraId="16741F4E" w14:textId="77777777" w:rsidR="00250CCF" w:rsidRPr="001070A6" w:rsidRDefault="00250CCF" w:rsidP="00473DE9">
            <w:pPr>
              <w:pStyle w:val="TableHeade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1070A6">
              <w:rPr>
                <w:sz w:val="20"/>
                <w:szCs w:val="20"/>
              </w:rPr>
              <w:t>Impact/s</w:t>
            </w:r>
          </w:p>
        </w:tc>
      </w:tr>
      <w:tr w:rsidR="00250CCF" w:rsidRPr="001070A6" w14:paraId="471F833D" w14:textId="77777777" w:rsidTr="00BC5D5D">
        <w:trPr>
          <w:cnfStyle w:val="000000100000" w:firstRow="0" w:lastRow="0" w:firstColumn="0" w:lastColumn="0" w:oddVBand="0" w:evenVBand="0" w:oddHBand="1" w:evenHBand="0" w:firstRowFirstColumn="0" w:firstRowLastColumn="0" w:lastRowFirstColumn="0" w:lastRowLastColumn="0"/>
          <w:trHeight w:val="3638"/>
        </w:trPr>
        <w:tc>
          <w:tcPr>
            <w:cnfStyle w:val="001000000000" w:firstRow="0" w:lastRow="0" w:firstColumn="1" w:lastColumn="0" w:oddVBand="0" w:evenVBand="0" w:oddHBand="0" w:evenHBand="0" w:firstRowFirstColumn="0" w:firstRowLastColumn="0" w:lastRowFirstColumn="0" w:lastRowLastColumn="0"/>
            <w:tcW w:w="4975" w:type="dxa"/>
            <w:shd w:val="clear" w:color="auto" w:fill="auto"/>
            <w:vAlign w:val="center"/>
          </w:tcPr>
          <w:p w14:paraId="11F3E6C5" w14:textId="77777777" w:rsidR="0044645C" w:rsidRDefault="00250CCF" w:rsidP="009257CE">
            <w:pPr>
              <w:pStyle w:val="ListParagraph"/>
              <w:numPr>
                <w:ilvl w:val="1"/>
                <w:numId w:val="19"/>
              </w:numPr>
              <w:tabs>
                <w:tab w:val="num" w:pos="720"/>
              </w:tabs>
              <w:ind w:left="357" w:hanging="357"/>
              <w:rPr>
                <w:sz w:val="20"/>
                <w:szCs w:val="20"/>
              </w:rPr>
            </w:pPr>
            <w:r w:rsidRPr="0044645C">
              <w:rPr>
                <w:sz w:val="20"/>
                <w:szCs w:val="20"/>
                <w:lang w:eastAsia="en-AU"/>
              </w:rPr>
              <w:t xml:space="preserve">Remove the </w:t>
            </w:r>
            <w:r w:rsidRPr="0044645C">
              <w:rPr>
                <w:sz w:val="20"/>
                <w:szCs w:val="20"/>
              </w:rPr>
              <w:t>flexibility of insurers to offer the Basic product tier or products of limited value to consumers.</w:t>
            </w:r>
          </w:p>
          <w:p w14:paraId="54E8BB5A" w14:textId="77777777" w:rsidR="00250CCF" w:rsidRPr="0044645C" w:rsidRDefault="00250CCF" w:rsidP="009257CE">
            <w:pPr>
              <w:pStyle w:val="ListParagraph"/>
              <w:numPr>
                <w:ilvl w:val="1"/>
                <w:numId w:val="19"/>
              </w:numPr>
              <w:tabs>
                <w:tab w:val="num" w:pos="720"/>
              </w:tabs>
              <w:rPr>
                <w:sz w:val="20"/>
                <w:szCs w:val="20"/>
              </w:rPr>
            </w:pPr>
            <w:r w:rsidRPr="0044645C">
              <w:rPr>
                <w:sz w:val="20"/>
                <w:szCs w:val="20"/>
              </w:rPr>
              <w:t xml:space="preserve">Remove the option for insurers to offer </w:t>
            </w:r>
            <w:r w:rsidR="00BB4FE6" w:rsidRPr="0044645C">
              <w:rPr>
                <w:sz w:val="20"/>
                <w:szCs w:val="20"/>
              </w:rPr>
              <w:t>‘</w:t>
            </w:r>
            <w:r w:rsidRPr="0044645C">
              <w:rPr>
                <w:sz w:val="20"/>
                <w:szCs w:val="20"/>
              </w:rPr>
              <w:t>plus</w:t>
            </w:r>
            <w:r w:rsidR="00BB4FE6" w:rsidRPr="0044645C">
              <w:rPr>
                <w:sz w:val="20"/>
                <w:szCs w:val="20"/>
              </w:rPr>
              <w:t xml:space="preserve"> </w:t>
            </w:r>
            <w:r w:rsidRPr="0044645C">
              <w:rPr>
                <w:sz w:val="20"/>
                <w:szCs w:val="20"/>
              </w:rPr>
              <w:t>products</w:t>
            </w:r>
            <w:r w:rsidR="00BB4FE6" w:rsidRPr="0044645C">
              <w:rPr>
                <w:sz w:val="20"/>
                <w:szCs w:val="20"/>
              </w:rPr>
              <w:t>’</w:t>
            </w:r>
            <w:r w:rsidRPr="0044645C">
              <w:rPr>
                <w:sz w:val="20"/>
                <w:szCs w:val="20"/>
              </w:rPr>
              <w:t>.</w:t>
            </w:r>
          </w:p>
          <w:p w14:paraId="7F6856D7" w14:textId="77777777" w:rsidR="00250CCF" w:rsidRPr="001070A6" w:rsidRDefault="00250CCF" w:rsidP="009257CE">
            <w:pPr>
              <w:pStyle w:val="ListParagraph"/>
              <w:numPr>
                <w:ilvl w:val="1"/>
                <w:numId w:val="19"/>
              </w:numPr>
              <w:tabs>
                <w:tab w:val="num" w:pos="720"/>
              </w:tabs>
              <w:rPr>
                <w:sz w:val="20"/>
                <w:szCs w:val="20"/>
              </w:rPr>
            </w:pPr>
            <w:r w:rsidRPr="001070A6">
              <w:rPr>
                <w:sz w:val="20"/>
                <w:szCs w:val="20"/>
              </w:rPr>
              <w:t>Remove or consolidate some of the product tiers</w:t>
            </w:r>
            <w:r>
              <w:rPr>
                <w:sz w:val="20"/>
                <w:szCs w:val="20"/>
              </w:rPr>
              <w:t>.</w:t>
            </w:r>
          </w:p>
          <w:p w14:paraId="60D86C91" w14:textId="77777777" w:rsidR="00250CCF" w:rsidRDefault="00250CCF" w:rsidP="009257CE">
            <w:pPr>
              <w:pStyle w:val="ListParagraph"/>
              <w:numPr>
                <w:ilvl w:val="1"/>
                <w:numId w:val="19"/>
              </w:numPr>
              <w:tabs>
                <w:tab w:val="num" w:pos="720"/>
              </w:tabs>
              <w:rPr>
                <w:sz w:val="20"/>
                <w:szCs w:val="20"/>
              </w:rPr>
            </w:pPr>
            <w:r w:rsidRPr="001070A6">
              <w:rPr>
                <w:sz w:val="20"/>
                <w:szCs w:val="20"/>
              </w:rPr>
              <w:t>Ensure insurers clarify</w:t>
            </w:r>
            <w:r w:rsidR="002B5397">
              <w:rPr>
                <w:sz w:val="20"/>
                <w:szCs w:val="20"/>
              </w:rPr>
              <w:t xml:space="preserve"> </w:t>
            </w:r>
            <w:r w:rsidRPr="001070A6">
              <w:rPr>
                <w:sz w:val="20"/>
                <w:szCs w:val="20"/>
              </w:rPr>
              <w:t>communication about whether a consumer has a hospital</w:t>
            </w:r>
            <w:r w:rsidR="002B5397">
              <w:rPr>
                <w:sz w:val="20"/>
                <w:szCs w:val="20"/>
              </w:rPr>
              <w:t>-</w:t>
            </w:r>
            <w:r w:rsidRPr="001070A6">
              <w:rPr>
                <w:sz w:val="20"/>
                <w:szCs w:val="20"/>
              </w:rPr>
              <w:t>only product or a combined product</w:t>
            </w:r>
            <w:r>
              <w:rPr>
                <w:sz w:val="20"/>
                <w:szCs w:val="20"/>
              </w:rPr>
              <w:t>.</w:t>
            </w:r>
          </w:p>
          <w:p w14:paraId="69C9D742" w14:textId="77777777" w:rsidR="00250CCF" w:rsidRPr="002C279D" w:rsidRDefault="00250CCF" w:rsidP="009257CE">
            <w:pPr>
              <w:pStyle w:val="ListParagraph"/>
              <w:numPr>
                <w:ilvl w:val="1"/>
                <w:numId w:val="19"/>
              </w:numPr>
              <w:tabs>
                <w:tab w:val="num" w:pos="720"/>
              </w:tabs>
              <w:rPr>
                <w:sz w:val="20"/>
                <w:szCs w:val="20"/>
              </w:rPr>
            </w:pPr>
            <w:r w:rsidRPr="002745D6">
              <w:rPr>
                <w:sz w:val="20"/>
                <w:szCs w:val="20"/>
              </w:rPr>
              <w:t>Clarify policy settings about whether ambulance, emergency department, and hospital substitute benefits should be considered hospital treatment or general treatment coverage.</w:t>
            </w:r>
          </w:p>
        </w:tc>
        <w:tc>
          <w:tcPr>
            <w:tcW w:w="4976" w:type="dxa"/>
            <w:shd w:val="clear" w:color="auto" w:fill="auto"/>
            <w:vAlign w:val="center"/>
          </w:tcPr>
          <w:p w14:paraId="7F53DDFB" w14:textId="77777777" w:rsidR="00250CCF" w:rsidRPr="002745D6" w:rsidRDefault="00250CCF" w:rsidP="009257CE">
            <w:pPr>
              <w:pStyle w:val="ListParagraph"/>
              <w:numPr>
                <w:ilvl w:val="1"/>
                <w:numId w:val="19"/>
              </w:numPr>
              <w:tabs>
                <w:tab w:val="num" w:pos="720"/>
              </w:tabs>
              <w:cnfStyle w:val="000000100000" w:firstRow="0" w:lastRow="0" w:firstColumn="0" w:lastColumn="0" w:oddVBand="0" w:evenVBand="0" w:oddHBand="1" w:evenHBand="0" w:firstRowFirstColumn="0" w:firstRowLastColumn="0" w:lastRowFirstColumn="0" w:lastRowLastColumn="0"/>
              <w:rPr>
                <w:sz w:val="20"/>
                <w:szCs w:val="20"/>
              </w:rPr>
            </w:pPr>
            <w:r w:rsidRPr="002745D6">
              <w:rPr>
                <w:sz w:val="20"/>
                <w:szCs w:val="20"/>
              </w:rPr>
              <w:t xml:space="preserve">Reduce the number of products available </w:t>
            </w:r>
            <w:r w:rsidR="00C94B3E">
              <w:rPr>
                <w:sz w:val="20"/>
                <w:szCs w:val="20"/>
              </w:rPr>
              <w:t>for</w:t>
            </w:r>
            <w:r w:rsidRPr="002745D6">
              <w:rPr>
                <w:sz w:val="20"/>
                <w:szCs w:val="20"/>
              </w:rPr>
              <w:t xml:space="preserve"> purchase. </w:t>
            </w:r>
          </w:p>
          <w:p w14:paraId="4F77F2AC" w14:textId="77777777" w:rsidR="00250CCF" w:rsidRPr="001070A6" w:rsidRDefault="00250CCF" w:rsidP="009257CE">
            <w:pPr>
              <w:pStyle w:val="ListParagraph"/>
              <w:numPr>
                <w:ilvl w:val="1"/>
                <w:numId w:val="19"/>
              </w:numPr>
              <w:tabs>
                <w:tab w:val="num" w:pos="720"/>
              </w:tabs>
              <w:cnfStyle w:val="000000100000" w:firstRow="0" w:lastRow="0" w:firstColumn="0" w:lastColumn="0" w:oddVBand="0" w:evenVBand="0" w:oddHBand="1" w:evenHBand="0" w:firstRowFirstColumn="0" w:firstRowLastColumn="0" w:lastRowFirstColumn="0" w:lastRowLastColumn="0"/>
              <w:rPr>
                <w:sz w:val="20"/>
                <w:szCs w:val="20"/>
              </w:rPr>
            </w:pPr>
            <w:r w:rsidRPr="001070A6">
              <w:rPr>
                <w:sz w:val="20"/>
                <w:szCs w:val="20"/>
              </w:rPr>
              <w:t>Simplify consumer consideration of products</w:t>
            </w:r>
            <w:r>
              <w:rPr>
                <w:sz w:val="20"/>
                <w:szCs w:val="20"/>
              </w:rPr>
              <w:t>.</w:t>
            </w:r>
          </w:p>
          <w:p w14:paraId="47A5A081" w14:textId="77777777" w:rsidR="00250CCF" w:rsidRPr="001070A6" w:rsidRDefault="00250CCF" w:rsidP="009257CE">
            <w:pPr>
              <w:pStyle w:val="ListParagraph"/>
              <w:numPr>
                <w:ilvl w:val="1"/>
                <w:numId w:val="19"/>
              </w:numPr>
              <w:tabs>
                <w:tab w:val="num" w:pos="720"/>
              </w:tabs>
              <w:cnfStyle w:val="000000100000" w:firstRow="0" w:lastRow="0" w:firstColumn="0" w:lastColumn="0" w:oddVBand="0" w:evenVBand="0" w:oddHBand="1" w:evenHBand="0" w:firstRowFirstColumn="0" w:firstRowLastColumn="0" w:lastRowFirstColumn="0" w:lastRowLastColumn="0"/>
              <w:rPr>
                <w:sz w:val="20"/>
                <w:szCs w:val="20"/>
              </w:rPr>
            </w:pPr>
            <w:r w:rsidRPr="001070A6">
              <w:rPr>
                <w:sz w:val="20"/>
                <w:szCs w:val="20"/>
              </w:rPr>
              <w:t>Reduce insurer flexibility in designing products</w:t>
            </w:r>
            <w:r>
              <w:rPr>
                <w:sz w:val="20"/>
                <w:szCs w:val="20"/>
              </w:rPr>
              <w:t>.</w:t>
            </w:r>
          </w:p>
          <w:p w14:paraId="380B3D8B" w14:textId="77777777" w:rsidR="00250CCF" w:rsidRPr="001070A6" w:rsidRDefault="00250CCF" w:rsidP="009257CE">
            <w:pPr>
              <w:pStyle w:val="ListParagraph"/>
              <w:numPr>
                <w:ilvl w:val="1"/>
                <w:numId w:val="19"/>
              </w:numPr>
              <w:tabs>
                <w:tab w:val="num" w:pos="720"/>
              </w:tabs>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1070A6">
              <w:rPr>
                <w:sz w:val="20"/>
                <w:szCs w:val="20"/>
              </w:rPr>
              <w:t xml:space="preserve">Potential negative effect on PHI participation if there is no affordable product for people to take out to avoid LHC and MLS. This may impact affordability of </w:t>
            </w:r>
            <w:r w:rsidR="008905A3">
              <w:rPr>
                <w:sz w:val="20"/>
                <w:szCs w:val="20"/>
              </w:rPr>
              <w:t xml:space="preserve">future </w:t>
            </w:r>
            <w:r w:rsidRPr="001070A6">
              <w:rPr>
                <w:sz w:val="20"/>
                <w:szCs w:val="20"/>
              </w:rPr>
              <w:t xml:space="preserve">purchasing </w:t>
            </w:r>
            <w:r w:rsidR="003E5184">
              <w:rPr>
                <w:sz w:val="20"/>
                <w:szCs w:val="20"/>
              </w:rPr>
              <w:t xml:space="preserve">of </w:t>
            </w:r>
            <w:r w:rsidRPr="001070A6">
              <w:rPr>
                <w:sz w:val="20"/>
                <w:szCs w:val="20"/>
              </w:rPr>
              <w:t>PH</w:t>
            </w:r>
            <w:r w:rsidR="003E5184">
              <w:rPr>
                <w:sz w:val="20"/>
                <w:szCs w:val="20"/>
              </w:rPr>
              <w:t>I</w:t>
            </w:r>
            <w:r>
              <w:rPr>
                <w:sz w:val="20"/>
                <w:szCs w:val="20"/>
              </w:rPr>
              <w:t>.</w:t>
            </w:r>
          </w:p>
          <w:p w14:paraId="2244DEAE" w14:textId="77777777" w:rsidR="00250CCF" w:rsidRPr="001070A6" w:rsidRDefault="00250CCF" w:rsidP="009257CE">
            <w:pPr>
              <w:pStyle w:val="ListParagraph"/>
              <w:numPr>
                <w:ilvl w:val="1"/>
                <w:numId w:val="19"/>
              </w:numPr>
              <w:tabs>
                <w:tab w:val="num" w:pos="720"/>
              </w:tabs>
              <w:cnfStyle w:val="000000100000" w:firstRow="0" w:lastRow="0" w:firstColumn="0" w:lastColumn="0" w:oddVBand="0" w:evenVBand="0" w:oddHBand="1" w:evenHBand="0" w:firstRowFirstColumn="0" w:firstRowLastColumn="0" w:lastRowFirstColumn="0" w:lastRowLastColumn="0"/>
              <w:rPr>
                <w:rFonts w:eastAsiaTheme="majorEastAsia"/>
                <w:sz w:val="20"/>
                <w:szCs w:val="20"/>
                <w:lang w:val="en-US"/>
              </w:rPr>
            </w:pPr>
            <w:r w:rsidRPr="39EF0853">
              <w:rPr>
                <w:sz w:val="20"/>
                <w:szCs w:val="20"/>
              </w:rPr>
              <w:t>Improves</w:t>
            </w:r>
            <w:r w:rsidR="004466E4" w:rsidRPr="39EF0853">
              <w:rPr>
                <w:sz w:val="20"/>
                <w:szCs w:val="20"/>
              </w:rPr>
              <w:t xml:space="preserve"> </w:t>
            </w:r>
            <w:r w:rsidRPr="39EF0853">
              <w:rPr>
                <w:sz w:val="20"/>
                <w:szCs w:val="20"/>
              </w:rPr>
              <w:t>consistency and</w:t>
            </w:r>
            <w:r w:rsidR="004466E4" w:rsidRPr="39EF0853">
              <w:rPr>
                <w:sz w:val="20"/>
                <w:szCs w:val="20"/>
              </w:rPr>
              <w:t xml:space="preserve"> </w:t>
            </w:r>
            <w:r w:rsidRPr="39EF0853">
              <w:rPr>
                <w:sz w:val="20"/>
                <w:szCs w:val="20"/>
              </w:rPr>
              <w:t>transparency to consumers on what is covered under hospital</w:t>
            </w:r>
            <w:r w:rsidR="7ACD8334" w:rsidRPr="39EF0853">
              <w:rPr>
                <w:sz w:val="20"/>
                <w:szCs w:val="20"/>
              </w:rPr>
              <w:t xml:space="preserve"> treatment products</w:t>
            </w:r>
            <w:r w:rsidRPr="39EF0853">
              <w:rPr>
                <w:sz w:val="20"/>
                <w:szCs w:val="20"/>
              </w:rPr>
              <w:t>.</w:t>
            </w:r>
          </w:p>
        </w:tc>
      </w:tr>
    </w:tbl>
    <w:p w14:paraId="1EFAA6AF" w14:textId="77777777" w:rsidR="00250CCF" w:rsidRPr="00453818" w:rsidRDefault="00D14068" w:rsidP="008926E0">
      <w:pPr>
        <w:pStyle w:val="Body"/>
        <w:spacing w:before="240" w:after="120"/>
        <w:rPr>
          <w:bCs/>
          <w:iCs/>
          <w:u w:val="single"/>
        </w:rPr>
      </w:pPr>
      <w:r w:rsidRPr="008048E0">
        <w:rPr>
          <w:rFonts w:cs="Arial"/>
          <w:b/>
          <w:color w:val="358189"/>
          <w:szCs w:val="22"/>
          <w:u w:val="single"/>
        </w:rPr>
        <w:t xml:space="preserve">Initiative </w:t>
      </w:r>
      <w:r w:rsidR="00224111" w:rsidRPr="008048E0">
        <w:rPr>
          <w:rFonts w:cs="Arial"/>
          <w:b/>
          <w:color w:val="358189"/>
          <w:szCs w:val="22"/>
          <w:u w:val="single"/>
        </w:rPr>
        <w:t>2</w:t>
      </w:r>
      <w:r w:rsidR="00453818" w:rsidRPr="008048E0">
        <w:rPr>
          <w:rFonts w:cs="Arial"/>
          <w:b/>
          <w:color w:val="358189"/>
          <w:szCs w:val="22"/>
          <w:u w:val="single"/>
        </w:rPr>
        <w:t xml:space="preserve">: </w:t>
      </w:r>
      <w:r w:rsidR="00250CCF" w:rsidRPr="008048E0">
        <w:rPr>
          <w:rFonts w:cs="Arial"/>
          <w:b/>
          <w:color w:val="358189"/>
          <w:szCs w:val="22"/>
          <w:u w:val="single"/>
        </w:rPr>
        <w:t>Standardise the age threshold and associated eligibility for depend</w:t>
      </w:r>
      <w:r w:rsidR="00C9249D" w:rsidRPr="008048E0">
        <w:rPr>
          <w:rFonts w:cs="Arial"/>
          <w:b/>
          <w:color w:val="358189"/>
          <w:szCs w:val="22"/>
          <w:u w:val="single"/>
        </w:rPr>
        <w:t>a</w:t>
      </w:r>
      <w:r w:rsidR="00250CCF" w:rsidRPr="008048E0">
        <w:rPr>
          <w:rFonts w:cs="Arial"/>
          <w:b/>
          <w:color w:val="358189"/>
          <w:szCs w:val="22"/>
          <w:u w:val="single"/>
        </w:rPr>
        <w:t>nts</w:t>
      </w:r>
    </w:p>
    <w:p w14:paraId="10D95427" w14:textId="77777777" w:rsidR="00250CCF" w:rsidRPr="00EC2C9D" w:rsidRDefault="00EC2C9D" w:rsidP="00473DE9">
      <w:pPr>
        <w:pStyle w:val="Body"/>
        <w:spacing w:after="120"/>
        <w:rPr>
          <w:b/>
          <w:color w:val="auto"/>
        </w:rPr>
      </w:pPr>
      <w:r w:rsidRPr="00EC2C9D">
        <w:rPr>
          <w:color w:val="auto"/>
        </w:rPr>
        <w:t>T</w:t>
      </w:r>
      <w:r w:rsidR="00250CCF" w:rsidRPr="00EC2C9D">
        <w:rPr>
          <w:color w:val="auto"/>
        </w:rPr>
        <w:t>he changes to the age of depend</w:t>
      </w:r>
      <w:r w:rsidR="00D408F1" w:rsidRPr="00EC2C9D">
        <w:rPr>
          <w:color w:val="auto"/>
        </w:rPr>
        <w:t>a</w:t>
      </w:r>
      <w:r w:rsidR="00250CCF" w:rsidRPr="00EC2C9D">
        <w:rPr>
          <w:color w:val="auto"/>
        </w:rPr>
        <w:t xml:space="preserve">nts in 2021 resulted in </w:t>
      </w:r>
      <w:r w:rsidRPr="00EC2C9D">
        <w:rPr>
          <w:color w:val="auto"/>
        </w:rPr>
        <w:t xml:space="preserve">foreseen </w:t>
      </w:r>
      <w:r w:rsidR="00250CCF" w:rsidRPr="00EC2C9D">
        <w:rPr>
          <w:color w:val="auto"/>
        </w:rPr>
        <w:t>complexities</w:t>
      </w:r>
      <w:r w:rsidRPr="00EC2C9D">
        <w:rPr>
          <w:color w:val="auto"/>
        </w:rPr>
        <w:t xml:space="preserve"> which have caused difficulties in access and portability for people with dependants. This includes t</w:t>
      </w:r>
      <w:r w:rsidR="00250CCF" w:rsidRPr="00EC2C9D">
        <w:rPr>
          <w:color w:val="auto"/>
        </w:rPr>
        <w:t>here</w:t>
      </w:r>
      <w:r w:rsidRPr="00EC2C9D">
        <w:rPr>
          <w:color w:val="auto"/>
        </w:rPr>
        <w:t xml:space="preserve"> being</w:t>
      </w:r>
      <w:r w:rsidR="00250CCF" w:rsidRPr="00EC2C9D">
        <w:rPr>
          <w:color w:val="auto"/>
        </w:rPr>
        <w:t xml:space="preserve"> significant variation in </w:t>
      </w:r>
      <w:r w:rsidR="000B3C4E" w:rsidRPr="00EC2C9D">
        <w:rPr>
          <w:color w:val="auto"/>
        </w:rPr>
        <w:t xml:space="preserve">the way </w:t>
      </w:r>
      <w:r w:rsidR="00250CCF" w:rsidRPr="00EC2C9D">
        <w:rPr>
          <w:color w:val="auto"/>
        </w:rPr>
        <w:t>insurers apply the age threshold (e.g</w:t>
      </w:r>
      <w:r w:rsidR="000B3C4E" w:rsidRPr="00EC2C9D">
        <w:rPr>
          <w:color w:val="auto"/>
        </w:rPr>
        <w:t xml:space="preserve">. 24 </w:t>
      </w:r>
      <w:r w:rsidR="00250CCF" w:rsidRPr="00EC2C9D">
        <w:rPr>
          <w:color w:val="auto"/>
        </w:rPr>
        <w:t xml:space="preserve">to 31 years) </w:t>
      </w:r>
      <w:r w:rsidR="000B3C4E" w:rsidRPr="00EC2C9D">
        <w:rPr>
          <w:color w:val="auto"/>
        </w:rPr>
        <w:t>for depend</w:t>
      </w:r>
      <w:r w:rsidR="00C11A61" w:rsidRPr="00EC2C9D">
        <w:rPr>
          <w:color w:val="auto"/>
        </w:rPr>
        <w:t>a</w:t>
      </w:r>
      <w:r w:rsidR="000B3C4E" w:rsidRPr="00EC2C9D">
        <w:rPr>
          <w:color w:val="auto"/>
        </w:rPr>
        <w:t xml:space="preserve">nts </w:t>
      </w:r>
      <w:r w:rsidR="00250CCF" w:rsidRPr="00EC2C9D">
        <w:rPr>
          <w:color w:val="auto"/>
        </w:rPr>
        <w:t>and associated eligibility criteria (e.g</w:t>
      </w:r>
      <w:r w:rsidR="000B3C4E" w:rsidRPr="00EC2C9D">
        <w:rPr>
          <w:color w:val="auto"/>
        </w:rPr>
        <w:t xml:space="preserve">. </w:t>
      </w:r>
      <w:r w:rsidR="00250CCF" w:rsidRPr="00EC2C9D">
        <w:rPr>
          <w:color w:val="auto"/>
        </w:rPr>
        <w:t>students</w:t>
      </w:r>
      <w:r w:rsidR="0091555A" w:rsidRPr="00EC2C9D">
        <w:rPr>
          <w:color w:val="auto"/>
        </w:rPr>
        <w:t>,</w:t>
      </w:r>
      <w:r w:rsidR="00250CCF" w:rsidRPr="00EC2C9D">
        <w:rPr>
          <w:color w:val="auto"/>
        </w:rPr>
        <w:t xml:space="preserve"> non-students</w:t>
      </w:r>
      <w:r w:rsidR="0091555A" w:rsidRPr="00EC2C9D">
        <w:rPr>
          <w:color w:val="auto"/>
        </w:rPr>
        <w:t>,</w:t>
      </w:r>
      <w:r w:rsidR="00250CCF" w:rsidRPr="00EC2C9D">
        <w:rPr>
          <w:color w:val="auto"/>
        </w:rPr>
        <w:t xml:space="preserve"> income</w:t>
      </w:r>
      <w:r w:rsidR="0091555A" w:rsidRPr="00EC2C9D">
        <w:rPr>
          <w:color w:val="auto"/>
        </w:rPr>
        <w:t xml:space="preserve"> and</w:t>
      </w:r>
      <w:r w:rsidR="00250CCF" w:rsidRPr="00EC2C9D">
        <w:rPr>
          <w:color w:val="auto"/>
        </w:rPr>
        <w:t xml:space="preserve"> relationship</w:t>
      </w:r>
      <w:r w:rsidR="000B3C4E" w:rsidRPr="00EC2C9D">
        <w:rPr>
          <w:color w:val="auto"/>
        </w:rPr>
        <w:t>)</w:t>
      </w:r>
      <w:r w:rsidRPr="00EC2C9D">
        <w:rPr>
          <w:color w:val="auto"/>
        </w:rPr>
        <w:t xml:space="preserve">. </w:t>
      </w:r>
      <w:r w:rsidR="00250CCF" w:rsidRPr="00EC2C9D">
        <w:rPr>
          <w:color w:val="auto"/>
        </w:rPr>
        <w:t xml:space="preserve">Further, consumers </w:t>
      </w:r>
      <w:r w:rsidR="00034F63" w:rsidRPr="00EC2C9D">
        <w:rPr>
          <w:color w:val="auto"/>
        </w:rPr>
        <w:t xml:space="preserve">have </w:t>
      </w:r>
      <w:r w:rsidR="00250CCF" w:rsidRPr="00EC2C9D">
        <w:rPr>
          <w:color w:val="auto"/>
        </w:rPr>
        <w:t xml:space="preserve">been left with </w:t>
      </w:r>
      <w:r w:rsidR="00034F63" w:rsidRPr="00EC2C9D">
        <w:rPr>
          <w:color w:val="auto"/>
        </w:rPr>
        <w:t xml:space="preserve">limited </w:t>
      </w:r>
      <w:r w:rsidR="00250CCF" w:rsidRPr="00EC2C9D">
        <w:rPr>
          <w:color w:val="auto"/>
        </w:rPr>
        <w:t>choice</w:t>
      </w:r>
      <w:r w:rsidR="003E5184" w:rsidRPr="00EC2C9D">
        <w:rPr>
          <w:color w:val="auto"/>
        </w:rPr>
        <w:t xml:space="preserve"> when </w:t>
      </w:r>
      <w:r w:rsidR="00034F63" w:rsidRPr="00EC2C9D">
        <w:rPr>
          <w:color w:val="auto"/>
        </w:rPr>
        <w:t xml:space="preserve">purchasing </w:t>
      </w:r>
      <w:r w:rsidR="00250CCF" w:rsidRPr="00EC2C9D">
        <w:rPr>
          <w:color w:val="auto"/>
        </w:rPr>
        <w:t xml:space="preserve">a product which provides coverage for </w:t>
      </w:r>
      <w:r w:rsidR="00034F63" w:rsidRPr="00EC2C9D">
        <w:rPr>
          <w:color w:val="auto"/>
        </w:rPr>
        <w:t>a depend</w:t>
      </w:r>
      <w:r w:rsidR="00C11A61" w:rsidRPr="00EC2C9D">
        <w:rPr>
          <w:color w:val="auto"/>
        </w:rPr>
        <w:t>a</w:t>
      </w:r>
      <w:r w:rsidR="00034F63" w:rsidRPr="00EC2C9D">
        <w:rPr>
          <w:color w:val="auto"/>
        </w:rPr>
        <w:t xml:space="preserve">nt </w:t>
      </w:r>
      <w:r w:rsidR="00250CCF" w:rsidRPr="00EC2C9D">
        <w:rPr>
          <w:color w:val="auto"/>
        </w:rPr>
        <w:t>person with a disability who is aged over</w:t>
      </w:r>
      <w:r w:rsidR="00C0694D" w:rsidRPr="00EC2C9D">
        <w:rPr>
          <w:color w:val="auto"/>
        </w:rPr>
        <w:t> </w:t>
      </w:r>
      <w:r w:rsidR="00250CCF" w:rsidRPr="00EC2C9D">
        <w:rPr>
          <w:color w:val="auto"/>
        </w:rPr>
        <w:t>31.</w:t>
      </w:r>
    </w:p>
    <w:tbl>
      <w:tblPr>
        <w:tblStyle w:val="DepartmentofHealthtable"/>
        <w:tblW w:w="9951" w:type="dxa"/>
        <w:tblInd w:w="-289" w:type="dxa"/>
        <w:tblBorders>
          <w:left w:val="single" w:sz="4" w:space="0" w:color="auto"/>
          <w:right w:val="single" w:sz="4" w:space="0" w:color="auto"/>
          <w:insideH w:val="none" w:sz="0" w:space="0" w:color="auto"/>
        </w:tblBorders>
        <w:tblLayout w:type="fixed"/>
        <w:tblLook w:val="04A0" w:firstRow="1" w:lastRow="0" w:firstColumn="1" w:lastColumn="0" w:noHBand="0" w:noVBand="1"/>
        <w:tblDescription w:val="Add Alt Text describing the content of the table"/>
      </w:tblPr>
      <w:tblGrid>
        <w:gridCol w:w="4975"/>
        <w:gridCol w:w="4976"/>
      </w:tblGrid>
      <w:tr w:rsidR="00F71820" w:rsidRPr="001070A6" w14:paraId="0ED41475"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51" w:type="dxa"/>
            <w:gridSpan w:val="2"/>
            <w:tcBorders>
              <w:top w:val="single" w:sz="4" w:space="0" w:color="auto"/>
              <w:bottom w:val="single" w:sz="4" w:space="0" w:color="FFFFFF" w:themeColor="background1"/>
            </w:tcBorders>
          </w:tcPr>
          <w:p w14:paraId="7C7E2811" w14:textId="672A843F" w:rsidR="00F71820" w:rsidRPr="00F71820" w:rsidRDefault="00123190" w:rsidP="00473DE9">
            <w:pPr>
              <w:pStyle w:val="TableHeader"/>
              <w:spacing w:before="120" w:after="120"/>
              <w:rPr>
                <w:sz w:val="20"/>
                <w:szCs w:val="20"/>
              </w:rPr>
            </w:pPr>
            <w:r>
              <w:rPr>
                <w:bCs/>
                <w:iCs/>
                <w:sz w:val="20"/>
                <w:szCs w:val="20"/>
              </w:rPr>
              <w:t xml:space="preserve">PHI </w:t>
            </w:r>
            <w:r w:rsidR="001F312C">
              <w:rPr>
                <w:bCs/>
                <w:iCs/>
                <w:sz w:val="20"/>
                <w:szCs w:val="20"/>
              </w:rPr>
              <w:t xml:space="preserve">Product Simplification </w:t>
            </w:r>
            <w:r w:rsidR="002C398F">
              <w:rPr>
                <w:bCs/>
                <w:iCs/>
                <w:sz w:val="20"/>
                <w:szCs w:val="20"/>
              </w:rPr>
              <w:t xml:space="preserve">Reform </w:t>
            </w:r>
            <w:r w:rsidR="00F71820" w:rsidRPr="00F71820">
              <w:rPr>
                <w:sz w:val="20"/>
                <w:szCs w:val="20"/>
              </w:rPr>
              <w:t xml:space="preserve">Initiative </w:t>
            </w:r>
            <w:r w:rsidR="00224111">
              <w:rPr>
                <w:sz w:val="20"/>
                <w:szCs w:val="20"/>
              </w:rPr>
              <w:t>2</w:t>
            </w:r>
            <w:r w:rsidR="00F71820" w:rsidRPr="00F71820">
              <w:rPr>
                <w:sz w:val="20"/>
                <w:szCs w:val="20"/>
              </w:rPr>
              <w:t>: Standardise the age threshold and associated eligibility for dependants</w:t>
            </w:r>
          </w:p>
        </w:tc>
      </w:tr>
      <w:tr w:rsidR="00F71820" w:rsidRPr="001070A6" w14:paraId="2B7CB9D9"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75" w:type="dxa"/>
            <w:tcBorders>
              <w:top w:val="single" w:sz="4" w:space="0" w:color="FFFFFF" w:themeColor="background1"/>
            </w:tcBorders>
          </w:tcPr>
          <w:p w14:paraId="79217EC7" w14:textId="77777777" w:rsidR="00F71820" w:rsidRPr="001070A6" w:rsidRDefault="00F71820" w:rsidP="00473DE9">
            <w:pPr>
              <w:pStyle w:val="TableHeader"/>
              <w:spacing w:before="120" w:after="120"/>
              <w:rPr>
                <w:sz w:val="20"/>
                <w:szCs w:val="20"/>
              </w:rPr>
            </w:pPr>
            <w:r w:rsidRPr="001070A6">
              <w:rPr>
                <w:sz w:val="20"/>
                <w:szCs w:val="20"/>
              </w:rPr>
              <w:t>Possible solution/s</w:t>
            </w:r>
          </w:p>
        </w:tc>
        <w:tc>
          <w:tcPr>
            <w:tcW w:w="4976" w:type="dxa"/>
            <w:tcBorders>
              <w:top w:val="single" w:sz="4" w:space="0" w:color="FFFFFF" w:themeColor="background1"/>
            </w:tcBorders>
            <w:vAlign w:val="center"/>
          </w:tcPr>
          <w:p w14:paraId="150993ED" w14:textId="77777777" w:rsidR="00F71820" w:rsidRPr="001070A6" w:rsidRDefault="00F71820" w:rsidP="00473DE9">
            <w:pPr>
              <w:pStyle w:val="TableHeade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1070A6">
              <w:rPr>
                <w:sz w:val="20"/>
                <w:szCs w:val="20"/>
              </w:rPr>
              <w:t>Impact/s</w:t>
            </w:r>
          </w:p>
        </w:tc>
      </w:tr>
      <w:tr w:rsidR="00F71820" w:rsidRPr="001070A6" w14:paraId="78CF940B" w14:textId="77777777" w:rsidTr="00060BB9">
        <w:trPr>
          <w:cnfStyle w:val="000000100000" w:firstRow="0" w:lastRow="0" w:firstColumn="0" w:lastColumn="0" w:oddVBand="0" w:evenVBand="0" w:oddHBand="1" w:evenHBand="0" w:firstRowFirstColumn="0" w:firstRowLastColumn="0" w:lastRowFirstColumn="0" w:lastRowLastColumn="0"/>
          <w:trHeight w:val="2671"/>
        </w:trPr>
        <w:tc>
          <w:tcPr>
            <w:cnfStyle w:val="001000000000" w:firstRow="0" w:lastRow="0" w:firstColumn="1" w:lastColumn="0" w:oddVBand="0" w:evenVBand="0" w:oddHBand="0" w:evenHBand="0" w:firstRowFirstColumn="0" w:firstRowLastColumn="0" w:lastRowFirstColumn="0" w:lastRowLastColumn="0"/>
            <w:tcW w:w="4975" w:type="dxa"/>
            <w:shd w:val="clear" w:color="auto" w:fill="auto"/>
            <w:vAlign w:val="center"/>
          </w:tcPr>
          <w:p w14:paraId="6AF28FFF" w14:textId="77777777" w:rsidR="00F71820" w:rsidRPr="0044645C" w:rsidRDefault="00F71820" w:rsidP="009257CE">
            <w:pPr>
              <w:pStyle w:val="ListParagraph"/>
              <w:numPr>
                <w:ilvl w:val="1"/>
                <w:numId w:val="48"/>
              </w:numPr>
              <w:rPr>
                <w:sz w:val="20"/>
                <w:szCs w:val="20"/>
                <w:lang w:eastAsia="en-AU"/>
              </w:rPr>
            </w:pPr>
            <w:r w:rsidRPr="0044645C">
              <w:rPr>
                <w:sz w:val="20"/>
                <w:szCs w:val="20"/>
                <w:lang w:eastAsia="en-AU"/>
              </w:rPr>
              <w:t>Remove the flexibility of insurers to determine which age between 24 to 31 will be the maximum age.</w:t>
            </w:r>
          </w:p>
          <w:p w14:paraId="768B257D" w14:textId="77777777" w:rsidR="00F71820" w:rsidRPr="0044645C" w:rsidRDefault="00F71820" w:rsidP="009257CE">
            <w:pPr>
              <w:pStyle w:val="ListParagraph"/>
              <w:numPr>
                <w:ilvl w:val="1"/>
                <w:numId w:val="48"/>
              </w:numPr>
              <w:rPr>
                <w:sz w:val="20"/>
                <w:szCs w:val="20"/>
                <w:lang w:eastAsia="en-AU"/>
              </w:rPr>
            </w:pPr>
            <w:r w:rsidRPr="0044645C">
              <w:rPr>
                <w:sz w:val="20"/>
                <w:szCs w:val="20"/>
                <w:lang w:eastAsia="en-AU"/>
              </w:rPr>
              <w:t>Require all insurers to offer products covering the insured group for a dependant person with a disability who is aged over 31.</w:t>
            </w:r>
          </w:p>
        </w:tc>
        <w:tc>
          <w:tcPr>
            <w:tcW w:w="4976" w:type="dxa"/>
            <w:shd w:val="clear" w:color="auto" w:fill="auto"/>
            <w:vAlign w:val="center"/>
          </w:tcPr>
          <w:p w14:paraId="532A365A" w14:textId="77777777" w:rsidR="00F71820" w:rsidRPr="0044645C" w:rsidRDefault="00F71820" w:rsidP="009257CE">
            <w:pPr>
              <w:pStyle w:val="ListParagraph"/>
              <w:numPr>
                <w:ilvl w:val="1"/>
                <w:numId w:val="47"/>
              </w:num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44645C">
              <w:rPr>
                <w:sz w:val="20"/>
                <w:szCs w:val="20"/>
                <w:lang w:eastAsia="en-AU"/>
              </w:rPr>
              <w:t>Will remove the flexibility of insurers to apply different eligibility criteria to dependants.</w:t>
            </w:r>
          </w:p>
          <w:p w14:paraId="157403F9" w14:textId="77777777" w:rsidR="00F71820" w:rsidRPr="0044645C" w:rsidRDefault="00F71820" w:rsidP="009257CE">
            <w:pPr>
              <w:pStyle w:val="ListParagraph"/>
              <w:numPr>
                <w:ilvl w:val="1"/>
                <w:numId w:val="47"/>
              </w:num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44645C">
              <w:rPr>
                <w:sz w:val="20"/>
                <w:szCs w:val="20"/>
                <w:lang w:eastAsia="en-AU"/>
              </w:rPr>
              <w:t>Will reduce the number of insured groups for products.</w:t>
            </w:r>
          </w:p>
          <w:p w14:paraId="1EC922CD" w14:textId="77777777" w:rsidR="00F71820" w:rsidRPr="0044645C" w:rsidRDefault="00F71820" w:rsidP="009257CE">
            <w:pPr>
              <w:pStyle w:val="ListParagraph"/>
              <w:numPr>
                <w:ilvl w:val="1"/>
                <w:numId w:val="47"/>
              </w:num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44645C">
              <w:rPr>
                <w:sz w:val="20"/>
                <w:szCs w:val="20"/>
                <w:lang w:eastAsia="en-AU"/>
              </w:rPr>
              <w:t>Will increase the ability of consumers to compare products across insurers and transfer between insurers.</w:t>
            </w:r>
          </w:p>
          <w:p w14:paraId="2548E6EB" w14:textId="77777777" w:rsidR="00F71820" w:rsidRPr="0044645C" w:rsidRDefault="00F71820" w:rsidP="009257CE">
            <w:pPr>
              <w:pStyle w:val="ListParagraph"/>
              <w:numPr>
                <w:ilvl w:val="1"/>
                <w:numId w:val="47"/>
              </w:numPr>
              <w:cnfStyle w:val="000000100000" w:firstRow="0" w:lastRow="0" w:firstColumn="0" w:lastColumn="0" w:oddVBand="0" w:evenVBand="0" w:oddHBand="1" w:evenHBand="0" w:firstRowFirstColumn="0" w:firstRowLastColumn="0" w:lastRowFirstColumn="0" w:lastRowLastColumn="0"/>
              <w:rPr>
                <w:sz w:val="20"/>
                <w:szCs w:val="20"/>
                <w:lang w:eastAsia="en-AU"/>
              </w:rPr>
            </w:pPr>
            <w:r w:rsidRPr="0044645C">
              <w:rPr>
                <w:sz w:val="20"/>
                <w:szCs w:val="20"/>
                <w:lang w:eastAsia="en-AU"/>
              </w:rPr>
              <w:t>Will increase access to products for people with disability.</w:t>
            </w:r>
          </w:p>
        </w:tc>
      </w:tr>
    </w:tbl>
    <w:p w14:paraId="4E6F5F8F" w14:textId="77777777" w:rsidR="000072DE" w:rsidRDefault="000072DE" w:rsidP="00473DE9">
      <w:pPr>
        <w:spacing w:line="240" w:lineRule="auto"/>
        <w:rPr>
          <w:rFonts w:cs="Arial"/>
          <w:b/>
          <w:color w:val="358189"/>
          <w:szCs w:val="22"/>
          <w:u w:val="single"/>
        </w:rPr>
      </w:pPr>
    </w:p>
    <w:p w14:paraId="21B1CAA4" w14:textId="77777777" w:rsidR="000072DE" w:rsidRDefault="000072DE">
      <w:pPr>
        <w:spacing w:before="0" w:after="0" w:line="240" w:lineRule="auto"/>
        <w:rPr>
          <w:rFonts w:cs="Arial"/>
          <w:b/>
          <w:color w:val="358189"/>
          <w:szCs w:val="22"/>
          <w:u w:val="single"/>
        </w:rPr>
      </w:pPr>
      <w:r>
        <w:rPr>
          <w:rFonts w:cs="Arial"/>
          <w:b/>
          <w:color w:val="358189"/>
          <w:szCs w:val="22"/>
          <w:u w:val="single"/>
        </w:rPr>
        <w:br w:type="page"/>
      </w:r>
    </w:p>
    <w:p w14:paraId="3CB7B950" w14:textId="77777777" w:rsidR="00250CCF" w:rsidRPr="00453818" w:rsidRDefault="001E5552" w:rsidP="008926E0">
      <w:pPr>
        <w:pStyle w:val="Body"/>
        <w:spacing w:before="240" w:after="120"/>
        <w:rPr>
          <w:u w:val="single"/>
        </w:rPr>
      </w:pPr>
      <w:r w:rsidRPr="00FA0425">
        <w:rPr>
          <w:rFonts w:cs="Arial"/>
          <w:b/>
          <w:color w:val="358189"/>
          <w:szCs w:val="22"/>
          <w:u w:val="single"/>
        </w:rPr>
        <w:lastRenderedPageBreak/>
        <w:t>Initiative</w:t>
      </w:r>
      <w:r w:rsidR="00453818" w:rsidRPr="00453818">
        <w:rPr>
          <w:rFonts w:cs="Arial"/>
          <w:b/>
          <w:bCs/>
          <w:iCs/>
          <w:color w:val="358189"/>
          <w:szCs w:val="22"/>
          <w:u w:val="single"/>
        </w:rPr>
        <w:t xml:space="preserve"> </w:t>
      </w:r>
      <w:r w:rsidR="00224111">
        <w:rPr>
          <w:rFonts w:cs="Arial"/>
          <w:b/>
          <w:bCs/>
          <w:iCs/>
          <w:color w:val="358189"/>
          <w:szCs w:val="22"/>
          <w:u w:val="single"/>
        </w:rPr>
        <w:t>3</w:t>
      </w:r>
      <w:r w:rsidR="00453818" w:rsidRPr="00453818">
        <w:rPr>
          <w:rFonts w:cs="Arial"/>
          <w:b/>
          <w:bCs/>
          <w:iCs/>
          <w:color w:val="358189"/>
          <w:szCs w:val="22"/>
          <w:u w:val="single"/>
        </w:rPr>
        <w:t xml:space="preserve">: </w:t>
      </w:r>
      <w:r w:rsidR="00250CCF" w:rsidRPr="00453818">
        <w:rPr>
          <w:rFonts w:cs="Arial"/>
          <w:b/>
          <w:bCs/>
          <w:iCs/>
          <w:color w:val="358189"/>
          <w:szCs w:val="22"/>
          <w:u w:val="single"/>
        </w:rPr>
        <w:t>Excess and co-payment standardisation</w:t>
      </w:r>
    </w:p>
    <w:p w14:paraId="6F4D13B1" w14:textId="77777777" w:rsidR="00782FFD" w:rsidRPr="00EC2C9D" w:rsidRDefault="00250CCF" w:rsidP="00473DE9">
      <w:pPr>
        <w:pStyle w:val="Body"/>
        <w:spacing w:after="120"/>
        <w:rPr>
          <w:color w:val="auto"/>
        </w:rPr>
      </w:pPr>
      <w:r w:rsidRPr="00EC2C9D">
        <w:rPr>
          <w:color w:val="auto"/>
        </w:rPr>
        <w:t>Some products require the payment of an excess</w:t>
      </w:r>
      <w:r w:rsidR="45A5AD56" w:rsidRPr="00EC2C9D">
        <w:rPr>
          <w:color w:val="auto"/>
        </w:rPr>
        <w:t xml:space="preserve"> </w:t>
      </w:r>
      <w:r w:rsidRPr="00EC2C9D">
        <w:rPr>
          <w:color w:val="auto"/>
        </w:rPr>
        <w:t>and co-payment which</w:t>
      </w:r>
      <w:r w:rsidR="45A5AD56" w:rsidRPr="00EC2C9D">
        <w:rPr>
          <w:color w:val="auto"/>
        </w:rPr>
        <w:t xml:space="preserve"> </w:t>
      </w:r>
      <w:r w:rsidR="00EC2C9D" w:rsidRPr="00EC2C9D">
        <w:rPr>
          <w:color w:val="auto"/>
        </w:rPr>
        <w:t>can</w:t>
      </w:r>
      <w:r w:rsidRPr="00EC2C9D">
        <w:rPr>
          <w:color w:val="auto"/>
        </w:rPr>
        <w:t xml:space="preserve"> </w:t>
      </w:r>
      <w:r w:rsidR="00390861" w:rsidRPr="00EC2C9D">
        <w:rPr>
          <w:color w:val="auto"/>
        </w:rPr>
        <w:t xml:space="preserve">confuse consumers and </w:t>
      </w:r>
      <w:r w:rsidRPr="00EC2C9D">
        <w:rPr>
          <w:color w:val="auto"/>
        </w:rPr>
        <w:t xml:space="preserve">conflict with the intention of </w:t>
      </w:r>
      <w:r w:rsidR="00390861" w:rsidRPr="00EC2C9D">
        <w:rPr>
          <w:color w:val="auto"/>
        </w:rPr>
        <w:t xml:space="preserve">the MLS exempt </w:t>
      </w:r>
      <w:r w:rsidRPr="00EC2C9D">
        <w:rPr>
          <w:color w:val="auto"/>
        </w:rPr>
        <w:t>products to have a maximum annual excess. </w:t>
      </w:r>
    </w:p>
    <w:p w14:paraId="7AF96123" w14:textId="77777777" w:rsidR="00782FFD" w:rsidRDefault="00EC2C9D" w:rsidP="00473DE9">
      <w:pPr>
        <w:pStyle w:val="Body"/>
        <w:spacing w:after="120"/>
        <w:rPr>
          <w:lang w:val="en-AU"/>
        </w:rPr>
      </w:pPr>
      <w:r w:rsidRPr="00EC2C9D">
        <w:rPr>
          <w:color w:val="auto"/>
          <w:lang w:val="en-AU"/>
        </w:rPr>
        <w:t>A</w:t>
      </w:r>
      <w:r w:rsidR="00782FFD" w:rsidRPr="00EC2C9D">
        <w:rPr>
          <w:color w:val="auto"/>
          <w:lang w:val="en-AU"/>
        </w:rPr>
        <w:t xml:space="preserve">n excess </w:t>
      </w:r>
      <w:r w:rsidRPr="00EC2C9D">
        <w:rPr>
          <w:color w:val="auto"/>
          <w:lang w:val="en-AU"/>
        </w:rPr>
        <w:t xml:space="preserve">(also known as a ‘front-end deductible’) </w:t>
      </w:r>
      <w:r w:rsidR="00782FFD" w:rsidRPr="00EC2C9D">
        <w:rPr>
          <w:color w:val="auto"/>
          <w:lang w:val="en-AU"/>
        </w:rPr>
        <w:t>is an amount that the consumer is required to pay towards the cost of</w:t>
      </w:r>
      <w:r w:rsidRPr="00EC2C9D">
        <w:rPr>
          <w:color w:val="auto"/>
          <w:lang w:val="en-AU"/>
        </w:rPr>
        <w:t xml:space="preserve"> their</w:t>
      </w:r>
      <w:r w:rsidR="00782FFD" w:rsidRPr="00EC2C9D">
        <w:rPr>
          <w:color w:val="auto"/>
          <w:lang w:val="en-AU"/>
        </w:rPr>
        <w:t xml:space="preserve"> hospital treatment</w:t>
      </w:r>
      <w:r w:rsidRPr="00EC2C9D">
        <w:rPr>
          <w:color w:val="auto"/>
          <w:lang w:val="en-AU"/>
        </w:rPr>
        <w:t>. An excess may be</w:t>
      </w:r>
      <w:r w:rsidR="00782FFD" w:rsidRPr="00EC2C9D">
        <w:rPr>
          <w:color w:val="auto"/>
          <w:lang w:val="en-AU"/>
        </w:rPr>
        <w:t xml:space="preserve"> in exchange for lower premium costs</w:t>
      </w:r>
      <w:r w:rsidR="00BB6F84" w:rsidRPr="00EC2C9D">
        <w:rPr>
          <w:color w:val="auto"/>
          <w:lang w:val="en-AU"/>
        </w:rPr>
        <w:t xml:space="preserve">. </w:t>
      </w:r>
      <w:r w:rsidR="00BB6F84">
        <w:rPr>
          <w:lang w:val="en-AU"/>
        </w:rPr>
        <w:t>An excess may be payable ever</w:t>
      </w:r>
      <w:r w:rsidR="00BB6F84" w:rsidRPr="00BB6F84">
        <w:rPr>
          <w:lang w:val="en-AU"/>
        </w:rPr>
        <w:t xml:space="preserve">y time </w:t>
      </w:r>
      <w:r w:rsidR="00BB6F84">
        <w:rPr>
          <w:lang w:val="en-AU"/>
        </w:rPr>
        <w:t>a consumer receives hospital treatment</w:t>
      </w:r>
      <w:r w:rsidR="00BB6F84" w:rsidRPr="00BB6F84">
        <w:rPr>
          <w:lang w:val="en-AU"/>
        </w:rPr>
        <w:t>, or only the first time. </w:t>
      </w:r>
    </w:p>
    <w:p w14:paraId="4C107506" w14:textId="77777777" w:rsidR="00886E68" w:rsidRPr="00886E68" w:rsidRDefault="00886E68" w:rsidP="00473DE9">
      <w:pPr>
        <w:pStyle w:val="Body"/>
        <w:spacing w:after="120"/>
        <w:rPr>
          <w:lang w:val="en-AU"/>
        </w:rPr>
      </w:pPr>
      <w:r w:rsidRPr="00EC2C9D">
        <w:rPr>
          <w:color w:val="auto"/>
          <w:lang w:val="en-AU"/>
        </w:rPr>
        <w:t>For a hospital policy</w:t>
      </w:r>
      <w:r w:rsidR="00285FDF" w:rsidRPr="00EC2C9D">
        <w:rPr>
          <w:color w:val="auto"/>
          <w:lang w:val="en-AU"/>
        </w:rPr>
        <w:t>,</w:t>
      </w:r>
      <w:r w:rsidRPr="00EC2C9D">
        <w:rPr>
          <w:color w:val="auto"/>
          <w:lang w:val="en-AU"/>
        </w:rPr>
        <w:t xml:space="preserve"> a co-payment is a set amount that </w:t>
      </w:r>
      <w:r w:rsidR="00BB6F84" w:rsidRPr="00EC2C9D">
        <w:rPr>
          <w:color w:val="auto"/>
          <w:lang w:val="en-AU"/>
        </w:rPr>
        <w:t>a consumer is required</w:t>
      </w:r>
      <w:r w:rsidRPr="00EC2C9D">
        <w:rPr>
          <w:color w:val="auto"/>
          <w:lang w:val="en-AU"/>
        </w:rPr>
        <w:t xml:space="preserve"> to pay for each day </w:t>
      </w:r>
      <w:r w:rsidR="00BB6F84" w:rsidRPr="00EC2C9D">
        <w:rPr>
          <w:color w:val="auto"/>
          <w:lang w:val="en-AU"/>
        </w:rPr>
        <w:t>they are</w:t>
      </w:r>
      <w:r w:rsidRPr="00EC2C9D">
        <w:rPr>
          <w:color w:val="auto"/>
          <w:lang w:val="en-AU"/>
        </w:rPr>
        <w:t xml:space="preserve"> in hospital, in exchange for lower premiums. </w:t>
      </w:r>
      <w:r w:rsidRPr="00886E68">
        <w:rPr>
          <w:lang w:val="en-AU"/>
        </w:rPr>
        <w:t>Most co-payments have a limit on the number of days they apply per stay. It can also be called an overnight excess, daily excess or patient moiety.</w:t>
      </w:r>
    </w:p>
    <w:p w14:paraId="2E664404" w14:textId="77777777" w:rsidR="00AD1E8C" w:rsidRPr="00EC2C9D" w:rsidRDefault="003E0F89" w:rsidP="00473DE9">
      <w:pPr>
        <w:pStyle w:val="Body"/>
        <w:spacing w:after="120"/>
        <w:rPr>
          <w:color w:val="auto"/>
        </w:rPr>
      </w:pPr>
      <w:r w:rsidRPr="00EC2C9D">
        <w:rPr>
          <w:color w:val="auto"/>
          <w:lang w:val="en-AU"/>
        </w:rPr>
        <w:t xml:space="preserve">The application </w:t>
      </w:r>
      <w:r w:rsidR="00E04A5B" w:rsidRPr="00EC2C9D">
        <w:rPr>
          <w:color w:val="auto"/>
          <w:lang w:val="en-AU"/>
        </w:rPr>
        <w:t>of excess</w:t>
      </w:r>
      <w:r w:rsidRPr="00EC2C9D">
        <w:rPr>
          <w:color w:val="auto"/>
          <w:lang w:val="en-AU"/>
        </w:rPr>
        <w:t>es</w:t>
      </w:r>
      <w:r w:rsidR="00E04A5B" w:rsidRPr="00EC2C9D">
        <w:rPr>
          <w:color w:val="auto"/>
          <w:lang w:val="en-AU"/>
        </w:rPr>
        <w:t xml:space="preserve"> and co-payments </w:t>
      </w:r>
      <w:r w:rsidRPr="00EC2C9D">
        <w:rPr>
          <w:color w:val="auto"/>
          <w:lang w:val="en-AU"/>
        </w:rPr>
        <w:t xml:space="preserve">is </w:t>
      </w:r>
      <w:r w:rsidR="00E04A5B" w:rsidRPr="00EC2C9D">
        <w:rPr>
          <w:color w:val="auto"/>
          <w:lang w:val="en-AU"/>
        </w:rPr>
        <w:t xml:space="preserve">not </w:t>
      </w:r>
      <w:r w:rsidR="00C913C0" w:rsidRPr="00EC2C9D">
        <w:rPr>
          <w:color w:val="auto"/>
          <w:lang w:val="en-AU"/>
        </w:rPr>
        <w:t>consistent across insure</w:t>
      </w:r>
      <w:r w:rsidRPr="00EC2C9D">
        <w:rPr>
          <w:color w:val="auto"/>
          <w:lang w:val="en-AU"/>
        </w:rPr>
        <w:t>r</w:t>
      </w:r>
      <w:r w:rsidR="00C913C0" w:rsidRPr="00EC2C9D">
        <w:rPr>
          <w:color w:val="auto"/>
          <w:lang w:val="en-AU"/>
        </w:rPr>
        <w:t>s or products</w:t>
      </w:r>
      <w:r w:rsidR="00EC2C9D" w:rsidRPr="00EC2C9D">
        <w:rPr>
          <w:color w:val="auto"/>
          <w:lang w:val="en-AU"/>
        </w:rPr>
        <w:t>. This makes</w:t>
      </w:r>
      <w:r w:rsidR="00C913C0" w:rsidRPr="00EC2C9D">
        <w:rPr>
          <w:color w:val="auto"/>
          <w:lang w:val="en-AU"/>
        </w:rPr>
        <w:t xml:space="preserve"> it difficult for consumers to understand the total cost of their product, </w:t>
      </w:r>
      <w:r w:rsidR="00EC2C9D" w:rsidRPr="00EC2C9D">
        <w:rPr>
          <w:color w:val="auto"/>
          <w:lang w:val="en-AU"/>
        </w:rPr>
        <w:t xml:space="preserve">which </w:t>
      </w:r>
      <w:r w:rsidR="00C913C0" w:rsidRPr="00EC2C9D">
        <w:rPr>
          <w:color w:val="auto"/>
          <w:lang w:val="en-AU"/>
        </w:rPr>
        <w:t>can vary depending on the number of times they claim</w:t>
      </w:r>
      <w:r w:rsidR="00061CF9" w:rsidRPr="00EC2C9D">
        <w:rPr>
          <w:color w:val="auto"/>
          <w:lang w:val="en-AU"/>
        </w:rPr>
        <w:t>.</w:t>
      </w:r>
    </w:p>
    <w:p w14:paraId="244C2951" w14:textId="77777777" w:rsidR="00250CCF" w:rsidRPr="00636C3F" w:rsidRDefault="00250CCF" w:rsidP="00473DE9">
      <w:pPr>
        <w:pStyle w:val="Body"/>
        <w:spacing w:after="120"/>
      </w:pPr>
      <w:r w:rsidRPr="00636C3F">
        <w:t xml:space="preserve">Further, there </w:t>
      </w:r>
      <w:r w:rsidR="003E0F89" w:rsidRPr="00636C3F">
        <w:t>is</w:t>
      </w:r>
      <w:r w:rsidR="003E0F89">
        <w:t xml:space="preserve"> </w:t>
      </w:r>
      <w:r w:rsidRPr="00636C3F">
        <w:t xml:space="preserve">inconsistency and perceived unfairness in the application of waiving excesses, with some consumers </w:t>
      </w:r>
      <w:r w:rsidR="00FE6564" w:rsidRPr="00636C3F">
        <w:t>provided</w:t>
      </w:r>
      <w:r w:rsidR="00FE6564">
        <w:t xml:space="preserve"> </w:t>
      </w:r>
      <w:r w:rsidR="00FE6564" w:rsidRPr="00636C3F">
        <w:t>with</w:t>
      </w:r>
      <w:r w:rsidR="00FE6564">
        <w:t xml:space="preserve"> </w:t>
      </w:r>
      <w:r w:rsidRPr="00636C3F">
        <w:t>exemptions (e.g</w:t>
      </w:r>
      <w:r w:rsidR="00FE6564" w:rsidRPr="00636C3F">
        <w:t>.</w:t>
      </w:r>
      <w:r w:rsidR="00FE6564">
        <w:t xml:space="preserve"> </w:t>
      </w:r>
      <w:r w:rsidRPr="00636C3F">
        <w:t>depend</w:t>
      </w:r>
      <w:r w:rsidR="00C9249D">
        <w:t>a</w:t>
      </w:r>
      <w:r w:rsidRPr="00636C3F">
        <w:t>nts) and others not.</w:t>
      </w:r>
    </w:p>
    <w:tbl>
      <w:tblPr>
        <w:tblStyle w:val="DepartmentofHealthtable"/>
        <w:tblW w:w="9923" w:type="dxa"/>
        <w:tblInd w:w="-289" w:type="dxa"/>
        <w:tblBorders>
          <w:left w:val="single" w:sz="4" w:space="0" w:color="auto"/>
          <w:right w:val="single" w:sz="4" w:space="0" w:color="auto"/>
          <w:insideH w:val="none" w:sz="0" w:space="0" w:color="auto"/>
        </w:tblBorders>
        <w:tblLayout w:type="fixed"/>
        <w:tblLook w:val="04A0" w:firstRow="1" w:lastRow="0" w:firstColumn="1" w:lastColumn="0" w:noHBand="0" w:noVBand="1"/>
        <w:tblDescription w:val="Add Alt Text describing the content of the table"/>
      </w:tblPr>
      <w:tblGrid>
        <w:gridCol w:w="4961"/>
        <w:gridCol w:w="4962"/>
      </w:tblGrid>
      <w:tr w:rsidR="00F71820" w:rsidRPr="001070A6" w14:paraId="7803F0CE"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23" w:type="dxa"/>
            <w:gridSpan w:val="2"/>
            <w:tcBorders>
              <w:top w:val="single" w:sz="4" w:space="0" w:color="auto"/>
              <w:bottom w:val="single" w:sz="4" w:space="0" w:color="FFFFFF" w:themeColor="background1"/>
            </w:tcBorders>
          </w:tcPr>
          <w:p w14:paraId="18D9D66E" w14:textId="4BB8DA9D" w:rsidR="00F71820" w:rsidRPr="00F71820" w:rsidRDefault="00123190" w:rsidP="00473DE9">
            <w:pPr>
              <w:pStyle w:val="TableHeader"/>
              <w:spacing w:before="120" w:after="120"/>
              <w:rPr>
                <w:sz w:val="20"/>
                <w:szCs w:val="20"/>
              </w:rPr>
            </w:pPr>
            <w:r>
              <w:rPr>
                <w:bCs/>
                <w:iCs/>
                <w:sz w:val="20"/>
                <w:szCs w:val="20"/>
              </w:rPr>
              <w:t xml:space="preserve">PHI </w:t>
            </w:r>
            <w:r w:rsidR="001F312C">
              <w:rPr>
                <w:bCs/>
                <w:iCs/>
                <w:sz w:val="20"/>
                <w:szCs w:val="20"/>
              </w:rPr>
              <w:t xml:space="preserve">Product Simplification </w:t>
            </w:r>
            <w:r w:rsidR="002C398F">
              <w:rPr>
                <w:bCs/>
                <w:iCs/>
                <w:sz w:val="20"/>
                <w:szCs w:val="20"/>
              </w:rPr>
              <w:t xml:space="preserve">Reform </w:t>
            </w:r>
            <w:r w:rsidR="00F71820" w:rsidRPr="00F71820">
              <w:rPr>
                <w:sz w:val="20"/>
                <w:szCs w:val="20"/>
              </w:rPr>
              <w:t xml:space="preserve">Initiative </w:t>
            </w:r>
            <w:r w:rsidR="00224111">
              <w:rPr>
                <w:sz w:val="20"/>
                <w:szCs w:val="20"/>
              </w:rPr>
              <w:t>3</w:t>
            </w:r>
            <w:r w:rsidR="00F71820" w:rsidRPr="00F71820">
              <w:rPr>
                <w:sz w:val="20"/>
                <w:szCs w:val="20"/>
              </w:rPr>
              <w:t>: Excess and co-payment standardisation</w:t>
            </w:r>
          </w:p>
        </w:tc>
      </w:tr>
      <w:tr w:rsidR="00F71820" w:rsidRPr="001070A6" w14:paraId="477D57C8"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FFFFFF" w:themeColor="background1"/>
            </w:tcBorders>
          </w:tcPr>
          <w:p w14:paraId="4A3A0D8A" w14:textId="77777777" w:rsidR="00F71820" w:rsidRPr="001070A6" w:rsidRDefault="00F71820" w:rsidP="00473DE9">
            <w:pPr>
              <w:pStyle w:val="TableHeader"/>
              <w:spacing w:before="120" w:after="120"/>
              <w:rPr>
                <w:sz w:val="20"/>
                <w:szCs w:val="20"/>
              </w:rPr>
            </w:pPr>
            <w:r w:rsidRPr="001070A6">
              <w:rPr>
                <w:sz w:val="20"/>
                <w:szCs w:val="20"/>
              </w:rPr>
              <w:t>Possible solution/s</w:t>
            </w:r>
          </w:p>
        </w:tc>
        <w:tc>
          <w:tcPr>
            <w:tcW w:w="4962" w:type="dxa"/>
            <w:tcBorders>
              <w:top w:val="single" w:sz="4" w:space="0" w:color="FFFFFF" w:themeColor="background1"/>
            </w:tcBorders>
          </w:tcPr>
          <w:p w14:paraId="302646F8" w14:textId="77777777" w:rsidR="00F71820" w:rsidRPr="001070A6" w:rsidRDefault="00F71820" w:rsidP="00473DE9">
            <w:pPr>
              <w:pStyle w:val="TableHeade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1070A6">
              <w:rPr>
                <w:sz w:val="20"/>
                <w:szCs w:val="20"/>
              </w:rPr>
              <w:t>Impact/s</w:t>
            </w:r>
          </w:p>
        </w:tc>
      </w:tr>
      <w:tr w:rsidR="00F71820" w:rsidRPr="001070A6" w14:paraId="1832BCEC" w14:textId="77777777" w:rsidTr="009345DD">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4961" w:type="dxa"/>
            <w:shd w:val="clear" w:color="auto" w:fill="auto"/>
            <w:vAlign w:val="center"/>
          </w:tcPr>
          <w:p w14:paraId="2E9D7CA2" w14:textId="77777777" w:rsidR="00F71820" w:rsidRPr="000C07FE" w:rsidRDefault="00F71820" w:rsidP="009257CE">
            <w:pPr>
              <w:pStyle w:val="ListParagraph"/>
              <w:numPr>
                <w:ilvl w:val="1"/>
                <w:numId w:val="19"/>
              </w:numPr>
              <w:tabs>
                <w:tab w:val="num" w:pos="720"/>
              </w:tabs>
              <w:ind w:left="357" w:hanging="357"/>
              <w:rPr>
                <w:sz w:val="20"/>
                <w:szCs w:val="20"/>
                <w:lang w:eastAsia="en-AU"/>
              </w:rPr>
            </w:pPr>
            <w:r w:rsidRPr="0044645C">
              <w:rPr>
                <w:sz w:val="20"/>
                <w:szCs w:val="20"/>
                <w:lang w:eastAsia="en-AU"/>
              </w:rPr>
              <w:t>Standardise the application of excesses and co-payments, e.g. the maximum annual excess also includes co-payments when calculated</w:t>
            </w:r>
            <w:r w:rsidRPr="000C07FE">
              <w:rPr>
                <w:sz w:val="20"/>
                <w:szCs w:val="20"/>
                <w:lang w:eastAsia="en-AU"/>
              </w:rPr>
              <w:t>.</w:t>
            </w:r>
          </w:p>
          <w:p w14:paraId="6AC318AF" w14:textId="77777777" w:rsidR="00F71820" w:rsidRPr="0044645C" w:rsidRDefault="00F71820" w:rsidP="009257CE">
            <w:pPr>
              <w:pStyle w:val="ListParagraph"/>
              <w:numPr>
                <w:ilvl w:val="1"/>
                <w:numId w:val="19"/>
              </w:numPr>
              <w:tabs>
                <w:tab w:val="num" w:pos="720"/>
              </w:tabs>
              <w:rPr>
                <w:sz w:val="20"/>
                <w:szCs w:val="20"/>
                <w:lang w:eastAsia="en-AU"/>
              </w:rPr>
            </w:pPr>
            <w:r w:rsidRPr="000C07FE">
              <w:rPr>
                <w:sz w:val="20"/>
                <w:szCs w:val="20"/>
                <w:lang w:eastAsia="en-AU"/>
              </w:rPr>
              <w:t>Require</w:t>
            </w:r>
            <w:r w:rsidRPr="0044645C">
              <w:rPr>
                <w:sz w:val="20"/>
                <w:szCs w:val="20"/>
                <w:lang w:eastAsia="en-AU"/>
              </w:rPr>
              <w:t xml:space="preserve"> all insurers to waive excesses in a manner consistent with community rating.</w:t>
            </w:r>
          </w:p>
        </w:tc>
        <w:tc>
          <w:tcPr>
            <w:tcW w:w="4962" w:type="dxa"/>
            <w:shd w:val="clear" w:color="auto" w:fill="auto"/>
            <w:vAlign w:val="center"/>
          </w:tcPr>
          <w:p w14:paraId="5996D680" w14:textId="77777777" w:rsidR="00F71820" w:rsidRPr="0044645C" w:rsidRDefault="00F71820" w:rsidP="009257CE">
            <w:pPr>
              <w:pStyle w:val="ListParagraph"/>
              <w:numPr>
                <w:ilvl w:val="1"/>
                <w:numId w:val="19"/>
              </w:numPr>
              <w:tabs>
                <w:tab w:val="num" w:pos="720"/>
              </w:tabs>
              <w:cnfStyle w:val="000000100000" w:firstRow="0" w:lastRow="0" w:firstColumn="0" w:lastColumn="0" w:oddVBand="0" w:evenVBand="0" w:oddHBand="1" w:evenHBand="0" w:firstRowFirstColumn="0" w:firstRowLastColumn="0" w:lastRowFirstColumn="0" w:lastRowLastColumn="0"/>
              <w:rPr>
                <w:sz w:val="20"/>
                <w:szCs w:val="20"/>
                <w:lang w:eastAsia="en-AU"/>
              </w:rPr>
            </w:pPr>
            <w:r w:rsidRPr="0044645C">
              <w:rPr>
                <w:sz w:val="20"/>
                <w:szCs w:val="20"/>
                <w:lang w:eastAsia="en-AU"/>
              </w:rPr>
              <w:t>Will reduce consumer confusion about potential out-of-pocket costs.</w:t>
            </w:r>
          </w:p>
          <w:p w14:paraId="0AAFE00B" w14:textId="77777777" w:rsidR="00F71820" w:rsidRPr="0044645C" w:rsidRDefault="00F71820" w:rsidP="009257CE">
            <w:pPr>
              <w:pStyle w:val="ListParagraph"/>
              <w:numPr>
                <w:ilvl w:val="1"/>
                <w:numId w:val="19"/>
              </w:numPr>
              <w:tabs>
                <w:tab w:val="num" w:pos="720"/>
              </w:tabs>
              <w:cnfStyle w:val="000000100000" w:firstRow="0" w:lastRow="0" w:firstColumn="0" w:lastColumn="0" w:oddVBand="0" w:evenVBand="0" w:oddHBand="1" w:evenHBand="0" w:firstRowFirstColumn="0" w:firstRowLastColumn="0" w:lastRowFirstColumn="0" w:lastRowLastColumn="0"/>
              <w:rPr>
                <w:sz w:val="20"/>
                <w:szCs w:val="20"/>
                <w:lang w:eastAsia="en-AU"/>
              </w:rPr>
            </w:pPr>
            <w:r w:rsidRPr="0044645C">
              <w:rPr>
                <w:sz w:val="20"/>
                <w:szCs w:val="20"/>
                <w:lang w:eastAsia="en-AU"/>
              </w:rPr>
              <w:t>Will ensure compliance with the community rating principles.</w:t>
            </w:r>
          </w:p>
        </w:tc>
      </w:tr>
    </w:tbl>
    <w:p w14:paraId="6D8662AD" w14:textId="77777777" w:rsidR="00401B9D" w:rsidRDefault="00401B9D" w:rsidP="00473DE9">
      <w:pPr>
        <w:spacing w:line="240" w:lineRule="auto"/>
        <w:rPr>
          <w:rFonts w:cs="Arial"/>
          <w:b/>
          <w:bCs/>
          <w:iCs/>
          <w:color w:val="358189"/>
          <w:szCs w:val="22"/>
          <w:u w:val="single"/>
        </w:rPr>
      </w:pPr>
    </w:p>
    <w:p w14:paraId="578488D9" w14:textId="77777777" w:rsidR="00401B9D" w:rsidRDefault="00401B9D">
      <w:pPr>
        <w:spacing w:before="0" w:after="0" w:line="240" w:lineRule="auto"/>
        <w:rPr>
          <w:rFonts w:cs="Arial"/>
          <w:b/>
          <w:bCs/>
          <w:iCs/>
          <w:color w:val="358189"/>
          <w:szCs w:val="22"/>
          <w:u w:val="single"/>
        </w:rPr>
      </w:pPr>
      <w:r>
        <w:rPr>
          <w:rFonts w:cs="Arial"/>
          <w:b/>
          <w:bCs/>
          <w:iCs/>
          <w:color w:val="358189"/>
          <w:szCs w:val="22"/>
          <w:u w:val="single"/>
        </w:rPr>
        <w:br w:type="page"/>
      </w:r>
    </w:p>
    <w:p w14:paraId="1282CC5E" w14:textId="7D364EA8" w:rsidR="00250CCF" w:rsidRPr="00453818" w:rsidRDefault="001E5552" w:rsidP="008926E0">
      <w:pPr>
        <w:pStyle w:val="Body"/>
        <w:spacing w:before="240" w:after="120"/>
        <w:rPr>
          <w:rFonts w:cs="Arial"/>
          <w:b/>
          <w:bCs/>
          <w:iCs/>
          <w:color w:val="358189"/>
          <w:szCs w:val="22"/>
          <w:u w:val="single"/>
        </w:rPr>
      </w:pPr>
      <w:r w:rsidRPr="00FE4818">
        <w:rPr>
          <w:rFonts w:cs="Arial"/>
          <w:b/>
          <w:bCs/>
          <w:iCs/>
          <w:color w:val="358189"/>
          <w:szCs w:val="22"/>
          <w:u w:val="single"/>
        </w:rPr>
        <w:lastRenderedPageBreak/>
        <w:t>Initiative</w:t>
      </w:r>
      <w:r w:rsidR="00453818" w:rsidRPr="00453818">
        <w:rPr>
          <w:rFonts w:cs="Arial"/>
          <w:b/>
          <w:bCs/>
          <w:iCs/>
          <w:color w:val="358189"/>
          <w:szCs w:val="22"/>
          <w:u w:val="single"/>
        </w:rPr>
        <w:t xml:space="preserve"> </w:t>
      </w:r>
      <w:r w:rsidR="00224111">
        <w:rPr>
          <w:rFonts w:cs="Arial"/>
          <w:b/>
          <w:bCs/>
          <w:iCs/>
          <w:color w:val="358189"/>
          <w:szCs w:val="22"/>
          <w:u w:val="single"/>
        </w:rPr>
        <w:t>4</w:t>
      </w:r>
      <w:r w:rsidR="00453818" w:rsidRPr="00453818">
        <w:rPr>
          <w:rFonts w:cs="Arial"/>
          <w:b/>
          <w:bCs/>
          <w:iCs/>
          <w:color w:val="358189"/>
          <w:szCs w:val="22"/>
          <w:u w:val="single"/>
        </w:rPr>
        <w:t xml:space="preserve">: </w:t>
      </w:r>
      <w:r w:rsidR="00250CCF" w:rsidRPr="00453818">
        <w:rPr>
          <w:rFonts w:cs="Arial"/>
          <w:b/>
          <w:bCs/>
          <w:iCs/>
          <w:color w:val="358189"/>
          <w:szCs w:val="22"/>
          <w:u w:val="single"/>
        </w:rPr>
        <w:t>Ensuring consistency across</w:t>
      </w:r>
      <w:r w:rsidR="00F76543">
        <w:rPr>
          <w:rFonts w:cs="Arial"/>
          <w:b/>
          <w:bCs/>
          <w:iCs/>
          <w:color w:val="358189"/>
          <w:szCs w:val="22"/>
          <w:u w:val="single"/>
        </w:rPr>
        <w:t xml:space="preserve"> PHI</w:t>
      </w:r>
      <w:r w:rsidR="00250CCF" w:rsidRPr="00453818">
        <w:rPr>
          <w:rFonts w:cs="Arial"/>
          <w:b/>
          <w:bCs/>
          <w:iCs/>
          <w:color w:val="358189"/>
          <w:szCs w:val="22"/>
          <w:u w:val="single"/>
        </w:rPr>
        <w:t xml:space="preserve"> premium structures and waiting periods</w:t>
      </w:r>
    </w:p>
    <w:p w14:paraId="3EE6FC54" w14:textId="77777777" w:rsidR="00250CCF" w:rsidRDefault="00250CCF" w:rsidP="00473DE9">
      <w:pPr>
        <w:pStyle w:val="Body"/>
        <w:spacing w:after="120"/>
        <w:rPr>
          <w:b/>
        </w:rPr>
      </w:pPr>
      <w:r w:rsidRPr="00427894">
        <w:t>When selecting</w:t>
      </w:r>
      <w:r>
        <w:t xml:space="preserve"> and maintaining</w:t>
      </w:r>
      <w:r w:rsidRPr="00427894">
        <w:t xml:space="preserve"> a PHI product, the inconsistency and perceived unfairness of the following characteristics of policies further confuse</w:t>
      </w:r>
      <w:r w:rsidRPr="00AC1EE9">
        <w:rPr>
          <w:bCs/>
        </w:rPr>
        <w:t>s</w:t>
      </w:r>
      <w:r w:rsidRPr="00427894">
        <w:t xml:space="preserve"> </w:t>
      </w:r>
      <w:r>
        <w:t>and frustrate</w:t>
      </w:r>
      <w:r w:rsidRPr="00AC1EE9">
        <w:rPr>
          <w:bCs/>
        </w:rPr>
        <w:t>s</w:t>
      </w:r>
      <w:r>
        <w:t xml:space="preserve"> </w:t>
      </w:r>
      <w:r w:rsidRPr="00427894">
        <w:t xml:space="preserve">consumers: </w:t>
      </w:r>
    </w:p>
    <w:p w14:paraId="3E6AF59D" w14:textId="77777777" w:rsidR="00250CCF" w:rsidRPr="00E221B3" w:rsidRDefault="00250CCF" w:rsidP="009257CE">
      <w:pPr>
        <w:pStyle w:val="Body"/>
        <w:numPr>
          <w:ilvl w:val="0"/>
          <w:numId w:val="6"/>
        </w:numPr>
        <w:spacing w:after="120"/>
      </w:pPr>
      <w:r w:rsidRPr="00106E8F">
        <w:t>identical products being charged at different premiums</w:t>
      </w:r>
      <w:r w:rsidRPr="00E221B3">
        <w:t xml:space="preserve"> </w:t>
      </w:r>
      <w:r w:rsidR="0026467B">
        <w:t>(</w:t>
      </w:r>
      <w:r w:rsidRPr="00E221B3">
        <w:t>e.g.</w:t>
      </w:r>
      <w:r w:rsidRPr="00106E8F">
        <w:t xml:space="preserve"> closed products may continue at one premium while new products with the same benefits are offered at a higher premium</w:t>
      </w:r>
      <w:r w:rsidR="0026467B">
        <w:t>)</w:t>
      </w:r>
    </w:p>
    <w:p w14:paraId="285D4C5F" w14:textId="77777777" w:rsidR="00250CCF" w:rsidRPr="00E221B3" w:rsidRDefault="00250CCF" w:rsidP="009257CE">
      <w:pPr>
        <w:pStyle w:val="Body"/>
        <w:numPr>
          <w:ilvl w:val="0"/>
          <w:numId w:val="6"/>
        </w:numPr>
        <w:spacing w:after="120"/>
      </w:pPr>
      <w:r>
        <w:t xml:space="preserve">inconsistent </w:t>
      </w:r>
      <w:r w:rsidRPr="00106E8F">
        <w:t>application of waiving waiting periods</w:t>
      </w:r>
      <w:r w:rsidRPr="00E221B3">
        <w:t xml:space="preserve"> by different insurers</w:t>
      </w:r>
    </w:p>
    <w:p w14:paraId="1E47A52A" w14:textId="77777777" w:rsidR="00250CCF" w:rsidRDefault="00250CCF" w:rsidP="009257CE">
      <w:pPr>
        <w:pStyle w:val="Body"/>
        <w:numPr>
          <w:ilvl w:val="0"/>
          <w:numId w:val="6"/>
        </w:numPr>
        <w:spacing w:after="120"/>
      </w:pPr>
      <w:r>
        <w:t>inconsistent</w:t>
      </w:r>
      <w:r w:rsidRPr="00106E8F">
        <w:t xml:space="preserve"> application of discounting available to consumers, the impact upon premiums for </w:t>
      </w:r>
      <w:r w:rsidR="0099229E" w:rsidRPr="00106E8F">
        <w:t>other</w:t>
      </w:r>
      <w:r w:rsidR="0099229E">
        <w:t xml:space="preserve"> </w:t>
      </w:r>
      <w:r w:rsidRPr="00106E8F">
        <w:t xml:space="preserve">consumers, and </w:t>
      </w:r>
      <w:r w:rsidR="0099229E" w:rsidRPr="00106E8F">
        <w:t>the</w:t>
      </w:r>
      <w:r w:rsidR="0099229E">
        <w:t xml:space="preserve"> </w:t>
      </w:r>
      <w:r w:rsidR="0099229E" w:rsidRPr="00106E8F">
        <w:t>additional</w:t>
      </w:r>
      <w:r w:rsidR="0099229E">
        <w:t xml:space="preserve"> </w:t>
      </w:r>
      <w:r w:rsidRPr="00106E8F">
        <w:t>complexity for products arising from the eligibility criteria</w:t>
      </w:r>
      <w:r>
        <w:t>, and</w:t>
      </w:r>
    </w:p>
    <w:p w14:paraId="3D980F21" w14:textId="77777777" w:rsidR="00250CCF" w:rsidRPr="000708D5" w:rsidRDefault="00250CCF" w:rsidP="009257CE">
      <w:pPr>
        <w:pStyle w:val="Body"/>
        <w:numPr>
          <w:ilvl w:val="0"/>
          <w:numId w:val="6"/>
        </w:numPr>
        <w:spacing w:after="120"/>
        <w:ind w:left="714" w:hanging="357"/>
      </w:pPr>
      <w:r>
        <w:t>s</w:t>
      </w:r>
      <w:r w:rsidRPr="00106E8F">
        <w:t xml:space="preserve">ingle </w:t>
      </w:r>
      <w:r w:rsidR="0099229E" w:rsidRPr="00106E8F">
        <w:t>parents</w:t>
      </w:r>
      <w:r w:rsidR="0099229E">
        <w:t xml:space="preserve"> </w:t>
      </w:r>
      <w:r w:rsidR="0099229E" w:rsidRPr="00106E8F">
        <w:t>may</w:t>
      </w:r>
      <w:r w:rsidR="0099229E">
        <w:t xml:space="preserve"> </w:t>
      </w:r>
      <w:r w:rsidR="0099229E" w:rsidRPr="00106E8F">
        <w:t>pay</w:t>
      </w:r>
      <w:r w:rsidR="0099229E">
        <w:t xml:space="preserve"> </w:t>
      </w:r>
      <w:r w:rsidRPr="00106E8F">
        <w:t xml:space="preserve">substantially </w:t>
      </w:r>
      <w:r w:rsidR="0099229E" w:rsidRPr="00106E8F">
        <w:t>more</w:t>
      </w:r>
      <w:r w:rsidR="0099229E">
        <w:t xml:space="preserve"> </w:t>
      </w:r>
      <w:r w:rsidRPr="00106E8F">
        <w:t>than singles</w:t>
      </w:r>
      <w:r w:rsidR="00C9280C">
        <w:t xml:space="preserve"> without children</w:t>
      </w:r>
      <w:r>
        <w:t>.</w:t>
      </w:r>
    </w:p>
    <w:tbl>
      <w:tblPr>
        <w:tblStyle w:val="DepartmentofHealthtable"/>
        <w:tblW w:w="9923" w:type="dxa"/>
        <w:tblInd w:w="-289" w:type="dxa"/>
        <w:tblBorders>
          <w:left w:val="single" w:sz="4" w:space="0" w:color="auto"/>
          <w:right w:val="single" w:sz="4" w:space="0" w:color="auto"/>
          <w:insideH w:val="none" w:sz="0" w:space="0" w:color="auto"/>
        </w:tblBorders>
        <w:tblLayout w:type="fixed"/>
        <w:tblLook w:val="04A0" w:firstRow="1" w:lastRow="0" w:firstColumn="1" w:lastColumn="0" w:noHBand="0" w:noVBand="1"/>
        <w:tblDescription w:val="Add Alt Text describing the content of the table"/>
      </w:tblPr>
      <w:tblGrid>
        <w:gridCol w:w="4961"/>
        <w:gridCol w:w="4962"/>
      </w:tblGrid>
      <w:tr w:rsidR="00F71820" w:rsidRPr="001070A6" w14:paraId="64A0E3AB"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23" w:type="dxa"/>
            <w:gridSpan w:val="2"/>
            <w:tcBorders>
              <w:top w:val="single" w:sz="4" w:space="0" w:color="auto"/>
              <w:bottom w:val="single" w:sz="4" w:space="0" w:color="FFFFFF" w:themeColor="background1"/>
            </w:tcBorders>
          </w:tcPr>
          <w:p w14:paraId="0D893AC9" w14:textId="12AFB925" w:rsidR="00F71820" w:rsidRPr="001070A6" w:rsidRDefault="00123190" w:rsidP="00473DE9">
            <w:pPr>
              <w:pStyle w:val="TableHeader"/>
              <w:spacing w:before="120" w:after="120"/>
              <w:rPr>
                <w:sz w:val="20"/>
                <w:szCs w:val="20"/>
              </w:rPr>
            </w:pPr>
            <w:r>
              <w:rPr>
                <w:bCs/>
                <w:iCs/>
                <w:sz w:val="20"/>
                <w:szCs w:val="20"/>
              </w:rPr>
              <w:t xml:space="preserve">PHI </w:t>
            </w:r>
            <w:r w:rsidR="001F312C">
              <w:rPr>
                <w:bCs/>
                <w:iCs/>
                <w:sz w:val="20"/>
                <w:szCs w:val="20"/>
              </w:rPr>
              <w:t xml:space="preserve">Product Simplification </w:t>
            </w:r>
            <w:r w:rsidR="002C398F">
              <w:rPr>
                <w:bCs/>
                <w:iCs/>
                <w:sz w:val="20"/>
                <w:szCs w:val="20"/>
              </w:rPr>
              <w:t xml:space="preserve">Reform </w:t>
            </w:r>
            <w:r w:rsidR="00F71820" w:rsidRPr="00F71820">
              <w:rPr>
                <w:sz w:val="20"/>
                <w:szCs w:val="20"/>
              </w:rPr>
              <w:t xml:space="preserve">Initiative </w:t>
            </w:r>
            <w:r w:rsidR="00224111">
              <w:rPr>
                <w:sz w:val="20"/>
                <w:szCs w:val="20"/>
              </w:rPr>
              <w:t>4</w:t>
            </w:r>
            <w:r w:rsidR="00F71820" w:rsidRPr="00F71820">
              <w:rPr>
                <w:sz w:val="20"/>
                <w:szCs w:val="20"/>
              </w:rPr>
              <w:t>: Ensuring consistency across premium structures and waiting periods</w:t>
            </w:r>
          </w:p>
        </w:tc>
      </w:tr>
      <w:tr w:rsidR="00250CCF" w:rsidRPr="001070A6" w14:paraId="243A77DA"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FFFFFF" w:themeColor="background1"/>
            </w:tcBorders>
          </w:tcPr>
          <w:p w14:paraId="0B4B0F3C" w14:textId="77777777" w:rsidR="00250CCF" w:rsidRPr="001070A6" w:rsidRDefault="00250CCF" w:rsidP="00473DE9">
            <w:pPr>
              <w:pStyle w:val="TableHeaderWhite"/>
              <w:spacing w:before="120" w:after="120"/>
              <w:rPr>
                <w:sz w:val="20"/>
                <w:szCs w:val="20"/>
              </w:rPr>
            </w:pPr>
            <w:r w:rsidRPr="001070A6">
              <w:rPr>
                <w:sz w:val="20"/>
                <w:szCs w:val="20"/>
              </w:rPr>
              <w:t>Possible solution/s</w:t>
            </w:r>
          </w:p>
        </w:tc>
        <w:tc>
          <w:tcPr>
            <w:tcW w:w="4962" w:type="dxa"/>
            <w:tcBorders>
              <w:top w:val="single" w:sz="4" w:space="0" w:color="FFFFFF" w:themeColor="background1"/>
            </w:tcBorders>
          </w:tcPr>
          <w:p w14:paraId="59942ACA" w14:textId="77777777" w:rsidR="00250CCF" w:rsidRPr="001070A6" w:rsidRDefault="00250CCF" w:rsidP="00473DE9">
            <w:pPr>
              <w:pStyle w:val="TableHeade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1070A6">
              <w:rPr>
                <w:sz w:val="20"/>
                <w:szCs w:val="20"/>
              </w:rPr>
              <w:t>Impact/s</w:t>
            </w:r>
          </w:p>
        </w:tc>
      </w:tr>
      <w:tr w:rsidR="00250CCF" w:rsidRPr="001070A6" w14:paraId="2558F2FF" w14:textId="77777777" w:rsidTr="009345DD">
        <w:trPr>
          <w:cnfStyle w:val="000000100000" w:firstRow="0" w:lastRow="0" w:firstColumn="0" w:lastColumn="0" w:oddVBand="0" w:evenVBand="0" w:oddHBand="1" w:evenHBand="0" w:firstRowFirstColumn="0" w:firstRowLastColumn="0" w:lastRowFirstColumn="0" w:lastRowLastColumn="0"/>
          <w:trHeight w:val="3272"/>
        </w:trPr>
        <w:tc>
          <w:tcPr>
            <w:cnfStyle w:val="001000000000" w:firstRow="0" w:lastRow="0" w:firstColumn="1" w:lastColumn="0" w:oddVBand="0" w:evenVBand="0" w:oddHBand="0" w:evenHBand="0" w:firstRowFirstColumn="0" w:firstRowLastColumn="0" w:lastRowFirstColumn="0" w:lastRowLastColumn="0"/>
            <w:tcW w:w="4961" w:type="dxa"/>
            <w:shd w:val="clear" w:color="auto" w:fill="auto"/>
            <w:vAlign w:val="center"/>
          </w:tcPr>
          <w:p w14:paraId="7214B252" w14:textId="77777777" w:rsidR="00250CCF" w:rsidRPr="001070A6" w:rsidRDefault="00250CCF" w:rsidP="009257CE">
            <w:pPr>
              <w:pStyle w:val="ListParagraph"/>
              <w:numPr>
                <w:ilvl w:val="1"/>
                <w:numId w:val="19"/>
              </w:numPr>
              <w:tabs>
                <w:tab w:val="num" w:pos="720"/>
              </w:tabs>
              <w:ind w:left="357" w:hanging="357"/>
              <w:rPr>
                <w:rFonts w:eastAsiaTheme="majorEastAsia"/>
                <w:sz w:val="20"/>
                <w:szCs w:val="20"/>
              </w:rPr>
            </w:pPr>
            <w:r w:rsidRPr="001070A6">
              <w:rPr>
                <w:rFonts w:eastAsiaTheme="majorEastAsia"/>
                <w:sz w:val="20"/>
                <w:szCs w:val="20"/>
              </w:rPr>
              <w:t xml:space="preserve">Review and standardise the rules governing </w:t>
            </w:r>
            <w:r w:rsidR="00086372" w:rsidRPr="001070A6">
              <w:rPr>
                <w:rFonts w:eastAsiaTheme="majorEastAsia"/>
                <w:sz w:val="20"/>
                <w:szCs w:val="20"/>
              </w:rPr>
              <w:t>closed</w:t>
            </w:r>
            <w:r w:rsidR="00086372">
              <w:rPr>
                <w:rFonts w:eastAsiaTheme="majorEastAsia"/>
                <w:sz w:val="20"/>
                <w:szCs w:val="20"/>
              </w:rPr>
              <w:t xml:space="preserve"> </w:t>
            </w:r>
            <w:r w:rsidR="00086372" w:rsidRPr="001070A6">
              <w:rPr>
                <w:rFonts w:eastAsiaTheme="majorEastAsia"/>
                <w:sz w:val="20"/>
                <w:szCs w:val="20"/>
              </w:rPr>
              <w:t>and</w:t>
            </w:r>
            <w:r w:rsidR="00086372">
              <w:rPr>
                <w:rFonts w:eastAsiaTheme="majorEastAsia"/>
                <w:sz w:val="20"/>
                <w:szCs w:val="20"/>
              </w:rPr>
              <w:t xml:space="preserve"> </w:t>
            </w:r>
            <w:r w:rsidRPr="001070A6">
              <w:rPr>
                <w:rFonts w:eastAsiaTheme="majorEastAsia"/>
                <w:sz w:val="20"/>
                <w:szCs w:val="20"/>
              </w:rPr>
              <w:t>new products</w:t>
            </w:r>
            <w:r w:rsidR="00086372">
              <w:rPr>
                <w:rFonts w:eastAsiaTheme="majorEastAsia"/>
                <w:sz w:val="20"/>
                <w:szCs w:val="20"/>
              </w:rPr>
              <w:t>,</w:t>
            </w:r>
            <w:r w:rsidRPr="001070A6">
              <w:rPr>
                <w:rFonts w:eastAsiaTheme="majorEastAsia"/>
                <w:sz w:val="20"/>
                <w:szCs w:val="20"/>
              </w:rPr>
              <w:t xml:space="preserve"> including how closed products transition into new products</w:t>
            </w:r>
            <w:r>
              <w:rPr>
                <w:rFonts w:eastAsiaTheme="majorEastAsia"/>
                <w:sz w:val="20"/>
                <w:szCs w:val="20"/>
              </w:rPr>
              <w:t>.</w:t>
            </w:r>
          </w:p>
          <w:p w14:paraId="1F09E29C" w14:textId="77777777" w:rsidR="00250CCF" w:rsidRPr="001070A6" w:rsidRDefault="00250CCF" w:rsidP="009257CE">
            <w:pPr>
              <w:pStyle w:val="ListParagraph"/>
              <w:numPr>
                <w:ilvl w:val="1"/>
                <w:numId w:val="19"/>
              </w:numPr>
              <w:tabs>
                <w:tab w:val="num" w:pos="720"/>
              </w:tabs>
              <w:ind w:left="357" w:hanging="357"/>
              <w:rPr>
                <w:rFonts w:eastAsiaTheme="majorEastAsia"/>
                <w:sz w:val="20"/>
                <w:szCs w:val="20"/>
              </w:rPr>
            </w:pPr>
            <w:r w:rsidRPr="001070A6">
              <w:rPr>
                <w:rFonts w:eastAsiaTheme="majorEastAsia"/>
                <w:sz w:val="20"/>
                <w:szCs w:val="20"/>
              </w:rPr>
              <w:t>Review and standardise the rules governing applying or waiving waiting periods</w:t>
            </w:r>
            <w:r>
              <w:rPr>
                <w:rFonts w:eastAsiaTheme="majorEastAsia"/>
                <w:sz w:val="20"/>
                <w:szCs w:val="20"/>
              </w:rPr>
              <w:t>.</w:t>
            </w:r>
          </w:p>
          <w:p w14:paraId="59474706" w14:textId="77777777" w:rsidR="00250CCF" w:rsidRPr="001070A6" w:rsidRDefault="00250CCF" w:rsidP="009257CE">
            <w:pPr>
              <w:pStyle w:val="ListParagraph"/>
              <w:numPr>
                <w:ilvl w:val="1"/>
                <w:numId w:val="19"/>
              </w:numPr>
              <w:tabs>
                <w:tab w:val="num" w:pos="720"/>
              </w:tabs>
              <w:ind w:left="357" w:hanging="357"/>
              <w:rPr>
                <w:rFonts w:eastAsiaTheme="majorEastAsia"/>
                <w:sz w:val="20"/>
                <w:szCs w:val="20"/>
              </w:rPr>
            </w:pPr>
            <w:r w:rsidRPr="001070A6">
              <w:rPr>
                <w:rFonts w:eastAsiaTheme="majorEastAsia"/>
                <w:sz w:val="20"/>
                <w:szCs w:val="20"/>
              </w:rPr>
              <w:t>Simplify the eligibility criteria</w:t>
            </w:r>
            <w:r w:rsidR="0E7F163A" w:rsidRPr="6C00E755">
              <w:rPr>
                <w:rFonts w:eastAsiaTheme="majorEastAsia"/>
                <w:sz w:val="20"/>
                <w:szCs w:val="20"/>
              </w:rPr>
              <w:t xml:space="preserve"> for discounting</w:t>
            </w:r>
            <w:r>
              <w:rPr>
                <w:rFonts w:eastAsiaTheme="majorEastAsia"/>
                <w:sz w:val="20"/>
                <w:szCs w:val="20"/>
              </w:rPr>
              <w:t>.</w:t>
            </w:r>
          </w:p>
          <w:p w14:paraId="1E7C8E8B" w14:textId="77777777" w:rsidR="00250CCF" w:rsidRPr="001070A6" w:rsidRDefault="00250CCF" w:rsidP="009257CE">
            <w:pPr>
              <w:pStyle w:val="ListParagraph"/>
              <w:numPr>
                <w:ilvl w:val="1"/>
                <w:numId w:val="19"/>
              </w:numPr>
              <w:tabs>
                <w:tab w:val="num" w:pos="720"/>
              </w:tabs>
              <w:ind w:left="357" w:hanging="357"/>
              <w:rPr>
                <w:rFonts w:eastAsiaTheme="majorEastAsia"/>
                <w:sz w:val="20"/>
                <w:szCs w:val="20"/>
              </w:rPr>
            </w:pPr>
            <w:r w:rsidRPr="001070A6">
              <w:rPr>
                <w:rFonts w:eastAsiaTheme="majorEastAsia"/>
                <w:sz w:val="20"/>
                <w:szCs w:val="20"/>
              </w:rPr>
              <w:t>Standardise the amount of discount</w:t>
            </w:r>
            <w:r w:rsidR="00E4331E">
              <w:rPr>
                <w:rFonts w:eastAsiaTheme="majorEastAsia"/>
                <w:sz w:val="20"/>
                <w:szCs w:val="20"/>
              </w:rPr>
              <w:t>,</w:t>
            </w:r>
            <w:r w:rsidRPr="001070A6">
              <w:rPr>
                <w:rFonts w:eastAsiaTheme="majorEastAsia"/>
                <w:sz w:val="20"/>
                <w:szCs w:val="20"/>
              </w:rPr>
              <w:t xml:space="preserve"> including how a </w:t>
            </w:r>
            <w:r w:rsidR="00865F7A" w:rsidRPr="001070A6">
              <w:rPr>
                <w:rFonts w:eastAsiaTheme="majorEastAsia"/>
                <w:sz w:val="20"/>
                <w:szCs w:val="20"/>
              </w:rPr>
              <w:t>discount</w:t>
            </w:r>
            <w:r w:rsidR="00865F7A">
              <w:rPr>
                <w:rFonts w:eastAsiaTheme="majorEastAsia"/>
                <w:sz w:val="20"/>
                <w:szCs w:val="20"/>
              </w:rPr>
              <w:t xml:space="preserve"> </w:t>
            </w:r>
            <w:r w:rsidRPr="001070A6">
              <w:rPr>
                <w:rFonts w:eastAsiaTheme="majorEastAsia"/>
                <w:sz w:val="20"/>
                <w:szCs w:val="20"/>
              </w:rPr>
              <w:t>is offered or removing the flexibility for insurers to offer discounts</w:t>
            </w:r>
            <w:r>
              <w:rPr>
                <w:rFonts w:eastAsiaTheme="majorEastAsia"/>
                <w:sz w:val="20"/>
                <w:szCs w:val="20"/>
              </w:rPr>
              <w:t>.</w:t>
            </w:r>
          </w:p>
          <w:p w14:paraId="2B752A69" w14:textId="77777777" w:rsidR="00250CCF" w:rsidRPr="001070A6" w:rsidRDefault="00250CCF" w:rsidP="009257CE">
            <w:pPr>
              <w:pStyle w:val="ListParagraph"/>
              <w:numPr>
                <w:ilvl w:val="1"/>
                <w:numId w:val="19"/>
              </w:numPr>
              <w:tabs>
                <w:tab w:val="num" w:pos="720"/>
              </w:tabs>
              <w:ind w:left="357" w:hanging="357"/>
              <w:rPr>
                <w:rFonts w:eastAsiaTheme="majorEastAsia"/>
                <w:sz w:val="20"/>
                <w:szCs w:val="20"/>
              </w:rPr>
            </w:pPr>
            <w:r w:rsidRPr="001070A6">
              <w:rPr>
                <w:rFonts w:eastAsiaTheme="majorEastAsia"/>
                <w:sz w:val="20"/>
                <w:szCs w:val="20"/>
              </w:rPr>
              <w:t>Consider reforms to pricing rules for single parent policies to align with community rating principles.</w:t>
            </w:r>
          </w:p>
        </w:tc>
        <w:tc>
          <w:tcPr>
            <w:tcW w:w="4962" w:type="dxa"/>
            <w:shd w:val="clear" w:color="auto" w:fill="auto"/>
            <w:vAlign w:val="center"/>
          </w:tcPr>
          <w:p w14:paraId="48E8D5A9" w14:textId="4E33CAC0" w:rsidR="00250CCF" w:rsidRPr="001070A6" w:rsidRDefault="00250CCF" w:rsidP="009257CE">
            <w:pPr>
              <w:pStyle w:val="ListParagraph"/>
              <w:numPr>
                <w:ilvl w:val="1"/>
                <w:numId w:val="19"/>
              </w:numPr>
              <w:tabs>
                <w:tab w:val="num" w:pos="720"/>
              </w:tabs>
              <w:ind w:left="357" w:hanging="357"/>
              <w:cnfStyle w:val="000000100000" w:firstRow="0" w:lastRow="0" w:firstColumn="0" w:lastColumn="0" w:oddVBand="0" w:evenVBand="0" w:oddHBand="1" w:evenHBand="0" w:firstRowFirstColumn="0" w:firstRowLastColumn="0" w:lastRowFirstColumn="0" w:lastRowLastColumn="0"/>
              <w:rPr>
                <w:rFonts w:eastAsiaTheme="majorEastAsia"/>
                <w:sz w:val="20"/>
                <w:szCs w:val="20"/>
              </w:rPr>
            </w:pPr>
            <w:r w:rsidRPr="001070A6">
              <w:rPr>
                <w:rFonts w:eastAsiaTheme="majorEastAsia"/>
                <w:sz w:val="20"/>
                <w:szCs w:val="20"/>
              </w:rPr>
              <w:t xml:space="preserve">Will improve transparency around pricing of identical or </w:t>
            </w:r>
            <w:r w:rsidR="00BB614B" w:rsidRPr="001070A6">
              <w:rPr>
                <w:rFonts w:eastAsiaTheme="majorEastAsia"/>
                <w:sz w:val="20"/>
                <w:szCs w:val="20"/>
              </w:rPr>
              <w:t>comparable products</w:t>
            </w:r>
            <w:r>
              <w:rPr>
                <w:rFonts w:eastAsiaTheme="majorEastAsia"/>
                <w:sz w:val="20"/>
                <w:szCs w:val="20"/>
              </w:rPr>
              <w:t>.</w:t>
            </w:r>
            <w:r w:rsidRPr="001070A6">
              <w:rPr>
                <w:rFonts w:eastAsiaTheme="majorEastAsia"/>
                <w:sz w:val="20"/>
                <w:szCs w:val="20"/>
              </w:rPr>
              <w:t xml:space="preserve"> </w:t>
            </w:r>
          </w:p>
          <w:p w14:paraId="2759943B" w14:textId="77777777" w:rsidR="00250CCF" w:rsidRPr="001070A6" w:rsidRDefault="00250CCF" w:rsidP="009257CE">
            <w:pPr>
              <w:pStyle w:val="ListParagraph"/>
              <w:numPr>
                <w:ilvl w:val="1"/>
                <w:numId w:val="19"/>
              </w:numPr>
              <w:tabs>
                <w:tab w:val="num" w:pos="720"/>
              </w:tabs>
              <w:ind w:left="357" w:hanging="357"/>
              <w:cnfStyle w:val="000000100000" w:firstRow="0" w:lastRow="0" w:firstColumn="0" w:lastColumn="0" w:oddVBand="0" w:evenVBand="0" w:oddHBand="1" w:evenHBand="0" w:firstRowFirstColumn="0" w:firstRowLastColumn="0" w:lastRowFirstColumn="0" w:lastRowLastColumn="0"/>
              <w:rPr>
                <w:rFonts w:eastAsiaTheme="majorEastAsia"/>
                <w:sz w:val="20"/>
                <w:szCs w:val="20"/>
              </w:rPr>
            </w:pPr>
            <w:r w:rsidRPr="001070A6">
              <w:rPr>
                <w:rFonts w:eastAsiaTheme="majorEastAsia"/>
                <w:sz w:val="20"/>
                <w:szCs w:val="20"/>
              </w:rPr>
              <w:t>Will increase the ability of consumers to compare products across insurers and transfer between insurers</w:t>
            </w:r>
            <w:r>
              <w:rPr>
                <w:rFonts w:eastAsiaTheme="majorEastAsia"/>
                <w:sz w:val="20"/>
                <w:szCs w:val="20"/>
              </w:rPr>
              <w:t>.</w:t>
            </w:r>
          </w:p>
          <w:p w14:paraId="32985B20" w14:textId="77777777" w:rsidR="00250CCF" w:rsidRPr="001070A6" w:rsidRDefault="00250CCF" w:rsidP="009257CE">
            <w:pPr>
              <w:pStyle w:val="ListParagraph"/>
              <w:numPr>
                <w:ilvl w:val="1"/>
                <w:numId w:val="19"/>
              </w:numPr>
              <w:tabs>
                <w:tab w:val="num" w:pos="720"/>
              </w:tabs>
              <w:ind w:left="357" w:hanging="357"/>
              <w:cnfStyle w:val="000000100000" w:firstRow="0" w:lastRow="0" w:firstColumn="0" w:lastColumn="0" w:oddVBand="0" w:evenVBand="0" w:oddHBand="1" w:evenHBand="0" w:firstRowFirstColumn="0" w:firstRowLastColumn="0" w:lastRowFirstColumn="0" w:lastRowLastColumn="0"/>
              <w:rPr>
                <w:rFonts w:eastAsiaTheme="majorEastAsia"/>
                <w:sz w:val="20"/>
                <w:szCs w:val="20"/>
              </w:rPr>
            </w:pPr>
            <w:r w:rsidRPr="001070A6">
              <w:rPr>
                <w:rFonts w:eastAsiaTheme="majorEastAsia"/>
                <w:sz w:val="20"/>
                <w:szCs w:val="20"/>
              </w:rPr>
              <w:t xml:space="preserve">Will reduce insurer flexibility in marketing products. </w:t>
            </w:r>
          </w:p>
          <w:p w14:paraId="19EC9D3D" w14:textId="77777777" w:rsidR="00250CCF" w:rsidRPr="0044645C" w:rsidRDefault="00250CCF" w:rsidP="009257CE">
            <w:pPr>
              <w:pStyle w:val="ListParagraph"/>
              <w:numPr>
                <w:ilvl w:val="1"/>
                <w:numId w:val="19"/>
              </w:numPr>
              <w:tabs>
                <w:tab w:val="num" w:pos="720"/>
              </w:tabs>
              <w:ind w:left="357" w:hanging="357"/>
              <w:cnfStyle w:val="000000100000" w:firstRow="0" w:lastRow="0" w:firstColumn="0" w:lastColumn="0" w:oddVBand="0" w:evenVBand="0" w:oddHBand="1" w:evenHBand="0" w:firstRowFirstColumn="0" w:firstRowLastColumn="0" w:lastRowFirstColumn="0" w:lastRowLastColumn="0"/>
              <w:rPr>
                <w:sz w:val="20"/>
                <w:szCs w:val="20"/>
                <w:lang w:eastAsia="en-AU"/>
              </w:rPr>
            </w:pPr>
            <w:r w:rsidRPr="001070A6">
              <w:rPr>
                <w:rFonts w:eastAsiaTheme="majorEastAsia"/>
                <w:sz w:val="20"/>
                <w:szCs w:val="20"/>
              </w:rPr>
              <w:t>Will increase equity and accessibility among consumers such as single parents</w:t>
            </w:r>
            <w:r>
              <w:rPr>
                <w:rFonts w:eastAsiaTheme="majorEastAsia"/>
                <w:sz w:val="20"/>
                <w:szCs w:val="20"/>
              </w:rPr>
              <w:t>.</w:t>
            </w:r>
          </w:p>
        </w:tc>
      </w:tr>
    </w:tbl>
    <w:p w14:paraId="606EDF33" w14:textId="77777777" w:rsidR="00965E6D" w:rsidRDefault="00965E6D" w:rsidP="00473DE9">
      <w:pPr>
        <w:spacing w:line="240" w:lineRule="auto"/>
        <w:rPr>
          <w:rFonts w:cs="Arial"/>
          <w:b/>
          <w:bCs/>
          <w:iCs/>
          <w:color w:val="358189"/>
          <w:sz w:val="36"/>
          <w:szCs w:val="28"/>
        </w:rPr>
      </w:pPr>
    </w:p>
    <w:p w14:paraId="18759B12" w14:textId="77777777" w:rsidR="00142E4D" w:rsidRDefault="00142E4D">
      <w:pPr>
        <w:spacing w:before="0" w:after="0" w:line="240" w:lineRule="auto"/>
        <w:rPr>
          <w:rFonts w:cs="Arial"/>
          <w:b/>
          <w:bCs/>
          <w:iCs/>
          <w:color w:val="358189"/>
          <w:sz w:val="36"/>
          <w:szCs w:val="28"/>
        </w:rPr>
      </w:pPr>
      <w:r>
        <w:br w:type="page"/>
      </w:r>
    </w:p>
    <w:p w14:paraId="72CAB875" w14:textId="77777777" w:rsidR="00250CCF" w:rsidRPr="00250CCF" w:rsidRDefault="6EA042A2" w:rsidP="00651D4E">
      <w:pPr>
        <w:pStyle w:val="Heading2"/>
        <w:numPr>
          <w:ilvl w:val="1"/>
          <w:numId w:val="14"/>
        </w:numPr>
        <w:spacing w:after="120"/>
        <w:ind w:left="601" w:hanging="601"/>
      </w:pPr>
      <w:bookmarkStart w:id="69" w:name="_Toc233805049"/>
      <w:r>
        <w:lastRenderedPageBreak/>
        <w:t xml:space="preserve">Risk </w:t>
      </w:r>
      <w:r w:rsidR="008D2297">
        <w:t>E</w:t>
      </w:r>
      <w:r>
        <w:t>qualisation</w:t>
      </w:r>
      <w:bookmarkEnd w:id="69"/>
    </w:p>
    <w:tbl>
      <w:tblPr>
        <w:tblStyle w:val="DepartmentofHealthtable"/>
        <w:tblW w:w="9951" w:type="dxa"/>
        <w:tblInd w:w="-289" w:type="dxa"/>
        <w:tblBorders>
          <w:left w:val="single" w:sz="4" w:space="0" w:color="auto"/>
          <w:right w:val="single" w:sz="4" w:space="0" w:color="auto"/>
          <w:insideV w:val="single" w:sz="4" w:space="0" w:color="auto"/>
        </w:tblBorders>
        <w:tblLayout w:type="fixed"/>
        <w:tblLook w:val="04A0" w:firstRow="1" w:lastRow="0" w:firstColumn="1" w:lastColumn="0" w:noHBand="0" w:noVBand="1"/>
      </w:tblPr>
      <w:tblGrid>
        <w:gridCol w:w="5104"/>
        <w:gridCol w:w="4847"/>
      </w:tblGrid>
      <w:tr w:rsidR="00C5241A" w:rsidRPr="00743A39" w14:paraId="1143A7FD" w14:textId="77777777" w:rsidTr="087E9F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51" w:type="dxa"/>
            <w:gridSpan w:val="2"/>
            <w:tcBorders>
              <w:bottom w:val="single" w:sz="4" w:space="0" w:color="FFFFFF" w:themeColor="background1"/>
            </w:tcBorders>
          </w:tcPr>
          <w:p w14:paraId="6613662D" w14:textId="77777777" w:rsidR="00C5241A" w:rsidRPr="00743A39" w:rsidRDefault="00C5241A" w:rsidP="00473DE9">
            <w:pPr>
              <w:rPr>
                <w:rFonts w:eastAsia="Cambria"/>
                <w:b/>
                <w:color w:val="FFFFFF"/>
                <w:sz w:val="20"/>
                <w:szCs w:val="20"/>
                <w:lang w:val="en-US" w:eastAsia="en-AU"/>
              </w:rPr>
            </w:pPr>
            <w:r w:rsidRPr="00743A39">
              <w:rPr>
                <w:rFonts w:eastAsia="Cambria"/>
                <w:b/>
                <w:color w:val="FFFFFF"/>
                <w:sz w:val="20"/>
                <w:szCs w:val="20"/>
                <w:lang w:val="en-US" w:eastAsia="en-AU"/>
              </w:rPr>
              <w:t xml:space="preserve">SUMMARY: </w:t>
            </w:r>
            <w:r w:rsidRPr="00743A39">
              <w:rPr>
                <w:rFonts w:eastAsia="Cambria"/>
                <w:b/>
                <w:bCs/>
                <w:iCs/>
                <w:color w:val="FFFFFF"/>
                <w:sz w:val="20"/>
                <w:szCs w:val="20"/>
                <w:lang w:eastAsia="en-AU"/>
              </w:rPr>
              <w:t>Risk Equalisation</w:t>
            </w:r>
          </w:p>
        </w:tc>
      </w:tr>
      <w:tr w:rsidR="00C5241A" w:rsidRPr="00743A39" w14:paraId="0F0C7F7B" w14:textId="77777777" w:rsidTr="087E9F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4" w:type="dxa"/>
            <w:tcBorders>
              <w:top w:val="single" w:sz="4" w:space="0" w:color="FFFFFF" w:themeColor="background1"/>
            </w:tcBorders>
          </w:tcPr>
          <w:p w14:paraId="6B904E01" w14:textId="77777777" w:rsidR="00C5241A" w:rsidRPr="00743A39" w:rsidRDefault="00C5241A" w:rsidP="00473DE9">
            <w:pPr>
              <w:rPr>
                <w:rFonts w:eastAsia="Cambria"/>
                <w:b/>
                <w:color w:val="FFFFFF"/>
                <w:sz w:val="20"/>
                <w:szCs w:val="20"/>
                <w:lang w:val="en-US" w:eastAsia="en-AU"/>
              </w:rPr>
            </w:pPr>
            <w:r w:rsidRPr="00743A39">
              <w:rPr>
                <w:rFonts w:eastAsia="Cambria"/>
                <w:b/>
                <w:color w:val="FFFFFF"/>
                <w:sz w:val="20"/>
                <w:szCs w:val="20"/>
                <w:lang w:val="en-US" w:eastAsia="en-AU"/>
              </w:rPr>
              <w:t>Proposed reform initiative for implementation</w:t>
            </w:r>
          </w:p>
        </w:tc>
        <w:tc>
          <w:tcPr>
            <w:tcW w:w="4847" w:type="dxa"/>
            <w:tcBorders>
              <w:top w:val="single" w:sz="4" w:space="0" w:color="FFFFFF" w:themeColor="background1"/>
            </w:tcBorders>
          </w:tcPr>
          <w:p w14:paraId="1A0D65F1" w14:textId="77777777" w:rsidR="00C5241A" w:rsidRPr="00743A39" w:rsidRDefault="00C5241A" w:rsidP="00473DE9">
            <w:pPr>
              <w:cnfStyle w:val="100000000000" w:firstRow="1" w:lastRow="0" w:firstColumn="0" w:lastColumn="0" w:oddVBand="0" w:evenVBand="0" w:oddHBand="0" w:evenHBand="0" w:firstRowFirstColumn="0" w:firstRowLastColumn="0" w:lastRowFirstColumn="0" w:lastRowLastColumn="0"/>
              <w:rPr>
                <w:rFonts w:eastAsia="Cambria"/>
                <w:b/>
                <w:color w:val="FFFFFF"/>
                <w:sz w:val="20"/>
                <w:szCs w:val="20"/>
                <w:lang w:val="en-US" w:eastAsia="en-AU"/>
              </w:rPr>
            </w:pPr>
            <w:r w:rsidRPr="00743A39">
              <w:rPr>
                <w:rFonts w:eastAsia="Cambria"/>
                <w:b/>
                <w:color w:val="FFFFFF"/>
                <w:sz w:val="20"/>
                <w:szCs w:val="20"/>
                <w:lang w:val="en-US" w:eastAsia="en-AU"/>
              </w:rPr>
              <w:t>Mechanism for implementation</w:t>
            </w:r>
          </w:p>
        </w:tc>
      </w:tr>
      <w:tr w:rsidR="00C5241A" w:rsidRPr="00743A39" w14:paraId="76A396EA" w14:textId="77777777" w:rsidTr="087E9FDE">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5104" w:type="dxa"/>
            <w:shd w:val="clear" w:color="auto" w:fill="auto"/>
            <w:vAlign w:val="center"/>
          </w:tcPr>
          <w:p w14:paraId="6D835C9C" w14:textId="77777777" w:rsidR="00C5241A" w:rsidRPr="00743A39" w:rsidRDefault="00C5241A" w:rsidP="00473DE9">
            <w:pPr>
              <w:rPr>
                <w:color w:val="000000"/>
                <w:sz w:val="20"/>
                <w:szCs w:val="20"/>
                <w:lang w:val="en-US" w:eastAsia="en-AU"/>
              </w:rPr>
            </w:pPr>
            <w:r w:rsidRPr="00743A39">
              <w:rPr>
                <w:b/>
                <w:bCs/>
                <w:color w:val="000000"/>
                <w:sz w:val="20"/>
                <w:szCs w:val="20"/>
                <w:lang w:eastAsia="en-AU"/>
              </w:rPr>
              <w:t>Initiative 1:</w:t>
            </w:r>
            <w:r w:rsidRPr="00743A39">
              <w:rPr>
                <w:color w:val="000000"/>
                <w:sz w:val="20"/>
                <w:szCs w:val="20"/>
                <w:lang w:eastAsia="en-AU"/>
              </w:rPr>
              <w:t xml:space="preserve"> </w:t>
            </w:r>
            <w:r w:rsidRPr="00743A39">
              <w:rPr>
                <w:color w:val="000000"/>
                <w:sz w:val="20"/>
                <w:szCs w:val="20"/>
                <w:lang w:val="en-US" w:eastAsia="en-AU"/>
              </w:rPr>
              <w:t xml:space="preserve">Introduction of </w:t>
            </w:r>
            <w:r w:rsidRPr="00743A39">
              <w:rPr>
                <w:color w:val="000000"/>
                <w:sz w:val="20"/>
                <w:szCs w:val="20"/>
                <w:lang w:eastAsia="en-AU"/>
              </w:rPr>
              <w:t>New Risk Equalisation pool arrangements for maternity and mental health care.</w:t>
            </w:r>
          </w:p>
        </w:tc>
        <w:tc>
          <w:tcPr>
            <w:tcW w:w="4847" w:type="dxa"/>
            <w:vMerge w:val="restart"/>
            <w:shd w:val="clear" w:color="auto" w:fill="auto"/>
            <w:vAlign w:val="center"/>
          </w:tcPr>
          <w:p w14:paraId="6384BF16" w14:textId="77777777" w:rsidR="00C5241A" w:rsidRPr="00743A39" w:rsidRDefault="00C5241A" w:rsidP="00473DE9">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en-AU"/>
              </w:rPr>
            </w:pPr>
            <w:r>
              <w:rPr>
                <w:color w:val="000000"/>
                <w:sz w:val="20"/>
                <w:szCs w:val="20"/>
                <w:lang w:val="en-US" w:eastAsia="en-AU"/>
              </w:rPr>
              <w:t>Changes to</w:t>
            </w:r>
            <w:r w:rsidRPr="00743A39">
              <w:rPr>
                <w:color w:val="000000"/>
                <w:sz w:val="20"/>
                <w:szCs w:val="20"/>
                <w:lang w:val="en-US" w:eastAsia="en-AU"/>
              </w:rPr>
              <w:t xml:space="preserve"> </w:t>
            </w:r>
            <w:r>
              <w:rPr>
                <w:i/>
                <w:iCs/>
                <w:color w:val="000000"/>
                <w:sz w:val="20"/>
                <w:szCs w:val="20"/>
                <w:lang w:val="en-US" w:eastAsia="en-AU"/>
              </w:rPr>
              <w:t>Private</w:t>
            </w:r>
            <w:r w:rsidRPr="00A314A0">
              <w:rPr>
                <w:i/>
                <w:iCs/>
                <w:color w:val="000000"/>
                <w:sz w:val="20"/>
                <w:szCs w:val="20"/>
                <w:lang w:eastAsia="en-AU"/>
              </w:rPr>
              <w:t xml:space="preserve"> Health Insurance (Risk Equalisation Policy) Rule</w:t>
            </w:r>
            <w:r>
              <w:rPr>
                <w:i/>
                <w:iCs/>
                <w:color w:val="000000"/>
                <w:sz w:val="20"/>
                <w:szCs w:val="20"/>
                <w:lang w:eastAsia="en-AU"/>
              </w:rPr>
              <w:t>s</w:t>
            </w:r>
            <w:r w:rsidRPr="00A314A0">
              <w:rPr>
                <w:i/>
                <w:iCs/>
                <w:color w:val="000000"/>
                <w:sz w:val="20"/>
                <w:szCs w:val="20"/>
                <w:lang w:eastAsia="en-AU"/>
              </w:rPr>
              <w:t xml:space="preserve"> 2025</w:t>
            </w:r>
            <w:r w:rsidR="003628FD">
              <w:rPr>
                <w:i/>
                <w:iCs/>
                <w:color w:val="000000"/>
                <w:sz w:val="20"/>
                <w:szCs w:val="20"/>
                <w:lang w:eastAsia="en-AU"/>
              </w:rPr>
              <w:t>.</w:t>
            </w:r>
          </w:p>
        </w:tc>
      </w:tr>
      <w:tr w:rsidR="00C5241A" w:rsidRPr="00743A39" w14:paraId="19E4F5B3" w14:textId="77777777" w:rsidTr="087E9FDE">
        <w:trPr>
          <w:cnfStyle w:val="000000010000" w:firstRow="0" w:lastRow="0" w:firstColumn="0" w:lastColumn="0" w:oddVBand="0" w:evenVBand="0" w:oddHBand="0" w:evenHBand="1"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5104" w:type="dxa"/>
            <w:shd w:val="clear" w:color="auto" w:fill="auto"/>
            <w:vAlign w:val="center"/>
          </w:tcPr>
          <w:p w14:paraId="7CE18CBC" w14:textId="77777777" w:rsidR="00C5241A" w:rsidRPr="00743A39" w:rsidRDefault="00C5241A" w:rsidP="00473DE9">
            <w:pPr>
              <w:rPr>
                <w:color w:val="000000"/>
                <w:sz w:val="20"/>
                <w:szCs w:val="20"/>
                <w:lang w:val="en-US" w:eastAsia="en-AU"/>
              </w:rPr>
            </w:pPr>
            <w:r w:rsidRPr="00743A39">
              <w:rPr>
                <w:b/>
                <w:bCs/>
                <w:color w:val="000000"/>
                <w:sz w:val="20"/>
                <w:szCs w:val="20"/>
                <w:lang w:eastAsia="en-AU"/>
              </w:rPr>
              <w:t>Initiative 2:</w:t>
            </w:r>
            <w:r w:rsidRPr="00743A39">
              <w:rPr>
                <w:color w:val="000000"/>
                <w:sz w:val="20"/>
                <w:szCs w:val="20"/>
                <w:lang w:eastAsia="en-AU"/>
              </w:rPr>
              <w:t xml:space="preserve"> Recalibration of existing mechanisms for</w:t>
            </w:r>
            <w:r w:rsidRPr="00743A39">
              <w:rPr>
                <w:b/>
                <w:bCs/>
                <w:color w:val="000000"/>
                <w:sz w:val="20"/>
                <w:szCs w:val="20"/>
                <w:lang w:eastAsia="en-AU"/>
              </w:rPr>
              <w:t xml:space="preserve"> </w:t>
            </w:r>
            <w:r w:rsidRPr="00743A39">
              <w:rPr>
                <w:color w:val="000000"/>
                <w:sz w:val="20"/>
                <w:szCs w:val="20"/>
                <w:lang w:eastAsia="en-AU"/>
              </w:rPr>
              <w:t>younger age cohorts covered by Gold tier.</w:t>
            </w:r>
          </w:p>
        </w:tc>
        <w:tc>
          <w:tcPr>
            <w:tcW w:w="4847" w:type="dxa"/>
            <w:vMerge/>
            <w:vAlign w:val="center"/>
          </w:tcPr>
          <w:p w14:paraId="73E100B4" w14:textId="77777777" w:rsidR="00C5241A" w:rsidRPr="00743A39" w:rsidRDefault="00C5241A" w:rsidP="00473DE9">
            <w:pPr>
              <w:cnfStyle w:val="000000010000" w:firstRow="0" w:lastRow="0" w:firstColumn="0" w:lastColumn="0" w:oddVBand="0" w:evenVBand="0" w:oddHBand="0" w:evenHBand="1" w:firstRowFirstColumn="0" w:firstRowLastColumn="0" w:lastRowFirstColumn="0" w:lastRowLastColumn="0"/>
              <w:rPr>
                <w:color w:val="000000"/>
                <w:sz w:val="20"/>
                <w:szCs w:val="20"/>
                <w:lang w:val="en-US" w:eastAsia="en-AU"/>
              </w:rPr>
            </w:pPr>
          </w:p>
        </w:tc>
      </w:tr>
      <w:tr w:rsidR="00743A39" w:rsidRPr="00743A39" w14:paraId="00FF1AC7" w14:textId="77777777" w:rsidTr="087E9FD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3F4A75" w:themeFill="accent1"/>
          </w:tcPr>
          <w:p w14:paraId="7FB294B0" w14:textId="77777777" w:rsidR="00743A39" w:rsidRPr="00743A39" w:rsidRDefault="00743A39" w:rsidP="00473DE9">
            <w:pPr>
              <w:rPr>
                <w:color w:val="000000"/>
                <w:sz w:val="20"/>
                <w:szCs w:val="20"/>
                <w:lang w:val="en-US" w:eastAsia="en-AU"/>
              </w:rPr>
            </w:pPr>
            <w:r w:rsidRPr="00743A39">
              <w:rPr>
                <w:rFonts w:eastAsia="Cambria"/>
                <w:b/>
                <w:color w:val="FFFFFF"/>
                <w:sz w:val="20"/>
                <w:szCs w:val="20"/>
                <w:lang w:val="en-US" w:eastAsia="en-AU"/>
              </w:rPr>
              <w:t>Questions for stakeholder consideration</w:t>
            </w:r>
            <w:r w:rsidRPr="00743A39">
              <w:rPr>
                <w:color w:val="FFFFFF"/>
                <w:sz w:val="20"/>
                <w:szCs w:val="20"/>
                <w:lang w:val="en-US" w:eastAsia="en-AU"/>
              </w:rPr>
              <w:t xml:space="preserve"> </w:t>
            </w:r>
          </w:p>
        </w:tc>
      </w:tr>
      <w:tr w:rsidR="00743A39" w:rsidRPr="00743A39" w14:paraId="178D801E" w14:textId="77777777" w:rsidTr="087E9FDE">
        <w:trPr>
          <w:cnfStyle w:val="000000010000" w:firstRow="0" w:lastRow="0" w:firstColumn="0" w:lastColumn="0" w:oddVBand="0" w:evenVBand="0" w:oddHBand="0" w:evenHBand="1"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auto"/>
          </w:tcPr>
          <w:p w14:paraId="55B2FB11" w14:textId="77777777" w:rsidR="00743A39" w:rsidRPr="00743A39" w:rsidRDefault="00743A39" w:rsidP="009257CE">
            <w:pPr>
              <w:numPr>
                <w:ilvl w:val="0"/>
                <w:numId w:val="21"/>
              </w:numPr>
              <w:ind w:left="360"/>
              <w:rPr>
                <w:rFonts w:cs="Arial"/>
                <w:color w:val="auto"/>
                <w:sz w:val="20"/>
                <w:szCs w:val="20"/>
                <w:lang w:eastAsia="en-AU"/>
              </w:rPr>
            </w:pPr>
            <w:r w:rsidRPr="00743A39">
              <w:rPr>
                <w:rFonts w:cs="Arial"/>
                <w:color w:val="auto"/>
                <w:sz w:val="20"/>
                <w:szCs w:val="20"/>
                <w:lang w:eastAsia="en-AU"/>
              </w:rPr>
              <w:t xml:space="preserve">Do you agree </w:t>
            </w:r>
            <w:r w:rsidR="00C0388C">
              <w:rPr>
                <w:rFonts w:cs="Arial"/>
                <w:color w:val="auto"/>
                <w:sz w:val="20"/>
                <w:szCs w:val="20"/>
                <w:lang w:eastAsia="en-AU"/>
              </w:rPr>
              <w:t>or disagree</w:t>
            </w:r>
            <w:r w:rsidRPr="00743A39">
              <w:rPr>
                <w:rFonts w:cs="Arial"/>
                <w:color w:val="auto"/>
                <w:sz w:val="20"/>
                <w:szCs w:val="20"/>
                <w:lang w:eastAsia="en-AU"/>
              </w:rPr>
              <w:t xml:space="preserve"> with the proposed reform principles for Risk Equalisation? Discuss any concerns with specific principles.</w:t>
            </w:r>
          </w:p>
          <w:p w14:paraId="4E568C8C" w14:textId="77777777" w:rsidR="00743A39" w:rsidRPr="00743A39" w:rsidRDefault="00743A39" w:rsidP="009257CE">
            <w:pPr>
              <w:numPr>
                <w:ilvl w:val="0"/>
                <w:numId w:val="21"/>
              </w:numPr>
              <w:ind w:left="360"/>
              <w:rPr>
                <w:rFonts w:cs="Arial"/>
                <w:color w:val="auto"/>
                <w:sz w:val="20"/>
                <w:szCs w:val="20"/>
                <w:lang w:eastAsia="en-AU"/>
              </w:rPr>
            </w:pPr>
            <w:r w:rsidRPr="00743A39">
              <w:rPr>
                <w:rFonts w:cs="Arial"/>
                <w:color w:val="auto"/>
                <w:sz w:val="20"/>
                <w:szCs w:val="20"/>
                <w:lang w:eastAsia="en-AU"/>
              </w:rPr>
              <w:t xml:space="preserve">Do you agree </w:t>
            </w:r>
            <w:r w:rsidR="00C0388C">
              <w:rPr>
                <w:rFonts w:cs="Arial"/>
                <w:color w:val="auto"/>
                <w:sz w:val="20"/>
                <w:szCs w:val="20"/>
                <w:lang w:eastAsia="en-AU"/>
              </w:rPr>
              <w:t xml:space="preserve">or disagree </w:t>
            </w:r>
            <w:r w:rsidRPr="00743A39">
              <w:rPr>
                <w:rFonts w:cs="Arial"/>
                <w:color w:val="auto"/>
                <w:sz w:val="20"/>
                <w:szCs w:val="20"/>
                <w:lang w:eastAsia="en-AU"/>
              </w:rPr>
              <w:t xml:space="preserve">with the </w:t>
            </w:r>
            <w:r w:rsidR="00F15492" w:rsidRPr="00F15492">
              <w:rPr>
                <w:rFonts w:cs="Arial"/>
                <w:color w:val="auto"/>
                <w:sz w:val="20"/>
                <w:szCs w:val="20"/>
                <w:lang w:eastAsia="en-AU"/>
              </w:rPr>
              <w:t>reform initiative</w:t>
            </w:r>
            <w:r w:rsidR="00F15492">
              <w:rPr>
                <w:rFonts w:cs="Arial"/>
                <w:color w:val="auto"/>
                <w:sz w:val="20"/>
                <w:szCs w:val="20"/>
                <w:lang w:eastAsia="en-AU"/>
              </w:rPr>
              <w:t>s</w:t>
            </w:r>
            <w:r w:rsidR="00F15492" w:rsidRPr="00F15492">
              <w:rPr>
                <w:rFonts w:cs="Arial"/>
                <w:color w:val="auto"/>
                <w:sz w:val="20"/>
                <w:szCs w:val="20"/>
                <w:lang w:eastAsia="en-AU"/>
              </w:rPr>
              <w:t xml:space="preserve"> </w:t>
            </w:r>
            <w:r w:rsidRPr="00743A39">
              <w:rPr>
                <w:rFonts w:cs="Arial"/>
                <w:color w:val="auto"/>
                <w:sz w:val="20"/>
                <w:szCs w:val="20"/>
                <w:lang w:eastAsia="en-AU"/>
              </w:rPr>
              <w:t>raised:</w:t>
            </w:r>
          </w:p>
          <w:p w14:paraId="695AC633" w14:textId="77777777" w:rsidR="00743A39" w:rsidRPr="00743A39" w:rsidRDefault="00743A39" w:rsidP="009257CE">
            <w:pPr>
              <w:numPr>
                <w:ilvl w:val="1"/>
                <w:numId w:val="22"/>
              </w:numPr>
              <w:rPr>
                <w:rFonts w:cs="Arial"/>
                <w:color w:val="auto"/>
                <w:sz w:val="20"/>
                <w:szCs w:val="20"/>
                <w:lang w:eastAsia="en-AU"/>
              </w:rPr>
            </w:pPr>
            <w:r w:rsidRPr="00743A39">
              <w:rPr>
                <w:rFonts w:cs="Arial"/>
                <w:color w:val="auto"/>
                <w:sz w:val="20"/>
                <w:szCs w:val="20"/>
                <w:lang w:eastAsia="en-AU"/>
              </w:rPr>
              <w:t>create new specific risk pools for maternity and mental health</w:t>
            </w:r>
          </w:p>
          <w:p w14:paraId="5A728F95" w14:textId="77777777" w:rsidR="00743A39" w:rsidRPr="00743A39" w:rsidRDefault="00743A39" w:rsidP="009257CE">
            <w:pPr>
              <w:numPr>
                <w:ilvl w:val="1"/>
                <w:numId w:val="22"/>
              </w:numPr>
              <w:rPr>
                <w:rFonts w:cs="Arial"/>
                <w:color w:val="auto"/>
                <w:sz w:val="20"/>
                <w:szCs w:val="20"/>
                <w:lang w:eastAsia="en-AU"/>
              </w:rPr>
            </w:pPr>
            <w:r w:rsidRPr="00743A39">
              <w:rPr>
                <w:rFonts w:cs="Arial"/>
                <w:color w:val="auto"/>
                <w:sz w:val="20"/>
                <w:szCs w:val="20"/>
                <w:lang w:eastAsia="en-AU"/>
              </w:rPr>
              <w:t xml:space="preserve">exclude maternity and mental health claims from existing </w:t>
            </w:r>
            <w:r w:rsidR="0045205D">
              <w:rPr>
                <w:rFonts w:cs="Arial"/>
                <w:color w:val="auto"/>
                <w:sz w:val="20"/>
                <w:szCs w:val="20"/>
                <w:lang w:eastAsia="en-AU"/>
              </w:rPr>
              <w:t>aged-based pool (</w:t>
            </w:r>
            <w:r w:rsidR="0045205D" w:rsidRPr="00743A39">
              <w:rPr>
                <w:rFonts w:cs="Arial"/>
                <w:color w:val="auto"/>
                <w:sz w:val="20"/>
                <w:szCs w:val="20"/>
                <w:lang w:eastAsia="en-AU"/>
              </w:rPr>
              <w:t>ABP</w:t>
            </w:r>
            <w:r w:rsidR="0045205D">
              <w:rPr>
                <w:rFonts w:cs="Arial"/>
                <w:color w:val="auto"/>
                <w:sz w:val="20"/>
                <w:szCs w:val="20"/>
                <w:lang w:eastAsia="en-AU"/>
              </w:rPr>
              <w:t>)</w:t>
            </w:r>
            <w:r w:rsidR="0045205D" w:rsidRPr="00743A39">
              <w:rPr>
                <w:rFonts w:cs="Arial"/>
                <w:color w:val="auto"/>
                <w:sz w:val="20"/>
                <w:szCs w:val="20"/>
                <w:lang w:eastAsia="en-AU"/>
              </w:rPr>
              <w:t xml:space="preserve"> </w:t>
            </w:r>
            <w:r w:rsidRPr="00743A39">
              <w:rPr>
                <w:rFonts w:cs="Arial"/>
                <w:color w:val="auto"/>
                <w:sz w:val="20"/>
                <w:szCs w:val="20"/>
                <w:lang w:eastAsia="en-AU"/>
              </w:rPr>
              <w:t xml:space="preserve">and </w:t>
            </w:r>
            <w:r w:rsidR="00DA2308" w:rsidRPr="00DA2308">
              <w:rPr>
                <w:rFonts w:cs="Arial"/>
                <w:color w:val="auto"/>
                <w:sz w:val="20"/>
                <w:szCs w:val="20"/>
                <w:lang w:eastAsia="en-AU"/>
              </w:rPr>
              <w:t xml:space="preserve">high-cost claims pool </w:t>
            </w:r>
            <w:r w:rsidR="00DA2308">
              <w:rPr>
                <w:rFonts w:cs="Arial"/>
                <w:color w:val="auto"/>
                <w:sz w:val="20"/>
                <w:szCs w:val="20"/>
                <w:lang w:eastAsia="en-AU"/>
              </w:rPr>
              <w:t>(</w:t>
            </w:r>
            <w:r w:rsidRPr="00743A39">
              <w:rPr>
                <w:rFonts w:cs="Arial"/>
                <w:color w:val="auto"/>
                <w:sz w:val="20"/>
                <w:szCs w:val="20"/>
                <w:lang w:eastAsia="en-AU"/>
              </w:rPr>
              <w:t>HCCP</w:t>
            </w:r>
            <w:r w:rsidR="00DA2308">
              <w:rPr>
                <w:rFonts w:cs="Arial"/>
                <w:color w:val="auto"/>
                <w:sz w:val="20"/>
                <w:szCs w:val="20"/>
                <w:lang w:eastAsia="en-AU"/>
              </w:rPr>
              <w:t>)</w:t>
            </w:r>
          </w:p>
          <w:p w14:paraId="77FB2709" w14:textId="77777777" w:rsidR="00743A39" w:rsidRPr="00743A39" w:rsidRDefault="00743A39" w:rsidP="009257CE">
            <w:pPr>
              <w:numPr>
                <w:ilvl w:val="1"/>
                <w:numId w:val="22"/>
              </w:numPr>
              <w:rPr>
                <w:rFonts w:cs="Arial"/>
                <w:color w:val="auto"/>
                <w:sz w:val="20"/>
                <w:szCs w:val="20"/>
                <w:lang w:eastAsia="en-AU"/>
              </w:rPr>
            </w:pPr>
            <w:r w:rsidRPr="00743A39">
              <w:rPr>
                <w:rFonts w:cs="Arial"/>
                <w:color w:val="auto"/>
                <w:sz w:val="20"/>
                <w:szCs w:val="20"/>
                <w:lang w:eastAsia="en-AU"/>
              </w:rPr>
              <w:t>extend existing ABP claim eligibility criteria to younger Gold tier members, and</w:t>
            </w:r>
          </w:p>
          <w:p w14:paraId="79157149" w14:textId="77777777" w:rsidR="00743A39" w:rsidRPr="00743A39" w:rsidRDefault="00743A39" w:rsidP="009257CE">
            <w:pPr>
              <w:numPr>
                <w:ilvl w:val="1"/>
                <w:numId w:val="22"/>
              </w:numPr>
              <w:rPr>
                <w:rFonts w:cs="Arial"/>
                <w:color w:val="auto"/>
                <w:sz w:val="20"/>
                <w:szCs w:val="20"/>
                <w:lang w:eastAsia="en-AU"/>
              </w:rPr>
            </w:pPr>
            <w:r w:rsidRPr="00743A39">
              <w:rPr>
                <w:rFonts w:cs="Arial"/>
                <w:color w:val="auto"/>
                <w:sz w:val="20"/>
                <w:szCs w:val="20"/>
                <w:lang w:eastAsia="en-AU"/>
              </w:rPr>
              <w:t xml:space="preserve">redefine </w:t>
            </w:r>
            <w:r w:rsidR="00ED747B" w:rsidRPr="00ED747B">
              <w:rPr>
                <w:rFonts w:cs="Arial"/>
                <w:color w:val="auto"/>
                <w:sz w:val="20"/>
                <w:szCs w:val="20"/>
                <w:lang w:eastAsia="en-AU"/>
              </w:rPr>
              <w:t>Single Equivalent Unit</w:t>
            </w:r>
            <w:r w:rsidR="00ED747B">
              <w:rPr>
                <w:rFonts w:cs="Arial"/>
                <w:color w:val="auto"/>
                <w:sz w:val="20"/>
                <w:szCs w:val="20"/>
                <w:lang w:eastAsia="en-AU"/>
              </w:rPr>
              <w:t>s</w:t>
            </w:r>
            <w:r w:rsidR="00ED747B" w:rsidRPr="00ED747B">
              <w:rPr>
                <w:rFonts w:cs="Arial"/>
                <w:color w:val="auto"/>
                <w:sz w:val="20"/>
                <w:szCs w:val="20"/>
                <w:lang w:eastAsia="en-AU"/>
              </w:rPr>
              <w:t xml:space="preserve"> </w:t>
            </w:r>
            <w:r w:rsidR="00ED747B">
              <w:rPr>
                <w:rFonts w:cs="Arial"/>
                <w:color w:val="auto"/>
                <w:sz w:val="20"/>
                <w:szCs w:val="20"/>
                <w:lang w:eastAsia="en-AU"/>
              </w:rPr>
              <w:t>(</w:t>
            </w:r>
            <w:r w:rsidRPr="00743A39">
              <w:rPr>
                <w:rFonts w:cs="Arial"/>
                <w:color w:val="auto"/>
                <w:sz w:val="20"/>
                <w:szCs w:val="20"/>
                <w:lang w:eastAsia="en-AU"/>
              </w:rPr>
              <w:t>SEUs</w:t>
            </w:r>
            <w:r w:rsidR="00ED747B">
              <w:rPr>
                <w:rFonts w:cs="Arial"/>
                <w:color w:val="auto"/>
                <w:sz w:val="20"/>
                <w:szCs w:val="20"/>
                <w:lang w:eastAsia="en-AU"/>
              </w:rPr>
              <w:t>)</w:t>
            </w:r>
            <w:r w:rsidRPr="00743A39">
              <w:rPr>
                <w:rFonts w:cs="Arial"/>
                <w:color w:val="auto"/>
                <w:sz w:val="20"/>
                <w:szCs w:val="20"/>
                <w:lang w:eastAsia="en-AU"/>
              </w:rPr>
              <w:t xml:space="preserve"> to exclude younger Gold tier members, possible exceptions to corporate products.</w:t>
            </w:r>
          </w:p>
          <w:p w14:paraId="46A808D0" w14:textId="77777777" w:rsidR="00743A39" w:rsidRPr="00EC2C9D" w:rsidRDefault="00743A39" w:rsidP="009257CE">
            <w:pPr>
              <w:numPr>
                <w:ilvl w:val="0"/>
                <w:numId w:val="21"/>
              </w:numPr>
              <w:ind w:left="360"/>
              <w:rPr>
                <w:rFonts w:cs="Arial"/>
                <w:color w:val="auto"/>
                <w:sz w:val="20"/>
                <w:szCs w:val="20"/>
                <w:lang w:eastAsia="en-AU"/>
              </w:rPr>
            </w:pPr>
            <w:r w:rsidRPr="00EC2C9D">
              <w:rPr>
                <w:rFonts w:cs="Arial"/>
                <w:color w:val="auto"/>
                <w:sz w:val="20"/>
                <w:szCs w:val="20"/>
                <w:lang w:eastAsia="en-AU"/>
              </w:rPr>
              <w:t xml:space="preserve">Do you have any specific comments </w:t>
            </w:r>
            <w:r w:rsidR="005E58BE" w:rsidRPr="00EC2C9D">
              <w:rPr>
                <w:rFonts w:cs="Arial"/>
                <w:color w:val="auto"/>
                <w:sz w:val="20"/>
                <w:szCs w:val="20"/>
                <w:lang w:eastAsia="en-AU"/>
              </w:rPr>
              <w:t xml:space="preserve">on </w:t>
            </w:r>
            <w:r w:rsidRPr="00EC2C9D">
              <w:rPr>
                <w:rFonts w:cs="Arial"/>
                <w:color w:val="auto"/>
                <w:sz w:val="20"/>
                <w:szCs w:val="20"/>
                <w:lang w:eastAsia="en-AU"/>
              </w:rPr>
              <w:t>the</w:t>
            </w:r>
            <w:r w:rsidR="00EC2C9D" w:rsidRPr="00EC2C9D">
              <w:rPr>
                <w:rFonts w:cs="Arial"/>
                <w:color w:val="auto"/>
                <w:sz w:val="20"/>
                <w:szCs w:val="20"/>
                <w:lang w:eastAsia="en-AU"/>
              </w:rPr>
              <w:t xml:space="preserve"> proposed</w:t>
            </w:r>
            <w:r w:rsidRPr="00EC2C9D">
              <w:rPr>
                <w:rFonts w:cs="Arial"/>
                <w:color w:val="auto"/>
                <w:sz w:val="20"/>
                <w:szCs w:val="20"/>
                <w:lang w:eastAsia="en-AU"/>
              </w:rPr>
              <w:t xml:space="preserve"> </w:t>
            </w:r>
            <w:r w:rsidR="00C0388C" w:rsidRPr="00EC2C9D">
              <w:rPr>
                <w:rFonts w:cs="Arial"/>
                <w:color w:val="auto"/>
                <w:sz w:val="20"/>
                <w:szCs w:val="20"/>
                <w:lang w:eastAsia="en-AU"/>
              </w:rPr>
              <w:t>reform initiatives</w:t>
            </w:r>
            <w:r w:rsidR="00EC2C9D" w:rsidRPr="00EC2C9D">
              <w:rPr>
                <w:rFonts w:cs="Arial"/>
                <w:color w:val="auto"/>
                <w:sz w:val="20"/>
                <w:szCs w:val="20"/>
                <w:lang w:eastAsia="en-AU"/>
              </w:rPr>
              <w:t>? This may</w:t>
            </w:r>
            <w:r w:rsidRPr="00EC2C9D">
              <w:rPr>
                <w:rFonts w:cs="Arial"/>
                <w:color w:val="auto"/>
                <w:sz w:val="20"/>
                <w:szCs w:val="20"/>
                <w:lang w:eastAsia="en-AU"/>
              </w:rPr>
              <w:t xml:space="preserve"> includ</w:t>
            </w:r>
            <w:r w:rsidR="00EC2C9D" w:rsidRPr="00EC2C9D">
              <w:rPr>
                <w:rFonts w:cs="Arial"/>
                <w:color w:val="auto"/>
                <w:sz w:val="20"/>
                <w:szCs w:val="20"/>
                <w:lang w:eastAsia="en-AU"/>
              </w:rPr>
              <w:t>e</w:t>
            </w:r>
            <w:r w:rsidRPr="00EC2C9D">
              <w:rPr>
                <w:rFonts w:cs="Arial"/>
                <w:color w:val="auto"/>
                <w:sz w:val="20"/>
                <w:szCs w:val="20"/>
                <w:lang w:eastAsia="en-AU"/>
              </w:rPr>
              <w:t xml:space="preserve"> required lead times for implementation, required information, transparency and ease of calculation etc.</w:t>
            </w:r>
          </w:p>
          <w:p w14:paraId="3766E0D0" w14:textId="09A26D0E" w:rsidR="007A5C3F" w:rsidRPr="00743A39" w:rsidRDefault="00743A39" w:rsidP="009257CE">
            <w:pPr>
              <w:numPr>
                <w:ilvl w:val="0"/>
                <w:numId w:val="21"/>
              </w:numPr>
              <w:ind w:left="360"/>
              <w:rPr>
                <w:rFonts w:cs="Arial"/>
                <w:color w:val="auto"/>
                <w:sz w:val="20"/>
                <w:szCs w:val="20"/>
                <w:lang w:eastAsia="en-AU"/>
              </w:rPr>
            </w:pPr>
            <w:r w:rsidRPr="00743A39">
              <w:rPr>
                <w:rFonts w:cs="Arial"/>
                <w:color w:val="auto"/>
                <w:sz w:val="20"/>
                <w:szCs w:val="20"/>
                <w:lang w:eastAsia="en-AU"/>
              </w:rPr>
              <w:t xml:space="preserve">Are there any other options or solutions that </w:t>
            </w:r>
            <w:r w:rsidR="1226B23E" w:rsidRPr="2C18ECDF">
              <w:rPr>
                <w:rFonts w:cs="Arial"/>
                <w:color w:val="auto"/>
                <w:sz w:val="20"/>
                <w:szCs w:val="20"/>
                <w:lang w:eastAsia="en-AU"/>
              </w:rPr>
              <w:t xml:space="preserve">the department </w:t>
            </w:r>
            <w:r w:rsidR="38F9FDE4" w:rsidRPr="2C18ECDF">
              <w:rPr>
                <w:rFonts w:cs="Arial"/>
                <w:color w:val="auto"/>
                <w:sz w:val="20"/>
                <w:szCs w:val="20"/>
                <w:lang w:eastAsia="en-AU"/>
              </w:rPr>
              <w:t>should</w:t>
            </w:r>
            <w:r w:rsidRPr="00743A39">
              <w:rPr>
                <w:rFonts w:cs="Arial"/>
                <w:color w:val="auto"/>
                <w:sz w:val="20"/>
                <w:szCs w:val="20"/>
                <w:lang w:eastAsia="en-AU"/>
              </w:rPr>
              <w:t xml:space="preserve"> consider?</w:t>
            </w:r>
          </w:p>
          <w:p w14:paraId="00CB6FD2" w14:textId="77777777" w:rsidR="00743A39" w:rsidRPr="00743A39" w:rsidRDefault="4E8399AE" w:rsidP="009257CE">
            <w:pPr>
              <w:numPr>
                <w:ilvl w:val="0"/>
                <w:numId w:val="21"/>
              </w:numPr>
              <w:ind w:left="360"/>
              <w:rPr>
                <w:color w:val="000000"/>
                <w:sz w:val="20"/>
                <w:szCs w:val="20"/>
                <w:lang w:val="en-US" w:eastAsia="en-AU"/>
              </w:rPr>
            </w:pPr>
            <w:r w:rsidRPr="520F34D6">
              <w:rPr>
                <w:rFonts w:cs="Arial"/>
                <w:sz w:val="20"/>
                <w:szCs w:val="20"/>
                <w:lang w:val="en-US" w:eastAsia="en-AU"/>
              </w:rPr>
              <w:t xml:space="preserve">Do you have any comments on the </w:t>
            </w:r>
            <w:r w:rsidR="3F57B995" w:rsidRPr="520F34D6">
              <w:rPr>
                <w:rFonts w:cs="Arial"/>
                <w:sz w:val="20"/>
                <w:szCs w:val="20"/>
                <w:lang w:val="en-US" w:eastAsia="en-AU"/>
              </w:rPr>
              <w:t xml:space="preserve">goal of risk </w:t>
            </w:r>
            <w:r w:rsidR="75B1482B" w:rsidRPr="520F34D6">
              <w:rPr>
                <w:rFonts w:cs="Arial"/>
                <w:sz w:val="20"/>
                <w:szCs w:val="20"/>
                <w:lang w:val="en-US" w:eastAsia="en-AU"/>
              </w:rPr>
              <w:t>equalization</w:t>
            </w:r>
            <w:r w:rsidR="3F57B995" w:rsidRPr="520F34D6">
              <w:rPr>
                <w:rFonts w:cs="Arial"/>
                <w:sz w:val="20"/>
                <w:szCs w:val="20"/>
                <w:lang w:val="en-US" w:eastAsia="en-AU"/>
              </w:rPr>
              <w:t xml:space="preserve"> and </w:t>
            </w:r>
            <w:r w:rsidR="18D983D5" w:rsidRPr="520F34D6">
              <w:rPr>
                <w:rFonts w:cs="Arial"/>
                <w:sz w:val="20"/>
                <w:szCs w:val="20"/>
                <w:lang w:val="en-US" w:eastAsia="en-AU"/>
              </w:rPr>
              <w:t>the i</w:t>
            </w:r>
            <w:r w:rsidRPr="520F34D6">
              <w:rPr>
                <w:rFonts w:cs="Arial"/>
                <w:sz w:val="20"/>
                <w:szCs w:val="20"/>
                <w:lang w:val="en-US" w:eastAsia="en-AU"/>
              </w:rPr>
              <w:t>nteractions of this proposal with a future potential hybrid Risk Equalisation system including both risk sharing (retrospective) and risk adjustment (prospective) elements?</w:t>
            </w:r>
          </w:p>
        </w:tc>
      </w:tr>
      <w:tr w:rsidR="00BA54A6" w:rsidRPr="00743A39" w14:paraId="73B3464C" w14:textId="77777777" w:rsidTr="087E9FD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951" w:type="dxa"/>
            <w:gridSpan w:val="2"/>
            <w:shd w:val="clear" w:color="auto" w:fill="auto"/>
          </w:tcPr>
          <w:p w14:paraId="2A78B48D" w14:textId="77777777" w:rsidR="00BA54A6" w:rsidRPr="00BA54A6" w:rsidRDefault="00BA54A6" w:rsidP="00C3146F">
            <w:pPr>
              <w:rPr>
                <w:i/>
                <w:iCs/>
                <w:color w:val="000000"/>
                <w:sz w:val="20"/>
                <w:szCs w:val="28"/>
                <w:lang w:val="en-US" w:eastAsia="en-AU"/>
              </w:rPr>
            </w:pPr>
            <w:r w:rsidRPr="00BA54A6">
              <w:rPr>
                <w:b/>
                <w:bCs/>
                <w:i/>
                <w:iCs/>
                <w:color w:val="000000"/>
                <w:sz w:val="20"/>
                <w:szCs w:val="28"/>
                <w:lang w:val="en-US" w:eastAsia="en-AU"/>
              </w:rPr>
              <w:t>NOTE:</w:t>
            </w:r>
            <w:r w:rsidRPr="00BA54A6">
              <w:rPr>
                <w:i/>
                <w:iCs/>
                <w:color w:val="000000"/>
                <w:sz w:val="20"/>
                <w:szCs w:val="28"/>
                <w:lang w:val="en-US" w:eastAsia="en-AU"/>
              </w:rPr>
              <w:t xml:space="preserve"> this is the initial tranche of consultation on Risk Equalisation which will be used to inform independent technical expertise prior to further consultation.</w:t>
            </w:r>
          </w:p>
        </w:tc>
      </w:tr>
    </w:tbl>
    <w:p w14:paraId="3F9CB53A" w14:textId="77777777" w:rsidR="00F71820" w:rsidRPr="00DF78E1" w:rsidRDefault="00F71820" w:rsidP="00651D4E">
      <w:pPr>
        <w:pStyle w:val="Heading3"/>
        <w:numPr>
          <w:ilvl w:val="2"/>
          <w:numId w:val="14"/>
        </w:numPr>
        <w:spacing w:before="240" w:after="120"/>
        <w:rPr>
          <w:b w:val="0"/>
          <w:bCs w:val="0"/>
          <w:i/>
          <w:iCs/>
          <w:sz w:val="28"/>
          <w:szCs w:val="28"/>
        </w:rPr>
      </w:pPr>
      <w:bookmarkStart w:id="70" w:name="_Toc233805050"/>
      <w:r w:rsidRPr="3D1C1472">
        <w:rPr>
          <w:b w:val="0"/>
          <w:bCs w:val="0"/>
          <w:i/>
          <w:iCs/>
          <w:sz w:val="28"/>
          <w:szCs w:val="28"/>
        </w:rPr>
        <w:t>Introduction</w:t>
      </w:r>
      <w:bookmarkEnd w:id="70"/>
    </w:p>
    <w:p w14:paraId="79E14B9B" w14:textId="373E560D" w:rsidR="003E1148" w:rsidRDefault="00636ED7" w:rsidP="00473DE9">
      <w:r>
        <w:t>T</w:t>
      </w:r>
      <w:r w:rsidR="00CB26C1" w:rsidRPr="00CB26C1">
        <w:t xml:space="preserve">he principle of community rating prevents insurers from discriminating between people </w:t>
      </w:r>
      <w:r w:rsidR="009C280D">
        <w:t xml:space="preserve">choosing </w:t>
      </w:r>
      <w:r w:rsidR="00D33982">
        <w:t>PHI</w:t>
      </w:r>
      <w:r w:rsidR="00C36430">
        <w:t xml:space="preserve"> cover</w:t>
      </w:r>
      <w:r w:rsidR="00D33982">
        <w:t xml:space="preserve"> </w:t>
      </w:r>
      <w:r w:rsidR="00734A63">
        <w:t>based on</w:t>
      </w:r>
      <w:r w:rsidR="00CB26C1" w:rsidRPr="00CB26C1">
        <w:t xml:space="preserve"> their health or for any other reason</w:t>
      </w:r>
      <w:r w:rsidR="00F92043">
        <w:t xml:space="preserve"> </w:t>
      </w:r>
      <w:r w:rsidR="0082679E">
        <w:t>referenced in the</w:t>
      </w:r>
      <w:r w:rsidR="00AC3AD7">
        <w:t xml:space="preserve"> PHI Act</w:t>
      </w:r>
      <w:r w:rsidR="0082679E">
        <w:t>.</w:t>
      </w:r>
      <w:r w:rsidR="00BC02BA">
        <w:t xml:space="preserve"> </w:t>
      </w:r>
      <w:r w:rsidR="00BC02BA" w:rsidRPr="00EC2C9D">
        <w:rPr>
          <w:color w:val="auto"/>
        </w:rPr>
        <w:t>Risk Equalisation</w:t>
      </w:r>
      <w:r w:rsidR="00C84DA7" w:rsidRPr="00EC2C9D">
        <w:rPr>
          <w:rFonts w:eastAsiaTheme="minorHAnsi"/>
          <w:color w:val="auto"/>
          <w:kern w:val="2"/>
          <w:sz w:val="20"/>
          <w14:ligatures w14:val="standardContextual"/>
        </w:rPr>
        <w:t xml:space="preserve"> </w:t>
      </w:r>
      <w:r w:rsidR="00C84DA7" w:rsidRPr="00EC2C9D">
        <w:rPr>
          <w:color w:val="auto"/>
        </w:rPr>
        <w:t xml:space="preserve">partially compensates insurers </w:t>
      </w:r>
      <w:r w:rsidR="00EC2C9D" w:rsidRPr="00EC2C9D">
        <w:rPr>
          <w:color w:val="auto"/>
        </w:rPr>
        <w:t>who have</w:t>
      </w:r>
      <w:r w:rsidR="00C84DA7" w:rsidRPr="00EC2C9D">
        <w:rPr>
          <w:color w:val="auto"/>
        </w:rPr>
        <w:t xml:space="preserve"> a riskier demographic profile by redistributing money from those insurers paying less than average benefits to those paying higher than average benefits. </w:t>
      </w:r>
      <w:r w:rsidR="00EC2C9D" w:rsidRPr="00EC2C9D">
        <w:rPr>
          <w:color w:val="auto"/>
        </w:rPr>
        <w:t xml:space="preserve">This supports the community rating principle. </w:t>
      </w:r>
      <w:r w:rsidR="00C84DA7" w:rsidRPr="00C84DA7">
        <w:t xml:space="preserve">The </w:t>
      </w:r>
      <w:hyperlink r:id="rId37" w:history="1">
        <w:r w:rsidR="00C84DA7" w:rsidRPr="009014CF">
          <w:rPr>
            <w:rStyle w:val="Hyperlink"/>
          </w:rPr>
          <w:t>Australian Prudential Regulatory Authority (APRA)</w:t>
        </w:r>
      </w:hyperlink>
      <w:r w:rsidR="00411BBD">
        <w:t xml:space="preserve"> </w:t>
      </w:r>
      <w:r w:rsidR="0096030F">
        <w:t xml:space="preserve">administers the </w:t>
      </w:r>
      <w:r w:rsidR="0096030F" w:rsidRPr="00C84DA7">
        <w:t>Risk Equalisation system</w:t>
      </w:r>
      <w:r w:rsidR="0096030F">
        <w:t xml:space="preserve">, </w:t>
      </w:r>
      <w:r w:rsidR="00185AB8">
        <w:t xml:space="preserve">with the redistribution mechanism </w:t>
      </w:r>
      <w:r w:rsidR="008D2AE8">
        <w:t xml:space="preserve">achieved </w:t>
      </w:r>
      <w:r w:rsidR="00185AB8">
        <w:t>via</w:t>
      </w:r>
      <w:r w:rsidR="003E1148">
        <w:t>:</w:t>
      </w:r>
      <w:r w:rsidR="00F43EA3">
        <w:t xml:space="preserve"> </w:t>
      </w:r>
    </w:p>
    <w:p w14:paraId="531E7BD5" w14:textId="77777777" w:rsidR="00286869" w:rsidRPr="00B96BAE" w:rsidRDefault="00F43EA3" w:rsidP="009257CE">
      <w:pPr>
        <w:pStyle w:val="Body"/>
        <w:numPr>
          <w:ilvl w:val="0"/>
          <w:numId w:val="6"/>
        </w:numPr>
        <w:spacing w:after="120"/>
        <w:ind w:left="714" w:hanging="357"/>
        <w:rPr>
          <w:color w:val="auto"/>
        </w:rPr>
      </w:pPr>
      <w:r w:rsidRPr="00B96BAE">
        <w:rPr>
          <w:color w:val="auto"/>
        </w:rPr>
        <w:t xml:space="preserve">aged-based pool </w:t>
      </w:r>
      <w:r w:rsidR="00BD2C4D" w:rsidRPr="00B96BAE">
        <w:rPr>
          <w:color w:val="auto"/>
        </w:rPr>
        <w:t>(ABP</w:t>
      </w:r>
      <w:r w:rsidR="00B96BAE" w:rsidRPr="00B96BAE">
        <w:rPr>
          <w:color w:val="auto"/>
        </w:rPr>
        <w:t>):</w:t>
      </w:r>
      <w:r w:rsidR="003E1148" w:rsidRPr="00B96BAE">
        <w:rPr>
          <w:color w:val="auto"/>
        </w:rPr>
        <w:t xml:space="preserve"> </w:t>
      </w:r>
      <w:r w:rsidR="00286869" w:rsidRPr="00B96BAE">
        <w:rPr>
          <w:color w:val="auto"/>
        </w:rPr>
        <w:t>shares a proportion of actual claim costs for participants aged 55 years and older which increases with age</w:t>
      </w:r>
      <w:r w:rsidR="008D2297" w:rsidRPr="00B96BAE">
        <w:rPr>
          <w:color w:val="auto"/>
        </w:rPr>
        <w:t xml:space="preserve"> (</w:t>
      </w:r>
      <w:r w:rsidR="00286869" w:rsidRPr="00B96BAE">
        <w:rPr>
          <w:color w:val="auto"/>
        </w:rPr>
        <w:t>ranging from 15% to 82% of costs shared for the oldest members</w:t>
      </w:r>
      <w:r w:rsidR="008D2297" w:rsidRPr="00B96BAE">
        <w:rPr>
          <w:color w:val="auto"/>
        </w:rPr>
        <w:t>)</w:t>
      </w:r>
      <w:r w:rsidR="003C54FE" w:rsidRPr="00B96BAE">
        <w:rPr>
          <w:color w:val="auto"/>
        </w:rPr>
        <w:t>,</w:t>
      </w:r>
      <w:r w:rsidR="00286869" w:rsidRPr="00B96BAE">
        <w:rPr>
          <w:color w:val="auto"/>
        </w:rPr>
        <w:t xml:space="preserve"> and </w:t>
      </w:r>
    </w:p>
    <w:p w14:paraId="53818467" w14:textId="77777777" w:rsidR="00C84DA7" w:rsidRPr="00B96BAE" w:rsidRDefault="00286869" w:rsidP="009257CE">
      <w:pPr>
        <w:pStyle w:val="Body"/>
        <w:numPr>
          <w:ilvl w:val="0"/>
          <w:numId w:val="6"/>
        </w:numPr>
        <w:spacing w:after="120"/>
        <w:ind w:left="714" w:hanging="357"/>
        <w:rPr>
          <w:color w:val="auto"/>
        </w:rPr>
      </w:pPr>
      <w:r w:rsidRPr="00B96BAE">
        <w:rPr>
          <w:color w:val="auto"/>
        </w:rPr>
        <w:lastRenderedPageBreak/>
        <w:t>high-cost claims pool (HCCP)</w:t>
      </w:r>
      <w:r w:rsidR="00B96BAE" w:rsidRPr="00B96BAE">
        <w:rPr>
          <w:color w:val="auto"/>
        </w:rPr>
        <w:t>:</w:t>
      </w:r>
      <w:r w:rsidR="006477D1" w:rsidRPr="00B96BAE">
        <w:rPr>
          <w:color w:val="auto"/>
        </w:rPr>
        <w:t xml:space="preserve"> </w:t>
      </w:r>
      <w:r w:rsidRPr="00B96BAE">
        <w:rPr>
          <w:color w:val="auto"/>
        </w:rPr>
        <w:t>shares 82% of costs if someone claims more than $50,000 per year</w:t>
      </w:r>
      <w:r w:rsidR="00AA11FE" w:rsidRPr="00B96BAE">
        <w:rPr>
          <w:color w:val="auto"/>
        </w:rPr>
        <w:t xml:space="preserve"> (</w:t>
      </w:r>
      <w:r w:rsidR="00306A4C" w:rsidRPr="00B96BAE">
        <w:rPr>
          <w:color w:val="auto"/>
        </w:rPr>
        <w:t>excluding</w:t>
      </w:r>
      <w:r w:rsidR="00AA11FE" w:rsidRPr="00B96BAE">
        <w:rPr>
          <w:color w:val="auto"/>
        </w:rPr>
        <w:t xml:space="preserve"> ABP</w:t>
      </w:r>
      <w:r w:rsidR="00876F43" w:rsidRPr="00B96BAE">
        <w:rPr>
          <w:color w:val="auto"/>
        </w:rPr>
        <w:t xml:space="preserve"> amounts</w:t>
      </w:r>
      <w:r w:rsidR="00AA11FE" w:rsidRPr="00B96BAE">
        <w:rPr>
          <w:color w:val="auto"/>
        </w:rPr>
        <w:t>)</w:t>
      </w:r>
      <w:r w:rsidRPr="00B96BAE">
        <w:rPr>
          <w:color w:val="auto"/>
        </w:rPr>
        <w:t>, which is not common</w:t>
      </w:r>
      <w:r w:rsidR="006477D1" w:rsidRPr="00B96BAE">
        <w:rPr>
          <w:rStyle w:val="EndnoteReference"/>
          <w:color w:val="auto"/>
        </w:rPr>
        <w:endnoteReference w:id="16"/>
      </w:r>
      <w:r w:rsidRPr="00B96BAE">
        <w:rPr>
          <w:color w:val="auto"/>
        </w:rPr>
        <w:t>.</w:t>
      </w:r>
    </w:p>
    <w:p w14:paraId="2AC13E15" w14:textId="77777777" w:rsidR="00ED71AF" w:rsidRDefault="00897D03" w:rsidP="00651D4E">
      <w:pPr>
        <w:pStyle w:val="Heading3"/>
        <w:numPr>
          <w:ilvl w:val="2"/>
          <w:numId w:val="14"/>
        </w:numPr>
        <w:spacing w:before="240" w:after="120"/>
        <w:rPr>
          <w:b w:val="0"/>
          <w:bCs w:val="0"/>
          <w:i/>
          <w:iCs/>
          <w:sz w:val="28"/>
          <w:szCs w:val="28"/>
        </w:rPr>
      </w:pPr>
      <w:bookmarkStart w:id="71" w:name="_Toc233805051"/>
      <w:r w:rsidRPr="3D1C1472">
        <w:rPr>
          <w:b w:val="0"/>
          <w:bCs w:val="0"/>
          <w:i/>
          <w:iCs/>
          <w:sz w:val="28"/>
          <w:szCs w:val="28"/>
        </w:rPr>
        <w:t>Proposed</w:t>
      </w:r>
      <w:r w:rsidR="6562375C" w:rsidRPr="3D1C1472">
        <w:rPr>
          <w:b w:val="0"/>
          <w:bCs w:val="0"/>
          <w:i/>
          <w:iCs/>
          <w:sz w:val="28"/>
          <w:szCs w:val="28"/>
        </w:rPr>
        <w:t xml:space="preserve"> reform </w:t>
      </w:r>
      <w:r w:rsidRPr="3D1C1472">
        <w:rPr>
          <w:b w:val="0"/>
          <w:bCs w:val="0"/>
          <w:i/>
          <w:iCs/>
          <w:sz w:val="28"/>
          <w:szCs w:val="28"/>
        </w:rPr>
        <w:t xml:space="preserve">initiatives </w:t>
      </w:r>
      <w:r w:rsidR="6562375C" w:rsidRPr="3D1C1472">
        <w:rPr>
          <w:b w:val="0"/>
          <w:bCs w:val="0"/>
          <w:i/>
          <w:iCs/>
          <w:sz w:val="28"/>
          <w:szCs w:val="28"/>
        </w:rPr>
        <w:t xml:space="preserve">to </w:t>
      </w:r>
      <w:r w:rsidR="008D2297" w:rsidRPr="3D1C1472">
        <w:rPr>
          <w:b w:val="0"/>
          <w:bCs w:val="0"/>
          <w:i/>
          <w:iCs/>
          <w:sz w:val="28"/>
          <w:szCs w:val="28"/>
        </w:rPr>
        <w:t>R</w:t>
      </w:r>
      <w:r w:rsidR="6562375C" w:rsidRPr="3D1C1472">
        <w:rPr>
          <w:b w:val="0"/>
          <w:bCs w:val="0"/>
          <w:i/>
          <w:iCs/>
          <w:sz w:val="28"/>
          <w:szCs w:val="28"/>
        </w:rPr>
        <w:t xml:space="preserve">isk </w:t>
      </w:r>
      <w:r w:rsidR="008D2297" w:rsidRPr="3D1C1472">
        <w:rPr>
          <w:b w:val="0"/>
          <w:bCs w:val="0"/>
          <w:i/>
          <w:iCs/>
          <w:sz w:val="28"/>
          <w:szCs w:val="28"/>
        </w:rPr>
        <w:t>E</w:t>
      </w:r>
      <w:r w:rsidR="6562375C" w:rsidRPr="3D1C1472">
        <w:rPr>
          <w:b w:val="0"/>
          <w:bCs w:val="0"/>
          <w:i/>
          <w:iCs/>
          <w:sz w:val="28"/>
          <w:szCs w:val="28"/>
        </w:rPr>
        <w:t>qualisation</w:t>
      </w:r>
      <w:bookmarkEnd w:id="71"/>
    </w:p>
    <w:p w14:paraId="52777D3A" w14:textId="77777777" w:rsidR="00B96BAE" w:rsidRDefault="001257F0" w:rsidP="00473DE9">
      <w:pPr>
        <w:rPr>
          <w:color w:val="FF0000"/>
        </w:rPr>
      </w:pPr>
      <w:r w:rsidRPr="00C14479">
        <w:t xml:space="preserve">The </w:t>
      </w:r>
      <w:r w:rsidR="000C0C7D" w:rsidRPr="00B96BAE">
        <w:rPr>
          <w:color w:val="auto"/>
        </w:rPr>
        <w:t>d</w:t>
      </w:r>
      <w:r w:rsidRPr="00B96BAE">
        <w:rPr>
          <w:color w:val="auto"/>
        </w:rPr>
        <w:t xml:space="preserve">epartment commissioned a study into </w:t>
      </w:r>
      <w:r w:rsidR="005E1F9C" w:rsidRPr="00B96BAE">
        <w:rPr>
          <w:color w:val="auto"/>
        </w:rPr>
        <w:t>PHI</w:t>
      </w:r>
      <w:r w:rsidRPr="00B96BAE">
        <w:rPr>
          <w:color w:val="auto"/>
        </w:rPr>
        <w:t xml:space="preserve"> Risk Equalisation in 2021 and consulted on the findings in 2022.</w:t>
      </w:r>
      <w:r w:rsidR="00F97CB8" w:rsidRPr="00B96BAE">
        <w:rPr>
          <w:rStyle w:val="EndnoteReference"/>
          <w:color w:val="auto"/>
        </w:rPr>
        <w:endnoteReference w:id="17"/>
      </w:r>
      <w:r w:rsidRPr="00B96BAE">
        <w:rPr>
          <w:color w:val="auto"/>
        </w:rPr>
        <w:t xml:space="preserve"> Key findings identified</w:t>
      </w:r>
      <w:r w:rsidR="00B96BAE" w:rsidRPr="00B96BAE">
        <w:rPr>
          <w:color w:val="auto"/>
        </w:rPr>
        <w:t xml:space="preserve"> that:</w:t>
      </w:r>
      <w:r w:rsidRPr="00B96BAE">
        <w:rPr>
          <w:color w:val="auto"/>
        </w:rPr>
        <w:t xml:space="preserve"> </w:t>
      </w:r>
    </w:p>
    <w:p w14:paraId="4D0BEC7E" w14:textId="77777777" w:rsidR="00B96BAE" w:rsidRPr="00B96BAE" w:rsidRDefault="001257F0" w:rsidP="009257CE">
      <w:pPr>
        <w:pStyle w:val="Body"/>
        <w:numPr>
          <w:ilvl w:val="0"/>
          <w:numId w:val="6"/>
        </w:numPr>
        <w:spacing w:after="120"/>
        <w:ind w:left="714" w:hanging="357"/>
        <w:rPr>
          <w:color w:val="auto"/>
        </w:rPr>
      </w:pPr>
      <w:r w:rsidRPr="00B96BAE">
        <w:rPr>
          <w:color w:val="auto"/>
        </w:rPr>
        <w:t xml:space="preserve">limitations in the system </w:t>
      </w:r>
      <w:r w:rsidR="00B96BAE" w:rsidRPr="00B96BAE">
        <w:rPr>
          <w:color w:val="auto"/>
        </w:rPr>
        <w:t>have</w:t>
      </w:r>
      <w:r w:rsidRPr="00B96BAE">
        <w:rPr>
          <w:color w:val="auto"/>
        </w:rPr>
        <w:t xml:space="preserve"> consequences for efficiency and risk selection</w:t>
      </w:r>
      <w:r w:rsidR="00B96BAE" w:rsidRPr="00B96BAE">
        <w:rPr>
          <w:color w:val="auto"/>
        </w:rPr>
        <w:t>,</w:t>
      </w:r>
      <w:r w:rsidRPr="00B96BAE">
        <w:rPr>
          <w:color w:val="auto"/>
        </w:rPr>
        <w:t xml:space="preserve"> and </w:t>
      </w:r>
    </w:p>
    <w:p w14:paraId="5D7C701E" w14:textId="77777777" w:rsidR="001257F0" w:rsidRPr="00B96BAE" w:rsidRDefault="001257F0" w:rsidP="009257CE">
      <w:pPr>
        <w:pStyle w:val="Body"/>
        <w:numPr>
          <w:ilvl w:val="0"/>
          <w:numId w:val="6"/>
        </w:numPr>
        <w:spacing w:after="120"/>
        <w:ind w:left="714" w:hanging="357"/>
        <w:rPr>
          <w:color w:val="auto"/>
        </w:rPr>
      </w:pPr>
      <w:r w:rsidRPr="00B96BAE">
        <w:rPr>
          <w:color w:val="auto"/>
        </w:rPr>
        <w:t xml:space="preserve">issues would be better addressed using a hybrid Risk Equalisation system comprising of both risk sharing (retrospective) and risk adjustment (prospective) elements. </w:t>
      </w:r>
    </w:p>
    <w:p w14:paraId="09E620A5" w14:textId="77777777" w:rsidR="001257F0" w:rsidRPr="00B96BAE" w:rsidRDefault="00B96BAE" w:rsidP="00473DE9">
      <w:pPr>
        <w:rPr>
          <w:color w:val="auto"/>
        </w:rPr>
      </w:pPr>
      <w:r w:rsidRPr="00B96BAE">
        <w:rPr>
          <w:color w:val="auto"/>
        </w:rPr>
        <w:t>The CEO Forum established a</w:t>
      </w:r>
      <w:r w:rsidR="001257F0" w:rsidRPr="00B96BAE">
        <w:rPr>
          <w:color w:val="auto"/>
        </w:rPr>
        <w:t xml:space="preserve"> working group to develop Risk Equalisation reform options</w:t>
      </w:r>
      <w:r w:rsidR="008D5704" w:rsidRPr="00B96BAE">
        <w:rPr>
          <w:color w:val="auto"/>
        </w:rPr>
        <w:t>,</w:t>
      </w:r>
      <w:r w:rsidR="001257F0" w:rsidRPr="00B96BAE">
        <w:rPr>
          <w:color w:val="auto"/>
        </w:rPr>
        <w:t xml:space="preserve"> specifically to better support the affordability and availability of PHI products</w:t>
      </w:r>
      <w:r w:rsidRPr="00B96BAE">
        <w:rPr>
          <w:color w:val="auto"/>
        </w:rPr>
        <w:t xml:space="preserve"> that</w:t>
      </w:r>
      <w:r w:rsidR="001257F0" w:rsidRPr="00B96BAE">
        <w:rPr>
          <w:color w:val="auto"/>
        </w:rPr>
        <w:t xml:space="preserve"> cover</w:t>
      </w:r>
      <w:r w:rsidRPr="00B96BAE">
        <w:rPr>
          <w:color w:val="auto"/>
        </w:rPr>
        <w:t xml:space="preserve"> </w:t>
      </w:r>
      <w:r w:rsidR="001257F0" w:rsidRPr="00B96BAE">
        <w:rPr>
          <w:color w:val="auto"/>
        </w:rPr>
        <w:t xml:space="preserve">maternity and mental health. </w:t>
      </w:r>
    </w:p>
    <w:p w14:paraId="5C7F0313" w14:textId="77777777" w:rsidR="00876674" w:rsidRDefault="00876674" w:rsidP="00473DE9">
      <w:r>
        <w:t xml:space="preserve">Stakeholders should note that this </w:t>
      </w:r>
      <w:r w:rsidRPr="00C3146F">
        <w:rPr>
          <w:szCs w:val="28"/>
          <w:lang w:val="en-US"/>
        </w:rPr>
        <w:t xml:space="preserve">is the initial tranche of consultation on </w:t>
      </w:r>
      <w:r>
        <w:rPr>
          <w:szCs w:val="28"/>
          <w:lang w:val="en-US"/>
        </w:rPr>
        <w:t>Risk Equalisation</w:t>
      </w:r>
      <w:r w:rsidRPr="00C3146F">
        <w:rPr>
          <w:szCs w:val="28"/>
          <w:lang w:val="en-US"/>
        </w:rPr>
        <w:t xml:space="preserve"> which will be used to inform independent technical expertise prior to further consultation.</w:t>
      </w:r>
    </w:p>
    <w:p w14:paraId="0FA5E565" w14:textId="77777777" w:rsidR="00C94F5B" w:rsidRPr="00DF7E69" w:rsidRDefault="00C94F5B" w:rsidP="008926E0">
      <w:pPr>
        <w:pStyle w:val="Body"/>
        <w:spacing w:before="240" w:after="120"/>
        <w:rPr>
          <w:rFonts w:cs="Arial"/>
          <w:b/>
          <w:bCs/>
          <w:iCs/>
          <w:color w:val="358189"/>
          <w:szCs w:val="22"/>
          <w:u w:val="single"/>
        </w:rPr>
      </w:pPr>
      <w:r w:rsidRPr="00DF7E69">
        <w:rPr>
          <w:rFonts w:cs="Arial"/>
          <w:b/>
          <w:bCs/>
          <w:iCs/>
          <w:color w:val="358189"/>
          <w:szCs w:val="22"/>
          <w:u w:val="single"/>
        </w:rPr>
        <w:t>Propos</w:t>
      </w:r>
      <w:r w:rsidR="00E546E4" w:rsidRPr="00DF7E69">
        <w:rPr>
          <w:rFonts w:cs="Arial"/>
          <w:b/>
          <w:bCs/>
          <w:iCs/>
          <w:color w:val="358189"/>
          <w:szCs w:val="22"/>
          <w:u w:val="single"/>
        </w:rPr>
        <w:t xml:space="preserve">ed reform principles </w:t>
      </w:r>
    </w:p>
    <w:p w14:paraId="6A5DFFF9" w14:textId="77777777" w:rsidR="00DA2538" w:rsidRPr="00B96BAE" w:rsidRDefault="00DA2538" w:rsidP="00473DE9">
      <w:pPr>
        <w:rPr>
          <w:color w:val="auto"/>
        </w:rPr>
      </w:pPr>
      <w:r w:rsidRPr="00B96BAE">
        <w:rPr>
          <w:color w:val="auto"/>
        </w:rPr>
        <w:t xml:space="preserve">Prior to exploring options to </w:t>
      </w:r>
      <w:r w:rsidR="008D2297" w:rsidRPr="00B96BAE">
        <w:rPr>
          <w:color w:val="auto"/>
        </w:rPr>
        <w:t>R</w:t>
      </w:r>
      <w:r w:rsidRPr="00B96BAE">
        <w:rPr>
          <w:color w:val="auto"/>
        </w:rPr>
        <w:t xml:space="preserve">isk </w:t>
      </w:r>
      <w:r w:rsidR="008D2297" w:rsidRPr="00B96BAE">
        <w:rPr>
          <w:color w:val="auto"/>
        </w:rPr>
        <w:t>E</w:t>
      </w:r>
      <w:r w:rsidRPr="00B96BAE">
        <w:rPr>
          <w:color w:val="auto"/>
        </w:rPr>
        <w:t xml:space="preserve">qualisation reform, the </w:t>
      </w:r>
      <w:r w:rsidR="00A16B69" w:rsidRPr="00B96BAE">
        <w:rPr>
          <w:color w:val="auto"/>
        </w:rPr>
        <w:t>CEO Forum</w:t>
      </w:r>
      <w:r w:rsidRPr="00B96BAE">
        <w:rPr>
          <w:color w:val="auto"/>
        </w:rPr>
        <w:t xml:space="preserve"> </w:t>
      </w:r>
      <w:r w:rsidR="00DF44E6" w:rsidRPr="00B96BAE">
        <w:rPr>
          <w:color w:val="auto"/>
        </w:rPr>
        <w:t>considered</w:t>
      </w:r>
      <w:r w:rsidRPr="00B96BAE">
        <w:rPr>
          <w:color w:val="auto"/>
        </w:rPr>
        <w:t xml:space="preserve"> the following principles to underpin reforms addressing maternity and mental health cover:</w:t>
      </w:r>
    </w:p>
    <w:p w14:paraId="3331DAB6" w14:textId="77777777" w:rsidR="00DA2538" w:rsidRDefault="00DA2538" w:rsidP="009257CE">
      <w:pPr>
        <w:pStyle w:val="Body"/>
        <w:numPr>
          <w:ilvl w:val="0"/>
          <w:numId w:val="6"/>
        </w:numPr>
        <w:spacing w:after="120"/>
        <w:ind w:left="714" w:hanging="357"/>
      </w:pPr>
      <w:r>
        <w:t>maintain the overall size of the Risk Equalisation pool per Single Equivalent Unit (SEU)</w:t>
      </w:r>
    </w:p>
    <w:p w14:paraId="1AA03722" w14:textId="77777777" w:rsidR="00DA2538" w:rsidRDefault="00DA2538" w:rsidP="009257CE">
      <w:pPr>
        <w:pStyle w:val="Body"/>
        <w:numPr>
          <w:ilvl w:val="0"/>
          <w:numId w:val="6"/>
        </w:numPr>
        <w:spacing w:after="120"/>
        <w:ind w:left="714" w:hanging="357"/>
      </w:pPr>
      <w:r>
        <w:t>support community rating, particularly for products covering maternity and mental health</w:t>
      </w:r>
    </w:p>
    <w:p w14:paraId="0F6FE3FA" w14:textId="77777777" w:rsidR="00DA2538" w:rsidRDefault="00DA2538" w:rsidP="009257CE">
      <w:pPr>
        <w:pStyle w:val="Body"/>
        <w:numPr>
          <w:ilvl w:val="0"/>
          <w:numId w:val="6"/>
        </w:numPr>
        <w:spacing w:after="120"/>
        <w:ind w:left="714" w:hanging="357"/>
      </w:pPr>
      <w:r>
        <w:t>reduce disincentives for insurers to offer comprehensive products</w:t>
      </w:r>
    </w:p>
    <w:p w14:paraId="5289B261" w14:textId="77777777" w:rsidR="00DA2538" w:rsidRDefault="00DA2538" w:rsidP="009257CE">
      <w:pPr>
        <w:pStyle w:val="Body"/>
        <w:numPr>
          <w:ilvl w:val="0"/>
          <w:numId w:val="6"/>
        </w:numPr>
        <w:spacing w:after="120"/>
        <w:ind w:left="714" w:hanging="357"/>
      </w:pPr>
      <w:r>
        <w:t>improve affordability and sustainability of maternity and mental health cover</w:t>
      </w:r>
    </w:p>
    <w:p w14:paraId="078D14CC" w14:textId="77777777" w:rsidR="00DA2538" w:rsidRDefault="00DA2538" w:rsidP="009257CE">
      <w:pPr>
        <w:pStyle w:val="Body"/>
        <w:numPr>
          <w:ilvl w:val="0"/>
          <w:numId w:val="6"/>
        </w:numPr>
        <w:spacing w:after="120"/>
        <w:ind w:left="714" w:hanging="357"/>
      </w:pPr>
      <w:r>
        <w:t xml:space="preserve">minimise unintended consequences, including </w:t>
      </w:r>
      <w:r w:rsidR="0096339E">
        <w:t>cross-</w:t>
      </w:r>
      <w:r>
        <w:t>tier distortions, and</w:t>
      </w:r>
    </w:p>
    <w:p w14:paraId="4A639C9E" w14:textId="77777777" w:rsidR="00DA2538" w:rsidRPr="00994EF0" w:rsidRDefault="00DA2538" w:rsidP="009257CE">
      <w:pPr>
        <w:pStyle w:val="Body"/>
        <w:numPr>
          <w:ilvl w:val="0"/>
          <w:numId w:val="6"/>
        </w:numPr>
        <w:spacing w:after="120"/>
        <w:ind w:left="714" w:hanging="357"/>
      </w:pPr>
      <w:r>
        <w:t>ensure reforms are implementable in the short to medium term, while aligning with longer term reform.</w:t>
      </w:r>
    </w:p>
    <w:p w14:paraId="6A7C3050" w14:textId="77777777" w:rsidR="009F461D" w:rsidRPr="00DF7E69" w:rsidRDefault="004229A5" w:rsidP="008926E0">
      <w:pPr>
        <w:pStyle w:val="Body"/>
        <w:spacing w:before="240" w:after="120"/>
        <w:rPr>
          <w:rFonts w:cs="Arial"/>
          <w:b/>
          <w:bCs/>
          <w:iCs/>
          <w:color w:val="358189"/>
          <w:szCs w:val="22"/>
          <w:u w:val="single"/>
        </w:rPr>
      </w:pPr>
      <w:r w:rsidRPr="00DF7E69">
        <w:rPr>
          <w:rFonts w:cs="Arial"/>
          <w:b/>
          <w:bCs/>
          <w:iCs/>
          <w:color w:val="358189"/>
          <w:szCs w:val="22"/>
          <w:u w:val="single"/>
        </w:rPr>
        <w:t>Increasing share of maternity and mental health claim costs between insurers</w:t>
      </w:r>
    </w:p>
    <w:p w14:paraId="395661E0" w14:textId="77777777" w:rsidR="00A3424F" w:rsidRPr="00B96BAE" w:rsidRDefault="0052610E" w:rsidP="00473DE9">
      <w:pPr>
        <w:pStyle w:val="Body"/>
        <w:spacing w:after="120"/>
        <w:rPr>
          <w:color w:val="auto"/>
        </w:rPr>
      </w:pPr>
      <w:r>
        <w:t>The CEO Forum working group identified</w:t>
      </w:r>
      <w:r w:rsidR="00FC667A">
        <w:t xml:space="preserve"> the</w:t>
      </w:r>
      <w:r>
        <w:t xml:space="preserve"> </w:t>
      </w:r>
      <w:r w:rsidR="00C0388C">
        <w:t xml:space="preserve">proposed </w:t>
      </w:r>
      <w:r w:rsidR="00D76FA5">
        <w:t xml:space="preserve">reform </w:t>
      </w:r>
      <w:r w:rsidR="00C0388C">
        <w:t xml:space="preserve">initiatives </w:t>
      </w:r>
      <w:r w:rsidR="00FC667A">
        <w:t>below</w:t>
      </w:r>
      <w:r w:rsidR="00451256">
        <w:t xml:space="preserve">, recognising that neither is ready for implementation without consultation on the </w:t>
      </w:r>
      <w:r w:rsidR="00554974">
        <w:t>associated requirements and impacts.</w:t>
      </w:r>
      <w:r w:rsidR="002D6A17">
        <w:t xml:space="preserve"> </w:t>
      </w:r>
      <w:r w:rsidR="004259CF" w:rsidRPr="00B96BAE">
        <w:rPr>
          <w:color w:val="auto"/>
        </w:rPr>
        <w:t xml:space="preserve">The reform initiatives </w:t>
      </w:r>
      <w:r w:rsidR="00F61B98" w:rsidRPr="00B96BAE">
        <w:rPr>
          <w:color w:val="auto"/>
        </w:rPr>
        <w:t>are not intended to be mutually exclusive</w:t>
      </w:r>
      <w:r w:rsidR="00B96BAE" w:rsidRPr="00B96BAE">
        <w:rPr>
          <w:color w:val="auto"/>
        </w:rPr>
        <w:t>. The</w:t>
      </w:r>
      <w:r w:rsidR="001B4307" w:rsidRPr="00B96BAE">
        <w:rPr>
          <w:color w:val="auto"/>
        </w:rPr>
        <w:t xml:space="preserve"> department is </w:t>
      </w:r>
      <w:r w:rsidR="001A010A" w:rsidRPr="00B96BAE">
        <w:rPr>
          <w:color w:val="auto"/>
        </w:rPr>
        <w:t>seeking</w:t>
      </w:r>
      <w:r w:rsidR="001B4307" w:rsidRPr="00B96BAE">
        <w:rPr>
          <w:color w:val="auto"/>
        </w:rPr>
        <w:t xml:space="preserve"> feedback on whether one</w:t>
      </w:r>
      <w:r w:rsidR="007F5BCE" w:rsidRPr="00B96BAE">
        <w:rPr>
          <w:color w:val="auto"/>
        </w:rPr>
        <w:t>,</w:t>
      </w:r>
      <w:r w:rsidR="001B4307" w:rsidRPr="00B96BAE">
        <w:rPr>
          <w:color w:val="auto"/>
        </w:rPr>
        <w:t xml:space="preserve"> both </w:t>
      </w:r>
      <w:r w:rsidR="00CE3D9A" w:rsidRPr="00B96BAE">
        <w:rPr>
          <w:color w:val="auto"/>
        </w:rPr>
        <w:t xml:space="preserve">or </w:t>
      </w:r>
      <w:r w:rsidR="00EA0DC7" w:rsidRPr="00B96BAE">
        <w:rPr>
          <w:color w:val="auto"/>
        </w:rPr>
        <w:t>selected</w:t>
      </w:r>
      <w:r w:rsidR="00171A45" w:rsidRPr="00B96BAE">
        <w:rPr>
          <w:color w:val="auto"/>
        </w:rPr>
        <w:t xml:space="preserve"> </w:t>
      </w:r>
      <w:r w:rsidR="00CE3D9A" w:rsidRPr="00B96BAE">
        <w:rPr>
          <w:color w:val="auto"/>
        </w:rPr>
        <w:t>sub</w:t>
      </w:r>
      <w:r w:rsidR="00F2319E" w:rsidRPr="00B96BAE">
        <w:rPr>
          <w:color w:val="auto"/>
        </w:rPr>
        <w:t>components</w:t>
      </w:r>
      <w:r w:rsidR="001B4307" w:rsidRPr="00B96BAE">
        <w:rPr>
          <w:color w:val="auto"/>
        </w:rPr>
        <w:t xml:space="preserve"> </w:t>
      </w:r>
      <w:r w:rsidR="001A010A" w:rsidRPr="00B96BAE">
        <w:rPr>
          <w:color w:val="auto"/>
        </w:rPr>
        <w:t>should</w:t>
      </w:r>
      <w:r w:rsidR="00F61B98" w:rsidRPr="00B96BAE">
        <w:rPr>
          <w:color w:val="auto"/>
        </w:rPr>
        <w:t xml:space="preserve"> </w:t>
      </w:r>
      <w:r w:rsidR="001B4307" w:rsidRPr="00B96BAE">
        <w:rPr>
          <w:color w:val="auto"/>
        </w:rPr>
        <w:t>be implemented</w:t>
      </w:r>
      <w:r w:rsidR="001A010A" w:rsidRPr="00B96BAE">
        <w:rPr>
          <w:color w:val="auto"/>
        </w:rPr>
        <w:t xml:space="preserve"> (</w:t>
      </w:r>
      <w:r w:rsidR="00F45340" w:rsidRPr="00B96BAE">
        <w:rPr>
          <w:color w:val="auto"/>
        </w:rPr>
        <w:t xml:space="preserve">either as </w:t>
      </w:r>
      <w:r w:rsidR="001A010A" w:rsidRPr="00B96BAE">
        <w:rPr>
          <w:color w:val="auto"/>
        </w:rPr>
        <w:t xml:space="preserve">proposed or with </w:t>
      </w:r>
      <w:r w:rsidR="00F45340" w:rsidRPr="00B96BAE">
        <w:rPr>
          <w:color w:val="auto"/>
        </w:rPr>
        <w:t xml:space="preserve">suggested </w:t>
      </w:r>
      <w:r w:rsidR="001A010A" w:rsidRPr="00B96BAE">
        <w:rPr>
          <w:color w:val="auto"/>
        </w:rPr>
        <w:t>changes)</w:t>
      </w:r>
      <w:r w:rsidR="003F0ECD" w:rsidRPr="00B96BAE">
        <w:rPr>
          <w:color w:val="auto"/>
        </w:rPr>
        <w:t xml:space="preserve"> and any additional or</w:t>
      </w:r>
      <w:r w:rsidR="00277549" w:rsidRPr="00B96BAE">
        <w:rPr>
          <w:color w:val="auto"/>
        </w:rPr>
        <w:t xml:space="preserve"> alternative options.</w:t>
      </w:r>
      <w:r w:rsidR="001F32CB" w:rsidRPr="00B96BAE">
        <w:rPr>
          <w:color w:val="auto"/>
        </w:rPr>
        <w:t xml:space="preserve"> </w:t>
      </w:r>
    </w:p>
    <w:p w14:paraId="41F5AF08" w14:textId="77777777" w:rsidR="0052610E" w:rsidRPr="00B96BAE" w:rsidRDefault="00B96BAE" w:rsidP="00473DE9">
      <w:pPr>
        <w:pStyle w:val="Body"/>
        <w:spacing w:after="120"/>
        <w:rPr>
          <w:color w:val="auto"/>
        </w:rPr>
      </w:pPr>
      <w:r w:rsidRPr="00B96BAE">
        <w:rPr>
          <w:color w:val="auto"/>
        </w:rPr>
        <w:t>M</w:t>
      </w:r>
      <w:r w:rsidR="00A00BD3" w:rsidRPr="00B96BAE">
        <w:rPr>
          <w:color w:val="auto"/>
        </w:rPr>
        <w:t>aking changes to the Risk Equalisation system</w:t>
      </w:r>
      <w:r w:rsidRPr="00B96BAE">
        <w:rPr>
          <w:color w:val="auto"/>
        </w:rPr>
        <w:t xml:space="preserve"> is complex and resource-intensive in nature. If</w:t>
      </w:r>
      <w:r w:rsidR="00765C04" w:rsidRPr="00B96BAE">
        <w:rPr>
          <w:color w:val="auto"/>
        </w:rPr>
        <w:t xml:space="preserve"> multiple </w:t>
      </w:r>
      <w:r w:rsidR="00FF2634" w:rsidRPr="00B96BAE">
        <w:rPr>
          <w:color w:val="auto"/>
        </w:rPr>
        <w:t>reform initiatives</w:t>
      </w:r>
      <w:r w:rsidR="006C6EB9" w:rsidRPr="00B96BAE">
        <w:rPr>
          <w:color w:val="auto"/>
        </w:rPr>
        <w:t xml:space="preserve"> </w:t>
      </w:r>
      <w:r w:rsidR="00765C04" w:rsidRPr="00B96BAE">
        <w:rPr>
          <w:color w:val="auto"/>
        </w:rPr>
        <w:t>are implement</w:t>
      </w:r>
      <w:r w:rsidRPr="00B96BAE">
        <w:rPr>
          <w:color w:val="auto"/>
        </w:rPr>
        <w:t>ed, these will be</w:t>
      </w:r>
      <w:r w:rsidR="00EF61CD" w:rsidRPr="00B96BAE">
        <w:rPr>
          <w:color w:val="auto"/>
        </w:rPr>
        <w:t xml:space="preserve"> done</w:t>
      </w:r>
      <w:r w:rsidR="00330DB1" w:rsidRPr="00B96BAE">
        <w:rPr>
          <w:color w:val="auto"/>
        </w:rPr>
        <w:t xml:space="preserve"> </w:t>
      </w:r>
      <w:r w:rsidR="008A0D73" w:rsidRPr="00B96BAE">
        <w:rPr>
          <w:color w:val="auto"/>
        </w:rPr>
        <w:t>simultaneously</w:t>
      </w:r>
      <w:r w:rsidRPr="00B96BAE">
        <w:rPr>
          <w:color w:val="auto"/>
        </w:rPr>
        <w:t>.</w:t>
      </w:r>
      <w:r w:rsidR="008A22A5" w:rsidRPr="00B96BAE">
        <w:rPr>
          <w:color w:val="auto"/>
        </w:rPr>
        <w:t xml:space="preserve"> </w:t>
      </w:r>
    </w:p>
    <w:tbl>
      <w:tblPr>
        <w:tblStyle w:val="DepartmentofHealthtable"/>
        <w:tblW w:w="9923" w:type="dxa"/>
        <w:tblInd w:w="-289" w:type="dxa"/>
        <w:tblBorders>
          <w:left w:val="single" w:sz="4" w:space="0" w:color="auto"/>
          <w:right w:val="single" w:sz="4" w:space="0" w:color="auto"/>
          <w:insideH w:val="none" w:sz="0" w:space="0" w:color="auto"/>
        </w:tblBorders>
        <w:tblLayout w:type="fixed"/>
        <w:tblLook w:val="04A0" w:firstRow="1" w:lastRow="0" w:firstColumn="1" w:lastColumn="0" w:noHBand="0" w:noVBand="1"/>
        <w:tblDescription w:val="Add Alt Text describing the content of the table"/>
      </w:tblPr>
      <w:tblGrid>
        <w:gridCol w:w="3828"/>
        <w:gridCol w:w="2977"/>
        <w:gridCol w:w="3118"/>
      </w:tblGrid>
      <w:tr w:rsidR="008004E0" w:rsidRPr="001070A6" w14:paraId="43F6DF1C" w14:textId="77777777" w:rsidTr="00F341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4" w:space="0" w:color="auto"/>
              <w:bottom w:val="single" w:sz="4" w:space="0" w:color="FFFFFF" w:themeColor="background1"/>
            </w:tcBorders>
          </w:tcPr>
          <w:p w14:paraId="0948ABE3" w14:textId="77777777" w:rsidR="008004E0" w:rsidRPr="001070A6" w:rsidRDefault="008004E0" w:rsidP="00473DE9">
            <w:pPr>
              <w:pStyle w:val="TableHeaderWhite"/>
              <w:spacing w:before="120" w:after="120"/>
              <w:rPr>
                <w:sz w:val="20"/>
                <w:szCs w:val="20"/>
              </w:rPr>
            </w:pPr>
            <w:r>
              <w:rPr>
                <w:bCs/>
                <w:iCs/>
                <w:sz w:val="20"/>
                <w:szCs w:val="20"/>
              </w:rPr>
              <w:lastRenderedPageBreak/>
              <w:t xml:space="preserve">Risk Equalisation Reform </w:t>
            </w:r>
            <w:r w:rsidRPr="00F71820">
              <w:rPr>
                <w:sz w:val="20"/>
                <w:szCs w:val="20"/>
              </w:rPr>
              <w:t>Initiative</w:t>
            </w:r>
            <w:r w:rsidR="00D61CC3">
              <w:rPr>
                <w:sz w:val="20"/>
                <w:szCs w:val="20"/>
              </w:rPr>
              <w:t>s</w:t>
            </w:r>
          </w:p>
        </w:tc>
      </w:tr>
      <w:tr w:rsidR="003E0AA7" w:rsidRPr="001070A6" w14:paraId="2E76337D" w14:textId="77777777" w:rsidTr="00AC306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FFFFFF" w:themeColor="background1"/>
            </w:tcBorders>
          </w:tcPr>
          <w:p w14:paraId="70D9FF20" w14:textId="77777777" w:rsidR="003077D9" w:rsidRPr="001070A6" w:rsidRDefault="009319A4" w:rsidP="00473DE9">
            <w:pPr>
              <w:pStyle w:val="TableHeaderWhite"/>
              <w:spacing w:before="120" w:after="120"/>
              <w:rPr>
                <w:sz w:val="20"/>
                <w:szCs w:val="20"/>
              </w:rPr>
            </w:pPr>
            <w:r>
              <w:rPr>
                <w:sz w:val="20"/>
                <w:szCs w:val="20"/>
              </w:rPr>
              <w:t>Reform Initiative</w:t>
            </w:r>
          </w:p>
        </w:tc>
        <w:tc>
          <w:tcPr>
            <w:tcW w:w="2977" w:type="dxa"/>
            <w:tcBorders>
              <w:top w:val="single" w:sz="4" w:space="0" w:color="FFFFFF" w:themeColor="background1"/>
            </w:tcBorders>
          </w:tcPr>
          <w:p w14:paraId="761D532D" w14:textId="77777777" w:rsidR="003077D9" w:rsidRPr="001070A6" w:rsidRDefault="0064667C" w:rsidP="00473DE9">
            <w:pPr>
              <w:pStyle w:val="TableHeader"/>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1070A6">
              <w:rPr>
                <w:sz w:val="20"/>
                <w:szCs w:val="20"/>
              </w:rPr>
              <w:t>Requiremen</w:t>
            </w:r>
            <w:r w:rsidR="009C11DA" w:rsidRPr="001070A6">
              <w:rPr>
                <w:sz w:val="20"/>
                <w:szCs w:val="20"/>
              </w:rPr>
              <w:t>ts</w:t>
            </w:r>
          </w:p>
        </w:tc>
        <w:tc>
          <w:tcPr>
            <w:tcW w:w="3118" w:type="dxa"/>
            <w:tcBorders>
              <w:top w:val="single" w:sz="4" w:space="0" w:color="FFFFFF" w:themeColor="background1"/>
            </w:tcBorders>
            <w:shd w:val="clear" w:color="auto" w:fill="3F4A75" w:themeFill="text2"/>
          </w:tcPr>
          <w:p w14:paraId="5E0CDC8F" w14:textId="77777777" w:rsidR="003077D9" w:rsidRPr="001070A6" w:rsidRDefault="003077D9" w:rsidP="00473DE9">
            <w:pPr>
              <w:pStyle w:val="TableHeaderWhite"/>
              <w:spacing w:before="120" w:after="120"/>
              <w:cnfStyle w:val="100000000000" w:firstRow="1" w:lastRow="0" w:firstColumn="0" w:lastColumn="0" w:oddVBand="0" w:evenVBand="0" w:oddHBand="0" w:evenHBand="0" w:firstRowFirstColumn="0" w:firstRowLastColumn="0" w:lastRowFirstColumn="0" w:lastRowLastColumn="0"/>
              <w:rPr>
                <w:sz w:val="20"/>
                <w:szCs w:val="20"/>
              </w:rPr>
            </w:pPr>
            <w:r w:rsidRPr="001070A6">
              <w:rPr>
                <w:sz w:val="20"/>
                <w:szCs w:val="20"/>
              </w:rPr>
              <w:t>Impact</w:t>
            </w:r>
            <w:r w:rsidR="0064667C" w:rsidRPr="001070A6">
              <w:rPr>
                <w:sz w:val="20"/>
                <w:szCs w:val="20"/>
              </w:rPr>
              <w:t>/s</w:t>
            </w:r>
          </w:p>
        </w:tc>
      </w:tr>
      <w:tr w:rsidR="003E0AA7" w:rsidRPr="001070A6" w14:paraId="77DA2F45" w14:textId="77777777" w:rsidTr="00AC306E">
        <w:trPr>
          <w:cnfStyle w:val="000000100000" w:firstRow="0" w:lastRow="0" w:firstColumn="0" w:lastColumn="0" w:oddVBand="0" w:evenVBand="0" w:oddHBand="1" w:evenHBand="0" w:firstRowFirstColumn="0" w:firstRowLastColumn="0" w:lastRowFirstColumn="0" w:lastRowLastColumn="0"/>
          <w:trHeight w:val="3563"/>
        </w:trPr>
        <w:tc>
          <w:tcPr>
            <w:cnfStyle w:val="001000000000" w:firstRow="0" w:lastRow="0" w:firstColumn="1" w:lastColumn="0" w:oddVBand="0" w:evenVBand="0" w:oddHBand="0" w:evenHBand="0" w:firstRowFirstColumn="0" w:firstRowLastColumn="0" w:lastRowFirstColumn="0" w:lastRowLastColumn="0"/>
            <w:tcW w:w="3828" w:type="dxa"/>
            <w:tcBorders>
              <w:bottom w:val="single" w:sz="4" w:space="0" w:color="auto"/>
            </w:tcBorders>
            <w:shd w:val="clear" w:color="auto" w:fill="auto"/>
            <w:vAlign w:val="center"/>
          </w:tcPr>
          <w:p w14:paraId="07A21E93" w14:textId="77777777" w:rsidR="003077D9" w:rsidRPr="00F5496E" w:rsidRDefault="009319A4" w:rsidP="00473DE9">
            <w:pPr>
              <w:rPr>
                <w:b/>
                <w:sz w:val="20"/>
                <w:szCs w:val="20"/>
              </w:rPr>
            </w:pPr>
            <w:r>
              <w:rPr>
                <w:b/>
                <w:bCs/>
                <w:sz w:val="20"/>
                <w:szCs w:val="20"/>
              </w:rPr>
              <w:t xml:space="preserve">Initiative 1: </w:t>
            </w:r>
            <w:r w:rsidR="003077D9" w:rsidRPr="00F5496E">
              <w:rPr>
                <w:b/>
                <w:sz w:val="20"/>
                <w:szCs w:val="20"/>
              </w:rPr>
              <w:t xml:space="preserve">New </w:t>
            </w:r>
            <w:r w:rsidR="00600FC7" w:rsidRPr="00F5496E">
              <w:rPr>
                <w:b/>
                <w:sz w:val="20"/>
                <w:szCs w:val="20"/>
              </w:rPr>
              <w:t>R</w:t>
            </w:r>
            <w:r w:rsidR="00764178" w:rsidRPr="00F5496E">
              <w:rPr>
                <w:b/>
                <w:sz w:val="20"/>
                <w:szCs w:val="20"/>
              </w:rPr>
              <w:t xml:space="preserve">isk </w:t>
            </w:r>
            <w:r w:rsidR="00600FC7" w:rsidRPr="00F5496E">
              <w:rPr>
                <w:b/>
                <w:sz w:val="20"/>
                <w:szCs w:val="20"/>
              </w:rPr>
              <w:t>E</w:t>
            </w:r>
            <w:r w:rsidR="00764178" w:rsidRPr="00F5496E">
              <w:rPr>
                <w:b/>
                <w:sz w:val="20"/>
                <w:szCs w:val="20"/>
              </w:rPr>
              <w:t xml:space="preserve">qualisation </w:t>
            </w:r>
            <w:r w:rsidR="003077D9" w:rsidRPr="00F5496E">
              <w:rPr>
                <w:b/>
                <w:sz w:val="20"/>
                <w:szCs w:val="20"/>
              </w:rPr>
              <w:t>pool arrangements</w:t>
            </w:r>
            <w:r w:rsidR="00764178" w:rsidRPr="00F5496E">
              <w:rPr>
                <w:b/>
                <w:sz w:val="20"/>
                <w:szCs w:val="20"/>
              </w:rPr>
              <w:t>:</w:t>
            </w:r>
          </w:p>
          <w:p w14:paraId="717BB0E9" w14:textId="77777777" w:rsidR="00764178" w:rsidRPr="00984D24" w:rsidRDefault="00984D24" w:rsidP="009257CE">
            <w:pPr>
              <w:pStyle w:val="ListParagraph"/>
              <w:numPr>
                <w:ilvl w:val="0"/>
                <w:numId w:val="13"/>
              </w:numPr>
              <w:ind w:left="357" w:hanging="357"/>
              <w:rPr>
                <w:b/>
                <w:bCs/>
                <w:sz w:val="20"/>
                <w:szCs w:val="20"/>
              </w:rPr>
            </w:pPr>
            <w:r w:rsidRPr="001070A6">
              <w:rPr>
                <w:rFonts w:eastAsiaTheme="majorEastAsia"/>
                <w:sz w:val="20"/>
                <w:szCs w:val="20"/>
              </w:rPr>
              <w:t>maternity (Pregnancy and birth clinical category)</w:t>
            </w:r>
            <w:r w:rsidR="00600FC7">
              <w:rPr>
                <w:rFonts w:eastAsiaTheme="majorEastAsia"/>
                <w:sz w:val="20"/>
                <w:szCs w:val="20"/>
              </w:rPr>
              <w:t>, and</w:t>
            </w:r>
          </w:p>
          <w:p w14:paraId="313ECDBC" w14:textId="77777777" w:rsidR="00984D24" w:rsidRPr="00984D24" w:rsidRDefault="00984D24" w:rsidP="009257CE">
            <w:pPr>
              <w:pStyle w:val="ListParagraph"/>
              <w:numPr>
                <w:ilvl w:val="0"/>
                <w:numId w:val="13"/>
              </w:numPr>
              <w:ind w:left="357" w:hanging="357"/>
              <w:rPr>
                <w:b/>
                <w:bCs/>
                <w:sz w:val="20"/>
                <w:szCs w:val="20"/>
              </w:rPr>
            </w:pPr>
            <w:r w:rsidRPr="001070A6">
              <w:rPr>
                <w:rFonts w:eastAsiaTheme="majorEastAsia"/>
                <w:sz w:val="20"/>
                <w:szCs w:val="20"/>
              </w:rPr>
              <w:t xml:space="preserve">mental health (Hospital psychiatric services clinical category) </w:t>
            </w:r>
          </w:p>
          <w:p w14:paraId="51677F23" w14:textId="77777777" w:rsidR="00466C94" w:rsidRPr="00984D24" w:rsidRDefault="00F557F2" w:rsidP="00473DE9">
            <w:pPr>
              <w:rPr>
                <w:b/>
                <w:bCs/>
                <w:sz w:val="20"/>
                <w:szCs w:val="20"/>
              </w:rPr>
            </w:pPr>
            <w:r>
              <w:rPr>
                <w:rFonts w:eastAsiaTheme="majorEastAsia"/>
                <w:sz w:val="20"/>
                <w:szCs w:val="20"/>
              </w:rPr>
              <w:t>A</w:t>
            </w:r>
            <w:r w:rsidR="00984D24" w:rsidRPr="00984D24">
              <w:rPr>
                <w:rFonts w:eastAsiaTheme="majorEastAsia"/>
                <w:sz w:val="20"/>
                <w:szCs w:val="20"/>
              </w:rPr>
              <w:t xml:space="preserve"> percentage (e.g. 25%, 50% or 75%) of eligible benefits to be included in these pools</w:t>
            </w:r>
            <w:r w:rsidR="00785429">
              <w:rPr>
                <w:rFonts w:eastAsiaTheme="majorEastAsia"/>
                <w:sz w:val="20"/>
                <w:szCs w:val="20"/>
              </w:rPr>
              <w:t>.</w:t>
            </w:r>
          </w:p>
          <w:p w14:paraId="0A853364" w14:textId="77777777" w:rsidR="00E83366" w:rsidRPr="00885319" w:rsidRDefault="00466C94" w:rsidP="00473DE9">
            <w:pPr>
              <w:rPr>
                <w:rFonts w:eastAsiaTheme="majorEastAsia"/>
              </w:rPr>
            </w:pPr>
            <w:r>
              <w:rPr>
                <w:rFonts w:eastAsiaTheme="majorEastAsia"/>
                <w:sz w:val="20"/>
                <w:szCs w:val="20"/>
              </w:rPr>
              <w:t>M</w:t>
            </w:r>
            <w:r w:rsidR="00984D24" w:rsidRPr="00E80D50">
              <w:rPr>
                <w:rFonts w:eastAsiaTheme="majorEastAsia"/>
                <w:sz w:val="20"/>
                <w:szCs w:val="20"/>
              </w:rPr>
              <w:t>aternity</w:t>
            </w:r>
            <w:r w:rsidR="00984D24" w:rsidRPr="000A16F8">
              <w:rPr>
                <w:rFonts w:eastAsiaTheme="majorEastAsia"/>
                <w:sz w:val="20"/>
                <w:szCs w:val="20"/>
              </w:rPr>
              <w:t xml:space="preserve"> and mental health claims </w:t>
            </w:r>
            <w:r w:rsidR="00F9175C">
              <w:rPr>
                <w:rFonts w:eastAsiaTheme="majorEastAsia"/>
                <w:sz w:val="20"/>
                <w:szCs w:val="20"/>
              </w:rPr>
              <w:t xml:space="preserve">should be excluded </w:t>
            </w:r>
            <w:r w:rsidR="00984D24" w:rsidRPr="000A16F8">
              <w:rPr>
                <w:rFonts w:eastAsiaTheme="majorEastAsia"/>
                <w:sz w:val="20"/>
                <w:szCs w:val="20"/>
              </w:rPr>
              <w:t>from existing ABP and HCCP</w:t>
            </w:r>
            <w:r w:rsidR="00C57375">
              <w:rPr>
                <w:rFonts w:eastAsiaTheme="majorEastAsia"/>
                <w:sz w:val="20"/>
                <w:szCs w:val="20"/>
              </w:rPr>
              <w:t xml:space="preserve"> to </w:t>
            </w:r>
            <w:r w:rsidR="00A53B98">
              <w:rPr>
                <w:rFonts w:eastAsiaTheme="majorEastAsia"/>
                <w:sz w:val="20"/>
                <w:szCs w:val="20"/>
              </w:rPr>
              <w:t xml:space="preserve">avoid </w:t>
            </w:r>
            <w:r w:rsidR="005B6A7F">
              <w:rPr>
                <w:rFonts w:eastAsiaTheme="majorEastAsia"/>
                <w:sz w:val="20"/>
                <w:szCs w:val="20"/>
              </w:rPr>
              <w:t xml:space="preserve">potential </w:t>
            </w:r>
            <w:r w:rsidR="00A53B98">
              <w:rPr>
                <w:rFonts w:eastAsiaTheme="majorEastAsia"/>
                <w:sz w:val="20"/>
                <w:szCs w:val="20"/>
              </w:rPr>
              <w:t>double</w:t>
            </w:r>
            <w:r w:rsidR="00CF31A2">
              <w:rPr>
                <w:rFonts w:eastAsiaTheme="majorEastAsia"/>
                <w:sz w:val="20"/>
                <w:szCs w:val="20"/>
              </w:rPr>
              <w:t>-claiming</w:t>
            </w:r>
            <w:r w:rsidR="00984D24" w:rsidRPr="000A16F8">
              <w:rPr>
                <w:rFonts w:eastAsiaTheme="majorEastAsia"/>
                <w:sz w:val="20"/>
                <w:szCs w:val="20"/>
              </w:rPr>
              <w:t>.</w:t>
            </w:r>
          </w:p>
        </w:tc>
        <w:tc>
          <w:tcPr>
            <w:tcW w:w="2977" w:type="dxa"/>
            <w:tcBorders>
              <w:bottom w:val="single" w:sz="4" w:space="0" w:color="auto"/>
            </w:tcBorders>
            <w:shd w:val="clear" w:color="auto" w:fill="auto"/>
            <w:vAlign w:val="center"/>
          </w:tcPr>
          <w:p w14:paraId="3311365B" w14:textId="77777777" w:rsidR="0044645C" w:rsidRPr="0044645C" w:rsidRDefault="009C11DA" w:rsidP="009257CE">
            <w:pPr>
              <w:pStyle w:val="ListParagraph"/>
              <w:numPr>
                <w:ilvl w:val="1"/>
                <w:numId w:val="19"/>
              </w:numPr>
              <w:tabs>
                <w:tab w:val="num" w:pos="720"/>
              </w:tabs>
              <w:cnfStyle w:val="000000100000" w:firstRow="0" w:lastRow="0" w:firstColumn="0" w:lastColumn="0" w:oddVBand="0" w:evenVBand="0" w:oddHBand="1" w:evenHBand="0" w:firstRowFirstColumn="0" w:firstRowLastColumn="0" w:lastRowFirstColumn="0" w:lastRowLastColumn="0"/>
              <w:rPr>
                <w:sz w:val="20"/>
                <w:szCs w:val="20"/>
                <w:lang w:eastAsia="en-AU"/>
              </w:rPr>
            </w:pPr>
            <w:r w:rsidRPr="0044645C">
              <w:rPr>
                <w:sz w:val="20"/>
                <w:szCs w:val="20"/>
                <w:lang w:eastAsia="en-AU"/>
              </w:rPr>
              <w:t>Insurer data of proposed eligible benefits</w:t>
            </w:r>
            <w:r w:rsidR="00C704BB" w:rsidRPr="0044645C">
              <w:rPr>
                <w:sz w:val="20"/>
                <w:szCs w:val="20"/>
                <w:lang w:eastAsia="en-AU"/>
              </w:rPr>
              <w:t xml:space="preserve">, extending to </w:t>
            </w:r>
            <w:r w:rsidR="008916D3" w:rsidRPr="0044645C">
              <w:rPr>
                <w:sz w:val="20"/>
                <w:szCs w:val="20"/>
                <w:lang w:eastAsia="en-AU"/>
              </w:rPr>
              <w:t>maternity and mental health clinical category</w:t>
            </w:r>
            <w:r w:rsidR="00DE0C51" w:rsidRPr="0044645C">
              <w:rPr>
                <w:sz w:val="20"/>
                <w:szCs w:val="20"/>
                <w:lang w:eastAsia="en-AU"/>
              </w:rPr>
              <w:t>, and by age</w:t>
            </w:r>
            <w:r w:rsidRPr="0044645C">
              <w:rPr>
                <w:sz w:val="20"/>
                <w:szCs w:val="20"/>
                <w:lang w:eastAsia="en-AU"/>
              </w:rPr>
              <w:t>.</w:t>
            </w:r>
          </w:p>
        </w:tc>
        <w:tc>
          <w:tcPr>
            <w:tcW w:w="3118" w:type="dxa"/>
            <w:tcBorders>
              <w:bottom w:val="single" w:sz="4" w:space="0" w:color="auto"/>
            </w:tcBorders>
            <w:shd w:val="clear" w:color="auto" w:fill="auto"/>
            <w:vAlign w:val="center"/>
          </w:tcPr>
          <w:p w14:paraId="365F0F49" w14:textId="77777777" w:rsidR="00A87731" w:rsidRPr="0044645C" w:rsidRDefault="00EE0BDA" w:rsidP="009257CE">
            <w:pPr>
              <w:pStyle w:val="ListParagraph"/>
              <w:numPr>
                <w:ilvl w:val="1"/>
                <w:numId w:val="19"/>
              </w:numPr>
              <w:tabs>
                <w:tab w:val="num" w:pos="720"/>
              </w:tabs>
              <w:cnfStyle w:val="000000100000" w:firstRow="0" w:lastRow="0" w:firstColumn="0" w:lastColumn="0" w:oddVBand="0" w:evenVBand="0" w:oddHBand="1" w:evenHBand="0" w:firstRowFirstColumn="0" w:firstRowLastColumn="0" w:lastRowFirstColumn="0" w:lastRowLastColumn="0"/>
              <w:rPr>
                <w:sz w:val="20"/>
                <w:szCs w:val="20"/>
                <w:lang w:eastAsia="en-AU"/>
              </w:rPr>
            </w:pPr>
            <w:r w:rsidRPr="0044645C">
              <w:rPr>
                <w:sz w:val="20"/>
                <w:szCs w:val="20"/>
                <w:lang w:eastAsia="en-AU"/>
              </w:rPr>
              <w:t xml:space="preserve">Creation of new Risk Equalisation pools may be more complex </w:t>
            </w:r>
            <w:r w:rsidR="00355821" w:rsidRPr="0044645C">
              <w:rPr>
                <w:sz w:val="20"/>
                <w:szCs w:val="20"/>
                <w:lang w:eastAsia="en-AU"/>
              </w:rPr>
              <w:t xml:space="preserve">for insurers to implement </w:t>
            </w:r>
            <w:r w:rsidRPr="0044645C">
              <w:rPr>
                <w:sz w:val="20"/>
                <w:szCs w:val="20"/>
                <w:lang w:eastAsia="en-AU"/>
              </w:rPr>
              <w:t>than other options.</w:t>
            </w:r>
          </w:p>
        </w:tc>
      </w:tr>
      <w:tr w:rsidR="00940B82" w:rsidRPr="001070A6" w14:paraId="7CFDB999" w14:textId="77777777" w:rsidTr="00AC306E">
        <w:trPr>
          <w:cnfStyle w:val="000000010000" w:firstRow="0" w:lastRow="0" w:firstColumn="0" w:lastColumn="0" w:oddVBand="0" w:evenVBand="0" w:oddHBand="0" w:evenHBand="1" w:firstRowFirstColumn="0" w:firstRowLastColumn="0" w:lastRowFirstColumn="0" w:lastRowLastColumn="0"/>
          <w:trHeight w:val="3344"/>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bottom w:val="single" w:sz="4" w:space="0" w:color="auto"/>
            </w:tcBorders>
            <w:shd w:val="clear" w:color="auto" w:fill="auto"/>
            <w:vAlign w:val="center"/>
          </w:tcPr>
          <w:p w14:paraId="08545C69" w14:textId="77777777" w:rsidR="00940B82" w:rsidRPr="009C7E7F" w:rsidRDefault="00940B82" w:rsidP="00473DE9">
            <w:pPr>
              <w:rPr>
                <w:b/>
                <w:sz w:val="20"/>
                <w:szCs w:val="20"/>
              </w:rPr>
            </w:pPr>
            <w:r>
              <w:rPr>
                <w:b/>
                <w:bCs/>
                <w:sz w:val="20"/>
                <w:szCs w:val="20"/>
              </w:rPr>
              <w:t xml:space="preserve">Initiative 2: </w:t>
            </w:r>
            <w:r w:rsidRPr="009C7E7F">
              <w:rPr>
                <w:b/>
                <w:sz w:val="20"/>
                <w:szCs w:val="20"/>
              </w:rPr>
              <w:t>Recalibration of existing mechanisms:</w:t>
            </w:r>
          </w:p>
          <w:p w14:paraId="2769E2D1" w14:textId="77777777" w:rsidR="00931803" w:rsidRPr="001070A6" w:rsidRDefault="00940B82" w:rsidP="009257CE">
            <w:pPr>
              <w:pStyle w:val="ListParagraph"/>
              <w:numPr>
                <w:ilvl w:val="0"/>
                <w:numId w:val="46"/>
              </w:numPr>
              <w:ind w:left="357" w:hanging="357"/>
              <w:rPr>
                <w:rFonts w:eastAsiaTheme="majorEastAsia"/>
                <w:sz w:val="20"/>
                <w:szCs w:val="20"/>
              </w:rPr>
            </w:pPr>
            <w:r w:rsidRPr="001070A6">
              <w:rPr>
                <w:rFonts w:eastAsiaTheme="majorEastAsia"/>
                <w:sz w:val="20"/>
                <w:szCs w:val="20"/>
              </w:rPr>
              <w:t>extending ABP coverage to younger age cohorts covered by Gold tier products, from 0% to 15%</w:t>
            </w:r>
            <w:r w:rsidR="00AC2AA5">
              <w:rPr>
                <w:rFonts w:eastAsiaTheme="majorEastAsia"/>
                <w:sz w:val="20"/>
                <w:szCs w:val="20"/>
              </w:rPr>
              <w:t>*</w:t>
            </w:r>
            <w:r w:rsidRPr="001070A6">
              <w:rPr>
                <w:rFonts w:eastAsiaTheme="majorEastAsia"/>
                <w:sz w:val="20"/>
                <w:szCs w:val="20"/>
              </w:rPr>
              <w:t xml:space="preserve"> of eligible benefits, and</w:t>
            </w:r>
          </w:p>
          <w:p w14:paraId="242F2805" w14:textId="77777777" w:rsidR="00940B82" w:rsidRPr="00890BEB" w:rsidRDefault="00940B82" w:rsidP="009257CE">
            <w:pPr>
              <w:pStyle w:val="ListParagraph"/>
              <w:numPr>
                <w:ilvl w:val="0"/>
                <w:numId w:val="46"/>
              </w:numPr>
              <w:ind w:left="357" w:hanging="357"/>
              <w:rPr>
                <w:b/>
              </w:rPr>
            </w:pPr>
            <w:r w:rsidRPr="006F48B3">
              <w:rPr>
                <w:rFonts w:eastAsiaTheme="majorEastAsia"/>
                <w:sz w:val="20"/>
                <w:szCs w:val="20"/>
              </w:rPr>
              <w:t>redefining SEUs to exclude younger (for example, 0 to 54 years) Gold tier members, considering exceptions for corporate customers.</w:t>
            </w:r>
          </w:p>
          <w:p w14:paraId="401F1538" w14:textId="77777777" w:rsidR="00940B82" w:rsidRPr="00890BEB" w:rsidRDefault="00265F7E" w:rsidP="00890BEB">
            <w:pPr>
              <w:rPr>
                <w:sz w:val="20"/>
                <w:szCs w:val="20"/>
              </w:rPr>
            </w:pPr>
            <w:r w:rsidRPr="00890BEB">
              <w:rPr>
                <w:sz w:val="20"/>
                <w:szCs w:val="20"/>
              </w:rPr>
              <w:t>* 15%</w:t>
            </w:r>
            <w:r w:rsidR="00F32A39" w:rsidRPr="00890BEB">
              <w:rPr>
                <w:sz w:val="20"/>
                <w:szCs w:val="20"/>
              </w:rPr>
              <w:t xml:space="preserve"> is </w:t>
            </w:r>
            <w:r w:rsidR="00F32A39">
              <w:rPr>
                <w:sz w:val="20"/>
                <w:szCs w:val="20"/>
              </w:rPr>
              <w:t xml:space="preserve">the lowest setting </w:t>
            </w:r>
            <w:r w:rsidR="00D63AFA">
              <w:rPr>
                <w:sz w:val="20"/>
                <w:szCs w:val="20"/>
              </w:rPr>
              <w:t xml:space="preserve">for </w:t>
            </w:r>
            <w:r w:rsidR="00551D41">
              <w:rPr>
                <w:sz w:val="20"/>
                <w:szCs w:val="20"/>
              </w:rPr>
              <w:t xml:space="preserve">the ABP </w:t>
            </w:r>
            <w:r w:rsidR="009E535E">
              <w:rPr>
                <w:sz w:val="20"/>
                <w:szCs w:val="20"/>
              </w:rPr>
              <w:t xml:space="preserve">applied to </w:t>
            </w:r>
            <w:r w:rsidR="00194959">
              <w:rPr>
                <w:sz w:val="20"/>
                <w:szCs w:val="20"/>
              </w:rPr>
              <w:t>eligible benefits of persons aged 55-59.</w:t>
            </w:r>
          </w:p>
        </w:tc>
        <w:tc>
          <w:tcPr>
            <w:tcW w:w="2977" w:type="dxa"/>
            <w:tcBorders>
              <w:top w:val="single" w:sz="4" w:space="0" w:color="auto"/>
              <w:bottom w:val="single" w:sz="4" w:space="0" w:color="auto"/>
            </w:tcBorders>
            <w:shd w:val="clear" w:color="auto" w:fill="auto"/>
            <w:vAlign w:val="center"/>
          </w:tcPr>
          <w:p w14:paraId="037DD12D" w14:textId="77777777" w:rsidR="006E347D" w:rsidRPr="001070A6" w:rsidRDefault="006E347D" w:rsidP="009257CE">
            <w:pPr>
              <w:pStyle w:val="ListParagraph"/>
              <w:numPr>
                <w:ilvl w:val="1"/>
                <w:numId w:val="19"/>
              </w:numPr>
              <w:tabs>
                <w:tab w:val="num" w:pos="720"/>
              </w:tabs>
              <w:cnfStyle w:val="000000010000" w:firstRow="0" w:lastRow="0" w:firstColumn="0" w:lastColumn="0" w:oddVBand="0" w:evenVBand="0" w:oddHBand="0" w:evenHBand="1" w:firstRowFirstColumn="0" w:firstRowLastColumn="0" w:lastRowFirstColumn="0" w:lastRowLastColumn="0"/>
              <w:rPr>
                <w:rFonts w:eastAsiaTheme="majorEastAsia"/>
                <w:sz w:val="20"/>
                <w:szCs w:val="20"/>
              </w:rPr>
            </w:pPr>
            <w:r>
              <w:rPr>
                <w:rFonts w:eastAsiaTheme="majorEastAsia"/>
                <w:sz w:val="20"/>
                <w:szCs w:val="20"/>
              </w:rPr>
              <w:t>Hospital claims data by hospital product tier by age.</w:t>
            </w:r>
          </w:p>
          <w:p w14:paraId="0CCE57EF" w14:textId="77777777" w:rsidR="00940B82" w:rsidRPr="0044645C" w:rsidRDefault="006E347D" w:rsidP="009257CE">
            <w:pPr>
              <w:pStyle w:val="ListParagraph"/>
              <w:numPr>
                <w:ilvl w:val="1"/>
                <w:numId w:val="19"/>
              </w:numPr>
              <w:tabs>
                <w:tab w:val="num" w:pos="720"/>
              </w:tabs>
              <w:cnfStyle w:val="000000010000" w:firstRow="0" w:lastRow="0" w:firstColumn="0" w:lastColumn="0" w:oddVBand="0" w:evenVBand="0" w:oddHBand="0" w:evenHBand="1" w:firstRowFirstColumn="0" w:firstRowLastColumn="0" w:lastRowFirstColumn="0" w:lastRowLastColumn="0"/>
              <w:rPr>
                <w:sz w:val="20"/>
                <w:szCs w:val="20"/>
                <w:lang w:eastAsia="en-AU"/>
              </w:rPr>
            </w:pPr>
            <w:r>
              <w:rPr>
                <w:rFonts w:eastAsiaTheme="majorEastAsia"/>
                <w:sz w:val="20"/>
                <w:szCs w:val="20"/>
              </w:rPr>
              <w:t>Insured persons by hospital tier and age, split by corporate/non-corporate products.</w:t>
            </w:r>
          </w:p>
        </w:tc>
        <w:tc>
          <w:tcPr>
            <w:tcW w:w="3118" w:type="dxa"/>
            <w:tcBorders>
              <w:top w:val="single" w:sz="4" w:space="0" w:color="auto"/>
              <w:bottom w:val="single" w:sz="4" w:space="0" w:color="auto"/>
            </w:tcBorders>
            <w:shd w:val="clear" w:color="auto" w:fill="auto"/>
            <w:vAlign w:val="center"/>
          </w:tcPr>
          <w:p w14:paraId="63102238" w14:textId="77777777" w:rsidR="00940B82" w:rsidRPr="0044645C" w:rsidRDefault="002A24A6" w:rsidP="009257CE">
            <w:pPr>
              <w:pStyle w:val="ListParagraph"/>
              <w:numPr>
                <w:ilvl w:val="1"/>
                <w:numId w:val="19"/>
              </w:numPr>
              <w:tabs>
                <w:tab w:val="num" w:pos="720"/>
              </w:tabs>
              <w:cnfStyle w:val="000000010000" w:firstRow="0" w:lastRow="0" w:firstColumn="0" w:lastColumn="0" w:oddVBand="0" w:evenVBand="0" w:oddHBand="0" w:evenHBand="1" w:firstRowFirstColumn="0" w:firstRowLastColumn="0" w:lastRowFirstColumn="0" w:lastRowLastColumn="0"/>
              <w:rPr>
                <w:sz w:val="20"/>
                <w:szCs w:val="20"/>
                <w:lang w:eastAsia="en-AU"/>
              </w:rPr>
            </w:pPr>
            <w:r w:rsidRPr="0044645C">
              <w:rPr>
                <w:sz w:val="20"/>
                <w:szCs w:val="20"/>
                <w:lang w:eastAsia="en-AU"/>
              </w:rPr>
              <w:t xml:space="preserve">SEU recalibration </w:t>
            </w:r>
            <w:r w:rsidR="00501149" w:rsidRPr="0044645C">
              <w:rPr>
                <w:sz w:val="20"/>
                <w:szCs w:val="20"/>
                <w:lang w:eastAsia="en-AU"/>
              </w:rPr>
              <w:t xml:space="preserve">using </w:t>
            </w:r>
            <w:r w:rsidR="00ED3A9A" w:rsidRPr="0044645C">
              <w:rPr>
                <w:sz w:val="20"/>
                <w:szCs w:val="20"/>
                <w:lang w:eastAsia="en-AU"/>
              </w:rPr>
              <w:t>data</w:t>
            </w:r>
            <w:r w:rsidR="00493054" w:rsidRPr="0044645C">
              <w:rPr>
                <w:sz w:val="20"/>
                <w:szCs w:val="20"/>
                <w:lang w:eastAsia="en-AU"/>
              </w:rPr>
              <w:t xml:space="preserve"> that is not </w:t>
            </w:r>
            <w:r w:rsidR="00ED3A9A" w:rsidRPr="0044645C">
              <w:rPr>
                <w:sz w:val="20"/>
                <w:szCs w:val="20"/>
                <w:lang w:eastAsia="en-AU"/>
              </w:rPr>
              <w:t xml:space="preserve">publicly available </w:t>
            </w:r>
            <w:r w:rsidRPr="0044645C">
              <w:rPr>
                <w:sz w:val="20"/>
                <w:szCs w:val="20"/>
                <w:lang w:eastAsia="en-AU"/>
              </w:rPr>
              <w:t>may be less transparent</w:t>
            </w:r>
            <w:r w:rsidR="00F2392F" w:rsidRPr="0044645C">
              <w:rPr>
                <w:sz w:val="20"/>
                <w:szCs w:val="20"/>
                <w:lang w:eastAsia="en-AU"/>
              </w:rPr>
              <w:t xml:space="preserve"> tha</w:t>
            </w:r>
            <w:r w:rsidR="00A3595E" w:rsidRPr="0044645C">
              <w:rPr>
                <w:sz w:val="20"/>
                <w:szCs w:val="20"/>
                <w:lang w:eastAsia="en-AU"/>
              </w:rPr>
              <w:t>n the current process</w:t>
            </w:r>
            <w:r w:rsidRPr="0044645C">
              <w:rPr>
                <w:sz w:val="20"/>
                <w:szCs w:val="20"/>
                <w:lang w:eastAsia="en-AU"/>
              </w:rPr>
              <w:t>.</w:t>
            </w:r>
          </w:p>
        </w:tc>
      </w:tr>
      <w:tr w:rsidR="00672E25" w:rsidRPr="001070A6" w14:paraId="40836DF7" w14:textId="77777777" w:rsidTr="00AC306E">
        <w:trPr>
          <w:cnfStyle w:val="000000100000" w:firstRow="0" w:lastRow="0" w:firstColumn="0" w:lastColumn="0" w:oddVBand="0" w:evenVBand="0" w:oddHBand="1" w:evenHBand="0" w:firstRowFirstColumn="0" w:firstRowLastColumn="0" w:lastRowFirstColumn="0" w:lastRowLastColumn="0"/>
          <w:trHeight w:val="3563"/>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auto"/>
              <w:bottom w:val="single" w:sz="4" w:space="0" w:color="auto"/>
            </w:tcBorders>
            <w:shd w:val="clear" w:color="auto" w:fill="auto"/>
            <w:vAlign w:val="center"/>
          </w:tcPr>
          <w:p w14:paraId="2CC61B11" w14:textId="77777777" w:rsidR="00672E25" w:rsidRDefault="00672E25" w:rsidP="00473DE9">
            <w:pPr>
              <w:rPr>
                <w:b/>
                <w:bCs/>
                <w:sz w:val="20"/>
                <w:szCs w:val="20"/>
              </w:rPr>
            </w:pPr>
            <w:r>
              <w:rPr>
                <w:b/>
                <w:bCs/>
                <w:sz w:val="20"/>
                <w:szCs w:val="20"/>
              </w:rPr>
              <w:t>All initiatives</w:t>
            </w:r>
          </w:p>
        </w:tc>
        <w:tc>
          <w:tcPr>
            <w:tcW w:w="2977" w:type="dxa"/>
            <w:tcBorders>
              <w:top w:val="single" w:sz="4" w:space="0" w:color="auto"/>
              <w:bottom w:val="single" w:sz="4" w:space="0" w:color="auto"/>
            </w:tcBorders>
            <w:shd w:val="clear" w:color="auto" w:fill="auto"/>
            <w:vAlign w:val="center"/>
          </w:tcPr>
          <w:p w14:paraId="47093803" w14:textId="77777777" w:rsidR="00672E25" w:rsidRPr="001070A6" w:rsidRDefault="00672E25" w:rsidP="009257CE">
            <w:pPr>
              <w:pStyle w:val="ListParagraph"/>
              <w:numPr>
                <w:ilvl w:val="1"/>
                <w:numId w:val="19"/>
              </w:numPr>
              <w:tabs>
                <w:tab w:val="num" w:pos="720"/>
              </w:tabs>
              <w:cnfStyle w:val="000000100000" w:firstRow="0" w:lastRow="0" w:firstColumn="0" w:lastColumn="0" w:oddVBand="0" w:evenVBand="0" w:oddHBand="1" w:evenHBand="0" w:firstRowFirstColumn="0" w:firstRowLastColumn="0" w:lastRowFirstColumn="0" w:lastRowLastColumn="0"/>
              <w:rPr>
                <w:rFonts w:eastAsiaTheme="majorEastAsia"/>
                <w:sz w:val="20"/>
                <w:szCs w:val="20"/>
              </w:rPr>
            </w:pPr>
            <w:r w:rsidRPr="001070A6">
              <w:rPr>
                <w:rFonts w:eastAsiaTheme="majorEastAsia"/>
                <w:sz w:val="20"/>
                <w:szCs w:val="20"/>
              </w:rPr>
              <w:t>Assessment of premium impacts across cohorts</w:t>
            </w:r>
            <w:r>
              <w:rPr>
                <w:rFonts w:eastAsiaTheme="majorEastAsia"/>
                <w:sz w:val="20"/>
                <w:szCs w:val="20"/>
              </w:rPr>
              <w:t xml:space="preserve"> will also require premium by tier and age</w:t>
            </w:r>
            <w:r w:rsidRPr="001070A6">
              <w:rPr>
                <w:rFonts w:eastAsiaTheme="majorEastAsia"/>
                <w:sz w:val="20"/>
                <w:szCs w:val="20"/>
              </w:rPr>
              <w:t>.</w:t>
            </w:r>
          </w:p>
          <w:p w14:paraId="47B6A6F4" w14:textId="77777777" w:rsidR="00672E25" w:rsidRPr="0044645C" w:rsidRDefault="00672E25" w:rsidP="009257CE">
            <w:pPr>
              <w:pStyle w:val="ListParagraph"/>
              <w:numPr>
                <w:ilvl w:val="1"/>
                <w:numId w:val="19"/>
              </w:numPr>
              <w:tabs>
                <w:tab w:val="num" w:pos="720"/>
              </w:tabs>
              <w:cnfStyle w:val="000000100000" w:firstRow="0" w:lastRow="0" w:firstColumn="0" w:lastColumn="0" w:oddVBand="0" w:evenVBand="0" w:oddHBand="1" w:evenHBand="0" w:firstRowFirstColumn="0" w:firstRowLastColumn="0" w:lastRowFirstColumn="0" w:lastRowLastColumn="0"/>
              <w:rPr>
                <w:rFonts w:eastAsiaTheme="majorEastAsia"/>
                <w:sz w:val="20"/>
                <w:szCs w:val="20"/>
              </w:rPr>
            </w:pPr>
            <w:r w:rsidRPr="001070A6">
              <w:rPr>
                <w:rFonts w:eastAsiaTheme="majorEastAsia"/>
                <w:sz w:val="20"/>
                <w:szCs w:val="20"/>
              </w:rPr>
              <w:t>Modelling of different settings and recalibrating the ABP to maintain overall pool size per SEU neutrality.</w:t>
            </w:r>
          </w:p>
        </w:tc>
        <w:tc>
          <w:tcPr>
            <w:tcW w:w="3118" w:type="dxa"/>
            <w:tcBorders>
              <w:top w:val="single" w:sz="4" w:space="0" w:color="auto"/>
              <w:bottom w:val="single" w:sz="4" w:space="0" w:color="auto"/>
            </w:tcBorders>
            <w:shd w:val="clear" w:color="auto" w:fill="auto"/>
            <w:vAlign w:val="center"/>
          </w:tcPr>
          <w:p w14:paraId="452FACA4" w14:textId="77777777" w:rsidR="00672E25" w:rsidRPr="0044645C" w:rsidRDefault="00672E25" w:rsidP="009257CE">
            <w:pPr>
              <w:pStyle w:val="ListParagraph"/>
              <w:numPr>
                <w:ilvl w:val="1"/>
                <w:numId w:val="19"/>
              </w:numPr>
              <w:tabs>
                <w:tab w:val="num" w:pos="720"/>
              </w:tabs>
              <w:cnfStyle w:val="000000100000" w:firstRow="0" w:lastRow="0" w:firstColumn="0" w:lastColumn="0" w:oddVBand="0" w:evenVBand="0" w:oddHBand="1" w:evenHBand="0" w:firstRowFirstColumn="0" w:firstRowLastColumn="0" w:lastRowFirstColumn="0" w:lastRowLastColumn="0"/>
              <w:rPr>
                <w:sz w:val="20"/>
                <w:szCs w:val="20"/>
                <w:lang w:eastAsia="en-AU"/>
              </w:rPr>
            </w:pPr>
            <w:r w:rsidRPr="0044645C">
              <w:rPr>
                <w:sz w:val="20"/>
                <w:szCs w:val="20"/>
                <w:lang w:eastAsia="en-AU"/>
              </w:rPr>
              <w:t xml:space="preserve">Impacts </w:t>
            </w:r>
            <w:r w:rsidRPr="001070A6">
              <w:rPr>
                <w:sz w:val="20"/>
                <w:szCs w:val="20"/>
              </w:rPr>
              <w:t>will likely vary materially by insurer, product tier and age cohort.</w:t>
            </w:r>
          </w:p>
          <w:p w14:paraId="50FEECCA" w14:textId="3A8847B2" w:rsidR="001D793A" w:rsidRDefault="00672E25" w:rsidP="009257CE">
            <w:pPr>
              <w:pStyle w:val="ListParagraph"/>
              <w:numPr>
                <w:ilvl w:val="1"/>
                <w:numId w:val="19"/>
              </w:numPr>
              <w:tabs>
                <w:tab w:val="num" w:pos="720"/>
              </w:tabs>
              <w:cnfStyle w:val="000000100000" w:firstRow="0" w:lastRow="0" w:firstColumn="0" w:lastColumn="0" w:oddVBand="0" w:evenVBand="0" w:oddHBand="1" w:evenHBand="0" w:firstRowFirstColumn="0" w:firstRowLastColumn="0" w:lastRowFirstColumn="0" w:lastRowLastColumn="0"/>
              <w:rPr>
                <w:rFonts w:eastAsiaTheme="majorEastAsia"/>
                <w:sz w:val="20"/>
                <w:szCs w:val="20"/>
              </w:rPr>
            </w:pPr>
            <w:r w:rsidRPr="00F47646">
              <w:rPr>
                <w:sz w:val="20"/>
                <w:szCs w:val="20"/>
              </w:rPr>
              <w:t>Involve a lead time of 1-</w:t>
            </w:r>
            <w:r w:rsidRPr="00F47646">
              <w:rPr>
                <w:sz w:val="20"/>
                <w:szCs w:val="20"/>
                <w:lang w:eastAsia="en-AU"/>
              </w:rPr>
              <w:t>2</w:t>
            </w:r>
            <w:r w:rsidR="003D456B">
              <w:rPr>
                <w:sz w:val="20"/>
                <w:szCs w:val="20"/>
                <w:lang w:eastAsia="en-AU"/>
              </w:rPr>
              <w:t xml:space="preserve"> </w:t>
            </w:r>
            <w:r w:rsidRPr="00F47646">
              <w:rPr>
                <w:sz w:val="20"/>
                <w:szCs w:val="20"/>
                <w:lang w:eastAsia="en-AU"/>
              </w:rPr>
              <w:t>years</w:t>
            </w:r>
            <w:r w:rsidRPr="00F47646">
              <w:rPr>
                <w:sz w:val="20"/>
                <w:szCs w:val="20"/>
              </w:rPr>
              <w:t xml:space="preserve"> to allow for rule and system changes for the department, insurers and APRA.</w:t>
            </w:r>
            <w:r w:rsidR="001D793A">
              <w:rPr>
                <w:rFonts w:eastAsiaTheme="majorEastAsia"/>
                <w:sz w:val="20"/>
                <w:szCs w:val="20"/>
              </w:rPr>
              <w:t xml:space="preserve"> </w:t>
            </w:r>
          </w:p>
          <w:p w14:paraId="5ECED9B9" w14:textId="77777777" w:rsidR="00672E25" w:rsidRPr="00F47646" w:rsidRDefault="001D793A" w:rsidP="009257CE">
            <w:pPr>
              <w:pStyle w:val="ListParagraph"/>
              <w:numPr>
                <w:ilvl w:val="1"/>
                <w:numId w:val="19"/>
              </w:numPr>
              <w:tabs>
                <w:tab w:val="num" w:pos="720"/>
              </w:tabs>
              <w:cnfStyle w:val="000000100000" w:firstRow="0" w:lastRow="0" w:firstColumn="0" w:lastColumn="0" w:oddVBand="0" w:evenVBand="0" w:oddHBand="1" w:evenHBand="0" w:firstRowFirstColumn="0" w:firstRowLastColumn="0" w:lastRowFirstColumn="0" w:lastRowLastColumn="0"/>
              <w:rPr>
                <w:rFonts w:eastAsiaTheme="majorEastAsia"/>
                <w:sz w:val="20"/>
                <w:szCs w:val="20"/>
              </w:rPr>
            </w:pPr>
            <w:r>
              <w:rPr>
                <w:rFonts w:eastAsiaTheme="majorEastAsia"/>
                <w:sz w:val="20"/>
                <w:szCs w:val="20"/>
              </w:rPr>
              <w:t>A</w:t>
            </w:r>
            <w:r w:rsidRPr="001070A6">
              <w:rPr>
                <w:rFonts w:eastAsiaTheme="majorEastAsia"/>
                <w:sz w:val="20"/>
                <w:szCs w:val="20"/>
              </w:rPr>
              <w:t xml:space="preserve"> </w:t>
            </w:r>
            <w:r w:rsidRPr="001070A6">
              <w:rPr>
                <w:sz w:val="20"/>
                <w:szCs w:val="20"/>
              </w:rPr>
              <w:t xml:space="preserve">transition period </w:t>
            </w:r>
            <w:r>
              <w:rPr>
                <w:sz w:val="20"/>
                <w:szCs w:val="20"/>
              </w:rPr>
              <w:t>will</w:t>
            </w:r>
            <w:r w:rsidRPr="001070A6">
              <w:rPr>
                <w:sz w:val="20"/>
                <w:szCs w:val="20"/>
              </w:rPr>
              <w:t xml:space="preserve"> give insurers an opportunity to adjust their business strategies to prepare for the changes.</w:t>
            </w:r>
          </w:p>
        </w:tc>
      </w:tr>
    </w:tbl>
    <w:p w14:paraId="0D1E7BD1" w14:textId="77777777" w:rsidR="00197D6D" w:rsidRDefault="00197D6D" w:rsidP="00890BEB">
      <w:pPr>
        <w:spacing w:line="240" w:lineRule="auto"/>
        <w:rPr>
          <w:rFonts w:cs="Arial"/>
          <w:b/>
          <w:bCs/>
          <w:color w:val="3F4A75"/>
          <w:kern w:val="28"/>
          <w:sz w:val="36"/>
          <w:szCs w:val="36"/>
        </w:rPr>
        <w:sectPr w:rsidR="00197D6D" w:rsidSect="00EB2E5C">
          <w:headerReference w:type="even" r:id="rId38"/>
          <w:headerReference w:type="default" r:id="rId39"/>
          <w:footerReference w:type="default" r:id="rId40"/>
          <w:headerReference w:type="first" r:id="rId41"/>
          <w:pgSz w:w="11906" w:h="16838"/>
          <w:pgMar w:top="1418" w:right="1418" w:bottom="1418" w:left="1418" w:header="709" w:footer="709" w:gutter="0"/>
          <w:cols w:space="708"/>
          <w:docGrid w:linePitch="360"/>
        </w:sectPr>
      </w:pPr>
      <w:bookmarkStart w:id="72" w:name="_Toc225762692"/>
      <w:bookmarkStart w:id="73" w:name="_Appendix_1"/>
      <w:bookmarkStart w:id="74" w:name="_Appendix_A"/>
      <w:bookmarkStart w:id="75" w:name="_Appendix_B"/>
      <w:bookmarkStart w:id="76" w:name="_Appendix_C"/>
      <w:bookmarkStart w:id="77" w:name="_What_we_invite"/>
      <w:bookmarkEnd w:id="72"/>
      <w:bookmarkEnd w:id="73"/>
      <w:bookmarkEnd w:id="74"/>
      <w:bookmarkEnd w:id="75"/>
      <w:bookmarkEnd w:id="76"/>
      <w:bookmarkEnd w:id="77"/>
    </w:p>
    <w:p w14:paraId="6580C7A8" w14:textId="77777777" w:rsidR="00197D6D" w:rsidRDefault="00197D6D" w:rsidP="00651D4E">
      <w:pPr>
        <w:pStyle w:val="Heading1"/>
      </w:pPr>
      <w:bookmarkStart w:id="78" w:name="_Appendix_A_–"/>
      <w:bookmarkStart w:id="79" w:name="_Toc233805052"/>
      <w:bookmarkEnd w:id="78"/>
      <w:r w:rsidRPr="3D1C1472">
        <w:lastRenderedPageBreak/>
        <w:t xml:space="preserve">Appendix </w:t>
      </w:r>
      <w:r>
        <w:t>A</w:t>
      </w:r>
      <w:r w:rsidRPr="3D1C1472">
        <w:t xml:space="preserve"> – </w:t>
      </w:r>
      <w:r>
        <w:t>Prioritisation and indicative schedule for proposed reform initiatives</w:t>
      </w:r>
      <w:r w:rsidR="00C07814">
        <w:t xml:space="preserve"> (Tranche </w:t>
      </w:r>
      <w:r w:rsidR="00D774A4">
        <w:t>1)</w:t>
      </w:r>
      <w:bookmarkEnd w:id="79"/>
    </w:p>
    <w:p w14:paraId="187863DB" w14:textId="77777777" w:rsidR="005C2C2F" w:rsidRDefault="005C2C2F" w:rsidP="00ED4231">
      <w:pPr>
        <w:pStyle w:val="Body"/>
        <w:sectPr w:rsidR="005C2C2F" w:rsidSect="00613E62">
          <w:pgSz w:w="11906" w:h="16838"/>
          <w:pgMar w:top="1134" w:right="1134" w:bottom="1134" w:left="1134" w:header="709" w:footer="709" w:gutter="0"/>
          <w:cols w:space="708"/>
          <w:docGrid w:linePitch="360"/>
        </w:sectPr>
      </w:pPr>
    </w:p>
    <w:p w14:paraId="5D9B8AA5" w14:textId="78A09D5F" w:rsidR="00197D6D" w:rsidRPr="00D531F9" w:rsidRDefault="00452326" w:rsidP="00890BEB">
      <w:pPr>
        <w:pStyle w:val="Body"/>
        <w:jc w:val="center"/>
        <w:sectPr w:rsidR="00197D6D" w:rsidRPr="00D531F9" w:rsidSect="00934A0D">
          <w:pgSz w:w="23808" w:h="16840" w:orient="landscape" w:code="8"/>
          <w:pgMar w:top="1134" w:right="1134" w:bottom="1134" w:left="1134" w:header="709" w:footer="709" w:gutter="0"/>
          <w:cols w:space="708"/>
          <w:docGrid w:linePitch="360"/>
        </w:sectPr>
      </w:pPr>
      <w:r>
        <w:rPr>
          <w:noProof/>
        </w:rPr>
        <w:lastRenderedPageBreak/>
        <w:drawing>
          <wp:inline distT="0" distB="0" distL="0" distR="0" wp14:anchorId="3A60F8E4" wp14:editId="4D12CA0B">
            <wp:extent cx="13721605" cy="8657111"/>
            <wp:effectExtent l="0" t="0" r="0" b="0"/>
            <wp:docPr id="1913194886" name="Picture 11" descr="This graphic shows the prioritisation and inidicative schedule for the proposed reform initiatives in Tranche 1 of the Private Health Sector Refo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94886" name="Picture 11" descr="This graphic shows the prioritisation and inidicative schedule for the proposed reform initiatives in Tranche 1 of the Private Health Sector Reforms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727209" cy="8660647"/>
                    </a:xfrm>
                    <a:prstGeom prst="rect">
                      <a:avLst/>
                    </a:prstGeom>
                    <a:noFill/>
                  </pic:spPr>
                </pic:pic>
              </a:graphicData>
            </a:graphic>
          </wp:inline>
        </w:drawing>
      </w:r>
    </w:p>
    <w:p w14:paraId="3322BDB9" w14:textId="77777777" w:rsidR="005746FE" w:rsidRPr="009F1C25" w:rsidRDefault="005746FE" w:rsidP="00651D4E">
      <w:pPr>
        <w:pStyle w:val="Heading1"/>
        <w:spacing w:after="120"/>
      </w:pPr>
      <w:bookmarkStart w:id="80" w:name="_Appendix_B_–"/>
      <w:bookmarkStart w:id="81" w:name="_Toc233805053"/>
      <w:bookmarkEnd w:id="80"/>
      <w:r w:rsidRPr="3D1C1472">
        <w:lastRenderedPageBreak/>
        <w:t xml:space="preserve">Appendix </w:t>
      </w:r>
      <w:r w:rsidR="00197D6D">
        <w:t>B</w:t>
      </w:r>
      <w:r w:rsidRPr="3D1C1472">
        <w:t xml:space="preserve"> – Contemporary definitions of hospital treatment</w:t>
      </w:r>
      <w:bookmarkEnd w:id="81"/>
    </w:p>
    <w:p w14:paraId="56D53D9E" w14:textId="77777777" w:rsidR="005746FE" w:rsidRPr="0098585F" w:rsidRDefault="005746FE" w:rsidP="008926E0">
      <w:pPr>
        <w:pStyle w:val="Body"/>
        <w:spacing w:before="240" w:after="120"/>
        <w:rPr>
          <w:rFonts w:cs="Arial"/>
          <w:b/>
          <w:iCs/>
          <w:color w:val="358189"/>
          <w:szCs w:val="22"/>
          <w:u w:val="single"/>
          <w:lang w:val="en-AU"/>
        </w:rPr>
      </w:pPr>
      <w:r w:rsidRPr="0098585F">
        <w:rPr>
          <w:rFonts w:cs="Arial"/>
          <w:b/>
          <w:color w:val="358189" w:themeColor="accent2"/>
          <w:u w:val="single"/>
          <w:lang w:val="en-AU"/>
        </w:rPr>
        <w:t xml:space="preserve">What is a </w:t>
      </w:r>
      <w:r>
        <w:rPr>
          <w:rFonts w:cs="Arial"/>
          <w:b/>
          <w:color w:val="358189" w:themeColor="accent2"/>
          <w:u w:val="single"/>
          <w:lang w:val="en-AU"/>
        </w:rPr>
        <w:t>‘</w:t>
      </w:r>
      <w:r w:rsidRPr="008926E0">
        <w:rPr>
          <w:rFonts w:cs="Arial"/>
          <w:b/>
          <w:bCs/>
          <w:iCs/>
          <w:color w:val="358189"/>
          <w:szCs w:val="22"/>
          <w:u w:val="single"/>
        </w:rPr>
        <w:t>private</w:t>
      </w:r>
      <w:r w:rsidRPr="0098585F">
        <w:rPr>
          <w:rFonts w:cs="Arial"/>
          <w:b/>
          <w:color w:val="358189" w:themeColor="accent2"/>
          <w:u w:val="single"/>
          <w:lang w:val="en-AU"/>
        </w:rPr>
        <w:t xml:space="preserve"> hospital</w:t>
      </w:r>
      <w:r>
        <w:rPr>
          <w:rFonts w:cs="Arial"/>
          <w:b/>
          <w:color w:val="358189" w:themeColor="accent2"/>
          <w:u w:val="single"/>
          <w:lang w:val="en-AU"/>
        </w:rPr>
        <w:t>’</w:t>
      </w:r>
      <w:r w:rsidRPr="0098585F">
        <w:rPr>
          <w:rFonts w:cs="Arial"/>
          <w:b/>
          <w:color w:val="358189" w:themeColor="accent2"/>
          <w:u w:val="single"/>
          <w:lang w:val="en-AU"/>
        </w:rPr>
        <w:t>?</w:t>
      </w:r>
    </w:p>
    <w:p w14:paraId="4DA9C751" w14:textId="77777777" w:rsidR="005746FE" w:rsidRDefault="005746FE" w:rsidP="00473DE9">
      <w:r w:rsidRPr="008C6E39">
        <w:t>State and territor</w:t>
      </w:r>
      <w:r>
        <w:t>y authorities</w:t>
      </w:r>
      <w:r w:rsidRPr="008C6E39">
        <w:t xml:space="preserve"> regulate </w:t>
      </w:r>
      <w:r>
        <w:t xml:space="preserve">and monitor </w:t>
      </w:r>
      <w:r w:rsidRPr="008C6E39">
        <w:t>private hospitals</w:t>
      </w:r>
      <w:r w:rsidRPr="00F10D94">
        <w:t xml:space="preserve">, </w:t>
      </w:r>
      <w:r>
        <w:t xml:space="preserve">according to the permissions and approvals required under the laws unique to each jurisdiction. This includes </w:t>
      </w:r>
      <w:r w:rsidRPr="008C6E39">
        <w:t>determin</w:t>
      </w:r>
      <w:r>
        <w:t>ing:</w:t>
      </w:r>
    </w:p>
    <w:p w14:paraId="05503E01" w14:textId="77777777" w:rsidR="005746FE" w:rsidRPr="00287D17" w:rsidRDefault="005746FE" w:rsidP="009257CE">
      <w:pPr>
        <w:pStyle w:val="Body"/>
        <w:numPr>
          <w:ilvl w:val="0"/>
          <w:numId w:val="23"/>
        </w:numPr>
        <w:spacing w:after="120"/>
        <w:ind w:left="714" w:hanging="357"/>
        <w:rPr>
          <w:lang w:val="en-AU"/>
        </w:rPr>
      </w:pPr>
      <w:r w:rsidRPr="00287D17">
        <w:rPr>
          <w:lang w:val="en-AU"/>
        </w:rPr>
        <w:t>the health services to require licensing/registration to operate a private hospital (including those referred to in some jurisdictions as a ‘day procedure centre’)</w:t>
      </w:r>
    </w:p>
    <w:p w14:paraId="72675C17" w14:textId="77777777" w:rsidR="005746FE" w:rsidRPr="00287D17" w:rsidRDefault="005746FE" w:rsidP="009257CE">
      <w:pPr>
        <w:pStyle w:val="Body"/>
        <w:numPr>
          <w:ilvl w:val="0"/>
          <w:numId w:val="23"/>
        </w:numPr>
        <w:spacing w:after="120"/>
        <w:ind w:left="714" w:hanging="357"/>
        <w:rPr>
          <w:lang w:val="en-AU"/>
        </w:rPr>
      </w:pPr>
      <w:r w:rsidRPr="00287D17">
        <w:rPr>
          <w:lang w:val="en-AU"/>
        </w:rPr>
        <w:t>which national safety and quality accreditation standards each service must be assessed and report against as a condition of state licensing/registration, and</w:t>
      </w:r>
    </w:p>
    <w:p w14:paraId="0244D33F" w14:textId="77777777" w:rsidR="005746FE" w:rsidRPr="00287D17" w:rsidRDefault="005746FE" w:rsidP="009257CE">
      <w:pPr>
        <w:pStyle w:val="Body"/>
        <w:numPr>
          <w:ilvl w:val="0"/>
          <w:numId w:val="23"/>
        </w:numPr>
        <w:spacing w:after="120"/>
        <w:ind w:left="714" w:hanging="357"/>
        <w:rPr>
          <w:lang w:val="en-AU"/>
        </w:rPr>
      </w:pPr>
      <w:r w:rsidRPr="00287D17">
        <w:rPr>
          <w:lang w:val="en-AU"/>
        </w:rPr>
        <w:t>enforcement actions for a service that does not comply with standards, including possible cancellation of operating licence/registration.</w:t>
      </w:r>
    </w:p>
    <w:p w14:paraId="2568D927" w14:textId="6D7811C1" w:rsidR="005746FE" w:rsidRPr="00AD2981" w:rsidRDefault="005746FE" w:rsidP="00473DE9">
      <w:pPr>
        <w:rPr>
          <w:color w:val="FF0000"/>
        </w:rPr>
      </w:pPr>
      <w:r>
        <w:t xml:space="preserve">All jurisdictions in Australia, including the Commonwealth, require private hospitals to maintain </w:t>
      </w:r>
      <w:hyperlink r:id="rId43" w:history="1">
        <w:r w:rsidRPr="00A0014A">
          <w:rPr>
            <w:rStyle w:val="Hyperlink"/>
          </w:rPr>
          <w:t>accreditation</w:t>
        </w:r>
      </w:hyperlink>
      <w:r>
        <w:t xml:space="preserve"> to the </w:t>
      </w:r>
      <w:hyperlink r:id="rId44" w:history="1">
        <w:r w:rsidR="004439B8">
          <w:rPr>
            <w:rStyle w:val="Hyperlink"/>
          </w:rPr>
          <w:t xml:space="preserve">NSQHS </w:t>
        </w:r>
        <w:r w:rsidR="004439B8" w:rsidRPr="00BA6903">
          <w:rPr>
            <w:rStyle w:val="Hyperlink"/>
          </w:rPr>
          <w:t>Standards</w:t>
        </w:r>
      </w:hyperlink>
      <w:r>
        <w:t xml:space="preserve">. </w:t>
      </w:r>
      <w:r w:rsidRPr="00B96BAE">
        <w:rPr>
          <w:color w:val="auto"/>
        </w:rPr>
        <w:t xml:space="preserve">Accreditation is a quality assurance mechanism which </w:t>
      </w:r>
      <w:r w:rsidR="00B96BAE" w:rsidRPr="00B96BAE">
        <w:rPr>
          <w:color w:val="auto"/>
        </w:rPr>
        <w:t>ensures</w:t>
      </w:r>
      <w:r w:rsidRPr="00B96BAE">
        <w:rPr>
          <w:color w:val="auto"/>
        </w:rPr>
        <w:t xml:space="preserve"> health services have the relevant systems in place to </w:t>
      </w:r>
      <w:r w:rsidR="00B96BAE" w:rsidRPr="00B96BAE">
        <w:rPr>
          <w:color w:val="auto"/>
        </w:rPr>
        <w:t xml:space="preserve">meet </w:t>
      </w:r>
      <w:r w:rsidRPr="00B96BAE">
        <w:rPr>
          <w:color w:val="auto"/>
        </w:rPr>
        <w:t>expected standards of safety and quality. The</w:t>
      </w:r>
      <w:r w:rsidR="00D12421" w:rsidRPr="00B96BAE">
        <w:rPr>
          <w:color w:val="auto"/>
        </w:rPr>
        <w:t xml:space="preserve"> ACSQHC</w:t>
      </w:r>
      <w:r w:rsidRPr="00B96BAE">
        <w:rPr>
          <w:color w:val="auto"/>
        </w:rPr>
        <w:t xml:space="preserve"> coordinates the development and maintenance of the NSQHS Standards under the Australian Health Service Safety and Quality Accreditation (AHSSQA) Scheme.</w:t>
      </w:r>
      <w:r w:rsidR="00B96BAE" w:rsidRPr="00B96BAE">
        <w:rPr>
          <w:color w:val="auto"/>
        </w:rPr>
        <w:t xml:space="preserve"> All jurisdictions and public and private health sector stakeholders </w:t>
      </w:r>
      <w:r w:rsidR="00451802" w:rsidRPr="00B96BAE">
        <w:rPr>
          <w:color w:val="auto"/>
        </w:rPr>
        <w:t>participate in</w:t>
      </w:r>
      <w:r w:rsidR="00B96BAE" w:rsidRPr="00B96BAE">
        <w:rPr>
          <w:color w:val="auto"/>
        </w:rPr>
        <w:t xml:space="preserve"> the process.</w:t>
      </w:r>
    </w:p>
    <w:p w14:paraId="425F68AA" w14:textId="77777777" w:rsidR="005746FE" w:rsidRPr="00314EB1" w:rsidRDefault="005746FE" w:rsidP="00473DE9">
      <w:r w:rsidRPr="00314EB1">
        <w:t>The ACSQHC:</w:t>
      </w:r>
    </w:p>
    <w:p w14:paraId="613F14C7" w14:textId="77777777" w:rsidR="005746FE" w:rsidRDefault="005746FE" w:rsidP="009257CE">
      <w:pPr>
        <w:pStyle w:val="Body"/>
        <w:numPr>
          <w:ilvl w:val="0"/>
          <w:numId w:val="23"/>
        </w:numPr>
        <w:spacing w:after="120"/>
        <w:ind w:left="714" w:hanging="357"/>
      </w:pPr>
      <w:r w:rsidRPr="00314EB1">
        <w:t>develop</w:t>
      </w:r>
      <w:r>
        <w:t>s</w:t>
      </w:r>
      <w:r w:rsidRPr="00314EB1">
        <w:t xml:space="preserve"> and maintain</w:t>
      </w:r>
      <w:r>
        <w:t>s</w:t>
      </w:r>
      <w:r w:rsidRPr="00314EB1">
        <w:t xml:space="preserve"> a range of national standards, including the NSQHS </w:t>
      </w:r>
    </w:p>
    <w:p w14:paraId="4C0CFA06" w14:textId="77777777" w:rsidR="005746FE" w:rsidRDefault="005746FE" w:rsidP="009257CE">
      <w:pPr>
        <w:pStyle w:val="Body"/>
        <w:numPr>
          <w:ilvl w:val="0"/>
          <w:numId w:val="23"/>
        </w:numPr>
        <w:spacing w:after="120"/>
        <w:ind w:left="714" w:hanging="357"/>
      </w:pPr>
      <w:r w:rsidRPr="00314EB1">
        <w:t>approve</w:t>
      </w:r>
      <w:r>
        <w:t>s</w:t>
      </w:r>
      <w:r w:rsidRPr="00314EB1">
        <w:t xml:space="preserve"> accrediting agencies to conduct assessments of health services against standards under the</w:t>
      </w:r>
      <w:r>
        <w:t xml:space="preserve"> AHSSQA Scheme</w:t>
      </w:r>
    </w:p>
    <w:p w14:paraId="28E088F4" w14:textId="77777777" w:rsidR="005746FE" w:rsidRDefault="005746FE" w:rsidP="009257CE">
      <w:pPr>
        <w:pStyle w:val="Body"/>
        <w:numPr>
          <w:ilvl w:val="0"/>
          <w:numId w:val="23"/>
        </w:numPr>
        <w:spacing w:after="120"/>
        <w:ind w:left="714" w:hanging="357"/>
      </w:pPr>
      <w:r w:rsidRPr="00314EB1">
        <w:t>receive</w:t>
      </w:r>
      <w:r>
        <w:t>s</w:t>
      </w:r>
      <w:r w:rsidRPr="00314EB1">
        <w:t xml:space="preserve"> and report</w:t>
      </w:r>
      <w:r>
        <w:t>s</w:t>
      </w:r>
      <w:r w:rsidRPr="00314EB1">
        <w:t xml:space="preserve"> on assessment outcomes data and significant risk notifications</w:t>
      </w:r>
    </w:p>
    <w:p w14:paraId="48F2CB23" w14:textId="77777777" w:rsidR="005746FE" w:rsidRDefault="005746FE" w:rsidP="009257CE">
      <w:pPr>
        <w:pStyle w:val="Body"/>
        <w:numPr>
          <w:ilvl w:val="0"/>
          <w:numId w:val="23"/>
        </w:numPr>
        <w:spacing w:after="120"/>
        <w:ind w:left="714" w:hanging="357"/>
      </w:pPr>
      <w:r w:rsidRPr="00314EB1">
        <w:t>liaise</w:t>
      </w:r>
      <w:r>
        <w:t>s</w:t>
      </w:r>
      <w:r w:rsidRPr="00314EB1">
        <w:t xml:space="preserve"> with accrediting agencies and regulators, and</w:t>
      </w:r>
    </w:p>
    <w:p w14:paraId="2567D708" w14:textId="77777777" w:rsidR="005746FE" w:rsidRPr="00314EB1" w:rsidRDefault="005746FE" w:rsidP="009257CE">
      <w:pPr>
        <w:pStyle w:val="Body"/>
        <w:numPr>
          <w:ilvl w:val="0"/>
          <w:numId w:val="23"/>
        </w:numPr>
        <w:spacing w:after="120"/>
        <w:ind w:left="714" w:hanging="357"/>
      </w:pPr>
      <w:r w:rsidRPr="00314EB1">
        <w:t>report</w:t>
      </w:r>
      <w:r>
        <w:t>s</w:t>
      </w:r>
      <w:r w:rsidRPr="00314EB1">
        <w:t xml:space="preserve"> to health ministers.</w:t>
      </w:r>
    </w:p>
    <w:p w14:paraId="1BB1152A" w14:textId="77777777" w:rsidR="005746FE" w:rsidRDefault="005746FE" w:rsidP="00473DE9">
      <w:r w:rsidRPr="00314EB1">
        <w:t xml:space="preserve">The NSQHS Standards are undergoing update to the third edition. The emphasis may change for the 8 standards components that includes clinical governance, partnering with consumers and recognising and responding to acute deterioration. </w:t>
      </w:r>
      <w:r>
        <w:t>Key</w:t>
      </w:r>
      <w:r w:rsidRPr="00314EB1">
        <w:t xml:space="preserve"> aim</w:t>
      </w:r>
      <w:r>
        <w:t xml:space="preserve"> is to</w:t>
      </w:r>
      <w:r w:rsidRPr="00314EB1">
        <w:t xml:space="preserve"> protect</w:t>
      </w:r>
      <w:r>
        <w:t xml:space="preserve"> </w:t>
      </w:r>
      <w:r w:rsidRPr="00314EB1">
        <w:t>the public from harm and improv</w:t>
      </w:r>
      <w:r>
        <w:t>e</w:t>
      </w:r>
      <w:r w:rsidRPr="00314EB1">
        <w:t xml:space="preserve"> the quality of health service provision.</w:t>
      </w:r>
    </w:p>
    <w:p w14:paraId="7385BC21" w14:textId="77777777" w:rsidR="005746FE" w:rsidRPr="00B96BAE" w:rsidRDefault="00B96BAE" w:rsidP="00473DE9">
      <w:pPr>
        <w:rPr>
          <w:color w:val="auto"/>
        </w:rPr>
      </w:pPr>
      <w:r w:rsidRPr="00B96BAE">
        <w:rPr>
          <w:color w:val="auto"/>
        </w:rPr>
        <w:t>Hospital declaration is the process where the</w:t>
      </w:r>
      <w:r w:rsidR="005746FE" w:rsidRPr="00B96BAE">
        <w:rPr>
          <w:color w:val="auto"/>
        </w:rPr>
        <w:t xml:space="preserve"> holder of a state or territory licence/registration and accreditation to NSQHS Standards can choose to apply for Commonwealth recognition of their facility as a hospital</w:t>
      </w:r>
      <w:r w:rsidRPr="00B96BAE">
        <w:rPr>
          <w:color w:val="auto"/>
        </w:rPr>
        <w:t>.</w:t>
      </w:r>
    </w:p>
    <w:p w14:paraId="6C8F2FF4" w14:textId="77777777" w:rsidR="005746FE" w:rsidRPr="0098585F" w:rsidRDefault="005746FE" w:rsidP="008926E0">
      <w:pPr>
        <w:pStyle w:val="Body"/>
        <w:spacing w:before="240" w:after="120"/>
        <w:rPr>
          <w:rFonts w:cs="Arial"/>
          <w:b/>
          <w:iCs/>
          <w:color w:val="358189"/>
          <w:szCs w:val="22"/>
          <w:u w:val="single"/>
        </w:rPr>
      </w:pPr>
      <w:r w:rsidRPr="0098585F">
        <w:rPr>
          <w:rFonts w:cs="Arial"/>
          <w:b/>
          <w:color w:val="358189" w:themeColor="accent2"/>
          <w:u w:val="single"/>
        </w:rPr>
        <w:t>What is a ‘declared’ private hospital?</w:t>
      </w:r>
    </w:p>
    <w:p w14:paraId="4C2F881E" w14:textId="77777777" w:rsidR="005746FE" w:rsidRPr="00AD2981" w:rsidRDefault="005746FE" w:rsidP="00473DE9">
      <w:pPr>
        <w:rPr>
          <w:color w:val="FF0000"/>
        </w:rPr>
      </w:pPr>
      <w:r w:rsidRPr="00291204">
        <w:rPr>
          <w:color w:val="auto"/>
        </w:rPr>
        <w:t xml:space="preserve">The Minister for Health </w:t>
      </w:r>
      <w:r w:rsidR="00291204" w:rsidRPr="00291204">
        <w:rPr>
          <w:color w:val="auto"/>
        </w:rPr>
        <w:t>makes</w:t>
      </w:r>
      <w:r w:rsidRPr="00291204">
        <w:rPr>
          <w:color w:val="auto"/>
        </w:rPr>
        <w:t xml:space="preserve"> a written statement to declare that a facility is a hospital, meeting the legal definition of hospital under </w:t>
      </w:r>
      <w:hyperlink r:id="rId45" w:anchor="_Toc226806327" w:history="1">
        <w:r w:rsidRPr="00B96BAE">
          <w:rPr>
            <w:rStyle w:val="Hyperlink"/>
          </w:rPr>
          <w:t>sub-section 121-5(5)</w:t>
        </w:r>
      </w:hyperlink>
      <w:r w:rsidR="00291204">
        <w:rPr>
          <w:color w:val="FF0000"/>
        </w:rPr>
        <w:t xml:space="preserve"> </w:t>
      </w:r>
      <w:r w:rsidR="00291204" w:rsidRPr="00291204">
        <w:rPr>
          <w:color w:val="auto"/>
        </w:rPr>
        <w:t>of the PHI Act:</w:t>
      </w:r>
    </w:p>
    <w:p w14:paraId="5685D711" w14:textId="77777777" w:rsidR="005746FE" w:rsidRPr="00425F56" w:rsidRDefault="005746FE" w:rsidP="00473DE9">
      <w:pPr>
        <w:ind w:firstLine="720"/>
        <w:rPr>
          <w:i/>
          <w:iCs/>
          <w:szCs w:val="22"/>
        </w:rPr>
      </w:pPr>
      <w:r>
        <w:rPr>
          <w:i/>
          <w:iCs/>
          <w:szCs w:val="22"/>
        </w:rPr>
        <w:t>‘</w:t>
      </w:r>
      <w:r w:rsidRPr="00425F56">
        <w:rPr>
          <w:i/>
          <w:iCs/>
          <w:szCs w:val="22"/>
        </w:rPr>
        <w:t>A</w:t>
      </w:r>
      <w:r w:rsidRPr="00425F56">
        <w:rPr>
          <w:b/>
          <w:bCs/>
          <w:i/>
          <w:iCs/>
          <w:szCs w:val="22"/>
        </w:rPr>
        <w:t> </w:t>
      </w:r>
      <w:r w:rsidRPr="00763E14">
        <w:rPr>
          <w:b/>
          <w:bCs/>
          <w:i/>
          <w:iCs/>
          <w:szCs w:val="22"/>
        </w:rPr>
        <w:t>hospital</w:t>
      </w:r>
      <w:r w:rsidRPr="00425F56">
        <w:rPr>
          <w:b/>
          <w:bCs/>
          <w:i/>
          <w:iCs/>
          <w:szCs w:val="22"/>
        </w:rPr>
        <w:t> </w:t>
      </w:r>
      <w:r w:rsidRPr="00425F56">
        <w:rPr>
          <w:i/>
          <w:iCs/>
          <w:szCs w:val="22"/>
        </w:rPr>
        <w:t>is a facility for which a declaration…is in force.</w:t>
      </w:r>
      <w:r>
        <w:rPr>
          <w:i/>
          <w:iCs/>
          <w:szCs w:val="22"/>
        </w:rPr>
        <w:t>’</w:t>
      </w:r>
    </w:p>
    <w:p w14:paraId="67987DCA" w14:textId="77777777" w:rsidR="00291204" w:rsidRPr="00291204" w:rsidRDefault="005746FE" w:rsidP="00473DE9">
      <w:pPr>
        <w:rPr>
          <w:color w:val="auto"/>
        </w:rPr>
      </w:pPr>
      <w:r w:rsidRPr="00291204">
        <w:rPr>
          <w:color w:val="auto"/>
        </w:rPr>
        <w:lastRenderedPageBreak/>
        <w:t>The process of declaration includes checks confirming the facility meets</w:t>
      </w:r>
      <w:r w:rsidR="00291204" w:rsidRPr="00291204">
        <w:rPr>
          <w:color w:val="auto"/>
        </w:rPr>
        <w:t>:</w:t>
      </w:r>
      <w:r w:rsidRPr="00291204">
        <w:rPr>
          <w:color w:val="auto"/>
        </w:rPr>
        <w:t xml:space="preserve"> </w:t>
      </w:r>
    </w:p>
    <w:p w14:paraId="601EADAF" w14:textId="77777777" w:rsidR="00291204" w:rsidRDefault="005746FE" w:rsidP="009257CE">
      <w:pPr>
        <w:pStyle w:val="Body"/>
        <w:numPr>
          <w:ilvl w:val="0"/>
          <w:numId w:val="23"/>
        </w:numPr>
        <w:spacing w:after="120"/>
        <w:ind w:left="714" w:hanging="357"/>
        <w:rPr>
          <w:color w:val="FF0000"/>
        </w:rPr>
      </w:pPr>
      <w:r w:rsidRPr="00291204">
        <w:rPr>
          <w:color w:val="auto"/>
        </w:rPr>
        <w:t xml:space="preserve">the quality assurance requirements for hospital treatment covered by a ‘complying health insurance policy’ (CHIP) (PHI Act </w:t>
      </w:r>
      <w:hyperlink r:id="rId46" w:anchor="_Toc226806254" w:history="1">
        <w:r w:rsidRPr="00B96BAE">
          <w:rPr>
            <w:rStyle w:val="Hyperlink"/>
          </w:rPr>
          <w:t>ss63-10(f)</w:t>
        </w:r>
      </w:hyperlink>
      <w:r w:rsidRPr="00FF4872">
        <w:rPr>
          <w:color w:val="auto"/>
        </w:rPr>
        <w:t xml:space="preserve">, </w:t>
      </w:r>
      <w:hyperlink r:id="rId47" w:anchor="_Toc226806287" w:history="1">
        <w:r w:rsidRPr="00B96BAE">
          <w:rPr>
            <w:rStyle w:val="Hyperlink"/>
          </w:rPr>
          <w:t>s81-1</w:t>
        </w:r>
      </w:hyperlink>
      <w:r w:rsidRPr="00291204">
        <w:rPr>
          <w:color w:val="auto"/>
        </w:rPr>
        <w:t>)</w:t>
      </w:r>
      <w:r w:rsidR="00291204" w:rsidRPr="00291204">
        <w:rPr>
          <w:color w:val="auto"/>
        </w:rPr>
        <w:t>,</w:t>
      </w:r>
      <w:r w:rsidRPr="00291204">
        <w:rPr>
          <w:color w:val="auto"/>
        </w:rPr>
        <w:t xml:space="preserve"> and </w:t>
      </w:r>
    </w:p>
    <w:p w14:paraId="13FA03B8" w14:textId="77777777" w:rsidR="00291204" w:rsidRDefault="005746FE" w:rsidP="009257CE">
      <w:pPr>
        <w:pStyle w:val="Body"/>
        <w:numPr>
          <w:ilvl w:val="0"/>
          <w:numId w:val="23"/>
        </w:numPr>
        <w:spacing w:after="120"/>
        <w:ind w:left="714" w:hanging="357"/>
        <w:rPr>
          <w:color w:val="FF0000"/>
        </w:rPr>
      </w:pPr>
      <w:r w:rsidRPr="00291204">
        <w:rPr>
          <w:color w:val="auto"/>
        </w:rPr>
        <w:t xml:space="preserve">the standards set out in the </w:t>
      </w:r>
      <w:hyperlink r:id="rId48" w:history="1">
        <w:r w:rsidRPr="00B96BAE">
          <w:rPr>
            <w:rStyle w:val="Hyperlink"/>
            <w:i/>
            <w:iCs/>
          </w:rPr>
          <w:t>Private Health Insurance (Accreditation) Rules 2011</w:t>
        </w:r>
      </w:hyperlink>
      <w:r w:rsidRPr="00291204">
        <w:rPr>
          <w:color w:val="auto"/>
        </w:rPr>
        <w:t>.</w:t>
      </w:r>
      <w:r w:rsidRPr="00AD2981">
        <w:rPr>
          <w:color w:val="FF0000"/>
        </w:rPr>
        <w:t xml:space="preserve"> </w:t>
      </w:r>
    </w:p>
    <w:p w14:paraId="796D67F5" w14:textId="324DFB92" w:rsidR="005746FE" w:rsidRDefault="005746FE" w:rsidP="00473DE9">
      <w:r>
        <w:t xml:space="preserve">Details of current declared hospitals are compiled in the </w:t>
      </w:r>
      <w:hyperlink r:id="rId49" w:history="1">
        <w:r>
          <w:rPr>
            <w:rStyle w:val="Hyperlink"/>
          </w:rPr>
          <w:t>List of Declared Hospitals</w:t>
        </w:r>
      </w:hyperlink>
      <w:r>
        <w:t xml:space="preserve"> (the Declarations List) including each hospital’s unique Hospital Provider Number.</w:t>
      </w:r>
    </w:p>
    <w:p w14:paraId="753A1218" w14:textId="77777777" w:rsidR="005746FE" w:rsidRPr="00F32A20" w:rsidRDefault="005159B0" w:rsidP="00F32A20">
      <w:pPr>
        <w:pStyle w:val="Body"/>
        <w:rPr>
          <w:rFonts w:cs="Arial"/>
          <w:b/>
          <w:color w:val="358189" w:themeColor="accent2"/>
          <w:u w:val="single"/>
        </w:rPr>
      </w:pPr>
      <w:r>
        <w:t>H</w:t>
      </w:r>
      <w:r w:rsidR="005746FE">
        <w:t>ospitals must report de-identified separations data to insurers and the department</w:t>
      </w:r>
      <w:r>
        <w:t>, as a condition of declaration</w:t>
      </w:r>
      <w:r w:rsidR="005746FE">
        <w:t xml:space="preserve">. Reasonable conditions on declaration ensure patients receive </w:t>
      </w:r>
      <w:r w:rsidR="00B77911">
        <w:t xml:space="preserve">quality, safety and value for money </w:t>
      </w:r>
      <w:r w:rsidR="005746FE">
        <w:t>hospital treatment appropriate to the cost of the resulting benefit payments.</w:t>
      </w:r>
    </w:p>
    <w:p w14:paraId="4FD518BB" w14:textId="77777777" w:rsidR="005746FE" w:rsidRPr="00F32A20" w:rsidRDefault="005746FE" w:rsidP="008926E0">
      <w:pPr>
        <w:pStyle w:val="Body"/>
        <w:spacing w:before="240" w:after="120"/>
        <w:rPr>
          <w:rFonts w:cs="Arial"/>
          <w:b/>
          <w:color w:val="358189" w:themeColor="accent2"/>
          <w:u w:val="single"/>
        </w:rPr>
      </w:pPr>
      <w:r w:rsidRPr="008926E0">
        <w:rPr>
          <w:rFonts w:cs="Arial"/>
          <w:b/>
          <w:bCs/>
          <w:iCs/>
          <w:color w:val="358189"/>
          <w:szCs w:val="22"/>
          <w:u w:val="single"/>
        </w:rPr>
        <w:t>Second</w:t>
      </w:r>
      <w:r w:rsidRPr="00F32A20">
        <w:rPr>
          <w:rFonts w:cs="Arial"/>
          <w:b/>
          <w:color w:val="358189" w:themeColor="accent2"/>
          <w:u w:val="single"/>
        </w:rPr>
        <w:t>-tier hospital benefits</w:t>
      </w:r>
    </w:p>
    <w:p w14:paraId="3D229B12" w14:textId="74B8DD96" w:rsidR="005746FE" w:rsidRPr="00291204" w:rsidRDefault="005746FE" w:rsidP="00473DE9">
      <w:pPr>
        <w:rPr>
          <w:color w:val="auto"/>
        </w:rPr>
      </w:pPr>
      <w:r w:rsidRPr="00291204">
        <w:rPr>
          <w:color w:val="auto"/>
        </w:rPr>
        <w:t>Declared private hospitals can choose to apply for eligibility to access second-tier benefits and must include evidence of procedures in place for Informed Financial Consent.</w:t>
      </w:r>
    </w:p>
    <w:p w14:paraId="73A3D2E9" w14:textId="5914269E" w:rsidR="005746FE" w:rsidRPr="00AD2981" w:rsidRDefault="005746FE" w:rsidP="00473DE9">
      <w:pPr>
        <w:rPr>
          <w:color w:val="FF0000"/>
        </w:rPr>
      </w:pPr>
      <w:r w:rsidRPr="00291204">
        <w:rPr>
          <w:color w:val="auto"/>
        </w:rPr>
        <w:t xml:space="preserve">Generally, insurers must pay second-tier default benefits for hospital treatment if they do not have a negotiated agreement with a hospital and the hospital is second-tier benefits eligible. This can be particularly important to regional hospitals as second-tier benefits are generally higher than minimum benefits </w:t>
      </w:r>
      <w:r w:rsidR="00291204" w:rsidRPr="00291204">
        <w:rPr>
          <w:color w:val="auto"/>
        </w:rPr>
        <w:t xml:space="preserve">(see: </w:t>
      </w:r>
      <w:hyperlink w:anchor="_Improving_access_to_1" w:history="1">
        <w:r w:rsidR="00291204">
          <w:rPr>
            <w:rStyle w:val="Hyperlink"/>
          </w:rPr>
          <w:t>S</w:t>
        </w:r>
        <w:r w:rsidRPr="00291204">
          <w:rPr>
            <w:rStyle w:val="Hyperlink"/>
          </w:rPr>
          <w:t xml:space="preserve">ection </w:t>
        </w:r>
        <w:r w:rsidR="00291204" w:rsidRPr="00291204">
          <w:rPr>
            <w:rStyle w:val="Hyperlink"/>
          </w:rPr>
          <w:t>2.1</w:t>
        </w:r>
        <w:r w:rsidRPr="00291204">
          <w:rPr>
            <w:rStyle w:val="Hyperlink"/>
          </w:rPr>
          <w:t xml:space="preserve"> Improving access to regional private hospitals</w:t>
        </w:r>
      </w:hyperlink>
      <w:r w:rsidR="00291204" w:rsidRPr="00291204">
        <w:rPr>
          <w:color w:val="auto"/>
        </w:rPr>
        <w:t>)</w:t>
      </w:r>
      <w:r w:rsidRPr="00291204">
        <w:rPr>
          <w:color w:val="auto"/>
        </w:rPr>
        <w:t>.</w:t>
      </w:r>
    </w:p>
    <w:p w14:paraId="6EDF1885" w14:textId="77777777" w:rsidR="005746FE" w:rsidRPr="00425F56" w:rsidRDefault="005746FE" w:rsidP="008926E0">
      <w:pPr>
        <w:pStyle w:val="Body"/>
        <w:spacing w:before="240" w:after="120"/>
        <w:rPr>
          <w:rFonts w:cs="Arial"/>
          <w:b/>
          <w:color w:val="358189"/>
          <w:szCs w:val="22"/>
          <w:u w:val="single"/>
        </w:rPr>
      </w:pPr>
      <w:r w:rsidRPr="00425F56">
        <w:rPr>
          <w:rFonts w:cs="Arial"/>
          <w:b/>
          <w:color w:val="358189" w:themeColor="accent2"/>
          <w:u w:val="single"/>
          <w:lang w:val="en-AU"/>
        </w:rPr>
        <w:t>What is ‘</w:t>
      </w:r>
      <w:r w:rsidRPr="008926E0">
        <w:rPr>
          <w:rFonts w:cs="Arial"/>
          <w:b/>
          <w:color w:val="358189" w:themeColor="accent2"/>
          <w:u w:val="single"/>
        </w:rPr>
        <w:t>hospital</w:t>
      </w:r>
      <w:r w:rsidRPr="00425F56">
        <w:rPr>
          <w:rFonts w:cs="Arial"/>
          <w:b/>
          <w:color w:val="358189" w:themeColor="accent2"/>
          <w:u w:val="single"/>
          <w:lang w:val="en-AU"/>
        </w:rPr>
        <w:t xml:space="preserve"> treatment’?</w:t>
      </w:r>
    </w:p>
    <w:p w14:paraId="7FBCAB76" w14:textId="77777777" w:rsidR="005746FE" w:rsidRDefault="005746FE" w:rsidP="00473DE9">
      <w:pPr>
        <w:spacing w:line="360" w:lineRule="auto"/>
      </w:pPr>
      <w:r w:rsidRPr="00425F56">
        <w:t>Under the PHI Act</w:t>
      </w:r>
      <w:r>
        <w:t xml:space="preserve"> (</w:t>
      </w:r>
      <w:hyperlink r:id="rId50" w:anchor="_Toc226806327" w:history="1">
        <w:r w:rsidRPr="002114E9">
          <w:rPr>
            <w:rStyle w:val="Hyperlink"/>
          </w:rPr>
          <w:t>s121-5</w:t>
        </w:r>
      </w:hyperlink>
      <w:r>
        <w:t>):</w:t>
      </w:r>
    </w:p>
    <w:p w14:paraId="040AC588" w14:textId="77777777" w:rsidR="005746FE" w:rsidRPr="00291204" w:rsidRDefault="005746FE" w:rsidP="00473DE9">
      <w:pPr>
        <w:ind w:left="720"/>
        <w:rPr>
          <w:i/>
          <w:iCs/>
          <w:color w:val="auto"/>
          <w:szCs w:val="22"/>
        </w:rPr>
      </w:pPr>
      <w:r w:rsidRPr="00291204">
        <w:rPr>
          <w:i/>
          <w:iCs/>
          <w:color w:val="auto"/>
          <w:szCs w:val="22"/>
        </w:rPr>
        <w:t>‘</w:t>
      </w:r>
      <w:r w:rsidRPr="00291204">
        <w:rPr>
          <w:b/>
          <w:bCs/>
          <w:i/>
          <w:iCs/>
          <w:color w:val="auto"/>
          <w:szCs w:val="22"/>
        </w:rPr>
        <w:t>Hospital treatment</w:t>
      </w:r>
      <w:r w:rsidRPr="00291204">
        <w:rPr>
          <w:i/>
          <w:iCs/>
          <w:color w:val="auto"/>
          <w:szCs w:val="22"/>
        </w:rPr>
        <w:t xml:space="preserve"> is treatment (including the provision of goods and services) that is intended to manage a disease, injury or condition; and is by a person who is authorised by a *</w:t>
      </w:r>
      <w:r w:rsidRPr="00291204">
        <w:rPr>
          <w:b/>
          <w:bCs/>
          <w:i/>
          <w:iCs/>
          <w:color w:val="auto"/>
          <w:szCs w:val="22"/>
        </w:rPr>
        <w:t>hospital</w:t>
      </w:r>
      <w:r w:rsidRPr="00291204">
        <w:rPr>
          <w:i/>
          <w:iCs/>
          <w:color w:val="auto"/>
          <w:szCs w:val="22"/>
        </w:rPr>
        <w:t xml:space="preserve"> to provide the treatment; or under the management or control of such a person; and is either provided at a hospital; or is provided, or arranged, with the direct involvement of a hospital.’</w:t>
      </w:r>
    </w:p>
    <w:p w14:paraId="2C48A908" w14:textId="77777777" w:rsidR="005746FE" w:rsidRPr="00291204" w:rsidRDefault="005746FE" w:rsidP="00473DE9">
      <w:pPr>
        <w:rPr>
          <w:color w:val="auto"/>
        </w:rPr>
      </w:pPr>
      <w:r w:rsidRPr="00291204">
        <w:rPr>
          <w:color w:val="auto"/>
        </w:rPr>
        <w:t xml:space="preserve">Because a </w:t>
      </w:r>
      <w:r w:rsidRPr="00291204">
        <w:rPr>
          <w:b/>
          <w:bCs/>
          <w:i/>
          <w:iCs/>
          <w:color w:val="auto"/>
        </w:rPr>
        <w:t>hospital</w:t>
      </w:r>
      <w:r w:rsidRPr="00291204">
        <w:rPr>
          <w:color w:val="auto"/>
        </w:rPr>
        <w:t xml:space="preserve"> is defined as a facility with a declaration in force, only a declared private hospital can provide or authorise services that meet the definition of </w:t>
      </w:r>
      <w:r w:rsidRPr="00291204">
        <w:rPr>
          <w:b/>
          <w:bCs/>
          <w:i/>
          <w:iCs/>
          <w:color w:val="auto"/>
        </w:rPr>
        <w:t>hospital treatment</w:t>
      </w:r>
      <w:r w:rsidRPr="00291204">
        <w:rPr>
          <w:color w:val="auto"/>
        </w:rPr>
        <w:t>, eligible for benefits.</w:t>
      </w:r>
    </w:p>
    <w:p w14:paraId="7A895B57" w14:textId="77777777" w:rsidR="005746FE" w:rsidRDefault="005746FE" w:rsidP="00473DE9">
      <w:r>
        <w:t>An insurance policy that covers hospital treatment must provide certain minimum benefits set out in the PHI Act (</w:t>
      </w:r>
      <w:hyperlink r:id="rId51" w:anchor="_Toc226806266" w:history="1">
        <w:r w:rsidRPr="004C5E58">
          <w:rPr>
            <w:rStyle w:val="Hyperlink"/>
          </w:rPr>
          <w:t>Division 72</w:t>
        </w:r>
      </w:hyperlink>
      <w:r>
        <w:t xml:space="preserve">) including: </w:t>
      </w:r>
    </w:p>
    <w:p w14:paraId="028204BB" w14:textId="77777777" w:rsidR="005746FE" w:rsidRPr="00291204" w:rsidRDefault="005746FE" w:rsidP="009257CE">
      <w:pPr>
        <w:pStyle w:val="Body"/>
        <w:numPr>
          <w:ilvl w:val="0"/>
          <w:numId w:val="23"/>
        </w:numPr>
        <w:spacing w:after="120"/>
        <w:ind w:left="714" w:hanging="357"/>
        <w:rPr>
          <w:color w:val="auto"/>
        </w:rPr>
      </w:pPr>
      <w:r w:rsidRPr="00291204">
        <w:rPr>
          <w:color w:val="auto"/>
        </w:rPr>
        <w:t>PHI benefits of at least 25% of the Medicare Benefits Schedule (MBS) Item schedule fee, any applicable medical device or human tissue product, or hospital accommodation benefit.</w:t>
      </w:r>
    </w:p>
    <w:p w14:paraId="50FC319B" w14:textId="77777777" w:rsidR="005746FE" w:rsidRDefault="005746FE" w:rsidP="00473DE9">
      <w:r>
        <w:t xml:space="preserve">Additional inclusions and exclusions are in the PHI Act </w:t>
      </w:r>
      <w:hyperlink r:id="rId52" w:anchor="_Toc226806327" w:history="1">
        <w:r w:rsidRPr="002114E9">
          <w:rPr>
            <w:rStyle w:val="Hyperlink"/>
          </w:rPr>
          <w:t>s121-5</w:t>
        </w:r>
      </w:hyperlink>
      <w:r>
        <w:t xml:space="preserve"> and the:</w:t>
      </w:r>
    </w:p>
    <w:p w14:paraId="7607DF93" w14:textId="77777777" w:rsidR="005746FE" w:rsidRDefault="005746FE" w:rsidP="009257CE">
      <w:pPr>
        <w:pStyle w:val="Body"/>
        <w:numPr>
          <w:ilvl w:val="0"/>
          <w:numId w:val="23"/>
        </w:numPr>
        <w:spacing w:after="120"/>
        <w:ind w:left="714" w:hanging="357"/>
        <w:rPr>
          <w:i/>
          <w:iCs/>
        </w:rPr>
      </w:pPr>
      <w:hyperlink r:id="rId53" w:history="1">
        <w:r w:rsidRPr="00A13DE3">
          <w:rPr>
            <w:rStyle w:val="Hyperlink"/>
            <w:i/>
            <w:iCs/>
          </w:rPr>
          <w:t>Private Health Insurance (Health Insurance Business) Rules 2018</w:t>
        </w:r>
      </w:hyperlink>
      <w:r>
        <w:t xml:space="preserve"> (Business Rules)</w:t>
      </w:r>
    </w:p>
    <w:p w14:paraId="2718FA32" w14:textId="77777777" w:rsidR="005746FE" w:rsidRPr="00A13DE3" w:rsidRDefault="005746FE" w:rsidP="009257CE">
      <w:pPr>
        <w:pStyle w:val="Body"/>
        <w:numPr>
          <w:ilvl w:val="0"/>
          <w:numId w:val="23"/>
        </w:numPr>
        <w:spacing w:after="120"/>
        <w:ind w:left="714" w:hanging="357"/>
        <w:rPr>
          <w:i/>
          <w:iCs/>
        </w:rPr>
      </w:pPr>
      <w:hyperlink r:id="rId54" w:history="1">
        <w:r w:rsidRPr="00A13DE3">
          <w:rPr>
            <w:rStyle w:val="Hyperlink"/>
            <w:i/>
            <w:iCs/>
          </w:rPr>
          <w:t>Private Health Insurance (Complying Product) Rules 2015</w:t>
        </w:r>
      </w:hyperlink>
      <w:r>
        <w:t xml:space="preserve"> </w:t>
      </w:r>
      <w:r w:rsidRPr="00A13DE3">
        <w:rPr>
          <w:szCs w:val="22"/>
        </w:rPr>
        <w:t>(Complying Product Rules)</w:t>
      </w:r>
      <w:r w:rsidR="005F246F">
        <w:rPr>
          <w:szCs w:val="22"/>
        </w:rPr>
        <w:t>, and</w:t>
      </w:r>
    </w:p>
    <w:p w14:paraId="04432A4F" w14:textId="77777777" w:rsidR="005746FE" w:rsidRPr="00287D17" w:rsidRDefault="005746FE" w:rsidP="009257CE">
      <w:pPr>
        <w:pStyle w:val="Body"/>
        <w:numPr>
          <w:ilvl w:val="0"/>
          <w:numId w:val="23"/>
        </w:numPr>
        <w:spacing w:after="120"/>
        <w:ind w:left="714" w:hanging="357"/>
        <w:rPr>
          <w:i/>
          <w:iCs/>
        </w:rPr>
      </w:pPr>
      <w:hyperlink r:id="rId55" w:history="1">
        <w:r w:rsidRPr="00287D17">
          <w:rPr>
            <w:rStyle w:val="Hyperlink"/>
            <w:i/>
            <w:iCs/>
          </w:rPr>
          <w:t>Private Health Insurance (Benefit Requirements) Rules 2011</w:t>
        </w:r>
      </w:hyperlink>
      <w:r>
        <w:t xml:space="preserve"> (Benefit Requirements Rules)</w:t>
      </w:r>
      <w:r w:rsidR="005F246F">
        <w:t>.</w:t>
      </w:r>
    </w:p>
    <w:p w14:paraId="1FBAB985" w14:textId="77777777" w:rsidR="005746FE" w:rsidRDefault="005746FE" w:rsidP="00473DE9">
      <w:r>
        <w:lastRenderedPageBreak/>
        <w:t xml:space="preserve">Patient qualifiers </w:t>
      </w:r>
      <w:r w:rsidR="00B77911">
        <w:t>for</w:t>
      </w:r>
      <w:r>
        <w:t xml:space="preserve"> hospital benefits may also apply (</w:t>
      </w:r>
      <w:hyperlink r:id="rId56" w:anchor="_Toc218581370" w:history="1">
        <w:hyperlink r:id="rId57" w:history="1">
          <w:r w:rsidRPr="00754EEF">
            <w:rPr>
              <w:rStyle w:val="Hyperlink"/>
              <w:i/>
              <w:iCs/>
            </w:rPr>
            <w:t>Health Insurance Act 1973</w:t>
          </w:r>
        </w:hyperlink>
        <w:r>
          <w:rPr>
            <w:rStyle w:val="Hyperlink"/>
          </w:rPr>
          <w:t xml:space="preserve"> </w:t>
        </w:r>
        <w:r w:rsidRPr="00225F1A">
          <w:rPr>
            <w:rStyle w:val="Hyperlink"/>
          </w:rPr>
          <w:t>s3</w:t>
        </w:r>
      </w:hyperlink>
      <w:r>
        <w:t xml:space="preserve"> (HI Act)):</w:t>
      </w:r>
    </w:p>
    <w:p w14:paraId="596BEC38" w14:textId="77777777" w:rsidR="005746FE" w:rsidRDefault="005746FE" w:rsidP="009257CE">
      <w:pPr>
        <w:pStyle w:val="Body"/>
        <w:numPr>
          <w:ilvl w:val="0"/>
          <w:numId w:val="23"/>
        </w:numPr>
        <w:spacing w:after="120"/>
        <w:ind w:left="714" w:hanging="357"/>
      </w:pPr>
      <w:r>
        <w:t>patient does not include a newly</w:t>
      </w:r>
      <w:r w:rsidRPr="005F246F">
        <w:rPr>
          <w:rFonts w:ascii="Cambria Math" w:hAnsi="Cambria Math" w:cs="Cambria Math"/>
        </w:rPr>
        <w:t>‑</w:t>
      </w:r>
      <w:r>
        <w:t>born child whose mother also occupies a bed in the hospital, with some exceptions, and</w:t>
      </w:r>
    </w:p>
    <w:p w14:paraId="1C52166F" w14:textId="3261CF04" w:rsidR="005746FE" w:rsidRPr="00291204" w:rsidRDefault="004E0A18" w:rsidP="009257CE">
      <w:pPr>
        <w:pStyle w:val="Body"/>
        <w:numPr>
          <w:ilvl w:val="0"/>
          <w:numId w:val="23"/>
        </w:numPr>
        <w:spacing w:after="120"/>
        <w:ind w:left="714" w:hanging="357"/>
        <w:rPr>
          <w:color w:val="auto"/>
        </w:rPr>
      </w:pPr>
      <w:r>
        <w:rPr>
          <w:color w:val="auto"/>
        </w:rPr>
        <w:t>“</w:t>
      </w:r>
      <w:r w:rsidR="005746FE" w:rsidRPr="00291204">
        <w:rPr>
          <w:color w:val="auto"/>
        </w:rPr>
        <w:t>nursing-home type patient</w:t>
      </w:r>
      <w:r>
        <w:rPr>
          <w:color w:val="auto"/>
        </w:rPr>
        <w:t>” refers to</w:t>
      </w:r>
      <w:r w:rsidR="005746FE" w:rsidRPr="00291204">
        <w:rPr>
          <w:color w:val="auto"/>
        </w:rPr>
        <w:t xml:space="preserve"> a patient in hospital who has been provided with accommodation and nursing care</w:t>
      </w:r>
      <w:r w:rsidR="003B03C1">
        <w:rPr>
          <w:color w:val="auto"/>
        </w:rPr>
        <w:t xml:space="preserve"> </w:t>
      </w:r>
      <w:r w:rsidR="005746FE" w:rsidRPr="00291204">
        <w:rPr>
          <w:color w:val="auto"/>
        </w:rPr>
        <w:t xml:space="preserve">for a continuous period exceeding </w:t>
      </w:r>
      <w:r w:rsidR="005746FE" w:rsidRPr="003B03C1">
        <w:t>35</w:t>
      </w:r>
      <w:r w:rsidR="003B03C1">
        <w:t> </w:t>
      </w:r>
      <w:r w:rsidR="005746FE" w:rsidRPr="003B03C1">
        <w:t>days</w:t>
      </w:r>
      <w:r w:rsidR="005746FE" w:rsidRPr="00291204">
        <w:rPr>
          <w:color w:val="auto"/>
        </w:rPr>
        <w:t>.</w:t>
      </w:r>
    </w:p>
    <w:p w14:paraId="14335DFE" w14:textId="77777777" w:rsidR="005746FE" w:rsidRDefault="005746FE" w:rsidP="00473DE9">
      <w:r>
        <w:t>Public hospitals are also declared hospitals.</w:t>
      </w:r>
    </w:p>
    <w:p w14:paraId="11A99F8F" w14:textId="77777777" w:rsidR="005746FE" w:rsidRDefault="005746FE" w:rsidP="00473DE9">
      <w:r>
        <w:t>Eligibility for payment of a benefit of 75% of the MBS Item schedule fee applies to items delivered as hospital treatment. The HI Act also references the PHI Act definition of hospital treatment. A change to one</w:t>
      </w:r>
      <w:r w:rsidR="003B03C1">
        <w:t xml:space="preserve"> can</w:t>
      </w:r>
      <w:r>
        <w:t xml:space="preserve"> influence </w:t>
      </w:r>
      <w:r w:rsidR="003B03C1">
        <w:t xml:space="preserve">the </w:t>
      </w:r>
      <w:r>
        <w:t>outcome</w:t>
      </w:r>
      <w:r w:rsidR="003B03C1">
        <w:t>/</w:t>
      </w:r>
      <w:r>
        <w:t>s for both.</w:t>
      </w:r>
    </w:p>
    <w:p w14:paraId="335AF2F6" w14:textId="77777777" w:rsidR="005746FE" w:rsidRDefault="005746FE" w:rsidP="00473DE9">
      <w:r>
        <w:t>At present, the Declarations List is the sole, verified national list of private hospitals. The definition of hospital and the Declarations List are integrated in regulatory systems including:</w:t>
      </w:r>
    </w:p>
    <w:p w14:paraId="4327A22E" w14:textId="77777777" w:rsidR="005746FE" w:rsidRDefault="005746FE" w:rsidP="009257CE">
      <w:pPr>
        <w:pStyle w:val="Body"/>
        <w:numPr>
          <w:ilvl w:val="0"/>
          <w:numId w:val="23"/>
        </w:numPr>
        <w:spacing w:after="120"/>
        <w:ind w:left="714" w:hanging="357"/>
      </w:pPr>
      <w:r>
        <w:t>MBS benefits for hospital treatment</w:t>
      </w:r>
    </w:p>
    <w:p w14:paraId="62859E3E" w14:textId="77777777" w:rsidR="005746FE" w:rsidRDefault="005746FE" w:rsidP="009257CE">
      <w:pPr>
        <w:pStyle w:val="Body"/>
        <w:numPr>
          <w:ilvl w:val="0"/>
          <w:numId w:val="23"/>
        </w:numPr>
        <w:spacing w:after="120"/>
        <w:ind w:left="714" w:hanging="357"/>
      </w:pPr>
      <w:r>
        <w:t>classifications for procedure type hospital accommodation benefits</w:t>
      </w:r>
    </w:p>
    <w:p w14:paraId="3B14A111" w14:textId="77777777" w:rsidR="005746FE" w:rsidRDefault="005746FE" w:rsidP="009257CE">
      <w:pPr>
        <w:pStyle w:val="Body"/>
        <w:numPr>
          <w:ilvl w:val="0"/>
          <w:numId w:val="23"/>
        </w:numPr>
        <w:spacing w:after="120"/>
        <w:ind w:left="714" w:hanging="357"/>
      </w:pPr>
      <w:r>
        <w:t>data reporting specifications agreed nationally for comparable data over time</w:t>
      </w:r>
    </w:p>
    <w:p w14:paraId="2173DC46" w14:textId="4816F38F" w:rsidR="005746FE" w:rsidRDefault="005746FE" w:rsidP="009257CE">
      <w:pPr>
        <w:pStyle w:val="Body"/>
        <w:numPr>
          <w:ilvl w:val="0"/>
          <w:numId w:val="23"/>
        </w:numPr>
        <w:spacing w:after="120"/>
        <w:ind w:left="714" w:hanging="357"/>
      </w:pPr>
      <w:r>
        <w:t>approvals for PBS hospital suppliers</w:t>
      </w:r>
    </w:p>
    <w:p w14:paraId="74D62DC3" w14:textId="77777777" w:rsidR="005746FE" w:rsidRDefault="005746FE" w:rsidP="009257CE">
      <w:pPr>
        <w:pStyle w:val="Body"/>
        <w:numPr>
          <w:ilvl w:val="0"/>
          <w:numId w:val="23"/>
        </w:numPr>
        <w:spacing w:after="120"/>
        <w:ind w:left="714" w:hanging="357"/>
      </w:pPr>
      <w:r>
        <w:t>reporting obligations for adverse medical device events, and</w:t>
      </w:r>
    </w:p>
    <w:p w14:paraId="57A684DB" w14:textId="77777777" w:rsidR="005746FE" w:rsidRDefault="005746FE" w:rsidP="009257CE">
      <w:pPr>
        <w:pStyle w:val="Body"/>
        <w:numPr>
          <w:ilvl w:val="0"/>
          <w:numId w:val="23"/>
        </w:numPr>
        <w:spacing w:after="120"/>
        <w:ind w:left="714" w:hanging="357"/>
      </w:pPr>
      <w:r>
        <w:t>insurers’ checks to meet CHIP quality assurance requirements.</w:t>
      </w:r>
    </w:p>
    <w:p w14:paraId="2A439882" w14:textId="77777777" w:rsidR="008F50A1" w:rsidRPr="00291204" w:rsidRDefault="005746FE" w:rsidP="008F50A1">
      <w:pPr>
        <w:rPr>
          <w:color w:val="auto"/>
        </w:rPr>
      </w:pPr>
      <w:r w:rsidRPr="00291204">
        <w:rPr>
          <w:color w:val="auto"/>
        </w:rPr>
        <w:t xml:space="preserve">Changes to hospital licencing and registration pathways may impact a provider’s ability to continue to meet the requirements for declaration under the PHI Act as a hospital, and subsequently patient access to benefits for the provision of hospital treatment. </w:t>
      </w:r>
    </w:p>
    <w:p w14:paraId="7E3E699F" w14:textId="77777777" w:rsidR="005746FE" w:rsidRPr="00AD2981" w:rsidRDefault="005746FE" w:rsidP="00473DE9">
      <w:pPr>
        <w:rPr>
          <w:color w:val="FF0000"/>
        </w:rPr>
      </w:pPr>
    </w:p>
    <w:p w14:paraId="3B66F405" w14:textId="77777777" w:rsidR="005746FE" w:rsidRPr="00AD2981" w:rsidRDefault="005746FE" w:rsidP="00473DE9">
      <w:pPr>
        <w:spacing w:line="240" w:lineRule="auto"/>
        <w:rPr>
          <w:rFonts w:cs="Arial"/>
          <w:b/>
          <w:bCs/>
          <w:color w:val="FF0000"/>
          <w:kern w:val="28"/>
          <w:sz w:val="36"/>
          <w:szCs w:val="36"/>
        </w:rPr>
      </w:pPr>
      <w:r w:rsidRPr="00AD2981">
        <w:rPr>
          <w:rFonts w:cs="Arial"/>
          <w:b/>
          <w:bCs/>
          <w:color w:val="FF0000"/>
          <w:kern w:val="28"/>
          <w:sz w:val="36"/>
          <w:szCs w:val="36"/>
        </w:rPr>
        <w:br w:type="page"/>
      </w:r>
    </w:p>
    <w:p w14:paraId="77AC3602" w14:textId="77777777" w:rsidR="004E2ABD" w:rsidRPr="008D0440" w:rsidRDefault="32D4A1DB" w:rsidP="00473DE9">
      <w:pPr>
        <w:keepNext/>
        <w:spacing w:line="240" w:lineRule="auto"/>
        <w:outlineLvl w:val="0"/>
        <w:rPr>
          <w:rFonts w:cs="Arial"/>
          <w:b/>
          <w:bCs/>
          <w:color w:val="3F4A75"/>
          <w:kern w:val="28"/>
          <w:sz w:val="36"/>
          <w:szCs w:val="36"/>
        </w:rPr>
      </w:pPr>
      <w:bookmarkStart w:id="82" w:name="_Toc233805054"/>
      <w:r w:rsidRPr="303EE287">
        <w:rPr>
          <w:rFonts w:cs="Arial"/>
          <w:b/>
          <w:bCs/>
          <w:color w:val="3F4A75"/>
          <w:kern w:val="28"/>
          <w:sz w:val="36"/>
          <w:szCs w:val="36"/>
        </w:rPr>
        <w:lastRenderedPageBreak/>
        <w:t>Abbreviations and Acronyms</w:t>
      </w:r>
      <w:bookmarkEnd w:id="82"/>
    </w:p>
    <w:tbl>
      <w:tblPr>
        <w:tblStyle w:val="TableGrid"/>
        <w:tblW w:w="0" w:type="auto"/>
        <w:tblBorders>
          <w:top w:val="single" w:sz="4" w:space="0" w:color="358189" w:themeColor="accent2"/>
          <w:left w:val="none" w:sz="0" w:space="0" w:color="auto"/>
          <w:bottom w:val="single" w:sz="4" w:space="0" w:color="358189" w:themeColor="accent2"/>
          <w:right w:val="none" w:sz="0" w:space="0" w:color="auto"/>
          <w:insideH w:val="single" w:sz="4" w:space="0" w:color="358189" w:themeColor="accent2"/>
          <w:insideV w:val="none" w:sz="0" w:space="0" w:color="auto"/>
        </w:tblBorders>
        <w:tblLook w:val="04A0" w:firstRow="1" w:lastRow="0" w:firstColumn="1" w:lastColumn="0" w:noHBand="0" w:noVBand="1"/>
      </w:tblPr>
      <w:tblGrid>
        <w:gridCol w:w="2268"/>
        <w:gridCol w:w="6758"/>
      </w:tblGrid>
      <w:tr w:rsidR="004E2ABD" w:rsidRPr="008D0440" w14:paraId="1DC5BB34" w14:textId="77777777" w:rsidTr="00552C3C">
        <w:tc>
          <w:tcPr>
            <w:tcW w:w="2268" w:type="dxa"/>
          </w:tcPr>
          <w:p w14:paraId="24A0F4E5" w14:textId="77777777" w:rsidR="004E2ABD" w:rsidRPr="008D0440" w:rsidRDefault="004E2ABD" w:rsidP="00473DE9">
            <w:pPr>
              <w:spacing w:line="240" w:lineRule="auto"/>
              <w:rPr>
                <w:rFonts w:cs="Arial"/>
                <w:color w:val="000000"/>
                <w:szCs w:val="22"/>
                <w:lang w:val="en-US"/>
              </w:rPr>
            </w:pPr>
            <w:r w:rsidRPr="008D0440">
              <w:rPr>
                <w:rFonts w:cs="Arial"/>
                <w:color w:val="000000"/>
                <w:szCs w:val="22"/>
                <w:lang w:val="en-US"/>
              </w:rPr>
              <w:t>ABP</w:t>
            </w:r>
          </w:p>
        </w:tc>
        <w:tc>
          <w:tcPr>
            <w:tcW w:w="6758" w:type="dxa"/>
          </w:tcPr>
          <w:p w14:paraId="4DDFCCEF" w14:textId="77777777" w:rsidR="004E2ABD" w:rsidRPr="008D0440" w:rsidRDefault="004E2ABD" w:rsidP="00473DE9">
            <w:pPr>
              <w:spacing w:line="240" w:lineRule="auto"/>
              <w:rPr>
                <w:rFonts w:cs="Arial"/>
                <w:color w:val="000000"/>
                <w:szCs w:val="22"/>
                <w:lang w:val="en-US"/>
              </w:rPr>
            </w:pPr>
            <w:r w:rsidRPr="008D0440">
              <w:rPr>
                <w:rFonts w:cs="Arial"/>
                <w:color w:val="000000"/>
                <w:szCs w:val="22"/>
              </w:rPr>
              <w:t>Aged-based pool</w:t>
            </w:r>
          </w:p>
        </w:tc>
      </w:tr>
      <w:tr w:rsidR="00F4137C" w:rsidRPr="008D0440" w14:paraId="6478B737" w14:textId="77777777" w:rsidTr="00552C3C">
        <w:tc>
          <w:tcPr>
            <w:tcW w:w="2268" w:type="dxa"/>
          </w:tcPr>
          <w:p w14:paraId="25D92E08" w14:textId="77777777" w:rsidR="00F4137C" w:rsidRPr="008D0440" w:rsidRDefault="00F4137C" w:rsidP="00473DE9">
            <w:pPr>
              <w:spacing w:line="240" w:lineRule="auto"/>
              <w:rPr>
                <w:rFonts w:cs="Arial"/>
                <w:color w:val="000000"/>
                <w:szCs w:val="22"/>
                <w:lang w:val="en-US"/>
              </w:rPr>
            </w:pPr>
            <w:r>
              <w:rPr>
                <w:rFonts w:cs="Arial"/>
                <w:color w:val="000000"/>
                <w:szCs w:val="22"/>
                <w:lang w:val="en-US"/>
              </w:rPr>
              <w:t>ACSQHC</w:t>
            </w:r>
          </w:p>
        </w:tc>
        <w:tc>
          <w:tcPr>
            <w:tcW w:w="6758" w:type="dxa"/>
          </w:tcPr>
          <w:p w14:paraId="17C7BBB4" w14:textId="77777777" w:rsidR="00F4137C" w:rsidRPr="008D0440" w:rsidRDefault="00CD262A" w:rsidP="00473DE9">
            <w:pPr>
              <w:spacing w:line="240" w:lineRule="auto"/>
              <w:rPr>
                <w:rFonts w:cs="Arial"/>
                <w:color w:val="000000"/>
                <w:szCs w:val="22"/>
              </w:rPr>
            </w:pPr>
            <w:r w:rsidRPr="00CD262A">
              <w:rPr>
                <w:rFonts w:cs="Arial"/>
                <w:color w:val="000000"/>
                <w:szCs w:val="22"/>
              </w:rPr>
              <w:t>Australian Commission on Safety and Quality in Health Care</w:t>
            </w:r>
          </w:p>
        </w:tc>
      </w:tr>
      <w:tr w:rsidR="00F4137C" w:rsidRPr="008D0440" w14:paraId="1A1610F3" w14:textId="77777777" w:rsidTr="00552C3C">
        <w:tc>
          <w:tcPr>
            <w:tcW w:w="2268" w:type="dxa"/>
          </w:tcPr>
          <w:p w14:paraId="0619961F" w14:textId="77777777" w:rsidR="00F4137C" w:rsidRDefault="00F4137C" w:rsidP="00473DE9">
            <w:pPr>
              <w:spacing w:line="240" w:lineRule="auto"/>
              <w:rPr>
                <w:rFonts w:cs="Arial"/>
                <w:color w:val="000000"/>
                <w:szCs w:val="22"/>
                <w:lang w:val="en-US"/>
              </w:rPr>
            </w:pPr>
            <w:r>
              <w:rPr>
                <w:rFonts w:cs="Arial"/>
                <w:color w:val="000000"/>
                <w:szCs w:val="22"/>
                <w:lang w:val="en-US"/>
              </w:rPr>
              <w:t>AHSSQA</w:t>
            </w:r>
          </w:p>
        </w:tc>
        <w:tc>
          <w:tcPr>
            <w:tcW w:w="6758" w:type="dxa"/>
          </w:tcPr>
          <w:p w14:paraId="1EA0CE46" w14:textId="77777777" w:rsidR="00F4137C" w:rsidRPr="008D0440" w:rsidRDefault="00CD262A" w:rsidP="00473DE9">
            <w:pPr>
              <w:spacing w:line="240" w:lineRule="auto"/>
              <w:rPr>
                <w:rFonts w:cs="Arial"/>
                <w:color w:val="000000"/>
                <w:szCs w:val="22"/>
              </w:rPr>
            </w:pPr>
            <w:r w:rsidRPr="006B2985">
              <w:t>Australian Health Service Safety and Quality Accreditation</w:t>
            </w:r>
          </w:p>
        </w:tc>
      </w:tr>
      <w:tr w:rsidR="004E2ABD" w:rsidRPr="008D0440" w14:paraId="76CB0179" w14:textId="77777777" w:rsidTr="00552C3C">
        <w:tc>
          <w:tcPr>
            <w:tcW w:w="2268" w:type="dxa"/>
          </w:tcPr>
          <w:p w14:paraId="36AD7A8A" w14:textId="77777777" w:rsidR="004E2ABD" w:rsidRPr="008D0440" w:rsidRDefault="004E2ABD" w:rsidP="00473DE9">
            <w:pPr>
              <w:spacing w:line="240" w:lineRule="auto"/>
              <w:rPr>
                <w:rFonts w:cs="Arial"/>
                <w:color w:val="000000"/>
                <w:szCs w:val="22"/>
                <w:lang w:val="en-US"/>
              </w:rPr>
            </w:pPr>
            <w:r w:rsidRPr="008D0440">
              <w:rPr>
                <w:rFonts w:cs="Arial"/>
                <w:color w:val="000000"/>
                <w:szCs w:val="22"/>
                <w:lang w:val="en-US"/>
              </w:rPr>
              <w:t>ANZCA</w:t>
            </w:r>
          </w:p>
        </w:tc>
        <w:tc>
          <w:tcPr>
            <w:tcW w:w="6758" w:type="dxa"/>
          </w:tcPr>
          <w:p w14:paraId="3842D3FA" w14:textId="77777777" w:rsidR="004E2ABD" w:rsidRPr="008D0440" w:rsidRDefault="004E2ABD" w:rsidP="00473DE9">
            <w:pPr>
              <w:spacing w:line="240" w:lineRule="auto"/>
              <w:rPr>
                <w:rFonts w:cs="Arial"/>
                <w:color w:val="000000"/>
                <w:szCs w:val="22"/>
              </w:rPr>
            </w:pPr>
            <w:r w:rsidRPr="008D0440">
              <w:rPr>
                <w:rFonts w:cs="Arial"/>
                <w:bCs/>
                <w:color w:val="000000"/>
                <w:szCs w:val="22"/>
              </w:rPr>
              <w:t>Australian and New Zealand College of Anaesthetists</w:t>
            </w:r>
          </w:p>
        </w:tc>
      </w:tr>
      <w:tr w:rsidR="004E2ABD" w:rsidRPr="008D0440" w14:paraId="6172C0C4" w14:textId="77777777" w:rsidTr="00552C3C">
        <w:tc>
          <w:tcPr>
            <w:tcW w:w="2268" w:type="dxa"/>
          </w:tcPr>
          <w:p w14:paraId="4035CEFE" w14:textId="77777777" w:rsidR="004E2ABD" w:rsidRPr="008D0440" w:rsidRDefault="004E2ABD" w:rsidP="00473DE9">
            <w:pPr>
              <w:spacing w:line="240" w:lineRule="auto"/>
              <w:rPr>
                <w:rFonts w:cs="Arial"/>
                <w:color w:val="000000"/>
                <w:szCs w:val="22"/>
                <w:lang w:val="en-US"/>
              </w:rPr>
            </w:pPr>
            <w:r w:rsidRPr="008D0440">
              <w:rPr>
                <w:rFonts w:cs="Arial"/>
                <w:color w:val="000000"/>
                <w:szCs w:val="22"/>
              </w:rPr>
              <w:t>APRA</w:t>
            </w:r>
          </w:p>
        </w:tc>
        <w:tc>
          <w:tcPr>
            <w:tcW w:w="6758" w:type="dxa"/>
          </w:tcPr>
          <w:p w14:paraId="6B52C594" w14:textId="77777777" w:rsidR="004E2ABD" w:rsidRPr="008D0440" w:rsidRDefault="004E2ABD" w:rsidP="00473DE9">
            <w:pPr>
              <w:spacing w:line="240" w:lineRule="auto"/>
              <w:rPr>
                <w:rFonts w:cs="Arial"/>
                <w:color w:val="000000"/>
                <w:szCs w:val="22"/>
              </w:rPr>
            </w:pPr>
            <w:r w:rsidRPr="008D0440">
              <w:rPr>
                <w:rFonts w:cs="Arial"/>
                <w:color w:val="000000"/>
                <w:szCs w:val="22"/>
              </w:rPr>
              <w:t>Australian Prudential Regulat</w:t>
            </w:r>
            <w:r w:rsidR="00CB59CF">
              <w:rPr>
                <w:rFonts w:cs="Arial"/>
                <w:color w:val="000000"/>
                <w:szCs w:val="22"/>
              </w:rPr>
              <w:t>ion</w:t>
            </w:r>
            <w:r w:rsidRPr="008D0440">
              <w:rPr>
                <w:rFonts w:cs="Arial"/>
                <w:color w:val="000000"/>
                <w:szCs w:val="22"/>
              </w:rPr>
              <w:t xml:space="preserve"> Authority</w:t>
            </w:r>
          </w:p>
        </w:tc>
      </w:tr>
      <w:tr w:rsidR="004E2ABD" w:rsidRPr="008D0440" w14:paraId="14617515" w14:textId="77777777" w:rsidTr="00552C3C">
        <w:tc>
          <w:tcPr>
            <w:tcW w:w="2268" w:type="dxa"/>
          </w:tcPr>
          <w:p w14:paraId="1738803A" w14:textId="77777777" w:rsidR="004E2ABD" w:rsidRPr="00F07C7A" w:rsidRDefault="004E2ABD" w:rsidP="00473DE9">
            <w:pPr>
              <w:spacing w:line="240" w:lineRule="auto"/>
              <w:rPr>
                <w:rFonts w:cs="Arial"/>
                <w:color w:val="000000"/>
                <w:szCs w:val="22"/>
              </w:rPr>
            </w:pPr>
            <w:r w:rsidRPr="00F07C7A">
              <w:rPr>
                <w:rFonts w:cs="Arial"/>
                <w:color w:val="000000"/>
                <w:szCs w:val="22"/>
              </w:rPr>
              <w:t>the Benefit Requirements Rules</w:t>
            </w:r>
          </w:p>
        </w:tc>
        <w:tc>
          <w:tcPr>
            <w:tcW w:w="6758" w:type="dxa"/>
          </w:tcPr>
          <w:p w14:paraId="6D9BFDB8" w14:textId="77777777" w:rsidR="004E2ABD" w:rsidRPr="00F07C7A" w:rsidRDefault="004E2ABD" w:rsidP="00473DE9">
            <w:pPr>
              <w:spacing w:line="240" w:lineRule="auto"/>
              <w:rPr>
                <w:rFonts w:cs="Arial"/>
                <w:color w:val="000000"/>
                <w:szCs w:val="22"/>
              </w:rPr>
            </w:pPr>
            <w:r w:rsidRPr="00F07C7A">
              <w:rPr>
                <w:rFonts w:cs="Arial"/>
                <w:i/>
                <w:iCs/>
                <w:color w:val="000000"/>
                <w:szCs w:val="22"/>
              </w:rPr>
              <w:t>Private Health Insurance (Benefit Requirements) Rules 2011</w:t>
            </w:r>
          </w:p>
        </w:tc>
      </w:tr>
      <w:tr w:rsidR="004E2ABD" w:rsidRPr="008D0440" w14:paraId="5CB5B8E8" w14:textId="77777777" w:rsidTr="00552C3C">
        <w:tc>
          <w:tcPr>
            <w:tcW w:w="2268" w:type="dxa"/>
          </w:tcPr>
          <w:p w14:paraId="79D55635" w14:textId="77777777" w:rsidR="004E2ABD" w:rsidRPr="00F07C7A" w:rsidRDefault="004E2ABD" w:rsidP="00473DE9">
            <w:pPr>
              <w:spacing w:line="240" w:lineRule="auto"/>
              <w:rPr>
                <w:rFonts w:cs="Arial"/>
                <w:color w:val="000000"/>
                <w:szCs w:val="22"/>
              </w:rPr>
            </w:pPr>
            <w:r w:rsidRPr="00F07C7A">
              <w:rPr>
                <w:rFonts w:cs="Arial"/>
                <w:color w:val="000000"/>
                <w:szCs w:val="22"/>
              </w:rPr>
              <w:t>the Business Rules</w:t>
            </w:r>
          </w:p>
        </w:tc>
        <w:tc>
          <w:tcPr>
            <w:tcW w:w="6758" w:type="dxa"/>
          </w:tcPr>
          <w:p w14:paraId="08591636" w14:textId="77777777" w:rsidR="004E2ABD" w:rsidRPr="00F07C7A" w:rsidRDefault="004E2ABD" w:rsidP="00473DE9">
            <w:pPr>
              <w:spacing w:line="240" w:lineRule="auto"/>
              <w:rPr>
                <w:rFonts w:cs="Arial"/>
                <w:i/>
                <w:iCs/>
                <w:color w:val="000000"/>
                <w:szCs w:val="22"/>
              </w:rPr>
            </w:pPr>
            <w:r w:rsidRPr="00F07C7A">
              <w:rPr>
                <w:rFonts w:cs="Arial"/>
                <w:i/>
                <w:iCs/>
                <w:color w:val="000000"/>
                <w:szCs w:val="22"/>
              </w:rPr>
              <w:t>Private Health Insurance (Health Insurance Business) Rules (2018)</w:t>
            </w:r>
          </w:p>
        </w:tc>
      </w:tr>
      <w:tr w:rsidR="004E2ABD" w:rsidRPr="008D0440" w14:paraId="2CED0A3A" w14:textId="77777777" w:rsidTr="00552C3C">
        <w:tc>
          <w:tcPr>
            <w:tcW w:w="2268" w:type="dxa"/>
          </w:tcPr>
          <w:p w14:paraId="4BF06B97" w14:textId="77777777" w:rsidR="004E2ABD" w:rsidRPr="008D0440" w:rsidRDefault="004E2ABD" w:rsidP="00473DE9">
            <w:pPr>
              <w:spacing w:line="240" w:lineRule="auto"/>
              <w:rPr>
                <w:rFonts w:cs="Arial"/>
                <w:color w:val="000000"/>
                <w:szCs w:val="22"/>
                <w:lang w:val="en-US"/>
              </w:rPr>
            </w:pPr>
            <w:r w:rsidRPr="008D0440">
              <w:rPr>
                <w:rFonts w:cs="Arial"/>
                <w:color w:val="000000"/>
                <w:szCs w:val="22"/>
                <w:lang w:val="en-US"/>
              </w:rPr>
              <w:t>the CEO Forum</w:t>
            </w:r>
          </w:p>
        </w:tc>
        <w:tc>
          <w:tcPr>
            <w:tcW w:w="6758" w:type="dxa"/>
          </w:tcPr>
          <w:p w14:paraId="615C4C6E" w14:textId="77777777" w:rsidR="004E2ABD" w:rsidRPr="008D0440" w:rsidRDefault="004E2ABD" w:rsidP="00473DE9">
            <w:pPr>
              <w:spacing w:line="240" w:lineRule="auto"/>
              <w:rPr>
                <w:rFonts w:cs="Arial"/>
                <w:color w:val="000000"/>
                <w:szCs w:val="22"/>
                <w:lang w:val="en-US"/>
              </w:rPr>
            </w:pPr>
            <w:r w:rsidRPr="008D0440">
              <w:rPr>
                <w:rFonts w:cs="Arial"/>
                <w:color w:val="000000"/>
                <w:szCs w:val="22"/>
                <w:lang w:val="en-US"/>
              </w:rPr>
              <w:t>Private Health Chief Executive Officer (CEO) Forum</w:t>
            </w:r>
          </w:p>
        </w:tc>
      </w:tr>
      <w:tr w:rsidR="00237F00" w:rsidRPr="008D0440" w14:paraId="6EDB3EB4" w14:textId="77777777" w:rsidTr="00552C3C">
        <w:tc>
          <w:tcPr>
            <w:tcW w:w="2268" w:type="dxa"/>
          </w:tcPr>
          <w:p w14:paraId="1CAE2CFD" w14:textId="77777777" w:rsidR="00237F00" w:rsidRPr="008D0440" w:rsidRDefault="00237F00" w:rsidP="00473DE9">
            <w:pPr>
              <w:spacing w:line="240" w:lineRule="auto"/>
              <w:rPr>
                <w:rFonts w:cs="Arial"/>
                <w:color w:val="000000"/>
                <w:szCs w:val="22"/>
                <w:lang w:val="en-US"/>
              </w:rPr>
            </w:pPr>
            <w:r>
              <w:rPr>
                <w:rFonts w:cs="Arial"/>
                <w:color w:val="000000"/>
                <w:szCs w:val="22"/>
                <w:lang w:val="en-US"/>
              </w:rPr>
              <w:t>CHIP</w:t>
            </w:r>
          </w:p>
        </w:tc>
        <w:tc>
          <w:tcPr>
            <w:tcW w:w="6758" w:type="dxa"/>
          </w:tcPr>
          <w:p w14:paraId="6100982F" w14:textId="77777777" w:rsidR="00237F00" w:rsidRPr="008D0440" w:rsidRDefault="00237F00" w:rsidP="00473DE9">
            <w:pPr>
              <w:spacing w:line="240" w:lineRule="auto"/>
              <w:rPr>
                <w:rFonts w:cs="Arial"/>
                <w:color w:val="000000"/>
                <w:szCs w:val="22"/>
                <w:lang w:val="en-US"/>
              </w:rPr>
            </w:pPr>
            <w:r w:rsidRPr="00237F00">
              <w:rPr>
                <w:rFonts w:cs="Arial"/>
                <w:color w:val="000000"/>
                <w:szCs w:val="22"/>
              </w:rPr>
              <w:t xml:space="preserve">Complying </w:t>
            </w:r>
            <w:r>
              <w:rPr>
                <w:rFonts w:cs="Arial"/>
                <w:color w:val="000000"/>
                <w:szCs w:val="22"/>
              </w:rPr>
              <w:t>H</w:t>
            </w:r>
            <w:r w:rsidRPr="00237F00">
              <w:rPr>
                <w:rFonts w:cs="Arial"/>
                <w:color w:val="000000"/>
                <w:szCs w:val="22"/>
              </w:rPr>
              <w:t>ealth Insurance Policy</w:t>
            </w:r>
          </w:p>
        </w:tc>
      </w:tr>
      <w:tr w:rsidR="004E2ABD" w:rsidRPr="008D0440" w14:paraId="4B5DC790" w14:textId="77777777" w:rsidTr="00552C3C">
        <w:tc>
          <w:tcPr>
            <w:tcW w:w="2268" w:type="dxa"/>
          </w:tcPr>
          <w:p w14:paraId="6C01745A" w14:textId="77777777" w:rsidR="004E2ABD" w:rsidRPr="00F07C7A" w:rsidRDefault="004E2ABD" w:rsidP="00473DE9">
            <w:pPr>
              <w:spacing w:line="240" w:lineRule="auto"/>
              <w:rPr>
                <w:rFonts w:cs="Arial"/>
                <w:color w:val="000000"/>
                <w:szCs w:val="22"/>
                <w:lang w:val="en-US"/>
              </w:rPr>
            </w:pPr>
            <w:r w:rsidRPr="00F07C7A">
              <w:rPr>
                <w:rFonts w:cs="Arial"/>
                <w:color w:val="000000"/>
                <w:szCs w:val="22"/>
              </w:rPr>
              <w:t>the Complying Product Rules</w:t>
            </w:r>
          </w:p>
        </w:tc>
        <w:tc>
          <w:tcPr>
            <w:tcW w:w="6758" w:type="dxa"/>
          </w:tcPr>
          <w:p w14:paraId="0ED98F5E" w14:textId="77777777" w:rsidR="004E2ABD" w:rsidRPr="00F07C7A" w:rsidRDefault="004E2ABD" w:rsidP="00473DE9">
            <w:pPr>
              <w:spacing w:line="240" w:lineRule="auto"/>
              <w:rPr>
                <w:rFonts w:cs="Arial"/>
                <w:color w:val="000000"/>
                <w:szCs w:val="22"/>
                <w:lang w:val="en-US"/>
              </w:rPr>
            </w:pPr>
            <w:r w:rsidRPr="00F07C7A">
              <w:rPr>
                <w:rFonts w:cs="Arial"/>
                <w:i/>
                <w:iCs/>
                <w:color w:val="000000"/>
                <w:szCs w:val="22"/>
              </w:rPr>
              <w:t>Private Health Insurance (Complying Product) Rules 2015</w:t>
            </w:r>
          </w:p>
        </w:tc>
      </w:tr>
      <w:tr w:rsidR="004E2ABD" w:rsidRPr="008D0440" w14:paraId="63C4A854" w14:textId="77777777" w:rsidTr="00552C3C">
        <w:tc>
          <w:tcPr>
            <w:tcW w:w="2268" w:type="dxa"/>
          </w:tcPr>
          <w:p w14:paraId="67BDC4EA" w14:textId="77777777" w:rsidR="004E2ABD" w:rsidRPr="008D0440" w:rsidRDefault="004E2ABD" w:rsidP="00473DE9">
            <w:pPr>
              <w:spacing w:line="240" w:lineRule="auto"/>
              <w:rPr>
                <w:rFonts w:cs="Arial"/>
                <w:color w:val="000000"/>
                <w:szCs w:val="22"/>
                <w:lang w:val="en-US"/>
              </w:rPr>
            </w:pPr>
            <w:r w:rsidRPr="008D0440">
              <w:rPr>
                <w:rFonts w:cs="Arial"/>
                <w:color w:val="000000"/>
                <w:szCs w:val="22"/>
                <w:lang w:val="en-US"/>
              </w:rPr>
              <w:t>the department</w:t>
            </w:r>
          </w:p>
        </w:tc>
        <w:tc>
          <w:tcPr>
            <w:tcW w:w="6758" w:type="dxa"/>
          </w:tcPr>
          <w:p w14:paraId="76382A88" w14:textId="77777777" w:rsidR="004E2ABD" w:rsidRPr="008D0440" w:rsidRDefault="004E2ABD" w:rsidP="00473DE9">
            <w:pPr>
              <w:spacing w:line="240" w:lineRule="auto"/>
              <w:rPr>
                <w:rFonts w:cs="Arial"/>
                <w:color w:val="000000"/>
                <w:szCs w:val="22"/>
                <w:lang w:val="en-US"/>
              </w:rPr>
            </w:pPr>
            <w:r w:rsidRPr="008D0440">
              <w:rPr>
                <w:rFonts w:cs="Arial"/>
                <w:color w:val="000000"/>
                <w:szCs w:val="22"/>
                <w:lang w:val="en-US"/>
              </w:rPr>
              <w:t>The Department of Health, Disability and Ageing</w:t>
            </w:r>
          </w:p>
        </w:tc>
      </w:tr>
      <w:tr w:rsidR="004E2ABD" w:rsidRPr="008D0440" w14:paraId="3EBEDE34" w14:textId="77777777" w:rsidTr="00552C3C">
        <w:tc>
          <w:tcPr>
            <w:tcW w:w="2268" w:type="dxa"/>
          </w:tcPr>
          <w:p w14:paraId="0A7A815A" w14:textId="77777777" w:rsidR="004E2ABD" w:rsidRPr="008D0440" w:rsidRDefault="004E2ABD" w:rsidP="00473DE9">
            <w:pPr>
              <w:spacing w:line="240" w:lineRule="auto"/>
              <w:rPr>
                <w:rFonts w:cs="Arial"/>
                <w:color w:val="000000"/>
                <w:szCs w:val="22"/>
                <w:lang w:val="en-US"/>
              </w:rPr>
            </w:pPr>
            <w:r w:rsidRPr="008D0440">
              <w:rPr>
                <w:rFonts w:cs="Arial"/>
                <w:color w:val="000000"/>
                <w:szCs w:val="22"/>
                <w:lang w:val="en-US"/>
              </w:rPr>
              <w:t>DVA</w:t>
            </w:r>
          </w:p>
        </w:tc>
        <w:tc>
          <w:tcPr>
            <w:tcW w:w="6758" w:type="dxa"/>
          </w:tcPr>
          <w:p w14:paraId="18C0FD37" w14:textId="77777777" w:rsidR="004E2ABD" w:rsidRPr="008D0440" w:rsidRDefault="004E2ABD" w:rsidP="00473DE9">
            <w:pPr>
              <w:spacing w:line="240" w:lineRule="auto"/>
              <w:rPr>
                <w:rFonts w:cs="Arial"/>
                <w:color w:val="000000"/>
                <w:szCs w:val="22"/>
                <w:lang w:val="en-US"/>
              </w:rPr>
            </w:pPr>
            <w:r w:rsidRPr="008D0440">
              <w:rPr>
                <w:rFonts w:cs="Arial"/>
                <w:color w:val="000000"/>
                <w:szCs w:val="22"/>
              </w:rPr>
              <w:t>The Department of Veterans’ Affairs</w:t>
            </w:r>
          </w:p>
        </w:tc>
      </w:tr>
      <w:tr w:rsidR="004E2ABD" w:rsidRPr="008D0440" w14:paraId="59E99206" w14:textId="77777777" w:rsidTr="00552C3C">
        <w:tc>
          <w:tcPr>
            <w:tcW w:w="2268" w:type="dxa"/>
          </w:tcPr>
          <w:p w14:paraId="3B5F45B6" w14:textId="77777777" w:rsidR="004E2ABD" w:rsidRPr="008D0440" w:rsidRDefault="004E2ABD" w:rsidP="00473DE9">
            <w:pPr>
              <w:spacing w:line="240" w:lineRule="auto"/>
              <w:rPr>
                <w:rFonts w:cs="Arial"/>
                <w:color w:val="000000"/>
                <w:szCs w:val="22"/>
                <w:lang w:val="en-US"/>
              </w:rPr>
            </w:pPr>
            <w:r w:rsidRPr="008D0440">
              <w:rPr>
                <w:rFonts w:cs="Arial"/>
                <w:color w:val="000000"/>
                <w:szCs w:val="22"/>
              </w:rPr>
              <w:t>DWS</w:t>
            </w:r>
          </w:p>
        </w:tc>
        <w:tc>
          <w:tcPr>
            <w:tcW w:w="6758" w:type="dxa"/>
          </w:tcPr>
          <w:p w14:paraId="51022245" w14:textId="77777777" w:rsidR="004E2ABD" w:rsidRPr="008D0440" w:rsidRDefault="004E2ABD" w:rsidP="00473DE9">
            <w:pPr>
              <w:spacing w:line="240" w:lineRule="auto"/>
              <w:rPr>
                <w:rFonts w:cs="Arial"/>
                <w:color w:val="000000"/>
                <w:szCs w:val="22"/>
                <w:lang w:val="en-US"/>
              </w:rPr>
            </w:pPr>
            <w:r w:rsidRPr="008D0440">
              <w:rPr>
                <w:rFonts w:cs="Arial"/>
                <w:color w:val="000000"/>
                <w:szCs w:val="22"/>
              </w:rPr>
              <w:t>District</w:t>
            </w:r>
            <w:r w:rsidR="00A63204">
              <w:rPr>
                <w:rFonts w:cs="Arial"/>
                <w:color w:val="000000"/>
                <w:szCs w:val="22"/>
              </w:rPr>
              <w:t>/s</w:t>
            </w:r>
            <w:r w:rsidRPr="008D0440">
              <w:rPr>
                <w:rFonts w:cs="Arial"/>
                <w:color w:val="000000"/>
                <w:szCs w:val="22"/>
              </w:rPr>
              <w:t xml:space="preserve"> of Workforce Shortage</w:t>
            </w:r>
          </w:p>
        </w:tc>
      </w:tr>
      <w:tr w:rsidR="00F4137C" w:rsidRPr="008D0440" w14:paraId="22CBF565" w14:textId="77777777" w:rsidTr="00552C3C">
        <w:tc>
          <w:tcPr>
            <w:tcW w:w="2268" w:type="dxa"/>
          </w:tcPr>
          <w:p w14:paraId="7093CBAA" w14:textId="77777777" w:rsidR="00F4137C" w:rsidRPr="008D0440" w:rsidRDefault="00F4137C" w:rsidP="00473DE9">
            <w:pPr>
              <w:spacing w:line="240" w:lineRule="auto"/>
              <w:rPr>
                <w:rFonts w:cs="Arial"/>
                <w:color w:val="000000"/>
                <w:szCs w:val="22"/>
              </w:rPr>
            </w:pPr>
            <w:r>
              <w:rPr>
                <w:rFonts w:cs="Arial"/>
                <w:color w:val="000000"/>
                <w:szCs w:val="22"/>
              </w:rPr>
              <w:t>FOI</w:t>
            </w:r>
          </w:p>
        </w:tc>
        <w:tc>
          <w:tcPr>
            <w:tcW w:w="6758" w:type="dxa"/>
          </w:tcPr>
          <w:p w14:paraId="70F930A4" w14:textId="77777777" w:rsidR="00F4137C" w:rsidRPr="008D0440" w:rsidRDefault="00F4137C" w:rsidP="00473DE9">
            <w:pPr>
              <w:spacing w:line="240" w:lineRule="auto"/>
              <w:rPr>
                <w:rFonts w:cs="Arial"/>
                <w:color w:val="000000"/>
                <w:szCs w:val="22"/>
              </w:rPr>
            </w:pPr>
            <w:r>
              <w:rPr>
                <w:rFonts w:cs="Arial"/>
                <w:color w:val="000000"/>
                <w:szCs w:val="22"/>
              </w:rPr>
              <w:t>Freedom of Information</w:t>
            </w:r>
          </w:p>
        </w:tc>
      </w:tr>
      <w:tr w:rsidR="00B94FD4" w:rsidRPr="008D0440" w14:paraId="59FFD177" w14:textId="77777777" w:rsidTr="00552C3C">
        <w:tc>
          <w:tcPr>
            <w:tcW w:w="2268" w:type="dxa"/>
          </w:tcPr>
          <w:p w14:paraId="0591FA3D" w14:textId="77777777" w:rsidR="00B94FD4" w:rsidRDefault="00B94FD4" w:rsidP="00473DE9">
            <w:pPr>
              <w:spacing w:line="240" w:lineRule="auto"/>
              <w:rPr>
                <w:rFonts w:cs="Arial"/>
                <w:color w:val="000000"/>
                <w:szCs w:val="22"/>
              </w:rPr>
            </w:pPr>
            <w:r>
              <w:rPr>
                <w:rFonts w:cs="Arial"/>
                <w:color w:val="000000"/>
                <w:szCs w:val="22"/>
              </w:rPr>
              <w:t>the Government</w:t>
            </w:r>
          </w:p>
        </w:tc>
        <w:tc>
          <w:tcPr>
            <w:tcW w:w="6758" w:type="dxa"/>
          </w:tcPr>
          <w:p w14:paraId="4C39A1C5" w14:textId="77777777" w:rsidR="00B94FD4" w:rsidRDefault="00B94FD4" w:rsidP="00473DE9">
            <w:pPr>
              <w:spacing w:line="240" w:lineRule="auto"/>
              <w:rPr>
                <w:rFonts w:cs="Arial"/>
                <w:color w:val="000000"/>
                <w:szCs w:val="22"/>
              </w:rPr>
            </w:pPr>
            <w:r>
              <w:rPr>
                <w:rFonts w:cs="Arial"/>
                <w:color w:val="000000"/>
                <w:szCs w:val="22"/>
              </w:rPr>
              <w:t>The Australian Government</w:t>
            </w:r>
          </w:p>
        </w:tc>
      </w:tr>
      <w:tr w:rsidR="004E2ABD" w:rsidRPr="008D0440" w14:paraId="188C6813" w14:textId="77777777" w:rsidTr="00552C3C">
        <w:tc>
          <w:tcPr>
            <w:tcW w:w="2268" w:type="dxa"/>
          </w:tcPr>
          <w:p w14:paraId="44995B92" w14:textId="77777777" w:rsidR="004E2ABD" w:rsidRPr="008D0440" w:rsidRDefault="004E2ABD" w:rsidP="00473DE9">
            <w:pPr>
              <w:spacing w:line="240" w:lineRule="auto"/>
              <w:rPr>
                <w:rFonts w:cs="Arial"/>
                <w:color w:val="000000"/>
                <w:szCs w:val="22"/>
              </w:rPr>
            </w:pPr>
            <w:r w:rsidRPr="008D0440">
              <w:rPr>
                <w:rFonts w:cs="Arial"/>
                <w:color w:val="000000"/>
                <w:szCs w:val="22"/>
              </w:rPr>
              <w:t>HCCP</w:t>
            </w:r>
          </w:p>
        </w:tc>
        <w:tc>
          <w:tcPr>
            <w:tcW w:w="6758" w:type="dxa"/>
          </w:tcPr>
          <w:p w14:paraId="4A5ACD8D" w14:textId="77777777" w:rsidR="004E2ABD" w:rsidRPr="008D0440" w:rsidRDefault="004E2ABD" w:rsidP="00473DE9">
            <w:pPr>
              <w:spacing w:line="240" w:lineRule="auto"/>
              <w:rPr>
                <w:rFonts w:cs="Arial"/>
                <w:color w:val="000000"/>
                <w:szCs w:val="22"/>
              </w:rPr>
            </w:pPr>
            <w:r w:rsidRPr="008D0440">
              <w:rPr>
                <w:rFonts w:cs="Arial"/>
                <w:color w:val="000000"/>
                <w:szCs w:val="22"/>
              </w:rPr>
              <w:t>High-cost claims pool</w:t>
            </w:r>
          </w:p>
        </w:tc>
      </w:tr>
      <w:tr w:rsidR="004E2ABD" w:rsidRPr="008D0440" w14:paraId="6515DF78" w14:textId="77777777" w:rsidTr="00552C3C">
        <w:tc>
          <w:tcPr>
            <w:tcW w:w="2268" w:type="dxa"/>
          </w:tcPr>
          <w:p w14:paraId="5D81702D" w14:textId="77777777" w:rsidR="004E2ABD" w:rsidRPr="008D0440" w:rsidRDefault="004E2ABD" w:rsidP="00473DE9">
            <w:pPr>
              <w:spacing w:line="240" w:lineRule="auto"/>
              <w:rPr>
                <w:rFonts w:cs="Arial"/>
                <w:color w:val="000000"/>
                <w:szCs w:val="22"/>
                <w:lang w:val="en-US"/>
              </w:rPr>
            </w:pPr>
            <w:r w:rsidRPr="008D0440">
              <w:rPr>
                <w:rFonts w:cs="Arial"/>
                <w:color w:val="000000"/>
                <w:szCs w:val="22"/>
                <w:lang w:val="en-US"/>
              </w:rPr>
              <w:t>the Health Check</w:t>
            </w:r>
          </w:p>
        </w:tc>
        <w:tc>
          <w:tcPr>
            <w:tcW w:w="6758" w:type="dxa"/>
          </w:tcPr>
          <w:p w14:paraId="49B94EEE" w14:textId="77777777" w:rsidR="004E2ABD" w:rsidRPr="008D0440" w:rsidRDefault="004E2ABD" w:rsidP="00473DE9">
            <w:pPr>
              <w:spacing w:line="240" w:lineRule="auto"/>
              <w:rPr>
                <w:rFonts w:cs="Arial"/>
                <w:color w:val="000000"/>
                <w:szCs w:val="22"/>
                <w:lang w:val="en-US"/>
              </w:rPr>
            </w:pPr>
            <w:r w:rsidRPr="008D0440">
              <w:rPr>
                <w:rFonts w:cs="Arial"/>
                <w:color w:val="000000"/>
                <w:szCs w:val="22"/>
                <w:lang w:val="en-US"/>
              </w:rPr>
              <w:t>Private Hospital Sector Financial Health Check</w:t>
            </w:r>
            <w:r w:rsidRPr="00F07C7A">
              <w:rPr>
                <w:rFonts w:cs="Arial"/>
                <w:color w:val="000000"/>
                <w:szCs w:val="22"/>
                <w:lang w:val="en-US"/>
              </w:rPr>
              <w:t xml:space="preserve"> </w:t>
            </w:r>
          </w:p>
        </w:tc>
      </w:tr>
      <w:tr w:rsidR="00F4137C" w:rsidRPr="008D0440" w14:paraId="4F2F4518" w14:textId="77777777" w:rsidTr="00552C3C">
        <w:tc>
          <w:tcPr>
            <w:tcW w:w="2268" w:type="dxa"/>
          </w:tcPr>
          <w:p w14:paraId="132AE4B9" w14:textId="77777777" w:rsidR="00F4137C" w:rsidRPr="008D0440" w:rsidRDefault="00F4137C" w:rsidP="00473DE9">
            <w:pPr>
              <w:spacing w:line="240" w:lineRule="auto"/>
              <w:rPr>
                <w:rFonts w:cs="Arial"/>
                <w:color w:val="000000"/>
                <w:szCs w:val="22"/>
                <w:lang w:val="en-US"/>
              </w:rPr>
            </w:pPr>
            <w:r>
              <w:rPr>
                <w:rFonts w:cs="Arial"/>
                <w:color w:val="000000"/>
                <w:szCs w:val="22"/>
                <w:lang w:val="en-US"/>
              </w:rPr>
              <w:t>HI Act</w:t>
            </w:r>
          </w:p>
        </w:tc>
        <w:tc>
          <w:tcPr>
            <w:tcW w:w="6758" w:type="dxa"/>
          </w:tcPr>
          <w:p w14:paraId="6F9556C9" w14:textId="77777777" w:rsidR="00F4137C" w:rsidRPr="008D0440" w:rsidRDefault="00EC3CF4" w:rsidP="00473DE9">
            <w:pPr>
              <w:spacing w:line="240" w:lineRule="auto"/>
              <w:rPr>
                <w:rFonts w:cs="Arial"/>
                <w:color w:val="000000"/>
                <w:szCs w:val="22"/>
                <w:lang w:val="en-US"/>
              </w:rPr>
            </w:pPr>
            <w:r w:rsidRPr="00EC3CF4">
              <w:rPr>
                <w:i/>
                <w:iCs/>
              </w:rPr>
              <w:t>Health Insurance Act 1973</w:t>
            </w:r>
          </w:p>
        </w:tc>
      </w:tr>
      <w:tr w:rsidR="004E2ABD" w:rsidRPr="008D0440" w14:paraId="2D331E51" w14:textId="77777777" w:rsidTr="00552C3C">
        <w:tc>
          <w:tcPr>
            <w:tcW w:w="2268" w:type="dxa"/>
          </w:tcPr>
          <w:p w14:paraId="637A8F18" w14:textId="77777777" w:rsidR="004E2ABD" w:rsidRPr="008D0440" w:rsidRDefault="004E2ABD" w:rsidP="00473DE9">
            <w:pPr>
              <w:spacing w:line="240" w:lineRule="auto"/>
              <w:rPr>
                <w:rFonts w:cs="Arial"/>
                <w:color w:val="000000"/>
                <w:szCs w:val="22"/>
                <w:lang w:val="en-US"/>
              </w:rPr>
            </w:pPr>
            <w:r w:rsidRPr="008D0440">
              <w:rPr>
                <w:rFonts w:cs="Arial"/>
                <w:color w:val="000000"/>
                <w:szCs w:val="22"/>
                <w:lang w:val="en-US"/>
              </w:rPr>
              <w:t>HITH</w:t>
            </w:r>
          </w:p>
        </w:tc>
        <w:tc>
          <w:tcPr>
            <w:tcW w:w="6758" w:type="dxa"/>
          </w:tcPr>
          <w:p w14:paraId="6FD082B4" w14:textId="77777777" w:rsidR="004E2ABD" w:rsidRPr="008D0440" w:rsidRDefault="004E2ABD" w:rsidP="00473DE9">
            <w:pPr>
              <w:spacing w:line="240" w:lineRule="auto"/>
              <w:rPr>
                <w:rFonts w:cs="Arial"/>
                <w:color w:val="000000"/>
                <w:szCs w:val="22"/>
                <w:lang w:val="en-US"/>
              </w:rPr>
            </w:pPr>
            <w:r w:rsidRPr="008D0440">
              <w:rPr>
                <w:rFonts w:cs="Arial"/>
                <w:bCs/>
                <w:iCs/>
                <w:color w:val="000000"/>
                <w:szCs w:val="22"/>
              </w:rPr>
              <w:t xml:space="preserve">Hospital in the Home </w:t>
            </w:r>
          </w:p>
        </w:tc>
      </w:tr>
      <w:tr w:rsidR="004E2ABD" w:rsidRPr="008D0440" w14:paraId="24616DE0" w14:textId="77777777" w:rsidTr="00552C3C">
        <w:tc>
          <w:tcPr>
            <w:tcW w:w="2268" w:type="dxa"/>
          </w:tcPr>
          <w:p w14:paraId="1D1EC4B2" w14:textId="77777777" w:rsidR="004E2ABD" w:rsidRPr="008D0440" w:rsidRDefault="004E2ABD" w:rsidP="00473DE9">
            <w:pPr>
              <w:spacing w:line="240" w:lineRule="auto"/>
              <w:rPr>
                <w:rFonts w:cs="Arial"/>
                <w:color w:val="000000"/>
                <w:szCs w:val="22"/>
                <w:lang w:val="en-US"/>
              </w:rPr>
            </w:pPr>
            <w:r w:rsidRPr="008D0440">
              <w:rPr>
                <w:rFonts w:cs="Arial"/>
                <w:color w:val="000000"/>
                <w:szCs w:val="22"/>
                <w:lang w:val="en-US"/>
              </w:rPr>
              <w:t>Hospitals</w:t>
            </w:r>
          </w:p>
        </w:tc>
        <w:tc>
          <w:tcPr>
            <w:tcW w:w="6758" w:type="dxa"/>
          </w:tcPr>
          <w:p w14:paraId="406CAE24" w14:textId="77777777" w:rsidR="004E2ABD" w:rsidRPr="008D0440" w:rsidRDefault="004E2ABD" w:rsidP="00473DE9">
            <w:pPr>
              <w:spacing w:line="240" w:lineRule="auto"/>
              <w:rPr>
                <w:rFonts w:cs="Arial"/>
                <w:bCs/>
                <w:iCs/>
                <w:color w:val="000000"/>
                <w:szCs w:val="22"/>
              </w:rPr>
            </w:pPr>
            <w:r w:rsidRPr="008D0440">
              <w:rPr>
                <w:rFonts w:cs="Arial"/>
                <w:bCs/>
                <w:iCs/>
                <w:color w:val="000000"/>
                <w:szCs w:val="22"/>
              </w:rPr>
              <w:t>Private hospitals</w:t>
            </w:r>
          </w:p>
        </w:tc>
      </w:tr>
      <w:tr w:rsidR="004436CF" w:rsidRPr="008D0440" w14:paraId="4EBCF2DD" w14:textId="77777777" w:rsidTr="00552C3C">
        <w:tc>
          <w:tcPr>
            <w:tcW w:w="2268" w:type="dxa"/>
          </w:tcPr>
          <w:p w14:paraId="4E478184" w14:textId="77777777" w:rsidR="004436CF" w:rsidRPr="008D0440" w:rsidRDefault="004436CF" w:rsidP="00473DE9">
            <w:pPr>
              <w:spacing w:line="240" w:lineRule="auto"/>
              <w:rPr>
                <w:rFonts w:cs="Arial"/>
                <w:color w:val="000000"/>
                <w:szCs w:val="22"/>
                <w:lang w:val="en-US"/>
              </w:rPr>
            </w:pPr>
            <w:r w:rsidRPr="008D0440">
              <w:rPr>
                <w:rFonts w:cs="Arial"/>
                <w:color w:val="000000"/>
                <w:szCs w:val="22"/>
                <w:lang w:val="en-US"/>
              </w:rPr>
              <w:t>Insurer/s</w:t>
            </w:r>
          </w:p>
        </w:tc>
        <w:tc>
          <w:tcPr>
            <w:tcW w:w="6758" w:type="dxa"/>
          </w:tcPr>
          <w:p w14:paraId="28408862" w14:textId="77777777" w:rsidR="004436CF" w:rsidRPr="008D0440" w:rsidRDefault="004436CF" w:rsidP="00473DE9">
            <w:pPr>
              <w:spacing w:line="240" w:lineRule="auto"/>
              <w:rPr>
                <w:rFonts w:cs="Arial"/>
                <w:bCs/>
                <w:iCs/>
                <w:color w:val="000000"/>
                <w:szCs w:val="22"/>
              </w:rPr>
            </w:pPr>
            <w:r w:rsidRPr="008D0440">
              <w:rPr>
                <w:rFonts w:cs="Arial"/>
                <w:color w:val="000000"/>
                <w:szCs w:val="22"/>
                <w:lang w:val="en-US"/>
              </w:rPr>
              <w:t>Private health insurer/s</w:t>
            </w:r>
          </w:p>
        </w:tc>
      </w:tr>
      <w:tr w:rsidR="004436CF" w:rsidRPr="008D0440" w14:paraId="074B2EAA" w14:textId="77777777" w:rsidTr="00552C3C">
        <w:tc>
          <w:tcPr>
            <w:tcW w:w="2268" w:type="dxa"/>
          </w:tcPr>
          <w:p w14:paraId="41BDEB44" w14:textId="77777777" w:rsidR="004436CF" w:rsidRPr="008D0440" w:rsidRDefault="004436CF" w:rsidP="00473DE9">
            <w:pPr>
              <w:spacing w:line="240" w:lineRule="auto"/>
              <w:rPr>
                <w:rFonts w:cs="Arial"/>
                <w:color w:val="000000"/>
                <w:szCs w:val="22"/>
                <w:lang w:val="en-US"/>
              </w:rPr>
            </w:pPr>
            <w:r w:rsidRPr="008D0440">
              <w:rPr>
                <w:rFonts w:cs="Arial"/>
                <w:color w:val="000000"/>
                <w:szCs w:val="22"/>
                <w:lang w:val="en-US"/>
              </w:rPr>
              <w:t>IV</w:t>
            </w:r>
          </w:p>
        </w:tc>
        <w:tc>
          <w:tcPr>
            <w:tcW w:w="6758" w:type="dxa"/>
          </w:tcPr>
          <w:p w14:paraId="2DF76785" w14:textId="77777777" w:rsidR="004436CF" w:rsidRPr="008D0440" w:rsidRDefault="004436CF" w:rsidP="00473DE9">
            <w:pPr>
              <w:spacing w:line="240" w:lineRule="auto"/>
              <w:rPr>
                <w:rFonts w:cs="Arial"/>
                <w:color w:val="000000"/>
                <w:szCs w:val="22"/>
                <w:lang w:val="en-US"/>
              </w:rPr>
            </w:pPr>
            <w:r w:rsidRPr="008D0440">
              <w:rPr>
                <w:rFonts w:cs="Arial"/>
                <w:color w:val="000000"/>
                <w:szCs w:val="22"/>
              </w:rPr>
              <w:t xml:space="preserve">Intravenous </w:t>
            </w:r>
          </w:p>
        </w:tc>
      </w:tr>
      <w:tr w:rsidR="004436CF" w:rsidRPr="008D0440" w14:paraId="7EB1AF36" w14:textId="77777777" w:rsidTr="00552C3C">
        <w:tc>
          <w:tcPr>
            <w:tcW w:w="2268" w:type="dxa"/>
          </w:tcPr>
          <w:p w14:paraId="6A49DEF6" w14:textId="77777777" w:rsidR="004436CF" w:rsidRPr="008D0440" w:rsidRDefault="004436CF" w:rsidP="00473DE9">
            <w:pPr>
              <w:spacing w:line="240" w:lineRule="auto"/>
              <w:rPr>
                <w:rFonts w:cs="Arial"/>
                <w:color w:val="000000"/>
                <w:szCs w:val="22"/>
                <w:lang w:val="en-US"/>
              </w:rPr>
            </w:pPr>
            <w:r w:rsidRPr="008D0440">
              <w:rPr>
                <w:rFonts w:cs="Arial"/>
                <w:color w:val="000000"/>
                <w:szCs w:val="22"/>
                <w:lang w:val="en-US"/>
              </w:rPr>
              <w:t>LHC</w:t>
            </w:r>
          </w:p>
        </w:tc>
        <w:tc>
          <w:tcPr>
            <w:tcW w:w="6758" w:type="dxa"/>
          </w:tcPr>
          <w:p w14:paraId="2EFB6DD7" w14:textId="77777777" w:rsidR="004436CF" w:rsidRPr="008D0440" w:rsidRDefault="004436CF" w:rsidP="00473DE9">
            <w:pPr>
              <w:spacing w:line="240" w:lineRule="auto"/>
              <w:rPr>
                <w:rFonts w:cs="Arial"/>
                <w:color w:val="000000"/>
                <w:szCs w:val="22"/>
                <w:lang w:val="en-US"/>
              </w:rPr>
            </w:pPr>
            <w:r w:rsidRPr="008D0440">
              <w:rPr>
                <w:rFonts w:cs="Arial"/>
                <w:color w:val="000000"/>
                <w:szCs w:val="22"/>
                <w:lang w:val="en-US"/>
              </w:rPr>
              <w:t>Lifetime Health Cover</w:t>
            </w:r>
          </w:p>
        </w:tc>
      </w:tr>
      <w:tr w:rsidR="004436CF" w:rsidRPr="008D0440" w14:paraId="16A95DC2" w14:textId="77777777" w:rsidTr="00552C3C">
        <w:tc>
          <w:tcPr>
            <w:tcW w:w="2268" w:type="dxa"/>
          </w:tcPr>
          <w:p w14:paraId="019BB038" w14:textId="77777777" w:rsidR="004436CF" w:rsidRPr="00F07C7A" w:rsidRDefault="004436CF" w:rsidP="00473DE9">
            <w:pPr>
              <w:spacing w:line="240" w:lineRule="auto"/>
              <w:rPr>
                <w:rFonts w:cs="Arial"/>
                <w:color w:val="000000"/>
                <w:szCs w:val="22"/>
                <w:lang w:val="en-US"/>
              </w:rPr>
            </w:pPr>
            <w:r w:rsidRPr="00F07C7A">
              <w:rPr>
                <w:rFonts w:cs="Arial"/>
                <w:szCs w:val="22"/>
              </w:rPr>
              <w:t>the LHC Rules</w:t>
            </w:r>
          </w:p>
        </w:tc>
        <w:tc>
          <w:tcPr>
            <w:tcW w:w="6758" w:type="dxa"/>
          </w:tcPr>
          <w:p w14:paraId="4CC402B9" w14:textId="77777777" w:rsidR="004436CF" w:rsidRPr="00F07C7A" w:rsidRDefault="004436CF" w:rsidP="00473DE9">
            <w:pPr>
              <w:spacing w:line="240" w:lineRule="auto"/>
              <w:rPr>
                <w:rFonts w:cs="Arial"/>
                <w:color w:val="000000"/>
                <w:szCs w:val="22"/>
                <w:lang w:val="en-US"/>
              </w:rPr>
            </w:pPr>
            <w:r w:rsidRPr="00F07C7A">
              <w:rPr>
                <w:rFonts w:cs="Arial"/>
                <w:i/>
                <w:iCs/>
                <w:szCs w:val="22"/>
              </w:rPr>
              <w:t>Private Health Insurance (Lifetime Health Cover) Rules 2017</w:t>
            </w:r>
            <w:r w:rsidRPr="00F07C7A">
              <w:rPr>
                <w:rFonts w:cs="Arial"/>
                <w:szCs w:val="22"/>
              </w:rPr>
              <w:t xml:space="preserve"> </w:t>
            </w:r>
          </w:p>
        </w:tc>
      </w:tr>
      <w:tr w:rsidR="004436CF" w:rsidRPr="008D0440" w14:paraId="64204365" w14:textId="77777777" w:rsidTr="00552C3C">
        <w:tc>
          <w:tcPr>
            <w:tcW w:w="2268" w:type="dxa"/>
          </w:tcPr>
          <w:p w14:paraId="7A7EA5A7" w14:textId="77777777" w:rsidR="004436CF" w:rsidRPr="008D0440" w:rsidRDefault="004436CF" w:rsidP="00473DE9">
            <w:pPr>
              <w:spacing w:line="240" w:lineRule="auto"/>
              <w:rPr>
                <w:rFonts w:cs="Arial"/>
                <w:color w:val="000000"/>
                <w:szCs w:val="22"/>
                <w:lang w:val="en-US"/>
              </w:rPr>
            </w:pPr>
            <w:r w:rsidRPr="008D0440">
              <w:rPr>
                <w:rFonts w:cs="Arial"/>
                <w:color w:val="000000"/>
                <w:szCs w:val="22"/>
              </w:rPr>
              <w:t>MBS</w:t>
            </w:r>
          </w:p>
        </w:tc>
        <w:tc>
          <w:tcPr>
            <w:tcW w:w="6758" w:type="dxa"/>
          </w:tcPr>
          <w:p w14:paraId="67A5F120" w14:textId="77777777" w:rsidR="004436CF" w:rsidRPr="008D0440" w:rsidRDefault="004436CF" w:rsidP="00473DE9">
            <w:pPr>
              <w:spacing w:line="240" w:lineRule="auto"/>
              <w:rPr>
                <w:rFonts w:cs="Arial"/>
                <w:color w:val="000000"/>
                <w:szCs w:val="22"/>
                <w:lang w:val="en-US"/>
              </w:rPr>
            </w:pPr>
            <w:r w:rsidRPr="008D0440">
              <w:rPr>
                <w:rFonts w:cs="Arial"/>
                <w:color w:val="000000"/>
                <w:szCs w:val="22"/>
              </w:rPr>
              <w:t>Medicare Benefit Schedule</w:t>
            </w:r>
          </w:p>
        </w:tc>
      </w:tr>
      <w:tr w:rsidR="004436CF" w:rsidRPr="008D0440" w14:paraId="501D48C6" w14:textId="77777777" w:rsidTr="00552C3C">
        <w:tc>
          <w:tcPr>
            <w:tcW w:w="2268" w:type="dxa"/>
          </w:tcPr>
          <w:p w14:paraId="5F49843E" w14:textId="77777777" w:rsidR="004436CF" w:rsidRPr="008D0440" w:rsidRDefault="004436CF" w:rsidP="00473DE9">
            <w:pPr>
              <w:spacing w:line="240" w:lineRule="auto"/>
              <w:rPr>
                <w:rFonts w:cs="Arial"/>
                <w:color w:val="000000"/>
                <w:szCs w:val="22"/>
                <w:lang w:val="en-US"/>
              </w:rPr>
            </w:pPr>
            <w:r w:rsidRPr="008D0440">
              <w:rPr>
                <w:rFonts w:cs="Arial"/>
                <w:color w:val="000000"/>
                <w:szCs w:val="22"/>
                <w:lang w:val="en-US"/>
              </w:rPr>
              <w:lastRenderedPageBreak/>
              <w:t>MLS</w:t>
            </w:r>
          </w:p>
        </w:tc>
        <w:tc>
          <w:tcPr>
            <w:tcW w:w="6758" w:type="dxa"/>
          </w:tcPr>
          <w:p w14:paraId="22632208" w14:textId="77777777" w:rsidR="004436CF" w:rsidRPr="008D0440" w:rsidRDefault="004436CF" w:rsidP="00473DE9">
            <w:pPr>
              <w:spacing w:line="240" w:lineRule="auto"/>
              <w:rPr>
                <w:rFonts w:cs="Arial"/>
                <w:color w:val="000000"/>
                <w:szCs w:val="22"/>
                <w:lang w:val="en-US"/>
              </w:rPr>
            </w:pPr>
            <w:r w:rsidRPr="008D0440">
              <w:rPr>
                <w:rFonts w:cs="Arial"/>
                <w:color w:val="000000"/>
                <w:szCs w:val="22"/>
                <w:lang w:val="en-US"/>
              </w:rPr>
              <w:t>Medicare Levy Surcharge</w:t>
            </w:r>
          </w:p>
        </w:tc>
      </w:tr>
      <w:tr w:rsidR="008138A9" w:rsidRPr="008D0440" w14:paraId="5B352439" w14:textId="77777777" w:rsidTr="00552C3C">
        <w:tc>
          <w:tcPr>
            <w:tcW w:w="2268" w:type="dxa"/>
          </w:tcPr>
          <w:p w14:paraId="0E7DB2CB" w14:textId="77777777" w:rsidR="008138A9" w:rsidRDefault="008138A9" w:rsidP="00473DE9">
            <w:pPr>
              <w:spacing w:line="240" w:lineRule="auto"/>
              <w:rPr>
                <w:rFonts w:cs="Arial"/>
                <w:color w:val="000000"/>
                <w:szCs w:val="22"/>
                <w:lang w:val="en-US"/>
              </w:rPr>
            </w:pPr>
            <w:r>
              <w:rPr>
                <w:rFonts w:cs="Arial"/>
                <w:color w:val="000000"/>
                <w:szCs w:val="22"/>
                <w:lang w:val="en-US"/>
              </w:rPr>
              <w:t>MSAC</w:t>
            </w:r>
          </w:p>
        </w:tc>
        <w:tc>
          <w:tcPr>
            <w:tcW w:w="6758" w:type="dxa"/>
          </w:tcPr>
          <w:p w14:paraId="0740C794" w14:textId="77777777" w:rsidR="008138A9" w:rsidRDefault="008138A9" w:rsidP="00473DE9">
            <w:pPr>
              <w:spacing w:line="240" w:lineRule="auto"/>
            </w:pPr>
            <w:r w:rsidRPr="008138A9">
              <w:rPr>
                <w:lang w:val="en-US"/>
              </w:rPr>
              <w:t>Medical Services Advisory Committee</w:t>
            </w:r>
          </w:p>
        </w:tc>
      </w:tr>
      <w:tr w:rsidR="004436CF" w:rsidRPr="008D0440" w14:paraId="3A8069C6" w14:textId="77777777" w:rsidTr="00552C3C">
        <w:tc>
          <w:tcPr>
            <w:tcW w:w="2268" w:type="dxa"/>
          </w:tcPr>
          <w:p w14:paraId="2D105AD5" w14:textId="77777777" w:rsidR="004436CF" w:rsidRPr="008D0440" w:rsidRDefault="004436CF" w:rsidP="00473DE9">
            <w:pPr>
              <w:spacing w:line="240" w:lineRule="auto"/>
              <w:rPr>
                <w:rFonts w:cs="Arial"/>
                <w:color w:val="000000"/>
                <w:szCs w:val="22"/>
                <w:lang w:val="en-US"/>
              </w:rPr>
            </w:pPr>
            <w:r w:rsidRPr="00792DAA">
              <w:rPr>
                <w:rFonts w:cs="Arial"/>
                <w:color w:val="000000"/>
                <w:szCs w:val="22"/>
              </w:rPr>
              <w:t>NSQHS</w:t>
            </w:r>
          </w:p>
        </w:tc>
        <w:tc>
          <w:tcPr>
            <w:tcW w:w="6758" w:type="dxa"/>
          </w:tcPr>
          <w:p w14:paraId="67797B69" w14:textId="77777777" w:rsidR="004436CF" w:rsidRPr="00792DAA" w:rsidRDefault="004436CF" w:rsidP="00473DE9">
            <w:pPr>
              <w:spacing w:line="240" w:lineRule="auto"/>
              <w:rPr>
                <w:rFonts w:cs="Arial"/>
                <w:color w:val="000000"/>
                <w:szCs w:val="22"/>
              </w:rPr>
            </w:pPr>
            <w:r w:rsidRPr="00792DAA">
              <w:rPr>
                <w:rFonts w:cs="Arial"/>
                <w:color w:val="000000"/>
                <w:szCs w:val="22"/>
              </w:rPr>
              <w:t>National Safety and Quality Health Service</w:t>
            </w:r>
          </w:p>
        </w:tc>
      </w:tr>
      <w:tr w:rsidR="004436CF" w:rsidRPr="008D0440" w14:paraId="2FA54815" w14:textId="77777777" w:rsidTr="00552C3C">
        <w:tc>
          <w:tcPr>
            <w:tcW w:w="2268" w:type="dxa"/>
          </w:tcPr>
          <w:p w14:paraId="6B66A9B8" w14:textId="77777777" w:rsidR="004436CF" w:rsidRPr="00792DAA" w:rsidRDefault="004436CF" w:rsidP="00473DE9">
            <w:pPr>
              <w:spacing w:line="240" w:lineRule="auto"/>
              <w:rPr>
                <w:rFonts w:cs="Arial"/>
                <w:color w:val="000000"/>
                <w:szCs w:val="22"/>
              </w:rPr>
            </w:pPr>
            <w:r>
              <w:rPr>
                <w:rFonts w:cs="Arial"/>
                <w:color w:val="000000"/>
                <w:szCs w:val="22"/>
              </w:rPr>
              <w:t>PBS</w:t>
            </w:r>
          </w:p>
        </w:tc>
        <w:tc>
          <w:tcPr>
            <w:tcW w:w="6758" w:type="dxa"/>
          </w:tcPr>
          <w:p w14:paraId="5C89DB0C" w14:textId="77777777" w:rsidR="004436CF" w:rsidRPr="00792DAA" w:rsidRDefault="004436CF" w:rsidP="00473DE9">
            <w:pPr>
              <w:spacing w:line="240" w:lineRule="auto"/>
              <w:rPr>
                <w:rFonts w:cs="Arial"/>
                <w:color w:val="000000"/>
                <w:szCs w:val="22"/>
              </w:rPr>
            </w:pPr>
            <w:r>
              <w:t>Pharmaceutical Benefits Scheme</w:t>
            </w:r>
          </w:p>
        </w:tc>
      </w:tr>
      <w:tr w:rsidR="004436CF" w:rsidRPr="008D0440" w14:paraId="6FAD8B3D" w14:textId="77777777" w:rsidTr="00552C3C">
        <w:tc>
          <w:tcPr>
            <w:tcW w:w="2268" w:type="dxa"/>
          </w:tcPr>
          <w:p w14:paraId="0CD32345" w14:textId="77777777" w:rsidR="004436CF" w:rsidRPr="008D0440" w:rsidRDefault="004436CF" w:rsidP="00473DE9">
            <w:pPr>
              <w:spacing w:line="240" w:lineRule="auto"/>
              <w:rPr>
                <w:rFonts w:cs="Arial"/>
                <w:color w:val="000000"/>
                <w:szCs w:val="22"/>
                <w:lang w:val="en-US"/>
              </w:rPr>
            </w:pPr>
            <w:r w:rsidRPr="008D0440">
              <w:rPr>
                <w:rFonts w:cs="Arial"/>
                <w:color w:val="000000"/>
                <w:szCs w:val="22"/>
                <w:lang w:val="en-US"/>
              </w:rPr>
              <w:t xml:space="preserve">PHI </w:t>
            </w:r>
          </w:p>
        </w:tc>
        <w:tc>
          <w:tcPr>
            <w:tcW w:w="6758" w:type="dxa"/>
          </w:tcPr>
          <w:p w14:paraId="1AFCCF68" w14:textId="77777777" w:rsidR="004436CF" w:rsidRPr="008D0440" w:rsidRDefault="004436CF" w:rsidP="00473DE9">
            <w:pPr>
              <w:spacing w:line="240" w:lineRule="auto"/>
              <w:rPr>
                <w:rFonts w:cs="Arial"/>
                <w:color w:val="000000"/>
                <w:szCs w:val="22"/>
                <w:lang w:val="en-US"/>
              </w:rPr>
            </w:pPr>
            <w:r w:rsidRPr="008D0440">
              <w:rPr>
                <w:rFonts w:cs="Arial"/>
                <w:color w:val="000000"/>
                <w:szCs w:val="22"/>
                <w:lang w:val="en-US"/>
              </w:rPr>
              <w:t>Private Health Insurance</w:t>
            </w:r>
          </w:p>
        </w:tc>
      </w:tr>
      <w:tr w:rsidR="004436CF" w:rsidRPr="008D0440" w14:paraId="23AEA143" w14:textId="77777777" w:rsidTr="00552C3C">
        <w:tc>
          <w:tcPr>
            <w:tcW w:w="2268" w:type="dxa"/>
          </w:tcPr>
          <w:p w14:paraId="6FC3A7C8" w14:textId="77777777" w:rsidR="004436CF" w:rsidRPr="008D0440" w:rsidRDefault="004436CF" w:rsidP="00473DE9">
            <w:pPr>
              <w:spacing w:line="240" w:lineRule="auto"/>
              <w:rPr>
                <w:rFonts w:cs="Arial"/>
                <w:color w:val="000000"/>
                <w:szCs w:val="22"/>
                <w:lang w:val="en-US"/>
              </w:rPr>
            </w:pPr>
            <w:r w:rsidRPr="00F07C7A">
              <w:rPr>
                <w:rFonts w:cs="Arial"/>
                <w:color w:val="000000"/>
                <w:szCs w:val="22"/>
                <w:lang w:val="en-US"/>
              </w:rPr>
              <w:t xml:space="preserve">the </w:t>
            </w:r>
            <w:r w:rsidRPr="008D0440">
              <w:rPr>
                <w:rFonts w:cs="Arial"/>
                <w:color w:val="000000"/>
                <w:szCs w:val="22"/>
                <w:lang w:val="en-US"/>
              </w:rPr>
              <w:t>PHI Act</w:t>
            </w:r>
          </w:p>
        </w:tc>
        <w:tc>
          <w:tcPr>
            <w:tcW w:w="6758" w:type="dxa"/>
          </w:tcPr>
          <w:p w14:paraId="400890FA" w14:textId="77777777" w:rsidR="004436CF" w:rsidRPr="008D0440" w:rsidRDefault="004436CF" w:rsidP="00473DE9">
            <w:pPr>
              <w:spacing w:line="240" w:lineRule="auto"/>
              <w:rPr>
                <w:rFonts w:cs="Arial"/>
                <w:i/>
                <w:iCs/>
                <w:color w:val="000000"/>
                <w:szCs w:val="22"/>
                <w:lang w:val="en-US"/>
              </w:rPr>
            </w:pPr>
            <w:r w:rsidRPr="008D0440">
              <w:rPr>
                <w:rFonts w:cs="Arial"/>
                <w:i/>
                <w:iCs/>
                <w:color w:val="000000"/>
                <w:szCs w:val="22"/>
              </w:rPr>
              <w:t>Private Health Insurance Act 2007</w:t>
            </w:r>
          </w:p>
        </w:tc>
      </w:tr>
      <w:tr w:rsidR="004436CF" w:rsidRPr="008D0440" w14:paraId="5C4FFD65" w14:textId="77777777" w:rsidTr="00552C3C">
        <w:tc>
          <w:tcPr>
            <w:tcW w:w="2268" w:type="dxa"/>
          </w:tcPr>
          <w:p w14:paraId="6F78A0F7" w14:textId="77777777" w:rsidR="004436CF" w:rsidRPr="008D0440" w:rsidRDefault="004436CF" w:rsidP="00473DE9">
            <w:pPr>
              <w:spacing w:line="240" w:lineRule="auto"/>
              <w:rPr>
                <w:rFonts w:cs="Arial"/>
                <w:color w:val="000000"/>
                <w:szCs w:val="22"/>
                <w:lang w:val="en-US"/>
              </w:rPr>
            </w:pPr>
            <w:r w:rsidRPr="008D0440">
              <w:rPr>
                <w:rFonts w:cs="Arial"/>
                <w:color w:val="000000"/>
                <w:szCs w:val="22"/>
              </w:rPr>
              <w:t>PMHA</w:t>
            </w:r>
          </w:p>
        </w:tc>
        <w:tc>
          <w:tcPr>
            <w:tcW w:w="6758" w:type="dxa"/>
          </w:tcPr>
          <w:p w14:paraId="01C421C4" w14:textId="77777777" w:rsidR="004436CF" w:rsidRPr="008D0440" w:rsidRDefault="004436CF" w:rsidP="00473DE9">
            <w:pPr>
              <w:spacing w:line="240" w:lineRule="auto"/>
              <w:rPr>
                <w:rFonts w:cs="Arial"/>
                <w:color w:val="000000"/>
                <w:szCs w:val="22"/>
                <w:lang w:val="en-US"/>
              </w:rPr>
            </w:pPr>
            <w:r w:rsidRPr="008D0440">
              <w:rPr>
                <w:rFonts w:cs="Arial"/>
                <w:color w:val="000000"/>
                <w:szCs w:val="22"/>
              </w:rPr>
              <w:t xml:space="preserve">Private Mental Health Alliance </w:t>
            </w:r>
          </w:p>
        </w:tc>
      </w:tr>
      <w:tr w:rsidR="004436CF" w:rsidRPr="008D0440" w14:paraId="2029699D" w14:textId="77777777" w:rsidTr="00552C3C">
        <w:tc>
          <w:tcPr>
            <w:tcW w:w="2268" w:type="dxa"/>
          </w:tcPr>
          <w:p w14:paraId="4422A1B7" w14:textId="77777777" w:rsidR="004436CF" w:rsidRPr="008D0440" w:rsidRDefault="004436CF" w:rsidP="00473DE9">
            <w:pPr>
              <w:spacing w:line="240" w:lineRule="auto"/>
              <w:rPr>
                <w:rFonts w:cs="Arial"/>
                <w:color w:val="000000"/>
                <w:szCs w:val="22"/>
                <w:lang w:val="en-US"/>
              </w:rPr>
            </w:pPr>
            <w:r w:rsidRPr="008D0440">
              <w:rPr>
                <w:rFonts w:cs="Arial"/>
                <w:color w:val="000000"/>
                <w:szCs w:val="22"/>
                <w:lang w:val="en-US"/>
              </w:rPr>
              <w:t>SEU</w:t>
            </w:r>
          </w:p>
        </w:tc>
        <w:tc>
          <w:tcPr>
            <w:tcW w:w="6758" w:type="dxa"/>
          </w:tcPr>
          <w:p w14:paraId="7FA2B5E7" w14:textId="77777777" w:rsidR="004436CF" w:rsidRPr="008D0440" w:rsidRDefault="004436CF" w:rsidP="00473DE9">
            <w:pPr>
              <w:spacing w:line="240" w:lineRule="auto"/>
              <w:rPr>
                <w:rFonts w:cs="Arial"/>
                <w:color w:val="000000"/>
                <w:szCs w:val="22"/>
                <w:lang w:val="en-US"/>
              </w:rPr>
            </w:pPr>
            <w:r w:rsidRPr="008D0440">
              <w:rPr>
                <w:rFonts w:cs="Arial"/>
                <w:color w:val="000000"/>
                <w:szCs w:val="22"/>
              </w:rPr>
              <w:t xml:space="preserve">Single Equivalent Unit </w:t>
            </w:r>
          </w:p>
        </w:tc>
      </w:tr>
      <w:tr w:rsidR="004436CF" w:rsidRPr="008D0440" w14:paraId="5FDB95A2" w14:textId="77777777" w:rsidTr="00552C3C">
        <w:tc>
          <w:tcPr>
            <w:tcW w:w="2268" w:type="dxa"/>
          </w:tcPr>
          <w:p w14:paraId="6FC567E6" w14:textId="77777777" w:rsidR="004436CF" w:rsidRPr="00F07C7A" w:rsidRDefault="004436CF" w:rsidP="00473DE9">
            <w:pPr>
              <w:spacing w:line="240" w:lineRule="auto"/>
              <w:rPr>
                <w:rFonts w:cs="Arial"/>
                <w:color w:val="000000"/>
                <w:szCs w:val="22"/>
                <w:lang w:val="en-US"/>
              </w:rPr>
            </w:pPr>
            <w:r>
              <w:rPr>
                <w:rFonts w:cs="Arial"/>
                <w:color w:val="000000"/>
                <w:szCs w:val="22"/>
              </w:rPr>
              <w:t xml:space="preserve">the </w:t>
            </w:r>
            <w:r w:rsidRPr="008D0440">
              <w:rPr>
                <w:rFonts w:cs="Arial"/>
                <w:color w:val="000000"/>
                <w:szCs w:val="22"/>
              </w:rPr>
              <w:t>Sector Guidelines</w:t>
            </w:r>
          </w:p>
        </w:tc>
        <w:tc>
          <w:tcPr>
            <w:tcW w:w="6758" w:type="dxa"/>
          </w:tcPr>
          <w:p w14:paraId="032FE7C8" w14:textId="77777777" w:rsidR="004436CF" w:rsidRPr="00F07C7A" w:rsidRDefault="004436CF" w:rsidP="00473DE9">
            <w:pPr>
              <w:spacing w:line="240" w:lineRule="auto"/>
              <w:rPr>
                <w:rFonts w:cs="Arial"/>
                <w:color w:val="000000"/>
                <w:szCs w:val="22"/>
              </w:rPr>
            </w:pPr>
            <w:r w:rsidRPr="008D0440">
              <w:rPr>
                <w:rFonts w:eastAsia="Aptos" w:cs="Arial"/>
                <w:color w:val="auto"/>
                <w:szCs w:val="22"/>
              </w:rPr>
              <w:t>Guidelines for Determining Benefits for Private Health Insurance Purposes for Private Mental Health Care</w:t>
            </w:r>
          </w:p>
        </w:tc>
      </w:tr>
      <w:tr w:rsidR="00770ED8" w:rsidRPr="008D0440" w14:paraId="2E0BF382" w14:textId="77777777" w:rsidTr="00552C3C">
        <w:tc>
          <w:tcPr>
            <w:tcW w:w="2268" w:type="dxa"/>
          </w:tcPr>
          <w:p w14:paraId="0608479E" w14:textId="77777777" w:rsidR="00770ED8" w:rsidRDefault="00770ED8" w:rsidP="00473DE9">
            <w:pPr>
              <w:spacing w:line="240" w:lineRule="auto"/>
              <w:rPr>
                <w:rFonts w:cs="Arial"/>
                <w:color w:val="000000"/>
                <w:szCs w:val="22"/>
              </w:rPr>
            </w:pPr>
            <w:r w:rsidRPr="00F468B5">
              <w:rPr>
                <w:color w:val="auto"/>
              </w:rPr>
              <w:t>SIMGs</w:t>
            </w:r>
          </w:p>
        </w:tc>
        <w:tc>
          <w:tcPr>
            <w:tcW w:w="6758" w:type="dxa"/>
          </w:tcPr>
          <w:p w14:paraId="06B021C3" w14:textId="77777777" w:rsidR="00770ED8" w:rsidRPr="008D0440" w:rsidRDefault="00770ED8" w:rsidP="00473DE9">
            <w:pPr>
              <w:spacing w:line="240" w:lineRule="auto"/>
              <w:rPr>
                <w:rFonts w:eastAsia="Aptos" w:cs="Arial"/>
                <w:color w:val="auto"/>
                <w:szCs w:val="22"/>
              </w:rPr>
            </w:pPr>
            <w:r>
              <w:rPr>
                <w:color w:val="auto"/>
              </w:rPr>
              <w:t>S</w:t>
            </w:r>
            <w:r w:rsidRPr="00F468B5">
              <w:rPr>
                <w:color w:val="auto"/>
              </w:rPr>
              <w:t>pecialist international medical graduates</w:t>
            </w:r>
          </w:p>
        </w:tc>
      </w:tr>
    </w:tbl>
    <w:p w14:paraId="4FC3ED55" w14:textId="77777777" w:rsidR="004E2ABD" w:rsidRPr="008D0440" w:rsidRDefault="004E2ABD" w:rsidP="00473DE9">
      <w:pPr>
        <w:spacing w:line="240" w:lineRule="auto"/>
        <w:rPr>
          <w:rFonts w:cs="Arial"/>
          <w:b/>
          <w:color w:val="3F4A75"/>
          <w:kern w:val="28"/>
          <w:sz w:val="36"/>
          <w:szCs w:val="36"/>
        </w:rPr>
      </w:pPr>
      <w:r w:rsidRPr="008D0440">
        <w:rPr>
          <w:bCs/>
          <w:color w:val="000000"/>
          <w:sz w:val="36"/>
        </w:rPr>
        <w:br w:type="page"/>
      </w:r>
    </w:p>
    <w:p w14:paraId="2A74C0CE" w14:textId="77777777" w:rsidR="004E2ABD" w:rsidRPr="008D0440" w:rsidRDefault="32D4A1DB" w:rsidP="00473DE9">
      <w:pPr>
        <w:keepNext/>
        <w:spacing w:line="240" w:lineRule="auto"/>
        <w:outlineLvl w:val="0"/>
        <w:rPr>
          <w:rFonts w:cs="Arial"/>
          <w:b/>
          <w:bCs/>
          <w:color w:val="3F4A75"/>
          <w:kern w:val="28"/>
          <w:sz w:val="36"/>
          <w:szCs w:val="36"/>
        </w:rPr>
      </w:pPr>
      <w:bookmarkStart w:id="83" w:name="_Toc233805055"/>
      <w:r w:rsidRPr="303EE287">
        <w:rPr>
          <w:rFonts w:cs="Arial"/>
          <w:b/>
          <w:bCs/>
          <w:color w:val="3F4A75"/>
          <w:kern w:val="28"/>
          <w:sz w:val="36"/>
          <w:szCs w:val="36"/>
        </w:rPr>
        <w:lastRenderedPageBreak/>
        <w:t>Glossary</w:t>
      </w:r>
      <w:bookmarkEnd w:id="83"/>
    </w:p>
    <w:tbl>
      <w:tblPr>
        <w:tblStyle w:val="TableGrid"/>
        <w:tblW w:w="0" w:type="auto"/>
        <w:tblBorders>
          <w:top w:val="single" w:sz="4" w:space="0" w:color="358189"/>
          <w:left w:val="none" w:sz="0" w:space="0" w:color="auto"/>
          <w:bottom w:val="single" w:sz="4" w:space="0" w:color="358189"/>
          <w:right w:val="none" w:sz="0" w:space="0" w:color="auto"/>
          <w:insideH w:val="single" w:sz="4" w:space="0" w:color="358189"/>
          <w:insideV w:val="none" w:sz="0" w:space="0" w:color="auto"/>
        </w:tblBorders>
        <w:tblLook w:val="04A0" w:firstRow="1" w:lastRow="0" w:firstColumn="1" w:lastColumn="0" w:noHBand="0" w:noVBand="1"/>
      </w:tblPr>
      <w:tblGrid>
        <w:gridCol w:w="2258"/>
        <w:gridCol w:w="6768"/>
      </w:tblGrid>
      <w:tr w:rsidR="004E2ABD" w:rsidRPr="008D0440" w14:paraId="385BD86D" w14:textId="77777777">
        <w:tc>
          <w:tcPr>
            <w:tcW w:w="2258" w:type="dxa"/>
          </w:tcPr>
          <w:p w14:paraId="5C155A07" w14:textId="77777777" w:rsidR="004E2ABD" w:rsidRPr="008D0440" w:rsidRDefault="004E2ABD" w:rsidP="00473DE9">
            <w:pPr>
              <w:spacing w:line="240" w:lineRule="auto"/>
              <w:rPr>
                <w:rFonts w:cs="Arial"/>
                <w:color w:val="000000"/>
                <w:szCs w:val="28"/>
                <w:lang w:val="en-US"/>
              </w:rPr>
            </w:pPr>
            <w:r w:rsidRPr="008D0440">
              <w:rPr>
                <w:rFonts w:cs="Arial"/>
                <w:color w:val="000000"/>
                <w:szCs w:val="28"/>
                <w:lang w:val="en-US"/>
              </w:rPr>
              <w:t>Clinical categories</w:t>
            </w:r>
          </w:p>
        </w:tc>
        <w:tc>
          <w:tcPr>
            <w:tcW w:w="6768" w:type="dxa"/>
          </w:tcPr>
          <w:p w14:paraId="3A2BAB6A" w14:textId="77777777" w:rsidR="004E2ABD" w:rsidRPr="008D0440" w:rsidRDefault="004E2ABD" w:rsidP="00473DE9">
            <w:pPr>
              <w:spacing w:line="240" w:lineRule="auto"/>
              <w:rPr>
                <w:rFonts w:cs="Arial"/>
                <w:color w:val="000000"/>
                <w:szCs w:val="28"/>
                <w:lang w:val="en-US"/>
              </w:rPr>
            </w:pPr>
            <w:r w:rsidRPr="008D0440">
              <w:rPr>
                <w:rFonts w:cs="Arial"/>
                <w:color w:val="000000"/>
                <w:szCs w:val="28"/>
              </w:rPr>
              <w:t>Types of hospital treatments described in a standard way.</w:t>
            </w:r>
            <w:r w:rsidRPr="008D0440">
              <w:rPr>
                <w:rFonts w:cs="Arial"/>
                <w:color w:val="000000"/>
              </w:rPr>
              <w:t xml:space="preserve"> I</w:t>
            </w:r>
            <w:r w:rsidRPr="008D0440">
              <w:rPr>
                <w:rFonts w:cs="Arial"/>
                <w:color w:val="000000"/>
                <w:szCs w:val="28"/>
              </w:rPr>
              <w:t>f a policy covers a certain clinical category, then it must cover everything described as part of the category.</w:t>
            </w:r>
          </w:p>
        </w:tc>
      </w:tr>
      <w:tr w:rsidR="004E2ABD" w:rsidRPr="008D0440" w14:paraId="2910D46F" w14:textId="77777777">
        <w:tc>
          <w:tcPr>
            <w:tcW w:w="2258" w:type="dxa"/>
          </w:tcPr>
          <w:p w14:paraId="368A9C0C" w14:textId="77777777" w:rsidR="004E2ABD" w:rsidRPr="008D0440" w:rsidRDefault="004E2ABD" w:rsidP="00473DE9">
            <w:pPr>
              <w:spacing w:line="240" w:lineRule="auto"/>
              <w:rPr>
                <w:rFonts w:cs="Arial"/>
                <w:color w:val="000000"/>
                <w:szCs w:val="28"/>
                <w:lang w:val="en-US"/>
              </w:rPr>
            </w:pPr>
            <w:r w:rsidRPr="008D0440">
              <w:rPr>
                <w:rFonts w:cs="Arial"/>
                <w:color w:val="000000"/>
                <w:szCs w:val="28"/>
                <w:lang w:val="en-US"/>
              </w:rPr>
              <w:t>Community rating principle</w:t>
            </w:r>
          </w:p>
        </w:tc>
        <w:tc>
          <w:tcPr>
            <w:tcW w:w="6768" w:type="dxa"/>
          </w:tcPr>
          <w:p w14:paraId="7E915903" w14:textId="77777777" w:rsidR="004E2ABD" w:rsidRPr="008D0440" w:rsidRDefault="004E2ABD" w:rsidP="00473DE9">
            <w:pPr>
              <w:spacing w:line="240" w:lineRule="auto"/>
              <w:rPr>
                <w:rFonts w:cs="Arial"/>
                <w:color w:val="000000"/>
                <w:szCs w:val="28"/>
              </w:rPr>
            </w:pPr>
            <w:r w:rsidRPr="008D0440">
              <w:rPr>
                <w:rFonts w:cs="Arial"/>
                <w:color w:val="000000"/>
                <w:szCs w:val="28"/>
              </w:rPr>
              <w:t xml:space="preserve">Prevents private health insurers from discriminating between people </w:t>
            </w:r>
            <w:r w:rsidR="003B03C1" w:rsidRPr="008D0440">
              <w:rPr>
                <w:rFonts w:cs="Arial"/>
                <w:color w:val="000000"/>
                <w:szCs w:val="28"/>
              </w:rPr>
              <w:t>based on</w:t>
            </w:r>
            <w:r w:rsidRPr="008D0440">
              <w:rPr>
                <w:rFonts w:cs="Arial"/>
                <w:color w:val="000000"/>
                <w:szCs w:val="28"/>
              </w:rPr>
              <w:t xml:space="preserve"> their health or for any other reason referenced in the</w:t>
            </w:r>
            <w:r>
              <w:rPr>
                <w:rFonts w:cs="Arial"/>
                <w:color w:val="000000"/>
                <w:szCs w:val="28"/>
              </w:rPr>
              <w:t xml:space="preserve"> PHI Act</w:t>
            </w:r>
            <w:r w:rsidRPr="008D0440">
              <w:rPr>
                <w:rFonts w:cs="Arial"/>
                <w:color w:val="000000"/>
                <w:szCs w:val="28"/>
              </w:rPr>
              <w:t>.</w:t>
            </w:r>
          </w:p>
        </w:tc>
      </w:tr>
      <w:tr w:rsidR="004E2ABD" w:rsidRPr="008D0440" w14:paraId="5E5DE7CD" w14:textId="77777777">
        <w:tc>
          <w:tcPr>
            <w:tcW w:w="2258" w:type="dxa"/>
          </w:tcPr>
          <w:p w14:paraId="05B2620C" w14:textId="77777777" w:rsidR="004E2ABD" w:rsidRPr="008D0440" w:rsidRDefault="004E2ABD" w:rsidP="00473DE9">
            <w:pPr>
              <w:spacing w:line="240" w:lineRule="auto"/>
              <w:rPr>
                <w:rFonts w:cs="Arial"/>
                <w:color w:val="000000"/>
                <w:szCs w:val="28"/>
                <w:lang w:val="en-US"/>
              </w:rPr>
            </w:pPr>
            <w:r w:rsidRPr="008D0440">
              <w:rPr>
                <w:rFonts w:cs="Arial"/>
                <w:color w:val="000000"/>
                <w:szCs w:val="28"/>
                <w:lang w:val="en-US"/>
              </w:rPr>
              <w:t>Declared hospital</w:t>
            </w:r>
          </w:p>
        </w:tc>
        <w:tc>
          <w:tcPr>
            <w:tcW w:w="6768" w:type="dxa"/>
          </w:tcPr>
          <w:p w14:paraId="276810EC" w14:textId="77777777" w:rsidR="004E2ABD" w:rsidRPr="008D0440" w:rsidRDefault="004E2ABD" w:rsidP="00473DE9">
            <w:pPr>
              <w:spacing w:line="240" w:lineRule="auto"/>
              <w:rPr>
                <w:rFonts w:cs="Arial"/>
                <w:szCs w:val="22"/>
              </w:rPr>
            </w:pPr>
            <w:r w:rsidRPr="78A1057E">
              <w:rPr>
                <w:rFonts w:cs="Arial"/>
                <w:szCs w:val="22"/>
              </w:rPr>
              <w:t>A facility for which a declaration by the Minister for Health and Ageing is in force under section 121</w:t>
            </w:r>
            <w:r>
              <w:rPr>
                <w:rFonts w:cs="Arial"/>
                <w:szCs w:val="22"/>
              </w:rPr>
              <w:t>-</w:t>
            </w:r>
            <w:r w:rsidRPr="78A1057E">
              <w:rPr>
                <w:rFonts w:cs="Arial"/>
                <w:szCs w:val="22"/>
              </w:rPr>
              <w:t>5(6) of the PHI Act, that it is a hospital.</w:t>
            </w:r>
          </w:p>
        </w:tc>
      </w:tr>
      <w:tr w:rsidR="004E2ABD" w:rsidRPr="008D0440" w14:paraId="4FB2637F" w14:textId="77777777">
        <w:tc>
          <w:tcPr>
            <w:tcW w:w="2258" w:type="dxa"/>
          </w:tcPr>
          <w:p w14:paraId="53929AE8" w14:textId="77777777" w:rsidR="004E2ABD" w:rsidRPr="008D0440" w:rsidRDefault="004E2ABD" w:rsidP="00473DE9">
            <w:pPr>
              <w:spacing w:line="240" w:lineRule="auto"/>
              <w:rPr>
                <w:rFonts w:cs="Arial"/>
                <w:color w:val="000000"/>
                <w:szCs w:val="28"/>
                <w:lang w:val="en-US"/>
              </w:rPr>
            </w:pPr>
            <w:r w:rsidRPr="008D0440">
              <w:rPr>
                <w:rFonts w:cs="Arial"/>
                <w:color w:val="000000"/>
                <w:szCs w:val="28"/>
                <w:lang w:val="en-US"/>
              </w:rPr>
              <w:t xml:space="preserve">Hospital in the Home </w:t>
            </w:r>
          </w:p>
        </w:tc>
        <w:tc>
          <w:tcPr>
            <w:tcW w:w="6768" w:type="dxa"/>
          </w:tcPr>
          <w:p w14:paraId="3A4DA4A7" w14:textId="77777777" w:rsidR="004E2ABD" w:rsidRPr="008D0440" w:rsidRDefault="004E2ABD" w:rsidP="00473DE9">
            <w:pPr>
              <w:spacing w:line="240" w:lineRule="auto"/>
              <w:rPr>
                <w:rFonts w:cs="Arial"/>
                <w:color w:val="000000"/>
                <w:szCs w:val="28"/>
              </w:rPr>
            </w:pPr>
            <w:r w:rsidRPr="008D0440">
              <w:rPr>
                <w:rFonts w:cs="Arial"/>
                <w:color w:val="000000"/>
                <w:szCs w:val="28"/>
              </w:rPr>
              <w:t>Admitted hospital care, utilising highly skilled staff, hospital technologies, equipment, medication, and safety and quality standards, to deliver hospital-level care within a person's place of residence or preferred (non-hospital) treatment location.</w:t>
            </w:r>
          </w:p>
        </w:tc>
      </w:tr>
      <w:tr w:rsidR="004E2ABD" w:rsidRPr="008D0440" w14:paraId="0229F41E" w14:textId="77777777">
        <w:tc>
          <w:tcPr>
            <w:tcW w:w="2258" w:type="dxa"/>
          </w:tcPr>
          <w:p w14:paraId="099FEE42" w14:textId="77777777" w:rsidR="004E2ABD" w:rsidRPr="008D0440" w:rsidRDefault="004E2ABD" w:rsidP="00473DE9">
            <w:pPr>
              <w:spacing w:line="240" w:lineRule="auto"/>
              <w:rPr>
                <w:rFonts w:cs="Arial"/>
                <w:color w:val="000000"/>
                <w:szCs w:val="28"/>
                <w:lang w:val="en-US"/>
              </w:rPr>
            </w:pPr>
            <w:r w:rsidRPr="008D0440">
              <w:rPr>
                <w:rFonts w:cs="Arial"/>
                <w:color w:val="000000"/>
                <w:szCs w:val="28"/>
                <w:lang w:val="en-US"/>
              </w:rPr>
              <w:t>Medicare moratorium</w:t>
            </w:r>
          </w:p>
        </w:tc>
        <w:tc>
          <w:tcPr>
            <w:tcW w:w="6768" w:type="dxa"/>
          </w:tcPr>
          <w:p w14:paraId="57841BC3" w14:textId="77777777" w:rsidR="004E2ABD" w:rsidRPr="008D0440" w:rsidRDefault="004E2ABD" w:rsidP="00473DE9">
            <w:pPr>
              <w:spacing w:line="240" w:lineRule="auto"/>
              <w:rPr>
                <w:rFonts w:cs="Arial"/>
                <w:color w:val="000000"/>
                <w:szCs w:val="28"/>
              </w:rPr>
            </w:pPr>
            <w:r>
              <w:rPr>
                <w:color w:val="000000"/>
              </w:rPr>
              <w:t>O</w:t>
            </w:r>
            <w:r w:rsidRPr="007F6BC5">
              <w:rPr>
                <w:color w:val="000000"/>
              </w:rPr>
              <w:t>verseas</w:t>
            </w:r>
            <w:r w:rsidRPr="007F6BC5">
              <w:rPr>
                <w:color w:val="000000"/>
              </w:rPr>
              <w:noBreakHyphen/>
              <w:t>trained doctors who are non</w:t>
            </w:r>
            <w:r w:rsidRPr="007F6BC5">
              <w:rPr>
                <w:color w:val="000000"/>
              </w:rPr>
              <w:noBreakHyphen/>
              <w:t>GP specialists are required to work for at least 10 years in a DWS before they can provide services eligible for MBS rebates</w:t>
            </w:r>
            <w:r>
              <w:rPr>
                <w:color w:val="000000"/>
              </w:rPr>
              <w:t>.</w:t>
            </w:r>
          </w:p>
        </w:tc>
      </w:tr>
      <w:tr w:rsidR="004E2ABD" w:rsidRPr="008D0440" w14:paraId="6F0DBCE1" w14:textId="77777777">
        <w:tc>
          <w:tcPr>
            <w:tcW w:w="2258" w:type="dxa"/>
          </w:tcPr>
          <w:p w14:paraId="1E86C212" w14:textId="77777777" w:rsidR="004E2ABD" w:rsidRPr="008D0440" w:rsidRDefault="004E2ABD" w:rsidP="00473DE9">
            <w:pPr>
              <w:spacing w:line="240" w:lineRule="auto"/>
              <w:rPr>
                <w:rFonts w:cs="Arial"/>
                <w:color w:val="000000"/>
                <w:szCs w:val="28"/>
                <w:lang w:val="en-US"/>
              </w:rPr>
            </w:pPr>
            <w:r w:rsidRPr="008D0440">
              <w:rPr>
                <w:rFonts w:cs="Arial"/>
                <w:color w:val="000000"/>
                <w:szCs w:val="28"/>
                <w:lang w:val="en-US"/>
              </w:rPr>
              <w:t>Phoenixing</w:t>
            </w:r>
          </w:p>
        </w:tc>
        <w:tc>
          <w:tcPr>
            <w:tcW w:w="6768" w:type="dxa"/>
          </w:tcPr>
          <w:p w14:paraId="32CFF599" w14:textId="77777777" w:rsidR="004E2ABD" w:rsidRPr="008D0440" w:rsidRDefault="004E2ABD" w:rsidP="00473DE9">
            <w:pPr>
              <w:spacing w:line="240" w:lineRule="auto"/>
              <w:rPr>
                <w:rFonts w:cs="Arial"/>
                <w:color w:val="000000"/>
                <w:szCs w:val="28"/>
              </w:rPr>
            </w:pPr>
            <w:r w:rsidRPr="008D0440">
              <w:rPr>
                <w:rFonts w:cs="Arial"/>
                <w:color w:val="000000"/>
                <w:szCs w:val="28"/>
              </w:rPr>
              <w:t>When an insurer closes an existing product and opens a similar one at a higher price point, circumventing the Premium Round process.</w:t>
            </w:r>
          </w:p>
        </w:tc>
      </w:tr>
      <w:tr w:rsidR="004E2ABD" w:rsidRPr="008D0440" w14:paraId="0B224690" w14:textId="77777777">
        <w:tc>
          <w:tcPr>
            <w:tcW w:w="2258" w:type="dxa"/>
          </w:tcPr>
          <w:p w14:paraId="7D13FCD2" w14:textId="77777777" w:rsidR="004E2ABD" w:rsidRPr="008D0440" w:rsidRDefault="004E2ABD" w:rsidP="00473DE9">
            <w:pPr>
              <w:spacing w:line="240" w:lineRule="auto"/>
              <w:rPr>
                <w:rFonts w:cs="Arial"/>
                <w:color w:val="000000"/>
                <w:szCs w:val="28"/>
                <w:lang w:val="en-US"/>
              </w:rPr>
            </w:pPr>
            <w:r w:rsidRPr="008D0440">
              <w:rPr>
                <w:rFonts w:cs="Arial"/>
                <w:color w:val="000000"/>
                <w:szCs w:val="28"/>
                <w:lang w:val="en-US"/>
              </w:rPr>
              <w:t xml:space="preserve">Premium </w:t>
            </w:r>
            <w:r>
              <w:rPr>
                <w:rFonts w:cs="Arial"/>
                <w:color w:val="000000"/>
                <w:szCs w:val="28"/>
                <w:lang w:val="en-US"/>
              </w:rPr>
              <w:t>R</w:t>
            </w:r>
            <w:r w:rsidRPr="008D0440">
              <w:rPr>
                <w:rFonts w:cs="Arial"/>
                <w:color w:val="000000"/>
                <w:szCs w:val="28"/>
                <w:lang w:val="en-US"/>
              </w:rPr>
              <w:t>ound</w:t>
            </w:r>
          </w:p>
        </w:tc>
        <w:tc>
          <w:tcPr>
            <w:tcW w:w="6768" w:type="dxa"/>
          </w:tcPr>
          <w:p w14:paraId="02D6F283" w14:textId="77777777" w:rsidR="004E2ABD" w:rsidRPr="008D0440" w:rsidRDefault="004E2ABD" w:rsidP="00473DE9">
            <w:pPr>
              <w:spacing w:line="240" w:lineRule="auto"/>
              <w:rPr>
                <w:rFonts w:cs="Arial"/>
                <w:color w:val="000000"/>
                <w:szCs w:val="28"/>
              </w:rPr>
            </w:pPr>
            <w:r w:rsidRPr="008D0440">
              <w:rPr>
                <w:rFonts w:cs="Arial"/>
                <w:color w:val="000000"/>
                <w:szCs w:val="28"/>
              </w:rPr>
              <w:t>An annual process where private health insurers apply for approval to change the premiums they charge policyholders.</w:t>
            </w:r>
          </w:p>
        </w:tc>
      </w:tr>
      <w:tr w:rsidR="004E2ABD" w:rsidRPr="008D0440" w14:paraId="63622F7E" w14:textId="77777777">
        <w:tc>
          <w:tcPr>
            <w:tcW w:w="2258" w:type="dxa"/>
          </w:tcPr>
          <w:p w14:paraId="3CF9B3EB" w14:textId="77777777" w:rsidR="004E2ABD" w:rsidRPr="008D0440" w:rsidRDefault="004E2ABD" w:rsidP="00473DE9">
            <w:pPr>
              <w:spacing w:line="240" w:lineRule="auto"/>
              <w:rPr>
                <w:rFonts w:cs="Arial"/>
                <w:color w:val="000000"/>
                <w:szCs w:val="28"/>
                <w:lang w:val="en-US"/>
              </w:rPr>
            </w:pPr>
            <w:r w:rsidRPr="008D0440">
              <w:rPr>
                <w:rFonts w:cs="Arial"/>
                <w:color w:val="000000"/>
                <w:szCs w:val="28"/>
                <w:lang w:val="en-US"/>
              </w:rPr>
              <w:t>Product tiers</w:t>
            </w:r>
          </w:p>
        </w:tc>
        <w:tc>
          <w:tcPr>
            <w:tcW w:w="6768" w:type="dxa"/>
          </w:tcPr>
          <w:p w14:paraId="52781248" w14:textId="77777777" w:rsidR="004E2ABD" w:rsidRPr="008D0440" w:rsidRDefault="004E2ABD" w:rsidP="00473DE9">
            <w:pPr>
              <w:spacing w:line="240" w:lineRule="auto"/>
              <w:rPr>
                <w:rFonts w:cs="Arial"/>
                <w:color w:val="000000"/>
                <w:szCs w:val="28"/>
                <w:lang w:val="en-US"/>
              </w:rPr>
            </w:pPr>
            <w:r w:rsidRPr="008D0440">
              <w:rPr>
                <w:rFonts w:cs="Arial"/>
                <w:color w:val="000000"/>
                <w:szCs w:val="28"/>
              </w:rPr>
              <w:t xml:space="preserve">The four tiers that private health insurers are required to use to classify their private hospital cover: Gold, Silver, Bronze or Basic. </w:t>
            </w:r>
          </w:p>
        </w:tc>
      </w:tr>
      <w:tr w:rsidR="004E2ABD" w:rsidRPr="008D0440" w14:paraId="1A2A9DA3" w14:textId="77777777">
        <w:tc>
          <w:tcPr>
            <w:tcW w:w="2258" w:type="dxa"/>
          </w:tcPr>
          <w:p w14:paraId="48C4DEB9" w14:textId="77777777" w:rsidR="004E2ABD" w:rsidRPr="008D0440" w:rsidRDefault="004E2ABD" w:rsidP="00473DE9">
            <w:pPr>
              <w:spacing w:line="240" w:lineRule="auto"/>
              <w:rPr>
                <w:rFonts w:cs="Arial"/>
                <w:color w:val="000000"/>
                <w:szCs w:val="28"/>
                <w:lang w:val="en-US"/>
              </w:rPr>
            </w:pPr>
            <w:r w:rsidRPr="008D0440">
              <w:rPr>
                <w:rFonts w:cs="Arial"/>
                <w:color w:val="000000"/>
                <w:szCs w:val="28"/>
                <w:lang w:val="en-US"/>
              </w:rPr>
              <w:t>Risk equalisation</w:t>
            </w:r>
          </w:p>
        </w:tc>
        <w:tc>
          <w:tcPr>
            <w:tcW w:w="6768" w:type="dxa"/>
          </w:tcPr>
          <w:p w14:paraId="43A132E7" w14:textId="77777777" w:rsidR="004E2ABD" w:rsidRPr="008D0440" w:rsidRDefault="004E2ABD" w:rsidP="00473DE9">
            <w:pPr>
              <w:spacing w:line="240" w:lineRule="auto"/>
              <w:rPr>
                <w:rFonts w:cs="Arial"/>
                <w:color w:val="000000"/>
                <w:szCs w:val="28"/>
              </w:rPr>
            </w:pPr>
            <w:r w:rsidRPr="008D0440">
              <w:rPr>
                <w:rFonts w:cs="Arial"/>
                <w:color w:val="000000"/>
                <w:szCs w:val="28"/>
              </w:rPr>
              <w:t>Partially compensates insurers with a riskier demographic profile by re-distributing money from those insurers paying less than average benefits to those paying higher than average benefits.</w:t>
            </w:r>
          </w:p>
        </w:tc>
      </w:tr>
      <w:tr w:rsidR="004E2ABD" w:rsidRPr="008D0440" w14:paraId="5CE2B963" w14:textId="77777777">
        <w:tc>
          <w:tcPr>
            <w:tcW w:w="2258" w:type="dxa"/>
          </w:tcPr>
          <w:p w14:paraId="6FEE4842" w14:textId="77777777" w:rsidR="004E2ABD" w:rsidRPr="008D0440" w:rsidRDefault="004E2ABD" w:rsidP="00473DE9">
            <w:pPr>
              <w:spacing w:line="240" w:lineRule="auto"/>
              <w:rPr>
                <w:rFonts w:cs="Arial"/>
                <w:color w:val="000000"/>
                <w:szCs w:val="28"/>
                <w:lang w:val="en-US"/>
              </w:rPr>
            </w:pPr>
            <w:r w:rsidRPr="008D0440">
              <w:rPr>
                <w:rFonts w:cs="Arial"/>
                <w:color w:val="000000"/>
                <w:szCs w:val="28"/>
                <w:lang w:val="en-US"/>
              </w:rPr>
              <w:t xml:space="preserve">Transfers </w:t>
            </w:r>
          </w:p>
        </w:tc>
        <w:tc>
          <w:tcPr>
            <w:tcW w:w="6768" w:type="dxa"/>
          </w:tcPr>
          <w:p w14:paraId="23570836" w14:textId="77777777" w:rsidR="004E2ABD" w:rsidRPr="008D0440" w:rsidRDefault="004E2ABD" w:rsidP="00473DE9">
            <w:pPr>
              <w:spacing w:line="240" w:lineRule="auto"/>
              <w:rPr>
                <w:rFonts w:cs="Arial"/>
                <w:color w:val="000000"/>
                <w:szCs w:val="28"/>
              </w:rPr>
            </w:pPr>
            <w:r w:rsidRPr="008D0440">
              <w:rPr>
                <w:rFonts w:cs="Arial"/>
                <w:color w:val="000000"/>
                <w:szCs w:val="28"/>
              </w:rPr>
              <w:t xml:space="preserve">When a </w:t>
            </w:r>
            <w:r w:rsidR="00876E69" w:rsidRPr="008D0440">
              <w:rPr>
                <w:rFonts w:cs="Arial"/>
                <w:color w:val="000000"/>
                <w:szCs w:val="28"/>
              </w:rPr>
              <w:t>person</w:t>
            </w:r>
            <w:r w:rsidR="00876E69">
              <w:rPr>
                <w:rFonts w:cs="Arial"/>
                <w:color w:val="000000"/>
                <w:szCs w:val="28"/>
              </w:rPr>
              <w:t xml:space="preserve"> </w:t>
            </w:r>
            <w:r w:rsidR="00876E69" w:rsidRPr="008D0440">
              <w:rPr>
                <w:rFonts w:cs="Arial"/>
                <w:i/>
                <w:iCs/>
                <w:color w:val="000000"/>
                <w:szCs w:val="28"/>
              </w:rPr>
              <w:t>transfers</w:t>
            </w:r>
            <w:r w:rsidR="00876E69">
              <w:rPr>
                <w:rFonts w:cs="Arial"/>
                <w:i/>
                <w:iCs/>
                <w:color w:val="000000"/>
                <w:szCs w:val="28"/>
              </w:rPr>
              <w:t xml:space="preserve"> </w:t>
            </w:r>
            <w:r w:rsidRPr="008D0440">
              <w:rPr>
                <w:rFonts w:cs="Arial"/>
                <w:color w:val="000000"/>
                <w:szCs w:val="28"/>
              </w:rPr>
              <w:t>to a policy (</w:t>
            </w:r>
            <w:r w:rsidR="00876E69" w:rsidRPr="008D0440">
              <w:rPr>
                <w:rFonts w:cs="Arial"/>
                <w:color w:val="000000"/>
                <w:szCs w:val="28"/>
              </w:rPr>
              <w:t>the</w:t>
            </w:r>
            <w:r w:rsidR="00876E69">
              <w:rPr>
                <w:rFonts w:cs="Arial"/>
                <w:color w:val="000000"/>
                <w:szCs w:val="28"/>
              </w:rPr>
              <w:t xml:space="preserve"> </w:t>
            </w:r>
            <w:r w:rsidRPr="008D0440">
              <w:rPr>
                <w:rFonts w:cs="Arial"/>
                <w:i/>
                <w:iCs/>
                <w:color w:val="000000"/>
                <w:szCs w:val="28"/>
              </w:rPr>
              <w:t>new policy</w:t>
            </w:r>
            <w:r w:rsidRPr="008D0440">
              <w:rPr>
                <w:rFonts w:cs="Arial"/>
                <w:color w:val="000000"/>
                <w:szCs w:val="28"/>
              </w:rPr>
              <w:t>) from another policy (</w:t>
            </w:r>
            <w:r w:rsidR="00876E69" w:rsidRPr="008D0440">
              <w:rPr>
                <w:rFonts w:cs="Arial"/>
                <w:color w:val="000000"/>
                <w:szCs w:val="28"/>
              </w:rPr>
              <w:t>the</w:t>
            </w:r>
            <w:r w:rsidR="00876E69">
              <w:rPr>
                <w:rFonts w:cs="Arial"/>
                <w:color w:val="000000"/>
                <w:szCs w:val="28"/>
              </w:rPr>
              <w:t xml:space="preserve"> </w:t>
            </w:r>
            <w:r w:rsidRPr="008D0440">
              <w:rPr>
                <w:rFonts w:cs="Arial"/>
                <w:i/>
                <w:iCs/>
                <w:color w:val="000000"/>
                <w:szCs w:val="28"/>
              </w:rPr>
              <w:t>old policy</w:t>
            </w:r>
            <w:r w:rsidRPr="008D0440">
              <w:rPr>
                <w:rFonts w:cs="Arial"/>
                <w:color w:val="000000"/>
                <w:szCs w:val="28"/>
              </w:rPr>
              <w:t xml:space="preserve">) as specified in Section 75-10 of the PHI </w:t>
            </w:r>
            <w:r w:rsidRPr="008D0440">
              <w:rPr>
                <w:rFonts w:cs="Arial"/>
                <w:color w:val="000000"/>
              </w:rPr>
              <w:t>Act</w:t>
            </w:r>
            <w:r w:rsidRPr="008D0440">
              <w:rPr>
                <w:rFonts w:cs="Arial"/>
                <w:color w:val="000000"/>
                <w:szCs w:val="28"/>
              </w:rPr>
              <w:t>. </w:t>
            </w:r>
          </w:p>
        </w:tc>
      </w:tr>
      <w:tr w:rsidR="004E2ABD" w:rsidRPr="008D0440" w14:paraId="1457CC1B" w14:textId="77777777">
        <w:tc>
          <w:tcPr>
            <w:tcW w:w="2258" w:type="dxa"/>
          </w:tcPr>
          <w:p w14:paraId="00EEE688" w14:textId="77777777" w:rsidR="004E2ABD" w:rsidRPr="008D0440" w:rsidRDefault="004E2ABD" w:rsidP="00473DE9">
            <w:pPr>
              <w:spacing w:line="240" w:lineRule="auto"/>
              <w:rPr>
                <w:rFonts w:cs="Arial"/>
                <w:color w:val="000000"/>
                <w:szCs w:val="28"/>
                <w:lang w:val="en-US"/>
              </w:rPr>
            </w:pPr>
            <w:r w:rsidRPr="008D0440">
              <w:rPr>
                <w:rFonts w:cs="Arial"/>
                <w:color w:val="000000"/>
                <w:szCs w:val="28"/>
                <w:lang w:val="en-US"/>
              </w:rPr>
              <w:t>Type A procedures</w:t>
            </w:r>
          </w:p>
        </w:tc>
        <w:tc>
          <w:tcPr>
            <w:tcW w:w="6768" w:type="dxa"/>
          </w:tcPr>
          <w:p w14:paraId="680EA188" w14:textId="77777777" w:rsidR="004E2ABD" w:rsidRPr="008D0440" w:rsidRDefault="004E2ABD" w:rsidP="00473DE9">
            <w:pPr>
              <w:spacing w:line="240" w:lineRule="auto"/>
              <w:rPr>
                <w:rFonts w:cs="Arial"/>
                <w:color w:val="000000"/>
              </w:rPr>
            </w:pPr>
            <w:r w:rsidRPr="61D072F6">
              <w:rPr>
                <w:rFonts w:cs="Arial"/>
              </w:rPr>
              <w:t xml:space="preserve">Procedures requiring hospital treatment that </w:t>
            </w:r>
            <w:r>
              <w:rPr>
                <w:rFonts w:cs="Arial"/>
              </w:rPr>
              <w:t xml:space="preserve">normally include </w:t>
            </w:r>
            <w:r w:rsidR="007E2E10">
              <w:rPr>
                <w:rFonts w:cs="Arial"/>
              </w:rPr>
              <w:t>an</w:t>
            </w:r>
            <w:r>
              <w:rPr>
                <w:rFonts w:cs="Arial"/>
              </w:rPr>
              <w:t xml:space="preserve"> </w:t>
            </w:r>
            <w:r w:rsidRPr="61D072F6">
              <w:rPr>
                <w:rFonts w:cs="Arial"/>
              </w:rPr>
              <w:t>overnight stay </w:t>
            </w:r>
          </w:p>
        </w:tc>
      </w:tr>
      <w:tr w:rsidR="004E2ABD" w:rsidRPr="008D0440" w14:paraId="65D65BD5" w14:textId="77777777">
        <w:tc>
          <w:tcPr>
            <w:tcW w:w="2258" w:type="dxa"/>
          </w:tcPr>
          <w:p w14:paraId="073DE3C1" w14:textId="77777777" w:rsidR="004E2ABD" w:rsidRPr="008D0440" w:rsidRDefault="004E2ABD" w:rsidP="00473DE9">
            <w:pPr>
              <w:spacing w:line="240" w:lineRule="auto"/>
              <w:rPr>
                <w:rFonts w:cs="Arial"/>
                <w:color w:val="000000"/>
                <w:szCs w:val="28"/>
                <w:lang w:val="en-US"/>
              </w:rPr>
            </w:pPr>
            <w:r w:rsidRPr="008D0440">
              <w:rPr>
                <w:rFonts w:cs="Arial"/>
                <w:color w:val="000000"/>
                <w:szCs w:val="28"/>
                <w:lang w:val="en-US"/>
              </w:rPr>
              <w:t>Type B procedures</w:t>
            </w:r>
          </w:p>
        </w:tc>
        <w:tc>
          <w:tcPr>
            <w:tcW w:w="6768" w:type="dxa"/>
          </w:tcPr>
          <w:p w14:paraId="6C572293" w14:textId="77777777" w:rsidR="004E2ABD" w:rsidRPr="008D0440" w:rsidRDefault="004E2ABD" w:rsidP="00473DE9">
            <w:pPr>
              <w:spacing w:line="240" w:lineRule="auto"/>
              <w:rPr>
                <w:rFonts w:cs="Arial"/>
                <w:color w:val="000000"/>
              </w:rPr>
            </w:pPr>
            <w:r w:rsidRPr="61D072F6">
              <w:rPr>
                <w:rFonts w:cs="Arial"/>
              </w:rPr>
              <w:t>Procedures</w:t>
            </w:r>
            <w:r>
              <w:rPr>
                <w:rFonts w:cs="Arial"/>
              </w:rPr>
              <w:t xml:space="preserve"> that normally require</w:t>
            </w:r>
            <w:r w:rsidRPr="61D072F6">
              <w:rPr>
                <w:rFonts w:cs="Arial"/>
              </w:rPr>
              <w:t xml:space="preserve"> same-day</w:t>
            </w:r>
            <w:r w:rsidR="00876E69">
              <w:rPr>
                <w:rFonts w:cs="Arial"/>
              </w:rPr>
              <w:t xml:space="preserve"> </w:t>
            </w:r>
            <w:r w:rsidRPr="61D072F6">
              <w:rPr>
                <w:rFonts w:cs="Arial"/>
              </w:rPr>
              <w:t>hospital treatment </w:t>
            </w:r>
          </w:p>
        </w:tc>
      </w:tr>
      <w:tr w:rsidR="004E2ABD" w:rsidRPr="008D0440" w14:paraId="64F7EFF2" w14:textId="77777777">
        <w:tc>
          <w:tcPr>
            <w:tcW w:w="2258" w:type="dxa"/>
          </w:tcPr>
          <w:p w14:paraId="6B8DF316" w14:textId="77777777" w:rsidR="004E2ABD" w:rsidRPr="008D0440" w:rsidRDefault="004E2ABD" w:rsidP="00473DE9">
            <w:pPr>
              <w:spacing w:line="240" w:lineRule="auto"/>
              <w:rPr>
                <w:rFonts w:cs="Arial"/>
                <w:color w:val="000000"/>
                <w:szCs w:val="28"/>
                <w:lang w:val="en-US"/>
              </w:rPr>
            </w:pPr>
            <w:r w:rsidRPr="008D0440">
              <w:rPr>
                <w:rFonts w:cs="Arial"/>
                <w:color w:val="000000"/>
                <w:szCs w:val="28"/>
              </w:rPr>
              <w:t>Type C procedures</w:t>
            </w:r>
          </w:p>
        </w:tc>
        <w:tc>
          <w:tcPr>
            <w:tcW w:w="6768" w:type="dxa"/>
          </w:tcPr>
          <w:p w14:paraId="3FB384BC" w14:textId="77777777" w:rsidR="004E2ABD" w:rsidRPr="008D0440" w:rsidRDefault="004E2ABD" w:rsidP="00473DE9">
            <w:pPr>
              <w:spacing w:line="240" w:lineRule="auto"/>
              <w:rPr>
                <w:rFonts w:cs="Arial"/>
                <w:color w:val="000000"/>
                <w:szCs w:val="28"/>
                <w:lang w:val="en-US"/>
              </w:rPr>
            </w:pPr>
            <w:r w:rsidRPr="008D0440">
              <w:rPr>
                <w:rFonts w:cs="Arial"/>
                <w:color w:val="000000"/>
                <w:szCs w:val="28"/>
              </w:rPr>
              <w:t>Procedures that do not normally require hospital treatment.</w:t>
            </w:r>
          </w:p>
        </w:tc>
      </w:tr>
    </w:tbl>
    <w:p w14:paraId="16BCF3FA" w14:textId="77777777" w:rsidR="004E2ABD" w:rsidRPr="00F746C0" w:rsidRDefault="004E2ABD" w:rsidP="00473DE9"/>
    <w:p w14:paraId="69E88839" w14:textId="77777777" w:rsidR="00EE692A" w:rsidRDefault="00EE692A" w:rsidP="00473DE9"/>
    <w:p w14:paraId="18BEDAB6" w14:textId="77777777" w:rsidR="00110BE1" w:rsidRDefault="00110BE1" w:rsidP="00473DE9">
      <w:pPr>
        <w:spacing w:line="240" w:lineRule="auto"/>
      </w:pPr>
      <w:r>
        <w:br w:type="page"/>
      </w:r>
    </w:p>
    <w:p w14:paraId="6CD93016" w14:textId="77777777" w:rsidR="0051242B" w:rsidRPr="001F2F78" w:rsidRDefault="00EE7B26" w:rsidP="00473DE9">
      <w:pPr>
        <w:keepNext/>
        <w:spacing w:line="240" w:lineRule="auto"/>
        <w:outlineLvl w:val="0"/>
      </w:pPr>
      <w:bookmarkStart w:id="84" w:name="_Toc233805056"/>
      <w:r w:rsidRPr="00EE7B26">
        <w:rPr>
          <w:rFonts w:cs="Arial"/>
          <w:b/>
          <w:bCs/>
          <w:color w:val="3F4A75"/>
          <w:kern w:val="28"/>
          <w:sz w:val="36"/>
          <w:szCs w:val="36"/>
        </w:rPr>
        <w:lastRenderedPageBreak/>
        <w:t>References</w:t>
      </w:r>
      <w:bookmarkEnd w:id="84"/>
      <w:r>
        <w:t xml:space="preserve"> </w:t>
      </w:r>
    </w:p>
    <w:sectPr w:rsidR="0051242B" w:rsidRPr="001F2F78" w:rsidSect="00EB2E5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8954" w14:textId="77777777" w:rsidR="00AA64DB" w:rsidRDefault="00AA64DB" w:rsidP="00934368">
      <w:r>
        <w:separator/>
      </w:r>
    </w:p>
    <w:p w14:paraId="2905118A" w14:textId="77777777" w:rsidR="00AA64DB" w:rsidRDefault="00AA64DB" w:rsidP="00934368"/>
  </w:endnote>
  <w:endnote w:type="continuationSeparator" w:id="0">
    <w:p w14:paraId="11BAF417" w14:textId="77777777" w:rsidR="00AA64DB" w:rsidRDefault="00AA64DB" w:rsidP="00934368">
      <w:r>
        <w:continuationSeparator/>
      </w:r>
    </w:p>
    <w:p w14:paraId="4C32D9A4" w14:textId="77777777" w:rsidR="00AA64DB" w:rsidRDefault="00AA64DB" w:rsidP="00934368"/>
  </w:endnote>
  <w:endnote w:type="continuationNotice" w:id="1">
    <w:p w14:paraId="4BAB8D0B" w14:textId="77777777" w:rsidR="00AA64DB" w:rsidRDefault="00AA64DB" w:rsidP="00934368"/>
  </w:endnote>
  <w:endnote w:id="2">
    <w:p w14:paraId="4843B32E" w14:textId="77777777" w:rsidR="008F7154" w:rsidRPr="00D74A92" w:rsidRDefault="008F7154" w:rsidP="008F7154">
      <w:pPr>
        <w:pStyle w:val="EndnoteText"/>
        <w:rPr>
          <w:rFonts w:cs="Arial"/>
          <w:sz w:val="18"/>
          <w:szCs w:val="18"/>
        </w:rPr>
      </w:pPr>
      <w:r w:rsidRPr="00D74A92">
        <w:rPr>
          <w:rStyle w:val="EndnoteReference"/>
          <w:rFonts w:cs="Arial"/>
          <w:sz w:val="18"/>
          <w:szCs w:val="18"/>
        </w:rPr>
        <w:endnoteRef/>
      </w:r>
      <w:r w:rsidRPr="00D74A92">
        <w:rPr>
          <w:rFonts w:cs="Arial"/>
          <w:sz w:val="18"/>
          <w:szCs w:val="18"/>
        </w:rPr>
        <w:t xml:space="preserve"> Services Australia processes applications for Medicare provider numbers. Further information is available at: </w:t>
      </w:r>
      <w:hyperlink r:id="rId1" w:history="1">
        <w:r w:rsidRPr="00D74A92">
          <w:rPr>
            <w:rStyle w:val="Hyperlink"/>
            <w:rFonts w:cs="Arial"/>
            <w:sz w:val="18"/>
            <w:szCs w:val="18"/>
          </w:rPr>
          <w:t>https://www.servicesaustralia.gov.au/hw019</w:t>
        </w:r>
      </w:hyperlink>
    </w:p>
  </w:endnote>
  <w:endnote w:id="3">
    <w:p w14:paraId="3C609653" w14:textId="77777777" w:rsidR="00DA1B50" w:rsidRPr="00C0388C" w:rsidRDefault="00DA1B50" w:rsidP="00DA1B50">
      <w:pPr>
        <w:pStyle w:val="EndnoteText"/>
        <w:rPr>
          <w:sz w:val="18"/>
          <w:szCs w:val="18"/>
        </w:rPr>
      </w:pPr>
      <w:r w:rsidRPr="00110BE1">
        <w:rPr>
          <w:rStyle w:val="EndnoteReference"/>
          <w:sz w:val="18"/>
          <w:szCs w:val="18"/>
        </w:rPr>
        <w:endnoteRef/>
      </w:r>
      <w:r w:rsidRPr="00C0388C">
        <w:rPr>
          <w:sz w:val="18"/>
          <w:szCs w:val="18"/>
        </w:rPr>
        <w:t xml:space="preserve"> Australian Bureau of Statistics (2024), </w:t>
      </w:r>
      <w:hyperlink r:id="rId2" w:history="1">
        <w:r w:rsidRPr="00C0388C">
          <w:rPr>
            <w:rStyle w:val="Hyperlink"/>
            <w:sz w:val="18"/>
            <w:szCs w:val="18"/>
          </w:rPr>
          <w:t>Births, Australia</w:t>
        </w:r>
      </w:hyperlink>
      <w:r w:rsidRPr="00C0388C">
        <w:rPr>
          <w:sz w:val="18"/>
          <w:szCs w:val="18"/>
        </w:rPr>
        <w:t>.</w:t>
      </w:r>
    </w:p>
  </w:endnote>
  <w:endnote w:id="4">
    <w:p w14:paraId="6073C418" w14:textId="77777777" w:rsidR="00DA1B50" w:rsidRDefault="00DA1B50" w:rsidP="00DA1B50">
      <w:pPr>
        <w:pStyle w:val="EndnoteText"/>
      </w:pPr>
      <w:r w:rsidRPr="00C0388C">
        <w:rPr>
          <w:rStyle w:val="EndnoteReference"/>
          <w:sz w:val="18"/>
          <w:szCs w:val="18"/>
        </w:rPr>
        <w:endnoteRef/>
      </w:r>
      <w:r w:rsidRPr="00C0388C">
        <w:rPr>
          <w:sz w:val="18"/>
          <w:szCs w:val="18"/>
        </w:rPr>
        <w:t xml:space="preserve"> </w:t>
      </w:r>
      <w:r>
        <w:rPr>
          <w:sz w:val="18"/>
          <w:szCs w:val="18"/>
        </w:rPr>
        <w:t>Australian Institute of Health and Welfare (A</w:t>
      </w:r>
      <w:r w:rsidRPr="00C0388C">
        <w:rPr>
          <w:sz w:val="18"/>
          <w:szCs w:val="18"/>
        </w:rPr>
        <w:t>IHW</w:t>
      </w:r>
      <w:r>
        <w:rPr>
          <w:sz w:val="18"/>
          <w:szCs w:val="18"/>
        </w:rPr>
        <w:t>)</w:t>
      </w:r>
      <w:r w:rsidRPr="00C0388C">
        <w:rPr>
          <w:sz w:val="18"/>
          <w:szCs w:val="18"/>
        </w:rPr>
        <w:t xml:space="preserve"> (2026) Australian hospital statistics 2024–25: What services were provided?</w:t>
      </w:r>
      <w:r>
        <w:rPr>
          <w:sz w:val="18"/>
          <w:szCs w:val="18"/>
        </w:rPr>
        <w:t xml:space="preserve"> </w:t>
      </w:r>
      <w:hyperlink r:id="rId3" w:history="1">
        <w:r w:rsidRPr="002E09C4">
          <w:rPr>
            <w:rStyle w:val="Hyperlink"/>
            <w:sz w:val="18"/>
            <w:szCs w:val="18"/>
          </w:rPr>
          <w:t>Admitted patient care - Hospitals - AIHW</w:t>
        </w:r>
      </w:hyperlink>
      <w:r w:rsidRPr="00C0388C">
        <w:rPr>
          <w:sz w:val="18"/>
          <w:szCs w:val="18"/>
        </w:rPr>
        <w:t>.</w:t>
      </w:r>
    </w:p>
  </w:endnote>
  <w:endnote w:id="5">
    <w:p w14:paraId="59B0C4E5" w14:textId="597A1BF8" w:rsidR="00A13C4E" w:rsidRDefault="00A13C4E">
      <w:pPr>
        <w:pStyle w:val="EndnoteText"/>
      </w:pPr>
      <w:r>
        <w:rPr>
          <w:rStyle w:val="EndnoteReference"/>
        </w:rPr>
        <w:endnoteRef/>
      </w:r>
      <w:r>
        <w:t xml:space="preserve"> </w:t>
      </w:r>
      <w:r w:rsidR="006924B6">
        <w:rPr>
          <w:sz w:val="18"/>
          <w:szCs w:val="18"/>
        </w:rPr>
        <w:t>Australian Institute of Health and Welfare (A</w:t>
      </w:r>
      <w:r w:rsidR="006924B6" w:rsidRPr="00C0388C">
        <w:rPr>
          <w:sz w:val="18"/>
          <w:szCs w:val="18"/>
        </w:rPr>
        <w:t>IHW</w:t>
      </w:r>
      <w:r w:rsidR="006924B6">
        <w:rPr>
          <w:sz w:val="18"/>
          <w:szCs w:val="18"/>
        </w:rPr>
        <w:t>)</w:t>
      </w:r>
      <w:r w:rsidR="006924B6" w:rsidRPr="00C0388C">
        <w:rPr>
          <w:sz w:val="18"/>
          <w:szCs w:val="18"/>
        </w:rPr>
        <w:t xml:space="preserve"> </w:t>
      </w:r>
      <w:r w:rsidR="006071CC" w:rsidRPr="001E2AED">
        <w:rPr>
          <w:sz w:val="18"/>
          <w:szCs w:val="18"/>
        </w:rPr>
        <w:t xml:space="preserve"> (2025) </w:t>
      </w:r>
      <w:hyperlink r:id="rId4" w:history="1">
        <w:r w:rsidRPr="00D74A92">
          <w:rPr>
            <w:rStyle w:val="Hyperlink"/>
            <w:sz w:val="18"/>
            <w:szCs w:val="18"/>
          </w:rPr>
          <w:t>Hospital-in-the-home care</w:t>
        </w:r>
      </w:hyperlink>
    </w:p>
  </w:endnote>
  <w:endnote w:id="6">
    <w:p w14:paraId="6D7E7E20" w14:textId="77777777" w:rsidR="00F859E1" w:rsidRPr="00D74A92" w:rsidRDefault="00F859E1">
      <w:pPr>
        <w:pStyle w:val="EndnoteText"/>
        <w:rPr>
          <w:sz w:val="18"/>
          <w:szCs w:val="18"/>
        </w:rPr>
      </w:pPr>
      <w:r w:rsidRPr="00D74A92">
        <w:rPr>
          <w:rStyle w:val="EndnoteReference"/>
          <w:sz w:val="18"/>
          <w:szCs w:val="18"/>
        </w:rPr>
        <w:endnoteRef/>
      </w:r>
      <w:r w:rsidRPr="00D74A92">
        <w:rPr>
          <w:sz w:val="18"/>
          <w:szCs w:val="18"/>
        </w:rPr>
        <w:t xml:space="preserve"> </w:t>
      </w:r>
      <w:r w:rsidR="0059466C" w:rsidRPr="00D74A92">
        <w:rPr>
          <w:sz w:val="18"/>
          <w:szCs w:val="18"/>
        </w:rPr>
        <w:t xml:space="preserve">NSW Government (2025). </w:t>
      </w:r>
      <w:hyperlink r:id="rId5" w:history="1">
        <w:r w:rsidRPr="00D74A92">
          <w:rPr>
            <w:rStyle w:val="Hyperlink"/>
            <w:sz w:val="18"/>
            <w:szCs w:val="18"/>
          </w:rPr>
          <w:t>3095-Chemotherapy safety at home | eviQ</w:t>
        </w:r>
      </w:hyperlink>
    </w:p>
  </w:endnote>
  <w:endnote w:id="7">
    <w:p w14:paraId="28B971E9" w14:textId="3C8FD987" w:rsidR="00DD2E20" w:rsidRPr="001B06D0" w:rsidRDefault="00DD2E20">
      <w:pPr>
        <w:pStyle w:val="EndnoteText"/>
        <w:rPr>
          <w:sz w:val="18"/>
          <w:szCs w:val="18"/>
        </w:rPr>
      </w:pPr>
      <w:r w:rsidRPr="001B06D0">
        <w:rPr>
          <w:rStyle w:val="EndnoteReference"/>
          <w:sz w:val="18"/>
          <w:szCs w:val="18"/>
        </w:rPr>
        <w:endnoteRef/>
      </w:r>
      <w:r w:rsidRPr="001B06D0">
        <w:rPr>
          <w:sz w:val="18"/>
          <w:szCs w:val="18"/>
        </w:rPr>
        <w:t xml:space="preserve"> </w:t>
      </w:r>
      <w:r w:rsidR="006924B6">
        <w:rPr>
          <w:sz w:val="18"/>
          <w:szCs w:val="18"/>
        </w:rPr>
        <w:t>Australian Institute of Health and Welfare (A</w:t>
      </w:r>
      <w:r w:rsidR="006924B6" w:rsidRPr="00C0388C">
        <w:rPr>
          <w:sz w:val="18"/>
          <w:szCs w:val="18"/>
        </w:rPr>
        <w:t>IHW</w:t>
      </w:r>
      <w:r w:rsidR="006924B6">
        <w:rPr>
          <w:sz w:val="18"/>
          <w:szCs w:val="18"/>
        </w:rPr>
        <w:t>)</w:t>
      </w:r>
      <w:r w:rsidR="006924B6" w:rsidRPr="00C0388C">
        <w:rPr>
          <w:sz w:val="18"/>
          <w:szCs w:val="18"/>
        </w:rPr>
        <w:t xml:space="preserve"> </w:t>
      </w:r>
      <w:r w:rsidRPr="001B06D0">
        <w:rPr>
          <w:sz w:val="18"/>
          <w:szCs w:val="18"/>
        </w:rPr>
        <w:t xml:space="preserve"> </w:t>
      </w:r>
      <w:r w:rsidR="001B06D0" w:rsidRPr="001B06D0">
        <w:rPr>
          <w:sz w:val="18"/>
          <w:szCs w:val="18"/>
        </w:rPr>
        <w:t xml:space="preserve">(2024). </w:t>
      </w:r>
      <w:hyperlink r:id="rId6" w:history="1">
        <w:r w:rsidRPr="001B06D0">
          <w:rPr>
            <w:rStyle w:val="Hyperlink"/>
            <w:sz w:val="18"/>
            <w:szCs w:val="18"/>
          </w:rPr>
          <w:t>Cancer Glossary - Australian Institute of Health and Welfare</w:t>
        </w:r>
      </w:hyperlink>
    </w:p>
  </w:endnote>
  <w:endnote w:id="8">
    <w:p w14:paraId="6D53BADA" w14:textId="77777777" w:rsidR="00417E96" w:rsidRPr="00D74A92" w:rsidRDefault="00417E96">
      <w:pPr>
        <w:pStyle w:val="EndnoteText"/>
        <w:rPr>
          <w:sz w:val="18"/>
          <w:szCs w:val="18"/>
        </w:rPr>
      </w:pPr>
      <w:r w:rsidRPr="00D74A92">
        <w:rPr>
          <w:rStyle w:val="EndnoteReference"/>
          <w:sz w:val="18"/>
          <w:szCs w:val="18"/>
        </w:rPr>
        <w:endnoteRef/>
      </w:r>
      <w:r w:rsidRPr="00D74A92">
        <w:rPr>
          <w:sz w:val="18"/>
          <w:szCs w:val="18"/>
        </w:rPr>
        <w:t xml:space="preserve"> Cancer Council</w:t>
      </w:r>
      <w:r w:rsidR="00A968FC" w:rsidRPr="00D74A92">
        <w:rPr>
          <w:sz w:val="18"/>
          <w:szCs w:val="18"/>
        </w:rPr>
        <w:t>.</w:t>
      </w:r>
      <w:r w:rsidRPr="00D74A92">
        <w:rPr>
          <w:sz w:val="18"/>
          <w:szCs w:val="18"/>
        </w:rPr>
        <w:t xml:space="preserve"> </w:t>
      </w:r>
      <w:hyperlink r:id="rId7" w:history="1">
        <w:r w:rsidR="00A968FC" w:rsidRPr="00D74A92">
          <w:rPr>
            <w:rStyle w:val="Hyperlink"/>
            <w:sz w:val="18"/>
            <w:szCs w:val="18"/>
          </w:rPr>
          <w:t>Chemotherapy | Cancer Council Australia</w:t>
        </w:r>
      </w:hyperlink>
    </w:p>
  </w:endnote>
  <w:endnote w:id="9">
    <w:p w14:paraId="40343AC7" w14:textId="77777777" w:rsidR="007E23B9" w:rsidRPr="00C83192" w:rsidRDefault="007E23B9">
      <w:pPr>
        <w:pStyle w:val="EndnoteText"/>
        <w:rPr>
          <w:sz w:val="18"/>
          <w:szCs w:val="18"/>
        </w:rPr>
      </w:pPr>
      <w:r w:rsidRPr="00C83192">
        <w:rPr>
          <w:rStyle w:val="EndnoteReference"/>
          <w:sz w:val="18"/>
          <w:szCs w:val="18"/>
        </w:rPr>
        <w:endnoteRef/>
      </w:r>
      <w:r w:rsidRPr="00C83192">
        <w:rPr>
          <w:sz w:val="18"/>
          <w:szCs w:val="18"/>
        </w:rPr>
        <w:t xml:space="preserve"> Australian Government Services Australia</w:t>
      </w:r>
      <w:r w:rsidR="00C83192" w:rsidRPr="00C83192">
        <w:rPr>
          <w:sz w:val="18"/>
          <w:szCs w:val="18"/>
        </w:rPr>
        <w:t xml:space="preserve"> (2026). </w:t>
      </w:r>
      <w:hyperlink r:id="rId8" w:history="1">
        <w:r w:rsidRPr="00C83192">
          <w:rPr>
            <w:rStyle w:val="Hyperlink"/>
            <w:sz w:val="18"/>
            <w:szCs w:val="18"/>
          </w:rPr>
          <w:t>MBS billing for aftercare or post-operative treatment - Health professionals - Services Australia</w:t>
        </w:r>
      </w:hyperlink>
    </w:p>
  </w:endnote>
  <w:endnote w:id="10">
    <w:p w14:paraId="2EBFA841" w14:textId="7598E11D" w:rsidR="00C444D1" w:rsidRPr="00BD2094" w:rsidRDefault="00C444D1" w:rsidP="00F97C16">
      <w:pPr>
        <w:pStyle w:val="EndnoteText"/>
        <w:rPr>
          <w:b/>
          <w:bCs/>
          <w:sz w:val="18"/>
          <w:szCs w:val="18"/>
        </w:rPr>
      </w:pPr>
      <w:r w:rsidRPr="001E2AED">
        <w:rPr>
          <w:rStyle w:val="EndnoteReference"/>
          <w:sz w:val="18"/>
          <w:szCs w:val="18"/>
        </w:rPr>
        <w:endnoteRef/>
      </w:r>
      <w:r w:rsidR="00141956" w:rsidRPr="001E2AED">
        <w:rPr>
          <w:sz w:val="18"/>
          <w:szCs w:val="18"/>
        </w:rPr>
        <w:t xml:space="preserve"> </w:t>
      </w:r>
      <w:r w:rsidR="006924B6">
        <w:rPr>
          <w:sz w:val="18"/>
          <w:szCs w:val="18"/>
        </w:rPr>
        <w:t>Australian Institute of Health and Welfare (A</w:t>
      </w:r>
      <w:r w:rsidR="006924B6" w:rsidRPr="00C0388C">
        <w:rPr>
          <w:sz w:val="18"/>
          <w:szCs w:val="18"/>
        </w:rPr>
        <w:t>IHW</w:t>
      </w:r>
      <w:r w:rsidR="006924B6">
        <w:rPr>
          <w:sz w:val="18"/>
          <w:szCs w:val="18"/>
        </w:rPr>
        <w:t>)</w:t>
      </w:r>
      <w:r w:rsidR="006924B6" w:rsidRPr="00C0388C">
        <w:rPr>
          <w:sz w:val="18"/>
          <w:szCs w:val="18"/>
        </w:rPr>
        <w:t xml:space="preserve"> </w:t>
      </w:r>
      <w:r w:rsidR="00734504" w:rsidRPr="001E2AED">
        <w:rPr>
          <w:sz w:val="18"/>
          <w:szCs w:val="18"/>
        </w:rPr>
        <w:t xml:space="preserve"> (202</w:t>
      </w:r>
      <w:r w:rsidR="00D6637E" w:rsidRPr="001E2AED">
        <w:rPr>
          <w:sz w:val="18"/>
          <w:szCs w:val="18"/>
        </w:rPr>
        <w:t>5)</w:t>
      </w:r>
      <w:r w:rsidRPr="001E2AED">
        <w:rPr>
          <w:sz w:val="18"/>
          <w:szCs w:val="18"/>
        </w:rPr>
        <w:t xml:space="preserve"> </w:t>
      </w:r>
      <w:hyperlink r:id="rId9" w:history="1">
        <w:r w:rsidR="00141956" w:rsidRPr="001E2AED">
          <w:rPr>
            <w:rStyle w:val="Hyperlink"/>
            <w:sz w:val="18"/>
            <w:szCs w:val="18"/>
          </w:rPr>
          <w:t>Multimorbidity in Australia, How common is multimorbidity? - Australian Institute of Health and Welfare</w:t>
        </w:r>
      </w:hyperlink>
      <w:r w:rsidR="00D6637E" w:rsidRPr="001E2AED">
        <w:rPr>
          <w:sz w:val="18"/>
          <w:szCs w:val="18"/>
        </w:rPr>
        <w:t>, Figure</w:t>
      </w:r>
      <w:r w:rsidR="00D6637E" w:rsidRPr="000D604B">
        <w:rPr>
          <w:sz w:val="18"/>
          <w:szCs w:val="18"/>
        </w:rPr>
        <w:t xml:space="preserve"> 4</w:t>
      </w:r>
      <w:r w:rsidR="00567D47" w:rsidRPr="000D604B">
        <w:rPr>
          <w:sz w:val="18"/>
          <w:szCs w:val="18"/>
        </w:rPr>
        <w:t xml:space="preserve"> Proportion of people living with multimorbidity by age group and sex, 2022</w:t>
      </w:r>
    </w:p>
  </w:endnote>
  <w:endnote w:id="11">
    <w:p w14:paraId="09A695CA" w14:textId="77777777" w:rsidR="00EE736B" w:rsidRPr="000D604B" w:rsidRDefault="00EE736B" w:rsidP="00F97C16">
      <w:pPr>
        <w:pStyle w:val="EndnoteText"/>
        <w:rPr>
          <w:sz w:val="18"/>
          <w:szCs w:val="18"/>
        </w:rPr>
      </w:pPr>
      <w:r w:rsidRPr="000D604B">
        <w:rPr>
          <w:rStyle w:val="EndnoteReference"/>
          <w:sz w:val="18"/>
          <w:szCs w:val="18"/>
        </w:rPr>
        <w:endnoteRef/>
      </w:r>
      <w:r w:rsidRPr="000D604B">
        <w:rPr>
          <w:sz w:val="18"/>
          <w:szCs w:val="18"/>
        </w:rPr>
        <w:t xml:space="preserve"> </w:t>
      </w:r>
      <w:r w:rsidR="005132BF">
        <w:rPr>
          <w:sz w:val="18"/>
          <w:szCs w:val="18"/>
        </w:rPr>
        <w:t xml:space="preserve">Hospital Casemix Protocol 1, as at </w:t>
      </w:r>
      <w:r w:rsidR="00B56639">
        <w:rPr>
          <w:sz w:val="18"/>
          <w:szCs w:val="18"/>
        </w:rPr>
        <w:t>May 2026</w:t>
      </w:r>
      <w:r w:rsidR="007710D7">
        <w:rPr>
          <w:sz w:val="18"/>
          <w:szCs w:val="18"/>
        </w:rPr>
        <w:t xml:space="preserve">; </w:t>
      </w:r>
      <w:r w:rsidR="00FF531D" w:rsidRPr="000D604B">
        <w:rPr>
          <w:sz w:val="18"/>
          <w:szCs w:val="18"/>
        </w:rPr>
        <w:t xml:space="preserve">In 2024/25, approximately one third of all separations, where the Type C procedure was the </w:t>
      </w:r>
      <w:r w:rsidR="00BA0952">
        <w:rPr>
          <w:sz w:val="18"/>
          <w:szCs w:val="18"/>
        </w:rPr>
        <w:t>‘</w:t>
      </w:r>
      <w:r w:rsidR="00FF531D" w:rsidRPr="000D604B">
        <w:rPr>
          <w:sz w:val="18"/>
          <w:szCs w:val="18"/>
        </w:rPr>
        <w:t>highest</w:t>
      </w:r>
      <w:r w:rsidR="00BA0952">
        <w:rPr>
          <w:sz w:val="18"/>
          <w:szCs w:val="18"/>
        </w:rPr>
        <w:t>’</w:t>
      </w:r>
      <w:r w:rsidR="00FF531D" w:rsidRPr="000D604B">
        <w:rPr>
          <w:sz w:val="18"/>
          <w:szCs w:val="18"/>
        </w:rPr>
        <w:t xml:space="preserve"> claimed MBS item</w:t>
      </w:r>
      <w:r w:rsidR="006005B3">
        <w:rPr>
          <w:sz w:val="18"/>
          <w:szCs w:val="18"/>
        </w:rPr>
        <w:t xml:space="preserve"> (i.e. </w:t>
      </w:r>
      <w:r w:rsidR="005445FD">
        <w:rPr>
          <w:sz w:val="18"/>
          <w:szCs w:val="18"/>
        </w:rPr>
        <w:t xml:space="preserve">there was no </w:t>
      </w:r>
      <w:r w:rsidR="00FA283E">
        <w:rPr>
          <w:sz w:val="18"/>
          <w:szCs w:val="18"/>
        </w:rPr>
        <w:t xml:space="preserve">co-claimed </w:t>
      </w:r>
      <w:r w:rsidR="005445FD">
        <w:rPr>
          <w:sz w:val="18"/>
          <w:szCs w:val="18"/>
        </w:rPr>
        <w:t>Type A or B procedure)</w:t>
      </w:r>
      <w:r w:rsidR="00FF531D" w:rsidRPr="000D604B">
        <w:rPr>
          <w:sz w:val="18"/>
          <w:szCs w:val="18"/>
        </w:rPr>
        <w:t>, were delivered to patients aged 75 years and older</w:t>
      </w:r>
      <w:r w:rsidR="008C3A38">
        <w:rPr>
          <w:sz w:val="18"/>
          <w:szCs w:val="18"/>
        </w:rPr>
        <w:t>.</w:t>
      </w:r>
    </w:p>
  </w:endnote>
  <w:endnote w:id="12">
    <w:p w14:paraId="56CD277F" w14:textId="77777777" w:rsidR="0007296A" w:rsidRPr="00BD2094" w:rsidRDefault="0007296A" w:rsidP="00BD2094">
      <w:pPr>
        <w:spacing w:before="0" w:after="0" w:line="240" w:lineRule="auto"/>
        <w:rPr>
          <w:rFonts w:cs="Arial"/>
          <w:sz w:val="18"/>
          <w:szCs w:val="18"/>
        </w:rPr>
      </w:pPr>
      <w:r w:rsidRPr="000D604B">
        <w:rPr>
          <w:rStyle w:val="EndnoteReference"/>
          <w:sz w:val="18"/>
          <w:szCs w:val="18"/>
        </w:rPr>
        <w:endnoteRef/>
      </w:r>
      <w:r w:rsidRPr="000D604B">
        <w:rPr>
          <w:sz w:val="18"/>
          <w:szCs w:val="18"/>
        </w:rPr>
        <w:t xml:space="preserve"> </w:t>
      </w:r>
      <w:hyperlink r:id="rId10" w:history="1">
        <w:r w:rsidRPr="000D604B">
          <w:rPr>
            <w:rStyle w:val="Hyperlink"/>
            <w:rFonts w:cs="Arial"/>
            <w:sz w:val="18"/>
            <w:szCs w:val="18"/>
          </w:rPr>
          <w:t>TN.1.19</w:t>
        </w:r>
      </w:hyperlink>
      <w:r w:rsidR="00687233">
        <w:rPr>
          <w:rFonts w:cs="Arial"/>
          <w:sz w:val="18"/>
          <w:szCs w:val="18"/>
        </w:rPr>
        <w:t xml:space="preserve">: </w:t>
      </w:r>
      <w:r w:rsidRPr="000D604B">
        <w:rPr>
          <w:rFonts w:cs="Arial"/>
          <w:sz w:val="18"/>
          <w:szCs w:val="18"/>
        </w:rPr>
        <w:t>Item 14245 applies only to a service provided by a medical practitioner who is registered by Services Australia's CEO to participate in the arrangements made, under paragraph 100 (1) (b) of the National Health Act 1953, for the purpose of providing an adequate pharmaceutical service for persons requiring treatment with an immunomodulating agent.</w:t>
      </w:r>
      <w:r w:rsidR="00BD2094">
        <w:rPr>
          <w:rFonts w:cs="Arial"/>
          <w:sz w:val="18"/>
          <w:szCs w:val="18"/>
        </w:rPr>
        <w:t xml:space="preserve"> </w:t>
      </w:r>
      <w:r w:rsidRPr="000D604B">
        <w:rPr>
          <w:rFonts w:cs="Arial"/>
          <w:sz w:val="18"/>
          <w:szCs w:val="18"/>
        </w:rPr>
        <w:t>These drugs are associated with risk of anaphylaxis which must be treated by a medical practitioner. For this reason a medical practitioner needs to be available at all times during the infusion in case of an emergency</w:t>
      </w:r>
      <w:r w:rsidR="00BD2094">
        <w:rPr>
          <w:rFonts w:cs="Arial"/>
          <w:sz w:val="18"/>
          <w:szCs w:val="18"/>
        </w:rPr>
        <w:t>.</w:t>
      </w:r>
      <w:r w:rsidRPr="000D604B">
        <w:rPr>
          <w:rFonts w:cs="Arial"/>
          <w:sz w:val="18"/>
          <w:szCs w:val="18"/>
        </w:rPr>
        <w:t>’</w:t>
      </w:r>
    </w:p>
  </w:endnote>
  <w:endnote w:id="13">
    <w:p w14:paraId="1771070F" w14:textId="77777777" w:rsidR="000B7A7E" w:rsidRDefault="000B7A7E">
      <w:pPr>
        <w:pStyle w:val="EndnoteText"/>
      </w:pPr>
      <w:r>
        <w:rPr>
          <w:rStyle w:val="EndnoteReference"/>
        </w:rPr>
        <w:endnoteRef/>
      </w:r>
      <w:r>
        <w:t xml:space="preserve"> </w:t>
      </w:r>
      <w:r w:rsidRPr="00EE7B26">
        <w:rPr>
          <w:sz w:val="18"/>
          <w:szCs w:val="18"/>
        </w:rPr>
        <w:t xml:space="preserve">Department of Health, Disability and Aged Care (2026) </w:t>
      </w:r>
      <w:hyperlink r:id="rId11" w:history="1">
        <w:r w:rsidR="00F34FE5" w:rsidRPr="00EE7B26">
          <w:rPr>
            <w:rStyle w:val="Hyperlink"/>
            <w:sz w:val="18"/>
            <w:szCs w:val="18"/>
          </w:rPr>
          <w:t>List of Declared Hospitals</w:t>
        </w:r>
      </w:hyperlink>
      <w:r w:rsidR="00F34FE5" w:rsidRPr="00EE7B26">
        <w:rPr>
          <w:sz w:val="18"/>
          <w:szCs w:val="18"/>
        </w:rPr>
        <w:t xml:space="preserve"> as at 30 April 2026.</w:t>
      </w:r>
      <w:r w:rsidR="00F34FE5">
        <w:t xml:space="preserve"> </w:t>
      </w:r>
    </w:p>
  </w:endnote>
  <w:endnote w:id="14">
    <w:p w14:paraId="66288EB5" w14:textId="77777777" w:rsidR="004712C2" w:rsidRDefault="004712C2">
      <w:pPr>
        <w:pStyle w:val="EndnoteText"/>
      </w:pPr>
      <w:r>
        <w:rPr>
          <w:rStyle w:val="EndnoteReference"/>
        </w:rPr>
        <w:endnoteRef/>
      </w:r>
      <w:r>
        <w:t xml:space="preserve"> </w:t>
      </w:r>
      <w:r w:rsidRPr="00EE7B26">
        <w:rPr>
          <w:sz w:val="18"/>
          <w:szCs w:val="18"/>
        </w:rPr>
        <w:t xml:space="preserve">Hospital Casemix Protocol 1, as at </w:t>
      </w:r>
      <w:r w:rsidR="002A4BD5" w:rsidRPr="00EE7B26">
        <w:rPr>
          <w:sz w:val="18"/>
          <w:szCs w:val="18"/>
        </w:rPr>
        <w:t>June 2026</w:t>
      </w:r>
      <w:r w:rsidR="002A09C7" w:rsidRPr="00EE7B26">
        <w:rPr>
          <w:sz w:val="18"/>
          <w:szCs w:val="18"/>
        </w:rPr>
        <w:t>, Departmental analysis on private hospital separations and charges by Modified Monash Model.</w:t>
      </w:r>
    </w:p>
  </w:endnote>
  <w:endnote w:id="15">
    <w:p w14:paraId="3CF7A1CD" w14:textId="77777777" w:rsidR="00250CCF" w:rsidRDefault="00250CCF" w:rsidP="00F97C16">
      <w:pPr>
        <w:pStyle w:val="EndnoteText"/>
      </w:pPr>
      <w:r w:rsidRPr="00BD2094">
        <w:rPr>
          <w:rStyle w:val="EndnoteReference"/>
          <w:sz w:val="18"/>
          <w:szCs w:val="18"/>
        </w:rPr>
        <w:endnoteRef/>
      </w:r>
      <w:r w:rsidRPr="00BD2094">
        <w:rPr>
          <w:sz w:val="18"/>
          <w:szCs w:val="18"/>
        </w:rPr>
        <w:t xml:space="preserve"> </w:t>
      </w:r>
      <w:r w:rsidRPr="000D604B">
        <w:rPr>
          <w:sz w:val="18"/>
          <w:szCs w:val="18"/>
        </w:rPr>
        <w:t xml:space="preserve">Department of Health, Disability and Aged Care (2025). </w:t>
      </w:r>
      <w:hyperlink r:id="rId12" w:history="1">
        <w:r w:rsidRPr="000D604B">
          <w:rPr>
            <w:rStyle w:val="Hyperlink"/>
            <w:sz w:val="18"/>
            <w:szCs w:val="18"/>
          </w:rPr>
          <w:t>Health Legislation Amendment (Improving Choice and Transparency for Private Health Consumers) Bill 2026 – Parliament of Australia</w:t>
        </w:r>
      </w:hyperlink>
    </w:p>
  </w:endnote>
  <w:endnote w:id="16">
    <w:p w14:paraId="03070C78" w14:textId="77777777" w:rsidR="006477D1" w:rsidRPr="006477D1" w:rsidRDefault="006477D1">
      <w:pPr>
        <w:pStyle w:val="EndnoteText"/>
        <w:rPr>
          <w:sz w:val="18"/>
          <w:szCs w:val="18"/>
        </w:rPr>
      </w:pPr>
      <w:r w:rsidRPr="006477D1">
        <w:rPr>
          <w:rStyle w:val="EndnoteReference"/>
          <w:sz w:val="18"/>
          <w:szCs w:val="18"/>
        </w:rPr>
        <w:endnoteRef/>
      </w:r>
      <w:r w:rsidRPr="006477D1">
        <w:rPr>
          <w:sz w:val="18"/>
          <w:szCs w:val="18"/>
        </w:rPr>
        <w:t xml:space="preserve"> Finity Consulting, Risk equalisation: Final report for the Department of Health and Aged Care (2022)</w:t>
      </w:r>
      <w:r>
        <w:rPr>
          <w:sz w:val="18"/>
          <w:szCs w:val="18"/>
        </w:rPr>
        <w:t>.</w:t>
      </w:r>
      <w:r w:rsidRPr="006477D1">
        <w:rPr>
          <w:sz w:val="18"/>
          <w:szCs w:val="18"/>
        </w:rPr>
        <w:t xml:space="preserve"> </w:t>
      </w:r>
      <w:hyperlink r:id="rId13" w:history="1">
        <w:r w:rsidRPr="006477D1">
          <w:rPr>
            <w:rStyle w:val="Hyperlink"/>
            <w:sz w:val="18"/>
            <w:szCs w:val="18"/>
          </w:rPr>
          <w:t>https://consultations.health.gov.au/medical-benefits-division/consultation-on-phi-studies/</w:t>
        </w:r>
      </w:hyperlink>
    </w:p>
  </w:endnote>
  <w:endnote w:id="17">
    <w:p w14:paraId="407606A6" w14:textId="77777777" w:rsidR="00F97CB8" w:rsidRDefault="00F97CB8">
      <w:pPr>
        <w:pStyle w:val="EndnoteText"/>
      </w:pPr>
      <w:r>
        <w:rPr>
          <w:rStyle w:val="EndnoteReference"/>
        </w:rPr>
        <w:endnoteRef/>
      </w:r>
      <w:r>
        <w:t xml:space="preserve"> </w:t>
      </w:r>
      <w:r w:rsidRPr="00A83B2A">
        <w:rPr>
          <w:sz w:val="18"/>
          <w:szCs w:val="18"/>
        </w:rPr>
        <w:t>Department of Health, Disability and Aged Care (202</w:t>
      </w:r>
      <w:r w:rsidR="000A372E">
        <w:rPr>
          <w:sz w:val="18"/>
          <w:szCs w:val="18"/>
        </w:rPr>
        <w:t>2</w:t>
      </w:r>
      <w:r w:rsidRPr="00A83B2A">
        <w:rPr>
          <w:sz w:val="18"/>
          <w:szCs w:val="18"/>
        </w:rPr>
        <w:t>)</w:t>
      </w:r>
      <w:r w:rsidRPr="00987DB2">
        <w:rPr>
          <w:sz w:val="18"/>
          <w:szCs w:val="18"/>
        </w:rPr>
        <w:t>.</w:t>
      </w:r>
      <w:r w:rsidRPr="000A372E">
        <w:rPr>
          <w:sz w:val="18"/>
          <w:szCs w:val="18"/>
        </w:rPr>
        <w:t xml:space="preserve"> </w:t>
      </w:r>
      <w:hyperlink r:id="rId14" w:history="1">
        <w:r w:rsidRPr="000A372E">
          <w:rPr>
            <w:rStyle w:val="Hyperlink"/>
            <w:sz w:val="18"/>
            <w:szCs w:val="18"/>
          </w:rPr>
          <w:t>Consultation on the Private Health Insurance (PHI) Actuarial Study into Risk Equalisation - Australian Government Department of Health, Disability and Ageing - Citizen Space</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49EB" w14:textId="77777777" w:rsidR="00715110" w:rsidRDefault="00744DB4">
    <w:pPr>
      <w:pStyle w:val="Footer"/>
    </w:pPr>
    <w:r>
      <w:rPr>
        <w:noProof/>
      </w:rPr>
      <mc:AlternateContent>
        <mc:Choice Requires="wps">
          <w:drawing>
            <wp:anchor distT="0" distB="0" distL="0" distR="0" simplePos="0" relativeHeight="251658245" behindDoc="0" locked="0" layoutInCell="1" allowOverlap="1" wp14:anchorId="6C38E4DB" wp14:editId="3E87E8E5">
              <wp:simplePos x="635" y="635"/>
              <wp:positionH relativeFrom="page">
                <wp:align>center</wp:align>
              </wp:positionH>
              <wp:positionV relativeFrom="page">
                <wp:align>bottom</wp:align>
              </wp:positionV>
              <wp:extent cx="622300" cy="480695"/>
              <wp:effectExtent l="0" t="0" r="6350" b="0"/>
              <wp:wrapNone/>
              <wp:docPr id="48679129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DCCBA2D" w14:textId="77777777" w:rsidR="00744DB4" w:rsidRPr="00744DB4" w:rsidRDefault="00744DB4" w:rsidP="00744DB4">
                          <w:pPr>
                            <w:spacing w:after="0"/>
                            <w:rPr>
                              <w:rFonts w:ascii="Aptos" w:eastAsia="Aptos" w:hAnsi="Aptos" w:cs="Aptos"/>
                              <w:noProof/>
                              <w:color w:val="FF0000"/>
                              <w:sz w:val="24"/>
                            </w:rPr>
                          </w:pPr>
                          <w:r w:rsidRPr="00744DB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8E4DB"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0DCCBA2D" w14:textId="77777777" w:rsidR="00744DB4" w:rsidRPr="00744DB4" w:rsidRDefault="00744DB4" w:rsidP="00744DB4">
                    <w:pPr>
                      <w:spacing w:after="0"/>
                      <w:rPr>
                        <w:rFonts w:ascii="Aptos" w:eastAsia="Aptos" w:hAnsi="Aptos" w:cs="Aptos"/>
                        <w:noProof/>
                        <w:color w:val="FF0000"/>
                        <w:sz w:val="24"/>
                      </w:rPr>
                    </w:pPr>
                    <w:r w:rsidRPr="00744DB4">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2315" w14:textId="77777777" w:rsidR="00715110" w:rsidRDefault="00744DB4">
    <w:pPr>
      <w:pStyle w:val="Footer"/>
    </w:pPr>
    <w:r>
      <w:rPr>
        <w:noProof/>
      </w:rPr>
      <mc:AlternateContent>
        <mc:Choice Requires="wps">
          <w:drawing>
            <wp:anchor distT="0" distB="0" distL="0" distR="0" simplePos="0" relativeHeight="251658246" behindDoc="0" locked="0" layoutInCell="1" allowOverlap="1" wp14:anchorId="06224096" wp14:editId="7EFE671D">
              <wp:simplePos x="635" y="635"/>
              <wp:positionH relativeFrom="page">
                <wp:align>center</wp:align>
              </wp:positionH>
              <wp:positionV relativeFrom="page">
                <wp:align>bottom</wp:align>
              </wp:positionV>
              <wp:extent cx="622300" cy="480695"/>
              <wp:effectExtent l="0" t="0" r="6350" b="0"/>
              <wp:wrapNone/>
              <wp:docPr id="70408552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55A6418" w14:textId="77777777" w:rsidR="00744DB4" w:rsidRPr="00744DB4" w:rsidRDefault="00744DB4" w:rsidP="00744DB4">
                          <w:pPr>
                            <w:spacing w:after="0"/>
                            <w:rPr>
                              <w:rFonts w:ascii="Aptos" w:eastAsia="Aptos" w:hAnsi="Aptos" w:cs="Aptos"/>
                              <w:noProof/>
                              <w:color w:val="FF0000"/>
                              <w:sz w:val="24"/>
                            </w:rPr>
                          </w:pPr>
                          <w:r w:rsidRPr="00744DB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24096"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37.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155A6418" w14:textId="77777777" w:rsidR="00744DB4" w:rsidRPr="00744DB4" w:rsidRDefault="00744DB4" w:rsidP="00744DB4">
                    <w:pPr>
                      <w:spacing w:after="0"/>
                      <w:rPr>
                        <w:rFonts w:ascii="Aptos" w:eastAsia="Aptos" w:hAnsi="Aptos" w:cs="Aptos"/>
                        <w:noProof/>
                        <w:color w:val="FF0000"/>
                        <w:sz w:val="24"/>
                      </w:rPr>
                    </w:pPr>
                    <w:r w:rsidRPr="00744DB4">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7F67" w14:textId="7E6C2490" w:rsidR="00715110" w:rsidRDefault="007151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8F5B" w14:textId="40D7F4C9" w:rsidR="00751A23" w:rsidRPr="00751A23" w:rsidRDefault="00AA64DB" w:rsidP="000C72FD">
    <w:pPr>
      <w:pStyle w:val="Footer"/>
      <w:jc w:val="center"/>
    </w:pPr>
    <w:sdt>
      <w:sdtPr>
        <w:id w:val="-443848716"/>
        <w:docPartObj>
          <w:docPartGallery w:val="Page Numbers (Bottom of Page)"/>
          <w:docPartUnique/>
        </w:docPartObj>
      </w:sdtPr>
      <w:sdtEndPr>
        <w:rPr>
          <w:noProof/>
        </w:rPr>
      </w:sdtEndPr>
      <w:sdtContent>
        <w:r w:rsidR="00027163" w:rsidRPr="00027163">
          <w:rPr>
            <w:bCs/>
          </w:rPr>
          <w:t>Private Health Sector Reform – Consultation Paper 1</w:t>
        </w:r>
        <w:r w:rsidR="00837D5F">
          <w:rPr>
            <w:bCs/>
          </w:rPr>
          <w:t xml:space="preserve"> – </w:t>
        </w:r>
        <w:r w:rsidR="002161F9">
          <w:rPr>
            <w:bCs/>
          </w:rPr>
          <w:t>2</w:t>
        </w:r>
        <w:r w:rsidR="00631DFD">
          <w:rPr>
            <w:bCs/>
          </w:rPr>
          <w:t xml:space="preserve"> </w:t>
        </w:r>
        <w:r w:rsidR="00837D5F">
          <w:rPr>
            <w:bCs/>
          </w:rPr>
          <w:t>Ju</w:t>
        </w:r>
        <w:r w:rsidR="000C72FD">
          <w:rPr>
            <w:bCs/>
          </w:rPr>
          <w:t>ly</w:t>
        </w:r>
        <w:r w:rsidR="00837D5F">
          <w:rPr>
            <w:bCs/>
          </w:rPr>
          <w:t xml:space="preserve"> 2026</w:t>
        </w:r>
        <w:r w:rsidR="00751A23" w:rsidRPr="00027163">
          <w:tab/>
        </w:r>
        <w:r w:rsidR="00751A23" w:rsidRPr="00027163">
          <w:fldChar w:fldCharType="begin"/>
        </w:r>
        <w:r w:rsidR="00751A23" w:rsidRPr="00027163">
          <w:instrText xml:space="preserve"> PAGE   \* MERGEFORMAT </w:instrText>
        </w:r>
        <w:r w:rsidR="00751A23" w:rsidRPr="00027163">
          <w:fldChar w:fldCharType="separate"/>
        </w:r>
        <w:r w:rsidR="007B3D03" w:rsidRPr="00027163">
          <w:rPr>
            <w:noProof/>
          </w:rPr>
          <w:t>2</w:t>
        </w:r>
        <w:r w:rsidR="00751A23" w:rsidRPr="0002716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815A" w14:textId="77777777" w:rsidR="00AA64DB" w:rsidRDefault="00AA64DB" w:rsidP="00934368">
      <w:r>
        <w:separator/>
      </w:r>
    </w:p>
    <w:p w14:paraId="20705CF9" w14:textId="77777777" w:rsidR="00AA64DB" w:rsidRDefault="00AA64DB" w:rsidP="00934368"/>
  </w:footnote>
  <w:footnote w:type="continuationSeparator" w:id="0">
    <w:p w14:paraId="7A4AE5F9" w14:textId="77777777" w:rsidR="00AA64DB" w:rsidRDefault="00AA64DB" w:rsidP="00934368">
      <w:r>
        <w:continuationSeparator/>
      </w:r>
    </w:p>
    <w:p w14:paraId="26658568" w14:textId="77777777" w:rsidR="00AA64DB" w:rsidRDefault="00AA64DB" w:rsidP="00934368"/>
  </w:footnote>
  <w:footnote w:type="continuationNotice" w:id="1">
    <w:p w14:paraId="001BADF9" w14:textId="77777777" w:rsidR="00AA64DB" w:rsidRDefault="00AA64DB"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EC48" w14:textId="0F305389" w:rsidR="00715110" w:rsidRDefault="00744DB4">
    <w:pPr>
      <w:pStyle w:val="Header"/>
    </w:pPr>
    <w:r>
      <w:rPr>
        <w:noProof/>
      </w:rPr>
      <mc:AlternateContent>
        <mc:Choice Requires="wps">
          <w:drawing>
            <wp:anchor distT="0" distB="0" distL="0" distR="0" simplePos="0" relativeHeight="251658242" behindDoc="0" locked="0" layoutInCell="1" allowOverlap="1" wp14:anchorId="2B3D13BD" wp14:editId="5E159C8C">
              <wp:simplePos x="635" y="635"/>
              <wp:positionH relativeFrom="page">
                <wp:align>center</wp:align>
              </wp:positionH>
              <wp:positionV relativeFrom="page">
                <wp:align>top</wp:align>
              </wp:positionV>
              <wp:extent cx="622300" cy="480695"/>
              <wp:effectExtent l="0" t="0" r="6350" b="14605"/>
              <wp:wrapNone/>
              <wp:docPr id="15332802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AE33776" w14:textId="77777777" w:rsidR="00744DB4" w:rsidRPr="00744DB4" w:rsidRDefault="00744DB4" w:rsidP="00744DB4">
                          <w:pPr>
                            <w:spacing w:after="0"/>
                            <w:rPr>
                              <w:rFonts w:ascii="Aptos" w:eastAsia="Aptos" w:hAnsi="Aptos" w:cs="Aptos"/>
                              <w:noProof/>
                              <w:color w:val="FF0000"/>
                              <w:sz w:val="24"/>
                            </w:rPr>
                          </w:pPr>
                          <w:r w:rsidRPr="00744DB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3D13BD"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4AE33776" w14:textId="77777777" w:rsidR="00744DB4" w:rsidRPr="00744DB4" w:rsidRDefault="00744DB4" w:rsidP="00744DB4">
                    <w:pPr>
                      <w:spacing w:after="0"/>
                      <w:rPr>
                        <w:rFonts w:ascii="Aptos" w:eastAsia="Aptos" w:hAnsi="Aptos" w:cs="Aptos"/>
                        <w:noProof/>
                        <w:color w:val="FF0000"/>
                        <w:sz w:val="24"/>
                      </w:rPr>
                    </w:pPr>
                    <w:r w:rsidRPr="00744DB4">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E8A6" w14:textId="4C016F82" w:rsidR="00715110" w:rsidRDefault="00744DB4">
    <w:pPr>
      <w:pStyle w:val="Header"/>
    </w:pPr>
    <w:r>
      <w:rPr>
        <w:noProof/>
      </w:rPr>
      <mc:AlternateContent>
        <mc:Choice Requires="wps">
          <w:drawing>
            <wp:anchor distT="0" distB="0" distL="0" distR="0" simplePos="0" relativeHeight="251658243" behindDoc="0" locked="0" layoutInCell="1" allowOverlap="1" wp14:anchorId="1B2D6E79" wp14:editId="354EEAB5">
              <wp:simplePos x="635" y="635"/>
              <wp:positionH relativeFrom="page">
                <wp:align>center</wp:align>
              </wp:positionH>
              <wp:positionV relativeFrom="page">
                <wp:align>top</wp:align>
              </wp:positionV>
              <wp:extent cx="622300" cy="480695"/>
              <wp:effectExtent l="0" t="0" r="6350" b="14605"/>
              <wp:wrapNone/>
              <wp:docPr id="9372280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1C6F00F" w14:textId="77777777" w:rsidR="00744DB4" w:rsidRPr="00744DB4" w:rsidRDefault="00744DB4" w:rsidP="00744DB4">
                          <w:pPr>
                            <w:spacing w:after="0"/>
                            <w:rPr>
                              <w:rFonts w:ascii="Aptos" w:eastAsia="Aptos" w:hAnsi="Aptos" w:cs="Aptos"/>
                              <w:noProof/>
                              <w:color w:val="FF0000"/>
                              <w:sz w:val="24"/>
                            </w:rPr>
                          </w:pPr>
                          <w:r w:rsidRPr="00744DB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2D6E79"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11C6F00F" w14:textId="77777777" w:rsidR="00744DB4" w:rsidRPr="00744DB4" w:rsidRDefault="00744DB4" w:rsidP="00744DB4">
                    <w:pPr>
                      <w:spacing w:after="0"/>
                      <w:rPr>
                        <w:rFonts w:ascii="Aptos" w:eastAsia="Aptos" w:hAnsi="Aptos" w:cs="Aptos"/>
                        <w:noProof/>
                        <w:color w:val="FF0000"/>
                        <w:sz w:val="24"/>
                      </w:rPr>
                    </w:pPr>
                    <w:r w:rsidRPr="00744DB4">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469C" w14:textId="4C4813B0" w:rsidR="00751A23" w:rsidRDefault="00751A23" w:rsidP="00934368">
    <w:pPr>
      <w:pStyle w:val="Header"/>
    </w:pPr>
    <w:r>
      <w:rPr>
        <w:noProof/>
        <w:lang w:eastAsia="en-AU"/>
      </w:rPr>
      <w:drawing>
        <wp:anchor distT="0" distB="0" distL="114300" distR="114300" simplePos="0" relativeHeight="251658240" behindDoc="1" locked="0" layoutInCell="1" allowOverlap="1" wp14:anchorId="13BF03FD" wp14:editId="04282FEA">
          <wp:simplePos x="0" y="0"/>
          <wp:positionH relativeFrom="page">
            <wp:align>center</wp:align>
          </wp:positionH>
          <wp:positionV relativeFrom="page">
            <wp:align>center</wp:align>
          </wp:positionV>
          <wp:extent cx="7559245" cy="10692673"/>
          <wp:effectExtent l="0" t="0" r="0" b="1270"/>
          <wp:wrapNone/>
          <wp:docPr id="731763906" name="Picture 7317639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D7AC" w14:textId="6FDD438C" w:rsidR="005958B8" w:rsidRDefault="005958B8">
    <w:pPr>
      <w:pStyle w:val="Header"/>
    </w:pPr>
    <w:r>
      <w:rPr>
        <w:noProof/>
      </w:rPr>
      <mc:AlternateContent>
        <mc:Choice Requires="wps">
          <w:drawing>
            <wp:anchor distT="0" distB="0" distL="0" distR="0" simplePos="0" relativeHeight="251658247" behindDoc="0" locked="0" layoutInCell="1" allowOverlap="1" wp14:anchorId="47ACA0E9" wp14:editId="44A5DC64">
              <wp:simplePos x="635" y="635"/>
              <wp:positionH relativeFrom="page">
                <wp:align>center</wp:align>
              </wp:positionH>
              <wp:positionV relativeFrom="page">
                <wp:align>top</wp:align>
              </wp:positionV>
              <wp:extent cx="622300" cy="480695"/>
              <wp:effectExtent l="0" t="0" r="6350" b="14605"/>
              <wp:wrapNone/>
              <wp:docPr id="21377418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18A2DF8" w14:textId="77777777" w:rsidR="005958B8" w:rsidRPr="00744DB4" w:rsidRDefault="005958B8" w:rsidP="00744DB4">
                          <w:pPr>
                            <w:spacing w:after="0"/>
                            <w:rPr>
                              <w:rFonts w:ascii="Aptos" w:eastAsia="Aptos" w:hAnsi="Aptos" w:cs="Aptos"/>
                              <w:noProof/>
                              <w:color w:val="FF0000"/>
                              <w:sz w:val="24"/>
                            </w:rPr>
                          </w:pPr>
                          <w:r w:rsidRPr="00744DB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CA0E9" id="_x0000_t202" coordsize="21600,21600" o:spt="202" path="m,l,21600r21600,l21600,xe">
              <v:stroke joinstyle="miter"/>
              <v:path gradientshapeok="t" o:connecttype="rect"/>
            </v:shapetype>
            <v:shape id="_x0000_s1031" type="#_x0000_t202" alt="OFFICIAL" style="position:absolute;margin-left:0;margin-top:0;width:49pt;height:37.8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CHQYScDAIAABwEAAAO&#10;AAAAAAAAAAAAAAAAAC4CAABkcnMvZTJvRG9jLnhtbFBLAQItABQABgAIAAAAIQD+Sp1u2QAAAAMB&#10;AAAPAAAAAAAAAAAAAAAAAGYEAABkcnMvZG93bnJldi54bWxQSwUGAAAAAAQABADzAAAAbAUAAAAA&#10;" filled="f" stroked="f">
              <v:textbox style="mso-fit-shape-to-text:t" inset="0,15pt,0,0">
                <w:txbxContent>
                  <w:p w14:paraId="118A2DF8" w14:textId="77777777" w:rsidR="005958B8" w:rsidRPr="00744DB4" w:rsidRDefault="005958B8" w:rsidP="00744DB4">
                    <w:pPr>
                      <w:spacing w:after="0"/>
                      <w:rPr>
                        <w:rFonts w:ascii="Aptos" w:eastAsia="Aptos" w:hAnsi="Aptos" w:cs="Aptos"/>
                        <w:noProof/>
                        <w:color w:val="FF0000"/>
                        <w:sz w:val="24"/>
                      </w:rPr>
                    </w:pPr>
                    <w:r w:rsidRPr="00744DB4">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CD46" w14:textId="36CDA072" w:rsidR="008E0C77" w:rsidRDefault="008E0C77" w:rsidP="00B63C82">
    <w:pPr>
      <w:pStyle w:val="Headertext"/>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75D6" w14:textId="20978530" w:rsidR="005958B8" w:rsidRDefault="005958B8" w:rsidP="00934368">
    <w:pPr>
      <w:pStyle w:val="Header"/>
    </w:pPr>
    <w:r>
      <w:rPr>
        <w:noProof/>
        <w:lang w:eastAsia="en-AU"/>
      </w:rPr>
      <mc:AlternateContent>
        <mc:Choice Requires="wps">
          <w:drawing>
            <wp:anchor distT="0" distB="0" distL="0" distR="0" simplePos="0" relativeHeight="251658250" behindDoc="0" locked="0" layoutInCell="1" allowOverlap="1" wp14:anchorId="56E16581" wp14:editId="1FFFE314">
              <wp:simplePos x="904875" y="542925"/>
              <wp:positionH relativeFrom="page">
                <wp:align>center</wp:align>
              </wp:positionH>
              <wp:positionV relativeFrom="page">
                <wp:align>top</wp:align>
              </wp:positionV>
              <wp:extent cx="622300" cy="480695"/>
              <wp:effectExtent l="0" t="0" r="6350" b="14605"/>
              <wp:wrapNone/>
              <wp:docPr id="16112375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7D82054" w14:textId="77777777" w:rsidR="005958B8" w:rsidRPr="00744DB4" w:rsidRDefault="005958B8" w:rsidP="00744DB4">
                          <w:pPr>
                            <w:spacing w:after="0"/>
                            <w:rPr>
                              <w:rFonts w:ascii="Aptos" w:eastAsia="Aptos" w:hAnsi="Aptos" w:cs="Aptos"/>
                              <w:noProof/>
                              <w:color w:val="FF0000"/>
                              <w:sz w:val="24"/>
                            </w:rPr>
                          </w:pPr>
                          <w:r>
                            <w:rPr>
                              <w:rFonts w:ascii="Aptos" w:eastAsia="Aptos" w:hAnsi="Aptos" w:cs="Aptos"/>
                              <w:noProof/>
                              <w:color w:val="FF0000"/>
                              <w:sz w:val="24"/>
                            </w:rPr>
                            <w:t xml:space="preserve">WORKING DRAFT - CEO FORUM IN-CONFIDENCE - </w:t>
                          </w:r>
                          <w:r w:rsidRPr="00744DB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E16581" id="_x0000_t202" coordsize="21600,21600" o:spt="202" path="m,l,21600r21600,l21600,xe">
              <v:stroke joinstyle="miter"/>
              <v:path gradientshapeok="t" o:connecttype="rect"/>
            </v:shapetype>
            <v:shape id="Text Box 1" o:spid="_x0000_s1032" type="#_x0000_t202" alt="OFFICIAL" style="position:absolute;margin-left:0;margin-top:0;width:49pt;height:37.8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textbox style="mso-fit-shape-to-text:t" inset="0,15pt,0,0">
                <w:txbxContent>
                  <w:p w14:paraId="77D82054" w14:textId="77777777" w:rsidR="005958B8" w:rsidRPr="00744DB4" w:rsidRDefault="005958B8" w:rsidP="00744DB4">
                    <w:pPr>
                      <w:spacing w:after="0"/>
                      <w:rPr>
                        <w:rFonts w:ascii="Aptos" w:eastAsia="Aptos" w:hAnsi="Aptos" w:cs="Aptos"/>
                        <w:noProof/>
                        <w:color w:val="FF0000"/>
                        <w:sz w:val="24"/>
                      </w:rPr>
                    </w:pPr>
                    <w:r>
                      <w:rPr>
                        <w:rFonts w:ascii="Aptos" w:eastAsia="Aptos" w:hAnsi="Aptos" w:cs="Aptos"/>
                        <w:noProof/>
                        <w:color w:val="FF0000"/>
                        <w:sz w:val="24"/>
                      </w:rPr>
                      <w:t xml:space="preserve">WORKING DRAFT - CEO FORUM IN-CONFIDENCE - </w:t>
                    </w:r>
                    <w:r w:rsidRPr="00744DB4">
                      <w:rPr>
                        <w:rFonts w:ascii="Aptos" w:eastAsia="Aptos" w:hAnsi="Aptos" w:cs="Aptos"/>
                        <w:noProof/>
                        <w:color w:val="FF0000"/>
                        <w:sz w:val="24"/>
                      </w:rPr>
                      <w:t>OFFICIAL</w:t>
                    </w:r>
                  </w:p>
                </w:txbxContent>
              </v:textbox>
              <w10:wrap anchorx="page" anchory="page"/>
            </v:shape>
          </w:pict>
        </mc:Fallback>
      </mc:AlternateContent>
    </w:r>
    <w:r>
      <w:rPr>
        <w:noProof/>
        <w:lang w:eastAsia="en-AU"/>
      </w:rPr>
      <w:drawing>
        <wp:anchor distT="0" distB="0" distL="114300" distR="114300" simplePos="0" relativeHeight="251658251" behindDoc="1" locked="0" layoutInCell="1" allowOverlap="1" wp14:anchorId="36B7283E" wp14:editId="2B8FB249">
          <wp:simplePos x="0" y="0"/>
          <wp:positionH relativeFrom="page">
            <wp:align>center</wp:align>
          </wp:positionH>
          <wp:positionV relativeFrom="page">
            <wp:align>center</wp:align>
          </wp:positionV>
          <wp:extent cx="7559245" cy="10692673"/>
          <wp:effectExtent l="0" t="0" r="0" b="1270"/>
          <wp:wrapNone/>
          <wp:docPr id="1860081875" name="Picture 18600818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245" cy="106926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C24"/>
    <w:multiLevelType w:val="hybridMultilevel"/>
    <w:tmpl w:val="69A42300"/>
    <w:lvl w:ilvl="0" w:tplc="FFFFFFFF">
      <w:start w:val="1"/>
      <w:numFmt w:val="lowerLetter"/>
      <w:lvlText w:val="%1)"/>
      <w:lvlJc w:val="left"/>
      <w:pPr>
        <w:ind w:left="-1157" w:hanging="360"/>
      </w:pPr>
      <w:rPr>
        <w:rFonts w:hint="default"/>
        <w:b w:val="0"/>
        <w:bCs w:val="0"/>
      </w:rPr>
    </w:lvl>
    <w:lvl w:ilvl="1" w:tplc="FFFFFFFF" w:tentative="1">
      <w:start w:val="1"/>
      <w:numFmt w:val="lowerLetter"/>
      <w:lvlText w:val="%2."/>
      <w:lvlJc w:val="left"/>
      <w:pPr>
        <w:ind w:left="-437" w:hanging="360"/>
      </w:pPr>
    </w:lvl>
    <w:lvl w:ilvl="2" w:tplc="FFFFFFFF" w:tentative="1">
      <w:start w:val="1"/>
      <w:numFmt w:val="lowerRoman"/>
      <w:lvlText w:val="%3."/>
      <w:lvlJc w:val="right"/>
      <w:pPr>
        <w:ind w:left="283" w:hanging="180"/>
      </w:pPr>
    </w:lvl>
    <w:lvl w:ilvl="3" w:tplc="FFFFFFFF" w:tentative="1">
      <w:start w:val="1"/>
      <w:numFmt w:val="decimal"/>
      <w:lvlText w:val="%4."/>
      <w:lvlJc w:val="left"/>
      <w:pPr>
        <w:ind w:left="1003" w:hanging="360"/>
      </w:pPr>
    </w:lvl>
    <w:lvl w:ilvl="4" w:tplc="FFFFFFFF" w:tentative="1">
      <w:start w:val="1"/>
      <w:numFmt w:val="lowerLetter"/>
      <w:lvlText w:val="%5."/>
      <w:lvlJc w:val="left"/>
      <w:pPr>
        <w:ind w:left="1723" w:hanging="360"/>
      </w:pPr>
    </w:lvl>
    <w:lvl w:ilvl="5" w:tplc="FFFFFFFF" w:tentative="1">
      <w:start w:val="1"/>
      <w:numFmt w:val="lowerRoman"/>
      <w:lvlText w:val="%6."/>
      <w:lvlJc w:val="right"/>
      <w:pPr>
        <w:ind w:left="2443" w:hanging="180"/>
      </w:pPr>
    </w:lvl>
    <w:lvl w:ilvl="6" w:tplc="FFFFFFFF" w:tentative="1">
      <w:start w:val="1"/>
      <w:numFmt w:val="decimal"/>
      <w:lvlText w:val="%7."/>
      <w:lvlJc w:val="left"/>
      <w:pPr>
        <w:ind w:left="3163" w:hanging="360"/>
      </w:pPr>
    </w:lvl>
    <w:lvl w:ilvl="7" w:tplc="FFFFFFFF" w:tentative="1">
      <w:start w:val="1"/>
      <w:numFmt w:val="lowerLetter"/>
      <w:lvlText w:val="%8."/>
      <w:lvlJc w:val="left"/>
      <w:pPr>
        <w:ind w:left="3883" w:hanging="360"/>
      </w:pPr>
    </w:lvl>
    <w:lvl w:ilvl="8" w:tplc="FFFFFFFF" w:tentative="1">
      <w:start w:val="1"/>
      <w:numFmt w:val="lowerRoman"/>
      <w:lvlText w:val="%9."/>
      <w:lvlJc w:val="right"/>
      <w:pPr>
        <w:ind w:left="4603" w:hanging="180"/>
      </w:pPr>
    </w:lvl>
  </w:abstractNum>
  <w:abstractNum w:abstractNumId="1" w15:restartNumberingAfterBreak="0">
    <w:nsid w:val="03311526"/>
    <w:multiLevelType w:val="hybridMultilevel"/>
    <w:tmpl w:val="9BE888A2"/>
    <w:styleLink w:val="CurrentList1"/>
    <w:lvl w:ilvl="0" w:tplc="7E481060">
      <w:start w:val="1"/>
      <w:numFmt w:val="decimal"/>
      <w:pStyle w:val="Tablelistnumber"/>
      <w:lvlText w:val="%1."/>
      <w:lvlJc w:val="left"/>
      <w:pPr>
        <w:ind w:left="-578" w:hanging="360"/>
      </w:pPr>
      <w:rPr>
        <w:rFonts w:hint="default"/>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2" w15:restartNumberingAfterBreak="0">
    <w:nsid w:val="04E459C6"/>
    <w:multiLevelType w:val="hybridMultilevel"/>
    <w:tmpl w:val="69A42300"/>
    <w:lvl w:ilvl="0" w:tplc="FFFFFFFF">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50408A4"/>
    <w:multiLevelType w:val="multilevel"/>
    <w:tmpl w:val="32E6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5E2808"/>
    <w:multiLevelType w:val="multilevel"/>
    <w:tmpl w:val="CE56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DC0043"/>
    <w:multiLevelType w:val="multilevel"/>
    <w:tmpl w:val="CA4C5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5869EB"/>
    <w:multiLevelType w:val="hybridMultilevel"/>
    <w:tmpl w:val="3B440C6A"/>
    <w:lvl w:ilvl="0" w:tplc="C2F6C8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5245D2"/>
    <w:multiLevelType w:val="hybridMultilevel"/>
    <w:tmpl w:val="DCDA2270"/>
    <w:lvl w:ilvl="0" w:tplc="FFFFFFFF">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5546675"/>
    <w:multiLevelType w:val="multilevel"/>
    <w:tmpl w:val="44FE57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98A0858"/>
    <w:multiLevelType w:val="hybridMultilevel"/>
    <w:tmpl w:val="3228AA2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762E50"/>
    <w:multiLevelType w:val="multilevel"/>
    <w:tmpl w:val="B9F4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7C1F81"/>
    <w:multiLevelType w:val="multilevel"/>
    <w:tmpl w:val="8490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E302AD"/>
    <w:multiLevelType w:val="multilevel"/>
    <w:tmpl w:val="9B6CED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E21B70"/>
    <w:multiLevelType w:val="multilevel"/>
    <w:tmpl w:val="45C02EC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531124"/>
    <w:multiLevelType w:val="multilevel"/>
    <w:tmpl w:val="E198109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7437768"/>
    <w:multiLevelType w:val="hybridMultilevel"/>
    <w:tmpl w:val="DCDA2270"/>
    <w:lvl w:ilvl="0" w:tplc="FFFFFFFF">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A98542A"/>
    <w:multiLevelType w:val="multilevel"/>
    <w:tmpl w:val="145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C364DD"/>
    <w:multiLevelType w:val="hybridMultilevel"/>
    <w:tmpl w:val="9BC0868E"/>
    <w:lvl w:ilvl="0" w:tplc="0C090017">
      <w:start w:val="1"/>
      <w:numFmt w:val="lowerLetter"/>
      <w:pStyle w:val="Normal1"/>
      <w:lvlText w:val="%1)"/>
      <w:lvlJc w:val="left"/>
      <w:pPr>
        <w:ind w:left="785" w:hanging="360"/>
      </w:pPr>
      <w:rPr>
        <w:rFonts w:hint="default"/>
        <w:i w:val="0"/>
        <w:iCs w:val="0"/>
        <w:color w:val="auto"/>
        <w:sz w:val="22"/>
        <w:szCs w:val="22"/>
      </w:rPr>
    </w:lvl>
    <w:lvl w:ilvl="1" w:tplc="0C090019">
      <w:start w:val="1"/>
      <w:numFmt w:val="lowerLetter"/>
      <w:lvlText w:val="%2."/>
      <w:lvlJc w:val="left"/>
      <w:pPr>
        <w:ind w:left="1865" w:hanging="360"/>
      </w:pPr>
    </w:lvl>
    <w:lvl w:ilvl="2" w:tplc="0C09001B">
      <w:start w:val="1"/>
      <w:numFmt w:val="lowerRoman"/>
      <w:lvlText w:val="%3."/>
      <w:lvlJc w:val="right"/>
      <w:pPr>
        <w:ind w:left="2585" w:hanging="180"/>
      </w:pPr>
    </w:lvl>
    <w:lvl w:ilvl="3" w:tplc="0C09000F">
      <w:start w:val="1"/>
      <w:numFmt w:val="decimal"/>
      <w:lvlText w:val="%4."/>
      <w:lvlJc w:val="left"/>
      <w:pPr>
        <w:ind w:left="3305" w:hanging="360"/>
      </w:pPr>
    </w:lvl>
    <w:lvl w:ilvl="4" w:tplc="0C090019">
      <w:start w:val="1"/>
      <w:numFmt w:val="lowerLetter"/>
      <w:lvlText w:val="%5."/>
      <w:lvlJc w:val="left"/>
      <w:pPr>
        <w:ind w:left="4025" w:hanging="360"/>
      </w:pPr>
    </w:lvl>
    <w:lvl w:ilvl="5" w:tplc="0C09001B">
      <w:start w:val="1"/>
      <w:numFmt w:val="lowerRoman"/>
      <w:lvlText w:val="%6."/>
      <w:lvlJc w:val="right"/>
      <w:pPr>
        <w:ind w:left="4745" w:hanging="180"/>
      </w:pPr>
    </w:lvl>
    <w:lvl w:ilvl="6" w:tplc="0C09000F">
      <w:start w:val="1"/>
      <w:numFmt w:val="decimal"/>
      <w:lvlText w:val="%7."/>
      <w:lvlJc w:val="left"/>
      <w:pPr>
        <w:ind w:left="5465" w:hanging="360"/>
      </w:pPr>
    </w:lvl>
    <w:lvl w:ilvl="7" w:tplc="0C090019">
      <w:start w:val="1"/>
      <w:numFmt w:val="lowerLetter"/>
      <w:lvlText w:val="%8."/>
      <w:lvlJc w:val="left"/>
      <w:pPr>
        <w:ind w:left="6185" w:hanging="360"/>
      </w:pPr>
    </w:lvl>
    <w:lvl w:ilvl="8" w:tplc="0C09001B">
      <w:start w:val="1"/>
      <w:numFmt w:val="lowerRoman"/>
      <w:lvlText w:val="%9."/>
      <w:lvlJc w:val="right"/>
      <w:pPr>
        <w:ind w:left="6905" w:hanging="180"/>
      </w:pPr>
    </w:lvl>
  </w:abstractNum>
  <w:abstractNum w:abstractNumId="19" w15:restartNumberingAfterBreak="0">
    <w:nsid w:val="33545CF8"/>
    <w:multiLevelType w:val="multilevel"/>
    <w:tmpl w:val="DC72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F41293"/>
    <w:multiLevelType w:val="multilevel"/>
    <w:tmpl w:val="6C881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673187"/>
    <w:multiLevelType w:val="multilevel"/>
    <w:tmpl w:val="B8B0C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555F13"/>
    <w:multiLevelType w:val="multilevel"/>
    <w:tmpl w:val="2D4C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EB4699"/>
    <w:multiLevelType w:val="multilevel"/>
    <w:tmpl w:val="E01E9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B37FA1"/>
    <w:multiLevelType w:val="multilevel"/>
    <w:tmpl w:val="2C00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A75ECF"/>
    <w:multiLevelType w:val="multilevel"/>
    <w:tmpl w:val="E0DC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EE0EBA"/>
    <w:multiLevelType w:val="hybridMultilevel"/>
    <w:tmpl w:val="4C14EB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1E37318"/>
    <w:multiLevelType w:val="multilevel"/>
    <w:tmpl w:val="5EFC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872D4F"/>
    <w:multiLevelType w:val="hybridMultilevel"/>
    <w:tmpl w:val="ED822C2E"/>
    <w:lvl w:ilvl="0" w:tplc="707CB508">
      <w:start w:val="1"/>
      <w:numFmt w:val="lowerLetter"/>
      <w:lvlText w:val="%1)"/>
      <w:lvlJc w:val="left"/>
      <w:pPr>
        <w:ind w:left="785" w:hanging="360"/>
      </w:pPr>
      <w:rPr>
        <w:rFonts w:hint="default"/>
        <w:i w:val="0"/>
        <w:iCs w:val="0"/>
        <w:color w:val="auto"/>
        <w:sz w:val="20"/>
        <w:szCs w:val="20"/>
      </w:rPr>
    </w:lvl>
    <w:lvl w:ilvl="1" w:tplc="FFFFFFFF">
      <w:start w:val="1"/>
      <w:numFmt w:val="lowerRoman"/>
      <w:lvlText w:val="%2."/>
      <w:lvlJc w:val="right"/>
      <w:pPr>
        <w:ind w:left="1494" w:hanging="360"/>
      </w:pPr>
    </w:lvl>
    <w:lvl w:ilvl="2" w:tplc="FFFFFFFF">
      <w:start w:val="1"/>
      <w:numFmt w:val="lowerRoman"/>
      <w:lvlText w:val="%3."/>
      <w:lvlJc w:val="right"/>
      <w:pPr>
        <w:ind w:left="2585" w:hanging="180"/>
      </w:pPr>
    </w:lvl>
    <w:lvl w:ilvl="3" w:tplc="FFFFFFFF">
      <w:start w:val="1"/>
      <w:numFmt w:val="decimal"/>
      <w:lvlText w:val="%4."/>
      <w:lvlJc w:val="left"/>
      <w:pPr>
        <w:ind w:left="3305" w:hanging="360"/>
      </w:pPr>
    </w:lvl>
    <w:lvl w:ilvl="4" w:tplc="FFFFFFFF">
      <w:start w:val="1"/>
      <w:numFmt w:val="lowerLetter"/>
      <w:lvlText w:val="%5."/>
      <w:lvlJc w:val="left"/>
      <w:pPr>
        <w:ind w:left="4025" w:hanging="360"/>
      </w:pPr>
    </w:lvl>
    <w:lvl w:ilvl="5" w:tplc="FFFFFFFF">
      <w:start w:val="1"/>
      <w:numFmt w:val="lowerRoman"/>
      <w:lvlText w:val="%6."/>
      <w:lvlJc w:val="right"/>
      <w:pPr>
        <w:ind w:left="4745" w:hanging="180"/>
      </w:pPr>
    </w:lvl>
    <w:lvl w:ilvl="6" w:tplc="FFFFFFFF">
      <w:start w:val="1"/>
      <w:numFmt w:val="decimal"/>
      <w:lvlText w:val="%7."/>
      <w:lvlJc w:val="left"/>
      <w:pPr>
        <w:ind w:left="5465" w:hanging="360"/>
      </w:pPr>
    </w:lvl>
    <w:lvl w:ilvl="7" w:tplc="FFFFFFFF">
      <w:start w:val="1"/>
      <w:numFmt w:val="lowerLetter"/>
      <w:lvlText w:val="%8."/>
      <w:lvlJc w:val="left"/>
      <w:pPr>
        <w:ind w:left="6185" w:hanging="360"/>
      </w:pPr>
    </w:lvl>
    <w:lvl w:ilvl="8" w:tplc="FFFFFFFF">
      <w:start w:val="1"/>
      <w:numFmt w:val="lowerRoman"/>
      <w:lvlText w:val="%9."/>
      <w:lvlJc w:val="right"/>
      <w:pPr>
        <w:ind w:left="6905" w:hanging="180"/>
      </w:pPr>
    </w:lvl>
  </w:abstractNum>
  <w:abstractNum w:abstractNumId="29" w15:restartNumberingAfterBreak="0">
    <w:nsid w:val="4CA75D48"/>
    <w:multiLevelType w:val="multilevel"/>
    <w:tmpl w:val="B1BC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21A7E89"/>
    <w:multiLevelType w:val="hybridMultilevel"/>
    <w:tmpl w:val="80D00B94"/>
    <w:lvl w:ilvl="0" w:tplc="7B5AD2BA">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522B7120"/>
    <w:multiLevelType w:val="multilevel"/>
    <w:tmpl w:val="699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3F40EF"/>
    <w:multiLevelType w:val="multilevel"/>
    <w:tmpl w:val="A5D0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0805A3"/>
    <w:multiLevelType w:val="hybridMultilevel"/>
    <w:tmpl w:val="BAA6F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616709"/>
    <w:multiLevelType w:val="hybridMultilevel"/>
    <w:tmpl w:val="69A42300"/>
    <w:lvl w:ilvl="0" w:tplc="FFFFFFFF">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3F85A30"/>
    <w:multiLevelType w:val="multilevel"/>
    <w:tmpl w:val="6C86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036E47"/>
    <w:multiLevelType w:val="hybridMultilevel"/>
    <w:tmpl w:val="BBE60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787A02"/>
    <w:multiLevelType w:val="multilevel"/>
    <w:tmpl w:val="CC0EDD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6C652B81"/>
    <w:multiLevelType w:val="hybridMultilevel"/>
    <w:tmpl w:val="4A66778C"/>
    <w:lvl w:ilvl="0" w:tplc="DA0A2F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CD7123"/>
    <w:multiLevelType w:val="hybridMultilevel"/>
    <w:tmpl w:val="D64E0A8A"/>
    <w:lvl w:ilvl="0" w:tplc="FFFFFFFF">
      <w:start w:val="1"/>
      <w:numFmt w:val="lowerLetter"/>
      <w:lvlText w:val="%1)"/>
      <w:lvlJc w:val="left"/>
      <w:pPr>
        <w:ind w:left="785" w:hanging="360"/>
      </w:pPr>
      <w:rPr>
        <w:rFonts w:hint="default"/>
        <w:i w:val="0"/>
        <w:iCs w:val="0"/>
        <w:color w:val="auto"/>
        <w:sz w:val="22"/>
        <w:szCs w:val="22"/>
      </w:rPr>
    </w:lvl>
    <w:lvl w:ilvl="1" w:tplc="0C09001B">
      <w:start w:val="1"/>
      <w:numFmt w:val="lowerRoman"/>
      <w:lvlText w:val="%2."/>
      <w:lvlJc w:val="right"/>
      <w:pPr>
        <w:ind w:left="1494" w:hanging="360"/>
      </w:pPr>
    </w:lvl>
    <w:lvl w:ilvl="2" w:tplc="FFFFFFFF">
      <w:start w:val="1"/>
      <w:numFmt w:val="lowerRoman"/>
      <w:lvlText w:val="%3."/>
      <w:lvlJc w:val="right"/>
      <w:pPr>
        <w:ind w:left="2585" w:hanging="180"/>
      </w:pPr>
    </w:lvl>
    <w:lvl w:ilvl="3" w:tplc="FFFFFFFF">
      <w:start w:val="1"/>
      <w:numFmt w:val="decimal"/>
      <w:lvlText w:val="%4."/>
      <w:lvlJc w:val="left"/>
      <w:pPr>
        <w:ind w:left="3305" w:hanging="360"/>
      </w:pPr>
    </w:lvl>
    <w:lvl w:ilvl="4" w:tplc="FFFFFFFF">
      <w:start w:val="1"/>
      <w:numFmt w:val="lowerLetter"/>
      <w:lvlText w:val="%5."/>
      <w:lvlJc w:val="left"/>
      <w:pPr>
        <w:ind w:left="4025" w:hanging="360"/>
      </w:pPr>
    </w:lvl>
    <w:lvl w:ilvl="5" w:tplc="FFFFFFFF">
      <w:start w:val="1"/>
      <w:numFmt w:val="lowerRoman"/>
      <w:lvlText w:val="%6."/>
      <w:lvlJc w:val="right"/>
      <w:pPr>
        <w:ind w:left="4745" w:hanging="180"/>
      </w:pPr>
    </w:lvl>
    <w:lvl w:ilvl="6" w:tplc="FFFFFFFF">
      <w:start w:val="1"/>
      <w:numFmt w:val="decimal"/>
      <w:lvlText w:val="%7."/>
      <w:lvlJc w:val="left"/>
      <w:pPr>
        <w:ind w:left="5465" w:hanging="360"/>
      </w:pPr>
    </w:lvl>
    <w:lvl w:ilvl="7" w:tplc="FFFFFFFF">
      <w:start w:val="1"/>
      <w:numFmt w:val="lowerLetter"/>
      <w:lvlText w:val="%8."/>
      <w:lvlJc w:val="left"/>
      <w:pPr>
        <w:ind w:left="6185" w:hanging="360"/>
      </w:pPr>
    </w:lvl>
    <w:lvl w:ilvl="8" w:tplc="FFFFFFFF">
      <w:start w:val="1"/>
      <w:numFmt w:val="lowerRoman"/>
      <w:lvlText w:val="%9."/>
      <w:lvlJc w:val="right"/>
      <w:pPr>
        <w:ind w:left="6905" w:hanging="180"/>
      </w:pPr>
    </w:lvl>
  </w:abstractNum>
  <w:abstractNum w:abstractNumId="42" w15:restartNumberingAfterBreak="0">
    <w:nsid w:val="6F4C760F"/>
    <w:multiLevelType w:val="hybridMultilevel"/>
    <w:tmpl w:val="FA88C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663AF7"/>
    <w:multiLevelType w:val="hybridMultilevel"/>
    <w:tmpl w:val="45D0B540"/>
    <w:lvl w:ilvl="0" w:tplc="1A0EF9D4">
      <w:start w:val="1"/>
      <w:numFmt w:val="lowerLetter"/>
      <w:lvlText w:val="%1."/>
      <w:lvlJc w:val="left"/>
      <w:pPr>
        <w:ind w:left="360" w:hanging="360"/>
      </w:pPr>
      <w:rPr>
        <w:rFonts w:eastAsiaTheme="majorEastAsia"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1B0301C"/>
    <w:multiLevelType w:val="multilevel"/>
    <w:tmpl w:val="CE58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7D6904"/>
    <w:multiLevelType w:val="hybridMultilevel"/>
    <w:tmpl w:val="080C07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27F3BB3"/>
    <w:multiLevelType w:val="hybridMultilevel"/>
    <w:tmpl w:val="4B88EF5C"/>
    <w:lvl w:ilvl="0" w:tplc="44C8F7F6">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45A7790"/>
    <w:multiLevelType w:val="hybridMultilevel"/>
    <w:tmpl w:val="47D4E1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5A91B54"/>
    <w:multiLevelType w:val="multilevel"/>
    <w:tmpl w:val="79F2D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7E6EB9"/>
    <w:multiLevelType w:val="hybridMultilevel"/>
    <w:tmpl w:val="D64E0A8A"/>
    <w:lvl w:ilvl="0" w:tplc="FFFFFFFF">
      <w:start w:val="1"/>
      <w:numFmt w:val="lowerLetter"/>
      <w:lvlText w:val="%1)"/>
      <w:lvlJc w:val="left"/>
      <w:pPr>
        <w:ind w:left="785" w:hanging="360"/>
      </w:pPr>
      <w:rPr>
        <w:rFonts w:hint="default"/>
        <w:i w:val="0"/>
        <w:iCs w:val="0"/>
        <w:color w:val="auto"/>
        <w:sz w:val="22"/>
        <w:szCs w:val="22"/>
      </w:rPr>
    </w:lvl>
    <w:lvl w:ilvl="1" w:tplc="FFFFFFFF">
      <w:start w:val="1"/>
      <w:numFmt w:val="lowerRoman"/>
      <w:lvlText w:val="%2."/>
      <w:lvlJc w:val="right"/>
      <w:pPr>
        <w:ind w:left="1494" w:hanging="360"/>
      </w:pPr>
    </w:lvl>
    <w:lvl w:ilvl="2" w:tplc="FFFFFFFF">
      <w:start w:val="1"/>
      <w:numFmt w:val="lowerRoman"/>
      <w:lvlText w:val="%3."/>
      <w:lvlJc w:val="right"/>
      <w:pPr>
        <w:ind w:left="2585" w:hanging="180"/>
      </w:pPr>
    </w:lvl>
    <w:lvl w:ilvl="3" w:tplc="FFFFFFFF">
      <w:start w:val="1"/>
      <w:numFmt w:val="decimal"/>
      <w:lvlText w:val="%4."/>
      <w:lvlJc w:val="left"/>
      <w:pPr>
        <w:ind w:left="3305" w:hanging="360"/>
      </w:pPr>
    </w:lvl>
    <w:lvl w:ilvl="4" w:tplc="FFFFFFFF">
      <w:start w:val="1"/>
      <w:numFmt w:val="lowerLetter"/>
      <w:lvlText w:val="%5."/>
      <w:lvlJc w:val="left"/>
      <w:pPr>
        <w:ind w:left="4025" w:hanging="360"/>
      </w:pPr>
    </w:lvl>
    <w:lvl w:ilvl="5" w:tplc="FFFFFFFF">
      <w:start w:val="1"/>
      <w:numFmt w:val="lowerRoman"/>
      <w:lvlText w:val="%6."/>
      <w:lvlJc w:val="right"/>
      <w:pPr>
        <w:ind w:left="4745" w:hanging="180"/>
      </w:pPr>
    </w:lvl>
    <w:lvl w:ilvl="6" w:tplc="FFFFFFFF">
      <w:start w:val="1"/>
      <w:numFmt w:val="decimal"/>
      <w:lvlText w:val="%7."/>
      <w:lvlJc w:val="left"/>
      <w:pPr>
        <w:ind w:left="5465" w:hanging="360"/>
      </w:pPr>
    </w:lvl>
    <w:lvl w:ilvl="7" w:tplc="FFFFFFFF">
      <w:start w:val="1"/>
      <w:numFmt w:val="lowerLetter"/>
      <w:lvlText w:val="%8."/>
      <w:lvlJc w:val="left"/>
      <w:pPr>
        <w:ind w:left="6185" w:hanging="360"/>
      </w:pPr>
    </w:lvl>
    <w:lvl w:ilvl="8" w:tplc="FFFFFFFF">
      <w:start w:val="1"/>
      <w:numFmt w:val="lowerRoman"/>
      <w:lvlText w:val="%9."/>
      <w:lvlJc w:val="right"/>
      <w:pPr>
        <w:ind w:left="6905" w:hanging="180"/>
      </w:pPr>
    </w:lvl>
  </w:abstractNum>
  <w:abstractNum w:abstractNumId="50" w15:restartNumberingAfterBreak="0">
    <w:nsid w:val="79395596"/>
    <w:multiLevelType w:val="hybridMultilevel"/>
    <w:tmpl w:val="DCDA2270"/>
    <w:lvl w:ilvl="0" w:tplc="FFFFFFFF">
      <w:start w:val="1"/>
      <w:numFmt w:val="lowerLetter"/>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C511245"/>
    <w:multiLevelType w:val="hybridMultilevel"/>
    <w:tmpl w:val="1E7E3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3033642">
    <w:abstractNumId w:val="7"/>
  </w:num>
  <w:num w:numId="2" w16cid:durableId="759183430">
    <w:abstractNumId w:val="30"/>
  </w:num>
  <w:num w:numId="3" w16cid:durableId="936640889">
    <w:abstractNumId w:val="40"/>
  </w:num>
  <w:num w:numId="4" w16cid:durableId="682364219">
    <w:abstractNumId w:val="1"/>
  </w:num>
  <w:num w:numId="5" w16cid:durableId="985089269">
    <w:abstractNumId w:val="18"/>
  </w:num>
  <w:num w:numId="6" w16cid:durableId="367069623">
    <w:abstractNumId w:val="47"/>
  </w:num>
  <w:num w:numId="7" w16cid:durableId="1464081366">
    <w:abstractNumId w:val="10"/>
  </w:num>
  <w:num w:numId="8" w16cid:durableId="1632397972">
    <w:abstractNumId w:val="39"/>
  </w:num>
  <w:num w:numId="9" w16cid:durableId="670449574">
    <w:abstractNumId w:val="51"/>
  </w:num>
  <w:num w:numId="10" w16cid:durableId="366763022">
    <w:abstractNumId w:val="34"/>
  </w:num>
  <w:num w:numId="11" w16cid:durableId="1915505494">
    <w:abstractNumId w:val="37"/>
  </w:num>
  <w:num w:numId="12" w16cid:durableId="1283654151">
    <w:abstractNumId w:val="45"/>
  </w:num>
  <w:num w:numId="13" w16cid:durableId="1015376232">
    <w:abstractNumId w:val="43"/>
  </w:num>
  <w:num w:numId="14" w16cid:durableId="1597441674">
    <w:abstractNumId w:val="14"/>
  </w:num>
  <w:num w:numId="15" w16cid:durableId="472601212">
    <w:abstractNumId w:val="9"/>
  </w:num>
  <w:num w:numId="16" w16cid:durableId="994607098">
    <w:abstractNumId w:val="15"/>
  </w:num>
  <w:num w:numId="17" w16cid:durableId="249430964">
    <w:abstractNumId w:val="41"/>
  </w:num>
  <w:num w:numId="18" w16cid:durableId="1280718994">
    <w:abstractNumId w:val="42"/>
  </w:num>
  <w:num w:numId="19" w16cid:durableId="1017079993">
    <w:abstractNumId w:val="20"/>
  </w:num>
  <w:num w:numId="20" w16cid:durableId="1356808506">
    <w:abstractNumId w:val="13"/>
  </w:num>
  <w:num w:numId="21" w16cid:durableId="1557861493">
    <w:abstractNumId w:val="28"/>
  </w:num>
  <w:num w:numId="22" w16cid:durableId="1855613840">
    <w:abstractNumId w:val="49"/>
  </w:num>
  <w:num w:numId="23" w16cid:durableId="1364206710">
    <w:abstractNumId w:val="6"/>
  </w:num>
  <w:num w:numId="24" w16cid:durableId="841163251">
    <w:abstractNumId w:val="0"/>
  </w:num>
  <w:num w:numId="25" w16cid:durableId="1386028584">
    <w:abstractNumId w:val="38"/>
  </w:num>
  <w:num w:numId="26" w16cid:durableId="1834637806">
    <w:abstractNumId w:val="11"/>
  </w:num>
  <w:num w:numId="27" w16cid:durableId="445153232">
    <w:abstractNumId w:val="27"/>
  </w:num>
  <w:num w:numId="28" w16cid:durableId="1636065459">
    <w:abstractNumId w:val="19"/>
  </w:num>
  <w:num w:numId="29" w16cid:durableId="2062434022">
    <w:abstractNumId w:val="3"/>
  </w:num>
  <w:num w:numId="30" w16cid:durableId="761725987">
    <w:abstractNumId w:val="4"/>
  </w:num>
  <w:num w:numId="31" w16cid:durableId="1003775421">
    <w:abstractNumId w:val="36"/>
  </w:num>
  <w:num w:numId="32" w16cid:durableId="2062433524">
    <w:abstractNumId w:val="33"/>
  </w:num>
  <w:num w:numId="33" w16cid:durableId="540677025">
    <w:abstractNumId w:val="12"/>
  </w:num>
  <w:num w:numId="34" w16cid:durableId="1435781629">
    <w:abstractNumId w:val="17"/>
  </w:num>
  <w:num w:numId="35" w16cid:durableId="813253865">
    <w:abstractNumId w:val="22"/>
  </w:num>
  <w:num w:numId="36" w16cid:durableId="337393359">
    <w:abstractNumId w:val="29"/>
  </w:num>
  <w:num w:numId="37" w16cid:durableId="221253959">
    <w:abstractNumId w:val="32"/>
  </w:num>
  <w:num w:numId="38" w16cid:durableId="977807103">
    <w:abstractNumId w:val="44"/>
  </w:num>
  <w:num w:numId="39" w16cid:durableId="239599779">
    <w:abstractNumId w:val="24"/>
  </w:num>
  <w:num w:numId="40" w16cid:durableId="308755266">
    <w:abstractNumId w:val="16"/>
  </w:num>
  <w:num w:numId="41" w16cid:durableId="495196076">
    <w:abstractNumId w:val="25"/>
  </w:num>
  <w:num w:numId="42" w16cid:durableId="1134983791">
    <w:abstractNumId w:val="8"/>
  </w:num>
  <w:num w:numId="43" w16cid:durableId="65610032">
    <w:abstractNumId w:val="35"/>
  </w:num>
  <w:num w:numId="44" w16cid:durableId="1363944384">
    <w:abstractNumId w:val="2"/>
  </w:num>
  <w:num w:numId="45" w16cid:durableId="880480933">
    <w:abstractNumId w:val="50"/>
  </w:num>
  <w:num w:numId="46" w16cid:durableId="2141223833">
    <w:abstractNumId w:val="46"/>
  </w:num>
  <w:num w:numId="47" w16cid:durableId="1426340736">
    <w:abstractNumId w:val="21"/>
  </w:num>
  <w:num w:numId="48" w16cid:durableId="567769342">
    <w:abstractNumId w:val="23"/>
  </w:num>
  <w:num w:numId="49" w16cid:durableId="723452760">
    <w:abstractNumId w:val="5"/>
  </w:num>
  <w:num w:numId="50" w16cid:durableId="699204168">
    <w:abstractNumId w:val="48"/>
  </w:num>
  <w:num w:numId="51" w16cid:durableId="351612976">
    <w:abstractNumId w:val="31"/>
  </w:num>
  <w:num w:numId="52" w16cid:durableId="1087969335">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27"/>
    <w:rsid w:val="000009D5"/>
    <w:rsid w:val="00000ABD"/>
    <w:rsid w:val="000010C9"/>
    <w:rsid w:val="00001405"/>
    <w:rsid w:val="0000151C"/>
    <w:rsid w:val="00001546"/>
    <w:rsid w:val="0000175A"/>
    <w:rsid w:val="00001C01"/>
    <w:rsid w:val="00001D88"/>
    <w:rsid w:val="00001EB7"/>
    <w:rsid w:val="00001F41"/>
    <w:rsid w:val="00001FD8"/>
    <w:rsid w:val="000021A5"/>
    <w:rsid w:val="0000229B"/>
    <w:rsid w:val="000022B3"/>
    <w:rsid w:val="000022E7"/>
    <w:rsid w:val="0000253B"/>
    <w:rsid w:val="000025E8"/>
    <w:rsid w:val="0000294C"/>
    <w:rsid w:val="000029F1"/>
    <w:rsid w:val="00002C2A"/>
    <w:rsid w:val="00002D30"/>
    <w:rsid w:val="00002DD0"/>
    <w:rsid w:val="000032E7"/>
    <w:rsid w:val="000032F1"/>
    <w:rsid w:val="00003740"/>
    <w:rsid w:val="00003743"/>
    <w:rsid w:val="000037F5"/>
    <w:rsid w:val="000038D6"/>
    <w:rsid w:val="000038E0"/>
    <w:rsid w:val="00003A18"/>
    <w:rsid w:val="00003ADC"/>
    <w:rsid w:val="00003C50"/>
    <w:rsid w:val="00003CBB"/>
    <w:rsid w:val="00004054"/>
    <w:rsid w:val="00004179"/>
    <w:rsid w:val="000041A5"/>
    <w:rsid w:val="00004352"/>
    <w:rsid w:val="00004555"/>
    <w:rsid w:val="00004692"/>
    <w:rsid w:val="00004706"/>
    <w:rsid w:val="00004760"/>
    <w:rsid w:val="000047B4"/>
    <w:rsid w:val="00004801"/>
    <w:rsid w:val="00004809"/>
    <w:rsid w:val="00004964"/>
    <w:rsid w:val="0000513C"/>
    <w:rsid w:val="000051B0"/>
    <w:rsid w:val="000052EB"/>
    <w:rsid w:val="00005366"/>
    <w:rsid w:val="0000538F"/>
    <w:rsid w:val="00005470"/>
    <w:rsid w:val="00005712"/>
    <w:rsid w:val="0000573D"/>
    <w:rsid w:val="0000574B"/>
    <w:rsid w:val="00005A3C"/>
    <w:rsid w:val="00005A52"/>
    <w:rsid w:val="00005BFD"/>
    <w:rsid w:val="00005D8C"/>
    <w:rsid w:val="00005EEF"/>
    <w:rsid w:val="00005EF9"/>
    <w:rsid w:val="00006010"/>
    <w:rsid w:val="000061FB"/>
    <w:rsid w:val="0000627D"/>
    <w:rsid w:val="000064FC"/>
    <w:rsid w:val="00006684"/>
    <w:rsid w:val="00006CEA"/>
    <w:rsid w:val="00006D47"/>
    <w:rsid w:val="00006E81"/>
    <w:rsid w:val="00006EE3"/>
    <w:rsid w:val="00006F23"/>
    <w:rsid w:val="00006F92"/>
    <w:rsid w:val="000072DE"/>
    <w:rsid w:val="0000758F"/>
    <w:rsid w:val="00007C90"/>
    <w:rsid w:val="00007FD8"/>
    <w:rsid w:val="00010064"/>
    <w:rsid w:val="0001039B"/>
    <w:rsid w:val="000104CB"/>
    <w:rsid w:val="00010827"/>
    <w:rsid w:val="000108A9"/>
    <w:rsid w:val="00010AB1"/>
    <w:rsid w:val="00010E64"/>
    <w:rsid w:val="0001103B"/>
    <w:rsid w:val="0001111D"/>
    <w:rsid w:val="00011126"/>
    <w:rsid w:val="00011182"/>
    <w:rsid w:val="000111C4"/>
    <w:rsid w:val="000117C2"/>
    <w:rsid w:val="000117F8"/>
    <w:rsid w:val="00011BDC"/>
    <w:rsid w:val="00011E4D"/>
    <w:rsid w:val="00012257"/>
    <w:rsid w:val="0001240A"/>
    <w:rsid w:val="0001242D"/>
    <w:rsid w:val="000124BA"/>
    <w:rsid w:val="000125AC"/>
    <w:rsid w:val="0001261C"/>
    <w:rsid w:val="00012CBD"/>
    <w:rsid w:val="00012D10"/>
    <w:rsid w:val="00013060"/>
    <w:rsid w:val="000130A7"/>
    <w:rsid w:val="000131F6"/>
    <w:rsid w:val="000132A6"/>
    <w:rsid w:val="0001330D"/>
    <w:rsid w:val="00013555"/>
    <w:rsid w:val="000136B0"/>
    <w:rsid w:val="000138D7"/>
    <w:rsid w:val="00013989"/>
    <w:rsid w:val="0001399A"/>
    <w:rsid w:val="0001412D"/>
    <w:rsid w:val="0001416C"/>
    <w:rsid w:val="00014258"/>
    <w:rsid w:val="00014285"/>
    <w:rsid w:val="00014423"/>
    <w:rsid w:val="00014DAD"/>
    <w:rsid w:val="00014F6E"/>
    <w:rsid w:val="00014FE5"/>
    <w:rsid w:val="000150C7"/>
    <w:rsid w:val="00015125"/>
    <w:rsid w:val="000152AB"/>
    <w:rsid w:val="00015432"/>
    <w:rsid w:val="000154CA"/>
    <w:rsid w:val="0001566C"/>
    <w:rsid w:val="00015851"/>
    <w:rsid w:val="000158A0"/>
    <w:rsid w:val="00015DCF"/>
    <w:rsid w:val="0001626A"/>
    <w:rsid w:val="000163B9"/>
    <w:rsid w:val="000163F6"/>
    <w:rsid w:val="000164BA"/>
    <w:rsid w:val="0001665E"/>
    <w:rsid w:val="00016E8B"/>
    <w:rsid w:val="00017182"/>
    <w:rsid w:val="000172BB"/>
    <w:rsid w:val="0001749B"/>
    <w:rsid w:val="00017780"/>
    <w:rsid w:val="0001784C"/>
    <w:rsid w:val="0001793C"/>
    <w:rsid w:val="00020008"/>
    <w:rsid w:val="00020060"/>
    <w:rsid w:val="00020112"/>
    <w:rsid w:val="00020189"/>
    <w:rsid w:val="00020444"/>
    <w:rsid w:val="000205E1"/>
    <w:rsid w:val="00020900"/>
    <w:rsid w:val="00020AA3"/>
    <w:rsid w:val="00020CC3"/>
    <w:rsid w:val="00020EA9"/>
    <w:rsid w:val="00020F63"/>
    <w:rsid w:val="00021054"/>
    <w:rsid w:val="00021C8D"/>
    <w:rsid w:val="0002207F"/>
    <w:rsid w:val="00022481"/>
    <w:rsid w:val="000225B6"/>
    <w:rsid w:val="00022A05"/>
    <w:rsid w:val="00022D3F"/>
    <w:rsid w:val="0002320F"/>
    <w:rsid w:val="0002322B"/>
    <w:rsid w:val="0002337A"/>
    <w:rsid w:val="00023532"/>
    <w:rsid w:val="000235CB"/>
    <w:rsid w:val="000235DD"/>
    <w:rsid w:val="000235FD"/>
    <w:rsid w:val="0002365F"/>
    <w:rsid w:val="000236F6"/>
    <w:rsid w:val="000237BC"/>
    <w:rsid w:val="0002384A"/>
    <w:rsid w:val="00023B70"/>
    <w:rsid w:val="00023BD0"/>
    <w:rsid w:val="00023BFB"/>
    <w:rsid w:val="00023CF5"/>
    <w:rsid w:val="00023DA9"/>
    <w:rsid w:val="00023E5B"/>
    <w:rsid w:val="00023EAD"/>
    <w:rsid w:val="00024022"/>
    <w:rsid w:val="0002406F"/>
    <w:rsid w:val="0002408D"/>
    <w:rsid w:val="000249D6"/>
    <w:rsid w:val="00024A32"/>
    <w:rsid w:val="00024BDB"/>
    <w:rsid w:val="00024E82"/>
    <w:rsid w:val="00024F72"/>
    <w:rsid w:val="00025033"/>
    <w:rsid w:val="00025052"/>
    <w:rsid w:val="000251E1"/>
    <w:rsid w:val="0002526B"/>
    <w:rsid w:val="00025516"/>
    <w:rsid w:val="0002562D"/>
    <w:rsid w:val="00025891"/>
    <w:rsid w:val="0002592C"/>
    <w:rsid w:val="00025B81"/>
    <w:rsid w:val="00025D5E"/>
    <w:rsid w:val="00026139"/>
    <w:rsid w:val="000262F2"/>
    <w:rsid w:val="000267AA"/>
    <w:rsid w:val="000267B7"/>
    <w:rsid w:val="00026817"/>
    <w:rsid w:val="00026994"/>
    <w:rsid w:val="00026A3D"/>
    <w:rsid w:val="00026B19"/>
    <w:rsid w:val="00026B53"/>
    <w:rsid w:val="00026C62"/>
    <w:rsid w:val="00026EC1"/>
    <w:rsid w:val="00027071"/>
    <w:rsid w:val="000270EF"/>
    <w:rsid w:val="00027163"/>
    <w:rsid w:val="000272AD"/>
    <w:rsid w:val="000274EC"/>
    <w:rsid w:val="00027601"/>
    <w:rsid w:val="00027655"/>
    <w:rsid w:val="00027884"/>
    <w:rsid w:val="00027988"/>
    <w:rsid w:val="00027B3C"/>
    <w:rsid w:val="00027C9D"/>
    <w:rsid w:val="00027D2E"/>
    <w:rsid w:val="0003020B"/>
    <w:rsid w:val="00030404"/>
    <w:rsid w:val="00030685"/>
    <w:rsid w:val="0003082E"/>
    <w:rsid w:val="00030AFD"/>
    <w:rsid w:val="00030C9D"/>
    <w:rsid w:val="00030F63"/>
    <w:rsid w:val="000311F7"/>
    <w:rsid w:val="000314B6"/>
    <w:rsid w:val="00031666"/>
    <w:rsid w:val="000317B3"/>
    <w:rsid w:val="000317B7"/>
    <w:rsid w:val="000318F6"/>
    <w:rsid w:val="0003191A"/>
    <w:rsid w:val="00031BAA"/>
    <w:rsid w:val="00031CEE"/>
    <w:rsid w:val="00031F44"/>
    <w:rsid w:val="00031FE8"/>
    <w:rsid w:val="00032015"/>
    <w:rsid w:val="0003220B"/>
    <w:rsid w:val="0003247D"/>
    <w:rsid w:val="000324F0"/>
    <w:rsid w:val="000327EA"/>
    <w:rsid w:val="00032AA3"/>
    <w:rsid w:val="00032ADA"/>
    <w:rsid w:val="00032D79"/>
    <w:rsid w:val="00032F3E"/>
    <w:rsid w:val="00033321"/>
    <w:rsid w:val="000333EF"/>
    <w:rsid w:val="00033699"/>
    <w:rsid w:val="0003375F"/>
    <w:rsid w:val="00033846"/>
    <w:rsid w:val="000338E5"/>
    <w:rsid w:val="00033911"/>
    <w:rsid w:val="00033ACB"/>
    <w:rsid w:val="00033C93"/>
    <w:rsid w:val="00033ECC"/>
    <w:rsid w:val="000341B7"/>
    <w:rsid w:val="0003422F"/>
    <w:rsid w:val="00034328"/>
    <w:rsid w:val="000346EA"/>
    <w:rsid w:val="000348A6"/>
    <w:rsid w:val="0003493D"/>
    <w:rsid w:val="00034AE3"/>
    <w:rsid w:val="00034C23"/>
    <w:rsid w:val="00034C60"/>
    <w:rsid w:val="00034DB3"/>
    <w:rsid w:val="00034DCD"/>
    <w:rsid w:val="00034EB7"/>
    <w:rsid w:val="00034F57"/>
    <w:rsid w:val="00034F63"/>
    <w:rsid w:val="00034F88"/>
    <w:rsid w:val="000354EE"/>
    <w:rsid w:val="0003556D"/>
    <w:rsid w:val="00035596"/>
    <w:rsid w:val="00035AEC"/>
    <w:rsid w:val="00035C50"/>
    <w:rsid w:val="00035EAF"/>
    <w:rsid w:val="0003608A"/>
    <w:rsid w:val="000360A8"/>
    <w:rsid w:val="000360CC"/>
    <w:rsid w:val="000361FD"/>
    <w:rsid w:val="00036346"/>
    <w:rsid w:val="00036377"/>
    <w:rsid w:val="00036788"/>
    <w:rsid w:val="000367B9"/>
    <w:rsid w:val="00036AC6"/>
    <w:rsid w:val="00036B0B"/>
    <w:rsid w:val="00036B73"/>
    <w:rsid w:val="00036F0D"/>
    <w:rsid w:val="00036F98"/>
    <w:rsid w:val="00037006"/>
    <w:rsid w:val="000371AA"/>
    <w:rsid w:val="00037223"/>
    <w:rsid w:val="000374D6"/>
    <w:rsid w:val="000375B5"/>
    <w:rsid w:val="00037808"/>
    <w:rsid w:val="0003789A"/>
    <w:rsid w:val="000378B4"/>
    <w:rsid w:val="00037AA6"/>
    <w:rsid w:val="00037D89"/>
    <w:rsid w:val="00037E50"/>
    <w:rsid w:val="00037EFE"/>
    <w:rsid w:val="00037FDD"/>
    <w:rsid w:val="00040072"/>
    <w:rsid w:val="0004009B"/>
    <w:rsid w:val="0004027C"/>
    <w:rsid w:val="0004071C"/>
    <w:rsid w:val="0004079D"/>
    <w:rsid w:val="0004097D"/>
    <w:rsid w:val="00040997"/>
    <w:rsid w:val="00040B77"/>
    <w:rsid w:val="00040CC8"/>
    <w:rsid w:val="00040D92"/>
    <w:rsid w:val="00040E7B"/>
    <w:rsid w:val="00041124"/>
    <w:rsid w:val="000412A0"/>
    <w:rsid w:val="0004167C"/>
    <w:rsid w:val="000418AE"/>
    <w:rsid w:val="00041942"/>
    <w:rsid w:val="00041D0C"/>
    <w:rsid w:val="00041D85"/>
    <w:rsid w:val="00041F86"/>
    <w:rsid w:val="00041F89"/>
    <w:rsid w:val="0004223A"/>
    <w:rsid w:val="00042258"/>
    <w:rsid w:val="000425D9"/>
    <w:rsid w:val="000426D0"/>
    <w:rsid w:val="0004276E"/>
    <w:rsid w:val="000429E9"/>
    <w:rsid w:val="00042A1B"/>
    <w:rsid w:val="00042B86"/>
    <w:rsid w:val="00042BB1"/>
    <w:rsid w:val="00042CEB"/>
    <w:rsid w:val="00042DF4"/>
    <w:rsid w:val="00043048"/>
    <w:rsid w:val="00043759"/>
    <w:rsid w:val="0004375F"/>
    <w:rsid w:val="00043ADA"/>
    <w:rsid w:val="00043C61"/>
    <w:rsid w:val="00043CB0"/>
    <w:rsid w:val="00044131"/>
    <w:rsid w:val="000441B5"/>
    <w:rsid w:val="00044206"/>
    <w:rsid w:val="00044357"/>
    <w:rsid w:val="00044417"/>
    <w:rsid w:val="00044553"/>
    <w:rsid w:val="00044565"/>
    <w:rsid w:val="00044938"/>
    <w:rsid w:val="00044957"/>
    <w:rsid w:val="00044A37"/>
    <w:rsid w:val="00044B52"/>
    <w:rsid w:val="00044BC0"/>
    <w:rsid w:val="00044CC4"/>
    <w:rsid w:val="00044E4E"/>
    <w:rsid w:val="00044EF2"/>
    <w:rsid w:val="00044FCD"/>
    <w:rsid w:val="00045009"/>
    <w:rsid w:val="00045174"/>
    <w:rsid w:val="000452CF"/>
    <w:rsid w:val="00045567"/>
    <w:rsid w:val="000455CE"/>
    <w:rsid w:val="0004567E"/>
    <w:rsid w:val="00045895"/>
    <w:rsid w:val="000458C6"/>
    <w:rsid w:val="00045A7A"/>
    <w:rsid w:val="00045B42"/>
    <w:rsid w:val="00045CE2"/>
    <w:rsid w:val="00045CEB"/>
    <w:rsid w:val="00045D1D"/>
    <w:rsid w:val="00045EB1"/>
    <w:rsid w:val="00045F77"/>
    <w:rsid w:val="00046040"/>
    <w:rsid w:val="000462EF"/>
    <w:rsid w:val="0004640B"/>
    <w:rsid w:val="0004646D"/>
    <w:rsid w:val="00046601"/>
    <w:rsid w:val="0004662F"/>
    <w:rsid w:val="00046747"/>
    <w:rsid w:val="00046921"/>
    <w:rsid w:val="000469A2"/>
    <w:rsid w:val="00046AFA"/>
    <w:rsid w:val="00046C70"/>
    <w:rsid w:val="00046DFC"/>
    <w:rsid w:val="00046EA8"/>
    <w:rsid w:val="00046ECB"/>
    <w:rsid w:val="00046FF0"/>
    <w:rsid w:val="0004710C"/>
    <w:rsid w:val="000472B1"/>
    <w:rsid w:val="00047336"/>
    <w:rsid w:val="000474FC"/>
    <w:rsid w:val="0004757E"/>
    <w:rsid w:val="000476CD"/>
    <w:rsid w:val="00047712"/>
    <w:rsid w:val="0004773A"/>
    <w:rsid w:val="00047929"/>
    <w:rsid w:val="00047BDD"/>
    <w:rsid w:val="00047E2B"/>
    <w:rsid w:val="00050176"/>
    <w:rsid w:val="000503E2"/>
    <w:rsid w:val="00050AE8"/>
    <w:rsid w:val="00050C18"/>
    <w:rsid w:val="00050C98"/>
    <w:rsid w:val="00050CC6"/>
    <w:rsid w:val="000510CB"/>
    <w:rsid w:val="0005116B"/>
    <w:rsid w:val="0005128D"/>
    <w:rsid w:val="0005142D"/>
    <w:rsid w:val="0005154D"/>
    <w:rsid w:val="0005164A"/>
    <w:rsid w:val="0005165A"/>
    <w:rsid w:val="00051811"/>
    <w:rsid w:val="00051B4F"/>
    <w:rsid w:val="00051B57"/>
    <w:rsid w:val="00051D99"/>
    <w:rsid w:val="00051DF1"/>
    <w:rsid w:val="00052234"/>
    <w:rsid w:val="000523F8"/>
    <w:rsid w:val="00052414"/>
    <w:rsid w:val="0005254C"/>
    <w:rsid w:val="00052632"/>
    <w:rsid w:val="00052729"/>
    <w:rsid w:val="00052A3E"/>
    <w:rsid w:val="00052E48"/>
    <w:rsid w:val="00052F27"/>
    <w:rsid w:val="0005306A"/>
    <w:rsid w:val="000531D5"/>
    <w:rsid w:val="000534A5"/>
    <w:rsid w:val="00053780"/>
    <w:rsid w:val="000537BA"/>
    <w:rsid w:val="00053B46"/>
    <w:rsid w:val="00053E02"/>
    <w:rsid w:val="00053ECB"/>
    <w:rsid w:val="00053F9C"/>
    <w:rsid w:val="00053FDD"/>
    <w:rsid w:val="0005438A"/>
    <w:rsid w:val="00054489"/>
    <w:rsid w:val="000546CE"/>
    <w:rsid w:val="00054D69"/>
    <w:rsid w:val="000550B9"/>
    <w:rsid w:val="0005510E"/>
    <w:rsid w:val="00055113"/>
    <w:rsid w:val="00055425"/>
    <w:rsid w:val="0005554C"/>
    <w:rsid w:val="00055802"/>
    <w:rsid w:val="000558C9"/>
    <w:rsid w:val="000559E4"/>
    <w:rsid w:val="00055BDE"/>
    <w:rsid w:val="00055DD2"/>
    <w:rsid w:val="00055FC8"/>
    <w:rsid w:val="0005634E"/>
    <w:rsid w:val="0005668F"/>
    <w:rsid w:val="000566F9"/>
    <w:rsid w:val="000567D9"/>
    <w:rsid w:val="00056CA9"/>
    <w:rsid w:val="00056D7E"/>
    <w:rsid w:val="00056F8C"/>
    <w:rsid w:val="000572B8"/>
    <w:rsid w:val="000574E4"/>
    <w:rsid w:val="00057730"/>
    <w:rsid w:val="00057ABE"/>
    <w:rsid w:val="00057D16"/>
    <w:rsid w:val="00057E9C"/>
    <w:rsid w:val="00057F62"/>
    <w:rsid w:val="000601CB"/>
    <w:rsid w:val="00060206"/>
    <w:rsid w:val="000602F4"/>
    <w:rsid w:val="00060371"/>
    <w:rsid w:val="00060649"/>
    <w:rsid w:val="00060713"/>
    <w:rsid w:val="000608F0"/>
    <w:rsid w:val="00060943"/>
    <w:rsid w:val="00060A85"/>
    <w:rsid w:val="00060BB9"/>
    <w:rsid w:val="00061181"/>
    <w:rsid w:val="000612BC"/>
    <w:rsid w:val="0006135F"/>
    <w:rsid w:val="00061A33"/>
    <w:rsid w:val="00061BC1"/>
    <w:rsid w:val="00061CF9"/>
    <w:rsid w:val="00061D2D"/>
    <w:rsid w:val="00061D9A"/>
    <w:rsid w:val="00062022"/>
    <w:rsid w:val="00062149"/>
    <w:rsid w:val="000622F8"/>
    <w:rsid w:val="0006245C"/>
    <w:rsid w:val="000626B8"/>
    <w:rsid w:val="000627FC"/>
    <w:rsid w:val="00062813"/>
    <w:rsid w:val="0006281F"/>
    <w:rsid w:val="000629BB"/>
    <w:rsid w:val="00062B65"/>
    <w:rsid w:val="00062B7B"/>
    <w:rsid w:val="00063280"/>
    <w:rsid w:val="000633FA"/>
    <w:rsid w:val="000634EF"/>
    <w:rsid w:val="00063777"/>
    <w:rsid w:val="000639A1"/>
    <w:rsid w:val="00063B24"/>
    <w:rsid w:val="0006411B"/>
    <w:rsid w:val="000644CF"/>
    <w:rsid w:val="000647B5"/>
    <w:rsid w:val="000647F1"/>
    <w:rsid w:val="00064DE9"/>
    <w:rsid w:val="00064E17"/>
    <w:rsid w:val="00064EAD"/>
    <w:rsid w:val="00064F00"/>
    <w:rsid w:val="00065047"/>
    <w:rsid w:val="00065179"/>
    <w:rsid w:val="00065327"/>
    <w:rsid w:val="0006538A"/>
    <w:rsid w:val="000653F5"/>
    <w:rsid w:val="000654E6"/>
    <w:rsid w:val="00065684"/>
    <w:rsid w:val="00065747"/>
    <w:rsid w:val="0006580A"/>
    <w:rsid w:val="00065A7D"/>
    <w:rsid w:val="00065B25"/>
    <w:rsid w:val="00065DEA"/>
    <w:rsid w:val="000660A7"/>
    <w:rsid w:val="000661B7"/>
    <w:rsid w:val="00066245"/>
    <w:rsid w:val="000662AD"/>
    <w:rsid w:val="00066373"/>
    <w:rsid w:val="000666B8"/>
    <w:rsid w:val="00066749"/>
    <w:rsid w:val="00066B93"/>
    <w:rsid w:val="00066CC3"/>
    <w:rsid w:val="00066D56"/>
    <w:rsid w:val="00066E4E"/>
    <w:rsid w:val="000672C5"/>
    <w:rsid w:val="00067456"/>
    <w:rsid w:val="00067831"/>
    <w:rsid w:val="0006786C"/>
    <w:rsid w:val="000679B0"/>
    <w:rsid w:val="000679E1"/>
    <w:rsid w:val="00067B09"/>
    <w:rsid w:val="00067BB9"/>
    <w:rsid w:val="00067FC6"/>
    <w:rsid w:val="000700C8"/>
    <w:rsid w:val="000702C8"/>
    <w:rsid w:val="0007043F"/>
    <w:rsid w:val="0007067C"/>
    <w:rsid w:val="000706AE"/>
    <w:rsid w:val="000708C8"/>
    <w:rsid w:val="000708D5"/>
    <w:rsid w:val="0007138A"/>
    <w:rsid w:val="00071399"/>
    <w:rsid w:val="000713B6"/>
    <w:rsid w:val="0007144E"/>
    <w:rsid w:val="000714A1"/>
    <w:rsid w:val="00071506"/>
    <w:rsid w:val="0007154F"/>
    <w:rsid w:val="00071717"/>
    <w:rsid w:val="000719C5"/>
    <w:rsid w:val="00071DE0"/>
    <w:rsid w:val="00071DE7"/>
    <w:rsid w:val="00072322"/>
    <w:rsid w:val="000723CC"/>
    <w:rsid w:val="0007296A"/>
    <w:rsid w:val="00072A50"/>
    <w:rsid w:val="00072B68"/>
    <w:rsid w:val="00072B8F"/>
    <w:rsid w:val="00072BAA"/>
    <w:rsid w:val="00072F14"/>
    <w:rsid w:val="00072F1D"/>
    <w:rsid w:val="00072F82"/>
    <w:rsid w:val="00073079"/>
    <w:rsid w:val="000732D0"/>
    <w:rsid w:val="0007354F"/>
    <w:rsid w:val="000735AE"/>
    <w:rsid w:val="00073C56"/>
    <w:rsid w:val="00073E4D"/>
    <w:rsid w:val="00073F78"/>
    <w:rsid w:val="00074044"/>
    <w:rsid w:val="00074123"/>
    <w:rsid w:val="00074630"/>
    <w:rsid w:val="000746E9"/>
    <w:rsid w:val="0007480E"/>
    <w:rsid w:val="00074828"/>
    <w:rsid w:val="0007484B"/>
    <w:rsid w:val="00074D36"/>
    <w:rsid w:val="00074E14"/>
    <w:rsid w:val="00075051"/>
    <w:rsid w:val="00075203"/>
    <w:rsid w:val="0007524D"/>
    <w:rsid w:val="00075312"/>
    <w:rsid w:val="000755FA"/>
    <w:rsid w:val="00075688"/>
    <w:rsid w:val="000759EF"/>
    <w:rsid w:val="00075ED9"/>
    <w:rsid w:val="00075EF1"/>
    <w:rsid w:val="000760D5"/>
    <w:rsid w:val="000764BA"/>
    <w:rsid w:val="00076544"/>
    <w:rsid w:val="0007682A"/>
    <w:rsid w:val="00076B91"/>
    <w:rsid w:val="00076D9F"/>
    <w:rsid w:val="00077164"/>
    <w:rsid w:val="00077216"/>
    <w:rsid w:val="00077506"/>
    <w:rsid w:val="000775EA"/>
    <w:rsid w:val="00077806"/>
    <w:rsid w:val="00077957"/>
    <w:rsid w:val="00077A06"/>
    <w:rsid w:val="00077B0A"/>
    <w:rsid w:val="00077E0A"/>
    <w:rsid w:val="00077F8F"/>
    <w:rsid w:val="000800B4"/>
    <w:rsid w:val="000800C8"/>
    <w:rsid w:val="00080328"/>
    <w:rsid w:val="00080330"/>
    <w:rsid w:val="000803D9"/>
    <w:rsid w:val="0008075B"/>
    <w:rsid w:val="000808FD"/>
    <w:rsid w:val="00080960"/>
    <w:rsid w:val="00080C25"/>
    <w:rsid w:val="00080D09"/>
    <w:rsid w:val="00081023"/>
    <w:rsid w:val="0008117D"/>
    <w:rsid w:val="000811DA"/>
    <w:rsid w:val="000815EB"/>
    <w:rsid w:val="0008183B"/>
    <w:rsid w:val="000818AF"/>
    <w:rsid w:val="00081A72"/>
    <w:rsid w:val="00081AB1"/>
    <w:rsid w:val="00081B74"/>
    <w:rsid w:val="00081DD1"/>
    <w:rsid w:val="00081F58"/>
    <w:rsid w:val="0008212B"/>
    <w:rsid w:val="0008242E"/>
    <w:rsid w:val="000825A2"/>
    <w:rsid w:val="00082737"/>
    <w:rsid w:val="00082881"/>
    <w:rsid w:val="00082DE3"/>
    <w:rsid w:val="00082DF2"/>
    <w:rsid w:val="00083224"/>
    <w:rsid w:val="0008335D"/>
    <w:rsid w:val="000834EB"/>
    <w:rsid w:val="0008358E"/>
    <w:rsid w:val="000835F7"/>
    <w:rsid w:val="000836E3"/>
    <w:rsid w:val="00083737"/>
    <w:rsid w:val="00083914"/>
    <w:rsid w:val="00083C5A"/>
    <w:rsid w:val="00083F85"/>
    <w:rsid w:val="00084084"/>
    <w:rsid w:val="0008413B"/>
    <w:rsid w:val="0008422B"/>
    <w:rsid w:val="00084667"/>
    <w:rsid w:val="00084765"/>
    <w:rsid w:val="000847CC"/>
    <w:rsid w:val="0008482E"/>
    <w:rsid w:val="000848B4"/>
    <w:rsid w:val="00084A66"/>
    <w:rsid w:val="00084AD4"/>
    <w:rsid w:val="00084C0C"/>
    <w:rsid w:val="00084C25"/>
    <w:rsid w:val="00084C9B"/>
    <w:rsid w:val="00084DFF"/>
    <w:rsid w:val="000850BE"/>
    <w:rsid w:val="000852B6"/>
    <w:rsid w:val="00085441"/>
    <w:rsid w:val="000854E2"/>
    <w:rsid w:val="0008569B"/>
    <w:rsid w:val="0008593C"/>
    <w:rsid w:val="00085AA3"/>
    <w:rsid w:val="00085AAF"/>
    <w:rsid w:val="00085B50"/>
    <w:rsid w:val="00085E7C"/>
    <w:rsid w:val="000861FE"/>
    <w:rsid w:val="00086372"/>
    <w:rsid w:val="0008641E"/>
    <w:rsid w:val="00086A9E"/>
    <w:rsid w:val="00086C7F"/>
    <w:rsid w:val="00086F93"/>
    <w:rsid w:val="000870C5"/>
    <w:rsid w:val="00087146"/>
    <w:rsid w:val="00087730"/>
    <w:rsid w:val="000877BF"/>
    <w:rsid w:val="00087876"/>
    <w:rsid w:val="00087BB9"/>
    <w:rsid w:val="00087C00"/>
    <w:rsid w:val="00087C8E"/>
    <w:rsid w:val="00087D60"/>
    <w:rsid w:val="00087EF7"/>
    <w:rsid w:val="00090316"/>
    <w:rsid w:val="0009059E"/>
    <w:rsid w:val="00090BC3"/>
    <w:rsid w:val="00090CD1"/>
    <w:rsid w:val="00090CD5"/>
    <w:rsid w:val="00090E4E"/>
    <w:rsid w:val="00090EF0"/>
    <w:rsid w:val="00091552"/>
    <w:rsid w:val="00091824"/>
    <w:rsid w:val="00091882"/>
    <w:rsid w:val="000919AB"/>
    <w:rsid w:val="00091C6C"/>
    <w:rsid w:val="00091DD1"/>
    <w:rsid w:val="00091F12"/>
    <w:rsid w:val="0009221C"/>
    <w:rsid w:val="00092280"/>
    <w:rsid w:val="000923FA"/>
    <w:rsid w:val="00092841"/>
    <w:rsid w:val="00092B07"/>
    <w:rsid w:val="00092C20"/>
    <w:rsid w:val="00092E84"/>
    <w:rsid w:val="00092EE2"/>
    <w:rsid w:val="000932F9"/>
    <w:rsid w:val="00093400"/>
    <w:rsid w:val="0009343C"/>
    <w:rsid w:val="00093665"/>
    <w:rsid w:val="00093830"/>
    <w:rsid w:val="00093890"/>
    <w:rsid w:val="00093981"/>
    <w:rsid w:val="00093AAC"/>
    <w:rsid w:val="00093CD9"/>
    <w:rsid w:val="00093F84"/>
    <w:rsid w:val="0009406D"/>
    <w:rsid w:val="000943E4"/>
    <w:rsid w:val="00094450"/>
    <w:rsid w:val="000946AF"/>
    <w:rsid w:val="000947E0"/>
    <w:rsid w:val="000947F9"/>
    <w:rsid w:val="00094902"/>
    <w:rsid w:val="000949AA"/>
    <w:rsid w:val="000949FE"/>
    <w:rsid w:val="00094AA7"/>
    <w:rsid w:val="00094BED"/>
    <w:rsid w:val="00094BF8"/>
    <w:rsid w:val="00094BFE"/>
    <w:rsid w:val="00094C13"/>
    <w:rsid w:val="0009519F"/>
    <w:rsid w:val="0009560E"/>
    <w:rsid w:val="00095683"/>
    <w:rsid w:val="00095792"/>
    <w:rsid w:val="0009581B"/>
    <w:rsid w:val="000958E7"/>
    <w:rsid w:val="00095AB5"/>
    <w:rsid w:val="00095AD3"/>
    <w:rsid w:val="00095F03"/>
    <w:rsid w:val="00095F1D"/>
    <w:rsid w:val="0009602C"/>
    <w:rsid w:val="000963BB"/>
    <w:rsid w:val="0009673E"/>
    <w:rsid w:val="0009691B"/>
    <w:rsid w:val="00096A66"/>
    <w:rsid w:val="00096C0F"/>
    <w:rsid w:val="00097041"/>
    <w:rsid w:val="00097125"/>
    <w:rsid w:val="000971BC"/>
    <w:rsid w:val="000971FE"/>
    <w:rsid w:val="00097286"/>
    <w:rsid w:val="00097420"/>
    <w:rsid w:val="000976B6"/>
    <w:rsid w:val="000977F8"/>
    <w:rsid w:val="00097A1D"/>
    <w:rsid w:val="00097A93"/>
    <w:rsid w:val="00097B92"/>
    <w:rsid w:val="000A0096"/>
    <w:rsid w:val="000A01CC"/>
    <w:rsid w:val="000A024A"/>
    <w:rsid w:val="000A05DA"/>
    <w:rsid w:val="000A0798"/>
    <w:rsid w:val="000A09C3"/>
    <w:rsid w:val="000A0DAB"/>
    <w:rsid w:val="000A0FDC"/>
    <w:rsid w:val="000A1367"/>
    <w:rsid w:val="000A1423"/>
    <w:rsid w:val="000A16F8"/>
    <w:rsid w:val="000A1712"/>
    <w:rsid w:val="000A1B07"/>
    <w:rsid w:val="000A1B97"/>
    <w:rsid w:val="000A1E38"/>
    <w:rsid w:val="000A21CD"/>
    <w:rsid w:val="000A2235"/>
    <w:rsid w:val="000A2243"/>
    <w:rsid w:val="000A2448"/>
    <w:rsid w:val="000A2938"/>
    <w:rsid w:val="000A2B15"/>
    <w:rsid w:val="000A2FDD"/>
    <w:rsid w:val="000A3110"/>
    <w:rsid w:val="000A32C6"/>
    <w:rsid w:val="000A339F"/>
    <w:rsid w:val="000A354D"/>
    <w:rsid w:val="000A372E"/>
    <w:rsid w:val="000A3911"/>
    <w:rsid w:val="000A3CDD"/>
    <w:rsid w:val="000A4194"/>
    <w:rsid w:val="000A41C8"/>
    <w:rsid w:val="000A4271"/>
    <w:rsid w:val="000A42B9"/>
    <w:rsid w:val="000A4519"/>
    <w:rsid w:val="000A4687"/>
    <w:rsid w:val="000A4BE2"/>
    <w:rsid w:val="000A4C4A"/>
    <w:rsid w:val="000A4C9F"/>
    <w:rsid w:val="000A4DDB"/>
    <w:rsid w:val="000A507C"/>
    <w:rsid w:val="000A512E"/>
    <w:rsid w:val="000A54D1"/>
    <w:rsid w:val="000A59E9"/>
    <w:rsid w:val="000A5BC9"/>
    <w:rsid w:val="000A5C42"/>
    <w:rsid w:val="000A5FB4"/>
    <w:rsid w:val="000A6087"/>
    <w:rsid w:val="000A61DD"/>
    <w:rsid w:val="000A6300"/>
    <w:rsid w:val="000A64ED"/>
    <w:rsid w:val="000A6911"/>
    <w:rsid w:val="000A69FB"/>
    <w:rsid w:val="000A6C51"/>
    <w:rsid w:val="000A6D79"/>
    <w:rsid w:val="000A7007"/>
    <w:rsid w:val="000A71E4"/>
    <w:rsid w:val="000A71F5"/>
    <w:rsid w:val="000A72CD"/>
    <w:rsid w:val="000A7517"/>
    <w:rsid w:val="000A7C4E"/>
    <w:rsid w:val="000A7D8F"/>
    <w:rsid w:val="000A7E58"/>
    <w:rsid w:val="000B067A"/>
    <w:rsid w:val="000B0F4F"/>
    <w:rsid w:val="000B1050"/>
    <w:rsid w:val="000B119D"/>
    <w:rsid w:val="000B11A9"/>
    <w:rsid w:val="000B137B"/>
    <w:rsid w:val="000B1540"/>
    <w:rsid w:val="000B16FC"/>
    <w:rsid w:val="000B1764"/>
    <w:rsid w:val="000B17EC"/>
    <w:rsid w:val="000B185D"/>
    <w:rsid w:val="000B18DF"/>
    <w:rsid w:val="000B1952"/>
    <w:rsid w:val="000B1BA9"/>
    <w:rsid w:val="000B1CA5"/>
    <w:rsid w:val="000B1DA7"/>
    <w:rsid w:val="000B1FC1"/>
    <w:rsid w:val="000B1FDF"/>
    <w:rsid w:val="000B2127"/>
    <w:rsid w:val="000B21C3"/>
    <w:rsid w:val="000B23C6"/>
    <w:rsid w:val="000B2B65"/>
    <w:rsid w:val="000B2DD2"/>
    <w:rsid w:val="000B2EA2"/>
    <w:rsid w:val="000B2F06"/>
    <w:rsid w:val="000B33FD"/>
    <w:rsid w:val="000B366B"/>
    <w:rsid w:val="000B3782"/>
    <w:rsid w:val="000B37C0"/>
    <w:rsid w:val="000B3847"/>
    <w:rsid w:val="000B3C4E"/>
    <w:rsid w:val="000B3C71"/>
    <w:rsid w:val="000B3C8D"/>
    <w:rsid w:val="000B3CE5"/>
    <w:rsid w:val="000B4230"/>
    <w:rsid w:val="000B452D"/>
    <w:rsid w:val="000B4860"/>
    <w:rsid w:val="000B4A91"/>
    <w:rsid w:val="000B4ABA"/>
    <w:rsid w:val="000B4E39"/>
    <w:rsid w:val="000B505B"/>
    <w:rsid w:val="000B50C2"/>
    <w:rsid w:val="000B564E"/>
    <w:rsid w:val="000B59D2"/>
    <w:rsid w:val="000B5A59"/>
    <w:rsid w:val="000B60FE"/>
    <w:rsid w:val="000B615B"/>
    <w:rsid w:val="000B62EF"/>
    <w:rsid w:val="000B631E"/>
    <w:rsid w:val="000B63F3"/>
    <w:rsid w:val="000B64E6"/>
    <w:rsid w:val="000B6536"/>
    <w:rsid w:val="000B662B"/>
    <w:rsid w:val="000B6642"/>
    <w:rsid w:val="000B67F1"/>
    <w:rsid w:val="000B6A51"/>
    <w:rsid w:val="000B6C88"/>
    <w:rsid w:val="000B6CBC"/>
    <w:rsid w:val="000B6CC5"/>
    <w:rsid w:val="000B6DB4"/>
    <w:rsid w:val="000B6E8D"/>
    <w:rsid w:val="000B6FE9"/>
    <w:rsid w:val="000B6FF2"/>
    <w:rsid w:val="000B705F"/>
    <w:rsid w:val="000B71A7"/>
    <w:rsid w:val="000B73F0"/>
    <w:rsid w:val="000B748F"/>
    <w:rsid w:val="000B789B"/>
    <w:rsid w:val="000B7A7E"/>
    <w:rsid w:val="000B7B52"/>
    <w:rsid w:val="000B7BAE"/>
    <w:rsid w:val="000B7CEC"/>
    <w:rsid w:val="000B7D53"/>
    <w:rsid w:val="000B7F6D"/>
    <w:rsid w:val="000C00D1"/>
    <w:rsid w:val="000C00D4"/>
    <w:rsid w:val="000C02D6"/>
    <w:rsid w:val="000C03E3"/>
    <w:rsid w:val="000C05ED"/>
    <w:rsid w:val="000C06E5"/>
    <w:rsid w:val="000C07FE"/>
    <w:rsid w:val="000C0863"/>
    <w:rsid w:val="000C09B6"/>
    <w:rsid w:val="000C0AD8"/>
    <w:rsid w:val="000C0AE6"/>
    <w:rsid w:val="000C0C7D"/>
    <w:rsid w:val="000C0C9B"/>
    <w:rsid w:val="000C0DA8"/>
    <w:rsid w:val="000C0F09"/>
    <w:rsid w:val="000C0F64"/>
    <w:rsid w:val="000C1702"/>
    <w:rsid w:val="000C180C"/>
    <w:rsid w:val="000C1DA8"/>
    <w:rsid w:val="000C290A"/>
    <w:rsid w:val="000C2A55"/>
    <w:rsid w:val="000C2A89"/>
    <w:rsid w:val="000C2B5B"/>
    <w:rsid w:val="000C2C0C"/>
    <w:rsid w:val="000C2EF3"/>
    <w:rsid w:val="000C2FF9"/>
    <w:rsid w:val="000C3078"/>
    <w:rsid w:val="000C3219"/>
    <w:rsid w:val="000C3241"/>
    <w:rsid w:val="000C33BB"/>
    <w:rsid w:val="000C3442"/>
    <w:rsid w:val="000C34CD"/>
    <w:rsid w:val="000C350E"/>
    <w:rsid w:val="000C3533"/>
    <w:rsid w:val="000C3590"/>
    <w:rsid w:val="000C359D"/>
    <w:rsid w:val="000C386E"/>
    <w:rsid w:val="000C4084"/>
    <w:rsid w:val="000C415C"/>
    <w:rsid w:val="000C42A0"/>
    <w:rsid w:val="000C42CD"/>
    <w:rsid w:val="000C4625"/>
    <w:rsid w:val="000C47D7"/>
    <w:rsid w:val="000C496E"/>
    <w:rsid w:val="000C4B16"/>
    <w:rsid w:val="000C4CBE"/>
    <w:rsid w:val="000C4D34"/>
    <w:rsid w:val="000C4D7D"/>
    <w:rsid w:val="000C50C3"/>
    <w:rsid w:val="000C50CD"/>
    <w:rsid w:val="000C5148"/>
    <w:rsid w:val="000C5159"/>
    <w:rsid w:val="000C5364"/>
    <w:rsid w:val="000C551C"/>
    <w:rsid w:val="000C553E"/>
    <w:rsid w:val="000C558E"/>
    <w:rsid w:val="000C5A4F"/>
    <w:rsid w:val="000C5F04"/>
    <w:rsid w:val="000C60B2"/>
    <w:rsid w:val="000C60D3"/>
    <w:rsid w:val="000C68D0"/>
    <w:rsid w:val="000C68D6"/>
    <w:rsid w:val="000C69F4"/>
    <w:rsid w:val="000C6B40"/>
    <w:rsid w:val="000C6CB4"/>
    <w:rsid w:val="000C6D09"/>
    <w:rsid w:val="000C6D8D"/>
    <w:rsid w:val="000C6DE9"/>
    <w:rsid w:val="000C6F2A"/>
    <w:rsid w:val="000C6FAC"/>
    <w:rsid w:val="000C70CE"/>
    <w:rsid w:val="000C7127"/>
    <w:rsid w:val="000C72FD"/>
    <w:rsid w:val="000C7425"/>
    <w:rsid w:val="000C7434"/>
    <w:rsid w:val="000C74A1"/>
    <w:rsid w:val="000C74DD"/>
    <w:rsid w:val="000C7548"/>
    <w:rsid w:val="000C775F"/>
    <w:rsid w:val="000C777F"/>
    <w:rsid w:val="000C779A"/>
    <w:rsid w:val="000C77D0"/>
    <w:rsid w:val="000C78D8"/>
    <w:rsid w:val="000C7D3A"/>
    <w:rsid w:val="000C7D97"/>
    <w:rsid w:val="000C7E22"/>
    <w:rsid w:val="000D0141"/>
    <w:rsid w:val="000D05DE"/>
    <w:rsid w:val="000D06B4"/>
    <w:rsid w:val="000D0B78"/>
    <w:rsid w:val="000D0C85"/>
    <w:rsid w:val="000D0EEA"/>
    <w:rsid w:val="000D0EF5"/>
    <w:rsid w:val="000D0F34"/>
    <w:rsid w:val="000D0F50"/>
    <w:rsid w:val="000D121E"/>
    <w:rsid w:val="000D18A4"/>
    <w:rsid w:val="000D1A00"/>
    <w:rsid w:val="000D1C84"/>
    <w:rsid w:val="000D2057"/>
    <w:rsid w:val="000D21F6"/>
    <w:rsid w:val="000D22A1"/>
    <w:rsid w:val="000D23C0"/>
    <w:rsid w:val="000D23C6"/>
    <w:rsid w:val="000D27A4"/>
    <w:rsid w:val="000D27AD"/>
    <w:rsid w:val="000D287B"/>
    <w:rsid w:val="000D289A"/>
    <w:rsid w:val="000D28CF"/>
    <w:rsid w:val="000D2BAA"/>
    <w:rsid w:val="000D2BAE"/>
    <w:rsid w:val="000D2D3C"/>
    <w:rsid w:val="000D304D"/>
    <w:rsid w:val="000D3121"/>
    <w:rsid w:val="000D3243"/>
    <w:rsid w:val="000D348C"/>
    <w:rsid w:val="000D37D9"/>
    <w:rsid w:val="000D3960"/>
    <w:rsid w:val="000D3A0A"/>
    <w:rsid w:val="000D3AF8"/>
    <w:rsid w:val="000D3C1B"/>
    <w:rsid w:val="000D3D2A"/>
    <w:rsid w:val="000D3D64"/>
    <w:rsid w:val="000D3D80"/>
    <w:rsid w:val="000D40BD"/>
    <w:rsid w:val="000D42C3"/>
    <w:rsid w:val="000D4432"/>
    <w:rsid w:val="000D4500"/>
    <w:rsid w:val="000D451A"/>
    <w:rsid w:val="000D45ED"/>
    <w:rsid w:val="000D4BC1"/>
    <w:rsid w:val="000D4D0F"/>
    <w:rsid w:val="000D4F59"/>
    <w:rsid w:val="000D52FE"/>
    <w:rsid w:val="000D5AF7"/>
    <w:rsid w:val="000D604B"/>
    <w:rsid w:val="000D657B"/>
    <w:rsid w:val="000D67BF"/>
    <w:rsid w:val="000D699D"/>
    <w:rsid w:val="000D6AF7"/>
    <w:rsid w:val="000D6B3C"/>
    <w:rsid w:val="000D6CB4"/>
    <w:rsid w:val="000D6E00"/>
    <w:rsid w:val="000D7333"/>
    <w:rsid w:val="000D73CF"/>
    <w:rsid w:val="000D751A"/>
    <w:rsid w:val="000D77E9"/>
    <w:rsid w:val="000D797D"/>
    <w:rsid w:val="000D79BF"/>
    <w:rsid w:val="000D79D0"/>
    <w:rsid w:val="000D7AEA"/>
    <w:rsid w:val="000D7BE3"/>
    <w:rsid w:val="000D7E39"/>
    <w:rsid w:val="000E0067"/>
    <w:rsid w:val="000E01A9"/>
    <w:rsid w:val="000E01FE"/>
    <w:rsid w:val="000E021B"/>
    <w:rsid w:val="000E0B65"/>
    <w:rsid w:val="000E11A2"/>
    <w:rsid w:val="000E138F"/>
    <w:rsid w:val="000E139B"/>
    <w:rsid w:val="000E162A"/>
    <w:rsid w:val="000E17E5"/>
    <w:rsid w:val="000E18A5"/>
    <w:rsid w:val="000E1AF5"/>
    <w:rsid w:val="000E1DB5"/>
    <w:rsid w:val="000E1EA5"/>
    <w:rsid w:val="000E2006"/>
    <w:rsid w:val="000E2345"/>
    <w:rsid w:val="000E23E0"/>
    <w:rsid w:val="000E25EC"/>
    <w:rsid w:val="000E2A13"/>
    <w:rsid w:val="000E2A4B"/>
    <w:rsid w:val="000E2B31"/>
    <w:rsid w:val="000E2B72"/>
    <w:rsid w:val="000E2C54"/>
    <w:rsid w:val="000E2C66"/>
    <w:rsid w:val="000E30CD"/>
    <w:rsid w:val="000E3165"/>
    <w:rsid w:val="000E320F"/>
    <w:rsid w:val="000E33EE"/>
    <w:rsid w:val="000E340C"/>
    <w:rsid w:val="000E3719"/>
    <w:rsid w:val="000E3880"/>
    <w:rsid w:val="000E38B6"/>
    <w:rsid w:val="000E3AA9"/>
    <w:rsid w:val="000E3BD4"/>
    <w:rsid w:val="000E3EFC"/>
    <w:rsid w:val="000E41C7"/>
    <w:rsid w:val="000E4361"/>
    <w:rsid w:val="000E436A"/>
    <w:rsid w:val="000E44BB"/>
    <w:rsid w:val="000E481E"/>
    <w:rsid w:val="000E4A58"/>
    <w:rsid w:val="000E4A68"/>
    <w:rsid w:val="000E4C77"/>
    <w:rsid w:val="000E4DAD"/>
    <w:rsid w:val="000E4F20"/>
    <w:rsid w:val="000E5318"/>
    <w:rsid w:val="000E54C2"/>
    <w:rsid w:val="000E591E"/>
    <w:rsid w:val="000E5F0C"/>
    <w:rsid w:val="000E5FE8"/>
    <w:rsid w:val="000E6122"/>
    <w:rsid w:val="000E6240"/>
    <w:rsid w:val="000E6630"/>
    <w:rsid w:val="000E6911"/>
    <w:rsid w:val="000E6AA0"/>
    <w:rsid w:val="000E6B3A"/>
    <w:rsid w:val="000E6C9D"/>
    <w:rsid w:val="000E6D7B"/>
    <w:rsid w:val="000E6DA1"/>
    <w:rsid w:val="000E6E7D"/>
    <w:rsid w:val="000E6F32"/>
    <w:rsid w:val="000E7011"/>
    <w:rsid w:val="000E7070"/>
    <w:rsid w:val="000E7141"/>
    <w:rsid w:val="000E71A7"/>
    <w:rsid w:val="000E7202"/>
    <w:rsid w:val="000E72EA"/>
    <w:rsid w:val="000E772A"/>
    <w:rsid w:val="000E7AD9"/>
    <w:rsid w:val="000E7C0F"/>
    <w:rsid w:val="000E7E03"/>
    <w:rsid w:val="000E7EF1"/>
    <w:rsid w:val="000E7FC5"/>
    <w:rsid w:val="000F00E1"/>
    <w:rsid w:val="000F00E2"/>
    <w:rsid w:val="000F018A"/>
    <w:rsid w:val="000F025D"/>
    <w:rsid w:val="000F05A4"/>
    <w:rsid w:val="000F065B"/>
    <w:rsid w:val="000F0769"/>
    <w:rsid w:val="000F07DE"/>
    <w:rsid w:val="000F0979"/>
    <w:rsid w:val="000F0A1B"/>
    <w:rsid w:val="000F0E60"/>
    <w:rsid w:val="000F10DD"/>
    <w:rsid w:val="000F11C7"/>
    <w:rsid w:val="000F123C"/>
    <w:rsid w:val="000F14F4"/>
    <w:rsid w:val="000F17F9"/>
    <w:rsid w:val="000F19C3"/>
    <w:rsid w:val="000F1DFB"/>
    <w:rsid w:val="000F2259"/>
    <w:rsid w:val="000F233F"/>
    <w:rsid w:val="000F2357"/>
    <w:rsid w:val="000F2693"/>
    <w:rsid w:val="000F273F"/>
    <w:rsid w:val="000F2A3F"/>
    <w:rsid w:val="000F2C00"/>
    <w:rsid w:val="000F2DC1"/>
    <w:rsid w:val="000F2E7D"/>
    <w:rsid w:val="000F2FED"/>
    <w:rsid w:val="000F3026"/>
    <w:rsid w:val="000F3080"/>
    <w:rsid w:val="000F30E5"/>
    <w:rsid w:val="000F3115"/>
    <w:rsid w:val="000F31B2"/>
    <w:rsid w:val="000F31C6"/>
    <w:rsid w:val="000F320D"/>
    <w:rsid w:val="000F3A1A"/>
    <w:rsid w:val="000F3C9D"/>
    <w:rsid w:val="000F3E28"/>
    <w:rsid w:val="000F3E42"/>
    <w:rsid w:val="000F4553"/>
    <w:rsid w:val="000F4C99"/>
    <w:rsid w:val="000F4CB3"/>
    <w:rsid w:val="000F4CC5"/>
    <w:rsid w:val="000F4DCB"/>
    <w:rsid w:val="000F4DEF"/>
    <w:rsid w:val="000F4FC5"/>
    <w:rsid w:val="000F5117"/>
    <w:rsid w:val="000F5121"/>
    <w:rsid w:val="000F5151"/>
    <w:rsid w:val="000F51D1"/>
    <w:rsid w:val="000F5358"/>
    <w:rsid w:val="000F5377"/>
    <w:rsid w:val="000F5387"/>
    <w:rsid w:val="000F55E5"/>
    <w:rsid w:val="000F561E"/>
    <w:rsid w:val="000F5630"/>
    <w:rsid w:val="000F5656"/>
    <w:rsid w:val="000F57AA"/>
    <w:rsid w:val="000F58C4"/>
    <w:rsid w:val="000F5C00"/>
    <w:rsid w:val="000F5EF4"/>
    <w:rsid w:val="000F632E"/>
    <w:rsid w:val="000F6549"/>
    <w:rsid w:val="000F6590"/>
    <w:rsid w:val="000F6621"/>
    <w:rsid w:val="000F66F3"/>
    <w:rsid w:val="000F6917"/>
    <w:rsid w:val="000F6B1F"/>
    <w:rsid w:val="000F6C81"/>
    <w:rsid w:val="000F6DDD"/>
    <w:rsid w:val="000F6F0D"/>
    <w:rsid w:val="000F6F4A"/>
    <w:rsid w:val="000F6F91"/>
    <w:rsid w:val="000F722A"/>
    <w:rsid w:val="000F7509"/>
    <w:rsid w:val="000F762B"/>
    <w:rsid w:val="000F7B7F"/>
    <w:rsid w:val="000F7BDD"/>
    <w:rsid w:val="001000A4"/>
    <w:rsid w:val="00100193"/>
    <w:rsid w:val="0010034E"/>
    <w:rsid w:val="001003BC"/>
    <w:rsid w:val="001003ED"/>
    <w:rsid w:val="00100719"/>
    <w:rsid w:val="00100750"/>
    <w:rsid w:val="001008D6"/>
    <w:rsid w:val="001009B8"/>
    <w:rsid w:val="00100A73"/>
    <w:rsid w:val="00100D2E"/>
    <w:rsid w:val="001012FD"/>
    <w:rsid w:val="001014AA"/>
    <w:rsid w:val="0010153F"/>
    <w:rsid w:val="001016FD"/>
    <w:rsid w:val="0010171A"/>
    <w:rsid w:val="00101733"/>
    <w:rsid w:val="001019EA"/>
    <w:rsid w:val="00101AB4"/>
    <w:rsid w:val="00101B3F"/>
    <w:rsid w:val="00101C57"/>
    <w:rsid w:val="00101E88"/>
    <w:rsid w:val="00102099"/>
    <w:rsid w:val="00102217"/>
    <w:rsid w:val="0010251B"/>
    <w:rsid w:val="0010253E"/>
    <w:rsid w:val="001025A4"/>
    <w:rsid w:val="001026D3"/>
    <w:rsid w:val="00102BD5"/>
    <w:rsid w:val="00102E38"/>
    <w:rsid w:val="00102F01"/>
    <w:rsid w:val="00103082"/>
    <w:rsid w:val="00103173"/>
    <w:rsid w:val="0010326C"/>
    <w:rsid w:val="001033CF"/>
    <w:rsid w:val="001036AA"/>
    <w:rsid w:val="0010376D"/>
    <w:rsid w:val="0010397D"/>
    <w:rsid w:val="00103A77"/>
    <w:rsid w:val="00103D79"/>
    <w:rsid w:val="00104198"/>
    <w:rsid w:val="00104448"/>
    <w:rsid w:val="001045F8"/>
    <w:rsid w:val="001046E5"/>
    <w:rsid w:val="0010480B"/>
    <w:rsid w:val="001048E0"/>
    <w:rsid w:val="00104995"/>
    <w:rsid w:val="00104C13"/>
    <w:rsid w:val="00104E1D"/>
    <w:rsid w:val="00104F34"/>
    <w:rsid w:val="001050D2"/>
    <w:rsid w:val="001056FB"/>
    <w:rsid w:val="001057CE"/>
    <w:rsid w:val="00105C4E"/>
    <w:rsid w:val="00105D2F"/>
    <w:rsid w:val="00105F40"/>
    <w:rsid w:val="0010616D"/>
    <w:rsid w:val="001061DD"/>
    <w:rsid w:val="001066A4"/>
    <w:rsid w:val="00106784"/>
    <w:rsid w:val="001067C3"/>
    <w:rsid w:val="001068DF"/>
    <w:rsid w:val="00106E27"/>
    <w:rsid w:val="00106E49"/>
    <w:rsid w:val="001070A6"/>
    <w:rsid w:val="0010712D"/>
    <w:rsid w:val="00107339"/>
    <w:rsid w:val="001073A1"/>
    <w:rsid w:val="00107535"/>
    <w:rsid w:val="0010756D"/>
    <w:rsid w:val="001078B3"/>
    <w:rsid w:val="001079D6"/>
    <w:rsid w:val="00107C2E"/>
    <w:rsid w:val="00107D13"/>
    <w:rsid w:val="00107D7F"/>
    <w:rsid w:val="00107ED4"/>
    <w:rsid w:val="00107F02"/>
    <w:rsid w:val="00107FC9"/>
    <w:rsid w:val="001100CB"/>
    <w:rsid w:val="00110317"/>
    <w:rsid w:val="00110478"/>
    <w:rsid w:val="00110596"/>
    <w:rsid w:val="001107FE"/>
    <w:rsid w:val="00110A5C"/>
    <w:rsid w:val="00110A97"/>
    <w:rsid w:val="00110BE1"/>
    <w:rsid w:val="00110C91"/>
    <w:rsid w:val="00110E32"/>
    <w:rsid w:val="00110EF8"/>
    <w:rsid w:val="001110BB"/>
    <w:rsid w:val="0011117E"/>
    <w:rsid w:val="0011134E"/>
    <w:rsid w:val="0011163C"/>
    <w:rsid w:val="00111727"/>
    <w:rsid w:val="00111925"/>
    <w:rsid w:val="00111B6C"/>
    <w:rsid w:val="00111B86"/>
    <w:rsid w:val="00111BCE"/>
    <w:rsid w:val="00111C0B"/>
    <w:rsid w:val="00111C78"/>
    <w:rsid w:val="00111C9C"/>
    <w:rsid w:val="00111D4C"/>
    <w:rsid w:val="00111F4B"/>
    <w:rsid w:val="001120A6"/>
    <w:rsid w:val="00112193"/>
    <w:rsid w:val="0011223E"/>
    <w:rsid w:val="00112249"/>
    <w:rsid w:val="00112313"/>
    <w:rsid w:val="00112372"/>
    <w:rsid w:val="0011276D"/>
    <w:rsid w:val="001129D1"/>
    <w:rsid w:val="00112AD7"/>
    <w:rsid w:val="00112B2D"/>
    <w:rsid w:val="00112CCC"/>
    <w:rsid w:val="00113000"/>
    <w:rsid w:val="0011300C"/>
    <w:rsid w:val="0011324B"/>
    <w:rsid w:val="00113456"/>
    <w:rsid w:val="0011351F"/>
    <w:rsid w:val="00113559"/>
    <w:rsid w:val="00113685"/>
    <w:rsid w:val="0011371F"/>
    <w:rsid w:val="001138FA"/>
    <w:rsid w:val="00113BE3"/>
    <w:rsid w:val="00113C6F"/>
    <w:rsid w:val="00113D9B"/>
    <w:rsid w:val="00113F4C"/>
    <w:rsid w:val="0011404D"/>
    <w:rsid w:val="00114219"/>
    <w:rsid w:val="001142A6"/>
    <w:rsid w:val="00114320"/>
    <w:rsid w:val="00114600"/>
    <w:rsid w:val="00114711"/>
    <w:rsid w:val="00114A9D"/>
    <w:rsid w:val="00114B34"/>
    <w:rsid w:val="00115101"/>
    <w:rsid w:val="00115120"/>
    <w:rsid w:val="0011548F"/>
    <w:rsid w:val="00115511"/>
    <w:rsid w:val="00115904"/>
    <w:rsid w:val="00115B12"/>
    <w:rsid w:val="00115B5E"/>
    <w:rsid w:val="00115BD7"/>
    <w:rsid w:val="00115C3D"/>
    <w:rsid w:val="00115C7A"/>
    <w:rsid w:val="00115D95"/>
    <w:rsid w:val="00116367"/>
    <w:rsid w:val="001164A5"/>
    <w:rsid w:val="0011664A"/>
    <w:rsid w:val="001166A2"/>
    <w:rsid w:val="00116713"/>
    <w:rsid w:val="0011680E"/>
    <w:rsid w:val="00116AD1"/>
    <w:rsid w:val="00116B9F"/>
    <w:rsid w:val="00116C30"/>
    <w:rsid w:val="00116D35"/>
    <w:rsid w:val="001170CA"/>
    <w:rsid w:val="0011711B"/>
    <w:rsid w:val="00117315"/>
    <w:rsid w:val="00117372"/>
    <w:rsid w:val="00117786"/>
    <w:rsid w:val="001177C6"/>
    <w:rsid w:val="00117CA1"/>
    <w:rsid w:val="00117D47"/>
    <w:rsid w:val="00117F34"/>
    <w:rsid w:val="00117F8A"/>
    <w:rsid w:val="00117F9D"/>
    <w:rsid w:val="001202AC"/>
    <w:rsid w:val="001203E0"/>
    <w:rsid w:val="001204CA"/>
    <w:rsid w:val="00120521"/>
    <w:rsid w:val="0012065B"/>
    <w:rsid w:val="0012067B"/>
    <w:rsid w:val="00120EC5"/>
    <w:rsid w:val="00121068"/>
    <w:rsid w:val="00121104"/>
    <w:rsid w:val="00121189"/>
    <w:rsid w:val="0012121F"/>
    <w:rsid w:val="0012139B"/>
    <w:rsid w:val="0012177C"/>
    <w:rsid w:val="001217E9"/>
    <w:rsid w:val="00121A28"/>
    <w:rsid w:val="00121B00"/>
    <w:rsid w:val="00121B9B"/>
    <w:rsid w:val="00121EBE"/>
    <w:rsid w:val="0012204F"/>
    <w:rsid w:val="00122210"/>
    <w:rsid w:val="00122390"/>
    <w:rsid w:val="001224F3"/>
    <w:rsid w:val="0012257F"/>
    <w:rsid w:val="00122ADC"/>
    <w:rsid w:val="00122B66"/>
    <w:rsid w:val="00122C87"/>
    <w:rsid w:val="00122F38"/>
    <w:rsid w:val="00123190"/>
    <w:rsid w:val="00123583"/>
    <w:rsid w:val="0012358C"/>
    <w:rsid w:val="001235EF"/>
    <w:rsid w:val="00123655"/>
    <w:rsid w:val="00123742"/>
    <w:rsid w:val="0012380F"/>
    <w:rsid w:val="0012385B"/>
    <w:rsid w:val="00123A17"/>
    <w:rsid w:val="00123A35"/>
    <w:rsid w:val="00123B4D"/>
    <w:rsid w:val="00123C4F"/>
    <w:rsid w:val="00123F19"/>
    <w:rsid w:val="00123F66"/>
    <w:rsid w:val="00124212"/>
    <w:rsid w:val="00124313"/>
    <w:rsid w:val="0012442C"/>
    <w:rsid w:val="00124605"/>
    <w:rsid w:val="00124692"/>
    <w:rsid w:val="00124768"/>
    <w:rsid w:val="001248E1"/>
    <w:rsid w:val="00124945"/>
    <w:rsid w:val="001251C7"/>
    <w:rsid w:val="00125336"/>
    <w:rsid w:val="0012563F"/>
    <w:rsid w:val="001257F0"/>
    <w:rsid w:val="00125CF5"/>
    <w:rsid w:val="00125DAA"/>
    <w:rsid w:val="00125FBB"/>
    <w:rsid w:val="00126208"/>
    <w:rsid w:val="00126297"/>
    <w:rsid w:val="00126BE2"/>
    <w:rsid w:val="00127034"/>
    <w:rsid w:val="001273F8"/>
    <w:rsid w:val="00127630"/>
    <w:rsid w:val="00127A4D"/>
    <w:rsid w:val="00127BAA"/>
    <w:rsid w:val="00127CD5"/>
    <w:rsid w:val="00130015"/>
    <w:rsid w:val="00130124"/>
    <w:rsid w:val="00130371"/>
    <w:rsid w:val="00130531"/>
    <w:rsid w:val="00130608"/>
    <w:rsid w:val="0013067C"/>
    <w:rsid w:val="00130AAF"/>
    <w:rsid w:val="00130B0E"/>
    <w:rsid w:val="00130B90"/>
    <w:rsid w:val="00130F46"/>
    <w:rsid w:val="00130F59"/>
    <w:rsid w:val="0013106A"/>
    <w:rsid w:val="00131255"/>
    <w:rsid w:val="00131373"/>
    <w:rsid w:val="001316F1"/>
    <w:rsid w:val="00131851"/>
    <w:rsid w:val="00131B83"/>
    <w:rsid w:val="00131D6F"/>
    <w:rsid w:val="0013256C"/>
    <w:rsid w:val="0013258C"/>
    <w:rsid w:val="001325A5"/>
    <w:rsid w:val="001326F8"/>
    <w:rsid w:val="001327B4"/>
    <w:rsid w:val="001327E8"/>
    <w:rsid w:val="001328F7"/>
    <w:rsid w:val="00132C31"/>
    <w:rsid w:val="00132C63"/>
    <w:rsid w:val="00132DCD"/>
    <w:rsid w:val="001330E4"/>
    <w:rsid w:val="001336C8"/>
    <w:rsid w:val="001336D1"/>
    <w:rsid w:val="001336F6"/>
    <w:rsid w:val="001337FD"/>
    <w:rsid w:val="0013388F"/>
    <w:rsid w:val="001338F0"/>
    <w:rsid w:val="00133B5B"/>
    <w:rsid w:val="00133C1A"/>
    <w:rsid w:val="00133C86"/>
    <w:rsid w:val="00133DF2"/>
    <w:rsid w:val="00133EB8"/>
    <w:rsid w:val="00133EC0"/>
    <w:rsid w:val="00133ED5"/>
    <w:rsid w:val="00133F4B"/>
    <w:rsid w:val="00134175"/>
    <w:rsid w:val="001341B9"/>
    <w:rsid w:val="001341F5"/>
    <w:rsid w:val="001344C3"/>
    <w:rsid w:val="00134586"/>
    <w:rsid w:val="0013458D"/>
    <w:rsid w:val="001345DC"/>
    <w:rsid w:val="001346AE"/>
    <w:rsid w:val="00134B11"/>
    <w:rsid w:val="00134B5B"/>
    <w:rsid w:val="00134B71"/>
    <w:rsid w:val="00134B8E"/>
    <w:rsid w:val="00134CFF"/>
    <w:rsid w:val="001350D6"/>
    <w:rsid w:val="0013542F"/>
    <w:rsid w:val="0013571E"/>
    <w:rsid w:val="001358FE"/>
    <w:rsid w:val="00135AC1"/>
    <w:rsid w:val="00135FCC"/>
    <w:rsid w:val="001362DD"/>
    <w:rsid w:val="0013644A"/>
    <w:rsid w:val="001364B0"/>
    <w:rsid w:val="00136EEA"/>
    <w:rsid w:val="00136F77"/>
    <w:rsid w:val="00136FA4"/>
    <w:rsid w:val="001370B8"/>
    <w:rsid w:val="001370FB"/>
    <w:rsid w:val="00137120"/>
    <w:rsid w:val="001374B6"/>
    <w:rsid w:val="00137A3E"/>
    <w:rsid w:val="00137A9F"/>
    <w:rsid w:val="00137ACE"/>
    <w:rsid w:val="00137E36"/>
    <w:rsid w:val="00137F3F"/>
    <w:rsid w:val="001402C3"/>
    <w:rsid w:val="0014044E"/>
    <w:rsid w:val="00140FE6"/>
    <w:rsid w:val="00141027"/>
    <w:rsid w:val="001411DC"/>
    <w:rsid w:val="00141956"/>
    <w:rsid w:val="001419A5"/>
    <w:rsid w:val="001419E9"/>
    <w:rsid w:val="00141C08"/>
    <w:rsid w:val="00141CC5"/>
    <w:rsid w:val="00141CE5"/>
    <w:rsid w:val="00141D2C"/>
    <w:rsid w:val="00142132"/>
    <w:rsid w:val="001425AB"/>
    <w:rsid w:val="00142DA9"/>
    <w:rsid w:val="00142E4D"/>
    <w:rsid w:val="001438BF"/>
    <w:rsid w:val="00143914"/>
    <w:rsid w:val="0014393D"/>
    <w:rsid w:val="00143AD2"/>
    <w:rsid w:val="00143CDF"/>
    <w:rsid w:val="00143DD8"/>
    <w:rsid w:val="00143ED6"/>
    <w:rsid w:val="00143F31"/>
    <w:rsid w:val="00143F92"/>
    <w:rsid w:val="001444D4"/>
    <w:rsid w:val="001446CC"/>
    <w:rsid w:val="0014489D"/>
    <w:rsid w:val="00144908"/>
    <w:rsid w:val="0014492B"/>
    <w:rsid w:val="00144A2F"/>
    <w:rsid w:val="0014509D"/>
    <w:rsid w:val="001451B1"/>
    <w:rsid w:val="0014550C"/>
    <w:rsid w:val="0014559A"/>
    <w:rsid w:val="00145685"/>
    <w:rsid w:val="001456DF"/>
    <w:rsid w:val="0014572C"/>
    <w:rsid w:val="00145824"/>
    <w:rsid w:val="00145B24"/>
    <w:rsid w:val="00145C07"/>
    <w:rsid w:val="00145C0D"/>
    <w:rsid w:val="00145D75"/>
    <w:rsid w:val="00145F16"/>
    <w:rsid w:val="001467EA"/>
    <w:rsid w:val="00146896"/>
    <w:rsid w:val="001469B1"/>
    <w:rsid w:val="00146ADB"/>
    <w:rsid w:val="00146B46"/>
    <w:rsid w:val="00146B4F"/>
    <w:rsid w:val="00146CB8"/>
    <w:rsid w:val="00146E1B"/>
    <w:rsid w:val="001472DA"/>
    <w:rsid w:val="00147425"/>
    <w:rsid w:val="00147440"/>
    <w:rsid w:val="001475B3"/>
    <w:rsid w:val="0014789F"/>
    <w:rsid w:val="00147923"/>
    <w:rsid w:val="00150226"/>
    <w:rsid w:val="001503A9"/>
    <w:rsid w:val="00150547"/>
    <w:rsid w:val="00150566"/>
    <w:rsid w:val="0015082E"/>
    <w:rsid w:val="0015092D"/>
    <w:rsid w:val="00150A25"/>
    <w:rsid w:val="00150F8B"/>
    <w:rsid w:val="00150F8C"/>
    <w:rsid w:val="001510AE"/>
    <w:rsid w:val="001514FA"/>
    <w:rsid w:val="0015151C"/>
    <w:rsid w:val="00151DBA"/>
    <w:rsid w:val="00151E0C"/>
    <w:rsid w:val="00151EFB"/>
    <w:rsid w:val="00151F07"/>
    <w:rsid w:val="00151FF4"/>
    <w:rsid w:val="001520A9"/>
    <w:rsid w:val="00152119"/>
    <w:rsid w:val="001522EB"/>
    <w:rsid w:val="0015239D"/>
    <w:rsid w:val="00152508"/>
    <w:rsid w:val="00152B18"/>
    <w:rsid w:val="00152C8C"/>
    <w:rsid w:val="00152EF8"/>
    <w:rsid w:val="00152FC1"/>
    <w:rsid w:val="00153200"/>
    <w:rsid w:val="0015328B"/>
    <w:rsid w:val="00153645"/>
    <w:rsid w:val="0015364D"/>
    <w:rsid w:val="00153A90"/>
    <w:rsid w:val="00153BB8"/>
    <w:rsid w:val="00153EDC"/>
    <w:rsid w:val="00153FC5"/>
    <w:rsid w:val="00154321"/>
    <w:rsid w:val="00154756"/>
    <w:rsid w:val="001548A2"/>
    <w:rsid w:val="00154993"/>
    <w:rsid w:val="00154AE6"/>
    <w:rsid w:val="00154AFA"/>
    <w:rsid w:val="00154B3F"/>
    <w:rsid w:val="00154B65"/>
    <w:rsid w:val="00154BAB"/>
    <w:rsid w:val="00154D49"/>
    <w:rsid w:val="00154FA8"/>
    <w:rsid w:val="001550B7"/>
    <w:rsid w:val="001552D8"/>
    <w:rsid w:val="0015581F"/>
    <w:rsid w:val="00155DB5"/>
    <w:rsid w:val="00155E5F"/>
    <w:rsid w:val="00155F60"/>
    <w:rsid w:val="00156043"/>
    <w:rsid w:val="001560FC"/>
    <w:rsid w:val="00156155"/>
    <w:rsid w:val="001562F3"/>
    <w:rsid w:val="00156702"/>
    <w:rsid w:val="0015678F"/>
    <w:rsid w:val="00156A36"/>
    <w:rsid w:val="00156C38"/>
    <w:rsid w:val="00156FA6"/>
    <w:rsid w:val="00157031"/>
    <w:rsid w:val="0015714F"/>
    <w:rsid w:val="001571C7"/>
    <w:rsid w:val="00157561"/>
    <w:rsid w:val="001575EE"/>
    <w:rsid w:val="001577EC"/>
    <w:rsid w:val="001578CE"/>
    <w:rsid w:val="00157933"/>
    <w:rsid w:val="00157978"/>
    <w:rsid w:val="00157CD4"/>
    <w:rsid w:val="001602EA"/>
    <w:rsid w:val="001603FB"/>
    <w:rsid w:val="001607A8"/>
    <w:rsid w:val="001608A5"/>
    <w:rsid w:val="00161094"/>
    <w:rsid w:val="0016120A"/>
    <w:rsid w:val="001612AE"/>
    <w:rsid w:val="001616FC"/>
    <w:rsid w:val="0016183E"/>
    <w:rsid w:val="0016188C"/>
    <w:rsid w:val="001618CD"/>
    <w:rsid w:val="00161919"/>
    <w:rsid w:val="0016199A"/>
    <w:rsid w:val="00161D09"/>
    <w:rsid w:val="001620EA"/>
    <w:rsid w:val="00162107"/>
    <w:rsid w:val="00162114"/>
    <w:rsid w:val="001624BF"/>
    <w:rsid w:val="0016260C"/>
    <w:rsid w:val="00162D54"/>
    <w:rsid w:val="00163162"/>
    <w:rsid w:val="0016328A"/>
    <w:rsid w:val="001634BF"/>
    <w:rsid w:val="001636B2"/>
    <w:rsid w:val="001637C0"/>
    <w:rsid w:val="001637DE"/>
    <w:rsid w:val="001638E8"/>
    <w:rsid w:val="00163983"/>
    <w:rsid w:val="00163BB6"/>
    <w:rsid w:val="00163BFB"/>
    <w:rsid w:val="00163DB6"/>
    <w:rsid w:val="00163E8F"/>
    <w:rsid w:val="00163E91"/>
    <w:rsid w:val="0016404A"/>
    <w:rsid w:val="0016415A"/>
    <w:rsid w:val="001642EB"/>
    <w:rsid w:val="001642EC"/>
    <w:rsid w:val="001646FA"/>
    <w:rsid w:val="001649FD"/>
    <w:rsid w:val="00164D1B"/>
    <w:rsid w:val="00164ECF"/>
    <w:rsid w:val="00164FCF"/>
    <w:rsid w:val="00165276"/>
    <w:rsid w:val="00165856"/>
    <w:rsid w:val="00165A8D"/>
    <w:rsid w:val="00165AD2"/>
    <w:rsid w:val="00165F71"/>
    <w:rsid w:val="0016609E"/>
    <w:rsid w:val="001660F1"/>
    <w:rsid w:val="00166165"/>
    <w:rsid w:val="00166216"/>
    <w:rsid w:val="001662BF"/>
    <w:rsid w:val="00166514"/>
    <w:rsid w:val="0016665D"/>
    <w:rsid w:val="001666E7"/>
    <w:rsid w:val="0016674F"/>
    <w:rsid w:val="00166756"/>
    <w:rsid w:val="0016697B"/>
    <w:rsid w:val="00167019"/>
    <w:rsid w:val="001673F1"/>
    <w:rsid w:val="00167804"/>
    <w:rsid w:val="00167A2A"/>
    <w:rsid w:val="00167DEF"/>
    <w:rsid w:val="00170058"/>
    <w:rsid w:val="001700B8"/>
    <w:rsid w:val="001701E9"/>
    <w:rsid w:val="00170300"/>
    <w:rsid w:val="00170318"/>
    <w:rsid w:val="00170352"/>
    <w:rsid w:val="0017054D"/>
    <w:rsid w:val="00170550"/>
    <w:rsid w:val="0017065F"/>
    <w:rsid w:val="001707C0"/>
    <w:rsid w:val="00170856"/>
    <w:rsid w:val="001709F1"/>
    <w:rsid w:val="00170C16"/>
    <w:rsid w:val="00170FCF"/>
    <w:rsid w:val="00171326"/>
    <w:rsid w:val="0017133A"/>
    <w:rsid w:val="001713D8"/>
    <w:rsid w:val="001713E4"/>
    <w:rsid w:val="0017148C"/>
    <w:rsid w:val="001715BF"/>
    <w:rsid w:val="00171647"/>
    <w:rsid w:val="0017166D"/>
    <w:rsid w:val="0017189E"/>
    <w:rsid w:val="00171A45"/>
    <w:rsid w:val="00172033"/>
    <w:rsid w:val="00172101"/>
    <w:rsid w:val="00172130"/>
    <w:rsid w:val="001721F4"/>
    <w:rsid w:val="00172241"/>
    <w:rsid w:val="001722BD"/>
    <w:rsid w:val="0017246C"/>
    <w:rsid w:val="00172585"/>
    <w:rsid w:val="001728AC"/>
    <w:rsid w:val="001729A1"/>
    <w:rsid w:val="00172A55"/>
    <w:rsid w:val="00173099"/>
    <w:rsid w:val="001731D8"/>
    <w:rsid w:val="001735F1"/>
    <w:rsid w:val="0017385E"/>
    <w:rsid w:val="001739C2"/>
    <w:rsid w:val="001739CD"/>
    <w:rsid w:val="00174046"/>
    <w:rsid w:val="00174185"/>
    <w:rsid w:val="001741B4"/>
    <w:rsid w:val="00174567"/>
    <w:rsid w:val="001747EB"/>
    <w:rsid w:val="0017488C"/>
    <w:rsid w:val="0017489C"/>
    <w:rsid w:val="00174ACF"/>
    <w:rsid w:val="00174EFA"/>
    <w:rsid w:val="00175847"/>
    <w:rsid w:val="001758CD"/>
    <w:rsid w:val="001758FB"/>
    <w:rsid w:val="0017595E"/>
    <w:rsid w:val="0017599E"/>
    <w:rsid w:val="00175ACE"/>
    <w:rsid w:val="00175B90"/>
    <w:rsid w:val="00175B9E"/>
    <w:rsid w:val="00175C70"/>
    <w:rsid w:val="00175EFF"/>
    <w:rsid w:val="00175FF7"/>
    <w:rsid w:val="0017618B"/>
    <w:rsid w:val="00176340"/>
    <w:rsid w:val="0017640E"/>
    <w:rsid w:val="0017665C"/>
    <w:rsid w:val="0017686E"/>
    <w:rsid w:val="001768A2"/>
    <w:rsid w:val="00176B5C"/>
    <w:rsid w:val="00176B96"/>
    <w:rsid w:val="00176D65"/>
    <w:rsid w:val="00177078"/>
    <w:rsid w:val="00177140"/>
    <w:rsid w:val="00177387"/>
    <w:rsid w:val="0017778B"/>
    <w:rsid w:val="001777B5"/>
    <w:rsid w:val="0017784E"/>
    <w:rsid w:val="00177874"/>
    <w:rsid w:val="00177AD2"/>
    <w:rsid w:val="00177B8B"/>
    <w:rsid w:val="00177C03"/>
    <w:rsid w:val="00177C90"/>
    <w:rsid w:val="00177E34"/>
    <w:rsid w:val="00177EEF"/>
    <w:rsid w:val="001804F3"/>
    <w:rsid w:val="00180BFB"/>
    <w:rsid w:val="00180BFE"/>
    <w:rsid w:val="00180C8A"/>
    <w:rsid w:val="00180FA5"/>
    <w:rsid w:val="00180FCD"/>
    <w:rsid w:val="00180FEB"/>
    <w:rsid w:val="001811B4"/>
    <w:rsid w:val="001811C6"/>
    <w:rsid w:val="0018127D"/>
    <w:rsid w:val="00181340"/>
    <w:rsid w:val="00181344"/>
    <w:rsid w:val="00181512"/>
    <w:rsid w:val="001815A8"/>
    <w:rsid w:val="001818CB"/>
    <w:rsid w:val="00182019"/>
    <w:rsid w:val="00182020"/>
    <w:rsid w:val="0018209C"/>
    <w:rsid w:val="00182204"/>
    <w:rsid w:val="001822BE"/>
    <w:rsid w:val="001822EF"/>
    <w:rsid w:val="0018236D"/>
    <w:rsid w:val="001823D8"/>
    <w:rsid w:val="00182596"/>
    <w:rsid w:val="001826D0"/>
    <w:rsid w:val="00182980"/>
    <w:rsid w:val="00182A81"/>
    <w:rsid w:val="00182CB8"/>
    <w:rsid w:val="00182D1C"/>
    <w:rsid w:val="00182DF6"/>
    <w:rsid w:val="00182E18"/>
    <w:rsid w:val="00183002"/>
    <w:rsid w:val="001830D8"/>
    <w:rsid w:val="00183226"/>
    <w:rsid w:val="0018335B"/>
    <w:rsid w:val="001838BB"/>
    <w:rsid w:val="00183948"/>
    <w:rsid w:val="001839A2"/>
    <w:rsid w:val="0018408A"/>
    <w:rsid w:val="001840FA"/>
    <w:rsid w:val="00184180"/>
    <w:rsid w:val="001841B5"/>
    <w:rsid w:val="0018494B"/>
    <w:rsid w:val="001849E1"/>
    <w:rsid w:val="00184BB6"/>
    <w:rsid w:val="00184C19"/>
    <w:rsid w:val="00184CE9"/>
    <w:rsid w:val="00184D23"/>
    <w:rsid w:val="001852D9"/>
    <w:rsid w:val="0018536F"/>
    <w:rsid w:val="001854DE"/>
    <w:rsid w:val="001858C1"/>
    <w:rsid w:val="00185AB8"/>
    <w:rsid w:val="00185BC6"/>
    <w:rsid w:val="00185CA6"/>
    <w:rsid w:val="00185E39"/>
    <w:rsid w:val="00186218"/>
    <w:rsid w:val="00186275"/>
    <w:rsid w:val="00186370"/>
    <w:rsid w:val="001863C9"/>
    <w:rsid w:val="0018653B"/>
    <w:rsid w:val="00186737"/>
    <w:rsid w:val="0018674B"/>
    <w:rsid w:val="00186872"/>
    <w:rsid w:val="00186A67"/>
    <w:rsid w:val="00186D35"/>
    <w:rsid w:val="00186F71"/>
    <w:rsid w:val="00187181"/>
    <w:rsid w:val="001874FB"/>
    <w:rsid w:val="0018757C"/>
    <w:rsid w:val="001875EF"/>
    <w:rsid w:val="001876EB"/>
    <w:rsid w:val="00187887"/>
    <w:rsid w:val="00187B19"/>
    <w:rsid w:val="00187D7A"/>
    <w:rsid w:val="00187E2E"/>
    <w:rsid w:val="00187EEE"/>
    <w:rsid w:val="00190079"/>
    <w:rsid w:val="001900FC"/>
    <w:rsid w:val="0019051B"/>
    <w:rsid w:val="001905D1"/>
    <w:rsid w:val="00190600"/>
    <w:rsid w:val="00190733"/>
    <w:rsid w:val="0019084B"/>
    <w:rsid w:val="00190986"/>
    <w:rsid w:val="00190E45"/>
    <w:rsid w:val="00190EBD"/>
    <w:rsid w:val="00190EDC"/>
    <w:rsid w:val="001910DA"/>
    <w:rsid w:val="001911C0"/>
    <w:rsid w:val="001912C9"/>
    <w:rsid w:val="0019132E"/>
    <w:rsid w:val="00191561"/>
    <w:rsid w:val="001916EC"/>
    <w:rsid w:val="0019191F"/>
    <w:rsid w:val="00191A51"/>
    <w:rsid w:val="001924DE"/>
    <w:rsid w:val="00192603"/>
    <w:rsid w:val="00192984"/>
    <w:rsid w:val="00192AC3"/>
    <w:rsid w:val="00192D1F"/>
    <w:rsid w:val="00193144"/>
    <w:rsid w:val="00193206"/>
    <w:rsid w:val="001932F7"/>
    <w:rsid w:val="00193542"/>
    <w:rsid w:val="00193553"/>
    <w:rsid w:val="00193620"/>
    <w:rsid w:val="0019367D"/>
    <w:rsid w:val="001936DA"/>
    <w:rsid w:val="00193929"/>
    <w:rsid w:val="001939E1"/>
    <w:rsid w:val="00193A96"/>
    <w:rsid w:val="00193CB4"/>
    <w:rsid w:val="00193E64"/>
    <w:rsid w:val="00193EA6"/>
    <w:rsid w:val="00193F3A"/>
    <w:rsid w:val="00193FCD"/>
    <w:rsid w:val="001942E3"/>
    <w:rsid w:val="001945E4"/>
    <w:rsid w:val="00194609"/>
    <w:rsid w:val="00194687"/>
    <w:rsid w:val="0019479F"/>
    <w:rsid w:val="00194959"/>
    <w:rsid w:val="00195361"/>
    <w:rsid w:val="0019564C"/>
    <w:rsid w:val="001958F7"/>
    <w:rsid w:val="00195AD3"/>
    <w:rsid w:val="00195BC6"/>
    <w:rsid w:val="001960E1"/>
    <w:rsid w:val="001961F7"/>
    <w:rsid w:val="0019622E"/>
    <w:rsid w:val="00196410"/>
    <w:rsid w:val="001965A8"/>
    <w:rsid w:val="001966A7"/>
    <w:rsid w:val="00196A97"/>
    <w:rsid w:val="00196B2D"/>
    <w:rsid w:val="00196EAB"/>
    <w:rsid w:val="00196FA6"/>
    <w:rsid w:val="001970A6"/>
    <w:rsid w:val="001970F1"/>
    <w:rsid w:val="00197165"/>
    <w:rsid w:val="00197402"/>
    <w:rsid w:val="001975FE"/>
    <w:rsid w:val="00197616"/>
    <w:rsid w:val="0019769D"/>
    <w:rsid w:val="00197800"/>
    <w:rsid w:val="00197880"/>
    <w:rsid w:val="00197D6D"/>
    <w:rsid w:val="00197DB3"/>
    <w:rsid w:val="001A010A"/>
    <w:rsid w:val="001A0698"/>
    <w:rsid w:val="001A0839"/>
    <w:rsid w:val="001A0DA3"/>
    <w:rsid w:val="001A0FF9"/>
    <w:rsid w:val="001A114D"/>
    <w:rsid w:val="001A1555"/>
    <w:rsid w:val="001A1644"/>
    <w:rsid w:val="001A1647"/>
    <w:rsid w:val="001A1877"/>
    <w:rsid w:val="001A1A7B"/>
    <w:rsid w:val="001A1B88"/>
    <w:rsid w:val="001A1CC4"/>
    <w:rsid w:val="001A1CE6"/>
    <w:rsid w:val="001A1F97"/>
    <w:rsid w:val="001A223E"/>
    <w:rsid w:val="001A23FC"/>
    <w:rsid w:val="001A24CF"/>
    <w:rsid w:val="001A28EE"/>
    <w:rsid w:val="001A29F1"/>
    <w:rsid w:val="001A2F4E"/>
    <w:rsid w:val="001A33BA"/>
    <w:rsid w:val="001A37FF"/>
    <w:rsid w:val="001A399C"/>
    <w:rsid w:val="001A3A43"/>
    <w:rsid w:val="001A3B64"/>
    <w:rsid w:val="001A3DFA"/>
    <w:rsid w:val="001A3E1F"/>
    <w:rsid w:val="001A3EF5"/>
    <w:rsid w:val="001A42F5"/>
    <w:rsid w:val="001A43FC"/>
    <w:rsid w:val="001A4552"/>
    <w:rsid w:val="001A45F2"/>
    <w:rsid w:val="001A4627"/>
    <w:rsid w:val="001A48B9"/>
    <w:rsid w:val="001A4979"/>
    <w:rsid w:val="001A49ED"/>
    <w:rsid w:val="001A4DAE"/>
    <w:rsid w:val="001A4F37"/>
    <w:rsid w:val="001A4F53"/>
    <w:rsid w:val="001A4FEF"/>
    <w:rsid w:val="001A5180"/>
    <w:rsid w:val="001A57FE"/>
    <w:rsid w:val="001A59F8"/>
    <w:rsid w:val="001A5B30"/>
    <w:rsid w:val="001A5E96"/>
    <w:rsid w:val="001A5F0B"/>
    <w:rsid w:val="001A6010"/>
    <w:rsid w:val="001A60D2"/>
    <w:rsid w:val="001A6278"/>
    <w:rsid w:val="001A6331"/>
    <w:rsid w:val="001A6504"/>
    <w:rsid w:val="001A6570"/>
    <w:rsid w:val="001A66F1"/>
    <w:rsid w:val="001A67CF"/>
    <w:rsid w:val="001A6935"/>
    <w:rsid w:val="001A69C8"/>
    <w:rsid w:val="001A6A28"/>
    <w:rsid w:val="001A6D94"/>
    <w:rsid w:val="001A6E92"/>
    <w:rsid w:val="001A717A"/>
    <w:rsid w:val="001A72EC"/>
    <w:rsid w:val="001A741C"/>
    <w:rsid w:val="001A7540"/>
    <w:rsid w:val="001A7616"/>
    <w:rsid w:val="001A768D"/>
    <w:rsid w:val="001A7F0C"/>
    <w:rsid w:val="001B029E"/>
    <w:rsid w:val="001B044E"/>
    <w:rsid w:val="001B04F0"/>
    <w:rsid w:val="001B05FC"/>
    <w:rsid w:val="001B0636"/>
    <w:rsid w:val="001B06D0"/>
    <w:rsid w:val="001B0BC6"/>
    <w:rsid w:val="001B0C9D"/>
    <w:rsid w:val="001B0CFC"/>
    <w:rsid w:val="001B119F"/>
    <w:rsid w:val="001B15D3"/>
    <w:rsid w:val="001B17C9"/>
    <w:rsid w:val="001B185A"/>
    <w:rsid w:val="001B1898"/>
    <w:rsid w:val="001B199A"/>
    <w:rsid w:val="001B1A39"/>
    <w:rsid w:val="001B1BA9"/>
    <w:rsid w:val="001B1C8A"/>
    <w:rsid w:val="001B1CD0"/>
    <w:rsid w:val="001B1D93"/>
    <w:rsid w:val="001B1F8A"/>
    <w:rsid w:val="001B2098"/>
    <w:rsid w:val="001B21E3"/>
    <w:rsid w:val="001B21F0"/>
    <w:rsid w:val="001B2249"/>
    <w:rsid w:val="001B2366"/>
    <w:rsid w:val="001B2443"/>
    <w:rsid w:val="001B266D"/>
    <w:rsid w:val="001B2708"/>
    <w:rsid w:val="001B2726"/>
    <w:rsid w:val="001B2923"/>
    <w:rsid w:val="001B2942"/>
    <w:rsid w:val="001B2D88"/>
    <w:rsid w:val="001B309F"/>
    <w:rsid w:val="001B32ED"/>
    <w:rsid w:val="001B3427"/>
    <w:rsid w:val="001B3443"/>
    <w:rsid w:val="001B34BE"/>
    <w:rsid w:val="001B3510"/>
    <w:rsid w:val="001B3560"/>
    <w:rsid w:val="001B3BC2"/>
    <w:rsid w:val="001B3D55"/>
    <w:rsid w:val="001B3DA5"/>
    <w:rsid w:val="001B3DA7"/>
    <w:rsid w:val="001B3FEB"/>
    <w:rsid w:val="001B401A"/>
    <w:rsid w:val="001B4164"/>
    <w:rsid w:val="001B4307"/>
    <w:rsid w:val="001B43B7"/>
    <w:rsid w:val="001B450D"/>
    <w:rsid w:val="001B4549"/>
    <w:rsid w:val="001B47C3"/>
    <w:rsid w:val="001B48C5"/>
    <w:rsid w:val="001B4A33"/>
    <w:rsid w:val="001B4B5D"/>
    <w:rsid w:val="001B4BEA"/>
    <w:rsid w:val="001B4D1B"/>
    <w:rsid w:val="001B4E23"/>
    <w:rsid w:val="001B51FA"/>
    <w:rsid w:val="001B546C"/>
    <w:rsid w:val="001B5C1A"/>
    <w:rsid w:val="001B611E"/>
    <w:rsid w:val="001B629A"/>
    <w:rsid w:val="001B6543"/>
    <w:rsid w:val="001B692A"/>
    <w:rsid w:val="001B6953"/>
    <w:rsid w:val="001B6C5B"/>
    <w:rsid w:val="001B6D11"/>
    <w:rsid w:val="001B6E34"/>
    <w:rsid w:val="001B6FC6"/>
    <w:rsid w:val="001B79A3"/>
    <w:rsid w:val="001B7A10"/>
    <w:rsid w:val="001B7B0B"/>
    <w:rsid w:val="001B7C7A"/>
    <w:rsid w:val="001B7FAA"/>
    <w:rsid w:val="001C0057"/>
    <w:rsid w:val="001C0326"/>
    <w:rsid w:val="001C038D"/>
    <w:rsid w:val="001C0430"/>
    <w:rsid w:val="001C04BC"/>
    <w:rsid w:val="001C06D5"/>
    <w:rsid w:val="001C08A4"/>
    <w:rsid w:val="001C0972"/>
    <w:rsid w:val="001C1492"/>
    <w:rsid w:val="001C18A9"/>
    <w:rsid w:val="001C192F"/>
    <w:rsid w:val="001C1A84"/>
    <w:rsid w:val="001C1ACF"/>
    <w:rsid w:val="001C1C3A"/>
    <w:rsid w:val="001C1C79"/>
    <w:rsid w:val="001C1CA2"/>
    <w:rsid w:val="001C1FDA"/>
    <w:rsid w:val="001C247D"/>
    <w:rsid w:val="001C2520"/>
    <w:rsid w:val="001C26B3"/>
    <w:rsid w:val="001C2729"/>
    <w:rsid w:val="001C299C"/>
    <w:rsid w:val="001C2CE8"/>
    <w:rsid w:val="001C2EF6"/>
    <w:rsid w:val="001C3233"/>
    <w:rsid w:val="001C34EE"/>
    <w:rsid w:val="001C3A76"/>
    <w:rsid w:val="001C3C3E"/>
    <w:rsid w:val="001C3C42"/>
    <w:rsid w:val="001C3C44"/>
    <w:rsid w:val="001C3C49"/>
    <w:rsid w:val="001C3D82"/>
    <w:rsid w:val="001C45B5"/>
    <w:rsid w:val="001C45F6"/>
    <w:rsid w:val="001C487D"/>
    <w:rsid w:val="001C49D2"/>
    <w:rsid w:val="001C4C2E"/>
    <w:rsid w:val="001C4D8B"/>
    <w:rsid w:val="001C5483"/>
    <w:rsid w:val="001C5515"/>
    <w:rsid w:val="001C5735"/>
    <w:rsid w:val="001C579F"/>
    <w:rsid w:val="001C583F"/>
    <w:rsid w:val="001C5E57"/>
    <w:rsid w:val="001C5EBA"/>
    <w:rsid w:val="001C62C0"/>
    <w:rsid w:val="001C6371"/>
    <w:rsid w:val="001C64D4"/>
    <w:rsid w:val="001C6873"/>
    <w:rsid w:val="001C690A"/>
    <w:rsid w:val="001C6B9C"/>
    <w:rsid w:val="001C6D39"/>
    <w:rsid w:val="001C6E1A"/>
    <w:rsid w:val="001C6E7E"/>
    <w:rsid w:val="001C70A6"/>
    <w:rsid w:val="001C72DD"/>
    <w:rsid w:val="001C739A"/>
    <w:rsid w:val="001C7597"/>
    <w:rsid w:val="001C761F"/>
    <w:rsid w:val="001C7786"/>
    <w:rsid w:val="001C77F9"/>
    <w:rsid w:val="001C7D2F"/>
    <w:rsid w:val="001C7EAD"/>
    <w:rsid w:val="001D04DD"/>
    <w:rsid w:val="001D06E4"/>
    <w:rsid w:val="001D07E3"/>
    <w:rsid w:val="001D0B65"/>
    <w:rsid w:val="001D0CCC"/>
    <w:rsid w:val="001D1266"/>
    <w:rsid w:val="001D139B"/>
    <w:rsid w:val="001D16BC"/>
    <w:rsid w:val="001D19E1"/>
    <w:rsid w:val="001D1DA5"/>
    <w:rsid w:val="001D203C"/>
    <w:rsid w:val="001D23E2"/>
    <w:rsid w:val="001D2755"/>
    <w:rsid w:val="001D2811"/>
    <w:rsid w:val="001D2945"/>
    <w:rsid w:val="001D2A28"/>
    <w:rsid w:val="001D2C53"/>
    <w:rsid w:val="001D2E86"/>
    <w:rsid w:val="001D2EF4"/>
    <w:rsid w:val="001D300B"/>
    <w:rsid w:val="001D338E"/>
    <w:rsid w:val="001D3658"/>
    <w:rsid w:val="001D36AB"/>
    <w:rsid w:val="001D387C"/>
    <w:rsid w:val="001D38A3"/>
    <w:rsid w:val="001D3C6F"/>
    <w:rsid w:val="001D3D9C"/>
    <w:rsid w:val="001D3DF4"/>
    <w:rsid w:val="001D4052"/>
    <w:rsid w:val="001D4072"/>
    <w:rsid w:val="001D4082"/>
    <w:rsid w:val="001D4589"/>
    <w:rsid w:val="001D4590"/>
    <w:rsid w:val="001D4709"/>
    <w:rsid w:val="001D4882"/>
    <w:rsid w:val="001D4A57"/>
    <w:rsid w:val="001D4CDA"/>
    <w:rsid w:val="001D4F0D"/>
    <w:rsid w:val="001D52FC"/>
    <w:rsid w:val="001D52FD"/>
    <w:rsid w:val="001D5307"/>
    <w:rsid w:val="001D5324"/>
    <w:rsid w:val="001D539B"/>
    <w:rsid w:val="001D568B"/>
    <w:rsid w:val="001D6264"/>
    <w:rsid w:val="001D6283"/>
    <w:rsid w:val="001D629D"/>
    <w:rsid w:val="001D64E8"/>
    <w:rsid w:val="001D659F"/>
    <w:rsid w:val="001D6615"/>
    <w:rsid w:val="001D66D7"/>
    <w:rsid w:val="001D6827"/>
    <w:rsid w:val="001D694E"/>
    <w:rsid w:val="001D69A7"/>
    <w:rsid w:val="001D6A2B"/>
    <w:rsid w:val="001D6A65"/>
    <w:rsid w:val="001D6B5E"/>
    <w:rsid w:val="001D6CD6"/>
    <w:rsid w:val="001D6E7D"/>
    <w:rsid w:val="001D6F9D"/>
    <w:rsid w:val="001D7206"/>
    <w:rsid w:val="001D7869"/>
    <w:rsid w:val="001D78EB"/>
    <w:rsid w:val="001D793A"/>
    <w:rsid w:val="001D79E8"/>
    <w:rsid w:val="001D7B30"/>
    <w:rsid w:val="001D7DA9"/>
    <w:rsid w:val="001D7E0A"/>
    <w:rsid w:val="001D7EA7"/>
    <w:rsid w:val="001E0211"/>
    <w:rsid w:val="001E0251"/>
    <w:rsid w:val="001E0292"/>
    <w:rsid w:val="001E03B5"/>
    <w:rsid w:val="001E0627"/>
    <w:rsid w:val="001E084C"/>
    <w:rsid w:val="001E084D"/>
    <w:rsid w:val="001E0955"/>
    <w:rsid w:val="001E0B2F"/>
    <w:rsid w:val="001E0BDB"/>
    <w:rsid w:val="001E0C0A"/>
    <w:rsid w:val="001E0CE2"/>
    <w:rsid w:val="001E0D2C"/>
    <w:rsid w:val="001E0F5A"/>
    <w:rsid w:val="001E1689"/>
    <w:rsid w:val="001E1AA8"/>
    <w:rsid w:val="001E1AC4"/>
    <w:rsid w:val="001E1E59"/>
    <w:rsid w:val="001E1EDE"/>
    <w:rsid w:val="001E21F2"/>
    <w:rsid w:val="001E242D"/>
    <w:rsid w:val="001E24DD"/>
    <w:rsid w:val="001E259C"/>
    <w:rsid w:val="001E2878"/>
    <w:rsid w:val="001E2AED"/>
    <w:rsid w:val="001E2E1C"/>
    <w:rsid w:val="001E30A5"/>
    <w:rsid w:val="001E329C"/>
    <w:rsid w:val="001E333B"/>
    <w:rsid w:val="001E3608"/>
    <w:rsid w:val="001E3991"/>
    <w:rsid w:val="001E3AD1"/>
    <w:rsid w:val="001E3B4D"/>
    <w:rsid w:val="001E3B77"/>
    <w:rsid w:val="001E3CA6"/>
    <w:rsid w:val="001E3CB9"/>
    <w:rsid w:val="001E3CC3"/>
    <w:rsid w:val="001E3D1A"/>
    <w:rsid w:val="001E4096"/>
    <w:rsid w:val="001E41D5"/>
    <w:rsid w:val="001E41E9"/>
    <w:rsid w:val="001E4282"/>
    <w:rsid w:val="001E4398"/>
    <w:rsid w:val="001E4539"/>
    <w:rsid w:val="001E4720"/>
    <w:rsid w:val="001E48E3"/>
    <w:rsid w:val="001E4969"/>
    <w:rsid w:val="001E49EC"/>
    <w:rsid w:val="001E5033"/>
    <w:rsid w:val="001E51B6"/>
    <w:rsid w:val="001E5258"/>
    <w:rsid w:val="001E52E8"/>
    <w:rsid w:val="001E54C8"/>
    <w:rsid w:val="001E5552"/>
    <w:rsid w:val="001E5728"/>
    <w:rsid w:val="001E5996"/>
    <w:rsid w:val="001E5BA8"/>
    <w:rsid w:val="001E5CC7"/>
    <w:rsid w:val="001E5D52"/>
    <w:rsid w:val="001E5DB8"/>
    <w:rsid w:val="001E640F"/>
    <w:rsid w:val="001E64E4"/>
    <w:rsid w:val="001E677B"/>
    <w:rsid w:val="001E6A1F"/>
    <w:rsid w:val="001E6C09"/>
    <w:rsid w:val="001E6C1F"/>
    <w:rsid w:val="001E6C37"/>
    <w:rsid w:val="001E6C46"/>
    <w:rsid w:val="001E6C88"/>
    <w:rsid w:val="001E6C9C"/>
    <w:rsid w:val="001E6D3A"/>
    <w:rsid w:val="001E6FAD"/>
    <w:rsid w:val="001E705B"/>
    <w:rsid w:val="001E7065"/>
    <w:rsid w:val="001E706C"/>
    <w:rsid w:val="001E70E3"/>
    <w:rsid w:val="001E7419"/>
    <w:rsid w:val="001E75D5"/>
    <w:rsid w:val="001E76FA"/>
    <w:rsid w:val="001E78D1"/>
    <w:rsid w:val="001E79D4"/>
    <w:rsid w:val="001E7A1F"/>
    <w:rsid w:val="001E7AF0"/>
    <w:rsid w:val="001E7C77"/>
    <w:rsid w:val="001E7CB9"/>
    <w:rsid w:val="001E7E0B"/>
    <w:rsid w:val="001F02A2"/>
    <w:rsid w:val="001F04AC"/>
    <w:rsid w:val="001F07CE"/>
    <w:rsid w:val="001F08D0"/>
    <w:rsid w:val="001F0A9F"/>
    <w:rsid w:val="001F15C7"/>
    <w:rsid w:val="001F1862"/>
    <w:rsid w:val="001F1A66"/>
    <w:rsid w:val="001F1B19"/>
    <w:rsid w:val="001F1B21"/>
    <w:rsid w:val="001F1BAC"/>
    <w:rsid w:val="001F1C79"/>
    <w:rsid w:val="001F21C6"/>
    <w:rsid w:val="001F222D"/>
    <w:rsid w:val="001F225E"/>
    <w:rsid w:val="001F22AF"/>
    <w:rsid w:val="001F23DC"/>
    <w:rsid w:val="001F2402"/>
    <w:rsid w:val="001F2A47"/>
    <w:rsid w:val="001F2F0C"/>
    <w:rsid w:val="001F2F78"/>
    <w:rsid w:val="001F312C"/>
    <w:rsid w:val="001F32CB"/>
    <w:rsid w:val="001F3798"/>
    <w:rsid w:val="001F3CB1"/>
    <w:rsid w:val="001F3D58"/>
    <w:rsid w:val="001F3DCF"/>
    <w:rsid w:val="001F3DDE"/>
    <w:rsid w:val="001F4045"/>
    <w:rsid w:val="001F404D"/>
    <w:rsid w:val="001F414F"/>
    <w:rsid w:val="001F42E8"/>
    <w:rsid w:val="001F47C7"/>
    <w:rsid w:val="001F489C"/>
    <w:rsid w:val="001F4C43"/>
    <w:rsid w:val="001F4D45"/>
    <w:rsid w:val="001F4FCD"/>
    <w:rsid w:val="001F5098"/>
    <w:rsid w:val="001F572A"/>
    <w:rsid w:val="001F5ABE"/>
    <w:rsid w:val="001F5AF5"/>
    <w:rsid w:val="001F5C40"/>
    <w:rsid w:val="001F5E48"/>
    <w:rsid w:val="001F6052"/>
    <w:rsid w:val="001F60CA"/>
    <w:rsid w:val="001F6994"/>
    <w:rsid w:val="001F6A6B"/>
    <w:rsid w:val="001F6AF7"/>
    <w:rsid w:val="001F6BDF"/>
    <w:rsid w:val="001F6E3B"/>
    <w:rsid w:val="001F72EA"/>
    <w:rsid w:val="001F72EC"/>
    <w:rsid w:val="001F752E"/>
    <w:rsid w:val="001F7F45"/>
    <w:rsid w:val="00200287"/>
    <w:rsid w:val="002002CE"/>
    <w:rsid w:val="002003B5"/>
    <w:rsid w:val="002003C4"/>
    <w:rsid w:val="00200572"/>
    <w:rsid w:val="00200880"/>
    <w:rsid w:val="002009FD"/>
    <w:rsid w:val="00200AAD"/>
    <w:rsid w:val="00200BA5"/>
    <w:rsid w:val="0020125F"/>
    <w:rsid w:val="002012DA"/>
    <w:rsid w:val="002013EA"/>
    <w:rsid w:val="00201463"/>
    <w:rsid w:val="0020159A"/>
    <w:rsid w:val="002017E6"/>
    <w:rsid w:val="00201B83"/>
    <w:rsid w:val="00201C8D"/>
    <w:rsid w:val="00201E21"/>
    <w:rsid w:val="00202074"/>
    <w:rsid w:val="0020212A"/>
    <w:rsid w:val="0020219E"/>
    <w:rsid w:val="002021B1"/>
    <w:rsid w:val="00202351"/>
    <w:rsid w:val="00202534"/>
    <w:rsid w:val="002026CD"/>
    <w:rsid w:val="00202B29"/>
    <w:rsid w:val="00202EA5"/>
    <w:rsid w:val="00202FF4"/>
    <w:rsid w:val="002033FC"/>
    <w:rsid w:val="00203537"/>
    <w:rsid w:val="00203657"/>
    <w:rsid w:val="002038C3"/>
    <w:rsid w:val="00204174"/>
    <w:rsid w:val="00204198"/>
    <w:rsid w:val="00204267"/>
    <w:rsid w:val="002044B2"/>
    <w:rsid w:val="002044BB"/>
    <w:rsid w:val="002045CD"/>
    <w:rsid w:val="002047C9"/>
    <w:rsid w:val="00204853"/>
    <w:rsid w:val="002049C8"/>
    <w:rsid w:val="00204AE7"/>
    <w:rsid w:val="00204DBF"/>
    <w:rsid w:val="00204E30"/>
    <w:rsid w:val="00204F1E"/>
    <w:rsid w:val="00204F9D"/>
    <w:rsid w:val="002050C1"/>
    <w:rsid w:val="00205316"/>
    <w:rsid w:val="00205326"/>
    <w:rsid w:val="00205441"/>
    <w:rsid w:val="002054FD"/>
    <w:rsid w:val="00205513"/>
    <w:rsid w:val="0020555B"/>
    <w:rsid w:val="0020556D"/>
    <w:rsid w:val="00205648"/>
    <w:rsid w:val="002057CC"/>
    <w:rsid w:val="002057F2"/>
    <w:rsid w:val="00205852"/>
    <w:rsid w:val="00205A23"/>
    <w:rsid w:val="00205BF8"/>
    <w:rsid w:val="00205D93"/>
    <w:rsid w:val="00205E87"/>
    <w:rsid w:val="00205F33"/>
    <w:rsid w:val="002062DB"/>
    <w:rsid w:val="00206326"/>
    <w:rsid w:val="002065F5"/>
    <w:rsid w:val="0020662C"/>
    <w:rsid w:val="00206700"/>
    <w:rsid w:val="00206970"/>
    <w:rsid w:val="00206AB9"/>
    <w:rsid w:val="00206BA7"/>
    <w:rsid w:val="00206DAB"/>
    <w:rsid w:val="00206DB9"/>
    <w:rsid w:val="00206DE2"/>
    <w:rsid w:val="00207033"/>
    <w:rsid w:val="002071EB"/>
    <w:rsid w:val="00207396"/>
    <w:rsid w:val="002076C2"/>
    <w:rsid w:val="00207807"/>
    <w:rsid w:val="00207AB8"/>
    <w:rsid w:val="00207C04"/>
    <w:rsid w:val="00207DD3"/>
    <w:rsid w:val="00207E63"/>
    <w:rsid w:val="00207F4F"/>
    <w:rsid w:val="0021008D"/>
    <w:rsid w:val="002101FE"/>
    <w:rsid w:val="002102E6"/>
    <w:rsid w:val="0021041A"/>
    <w:rsid w:val="0021047D"/>
    <w:rsid w:val="00210587"/>
    <w:rsid w:val="00210629"/>
    <w:rsid w:val="00210882"/>
    <w:rsid w:val="00210A79"/>
    <w:rsid w:val="00210B09"/>
    <w:rsid w:val="00210C9E"/>
    <w:rsid w:val="00210EA2"/>
    <w:rsid w:val="00210FD7"/>
    <w:rsid w:val="0021103C"/>
    <w:rsid w:val="00211297"/>
    <w:rsid w:val="00211414"/>
    <w:rsid w:val="0021144B"/>
    <w:rsid w:val="002114A1"/>
    <w:rsid w:val="002114E9"/>
    <w:rsid w:val="002116D9"/>
    <w:rsid w:val="00211840"/>
    <w:rsid w:val="0021187E"/>
    <w:rsid w:val="00211987"/>
    <w:rsid w:val="00211B73"/>
    <w:rsid w:val="00211BE2"/>
    <w:rsid w:val="00211C81"/>
    <w:rsid w:val="00211D43"/>
    <w:rsid w:val="00211D5E"/>
    <w:rsid w:val="00212521"/>
    <w:rsid w:val="00212573"/>
    <w:rsid w:val="00212E20"/>
    <w:rsid w:val="00212FCF"/>
    <w:rsid w:val="00213353"/>
    <w:rsid w:val="00213518"/>
    <w:rsid w:val="002136A6"/>
    <w:rsid w:val="002138A1"/>
    <w:rsid w:val="00213CF3"/>
    <w:rsid w:val="0021415C"/>
    <w:rsid w:val="0021417B"/>
    <w:rsid w:val="0021434F"/>
    <w:rsid w:val="002144AF"/>
    <w:rsid w:val="002145A7"/>
    <w:rsid w:val="002145ED"/>
    <w:rsid w:val="00214868"/>
    <w:rsid w:val="002148A7"/>
    <w:rsid w:val="002149D6"/>
    <w:rsid w:val="00214AF6"/>
    <w:rsid w:val="00214B36"/>
    <w:rsid w:val="00214C5C"/>
    <w:rsid w:val="00214C7E"/>
    <w:rsid w:val="00214C81"/>
    <w:rsid w:val="00215195"/>
    <w:rsid w:val="002153CA"/>
    <w:rsid w:val="002154C6"/>
    <w:rsid w:val="00215785"/>
    <w:rsid w:val="0021579E"/>
    <w:rsid w:val="00215E56"/>
    <w:rsid w:val="002161DB"/>
    <w:rsid w:val="002161F9"/>
    <w:rsid w:val="002163B1"/>
    <w:rsid w:val="0021654E"/>
    <w:rsid w:val="00216695"/>
    <w:rsid w:val="0021695D"/>
    <w:rsid w:val="00216A87"/>
    <w:rsid w:val="00216B8C"/>
    <w:rsid w:val="00216C9D"/>
    <w:rsid w:val="00216DE5"/>
    <w:rsid w:val="00216E55"/>
    <w:rsid w:val="0021726A"/>
    <w:rsid w:val="00217974"/>
    <w:rsid w:val="0021799B"/>
    <w:rsid w:val="00217A3D"/>
    <w:rsid w:val="00217C5A"/>
    <w:rsid w:val="00217E3D"/>
    <w:rsid w:val="00217E7F"/>
    <w:rsid w:val="00217F1F"/>
    <w:rsid w:val="0022045E"/>
    <w:rsid w:val="002208A2"/>
    <w:rsid w:val="00220BA4"/>
    <w:rsid w:val="00220E5F"/>
    <w:rsid w:val="00220ECB"/>
    <w:rsid w:val="0022100C"/>
    <w:rsid w:val="002210BC"/>
    <w:rsid w:val="00221103"/>
    <w:rsid w:val="002212B5"/>
    <w:rsid w:val="002213D9"/>
    <w:rsid w:val="002217F0"/>
    <w:rsid w:val="00221A12"/>
    <w:rsid w:val="00221A57"/>
    <w:rsid w:val="00221CF6"/>
    <w:rsid w:val="00221D60"/>
    <w:rsid w:val="00221F6D"/>
    <w:rsid w:val="00222035"/>
    <w:rsid w:val="00222587"/>
    <w:rsid w:val="002228FE"/>
    <w:rsid w:val="0022292C"/>
    <w:rsid w:val="00222B95"/>
    <w:rsid w:val="00222EE3"/>
    <w:rsid w:val="00222F20"/>
    <w:rsid w:val="00223161"/>
    <w:rsid w:val="002232A4"/>
    <w:rsid w:val="00223354"/>
    <w:rsid w:val="002235B2"/>
    <w:rsid w:val="00223B1C"/>
    <w:rsid w:val="00223CED"/>
    <w:rsid w:val="00223D9F"/>
    <w:rsid w:val="00223E01"/>
    <w:rsid w:val="0022403E"/>
    <w:rsid w:val="002240F3"/>
    <w:rsid w:val="00224111"/>
    <w:rsid w:val="0022439B"/>
    <w:rsid w:val="0022443E"/>
    <w:rsid w:val="00224543"/>
    <w:rsid w:val="0022455F"/>
    <w:rsid w:val="002248FC"/>
    <w:rsid w:val="002249DC"/>
    <w:rsid w:val="00224A44"/>
    <w:rsid w:val="00224A58"/>
    <w:rsid w:val="00224D07"/>
    <w:rsid w:val="00225373"/>
    <w:rsid w:val="002253DE"/>
    <w:rsid w:val="0022566D"/>
    <w:rsid w:val="00225A0F"/>
    <w:rsid w:val="00225AD3"/>
    <w:rsid w:val="00225B28"/>
    <w:rsid w:val="00225DF1"/>
    <w:rsid w:val="00225F1A"/>
    <w:rsid w:val="00226193"/>
    <w:rsid w:val="00226231"/>
    <w:rsid w:val="00226251"/>
    <w:rsid w:val="0022625A"/>
    <w:rsid w:val="00226406"/>
    <w:rsid w:val="002264D3"/>
    <w:rsid w:val="002264E9"/>
    <w:rsid w:val="00226668"/>
    <w:rsid w:val="002268CC"/>
    <w:rsid w:val="00226FC9"/>
    <w:rsid w:val="00226FE6"/>
    <w:rsid w:val="0022719F"/>
    <w:rsid w:val="00227211"/>
    <w:rsid w:val="00227367"/>
    <w:rsid w:val="002273A9"/>
    <w:rsid w:val="0022784A"/>
    <w:rsid w:val="00227867"/>
    <w:rsid w:val="00227B76"/>
    <w:rsid w:val="00227D1A"/>
    <w:rsid w:val="0023028E"/>
    <w:rsid w:val="002303B7"/>
    <w:rsid w:val="0023084B"/>
    <w:rsid w:val="00230B7E"/>
    <w:rsid w:val="00230C3F"/>
    <w:rsid w:val="00231451"/>
    <w:rsid w:val="00231515"/>
    <w:rsid w:val="002315A6"/>
    <w:rsid w:val="00231626"/>
    <w:rsid w:val="00231683"/>
    <w:rsid w:val="002316EC"/>
    <w:rsid w:val="00231D45"/>
    <w:rsid w:val="00231DCC"/>
    <w:rsid w:val="00231F9D"/>
    <w:rsid w:val="00231FE6"/>
    <w:rsid w:val="00232015"/>
    <w:rsid w:val="0023202E"/>
    <w:rsid w:val="0023215E"/>
    <w:rsid w:val="00232172"/>
    <w:rsid w:val="00232283"/>
    <w:rsid w:val="0023244C"/>
    <w:rsid w:val="002327B4"/>
    <w:rsid w:val="00232BC0"/>
    <w:rsid w:val="00232C25"/>
    <w:rsid w:val="00232C85"/>
    <w:rsid w:val="00232D97"/>
    <w:rsid w:val="00233474"/>
    <w:rsid w:val="00233783"/>
    <w:rsid w:val="00233809"/>
    <w:rsid w:val="00233D0A"/>
    <w:rsid w:val="00233DC8"/>
    <w:rsid w:val="0023410E"/>
    <w:rsid w:val="00234359"/>
    <w:rsid w:val="0023444C"/>
    <w:rsid w:val="0023452A"/>
    <w:rsid w:val="0023455B"/>
    <w:rsid w:val="002349B6"/>
    <w:rsid w:val="00234AE6"/>
    <w:rsid w:val="00234EAD"/>
    <w:rsid w:val="00234F7B"/>
    <w:rsid w:val="002358BC"/>
    <w:rsid w:val="00235BE7"/>
    <w:rsid w:val="00235C70"/>
    <w:rsid w:val="00235F74"/>
    <w:rsid w:val="0023618F"/>
    <w:rsid w:val="002363B4"/>
    <w:rsid w:val="002364AB"/>
    <w:rsid w:val="002366DF"/>
    <w:rsid w:val="00236993"/>
    <w:rsid w:val="0023703B"/>
    <w:rsid w:val="0023706F"/>
    <w:rsid w:val="002371E2"/>
    <w:rsid w:val="0023731E"/>
    <w:rsid w:val="002373AA"/>
    <w:rsid w:val="0023742E"/>
    <w:rsid w:val="00237486"/>
    <w:rsid w:val="00237719"/>
    <w:rsid w:val="002378AC"/>
    <w:rsid w:val="002379F7"/>
    <w:rsid w:val="00237ABC"/>
    <w:rsid w:val="00237B70"/>
    <w:rsid w:val="00237D33"/>
    <w:rsid w:val="00237F00"/>
    <w:rsid w:val="00237FD3"/>
    <w:rsid w:val="00240046"/>
    <w:rsid w:val="00240061"/>
    <w:rsid w:val="002405CE"/>
    <w:rsid w:val="002405F8"/>
    <w:rsid w:val="00240604"/>
    <w:rsid w:val="00240878"/>
    <w:rsid w:val="0024094C"/>
    <w:rsid w:val="002409B9"/>
    <w:rsid w:val="00240C49"/>
    <w:rsid w:val="00240FE7"/>
    <w:rsid w:val="00241063"/>
    <w:rsid w:val="00241201"/>
    <w:rsid w:val="0024128B"/>
    <w:rsid w:val="002413A7"/>
    <w:rsid w:val="00241B5E"/>
    <w:rsid w:val="00241DE5"/>
    <w:rsid w:val="00241ED5"/>
    <w:rsid w:val="00241F43"/>
    <w:rsid w:val="00242281"/>
    <w:rsid w:val="002422F6"/>
    <w:rsid w:val="002423D2"/>
    <w:rsid w:val="00242668"/>
    <w:rsid w:val="002426FE"/>
    <w:rsid w:val="002427C0"/>
    <w:rsid w:val="002428C3"/>
    <w:rsid w:val="002428E0"/>
    <w:rsid w:val="00242AD9"/>
    <w:rsid w:val="00242D8C"/>
    <w:rsid w:val="00243068"/>
    <w:rsid w:val="002432EA"/>
    <w:rsid w:val="002435C0"/>
    <w:rsid w:val="00243647"/>
    <w:rsid w:val="002439E9"/>
    <w:rsid w:val="00243A01"/>
    <w:rsid w:val="00243BD0"/>
    <w:rsid w:val="00243EAE"/>
    <w:rsid w:val="00243F40"/>
    <w:rsid w:val="00243FFB"/>
    <w:rsid w:val="00244030"/>
    <w:rsid w:val="00244086"/>
    <w:rsid w:val="00244196"/>
    <w:rsid w:val="0024433B"/>
    <w:rsid w:val="0024461A"/>
    <w:rsid w:val="00244BEE"/>
    <w:rsid w:val="0024513E"/>
    <w:rsid w:val="00245156"/>
    <w:rsid w:val="002452F7"/>
    <w:rsid w:val="00245414"/>
    <w:rsid w:val="00245569"/>
    <w:rsid w:val="00245665"/>
    <w:rsid w:val="00245FF1"/>
    <w:rsid w:val="0024617E"/>
    <w:rsid w:val="0024624E"/>
    <w:rsid w:val="00246477"/>
    <w:rsid w:val="002466B7"/>
    <w:rsid w:val="00246792"/>
    <w:rsid w:val="002467E9"/>
    <w:rsid w:val="002469B5"/>
    <w:rsid w:val="00246BFC"/>
    <w:rsid w:val="00246D8A"/>
    <w:rsid w:val="00246D92"/>
    <w:rsid w:val="00246E86"/>
    <w:rsid w:val="00246ECA"/>
    <w:rsid w:val="00246F89"/>
    <w:rsid w:val="00246FA3"/>
    <w:rsid w:val="002470DE"/>
    <w:rsid w:val="0024726B"/>
    <w:rsid w:val="00247358"/>
    <w:rsid w:val="0024739A"/>
    <w:rsid w:val="00247473"/>
    <w:rsid w:val="00247542"/>
    <w:rsid w:val="00247547"/>
    <w:rsid w:val="0024796C"/>
    <w:rsid w:val="0024797F"/>
    <w:rsid w:val="00247ACF"/>
    <w:rsid w:val="00247B7D"/>
    <w:rsid w:val="00247B97"/>
    <w:rsid w:val="00247BA7"/>
    <w:rsid w:val="00247D13"/>
    <w:rsid w:val="00250015"/>
    <w:rsid w:val="002508D7"/>
    <w:rsid w:val="002509B5"/>
    <w:rsid w:val="00250CCF"/>
    <w:rsid w:val="00250E21"/>
    <w:rsid w:val="00251184"/>
    <w:rsid w:val="0025119E"/>
    <w:rsid w:val="002511C3"/>
    <w:rsid w:val="00251269"/>
    <w:rsid w:val="002512AC"/>
    <w:rsid w:val="0025188F"/>
    <w:rsid w:val="00251A20"/>
    <w:rsid w:val="00251A42"/>
    <w:rsid w:val="00251C52"/>
    <w:rsid w:val="00251FC9"/>
    <w:rsid w:val="0025224C"/>
    <w:rsid w:val="00252729"/>
    <w:rsid w:val="00252825"/>
    <w:rsid w:val="00252908"/>
    <w:rsid w:val="002529BD"/>
    <w:rsid w:val="00252CE5"/>
    <w:rsid w:val="00252DD3"/>
    <w:rsid w:val="00252E7B"/>
    <w:rsid w:val="00252EDB"/>
    <w:rsid w:val="00252FE9"/>
    <w:rsid w:val="002534AC"/>
    <w:rsid w:val="00253529"/>
    <w:rsid w:val="002535C0"/>
    <w:rsid w:val="00253865"/>
    <w:rsid w:val="00253917"/>
    <w:rsid w:val="00253C49"/>
    <w:rsid w:val="00253D21"/>
    <w:rsid w:val="00253E08"/>
    <w:rsid w:val="0025414B"/>
    <w:rsid w:val="0025449D"/>
    <w:rsid w:val="0025466E"/>
    <w:rsid w:val="0025467F"/>
    <w:rsid w:val="002548EF"/>
    <w:rsid w:val="00254F61"/>
    <w:rsid w:val="002550AB"/>
    <w:rsid w:val="00255113"/>
    <w:rsid w:val="00255325"/>
    <w:rsid w:val="0025541C"/>
    <w:rsid w:val="002558A3"/>
    <w:rsid w:val="002559DE"/>
    <w:rsid w:val="00255AE3"/>
    <w:rsid w:val="00255C08"/>
    <w:rsid w:val="00255FC1"/>
    <w:rsid w:val="00256189"/>
    <w:rsid w:val="002563E3"/>
    <w:rsid w:val="002563E6"/>
    <w:rsid w:val="00256624"/>
    <w:rsid w:val="00256991"/>
    <w:rsid w:val="00256A26"/>
    <w:rsid w:val="00256BB3"/>
    <w:rsid w:val="002571E3"/>
    <w:rsid w:val="00257329"/>
    <w:rsid w:val="00257551"/>
    <w:rsid w:val="002577BD"/>
    <w:rsid w:val="0025785F"/>
    <w:rsid w:val="002579AF"/>
    <w:rsid w:val="002579FE"/>
    <w:rsid w:val="00257B95"/>
    <w:rsid w:val="00257C42"/>
    <w:rsid w:val="00257CAC"/>
    <w:rsid w:val="00257D26"/>
    <w:rsid w:val="00257E62"/>
    <w:rsid w:val="00257ECB"/>
    <w:rsid w:val="0026006F"/>
    <w:rsid w:val="00260350"/>
    <w:rsid w:val="0026035C"/>
    <w:rsid w:val="0026048B"/>
    <w:rsid w:val="00260491"/>
    <w:rsid w:val="002607FE"/>
    <w:rsid w:val="0026093A"/>
    <w:rsid w:val="002609B9"/>
    <w:rsid w:val="00260AB4"/>
    <w:rsid w:val="00260CD4"/>
    <w:rsid w:val="00260D18"/>
    <w:rsid w:val="00260F8B"/>
    <w:rsid w:val="00261064"/>
    <w:rsid w:val="00261258"/>
    <w:rsid w:val="002613FB"/>
    <w:rsid w:val="0026142C"/>
    <w:rsid w:val="002616A3"/>
    <w:rsid w:val="00261D48"/>
    <w:rsid w:val="00261DF3"/>
    <w:rsid w:val="00261E1E"/>
    <w:rsid w:val="00261F4B"/>
    <w:rsid w:val="00261F5B"/>
    <w:rsid w:val="00261FD7"/>
    <w:rsid w:val="00262055"/>
    <w:rsid w:val="00262062"/>
    <w:rsid w:val="00262253"/>
    <w:rsid w:val="002624A3"/>
    <w:rsid w:val="00262557"/>
    <w:rsid w:val="002625BF"/>
    <w:rsid w:val="002627B3"/>
    <w:rsid w:val="002627D4"/>
    <w:rsid w:val="0026292B"/>
    <w:rsid w:val="00262A86"/>
    <w:rsid w:val="00262BB8"/>
    <w:rsid w:val="00262BE0"/>
    <w:rsid w:val="00262BF3"/>
    <w:rsid w:val="00262F11"/>
    <w:rsid w:val="00262F25"/>
    <w:rsid w:val="00262F97"/>
    <w:rsid w:val="00263030"/>
    <w:rsid w:val="00263109"/>
    <w:rsid w:val="0026311C"/>
    <w:rsid w:val="00263127"/>
    <w:rsid w:val="0026317B"/>
    <w:rsid w:val="00263352"/>
    <w:rsid w:val="00263385"/>
    <w:rsid w:val="002633BB"/>
    <w:rsid w:val="00263623"/>
    <w:rsid w:val="00263A25"/>
    <w:rsid w:val="00263A77"/>
    <w:rsid w:val="00263B42"/>
    <w:rsid w:val="00263BDB"/>
    <w:rsid w:val="00263EB6"/>
    <w:rsid w:val="00264104"/>
    <w:rsid w:val="00264165"/>
    <w:rsid w:val="0026433B"/>
    <w:rsid w:val="00264420"/>
    <w:rsid w:val="002645ED"/>
    <w:rsid w:val="002645FC"/>
    <w:rsid w:val="0026467B"/>
    <w:rsid w:val="00264898"/>
    <w:rsid w:val="00264B92"/>
    <w:rsid w:val="00265408"/>
    <w:rsid w:val="00265496"/>
    <w:rsid w:val="002654C7"/>
    <w:rsid w:val="002656D2"/>
    <w:rsid w:val="00265805"/>
    <w:rsid w:val="00265947"/>
    <w:rsid w:val="00265A22"/>
    <w:rsid w:val="00265B27"/>
    <w:rsid w:val="00265B67"/>
    <w:rsid w:val="00265D56"/>
    <w:rsid w:val="00265F5B"/>
    <w:rsid w:val="00265F7E"/>
    <w:rsid w:val="00265FD4"/>
    <w:rsid w:val="00266383"/>
    <w:rsid w:val="00266470"/>
    <w:rsid w:val="00266564"/>
    <w:rsid w:val="0026659E"/>
    <w:rsid w:val="0026668C"/>
    <w:rsid w:val="002667AE"/>
    <w:rsid w:val="00266AC1"/>
    <w:rsid w:val="00266E3C"/>
    <w:rsid w:val="00267048"/>
    <w:rsid w:val="0026716D"/>
    <w:rsid w:val="00267442"/>
    <w:rsid w:val="0026745C"/>
    <w:rsid w:val="002675F1"/>
    <w:rsid w:val="002679D0"/>
    <w:rsid w:val="00267BD7"/>
    <w:rsid w:val="00267BF9"/>
    <w:rsid w:val="0027005C"/>
    <w:rsid w:val="0027022F"/>
    <w:rsid w:val="002702B3"/>
    <w:rsid w:val="00270353"/>
    <w:rsid w:val="00270541"/>
    <w:rsid w:val="002705BB"/>
    <w:rsid w:val="00270B85"/>
    <w:rsid w:val="00270EFA"/>
    <w:rsid w:val="00270F39"/>
    <w:rsid w:val="00270F7F"/>
    <w:rsid w:val="002710A1"/>
    <w:rsid w:val="0027112A"/>
    <w:rsid w:val="00271151"/>
    <w:rsid w:val="00271441"/>
    <w:rsid w:val="0027178C"/>
    <w:rsid w:val="002719FA"/>
    <w:rsid w:val="00271B81"/>
    <w:rsid w:val="00271CA7"/>
    <w:rsid w:val="00271EA1"/>
    <w:rsid w:val="00271F0A"/>
    <w:rsid w:val="00271F3D"/>
    <w:rsid w:val="00272267"/>
    <w:rsid w:val="0027229B"/>
    <w:rsid w:val="002724C5"/>
    <w:rsid w:val="00272668"/>
    <w:rsid w:val="00272798"/>
    <w:rsid w:val="002727EE"/>
    <w:rsid w:val="002727EF"/>
    <w:rsid w:val="0027289C"/>
    <w:rsid w:val="002728A2"/>
    <w:rsid w:val="002728FD"/>
    <w:rsid w:val="00272A9C"/>
    <w:rsid w:val="00272AC3"/>
    <w:rsid w:val="00272C0C"/>
    <w:rsid w:val="00272C59"/>
    <w:rsid w:val="00272CEB"/>
    <w:rsid w:val="00272E08"/>
    <w:rsid w:val="0027303D"/>
    <w:rsid w:val="00273179"/>
    <w:rsid w:val="002731A2"/>
    <w:rsid w:val="0027321F"/>
    <w:rsid w:val="0027330B"/>
    <w:rsid w:val="00273989"/>
    <w:rsid w:val="00273CBF"/>
    <w:rsid w:val="00273F17"/>
    <w:rsid w:val="0027400F"/>
    <w:rsid w:val="0027404A"/>
    <w:rsid w:val="002741AF"/>
    <w:rsid w:val="002745D6"/>
    <w:rsid w:val="00274692"/>
    <w:rsid w:val="0027488F"/>
    <w:rsid w:val="0027492B"/>
    <w:rsid w:val="002749E7"/>
    <w:rsid w:val="00274BC3"/>
    <w:rsid w:val="00274C71"/>
    <w:rsid w:val="00274E57"/>
    <w:rsid w:val="002750A4"/>
    <w:rsid w:val="002753E5"/>
    <w:rsid w:val="00275B86"/>
    <w:rsid w:val="00275C37"/>
    <w:rsid w:val="002761C7"/>
    <w:rsid w:val="00276220"/>
    <w:rsid w:val="00276324"/>
    <w:rsid w:val="00276425"/>
    <w:rsid w:val="0027653B"/>
    <w:rsid w:val="002765CE"/>
    <w:rsid w:val="002767BB"/>
    <w:rsid w:val="00276B2B"/>
    <w:rsid w:val="00276C1B"/>
    <w:rsid w:val="00276E5A"/>
    <w:rsid w:val="00276F51"/>
    <w:rsid w:val="00276FEA"/>
    <w:rsid w:val="002773E2"/>
    <w:rsid w:val="00277549"/>
    <w:rsid w:val="00277CE1"/>
    <w:rsid w:val="00277E27"/>
    <w:rsid w:val="00277E37"/>
    <w:rsid w:val="0028005C"/>
    <w:rsid w:val="002802DE"/>
    <w:rsid w:val="002803AD"/>
    <w:rsid w:val="00280718"/>
    <w:rsid w:val="0028084C"/>
    <w:rsid w:val="0028091D"/>
    <w:rsid w:val="00280BF7"/>
    <w:rsid w:val="00280BFA"/>
    <w:rsid w:val="00281064"/>
    <w:rsid w:val="002811C4"/>
    <w:rsid w:val="00281554"/>
    <w:rsid w:val="002818E6"/>
    <w:rsid w:val="00281CC2"/>
    <w:rsid w:val="00281EE8"/>
    <w:rsid w:val="00282052"/>
    <w:rsid w:val="00282403"/>
    <w:rsid w:val="002824B6"/>
    <w:rsid w:val="0028270E"/>
    <w:rsid w:val="002827AA"/>
    <w:rsid w:val="002827C6"/>
    <w:rsid w:val="00282AE3"/>
    <w:rsid w:val="00282DB6"/>
    <w:rsid w:val="00282DF6"/>
    <w:rsid w:val="0028300C"/>
    <w:rsid w:val="00283140"/>
    <w:rsid w:val="00283182"/>
    <w:rsid w:val="00283282"/>
    <w:rsid w:val="00283403"/>
    <w:rsid w:val="00283547"/>
    <w:rsid w:val="00283682"/>
    <w:rsid w:val="00283A8D"/>
    <w:rsid w:val="00283B2D"/>
    <w:rsid w:val="00283C18"/>
    <w:rsid w:val="00283C81"/>
    <w:rsid w:val="00283CB4"/>
    <w:rsid w:val="00283D25"/>
    <w:rsid w:val="0028404F"/>
    <w:rsid w:val="002842F2"/>
    <w:rsid w:val="00284561"/>
    <w:rsid w:val="00284931"/>
    <w:rsid w:val="00284987"/>
    <w:rsid w:val="00284C47"/>
    <w:rsid w:val="00284E6E"/>
    <w:rsid w:val="00284EA6"/>
    <w:rsid w:val="00284F8C"/>
    <w:rsid w:val="00285184"/>
    <w:rsid w:val="0028519E"/>
    <w:rsid w:val="002855CD"/>
    <w:rsid w:val="002856A5"/>
    <w:rsid w:val="00285934"/>
    <w:rsid w:val="00285B97"/>
    <w:rsid w:val="00285DB2"/>
    <w:rsid w:val="00285E10"/>
    <w:rsid w:val="00285FDF"/>
    <w:rsid w:val="002864CE"/>
    <w:rsid w:val="0028676A"/>
    <w:rsid w:val="00286869"/>
    <w:rsid w:val="00286880"/>
    <w:rsid w:val="00286BE7"/>
    <w:rsid w:val="00286E3D"/>
    <w:rsid w:val="00286E3F"/>
    <w:rsid w:val="00286F9E"/>
    <w:rsid w:val="00287113"/>
    <w:rsid w:val="00287175"/>
    <w:rsid w:val="0028719C"/>
    <w:rsid w:val="002872E7"/>
    <w:rsid w:val="002872ED"/>
    <w:rsid w:val="0028751F"/>
    <w:rsid w:val="00287576"/>
    <w:rsid w:val="00287601"/>
    <w:rsid w:val="0028781E"/>
    <w:rsid w:val="00287A8F"/>
    <w:rsid w:val="00287B4A"/>
    <w:rsid w:val="00287CAC"/>
    <w:rsid w:val="00287D17"/>
    <w:rsid w:val="00287F2C"/>
    <w:rsid w:val="00287F8A"/>
    <w:rsid w:val="002904E4"/>
    <w:rsid w:val="002905C2"/>
    <w:rsid w:val="00290D42"/>
    <w:rsid w:val="00290E30"/>
    <w:rsid w:val="00290E5B"/>
    <w:rsid w:val="00290EBF"/>
    <w:rsid w:val="00290ECE"/>
    <w:rsid w:val="00290EE8"/>
    <w:rsid w:val="00290F87"/>
    <w:rsid w:val="00291204"/>
    <w:rsid w:val="00291228"/>
    <w:rsid w:val="002917A4"/>
    <w:rsid w:val="0029188E"/>
    <w:rsid w:val="00291A91"/>
    <w:rsid w:val="00291B1E"/>
    <w:rsid w:val="00291BEF"/>
    <w:rsid w:val="00291CA6"/>
    <w:rsid w:val="00291CC5"/>
    <w:rsid w:val="00291D39"/>
    <w:rsid w:val="00291D50"/>
    <w:rsid w:val="00291E11"/>
    <w:rsid w:val="00291E79"/>
    <w:rsid w:val="0029201A"/>
    <w:rsid w:val="002920FC"/>
    <w:rsid w:val="0029221E"/>
    <w:rsid w:val="00292602"/>
    <w:rsid w:val="002929BC"/>
    <w:rsid w:val="00292BC3"/>
    <w:rsid w:val="00292BF0"/>
    <w:rsid w:val="00292C0C"/>
    <w:rsid w:val="00292C91"/>
    <w:rsid w:val="00292CBC"/>
    <w:rsid w:val="00292DC6"/>
    <w:rsid w:val="00292E24"/>
    <w:rsid w:val="00292E26"/>
    <w:rsid w:val="0029329B"/>
    <w:rsid w:val="002933ED"/>
    <w:rsid w:val="00293714"/>
    <w:rsid w:val="00293AE0"/>
    <w:rsid w:val="00293B83"/>
    <w:rsid w:val="00293D21"/>
    <w:rsid w:val="00293D60"/>
    <w:rsid w:val="00293D6B"/>
    <w:rsid w:val="0029417A"/>
    <w:rsid w:val="00294291"/>
    <w:rsid w:val="0029437E"/>
    <w:rsid w:val="002944FB"/>
    <w:rsid w:val="002945A0"/>
    <w:rsid w:val="0029477E"/>
    <w:rsid w:val="00294898"/>
    <w:rsid w:val="00294A73"/>
    <w:rsid w:val="00294BDF"/>
    <w:rsid w:val="00294C64"/>
    <w:rsid w:val="00294CCC"/>
    <w:rsid w:val="0029533D"/>
    <w:rsid w:val="00295AF2"/>
    <w:rsid w:val="00295C91"/>
    <w:rsid w:val="00295CB3"/>
    <w:rsid w:val="00295CEA"/>
    <w:rsid w:val="00295FC2"/>
    <w:rsid w:val="0029610B"/>
    <w:rsid w:val="00296307"/>
    <w:rsid w:val="00296744"/>
    <w:rsid w:val="002968C4"/>
    <w:rsid w:val="00296AED"/>
    <w:rsid w:val="00296BE3"/>
    <w:rsid w:val="00296E52"/>
    <w:rsid w:val="00296F07"/>
    <w:rsid w:val="00296F1D"/>
    <w:rsid w:val="00297151"/>
    <w:rsid w:val="00297288"/>
    <w:rsid w:val="002974AA"/>
    <w:rsid w:val="00297D9D"/>
    <w:rsid w:val="00297E17"/>
    <w:rsid w:val="002A0044"/>
    <w:rsid w:val="002A00F3"/>
    <w:rsid w:val="002A0522"/>
    <w:rsid w:val="002A06CF"/>
    <w:rsid w:val="002A0740"/>
    <w:rsid w:val="002A0910"/>
    <w:rsid w:val="002A093A"/>
    <w:rsid w:val="002A09C7"/>
    <w:rsid w:val="002A0A21"/>
    <w:rsid w:val="002A0F24"/>
    <w:rsid w:val="002A1322"/>
    <w:rsid w:val="002A1394"/>
    <w:rsid w:val="002A1629"/>
    <w:rsid w:val="002A1B10"/>
    <w:rsid w:val="002A1C10"/>
    <w:rsid w:val="002A1CF2"/>
    <w:rsid w:val="002A1F8F"/>
    <w:rsid w:val="002A232F"/>
    <w:rsid w:val="002A2344"/>
    <w:rsid w:val="002A24A6"/>
    <w:rsid w:val="002A2525"/>
    <w:rsid w:val="002A25EF"/>
    <w:rsid w:val="002A25FA"/>
    <w:rsid w:val="002A28CD"/>
    <w:rsid w:val="002A2925"/>
    <w:rsid w:val="002A292A"/>
    <w:rsid w:val="002A2A1C"/>
    <w:rsid w:val="002A2ACE"/>
    <w:rsid w:val="002A2E2A"/>
    <w:rsid w:val="002A2E4C"/>
    <w:rsid w:val="002A2F2D"/>
    <w:rsid w:val="002A33B0"/>
    <w:rsid w:val="002A33D8"/>
    <w:rsid w:val="002A34E0"/>
    <w:rsid w:val="002A3542"/>
    <w:rsid w:val="002A3A2D"/>
    <w:rsid w:val="002A3A9A"/>
    <w:rsid w:val="002A3B31"/>
    <w:rsid w:val="002A3CA9"/>
    <w:rsid w:val="002A4224"/>
    <w:rsid w:val="002A4238"/>
    <w:rsid w:val="002A4450"/>
    <w:rsid w:val="002A4770"/>
    <w:rsid w:val="002A47ED"/>
    <w:rsid w:val="002A4807"/>
    <w:rsid w:val="002A486E"/>
    <w:rsid w:val="002A4B91"/>
    <w:rsid w:val="002A4BD5"/>
    <w:rsid w:val="002A4E3B"/>
    <w:rsid w:val="002A4F43"/>
    <w:rsid w:val="002A4F48"/>
    <w:rsid w:val="002A5134"/>
    <w:rsid w:val="002A5192"/>
    <w:rsid w:val="002A5197"/>
    <w:rsid w:val="002A527E"/>
    <w:rsid w:val="002A5339"/>
    <w:rsid w:val="002A53B3"/>
    <w:rsid w:val="002A55A7"/>
    <w:rsid w:val="002A5839"/>
    <w:rsid w:val="002A5AA6"/>
    <w:rsid w:val="002A5FFA"/>
    <w:rsid w:val="002A6572"/>
    <w:rsid w:val="002A680F"/>
    <w:rsid w:val="002A68F2"/>
    <w:rsid w:val="002A71D7"/>
    <w:rsid w:val="002A71EF"/>
    <w:rsid w:val="002A723C"/>
    <w:rsid w:val="002A725E"/>
    <w:rsid w:val="002A74FD"/>
    <w:rsid w:val="002A75FF"/>
    <w:rsid w:val="002A78A7"/>
    <w:rsid w:val="002A7B1A"/>
    <w:rsid w:val="002A7C89"/>
    <w:rsid w:val="002A7CB3"/>
    <w:rsid w:val="002B004F"/>
    <w:rsid w:val="002B0813"/>
    <w:rsid w:val="002B0E3C"/>
    <w:rsid w:val="002B1019"/>
    <w:rsid w:val="002B10D2"/>
    <w:rsid w:val="002B13B3"/>
    <w:rsid w:val="002B149C"/>
    <w:rsid w:val="002B16BD"/>
    <w:rsid w:val="002B189F"/>
    <w:rsid w:val="002B1BBC"/>
    <w:rsid w:val="002B1C59"/>
    <w:rsid w:val="002B1E31"/>
    <w:rsid w:val="002B1F81"/>
    <w:rsid w:val="002B20E6"/>
    <w:rsid w:val="002B21F0"/>
    <w:rsid w:val="002B227C"/>
    <w:rsid w:val="002B2368"/>
    <w:rsid w:val="002B2C87"/>
    <w:rsid w:val="002B2D22"/>
    <w:rsid w:val="002B2D92"/>
    <w:rsid w:val="002B2E4A"/>
    <w:rsid w:val="002B2E59"/>
    <w:rsid w:val="002B2F2E"/>
    <w:rsid w:val="002B3094"/>
    <w:rsid w:val="002B364D"/>
    <w:rsid w:val="002B3952"/>
    <w:rsid w:val="002B3E19"/>
    <w:rsid w:val="002B41D8"/>
    <w:rsid w:val="002B4261"/>
    <w:rsid w:val="002B42A3"/>
    <w:rsid w:val="002B44F2"/>
    <w:rsid w:val="002B45C8"/>
    <w:rsid w:val="002B45F4"/>
    <w:rsid w:val="002B4614"/>
    <w:rsid w:val="002B46BB"/>
    <w:rsid w:val="002B47E0"/>
    <w:rsid w:val="002B4813"/>
    <w:rsid w:val="002B48DD"/>
    <w:rsid w:val="002B4FD7"/>
    <w:rsid w:val="002B5397"/>
    <w:rsid w:val="002B55B0"/>
    <w:rsid w:val="002B566A"/>
    <w:rsid w:val="002B566D"/>
    <w:rsid w:val="002B5688"/>
    <w:rsid w:val="002B5695"/>
    <w:rsid w:val="002B56FE"/>
    <w:rsid w:val="002B5804"/>
    <w:rsid w:val="002B5830"/>
    <w:rsid w:val="002B5843"/>
    <w:rsid w:val="002B5BC7"/>
    <w:rsid w:val="002B5BDE"/>
    <w:rsid w:val="002B6323"/>
    <w:rsid w:val="002B63B0"/>
    <w:rsid w:val="002B650C"/>
    <w:rsid w:val="002B6561"/>
    <w:rsid w:val="002B6648"/>
    <w:rsid w:val="002B6A19"/>
    <w:rsid w:val="002B6A5F"/>
    <w:rsid w:val="002B6A71"/>
    <w:rsid w:val="002B6C47"/>
    <w:rsid w:val="002B6E0B"/>
    <w:rsid w:val="002B6FE5"/>
    <w:rsid w:val="002B7133"/>
    <w:rsid w:val="002B759E"/>
    <w:rsid w:val="002B7A12"/>
    <w:rsid w:val="002B7B3A"/>
    <w:rsid w:val="002B7B93"/>
    <w:rsid w:val="002B7C20"/>
    <w:rsid w:val="002C034F"/>
    <w:rsid w:val="002C05F5"/>
    <w:rsid w:val="002C0B01"/>
    <w:rsid w:val="002C0C71"/>
    <w:rsid w:val="002C0CDD"/>
    <w:rsid w:val="002C0E59"/>
    <w:rsid w:val="002C12F0"/>
    <w:rsid w:val="002C14B1"/>
    <w:rsid w:val="002C17B8"/>
    <w:rsid w:val="002C1815"/>
    <w:rsid w:val="002C1ACA"/>
    <w:rsid w:val="002C1B8B"/>
    <w:rsid w:val="002C1B8C"/>
    <w:rsid w:val="002C1F3D"/>
    <w:rsid w:val="002C1FA8"/>
    <w:rsid w:val="002C219D"/>
    <w:rsid w:val="002C22F9"/>
    <w:rsid w:val="002C234E"/>
    <w:rsid w:val="002C23AF"/>
    <w:rsid w:val="002C243A"/>
    <w:rsid w:val="002C2628"/>
    <w:rsid w:val="002C279D"/>
    <w:rsid w:val="002C2813"/>
    <w:rsid w:val="002C28DC"/>
    <w:rsid w:val="002C28EF"/>
    <w:rsid w:val="002C29A9"/>
    <w:rsid w:val="002C29F5"/>
    <w:rsid w:val="002C2BB7"/>
    <w:rsid w:val="002C2EB5"/>
    <w:rsid w:val="002C2F26"/>
    <w:rsid w:val="002C32D2"/>
    <w:rsid w:val="002C343C"/>
    <w:rsid w:val="002C3489"/>
    <w:rsid w:val="002C3495"/>
    <w:rsid w:val="002C368E"/>
    <w:rsid w:val="002C3823"/>
    <w:rsid w:val="002C398F"/>
    <w:rsid w:val="002C3CB9"/>
    <w:rsid w:val="002C3DD8"/>
    <w:rsid w:val="002C409B"/>
    <w:rsid w:val="002C411A"/>
    <w:rsid w:val="002C44A5"/>
    <w:rsid w:val="002C4694"/>
    <w:rsid w:val="002C47A4"/>
    <w:rsid w:val="002C480C"/>
    <w:rsid w:val="002C49D6"/>
    <w:rsid w:val="002C4A0E"/>
    <w:rsid w:val="002C4B06"/>
    <w:rsid w:val="002C521E"/>
    <w:rsid w:val="002C552D"/>
    <w:rsid w:val="002C5839"/>
    <w:rsid w:val="002C5AFB"/>
    <w:rsid w:val="002C5D54"/>
    <w:rsid w:val="002C6676"/>
    <w:rsid w:val="002C6878"/>
    <w:rsid w:val="002C68FA"/>
    <w:rsid w:val="002C69B5"/>
    <w:rsid w:val="002C6A42"/>
    <w:rsid w:val="002C6BC5"/>
    <w:rsid w:val="002C6D9E"/>
    <w:rsid w:val="002C6DAB"/>
    <w:rsid w:val="002C6E0D"/>
    <w:rsid w:val="002C6FCB"/>
    <w:rsid w:val="002C6FE1"/>
    <w:rsid w:val="002C718D"/>
    <w:rsid w:val="002C7288"/>
    <w:rsid w:val="002C72A1"/>
    <w:rsid w:val="002C72ED"/>
    <w:rsid w:val="002C73E8"/>
    <w:rsid w:val="002C74CC"/>
    <w:rsid w:val="002C7CC9"/>
    <w:rsid w:val="002C7D88"/>
    <w:rsid w:val="002D06F5"/>
    <w:rsid w:val="002D06F8"/>
    <w:rsid w:val="002D087C"/>
    <w:rsid w:val="002D08EA"/>
    <w:rsid w:val="002D0BFC"/>
    <w:rsid w:val="002D0E92"/>
    <w:rsid w:val="002D0EAE"/>
    <w:rsid w:val="002D0EE5"/>
    <w:rsid w:val="002D0EF8"/>
    <w:rsid w:val="002D100F"/>
    <w:rsid w:val="002D12CB"/>
    <w:rsid w:val="002D18DE"/>
    <w:rsid w:val="002D19B6"/>
    <w:rsid w:val="002D1A99"/>
    <w:rsid w:val="002D1C34"/>
    <w:rsid w:val="002D256C"/>
    <w:rsid w:val="002D259B"/>
    <w:rsid w:val="002D266E"/>
    <w:rsid w:val="002D28CA"/>
    <w:rsid w:val="002D2C15"/>
    <w:rsid w:val="002D2DCE"/>
    <w:rsid w:val="002D354D"/>
    <w:rsid w:val="002D366A"/>
    <w:rsid w:val="002D37FD"/>
    <w:rsid w:val="002D3B4A"/>
    <w:rsid w:val="002D3C51"/>
    <w:rsid w:val="002D40EE"/>
    <w:rsid w:val="002D414A"/>
    <w:rsid w:val="002D42F0"/>
    <w:rsid w:val="002D43BE"/>
    <w:rsid w:val="002D4452"/>
    <w:rsid w:val="002D47A4"/>
    <w:rsid w:val="002D4C1E"/>
    <w:rsid w:val="002D4D80"/>
    <w:rsid w:val="002D4F15"/>
    <w:rsid w:val="002D50E9"/>
    <w:rsid w:val="002D52A8"/>
    <w:rsid w:val="002D54E6"/>
    <w:rsid w:val="002D54F3"/>
    <w:rsid w:val="002D57CF"/>
    <w:rsid w:val="002D5B09"/>
    <w:rsid w:val="002D5E80"/>
    <w:rsid w:val="002D5EE9"/>
    <w:rsid w:val="002D612A"/>
    <w:rsid w:val="002D6166"/>
    <w:rsid w:val="002D618B"/>
    <w:rsid w:val="002D6292"/>
    <w:rsid w:val="002D64B5"/>
    <w:rsid w:val="002D666C"/>
    <w:rsid w:val="002D6754"/>
    <w:rsid w:val="002D696F"/>
    <w:rsid w:val="002D6A17"/>
    <w:rsid w:val="002D6A34"/>
    <w:rsid w:val="002D6B77"/>
    <w:rsid w:val="002D6CA2"/>
    <w:rsid w:val="002D6FFF"/>
    <w:rsid w:val="002D709E"/>
    <w:rsid w:val="002D72EE"/>
    <w:rsid w:val="002D7462"/>
    <w:rsid w:val="002D76A2"/>
    <w:rsid w:val="002D791C"/>
    <w:rsid w:val="002D7D31"/>
    <w:rsid w:val="002D7DE2"/>
    <w:rsid w:val="002D7EB3"/>
    <w:rsid w:val="002D7FEC"/>
    <w:rsid w:val="002E0311"/>
    <w:rsid w:val="002E0357"/>
    <w:rsid w:val="002E0521"/>
    <w:rsid w:val="002E0556"/>
    <w:rsid w:val="002E09C4"/>
    <w:rsid w:val="002E0A50"/>
    <w:rsid w:val="002E0B5D"/>
    <w:rsid w:val="002E0BBD"/>
    <w:rsid w:val="002E0D1F"/>
    <w:rsid w:val="002E0D58"/>
    <w:rsid w:val="002E0DA6"/>
    <w:rsid w:val="002E12D0"/>
    <w:rsid w:val="002E1A1D"/>
    <w:rsid w:val="002E1B1B"/>
    <w:rsid w:val="002E1C22"/>
    <w:rsid w:val="002E1C54"/>
    <w:rsid w:val="002E1F1D"/>
    <w:rsid w:val="002E1FFA"/>
    <w:rsid w:val="002E203E"/>
    <w:rsid w:val="002E2242"/>
    <w:rsid w:val="002E22C9"/>
    <w:rsid w:val="002E2689"/>
    <w:rsid w:val="002E26FF"/>
    <w:rsid w:val="002E286C"/>
    <w:rsid w:val="002E2D80"/>
    <w:rsid w:val="002E2D98"/>
    <w:rsid w:val="002E2F4D"/>
    <w:rsid w:val="002E3035"/>
    <w:rsid w:val="002E310C"/>
    <w:rsid w:val="002E3132"/>
    <w:rsid w:val="002E3226"/>
    <w:rsid w:val="002E32DA"/>
    <w:rsid w:val="002E36E7"/>
    <w:rsid w:val="002E388A"/>
    <w:rsid w:val="002E3B56"/>
    <w:rsid w:val="002E4081"/>
    <w:rsid w:val="002E4368"/>
    <w:rsid w:val="002E45BD"/>
    <w:rsid w:val="002E469D"/>
    <w:rsid w:val="002E48C8"/>
    <w:rsid w:val="002E496E"/>
    <w:rsid w:val="002E4AA9"/>
    <w:rsid w:val="002E4B75"/>
    <w:rsid w:val="002E4D8D"/>
    <w:rsid w:val="002E4E60"/>
    <w:rsid w:val="002E4EEE"/>
    <w:rsid w:val="002E50EF"/>
    <w:rsid w:val="002E536D"/>
    <w:rsid w:val="002E5AC9"/>
    <w:rsid w:val="002E5B78"/>
    <w:rsid w:val="002E5C19"/>
    <w:rsid w:val="002E5C40"/>
    <w:rsid w:val="002E5F98"/>
    <w:rsid w:val="002E6339"/>
    <w:rsid w:val="002E63B8"/>
    <w:rsid w:val="002E64AA"/>
    <w:rsid w:val="002E64DB"/>
    <w:rsid w:val="002E6891"/>
    <w:rsid w:val="002E6A8E"/>
    <w:rsid w:val="002E6B3D"/>
    <w:rsid w:val="002E6B90"/>
    <w:rsid w:val="002E6EFE"/>
    <w:rsid w:val="002E758D"/>
    <w:rsid w:val="002E76F0"/>
    <w:rsid w:val="002E77E5"/>
    <w:rsid w:val="002E78AE"/>
    <w:rsid w:val="002F0071"/>
    <w:rsid w:val="002F0134"/>
    <w:rsid w:val="002F01B0"/>
    <w:rsid w:val="002F0264"/>
    <w:rsid w:val="002F0309"/>
    <w:rsid w:val="002F0A8A"/>
    <w:rsid w:val="002F0C23"/>
    <w:rsid w:val="002F0D15"/>
    <w:rsid w:val="002F0E46"/>
    <w:rsid w:val="002F12E2"/>
    <w:rsid w:val="002F12FF"/>
    <w:rsid w:val="002F1359"/>
    <w:rsid w:val="002F14FA"/>
    <w:rsid w:val="002F15FA"/>
    <w:rsid w:val="002F1B23"/>
    <w:rsid w:val="002F1D29"/>
    <w:rsid w:val="002F1D7B"/>
    <w:rsid w:val="002F1F8F"/>
    <w:rsid w:val="002F20F2"/>
    <w:rsid w:val="002F2991"/>
    <w:rsid w:val="002F2A46"/>
    <w:rsid w:val="002F2B97"/>
    <w:rsid w:val="002F2CCA"/>
    <w:rsid w:val="002F2EFB"/>
    <w:rsid w:val="002F3041"/>
    <w:rsid w:val="002F314B"/>
    <w:rsid w:val="002F3278"/>
    <w:rsid w:val="002F3368"/>
    <w:rsid w:val="002F3420"/>
    <w:rsid w:val="002F3433"/>
    <w:rsid w:val="002F3821"/>
    <w:rsid w:val="002F3AE3"/>
    <w:rsid w:val="002F3B2A"/>
    <w:rsid w:val="002F3BD9"/>
    <w:rsid w:val="002F3C86"/>
    <w:rsid w:val="002F3F67"/>
    <w:rsid w:val="002F412C"/>
    <w:rsid w:val="002F4568"/>
    <w:rsid w:val="002F4664"/>
    <w:rsid w:val="002F473B"/>
    <w:rsid w:val="002F474A"/>
    <w:rsid w:val="002F4887"/>
    <w:rsid w:val="002F49F7"/>
    <w:rsid w:val="002F4A25"/>
    <w:rsid w:val="002F4B56"/>
    <w:rsid w:val="002F4D74"/>
    <w:rsid w:val="002F4DAB"/>
    <w:rsid w:val="002F55C3"/>
    <w:rsid w:val="002F5734"/>
    <w:rsid w:val="002F58D5"/>
    <w:rsid w:val="002F58E7"/>
    <w:rsid w:val="002F597B"/>
    <w:rsid w:val="002F59C7"/>
    <w:rsid w:val="002F5B33"/>
    <w:rsid w:val="002F6370"/>
    <w:rsid w:val="002F6716"/>
    <w:rsid w:val="002F68A3"/>
    <w:rsid w:val="002F697C"/>
    <w:rsid w:val="002F6C02"/>
    <w:rsid w:val="002F6C0E"/>
    <w:rsid w:val="002F6C54"/>
    <w:rsid w:val="002F6E2D"/>
    <w:rsid w:val="002F6EC7"/>
    <w:rsid w:val="002F70E1"/>
    <w:rsid w:val="002F71ED"/>
    <w:rsid w:val="002F726D"/>
    <w:rsid w:val="002F7326"/>
    <w:rsid w:val="002F7693"/>
    <w:rsid w:val="002F793D"/>
    <w:rsid w:val="002F7CED"/>
    <w:rsid w:val="002F7E76"/>
    <w:rsid w:val="003002B2"/>
    <w:rsid w:val="003003FB"/>
    <w:rsid w:val="0030049C"/>
    <w:rsid w:val="003004BA"/>
    <w:rsid w:val="003005D7"/>
    <w:rsid w:val="003006CE"/>
    <w:rsid w:val="003008BD"/>
    <w:rsid w:val="0030090F"/>
    <w:rsid w:val="00300B62"/>
    <w:rsid w:val="00300DE0"/>
    <w:rsid w:val="00300DE9"/>
    <w:rsid w:val="00300E94"/>
    <w:rsid w:val="0030108A"/>
    <w:rsid w:val="003010B4"/>
    <w:rsid w:val="0030119C"/>
    <w:rsid w:val="00301512"/>
    <w:rsid w:val="00301585"/>
    <w:rsid w:val="00301609"/>
    <w:rsid w:val="003019C5"/>
    <w:rsid w:val="00301C92"/>
    <w:rsid w:val="00301DF8"/>
    <w:rsid w:val="00301EAC"/>
    <w:rsid w:val="00302111"/>
    <w:rsid w:val="00302167"/>
    <w:rsid w:val="00302260"/>
    <w:rsid w:val="00302409"/>
    <w:rsid w:val="00302548"/>
    <w:rsid w:val="0030257D"/>
    <w:rsid w:val="003025F2"/>
    <w:rsid w:val="0030269D"/>
    <w:rsid w:val="0030298C"/>
    <w:rsid w:val="00302A39"/>
    <w:rsid w:val="00302D93"/>
    <w:rsid w:val="00302FA2"/>
    <w:rsid w:val="0030318C"/>
    <w:rsid w:val="003031F1"/>
    <w:rsid w:val="0030336E"/>
    <w:rsid w:val="0030376C"/>
    <w:rsid w:val="0030378F"/>
    <w:rsid w:val="003037AD"/>
    <w:rsid w:val="003038A5"/>
    <w:rsid w:val="00303952"/>
    <w:rsid w:val="00303C6E"/>
    <w:rsid w:val="00304168"/>
    <w:rsid w:val="0030424A"/>
    <w:rsid w:val="003042BE"/>
    <w:rsid w:val="0030437D"/>
    <w:rsid w:val="003044A1"/>
    <w:rsid w:val="0030464B"/>
    <w:rsid w:val="00304673"/>
    <w:rsid w:val="00304907"/>
    <w:rsid w:val="00304B33"/>
    <w:rsid w:val="00304D26"/>
    <w:rsid w:val="003051E1"/>
    <w:rsid w:val="0030550B"/>
    <w:rsid w:val="00305523"/>
    <w:rsid w:val="0030570E"/>
    <w:rsid w:val="00305A4C"/>
    <w:rsid w:val="00305C7D"/>
    <w:rsid w:val="00305CA2"/>
    <w:rsid w:val="00306135"/>
    <w:rsid w:val="003061D5"/>
    <w:rsid w:val="00306483"/>
    <w:rsid w:val="00306765"/>
    <w:rsid w:val="003067B3"/>
    <w:rsid w:val="0030684C"/>
    <w:rsid w:val="00306962"/>
    <w:rsid w:val="00306A4C"/>
    <w:rsid w:val="00307135"/>
    <w:rsid w:val="00307264"/>
    <w:rsid w:val="003075F6"/>
    <w:rsid w:val="003076F2"/>
    <w:rsid w:val="003077D9"/>
    <w:rsid w:val="0030786C"/>
    <w:rsid w:val="003078B6"/>
    <w:rsid w:val="00307C51"/>
    <w:rsid w:val="00307D82"/>
    <w:rsid w:val="00307E1C"/>
    <w:rsid w:val="00307ED0"/>
    <w:rsid w:val="00310498"/>
    <w:rsid w:val="003107DA"/>
    <w:rsid w:val="00310846"/>
    <w:rsid w:val="0031091F"/>
    <w:rsid w:val="00310CC3"/>
    <w:rsid w:val="00310D82"/>
    <w:rsid w:val="00310EF7"/>
    <w:rsid w:val="00310FB1"/>
    <w:rsid w:val="00311003"/>
    <w:rsid w:val="00311094"/>
    <w:rsid w:val="00311177"/>
    <w:rsid w:val="003111BA"/>
    <w:rsid w:val="003113BC"/>
    <w:rsid w:val="0031148C"/>
    <w:rsid w:val="003116C6"/>
    <w:rsid w:val="00311A93"/>
    <w:rsid w:val="00311CAA"/>
    <w:rsid w:val="00311E47"/>
    <w:rsid w:val="00311F2E"/>
    <w:rsid w:val="00312025"/>
    <w:rsid w:val="00312039"/>
    <w:rsid w:val="003124C6"/>
    <w:rsid w:val="00312A26"/>
    <w:rsid w:val="00312C01"/>
    <w:rsid w:val="00312D10"/>
    <w:rsid w:val="003132FA"/>
    <w:rsid w:val="00313504"/>
    <w:rsid w:val="0031350B"/>
    <w:rsid w:val="003135AE"/>
    <w:rsid w:val="00313765"/>
    <w:rsid w:val="00313AEE"/>
    <w:rsid w:val="00313B98"/>
    <w:rsid w:val="00313B9B"/>
    <w:rsid w:val="00313C72"/>
    <w:rsid w:val="00314060"/>
    <w:rsid w:val="00314073"/>
    <w:rsid w:val="00314082"/>
    <w:rsid w:val="00314154"/>
    <w:rsid w:val="00314160"/>
    <w:rsid w:val="0031425C"/>
    <w:rsid w:val="0031465C"/>
    <w:rsid w:val="00314911"/>
    <w:rsid w:val="0031496C"/>
    <w:rsid w:val="00314B03"/>
    <w:rsid w:val="00314BE7"/>
    <w:rsid w:val="00314E46"/>
    <w:rsid w:val="00314EB1"/>
    <w:rsid w:val="003151FE"/>
    <w:rsid w:val="00315321"/>
    <w:rsid w:val="00315436"/>
    <w:rsid w:val="0031547C"/>
    <w:rsid w:val="0031572B"/>
    <w:rsid w:val="00315AA5"/>
    <w:rsid w:val="00315AE0"/>
    <w:rsid w:val="00315CC3"/>
    <w:rsid w:val="00315DF6"/>
    <w:rsid w:val="00315E36"/>
    <w:rsid w:val="00315FBC"/>
    <w:rsid w:val="003160C5"/>
    <w:rsid w:val="0031664D"/>
    <w:rsid w:val="0031666F"/>
    <w:rsid w:val="00316783"/>
    <w:rsid w:val="003167C3"/>
    <w:rsid w:val="00316894"/>
    <w:rsid w:val="0031694C"/>
    <w:rsid w:val="00316966"/>
    <w:rsid w:val="0031698B"/>
    <w:rsid w:val="00316BCA"/>
    <w:rsid w:val="00317058"/>
    <w:rsid w:val="003172A8"/>
    <w:rsid w:val="0031742B"/>
    <w:rsid w:val="0031770E"/>
    <w:rsid w:val="00317726"/>
    <w:rsid w:val="00317904"/>
    <w:rsid w:val="00317AB2"/>
    <w:rsid w:val="00317BCB"/>
    <w:rsid w:val="00317E31"/>
    <w:rsid w:val="00317E33"/>
    <w:rsid w:val="00317FF1"/>
    <w:rsid w:val="00320188"/>
    <w:rsid w:val="00320392"/>
    <w:rsid w:val="003204C9"/>
    <w:rsid w:val="0032061D"/>
    <w:rsid w:val="00320839"/>
    <w:rsid w:val="00320AAD"/>
    <w:rsid w:val="00320B8B"/>
    <w:rsid w:val="00320DB4"/>
    <w:rsid w:val="00321520"/>
    <w:rsid w:val="003215C3"/>
    <w:rsid w:val="00321788"/>
    <w:rsid w:val="0032197B"/>
    <w:rsid w:val="00321FC4"/>
    <w:rsid w:val="0032225C"/>
    <w:rsid w:val="00322371"/>
    <w:rsid w:val="003224E0"/>
    <w:rsid w:val="003228A6"/>
    <w:rsid w:val="003229BF"/>
    <w:rsid w:val="00322B08"/>
    <w:rsid w:val="00322B3E"/>
    <w:rsid w:val="00322D7A"/>
    <w:rsid w:val="00322DB0"/>
    <w:rsid w:val="00322F7C"/>
    <w:rsid w:val="003232FF"/>
    <w:rsid w:val="003233DE"/>
    <w:rsid w:val="00323428"/>
    <w:rsid w:val="003235E0"/>
    <w:rsid w:val="00323A03"/>
    <w:rsid w:val="00323A3B"/>
    <w:rsid w:val="00323A6D"/>
    <w:rsid w:val="00323F0B"/>
    <w:rsid w:val="00324154"/>
    <w:rsid w:val="00324334"/>
    <w:rsid w:val="00324517"/>
    <w:rsid w:val="00324624"/>
    <w:rsid w:val="0032466B"/>
    <w:rsid w:val="00324955"/>
    <w:rsid w:val="00324BF4"/>
    <w:rsid w:val="00325189"/>
    <w:rsid w:val="003252E0"/>
    <w:rsid w:val="00325347"/>
    <w:rsid w:val="003253D1"/>
    <w:rsid w:val="00325585"/>
    <w:rsid w:val="003257B8"/>
    <w:rsid w:val="003259BB"/>
    <w:rsid w:val="00325ACA"/>
    <w:rsid w:val="00325C65"/>
    <w:rsid w:val="00325CC9"/>
    <w:rsid w:val="00325EA4"/>
    <w:rsid w:val="00325EAE"/>
    <w:rsid w:val="00325EC0"/>
    <w:rsid w:val="00325F86"/>
    <w:rsid w:val="0032610A"/>
    <w:rsid w:val="003261F0"/>
    <w:rsid w:val="0032626C"/>
    <w:rsid w:val="003262E2"/>
    <w:rsid w:val="003262E8"/>
    <w:rsid w:val="0032648F"/>
    <w:rsid w:val="00326534"/>
    <w:rsid w:val="00326673"/>
    <w:rsid w:val="00326A94"/>
    <w:rsid w:val="00326ACB"/>
    <w:rsid w:val="00326AD5"/>
    <w:rsid w:val="00326BCB"/>
    <w:rsid w:val="00326EB6"/>
    <w:rsid w:val="00326EC1"/>
    <w:rsid w:val="00326FEA"/>
    <w:rsid w:val="00327168"/>
    <w:rsid w:val="0032727B"/>
    <w:rsid w:val="003272DC"/>
    <w:rsid w:val="00327577"/>
    <w:rsid w:val="0032777C"/>
    <w:rsid w:val="003278F9"/>
    <w:rsid w:val="00327B44"/>
    <w:rsid w:val="00327BA9"/>
    <w:rsid w:val="00327F46"/>
    <w:rsid w:val="00330303"/>
    <w:rsid w:val="00330674"/>
    <w:rsid w:val="0033095C"/>
    <w:rsid w:val="003309C8"/>
    <w:rsid w:val="00330A97"/>
    <w:rsid w:val="00330BAB"/>
    <w:rsid w:val="00330CF7"/>
    <w:rsid w:val="00330D50"/>
    <w:rsid w:val="00330D94"/>
    <w:rsid w:val="00330DB1"/>
    <w:rsid w:val="00330F95"/>
    <w:rsid w:val="00330FDF"/>
    <w:rsid w:val="00330FF7"/>
    <w:rsid w:val="00331357"/>
    <w:rsid w:val="00331411"/>
    <w:rsid w:val="00331B8D"/>
    <w:rsid w:val="003324B5"/>
    <w:rsid w:val="003327BC"/>
    <w:rsid w:val="003327C0"/>
    <w:rsid w:val="00332CC1"/>
    <w:rsid w:val="00332DA7"/>
    <w:rsid w:val="00332E79"/>
    <w:rsid w:val="00332EAA"/>
    <w:rsid w:val="00332ED3"/>
    <w:rsid w:val="00332FE2"/>
    <w:rsid w:val="0033304E"/>
    <w:rsid w:val="003330EB"/>
    <w:rsid w:val="00333172"/>
    <w:rsid w:val="00333550"/>
    <w:rsid w:val="0033386B"/>
    <w:rsid w:val="003339CE"/>
    <w:rsid w:val="00333A2D"/>
    <w:rsid w:val="00333A67"/>
    <w:rsid w:val="00333BB9"/>
    <w:rsid w:val="00333BC3"/>
    <w:rsid w:val="003341EF"/>
    <w:rsid w:val="00334218"/>
    <w:rsid w:val="003344B4"/>
    <w:rsid w:val="003345B3"/>
    <w:rsid w:val="003347CD"/>
    <w:rsid w:val="00334905"/>
    <w:rsid w:val="00334CAD"/>
    <w:rsid w:val="00334CD1"/>
    <w:rsid w:val="003351B3"/>
    <w:rsid w:val="003355B1"/>
    <w:rsid w:val="00335735"/>
    <w:rsid w:val="0033593F"/>
    <w:rsid w:val="00335BC6"/>
    <w:rsid w:val="00335F05"/>
    <w:rsid w:val="00335F20"/>
    <w:rsid w:val="00336122"/>
    <w:rsid w:val="0033634D"/>
    <w:rsid w:val="003365E0"/>
    <w:rsid w:val="00336605"/>
    <w:rsid w:val="00336733"/>
    <w:rsid w:val="003367BF"/>
    <w:rsid w:val="003369E9"/>
    <w:rsid w:val="00336A34"/>
    <w:rsid w:val="00336AC8"/>
    <w:rsid w:val="00336D77"/>
    <w:rsid w:val="003372B2"/>
    <w:rsid w:val="0033739B"/>
    <w:rsid w:val="00337974"/>
    <w:rsid w:val="003379BB"/>
    <w:rsid w:val="00337ABC"/>
    <w:rsid w:val="00337C7C"/>
    <w:rsid w:val="00337DE4"/>
    <w:rsid w:val="00340214"/>
    <w:rsid w:val="003406E8"/>
    <w:rsid w:val="00340788"/>
    <w:rsid w:val="003407C6"/>
    <w:rsid w:val="003408AC"/>
    <w:rsid w:val="00340982"/>
    <w:rsid w:val="00340A03"/>
    <w:rsid w:val="00341138"/>
    <w:rsid w:val="00341189"/>
    <w:rsid w:val="003411A5"/>
    <w:rsid w:val="003412DE"/>
    <w:rsid w:val="00341492"/>
    <w:rsid w:val="003414C4"/>
    <w:rsid w:val="003415FD"/>
    <w:rsid w:val="003419A3"/>
    <w:rsid w:val="00341B8C"/>
    <w:rsid w:val="00341CD9"/>
    <w:rsid w:val="00341D91"/>
    <w:rsid w:val="00341EA1"/>
    <w:rsid w:val="00341F16"/>
    <w:rsid w:val="00341F17"/>
    <w:rsid w:val="00341F4D"/>
    <w:rsid w:val="00342221"/>
    <w:rsid w:val="0034239A"/>
    <w:rsid w:val="003425C9"/>
    <w:rsid w:val="003425F1"/>
    <w:rsid w:val="003429F0"/>
    <w:rsid w:val="00342AEF"/>
    <w:rsid w:val="00342DC9"/>
    <w:rsid w:val="00343461"/>
    <w:rsid w:val="003439C3"/>
    <w:rsid w:val="00343B2E"/>
    <w:rsid w:val="00343BEE"/>
    <w:rsid w:val="00343CF6"/>
    <w:rsid w:val="00344529"/>
    <w:rsid w:val="00344899"/>
    <w:rsid w:val="0034490B"/>
    <w:rsid w:val="003449B3"/>
    <w:rsid w:val="00344F56"/>
    <w:rsid w:val="00345112"/>
    <w:rsid w:val="0034512C"/>
    <w:rsid w:val="0034555B"/>
    <w:rsid w:val="00345DA1"/>
    <w:rsid w:val="00345DEF"/>
    <w:rsid w:val="00345E56"/>
    <w:rsid w:val="00345E81"/>
    <w:rsid w:val="00345F2F"/>
    <w:rsid w:val="00345FC6"/>
    <w:rsid w:val="00345FEE"/>
    <w:rsid w:val="0034605D"/>
    <w:rsid w:val="00346366"/>
    <w:rsid w:val="003464C9"/>
    <w:rsid w:val="0034656B"/>
    <w:rsid w:val="00346570"/>
    <w:rsid w:val="00346C80"/>
    <w:rsid w:val="00346C87"/>
    <w:rsid w:val="00346CF0"/>
    <w:rsid w:val="00346E90"/>
    <w:rsid w:val="00346F9F"/>
    <w:rsid w:val="00347389"/>
    <w:rsid w:val="00347544"/>
    <w:rsid w:val="003476ED"/>
    <w:rsid w:val="00347704"/>
    <w:rsid w:val="003477D2"/>
    <w:rsid w:val="0034783B"/>
    <w:rsid w:val="003478EF"/>
    <w:rsid w:val="003478F7"/>
    <w:rsid w:val="00347A3F"/>
    <w:rsid w:val="00347AC2"/>
    <w:rsid w:val="00347BF4"/>
    <w:rsid w:val="00347E98"/>
    <w:rsid w:val="00350082"/>
    <w:rsid w:val="003502B1"/>
    <w:rsid w:val="003504E9"/>
    <w:rsid w:val="0035055A"/>
    <w:rsid w:val="00350864"/>
    <w:rsid w:val="0035097A"/>
    <w:rsid w:val="003509FB"/>
    <w:rsid w:val="00351064"/>
    <w:rsid w:val="0035113D"/>
    <w:rsid w:val="003513C5"/>
    <w:rsid w:val="003514B0"/>
    <w:rsid w:val="00351682"/>
    <w:rsid w:val="00351890"/>
    <w:rsid w:val="003518DD"/>
    <w:rsid w:val="00351B74"/>
    <w:rsid w:val="00351E70"/>
    <w:rsid w:val="00351F32"/>
    <w:rsid w:val="00351F98"/>
    <w:rsid w:val="00351FAE"/>
    <w:rsid w:val="00352019"/>
    <w:rsid w:val="0035207F"/>
    <w:rsid w:val="00352105"/>
    <w:rsid w:val="00352132"/>
    <w:rsid w:val="003527A3"/>
    <w:rsid w:val="003528CF"/>
    <w:rsid w:val="00352B85"/>
    <w:rsid w:val="00352D86"/>
    <w:rsid w:val="00352FE0"/>
    <w:rsid w:val="0035309D"/>
    <w:rsid w:val="00353387"/>
    <w:rsid w:val="0035340F"/>
    <w:rsid w:val="0035384A"/>
    <w:rsid w:val="00353874"/>
    <w:rsid w:val="00353B58"/>
    <w:rsid w:val="00353D26"/>
    <w:rsid w:val="00353DDB"/>
    <w:rsid w:val="00353EC3"/>
    <w:rsid w:val="00353FD1"/>
    <w:rsid w:val="003540A4"/>
    <w:rsid w:val="0035427C"/>
    <w:rsid w:val="00354533"/>
    <w:rsid w:val="00354567"/>
    <w:rsid w:val="003545A7"/>
    <w:rsid w:val="003548EE"/>
    <w:rsid w:val="00354EF0"/>
    <w:rsid w:val="003551E4"/>
    <w:rsid w:val="003552CE"/>
    <w:rsid w:val="003555E1"/>
    <w:rsid w:val="00355658"/>
    <w:rsid w:val="00355821"/>
    <w:rsid w:val="003558E5"/>
    <w:rsid w:val="00355B89"/>
    <w:rsid w:val="00355D0E"/>
    <w:rsid w:val="00355DB0"/>
    <w:rsid w:val="00356347"/>
    <w:rsid w:val="003566FF"/>
    <w:rsid w:val="0035693A"/>
    <w:rsid w:val="00356B64"/>
    <w:rsid w:val="00356D11"/>
    <w:rsid w:val="00356D1A"/>
    <w:rsid w:val="00356FD8"/>
    <w:rsid w:val="00357033"/>
    <w:rsid w:val="003571F7"/>
    <w:rsid w:val="003575BF"/>
    <w:rsid w:val="003578F6"/>
    <w:rsid w:val="00357AEA"/>
    <w:rsid w:val="00357FAA"/>
    <w:rsid w:val="00360056"/>
    <w:rsid w:val="00360214"/>
    <w:rsid w:val="003602ED"/>
    <w:rsid w:val="0036041A"/>
    <w:rsid w:val="00360A04"/>
    <w:rsid w:val="00360A0E"/>
    <w:rsid w:val="00360D81"/>
    <w:rsid w:val="00360DAE"/>
    <w:rsid w:val="00360E4E"/>
    <w:rsid w:val="00360F21"/>
    <w:rsid w:val="00361064"/>
    <w:rsid w:val="0036106F"/>
    <w:rsid w:val="00361206"/>
    <w:rsid w:val="00361319"/>
    <w:rsid w:val="00361449"/>
    <w:rsid w:val="0036150F"/>
    <w:rsid w:val="0036157C"/>
    <w:rsid w:val="0036192D"/>
    <w:rsid w:val="00361960"/>
    <w:rsid w:val="003619DB"/>
    <w:rsid w:val="00361A28"/>
    <w:rsid w:val="00361F65"/>
    <w:rsid w:val="0036209A"/>
    <w:rsid w:val="003620AD"/>
    <w:rsid w:val="003621B6"/>
    <w:rsid w:val="0036234B"/>
    <w:rsid w:val="003628B7"/>
    <w:rsid w:val="003628FD"/>
    <w:rsid w:val="00362953"/>
    <w:rsid w:val="00362BB0"/>
    <w:rsid w:val="00362BE2"/>
    <w:rsid w:val="00362D17"/>
    <w:rsid w:val="00362D85"/>
    <w:rsid w:val="00362E7D"/>
    <w:rsid w:val="00362EC7"/>
    <w:rsid w:val="00362EDB"/>
    <w:rsid w:val="003630DD"/>
    <w:rsid w:val="00363204"/>
    <w:rsid w:val="00363465"/>
    <w:rsid w:val="003634C3"/>
    <w:rsid w:val="00363617"/>
    <w:rsid w:val="00363A9B"/>
    <w:rsid w:val="00363B0D"/>
    <w:rsid w:val="003640BB"/>
    <w:rsid w:val="003640F6"/>
    <w:rsid w:val="00364649"/>
    <w:rsid w:val="00364A5C"/>
    <w:rsid w:val="00364B98"/>
    <w:rsid w:val="00364E3B"/>
    <w:rsid w:val="00364E9E"/>
    <w:rsid w:val="003650D7"/>
    <w:rsid w:val="003652D3"/>
    <w:rsid w:val="00365378"/>
    <w:rsid w:val="00365420"/>
    <w:rsid w:val="0036548C"/>
    <w:rsid w:val="003655C0"/>
    <w:rsid w:val="00365A3A"/>
    <w:rsid w:val="00365E5D"/>
    <w:rsid w:val="00365EEC"/>
    <w:rsid w:val="003661C7"/>
    <w:rsid w:val="00366323"/>
    <w:rsid w:val="00366469"/>
    <w:rsid w:val="00366A67"/>
    <w:rsid w:val="00366E57"/>
    <w:rsid w:val="00366ECC"/>
    <w:rsid w:val="003670CE"/>
    <w:rsid w:val="00367441"/>
    <w:rsid w:val="0036757A"/>
    <w:rsid w:val="00367825"/>
    <w:rsid w:val="00367AB9"/>
    <w:rsid w:val="00367ECD"/>
    <w:rsid w:val="0037038A"/>
    <w:rsid w:val="0037067D"/>
    <w:rsid w:val="003706AD"/>
    <w:rsid w:val="003706D8"/>
    <w:rsid w:val="00370998"/>
    <w:rsid w:val="00370AAA"/>
    <w:rsid w:val="00370CFD"/>
    <w:rsid w:val="00371134"/>
    <w:rsid w:val="003711A9"/>
    <w:rsid w:val="003712DF"/>
    <w:rsid w:val="003713BC"/>
    <w:rsid w:val="003713EF"/>
    <w:rsid w:val="00371438"/>
    <w:rsid w:val="00371440"/>
    <w:rsid w:val="00371580"/>
    <w:rsid w:val="00371774"/>
    <w:rsid w:val="0037183C"/>
    <w:rsid w:val="0037188E"/>
    <w:rsid w:val="003718DA"/>
    <w:rsid w:val="0037199D"/>
    <w:rsid w:val="00371B38"/>
    <w:rsid w:val="003721E5"/>
    <w:rsid w:val="00372267"/>
    <w:rsid w:val="003722E5"/>
    <w:rsid w:val="0037230C"/>
    <w:rsid w:val="00372994"/>
    <w:rsid w:val="00372A1D"/>
    <w:rsid w:val="00372F1B"/>
    <w:rsid w:val="0037304D"/>
    <w:rsid w:val="003732D2"/>
    <w:rsid w:val="003732D6"/>
    <w:rsid w:val="003733FA"/>
    <w:rsid w:val="00373803"/>
    <w:rsid w:val="003738A9"/>
    <w:rsid w:val="00373C3B"/>
    <w:rsid w:val="00373D87"/>
    <w:rsid w:val="00373DA0"/>
    <w:rsid w:val="00374010"/>
    <w:rsid w:val="00374137"/>
    <w:rsid w:val="003742B5"/>
    <w:rsid w:val="00374C57"/>
    <w:rsid w:val="00374DF3"/>
    <w:rsid w:val="00374E50"/>
    <w:rsid w:val="00375169"/>
    <w:rsid w:val="0037517A"/>
    <w:rsid w:val="003753F9"/>
    <w:rsid w:val="00375526"/>
    <w:rsid w:val="003758AE"/>
    <w:rsid w:val="00375CF2"/>
    <w:rsid w:val="00375F77"/>
    <w:rsid w:val="00376167"/>
    <w:rsid w:val="003762F3"/>
    <w:rsid w:val="00376470"/>
    <w:rsid w:val="00376A2E"/>
    <w:rsid w:val="00376AD7"/>
    <w:rsid w:val="00376C07"/>
    <w:rsid w:val="00376E73"/>
    <w:rsid w:val="00377232"/>
    <w:rsid w:val="0037733B"/>
    <w:rsid w:val="00377491"/>
    <w:rsid w:val="0037757F"/>
    <w:rsid w:val="00377583"/>
    <w:rsid w:val="00377639"/>
    <w:rsid w:val="0037772C"/>
    <w:rsid w:val="00377981"/>
    <w:rsid w:val="00377A78"/>
    <w:rsid w:val="00377C71"/>
    <w:rsid w:val="00377CF0"/>
    <w:rsid w:val="00377F79"/>
    <w:rsid w:val="00380480"/>
    <w:rsid w:val="00380508"/>
    <w:rsid w:val="00380595"/>
    <w:rsid w:val="003808D5"/>
    <w:rsid w:val="00380B65"/>
    <w:rsid w:val="00380BE4"/>
    <w:rsid w:val="00380BED"/>
    <w:rsid w:val="00380D4C"/>
    <w:rsid w:val="003810B9"/>
    <w:rsid w:val="003810F3"/>
    <w:rsid w:val="00381117"/>
    <w:rsid w:val="003812E8"/>
    <w:rsid w:val="00381469"/>
    <w:rsid w:val="00381604"/>
    <w:rsid w:val="00381790"/>
    <w:rsid w:val="00381A1C"/>
    <w:rsid w:val="00381BBE"/>
    <w:rsid w:val="00381F01"/>
    <w:rsid w:val="00381F54"/>
    <w:rsid w:val="00382235"/>
    <w:rsid w:val="00382449"/>
    <w:rsid w:val="0038273E"/>
    <w:rsid w:val="00382878"/>
    <w:rsid w:val="00382903"/>
    <w:rsid w:val="00382916"/>
    <w:rsid w:val="00382925"/>
    <w:rsid w:val="00382968"/>
    <w:rsid w:val="00382A83"/>
    <w:rsid w:val="00382C12"/>
    <w:rsid w:val="00382C8E"/>
    <w:rsid w:val="00382E4F"/>
    <w:rsid w:val="0038317B"/>
    <w:rsid w:val="0038322B"/>
    <w:rsid w:val="00383256"/>
    <w:rsid w:val="003836DB"/>
    <w:rsid w:val="00383A40"/>
    <w:rsid w:val="00383BBB"/>
    <w:rsid w:val="00383CA9"/>
    <w:rsid w:val="00383D4F"/>
    <w:rsid w:val="00384034"/>
    <w:rsid w:val="003842DC"/>
    <w:rsid w:val="00384555"/>
    <w:rsid w:val="003846FF"/>
    <w:rsid w:val="0038480D"/>
    <w:rsid w:val="003848CF"/>
    <w:rsid w:val="00384B56"/>
    <w:rsid w:val="00384DFD"/>
    <w:rsid w:val="00384F80"/>
    <w:rsid w:val="00384FEE"/>
    <w:rsid w:val="003855DF"/>
    <w:rsid w:val="003856CB"/>
    <w:rsid w:val="003858D5"/>
    <w:rsid w:val="00385A2D"/>
    <w:rsid w:val="00385AD4"/>
    <w:rsid w:val="00385D37"/>
    <w:rsid w:val="00385D71"/>
    <w:rsid w:val="00385F1A"/>
    <w:rsid w:val="00385F55"/>
    <w:rsid w:val="00385FAB"/>
    <w:rsid w:val="00386084"/>
    <w:rsid w:val="0038623E"/>
    <w:rsid w:val="00386406"/>
    <w:rsid w:val="00386B3D"/>
    <w:rsid w:val="00386D1B"/>
    <w:rsid w:val="003870CD"/>
    <w:rsid w:val="0038726D"/>
    <w:rsid w:val="00387355"/>
    <w:rsid w:val="00387663"/>
    <w:rsid w:val="00387750"/>
    <w:rsid w:val="003878C8"/>
    <w:rsid w:val="00387924"/>
    <w:rsid w:val="00387B19"/>
    <w:rsid w:val="00387CC8"/>
    <w:rsid w:val="00387D71"/>
    <w:rsid w:val="00387F20"/>
    <w:rsid w:val="003902E5"/>
    <w:rsid w:val="0039030B"/>
    <w:rsid w:val="00390345"/>
    <w:rsid w:val="00390861"/>
    <w:rsid w:val="00390AC7"/>
    <w:rsid w:val="00390AFB"/>
    <w:rsid w:val="00390C0C"/>
    <w:rsid w:val="00390C31"/>
    <w:rsid w:val="00390E05"/>
    <w:rsid w:val="00390F7E"/>
    <w:rsid w:val="0039103A"/>
    <w:rsid w:val="00391262"/>
    <w:rsid w:val="003914FC"/>
    <w:rsid w:val="00391614"/>
    <w:rsid w:val="00391821"/>
    <w:rsid w:val="00391FDF"/>
    <w:rsid w:val="003921DA"/>
    <w:rsid w:val="00392253"/>
    <w:rsid w:val="00392482"/>
    <w:rsid w:val="003928C3"/>
    <w:rsid w:val="00392C11"/>
    <w:rsid w:val="0039311B"/>
    <w:rsid w:val="00393143"/>
    <w:rsid w:val="00393307"/>
    <w:rsid w:val="00393317"/>
    <w:rsid w:val="003934F9"/>
    <w:rsid w:val="00393557"/>
    <w:rsid w:val="0039359E"/>
    <w:rsid w:val="00393628"/>
    <w:rsid w:val="003937F8"/>
    <w:rsid w:val="0039384D"/>
    <w:rsid w:val="00393A17"/>
    <w:rsid w:val="00393A4E"/>
    <w:rsid w:val="00393A7A"/>
    <w:rsid w:val="00393B24"/>
    <w:rsid w:val="0039407B"/>
    <w:rsid w:val="003941F7"/>
    <w:rsid w:val="00394201"/>
    <w:rsid w:val="00394257"/>
    <w:rsid w:val="00394396"/>
    <w:rsid w:val="00394853"/>
    <w:rsid w:val="00394AA3"/>
    <w:rsid w:val="00394B65"/>
    <w:rsid w:val="00394C14"/>
    <w:rsid w:val="00394CA1"/>
    <w:rsid w:val="00394F7D"/>
    <w:rsid w:val="00394FF0"/>
    <w:rsid w:val="003950F6"/>
    <w:rsid w:val="003955E7"/>
    <w:rsid w:val="003955FC"/>
    <w:rsid w:val="003956AE"/>
    <w:rsid w:val="00395722"/>
    <w:rsid w:val="00395871"/>
    <w:rsid w:val="00395956"/>
    <w:rsid w:val="00395997"/>
    <w:rsid w:val="00395B3C"/>
    <w:rsid w:val="00395C23"/>
    <w:rsid w:val="00395C9F"/>
    <w:rsid w:val="00395D06"/>
    <w:rsid w:val="00395D13"/>
    <w:rsid w:val="00395DA1"/>
    <w:rsid w:val="00395E9A"/>
    <w:rsid w:val="00395F83"/>
    <w:rsid w:val="003960E6"/>
    <w:rsid w:val="00396155"/>
    <w:rsid w:val="003963FA"/>
    <w:rsid w:val="00396727"/>
    <w:rsid w:val="003968AF"/>
    <w:rsid w:val="0039696F"/>
    <w:rsid w:val="00396C76"/>
    <w:rsid w:val="00396C8B"/>
    <w:rsid w:val="00396CFF"/>
    <w:rsid w:val="00396E2A"/>
    <w:rsid w:val="003972C0"/>
    <w:rsid w:val="003976A7"/>
    <w:rsid w:val="003977AB"/>
    <w:rsid w:val="00397858"/>
    <w:rsid w:val="00397868"/>
    <w:rsid w:val="00397A66"/>
    <w:rsid w:val="00397BE3"/>
    <w:rsid w:val="00397F10"/>
    <w:rsid w:val="00397F88"/>
    <w:rsid w:val="003A00B0"/>
    <w:rsid w:val="003A00FD"/>
    <w:rsid w:val="003A05C5"/>
    <w:rsid w:val="003A05D2"/>
    <w:rsid w:val="003A06F2"/>
    <w:rsid w:val="003A0702"/>
    <w:rsid w:val="003A070D"/>
    <w:rsid w:val="003A09BA"/>
    <w:rsid w:val="003A0AA0"/>
    <w:rsid w:val="003A0C7B"/>
    <w:rsid w:val="003A10B2"/>
    <w:rsid w:val="003A12AD"/>
    <w:rsid w:val="003A139F"/>
    <w:rsid w:val="003A161A"/>
    <w:rsid w:val="003A1774"/>
    <w:rsid w:val="003A177B"/>
    <w:rsid w:val="003A1EEE"/>
    <w:rsid w:val="003A20EC"/>
    <w:rsid w:val="003A27E7"/>
    <w:rsid w:val="003A2829"/>
    <w:rsid w:val="003A293E"/>
    <w:rsid w:val="003A2B50"/>
    <w:rsid w:val="003A2DC8"/>
    <w:rsid w:val="003A2E4F"/>
    <w:rsid w:val="003A2FA7"/>
    <w:rsid w:val="003A30FB"/>
    <w:rsid w:val="003A3474"/>
    <w:rsid w:val="003A369A"/>
    <w:rsid w:val="003A3A34"/>
    <w:rsid w:val="003A3B16"/>
    <w:rsid w:val="003A3C49"/>
    <w:rsid w:val="003A3CD1"/>
    <w:rsid w:val="003A3CDD"/>
    <w:rsid w:val="003A3D22"/>
    <w:rsid w:val="003A3D38"/>
    <w:rsid w:val="003A3E93"/>
    <w:rsid w:val="003A3EA4"/>
    <w:rsid w:val="003A3F96"/>
    <w:rsid w:val="003A400D"/>
    <w:rsid w:val="003A432F"/>
    <w:rsid w:val="003A43B6"/>
    <w:rsid w:val="003A4438"/>
    <w:rsid w:val="003A4626"/>
    <w:rsid w:val="003A47A2"/>
    <w:rsid w:val="003A480A"/>
    <w:rsid w:val="003A4B2A"/>
    <w:rsid w:val="003A4C15"/>
    <w:rsid w:val="003A4DFD"/>
    <w:rsid w:val="003A4E66"/>
    <w:rsid w:val="003A4F82"/>
    <w:rsid w:val="003A5013"/>
    <w:rsid w:val="003A5018"/>
    <w:rsid w:val="003A5078"/>
    <w:rsid w:val="003A5104"/>
    <w:rsid w:val="003A515E"/>
    <w:rsid w:val="003A516A"/>
    <w:rsid w:val="003A528F"/>
    <w:rsid w:val="003A52C2"/>
    <w:rsid w:val="003A53E7"/>
    <w:rsid w:val="003A5B65"/>
    <w:rsid w:val="003A5E96"/>
    <w:rsid w:val="003A5EEE"/>
    <w:rsid w:val="003A6144"/>
    <w:rsid w:val="003A616B"/>
    <w:rsid w:val="003A62DD"/>
    <w:rsid w:val="003A67F0"/>
    <w:rsid w:val="003A68E0"/>
    <w:rsid w:val="003A6F30"/>
    <w:rsid w:val="003A703E"/>
    <w:rsid w:val="003A7418"/>
    <w:rsid w:val="003A775A"/>
    <w:rsid w:val="003A7BB6"/>
    <w:rsid w:val="003B001F"/>
    <w:rsid w:val="003B0187"/>
    <w:rsid w:val="003B030F"/>
    <w:rsid w:val="003B03C1"/>
    <w:rsid w:val="003B0A55"/>
    <w:rsid w:val="003B0AF8"/>
    <w:rsid w:val="003B0B45"/>
    <w:rsid w:val="003B0D03"/>
    <w:rsid w:val="003B0DAB"/>
    <w:rsid w:val="003B102E"/>
    <w:rsid w:val="003B126A"/>
    <w:rsid w:val="003B16F0"/>
    <w:rsid w:val="003B1A0B"/>
    <w:rsid w:val="003B1BB1"/>
    <w:rsid w:val="003B1D24"/>
    <w:rsid w:val="003B213A"/>
    <w:rsid w:val="003B22D1"/>
    <w:rsid w:val="003B2408"/>
    <w:rsid w:val="003B25F1"/>
    <w:rsid w:val="003B25FB"/>
    <w:rsid w:val="003B2603"/>
    <w:rsid w:val="003B265E"/>
    <w:rsid w:val="003B2A44"/>
    <w:rsid w:val="003B2FDC"/>
    <w:rsid w:val="003B30B8"/>
    <w:rsid w:val="003B313B"/>
    <w:rsid w:val="003B3247"/>
    <w:rsid w:val="003B36B2"/>
    <w:rsid w:val="003B38F1"/>
    <w:rsid w:val="003B3D6C"/>
    <w:rsid w:val="003B3E09"/>
    <w:rsid w:val="003B3E39"/>
    <w:rsid w:val="003B3E9A"/>
    <w:rsid w:val="003B3EB9"/>
    <w:rsid w:val="003B4312"/>
    <w:rsid w:val="003B43AD"/>
    <w:rsid w:val="003B4416"/>
    <w:rsid w:val="003B444C"/>
    <w:rsid w:val="003B455F"/>
    <w:rsid w:val="003B4775"/>
    <w:rsid w:val="003B49E1"/>
    <w:rsid w:val="003B4A8E"/>
    <w:rsid w:val="003B4CF6"/>
    <w:rsid w:val="003B4E51"/>
    <w:rsid w:val="003B540A"/>
    <w:rsid w:val="003B5567"/>
    <w:rsid w:val="003B5736"/>
    <w:rsid w:val="003B5752"/>
    <w:rsid w:val="003B581C"/>
    <w:rsid w:val="003B5D8E"/>
    <w:rsid w:val="003B5F43"/>
    <w:rsid w:val="003B6004"/>
    <w:rsid w:val="003B606F"/>
    <w:rsid w:val="003B6268"/>
    <w:rsid w:val="003B6736"/>
    <w:rsid w:val="003B67C5"/>
    <w:rsid w:val="003B67E6"/>
    <w:rsid w:val="003B6880"/>
    <w:rsid w:val="003B6885"/>
    <w:rsid w:val="003B6BAB"/>
    <w:rsid w:val="003B6E36"/>
    <w:rsid w:val="003B7090"/>
    <w:rsid w:val="003B70A5"/>
    <w:rsid w:val="003B70E5"/>
    <w:rsid w:val="003B75BD"/>
    <w:rsid w:val="003B7654"/>
    <w:rsid w:val="003B79D9"/>
    <w:rsid w:val="003B7D62"/>
    <w:rsid w:val="003B7E38"/>
    <w:rsid w:val="003B7FED"/>
    <w:rsid w:val="003BB653"/>
    <w:rsid w:val="003C0061"/>
    <w:rsid w:val="003C028E"/>
    <w:rsid w:val="003C039D"/>
    <w:rsid w:val="003C078D"/>
    <w:rsid w:val="003C0801"/>
    <w:rsid w:val="003C08BA"/>
    <w:rsid w:val="003C09DE"/>
    <w:rsid w:val="003C0BB5"/>
    <w:rsid w:val="003C0CD2"/>
    <w:rsid w:val="003C0E4D"/>
    <w:rsid w:val="003C0FEC"/>
    <w:rsid w:val="003C10EA"/>
    <w:rsid w:val="003C152A"/>
    <w:rsid w:val="003C1571"/>
    <w:rsid w:val="003C15B8"/>
    <w:rsid w:val="003C1629"/>
    <w:rsid w:val="003C1686"/>
    <w:rsid w:val="003C1B9C"/>
    <w:rsid w:val="003C1E64"/>
    <w:rsid w:val="003C204A"/>
    <w:rsid w:val="003C2089"/>
    <w:rsid w:val="003C20C5"/>
    <w:rsid w:val="003C21A0"/>
    <w:rsid w:val="003C242C"/>
    <w:rsid w:val="003C24C1"/>
    <w:rsid w:val="003C2563"/>
    <w:rsid w:val="003C27A9"/>
    <w:rsid w:val="003C27FD"/>
    <w:rsid w:val="003C2A53"/>
    <w:rsid w:val="003C2A8C"/>
    <w:rsid w:val="003C2AC8"/>
    <w:rsid w:val="003C2CFD"/>
    <w:rsid w:val="003C2EF8"/>
    <w:rsid w:val="003C2F77"/>
    <w:rsid w:val="003C2FE0"/>
    <w:rsid w:val="003C33F4"/>
    <w:rsid w:val="003C3443"/>
    <w:rsid w:val="003C34A9"/>
    <w:rsid w:val="003C3679"/>
    <w:rsid w:val="003C3835"/>
    <w:rsid w:val="003C3C16"/>
    <w:rsid w:val="003C40F7"/>
    <w:rsid w:val="003C4420"/>
    <w:rsid w:val="003C4539"/>
    <w:rsid w:val="003C45C4"/>
    <w:rsid w:val="003C466B"/>
    <w:rsid w:val="003C46A6"/>
    <w:rsid w:val="003C49EC"/>
    <w:rsid w:val="003C4B3E"/>
    <w:rsid w:val="003C4B59"/>
    <w:rsid w:val="003C4D89"/>
    <w:rsid w:val="003C4F1B"/>
    <w:rsid w:val="003C50E7"/>
    <w:rsid w:val="003C51F2"/>
    <w:rsid w:val="003C548D"/>
    <w:rsid w:val="003C54FE"/>
    <w:rsid w:val="003C565D"/>
    <w:rsid w:val="003C5697"/>
    <w:rsid w:val="003C591E"/>
    <w:rsid w:val="003C5C02"/>
    <w:rsid w:val="003C5C45"/>
    <w:rsid w:val="003C5CD7"/>
    <w:rsid w:val="003C5D33"/>
    <w:rsid w:val="003C5D34"/>
    <w:rsid w:val="003C5D96"/>
    <w:rsid w:val="003C5E98"/>
    <w:rsid w:val="003C60FF"/>
    <w:rsid w:val="003C61C1"/>
    <w:rsid w:val="003C6387"/>
    <w:rsid w:val="003C6B55"/>
    <w:rsid w:val="003C6D2D"/>
    <w:rsid w:val="003C74A2"/>
    <w:rsid w:val="003C76E4"/>
    <w:rsid w:val="003C789F"/>
    <w:rsid w:val="003C7911"/>
    <w:rsid w:val="003C79AA"/>
    <w:rsid w:val="003C7B26"/>
    <w:rsid w:val="003C7D89"/>
    <w:rsid w:val="003D01E9"/>
    <w:rsid w:val="003D0468"/>
    <w:rsid w:val="003D0486"/>
    <w:rsid w:val="003D07CF"/>
    <w:rsid w:val="003D0B86"/>
    <w:rsid w:val="003D0C6D"/>
    <w:rsid w:val="003D0F72"/>
    <w:rsid w:val="003D1105"/>
    <w:rsid w:val="003D17F9"/>
    <w:rsid w:val="003D1B7C"/>
    <w:rsid w:val="003D1E81"/>
    <w:rsid w:val="003D1F29"/>
    <w:rsid w:val="003D1F4F"/>
    <w:rsid w:val="003D201E"/>
    <w:rsid w:val="003D2060"/>
    <w:rsid w:val="003D22C0"/>
    <w:rsid w:val="003D2758"/>
    <w:rsid w:val="003D27F2"/>
    <w:rsid w:val="003D2862"/>
    <w:rsid w:val="003D29B6"/>
    <w:rsid w:val="003D2D88"/>
    <w:rsid w:val="003D2E60"/>
    <w:rsid w:val="003D32B6"/>
    <w:rsid w:val="003D3981"/>
    <w:rsid w:val="003D3982"/>
    <w:rsid w:val="003D3FAD"/>
    <w:rsid w:val="003D41EA"/>
    <w:rsid w:val="003D4226"/>
    <w:rsid w:val="003D425D"/>
    <w:rsid w:val="003D4328"/>
    <w:rsid w:val="003D456B"/>
    <w:rsid w:val="003D4850"/>
    <w:rsid w:val="003D491C"/>
    <w:rsid w:val="003D4995"/>
    <w:rsid w:val="003D4C84"/>
    <w:rsid w:val="003D4C9B"/>
    <w:rsid w:val="003D4CFC"/>
    <w:rsid w:val="003D4D02"/>
    <w:rsid w:val="003D4F71"/>
    <w:rsid w:val="003D50C9"/>
    <w:rsid w:val="003D535A"/>
    <w:rsid w:val="003D53E1"/>
    <w:rsid w:val="003D55EA"/>
    <w:rsid w:val="003D5821"/>
    <w:rsid w:val="003D596B"/>
    <w:rsid w:val="003D5C0C"/>
    <w:rsid w:val="003D5CB7"/>
    <w:rsid w:val="003D5E84"/>
    <w:rsid w:val="003D5FD0"/>
    <w:rsid w:val="003D62D0"/>
    <w:rsid w:val="003D6726"/>
    <w:rsid w:val="003D68B3"/>
    <w:rsid w:val="003D69E6"/>
    <w:rsid w:val="003D69F4"/>
    <w:rsid w:val="003D6B26"/>
    <w:rsid w:val="003D6D46"/>
    <w:rsid w:val="003D6FD0"/>
    <w:rsid w:val="003D77D4"/>
    <w:rsid w:val="003D7993"/>
    <w:rsid w:val="003D7A07"/>
    <w:rsid w:val="003D7A2A"/>
    <w:rsid w:val="003D7BD0"/>
    <w:rsid w:val="003D7E99"/>
    <w:rsid w:val="003E0437"/>
    <w:rsid w:val="003E0476"/>
    <w:rsid w:val="003E09FD"/>
    <w:rsid w:val="003E0AA7"/>
    <w:rsid w:val="003E0C0C"/>
    <w:rsid w:val="003E0C17"/>
    <w:rsid w:val="003E0EA2"/>
    <w:rsid w:val="003E0F89"/>
    <w:rsid w:val="003E0FDF"/>
    <w:rsid w:val="003E1148"/>
    <w:rsid w:val="003E1279"/>
    <w:rsid w:val="003E12A1"/>
    <w:rsid w:val="003E12FF"/>
    <w:rsid w:val="003E143A"/>
    <w:rsid w:val="003E15A3"/>
    <w:rsid w:val="003E16E9"/>
    <w:rsid w:val="003E187A"/>
    <w:rsid w:val="003E1941"/>
    <w:rsid w:val="003E19CE"/>
    <w:rsid w:val="003E1A5E"/>
    <w:rsid w:val="003E1A7E"/>
    <w:rsid w:val="003E1B73"/>
    <w:rsid w:val="003E221D"/>
    <w:rsid w:val="003E225D"/>
    <w:rsid w:val="003E242F"/>
    <w:rsid w:val="003E26F1"/>
    <w:rsid w:val="003E28F5"/>
    <w:rsid w:val="003E28FE"/>
    <w:rsid w:val="003E2B61"/>
    <w:rsid w:val="003E2D10"/>
    <w:rsid w:val="003E2EC4"/>
    <w:rsid w:val="003E2F91"/>
    <w:rsid w:val="003E3082"/>
    <w:rsid w:val="003E30C1"/>
    <w:rsid w:val="003E30FC"/>
    <w:rsid w:val="003E3297"/>
    <w:rsid w:val="003E3481"/>
    <w:rsid w:val="003E36F4"/>
    <w:rsid w:val="003E380A"/>
    <w:rsid w:val="003E3844"/>
    <w:rsid w:val="003E38FF"/>
    <w:rsid w:val="003E3AED"/>
    <w:rsid w:val="003E3C5F"/>
    <w:rsid w:val="003E3CFF"/>
    <w:rsid w:val="003E3D7B"/>
    <w:rsid w:val="003E3F7D"/>
    <w:rsid w:val="003E414A"/>
    <w:rsid w:val="003E424B"/>
    <w:rsid w:val="003E42C6"/>
    <w:rsid w:val="003E4454"/>
    <w:rsid w:val="003E44E8"/>
    <w:rsid w:val="003E46FE"/>
    <w:rsid w:val="003E4713"/>
    <w:rsid w:val="003E4745"/>
    <w:rsid w:val="003E479D"/>
    <w:rsid w:val="003E47B2"/>
    <w:rsid w:val="003E48ED"/>
    <w:rsid w:val="003E492D"/>
    <w:rsid w:val="003E4B49"/>
    <w:rsid w:val="003E4B85"/>
    <w:rsid w:val="003E4B89"/>
    <w:rsid w:val="003E4E72"/>
    <w:rsid w:val="003E509E"/>
    <w:rsid w:val="003E5184"/>
    <w:rsid w:val="003E51AB"/>
    <w:rsid w:val="003E525B"/>
    <w:rsid w:val="003E5265"/>
    <w:rsid w:val="003E53A8"/>
    <w:rsid w:val="003E5505"/>
    <w:rsid w:val="003E559E"/>
    <w:rsid w:val="003E5670"/>
    <w:rsid w:val="003E57A9"/>
    <w:rsid w:val="003E5813"/>
    <w:rsid w:val="003E5836"/>
    <w:rsid w:val="003E5855"/>
    <w:rsid w:val="003E5E27"/>
    <w:rsid w:val="003E5E62"/>
    <w:rsid w:val="003E5FA3"/>
    <w:rsid w:val="003E619A"/>
    <w:rsid w:val="003E639E"/>
    <w:rsid w:val="003E65BD"/>
    <w:rsid w:val="003E660C"/>
    <w:rsid w:val="003E6691"/>
    <w:rsid w:val="003E6B0E"/>
    <w:rsid w:val="003E6B83"/>
    <w:rsid w:val="003E6D65"/>
    <w:rsid w:val="003E6D8C"/>
    <w:rsid w:val="003E719A"/>
    <w:rsid w:val="003E7650"/>
    <w:rsid w:val="003E7A1E"/>
    <w:rsid w:val="003E7B20"/>
    <w:rsid w:val="003E7D18"/>
    <w:rsid w:val="003F011B"/>
    <w:rsid w:val="003F04A0"/>
    <w:rsid w:val="003F050F"/>
    <w:rsid w:val="003F0723"/>
    <w:rsid w:val="003F0803"/>
    <w:rsid w:val="003F0848"/>
    <w:rsid w:val="003F0955"/>
    <w:rsid w:val="003F0A90"/>
    <w:rsid w:val="003F0D38"/>
    <w:rsid w:val="003F0D4A"/>
    <w:rsid w:val="003F0DD7"/>
    <w:rsid w:val="003F0E63"/>
    <w:rsid w:val="003F0ECD"/>
    <w:rsid w:val="003F1137"/>
    <w:rsid w:val="003F1408"/>
    <w:rsid w:val="003F146B"/>
    <w:rsid w:val="003F1659"/>
    <w:rsid w:val="003F1734"/>
    <w:rsid w:val="003F183C"/>
    <w:rsid w:val="003F1C15"/>
    <w:rsid w:val="003F20EC"/>
    <w:rsid w:val="003F214E"/>
    <w:rsid w:val="003F234B"/>
    <w:rsid w:val="003F2506"/>
    <w:rsid w:val="003F25F1"/>
    <w:rsid w:val="003F2786"/>
    <w:rsid w:val="003F29C5"/>
    <w:rsid w:val="003F2BD2"/>
    <w:rsid w:val="003F2C90"/>
    <w:rsid w:val="003F2C92"/>
    <w:rsid w:val="003F2C94"/>
    <w:rsid w:val="003F2E99"/>
    <w:rsid w:val="003F2F8A"/>
    <w:rsid w:val="003F324E"/>
    <w:rsid w:val="003F3483"/>
    <w:rsid w:val="003F35D5"/>
    <w:rsid w:val="003F367F"/>
    <w:rsid w:val="003F39D3"/>
    <w:rsid w:val="003F3A70"/>
    <w:rsid w:val="003F3B25"/>
    <w:rsid w:val="003F3CA9"/>
    <w:rsid w:val="003F408A"/>
    <w:rsid w:val="003F40C9"/>
    <w:rsid w:val="003F429C"/>
    <w:rsid w:val="003F42D4"/>
    <w:rsid w:val="003F44F9"/>
    <w:rsid w:val="003F4AE4"/>
    <w:rsid w:val="003F4C14"/>
    <w:rsid w:val="003F4C51"/>
    <w:rsid w:val="003F4D4C"/>
    <w:rsid w:val="003F4F0C"/>
    <w:rsid w:val="003F5022"/>
    <w:rsid w:val="003F50BC"/>
    <w:rsid w:val="003F540E"/>
    <w:rsid w:val="003F5512"/>
    <w:rsid w:val="003F576D"/>
    <w:rsid w:val="003F5998"/>
    <w:rsid w:val="003F5AA5"/>
    <w:rsid w:val="003F5B90"/>
    <w:rsid w:val="003F5BD2"/>
    <w:rsid w:val="003F5DC6"/>
    <w:rsid w:val="003F5DD6"/>
    <w:rsid w:val="003F5EDC"/>
    <w:rsid w:val="003F5FCC"/>
    <w:rsid w:val="003F6047"/>
    <w:rsid w:val="003F62C5"/>
    <w:rsid w:val="003F639E"/>
    <w:rsid w:val="003F6469"/>
    <w:rsid w:val="003F683C"/>
    <w:rsid w:val="003F699A"/>
    <w:rsid w:val="003F6A5C"/>
    <w:rsid w:val="003F6B7A"/>
    <w:rsid w:val="003F6CD7"/>
    <w:rsid w:val="003F6E9E"/>
    <w:rsid w:val="003F6F10"/>
    <w:rsid w:val="003F6FE1"/>
    <w:rsid w:val="003F7027"/>
    <w:rsid w:val="003F7190"/>
    <w:rsid w:val="003F7767"/>
    <w:rsid w:val="003F77BD"/>
    <w:rsid w:val="003F78EA"/>
    <w:rsid w:val="003F7A20"/>
    <w:rsid w:val="003F7CAF"/>
    <w:rsid w:val="003F7D6D"/>
    <w:rsid w:val="00400312"/>
    <w:rsid w:val="0040047A"/>
    <w:rsid w:val="0040051A"/>
    <w:rsid w:val="00400539"/>
    <w:rsid w:val="00400816"/>
    <w:rsid w:val="00400B10"/>
    <w:rsid w:val="00400B92"/>
    <w:rsid w:val="00400D2A"/>
    <w:rsid w:val="00400D34"/>
    <w:rsid w:val="00400F00"/>
    <w:rsid w:val="0040101F"/>
    <w:rsid w:val="004011CF"/>
    <w:rsid w:val="0040141F"/>
    <w:rsid w:val="00401A36"/>
    <w:rsid w:val="00401B9D"/>
    <w:rsid w:val="00401EF8"/>
    <w:rsid w:val="00401FAB"/>
    <w:rsid w:val="00402117"/>
    <w:rsid w:val="004028CE"/>
    <w:rsid w:val="00402BD8"/>
    <w:rsid w:val="00402C03"/>
    <w:rsid w:val="00402D91"/>
    <w:rsid w:val="00402F58"/>
    <w:rsid w:val="00403124"/>
    <w:rsid w:val="0040341D"/>
    <w:rsid w:val="0040349E"/>
    <w:rsid w:val="00403580"/>
    <w:rsid w:val="00403725"/>
    <w:rsid w:val="00403861"/>
    <w:rsid w:val="00403A2D"/>
    <w:rsid w:val="00403AE1"/>
    <w:rsid w:val="00403ED0"/>
    <w:rsid w:val="00403F2E"/>
    <w:rsid w:val="00403F84"/>
    <w:rsid w:val="00403FF6"/>
    <w:rsid w:val="00404267"/>
    <w:rsid w:val="004043E7"/>
    <w:rsid w:val="00404496"/>
    <w:rsid w:val="00404838"/>
    <w:rsid w:val="0040486A"/>
    <w:rsid w:val="00404B3A"/>
    <w:rsid w:val="00404C6C"/>
    <w:rsid w:val="00404D2E"/>
    <w:rsid w:val="00404E30"/>
    <w:rsid w:val="00404F8B"/>
    <w:rsid w:val="0040505B"/>
    <w:rsid w:val="00405256"/>
    <w:rsid w:val="00405549"/>
    <w:rsid w:val="004055E5"/>
    <w:rsid w:val="0040570D"/>
    <w:rsid w:val="004057DE"/>
    <w:rsid w:val="00405853"/>
    <w:rsid w:val="00405AC5"/>
    <w:rsid w:val="00405C59"/>
    <w:rsid w:val="00405D70"/>
    <w:rsid w:val="00405D91"/>
    <w:rsid w:val="00405EBA"/>
    <w:rsid w:val="00405F9C"/>
    <w:rsid w:val="004061F8"/>
    <w:rsid w:val="00406370"/>
    <w:rsid w:val="004063DE"/>
    <w:rsid w:val="00406426"/>
    <w:rsid w:val="00406447"/>
    <w:rsid w:val="0040655C"/>
    <w:rsid w:val="00406C23"/>
    <w:rsid w:val="00406DB9"/>
    <w:rsid w:val="00407065"/>
    <w:rsid w:val="0040743E"/>
    <w:rsid w:val="00407550"/>
    <w:rsid w:val="004076E9"/>
    <w:rsid w:val="00407803"/>
    <w:rsid w:val="00407A6A"/>
    <w:rsid w:val="00407AD8"/>
    <w:rsid w:val="00407BC7"/>
    <w:rsid w:val="00407F62"/>
    <w:rsid w:val="00407F71"/>
    <w:rsid w:val="00410031"/>
    <w:rsid w:val="004100B6"/>
    <w:rsid w:val="004101BC"/>
    <w:rsid w:val="0041025F"/>
    <w:rsid w:val="004102D0"/>
    <w:rsid w:val="004105F8"/>
    <w:rsid w:val="0041067A"/>
    <w:rsid w:val="004107BC"/>
    <w:rsid w:val="00410839"/>
    <w:rsid w:val="0041084C"/>
    <w:rsid w:val="00410A42"/>
    <w:rsid w:val="00410A85"/>
    <w:rsid w:val="00410AC8"/>
    <w:rsid w:val="004110AC"/>
    <w:rsid w:val="004112EA"/>
    <w:rsid w:val="00411599"/>
    <w:rsid w:val="004115A2"/>
    <w:rsid w:val="00411821"/>
    <w:rsid w:val="0041188A"/>
    <w:rsid w:val="00411958"/>
    <w:rsid w:val="00411976"/>
    <w:rsid w:val="00411A6C"/>
    <w:rsid w:val="00411B0A"/>
    <w:rsid w:val="00411BBD"/>
    <w:rsid w:val="00411C0D"/>
    <w:rsid w:val="00412017"/>
    <w:rsid w:val="004120A7"/>
    <w:rsid w:val="004123FF"/>
    <w:rsid w:val="0041255A"/>
    <w:rsid w:val="00412660"/>
    <w:rsid w:val="004127D0"/>
    <w:rsid w:val="0041293C"/>
    <w:rsid w:val="00412C38"/>
    <w:rsid w:val="00412CC4"/>
    <w:rsid w:val="00413411"/>
    <w:rsid w:val="0041341E"/>
    <w:rsid w:val="0041391B"/>
    <w:rsid w:val="00413994"/>
    <w:rsid w:val="00413B1C"/>
    <w:rsid w:val="00413C39"/>
    <w:rsid w:val="00413C81"/>
    <w:rsid w:val="00413C8A"/>
    <w:rsid w:val="00413F47"/>
    <w:rsid w:val="0041403D"/>
    <w:rsid w:val="00414179"/>
    <w:rsid w:val="00414197"/>
    <w:rsid w:val="0041455A"/>
    <w:rsid w:val="004145E5"/>
    <w:rsid w:val="00414889"/>
    <w:rsid w:val="00414B6E"/>
    <w:rsid w:val="004150EE"/>
    <w:rsid w:val="00415321"/>
    <w:rsid w:val="0041542C"/>
    <w:rsid w:val="0041589E"/>
    <w:rsid w:val="004159C6"/>
    <w:rsid w:val="00415C35"/>
    <w:rsid w:val="00415C81"/>
    <w:rsid w:val="00415D5D"/>
    <w:rsid w:val="00415E2D"/>
    <w:rsid w:val="00416122"/>
    <w:rsid w:val="004163D3"/>
    <w:rsid w:val="004164B7"/>
    <w:rsid w:val="0041661E"/>
    <w:rsid w:val="00416731"/>
    <w:rsid w:val="004167D0"/>
    <w:rsid w:val="004167D3"/>
    <w:rsid w:val="00416811"/>
    <w:rsid w:val="0041696E"/>
    <w:rsid w:val="00416E9A"/>
    <w:rsid w:val="00416FEB"/>
    <w:rsid w:val="004172AA"/>
    <w:rsid w:val="0041744A"/>
    <w:rsid w:val="004174A2"/>
    <w:rsid w:val="00417519"/>
    <w:rsid w:val="00417699"/>
    <w:rsid w:val="004176F0"/>
    <w:rsid w:val="0041774C"/>
    <w:rsid w:val="00417810"/>
    <w:rsid w:val="004179FE"/>
    <w:rsid w:val="00417B19"/>
    <w:rsid w:val="00417DFC"/>
    <w:rsid w:val="00417E96"/>
    <w:rsid w:val="00417EEA"/>
    <w:rsid w:val="00420313"/>
    <w:rsid w:val="004203F9"/>
    <w:rsid w:val="00420603"/>
    <w:rsid w:val="004206D8"/>
    <w:rsid w:val="00420AD6"/>
    <w:rsid w:val="00420B37"/>
    <w:rsid w:val="00420B88"/>
    <w:rsid w:val="00420E79"/>
    <w:rsid w:val="00420F9C"/>
    <w:rsid w:val="00421117"/>
    <w:rsid w:val="004212C7"/>
    <w:rsid w:val="004214A0"/>
    <w:rsid w:val="00421595"/>
    <w:rsid w:val="004216CA"/>
    <w:rsid w:val="00421752"/>
    <w:rsid w:val="0042197D"/>
    <w:rsid w:val="00421AAA"/>
    <w:rsid w:val="00421C2C"/>
    <w:rsid w:val="00421E44"/>
    <w:rsid w:val="00422114"/>
    <w:rsid w:val="004223A5"/>
    <w:rsid w:val="004223CE"/>
    <w:rsid w:val="00422406"/>
    <w:rsid w:val="004225CB"/>
    <w:rsid w:val="004228A5"/>
    <w:rsid w:val="0042291D"/>
    <w:rsid w:val="004229A5"/>
    <w:rsid w:val="004229F7"/>
    <w:rsid w:val="00422BD0"/>
    <w:rsid w:val="00422D20"/>
    <w:rsid w:val="00422D37"/>
    <w:rsid w:val="00423197"/>
    <w:rsid w:val="004233BC"/>
    <w:rsid w:val="004235DA"/>
    <w:rsid w:val="004239DE"/>
    <w:rsid w:val="00423AAB"/>
    <w:rsid w:val="00423BD1"/>
    <w:rsid w:val="00423F2C"/>
    <w:rsid w:val="00424287"/>
    <w:rsid w:val="00424414"/>
    <w:rsid w:val="0042449B"/>
    <w:rsid w:val="00424902"/>
    <w:rsid w:val="00424E70"/>
    <w:rsid w:val="0042501F"/>
    <w:rsid w:val="00425089"/>
    <w:rsid w:val="004250B0"/>
    <w:rsid w:val="00425140"/>
    <w:rsid w:val="00425261"/>
    <w:rsid w:val="00425491"/>
    <w:rsid w:val="004256F8"/>
    <w:rsid w:val="004259CF"/>
    <w:rsid w:val="00425ADF"/>
    <w:rsid w:val="00425B2F"/>
    <w:rsid w:val="00425ED3"/>
    <w:rsid w:val="00425F56"/>
    <w:rsid w:val="0042608A"/>
    <w:rsid w:val="004260EC"/>
    <w:rsid w:val="0042687D"/>
    <w:rsid w:val="00426B32"/>
    <w:rsid w:val="00426E2C"/>
    <w:rsid w:val="004270BC"/>
    <w:rsid w:val="004271B5"/>
    <w:rsid w:val="00427285"/>
    <w:rsid w:val="004272F7"/>
    <w:rsid w:val="004273B3"/>
    <w:rsid w:val="00427776"/>
    <w:rsid w:val="00427893"/>
    <w:rsid w:val="00427894"/>
    <w:rsid w:val="00427F6A"/>
    <w:rsid w:val="00427FD7"/>
    <w:rsid w:val="0043003C"/>
    <w:rsid w:val="00430099"/>
    <w:rsid w:val="00430297"/>
    <w:rsid w:val="004302A4"/>
    <w:rsid w:val="004302C1"/>
    <w:rsid w:val="00430677"/>
    <w:rsid w:val="00430DD1"/>
    <w:rsid w:val="00430EE4"/>
    <w:rsid w:val="0043108B"/>
    <w:rsid w:val="0043109E"/>
    <w:rsid w:val="0043117E"/>
    <w:rsid w:val="00431295"/>
    <w:rsid w:val="004312A2"/>
    <w:rsid w:val="00431662"/>
    <w:rsid w:val="0043173B"/>
    <w:rsid w:val="00431989"/>
    <w:rsid w:val="00431BA7"/>
    <w:rsid w:val="00431DD1"/>
    <w:rsid w:val="0043208F"/>
    <w:rsid w:val="00432378"/>
    <w:rsid w:val="0043241A"/>
    <w:rsid w:val="00432428"/>
    <w:rsid w:val="00432574"/>
    <w:rsid w:val="004325F1"/>
    <w:rsid w:val="004328CE"/>
    <w:rsid w:val="004329E8"/>
    <w:rsid w:val="00432B00"/>
    <w:rsid w:val="00432E30"/>
    <w:rsid w:val="0043305D"/>
    <w:rsid w:val="0043336A"/>
    <w:rsid w:val="004333DF"/>
    <w:rsid w:val="00433510"/>
    <w:rsid w:val="0043356F"/>
    <w:rsid w:val="0043361E"/>
    <w:rsid w:val="004337A7"/>
    <w:rsid w:val="0043385A"/>
    <w:rsid w:val="004338C8"/>
    <w:rsid w:val="00433902"/>
    <w:rsid w:val="0043395A"/>
    <w:rsid w:val="00433A44"/>
    <w:rsid w:val="00433AB8"/>
    <w:rsid w:val="00433BDC"/>
    <w:rsid w:val="00433E65"/>
    <w:rsid w:val="00433EDF"/>
    <w:rsid w:val="00433FB4"/>
    <w:rsid w:val="00434435"/>
    <w:rsid w:val="00434479"/>
    <w:rsid w:val="00434A2D"/>
    <w:rsid w:val="004350DF"/>
    <w:rsid w:val="004350FC"/>
    <w:rsid w:val="00435104"/>
    <w:rsid w:val="004357C2"/>
    <w:rsid w:val="00435931"/>
    <w:rsid w:val="00435A36"/>
    <w:rsid w:val="00435B91"/>
    <w:rsid w:val="00435CDE"/>
    <w:rsid w:val="00435E50"/>
    <w:rsid w:val="00435F1B"/>
    <w:rsid w:val="004363AD"/>
    <w:rsid w:val="004363FD"/>
    <w:rsid w:val="00436742"/>
    <w:rsid w:val="00436C22"/>
    <w:rsid w:val="00436D08"/>
    <w:rsid w:val="00436D1A"/>
    <w:rsid w:val="00436D4F"/>
    <w:rsid w:val="00436D7E"/>
    <w:rsid w:val="00437479"/>
    <w:rsid w:val="004375C8"/>
    <w:rsid w:val="00437603"/>
    <w:rsid w:val="0043764C"/>
    <w:rsid w:val="004378B1"/>
    <w:rsid w:val="00437C49"/>
    <w:rsid w:val="00437C55"/>
    <w:rsid w:val="00437DFB"/>
    <w:rsid w:val="004403D8"/>
    <w:rsid w:val="004406A6"/>
    <w:rsid w:val="004407E0"/>
    <w:rsid w:val="004408CB"/>
    <w:rsid w:val="00440A79"/>
    <w:rsid w:val="00440B69"/>
    <w:rsid w:val="00440BAA"/>
    <w:rsid w:val="00440C3B"/>
    <w:rsid w:val="00440CDD"/>
    <w:rsid w:val="00440D65"/>
    <w:rsid w:val="00440F13"/>
    <w:rsid w:val="0044103B"/>
    <w:rsid w:val="00441077"/>
    <w:rsid w:val="00441172"/>
    <w:rsid w:val="004411C6"/>
    <w:rsid w:val="004411E3"/>
    <w:rsid w:val="0044154A"/>
    <w:rsid w:val="0044180B"/>
    <w:rsid w:val="00441BF4"/>
    <w:rsid w:val="0044213A"/>
    <w:rsid w:val="0044248C"/>
    <w:rsid w:val="004424E1"/>
    <w:rsid w:val="00442796"/>
    <w:rsid w:val="00442808"/>
    <w:rsid w:val="0044295B"/>
    <w:rsid w:val="00442AB8"/>
    <w:rsid w:val="00442F94"/>
    <w:rsid w:val="00443229"/>
    <w:rsid w:val="004434A4"/>
    <w:rsid w:val="004435D9"/>
    <w:rsid w:val="004435E6"/>
    <w:rsid w:val="0044365E"/>
    <w:rsid w:val="004436CF"/>
    <w:rsid w:val="0044387C"/>
    <w:rsid w:val="0044387F"/>
    <w:rsid w:val="00443980"/>
    <w:rsid w:val="004439B8"/>
    <w:rsid w:val="00443BF7"/>
    <w:rsid w:val="00443F45"/>
    <w:rsid w:val="00444161"/>
    <w:rsid w:val="00444235"/>
    <w:rsid w:val="004442EE"/>
    <w:rsid w:val="00444594"/>
    <w:rsid w:val="004445C1"/>
    <w:rsid w:val="004446FE"/>
    <w:rsid w:val="00444930"/>
    <w:rsid w:val="00444AF8"/>
    <w:rsid w:val="00444DBC"/>
    <w:rsid w:val="00444F0E"/>
    <w:rsid w:val="00444FC9"/>
    <w:rsid w:val="00445025"/>
    <w:rsid w:val="0044505B"/>
    <w:rsid w:val="004454B7"/>
    <w:rsid w:val="00445572"/>
    <w:rsid w:val="0044559B"/>
    <w:rsid w:val="00445B88"/>
    <w:rsid w:val="00445D42"/>
    <w:rsid w:val="00445E04"/>
    <w:rsid w:val="00445EA7"/>
    <w:rsid w:val="00445EED"/>
    <w:rsid w:val="00445F79"/>
    <w:rsid w:val="00445FD3"/>
    <w:rsid w:val="004461BC"/>
    <w:rsid w:val="0044645C"/>
    <w:rsid w:val="004466E4"/>
    <w:rsid w:val="004467C5"/>
    <w:rsid w:val="00446870"/>
    <w:rsid w:val="00446A67"/>
    <w:rsid w:val="00446B0A"/>
    <w:rsid w:val="00446B20"/>
    <w:rsid w:val="00446C19"/>
    <w:rsid w:val="00446CC3"/>
    <w:rsid w:val="0044715A"/>
    <w:rsid w:val="004472F4"/>
    <w:rsid w:val="0044743A"/>
    <w:rsid w:val="004477FA"/>
    <w:rsid w:val="00447867"/>
    <w:rsid w:val="00447A3A"/>
    <w:rsid w:val="00447BA0"/>
    <w:rsid w:val="00447CFC"/>
    <w:rsid w:val="00447DDA"/>
    <w:rsid w:val="00447E31"/>
    <w:rsid w:val="00447F1B"/>
    <w:rsid w:val="00447FDB"/>
    <w:rsid w:val="004502FD"/>
    <w:rsid w:val="0045038B"/>
    <w:rsid w:val="004503B2"/>
    <w:rsid w:val="00450BA3"/>
    <w:rsid w:val="00450EB5"/>
    <w:rsid w:val="004511AD"/>
    <w:rsid w:val="00451256"/>
    <w:rsid w:val="0045140D"/>
    <w:rsid w:val="004514B5"/>
    <w:rsid w:val="004517F0"/>
    <w:rsid w:val="00451802"/>
    <w:rsid w:val="00451940"/>
    <w:rsid w:val="00451B97"/>
    <w:rsid w:val="00451C4F"/>
    <w:rsid w:val="00451C86"/>
    <w:rsid w:val="00451D24"/>
    <w:rsid w:val="00451DA5"/>
    <w:rsid w:val="00451ED9"/>
    <w:rsid w:val="00451F39"/>
    <w:rsid w:val="00451F74"/>
    <w:rsid w:val="0045205D"/>
    <w:rsid w:val="00452074"/>
    <w:rsid w:val="00452326"/>
    <w:rsid w:val="00452468"/>
    <w:rsid w:val="004525C0"/>
    <w:rsid w:val="004526A6"/>
    <w:rsid w:val="00452AC4"/>
    <w:rsid w:val="00452B42"/>
    <w:rsid w:val="00453209"/>
    <w:rsid w:val="0045329F"/>
    <w:rsid w:val="004535B0"/>
    <w:rsid w:val="00453635"/>
    <w:rsid w:val="004537EC"/>
    <w:rsid w:val="00453818"/>
    <w:rsid w:val="00453923"/>
    <w:rsid w:val="00453A63"/>
    <w:rsid w:val="00453C16"/>
    <w:rsid w:val="00453C8D"/>
    <w:rsid w:val="00453F97"/>
    <w:rsid w:val="00454020"/>
    <w:rsid w:val="0045421A"/>
    <w:rsid w:val="00454309"/>
    <w:rsid w:val="0045431E"/>
    <w:rsid w:val="004543C5"/>
    <w:rsid w:val="004543E1"/>
    <w:rsid w:val="00454B15"/>
    <w:rsid w:val="00454B58"/>
    <w:rsid w:val="00454B9B"/>
    <w:rsid w:val="00454FAE"/>
    <w:rsid w:val="00455538"/>
    <w:rsid w:val="00455851"/>
    <w:rsid w:val="0045598D"/>
    <w:rsid w:val="004559FA"/>
    <w:rsid w:val="00455A28"/>
    <w:rsid w:val="00455B78"/>
    <w:rsid w:val="00455BC8"/>
    <w:rsid w:val="00455F7A"/>
    <w:rsid w:val="004560DA"/>
    <w:rsid w:val="0045626B"/>
    <w:rsid w:val="00456307"/>
    <w:rsid w:val="0045632A"/>
    <w:rsid w:val="00456491"/>
    <w:rsid w:val="004564DC"/>
    <w:rsid w:val="00456604"/>
    <w:rsid w:val="0045672F"/>
    <w:rsid w:val="00456A71"/>
    <w:rsid w:val="00456B6E"/>
    <w:rsid w:val="00456E1F"/>
    <w:rsid w:val="00456ED6"/>
    <w:rsid w:val="00456F21"/>
    <w:rsid w:val="00456FAE"/>
    <w:rsid w:val="004573AE"/>
    <w:rsid w:val="004573FF"/>
    <w:rsid w:val="0045744A"/>
    <w:rsid w:val="0045768F"/>
    <w:rsid w:val="0045769B"/>
    <w:rsid w:val="00457858"/>
    <w:rsid w:val="004579EA"/>
    <w:rsid w:val="00457BF6"/>
    <w:rsid w:val="00457C67"/>
    <w:rsid w:val="004601A7"/>
    <w:rsid w:val="0046024A"/>
    <w:rsid w:val="0046035A"/>
    <w:rsid w:val="004603FD"/>
    <w:rsid w:val="00460470"/>
    <w:rsid w:val="0046056B"/>
    <w:rsid w:val="004605D0"/>
    <w:rsid w:val="00460624"/>
    <w:rsid w:val="004608E3"/>
    <w:rsid w:val="00460B0B"/>
    <w:rsid w:val="00460B1D"/>
    <w:rsid w:val="00460C04"/>
    <w:rsid w:val="00460C1F"/>
    <w:rsid w:val="00460E64"/>
    <w:rsid w:val="00461023"/>
    <w:rsid w:val="00461026"/>
    <w:rsid w:val="00461119"/>
    <w:rsid w:val="004614EE"/>
    <w:rsid w:val="004615B8"/>
    <w:rsid w:val="00461B9A"/>
    <w:rsid w:val="00461D23"/>
    <w:rsid w:val="004621E8"/>
    <w:rsid w:val="00462301"/>
    <w:rsid w:val="00462389"/>
    <w:rsid w:val="004629A8"/>
    <w:rsid w:val="00462AF3"/>
    <w:rsid w:val="00462D83"/>
    <w:rsid w:val="00462FAC"/>
    <w:rsid w:val="004631F2"/>
    <w:rsid w:val="00463397"/>
    <w:rsid w:val="00463453"/>
    <w:rsid w:val="00463AF1"/>
    <w:rsid w:val="00463BA6"/>
    <w:rsid w:val="00463BEF"/>
    <w:rsid w:val="00463DDA"/>
    <w:rsid w:val="00463E12"/>
    <w:rsid w:val="00463FB0"/>
    <w:rsid w:val="0046428E"/>
    <w:rsid w:val="00464599"/>
    <w:rsid w:val="00464631"/>
    <w:rsid w:val="0046479F"/>
    <w:rsid w:val="0046488F"/>
    <w:rsid w:val="00464891"/>
    <w:rsid w:val="00464B37"/>
    <w:rsid w:val="00464B79"/>
    <w:rsid w:val="00465116"/>
    <w:rsid w:val="0046548D"/>
    <w:rsid w:val="004655BB"/>
    <w:rsid w:val="004657BC"/>
    <w:rsid w:val="00465C97"/>
    <w:rsid w:val="00465EB1"/>
    <w:rsid w:val="00465F3E"/>
    <w:rsid w:val="004661CD"/>
    <w:rsid w:val="004661E8"/>
    <w:rsid w:val="0046671E"/>
    <w:rsid w:val="00466795"/>
    <w:rsid w:val="00466B55"/>
    <w:rsid w:val="00466C94"/>
    <w:rsid w:val="00466DCF"/>
    <w:rsid w:val="0046724F"/>
    <w:rsid w:val="0046774A"/>
    <w:rsid w:val="00467792"/>
    <w:rsid w:val="0046791D"/>
    <w:rsid w:val="00467A2C"/>
    <w:rsid w:val="00467BA9"/>
    <w:rsid w:val="00467BBF"/>
    <w:rsid w:val="00467E65"/>
    <w:rsid w:val="00467F3B"/>
    <w:rsid w:val="00467F45"/>
    <w:rsid w:val="004702F0"/>
    <w:rsid w:val="004703C5"/>
    <w:rsid w:val="004704EC"/>
    <w:rsid w:val="00470845"/>
    <w:rsid w:val="00470BDD"/>
    <w:rsid w:val="00471040"/>
    <w:rsid w:val="004712AE"/>
    <w:rsid w:val="004712C2"/>
    <w:rsid w:val="00471547"/>
    <w:rsid w:val="004716D0"/>
    <w:rsid w:val="00471753"/>
    <w:rsid w:val="00471AD1"/>
    <w:rsid w:val="00471D5C"/>
    <w:rsid w:val="00471E1E"/>
    <w:rsid w:val="00471E7D"/>
    <w:rsid w:val="004720AE"/>
    <w:rsid w:val="0047222C"/>
    <w:rsid w:val="004724F6"/>
    <w:rsid w:val="00472502"/>
    <w:rsid w:val="0047270D"/>
    <w:rsid w:val="0047272B"/>
    <w:rsid w:val="00472952"/>
    <w:rsid w:val="00472A84"/>
    <w:rsid w:val="00472AE4"/>
    <w:rsid w:val="00472AEA"/>
    <w:rsid w:val="00472D85"/>
    <w:rsid w:val="004731AE"/>
    <w:rsid w:val="00473442"/>
    <w:rsid w:val="004734F2"/>
    <w:rsid w:val="00473561"/>
    <w:rsid w:val="0047361B"/>
    <w:rsid w:val="00473AB0"/>
    <w:rsid w:val="00473B7C"/>
    <w:rsid w:val="00473C7B"/>
    <w:rsid w:val="00473DB2"/>
    <w:rsid w:val="00473DE9"/>
    <w:rsid w:val="00473E2D"/>
    <w:rsid w:val="00473FAC"/>
    <w:rsid w:val="00474082"/>
    <w:rsid w:val="0047448A"/>
    <w:rsid w:val="00474690"/>
    <w:rsid w:val="00474A1C"/>
    <w:rsid w:val="00474EBD"/>
    <w:rsid w:val="00475120"/>
    <w:rsid w:val="0047543E"/>
    <w:rsid w:val="004754E1"/>
    <w:rsid w:val="004755B7"/>
    <w:rsid w:val="0047563C"/>
    <w:rsid w:val="0047574D"/>
    <w:rsid w:val="004758A2"/>
    <w:rsid w:val="00475935"/>
    <w:rsid w:val="004759FC"/>
    <w:rsid w:val="00475D65"/>
    <w:rsid w:val="00475DFC"/>
    <w:rsid w:val="00475FA8"/>
    <w:rsid w:val="004761A6"/>
    <w:rsid w:val="00476697"/>
    <w:rsid w:val="00476C6C"/>
    <w:rsid w:val="00476D0B"/>
    <w:rsid w:val="00477075"/>
    <w:rsid w:val="00477146"/>
    <w:rsid w:val="00477502"/>
    <w:rsid w:val="00477906"/>
    <w:rsid w:val="00477F67"/>
    <w:rsid w:val="0047A106"/>
    <w:rsid w:val="00480174"/>
    <w:rsid w:val="004801AE"/>
    <w:rsid w:val="004804EA"/>
    <w:rsid w:val="00480534"/>
    <w:rsid w:val="0048059E"/>
    <w:rsid w:val="00480882"/>
    <w:rsid w:val="004809B1"/>
    <w:rsid w:val="00480A2B"/>
    <w:rsid w:val="00480B96"/>
    <w:rsid w:val="00480BA2"/>
    <w:rsid w:val="00480DA8"/>
    <w:rsid w:val="00480DED"/>
    <w:rsid w:val="00481126"/>
    <w:rsid w:val="00481192"/>
    <w:rsid w:val="00481308"/>
    <w:rsid w:val="00481725"/>
    <w:rsid w:val="0048173E"/>
    <w:rsid w:val="00481926"/>
    <w:rsid w:val="00481EC8"/>
    <w:rsid w:val="00481EFF"/>
    <w:rsid w:val="00482027"/>
    <w:rsid w:val="0048202D"/>
    <w:rsid w:val="00482178"/>
    <w:rsid w:val="004821CB"/>
    <w:rsid w:val="00482210"/>
    <w:rsid w:val="0048223D"/>
    <w:rsid w:val="00482250"/>
    <w:rsid w:val="00482721"/>
    <w:rsid w:val="004828A6"/>
    <w:rsid w:val="00482964"/>
    <w:rsid w:val="00482B0F"/>
    <w:rsid w:val="00482C1C"/>
    <w:rsid w:val="00482C4A"/>
    <w:rsid w:val="00482DDB"/>
    <w:rsid w:val="0048325E"/>
    <w:rsid w:val="0048340D"/>
    <w:rsid w:val="0048373A"/>
    <w:rsid w:val="00483742"/>
    <w:rsid w:val="004837FB"/>
    <w:rsid w:val="00483A4B"/>
    <w:rsid w:val="00483AA0"/>
    <w:rsid w:val="00483BDC"/>
    <w:rsid w:val="00483C40"/>
    <w:rsid w:val="00483EA8"/>
    <w:rsid w:val="00484027"/>
    <w:rsid w:val="004840F4"/>
    <w:rsid w:val="004842FD"/>
    <w:rsid w:val="004845A3"/>
    <w:rsid w:val="00484805"/>
    <w:rsid w:val="00484A8A"/>
    <w:rsid w:val="00484C73"/>
    <w:rsid w:val="00484CEF"/>
    <w:rsid w:val="00484F59"/>
    <w:rsid w:val="00485081"/>
    <w:rsid w:val="004854CB"/>
    <w:rsid w:val="00485662"/>
    <w:rsid w:val="00485767"/>
    <w:rsid w:val="004857BF"/>
    <w:rsid w:val="00485A23"/>
    <w:rsid w:val="00485AD5"/>
    <w:rsid w:val="00485D05"/>
    <w:rsid w:val="00486054"/>
    <w:rsid w:val="004862BF"/>
    <w:rsid w:val="00486670"/>
    <w:rsid w:val="0048675C"/>
    <w:rsid w:val="004867E2"/>
    <w:rsid w:val="004867F3"/>
    <w:rsid w:val="004869D5"/>
    <w:rsid w:val="00486C39"/>
    <w:rsid w:val="00486CF2"/>
    <w:rsid w:val="00486D7A"/>
    <w:rsid w:val="00486E18"/>
    <w:rsid w:val="00486EB6"/>
    <w:rsid w:val="00486EFC"/>
    <w:rsid w:val="00486FA8"/>
    <w:rsid w:val="0048704F"/>
    <w:rsid w:val="00487112"/>
    <w:rsid w:val="004871A7"/>
    <w:rsid w:val="00487503"/>
    <w:rsid w:val="0048782C"/>
    <w:rsid w:val="004878FD"/>
    <w:rsid w:val="004879A8"/>
    <w:rsid w:val="00487B1A"/>
    <w:rsid w:val="00487C7E"/>
    <w:rsid w:val="0049016D"/>
    <w:rsid w:val="00490228"/>
    <w:rsid w:val="0049044D"/>
    <w:rsid w:val="00490453"/>
    <w:rsid w:val="00490832"/>
    <w:rsid w:val="0049096A"/>
    <w:rsid w:val="004909CA"/>
    <w:rsid w:val="004910A6"/>
    <w:rsid w:val="0049119A"/>
    <w:rsid w:val="004914DE"/>
    <w:rsid w:val="004914FE"/>
    <w:rsid w:val="004916EC"/>
    <w:rsid w:val="0049173C"/>
    <w:rsid w:val="0049187B"/>
    <w:rsid w:val="00491E24"/>
    <w:rsid w:val="00491E73"/>
    <w:rsid w:val="00491F4E"/>
    <w:rsid w:val="0049201F"/>
    <w:rsid w:val="0049207B"/>
    <w:rsid w:val="0049235D"/>
    <w:rsid w:val="00492453"/>
    <w:rsid w:val="004925AE"/>
    <w:rsid w:val="0049274B"/>
    <w:rsid w:val="0049274D"/>
    <w:rsid w:val="0049275A"/>
    <w:rsid w:val="004929A9"/>
    <w:rsid w:val="00492A98"/>
    <w:rsid w:val="00492AA5"/>
    <w:rsid w:val="00492AAC"/>
    <w:rsid w:val="00492AC2"/>
    <w:rsid w:val="00492D79"/>
    <w:rsid w:val="00493054"/>
    <w:rsid w:val="00493123"/>
    <w:rsid w:val="0049323E"/>
    <w:rsid w:val="0049325C"/>
    <w:rsid w:val="004939C0"/>
    <w:rsid w:val="00493A2F"/>
    <w:rsid w:val="00493BA7"/>
    <w:rsid w:val="00493D57"/>
    <w:rsid w:val="00493EE4"/>
    <w:rsid w:val="0049408A"/>
    <w:rsid w:val="004941D3"/>
    <w:rsid w:val="0049425F"/>
    <w:rsid w:val="0049464B"/>
    <w:rsid w:val="00494B38"/>
    <w:rsid w:val="00494E85"/>
    <w:rsid w:val="004953E6"/>
    <w:rsid w:val="004955A5"/>
    <w:rsid w:val="0049561F"/>
    <w:rsid w:val="004958F8"/>
    <w:rsid w:val="004959D2"/>
    <w:rsid w:val="00495B05"/>
    <w:rsid w:val="00495C16"/>
    <w:rsid w:val="00495D7B"/>
    <w:rsid w:val="00495FD8"/>
    <w:rsid w:val="0049613D"/>
    <w:rsid w:val="0049626F"/>
    <w:rsid w:val="00496485"/>
    <w:rsid w:val="004968FE"/>
    <w:rsid w:val="00496D33"/>
    <w:rsid w:val="00496D3B"/>
    <w:rsid w:val="00496D75"/>
    <w:rsid w:val="00496FC7"/>
    <w:rsid w:val="00497A03"/>
    <w:rsid w:val="00497B34"/>
    <w:rsid w:val="00497C5B"/>
    <w:rsid w:val="00497D52"/>
    <w:rsid w:val="00497F00"/>
    <w:rsid w:val="004A028F"/>
    <w:rsid w:val="004A0560"/>
    <w:rsid w:val="004A0664"/>
    <w:rsid w:val="004A0860"/>
    <w:rsid w:val="004A08AC"/>
    <w:rsid w:val="004A092B"/>
    <w:rsid w:val="004A0E11"/>
    <w:rsid w:val="004A14F4"/>
    <w:rsid w:val="004A1788"/>
    <w:rsid w:val="004A17A9"/>
    <w:rsid w:val="004A1C8C"/>
    <w:rsid w:val="004A1DA8"/>
    <w:rsid w:val="004A1E18"/>
    <w:rsid w:val="004A1F14"/>
    <w:rsid w:val="004A2068"/>
    <w:rsid w:val="004A2347"/>
    <w:rsid w:val="004A2419"/>
    <w:rsid w:val="004A25E8"/>
    <w:rsid w:val="004A285C"/>
    <w:rsid w:val="004A2ADE"/>
    <w:rsid w:val="004A2CAD"/>
    <w:rsid w:val="004A2F45"/>
    <w:rsid w:val="004A2FBF"/>
    <w:rsid w:val="004A3622"/>
    <w:rsid w:val="004A37A2"/>
    <w:rsid w:val="004A3AE0"/>
    <w:rsid w:val="004A3B9F"/>
    <w:rsid w:val="004A3C55"/>
    <w:rsid w:val="004A3C6E"/>
    <w:rsid w:val="004A3DF1"/>
    <w:rsid w:val="004A3FD2"/>
    <w:rsid w:val="004A400A"/>
    <w:rsid w:val="004A44B9"/>
    <w:rsid w:val="004A4536"/>
    <w:rsid w:val="004A46DC"/>
    <w:rsid w:val="004A46F0"/>
    <w:rsid w:val="004A47A8"/>
    <w:rsid w:val="004A4A46"/>
    <w:rsid w:val="004A4BCD"/>
    <w:rsid w:val="004A4C4C"/>
    <w:rsid w:val="004A50A4"/>
    <w:rsid w:val="004A522A"/>
    <w:rsid w:val="004A53D0"/>
    <w:rsid w:val="004A56EA"/>
    <w:rsid w:val="004A56FA"/>
    <w:rsid w:val="004A5B07"/>
    <w:rsid w:val="004A5D3F"/>
    <w:rsid w:val="004A5D9C"/>
    <w:rsid w:val="004A5EB1"/>
    <w:rsid w:val="004A6011"/>
    <w:rsid w:val="004A61EF"/>
    <w:rsid w:val="004A632A"/>
    <w:rsid w:val="004A640D"/>
    <w:rsid w:val="004A6428"/>
    <w:rsid w:val="004A6443"/>
    <w:rsid w:val="004A6492"/>
    <w:rsid w:val="004A6680"/>
    <w:rsid w:val="004A66D2"/>
    <w:rsid w:val="004A6883"/>
    <w:rsid w:val="004A6A86"/>
    <w:rsid w:val="004A6C09"/>
    <w:rsid w:val="004A6C9C"/>
    <w:rsid w:val="004A6E6F"/>
    <w:rsid w:val="004A6F50"/>
    <w:rsid w:val="004A6FCA"/>
    <w:rsid w:val="004A759F"/>
    <w:rsid w:val="004A75F2"/>
    <w:rsid w:val="004A7748"/>
    <w:rsid w:val="004A7790"/>
    <w:rsid w:val="004A7942"/>
    <w:rsid w:val="004B0377"/>
    <w:rsid w:val="004B0389"/>
    <w:rsid w:val="004B051C"/>
    <w:rsid w:val="004B05B0"/>
    <w:rsid w:val="004B05DD"/>
    <w:rsid w:val="004B0650"/>
    <w:rsid w:val="004B0768"/>
    <w:rsid w:val="004B1120"/>
    <w:rsid w:val="004B1262"/>
    <w:rsid w:val="004B13B3"/>
    <w:rsid w:val="004B18A7"/>
    <w:rsid w:val="004B1988"/>
    <w:rsid w:val="004B1ADE"/>
    <w:rsid w:val="004B1B02"/>
    <w:rsid w:val="004B2054"/>
    <w:rsid w:val="004B22C6"/>
    <w:rsid w:val="004B2404"/>
    <w:rsid w:val="004B253B"/>
    <w:rsid w:val="004B2653"/>
    <w:rsid w:val="004B2976"/>
    <w:rsid w:val="004B2B20"/>
    <w:rsid w:val="004B2BB8"/>
    <w:rsid w:val="004B2E07"/>
    <w:rsid w:val="004B3020"/>
    <w:rsid w:val="004B302A"/>
    <w:rsid w:val="004B30DB"/>
    <w:rsid w:val="004B340E"/>
    <w:rsid w:val="004B355F"/>
    <w:rsid w:val="004B3673"/>
    <w:rsid w:val="004B36C2"/>
    <w:rsid w:val="004B3C1A"/>
    <w:rsid w:val="004B3D8C"/>
    <w:rsid w:val="004B3F4F"/>
    <w:rsid w:val="004B42A4"/>
    <w:rsid w:val="004B4347"/>
    <w:rsid w:val="004B437A"/>
    <w:rsid w:val="004B43AE"/>
    <w:rsid w:val="004B4526"/>
    <w:rsid w:val="004B4C43"/>
    <w:rsid w:val="004B4CD5"/>
    <w:rsid w:val="004B4D03"/>
    <w:rsid w:val="004B4D4C"/>
    <w:rsid w:val="004B4D96"/>
    <w:rsid w:val="004B5334"/>
    <w:rsid w:val="004B547A"/>
    <w:rsid w:val="004B57D3"/>
    <w:rsid w:val="004B5898"/>
    <w:rsid w:val="004B59A0"/>
    <w:rsid w:val="004B5CC3"/>
    <w:rsid w:val="004B5D79"/>
    <w:rsid w:val="004B633E"/>
    <w:rsid w:val="004B66CC"/>
    <w:rsid w:val="004B68A3"/>
    <w:rsid w:val="004B6913"/>
    <w:rsid w:val="004B6A21"/>
    <w:rsid w:val="004B6BFB"/>
    <w:rsid w:val="004B74C4"/>
    <w:rsid w:val="004B751F"/>
    <w:rsid w:val="004B7522"/>
    <w:rsid w:val="004B76A5"/>
    <w:rsid w:val="004B76E2"/>
    <w:rsid w:val="004B782C"/>
    <w:rsid w:val="004B7A1F"/>
    <w:rsid w:val="004B7AA9"/>
    <w:rsid w:val="004B7B73"/>
    <w:rsid w:val="004C036F"/>
    <w:rsid w:val="004C077D"/>
    <w:rsid w:val="004C0788"/>
    <w:rsid w:val="004C087B"/>
    <w:rsid w:val="004C09BA"/>
    <w:rsid w:val="004C0A92"/>
    <w:rsid w:val="004C0B7E"/>
    <w:rsid w:val="004C0BFD"/>
    <w:rsid w:val="004C0E6C"/>
    <w:rsid w:val="004C12FD"/>
    <w:rsid w:val="004C14D2"/>
    <w:rsid w:val="004C1995"/>
    <w:rsid w:val="004C19C5"/>
    <w:rsid w:val="004C1B88"/>
    <w:rsid w:val="004C1D60"/>
    <w:rsid w:val="004C2108"/>
    <w:rsid w:val="004C218F"/>
    <w:rsid w:val="004C2272"/>
    <w:rsid w:val="004C243C"/>
    <w:rsid w:val="004C25C4"/>
    <w:rsid w:val="004C2758"/>
    <w:rsid w:val="004C2863"/>
    <w:rsid w:val="004C2885"/>
    <w:rsid w:val="004C29AB"/>
    <w:rsid w:val="004C2AFD"/>
    <w:rsid w:val="004C2B5D"/>
    <w:rsid w:val="004C2D01"/>
    <w:rsid w:val="004C2DA7"/>
    <w:rsid w:val="004C2FEC"/>
    <w:rsid w:val="004C31C9"/>
    <w:rsid w:val="004C33CD"/>
    <w:rsid w:val="004C34FE"/>
    <w:rsid w:val="004C3828"/>
    <w:rsid w:val="004C3BE7"/>
    <w:rsid w:val="004C3CEA"/>
    <w:rsid w:val="004C3D19"/>
    <w:rsid w:val="004C3DDA"/>
    <w:rsid w:val="004C3E0C"/>
    <w:rsid w:val="004C4159"/>
    <w:rsid w:val="004C4900"/>
    <w:rsid w:val="004C4B15"/>
    <w:rsid w:val="004C4DC6"/>
    <w:rsid w:val="004C4EE1"/>
    <w:rsid w:val="004C556D"/>
    <w:rsid w:val="004C56F4"/>
    <w:rsid w:val="004C5B0C"/>
    <w:rsid w:val="004C5D0A"/>
    <w:rsid w:val="004C5E58"/>
    <w:rsid w:val="004C5F24"/>
    <w:rsid w:val="004C6158"/>
    <w:rsid w:val="004C6194"/>
    <w:rsid w:val="004C6267"/>
    <w:rsid w:val="004C632B"/>
    <w:rsid w:val="004C6398"/>
    <w:rsid w:val="004C6431"/>
    <w:rsid w:val="004C65E5"/>
    <w:rsid w:val="004C6611"/>
    <w:rsid w:val="004C6788"/>
    <w:rsid w:val="004C69BB"/>
    <w:rsid w:val="004C6BCF"/>
    <w:rsid w:val="004C70A9"/>
    <w:rsid w:val="004C70DD"/>
    <w:rsid w:val="004C724F"/>
    <w:rsid w:val="004C73BB"/>
    <w:rsid w:val="004C7501"/>
    <w:rsid w:val="004C75A3"/>
    <w:rsid w:val="004C7603"/>
    <w:rsid w:val="004C7907"/>
    <w:rsid w:val="004C7C8F"/>
    <w:rsid w:val="004C7D24"/>
    <w:rsid w:val="004C7D2C"/>
    <w:rsid w:val="004C7F8F"/>
    <w:rsid w:val="004D03BC"/>
    <w:rsid w:val="004D08B2"/>
    <w:rsid w:val="004D0D35"/>
    <w:rsid w:val="004D0DB9"/>
    <w:rsid w:val="004D1066"/>
    <w:rsid w:val="004D12C6"/>
    <w:rsid w:val="004D1515"/>
    <w:rsid w:val="004D1616"/>
    <w:rsid w:val="004D183C"/>
    <w:rsid w:val="004D19F8"/>
    <w:rsid w:val="004D1B86"/>
    <w:rsid w:val="004D1F41"/>
    <w:rsid w:val="004D1F63"/>
    <w:rsid w:val="004D2090"/>
    <w:rsid w:val="004D20AE"/>
    <w:rsid w:val="004D217A"/>
    <w:rsid w:val="004D22C1"/>
    <w:rsid w:val="004D23FF"/>
    <w:rsid w:val="004D245B"/>
    <w:rsid w:val="004D2598"/>
    <w:rsid w:val="004D2819"/>
    <w:rsid w:val="004D2918"/>
    <w:rsid w:val="004D29D2"/>
    <w:rsid w:val="004D29FF"/>
    <w:rsid w:val="004D2A9E"/>
    <w:rsid w:val="004D2C48"/>
    <w:rsid w:val="004D2F9B"/>
    <w:rsid w:val="004D3153"/>
    <w:rsid w:val="004D3430"/>
    <w:rsid w:val="004D348D"/>
    <w:rsid w:val="004D35EF"/>
    <w:rsid w:val="004D3F9C"/>
    <w:rsid w:val="004D411C"/>
    <w:rsid w:val="004D4448"/>
    <w:rsid w:val="004D44F6"/>
    <w:rsid w:val="004D45BB"/>
    <w:rsid w:val="004D45D7"/>
    <w:rsid w:val="004D48DB"/>
    <w:rsid w:val="004D4B88"/>
    <w:rsid w:val="004D4BC0"/>
    <w:rsid w:val="004D4BFF"/>
    <w:rsid w:val="004D4F04"/>
    <w:rsid w:val="004D5207"/>
    <w:rsid w:val="004D52CB"/>
    <w:rsid w:val="004D5381"/>
    <w:rsid w:val="004D5605"/>
    <w:rsid w:val="004D58BF"/>
    <w:rsid w:val="004D5BA6"/>
    <w:rsid w:val="004D5CC8"/>
    <w:rsid w:val="004D5EB2"/>
    <w:rsid w:val="004D5F6E"/>
    <w:rsid w:val="004D5FA6"/>
    <w:rsid w:val="004D5FF5"/>
    <w:rsid w:val="004D60BF"/>
    <w:rsid w:val="004D63D0"/>
    <w:rsid w:val="004D6637"/>
    <w:rsid w:val="004D66A3"/>
    <w:rsid w:val="004D688C"/>
    <w:rsid w:val="004D6A6C"/>
    <w:rsid w:val="004D7018"/>
    <w:rsid w:val="004D70D4"/>
    <w:rsid w:val="004D7186"/>
    <w:rsid w:val="004D71D5"/>
    <w:rsid w:val="004D72B6"/>
    <w:rsid w:val="004D7721"/>
    <w:rsid w:val="004D7AAA"/>
    <w:rsid w:val="004D7ADB"/>
    <w:rsid w:val="004E0480"/>
    <w:rsid w:val="004E06EB"/>
    <w:rsid w:val="004E0713"/>
    <w:rsid w:val="004E0808"/>
    <w:rsid w:val="004E0857"/>
    <w:rsid w:val="004E099E"/>
    <w:rsid w:val="004E0A18"/>
    <w:rsid w:val="004E0BEE"/>
    <w:rsid w:val="004E0EC1"/>
    <w:rsid w:val="004E10A2"/>
    <w:rsid w:val="004E1189"/>
    <w:rsid w:val="004E1308"/>
    <w:rsid w:val="004E1422"/>
    <w:rsid w:val="004E14A7"/>
    <w:rsid w:val="004E14FB"/>
    <w:rsid w:val="004E1549"/>
    <w:rsid w:val="004E17B9"/>
    <w:rsid w:val="004E18A7"/>
    <w:rsid w:val="004E19F1"/>
    <w:rsid w:val="004E1A0E"/>
    <w:rsid w:val="004E1EAE"/>
    <w:rsid w:val="004E20A1"/>
    <w:rsid w:val="004E21EB"/>
    <w:rsid w:val="004E227A"/>
    <w:rsid w:val="004E2397"/>
    <w:rsid w:val="004E23F0"/>
    <w:rsid w:val="004E2A3D"/>
    <w:rsid w:val="004E2A6B"/>
    <w:rsid w:val="004E2ABD"/>
    <w:rsid w:val="004E2D7D"/>
    <w:rsid w:val="004E2DB6"/>
    <w:rsid w:val="004E2DB7"/>
    <w:rsid w:val="004E2E4E"/>
    <w:rsid w:val="004E31D3"/>
    <w:rsid w:val="004E3412"/>
    <w:rsid w:val="004E346E"/>
    <w:rsid w:val="004E34B3"/>
    <w:rsid w:val="004E3659"/>
    <w:rsid w:val="004E384C"/>
    <w:rsid w:val="004E3D1E"/>
    <w:rsid w:val="004E4335"/>
    <w:rsid w:val="004E4340"/>
    <w:rsid w:val="004E4368"/>
    <w:rsid w:val="004E43F3"/>
    <w:rsid w:val="004E44CC"/>
    <w:rsid w:val="004E4D10"/>
    <w:rsid w:val="004E4E66"/>
    <w:rsid w:val="004E529D"/>
    <w:rsid w:val="004E57B0"/>
    <w:rsid w:val="004E5876"/>
    <w:rsid w:val="004E5ACF"/>
    <w:rsid w:val="004E5C10"/>
    <w:rsid w:val="004E5EE5"/>
    <w:rsid w:val="004E5FDE"/>
    <w:rsid w:val="004E5FF7"/>
    <w:rsid w:val="004E615E"/>
    <w:rsid w:val="004E6327"/>
    <w:rsid w:val="004E6538"/>
    <w:rsid w:val="004E665E"/>
    <w:rsid w:val="004E66E6"/>
    <w:rsid w:val="004E6953"/>
    <w:rsid w:val="004E6996"/>
    <w:rsid w:val="004E6CE1"/>
    <w:rsid w:val="004E6F1A"/>
    <w:rsid w:val="004E7018"/>
    <w:rsid w:val="004E7451"/>
    <w:rsid w:val="004E7549"/>
    <w:rsid w:val="004E7642"/>
    <w:rsid w:val="004E78CE"/>
    <w:rsid w:val="004E7A8E"/>
    <w:rsid w:val="004E7D99"/>
    <w:rsid w:val="004F02F3"/>
    <w:rsid w:val="004F0989"/>
    <w:rsid w:val="004F0F70"/>
    <w:rsid w:val="004F0FF6"/>
    <w:rsid w:val="004F1187"/>
    <w:rsid w:val="004F1189"/>
    <w:rsid w:val="004F11DE"/>
    <w:rsid w:val="004F1265"/>
    <w:rsid w:val="004F12F7"/>
    <w:rsid w:val="004F13EE"/>
    <w:rsid w:val="004F141B"/>
    <w:rsid w:val="004F150F"/>
    <w:rsid w:val="004F1531"/>
    <w:rsid w:val="004F1852"/>
    <w:rsid w:val="004F1880"/>
    <w:rsid w:val="004F19FA"/>
    <w:rsid w:val="004F1A6F"/>
    <w:rsid w:val="004F1C34"/>
    <w:rsid w:val="004F1CB9"/>
    <w:rsid w:val="004F2022"/>
    <w:rsid w:val="004F20FB"/>
    <w:rsid w:val="004F20FE"/>
    <w:rsid w:val="004F2269"/>
    <w:rsid w:val="004F227A"/>
    <w:rsid w:val="004F24A1"/>
    <w:rsid w:val="004F276E"/>
    <w:rsid w:val="004F2802"/>
    <w:rsid w:val="004F2A68"/>
    <w:rsid w:val="004F2A9D"/>
    <w:rsid w:val="004F2B1B"/>
    <w:rsid w:val="004F2FC2"/>
    <w:rsid w:val="004F333A"/>
    <w:rsid w:val="004F35FC"/>
    <w:rsid w:val="004F3654"/>
    <w:rsid w:val="004F374E"/>
    <w:rsid w:val="004F3C69"/>
    <w:rsid w:val="004F3F3B"/>
    <w:rsid w:val="004F4126"/>
    <w:rsid w:val="004F44CD"/>
    <w:rsid w:val="004F45D7"/>
    <w:rsid w:val="004F46E9"/>
    <w:rsid w:val="004F46F2"/>
    <w:rsid w:val="004F4846"/>
    <w:rsid w:val="004F4A45"/>
    <w:rsid w:val="004F4AE3"/>
    <w:rsid w:val="004F4B1F"/>
    <w:rsid w:val="004F4C46"/>
    <w:rsid w:val="004F4D13"/>
    <w:rsid w:val="004F4E66"/>
    <w:rsid w:val="004F5322"/>
    <w:rsid w:val="004F5561"/>
    <w:rsid w:val="004F5610"/>
    <w:rsid w:val="004F57BC"/>
    <w:rsid w:val="004F596C"/>
    <w:rsid w:val="004F59C3"/>
    <w:rsid w:val="004F5A9D"/>
    <w:rsid w:val="004F5BB2"/>
    <w:rsid w:val="004F5E7D"/>
    <w:rsid w:val="004F6055"/>
    <w:rsid w:val="004F6148"/>
    <w:rsid w:val="004F61BA"/>
    <w:rsid w:val="004F64F9"/>
    <w:rsid w:val="004F6542"/>
    <w:rsid w:val="004F6544"/>
    <w:rsid w:val="004F69BE"/>
    <w:rsid w:val="004F69D3"/>
    <w:rsid w:val="004F6C8A"/>
    <w:rsid w:val="004F6CD0"/>
    <w:rsid w:val="004F6D0D"/>
    <w:rsid w:val="004F70CB"/>
    <w:rsid w:val="004F70CE"/>
    <w:rsid w:val="004F7253"/>
    <w:rsid w:val="004F7381"/>
    <w:rsid w:val="004F774F"/>
    <w:rsid w:val="004F77E2"/>
    <w:rsid w:val="004F77E9"/>
    <w:rsid w:val="004F7903"/>
    <w:rsid w:val="004F792B"/>
    <w:rsid w:val="004F7C05"/>
    <w:rsid w:val="004F7E7E"/>
    <w:rsid w:val="00500432"/>
    <w:rsid w:val="00500450"/>
    <w:rsid w:val="005004BC"/>
    <w:rsid w:val="00500813"/>
    <w:rsid w:val="005008BF"/>
    <w:rsid w:val="00500932"/>
    <w:rsid w:val="0050096F"/>
    <w:rsid w:val="00500D19"/>
    <w:rsid w:val="00501127"/>
    <w:rsid w:val="00501149"/>
    <w:rsid w:val="005013E3"/>
    <w:rsid w:val="0050159B"/>
    <w:rsid w:val="0050159C"/>
    <w:rsid w:val="00501740"/>
    <w:rsid w:val="005017B0"/>
    <w:rsid w:val="00501A03"/>
    <w:rsid w:val="00501A37"/>
    <w:rsid w:val="00501C14"/>
    <w:rsid w:val="00501C94"/>
    <w:rsid w:val="00501D28"/>
    <w:rsid w:val="00501F11"/>
    <w:rsid w:val="00502064"/>
    <w:rsid w:val="00502192"/>
    <w:rsid w:val="00502380"/>
    <w:rsid w:val="00502417"/>
    <w:rsid w:val="0050268A"/>
    <w:rsid w:val="00502C15"/>
    <w:rsid w:val="00502DBB"/>
    <w:rsid w:val="00502E1E"/>
    <w:rsid w:val="00502EF2"/>
    <w:rsid w:val="00502EFD"/>
    <w:rsid w:val="00503108"/>
    <w:rsid w:val="005035E3"/>
    <w:rsid w:val="00503640"/>
    <w:rsid w:val="00503729"/>
    <w:rsid w:val="0050386F"/>
    <w:rsid w:val="005038A6"/>
    <w:rsid w:val="0050399A"/>
    <w:rsid w:val="00503A70"/>
    <w:rsid w:val="00503C98"/>
    <w:rsid w:val="00503E9E"/>
    <w:rsid w:val="00503FA2"/>
    <w:rsid w:val="00503FAC"/>
    <w:rsid w:val="0050437C"/>
    <w:rsid w:val="005048AD"/>
    <w:rsid w:val="00504942"/>
    <w:rsid w:val="005049A9"/>
    <w:rsid w:val="00504D17"/>
    <w:rsid w:val="00504F34"/>
    <w:rsid w:val="005052C2"/>
    <w:rsid w:val="005052D5"/>
    <w:rsid w:val="005052DC"/>
    <w:rsid w:val="005054B9"/>
    <w:rsid w:val="005055CE"/>
    <w:rsid w:val="00505723"/>
    <w:rsid w:val="005059C3"/>
    <w:rsid w:val="00505DE4"/>
    <w:rsid w:val="005060E9"/>
    <w:rsid w:val="00506195"/>
    <w:rsid w:val="00506316"/>
    <w:rsid w:val="0050640E"/>
    <w:rsid w:val="00506432"/>
    <w:rsid w:val="0050649D"/>
    <w:rsid w:val="005065EE"/>
    <w:rsid w:val="0050676F"/>
    <w:rsid w:val="00506C15"/>
    <w:rsid w:val="00506C94"/>
    <w:rsid w:val="00507468"/>
    <w:rsid w:val="0050746A"/>
    <w:rsid w:val="005074EF"/>
    <w:rsid w:val="00507B90"/>
    <w:rsid w:val="00507DE0"/>
    <w:rsid w:val="00507E09"/>
    <w:rsid w:val="00507E32"/>
    <w:rsid w:val="005101B1"/>
    <w:rsid w:val="005108D8"/>
    <w:rsid w:val="005109AE"/>
    <w:rsid w:val="00510A13"/>
    <w:rsid w:val="00510B0C"/>
    <w:rsid w:val="00510E0F"/>
    <w:rsid w:val="00511516"/>
    <w:rsid w:val="00511A07"/>
    <w:rsid w:val="00511A24"/>
    <w:rsid w:val="00511C22"/>
    <w:rsid w:val="00511D30"/>
    <w:rsid w:val="00511DFA"/>
    <w:rsid w:val="00511E7C"/>
    <w:rsid w:val="00511FB1"/>
    <w:rsid w:val="005121BE"/>
    <w:rsid w:val="0051223C"/>
    <w:rsid w:val="005123D9"/>
    <w:rsid w:val="0051242B"/>
    <w:rsid w:val="00512486"/>
    <w:rsid w:val="005124E1"/>
    <w:rsid w:val="00512848"/>
    <w:rsid w:val="00512945"/>
    <w:rsid w:val="00512A51"/>
    <w:rsid w:val="00512C51"/>
    <w:rsid w:val="00512CD8"/>
    <w:rsid w:val="00512CDB"/>
    <w:rsid w:val="00512D92"/>
    <w:rsid w:val="00512EF9"/>
    <w:rsid w:val="00512FC5"/>
    <w:rsid w:val="00513209"/>
    <w:rsid w:val="005132BF"/>
    <w:rsid w:val="00513310"/>
    <w:rsid w:val="005134A5"/>
    <w:rsid w:val="00513F06"/>
    <w:rsid w:val="0051423B"/>
    <w:rsid w:val="0051435A"/>
    <w:rsid w:val="005143D6"/>
    <w:rsid w:val="005147F1"/>
    <w:rsid w:val="00514811"/>
    <w:rsid w:val="00514993"/>
    <w:rsid w:val="00514BAE"/>
    <w:rsid w:val="00514CC4"/>
    <w:rsid w:val="00514DF1"/>
    <w:rsid w:val="00514DFE"/>
    <w:rsid w:val="00514E30"/>
    <w:rsid w:val="00514F3A"/>
    <w:rsid w:val="00515006"/>
    <w:rsid w:val="005150FA"/>
    <w:rsid w:val="00515145"/>
    <w:rsid w:val="005152A7"/>
    <w:rsid w:val="00515779"/>
    <w:rsid w:val="005159B0"/>
    <w:rsid w:val="005159F8"/>
    <w:rsid w:val="00515D06"/>
    <w:rsid w:val="00515EA2"/>
    <w:rsid w:val="00515ECF"/>
    <w:rsid w:val="00516135"/>
    <w:rsid w:val="00516200"/>
    <w:rsid w:val="00516399"/>
    <w:rsid w:val="00516620"/>
    <w:rsid w:val="00516697"/>
    <w:rsid w:val="005166FF"/>
    <w:rsid w:val="005168ED"/>
    <w:rsid w:val="0051690B"/>
    <w:rsid w:val="00516C40"/>
    <w:rsid w:val="00516D8B"/>
    <w:rsid w:val="00517245"/>
    <w:rsid w:val="00517405"/>
    <w:rsid w:val="0051741C"/>
    <w:rsid w:val="005175CE"/>
    <w:rsid w:val="00517959"/>
    <w:rsid w:val="0051799D"/>
    <w:rsid w:val="005179C9"/>
    <w:rsid w:val="00517B9C"/>
    <w:rsid w:val="0052006C"/>
    <w:rsid w:val="00520485"/>
    <w:rsid w:val="0052051D"/>
    <w:rsid w:val="0052067C"/>
    <w:rsid w:val="005207D5"/>
    <w:rsid w:val="0052099B"/>
    <w:rsid w:val="005209D5"/>
    <w:rsid w:val="00520AE3"/>
    <w:rsid w:val="00520BA9"/>
    <w:rsid w:val="00520C3B"/>
    <w:rsid w:val="005210FE"/>
    <w:rsid w:val="00521101"/>
    <w:rsid w:val="00521453"/>
    <w:rsid w:val="00521933"/>
    <w:rsid w:val="005219D5"/>
    <w:rsid w:val="0052236B"/>
    <w:rsid w:val="005223C3"/>
    <w:rsid w:val="00522868"/>
    <w:rsid w:val="00522D03"/>
    <w:rsid w:val="005233DC"/>
    <w:rsid w:val="00523789"/>
    <w:rsid w:val="0052379E"/>
    <w:rsid w:val="00523AD8"/>
    <w:rsid w:val="00523BBE"/>
    <w:rsid w:val="00523C94"/>
    <w:rsid w:val="00523EC1"/>
    <w:rsid w:val="005240C0"/>
    <w:rsid w:val="005243BF"/>
    <w:rsid w:val="00524571"/>
    <w:rsid w:val="005248A7"/>
    <w:rsid w:val="00524960"/>
    <w:rsid w:val="0052499A"/>
    <w:rsid w:val="00524A89"/>
    <w:rsid w:val="00524B58"/>
    <w:rsid w:val="00524C86"/>
    <w:rsid w:val="00524DBC"/>
    <w:rsid w:val="00524DCB"/>
    <w:rsid w:val="0052571A"/>
    <w:rsid w:val="00525AD2"/>
    <w:rsid w:val="00525BDF"/>
    <w:rsid w:val="00525CA9"/>
    <w:rsid w:val="00525D5B"/>
    <w:rsid w:val="00526096"/>
    <w:rsid w:val="0052610E"/>
    <w:rsid w:val="0052621E"/>
    <w:rsid w:val="005263A2"/>
    <w:rsid w:val="00526500"/>
    <w:rsid w:val="00526BE0"/>
    <w:rsid w:val="00526D29"/>
    <w:rsid w:val="00526E46"/>
    <w:rsid w:val="00526FDB"/>
    <w:rsid w:val="00527195"/>
    <w:rsid w:val="0052773B"/>
    <w:rsid w:val="0052776D"/>
    <w:rsid w:val="0052797F"/>
    <w:rsid w:val="00527C32"/>
    <w:rsid w:val="00527F43"/>
    <w:rsid w:val="00527FF0"/>
    <w:rsid w:val="0053004E"/>
    <w:rsid w:val="00530327"/>
    <w:rsid w:val="005305B2"/>
    <w:rsid w:val="005306C5"/>
    <w:rsid w:val="00530764"/>
    <w:rsid w:val="00530ABF"/>
    <w:rsid w:val="00530C2D"/>
    <w:rsid w:val="00530FB2"/>
    <w:rsid w:val="0053128E"/>
    <w:rsid w:val="00531358"/>
    <w:rsid w:val="005315AB"/>
    <w:rsid w:val="00531639"/>
    <w:rsid w:val="00531955"/>
    <w:rsid w:val="00531DFB"/>
    <w:rsid w:val="00531E00"/>
    <w:rsid w:val="00532032"/>
    <w:rsid w:val="005322D8"/>
    <w:rsid w:val="0053252E"/>
    <w:rsid w:val="0053260C"/>
    <w:rsid w:val="00532740"/>
    <w:rsid w:val="0053282B"/>
    <w:rsid w:val="0053293F"/>
    <w:rsid w:val="00532979"/>
    <w:rsid w:val="00532C28"/>
    <w:rsid w:val="00532C71"/>
    <w:rsid w:val="00532F31"/>
    <w:rsid w:val="005330B2"/>
    <w:rsid w:val="0053310E"/>
    <w:rsid w:val="0053317E"/>
    <w:rsid w:val="00533470"/>
    <w:rsid w:val="005337FF"/>
    <w:rsid w:val="00533A12"/>
    <w:rsid w:val="00533A63"/>
    <w:rsid w:val="00533A8F"/>
    <w:rsid w:val="00533B97"/>
    <w:rsid w:val="00534049"/>
    <w:rsid w:val="005341CB"/>
    <w:rsid w:val="0053431A"/>
    <w:rsid w:val="00534487"/>
    <w:rsid w:val="005344B9"/>
    <w:rsid w:val="005345CB"/>
    <w:rsid w:val="0053461F"/>
    <w:rsid w:val="00534710"/>
    <w:rsid w:val="00534767"/>
    <w:rsid w:val="0053483D"/>
    <w:rsid w:val="00534865"/>
    <w:rsid w:val="00534910"/>
    <w:rsid w:val="00534C61"/>
    <w:rsid w:val="00534DB4"/>
    <w:rsid w:val="00534EDA"/>
    <w:rsid w:val="00535096"/>
    <w:rsid w:val="00535109"/>
    <w:rsid w:val="0053518D"/>
    <w:rsid w:val="00535271"/>
    <w:rsid w:val="005352ED"/>
    <w:rsid w:val="00535471"/>
    <w:rsid w:val="005354E1"/>
    <w:rsid w:val="00535519"/>
    <w:rsid w:val="00535584"/>
    <w:rsid w:val="005355F2"/>
    <w:rsid w:val="005357D6"/>
    <w:rsid w:val="0053596C"/>
    <w:rsid w:val="00535971"/>
    <w:rsid w:val="00535CE6"/>
    <w:rsid w:val="00535D50"/>
    <w:rsid w:val="005360C4"/>
    <w:rsid w:val="00536111"/>
    <w:rsid w:val="0053622F"/>
    <w:rsid w:val="005363B8"/>
    <w:rsid w:val="0053672A"/>
    <w:rsid w:val="0053682A"/>
    <w:rsid w:val="00536ADD"/>
    <w:rsid w:val="00536B34"/>
    <w:rsid w:val="00536CDE"/>
    <w:rsid w:val="00537228"/>
    <w:rsid w:val="005373EC"/>
    <w:rsid w:val="0053769F"/>
    <w:rsid w:val="0053774E"/>
    <w:rsid w:val="00537793"/>
    <w:rsid w:val="005377C3"/>
    <w:rsid w:val="005379B3"/>
    <w:rsid w:val="00537A8D"/>
    <w:rsid w:val="00537B3D"/>
    <w:rsid w:val="00537B76"/>
    <w:rsid w:val="00537BB1"/>
    <w:rsid w:val="0054002C"/>
    <w:rsid w:val="005403B5"/>
    <w:rsid w:val="00540904"/>
    <w:rsid w:val="00540BE5"/>
    <w:rsid w:val="00540C5A"/>
    <w:rsid w:val="00540C84"/>
    <w:rsid w:val="00540C8B"/>
    <w:rsid w:val="00540C99"/>
    <w:rsid w:val="00540E12"/>
    <w:rsid w:val="00541100"/>
    <w:rsid w:val="005411E5"/>
    <w:rsid w:val="00541245"/>
    <w:rsid w:val="00541273"/>
    <w:rsid w:val="005415A9"/>
    <w:rsid w:val="00541828"/>
    <w:rsid w:val="00541838"/>
    <w:rsid w:val="00541939"/>
    <w:rsid w:val="00541AB5"/>
    <w:rsid w:val="00541B76"/>
    <w:rsid w:val="00541BDE"/>
    <w:rsid w:val="00541C18"/>
    <w:rsid w:val="00541D22"/>
    <w:rsid w:val="00541F4E"/>
    <w:rsid w:val="005423EA"/>
    <w:rsid w:val="005423F4"/>
    <w:rsid w:val="0054245A"/>
    <w:rsid w:val="005425BE"/>
    <w:rsid w:val="00542639"/>
    <w:rsid w:val="00542A56"/>
    <w:rsid w:val="00542C2E"/>
    <w:rsid w:val="00542D67"/>
    <w:rsid w:val="00542E52"/>
    <w:rsid w:val="0054310D"/>
    <w:rsid w:val="00543232"/>
    <w:rsid w:val="00543BF7"/>
    <w:rsid w:val="00543DC8"/>
    <w:rsid w:val="00543F43"/>
    <w:rsid w:val="00543FE1"/>
    <w:rsid w:val="0054412F"/>
    <w:rsid w:val="005444F8"/>
    <w:rsid w:val="005445FD"/>
    <w:rsid w:val="005446A3"/>
    <w:rsid w:val="00544B09"/>
    <w:rsid w:val="00544CF2"/>
    <w:rsid w:val="0054502C"/>
    <w:rsid w:val="00545593"/>
    <w:rsid w:val="005455FD"/>
    <w:rsid w:val="00545762"/>
    <w:rsid w:val="0054596F"/>
    <w:rsid w:val="005459B0"/>
    <w:rsid w:val="00545A69"/>
    <w:rsid w:val="00545A7E"/>
    <w:rsid w:val="00545AB5"/>
    <w:rsid w:val="00545E47"/>
    <w:rsid w:val="00545EE6"/>
    <w:rsid w:val="00545F8A"/>
    <w:rsid w:val="00545F9E"/>
    <w:rsid w:val="005460AA"/>
    <w:rsid w:val="00546151"/>
    <w:rsid w:val="005461AD"/>
    <w:rsid w:val="00546359"/>
    <w:rsid w:val="00546ADA"/>
    <w:rsid w:val="0054760A"/>
    <w:rsid w:val="00547C1E"/>
    <w:rsid w:val="00547DCA"/>
    <w:rsid w:val="00547EFA"/>
    <w:rsid w:val="005502A7"/>
    <w:rsid w:val="00550368"/>
    <w:rsid w:val="0055056D"/>
    <w:rsid w:val="005505FB"/>
    <w:rsid w:val="00550638"/>
    <w:rsid w:val="00551066"/>
    <w:rsid w:val="0055154D"/>
    <w:rsid w:val="00551558"/>
    <w:rsid w:val="00551582"/>
    <w:rsid w:val="005515F4"/>
    <w:rsid w:val="0055164E"/>
    <w:rsid w:val="005516D8"/>
    <w:rsid w:val="005517B2"/>
    <w:rsid w:val="005517BF"/>
    <w:rsid w:val="00551B9C"/>
    <w:rsid w:val="00551C0D"/>
    <w:rsid w:val="00551D41"/>
    <w:rsid w:val="0055277B"/>
    <w:rsid w:val="005528D6"/>
    <w:rsid w:val="0055294F"/>
    <w:rsid w:val="00552A70"/>
    <w:rsid w:val="00552C16"/>
    <w:rsid w:val="00552C35"/>
    <w:rsid w:val="00552C3C"/>
    <w:rsid w:val="00552C83"/>
    <w:rsid w:val="00553077"/>
    <w:rsid w:val="00553256"/>
    <w:rsid w:val="00553415"/>
    <w:rsid w:val="005534EC"/>
    <w:rsid w:val="005537CF"/>
    <w:rsid w:val="00553B53"/>
    <w:rsid w:val="00553B8F"/>
    <w:rsid w:val="00553C5F"/>
    <w:rsid w:val="00553F31"/>
    <w:rsid w:val="00553F66"/>
    <w:rsid w:val="00554144"/>
    <w:rsid w:val="005544E2"/>
    <w:rsid w:val="0055495C"/>
    <w:rsid w:val="00554974"/>
    <w:rsid w:val="00554B4A"/>
    <w:rsid w:val="00554BBA"/>
    <w:rsid w:val="00554C25"/>
    <w:rsid w:val="0055500B"/>
    <w:rsid w:val="005550E7"/>
    <w:rsid w:val="00555101"/>
    <w:rsid w:val="00555240"/>
    <w:rsid w:val="0055551E"/>
    <w:rsid w:val="0055569E"/>
    <w:rsid w:val="005557A0"/>
    <w:rsid w:val="0055581C"/>
    <w:rsid w:val="0055593B"/>
    <w:rsid w:val="00555A3F"/>
    <w:rsid w:val="00555A5A"/>
    <w:rsid w:val="00555A95"/>
    <w:rsid w:val="00555BDE"/>
    <w:rsid w:val="00555DFB"/>
    <w:rsid w:val="00555FE0"/>
    <w:rsid w:val="005563B7"/>
    <w:rsid w:val="005564FB"/>
    <w:rsid w:val="00556824"/>
    <w:rsid w:val="00556956"/>
    <w:rsid w:val="00556B04"/>
    <w:rsid w:val="00556FCB"/>
    <w:rsid w:val="00557066"/>
    <w:rsid w:val="005572C7"/>
    <w:rsid w:val="0055740B"/>
    <w:rsid w:val="0055754C"/>
    <w:rsid w:val="0055784D"/>
    <w:rsid w:val="0055788F"/>
    <w:rsid w:val="00557959"/>
    <w:rsid w:val="00557CEC"/>
    <w:rsid w:val="00557D8D"/>
    <w:rsid w:val="00557DB5"/>
    <w:rsid w:val="00557F41"/>
    <w:rsid w:val="005607F4"/>
    <w:rsid w:val="00560A0D"/>
    <w:rsid w:val="0056127D"/>
    <w:rsid w:val="0056163D"/>
    <w:rsid w:val="005616ED"/>
    <w:rsid w:val="00561B4A"/>
    <w:rsid w:val="00561CC6"/>
    <w:rsid w:val="00562051"/>
    <w:rsid w:val="005622EF"/>
    <w:rsid w:val="005624F5"/>
    <w:rsid w:val="00562835"/>
    <w:rsid w:val="005628D8"/>
    <w:rsid w:val="0056293F"/>
    <w:rsid w:val="00562BCA"/>
    <w:rsid w:val="00562C38"/>
    <w:rsid w:val="00562C52"/>
    <w:rsid w:val="00562CF8"/>
    <w:rsid w:val="00562EAE"/>
    <w:rsid w:val="00563397"/>
    <w:rsid w:val="005633CB"/>
    <w:rsid w:val="0056347C"/>
    <w:rsid w:val="0056377B"/>
    <w:rsid w:val="00563CC5"/>
    <w:rsid w:val="00563DD7"/>
    <w:rsid w:val="00563E75"/>
    <w:rsid w:val="00564075"/>
    <w:rsid w:val="0056407B"/>
    <w:rsid w:val="005644A4"/>
    <w:rsid w:val="00564520"/>
    <w:rsid w:val="005646FA"/>
    <w:rsid w:val="00564789"/>
    <w:rsid w:val="0056497D"/>
    <w:rsid w:val="00564C7B"/>
    <w:rsid w:val="005650ED"/>
    <w:rsid w:val="00565222"/>
    <w:rsid w:val="0056525C"/>
    <w:rsid w:val="005653F6"/>
    <w:rsid w:val="0056559F"/>
    <w:rsid w:val="005657A3"/>
    <w:rsid w:val="00565858"/>
    <w:rsid w:val="00565E38"/>
    <w:rsid w:val="00565FB7"/>
    <w:rsid w:val="00566044"/>
    <w:rsid w:val="00566194"/>
    <w:rsid w:val="005661B6"/>
    <w:rsid w:val="0056668D"/>
    <w:rsid w:val="005667D2"/>
    <w:rsid w:val="005668A3"/>
    <w:rsid w:val="00566AAC"/>
    <w:rsid w:val="00566FEA"/>
    <w:rsid w:val="00567198"/>
    <w:rsid w:val="00567374"/>
    <w:rsid w:val="005675B7"/>
    <w:rsid w:val="00567705"/>
    <w:rsid w:val="005677FB"/>
    <w:rsid w:val="005678A9"/>
    <w:rsid w:val="00567CB5"/>
    <w:rsid w:val="00567D47"/>
    <w:rsid w:val="00570243"/>
    <w:rsid w:val="0057028B"/>
    <w:rsid w:val="005702EA"/>
    <w:rsid w:val="005705DA"/>
    <w:rsid w:val="0057095C"/>
    <w:rsid w:val="00570CE7"/>
    <w:rsid w:val="00570E20"/>
    <w:rsid w:val="00570E84"/>
    <w:rsid w:val="005711B8"/>
    <w:rsid w:val="00571405"/>
    <w:rsid w:val="0057140B"/>
    <w:rsid w:val="0057170D"/>
    <w:rsid w:val="005718D9"/>
    <w:rsid w:val="00571A74"/>
    <w:rsid w:val="00572141"/>
    <w:rsid w:val="0057257A"/>
    <w:rsid w:val="0057271D"/>
    <w:rsid w:val="005728B1"/>
    <w:rsid w:val="00572C7A"/>
    <w:rsid w:val="00572D23"/>
    <w:rsid w:val="0057300D"/>
    <w:rsid w:val="0057309C"/>
    <w:rsid w:val="0057326F"/>
    <w:rsid w:val="0057352B"/>
    <w:rsid w:val="00573546"/>
    <w:rsid w:val="00573581"/>
    <w:rsid w:val="00573713"/>
    <w:rsid w:val="0057378D"/>
    <w:rsid w:val="00573863"/>
    <w:rsid w:val="00573C85"/>
    <w:rsid w:val="00573D3A"/>
    <w:rsid w:val="00573DF0"/>
    <w:rsid w:val="00573F5B"/>
    <w:rsid w:val="005740E8"/>
    <w:rsid w:val="005740FC"/>
    <w:rsid w:val="00574154"/>
    <w:rsid w:val="00574252"/>
    <w:rsid w:val="0057468B"/>
    <w:rsid w:val="0057468F"/>
    <w:rsid w:val="005746FE"/>
    <w:rsid w:val="0057493C"/>
    <w:rsid w:val="00574952"/>
    <w:rsid w:val="00574C07"/>
    <w:rsid w:val="00574C6B"/>
    <w:rsid w:val="0057554D"/>
    <w:rsid w:val="00575619"/>
    <w:rsid w:val="00575754"/>
    <w:rsid w:val="005759E5"/>
    <w:rsid w:val="005759F8"/>
    <w:rsid w:val="00575C26"/>
    <w:rsid w:val="00575C38"/>
    <w:rsid w:val="00575C75"/>
    <w:rsid w:val="00575CBE"/>
    <w:rsid w:val="00575CF2"/>
    <w:rsid w:val="00575E59"/>
    <w:rsid w:val="0057610D"/>
    <w:rsid w:val="005764D1"/>
    <w:rsid w:val="00576976"/>
    <w:rsid w:val="00576D7B"/>
    <w:rsid w:val="0057728E"/>
    <w:rsid w:val="00577476"/>
    <w:rsid w:val="005775EE"/>
    <w:rsid w:val="00577818"/>
    <w:rsid w:val="00577B12"/>
    <w:rsid w:val="00577B6D"/>
    <w:rsid w:val="00577EF2"/>
    <w:rsid w:val="00577F02"/>
    <w:rsid w:val="00577F1B"/>
    <w:rsid w:val="00580109"/>
    <w:rsid w:val="0058011F"/>
    <w:rsid w:val="00580165"/>
    <w:rsid w:val="0058017E"/>
    <w:rsid w:val="005802BF"/>
    <w:rsid w:val="005803D9"/>
    <w:rsid w:val="005804B5"/>
    <w:rsid w:val="0058066C"/>
    <w:rsid w:val="00580724"/>
    <w:rsid w:val="00580A72"/>
    <w:rsid w:val="00580B04"/>
    <w:rsid w:val="00580B42"/>
    <w:rsid w:val="00580BA1"/>
    <w:rsid w:val="00580BD6"/>
    <w:rsid w:val="00580C3C"/>
    <w:rsid w:val="00580DCF"/>
    <w:rsid w:val="00581039"/>
    <w:rsid w:val="0058106F"/>
    <w:rsid w:val="00581338"/>
    <w:rsid w:val="0058143D"/>
    <w:rsid w:val="005815C8"/>
    <w:rsid w:val="005817A6"/>
    <w:rsid w:val="0058180C"/>
    <w:rsid w:val="005819B2"/>
    <w:rsid w:val="00581AFD"/>
    <w:rsid w:val="00581B53"/>
    <w:rsid w:val="00582117"/>
    <w:rsid w:val="0058211C"/>
    <w:rsid w:val="0058215C"/>
    <w:rsid w:val="005821A3"/>
    <w:rsid w:val="00582212"/>
    <w:rsid w:val="005826D7"/>
    <w:rsid w:val="005827DD"/>
    <w:rsid w:val="00582A4A"/>
    <w:rsid w:val="00582AAE"/>
    <w:rsid w:val="00582BD1"/>
    <w:rsid w:val="00582C28"/>
    <w:rsid w:val="00582EEF"/>
    <w:rsid w:val="00582EFE"/>
    <w:rsid w:val="00582F70"/>
    <w:rsid w:val="0058336A"/>
    <w:rsid w:val="00583389"/>
    <w:rsid w:val="005833B9"/>
    <w:rsid w:val="005833D0"/>
    <w:rsid w:val="00583476"/>
    <w:rsid w:val="00583492"/>
    <w:rsid w:val="005834DB"/>
    <w:rsid w:val="005835A7"/>
    <w:rsid w:val="00583641"/>
    <w:rsid w:val="00583831"/>
    <w:rsid w:val="0058388A"/>
    <w:rsid w:val="005838EC"/>
    <w:rsid w:val="00583AED"/>
    <w:rsid w:val="00583CC7"/>
    <w:rsid w:val="00584175"/>
    <w:rsid w:val="005847E2"/>
    <w:rsid w:val="005847FB"/>
    <w:rsid w:val="00584967"/>
    <w:rsid w:val="00584C26"/>
    <w:rsid w:val="00584CC2"/>
    <w:rsid w:val="00584DC6"/>
    <w:rsid w:val="0058532A"/>
    <w:rsid w:val="00585596"/>
    <w:rsid w:val="005857EE"/>
    <w:rsid w:val="00585909"/>
    <w:rsid w:val="00585A61"/>
    <w:rsid w:val="00585CB6"/>
    <w:rsid w:val="00585D60"/>
    <w:rsid w:val="00585D96"/>
    <w:rsid w:val="00585EEC"/>
    <w:rsid w:val="00586129"/>
    <w:rsid w:val="005863CE"/>
    <w:rsid w:val="00586538"/>
    <w:rsid w:val="0058679A"/>
    <w:rsid w:val="005867A1"/>
    <w:rsid w:val="00586DE5"/>
    <w:rsid w:val="0058707A"/>
    <w:rsid w:val="0058727D"/>
    <w:rsid w:val="00587489"/>
    <w:rsid w:val="005874A3"/>
    <w:rsid w:val="005874D7"/>
    <w:rsid w:val="0058758A"/>
    <w:rsid w:val="005877D1"/>
    <w:rsid w:val="005877DB"/>
    <w:rsid w:val="005878CB"/>
    <w:rsid w:val="00587E41"/>
    <w:rsid w:val="00590219"/>
    <w:rsid w:val="00590572"/>
    <w:rsid w:val="005905B1"/>
    <w:rsid w:val="00590CEC"/>
    <w:rsid w:val="00590D4D"/>
    <w:rsid w:val="00590D80"/>
    <w:rsid w:val="00591190"/>
    <w:rsid w:val="005911DE"/>
    <w:rsid w:val="00591273"/>
    <w:rsid w:val="0059129C"/>
    <w:rsid w:val="00591377"/>
    <w:rsid w:val="00591467"/>
    <w:rsid w:val="00591774"/>
    <w:rsid w:val="00591ABA"/>
    <w:rsid w:val="00591D30"/>
    <w:rsid w:val="00591DBB"/>
    <w:rsid w:val="00591E20"/>
    <w:rsid w:val="00591F7B"/>
    <w:rsid w:val="00591FBC"/>
    <w:rsid w:val="0059216B"/>
    <w:rsid w:val="005922A4"/>
    <w:rsid w:val="005923CC"/>
    <w:rsid w:val="005923CD"/>
    <w:rsid w:val="00592575"/>
    <w:rsid w:val="0059273D"/>
    <w:rsid w:val="00592984"/>
    <w:rsid w:val="00592C25"/>
    <w:rsid w:val="00592FAF"/>
    <w:rsid w:val="00593065"/>
    <w:rsid w:val="005931B2"/>
    <w:rsid w:val="0059363C"/>
    <w:rsid w:val="00593671"/>
    <w:rsid w:val="00593769"/>
    <w:rsid w:val="00593774"/>
    <w:rsid w:val="00593CF1"/>
    <w:rsid w:val="005940C5"/>
    <w:rsid w:val="00594171"/>
    <w:rsid w:val="005942EA"/>
    <w:rsid w:val="00594500"/>
    <w:rsid w:val="00594552"/>
    <w:rsid w:val="0059466C"/>
    <w:rsid w:val="00594681"/>
    <w:rsid w:val="00594EB5"/>
    <w:rsid w:val="00595223"/>
    <w:rsid w:val="00595276"/>
    <w:rsid w:val="005952B9"/>
    <w:rsid w:val="00595408"/>
    <w:rsid w:val="0059588B"/>
    <w:rsid w:val="005958B8"/>
    <w:rsid w:val="00595A65"/>
    <w:rsid w:val="00595B78"/>
    <w:rsid w:val="00595E1A"/>
    <w:rsid w:val="00595E84"/>
    <w:rsid w:val="0059609C"/>
    <w:rsid w:val="00596194"/>
    <w:rsid w:val="00596430"/>
    <w:rsid w:val="005966AB"/>
    <w:rsid w:val="005966E7"/>
    <w:rsid w:val="00596702"/>
    <w:rsid w:val="005967C6"/>
    <w:rsid w:val="00596875"/>
    <w:rsid w:val="00596895"/>
    <w:rsid w:val="005969F2"/>
    <w:rsid w:val="00596A94"/>
    <w:rsid w:val="00596B3D"/>
    <w:rsid w:val="00596C0C"/>
    <w:rsid w:val="0059704D"/>
    <w:rsid w:val="005970B9"/>
    <w:rsid w:val="005970CD"/>
    <w:rsid w:val="005970ED"/>
    <w:rsid w:val="0059721B"/>
    <w:rsid w:val="00597367"/>
    <w:rsid w:val="00597594"/>
    <w:rsid w:val="005976C4"/>
    <w:rsid w:val="00597C0C"/>
    <w:rsid w:val="00597C22"/>
    <w:rsid w:val="00597C25"/>
    <w:rsid w:val="00597D79"/>
    <w:rsid w:val="00597DE7"/>
    <w:rsid w:val="00597E82"/>
    <w:rsid w:val="005A0193"/>
    <w:rsid w:val="005A01E4"/>
    <w:rsid w:val="005A03CE"/>
    <w:rsid w:val="005A0821"/>
    <w:rsid w:val="005A08BB"/>
    <w:rsid w:val="005A0B91"/>
    <w:rsid w:val="005A0C59"/>
    <w:rsid w:val="005A0C99"/>
    <w:rsid w:val="005A0D78"/>
    <w:rsid w:val="005A0ED2"/>
    <w:rsid w:val="005A100C"/>
    <w:rsid w:val="005A137F"/>
    <w:rsid w:val="005A14DC"/>
    <w:rsid w:val="005A154E"/>
    <w:rsid w:val="005A15C3"/>
    <w:rsid w:val="005A184B"/>
    <w:rsid w:val="005A2292"/>
    <w:rsid w:val="005A25CD"/>
    <w:rsid w:val="005A2D5E"/>
    <w:rsid w:val="005A2D6F"/>
    <w:rsid w:val="005A2DF0"/>
    <w:rsid w:val="005A3467"/>
    <w:rsid w:val="005A3497"/>
    <w:rsid w:val="005A3834"/>
    <w:rsid w:val="005A38EE"/>
    <w:rsid w:val="005A3A60"/>
    <w:rsid w:val="005A3A78"/>
    <w:rsid w:val="005A3BF7"/>
    <w:rsid w:val="005A3C89"/>
    <w:rsid w:val="005A3E37"/>
    <w:rsid w:val="005A3E52"/>
    <w:rsid w:val="005A3F91"/>
    <w:rsid w:val="005A489D"/>
    <w:rsid w:val="005A48EB"/>
    <w:rsid w:val="005A4CAB"/>
    <w:rsid w:val="005A4CE7"/>
    <w:rsid w:val="005A4E5A"/>
    <w:rsid w:val="005A4F73"/>
    <w:rsid w:val="005A4F9D"/>
    <w:rsid w:val="005A5116"/>
    <w:rsid w:val="005A53D7"/>
    <w:rsid w:val="005A55AA"/>
    <w:rsid w:val="005A57B0"/>
    <w:rsid w:val="005A5841"/>
    <w:rsid w:val="005A587C"/>
    <w:rsid w:val="005A5A00"/>
    <w:rsid w:val="005A5A1C"/>
    <w:rsid w:val="005A5A62"/>
    <w:rsid w:val="005A5D1E"/>
    <w:rsid w:val="005A5DEF"/>
    <w:rsid w:val="005A638A"/>
    <w:rsid w:val="005A6396"/>
    <w:rsid w:val="005A63ED"/>
    <w:rsid w:val="005A6701"/>
    <w:rsid w:val="005A6CFB"/>
    <w:rsid w:val="005A6E54"/>
    <w:rsid w:val="005A6F90"/>
    <w:rsid w:val="005A70C5"/>
    <w:rsid w:val="005A76BC"/>
    <w:rsid w:val="005A76EB"/>
    <w:rsid w:val="005A7730"/>
    <w:rsid w:val="005A77A3"/>
    <w:rsid w:val="005A7863"/>
    <w:rsid w:val="005A792A"/>
    <w:rsid w:val="005A7D4E"/>
    <w:rsid w:val="005A7DE6"/>
    <w:rsid w:val="005B00E0"/>
    <w:rsid w:val="005B0170"/>
    <w:rsid w:val="005B0180"/>
    <w:rsid w:val="005B024D"/>
    <w:rsid w:val="005B0650"/>
    <w:rsid w:val="005B0856"/>
    <w:rsid w:val="005B08A1"/>
    <w:rsid w:val="005B08B4"/>
    <w:rsid w:val="005B0A6B"/>
    <w:rsid w:val="005B0B77"/>
    <w:rsid w:val="005B0C12"/>
    <w:rsid w:val="005B0C76"/>
    <w:rsid w:val="005B0FB8"/>
    <w:rsid w:val="005B13B9"/>
    <w:rsid w:val="005B13C4"/>
    <w:rsid w:val="005B1814"/>
    <w:rsid w:val="005B1977"/>
    <w:rsid w:val="005B1B0B"/>
    <w:rsid w:val="005B1B50"/>
    <w:rsid w:val="005B1C27"/>
    <w:rsid w:val="005B2B68"/>
    <w:rsid w:val="005B2C32"/>
    <w:rsid w:val="005B2EE2"/>
    <w:rsid w:val="005B323D"/>
    <w:rsid w:val="005B368A"/>
    <w:rsid w:val="005B3725"/>
    <w:rsid w:val="005B3C14"/>
    <w:rsid w:val="005B3CA2"/>
    <w:rsid w:val="005B3CF2"/>
    <w:rsid w:val="005B3DB6"/>
    <w:rsid w:val="005B3E28"/>
    <w:rsid w:val="005B3E88"/>
    <w:rsid w:val="005B4056"/>
    <w:rsid w:val="005B428F"/>
    <w:rsid w:val="005B4676"/>
    <w:rsid w:val="005B471A"/>
    <w:rsid w:val="005B47DE"/>
    <w:rsid w:val="005B48AC"/>
    <w:rsid w:val="005B542F"/>
    <w:rsid w:val="005B58A0"/>
    <w:rsid w:val="005B59B5"/>
    <w:rsid w:val="005B5CEE"/>
    <w:rsid w:val="005B60A0"/>
    <w:rsid w:val="005B61EB"/>
    <w:rsid w:val="005B620E"/>
    <w:rsid w:val="005B6219"/>
    <w:rsid w:val="005B6221"/>
    <w:rsid w:val="005B6749"/>
    <w:rsid w:val="005B67F6"/>
    <w:rsid w:val="005B6A11"/>
    <w:rsid w:val="005B6A7F"/>
    <w:rsid w:val="005B6B4A"/>
    <w:rsid w:val="005B6B78"/>
    <w:rsid w:val="005B6D43"/>
    <w:rsid w:val="005B6E72"/>
    <w:rsid w:val="005B6EB0"/>
    <w:rsid w:val="005B7183"/>
    <w:rsid w:val="005B731B"/>
    <w:rsid w:val="005B7383"/>
    <w:rsid w:val="005B7435"/>
    <w:rsid w:val="005B75A6"/>
    <w:rsid w:val="005B75D4"/>
    <w:rsid w:val="005B7ABD"/>
    <w:rsid w:val="005B7D22"/>
    <w:rsid w:val="005B7DA1"/>
    <w:rsid w:val="005B7DC3"/>
    <w:rsid w:val="005B7E28"/>
    <w:rsid w:val="005B7EEA"/>
    <w:rsid w:val="005B7F75"/>
    <w:rsid w:val="005BFC96"/>
    <w:rsid w:val="005C036D"/>
    <w:rsid w:val="005C03BE"/>
    <w:rsid w:val="005C05C4"/>
    <w:rsid w:val="005C0821"/>
    <w:rsid w:val="005C0C45"/>
    <w:rsid w:val="005C0F0D"/>
    <w:rsid w:val="005C115C"/>
    <w:rsid w:val="005C129C"/>
    <w:rsid w:val="005C12DE"/>
    <w:rsid w:val="005C1307"/>
    <w:rsid w:val="005C1708"/>
    <w:rsid w:val="005C18DA"/>
    <w:rsid w:val="005C1C54"/>
    <w:rsid w:val="005C1CF0"/>
    <w:rsid w:val="005C1DED"/>
    <w:rsid w:val="005C1E73"/>
    <w:rsid w:val="005C2028"/>
    <w:rsid w:val="005C2195"/>
    <w:rsid w:val="005C21F4"/>
    <w:rsid w:val="005C2929"/>
    <w:rsid w:val="005C2A0B"/>
    <w:rsid w:val="005C2A9E"/>
    <w:rsid w:val="005C2C2F"/>
    <w:rsid w:val="005C2D76"/>
    <w:rsid w:val="005C2F42"/>
    <w:rsid w:val="005C3155"/>
    <w:rsid w:val="005C3310"/>
    <w:rsid w:val="005C36FC"/>
    <w:rsid w:val="005C3823"/>
    <w:rsid w:val="005C3AEC"/>
    <w:rsid w:val="005C3D2D"/>
    <w:rsid w:val="005C3D74"/>
    <w:rsid w:val="005C3DB6"/>
    <w:rsid w:val="005C4156"/>
    <w:rsid w:val="005C4751"/>
    <w:rsid w:val="005C4AC5"/>
    <w:rsid w:val="005C4B46"/>
    <w:rsid w:val="005C4C22"/>
    <w:rsid w:val="005C4C3B"/>
    <w:rsid w:val="005C51B2"/>
    <w:rsid w:val="005C53C8"/>
    <w:rsid w:val="005C53DD"/>
    <w:rsid w:val="005C5676"/>
    <w:rsid w:val="005C57C1"/>
    <w:rsid w:val="005C5AEB"/>
    <w:rsid w:val="005C5D14"/>
    <w:rsid w:val="005C5EE1"/>
    <w:rsid w:val="005C5F31"/>
    <w:rsid w:val="005C5FF4"/>
    <w:rsid w:val="005C6185"/>
    <w:rsid w:val="005C62C7"/>
    <w:rsid w:val="005C63F4"/>
    <w:rsid w:val="005C6448"/>
    <w:rsid w:val="005C678B"/>
    <w:rsid w:val="005C68BA"/>
    <w:rsid w:val="005C6A09"/>
    <w:rsid w:val="005C6A78"/>
    <w:rsid w:val="005C7358"/>
    <w:rsid w:val="005C7365"/>
    <w:rsid w:val="005C7473"/>
    <w:rsid w:val="005C74B3"/>
    <w:rsid w:val="005C7704"/>
    <w:rsid w:val="005C773B"/>
    <w:rsid w:val="005C77C7"/>
    <w:rsid w:val="005C7A8F"/>
    <w:rsid w:val="005C7BCF"/>
    <w:rsid w:val="005C7CCB"/>
    <w:rsid w:val="005C7EA0"/>
    <w:rsid w:val="005D0167"/>
    <w:rsid w:val="005D01CC"/>
    <w:rsid w:val="005D032C"/>
    <w:rsid w:val="005D05EE"/>
    <w:rsid w:val="005D05F7"/>
    <w:rsid w:val="005D07EC"/>
    <w:rsid w:val="005D08D2"/>
    <w:rsid w:val="005D0CF9"/>
    <w:rsid w:val="005D0E92"/>
    <w:rsid w:val="005D0F29"/>
    <w:rsid w:val="005D0FF4"/>
    <w:rsid w:val="005D10F1"/>
    <w:rsid w:val="005D11A0"/>
    <w:rsid w:val="005D1693"/>
    <w:rsid w:val="005D1736"/>
    <w:rsid w:val="005D17B8"/>
    <w:rsid w:val="005D18A2"/>
    <w:rsid w:val="005D1AD8"/>
    <w:rsid w:val="005D1B99"/>
    <w:rsid w:val="005D1BB8"/>
    <w:rsid w:val="005D1D02"/>
    <w:rsid w:val="005D1EAB"/>
    <w:rsid w:val="005D2002"/>
    <w:rsid w:val="005D2051"/>
    <w:rsid w:val="005D23C0"/>
    <w:rsid w:val="005D23FD"/>
    <w:rsid w:val="005D2667"/>
    <w:rsid w:val="005D292E"/>
    <w:rsid w:val="005D2A00"/>
    <w:rsid w:val="005D2AF5"/>
    <w:rsid w:val="005D3009"/>
    <w:rsid w:val="005D32C6"/>
    <w:rsid w:val="005D3422"/>
    <w:rsid w:val="005D3584"/>
    <w:rsid w:val="005D365A"/>
    <w:rsid w:val="005D385C"/>
    <w:rsid w:val="005D4073"/>
    <w:rsid w:val="005D4510"/>
    <w:rsid w:val="005D45CB"/>
    <w:rsid w:val="005D45EC"/>
    <w:rsid w:val="005D48C0"/>
    <w:rsid w:val="005D49A6"/>
    <w:rsid w:val="005D4BCC"/>
    <w:rsid w:val="005D4BFF"/>
    <w:rsid w:val="005D4C55"/>
    <w:rsid w:val="005D4E25"/>
    <w:rsid w:val="005D500A"/>
    <w:rsid w:val="005D5084"/>
    <w:rsid w:val="005D51C7"/>
    <w:rsid w:val="005D56EA"/>
    <w:rsid w:val="005D5AA0"/>
    <w:rsid w:val="005D5C88"/>
    <w:rsid w:val="005D5C93"/>
    <w:rsid w:val="005D5FC8"/>
    <w:rsid w:val="005D607B"/>
    <w:rsid w:val="005D6128"/>
    <w:rsid w:val="005D6491"/>
    <w:rsid w:val="005D649D"/>
    <w:rsid w:val="005D65FA"/>
    <w:rsid w:val="005D6803"/>
    <w:rsid w:val="005D6A47"/>
    <w:rsid w:val="005D6A4E"/>
    <w:rsid w:val="005D6AF8"/>
    <w:rsid w:val="005D6B8E"/>
    <w:rsid w:val="005D6D3F"/>
    <w:rsid w:val="005D71D1"/>
    <w:rsid w:val="005D7398"/>
    <w:rsid w:val="005D760F"/>
    <w:rsid w:val="005D764F"/>
    <w:rsid w:val="005D7A28"/>
    <w:rsid w:val="005D7B8E"/>
    <w:rsid w:val="005D7E2C"/>
    <w:rsid w:val="005D7F5C"/>
    <w:rsid w:val="005E00D2"/>
    <w:rsid w:val="005E01BD"/>
    <w:rsid w:val="005E076D"/>
    <w:rsid w:val="005E0976"/>
    <w:rsid w:val="005E0A3F"/>
    <w:rsid w:val="005E0B9E"/>
    <w:rsid w:val="005E0EA7"/>
    <w:rsid w:val="005E0F0B"/>
    <w:rsid w:val="005E1125"/>
    <w:rsid w:val="005E125D"/>
    <w:rsid w:val="005E1393"/>
    <w:rsid w:val="005E1557"/>
    <w:rsid w:val="005E16A1"/>
    <w:rsid w:val="005E1787"/>
    <w:rsid w:val="005E1984"/>
    <w:rsid w:val="005E1CD4"/>
    <w:rsid w:val="005E1EDB"/>
    <w:rsid w:val="005E1EF4"/>
    <w:rsid w:val="005E1F9C"/>
    <w:rsid w:val="005E2280"/>
    <w:rsid w:val="005E22CE"/>
    <w:rsid w:val="005E2857"/>
    <w:rsid w:val="005E291D"/>
    <w:rsid w:val="005E29A9"/>
    <w:rsid w:val="005E2A0A"/>
    <w:rsid w:val="005E2B82"/>
    <w:rsid w:val="005E2C28"/>
    <w:rsid w:val="005E2F16"/>
    <w:rsid w:val="005E3139"/>
    <w:rsid w:val="005E318E"/>
    <w:rsid w:val="005E3257"/>
    <w:rsid w:val="005E33EA"/>
    <w:rsid w:val="005E380B"/>
    <w:rsid w:val="005E3A2F"/>
    <w:rsid w:val="005E3A70"/>
    <w:rsid w:val="005E3B1F"/>
    <w:rsid w:val="005E3B58"/>
    <w:rsid w:val="005E3B7D"/>
    <w:rsid w:val="005E3B90"/>
    <w:rsid w:val="005E3C8C"/>
    <w:rsid w:val="005E3CA5"/>
    <w:rsid w:val="005E3EC7"/>
    <w:rsid w:val="005E428C"/>
    <w:rsid w:val="005E4417"/>
    <w:rsid w:val="005E468A"/>
    <w:rsid w:val="005E49BF"/>
    <w:rsid w:val="005E4A22"/>
    <w:rsid w:val="005E4B86"/>
    <w:rsid w:val="005E4CCF"/>
    <w:rsid w:val="005E4FFF"/>
    <w:rsid w:val="005E5492"/>
    <w:rsid w:val="005E5698"/>
    <w:rsid w:val="005E58BE"/>
    <w:rsid w:val="005E58E6"/>
    <w:rsid w:val="005E5977"/>
    <w:rsid w:val="005E5CE6"/>
    <w:rsid w:val="005E5D54"/>
    <w:rsid w:val="005E5F00"/>
    <w:rsid w:val="005E629A"/>
    <w:rsid w:val="005E637E"/>
    <w:rsid w:val="005E6487"/>
    <w:rsid w:val="005E652E"/>
    <w:rsid w:val="005E6781"/>
    <w:rsid w:val="005E6883"/>
    <w:rsid w:val="005E69AA"/>
    <w:rsid w:val="005E6B23"/>
    <w:rsid w:val="005E6CC1"/>
    <w:rsid w:val="005E6DCD"/>
    <w:rsid w:val="005E713C"/>
    <w:rsid w:val="005E7321"/>
    <w:rsid w:val="005E759A"/>
    <w:rsid w:val="005E7674"/>
    <w:rsid w:val="005E772F"/>
    <w:rsid w:val="005E78B9"/>
    <w:rsid w:val="005E78DD"/>
    <w:rsid w:val="005E7A70"/>
    <w:rsid w:val="005E7D93"/>
    <w:rsid w:val="005E7DDA"/>
    <w:rsid w:val="005E7E82"/>
    <w:rsid w:val="005E7EA5"/>
    <w:rsid w:val="005E7ECF"/>
    <w:rsid w:val="005E7EF9"/>
    <w:rsid w:val="005F0177"/>
    <w:rsid w:val="005F0506"/>
    <w:rsid w:val="005F0753"/>
    <w:rsid w:val="005F09A7"/>
    <w:rsid w:val="005F0A23"/>
    <w:rsid w:val="005F0B20"/>
    <w:rsid w:val="005F0BA4"/>
    <w:rsid w:val="005F0FA5"/>
    <w:rsid w:val="005F0FEA"/>
    <w:rsid w:val="005F117D"/>
    <w:rsid w:val="005F16AF"/>
    <w:rsid w:val="005F1757"/>
    <w:rsid w:val="005F1779"/>
    <w:rsid w:val="005F18E5"/>
    <w:rsid w:val="005F1ABB"/>
    <w:rsid w:val="005F1B00"/>
    <w:rsid w:val="005F1E34"/>
    <w:rsid w:val="005F20C2"/>
    <w:rsid w:val="005F246F"/>
    <w:rsid w:val="005F2605"/>
    <w:rsid w:val="005F271B"/>
    <w:rsid w:val="005F27BE"/>
    <w:rsid w:val="005F27C0"/>
    <w:rsid w:val="005F2951"/>
    <w:rsid w:val="005F29CB"/>
    <w:rsid w:val="005F2B09"/>
    <w:rsid w:val="005F2F97"/>
    <w:rsid w:val="005F2FCE"/>
    <w:rsid w:val="005F32C0"/>
    <w:rsid w:val="005F32EC"/>
    <w:rsid w:val="005F3308"/>
    <w:rsid w:val="005F3376"/>
    <w:rsid w:val="005F3552"/>
    <w:rsid w:val="005F3564"/>
    <w:rsid w:val="005F35DC"/>
    <w:rsid w:val="005F371B"/>
    <w:rsid w:val="005F3B27"/>
    <w:rsid w:val="005F3B84"/>
    <w:rsid w:val="005F3EB6"/>
    <w:rsid w:val="005F41FA"/>
    <w:rsid w:val="005F41FF"/>
    <w:rsid w:val="005F4A33"/>
    <w:rsid w:val="005F4ECA"/>
    <w:rsid w:val="005F4ECE"/>
    <w:rsid w:val="005F5314"/>
    <w:rsid w:val="005F53B8"/>
    <w:rsid w:val="005F5406"/>
    <w:rsid w:val="005F5420"/>
    <w:rsid w:val="005F5439"/>
    <w:rsid w:val="005F5530"/>
    <w:rsid w:val="005F56B3"/>
    <w:rsid w:val="005F5791"/>
    <w:rsid w:val="005F59F7"/>
    <w:rsid w:val="005F5A83"/>
    <w:rsid w:val="005F5C3D"/>
    <w:rsid w:val="005F5EEA"/>
    <w:rsid w:val="005F5F7D"/>
    <w:rsid w:val="005F5FEE"/>
    <w:rsid w:val="005F61C7"/>
    <w:rsid w:val="005F6380"/>
    <w:rsid w:val="005F64C3"/>
    <w:rsid w:val="005F65B2"/>
    <w:rsid w:val="005F6657"/>
    <w:rsid w:val="005F66CB"/>
    <w:rsid w:val="005F674B"/>
    <w:rsid w:val="005F676F"/>
    <w:rsid w:val="005F6795"/>
    <w:rsid w:val="005F67A7"/>
    <w:rsid w:val="005F6867"/>
    <w:rsid w:val="005F6EDD"/>
    <w:rsid w:val="005F6EF8"/>
    <w:rsid w:val="005F6FBF"/>
    <w:rsid w:val="005F70AC"/>
    <w:rsid w:val="005F7356"/>
    <w:rsid w:val="005F75FA"/>
    <w:rsid w:val="005F78FB"/>
    <w:rsid w:val="005F7C5A"/>
    <w:rsid w:val="006005B3"/>
    <w:rsid w:val="006008BE"/>
    <w:rsid w:val="00600AA9"/>
    <w:rsid w:val="00600BD3"/>
    <w:rsid w:val="00600DEC"/>
    <w:rsid w:val="00600EA1"/>
    <w:rsid w:val="00600EB5"/>
    <w:rsid w:val="00600EE9"/>
    <w:rsid w:val="00600FC7"/>
    <w:rsid w:val="00601192"/>
    <w:rsid w:val="00601236"/>
    <w:rsid w:val="006013AF"/>
    <w:rsid w:val="00601407"/>
    <w:rsid w:val="006015BE"/>
    <w:rsid w:val="0060187F"/>
    <w:rsid w:val="00601A1B"/>
    <w:rsid w:val="00601C8F"/>
    <w:rsid w:val="00601EAE"/>
    <w:rsid w:val="00601EB0"/>
    <w:rsid w:val="006023BA"/>
    <w:rsid w:val="0060248A"/>
    <w:rsid w:val="00602690"/>
    <w:rsid w:val="00602A2E"/>
    <w:rsid w:val="00602E12"/>
    <w:rsid w:val="00602F63"/>
    <w:rsid w:val="0060305C"/>
    <w:rsid w:val="006032E4"/>
    <w:rsid w:val="0060339D"/>
    <w:rsid w:val="00603689"/>
    <w:rsid w:val="0060381C"/>
    <w:rsid w:val="00603A24"/>
    <w:rsid w:val="00604023"/>
    <w:rsid w:val="006041BE"/>
    <w:rsid w:val="006041E0"/>
    <w:rsid w:val="00604382"/>
    <w:rsid w:val="006043C7"/>
    <w:rsid w:val="00604608"/>
    <w:rsid w:val="0060463F"/>
    <w:rsid w:val="00604671"/>
    <w:rsid w:val="006046BD"/>
    <w:rsid w:val="00604790"/>
    <w:rsid w:val="00604959"/>
    <w:rsid w:val="00604969"/>
    <w:rsid w:val="00604CAD"/>
    <w:rsid w:val="00604DE2"/>
    <w:rsid w:val="00604E25"/>
    <w:rsid w:val="00604E91"/>
    <w:rsid w:val="0060524C"/>
    <w:rsid w:val="00605404"/>
    <w:rsid w:val="00605859"/>
    <w:rsid w:val="00605AB6"/>
    <w:rsid w:val="00605B9E"/>
    <w:rsid w:val="00605C85"/>
    <w:rsid w:val="00605CEF"/>
    <w:rsid w:val="00605F6C"/>
    <w:rsid w:val="00606242"/>
    <w:rsid w:val="0060626E"/>
    <w:rsid w:val="00606D1B"/>
    <w:rsid w:val="00606DC3"/>
    <w:rsid w:val="00606EFE"/>
    <w:rsid w:val="00607117"/>
    <w:rsid w:val="006071CC"/>
    <w:rsid w:val="006071F6"/>
    <w:rsid w:val="006072A9"/>
    <w:rsid w:val="006072AC"/>
    <w:rsid w:val="0060748C"/>
    <w:rsid w:val="00607807"/>
    <w:rsid w:val="00607852"/>
    <w:rsid w:val="00607EC7"/>
    <w:rsid w:val="006101DA"/>
    <w:rsid w:val="006104C5"/>
    <w:rsid w:val="0061054D"/>
    <w:rsid w:val="006105F7"/>
    <w:rsid w:val="00610828"/>
    <w:rsid w:val="00610898"/>
    <w:rsid w:val="0061096F"/>
    <w:rsid w:val="00610A18"/>
    <w:rsid w:val="00610EA6"/>
    <w:rsid w:val="006113FA"/>
    <w:rsid w:val="006115D1"/>
    <w:rsid w:val="006116C1"/>
    <w:rsid w:val="00611858"/>
    <w:rsid w:val="00611873"/>
    <w:rsid w:val="00611B47"/>
    <w:rsid w:val="00611B58"/>
    <w:rsid w:val="00611CF8"/>
    <w:rsid w:val="00611D56"/>
    <w:rsid w:val="00611DCE"/>
    <w:rsid w:val="00611EAB"/>
    <w:rsid w:val="00612191"/>
    <w:rsid w:val="006123C0"/>
    <w:rsid w:val="0061271D"/>
    <w:rsid w:val="006127A3"/>
    <w:rsid w:val="0061283E"/>
    <w:rsid w:val="00612B01"/>
    <w:rsid w:val="00612B53"/>
    <w:rsid w:val="00612D3B"/>
    <w:rsid w:val="00612F18"/>
    <w:rsid w:val="006132EC"/>
    <w:rsid w:val="00613327"/>
    <w:rsid w:val="00613363"/>
    <w:rsid w:val="0061359E"/>
    <w:rsid w:val="00613776"/>
    <w:rsid w:val="00613906"/>
    <w:rsid w:val="00613941"/>
    <w:rsid w:val="00613AD7"/>
    <w:rsid w:val="00613E0A"/>
    <w:rsid w:val="00613E62"/>
    <w:rsid w:val="00614282"/>
    <w:rsid w:val="0061431B"/>
    <w:rsid w:val="006143A4"/>
    <w:rsid w:val="00614868"/>
    <w:rsid w:val="00614908"/>
    <w:rsid w:val="00614A4F"/>
    <w:rsid w:val="00614C11"/>
    <w:rsid w:val="0061506F"/>
    <w:rsid w:val="006150A4"/>
    <w:rsid w:val="00615166"/>
    <w:rsid w:val="0061518F"/>
    <w:rsid w:val="006151A6"/>
    <w:rsid w:val="006151A9"/>
    <w:rsid w:val="006152D2"/>
    <w:rsid w:val="00615364"/>
    <w:rsid w:val="0061566D"/>
    <w:rsid w:val="006156C3"/>
    <w:rsid w:val="006157C1"/>
    <w:rsid w:val="006157E2"/>
    <w:rsid w:val="00615A4F"/>
    <w:rsid w:val="00615CDA"/>
    <w:rsid w:val="00615FAC"/>
    <w:rsid w:val="006162E8"/>
    <w:rsid w:val="0061637D"/>
    <w:rsid w:val="006163A8"/>
    <w:rsid w:val="00616458"/>
    <w:rsid w:val="00616597"/>
    <w:rsid w:val="006165EE"/>
    <w:rsid w:val="006168CF"/>
    <w:rsid w:val="00616B3F"/>
    <w:rsid w:val="00616B92"/>
    <w:rsid w:val="00616BE0"/>
    <w:rsid w:val="00616C08"/>
    <w:rsid w:val="00616D11"/>
    <w:rsid w:val="00616D88"/>
    <w:rsid w:val="00616EF9"/>
    <w:rsid w:val="00617552"/>
    <w:rsid w:val="006176B1"/>
    <w:rsid w:val="006177E9"/>
    <w:rsid w:val="006178AA"/>
    <w:rsid w:val="00617BA6"/>
    <w:rsid w:val="00617BCF"/>
    <w:rsid w:val="00620061"/>
    <w:rsid w:val="00620151"/>
    <w:rsid w:val="00620535"/>
    <w:rsid w:val="0062059F"/>
    <w:rsid w:val="006205A3"/>
    <w:rsid w:val="006209DA"/>
    <w:rsid w:val="00620B3F"/>
    <w:rsid w:val="00620D34"/>
    <w:rsid w:val="00620FB3"/>
    <w:rsid w:val="006212D8"/>
    <w:rsid w:val="00621429"/>
    <w:rsid w:val="006216E6"/>
    <w:rsid w:val="006217B6"/>
    <w:rsid w:val="006217BC"/>
    <w:rsid w:val="0062191A"/>
    <w:rsid w:val="00621940"/>
    <w:rsid w:val="00621A56"/>
    <w:rsid w:val="00621A9F"/>
    <w:rsid w:val="00621E64"/>
    <w:rsid w:val="0062204A"/>
    <w:rsid w:val="006220AD"/>
    <w:rsid w:val="006221BF"/>
    <w:rsid w:val="006223B8"/>
    <w:rsid w:val="006227BF"/>
    <w:rsid w:val="00622843"/>
    <w:rsid w:val="00622857"/>
    <w:rsid w:val="00622893"/>
    <w:rsid w:val="006228BE"/>
    <w:rsid w:val="0062294E"/>
    <w:rsid w:val="006229CD"/>
    <w:rsid w:val="00622AC1"/>
    <w:rsid w:val="0062308B"/>
    <w:rsid w:val="00623120"/>
    <w:rsid w:val="00623228"/>
    <w:rsid w:val="006234C5"/>
    <w:rsid w:val="00623721"/>
    <w:rsid w:val="00623726"/>
    <w:rsid w:val="0062379D"/>
    <w:rsid w:val="006237AF"/>
    <w:rsid w:val="006238AE"/>
    <w:rsid w:val="00623B1C"/>
    <w:rsid w:val="00623D8E"/>
    <w:rsid w:val="00623F42"/>
    <w:rsid w:val="00624075"/>
    <w:rsid w:val="00624203"/>
    <w:rsid w:val="0062427B"/>
    <w:rsid w:val="006242B6"/>
    <w:rsid w:val="0062479B"/>
    <w:rsid w:val="00624923"/>
    <w:rsid w:val="006249F3"/>
    <w:rsid w:val="00624B52"/>
    <w:rsid w:val="00624CC6"/>
    <w:rsid w:val="00624D1D"/>
    <w:rsid w:val="00624DFF"/>
    <w:rsid w:val="00624F80"/>
    <w:rsid w:val="0062508D"/>
    <w:rsid w:val="00625185"/>
    <w:rsid w:val="006253A0"/>
    <w:rsid w:val="00625702"/>
    <w:rsid w:val="00625788"/>
    <w:rsid w:val="0062578C"/>
    <w:rsid w:val="00625AD5"/>
    <w:rsid w:val="00625B6A"/>
    <w:rsid w:val="006260CB"/>
    <w:rsid w:val="006263F4"/>
    <w:rsid w:val="00626632"/>
    <w:rsid w:val="006266ED"/>
    <w:rsid w:val="00626705"/>
    <w:rsid w:val="00626A38"/>
    <w:rsid w:val="00626D3D"/>
    <w:rsid w:val="00626ECD"/>
    <w:rsid w:val="00627273"/>
    <w:rsid w:val="00627425"/>
    <w:rsid w:val="00627471"/>
    <w:rsid w:val="0062791F"/>
    <w:rsid w:val="00627A07"/>
    <w:rsid w:val="00627C5B"/>
    <w:rsid w:val="00627D01"/>
    <w:rsid w:val="00627DD3"/>
    <w:rsid w:val="0063010E"/>
    <w:rsid w:val="00630211"/>
    <w:rsid w:val="00630216"/>
    <w:rsid w:val="006303B9"/>
    <w:rsid w:val="00630485"/>
    <w:rsid w:val="00630531"/>
    <w:rsid w:val="006305C7"/>
    <w:rsid w:val="00630A92"/>
    <w:rsid w:val="00630C77"/>
    <w:rsid w:val="00630CCF"/>
    <w:rsid w:val="00630E87"/>
    <w:rsid w:val="00630F2B"/>
    <w:rsid w:val="006310B9"/>
    <w:rsid w:val="006311C7"/>
    <w:rsid w:val="006312EC"/>
    <w:rsid w:val="0063181D"/>
    <w:rsid w:val="00631DF4"/>
    <w:rsid w:val="00631DFD"/>
    <w:rsid w:val="006320B2"/>
    <w:rsid w:val="00632235"/>
    <w:rsid w:val="006323EC"/>
    <w:rsid w:val="006324AC"/>
    <w:rsid w:val="006324D0"/>
    <w:rsid w:val="0063260F"/>
    <w:rsid w:val="00632649"/>
    <w:rsid w:val="00632679"/>
    <w:rsid w:val="00632AF8"/>
    <w:rsid w:val="00632CE4"/>
    <w:rsid w:val="00632EC3"/>
    <w:rsid w:val="00632F31"/>
    <w:rsid w:val="00633088"/>
    <w:rsid w:val="0063310C"/>
    <w:rsid w:val="0063334C"/>
    <w:rsid w:val="00633801"/>
    <w:rsid w:val="00633B8D"/>
    <w:rsid w:val="0063406F"/>
    <w:rsid w:val="00634175"/>
    <w:rsid w:val="006342D3"/>
    <w:rsid w:val="00634513"/>
    <w:rsid w:val="00634532"/>
    <w:rsid w:val="00634A5C"/>
    <w:rsid w:val="00634CCD"/>
    <w:rsid w:val="00634DFB"/>
    <w:rsid w:val="00635350"/>
    <w:rsid w:val="00635596"/>
    <w:rsid w:val="00635AAE"/>
    <w:rsid w:val="00635B0E"/>
    <w:rsid w:val="00635B60"/>
    <w:rsid w:val="00635BB8"/>
    <w:rsid w:val="00635CFA"/>
    <w:rsid w:val="00635F26"/>
    <w:rsid w:val="006360F1"/>
    <w:rsid w:val="006361A5"/>
    <w:rsid w:val="006361D9"/>
    <w:rsid w:val="00636247"/>
    <w:rsid w:val="006363B0"/>
    <w:rsid w:val="00636442"/>
    <w:rsid w:val="006364C8"/>
    <w:rsid w:val="00636852"/>
    <w:rsid w:val="006368F0"/>
    <w:rsid w:val="006369EB"/>
    <w:rsid w:val="00636C2B"/>
    <w:rsid w:val="00636C3F"/>
    <w:rsid w:val="00636D78"/>
    <w:rsid w:val="00636ED7"/>
    <w:rsid w:val="00637464"/>
    <w:rsid w:val="006374DB"/>
    <w:rsid w:val="00637669"/>
    <w:rsid w:val="00637A6C"/>
    <w:rsid w:val="00637B6B"/>
    <w:rsid w:val="00637D09"/>
    <w:rsid w:val="00637E0B"/>
    <w:rsid w:val="00637FE2"/>
    <w:rsid w:val="00640549"/>
    <w:rsid w:val="0064054F"/>
    <w:rsid w:val="00640554"/>
    <w:rsid w:val="006405B6"/>
    <w:rsid w:val="006408AC"/>
    <w:rsid w:val="00640B0D"/>
    <w:rsid w:val="00640F3B"/>
    <w:rsid w:val="0064105A"/>
    <w:rsid w:val="0064142E"/>
    <w:rsid w:val="006414D5"/>
    <w:rsid w:val="00641B8C"/>
    <w:rsid w:val="00641C91"/>
    <w:rsid w:val="00641CB6"/>
    <w:rsid w:val="00641D3A"/>
    <w:rsid w:val="00641EC4"/>
    <w:rsid w:val="006420BB"/>
    <w:rsid w:val="006422A5"/>
    <w:rsid w:val="00642839"/>
    <w:rsid w:val="00642918"/>
    <w:rsid w:val="00642A6C"/>
    <w:rsid w:val="00642C51"/>
    <w:rsid w:val="00642F9C"/>
    <w:rsid w:val="00642F9D"/>
    <w:rsid w:val="00642FA6"/>
    <w:rsid w:val="0064310B"/>
    <w:rsid w:val="00643591"/>
    <w:rsid w:val="00643962"/>
    <w:rsid w:val="00643A85"/>
    <w:rsid w:val="00643BE7"/>
    <w:rsid w:val="00643D38"/>
    <w:rsid w:val="00643D6E"/>
    <w:rsid w:val="00643DCC"/>
    <w:rsid w:val="006440B1"/>
    <w:rsid w:val="00644112"/>
    <w:rsid w:val="006445CC"/>
    <w:rsid w:val="006446EF"/>
    <w:rsid w:val="00644701"/>
    <w:rsid w:val="00644769"/>
    <w:rsid w:val="0064479F"/>
    <w:rsid w:val="00644908"/>
    <w:rsid w:val="00644CCB"/>
    <w:rsid w:val="00644F0D"/>
    <w:rsid w:val="00644FF2"/>
    <w:rsid w:val="00645012"/>
    <w:rsid w:val="00645282"/>
    <w:rsid w:val="006453B0"/>
    <w:rsid w:val="00645526"/>
    <w:rsid w:val="0064557B"/>
    <w:rsid w:val="006456A6"/>
    <w:rsid w:val="0064579B"/>
    <w:rsid w:val="00645B64"/>
    <w:rsid w:val="00645BCD"/>
    <w:rsid w:val="00645EDF"/>
    <w:rsid w:val="006460C6"/>
    <w:rsid w:val="00646123"/>
    <w:rsid w:val="0064629D"/>
    <w:rsid w:val="006462BF"/>
    <w:rsid w:val="0064634D"/>
    <w:rsid w:val="006463FE"/>
    <w:rsid w:val="00646443"/>
    <w:rsid w:val="0064667C"/>
    <w:rsid w:val="0064680A"/>
    <w:rsid w:val="0064696C"/>
    <w:rsid w:val="0064698A"/>
    <w:rsid w:val="00646A02"/>
    <w:rsid w:val="00646B13"/>
    <w:rsid w:val="00646B5A"/>
    <w:rsid w:val="00646BFB"/>
    <w:rsid w:val="00646C08"/>
    <w:rsid w:val="00646D6A"/>
    <w:rsid w:val="00646FAA"/>
    <w:rsid w:val="006472B5"/>
    <w:rsid w:val="00647534"/>
    <w:rsid w:val="006477D1"/>
    <w:rsid w:val="00647D8D"/>
    <w:rsid w:val="00647DE5"/>
    <w:rsid w:val="00650009"/>
    <w:rsid w:val="0065010A"/>
    <w:rsid w:val="0065010C"/>
    <w:rsid w:val="00650395"/>
    <w:rsid w:val="006503E6"/>
    <w:rsid w:val="006509A6"/>
    <w:rsid w:val="00650AA7"/>
    <w:rsid w:val="00650AF5"/>
    <w:rsid w:val="00650CA5"/>
    <w:rsid w:val="00650D0A"/>
    <w:rsid w:val="00650FD9"/>
    <w:rsid w:val="0065108C"/>
    <w:rsid w:val="006511B6"/>
    <w:rsid w:val="0065152D"/>
    <w:rsid w:val="00651912"/>
    <w:rsid w:val="00651D4E"/>
    <w:rsid w:val="00651DDB"/>
    <w:rsid w:val="00651EAF"/>
    <w:rsid w:val="006520A3"/>
    <w:rsid w:val="006522C9"/>
    <w:rsid w:val="006523E3"/>
    <w:rsid w:val="00652514"/>
    <w:rsid w:val="00652573"/>
    <w:rsid w:val="006526B7"/>
    <w:rsid w:val="00652742"/>
    <w:rsid w:val="006528B1"/>
    <w:rsid w:val="006529BB"/>
    <w:rsid w:val="00652F27"/>
    <w:rsid w:val="006530F2"/>
    <w:rsid w:val="00653122"/>
    <w:rsid w:val="006538B3"/>
    <w:rsid w:val="006538CB"/>
    <w:rsid w:val="0065398F"/>
    <w:rsid w:val="00653AC4"/>
    <w:rsid w:val="00653DFF"/>
    <w:rsid w:val="00653F5E"/>
    <w:rsid w:val="00654163"/>
    <w:rsid w:val="006541A5"/>
    <w:rsid w:val="0065428A"/>
    <w:rsid w:val="00654313"/>
    <w:rsid w:val="006545D5"/>
    <w:rsid w:val="00654B7F"/>
    <w:rsid w:val="00654BC8"/>
    <w:rsid w:val="00655231"/>
    <w:rsid w:val="006552AE"/>
    <w:rsid w:val="00655343"/>
    <w:rsid w:val="0065541C"/>
    <w:rsid w:val="00655526"/>
    <w:rsid w:val="00655BDD"/>
    <w:rsid w:val="00655D92"/>
    <w:rsid w:val="00655DA3"/>
    <w:rsid w:val="00655DDD"/>
    <w:rsid w:val="006560B3"/>
    <w:rsid w:val="006562F1"/>
    <w:rsid w:val="00656415"/>
    <w:rsid w:val="0065643A"/>
    <w:rsid w:val="006568C0"/>
    <w:rsid w:val="006568FD"/>
    <w:rsid w:val="0065696A"/>
    <w:rsid w:val="00656AD6"/>
    <w:rsid w:val="00656B17"/>
    <w:rsid w:val="0065739D"/>
    <w:rsid w:val="006573C5"/>
    <w:rsid w:val="00657649"/>
    <w:rsid w:val="006577C1"/>
    <w:rsid w:val="00657832"/>
    <w:rsid w:val="00657BF2"/>
    <w:rsid w:val="00657BFC"/>
    <w:rsid w:val="00657C36"/>
    <w:rsid w:val="00657FF8"/>
    <w:rsid w:val="00660042"/>
    <w:rsid w:val="00660233"/>
    <w:rsid w:val="0066025E"/>
    <w:rsid w:val="00660429"/>
    <w:rsid w:val="00660512"/>
    <w:rsid w:val="0066080B"/>
    <w:rsid w:val="00660931"/>
    <w:rsid w:val="00660DE7"/>
    <w:rsid w:val="00660F85"/>
    <w:rsid w:val="0066115E"/>
    <w:rsid w:val="006612D4"/>
    <w:rsid w:val="00661405"/>
    <w:rsid w:val="0066158E"/>
    <w:rsid w:val="00661601"/>
    <w:rsid w:val="006617D9"/>
    <w:rsid w:val="00661812"/>
    <w:rsid w:val="00661D5F"/>
    <w:rsid w:val="006620F1"/>
    <w:rsid w:val="0066215C"/>
    <w:rsid w:val="006621F2"/>
    <w:rsid w:val="00662266"/>
    <w:rsid w:val="0066228E"/>
    <w:rsid w:val="00662462"/>
    <w:rsid w:val="006624B7"/>
    <w:rsid w:val="006625B1"/>
    <w:rsid w:val="00662771"/>
    <w:rsid w:val="006628C0"/>
    <w:rsid w:val="00662964"/>
    <w:rsid w:val="00662C52"/>
    <w:rsid w:val="00662CAA"/>
    <w:rsid w:val="00663028"/>
    <w:rsid w:val="0066307F"/>
    <w:rsid w:val="0066309E"/>
    <w:rsid w:val="00663163"/>
    <w:rsid w:val="006633D1"/>
    <w:rsid w:val="00663887"/>
    <w:rsid w:val="00663E6B"/>
    <w:rsid w:val="00663F9F"/>
    <w:rsid w:val="0066401E"/>
    <w:rsid w:val="00664027"/>
    <w:rsid w:val="006640B4"/>
    <w:rsid w:val="00664638"/>
    <w:rsid w:val="00664669"/>
    <w:rsid w:val="006648AA"/>
    <w:rsid w:val="00664925"/>
    <w:rsid w:val="00664CED"/>
    <w:rsid w:val="00664D48"/>
    <w:rsid w:val="00664E6E"/>
    <w:rsid w:val="00664EE7"/>
    <w:rsid w:val="006652A8"/>
    <w:rsid w:val="00665663"/>
    <w:rsid w:val="006656F6"/>
    <w:rsid w:val="006657BC"/>
    <w:rsid w:val="00665918"/>
    <w:rsid w:val="00665AB8"/>
    <w:rsid w:val="00665F2A"/>
    <w:rsid w:val="006662C2"/>
    <w:rsid w:val="00666960"/>
    <w:rsid w:val="0066698E"/>
    <w:rsid w:val="00666C5D"/>
    <w:rsid w:val="00666DD0"/>
    <w:rsid w:val="00666ED1"/>
    <w:rsid w:val="00666FDE"/>
    <w:rsid w:val="00667233"/>
    <w:rsid w:val="00667365"/>
    <w:rsid w:val="006673EF"/>
    <w:rsid w:val="00667554"/>
    <w:rsid w:val="00667997"/>
    <w:rsid w:val="006679E6"/>
    <w:rsid w:val="00667A57"/>
    <w:rsid w:val="00667C46"/>
    <w:rsid w:val="006703FA"/>
    <w:rsid w:val="006705B0"/>
    <w:rsid w:val="006706F8"/>
    <w:rsid w:val="00670823"/>
    <w:rsid w:val="00670AC9"/>
    <w:rsid w:val="00670D99"/>
    <w:rsid w:val="00670E2B"/>
    <w:rsid w:val="0067116E"/>
    <w:rsid w:val="006714D9"/>
    <w:rsid w:val="00671707"/>
    <w:rsid w:val="0067171C"/>
    <w:rsid w:val="0067173E"/>
    <w:rsid w:val="0067178D"/>
    <w:rsid w:val="0067192F"/>
    <w:rsid w:val="00671AA1"/>
    <w:rsid w:val="00671D6B"/>
    <w:rsid w:val="00671F86"/>
    <w:rsid w:val="0067208C"/>
    <w:rsid w:val="006723E4"/>
    <w:rsid w:val="006723E5"/>
    <w:rsid w:val="00672454"/>
    <w:rsid w:val="0067269C"/>
    <w:rsid w:val="00672735"/>
    <w:rsid w:val="00672743"/>
    <w:rsid w:val="00672A50"/>
    <w:rsid w:val="00672CC8"/>
    <w:rsid w:val="00672DE1"/>
    <w:rsid w:val="00672E25"/>
    <w:rsid w:val="00673033"/>
    <w:rsid w:val="00673058"/>
    <w:rsid w:val="006731F0"/>
    <w:rsid w:val="00673241"/>
    <w:rsid w:val="006734BB"/>
    <w:rsid w:val="00673885"/>
    <w:rsid w:val="006738AE"/>
    <w:rsid w:val="0067398F"/>
    <w:rsid w:val="00673AAA"/>
    <w:rsid w:val="00673BEF"/>
    <w:rsid w:val="00673F30"/>
    <w:rsid w:val="00673F79"/>
    <w:rsid w:val="00673FB4"/>
    <w:rsid w:val="00674244"/>
    <w:rsid w:val="00674476"/>
    <w:rsid w:val="006744E5"/>
    <w:rsid w:val="00674680"/>
    <w:rsid w:val="00674695"/>
    <w:rsid w:val="006747C3"/>
    <w:rsid w:val="00674873"/>
    <w:rsid w:val="00674964"/>
    <w:rsid w:val="0067502C"/>
    <w:rsid w:val="006751A9"/>
    <w:rsid w:val="006751E1"/>
    <w:rsid w:val="00675576"/>
    <w:rsid w:val="00675763"/>
    <w:rsid w:val="00675E05"/>
    <w:rsid w:val="00675E0E"/>
    <w:rsid w:val="00675F82"/>
    <w:rsid w:val="00676216"/>
    <w:rsid w:val="00676540"/>
    <w:rsid w:val="0067684C"/>
    <w:rsid w:val="006768A5"/>
    <w:rsid w:val="0067692C"/>
    <w:rsid w:val="0067699D"/>
    <w:rsid w:val="00676C0A"/>
    <w:rsid w:val="00676D08"/>
    <w:rsid w:val="00676F09"/>
    <w:rsid w:val="00676F99"/>
    <w:rsid w:val="0067711B"/>
    <w:rsid w:val="00677122"/>
    <w:rsid w:val="00677217"/>
    <w:rsid w:val="006772F4"/>
    <w:rsid w:val="0067730F"/>
    <w:rsid w:val="006773F6"/>
    <w:rsid w:val="0067773C"/>
    <w:rsid w:val="0067796C"/>
    <w:rsid w:val="00677A27"/>
    <w:rsid w:val="00677ABA"/>
    <w:rsid w:val="00677E9D"/>
    <w:rsid w:val="00677FDA"/>
    <w:rsid w:val="006803C6"/>
    <w:rsid w:val="006806C6"/>
    <w:rsid w:val="0068073D"/>
    <w:rsid w:val="0068085A"/>
    <w:rsid w:val="0068087C"/>
    <w:rsid w:val="00680907"/>
    <w:rsid w:val="00680BBC"/>
    <w:rsid w:val="00680E31"/>
    <w:rsid w:val="00680E4B"/>
    <w:rsid w:val="00681005"/>
    <w:rsid w:val="006810F7"/>
    <w:rsid w:val="00681178"/>
    <w:rsid w:val="00681193"/>
    <w:rsid w:val="006813C0"/>
    <w:rsid w:val="006815BE"/>
    <w:rsid w:val="0068163C"/>
    <w:rsid w:val="00681761"/>
    <w:rsid w:val="006818A3"/>
    <w:rsid w:val="00681933"/>
    <w:rsid w:val="00681A34"/>
    <w:rsid w:val="00681C2B"/>
    <w:rsid w:val="00681D41"/>
    <w:rsid w:val="00681DAF"/>
    <w:rsid w:val="00681F1B"/>
    <w:rsid w:val="0068203C"/>
    <w:rsid w:val="006821EB"/>
    <w:rsid w:val="00682370"/>
    <w:rsid w:val="006824FB"/>
    <w:rsid w:val="0068255B"/>
    <w:rsid w:val="00682625"/>
    <w:rsid w:val="006826C8"/>
    <w:rsid w:val="00682870"/>
    <w:rsid w:val="00682C42"/>
    <w:rsid w:val="00682D63"/>
    <w:rsid w:val="00683000"/>
    <w:rsid w:val="006833EB"/>
    <w:rsid w:val="0068343B"/>
    <w:rsid w:val="00683545"/>
    <w:rsid w:val="00683589"/>
    <w:rsid w:val="006835F4"/>
    <w:rsid w:val="00683658"/>
    <w:rsid w:val="0068372F"/>
    <w:rsid w:val="0068373F"/>
    <w:rsid w:val="00683894"/>
    <w:rsid w:val="00683A07"/>
    <w:rsid w:val="00683B31"/>
    <w:rsid w:val="00684150"/>
    <w:rsid w:val="00684177"/>
    <w:rsid w:val="00684191"/>
    <w:rsid w:val="00684194"/>
    <w:rsid w:val="00684225"/>
    <w:rsid w:val="00684268"/>
    <w:rsid w:val="00684404"/>
    <w:rsid w:val="00684907"/>
    <w:rsid w:val="00684988"/>
    <w:rsid w:val="00684BA9"/>
    <w:rsid w:val="00684C15"/>
    <w:rsid w:val="00684C3A"/>
    <w:rsid w:val="00684CF2"/>
    <w:rsid w:val="00684FFD"/>
    <w:rsid w:val="006852B6"/>
    <w:rsid w:val="00685351"/>
    <w:rsid w:val="0068546F"/>
    <w:rsid w:val="00685891"/>
    <w:rsid w:val="006859C9"/>
    <w:rsid w:val="00685A18"/>
    <w:rsid w:val="00685FF9"/>
    <w:rsid w:val="0068621E"/>
    <w:rsid w:val="006862B2"/>
    <w:rsid w:val="006862E9"/>
    <w:rsid w:val="00686304"/>
    <w:rsid w:val="00686459"/>
    <w:rsid w:val="00686624"/>
    <w:rsid w:val="0068666B"/>
    <w:rsid w:val="00686A50"/>
    <w:rsid w:val="00686A93"/>
    <w:rsid w:val="00686E3E"/>
    <w:rsid w:val="00686E69"/>
    <w:rsid w:val="00686FAA"/>
    <w:rsid w:val="00687061"/>
    <w:rsid w:val="0068713E"/>
    <w:rsid w:val="00687233"/>
    <w:rsid w:val="006874AC"/>
    <w:rsid w:val="00687613"/>
    <w:rsid w:val="006876B4"/>
    <w:rsid w:val="00687740"/>
    <w:rsid w:val="006879DB"/>
    <w:rsid w:val="006879EC"/>
    <w:rsid w:val="00687B07"/>
    <w:rsid w:val="00687D42"/>
    <w:rsid w:val="00687DA2"/>
    <w:rsid w:val="00687E2B"/>
    <w:rsid w:val="00687F5B"/>
    <w:rsid w:val="00690419"/>
    <w:rsid w:val="0069045E"/>
    <w:rsid w:val="0069047A"/>
    <w:rsid w:val="006908AC"/>
    <w:rsid w:val="006908D3"/>
    <w:rsid w:val="006909D1"/>
    <w:rsid w:val="00690A46"/>
    <w:rsid w:val="00690AF1"/>
    <w:rsid w:val="00690B8D"/>
    <w:rsid w:val="00690DEF"/>
    <w:rsid w:val="006913A0"/>
    <w:rsid w:val="00691937"/>
    <w:rsid w:val="00691B82"/>
    <w:rsid w:val="00691F6A"/>
    <w:rsid w:val="006924B6"/>
    <w:rsid w:val="00692510"/>
    <w:rsid w:val="00692536"/>
    <w:rsid w:val="0069258D"/>
    <w:rsid w:val="006925DE"/>
    <w:rsid w:val="0069266F"/>
    <w:rsid w:val="00692750"/>
    <w:rsid w:val="00692779"/>
    <w:rsid w:val="00692986"/>
    <w:rsid w:val="00692A07"/>
    <w:rsid w:val="00692AC5"/>
    <w:rsid w:val="00692AD0"/>
    <w:rsid w:val="006930E6"/>
    <w:rsid w:val="00693405"/>
    <w:rsid w:val="006936E8"/>
    <w:rsid w:val="00693727"/>
    <w:rsid w:val="006938BF"/>
    <w:rsid w:val="00693A0A"/>
    <w:rsid w:val="00693AF6"/>
    <w:rsid w:val="00693D1C"/>
    <w:rsid w:val="00693FC9"/>
    <w:rsid w:val="0069426A"/>
    <w:rsid w:val="00694274"/>
    <w:rsid w:val="00694344"/>
    <w:rsid w:val="00694376"/>
    <w:rsid w:val="0069441E"/>
    <w:rsid w:val="00694765"/>
    <w:rsid w:val="00694935"/>
    <w:rsid w:val="00694A31"/>
    <w:rsid w:val="00694DB1"/>
    <w:rsid w:val="00694DE0"/>
    <w:rsid w:val="00694F0D"/>
    <w:rsid w:val="00694F4B"/>
    <w:rsid w:val="00694FCA"/>
    <w:rsid w:val="006951D7"/>
    <w:rsid w:val="006951F7"/>
    <w:rsid w:val="006955AA"/>
    <w:rsid w:val="0069589F"/>
    <w:rsid w:val="00695CC0"/>
    <w:rsid w:val="00695EDC"/>
    <w:rsid w:val="00695FAA"/>
    <w:rsid w:val="00696413"/>
    <w:rsid w:val="0069666A"/>
    <w:rsid w:val="00696803"/>
    <w:rsid w:val="006968B7"/>
    <w:rsid w:val="00696C41"/>
    <w:rsid w:val="0069714C"/>
    <w:rsid w:val="006973B1"/>
    <w:rsid w:val="00697509"/>
    <w:rsid w:val="00697515"/>
    <w:rsid w:val="00697569"/>
    <w:rsid w:val="006975A1"/>
    <w:rsid w:val="00697939"/>
    <w:rsid w:val="00697A61"/>
    <w:rsid w:val="00697AE5"/>
    <w:rsid w:val="00697B82"/>
    <w:rsid w:val="006A02E8"/>
    <w:rsid w:val="006A06B7"/>
    <w:rsid w:val="006A0768"/>
    <w:rsid w:val="006A0798"/>
    <w:rsid w:val="006A0890"/>
    <w:rsid w:val="006A0E90"/>
    <w:rsid w:val="006A13C8"/>
    <w:rsid w:val="006A1759"/>
    <w:rsid w:val="006A1AA5"/>
    <w:rsid w:val="006A1C56"/>
    <w:rsid w:val="006A1CC8"/>
    <w:rsid w:val="006A1D6A"/>
    <w:rsid w:val="006A1DE1"/>
    <w:rsid w:val="006A1FA2"/>
    <w:rsid w:val="006A21CD"/>
    <w:rsid w:val="006A238C"/>
    <w:rsid w:val="006A2C6F"/>
    <w:rsid w:val="006A2D51"/>
    <w:rsid w:val="006A3188"/>
    <w:rsid w:val="006A31A7"/>
    <w:rsid w:val="006A3431"/>
    <w:rsid w:val="006A35B0"/>
    <w:rsid w:val="006A36C1"/>
    <w:rsid w:val="006A375A"/>
    <w:rsid w:val="006A37DE"/>
    <w:rsid w:val="006A37F1"/>
    <w:rsid w:val="006A3B1E"/>
    <w:rsid w:val="006A3B45"/>
    <w:rsid w:val="006A3BAA"/>
    <w:rsid w:val="006A3E13"/>
    <w:rsid w:val="006A3F1D"/>
    <w:rsid w:val="006A40EB"/>
    <w:rsid w:val="006A44F0"/>
    <w:rsid w:val="006A452E"/>
    <w:rsid w:val="006A45D0"/>
    <w:rsid w:val="006A4795"/>
    <w:rsid w:val="006A4855"/>
    <w:rsid w:val="006A4D24"/>
    <w:rsid w:val="006A4DE1"/>
    <w:rsid w:val="006A4E59"/>
    <w:rsid w:val="006A4EA1"/>
    <w:rsid w:val="006A50AA"/>
    <w:rsid w:val="006A51F8"/>
    <w:rsid w:val="006A54CC"/>
    <w:rsid w:val="006A59FE"/>
    <w:rsid w:val="006A5AD3"/>
    <w:rsid w:val="006A6147"/>
    <w:rsid w:val="006A62A9"/>
    <w:rsid w:val="006A6635"/>
    <w:rsid w:val="006A66B5"/>
    <w:rsid w:val="006A6724"/>
    <w:rsid w:val="006A6A19"/>
    <w:rsid w:val="006A6AF0"/>
    <w:rsid w:val="006A6BC1"/>
    <w:rsid w:val="006A6C13"/>
    <w:rsid w:val="006A6DC0"/>
    <w:rsid w:val="006A7000"/>
    <w:rsid w:val="006A71B8"/>
    <w:rsid w:val="006A7365"/>
    <w:rsid w:val="006A750C"/>
    <w:rsid w:val="006A7A7A"/>
    <w:rsid w:val="006A7BBF"/>
    <w:rsid w:val="006A7E21"/>
    <w:rsid w:val="006A7EB6"/>
    <w:rsid w:val="006A7FBB"/>
    <w:rsid w:val="006AF24E"/>
    <w:rsid w:val="006B022E"/>
    <w:rsid w:val="006B02E9"/>
    <w:rsid w:val="006B04A8"/>
    <w:rsid w:val="006B0659"/>
    <w:rsid w:val="006B07DA"/>
    <w:rsid w:val="006B09A5"/>
    <w:rsid w:val="006B0ADD"/>
    <w:rsid w:val="006B0B1F"/>
    <w:rsid w:val="006B0F9A"/>
    <w:rsid w:val="006B1071"/>
    <w:rsid w:val="006B10B8"/>
    <w:rsid w:val="006B1446"/>
    <w:rsid w:val="006B1513"/>
    <w:rsid w:val="006B15E5"/>
    <w:rsid w:val="006B15F0"/>
    <w:rsid w:val="006B1ADB"/>
    <w:rsid w:val="006B1B7D"/>
    <w:rsid w:val="006B1CF2"/>
    <w:rsid w:val="006B2286"/>
    <w:rsid w:val="006B262D"/>
    <w:rsid w:val="006B2653"/>
    <w:rsid w:val="006B27B4"/>
    <w:rsid w:val="006B2985"/>
    <w:rsid w:val="006B2A2F"/>
    <w:rsid w:val="006B2A57"/>
    <w:rsid w:val="006B2BB7"/>
    <w:rsid w:val="006B2C7A"/>
    <w:rsid w:val="006B2F65"/>
    <w:rsid w:val="006B35A8"/>
    <w:rsid w:val="006B35AC"/>
    <w:rsid w:val="006B35E4"/>
    <w:rsid w:val="006B35FF"/>
    <w:rsid w:val="006B402B"/>
    <w:rsid w:val="006B451F"/>
    <w:rsid w:val="006B4545"/>
    <w:rsid w:val="006B46A2"/>
    <w:rsid w:val="006B476D"/>
    <w:rsid w:val="006B4897"/>
    <w:rsid w:val="006B4CBC"/>
    <w:rsid w:val="006B4DB4"/>
    <w:rsid w:val="006B4F89"/>
    <w:rsid w:val="006B5203"/>
    <w:rsid w:val="006B56BB"/>
    <w:rsid w:val="006B573F"/>
    <w:rsid w:val="006B592A"/>
    <w:rsid w:val="006B59F7"/>
    <w:rsid w:val="006B5BB6"/>
    <w:rsid w:val="006B5BBA"/>
    <w:rsid w:val="006B5BFB"/>
    <w:rsid w:val="006B5C32"/>
    <w:rsid w:val="006B5C36"/>
    <w:rsid w:val="006B5C47"/>
    <w:rsid w:val="006B5E5A"/>
    <w:rsid w:val="006B5F8C"/>
    <w:rsid w:val="006B6313"/>
    <w:rsid w:val="006B69A8"/>
    <w:rsid w:val="006B6A9A"/>
    <w:rsid w:val="006B6C94"/>
    <w:rsid w:val="006B6F37"/>
    <w:rsid w:val="006B6F86"/>
    <w:rsid w:val="006B70A4"/>
    <w:rsid w:val="006B70B1"/>
    <w:rsid w:val="006B7122"/>
    <w:rsid w:val="006B7185"/>
    <w:rsid w:val="006B7783"/>
    <w:rsid w:val="006B77BC"/>
    <w:rsid w:val="006B7950"/>
    <w:rsid w:val="006B7A40"/>
    <w:rsid w:val="006B7CFC"/>
    <w:rsid w:val="006B7FE3"/>
    <w:rsid w:val="006C0060"/>
    <w:rsid w:val="006C0135"/>
    <w:rsid w:val="006C0563"/>
    <w:rsid w:val="006C0625"/>
    <w:rsid w:val="006C07C3"/>
    <w:rsid w:val="006C089A"/>
    <w:rsid w:val="006C1201"/>
    <w:rsid w:val="006C13F4"/>
    <w:rsid w:val="006C16EC"/>
    <w:rsid w:val="006C1708"/>
    <w:rsid w:val="006C1787"/>
    <w:rsid w:val="006C1857"/>
    <w:rsid w:val="006C1996"/>
    <w:rsid w:val="006C22ED"/>
    <w:rsid w:val="006C246A"/>
    <w:rsid w:val="006C27F5"/>
    <w:rsid w:val="006C2CD3"/>
    <w:rsid w:val="006C2EF4"/>
    <w:rsid w:val="006C2EF9"/>
    <w:rsid w:val="006C2FD4"/>
    <w:rsid w:val="006C30B3"/>
    <w:rsid w:val="006C326E"/>
    <w:rsid w:val="006C3745"/>
    <w:rsid w:val="006C374B"/>
    <w:rsid w:val="006C377F"/>
    <w:rsid w:val="006C37AF"/>
    <w:rsid w:val="006C397A"/>
    <w:rsid w:val="006C4478"/>
    <w:rsid w:val="006C45AE"/>
    <w:rsid w:val="006C46C8"/>
    <w:rsid w:val="006C48D3"/>
    <w:rsid w:val="006C4C62"/>
    <w:rsid w:val="006C4CCC"/>
    <w:rsid w:val="006C4D45"/>
    <w:rsid w:val="006C50A3"/>
    <w:rsid w:val="006C530E"/>
    <w:rsid w:val="006C547F"/>
    <w:rsid w:val="006C55E7"/>
    <w:rsid w:val="006C570D"/>
    <w:rsid w:val="006C586E"/>
    <w:rsid w:val="006C5A71"/>
    <w:rsid w:val="006C5AF3"/>
    <w:rsid w:val="006C5B28"/>
    <w:rsid w:val="006C5B7D"/>
    <w:rsid w:val="006C5B8D"/>
    <w:rsid w:val="006C5DA8"/>
    <w:rsid w:val="006C5E9D"/>
    <w:rsid w:val="006C5EB3"/>
    <w:rsid w:val="006C6467"/>
    <w:rsid w:val="006C673D"/>
    <w:rsid w:val="006C67C7"/>
    <w:rsid w:val="006C6A81"/>
    <w:rsid w:val="006C6EB9"/>
    <w:rsid w:val="006C6F89"/>
    <w:rsid w:val="006C6FB0"/>
    <w:rsid w:val="006C701D"/>
    <w:rsid w:val="006C7037"/>
    <w:rsid w:val="006C7295"/>
    <w:rsid w:val="006C729E"/>
    <w:rsid w:val="006C7430"/>
    <w:rsid w:val="006C76A1"/>
    <w:rsid w:val="006C77A8"/>
    <w:rsid w:val="006C787E"/>
    <w:rsid w:val="006C7A03"/>
    <w:rsid w:val="006C7AC4"/>
    <w:rsid w:val="006C7B52"/>
    <w:rsid w:val="006C7B67"/>
    <w:rsid w:val="006C7DB5"/>
    <w:rsid w:val="006C7DE6"/>
    <w:rsid w:val="006C7DFE"/>
    <w:rsid w:val="006C7F46"/>
    <w:rsid w:val="006D014A"/>
    <w:rsid w:val="006D01CD"/>
    <w:rsid w:val="006D0370"/>
    <w:rsid w:val="006D044A"/>
    <w:rsid w:val="006D05ED"/>
    <w:rsid w:val="006D07BF"/>
    <w:rsid w:val="006D09E6"/>
    <w:rsid w:val="006D09F4"/>
    <w:rsid w:val="006D0AC3"/>
    <w:rsid w:val="006D0C15"/>
    <w:rsid w:val="006D0E4C"/>
    <w:rsid w:val="006D1A2F"/>
    <w:rsid w:val="006D1C01"/>
    <w:rsid w:val="006D2164"/>
    <w:rsid w:val="006D22D4"/>
    <w:rsid w:val="006D2463"/>
    <w:rsid w:val="006D2898"/>
    <w:rsid w:val="006D28E3"/>
    <w:rsid w:val="006D2929"/>
    <w:rsid w:val="006D29F6"/>
    <w:rsid w:val="006D30B4"/>
    <w:rsid w:val="006D316F"/>
    <w:rsid w:val="006D3342"/>
    <w:rsid w:val="006D38F7"/>
    <w:rsid w:val="006D3B55"/>
    <w:rsid w:val="006D3C27"/>
    <w:rsid w:val="006D3DEC"/>
    <w:rsid w:val="006D3F62"/>
    <w:rsid w:val="006D3F76"/>
    <w:rsid w:val="006D4098"/>
    <w:rsid w:val="006D4386"/>
    <w:rsid w:val="006D4530"/>
    <w:rsid w:val="006D4709"/>
    <w:rsid w:val="006D470B"/>
    <w:rsid w:val="006D4722"/>
    <w:rsid w:val="006D4A1A"/>
    <w:rsid w:val="006D4B8B"/>
    <w:rsid w:val="006D4DC9"/>
    <w:rsid w:val="006D4E22"/>
    <w:rsid w:val="006D4F5E"/>
    <w:rsid w:val="006D5052"/>
    <w:rsid w:val="006D523E"/>
    <w:rsid w:val="006D526A"/>
    <w:rsid w:val="006D52E8"/>
    <w:rsid w:val="006D568A"/>
    <w:rsid w:val="006D568F"/>
    <w:rsid w:val="006D571C"/>
    <w:rsid w:val="006D5AFD"/>
    <w:rsid w:val="006D5CE4"/>
    <w:rsid w:val="006D6048"/>
    <w:rsid w:val="006D60B2"/>
    <w:rsid w:val="006D6216"/>
    <w:rsid w:val="006D637E"/>
    <w:rsid w:val="006D66B2"/>
    <w:rsid w:val="006D698B"/>
    <w:rsid w:val="006D6CF1"/>
    <w:rsid w:val="006D7367"/>
    <w:rsid w:val="006D7574"/>
    <w:rsid w:val="006D7681"/>
    <w:rsid w:val="006D775E"/>
    <w:rsid w:val="006D77CF"/>
    <w:rsid w:val="006D7B22"/>
    <w:rsid w:val="006D7B2E"/>
    <w:rsid w:val="006D7BE5"/>
    <w:rsid w:val="006D7DC9"/>
    <w:rsid w:val="006D7E3E"/>
    <w:rsid w:val="006E026B"/>
    <w:rsid w:val="006E02EA"/>
    <w:rsid w:val="006E03DD"/>
    <w:rsid w:val="006E05F4"/>
    <w:rsid w:val="006E0968"/>
    <w:rsid w:val="006E0BC4"/>
    <w:rsid w:val="006E0CFF"/>
    <w:rsid w:val="006E0E7B"/>
    <w:rsid w:val="006E0E8B"/>
    <w:rsid w:val="006E0F61"/>
    <w:rsid w:val="006E10A7"/>
    <w:rsid w:val="006E12AB"/>
    <w:rsid w:val="006E1318"/>
    <w:rsid w:val="006E13A5"/>
    <w:rsid w:val="006E13BB"/>
    <w:rsid w:val="006E16AC"/>
    <w:rsid w:val="006E18EE"/>
    <w:rsid w:val="006E1B29"/>
    <w:rsid w:val="006E1C38"/>
    <w:rsid w:val="006E1D9B"/>
    <w:rsid w:val="006E1ED5"/>
    <w:rsid w:val="006E1F30"/>
    <w:rsid w:val="006E1F76"/>
    <w:rsid w:val="006E206E"/>
    <w:rsid w:val="006E20CA"/>
    <w:rsid w:val="006E221A"/>
    <w:rsid w:val="006E2272"/>
    <w:rsid w:val="006E247B"/>
    <w:rsid w:val="006E24A2"/>
    <w:rsid w:val="006E2562"/>
    <w:rsid w:val="006E2749"/>
    <w:rsid w:val="006E29C6"/>
    <w:rsid w:val="006E29F8"/>
    <w:rsid w:val="006E29FF"/>
    <w:rsid w:val="006E2AF6"/>
    <w:rsid w:val="006E2F9C"/>
    <w:rsid w:val="006E3064"/>
    <w:rsid w:val="006E3125"/>
    <w:rsid w:val="006E321C"/>
    <w:rsid w:val="006E32BF"/>
    <w:rsid w:val="006E347D"/>
    <w:rsid w:val="006E3A18"/>
    <w:rsid w:val="006E3D4A"/>
    <w:rsid w:val="006E3E3A"/>
    <w:rsid w:val="006E3E79"/>
    <w:rsid w:val="006E405F"/>
    <w:rsid w:val="006E438B"/>
    <w:rsid w:val="006E43B1"/>
    <w:rsid w:val="006E53E9"/>
    <w:rsid w:val="006E5642"/>
    <w:rsid w:val="006E5910"/>
    <w:rsid w:val="006E59CD"/>
    <w:rsid w:val="006E5AE3"/>
    <w:rsid w:val="006E5BA1"/>
    <w:rsid w:val="006E5D09"/>
    <w:rsid w:val="006E5F39"/>
    <w:rsid w:val="006E6136"/>
    <w:rsid w:val="006E65D7"/>
    <w:rsid w:val="006E665C"/>
    <w:rsid w:val="006E6773"/>
    <w:rsid w:val="006E6B5F"/>
    <w:rsid w:val="006E7148"/>
    <w:rsid w:val="006E7347"/>
    <w:rsid w:val="006E735C"/>
    <w:rsid w:val="006E744C"/>
    <w:rsid w:val="006E7500"/>
    <w:rsid w:val="006E787F"/>
    <w:rsid w:val="006E7D26"/>
    <w:rsid w:val="006F00C6"/>
    <w:rsid w:val="006F025F"/>
    <w:rsid w:val="006F0393"/>
    <w:rsid w:val="006F0465"/>
    <w:rsid w:val="006F0629"/>
    <w:rsid w:val="006F07F4"/>
    <w:rsid w:val="006F091A"/>
    <w:rsid w:val="006F092D"/>
    <w:rsid w:val="006F0A66"/>
    <w:rsid w:val="006F0C61"/>
    <w:rsid w:val="006F139D"/>
    <w:rsid w:val="006F1592"/>
    <w:rsid w:val="006F159B"/>
    <w:rsid w:val="006F162E"/>
    <w:rsid w:val="006F17F9"/>
    <w:rsid w:val="006F1805"/>
    <w:rsid w:val="006F1D41"/>
    <w:rsid w:val="006F1E5F"/>
    <w:rsid w:val="006F20B8"/>
    <w:rsid w:val="006F219E"/>
    <w:rsid w:val="006F22DE"/>
    <w:rsid w:val="006F263E"/>
    <w:rsid w:val="006F2A73"/>
    <w:rsid w:val="006F2DCC"/>
    <w:rsid w:val="006F2E90"/>
    <w:rsid w:val="006F3267"/>
    <w:rsid w:val="006F3352"/>
    <w:rsid w:val="006F35FE"/>
    <w:rsid w:val="006F37D7"/>
    <w:rsid w:val="006F39A5"/>
    <w:rsid w:val="006F3A47"/>
    <w:rsid w:val="006F3ADB"/>
    <w:rsid w:val="006F3BD2"/>
    <w:rsid w:val="006F4537"/>
    <w:rsid w:val="006F4744"/>
    <w:rsid w:val="006F481E"/>
    <w:rsid w:val="006F48B3"/>
    <w:rsid w:val="006F495A"/>
    <w:rsid w:val="006F4983"/>
    <w:rsid w:val="006F4A0A"/>
    <w:rsid w:val="006F4A34"/>
    <w:rsid w:val="006F4DE0"/>
    <w:rsid w:val="006F4E91"/>
    <w:rsid w:val="006F5179"/>
    <w:rsid w:val="006F5337"/>
    <w:rsid w:val="006F5387"/>
    <w:rsid w:val="006F5779"/>
    <w:rsid w:val="006F5850"/>
    <w:rsid w:val="006F59A3"/>
    <w:rsid w:val="006F5BE3"/>
    <w:rsid w:val="006F6013"/>
    <w:rsid w:val="006F60B2"/>
    <w:rsid w:val="006F6643"/>
    <w:rsid w:val="006F66A2"/>
    <w:rsid w:val="006F6853"/>
    <w:rsid w:val="006F689E"/>
    <w:rsid w:val="006F6A30"/>
    <w:rsid w:val="006F6BC9"/>
    <w:rsid w:val="006F6D29"/>
    <w:rsid w:val="006F6DDF"/>
    <w:rsid w:val="006F6EE0"/>
    <w:rsid w:val="006F6F33"/>
    <w:rsid w:val="006F7010"/>
    <w:rsid w:val="006F7020"/>
    <w:rsid w:val="006F7144"/>
    <w:rsid w:val="006F7288"/>
    <w:rsid w:val="006F7597"/>
    <w:rsid w:val="006F77B0"/>
    <w:rsid w:val="006F7A55"/>
    <w:rsid w:val="006F7B99"/>
    <w:rsid w:val="006F7DAC"/>
    <w:rsid w:val="006F7FD3"/>
    <w:rsid w:val="00700000"/>
    <w:rsid w:val="00700373"/>
    <w:rsid w:val="007003F7"/>
    <w:rsid w:val="007004D4"/>
    <w:rsid w:val="007007CD"/>
    <w:rsid w:val="00700B2F"/>
    <w:rsid w:val="00700B3A"/>
    <w:rsid w:val="00700F2E"/>
    <w:rsid w:val="007010BE"/>
    <w:rsid w:val="007011C3"/>
    <w:rsid w:val="00701275"/>
    <w:rsid w:val="0070132C"/>
    <w:rsid w:val="007015B5"/>
    <w:rsid w:val="00701ACF"/>
    <w:rsid w:val="00701F12"/>
    <w:rsid w:val="007020B5"/>
    <w:rsid w:val="0070247D"/>
    <w:rsid w:val="00702542"/>
    <w:rsid w:val="00702597"/>
    <w:rsid w:val="00702631"/>
    <w:rsid w:val="00702C12"/>
    <w:rsid w:val="00702D34"/>
    <w:rsid w:val="00703082"/>
    <w:rsid w:val="007032E8"/>
    <w:rsid w:val="00703758"/>
    <w:rsid w:val="00703A2E"/>
    <w:rsid w:val="00703B60"/>
    <w:rsid w:val="00703B8F"/>
    <w:rsid w:val="00703E37"/>
    <w:rsid w:val="00704069"/>
    <w:rsid w:val="0070437E"/>
    <w:rsid w:val="007044DE"/>
    <w:rsid w:val="00704531"/>
    <w:rsid w:val="00704967"/>
    <w:rsid w:val="00704A10"/>
    <w:rsid w:val="00704CA1"/>
    <w:rsid w:val="00704E52"/>
    <w:rsid w:val="00705273"/>
    <w:rsid w:val="00705692"/>
    <w:rsid w:val="0070572B"/>
    <w:rsid w:val="00705842"/>
    <w:rsid w:val="00705908"/>
    <w:rsid w:val="007059B7"/>
    <w:rsid w:val="00705FF0"/>
    <w:rsid w:val="00706068"/>
    <w:rsid w:val="007061FF"/>
    <w:rsid w:val="0070626F"/>
    <w:rsid w:val="00706311"/>
    <w:rsid w:val="0070634F"/>
    <w:rsid w:val="007063DB"/>
    <w:rsid w:val="00706763"/>
    <w:rsid w:val="007068CA"/>
    <w:rsid w:val="00706998"/>
    <w:rsid w:val="0070745D"/>
    <w:rsid w:val="007074B6"/>
    <w:rsid w:val="0070776F"/>
    <w:rsid w:val="00707884"/>
    <w:rsid w:val="007079A0"/>
    <w:rsid w:val="00707A82"/>
    <w:rsid w:val="00707D55"/>
    <w:rsid w:val="00707F56"/>
    <w:rsid w:val="00707F58"/>
    <w:rsid w:val="0071000C"/>
    <w:rsid w:val="00710099"/>
    <w:rsid w:val="0071018D"/>
    <w:rsid w:val="007104AF"/>
    <w:rsid w:val="007106CA"/>
    <w:rsid w:val="00710801"/>
    <w:rsid w:val="0071090D"/>
    <w:rsid w:val="00710953"/>
    <w:rsid w:val="007109B9"/>
    <w:rsid w:val="007109F9"/>
    <w:rsid w:val="00710A62"/>
    <w:rsid w:val="00710CE1"/>
    <w:rsid w:val="00710E70"/>
    <w:rsid w:val="007111B2"/>
    <w:rsid w:val="007111F2"/>
    <w:rsid w:val="007112D7"/>
    <w:rsid w:val="00711333"/>
    <w:rsid w:val="007113AD"/>
    <w:rsid w:val="0071176F"/>
    <w:rsid w:val="0071189A"/>
    <w:rsid w:val="007118E2"/>
    <w:rsid w:val="00711E37"/>
    <w:rsid w:val="00711ED1"/>
    <w:rsid w:val="00712019"/>
    <w:rsid w:val="0071219E"/>
    <w:rsid w:val="00712282"/>
    <w:rsid w:val="00712567"/>
    <w:rsid w:val="0071264B"/>
    <w:rsid w:val="007129C1"/>
    <w:rsid w:val="00712AB5"/>
    <w:rsid w:val="00712C3D"/>
    <w:rsid w:val="00712EC1"/>
    <w:rsid w:val="00712F7F"/>
    <w:rsid w:val="0071309F"/>
    <w:rsid w:val="007130E6"/>
    <w:rsid w:val="00713558"/>
    <w:rsid w:val="00713615"/>
    <w:rsid w:val="00714098"/>
    <w:rsid w:val="00714897"/>
    <w:rsid w:val="00714C37"/>
    <w:rsid w:val="00714CB8"/>
    <w:rsid w:val="00714DB6"/>
    <w:rsid w:val="00714E94"/>
    <w:rsid w:val="00715110"/>
    <w:rsid w:val="0071516B"/>
    <w:rsid w:val="0071553D"/>
    <w:rsid w:val="00715581"/>
    <w:rsid w:val="0071564F"/>
    <w:rsid w:val="00715AE8"/>
    <w:rsid w:val="00715C02"/>
    <w:rsid w:val="00715E17"/>
    <w:rsid w:val="0071601B"/>
    <w:rsid w:val="007160F0"/>
    <w:rsid w:val="007161F5"/>
    <w:rsid w:val="007166DC"/>
    <w:rsid w:val="00716ACD"/>
    <w:rsid w:val="00716CC4"/>
    <w:rsid w:val="00716DE3"/>
    <w:rsid w:val="00717091"/>
    <w:rsid w:val="0071756B"/>
    <w:rsid w:val="007176F4"/>
    <w:rsid w:val="00717A9B"/>
    <w:rsid w:val="00717AB5"/>
    <w:rsid w:val="00717C33"/>
    <w:rsid w:val="00717E99"/>
    <w:rsid w:val="00717F0D"/>
    <w:rsid w:val="00717F75"/>
    <w:rsid w:val="00717FD4"/>
    <w:rsid w:val="00717FE1"/>
    <w:rsid w:val="00720062"/>
    <w:rsid w:val="007201C6"/>
    <w:rsid w:val="00720465"/>
    <w:rsid w:val="0072063F"/>
    <w:rsid w:val="00720696"/>
    <w:rsid w:val="007206F5"/>
    <w:rsid w:val="0072099C"/>
    <w:rsid w:val="00720BCB"/>
    <w:rsid w:val="00720C1F"/>
    <w:rsid w:val="00720C93"/>
    <w:rsid w:val="00720D08"/>
    <w:rsid w:val="00720D23"/>
    <w:rsid w:val="00720ED8"/>
    <w:rsid w:val="0072114A"/>
    <w:rsid w:val="007211FD"/>
    <w:rsid w:val="007212DA"/>
    <w:rsid w:val="007214DE"/>
    <w:rsid w:val="007215C6"/>
    <w:rsid w:val="0072162A"/>
    <w:rsid w:val="00721A35"/>
    <w:rsid w:val="00721A40"/>
    <w:rsid w:val="00721BBE"/>
    <w:rsid w:val="00721CE3"/>
    <w:rsid w:val="00721F30"/>
    <w:rsid w:val="0072202D"/>
    <w:rsid w:val="007220A7"/>
    <w:rsid w:val="00722287"/>
    <w:rsid w:val="0072240E"/>
    <w:rsid w:val="0072261F"/>
    <w:rsid w:val="00722688"/>
    <w:rsid w:val="00722783"/>
    <w:rsid w:val="00722C5C"/>
    <w:rsid w:val="00722DAC"/>
    <w:rsid w:val="00723255"/>
    <w:rsid w:val="00723705"/>
    <w:rsid w:val="007238D1"/>
    <w:rsid w:val="00723951"/>
    <w:rsid w:val="00723A64"/>
    <w:rsid w:val="00723B37"/>
    <w:rsid w:val="00723C26"/>
    <w:rsid w:val="00723D24"/>
    <w:rsid w:val="007241A7"/>
    <w:rsid w:val="00724386"/>
    <w:rsid w:val="00724416"/>
    <w:rsid w:val="0072443B"/>
    <w:rsid w:val="00724476"/>
    <w:rsid w:val="0072474C"/>
    <w:rsid w:val="00724798"/>
    <w:rsid w:val="0072487C"/>
    <w:rsid w:val="0072489F"/>
    <w:rsid w:val="00724DBA"/>
    <w:rsid w:val="00724EB9"/>
    <w:rsid w:val="007252DF"/>
    <w:rsid w:val="00725611"/>
    <w:rsid w:val="00725AAA"/>
    <w:rsid w:val="00725F91"/>
    <w:rsid w:val="007261A3"/>
    <w:rsid w:val="007263B9"/>
    <w:rsid w:val="00726542"/>
    <w:rsid w:val="00726711"/>
    <w:rsid w:val="0072679C"/>
    <w:rsid w:val="00726839"/>
    <w:rsid w:val="007269F1"/>
    <w:rsid w:val="00726D11"/>
    <w:rsid w:val="00726E33"/>
    <w:rsid w:val="00726E7E"/>
    <w:rsid w:val="00726FC9"/>
    <w:rsid w:val="007270D7"/>
    <w:rsid w:val="0072722F"/>
    <w:rsid w:val="007272BC"/>
    <w:rsid w:val="00727423"/>
    <w:rsid w:val="0072751D"/>
    <w:rsid w:val="00727AC6"/>
    <w:rsid w:val="00727B92"/>
    <w:rsid w:val="00727CF2"/>
    <w:rsid w:val="00727E30"/>
    <w:rsid w:val="00727E32"/>
    <w:rsid w:val="00727FA7"/>
    <w:rsid w:val="007300D0"/>
    <w:rsid w:val="00730429"/>
    <w:rsid w:val="00730578"/>
    <w:rsid w:val="007305B4"/>
    <w:rsid w:val="007306DD"/>
    <w:rsid w:val="00730D22"/>
    <w:rsid w:val="00730D6A"/>
    <w:rsid w:val="00730E7C"/>
    <w:rsid w:val="00730EA0"/>
    <w:rsid w:val="00730EF4"/>
    <w:rsid w:val="00730FD4"/>
    <w:rsid w:val="00731467"/>
    <w:rsid w:val="007316DB"/>
    <w:rsid w:val="00731732"/>
    <w:rsid w:val="0073179A"/>
    <w:rsid w:val="007317D6"/>
    <w:rsid w:val="00731880"/>
    <w:rsid w:val="007319C1"/>
    <w:rsid w:val="00731C94"/>
    <w:rsid w:val="00731CD1"/>
    <w:rsid w:val="00732067"/>
    <w:rsid w:val="00732865"/>
    <w:rsid w:val="0073287C"/>
    <w:rsid w:val="00732AC3"/>
    <w:rsid w:val="00732D07"/>
    <w:rsid w:val="00732F26"/>
    <w:rsid w:val="00733415"/>
    <w:rsid w:val="00733484"/>
    <w:rsid w:val="007334F8"/>
    <w:rsid w:val="007336D9"/>
    <w:rsid w:val="007339CD"/>
    <w:rsid w:val="00733A1C"/>
    <w:rsid w:val="00733B78"/>
    <w:rsid w:val="00733C59"/>
    <w:rsid w:val="00733C78"/>
    <w:rsid w:val="0073400F"/>
    <w:rsid w:val="0073405E"/>
    <w:rsid w:val="007340A9"/>
    <w:rsid w:val="007340B6"/>
    <w:rsid w:val="007340C9"/>
    <w:rsid w:val="00734258"/>
    <w:rsid w:val="00734497"/>
    <w:rsid w:val="00734504"/>
    <w:rsid w:val="00734609"/>
    <w:rsid w:val="007347A6"/>
    <w:rsid w:val="007347EC"/>
    <w:rsid w:val="00734A63"/>
    <w:rsid w:val="00734DEC"/>
    <w:rsid w:val="00735138"/>
    <w:rsid w:val="0073523B"/>
    <w:rsid w:val="0073558A"/>
    <w:rsid w:val="00735599"/>
    <w:rsid w:val="007359D8"/>
    <w:rsid w:val="007359FB"/>
    <w:rsid w:val="00735F01"/>
    <w:rsid w:val="007362D4"/>
    <w:rsid w:val="0073632A"/>
    <w:rsid w:val="0073632B"/>
    <w:rsid w:val="00736462"/>
    <w:rsid w:val="00736499"/>
    <w:rsid w:val="007364CF"/>
    <w:rsid w:val="00736A00"/>
    <w:rsid w:val="00736BEA"/>
    <w:rsid w:val="00736D19"/>
    <w:rsid w:val="00736D1E"/>
    <w:rsid w:val="00736DA2"/>
    <w:rsid w:val="00736E3F"/>
    <w:rsid w:val="00736F64"/>
    <w:rsid w:val="00737019"/>
    <w:rsid w:val="0073711F"/>
    <w:rsid w:val="0073723F"/>
    <w:rsid w:val="00737369"/>
    <w:rsid w:val="00737404"/>
    <w:rsid w:val="00737496"/>
    <w:rsid w:val="007377EC"/>
    <w:rsid w:val="00737B28"/>
    <w:rsid w:val="00737B55"/>
    <w:rsid w:val="00737CD5"/>
    <w:rsid w:val="00737D1B"/>
    <w:rsid w:val="00737F42"/>
    <w:rsid w:val="0073AFC3"/>
    <w:rsid w:val="007400C2"/>
    <w:rsid w:val="00740247"/>
    <w:rsid w:val="0074063E"/>
    <w:rsid w:val="00740681"/>
    <w:rsid w:val="00740754"/>
    <w:rsid w:val="00740882"/>
    <w:rsid w:val="007409F5"/>
    <w:rsid w:val="00740AB2"/>
    <w:rsid w:val="00740C57"/>
    <w:rsid w:val="00740DFA"/>
    <w:rsid w:val="00740EB3"/>
    <w:rsid w:val="0074106C"/>
    <w:rsid w:val="00741097"/>
    <w:rsid w:val="00741237"/>
    <w:rsid w:val="0074134E"/>
    <w:rsid w:val="00741381"/>
    <w:rsid w:val="0074164A"/>
    <w:rsid w:val="007416FB"/>
    <w:rsid w:val="00741767"/>
    <w:rsid w:val="007419EB"/>
    <w:rsid w:val="00741A68"/>
    <w:rsid w:val="00741C99"/>
    <w:rsid w:val="00741E2A"/>
    <w:rsid w:val="00741EA7"/>
    <w:rsid w:val="0074205A"/>
    <w:rsid w:val="00742497"/>
    <w:rsid w:val="00742656"/>
    <w:rsid w:val="00742B19"/>
    <w:rsid w:val="00742C08"/>
    <w:rsid w:val="00742C77"/>
    <w:rsid w:val="00742F9B"/>
    <w:rsid w:val="00742FE2"/>
    <w:rsid w:val="007431D4"/>
    <w:rsid w:val="00743298"/>
    <w:rsid w:val="00743318"/>
    <w:rsid w:val="0074346E"/>
    <w:rsid w:val="0074356A"/>
    <w:rsid w:val="00743718"/>
    <w:rsid w:val="007437F2"/>
    <w:rsid w:val="00743A39"/>
    <w:rsid w:val="00743A88"/>
    <w:rsid w:val="00743AC4"/>
    <w:rsid w:val="00743C8C"/>
    <w:rsid w:val="00743D52"/>
    <w:rsid w:val="00743E11"/>
    <w:rsid w:val="00743EA2"/>
    <w:rsid w:val="00743F11"/>
    <w:rsid w:val="00743F2F"/>
    <w:rsid w:val="0074401A"/>
    <w:rsid w:val="00744207"/>
    <w:rsid w:val="00744251"/>
    <w:rsid w:val="0074431F"/>
    <w:rsid w:val="007445C4"/>
    <w:rsid w:val="007447DD"/>
    <w:rsid w:val="00744939"/>
    <w:rsid w:val="00744A1A"/>
    <w:rsid w:val="00744DB4"/>
    <w:rsid w:val="00744E15"/>
    <w:rsid w:val="007450E3"/>
    <w:rsid w:val="0074512A"/>
    <w:rsid w:val="00745C7D"/>
    <w:rsid w:val="00745C83"/>
    <w:rsid w:val="00745C92"/>
    <w:rsid w:val="00745CA0"/>
    <w:rsid w:val="00745D7D"/>
    <w:rsid w:val="00745EFD"/>
    <w:rsid w:val="00745FC1"/>
    <w:rsid w:val="007461CD"/>
    <w:rsid w:val="007462DA"/>
    <w:rsid w:val="007462F1"/>
    <w:rsid w:val="007464BC"/>
    <w:rsid w:val="007464C3"/>
    <w:rsid w:val="007466BA"/>
    <w:rsid w:val="007467E6"/>
    <w:rsid w:val="00746813"/>
    <w:rsid w:val="00746A32"/>
    <w:rsid w:val="00746B99"/>
    <w:rsid w:val="00746C7E"/>
    <w:rsid w:val="00746F57"/>
    <w:rsid w:val="00747108"/>
    <w:rsid w:val="0074726C"/>
    <w:rsid w:val="0074775F"/>
    <w:rsid w:val="00747957"/>
    <w:rsid w:val="00747975"/>
    <w:rsid w:val="00747E3E"/>
    <w:rsid w:val="00750598"/>
    <w:rsid w:val="007508FE"/>
    <w:rsid w:val="00750948"/>
    <w:rsid w:val="00750954"/>
    <w:rsid w:val="00750C07"/>
    <w:rsid w:val="00750C74"/>
    <w:rsid w:val="00750D08"/>
    <w:rsid w:val="00751111"/>
    <w:rsid w:val="007512DA"/>
    <w:rsid w:val="007512FD"/>
    <w:rsid w:val="00751408"/>
    <w:rsid w:val="00751584"/>
    <w:rsid w:val="00751773"/>
    <w:rsid w:val="0075179A"/>
    <w:rsid w:val="0075193C"/>
    <w:rsid w:val="0075193F"/>
    <w:rsid w:val="00751A23"/>
    <w:rsid w:val="00751B88"/>
    <w:rsid w:val="00752181"/>
    <w:rsid w:val="0075235F"/>
    <w:rsid w:val="007525B7"/>
    <w:rsid w:val="00752950"/>
    <w:rsid w:val="0075295B"/>
    <w:rsid w:val="00752B3E"/>
    <w:rsid w:val="00752B8A"/>
    <w:rsid w:val="00752EA8"/>
    <w:rsid w:val="00753278"/>
    <w:rsid w:val="0075327C"/>
    <w:rsid w:val="00753583"/>
    <w:rsid w:val="007535C9"/>
    <w:rsid w:val="00753E05"/>
    <w:rsid w:val="00754211"/>
    <w:rsid w:val="007542FD"/>
    <w:rsid w:val="00754880"/>
    <w:rsid w:val="00754A12"/>
    <w:rsid w:val="00754C78"/>
    <w:rsid w:val="00754E23"/>
    <w:rsid w:val="00754EA5"/>
    <w:rsid w:val="00754EEF"/>
    <w:rsid w:val="00755030"/>
    <w:rsid w:val="007552FB"/>
    <w:rsid w:val="0075543B"/>
    <w:rsid w:val="00755632"/>
    <w:rsid w:val="00755633"/>
    <w:rsid w:val="00755638"/>
    <w:rsid w:val="00755737"/>
    <w:rsid w:val="007558F5"/>
    <w:rsid w:val="007558FD"/>
    <w:rsid w:val="00755C53"/>
    <w:rsid w:val="00755C8B"/>
    <w:rsid w:val="00755D68"/>
    <w:rsid w:val="00756127"/>
    <w:rsid w:val="00756383"/>
    <w:rsid w:val="007569E1"/>
    <w:rsid w:val="00756AA4"/>
    <w:rsid w:val="00756BB1"/>
    <w:rsid w:val="00756EBA"/>
    <w:rsid w:val="00757063"/>
    <w:rsid w:val="00757136"/>
    <w:rsid w:val="007571B3"/>
    <w:rsid w:val="007573B5"/>
    <w:rsid w:val="00757448"/>
    <w:rsid w:val="007574F2"/>
    <w:rsid w:val="007575DC"/>
    <w:rsid w:val="00757849"/>
    <w:rsid w:val="007578E1"/>
    <w:rsid w:val="00757A59"/>
    <w:rsid w:val="00757A79"/>
    <w:rsid w:val="00757C4C"/>
    <w:rsid w:val="00757D85"/>
    <w:rsid w:val="00757DB5"/>
    <w:rsid w:val="00757DFE"/>
    <w:rsid w:val="00757E35"/>
    <w:rsid w:val="00757F64"/>
    <w:rsid w:val="00757F67"/>
    <w:rsid w:val="00757F6F"/>
    <w:rsid w:val="0076000E"/>
    <w:rsid w:val="0076001F"/>
    <w:rsid w:val="0076049F"/>
    <w:rsid w:val="0076085C"/>
    <w:rsid w:val="00760B83"/>
    <w:rsid w:val="00760DA7"/>
    <w:rsid w:val="00761001"/>
    <w:rsid w:val="00761023"/>
    <w:rsid w:val="00761144"/>
    <w:rsid w:val="007611B2"/>
    <w:rsid w:val="007613AD"/>
    <w:rsid w:val="00761445"/>
    <w:rsid w:val="007614C1"/>
    <w:rsid w:val="007614E9"/>
    <w:rsid w:val="0076154B"/>
    <w:rsid w:val="0076165A"/>
    <w:rsid w:val="007616A2"/>
    <w:rsid w:val="00761752"/>
    <w:rsid w:val="00761ABF"/>
    <w:rsid w:val="00761AD8"/>
    <w:rsid w:val="00761B62"/>
    <w:rsid w:val="00762016"/>
    <w:rsid w:val="00762322"/>
    <w:rsid w:val="007624B5"/>
    <w:rsid w:val="00762527"/>
    <w:rsid w:val="007628B6"/>
    <w:rsid w:val="00762973"/>
    <w:rsid w:val="00762B67"/>
    <w:rsid w:val="00762B69"/>
    <w:rsid w:val="00762B82"/>
    <w:rsid w:val="00763082"/>
    <w:rsid w:val="007630B1"/>
    <w:rsid w:val="00763190"/>
    <w:rsid w:val="00763337"/>
    <w:rsid w:val="007636BB"/>
    <w:rsid w:val="0076381C"/>
    <w:rsid w:val="0076394A"/>
    <w:rsid w:val="00763E14"/>
    <w:rsid w:val="00763FB7"/>
    <w:rsid w:val="00764011"/>
    <w:rsid w:val="00764178"/>
    <w:rsid w:val="00764348"/>
    <w:rsid w:val="00764ED9"/>
    <w:rsid w:val="00764FD5"/>
    <w:rsid w:val="0076505C"/>
    <w:rsid w:val="00765165"/>
    <w:rsid w:val="007654E8"/>
    <w:rsid w:val="00765523"/>
    <w:rsid w:val="00765595"/>
    <w:rsid w:val="0076592F"/>
    <w:rsid w:val="00765A02"/>
    <w:rsid w:val="00765C04"/>
    <w:rsid w:val="0076619B"/>
    <w:rsid w:val="007663CB"/>
    <w:rsid w:val="0076672A"/>
    <w:rsid w:val="00766879"/>
    <w:rsid w:val="007669FB"/>
    <w:rsid w:val="00766B22"/>
    <w:rsid w:val="00766ECB"/>
    <w:rsid w:val="00766F5C"/>
    <w:rsid w:val="00766F62"/>
    <w:rsid w:val="00766F9C"/>
    <w:rsid w:val="00767677"/>
    <w:rsid w:val="00767850"/>
    <w:rsid w:val="00767BF1"/>
    <w:rsid w:val="00767C96"/>
    <w:rsid w:val="00767D01"/>
    <w:rsid w:val="00767DDA"/>
    <w:rsid w:val="00767F11"/>
    <w:rsid w:val="00770275"/>
    <w:rsid w:val="00770316"/>
    <w:rsid w:val="00770485"/>
    <w:rsid w:val="007709C8"/>
    <w:rsid w:val="00770ED8"/>
    <w:rsid w:val="00770F2C"/>
    <w:rsid w:val="007710D7"/>
    <w:rsid w:val="00771122"/>
    <w:rsid w:val="00771173"/>
    <w:rsid w:val="0077124B"/>
    <w:rsid w:val="007715DD"/>
    <w:rsid w:val="00771634"/>
    <w:rsid w:val="00771DD6"/>
    <w:rsid w:val="00771DFE"/>
    <w:rsid w:val="00771E0F"/>
    <w:rsid w:val="00772232"/>
    <w:rsid w:val="007723AB"/>
    <w:rsid w:val="007723D0"/>
    <w:rsid w:val="007728B6"/>
    <w:rsid w:val="00772962"/>
    <w:rsid w:val="00772D27"/>
    <w:rsid w:val="00772DB2"/>
    <w:rsid w:val="00772E5E"/>
    <w:rsid w:val="00773209"/>
    <w:rsid w:val="0077354A"/>
    <w:rsid w:val="00773911"/>
    <w:rsid w:val="0077393E"/>
    <w:rsid w:val="00773A28"/>
    <w:rsid w:val="00773A40"/>
    <w:rsid w:val="00773F67"/>
    <w:rsid w:val="00773FCF"/>
    <w:rsid w:val="00774414"/>
    <w:rsid w:val="0077442B"/>
    <w:rsid w:val="00774924"/>
    <w:rsid w:val="00774A23"/>
    <w:rsid w:val="00774B3C"/>
    <w:rsid w:val="00774E07"/>
    <w:rsid w:val="0077506B"/>
    <w:rsid w:val="007751FF"/>
    <w:rsid w:val="0077546D"/>
    <w:rsid w:val="00775490"/>
    <w:rsid w:val="007754AB"/>
    <w:rsid w:val="0077573B"/>
    <w:rsid w:val="007757E2"/>
    <w:rsid w:val="0077586D"/>
    <w:rsid w:val="00775A54"/>
    <w:rsid w:val="00775E45"/>
    <w:rsid w:val="00775F72"/>
    <w:rsid w:val="00775F7B"/>
    <w:rsid w:val="0077600C"/>
    <w:rsid w:val="0077600D"/>
    <w:rsid w:val="00776313"/>
    <w:rsid w:val="00776ADB"/>
    <w:rsid w:val="00776C12"/>
    <w:rsid w:val="00776D4D"/>
    <w:rsid w:val="00776D6D"/>
    <w:rsid w:val="00776E74"/>
    <w:rsid w:val="00776F4A"/>
    <w:rsid w:val="007774B1"/>
    <w:rsid w:val="007775AC"/>
    <w:rsid w:val="007777B4"/>
    <w:rsid w:val="00777AB6"/>
    <w:rsid w:val="00777F6D"/>
    <w:rsid w:val="00777F70"/>
    <w:rsid w:val="0078016C"/>
    <w:rsid w:val="007802EE"/>
    <w:rsid w:val="007804EB"/>
    <w:rsid w:val="00780651"/>
    <w:rsid w:val="0078073D"/>
    <w:rsid w:val="00780874"/>
    <w:rsid w:val="007808E2"/>
    <w:rsid w:val="00780B0A"/>
    <w:rsid w:val="00780D12"/>
    <w:rsid w:val="00780DAA"/>
    <w:rsid w:val="00780F35"/>
    <w:rsid w:val="00781010"/>
    <w:rsid w:val="007814E7"/>
    <w:rsid w:val="00781549"/>
    <w:rsid w:val="00781878"/>
    <w:rsid w:val="007818D7"/>
    <w:rsid w:val="00781996"/>
    <w:rsid w:val="00781AA8"/>
    <w:rsid w:val="00781E52"/>
    <w:rsid w:val="00782134"/>
    <w:rsid w:val="007821B6"/>
    <w:rsid w:val="007821CD"/>
    <w:rsid w:val="007823E2"/>
    <w:rsid w:val="007824DE"/>
    <w:rsid w:val="0078272F"/>
    <w:rsid w:val="00782797"/>
    <w:rsid w:val="0078292E"/>
    <w:rsid w:val="007829F7"/>
    <w:rsid w:val="00782A35"/>
    <w:rsid w:val="00782FBA"/>
    <w:rsid w:val="00782FFD"/>
    <w:rsid w:val="00783028"/>
    <w:rsid w:val="00783198"/>
    <w:rsid w:val="007831A0"/>
    <w:rsid w:val="00783324"/>
    <w:rsid w:val="00783358"/>
    <w:rsid w:val="007834C4"/>
    <w:rsid w:val="00783A2C"/>
    <w:rsid w:val="00783BE5"/>
    <w:rsid w:val="00783E29"/>
    <w:rsid w:val="0078403B"/>
    <w:rsid w:val="0078441F"/>
    <w:rsid w:val="0078483F"/>
    <w:rsid w:val="00785169"/>
    <w:rsid w:val="007852FD"/>
    <w:rsid w:val="00785429"/>
    <w:rsid w:val="0078545F"/>
    <w:rsid w:val="007856C2"/>
    <w:rsid w:val="00785A03"/>
    <w:rsid w:val="00785C49"/>
    <w:rsid w:val="00785E29"/>
    <w:rsid w:val="00785F0E"/>
    <w:rsid w:val="00786174"/>
    <w:rsid w:val="0078618F"/>
    <w:rsid w:val="00786235"/>
    <w:rsid w:val="00786328"/>
    <w:rsid w:val="007863A7"/>
    <w:rsid w:val="007863A8"/>
    <w:rsid w:val="007863F1"/>
    <w:rsid w:val="007867DC"/>
    <w:rsid w:val="00786ABB"/>
    <w:rsid w:val="00786C22"/>
    <w:rsid w:val="00786F3D"/>
    <w:rsid w:val="0078701B"/>
    <w:rsid w:val="0078721E"/>
    <w:rsid w:val="0078737B"/>
    <w:rsid w:val="00787514"/>
    <w:rsid w:val="0078775A"/>
    <w:rsid w:val="00787885"/>
    <w:rsid w:val="00787BEF"/>
    <w:rsid w:val="00787ED2"/>
    <w:rsid w:val="007901B1"/>
    <w:rsid w:val="007903A3"/>
    <w:rsid w:val="0079049F"/>
    <w:rsid w:val="007905B5"/>
    <w:rsid w:val="00790604"/>
    <w:rsid w:val="00790741"/>
    <w:rsid w:val="00790C84"/>
    <w:rsid w:val="00790CC4"/>
    <w:rsid w:val="00790F4D"/>
    <w:rsid w:val="00790F50"/>
    <w:rsid w:val="007911B8"/>
    <w:rsid w:val="0079120E"/>
    <w:rsid w:val="007914F0"/>
    <w:rsid w:val="007919BC"/>
    <w:rsid w:val="00791C84"/>
    <w:rsid w:val="00791CD9"/>
    <w:rsid w:val="00791ED1"/>
    <w:rsid w:val="00791EF8"/>
    <w:rsid w:val="00792269"/>
    <w:rsid w:val="00792444"/>
    <w:rsid w:val="00792543"/>
    <w:rsid w:val="0079261E"/>
    <w:rsid w:val="007926B1"/>
    <w:rsid w:val="007928C4"/>
    <w:rsid w:val="007928CF"/>
    <w:rsid w:val="00792DAA"/>
    <w:rsid w:val="00792F9A"/>
    <w:rsid w:val="00792FB2"/>
    <w:rsid w:val="0079320F"/>
    <w:rsid w:val="00793241"/>
    <w:rsid w:val="00793354"/>
    <w:rsid w:val="0079339E"/>
    <w:rsid w:val="00793880"/>
    <w:rsid w:val="007938D6"/>
    <w:rsid w:val="00793C37"/>
    <w:rsid w:val="0079433D"/>
    <w:rsid w:val="00794390"/>
    <w:rsid w:val="007944EE"/>
    <w:rsid w:val="00794B34"/>
    <w:rsid w:val="00794C6F"/>
    <w:rsid w:val="00795422"/>
    <w:rsid w:val="0079546D"/>
    <w:rsid w:val="007954AB"/>
    <w:rsid w:val="007954D8"/>
    <w:rsid w:val="007955BE"/>
    <w:rsid w:val="0079564B"/>
    <w:rsid w:val="00795846"/>
    <w:rsid w:val="00795AE0"/>
    <w:rsid w:val="00795BA1"/>
    <w:rsid w:val="00795EBE"/>
    <w:rsid w:val="00796181"/>
    <w:rsid w:val="00796239"/>
    <w:rsid w:val="00796336"/>
    <w:rsid w:val="00796673"/>
    <w:rsid w:val="0079668D"/>
    <w:rsid w:val="00796E38"/>
    <w:rsid w:val="00796E7A"/>
    <w:rsid w:val="007973FA"/>
    <w:rsid w:val="007975E6"/>
    <w:rsid w:val="0079797B"/>
    <w:rsid w:val="00797992"/>
    <w:rsid w:val="007A014E"/>
    <w:rsid w:val="007A0286"/>
    <w:rsid w:val="007A02C1"/>
    <w:rsid w:val="007A038E"/>
    <w:rsid w:val="007A03B4"/>
    <w:rsid w:val="007A03CD"/>
    <w:rsid w:val="007A04E9"/>
    <w:rsid w:val="007A05BD"/>
    <w:rsid w:val="007A0693"/>
    <w:rsid w:val="007A091E"/>
    <w:rsid w:val="007A0B6D"/>
    <w:rsid w:val="007A0C35"/>
    <w:rsid w:val="007A0DE8"/>
    <w:rsid w:val="007A0E4D"/>
    <w:rsid w:val="007A14C5"/>
    <w:rsid w:val="007A15E3"/>
    <w:rsid w:val="007A1779"/>
    <w:rsid w:val="007A1789"/>
    <w:rsid w:val="007A17CE"/>
    <w:rsid w:val="007A1861"/>
    <w:rsid w:val="007A1880"/>
    <w:rsid w:val="007A18F2"/>
    <w:rsid w:val="007A19B6"/>
    <w:rsid w:val="007A1CFA"/>
    <w:rsid w:val="007A1DEE"/>
    <w:rsid w:val="007A2049"/>
    <w:rsid w:val="007A2160"/>
    <w:rsid w:val="007A2306"/>
    <w:rsid w:val="007A2514"/>
    <w:rsid w:val="007A270D"/>
    <w:rsid w:val="007A2746"/>
    <w:rsid w:val="007A27CA"/>
    <w:rsid w:val="007A2861"/>
    <w:rsid w:val="007A29F1"/>
    <w:rsid w:val="007A2B59"/>
    <w:rsid w:val="007A2C72"/>
    <w:rsid w:val="007A2F30"/>
    <w:rsid w:val="007A2F48"/>
    <w:rsid w:val="007A336F"/>
    <w:rsid w:val="007A338D"/>
    <w:rsid w:val="007A3562"/>
    <w:rsid w:val="007A37F6"/>
    <w:rsid w:val="007A3AE4"/>
    <w:rsid w:val="007A3CC9"/>
    <w:rsid w:val="007A3E38"/>
    <w:rsid w:val="007A3ED6"/>
    <w:rsid w:val="007A406F"/>
    <w:rsid w:val="007A423A"/>
    <w:rsid w:val="007A4326"/>
    <w:rsid w:val="007A470D"/>
    <w:rsid w:val="007A48FE"/>
    <w:rsid w:val="007A4A10"/>
    <w:rsid w:val="007A4AB2"/>
    <w:rsid w:val="007A4C7B"/>
    <w:rsid w:val="007A5045"/>
    <w:rsid w:val="007A511B"/>
    <w:rsid w:val="007A52A7"/>
    <w:rsid w:val="007A53AE"/>
    <w:rsid w:val="007A5537"/>
    <w:rsid w:val="007A5766"/>
    <w:rsid w:val="007A5817"/>
    <w:rsid w:val="007A5976"/>
    <w:rsid w:val="007A59E3"/>
    <w:rsid w:val="007A5C3F"/>
    <w:rsid w:val="007A5C40"/>
    <w:rsid w:val="007A5C44"/>
    <w:rsid w:val="007A5C58"/>
    <w:rsid w:val="007A6139"/>
    <w:rsid w:val="007A6223"/>
    <w:rsid w:val="007A62A7"/>
    <w:rsid w:val="007A630C"/>
    <w:rsid w:val="007A6480"/>
    <w:rsid w:val="007A6527"/>
    <w:rsid w:val="007A67A1"/>
    <w:rsid w:val="007A6A61"/>
    <w:rsid w:val="007A6A64"/>
    <w:rsid w:val="007A6BDB"/>
    <w:rsid w:val="007A6FC4"/>
    <w:rsid w:val="007A6FDD"/>
    <w:rsid w:val="007A70A3"/>
    <w:rsid w:val="007A739C"/>
    <w:rsid w:val="007A73A4"/>
    <w:rsid w:val="007A770C"/>
    <w:rsid w:val="007A792C"/>
    <w:rsid w:val="007A7A45"/>
    <w:rsid w:val="007A7A98"/>
    <w:rsid w:val="007A7BE2"/>
    <w:rsid w:val="007A7D07"/>
    <w:rsid w:val="007A7E7A"/>
    <w:rsid w:val="007B01A7"/>
    <w:rsid w:val="007B0236"/>
    <w:rsid w:val="007B0420"/>
    <w:rsid w:val="007B0606"/>
    <w:rsid w:val="007B0983"/>
    <w:rsid w:val="007B0B6A"/>
    <w:rsid w:val="007B0B8E"/>
    <w:rsid w:val="007B0C29"/>
    <w:rsid w:val="007B0D45"/>
    <w:rsid w:val="007B0D5E"/>
    <w:rsid w:val="007B0EC9"/>
    <w:rsid w:val="007B0F1A"/>
    <w:rsid w:val="007B0F4C"/>
    <w:rsid w:val="007B113C"/>
    <w:rsid w:val="007B120D"/>
    <w:rsid w:val="007B122A"/>
    <w:rsid w:val="007B14B9"/>
    <w:rsid w:val="007B1760"/>
    <w:rsid w:val="007B19F7"/>
    <w:rsid w:val="007B1E98"/>
    <w:rsid w:val="007B1EC0"/>
    <w:rsid w:val="007B1F56"/>
    <w:rsid w:val="007B2059"/>
    <w:rsid w:val="007B210B"/>
    <w:rsid w:val="007B2175"/>
    <w:rsid w:val="007B2278"/>
    <w:rsid w:val="007B232E"/>
    <w:rsid w:val="007B26ED"/>
    <w:rsid w:val="007B2955"/>
    <w:rsid w:val="007B2C22"/>
    <w:rsid w:val="007B3091"/>
    <w:rsid w:val="007B35B7"/>
    <w:rsid w:val="007B36D4"/>
    <w:rsid w:val="007B3A59"/>
    <w:rsid w:val="007B3B46"/>
    <w:rsid w:val="007B3B6B"/>
    <w:rsid w:val="007B3BBA"/>
    <w:rsid w:val="007B3BCD"/>
    <w:rsid w:val="007B3D03"/>
    <w:rsid w:val="007B4044"/>
    <w:rsid w:val="007B44F6"/>
    <w:rsid w:val="007B4525"/>
    <w:rsid w:val="007B46F9"/>
    <w:rsid w:val="007B47D7"/>
    <w:rsid w:val="007B4BC5"/>
    <w:rsid w:val="007B4CBC"/>
    <w:rsid w:val="007B4EAB"/>
    <w:rsid w:val="007B4FD1"/>
    <w:rsid w:val="007B5072"/>
    <w:rsid w:val="007B5260"/>
    <w:rsid w:val="007B5276"/>
    <w:rsid w:val="007B55D1"/>
    <w:rsid w:val="007B561D"/>
    <w:rsid w:val="007B57BF"/>
    <w:rsid w:val="007B582F"/>
    <w:rsid w:val="007B5A52"/>
    <w:rsid w:val="007B5EB9"/>
    <w:rsid w:val="007B5EDD"/>
    <w:rsid w:val="007B6191"/>
    <w:rsid w:val="007B652D"/>
    <w:rsid w:val="007B65B4"/>
    <w:rsid w:val="007B6B40"/>
    <w:rsid w:val="007B6BF9"/>
    <w:rsid w:val="007B6C8A"/>
    <w:rsid w:val="007B6E23"/>
    <w:rsid w:val="007B6E28"/>
    <w:rsid w:val="007B6E65"/>
    <w:rsid w:val="007B6EB9"/>
    <w:rsid w:val="007B7077"/>
    <w:rsid w:val="007B7994"/>
    <w:rsid w:val="007B7AAC"/>
    <w:rsid w:val="007B7BD9"/>
    <w:rsid w:val="007B7C89"/>
    <w:rsid w:val="007B7C9F"/>
    <w:rsid w:val="007B7FE2"/>
    <w:rsid w:val="007C05BD"/>
    <w:rsid w:val="007C0790"/>
    <w:rsid w:val="007C0934"/>
    <w:rsid w:val="007C0AAA"/>
    <w:rsid w:val="007C0CB8"/>
    <w:rsid w:val="007C0D7F"/>
    <w:rsid w:val="007C12A4"/>
    <w:rsid w:val="007C13CA"/>
    <w:rsid w:val="007C14AD"/>
    <w:rsid w:val="007C14FE"/>
    <w:rsid w:val="007C158C"/>
    <w:rsid w:val="007C159E"/>
    <w:rsid w:val="007C1C27"/>
    <w:rsid w:val="007C1D24"/>
    <w:rsid w:val="007C2033"/>
    <w:rsid w:val="007C20D8"/>
    <w:rsid w:val="007C23A8"/>
    <w:rsid w:val="007C2567"/>
    <w:rsid w:val="007C289D"/>
    <w:rsid w:val="007C29AE"/>
    <w:rsid w:val="007C2A13"/>
    <w:rsid w:val="007C2A9A"/>
    <w:rsid w:val="007C2AC1"/>
    <w:rsid w:val="007C2E23"/>
    <w:rsid w:val="007C3187"/>
    <w:rsid w:val="007C33FA"/>
    <w:rsid w:val="007C34E3"/>
    <w:rsid w:val="007C35A0"/>
    <w:rsid w:val="007C35EA"/>
    <w:rsid w:val="007C39A0"/>
    <w:rsid w:val="007C3B27"/>
    <w:rsid w:val="007C3BE2"/>
    <w:rsid w:val="007C3C79"/>
    <w:rsid w:val="007C3E43"/>
    <w:rsid w:val="007C3F53"/>
    <w:rsid w:val="007C3FBE"/>
    <w:rsid w:val="007C3FE1"/>
    <w:rsid w:val="007C40D0"/>
    <w:rsid w:val="007C40D3"/>
    <w:rsid w:val="007C415E"/>
    <w:rsid w:val="007C423D"/>
    <w:rsid w:val="007C452F"/>
    <w:rsid w:val="007C45CF"/>
    <w:rsid w:val="007C45E1"/>
    <w:rsid w:val="007C48AC"/>
    <w:rsid w:val="007C48E4"/>
    <w:rsid w:val="007C4C95"/>
    <w:rsid w:val="007C4EA9"/>
    <w:rsid w:val="007C4ECF"/>
    <w:rsid w:val="007C4F82"/>
    <w:rsid w:val="007C51C2"/>
    <w:rsid w:val="007C51CE"/>
    <w:rsid w:val="007C543C"/>
    <w:rsid w:val="007C55F7"/>
    <w:rsid w:val="007C5814"/>
    <w:rsid w:val="007C581C"/>
    <w:rsid w:val="007C5EC6"/>
    <w:rsid w:val="007C6397"/>
    <w:rsid w:val="007C63C0"/>
    <w:rsid w:val="007C6445"/>
    <w:rsid w:val="007C6C4F"/>
    <w:rsid w:val="007C6D9C"/>
    <w:rsid w:val="007C70E9"/>
    <w:rsid w:val="007C71EB"/>
    <w:rsid w:val="007C723B"/>
    <w:rsid w:val="007C74B6"/>
    <w:rsid w:val="007C7536"/>
    <w:rsid w:val="007C76BC"/>
    <w:rsid w:val="007C79EB"/>
    <w:rsid w:val="007C7ADD"/>
    <w:rsid w:val="007C7BB8"/>
    <w:rsid w:val="007C7BFA"/>
    <w:rsid w:val="007C7DDB"/>
    <w:rsid w:val="007C7DF1"/>
    <w:rsid w:val="007D0035"/>
    <w:rsid w:val="007D0223"/>
    <w:rsid w:val="007D04F2"/>
    <w:rsid w:val="007D04F8"/>
    <w:rsid w:val="007D0666"/>
    <w:rsid w:val="007D06F8"/>
    <w:rsid w:val="007D088B"/>
    <w:rsid w:val="007D0978"/>
    <w:rsid w:val="007D0B76"/>
    <w:rsid w:val="007D0D47"/>
    <w:rsid w:val="007D0EF1"/>
    <w:rsid w:val="007D0F9C"/>
    <w:rsid w:val="007D106F"/>
    <w:rsid w:val="007D1167"/>
    <w:rsid w:val="007D1763"/>
    <w:rsid w:val="007D189E"/>
    <w:rsid w:val="007D1D5C"/>
    <w:rsid w:val="007D1FA1"/>
    <w:rsid w:val="007D2118"/>
    <w:rsid w:val="007D215E"/>
    <w:rsid w:val="007D24DF"/>
    <w:rsid w:val="007D29E6"/>
    <w:rsid w:val="007D2CC7"/>
    <w:rsid w:val="007D2F52"/>
    <w:rsid w:val="007D301A"/>
    <w:rsid w:val="007D3103"/>
    <w:rsid w:val="007D342D"/>
    <w:rsid w:val="007D35BF"/>
    <w:rsid w:val="007D374A"/>
    <w:rsid w:val="007D3C67"/>
    <w:rsid w:val="007D3CAE"/>
    <w:rsid w:val="007D3D15"/>
    <w:rsid w:val="007D3D5C"/>
    <w:rsid w:val="007D3E36"/>
    <w:rsid w:val="007D3E75"/>
    <w:rsid w:val="007D3E77"/>
    <w:rsid w:val="007D3F0D"/>
    <w:rsid w:val="007D40A5"/>
    <w:rsid w:val="007D4555"/>
    <w:rsid w:val="007D4822"/>
    <w:rsid w:val="007D4E52"/>
    <w:rsid w:val="007D4F99"/>
    <w:rsid w:val="007D5090"/>
    <w:rsid w:val="007D50C9"/>
    <w:rsid w:val="007D51B5"/>
    <w:rsid w:val="007D522D"/>
    <w:rsid w:val="007D536C"/>
    <w:rsid w:val="007D54DE"/>
    <w:rsid w:val="007D55FB"/>
    <w:rsid w:val="007D572D"/>
    <w:rsid w:val="007D57C9"/>
    <w:rsid w:val="007D58CF"/>
    <w:rsid w:val="007D592A"/>
    <w:rsid w:val="007D5D23"/>
    <w:rsid w:val="007D60AA"/>
    <w:rsid w:val="007D62C4"/>
    <w:rsid w:val="007D6340"/>
    <w:rsid w:val="007D63BE"/>
    <w:rsid w:val="007D6410"/>
    <w:rsid w:val="007D6718"/>
    <w:rsid w:val="007D673D"/>
    <w:rsid w:val="007D6A8C"/>
    <w:rsid w:val="007D6D2A"/>
    <w:rsid w:val="007D6E5C"/>
    <w:rsid w:val="007D71B5"/>
    <w:rsid w:val="007D7290"/>
    <w:rsid w:val="007D7370"/>
    <w:rsid w:val="007D7390"/>
    <w:rsid w:val="007D74BD"/>
    <w:rsid w:val="007D7703"/>
    <w:rsid w:val="007D7752"/>
    <w:rsid w:val="007D78E5"/>
    <w:rsid w:val="007D7B83"/>
    <w:rsid w:val="007E00FB"/>
    <w:rsid w:val="007E0396"/>
    <w:rsid w:val="007E0562"/>
    <w:rsid w:val="007E07DB"/>
    <w:rsid w:val="007E0808"/>
    <w:rsid w:val="007E0ABB"/>
    <w:rsid w:val="007E0C48"/>
    <w:rsid w:val="007E0C9C"/>
    <w:rsid w:val="007E0F85"/>
    <w:rsid w:val="007E0FDF"/>
    <w:rsid w:val="007E1286"/>
    <w:rsid w:val="007E13E2"/>
    <w:rsid w:val="007E14AA"/>
    <w:rsid w:val="007E18EF"/>
    <w:rsid w:val="007E190A"/>
    <w:rsid w:val="007E1B2B"/>
    <w:rsid w:val="007E1B50"/>
    <w:rsid w:val="007E1B8A"/>
    <w:rsid w:val="007E1C5E"/>
    <w:rsid w:val="007E1D51"/>
    <w:rsid w:val="007E1F1B"/>
    <w:rsid w:val="007E1F9A"/>
    <w:rsid w:val="007E2051"/>
    <w:rsid w:val="007E2094"/>
    <w:rsid w:val="007E20F5"/>
    <w:rsid w:val="007E22D1"/>
    <w:rsid w:val="007E23B9"/>
    <w:rsid w:val="007E253E"/>
    <w:rsid w:val="007E2631"/>
    <w:rsid w:val="007E2982"/>
    <w:rsid w:val="007E2A92"/>
    <w:rsid w:val="007E2B1E"/>
    <w:rsid w:val="007E2E10"/>
    <w:rsid w:val="007E2E7D"/>
    <w:rsid w:val="007E2E82"/>
    <w:rsid w:val="007E34A7"/>
    <w:rsid w:val="007E359D"/>
    <w:rsid w:val="007E362A"/>
    <w:rsid w:val="007E37FA"/>
    <w:rsid w:val="007E3885"/>
    <w:rsid w:val="007E397A"/>
    <w:rsid w:val="007E39EF"/>
    <w:rsid w:val="007E3B72"/>
    <w:rsid w:val="007E3BF3"/>
    <w:rsid w:val="007E3C61"/>
    <w:rsid w:val="007E42EF"/>
    <w:rsid w:val="007E46AC"/>
    <w:rsid w:val="007E4A60"/>
    <w:rsid w:val="007E4A99"/>
    <w:rsid w:val="007E4C91"/>
    <w:rsid w:val="007E4D98"/>
    <w:rsid w:val="007E5303"/>
    <w:rsid w:val="007E572D"/>
    <w:rsid w:val="007E586D"/>
    <w:rsid w:val="007E5964"/>
    <w:rsid w:val="007E5D78"/>
    <w:rsid w:val="007E5F7A"/>
    <w:rsid w:val="007E6052"/>
    <w:rsid w:val="007E61EB"/>
    <w:rsid w:val="007E6393"/>
    <w:rsid w:val="007E6423"/>
    <w:rsid w:val="007E6664"/>
    <w:rsid w:val="007E690F"/>
    <w:rsid w:val="007E6976"/>
    <w:rsid w:val="007E6B80"/>
    <w:rsid w:val="007E6FC9"/>
    <w:rsid w:val="007E70C1"/>
    <w:rsid w:val="007E73D4"/>
    <w:rsid w:val="007E7458"/>
    <w:rsid w:val="007E7500"/>
    <w:rsid w:val="007E754A"/>
    <w:rsid w:val="007E75CA"/>
    <w:rsid w:val="007E7678"/>
    <w:rsid w:val="007E76B5"/>
    <w:rsid w:val="007E7BA9"/>
    <w:rsid w:val="007E7D08"/>
    <w:rsid w:val="007E7F47"/>
    <w:rsid w:val="007F04B1"/>
    <w:rsid w:val="007F04F4"/>
    <w:rsid w:val="007F0603"/>
    <w:rsid w:val="007F07ED"/>
    <w:rsid w:val="007F08C6"/>
    <w:rsid w:val="007F09E2"/>
    <w:rsid w:val="007F1000"/>
    <w:rsid w:val="007F10F3"/>
    <w:rsid w:val="007F1250"/>
    <w:rsid w:val="007F1405"/>
    <w:rsid w:val="007F14D5"/>
    <w:rsid w:val="007F15DB"/>
    <w:rsid w:val="007F1684"/>
    <w:rsid w:val="007F1812"/>
    <w:rsid w:val="007F1A1C"/>
    <w:rsid w:val="007F1AF4"/>
    <w:rsid w:val="007F1BBA"/>
    <w:rsid w:val="007F1DE3"/>
    <w:rsid w:val="007F219E"/>
    <w:rsid w:val="007F2208"/>
    <w:rsid w:val="007F2220"/>
    <w:rsid w:val="007F22DD"/>
    <w:rsid w:val="007F230E"/>
    <w:rsid w:val="007F27CB"/>
    <w:rsid w:val="007F2823"/>
    <w:rsid w:val="007F28DA"/>
    <w:rsid w:val="007F2D19"/>
    <w:rsid w:val="007F2D66"/>
    <w:rsid w:val="007F3056"/>
    <w:rsid w:val="007F30F8"/>
    <w:rsid w:val="007F3187"/>
    <w:rsid w:val="007F32DE"/>
    <w:rsid w:val="007F3409"/>
    <w:rsid w:val="007F3562"/>
    <w:rsid w:val="007F3624"/>
    <w:rsid w:val="007F36D0"/>
    <w:rsid w:val="007F3CC7"/>
    <w:rsid w:val="007F3D36"/>
    <w:rsid w:val="007F3E6C"/>
    <w:rsid w:val="007F3F42"/>
    <w:rsid w:val="007F414D"/>
    <w:rsid w:val="007F4455"/>
    <w:rsid w:val="007F4B3E"/>
    <w:rsid w:val="007F4BDE"/>
    <w:rsid w:val="007F4D9E"/>
    <w:rsid w:val="007F4EF2"/>
    <w:rsid w:val="007F507B"/>
    <w:rsid w:val="007F5237"/>
    <w:rsid w:val="007F54EA"/>
    <w:rsid w:val="007F54FB"/>
    <w:rsid w:val="007F5674"/>
    <w:rsid w:val="007F5750"/>
    <w:rsid w:val="007F5760"/>
    <w:rsid w:val="007F584D"/>
    <w:rsid w:val="007F587B"/>
    <w:rsid w:val="007F588A"/>
    <w:rsid w:val="007F59DF"/>
    <w:rsid w:val="007F5BCE"/>
    <w:rsid w:val="007F5D1C"/>
    <w:rsid w:val="007F5D96"/>
    <w:rsid w:val="007F6107"/>
    <w:rsid w:val="007F63A3"/>
    <w:rsid w:val="007F684E"/>
    <w:rsid w:val="007F6BC5"/>
    <w:rsid w:val="007F6C04"/>
    <w:rsid w:val="007F6E00"/>
    <w:rsid w:val="007F7394"/>
    <w:rsid w:val="007F741C"/>
    <w:rsid w:val="007F7A45"/>
    <w:rsid w:val="007F7DBA"/>
    <w:rsid w:val="007F7FEE"/>
    <w:rsid w:val="0080004E"/>
    <w:rsid w:val="00800234"/>
    <w:rsid w:val="008003A3"/>
    <w:rsid w:val="008003FC"/>
    <w:rsid w:val="008004E0"/>
    <w:rsid w:val="0080068E"/>
    <w:rsid w:val="008016B3"/>
    <w:rsid w:val="00801717"/>
    <w:rsid w:val="008017FC"/>
    <w:rsid w:val="00801CEB"/>
    <w:rsid w:val="00801DC0"/>
    <w:rsid w:val="00801EE9"/>
    <w:rsid w:val="0080207F"/>
    <w:rsid w:val="008024E7"/>
    <w:rsid w:val="0080256A"/>
    <w:rsid w:val="00802657"/>
    <w:rsid w:val="00802774"/>
    <w:rsid w:val="00802957"/>
    <w:rsid w:val="008029EC"/>
    <w:rsid w:val="00802BBE"/>
    <w:rsid w:val="00802C23"/>
    <w:rsid w:val="0080305A"/>
    <w:rsid w:val="008030CA"/>
    <w:rsid w:val="00803139"/>
    <w:rsid w:val="00803499"/>
    <w:rsid w:val="00803639"/>
    <w:rsid w:val="00803869"/>
    <w:rsid w:val="008038EC"/>
    <w:rsid w:val="0080397D"/>
    <w:rsid w:val="00803997"/>
    <w:rsid w:val="00803C65"/>
    <w:rsid w:val="0080420B"/>
    <w:rsid w:val="00804238"/>
    <w:rsid w:val="00804391"/>
    <w:rsid w:val="008043F9"/>
    <w:rsid w:val="00804680"/>
    <w:rsid w:val="008048E0"/>
    <w:rsid w:val="00804ADD"/>
    <w:rsid w:val="008050AF"/>
    <w:rsid w:val="008055EA"/>
    <w:rsid w:val="0080570E"/>
    <w:rsid w:val="00805829"/>
    <w:rsid w:val="00805B87"/>
    <w:rsid w:val="00805B9C"/>
    <w:rsid w:val="00805C21"/>
    <w:rsid w:val="00805DA5"/>
    <w:rsid w:val="008060CD"/>
    <w:rsid w:val="008060FA"/>
    <w:rsid w:val="008062B5"/>
    <w:rsid w:val="0080647B"/>
    <w:rsid w:val="008066FD"/>
    <w:rsid w:val="008069DC"/>
    <w:rsid w:val="00806C16"/>
    <w:rsid w:val="00806CD3"/>
    <w:rsid w:val="00806D88"/>
    <w:rsid w:val="00806F4A"/>
    <w:rsid w:val="00807756"/>
    <w:rsid w:val="008079B9"/>
    <w:rsid w:val="00807B9D"/>
    <w:rsid w:val="00807E84"/>
    <w:rsid w:val="008101D4"/>
    <w:rsid w:val="0081052D"/>
    <w:rsid w:val="00810B3C"/>
    <w:rsid w:val="00811088"/>
    <w:rsid w:val="00811096"/>
    <w:rsid w:val="0081144C"/>
    <w:rsid w:val="00811BD0"/>
    <w:rsid w:val="00811FD0"/>
    <w:rsid w:val="008120E9"/>
    <w:rsid w:val="0081223A"/>
    <w:rsid w:val="0081239B"/>
    <w:rsid w:val="008123C4"/>
    <w:rsid w:val="008127AF"/>
    <w:rsid w:val="008129EC"/>
    <w:rsid w:val="00812A1B"/>
    <w:rsid w:val="00812AE1"/>
    <w:rsid w:val="00812B46"/>
    <w:rsid w:val="00812CC9"/>
    <w:rsid w:val="00812F53"/>
    <w:rsid w:val="0081307F"/>
    <w:rsid w:val="0081309E"/>
    <w:rsid w:val="00813117"/>
    <w:rsid w:val="008131C0"/>
    <w:rsid w:val="008132A4"/>
    <w:rsid w:val="008133EF"/>
    <w:rsid w:val="0081347C"/>
    <w:rsid w:val="00813595"/>
    <w:rsid w:val="008136C9"/>
    <w:rsid w:val="0081377A"/>
    <w:rsid w:val="008138A9"/>
    <w:rsid w:val="008138E2"/>
    <w:rsid w:val="00813942"/>
    <w:rsid w:val="00813A9E"/>
    <w:rsid w:val="00813B88"/>
    <w:rsid w:val="00813C8D"/>
    <w:rsid w:val="00813CE1"/>
    <w:rsid w:val="00814365"/>
    <w:rsid w:val="008144AA"/>
    <w:rsid w:val="00814658"/>
    <w:rsid w:val="008146B4"/>
    <w:rsid w:val="00814894"/>
    <w:rsid w:val="008148C1"/>
    <w:rsid w:val="008149AD"/>
    <w:rsid w:val="00814AAF"/>
    <w:rsid w:val="00814B05"/>
    <w:rsid w:val="00814C01"/>
    <w:rsid w:val="00814DA6"/>
    <w:rsid w:val="00814DE7"/>
    <w:rsid w:val="00814EFD"/>
    <w:rsid w:val="008152E0"/>
    <w:rsid w:val="0081553D"/>
    <w:rsid w:val="00815545"/>
    <w:rsid w:val="00815700"/>
    <w:rsid w:val="008159DA"/>
    <w:rsid w:val="00815A6D"/>
    <w:rsid w:val="00815A8C"/>
    <w:rsid w:val="00815AB9"/>
    <w:rsid w:val="00815ADE"/>
    <w:rsid w:val="00815ED8"/>
    <w:rsid w:val="00815F47"/>
    <w:rsid w:val="008160C9"/>
    <w:rsid w:val="00816248"/>
    <w:rsid w:val="008164E5"/>
    <w:rsid w:val="008164FE"/>
    <w:rsid w:val="008165B7"/>
    <w:rsid w:val="00816952"/>
    <w:rsid w:val="00816CF8"/>
    <w:rsid w:val="00816CF9"/>
    <w:rsid w:val="00817219"/>
    <w:rsid w:val="00817515"/>
    <w:rsid w:val="008175DA"/>
    <w:rsid w:val="008176EC"/>
    <w:rsid w:val="00817847"/>
    <w:rsid w:val="00817854"/>
    <w:rsid w:val="008179A2"/>
    <w:rsid w:val="00817A4A"/>
    <w:rsid w:val="00817B66"/>
    <w:rsid w:val="00817B70"/>
    <w:rsid w:val="00817B89"/>
    <w:rsid w:val="00817EE7"/>
    <w:rsid w:val="00817F02"/>
    <w:rsid w:val="0082008D"/>
    <w:rsid w:val="008202AD"/>
    <w:rsid w:val="008202ED"/>
    <w:rsid w:val="00820308"/>
    <w:rsid w:val="00820319"/>
    <w:rsid w:val="00820324"/>
    <w:rsid w:val="008203AA"/>
    <w:rsid w:val="0082042B"/>
    <w:rsid w:val="00820769"/>
    <w:rsid w:val="00820D1C"/>
    <w:rsid w:val="00820D71"/>
    <w:rsid w:val="00820DEC"/>
    <w:rsid w:val="00821244"/>
    <w:rsid w:val="0082142B"/>
    <w:rsid w:val="00821508"/>
    <w:rsid w:val="00821515"/>
    <w:rsid w:val="00821541"/>
    <w:rsid w:val="00821B89"/>
    <w:rsid w:val="00821BE8"/>
    <w:rsid w:val="00821BEC"/>
    <w:rsid w:val="00822332"/>
    <w:rsid w:val="008224E2"/>
    <w:rsid w:val="0082265C"/>
    <w:rsid w:val="00822A31"/>
    <w:rsid w:val="00822BD5"/>
    <w:rsid w:val="00822D07"/>
    <w:rsid w:val="00822DE7"/>
    <w:rsid w:val="00822EC9"/>
    <w:rsid w:val="008230CF"/>
    <w:rsid w:val="00823149"/>
    <w:rsid w:val="00823172"/>
    <w:rsid w:val="00823179"/>
    <w:rsid w:val="008231E3"/>
    <w:rsid w:val="0082351F"/>
    <w:rsid w:val="00823615"/>
    <w:rsid w:val="00823797"/>
    <w:rsid w:val="008237CD"/>
    <w:rsid w:val="00823B16"/>
    <w:rsid w:val="00823D33"/>
    <w:rsid w:val="00823D40"/>
    <w:rsid w:val="00823DD0"/>
    <w:rsid w:val="008241CB"/>
    <w:rsid w:val="00824555"/>
    <w:rsid w:val="008245D7"/>
    <w:rsid w:val="0082462C"/>
    <w:rsid w:val="008246D7"/>
    <w:rsid w:val="008246F8"/>
    <w:rsid w:val="00824800"/>
    <w:rsid w:val="00824AC1"/>
    <w:rsid w:val="00824C55"/>
    <w:rsid w:val="00824E0E"/>
    <w:rsid w:val="008250F9"/>
    <w:rsid w:val="00825204"/>
    <w:rsid w:val="00825244"/>
    <w:rsid w:val="00825411"/>
    <w:rsid w:val="00825527"/>
    <w:rsid w:val="00825637"/>
    <w:rsid w:val="008259A6"/>
    <w:rsid w:val="00825A7C"/>
    <w:rsid w:val="00825DF3"/>
    <w:rsid w:val="008261DF"/>
    <w:rsid w:val="00826258"/>
    <w:rsid w:val="008262E0"/>
    <w:rsid w:val="008264EB"/>
    <w:rsid w:val="0082679E"/>
    <w:rsid w:val="008269B1"/>
    <w:rsid w:val="008269FA"/>
    <w:rsid w:val="00826B8F"/>
    <w:rsid w:val="00826C71"/>
    <w:rsid w:val="00826C94"/>
    <w:rsid w:val="00826CB8"/>
    <w:rsid w:val="00826D22"/>
    <w:rsid w:val="00826D8A"/>
    <w:rsid w:val="00826F77"/>
    <w:rsid w:val="00827026"/>
    <w:rsid w:val="00827160"/>
    <w:rsid w:val="0082721B"/>
    <w:rsid w:val="0082746F"/>
    <w:rsid w:val="008274E1"/>
    <w:rsid w:val="00827749"/>
    <w:rsid w:val="008277EA"/>
    <w:rsid w:val="00827B89"/>
    <w:rsid w:val="00827D44"/>
    <w:rsid w:val="00827D83"/>
    <w:rsid w:val="00827DF6"/>
    <w:rsid w:val="00827EBD"/>
    <w:rsid w:val="00830313"/>
    <w:rsid w:val="0083056A"/>
    <w:rsid w:val="00830582"/>
    <w:rsid w:val="008307E5"/>
    <w:rsid w:val="008309CA"/>
    <w:rsid w:val="00830AFA"/>
    <w:rsid w:val="00830BC1"/>
    <w:rsid w:val="00830E73"/>
    <w:rsid w:val="00830F1D"/>
    <w:rsid w:val="0083108E"/>
    <w:rsid w:val="008313E1"/>
    <w:rsid w:val="0083164D"/>
    <w:rsid w:val="0083170C"/>
    <w:rsid w:val="0083181C"/>
    <w:rsid w:val="00831AAD"/>
    <w:rsid w:val="00831ADF"/>
    <w:rsid w:val="00831AE7"/>
    <w:rsid w:val="00831CDE"/>
    <w:rsid w:val="00831E8A"/>
    <w:rsid w:val="008320C5"/>
    <w:rsid w:val="00832498"/>
    <w:rsid w:val="00832599"/>
    <w:rsid w:val="008325DC"/>
    <w:rsid w:val="0083269A"/>
    <w:rsid w:val="008328EB"/>
    <w:rsid w:val="008328F5"/>
    <w:rsid w:val="0083294D"/>
    <w:rsid w:val="00832AF1"/>
    <w:rsid w:val="00832E52"/>
    <w:rsid w:val="0083302B"/>
    <w:rsid w:val="00833105"/>
    <w:rsid w:val="008331CB"/>
    <w:rsid w:val="00833209"/>
    <w:rsid w:val="008333D6"/>
    <w:rsid w:val="008337E2"/>
    <w:rsid w:val="0083387B"/>
    <w:rsid w:val="00833FB2"/>
    <w:rsid w:val="008340C5"/>
    <w:rsid w:val="008340FC"/>
    <w:rsid w:val="008344B1"/>
    <w:rsid w:val="008346A5"/>
    <w:rsid w:val="0083485D"/>
    <w:rsid w:val="00834902"/>
    <w:rsid w:val="00834C95"/>
    <w:rsid w:val="00834CD3"/>
    <w:rsid w:val="00835009"/>
    <w:rsid w:val="008354E1"/>
    <w:rsid w:val="008355D0"/>
    <w:rsid w:val="00835780"/>
    <w:rsid w:val="008358F7"/>
    <w:rsid w:val="00835BDA"/>
    <w:rsid w:val="00835C76"/>
    <w:rsid w:val="00835DF2"/>
    <w:rsid w:val="00835F75"/>
    <w:rsid w:val="0083608B"/>
    <w:rsid w:val="0083618F"/>
    <w:rsid w:val="008363B4"/>
    <w:rsid w:val="008363FC"/>
    <w:rsid w:val="00836639"/>
    <w:rsid w:val="00836832"/>
    <w:rsid w:val="00836921"/>
    <w:rsid w:val="00836940"/>
    <w:rsid w:val="00837166"/>
    <w:rsid w:val="008371A7"/>
    <w:rsid w:val="008373CE"/>
    <w:rsid w:val="0083758C"/>
    <w:rsid w:val="0083774E"/>
    <w:rsid w:val="008377BB"/>
    <w:rsid w:val="00837CE5"/>
    <w:rsid w:val="00837D5F"/>
    <w:rsid w:val="00837D83"/>
    <w:rsid w:val="00840187"/>
    <w:rsid w:val="0084048D"/>
    <w:rsid w:val="008405E6"/>
    <w:rsid w:val="00840ACD"/>
    <w:rsid w:val="00840B01"/>
    <w:rsid w:val="00840BCE"/>
    <w:rsid w:val="00840C29"/>
    <w:rsid w:val="00840C33"/>
    <w:rsid w:val="00840C75"/>
    <w:rsid w:val="00840E96"/>
    <w:rsid w:val="00840F3F"/>
    <w:rsid w:val="0084109D"/>
    <w:rsid w:val="008410EF"/>
    <w:rsid w:val="0084142E"/>
    <w:rsid w:val="008416A4"/>
    <w:rsid w:val="008416B1"/>
    <w:rsid w:val="008418CC"/>
    <w:rsid w:val="00841A4E"/>
    <w:rsid w:val="00841C46"/>
    <w:rsid w:val="00841D54"/>
    <w:rsid w:val="00841E55"/>
    <w:rsid w:val="0084221C"/>
    <w:rsid w:val="008426FE"/>
    <w:rsid w:val="008428CB"/>
    <w:rsid w:val="00842925"/>
    <w:rsid w:val="00842FE8"/>
    <w:rsid w:val="00843049"/>
    <w:rsid w:val="008432DB"/>
    <w:rsid w:val="008432EA"/>
    <w:rsid w:val="008435F9"/>
    <w:rsid w:val="00843830"/>
    <w:rsid w:val="00843A54"/>
    <w:rsid w:val="00843BB9"/>
    <w:rsid w:val="00843EF2"/>
    <w:rsid w:val="00843F5A"/>
    <w:rsid w:val="0084415F"/>
    <w:rsid w:val="00844633"/>
    <w:rsid w:val="0084468E"/>
    <w:rsid w:val="00844843"/>
    <w:rsid w:val="00844B0C"/>
    <w:rsid w:val="00844B20"/>
    <w:rsid w:val="00844C05"/>
    <w:rsid w:val="00844C8B"/>
    <w:rsid w:val="00844EE5"/>
    <w:rsid w:val="00844F6D"/>
    <w:rsid w:val="00845078"/>
    <w:rsid w:val="008452CB"/>
    <w:rsid w:val="0084560A"/>
    <w:rsid w:val="0084578B"/>
    <w:rsid w:val="00845E9E"/>
    <w:rsid w:val="00846132"/>
    <w:rsid w:val="0084653A"/>
    <w:rsid w:val="008466DC"/>
    <w:rsid w:val="00846C7C"/>
    <w:rsid w:val="00846CA7"/>
    <w:rsid w:val="00846ECE"/>
    <w:rsid w:val="00846F3E"/>
    <w:rsid w:val="008470A6"/>
    <w:rsid w:val="0084752C"/>
    <w:rsid w:val="0084777E"/>
    <w:rsid w:val="00847922"/>
    <w:rsid w:val="008479EA"/>
    <w:rsid w:val="00847C62"/>
    <w:rsid w:val="00847CBC"/>
    <w:rsid w:val="00847D3B"/>
    <w:rsid w:val="00847DD3"/>
    <w:rsid w:val="00847F73"/>
    <w:rsid w:val="00847F7D"/>
    <w:rsid w:val="00847FA8"/>
    <w:rsid w:val="00847FC5"/>
    <w:rsid w:val="008500DB"/>
    <w:rsid w:val="00850330"/>
    <w:rsid w:val="00850481"/>
    <w:rsid w:val="008504E4"/>
    <w:rsid w:val="008504F4"/>
    <w:rsid w:val="00850600"/>
    <w:rsid w:val="008506D4"/>
    <w:rsid w:val="008507AC"/>
    <w:rsid w:val="00850862"/>
    <w:rsid w:val="008508FD"/>
    <w:rsid w:val="0085090D"/>
    <w:rsid w:val="00850B1F"/>
    <w:rsid w:val="00850B24"/>
    <w:rsid w:val="00850F7F"/>
    <w:rsid w:val="0085101B"/>
    <w:rsid w:val="008511C1"/>
    <w:rsid w:val="008513B8"/>
    <w:rsid w:val="008513EE"/>
    <w:rsid w:val="00851A9D"/>
    <w:rsid w:val="00851F56"/>
    <w:rsid w:val="00852003"/>
    <w:rsid w:val="0085209B"/>
    <w:rsid w:val="008520C7"/>
    <w:rsid w:val="0085214D"/>
    <w:rsid w:val="008521C8"/>
    <w:rsid w:val="0085243D"/>
    <w:rsid w:val="008526CD"/>
    <w:rsid w:val="00852869"/>
    <w:rsid w:val="00852A53"/>
    <w:rsid w:val="00852E2D"/>
    <w:rsid w:val="00852FCB"/>
    <w:rsid w:val="008533BA"/>
    <w:rsid w:val="0085372A"/>
    <w:rsid w:val="008537EC"/>
    <w:rsid w:val="0085384F"/>
    <w:rsid w:val="0085394B"/>
    <w:rsid w:val="00853A54"/>
    <w:rsid w:val="00853B9E"/>
    <w:rsid w:val="00853E9B"/>
    <w:rsid w:val="00853E9C"/>
    <w:rsid w:val="00853F75"/>
    <w:rsid w:val="0085467D"/>
    <w:rsid w:val="00854A60"/>
    <w:rsid w:val="00854D0E"/>
    <w:rsid w:val="00854E41"/>
    <w:rsid w:val="0085524E"/>
    <w:rsid w:val="0085544A"/>
    <w:rsid w:val="00855482"/>
    <w:rsid w:val="0085567E"/>
    <w:rsid w:val="008557CE"/>
    <w:rsid w:val="00855A3E"/>
    <w:rsid w:val="00855D25"/>
    <w:rsid w:val="00855E1D"/>
    <w:rsid w:val="008560AD"/>
    <w:rsid w:val="008561CF"/>
    <w:rsid w:val="008561D6"/>
    <w:rsid w:val="0085622E"/>
    <w:rsid w:val="008563BB"/>
    <w:rsid w:val="00856492"/>
    <w:rsid w:val="008564F5"/>
    <w:rsid w:val="00856547"/>
    <w:rsid w:val="00856558"/>
    <w:rsid w:val="008566A9"/>
    <w:rsid w:val="00856946"/>
    <w:rsid w:val="00856B66"/>
    <w:rsid w:val="00856C15"/>
    <w:rsid w:val="00856CC4"/>
    <w:rsid w:val="00856E6E"/>
    <w:rsid w:val="00857130"/>
    <w:rsid w:val="00857165"/>
    <w:rsid w:val="00857223"/>
    <w:rsid w:val="008572EB"/>
    <w:rsid w:val="00857367"/>
    <w:rsid w:val="008573D5"/>
    <w:rsid w:val="00857427"/>
    <w:rsid w:val="0085751A"/>
    <w:rsid w:val="0085756D"/>
    <w:rsid w:val="008576FB"/>
    <w:rsid w:val="00857B24"/>
    <w:rsid w:val="00857D0C"/>
    <w:rsid w:val="00857D72"/>
    <w:rsid w:val="00857E42"/>
    <w:rsid w:val="00857ED5"/>
    <w:rsid w:val="00857FB5"/>
    <w:rsid w:val="008600F6"/>
    <w:rsid w:val="008601C3"/>
    <w:rsid w:val="00860A80"/>
    <w:rsid w:val="00860C04"/>
    <w:rsid w:val="00860E8D"/>
    <w:rsid w:val="00861061"/>
    <w:rsid w:val="008611F4"/>
    <w:rsid w:val="00861266"/>
    <w:rsid w:val="00861789"/>
    <w:rsid w:val="008618DE"/>
    <w:rsid w:val="008619C1"/>
    <w:rsid w:val="00861A31"/>
    <w:rsid w:val="00861A5F"/>
    <w:rsid w:val="00861AA7"/>
    <w:rsid w:val="00861B71"/>
    <w:rsid w:val="00861F03"/>
    <w:rsid w:val="00861F82"/>
    <w:rsid w:val="008620D4"/>
    <w:rsid w:val="00862456"/>
    <w:rsid w:val="0086272C"/>
    <w:rsid w:val="00862889"/>
    <w:rsid w:val="00862916"/>
    <w:rsid w:val="00862AD2"/>
    <w:rsid w:val="00862C1A"/>
    <w:rsid w:val="00862D6A"/>
    <w:rsid w:val="00862D82"/>
    <w:rsid w:val="00862E10"/>
    <w:rsid w:val="00862EC8"/>
    <w:rsid w:val="00863072"/>
    <w:rsid w:val="0086311F"/>
    <w:rsid w:val="0086346E"/>
    <w:rsid w:val="00863509"/>
    <w:rsid w:val="00863515"/>
    <w:rsid w:val="008635AD"/>
    <w:rsid w:val="0086360A"/>
    <w:rsid w:val="00863E42"/>
    <w:rsid w:val="00863F30"/>
    <w:rsid w:val="0086409A"/>
    <w:rsid w:val="008640DF"/>
    <w:rsid w:val="008640FB"/>
    <w:rsid w:val="008642C2"/>
    <w:rsid w:val="008643DB"/>
    <w:rsid w:val="008644AD"/>
    <w:rsid w:val="008644EC"/>
    <w:rsid w:val="0086452E"/>
    <w:rsid w:val="0086453C"/>
    <w:rsid w:val="0086476F"/>
    <w:rsid w:val="00864A68"/>
    <w:rsid w:val="00864AC0"/>
    <w:rsid w:val="00864B53"/>
    <w:rsid w:val="00864BB6"/>
    <w:rsid w:val="00864BB7"/>
    <w:rsid w:val="00864BDB"/>
    <w:rsid w:val="00864D84"/>
    <w:rsid w:val="00864F1C"/>
    <w:rsid w:val="008651DE"/>
    <w:rsid w:val="008654A9"/>
    <w:rsid w:val="008656D1"/>
    <w:rsid w:val="00865735"/>
    <w:rsid w:val="00865796"/>
    <w:rsid w:val="0086589A"/>
    <w:rsid w:val="00865A3D"/>
    <w:rsid w:val="00865BBD"/>
    <w:rsid w:val="00865CAC"/>
    <w:rsid w:val="00865DA0"/>
    <w:rsid w:val="00865DDB"/>
    <w:rsid w:val="00865E8A"/>
    <w:rsid w:val="00865F7A"/>
    <w:rsid w:val="00865FE9"/>
    <w:rsid w:val="00866234"/>
    <w:rsid w:val="008662CC"/>
    <w:rsid w:val="0086661E"/>
    <w:rsid w:val="008668A7"/>
    <w:rsid w:val="00866A35"/>
    <w:rsid w:val="00866A6E"/>
    <w:rsid w:val="00866CA6"/>
    <w:rsid w:val="00866D15"/>
    <w:rsid w:val="00866DD4"/>
    <w:rsid w:val="00866EA0"/>
    <w:rsid w:val="00866EA3"/>
    <w:rsid w:val="00866ED0"/>
    <w:rsid w:val="008671FF"/>
    <w:rsid w:val="00867345"/>
    <w:rsid w:val="008673D1"/>
    <w:rsid w:val="008674D9"/>
    <w:rsid w:val="00867538"/>
    <w:rsid w:val="008676BA"/>
    <w:rsid w:val="00867723"/>
    <w:rsid w:val="008677F3"/>
    <w:rsid w:val="00867837"/>
    <w:rsid w:val="00867908"/>
    <w:rsid w:val="00867BB8"/>
    <w:rsid w:val="00867CC2"/>
    <w:rsid w:val="00867F1E"/>
    <w:rsid w:val="00867F53"/>
    <w:rsid w:val="00870044"/>
    <w:rsid w:val="00870140"/>
    <w:rsid w:val="00870148"/>
    <w:rsid w:val="00870649"/>
    <w:rsid w:val="0087076C"/>
    <w:rsid w:val="00870917"/>
    <w:rsid w:val="00870A0A"/>
    <w:rsid w:val="0087106E"/>
    <w:rsid w:val="00871169"/>
    <w:rsid w:val="008711EB"/>
    <w:rsid w:val="008712E4"/>
    <w:rsid w:val="0087165D"/>
    <w:rsid w:val="0087186F"/>
    <w:rsid w:val="00871BED"/>
    <w:rsid w:val="00871BFE"/>
    <w:rsid w:val="00871EFB"/>
    <w:rsid w:val="0087218C"/>
    <w:rsid w:val="00872255"/>
    <w:rsid w:val="008727F7"/>
    <w:rsid w:val="008728C5"/>
    <w:rsid w:val="0087290C"/>
    <w:rsid w:val="008729EC"/>
    <w:rsid w:val="00872B9A"/>
    <w:rsid w:val="00872B9D"/>
    <w:rsid w:val="00872BDD"/>
    <w:rsid w:val="00872D8E"/>
    <w:rsid w:val="008733C8"/>
    <w:rsid w:val="008734AA"/>
    <w:rsid w:val="00873728"/>
    <w:rsid w:val="008737B3"/>
    <w:rsid w:val="00873C1B"/>
    <w:rsid w:val="00873D90"/>
    <w:rsid w:val="00873DE9"/>
    <w:rsid w:val="00873FC8"/>
    <w:rsid w:val="0087406F"/>
    <w:rsid w:val="0087430E"/>
    <w:rsid w:val="0087459A"/>
    <w:rsid w:val="0087464E"/>
    <w:rsid w:val="00874776"/>
    <w:rsid w:val="00874BC0"/>
    <w:rsid w:val="00874CE3"/>
    <w:rsid w:val="00875257"/>
    <w:rsid w:val="00875296"/>
    <w:rsid w:val="008752B3"/>
    <w:rsid w:val="008753A0"/>
    <w:rsid w:val="0087544C"/>
    <w:rsid w:val="0087576F"/>
    <w:rsid w:val="00875919"/>
    <w:rsid w:val="00875E5B"/>
    <w:rsid w:val="00875F9A"/>
    <w:rsid w:val="008760B5"/>
    <w:rsid w:val="0087635E"/>
    <w:rsid w:val="008765C9"/>
    <w:rsid w:val="008765F3"/>
    <w:rsid w:val="008765FF"/>
    <w:rsid w:val="00876674"/>
    <w:rsid w:val="0087667A"/>
    <w:rsid w:val="00876777"/>
    <w:rsid w:val="0087690B"/>
    <w:rsid w:val="0087691F"/>
    <w:rsid w:val="008769FC"/>
    <w:rsid w:val="00876B2D"/>
    <w:rsid w:val="00876BA1"/>
    <w:rsid w:val="00876E69"/>
    <w:rsid w:val="00876F15"/>
    <w:rsid w:val="00876F43"/>
    <w:rsid w:val="00877035"/>
    <w:rsid w:val="008772EF"/>
    <w:rsid w:val="00877A4F"/>
    <w:rsid w:val="00877B7C"/>
    <w:rsid w:val="00877DB5"/>
    <w:rsid w:val="0088013E"/>
    <w:rsid w:val="00880336"/>
    <w:rsid w:val="00880380"/>
    <w:rsid w:val="00880667"/>
    <w:rsid w:val="008806BC"/>
    <w:rsid w:val="008809EC"/>
    <w:rsid w:val="00880B5B"/>
    <w:rsid w:val="00880C5B"/>
    <w:rsid w:val="00880DB5"/>
    <w:rsid w:val="0088108C"/>
    <w:rsid w:val="0088134B"/>
    <w:rsid w:val="00881798"/>
    <w:rsid w:val="00881801"/>
    <w:rsid w:val="00881A3B"/>
    <w:rsid w:val="00881BC7"/>
    <w:rsid w:val="00881C95"/>
    <w:rsid w:val="00881DD9"/>
    <w:rsid w:val="00881DDB"/>
    <w:rsid w:val="00881FE4"/>
    <w:rsid w:val="0088212A"/>
    <w:rsid w:val="00882173"/>
    <w:rsid w:val="0088254C"/>
    <w:rsid w:val="00882673"/>
    <w:rsid w:val="008829B5"/>
    <w:rsid w:val="00882CF5"/>
    <w:rsid w:val="0088304A"/>
    <w:rsid w:val="008833CB"/>
    <w:rsid w:val="00883761"/>
    <w:rsid w:val="008837AD"/>
    <w:rsid w:val="00883BF5"/>
    <w:rsid w:val="0088404B"/>
    <w:rsid w:val="0088467A"/>
    <w:rsid w:val="0088469C"/>
    <w:rsid w:val="00884B42"/>
    <w:rsid w:val="00884C63"/>
    <w:rsid w:val="00884E82"/>
    <w:rsid w:val="008850BD"/>
    <w:rsid w:val="008850D6"/>
    <w:rsid w:val="008851F6"/>
    <w:rsid w:val="00885290"/>
    <w:rsid w:val="008852D4"/>
    <w:rsid w:val="00885319"/>
    <w:rsid w:val="0088531F"/>
    <w:rsid w:val="008855DF"/>
    <w:rsid w:val="008856CB"/>
    <w:rsid w:val="00885709"/>
    <w:rsid w:val="00885908"/>
    <w:rsid w:val="0088598D"/>
    <w:rsid w:val="00885B47"/>
    <w:rsid w:val="00885C11"/>
    <w:rsid w:val="00885C74"/>
    <w:rsid w:val="00885FF5"/>
    <w:rsid w:val="0088624D"/>
    <w:rsid w:val="008862A0"/>
    <w:rsid w:val="008863D1"/>
    <w:rsid w:val="0088644A"/>
    <w:rsid w:val="00886498"/>
    <w:rsid w:val="008864B7"/>
    <w:rsid w:val="008866EF"/>
    <w:rsid w:val="008867A4"/>
    <w:rsid w:val="00886924"/>
    <w:rsid w:val="00886E68"/>
    <w:rsid w:val="00887121"/>
    <w:rsid w:val="0088718E"/>
    <w:rsid w:val="008871C6"/>
    <w:rsid w:val="00887429"/>
    <w:rsid w:val="008875C6"/>
    <w:rsid w:val="008875D9"/>
    <w:rsid w:val="00887783"/>
    <w:rsid w:val="00887B82"/>
    <w:rsid w:val="00887BD6"/>
    <w:rsid w:val="00887CAC"/>
    <w:rsid w:val="00887E17"/>
    <w:rsid w:val="00887EC9"/>
    <w:rsid w:val="00887F5D"/>
    <w:rsid w:val="00887F8E"/>
    <w:rsid w:val="008901D5"/>
    <w:rsid w:val="008905A3"/>
    <w:rsid w:val="00890667"/>
    <w:rsid w:val="008907A3"/>
    <w:rsid w:val="00890815"/>
    <w:rsid w:val="00890BE4"/>
    <w:rsid w:val="00890BEB"/>
    <w:rsid w:val="00890F73"/>
    <w:rsid w:val="0089103D"/>
    <w:rsid w:val="00891118"/>
    <w:rsid w:val="00891286"/>
    <w:rsid w:val="0089141C"/>
    <w:rsid w:val="0089151D"/>
    <w:rsid w:val="008916D3"/>
    <w:rsid w:val="00891707"/>
    <w:rsid w:val="00891836"/>
    <w:rsid w:val="00891868"/>
    <w:rsid w:val="008918B6"/>
    <w:rsid w:val="008918DC"/>
    <w:rsid w:val="00891A83"/>
    <w:rsid w:val="00891A96"/>
    <w:rsid w:val="00891A98"/>
    <w:rsid w:val="00891AE5"/>
    <w:rsid w:val="00891C01"/>
    <w:rsid w:val="00891C27"/>
    <w:rsid w:val="00891D4B"/>
    <w:rsid w:val="008920C2"/>
    <w:rsid w:val="00892229"/>
    <w:rsid w:val="008922CA"/>
    <w:rsid w:val="0089264F"/>
    <w:rsid w:val="008926E0"/>
    <w:rsid w:val="008928F2"/>
    <w:rsid w:val="00892972"/>
    <w:rsid w:val="00892F53"/>
    <w:rsid w:val="00892F8F"/>
    <w:rsid w:val="0089324F"/>
    <w:rsid w:val="008932C3"/>
    <w:rsid w:val="008933C9"/>
    <w:rsid w:val="008934DC"/>
    <w:rsid w:val="008935AC"/>
    <w:rsid w:val="008936D7"/>
    <w:rsid w:val="008937D1"/>
    <w:rsid w:val="008937DC"/>
    <w:rsid w:val="00893842"/>
    <w:rsid w:val="00893AD8"/>
    <w:rsid w:val="00893C85"/>
    <w:rsid w:val="00893E34"/>
    <w:rsid w:val="00893E80"/>
    <w:rsid w:val="00894118"/>
    <w:rsid w:val="00894152"/>
    <w:rsid w:val="0089480B"/>
    <w:rsid w:val="00894BDB"/>
    <w:rsid w:val="00894D09"/>
    <w:rsid w:val="00894FF0"/>
    <w:rsid w:val="00895250"/>
    <w:rsid w:val="008953D7"/>
    <w:rsid w:val="0089540C"/>
    <w:rsid w:val="0089556D"/>
    <w:rsid w:val="0089565D"/>
    <w:rsid w:val="008956CA"/>
    <w:rsid w:val="00895919"/>
    <w:rsid w:val="0089595F"/>
    <w:rsid w:val="00895DD0"/>
    <w:rsid w:val="008960A3"/>
    <w:rsid w:val="008966BE"/>
    <w:rsid w:val="00896725"/>
    <w:rsid w:val="0089677E"/>
    <w:rsid w:val="00896BB1"/>
    <w:rsid w:val="00896C1F"/>
    <w:rsid w:val="00896E8C"/>
    <w:rsid w:val="00897539"/>
    <w:rsid w:val="008975BD"/>
    <w:rsid w:val="0089786C"/>
    <w:rsid w:val="00897ACE"/>
    <w:rsid w:val="00897B11"/>
    <w:rsid w:val="00897B62"/>
    <w:rsid w:val="00897D03"/>
    <w:rsid w:val="00897DDC"/>
    <w:rsid w:val="008A01B2"/>
    <w:rsid w:val="008A03E2"/>
    <w:rsid w:val="008A0540"/>
    <w:rsid w:val="008A05F0"/>
    <w:rsid w:val="008A081B"/>
    <w:rsid w:val="008A09AF"/>
    <w:rsid w:val="008A0ADF"/>
    <w:rsid w:val="008A0B90"/>
    <w:rsid w:val="008A0D73"/>
    <w:rsid w:val="008A1023"/>
    <w:rsid w:val="008A10AD"/>
    <w:rsid w:val="008A10DC"/>
    <w:rsid w:val="008A11C0"/>
    <w:rsid w:val="008A126A"/>
    <w:rsid w:val="008A1324"/>
    <w:rsid w:val="008A148B"/>
    <w:rsid w:val="008A1A85"/>
    <w:rsid w:val="008A1B2C"/>
    <w:rsid w:val="008A1BC1"/>
    <w:rsid w:val="008A1C19"/>
    <w:rsid w:val="008A1EB7"/>
    <w:rsid w:val="008A22A5"/>
    <w:rsid w:val="008A2574"/>
    <w:rsid w:val="008A261F"/>
    <w:rsid w:val="008A269E"/>
    <w:rsid w:val="008A27B0"/>
    <w:rsid w:val="008A285B"/>
    <w:rsid w:val="008A2937"/>
    <w:rsid w:val="008A30C8"/>
    <w:rsid w:val="008A360A"/>
    <w:rsid w:val="008A3988"/>
    <w:rsid w:val="008A3F66"/>
    <w:rsid w:val="008A40B9"/>
    <w:rsid w:val="008A4362"/>
    <w:rsid w:val="008A4580"/>
    <w:rsid w:val="008A46F8"/>
    <w:rsid w:val="008A48AA"/>
    <w:rsid w:val="008A4DBF"/>
    <w:rsid w:val="008A4DFC"/>
    <w:rsid w:val="008A5817"/>
    <w:rsid w:val="008A582F"/>
    <w:rsid w:val="008A59EF"/>
    <w:rsid w:val="008A5B3C"/>
    <w:rsid w:val="008A5BAF"/>
    <w:rsid w:val="008A5D1A"/>
    <w:rsid w:val="008A5E90"/>
    <w:rsid w:val="008A62B5"/>
    <w:rsid w:val="008A62BD"/>
    <w:rsid w:val="008A630B"/>
    <w:rsid w:val="008A634A"/>
    <w:rsid w:val="008A65E0"/>
    <w:rsid w:val="008A663C"/>
    <w:rsid w:val="008A693A"/>
    <w:rsid w:val="008A6949"/>
    <w:rsid w:val="008A6A39"/>
    <w:rsid w:val="008A6BA1"/>
    <w:rsid w:val="008A6E2C"/>
    <w:rsid w:val="008A741E"/>
    <w:rsid w:val="008A7438"/>
    <w:rsid w:val="008A75C2"/>
    <w:rsid w:val="008A7A50"/>
    <w:rsid w:val="008A7C47"/>
    <w:rsid w:val="008B00C7"/>
    <w:rsid w:val="008B018D"/>
    <w:rsid w:val="008B03A3"/>
    <w:rsid w:val="008B040F"/>
    <w:rsid w:val="008B0583"/>
    <w:rsid w:val="008B05DF"/>
    <w:rsid w:val="008B0723"/>
    <w:rsid w:val="008B0887"/>
    <w:rsid w:val="008B0994"/>
    <w:rsid w:val="008B0AD0"/>
    <w:rsid w:val="008B0C58"/>
    <w:rsid w:val="008B0C87"/>
    <w:rsid w:val="008B0EE0"/>
    <w:rsid w:val="008B0F9F"/>
    <w:rsid w:val="008B0FBB"/>
    <w:rsid w:val="008B105F"/>
    <w:rsid w:val="008B1334"/>
    <w:rsid w:val="008B13BA"/>
    <w:rsid w:val="008B1629"/>
    <w:rsid w:val="008B17C3"/>
    <w:rsid w:val="008B1896"/>
    <w:rsid w:val="008B1AC2"/>
    <w:rsid w:val="008B1F46"/>
    <w:rsid w:val="008B205C"/>
    <w:rsid w:val="008B20C1"/>
    <w:rsid w:val="008B2187"/>
    <w:rsid w:val="008B21A2"/>
    <w:rsid w:val="008B2203"/>
    <w:rsid w:val="008B22DF"/>
    <w:rsid w:val="008B258D"/>
    <w:rsid w:val="008B2E5A"/>
    <w:rsid w:val="008B2EED"/>
    <w:rsid w:val="008B2F5A"/>
    <w:rsid w:val="008B36C9"/>
    <w:rsid w:val="008B37E7"/>
    <w:rsid w:val="008B3838"/>
    <w:rsid w:val="008B3C3C"/>
    <w:rsid w:val="008B3F9B"/>
    <w:rsid w:val="008B4562"/>
    <w:rsid w:val="008B475F"/>
    <w:rsid w:val="008B49B0"/>
    <w:rsid w:val="008B4AF9"/>
    <w:rsid w:val="008B4B9B"/>
    <w:rsid w:val="008B4CDC"/>
    <w:rsid w:val="008B4D26"/>
    <w:rsid w:val="008B4F41"/>
    <w:rsid w:val="008B5108"/>
    <w:rsid w:val="008B51D6"/>
    <w:rsid w:val="008B54BE"/>
    <w:rsid w:val="008B55E0"/>
    <w:rsid w:val="008B59DD"/>
    <w:rsid w:val="008B5B22"/>
    <w:rsid w:val="008B5B44"/>
    <w:rsid w:val="008B5CC5"/>
    <w:rsid w:val="008B5D6F"/>
    <w:rsid w:val="008B5DC7"/>
    <w:rsid w:val="008B5ED9"/>
    <w:rsid w:val="008B6181"/>
    <w:rsid w:val="008B6718"/>
    <w:rsid w:val="008B6799"/>
    <w:rsid w:val="008B681C"/>
    <w:rsid w:val="008B6AF3"/>
    <w:rsid w:val="008B6D84"/>
    <w:rsid w:val="008B6E0C"/>
    <w:rsid w:val="008B6E0F"/>
    <w:rsid w:val="008B6F46"/>
    <w:rsid w:val="008B7022"/>
    <w:rsid w:val="008B723A"/>
    <w:rsid w:val="008B72D9"/>
    <w:rsid w:val="008B7451"/>
    <w:rsid w:val="008B7B03"/>
    <w:rsid w:val="008C0168"/>
    <w:rsid w:val="008C0193"/>
    <w:rsid w:val="008C01A6"/>
    <w:rsid w:val="008C0278"/>
    <w:rsid w:val="008C0286"/>
    <w:rsid w:val="008C035F"/>
    <w:rsid w:val="008C04B5"/>
    <w:rsid w:val="008C088E"/>
    <w:rsid w:val="008C0A61"/>
    <w:rsid w:val="008C0BF2"/>
    <w:rsid w:val="008C0E31"/>
    <w:rsid w:val="008C0FB7"/>
    <w:rsid w:val="008C0FC7"/>
    <w:rsid w:val="008C101E"/>
    <w:rsid w:val="008C10F0"/>
    <w:rsid w:val="008C149F"/>
    <w:rsid w:val="008C16DD"/>
    <w:rsid w:val="008C1760"/>
    <w:rsid w:val="008C18CA"/>
    <w:rsid w:val="008C1BC0"/>
    <w:rsid w:val="008C1CB0"/>
    <w:rsid w:val="008C1CB1"/>
    <w:rsid w:val="008C2158"/>
    <w:rsid w:val="008C24E9"/>
    <w:rsid w:val="008C26E4"/>
    <w:rsid w:val="008C2DC8"/>
    <w:rsid w:val="008C3356"/>
    <w:rsid w:val="008C34AD"/>
    <w:rsid w:val="008C376C"/>
    <w:rsid w:val="008C3892"/>
    <w:rsid w:val="008C3926"/>
    <w:rsid w:val="008C399A"/>
    <w:rsid w:val="008C3A38"/>
    <w:rsid w:val="008C3C4C"/>
    <w:rsid w:val="008C3EEF"/>
    <w:rsid w:val="008C40A0"/>
    <w:rsid w:val="008C4235"/>
    <w:rsid w:val="008C473B"/>
    <w:rsid w:val="008C491F"/>
    <w:rsid w:val="008C4AFF"/>
    <w:rsid w:val="008C4C19"/>
    <w:rsid w:val="008C4CAF"/>
    <w:rsid w:val="008C4D0C"/>
    <w:rsid w:val="008C4E86"/>
    <w:rsid w:val="008C50EE"/>
    <w:rsid w:val="008C5103"/>
    <w:rsid w:val="008C51BB"/>
    <w:rsid w:val="008C5403"/>
    <w:rsid w:val="008C56EA"/>
    <w:rsid w:val="008C5795"/>
    <w:rsid w:val="008C57B6"/>
    <w:rsid w:val="008C588A"/>
    <w:rsid w:val="008C5A88"/>
    <w:rsid w:val="008C5B80"/>
    <w:rsid w:val="008C5DF0"/>
    <w:rsid w:val="008C5FAD"/>
    <w:rsid w:val="008C6043"/>
    <w:rsid w:val="008C61C2"/>
    <w:rsid w:val="008C63B7"/>
    <w:rsid w:val="008C63D3"/>
    <w:rsid w:val="008C6403"/>
    <w:rsid w:val="008C6574"/>
    <w:rsid w:val="008C6919"/>
    <w:rsid w:val="008C6D0E"/>
    <w:rsid w:val="008C6DA5"/>
    <w:rsid w:val="008C6E39"/>
    <w:rsid w:val="008C73F6"/>
    <w:rsid w:val="008C7482"/>
    <w:rsid w:val="008C7602"/>
    <w:rsid w:val="008C772D"/>
    <w:rsid w:val="008C798A"/>
    <w:rsid w:val="008C79F6"/>
    <w:rsid w:val="008C7D97"/>
    <w:rsid w:val="008C7FA1"/>
    <w:rsid w:val="008C7FF0"/>
    <w:rsid w:val="008D005A"/>
    <w:rsid w:val="008D02FF"/>
    <w:rsid w:val="008D0533"/>
    <w:rsid w:val="008D0773"/>
    <w:rsid w:val="008D07BD"/>
    <w:rsid w:val="008D09CA"/>
    <w:rsid w:val="008D0A07"/>
    <w:rsid w:val="008D0A16"/>
    <w:rsid w:val="008D0FAC"/>
    <w:rsid w:val="008D1030"/>
    <w:rsid w:val="008D1090"/>
    <w:rsid w:val="008D126D"/>
    <w:rsid w:val="008D170F"/>
    <w:rsid w:val="008D1892"/>
    <w:rsid w:val="008D18C1"/>
    <w:rsid w:val="008D1D9C"/>
    <w:rsid w:val="008D1E79"/>
    <w:rsid w:val="008D1EF7"/>
    <w:rsid w:val="008D1F92"/>
    <w:rsid w:val="008D21E1"/>
    <w:rsid w:val="008D21E4"/>
    <w:rsid w:val="008D2297"/>
    <w:rsid w:val="008D28AF"/>
    <w:rsid w:val="008D2AE8"/>
    <w:rsid w:val="008D2F82"/>
    <w:rsid w:val="008D3310"/>
    <w:rsid w:val="008D34A2"/>
    <w:rsid w:val="008D34AF"/>
    <w:rsid w:val="008D392B"/>
    <w:rsid w:val="008D3C25"/>
    <w:rsid w:val="008D3C62"/>
    <w:rsid w:val="008D4031"/>
    <w:rsid w:val="008D4073"/>
    <w:rsid w:val="008D42CB"/>
    <w:rsid w:val="008D4593"/>
    <w:rsid w:val="008D45DE"/>
    <w:rsid w:val="008D48C9"/>
    <w:rsid w:val="008D49E1"/>
    <w:rsid w:val="008D4E41"/>
    <w:rsid w:val="008D525C"/>
    <w:rsid w:val="008D5502"/>
    <w:rsid w:val="008D5674"/>
    <w:rsid w:val="008D5704"/>
    <w:rsid w:val="008D5719"/>
    <w:rsid w:val="008D595D"/>
    <w:rsid w:val="008D5AED"/>
    <w:rsid w:val="008D5B79"/>
    <w:rsid w:val="008D60D4"/>
    <w:rsid w:val="008D6381"/>
    <w:rsid w:val="008D638E"/>
    <w:rsid w:val="008D6468"/>
    <w:rsid w:val="008D649F"/>
    <w:rsid w:val="008D66AE"/>
    <w:rsid w:val="008D673D"/>
    <w:rsid w:val="008D676E"/>
    <w:rsid w:val="008D67FB"/>
    <w:rsid w:val="008D687A"/>
    <w:rsid w:val="008D695C"/>
    <w:rsid w:val="008D698E"/>
    <w:rsid w:val="008D6C40"/>
    <w:rsid w:val="008D6CD5"/>
    <w:rsid w:val="008D6EB6"/>
    <w:rsid w:val="008D6F0B"/>
    <w:rsid w:val="008D6F21"/>
    <w:rsid w:val="008D6FD7"/>
    <w:rsid w:val="008D7074"/>
    <w:rsid w:val="008D7172"/>
    <w:rsid w:val="008D718E"/>
    <w:rsid w:val="008D7279"/>
    <w:rsid w:val="008D772A"/>
    <w:rsid w:val="008D7860"/>
    <w:rsid w:val="008D79EE"/>
    <w:rsid w:val="008D7D3F"/>
    <w:rsid w:val="008D7D9F"/>
    <w:rsid w:val="008E0140"/>
    <w:rsid w:val="008E014F"/>
    <w:rsid w:val="008E01DD"/>
    <w:rsid w:val="008E0220"/>
    <w:rsid w:val="008E03E7"/>
    <w:rsid w:val="008E0720"/>
    <w:rsid w:val="008E07AB"/>
    <w:rsid w:val="008E0C77"/>
    <w:rsid w:val="008E0D52"/>
    <w:rsid w:val="008E105C"/>
    <w:rsid w:val="008E115F"/>
    <w:rsid w:val="008E16E1"/>
    <w:rsid w:val="008E1AA6"/>
    <w:rsid w:val="008E1E01"/>
    <w:rsid w:val="008E1E11"/>
    <w:rsid w:val="008E1E5C"/>
    <w:rsid w:val="008E1F4C"/>
    <w:rsid w:val="008E1FA6"/>
    <w:rsid w:val="008E2045"/>
    <w:rsid w:val="008E22C2"/>
    <w:rsid w:val="008E30EE"/>
    <w:rsid w:val="008E3220"/>
    <w:rsid w:val="008E3254"/>
    <w:rsid w:val="008E3259"/>
    <w:rsid w:val="008E334A"/>
    <w:rsid w:val="008E33B8"/>
    <w:rsid w:val="008E3416"/>
    <w:rsid w:val="008E382D"/>
    <w:rsid w:val="008E3B29"/>
    <w:rsid w:val="008E3C4E"/>
    <w:rsid w:val="008E3CBE"/>
    <w:rsid w:val="008E3CF0"/>
    <w:rsid w:val="008E3D90"/>
    <w:rsid w:val="008E4128"/>
    <w:rsid w:val="008E4254"/>
    <w:rsid w:val="008E4264"/>
    <w:rsid w:val="008E429F"/>
    <w:rsid w:val="008E42C8"/>
    <w:rsid w:val="008E466E"/>
    <w:rsid w:val="008E48DB"/>
    <w:rsid w:val="008E4A70"/>
    <w:rsid w:val="008E4AAD"/>
    <w:rsid w:val="008E4C43"/>
    <w:rsid w:val="008E4FA7"/>
    <w:rsid w:val="008E51F2"/>
    <w:rsid w:val="008E5239"/>
    <w:rsid w:val="008E5492"/>
    <w:rsid w:val="008E5556"/>
    <w:rsid w:val="008E5858"/>
    <w:rsid w:val="008E5878"/>
    <w:rsid w:val="008E5953"/>
    <w:rsid w:val="008E59DD"/>
    <w:rsid w:val="008E5A16"/>
    <w:rsid w:val="008E5CE7"/>
    <w:rsid w:val="008E5FC4"/>
    <w:rsid w:val="008E6073"/>
    <w:rsid w:val="008E625F"/>
    <w:rsid w:val="008E6299"/>
    <w:rsid w:val="008E656F"/>
    <w:rsid w:val="008E6887"/>
    <w:rsid w:val="008E6A1B"/>
    <w:rsid w:val="008E6AB8"/>
    <w:rsid w:val="008E6ADC"/>
    <w:rsid w:val="008E6C40"/>
    <w:rsid w:val="008E7307"/>
    <w:rsid w:val="008E77C8"/>
    <w:rsid w:val="008E7C57"/>
    <w:rsid w:val="008E7CCB"/>
    <w:rsid w:val="008E7DA1"/>
    <w:rsid w:val="008E7DB5"/>
    <w:rsid w:val="008E7E75"/>
    <w:rsid w:val="008E7EC7"/>
    <w:rsid w:val="008E7F62"/>
    <w:rsid w:val="008F04E2"/>
    <w:rsid w:val="008F0647"/>
    <w:rsid w:val="008F07EA"/>
    <w:rsid w:val="008F0800"/>
    <w:rsid w:val="008F0A49"/>
    <w:rsid w:val="008F0D9E"/>
    <w:rsid w:val="008F0EEC"/>
    <w:rsid w:val="008F108E"/>
    <w:rsid w:val="008F10E2"/>
    <w:rsid w:val="008F133A"/>
    <w:rsid w:val="008F16B7"/>
    <w:rsid w:val="008F182D"/>
    <w:rsid w:val="008F199C"/>
    <w:rsid w:val="008F1B48"/>
    <w:rsid w:val="008F1C44"/>
    <w:rsid w:val="008F1CDB"/>
    <w:rsid w:val="008F1CFC"/>
    <w:rsid w:val="008F201B"/>
    <w:rsid w:val="008F2036"/>
    <w:rsid w:val="008F20A7"/>
    <w:rsid w:val="008F20DA"/>
    <w:rsid w:val="008F2235"/>
    <w:rsid w:val="008F23C5"/>
    <w:rsid w:val="008F264D"/>
    <w:rsid w:val="008F2A1C"/>
    <w:rsid w:val="008F2A52"/>
    <w:rsid w:val="008F2B72"/>
    <w:rsid w:val="008F2CB3"/>
    <w:rsid w:val="008F2D27"/>
    <w:rsid w:val="008F2DD2"/>
    <w:rsid w:val="008F2E54"/>
    <w:rsid w:val="008F35B4"/>
    <w:rsid w:val="008F36FB"/>
    <w:rsid w:val="008F3E08"/>
    <w:rsid w:val="008F3FFB"/>
    <w:rsid w:val="008F4209"/>
    <w:rsid w:val="008F4464"/>
    <w:rsid w:val="008F458E"/>
    <w:rsid w:val="008F489E"/>
    <w:rsid w:val="008F4ACF"/>
    <w:rsid w:val="008F4C5B"/>
    <w:rsid w:val="008F4CF0"/>
    <w:rsid w:val="008F4E52"/>
    <w:rsid w:val="008F4EBB"/>
    <w:rsid w:val="008F50A1"/>
    <w:rsid w:val="008F5160"/>
    <w:rsid w:val="008F51CC"/>
    <w:rsid w:val="008F5476"/>
    <w:rsid w:val="008F5598"/>
    <w:rsid w:val="008F56F7"/>
    <w:rsid w:val="008F5963"/>
    <w:rsid w:val="008F59C4"/>
    <w:rsid w:val="008F5D18"/>
    <w:rsid w:val="008F5D3F"/>
    <w:rsid w:val="008F5DCA"/>
    <w:rsid w:val="008F5E93"/>
    <w:rsid w:val="008F5F16"/>
    <w:rsid w:val="008F64FE"/>
    <w:rsid w:val="008F6B5F"/>
    <w:rsid w:val="008F6B6E"/>
    <w:rsid w:val="008F6EB3"/>
    <w:rsid w:val="008F709B"/>
    <w:rsid w:val="008F7154"/>
    <w:rsid w:val="008F71D6"/>
    <w:rsid w:val="008F731D"/>
    <w:rsid w:val="008F764D"/>
    <w:rsid w:val="008F7656"/>
    <w:rsid w:val="008F79B8"/>
    <w:rsid w:val="008F7D22"/>
    <w:rsid w:val="00900115"/>
    <w:rsid w:val="00900320"/>
    <w:rsid w:val="00900374"/>
    <w:rsid w:val="00900415"/>
    <w:rsid w:val="00900545"/>
    <w:rsid w:val="009008AF"/>
    <w:rsid w:val="00900917"/>
    <w:rsid w:val="00900C51"/>
    <w:rsid w:val="00900CEF"/>
    <w:rsid w:val="00900D0B"/>
    <w:rsid w:val="00900F22"/>
    <w:rsid w:val="0090128E"/>
    <w:rsid w:val="00901443"/>
    <w:rsid w:val="009014CF"/>
    <w:rsid w:val="00901BA9"/>
    <w:rsid w:val="00901D97"/>
    <w:rsid w:val="00901E53"/>
    <w:rsid w:val="00901F43"/>
    <w:rsid w:val="00901F8A"/>
    <w:rsid w:val="00902236"/>
    <w:rsid w:val="009024B4"/>
    <w:rsid w:val="009026C1"/>
    <w:rsid w:val="009028B8"/>
    <w:rsid w:val="00902989"/>
    <w:rsid w:val="00902996"/>
    <w:rsid w:val="00902BC6"/>
    <w:rsid w:val="00902D35"/>
    <w:rsid w:val="00902F8C"/>
    <w:rsid w:val="00903093"/>
    <w:rsid w:val="0090329D"/>
    <w:rsid w:val="00903968"/>
    <w:rsid w:val="00903A1E"/>
    <w:rsid w:val="00903CF0"/>
    <w:rsid w:val="00903DE0"/>
    <w:rsid w:val="009040E6"/>
    <w:rsid w:val="00904787"/>
    <w:rsid w:val="009048A8"/>
    <w:rsid w:val="00904C4A"/>
    <w:rsid w:val="00904D0B"/>
    <w:rsid w:val="00904E08"/>
    <w:rsid w:val="00904F1C"/>
    <w:rsid w:val="009050C0"/>
    <w:rsid w:val="009050EC"/>
    <w:rsid w:val="00905E67"/>
    <w:rsid w:val="00905EA2"/>
    <w:rsid w:val="009062AA"/>
    <w:rsid w:val="00906346"/>
    <w:rsid w:val="00906423"/>
    <w:rsid w:val="00906927"/>
    <w:rsid w:val="00906A0A"/>
    <w:rsid w:val="00906D1D"/>
    <w:rsid w:val="00906FB8"/>
    <w:rsid w:val="009072A6"/>
    <w:rsid w:val="009074E1"/>
    <w:rsid w:val="00907B2A"/>
    <w:rsid w:val="00907EB4"/>
    <w:rsid w:val="009101A6"/>
    <w:rsid w:val="00910247"/>
    <w:rsid w:val="00910660"/>
    <w:rsid w:val="00910822"/>
    <w:rsid w:val="00910A25"/>
    <w:rsid w:val="00910BB4"/>
    <w:rsid w:val="00910BE7"/>
    <w:rsid w:val="00910DB2"/>
    <w:rsid w:val="00910FE7"/>
    <w:rsid w:val="009112C3"/>
    <w:rsid w:val="009112F7"/>
    <w:rsid w:val="00911734"/>
    <w:rsid w:val="00911A4F"/>
    <w:rsid w:val="00911CCC"/>
    <w:rsid w:val="00911D3D"/>
    <w:rsid w:val="00911DBA"/>
    <w:rsid w:val="00912182"/>
    <w:rsid w:val="00912245"/>
    <w:rsid w:val="009122AF"/>
    <w:rsid w:val="00912418"/>
    <w:rsid w:val="009127BC"/>
    <w:rsid w:val="00912A13"/>
    <w:rsid w:val="00912A92"/>
    <w:rsid w:val="00912AB5"/>
    <w:rsid w:val="00912D54"/>
    <w:rsid w:val="00912F46"/>
    <w:rsid w:val="00913226"/>
    <w:rsid w:val="009136F0"/>
    <w:rsid w:val="0091389F"/>
    <w:rsid w:val="00913A2A"/>
    <w:rsid w:val="00913AC5"/>
    <w:rsid w:val="00913C85"/>
    <w:rsid w:val="00913DAE"/>
    <w:rsid w:val="00914079"/>
    <w:rsid w:val="009141A4"/>
    <w:rsid w:val="009142F3"/>
    <w:rsid w:val="00914381"/>
    <w:rsid w:val="0091447C"/>
    <w:rsid w:val="009145E9"/>
    <w:rsid w:val="0091485F"/>
    <w:rsid w:val="009149E3"/>
    <w:rsid w:val="00914A62"/>
    <w:rsid w:val="00914B37"/>
    <w:rsid w:val="00914B85"/>
    <w:rsid w:val="00914BCF"/>
    <w:rsid w:val="00914F0B"/>
    <w:rsid w:val="00914F95"/>
    <w:rsid w:val="00914FAE"/>
    <w:rsid w:val="0091500F"/>
    <w:rsid w:val="00915187"/>
    <w:rsid w:val="00915210"/>
    <w:rsid w:val="0091555A"/>
    <w:rsid w:val="009157A6"/>
    <w:rsid w:val="00915834"/>
    <w:rsid w:val="00915AAD"/>
    <w:rsid w:val="00915B21"/>
    <w:rsid w:val="00915B3C"/>
    <w:rsid w:val="00915BFA"/>
    <w:rsid w:val="00915CC2"/>
    <w:rsid w:val="00915E26"/>
    <w:rsid w:val="00915EEB"/>
    <w:rsid w:val="00915F9B"/>
    <w:rsid w:val="0091600E"/>
    <w:rsid w:val="00916196"/>
    <w:rsid w:val="00916206"/>
    <w:rsid w:val="009162A1"/>
    <w:rsid w:val="00916497"/>
    <w:rsid w:val="009165DE"/>
    <w:rsid w:val="0091668E"/>
    <w:rsid w:val="009168B7"/>
    <w:rsid w:val="0091690E"/>
    <w:rsid w:val="00916ACB"/>
    <w:rsid w:val="00916F88"/>
    <w:rsid w:val="00916FA6"/>
    <w:rsid w:val="009173AD"/>
    <w:rsid w:val="009174AD"/>
    <w:rsid w:val="00917869"/>
    <w:rsid w:val="0091799D"/>
    <w:rsid w:val="00917A1D"/>
    <w:rsid w:val="00917CDF"/>
    <w:rsid w:val="00917CFB"/>
    <w:rsid w:val="00917E4F"/>
    <w:rsid w:val="00920117"/>
    <w:rsid w:val="009202A0"/>
    <w:rsid w:val="00920358"/>
    <w:rsid w:val="009206DF"/>
    <w:rsid w:val="009208F7"/>
    <w:rsid w:val="00920941"/>
    <w:rsid w:val="0092099E"/>
    <w:rsid w:val="00920BB3"/>
    <w:rsid w:val="00920EA6"/>
    <w:rsid w:val="00920FE6"/>
    <w:rsid w:val="00921008"/>
    <w:rsid w:val="00921102"/>
    <w:rsid w:val="0092139B"/>
    <w:rsid w:val="00921486"/>
    <w:rsid w:val="0092157C"/>
    <w:rsid w:val="00921593"/>
    <w:rsid w:val="009215D6"/>
    <w:rsid w:val="00921FA3"/>
    <w:rsid w:val="00921FE8"/>
    <w:rsid w:val="009222EC"/>
    <w:rsid w:val="00922517"/>
    <w:rsid w:val="009226BE"/>
    <w:rsid w:val="00922722"/>
    <w:rsid w:val="00922B17"/>
    <w:rsid w:val="00922F12"/>
    <w:rsid w:val="00923070"/>
    <w:rsid w:val="0092310D"/>
    <w:rsid w:val="009231AC"/>
    <w:rsid w:val="009231B2"/>
    <w:rsid w:val="00923274"/>
    <w:rsid w:val="0092341B"/>
    <w:rsid w:val="009236C3"/>
    <w:rsid w:val="00923835"/>
    <w:rsid w:val="0092398B"/>
    <w:rsid w:val="00923993"/>
    <w:rsid w:val="00923B91"/>
    <w:rsid w:val="00923ED5"/>
    <w:rsid w:val="009242A6"/>
    <w:rsid w:val="009242FE"/>
    <w:rsid w:val="00924305"/>
    <w:rsid w:val="0092436D"/>
    <w:rsid w:val="009243EA"/>
    <w:rsid w:val="00924481"/>
    <w:rsid w:val="009246A1"/>
    <w:rsid w:val="00924854"/>
    <w:rsid w:val="00924937"/>
    <w:rsid w:val="00924945"/>
    <w:rsid w:val="00924B55"/>
    <w:rsid w:val="00924B57"/>
    <w:rsid w:val="00924D25"/>
    <w:rsid w:val="00924E1A"/>
    <w:rsid w:val="00924E34"/>
    <w:rsid w:val="00924F5C"/>
    <w:rsid w:val="0092518A"/>
    <w:rsid w:val="009251DC"/>
    <w:rsid w:val="009257CE"/>
    <w:rsid w:val="0092599A"/>
    <w:rsid w:val="00925AEA"/>
    <w:rsid w:val="00925DE8"/>
    <w:rsid w:val="00925E0F"/>
    <w:rsid w:val="00925E1C"/>
    <w:rsid w:val="00925E35"/>
    <w:rsid w:val="00925F2C"/>
    <w:rsid w:val="0092612E"/>
    <w:rsid w:val="009261E6"/>
    <w:rsid w:val="00926207"/>
    <w:rsid w:val="009267B0"/>
    <w:rsid w:val="0092687F"/>
    <w:rsid w:val="009268E1"/>
    <w:rsid w:val="00926C82"/>
    <w:rsid w:val="00926C9C"/>
    <w:rsid w:val="00926CD2"/>
    <w:rsid w:val="00926DB6"/>
    <w:rsid w:val="00926DC7"/>
    <w:rsid w:val="00926FCB"/>
    <w:rsid w:val="00927084"/>
    <w:rsid w:val="00927135"/>
    <w:rsid w:val="00927216"/>
    <w:rsid w:val="00927343"/>
    <w:rsid w:val="0092770D"/>
    <w:rsid w:val="009277A0"/>
    <w:rsid w:val="009278C9"/>
    <w:rsid w:val="00927C8A"/>
    <w:rsid w:val="00927FC1"/>
    <w:rsid w:val="0093004E"/>
    <w:rsid w:val="009300F4"/>
    <w:rsid w:val="00930285"/>
    <w:rsid w:val="00930423"/>
    <w:rsid w:val="00930627"/>
    <w:rsid w:val="0093065B"/>
    <w:rsid w:val="00930917"/>
    <w:rsid w:val="00930AB3"/>
    <w:rsid w:val="00931803"/>
    <w:rsid w:val="0093180B"/>
    <w:rsid w:val="009318FA"/>
    <w:rsid w:val="009319A4"/>
    <w:rsid w:val="00931B67"/>
    <w:rsid w:val="00931F61"/>
    <w:rsid w:val="00932185"/>
    <w:rsid w:val="0093237E"/>
    <w:rsid w:val="0093245E"/>
    <w:rsid w:val="00932502"/>
    <w:rsid w:val="009325F3"/>
    <w:rsid w:val="00932752"/>
    <w:rsid w:val="009327CF"/>
    <w:rsid w:val="00932A4F"/>
    <w:rsid w:val="00932A6A"/>
    <w:rsid w:val="00932BCB"/>
    <w:rsid w:val="00932F84"/>
    <w:rsid w:val="009331E3"/>
    <w:rsid w:val="00933254"/>
    <w:rsid w:val="009333AC"/>
    <w:rsid w:val="00933540"/>
    <w:rsid w:val="0093368D"/>
    <w:rsid w:val="00933978"/>
    <w:rsid w:val="00933BD8"/>
    <w:rsid w:val="00933FF5"/>
    <w:rsid w:val="00934176"/>
    <w:rsid w:val="00934368"/>
    <w:rsid w:val="0093441E"/>
    <w:rsid w:val="00934426"/>
    <w:rsid w:val="009345DD"/>
    <w:rsid w:val="00934979"/>
    <w:rsid w:val="00934A0D"/>
    <w:rsid w:val="00934A75"/>
    <w:rsid w:val="00934AB6"/>
    <w:rsid w:val="00934BF1"/>
    <w:rsid w:val="00935075"/>
    <w:rsid w:val="009350D1"/>
    <w:rsid w:val="009351CC"/>
    <w:rsid w:val="00935252"/>
    <w:rsid w:val="00935413"/>
    <w:rsid w:val="00935760"/>
    <w:rsid w:val="0093581A"/>
    <w:rsid w:val="009358AB"/>
    <w:rsid w:val="00935A05"/>
    <w:rsid w:val="00935A64"/>
    <w:rsid w:val="0093610C"/>
    <w:rsid w:val="00936477"/>
    <w:rsid w:val="009367DF"/>
    <w:rsid w:val="00936956"/>
    <w:rsid w:val="009369B7"/>
    <w:rsid w:val="00936A0D"/>
    <w:rsid w:val="00936AD4"/>
    <w:rsid w:val="00936AEF"/>
    <w:rsid w:val="00936FF3"/>
    <w:rsid w:val="009377BC"/>
    <w:rsid w:val="00937909"/>
    <w:rsid w:val="009379C9"/>
    <w:rsid w:val="0094008B"/>
    <w:rsid w:val="009400CE"/>
    <w:rsid w:val="00940110"/>
    <w:rsid w:val="00940B82"/>
    <w:rsid w:val="00940C57"/>
    <w:rsid w:val="00940E82"/>
    <w:rsid w:val="00940F7A"/>
    <w:rsid w:val="00940FE4"/>
    <w:rsid w:val="009410BA"/>
    <w:rsid w:val="009411E0"/>
    <w:rsid w:val="0094125F"/>
    <w:rsid w:val="00941505"/>
    <w:rsid w:val="0094168A"/>
    <w:rsid w:val="00941CF0"/>
    <w:rsid w:val="00941D98"/>
    <w:rsid w:val="00942179"/>
    <w:rsid w:val="00942303"/>
    <w:rsid w:val="009423E9"/>
    <w:rsid w:val="00942699"/>
    <w:rsid w:val="009426A1"/>
    <w:rsid w:val="009428D1"/>
    <w:rsid w:val="00942A28"/>
    <w:rsid w:val="00942A5E"/>
    <w:rsid w:val="00942A9E"/>
    <w:rsid w:val="00942D2C"/>
    <w:rsid w:val="00942D83"/>
    <w:rsid w:val="0094303C"/>
    <w:rsid w:val="009431B4"/>
    <w:rsid w:val="009431E8"/>
    <w:rsid w:val="0094327A"/>
    <w:rsid w:val="00943453"/>
    <w:rsid w:val="00943726"/>
    <w:rsid w:val="00943753"/>
    <w:rsid w:val="009437A9"/>
    <w:rsid w:val="00943BFE"/>
    <w:rsid w:val="00943CE0"/>
    <w:rsid w:val="009440D7"/>
    <w:rsid w:val="009442E4"/>
    <w:rsid w:val="009443BA"/>
    <w:rsid w:val="0094472D"/>
    <w:rsid w:val="009447CC"/>
    <w:rsid w:val="009447D1"/>
    <w:rsid w:val="00944A08"/>
    <w:rsid w:val="00944B40"/>
    <w:rsid w:val="00944D7C"/>
    <w:rsid w:val="00944E30"/>
    <w:rsid w:val="00944E6F"/>
    <w:rsid w:val="00944F46"/>
    <w:rsid w:val="00944FDA"/>
    <w:rsid w:val="009452D7"/>
    <w:rsid w:val="009452F7"/>
    <w:rsid w:val="00945402"/>
    <w:rsid w:val="00945440"/>
    <w:rsid w:val="0094550E"/>
    <w:rsid w:val="009456D7"/>
    <w:rsid w:val="00945703"/>
    <w:rsid w:val="009458CF"/>
    <w:rsid w:val="00945959"/>
    <w:rsid w:val="00945A9B"/>
    <w:rsid w:val="00945B11"/>
    <w:rsid w:val="00945CD7"/>
    <w:rsid w:val="00945D62"/>
    <w:rsid w:val="00945E7F"/>
    <w:rsid w:val="00945F37"/>
    <w:rsid w:val="00945F4C"/>
    <w:rsid w:val="009461A5"/>
    <w:rsid w:val="009463C8"/>
    <w:rsid w:val="00946835"/>
    <w:rsid w:val="00946878"/>
    <w:rsid w:val="009468B4"/>
    <w:rsid w:val="00946A0C"/>
    <w:rsid w:val="00946A45"/>
    <w:rsid w:val="00946E40"/>
    <w:rsid w:val="00946ED3"/>
    <w:rsid w:val="0094703E"/>
    <w:rsid w:val="0094717F"/>
    <w:rsid w:val="0094777C"/>
    <w:rsid w:val="009477BD"/>
    <w:rsid w:val="00947868"/>
    <w:rsid w:val="00947995"/>
    <w:rsid w:val="00947B1C"/>
    <w:rsid w:val="00947B38"/>
    <w:rsid w:val="00947E7A"/>
    <w:rsid w:val="00947EB1"/>
    <w:rsid w:val="00947F12"/>
    <w:rsid w:val="00950045"/>
    <w:rsid w:val="00950093"/>
    <w:rsid w:val="0095017F"/>
    <w:rsid w:val="0095058D"/>
    <w:rsid w:val="009505D6"/>
    <w:rsid w:val="0095061A"/>
    <w:rsid w:val="00950875"/>
    <w:rsid w:val="00950980"/>
    <w:rsid w:val="00950B87"/>
    <w:rsid w:val="00950B96"/>
    <w:rsid w:val="00950DC6"/>
    <w:rsid w:val="00950F27"/>
    <w:rsid w:val="009513B3"/>
    <w:rsid w:val="00951947"/>
    <w:rsid w:val="009519F5"/>
    <w:rsid w:val="00951A16"/>
    <w:rsid w:val="009521FE"/>
    <w:rsid w:val="009522CB"/>
    <w:rsid w:val="0095232D"/>
    <w:rsid w:val="00952ACB"/>
    <w:rsid w:val="00952CB2"/>
    <w:rsid w:val="00952FD3"/>
    <w:rsid w:val="00953040"/>
    <w:rsid w:val="009531C9"/>
    <w:rsid w:val="00953236"/>
    <w:rsid w:val="0095324A"/>
    <w:rsid w:val="0095326F"/>
    <w:rsid w:val="00953703"/>
    <w:rsid w:val="00953D03"/>
    <w:rsid w:val="00953D47"/>
    <w:rsid w:val="00953DCF"/>
    <w:rsid w:val="00953DE7"/>
    <w:rsid w:val="00954239"/>
    <w:rsid w:val="00954C8D"/>
    <w:rsid w:val="00954CE2"/>
    <w:rsid w:val="00954DAB"/>
    <w:rsid w:val="00954E3E"/>
    <w:rsid w:val="00954F5A"/>
    <w:rsid w:val="00954F5B"/>
    <w:rsid w:val="009553B9"/>
    <w:rsid w:val="00955523"/>
    <w:rsid w:val="00955673"/>
    <w:rsid w:val="00955744"/>
    <w:rsid w:val="009557C1"/>
    <w:rsid w:val="00955982"/>
    <w:rsid w:val="00955A2D"/>
    <w:rsid w:val="00955B1D"/>
    <w:rsid w:val="00955CC9"/>
    <w:rsid w:val="00955CE6"/>
    <w:rsid w:val="00955E56"/>
    <w:rsid w:val="00955E8D"/>
    <w:rsid w:val="009560AC"/>
    <w:rsid w:val="009562DB"/>
    <w:rsid w:val="009567BE"/>
    <w:rsid w:val="0095681F"/>
    <w:rsid w:val="00956CF8"/>
    <w:rsid w:val="009572EF"/>
    <w:rsid w:val="009573D4"/>
    <w:rsid w:val="00957725"/>
    <w:rsid w:val="00957A3E"/>
    <w:rsid w:val="00957BDD"/>
    <w:rsid w:val="00957BF1"/>
    <w:rsid w:val="00957D1D"/>
    <w:rsid w:val="00957D3B"/>
    <w:rsid w:val="00957DF7"/>
    <w:rsid w:val="00957E16"/>
    <w:rsid w:val="00957EB2"/>
    <w:rsid w:val="00960197"/>
    <w:rsid w:val="009601CC"/>
    <w:rsid w:val="0096030F"/>
    <w:rsid w:val="0096034C"/>
    <w:rsid w:val="00960A5B"/>
    <w:rsid w:val="00960C4A"/>
    <w:rsid w:val="00960D0C"/>
    <w:rsid w:val="00960D28"/>
    <w:rsid w:val="00960D6E"/>
    <w:rsid w:val="00960DCA"/>
    <w:rsid w:val="0096119F"/>
    <w:rsid w:val="009611C9"/>
    <w:rsid w:val="009616BE"/>
    <w:rsid w:val="00961806"/>
    <w:rsid w:val="009618AD"/>
    <w:rsid w:val="00961943"/>
    <w:rsid w:val="00961B95"/>
    <w:rsid w:val="00961C9E"/>
    <w:rsid w:val="00961ED8"/>
    <w:rsid w:val="0096208C"/>
    <w:rsid w:val="0096214C"/>
    <w:rsid w:val="00962184"/>
    <w:rsid w:val="009621FC"/>
    <w:rsid w:val="009623A2"/>
    <w:rsid w:val="009623C5"/>
    <w:rsid w:val="009625B3"/>
    <w:rsid w:val="00962611"/>
    <w:rsid w:val="0096276E"/>
    <w:rsid w:val="00962887"/>
    <w:rsid w:val="00962A2F"/>
    <w:rsid w:val="00962AE7"/>
    <w:rsid w:val="00962E1D"/>
    <w:rsid w:val="00962E5A"/>
    <w:rsid w:val="00962F48"/>
    <w:rsid w:val="0096302F"/>
    <w:rsid w:val="0096308C"/>
    <w:rsid w:val="0096339E"/>
    <w:rsid w:val="00963504"/>
    <w:rsid w:val="009635D3"/>
    <w:rsid w:val="00963648"/>
    <w:rsid w:val="009636D4"/>
    <w:rsid w:val="009638FB"/>
    <w:rsid w:val="00963D4F"/>
    <w:rsid w:val="00963E59"/>
    <w:rsid w:val="00963EAC"/>
    <w:rsid w:val="00963ED5"/>
    <w:rsid w:val="0096416B"/>
    <w:rsid w:val="009641CA"/>
    <w:rsid w:val="0096475C"/>
    <w:rsid w:val="0096554D"/>
    <w:rsid w:val="00965775"/>
    <w:rsid w:val="00965B23"/>
    <w:rsid w:val="00965B37"/>
    <w:rsid w:val="00965BE0"/>
    <w:rsid w:val="00965DD8"/>
    <w:rsid w:val="00965E6D"/>
    <w:rsid w:val="00965F90"/>
    <w:rsid w:val="0096600E"/>
    <w:rsid w:val="009660F7"/>
    <w:rsid w:val="0096632B"/>
    <w:rsid w:val="009663B3"/>
    <w:rsid w:val="00966452"/>
    <w:rsid w:val="00966476"/>
    <w:rsid w:val="0096676F"/>
    <w:rsid w:val="009667FC"/>
    <w:rsid w:val="009668F0"/>
    <w:rsid w:val="00966A11"/>
    <w:rsid w:val="00966C4F"/>
    <w:rsid w:val="00966C7B"/>
    <w:rsid w:val="00966E36"/>
    <w:rsid w:val="00967206"/>
    <w:rsid w:val="00967612"/>
    <w:rsid w:val="0096761E"/>
    <w:rsid w:val="009676D3"/>
    <w:rsid w:val="009677B6"/>
    <w:rsid w:val="00967D3A"/>
    <w:rsid w:val="00967EA0"/>
    <w:rsid w:val="00967F5B"/>
    <w:rsid w:val="00967FEA"/>
    <w:rsid w:val="00970201"/>
    <w:rsid w:val="009702EC"/>
    <w:rsid w:val="00970367"/>
    <w:rsid w:val="0097036D"/>
    <w:rsid w:val="0097063C"/>
    <w:rsid w:val="00970764"/>
    <w:rsid w:val="00970A1F"/>
    <w:rsid w:val="00970B68"/>
    <w:rsid w:val="00970C60"/>
    <w:rsid w:val="00970CB6"/>
    <w:rsid w:val="00970F9D"/>
    <w:rsid w:val="00970FEA"/>
    <w:rsid w:val="0097100F"/>
    <w:rsid w:val="0097172E"/>
    <w:rsid w:val="0097177D"/>
    <w:rsid w:val="0097190F"/>
    <w:rsid w:val="0097196F"/>
    <w:rsid w:val="00971A17"/>
    <w:rsid w:val="00971AC5"/>
    <w:rsid w:val="00972034"/>
    <w:rsid w:val="009720A8"/>
    <w:rsid w:val="00972114"/>
    <w:rsid w:val="009723BD"/>
    <w:rsid w:val="0097241B"/>
    <w:rsid w:val="009726A7"/>
    <w:rsid w:val="0097295D"/>
    <w:rsid w:val="00972A73"/>
    <w:rsid w:val="00972B51"/>
    <w:rsid w:val="00972BC1"/>
    <w:rsid w:val="00972D72"/>
    <w:rsid w:val="00972FFF"/>
    <w:rsid w:val="0097309F"/>
    <w:rsid w:val="009732E2"/>
    <w:rsid w:val="009732E9"/>
    <w:rsid w:val="0097332F"/>
    <w:rsid w:val="00973397"/>
    <w:rsid w:val="009733CF"/>
    <w:rsid w:val="0097341B"/>
    <w:rsid w:val="00973488"/>
    <w:rsid w:val="009735A0"/>
    <w:rsid w:val="009738EC"/>
    <w:rsid w:val="00973AF8"/>
    <w:rsid w:val="00973F9C"/>
    <w:rsid w:val="00973FED"/>
    <w:rsid w:val="009741C8"/>
    <w:rsid w:val="009742A6"/>
    <w:rsid w:val="009742AC"/>
    <w:rsid w:val="0097435B"/>
    <w:rsid w:val="009746CD"/>
    <w:rsid w:val="00974971"/>
    <w:rsid w:val="00974AC0"/>
    <w:rsid w:val="00974B59"/>
    <w:rsid w:val="00974BF6"/>
    <w:rsid w:val="00974C8E"/>
    <w:rsid w:val="00974D35"/>
    <w:rsid w:val="00974D83"/>
    <w:rsid w:val="00974F79"/>
    <w:rsid w:val="0097503B"/>
    <w:rsid w:val="009750DD"/>
    <w:rsid w:val="0097511E"/>
    <w:rsid w:val="00975409"/>
    <w:rsid w:val="009754C9"/>
    <w:rsid w:val="00975507"/>
    <w:rsid w:val="0097591C"/>
    <w:rsid w:val="00975969"/>
    <w:rsid w:val="009759A3"/>
    <w:rsid w:val="00975A64"/>
    <w:rsid w:val="00975C2A"/>
    <w:rsid w:val="00975CCD"/>
    <w:rsid w:val="00975DA1"/>
    <w:rsid w:val="00975E3A"/>
    <w:rsid w:val="00976117"/>
    <w:rsid w:val="009761EB"/>
    <w:rsid w:val="0097638D"/>
    <w:rsid w:val="009763D2"/>
    <w:rsid w:val="00976539"/>
    <w:rsid w:val="00976556"/>
    <w:rsid w:val="009767CA"/>
    <w:rsid w:val="00976A20"/>
    <w:rsid w:val="00976A86"/>
    <w:rsid w:val="00976B6C"/>
    <w:rsid w:val="00976D8C"/>
    <w:rsid w:val="0097704B"/>
    <w:rsid w:val="00977216"/>
    <w:rsid w:val="009773BA"/>
    <w:rsid w:val="0097741A"/>
    <w:rsid w:val="00977599"/>
    <w:rsid w:val="0097770D"/>
    <w:rsid w:val="009778C0"/>
    <w:rsid w:val="00977961"/>
    <w:rsid w:val="009779FE"/>
    <w:rsid w:val="00977A6A"/>
    <w:rsid w:val="00977AF0"/>
    <w:rsid w:val="00977D5D"/>
    <w:rsid w:val="0098030D"/>
    <w:rsid w:val="00980496"/>
    <w:rsid w:val="009805AE"/>
    <w:rsid w:val="009806FE"/>
    <w:rsid w:val="00980721"/>
    <w:rsid w:val="0098084C"/>
    <w:rsid w:val="009809BD"/>
    <w:rsid w:val="009809C9"/>
    <w:rsid w:val="00980B6C"/>
    <w:rsid w:val="00980D10"/>
    <w:rsid w:val="00980DE3"/>
    <w:rsid w:val="0098102B"/>
    <w:rsid w:val="009812E2"/>
    <w:rsid w:val="009814A2"/>
    <w:rsid w:val="00981532"/>
    <w:rsid w:val="0098164A"/>
    <w:rsid w:val="0098200B"/>
    <w:rsid w:val="0098213A"/>
    <w:rsid w:val="00982318"/>
    <w:rsid w:val="009827E7"/>
    <w:rsid w:val="00982AE1"/>
    <w:rsid w:val="00982F2B"/>
    <w:rsid w:val="00982F89"/>
    <w:rsid w:val="0098340B"/>
    <w:rsid w:val="009835EB"/>
    <w:rsid w:val="0098374E"/>
    <w:rsid w:val="0098391B"/>
    <w:rsid w:val="00983B16"/>
    <w:rsid w:val="00983B77"/>
    <w:rsid w:val="00983E90"/>
    <w:rsid w:val="00984505"/>
    <w:rsid w:val="00984679"/>
    <w:rsid w:val="00984859"/>
    <w:rsid w:val="00984D24"/>
    <w:rsid w:val="00984D92"/>
    <w:rsid w:val="00984E7F"/>
    <w:rsid w:val="0098505A"/>
    <w:rsid w:val="00985066"/>
    <w:rsid w:val="00985223"/>
    <w:rsid w:val="00985247"/>
    <w:rsid w:val="009852DF"/>
    <w:rsid w:val="00985382"/>
    <w:rsid w:val="0098585F"/>
    <w:rsid w:val="00985C25"/>
    <w:rsid w:val="00985CBE"/>
    <w:rsid w:val="00985DDE"/>
    <w:rsid w:val="00985F9D"/>
    <w:rsid w:val="00985FBE"/>
    <w:rsid w:val="009861B4"/>
    <w:rsid w:val="009862E2"/>
    <w:rsid w:val="00986535"/>
    <w:rsid w:val="009866C8"/>
    <w:rsid w:val="00986830"/>
    <w:rsid w:val="009868F1"/>
    <w:rsid w:val="00986BC0"/>
    <w:rsid w:val="00986E34"/>
    <w:rsid w:val="0098705C"/>
    <w:rsid w:val="009870D7"/>
    <w:rsid w:val="009871B0"/>
    <w:rsid w:val="009871E2"/>
    <w:rsid w:val="00987647"/>
    <w:rsid w:val="00987895"/>
    <w:rsid w:val="00987963"/>
    <w:rsid w:val="00987BA9"/>
    <w:rsid w:val="00987DB2"/>
    <w:rsid w:val="00987E3C"/>
    <w:rsid w:val="00990003"/>
    <w:rsid w:val="0099004F"/>
    <w:rsid w:val="00990183"/>
    <w:rsid w:val="00990612"/>
    <w:rsid w:val="009906C1"/>
    <w:rsid w:val="009906E4"/>
    <w:rsid w:val="0099071C"/>
    <w:rsid w:val="009909D2"/>
    <w:rsid w:val="009909F1"/>
    <w:rsid w:val="00990AFC"/>
    <w:rsid w:val="00990DF8"/>
    <w:rsid w:val="00990E09"/>
    <w:rsid w:val="009911C3"/>
    <w:rsid w:val="00991206"/>
    <w:rsid w:val="009915FF"/>
    <w:rsid w:val="00991E5F"/>
    <w:rsid w:val="00991EFA"/>
    <w:rsid w:val="00991F29"/>
    <w:rsid w:val="009920FA"/>
    <w:rsid w:val="0099225B"/>
    <w:rsid w:val="0099229E"/>
    <w:rsid w:val="009922C8"/>
    <w:rsid w:val="009924C3"/>
    <w:rsid w:val="009925B3"/>
    <w:rsid w:val="00992A97"/>
    <w:rsid w:val="00992A99"/>
    <w:rsid w:val="00992CEE"/>
    <w:rsid w:val="00992ED1"/>
    <w:rsid w:val="00992F62"/>
    <w:rsid w:val="00993102"/>
    <w:rsid w:val="00993395"/>
    <w:rsid w:val="009939AA"/>
    <w:rsid w:val="00993A7E"/>
    <w:rsid w:val="00993AA6"/>
    <w:rsid w:val="00993C02"/>
    <w:rsid w:val="00993C16"/>
    <w:rsid w:val="00993E66"/>
    <w:rsid w:val="00994081"/>
    <w:rsid w:val="00994436"/>
    <w:rsid w:val="0099490B"/>
    <w:rsid w:val="00994B0F"/>
    <w:rsid w:val="00994BD4"/>
    <w:rsid w:val="00994E93"/>
    <w:rsid w:val="00994EF0"/>
    <w:rsid w:val="00995166"/>
    <w:rsid w:val="0099520A"/>
    <w:rsid w:val="009954D0"/>
    <w:rsid w:val="009956F9"/>
    <w:rsid w:val="00995956"/>
    <w:rsid w:val="00995A7E"/>
    <w:rsid w:val="00995B78"/>
    <w:rsid w:val="00995D27"/>
    <w:rsid w:val="00995FD7"/>
    <w:rsid w:val="0099625C"/>
    <w:rsid w:val="00996335"/>
    <w:rsid w:val="00996762"/>
    <w:rsid w:val="00996C13"/>
    <w:rsid w:val="00996F6A"/>
    <w:rsid w:val="00997492"/>
    <w:rsid w:val="009976AD"/>
    <w:rsid w:val="009976FC"/>
    <w:rsid w:val="009978BA"/>
    <w:rsid w:val="00997B5D"/>
    <w:rsid w:val="00997ED5"/>
    <w:rsid w:val="00997F15"/>
    <w:rsid w:val="00997F95"/>
    <w:rsid w:val="009A00E2"/>
    <w:rsid w:val="009A022E"/>
    <w:rsid w:val="009A04EC"/>
    <w:rsid w:val="009A0885"/>
    <w:rsid w:val="009A0AD0"/>
    <w:rsid w:val="009A0B12"/>
    <w:rsid w:val="009A125F"/>
    <w:rsid w:val="009A13EB"/>
    <w:rsid w:val="009A13FA"/>
    <w:rsid w:val="009A18AD"/>
    <w:rsid w:val="009A1C0C"/>
    <w:rsid w:val="009A23A2"/>
    <w:rsid w:val="009A23F3"/>
    <w:rsid w:val="009A261F"/>
    <w:rsid w:val="009A2681"/>
    <w:rsid w:val="009A289F"/>
    <w:rsid w:val="009A2A0C"/>
    <w:rsid w:val="009A2CAA"/>
    <w:rsid w:val="009A2E65"/>
    <w:rsid w:val="009A372D"/>
    <w:rsid w:val="009A37EE"/>
    <w:rsid w:val="009A3AA8"/>
    <w:rsid w:val="009A3DDE"/>
    <w:rsid w:val="009A3EDA"/>
    <w:rsid w:val="009A4161"/>
    <w:rsid w:val="009A4480"/>
    <w:rsid w:val="009A458D"/>
    <w:rsid w:val="009A45F6"/>
    <w:rsid w:val="009A4B99"/>
    <w:rsid w:val="009A5089"/>
    <w:rsid w:val="009A5356"/>
    <w:rsid w:val="009A5469"/>
    <w:rsid w:val="009A59F1"/>
    <w:rsid w:val="009A5DD1"/>
    <w:rsid w:val="009A5E1B"/>
    <w:rsid w:val="009A5F16"/>
    <w:rsid w:val="009A6276"/>
    <w:rsid w:val="009A63E7"/>
    <w:rsid w:val="009A6606"/>
    <w:rsid w:val="009A6977"/>
    <w:rsid w:val="009A69B6"/>
    <w:rsid w:val="009A6A18"/>
    <w:rsid w:val="009A6A4D"/>
    <w:rsid w:val="009A6AD8"/>
    <w:rsid w:val="009A6B4E"/>
    <w:rsid w:val="009A6F04"/>
    <w:rsid w:val="009A6FDE"/>
    <w:rsid w:val="009A7644"/>
    <w:rsid w:val="009A797A"/>
    <w:rsid w:val="009A7A05"/>
    <w:rsid w:val="009A7CE7"/>
    <w:rsid w:val="009B02B0"/>
    <w:rsid w:val="009B0350"/>
    <w:rsid w:val="009B03A7"/>
    <w:rsid w:val="009B0C2F"/>
    <w:rsid w:val="009B0E18"/>
    <w:rsid w:val="009B0E8C"/>
    <w:rsid w:val="009B0E98"/>
    <w:rsid w:val="009B0F07"/>
    <w:rsid w:val="009B0F5F"/>
    <w:rsid w:val="009B1301"/>
    <w:rsid w:val="009B1490"/>
    <w:rsid w:val="009B17C8"/>
    <w:rsid w:val="009B1B39"/>
    <w:rsid w:val="009B1C83"/>
    <w:rsid w:val="009B1D9B"/>
    <w:rsid w:val="009B220B"/>
    <w:rsid w:val="009B26D8"/>
    <w:rsid w:val="009B27B4"/>
    <w:rsid w:val="009B2B5E"/>
    <w:rsid w:val="009B31B0"/>
    <w:rsid w:val="009B32A3"/>
    <w:rsid w:val="009B32D5"/>
    <w:rsid w:val="009B36BE"/>
    <w:rsid w:val="009B36DE"/>
    <w:rsid w:val="009B3727"/>
    <w:rsid w:val="009B3770"/>
    <w:rsid w:val="009B3978"/>
    <w:rsid w:val="009B3E42"/>
    <w:rsid w:val="009B3E86"/>
    <w:rsid w:val="009B3EFC"/>
    <w:rsid w:val="009B3F49"/>
    <w:rsid w:val="009B3FF1"/>
    <w:rsid w:val="009B4057"/>
    <w:rsid w:val="009B4369"/>
    <w:rsid w:val="009B442E"/>
    <w:rsid w:val="009B45DD"/>
    <w:rsid w:val="009B471B"/>
    <w:rsid w:val="009B4AF2"/>
    <w:rsid w:val="009B4C01"/>
    <w:rsid w:val="009B4C9E"/>
    <w:rsid w:val="009B4CC5"/>
    <w:rsid w:val="009B4F66"/>
    <w:rsid w:val="009B506C"/>
    <w:rsid w:val="009B510A"/>
    <w:rsid w:val="009B5120"/>
    <w:rsid w:val="009B51AE"/>
    <w:rsid w:val="009B52F3"/>
    <w:rsid w:val="009B564E"/>
    <w:rsid w:val="009B565F"/>
    <w:rsid w:val="009B5695"/>
    <w:rsid w:val="009B572E"/>
    <w:rsid w:val="009B5A6D"/>
    <w:rsid w:val="009B5D6E"/>
    <w:rsid w:val="009B5DAF"/>
    <w:rsid w:val="009B5DCA"/>
    <w:rsid w:val="009B5E0A"/>
    <w:rsid w:val="009B5E56"/>
    <w:rsid w:val="009B61C7"/>
    <w:rsid w:val="009B6336"/>
    <w:rsid w:val="009B644B"/>
    <w:rsid w:val="009B64A7"/>
    <w:rsid w:val="009B6719"/>
    <w:rsid w:val="009B67AB"/>
    <w:rsid w:val="009B67FC"/>
    <w:rsid w:val="009B6BA8"/>
    <w:rsid w:val="009B7067"/>
    <w:rsid w:val="009B70E8"/>
    <w:rsid w:val="009B741E"/>
    <w:rsid w:val="009B752B"/>
    <w:rsid w:val="009B7580"/>
    <w:rsid w:val="009B7A12"/>
    <w:rsid w:val="009B7BD8"/>
    <w:rsid w:val="009B7C3E"/>
    <w:rsid w:val="009C03EB"/>
    <w:rsid w:val="009C077E"/>
    <w:rsid w:val="009C0A06"/>
    <w:rsid w:val="009C1042"/>
    <w:rsid w:val="009C11DA"/>
    <w:rsid w:val="009C163C"/>
    <w:rsid w:val="009C171A"/>
    <w:rsid w:val="009C179D"/>
    <w:rsid w:val="009C1B08"/>
    <w:rsid w:val="009C1B1E"/>
    <w:rsid w:val="009C1BB5"/>
    <w:rsid w:val="009C1C58"/>
    <w:rsid w:val="009C1DC1"/>
    <w:rsid w:val="009C1E01"/>
    <w:rsid w:val="009C2006"/>
    <w:rsid w:val="009C200E"/>
    <w:rsid w:val="009C215F"/>
    <w:rsid w:val="009C219C"/>
    <w:rsid w:val="009C244A"/>
    <w:rsid w:val="009C280D"/>
    <w:rsid w:val="009C2A1E"/>
    <w:rsid w:val="009C2A94"/>
    <w:rsid w:val="009C2C20"/>
    <w:rsid w:val="009C2D56"/>
    <w:rsid w:val="009C2D87"/>
    <w:rsid w:val="009C2F4F"/>
    <w:rsid w:val="009C3263"/>
    <w:rsid w:val="009C33C0"/>
    <w:rsid w:val="009C3624"/>
    <w:rsid w:val="009C36F1"/>
    <w:rsid w:val="009C3763"/>
    <w:rsid w:val="009C3E00"/>
    <w:rsid w:val="009C3E7F"/>
    <w:rsid w:val="009C3E81"/>
    <w:rsid w:val="009C3EB4"/>
    <w:rsid w:val="009C40B5"/>
    <w:rsid w:val="009C42A3"/>
    <w:rsid w:val="009C46B3"/>
    <w:rsid w:val="009C4865"/>
    <w:rsid w:val="009C4A39"/>
    <w:rsid w:val="009C4AEF"/>
    <w:rsid w:val="009C4B19"/>
    <w:rsid w:val="009C4DB3"/>
    <w:rsid w:val="009C4DBA"/>
    <w:rsid w:val="009C5026"/>
    <w:rsid w:val="009C509B"/>
    <w:rsid w:val="009C5107"/>
    <w:rsid w:val="009C52EC"/>
    <w:rsid w:val="009C5460"/>
    <w:rsid w:val="009C54EC"/>
    <w:rsid w:val="009C5A1F"/>
    <w:rsid w:val="009C5CC7"/>
    <w:rsid w:val="009C61CA"/>
    <w:rsid w:val="009C61D3"/>
    <w:rsid w:val="009C648F"/>
    <w:rsid w:val="009C65E2"/>
    <w:rsid w:val="009C6B05"/>
    <w:rsid w:val="009C6B6B"/>
    <w:rsid w:val="009C6DA1"/>
    <w:rsid w:val="009C6F10"/>
    <w:rsid w:val="009C6F14"/>
    <w:rsid w:val="009C6FBC"/>
    <w:rsid w:val="009C7193"/>
    <w:rsid w:val="009C7803"/>
    <w:rsid w:val="009C78C0"/>
    <w:rsid w:val="009C790C"/>
    <w:rsid w:val="009C7951"/>
    <w:rsid w:val="009C7E7F"/>
    <w:rsid w:val="009C7EB7"/>
    <w:rsid w:val="009C7F1C"/>
    <w:rsid w:val="009D0053"/>
    <w:rsid w:val="009D0524"/>
    <w:rsid w:val="009D0670"/>
    <w:rsid w:val="009D07C3"/>
    <w:rsid w:val="009D0839"/>
    <w:rsid w:val="009D0ACD"/>
    <w:rsid w:val="009D0D7A"/>
    <w:rsid w:val="009D109E"/>
    <w:rsid w:val="009D1249"/>
    <w:rsid w:val="009D148F"/>
    <w:rsid w:val="009D159F"/>
    <w:rsid w:val="009D16D0"/>
    <w:rsid w:val="009D16E1"/>
    <w:rsid w:val="009D174E"/>
    <w:rsid w:val="009D1C74"/>
    <w:rsid w:val="009D1DC2"/>
    <w:rsid w:val="009D1EFD"/>
    <w:rsid w:val="009D20B6"/>
    <w:rsid w:val="009D2106"/>
    <w:rsid w:val="009D23EE"/>
    <w:rsid w:val="009D25EA"/>
    <w:rsid w:val="009D29D2"/>
    <w:rsid w:val="009D2A22"/>
    <w:rsid w:val="009D2F06"/>
    <w:rsid w:val="009D34A0"/>
    <w:rsid w:val="009D3506"/>
    <w:rsid w:val="009D35DF"/>
    <w:rsid w:val="009D3613"/>
    <w:rsid w:val="009D3769"/>
    <w:rsid w:val="009D37BD"/>
    <w:rsid w:val="009D3D70"/>
    <w:rsid w:val="009D3DA9"/>
    <w:rsid w:val="009D456E"/>
    <w:rsid w:val="009D4652"/>
    <w:rsid w:val="009D4BD8"/>
    <w:rsid w:val="009D4C6A"/>
    <w:rsid w:val="009D4CA9"/>
    <w:rsid w:val="009D5026"/>
    <w:rsid w:val="009D5176"/>
    <w:rsid w:val="009D57C9"/>
    <w:rsid w:val="009D59FA"/>
    <w:rsid w:val="009D5A82"/>
    <w:rsid w:val="009D5D9D"/>
    <w:rsid w:val="009D60D0"/>
    <w:rsid w:val="009D60FC"/>
    <w:rsid w:val="009D6104"/>
    <w:rsid w:val="009D642F"/>
    <w:rsid w:val="009D6727"/>
    <w:rsid w:val="009D6785"/>
    <w:rsid w:val="009D6C3D"/>
    <w:rsid w:val="009D6D9C"/>
    <w:rsid w:val="009D7024"/>
    <w:rsid w:val="009D726C"/>
    <w:rsid w:val="009D73D8"/>
    <w:rsid w:val="009D74F3"/>
    <w:rsid w:val="009D74FF"/>
    <w:rsid w:val="009D77D6"/>
    <w:rsid w:val="009D784C"/>
    <w:rsid w:val="009D7919"/>
    <w:rsid w:val="009D7BED"/>
    <w:rsid w:val="009D7C6A"/>
    <w:rsid w:val="009D7E60"/>
    <w:rsid w:val="009D7F30"/>
    <w:rsid w:val="009D7FE1"/>
    <w:rsid w:val="009E070D"/>
    <w:rsid w:val="009E0720"/>
    <w:rsid w:val="009E092C"/>
    <w:rsid w:val="009E0F8F"/>
    <w:rsid w:val="009E0F9D"/>
    <w:rsid w:val="009E1235"/>
    <w:rsid w:val="009E1284"/>
    <w:rsid w:val="009E1367"/>
    <w:rsid w:val="009E1471"/>
    <w:rsid w:val="009E1886"/>
    <w:rsid w:val="009E1AE7"/>
    <w:rsid w:val="009E1B1D"/>
    <w:rsid w:val="009E1D4C"/>
    <w:rsid w:val="009E1ECC"/>
    <w:rsid w:val="009E1F9B"/>
    <w:rsid w:val="009E2136"/>
    <w:rsid w:val="009E22F1"/>
    <w:rsid w:val="009E2577"/>
    <w:rsid w:val="009E27ED"/>
    <w:rsid w:val="009E2811"/>
    <w:rsid w:val="009E2A8E"/>
    <w:rsid w:val="009E2B74"/>
    <w:rsid w:val="009E2BDC"/>
    <w:rsid w:val="009E2D3F"/>
    <w:rsid w:val="009E3479"/>
    <w:rsid w:val="009E35A0"/>
    <w:rsid w:val="009E3730"/>
    <w:rsid w:val="009E37F3"/>
    <w:rsid w:val="009E3A9B"/>
    <w:rsid w:val="009E3C27"/>
    <w:rsid w:val="009E3C9C"/>
    <w:rsid w:val="009E3DA4"/>
    <w:rsid w:val="009E44CB"/>
    <w:rsid w:val="009E46EB"/>
    <w:rsid w:val="009E4A4F"/>
    <w:rsid w:val="009E4DF5"/>
    <w:rsid w:val="009E5244"/>
    <w:rsid w:val="009E535E"/>
    <w:rsid w:val="009E53C0"/>
    <w:rsid w:val="009E546B"/>
    <w:rsid w:val="009E5645"/>
    <w:rsid w:val="009E575A"/>
    <w:rsid w:val="009E578E"/>
    <w:rsid w:val="009E57A0"/>
    <w:rsid w:val="009E57D9"/>
    <w:rsid w:val="009E586F"/>
    <w:rsid w:val="009E59A7"/>
    <w:rsid w:val="009E5B3D"/>
    <w:rsid w:val="009E5D8F"/>
    <w:rsid w:val="009E604F"/>
    <w:rsid w:val="009E63F2"/>
    <w:rsid w:val="009E65EE"/>
    <w:rsid w:val="009E6853"/>
    <w:rsid w:val="009E6968"/>
    <w:rsid w:val="009E69D0"/>
    <w:rsid w:val="009E6E82"/>
    <w:rsid w:val="009E6F7E"/>
    <w:rsid w:val="009E6FA2"/>
    <w:rsid w:val="009E7002"/>
    <w:rsid w:val="009E71B2"/>
    <w:rsid w:val="009E726F"/>
    <w:rsid w:val="009E73E9"/>
    <w:rsid w:val="009E75DE"/>
    <w:rsid w:val="009E77E6"/>
    <w:rsid w:val="009E787D"/>
    <w:rsid w:val="009E7A57"/>
    <w:rsid w:val="009E7C60"/>
    <w:rsid w:val="009E7CA2"/>
    <w:rsid w:val="009E7D25"/>
    <w:rsid w:val="009E7DE0"/>
    <w:rsid w:val="009F01DE"/>
    <w:rsid w:val="009F0627"/>
    <w:rsid w:val="009F07F8"/>
    <w:rsid w:val="009F08F4"/>
    <w:rsid w:val="009F0C6E"/>
    <w:rsid w:val="009F0CED"/>
    <w:rsid w:val="009F0CF3"/>
    <w:rsid w:val="009F0E7C"/>
    <w:rsid w:val="009F1092"/>
    <w:rsid w:val="009F113E"/>
    <w:rsid w:val="009F122B"/>
    <w:rsid w:val="009F124E"/>
    <w:rsid w:val="009F12E5"/>
    <w:rsid w:val="009F1398"/>
    <w:rsid w:val="009F1B40"/>
    <w:rsid w:val="009F1C25"/>
    <w:rsid w:val="009F24E3"/>
    <w:rsid w:val="009F2D05"/>
    <w:rsid w:val="009F2D6F"/>
    <w:rsid w:val="009F2DFE"/>
    <w:rsid w:val="009F30F8"/>
    <w:rsid w:val="009F32DF"/>
    <w:rsid w:val="009F35D9"/>
    <w:rsid w:val="009F37FA"/>
    <w:rsid w:val="009F38A0"/>
    <w:rsid w:val="009F4133"/>
    <w:rsid w:val="009F4202"/>
    <w:rsid w:val="009F43DE"/>
    <w:rsid w:val="009F461D"/>
    <w:rsid w:val="009F4C66"/>
    <w:rsid w:val="009F4F6A"/>
    <w:rsid w:val="009F4F81"/>
    <w:rsid w:val="009F51F0"/>
    <w:rsid w:val="009F5532"/>
    <w:rsid w:val="009F572C"/>
    <w:rsid w:val="009F58F5"/>
    <w:rsid w:val="009F5948"/>
    <w:rsid w:val="009F5AA7"/>
    <w:rsid w:val="009F5CB3"/>
    <w:rsid w:val="009F5CE9"/>
    <w:rsid w:val="009F5E6D"/>
    <w:rsid w:val="009F5EC1"/>
    <w:rsid w:val="009F6078"/>
    <w:rsid w:val="009F61CB"/>
    <w:rsid w:val="009F6271"/>
    <w:rsid w:val="009F6339"/>
    <w:rsid w:val="009F64AE"/>
    <w:rsid w:val="009F65AE"/>
    <w:rsid w:val="009F6822"/>
    <w:rsid w:val="009F6840"/>
    <w:rsid w:val="009F6941"/>
    <w:rsid w:val="009F69F2"/>
    <w:rsid w:val="009F6A97"/>
    <w:rsid w:val="009F72E1"/>
    <w:rsid w:val="009F7445"/>
    <w:rsid w:val="009F7511"/>
    <w:rsid w:val="009F752A"/>
    <w:rsid w:val="009F7828"/>
    <w:rsid w:val="009F7D39"/>
    <w:rsid w:val="00A000B0"/>
    <w:rsid w:val="00A000F6"/>
    <w:rsid w:val="00A0014A"/>
    <w:rsid w:val="00A002C8"/>
    <w:rsid w:val="00A00450"/>
    <w:rsid w:val="00A00506"/>
    <w:rsid w:val="00A0080C"/>
    <w:rsid w:val="00A0091B"/>
    <w:rsid w:val="00A00923"/>
    <w:rsid w:val="00A00BD3"/>
    <w:rsid w:val="00A00BE6"/>
    <w:rsid w:val="00A00CB0"/>
    <w:rsid w:val="00A00D3A"/>
    <w:rsid w:val="00A00D51"/>
    <w:rsid w:val="00A00E32"/>
    <w:rsid w:val="00A013B2"/>
    <w:rsid w:val="00A013DB"/>
    <w:rsid w:val="00A01754"/>
    <w:rsid w:val="00A01A8C"/>
    <w:rsid w:val="00A02021"/>
    <w:rsid w:val="00A02668"/>
    <w:rsid w:val="00A0288A"/>
    <w:rsid w:val="00A02C7B"/>
    <w:rsid w:val="00A02E8B"/>
    <w:rsid w:val="00A030DD"/>
    <w:rsid w:val="00A03144"/>
    <w:rsid w:val="00A03552"/>
    <w:rsid w:val="00A0358B"/>
    <w:rsid w:val="00A03EFD"/>
    <w:rsid w:val="00A04084"/>
    <w:rsid w:val="00A04168"/>
    <w:rsid w:val="00A041C5"/>
    <w:rsid w:val="00A04516"/>
    <w:rsid w:val="00A04577"/>
    <w:rsid w:val="00A0459E"/>
    <w:rsid w:val="00A04611"/>
    <w:rsid w:val="00A0467F"/>
    <w:rsid w:val="00A047FA"/>
    <w:rsid w:val="00A04ABC"/>
    <w:rsid w:val="00A04BAE"/>
    <w:rsid w:val="00A04C5A"/>
    <w:rsid w:val="00A04DA9"/>
    <w:rsid w:val="00A0501F"/>
    <w:rsid w:val="00A050AD"/>
    <w:rsid w:val="00A0527C"/>
    <w:rsid w:val="00A05342"/>
    <w:rsid w:val="00A053E2"/>
    <w:rsid w:val="00A05505"/>
    <w:rsid w:val="00A05511"/>
    <w:rsid w:val="00A05557"/>
    <w:rsid w:val="00A05722"/>
    <w:rsid w:val="00A05B2B"/>
    <w:rsid w:val="00A05D69"/>
    <w:rsid w:val="00A05FA1"/>
    <w:rsid w:val="00A06025"/>
    <w:rsid w:val="00A06327"/>
    <w:rsid w:val="00A06362"/>
    <w:rsid w:val="00A066C5"/>
    <w:rsid w:val="00A066CB"/>
    <w:rsid w:val="00A06778"/>
    <w:rsid w:val="00A068AE"/>
    <w:rsid w:val="00A06972"/>
    <w:rsid w:val="00A06BA7"/>
    <w:rsid w:val="00A06DE8"/>
    <w:rsid w:val="00A06EE2"/>
    <w:rsid w:val="00A0702F"/>
    <w:rsid w:val="00A07095"/>
    <w:rsid w:val="00A070C0"/>
    <w:rsid w:val="00A072EC"/>
    <w:rsid w:val="00A0732A"/>
    <w:rsid w:val="00A074DA"/>
    <w:rsid w:val="00A07556"/>
    <w:rsid w:val="00A07A2C"/>
    <w:rsid w:val="00A07B37"/>
    <w:rsid w:val="00A07BCF"/>
    <w:rsid w:val="00A07C08"/>
    <w:rsid w:val="00A07C84"/>
    <w:rsid w:val="00A07D18"/>
    <w:rsid w:val="00A07ED2"/>
    <w:rsid w:val="00A07F95"/>
    <w:rsid w:val="00A07FD4"/>
    <w:rsid w:val="00A07FF2"/>
    <w:rsid w:val="00A101FB"/>
    <w:rsid w:val="00A10333"/>
    <w:rsid w:val="00A104A8"/>
    <w:rsid w:val="00A10647"/>
    <w:rsid w:val="00A10808"/>
    <w:rsid w:val="00A10872"/>
    <w:rsid w:val="00A10A06"/>
    <w:rsid w:val="00A10C31"/>
    <w:rsid w:val="00A10F44"/>
    <w:rsid w:val="00A10F55"/>
    <w:rsid w:val="00A10FB7"/>
    <w:rsid w:val="00A11670"/>
    <w:rsid w:val="00A1177F"/>
    <w:rsid w:val="00A117C0"/>
    <w:rsid w:val="00A1188C"/>
    <w:rsid w:val="00A11985"/>
    <w:rsid w:val="00A119F3"/>
    <w:rsid w:val="00A11BCE"/>
    <w:rsid w:val="00A11CA8"/>
    <w:rsid w:val="00A11F89"/>
    <w:rsid w:val="00A121E8"/>
    <w:rsid w:val="00A121FE"/>
    <w:rsid w:val="00A12501"/>
    <w:rsid w:val="00A125DA"/>
    <w:rsid w:val="00A12907"/>
    <w:rsid w:val="00A12EB2"/>
    <w:rsid w:val="00A1302F"/>
    <w:rsid w:val="00A13125"/>
    <w:rsid w:val="00A133F5"/>
    <w:rsid w:val="00A13590"/>
    <w:rsid w:val="00A13A66"/>
    <w:rsid w:val="00A13C4E"/>
    <w:rsid w:val="00A13CC9"/>
    <w:rsid w:val="00A13D81"/>
    <w:rsid w:val="00A13DE3"/>
    <w:rsid w:val="00A14020"/>
    <w:rsid w:val="00A140FA"/>
    <w:rsid w:val="00A1410E"/>
    <w:rsid w:val="00A1417F"/>
    <w:rsid w:val="00A144B9"/>
    <w:rsid w:val="00A144FF"/>
    <w:rsid w:val="00A14551"/>
    <w:rsid w:val="00A145BE"/>
    <w:rsid w:val="00A145F1"/>
    <w:rsid w:val="00A14CDA"/>
    <w:rsid w:val="00A14D43"/>
    <w:rsid w:val="00A1510A"/>
    <w:rsid w:val="00A15185"/>
    <w:rsid w:val="00A1528F"/>
    <w:rsid w:val="00A15311"/>
    <w:rsid w:val="00A15A00"/>
    <w:rsid w:val="00A15CA1"/>
    <w:rsid w:val="00A15DDF"/>
    <w:rsid w:val="00A15E70"/>
    <w:rsid w:val="00A15EA4"/>
    <w:rsid w:val="00A1604D"/>
    <w:rsid w:val="00A16180"/>
    <w:rsid w:val="00A164B8"/>
    <w:rsid w:val="00A1669F"/>
    <w:rsid w:val="00A166DA"/>
    <w:rsid w:val="00A16852"/>
    <w:rsid w:val="00A16B69"/>
    <w:rsid w:val="00A16E05"/>
    <w:rsid w:val="00A16E36"/>
    <w:rsid w:val="00A16E9B"/>
    <w:rsid w:val="00A17212"/>
    <w:rsid w:val="00A17448"/>
    <w:rsid w:val="00A177C3"/>
    <w:rsid w:val="00A17AE3"/>
    <w:rsid w:val="00A17D17"/>
    <w:rsid w:val="00A2010D"/>
    <w:rsid w:val="00A20228"/>
    <w:rsid w:val="00A202D4"/>
    <w:rsid w:val="00A2038A"/>
    <w:rsid w:val="00A203B7"/>
    <w:rsid w:val="00A2062D"/>
    <w:rsid w:val="00A2069D"/>
    <w:rsid w:val="00A207A4"/>
    <w:rsid w:val="00A20BCF"/>
    <w:rsid w:val="00A20F15"/>
    <w:rsid w:val="00A20F97"/>
    <w:rsid w:val="00A21087"/>
    <w:rsid w:val="00A2112D"/>
    <w:rsid w:val="00A21402"/>
    <w:rsid w:val="00A21624"/>
    <w:rsid w:val="00A21823"/>
    <w:rsid w:val="00A22054"/>
    <w:rsid w:val="00A2218A"/>
    <w:rsid w:val="00A221FC"/>
    <w:rsid w:val="00A2285F"/>
    <w:rsid w:val="00A22D7F"/>
    <w:rsid w:val="00A22DDA"/>
    <w:rsid w:val="00A232AA"/>
    <w:rsid w:val="00A23770"/>
    <w:rsid w:val="00A238CB"/>
    <w:rsid w:val="00A23935"/>
    <w:rsid w:val="00A23A3B"/>
    <w:rsid w:val="00A23D1B"/>
    <w:rsid w:val="00A23E1B"/>
    <w:rsid w:val="00A23F44"/>
    <w:rsid w:val="00A2432E"/>
    <w:rsid w:val="00A24334"/>
    <w:rsid w:val="00A24364"/>
    <w:rsid w:val="00A243EE"/>
    <w:rsid w:val="00A24550"/>
    <w:rsid w:val="00A24728"/>
    <w:rsid w:val="00A24961"/>
    <w:rsid w:val="00A249A6"/>
    <w:rsid w:val="00A24ACB"/>
    <w:rsid w:val="00A24B10"/>
    <w:rsid w:val="00A24BB0"/>
    <w:rsid w:val="00A24C05"/>
    <w:rsid w:val="00A24CC0"/>
    <w:rsid w:val="00A24E7A"/>
    <w:rsid w:val="00A24F4F"/>
    <w:rsid w:val="00A25050"/>
    <w:rsid w:val="00A25262"/>
    <w:rsid w:val="00A252E4"/>
    <w:rsid w:val="00A25302"/>
    <w:rsid w:val="00A25338"/>
    <w:rsid w:val="00A25392"/>
    <w:rsid w:val="00A2541A"/>
    <w:rsid w:val="00A255AA"/>
    <w:rsid w:val="00A255BE"/>
    <w:rsid w:val="00A2561C"/>
    <w:rsid w:val="00A257EB"/>
    <w:rsid w:val="00A25813"/>
    <w:rsid w:val="00A25C48"/>
    <w:rsid w:val="00A25F50"/>
    <w:rsid w:val="00A25F99"/>
    <w:rsid w:val="00A25FFE"/>
    <w:rsid w:val="00A26142"/>
    <w:rsid w:val="00A26410"/>
    <w:rsid w:val="00A26461"/>
    <w:rsid w:val="00A2649C"/>
    <w:rsid w:val="00A264EB"/>
    <w:rsid w:val="00A26793"/>
    <w:rsid w:val="00A26CAE"/>
    <w:rsid w:val="00A26E2B"/>
    <w:rsid w:val="00A26EEC"/>
    <w:rsid w:val="00A274C7"/>
    <w:rsid w:val="00A27BB3"/>
    <w:rsid w:val="00A27D77"/>
    <w:rsid w:val="00A27E36"/>
    <w:rsid w:val="00A27F5A"/>
    <w:rsid w:val="00A27FD1"/>
    <w:rsid w:val="00A27FF8"/>
    <w:rsid w:val="00A30340"/>
    <w:rsid w:val="00A30499"/>
    <w:rsid w:val="00A3049F"/>
    <w:rsid w:val="00A305C6"/>
    <w:rsid w:val="00A305E7"/>
    <w:rsid w:val="00A30675"/>
    <w:rsid w:val="00A306F1"/>
    <w:rsid w:val="00A30BCB"/>
    <w:rsid w:val="00A30E3E"/>
    <w:rsid w:val="00A30E9B"/>
    <w:rsid w:val="00A30FC4"/>
    <w:rsid w:val="00A3101A"/>
    <w:rsid w:val="00A31144"/>
    <w:rsid w:val="00A31492"/>
    <w:rsid w:val="00A314A0"/>
    <w:rsid w:val="00A3180B"/>
    <w:rsid w:val="00A31859"/>
    <w:rsid w:val="00A31975"/>
    <w:rsid w:val="00A31A77"/>
    <w:rsid w:val="00A31C9B"/>
    <w:rsid w:val="00A31E9B"/>
    <w:rsid w:val="00A3217E"/>
    <w:rsid w:val="00A3223D"/>
    <w:rsid w:val="00A322AC"/>
    <w:rsid w:val="00A324EA"/>
    <w:rsid w:val="00A325FB"/>
    <w:rsid w:val="00A32727"/>
    <w:rsid w:val="00A32B81"/>
    <w:rsid w:val="00A32B8F"/>
    <w:rsid w:val="00A32E4A"/>
    <w:rsid w:val="00A33171"/>
    <w:rsid w:val="00A33384"/>
    <w:rsid w:val="00A335EA"/>
    <w:rsid w:val="00A338F2"/>
    <w:rsid w:val="00A33928"/>
    <w:rsid w:val="00A33C3D"/>
    <w:rsid w:val="00A33D0B"/>
    <w:rsid w:val="00A33D42"/>
    <w:rsid w:val="00A33EE7"/>
    <w:rsid w:val="00A33F6B"/>
    <w:rsid w:val="00A34068"/>
    <w:rsid w:val="00A3414D"/>
    <w:rsid w:val="00A3424F"/>
    <w:rsid w:val="00A3425E"/>
    <w:rsid w:val="00A34353"/>
    <w:rsid w:val="00A3443A"/>
    <w:rsid w:val="00A34535"/>
    <w:rsid w:val="00A3461E"/>
    <w:rsid w:val="00A346C7"/>
    <w:rsid w:val="00A34BCA"/>
    <w:rsid w:val="00A34BCB"/>
    <w:rsid w:val="00A351A7"/>
    <w:rsid w:val="00A3528A"/>
    <w:rsid w:val="00A35352"/>
    <w:rsid w:val="00A35930"/>
    <w:rsid w:val="00A3595E"/>
    <w:rsid w:val="00A35B07"/>
    <w:rsid w:val="00A35CDF"/>
    <w:rsid w:val="00A36086"/>
    <w:rsid w:val="00A36824"/>
    <w:rsid w:val="00A36991"/>
    <w:rsid w:val="00A36BAA"/>
    <w:rsid w:val="00A36C34"/>
    <w:rsid w:val="00A36DA4"/>
    <w:rsid w:val="00A36F60"/>
    <w:rsid w:val="00A36FE7"/>
    <w:rsid w:val="00A370D9"/>
    <w:rsid w:val="00A37154"/>
    <w:rsid w:val="00A373F0"/>
    <w:rsid w:val="00A374B4"/>
    <w:rsid w:val="00A37621"/>
    <w:rsid w:val="00A376E3"/>
    <w:rsid w:val="00A37701"/>
    <w:rsid w:val="00A37A43"/>
    <w:rsid w:val="00A37C03"/>
    <w:rsid w:val="00A37DA8"/>
    <w:rsid w:val="00A400C1"/>
    <w:rsid w:val="00A4028D"/>
    <w:rsid w:val="00A40687"/>
    <w:rsid w:val="00A40881"/>
    <w:rsid w:val="00A40971"/>
    <w:rsid w:val="00A40AF6"/>
    <w:rsid w:val="00A40C92"/>
    <w:rsid w:val="00A40E28"/>
    <w:rsid w:val="00A40E50"/>
    <w:rsid w:val="00A40E86"/>
    <w:rsid w:val="00A40F17"/>
    <w:rsid w:val="00A410B9"/>
    <w:rsid w:val="00A4150D"/>
    <w:rsid w:val="00A4178C"/>
    <w:rsid w:val="00A4179C"/>
    <w:rsid w:val="00A41CA1"/>
    <w:rsid w:val="00A41F47"/>
    <w:rsid w:val="00A421D0"/>
    <w:rsid w:val="00A421E7"/>
    <w:rsid w:val="00A42378"/>
    <w:rsid w:val="00A4247C"/>
    <w:rsid w:val="00A424E2"/>
    <w:rsid w:val="00A4254A"/>
    <w:rsid w:val="00A42827"/>
    <w:rsid w:val="00A42919"/>
    <w:rsid w:val="00A42A51"/>
    <w:rsid w:val="00A42B87"/>
    <w:rsid w:val="00A42C8D"/>
    <w:rsid w:val="00A42CCA"/>
    <w:rsid w:val="00A42ED9"/>
    <w:rsid w:val="00A43281"/>
    <w:rsid w:val="00A43CC2"/>
    <w:rsid w:val="00A43D28"/>
    <w:rsid w:val="00A43DD1"/>
    <w:rsid w:val="00A43FAD"/>
    <w:rsid w:val="00A4447D"/>
    <w:rsid w:val="00A44947"/>
    <w:rsid w:val="00A44958"/>
    <w:rsid w:val="00A449D9"/>
    <w:rsid w:val="00A44AA0"/>
    <w:rsid w:val="00A44E38"/>
    <w:rsid w:val="00A45065"/>
    <w:rsid w:val="00A4512D"/>
    <w:rsid w:val="00A45177"/>
    <w:rsid w:val="00A45263"/>
    <w:rsid w:val="00A455CF"/>
    <w:rsid w:val="00A45842"/>
    <w:rsid w:val="00A459E6"/>
    <w:rsid w:val="00A45A27"/>
    <w:rsid w:val="00A45BE1"/>
    <w:rsid w:val="00A45FA2"/>
    <w:rsid w:val="00A461D6"/>
    <w:rsid w:val="00A462CA"/>
    <w:rsid w:val="00A46669"/>
    <w:rsid w:val="00A46A92"/>
    <w:rsid w:val="00A46F0D"/>
    <w:rsid w:val="00A47057"/>
    <w:rsid w:val="00A47251"/>
    <w:rsid w:val="00A47273"/>
    <w:rsid w:val="00A4729A"/>
    <w:rsid w:val="00A474BD"/>
    <w:rsid w:val="00A47533"/>
    <w:rsid w:val="00A4754F"/>
    <w:rsid w:val="00A4777D"/>
    <w:rsid w:val="00A4797C"/>
    <w:rsid w:val="00A479D3"/>
    <w:rsid w:val="00A479D7"/>
    <w:rsid w:val="00A47A55"/>
    <w:rsid w:val="00A47AEF"/>
    <w:rsid w:val="00A47C2E"/>
    <w:rsid w:val="00A47D85"/>
    <w:rsid w:val="00A50004"/>
    <w:rsid w:val="00A50211"/>
    <w:rsid w:val="00A50244"/>
    <w:rsid w:val="00A50520"/>
    <w:rsid w:val="00A505EA"/>
    <w:rsid w:val="00A50716"/>
    <w:rsid w:val="00A50719"/>
    <w:rsid w:val="00A50819"/>
    <w:rsid w:val="00A50ED8"/>
    <w:rsid w:val="00A50FEE"/>
    <w:rsid w:val="00A51055"/>
    <w:rsid w:val="00A5142A"/>
    <w:rsid w:val="00A5155E"/>
    <w:rsid w:val="00A515ED"/>
    <w:rsid w:val="00A516E5"/>
    <w:rsid w:val="00A51819"/>
    <w:rsid w:val="00A519C8"/>
    <w:rsid w:val="00A51A48"/>
    <w:rsid w:val="00A51A5D"/>
    <w:rsid w:val="00A51CE5"/>
    <w:rsid w:val="00A51D23"/>
    <w:rsid w:val="00A51D9A"/>
    <w:rsid w:val="00A51F18"/>
    <w:rsid w:val="00A522CF"/>
    <w:rsid w:val="00A5235F"/>
    <w:rsid w:val="00A52415"/>
    <w:rsid w:val="00A52721"/>
    <w:rsid w:val="00A5288A"/>
    <w:rsid w:val="00A529BB"/>
    <w:rsid w:val="00A52B19"/>
    <w:rsid w:val="00A52E53"/>
    <w:rsid w:val="00A52FC9"/>
    <w:rsid w:val="00A53154"/>
    <w:rsid w:val="00A53204"/>
    <w:rsid w:val="00A532B0"/>
    <w:rsid w:val="00A53B98"/>
    <w:rsid w:val="00A53C09"/>
    <w:rsid w:val="00A53D1A"/>
    <w:rsid w:val="00A53D9D"/>
    <w:rsid w:val="00A53E58"/>
    <w:rsid w:val="00A545CE"/>
    <w:rsid w:val="00A5473C"/>
    <w:rsid w:val="00A54838"/>
    <w:rsid w:val="00A548AA"/>
    <w:rsid w:val="00A54A60"/>
    <w:rsid w:val="00A54C8A"/>
    <w:rsid w:val="00A55021"/>
    <w:rsid w:val="00A55195"/>
    <w:rsid w:val="00A55240"/>
    <w:rsid w:val="00A55505"/>
    <w:rsid w:val="00A555BA"/>
    <w:rsid w:val="00A5581F"/>
    <w:rsid w:val="00A55857"/>
    <w:rsid w:val="00A55DBD"/>
    <w:rsid w:val="00A55F1C"/>
    <w:rsid w:val="00A55F66"/>
    <w:rsid w:val="00A5607C"/>
    <w:rsid w:val="00A5616F"/>
    <w:rsid w:val="00A561D9"/>
    <w:rsid w:val="00A562AA"/>
    <w:rsid w:val="00A562D3"/>
    <w:rsid w:val="00A566CE"/>
    <w:rsid w:val="00A566EB"/>
    <w:rsid w:val="00A5691E"/>
    <w:rsid w:val="00A56F17"/>
    <w:rsid w:val="00A570F9"/>
    <w:rsid w:val="00A57120"/>
    <w:rsid w:val="00A571B9"/>
    <w:rsid w:val="00A576C0"/>
    <w:rsid w:val="00A576CB"/>
    <w:rsid w:val="00A576F1"/>
    <w:rsid w:val="00A57864"/>
    <w:rsid w:val="00A57B89"/>
    <w:rsid w:val="00A57E81"/>
    <w:rsid w:val="00A57FF2"/>
    <w:rsid w:val="00A6021C"/>
    <w:rsid w:val="00A605C9"/>
    <w:rsid w:val="00A60724"/>
    <w:rsid w:val="00A609C7"/>
    <w:rsid w:val="00A60ABD"/>
    <w:rsid w:val="00A60EA4"/>
    <w:rsid w:val="00A615C8"/>
    <w:rsid w:val="00A617BA"/>
    <w:rsid w:val="00A61963"/>
    <w:rsid w:val="00A61AC7"/>
    <w:rsid w:val="00A61B82"/>
    <w:rsid w:val="00A61D11"/>
    <w:rsid w:val="00A61FB1"/>
    <w:rsid w:val="00A62289"/>
    <w:rsid w:val="00A624D8"/>
    <w:rsid w:val="00A62577"/>
    <w:rsid w:val="00A627D7"/>
    <w:rsid w:val="00A628EA"/>
    <w:rsid w:val="00A629E7"/>
    <w:rsid w:val="00A62CFF"/>
    <w:rsid w:val="00A62D2C"/>
    <w:rsid w:val="00A63204"/>
    <w:rsid w:val="00A6323F"/>
    <w:rsid w:val="00A6336F"/>
    <w:rsid w:val="00A63558"/>
    <w:rsid w:val="00A6365C"/>
    <w:rsid w:val="00A63A65"/>
    <w:rsid w:val="00A63BC8"/>
    <w:rsid w:val="00A63E4D"/>
    <w:rsid w:val="00A63F17"/>
    <w:rsid w:val="00A63FE0"/>
    <w:rsid w:val="00A64504"/>
    <w:rsid w:val="00A64799"/>
    <w:rsid w:val="00A649DD"/>
    <w:rsid w:val="00A64EDB"/>
    <w:rsid w:val="00A64F6A"/>
    <w:rsid w:val="00A65008"/>
    <w:rsid w:val="00A65030"/>
    <w:rsid w:val="00A651D1"/>
    <w:rsid w:val="00A65222"/>
    <w:rsid w:val="00A65281"/>
    <w:rsid w:val="00A65403"/>
    <w:rsid w:val="00A656C7"/>
    <w:rsid w:val="00A65908"/>
    <w:rsid w:val="00A65B1C"/>
    <w:rsid w:val="00A65C7F"/>
    <w:rsid w:val="00A65D1B"/>
    <w:rsid w:val="00A65D1D"/>
    <w:rsid w:val="00A65E24"/>
    <w:rsid w:val="00A661F9"/>
    <w:rsid w:val="00A66374"/>
    <w:rsid w:val="00A666B2"/>
    <w:rsid w:val="00A6690B"/>
    <w:rsid w:val="00A66A35"/>
    <w:rsid w:val="00A66AB3"/>
    <w:rsid w:val="00A66DA6"/>
    <w:rsid w:val="00A67045"/>
    <w:rsid w:val="00A67066"/>
    <w:rsid w:val="00A67249"/>
    <w:rsid w:val="00A6726D"/>
    <w:rsid w:val="00A6728C"/>
    <w:rsid w:val="00A673BF"/>
    <w:rsid w:val="00A67B99"/>
    <w:rsid w:val="00A67DB8"/>
    <w:rsid w:val="00A67DEF"/>
    <w:rsid w:val="00A67EB2"/>
    <w:rsid w:val="00A67EE3"/>
    <w:rsid w:val="00A700E2"/>
    <w:rsid w:val="00A70279"/>
    <w:rsid w:val="00A705AF"/>
    <w:rsid w:val="00A706FD"/>
    <w:rsid w:val="00A70895"/>
    <w:rsid w:val="00A709DC"/>
    <w:rsid w:val="00A70BBD"/>
    <w:rsid w:val="00A70BC7"/>
    <w:rsid w:val="00A70D00"/>
    <w:rsid w:val="00A70E4E"/>
    <w:rsid w:val="00A70EAD"/>
    <w:rsid w:val="00A7173E"/>
    <w:rsid w:val="00A718EC"/>
    <w:rsid w:val="00A719E5"/>
    <w:rsid w:val="00A71F99"/>
    <w:rsid w:val="00A71FD1"/>
    <w:rsid w:val="00A723E1"/>
    <w:rsid w:val="00A72454"/>
    <w:rsid w:val="00A72482"/>
    <w:rsid w:val="00A7257A"/>
    <w:rsid w:val="00A72A47"/>
    <w:rsid w:val="00A72B65"/>
    <w:rsid w:val="00A72FE5"/>
    <w:rsid w:val="00A734A2"/>
    <w:rsid w:val="00A734AB"/>
    <w:rsid w:val="00A73538"/>
    <w:rsid w:val="00A73649"/>
    <w:rsid w:val="00A73669"/>
    <w:rsid w:val="00A73814"/>
    <w:rsid w:val="00A7396F"/>
    <w:rsid w:val="00A73AE9"/>
    <w:rsid w:val="00A73C91"/>
    <w:rsid w:val="00A73DB1"/>
    <w:rsid w:val="00A73F10"/>
    <w:rsid w:val="00A73F2B"/>
    <w:rsid w:val="00A73F86"/>
    <w:rsid w:val="00A74345"/>
    <w:rsid w:val="00A74782"/>
    <w:rsid w:val="00A74ABD"/>
    <w:rsid w:val="00A74C32"/>
    <w:rsid w:val="00A74C4F"/>
    <w:rsid w:val="00A74EBE"/>
    <w:rsid w:val="00A75003"/>
    <w:rsid w:val="00A751E8"/>
    <w:rsid w:val="00A752C2"/>
    <w:rsid w:val="00A753F7"/>
    <w:rsid w:val="00A75638"/>
    <w:rsid w:val="00A75785"/>
    <w:rsid w:val="00A7579E"/>
    <w:rsid w:val="00A758B5"/>
    <w:rsid w:val="00A75902"/>
    <w:rsid w:val="00A7617C"/>
    <w:rsid w:val="00A761AD"/>
    <w:rsid w:val="00A762CE"/>
    <w:rsid w:val="00A762D0"/>
    <w:rsid w:val="00A764F7"/>
    <w:rsid w:val="00A764FF"/>
    <w:rsid w:val="00A76552"/>
    <w:rsid w:val="00A76633"/>
    <w:rsid w:val="00A7686B"/>
    <w:rsid w:val="00A76AED"/>
    <w:rsid w:val="00A76B27"/>
    <w:rsid w:val="00A76CFA"/>
    <w:rsid w:val="00A77182"/>
    <w:rsid w:val="00A771CD"/>
    <w:rsid w:val="00A772FF"/>
    <w:rsid w:val="00A77435"/>
    <w:rsid w:val="00A7755C"/>
    <w:rsid w:val="00A77696"/>
    <w:rsid w:val="00A776E6"/>
    <w:rsid w:val="00A778E6"/>
    <w:rsid w:val="00A779DD"/>
    <w:rsid w:val="00A77C56"/>
    <w:rsid w:val="00A77DC1"/>
    <w:rsid w:val="00A77EB2"/>
    <w:rsid w:val="00A8052F"/>
    <w:rsid w:val="00A80557"/>
    <w:rsid w:val="00A806CF"/>
    <w:rsid w:val="00A80BF4"/>
    <w:rsid w:val="00A80C38"/>
    <w:rsid w:val="00A80E07"/>
    <w:rsid w:val="00A811EC"/>
    <w:rsid w:val="00A811FC"/>
    <w:rsid w:val="00A81249"/>
    <w:rsid w:val="00A81482"/>
    <w:rsid w:val="00A81491"/>
    <w:rsid w:val="00A81778"/>
    <w:rsid w:val="00A818E3"/>
    <w:rsid w:val="00A819BE"/>
    <w:rsid w:val="00A81AA3"/>
    <w:rsid w:val="00A81D33"/>
    <w:rsid w:val="00A81ED6"/>
    <w:rsid w:val="00A82064"/>
    <w:rsid w:val="00A82093"/>
    <w:rsid w:val="00A821B7"/>
    <w:rsid w:val="00A821CA"/>
    <w:rsid w:val="00A8240F"/>
    <w:rsid w:val="00A826CA"/>
    <w:rsid w:val="00A827D0"/>
    <w:rsid w:val="00A82A5A"/>
    <w:rsid w:val="00A82A62"/>
    <w:rsid w:val="00A82BDD"/>
    <w:rsid w:val="00A82EDA"/>
    <w:rsid w:val="00A82EF7"/>
    <w:rsid w:val="00A83015"/>
    <w:rsid w:val="00A830B1"/>
    <w:rsid w:val="00A8314F"/>
    <w:rsid w:val="00A832F3"/>
    <w:rsid w:val="00A83353"/>
    <w:rsid w:val="00A83439"/>
    <w:rsid w:val="00A8362F"/>
    <w:rsid w:val="00A8363C"/>
    <w:rsid w:val="00A836B8"/>
    <w:rsid w:val="00A83805"/>
    <w:rsid w:val="00A83B2A"/>
    <w:rsid w:val="00A83B4D"/>
    <w:rsid w:val="00A83DA6"/>
    <w:rsid w:val="00A83F95"/>
    <w:rsid w:val="00A84065"/>
    <w:rsid w:val="00A844B8"/>
    <w:rsid w:val="00A84E98"/>
    <w:rsid w:val="00A8516F"/>
    <w:rsid w:val="00A852AC"/>
    <w:rsid w:val="00A85316"/>
    <w:rsid w:val="00A855AE"/>
    <w:rsid w:val="00A85648"/>
    <w:rsid w:val="00A85937"/>
    <w:rsid w:val="00A8595A"/>
    <w:rsid w:val="00A85BB7"/>
    <w:rsid w:val="00A85CB2"/>
    <w:rsid w:val="00A85E75"/>
    <w:rsid w:val="00A86082"/>
    <w:rsid w:val="00A8625A"/>
    <w:rsid w:val="00A862C9"/>
    <w:rsid w:val="00A86349"/>
    <w:rsid w:val="00A863A8"/>
    <w:rsid w:val="00A866FF"/>
    <w:rsid w:val="00A86806"/>
    <w:rsid w:val="00A86984"/>
    <w:rsid w:val="00A86AC6"/>
    <w:rsid w:val="00A86AD7"/>
    <w:rsid w:val="00A86D35"/>
    <w:rsid w:val="00A86D7E"/>
    <w:rsid w:val="00A86E6A"/>
    <w:rsid w:val="00A86FAE"/>
    <w:rsid w:val="00A87072"/>
    <w:rsid w:val="00A87107"/>
    <w:rsid w:val="00A8712E"/>
    <w:rsid w:val="00A87285"/>
    <w:rsid w:val="00A87330"/>
    <w:rsid w:val="00A87338"/>
    <w:rsid w:val="00A8763B"/>
    <w:rsid w:val="00A87731"/>
    <w:rsid w:val="00A87E47"/>
    <w:rsid w:val="00A87E58"/>
    <w:rsid w:val="00A9017B"/>
    <w:rsid w:val="00A901E8"/>
    <w:rsid w:val="00A90429"/>
    <w:rsid w:val="00A9043E"/>
    <w:rsid w:val="00A906F9"/>
    <w:rsid w:val="00A90747"/>
    <w:rsid w:val="00A90ABE"/>
    <w:rsid w:val="00A90E74"/>
    <w:rsid w:val="00A90F2B"/>
    <w:rsid w:val="00A91054"/>
    <w:rsid w:val="00A912FF"/>
    <w:rsid w:val="00A91682"/>
    <w:rsid w:val="00A91728"/>
    <w:rsid w:val="00A91748"/>
    <w:rsid w:val="00A917D6"/>
    <w:rsid w:val="00A919B4"/>
    <w:rsid w:val="00A919E9"/>
    <w:rsid w:val="00A91CD8"/>
    <w:rsid w:val="00A91DDF"/>
    <w:rsid w:val="00A91E3C"/>
    <w:rsid w:val="00A91ECF"/>
    <w:rsid w:val="00A91FAD"/>
    <w:rsid w:val="00A9207B"/>
    <w:rsid w:val="00A92181"/>
    <w:rsid w:val="00A92274"/>
    <w:rsid w:val="00A923DC"/>
    <w:rsid w:val="00A9268F"/>
    <w:rsid w:val="00A92806"/>
    <w:rsid w:val="00A92AA5"/>
    <w:rsid w:val="00A92DFF"/>
    <w:rsid w:val="00A930AE"/>
    <w:rsid w:val="00A93442"/>
    <w:rsid w:val="00A9351E"/>
    <w:rsid w:val="00A93639"/>
    <w:rsid w:val="00A93708"/>
    <w:rsid w:val="00A9381A"/>
    <w:rsid w:val="00A9387A"/>
    <w:rsid w:val="00A93922"/>
    <w:rsid w:val="00A93A3E"/>
    <w:rsid w:val="00A93A3F"/>
    <w:rsid w:val="00A94138"/>
    <w:rsid w:val="00A9429B"/>
    <w:rsid w:val="00A9439A"/>
    <w:rsid w:val="00A943E2"/>
    <w:rsid w:val="00A9496E"/>
    <w:rsid w:val="00A949D5"/>
    <w:rsid w:val="00A94BBD"/>
    <w:rsid w:val="00A94BC6"/>
    <w:rsid w:val="00A94EDF"/>
    <w:rsid w:val="00A94F35"/>
    <w:rsid w:val="00A94F9A"/>
    <w:rsid w:val="00A952D6"/>
    <w:rsid w:val="00A95309"/>
    <w:rsid w:val="00A95394"/>
    <w:rsid w:val="00A95510"/>
    <w:rsid w:val="00A9551F"/>
    <w:rsid w:val="00A959AD"/>
    <w:rsid w:val="00A96105"/>
    <w:rsid w:val="00A96230"/>
    <w:rsid w:val="00A96255"/>
    <w:rsid w:val="00A9625C"/>
    <w:rsid w:val="00A962F1"/>
    <w:rsid w:val="00A96315"/>
    <w:rsid w:val="00A96356"/>
    <w:rsid w:val="00A968B1"/>
    <w:rsid w:val="00A968CF"/>
    <w:rsid w:val="00A968FC"/>
    <w:rsid w:val="00A96AAB"/>
    <w:rsid w:val="00A96C0B"/>
    <w:rsid w:val="00A970E2"/>
    <w:rsid w:val="00A9714D"/>
    <w:rsid w:val="00A9772F"/>
    <w:rsid w:val="00A97B5D"/>
    <w:rsid w:val="00A97C31"/>
    <w:rsid w:val="00A97F88"/>
    <w:rsid w:val="00AA042C"/>
    <w:rsid w:val="00AA0900"/>
    <w:rsid w:val="00AA0A74"/>
    <w:rsid w:val="00AA0BC9"/>
    <w:rsid w:val="00AA0C90"/>
    <w:rsid w:val="00AA11DB"/>
    <w:rsid w:val="00AA11FE"/>
    <w:rsid w:val="00AA1239"/>
    <w:rsid w:val="00AA135D"/>
    <w:rsid w:val="00AA1861"/>
    <w:rsid w:val="00AA1A79"/>
    <w:rsid w:val="00AA1A95"/>
    <w:rsid w:val="00AA1ACA"/>
    <w:rsid w:val="00AA1CFD"/>
    <w:rsid w:val="00AA1EE1"/>
    <w:rsid w:val="00AA21BA"/>
    <w:rsid w:val="00AA24C0"/>
    <w:rsid w:val="00AA2540"/>
    <w:rsid w:val="00AA25B6"/>
    <w:rsid w:val="00AA260F"/>
    <w:rsid w:val="00AA2DCE"/>
    <w:rsid w:val="00AA2EE0"/>
    <w:rsid w:val="00AA2EF8"/>
    <w:rsid w:val="00AA3329"/>
    <w:rsid w:val="00AA34B7"/>
    <w:rsid w:val="00AA37D8"/>
    <w:rsid w:val="00AA3A54"/>
    <w:rsid w:val="00AA3A94"/>
    <w:rsid w:val="00AA3B0E"/>
    <w:rsid w:val="00AA3B2E"/>
    <w:rsid w:val="00AA3BD4"/>
    <w:rsid w:val="00AA3C44"/>
    <w:rsid w:val="00AA3D5A"/>
    <w:rsid w:val="00AA3E08"/>
    <w:rsid w:val="00AA40DE"/>
    <w:rsid w:val="00AA427E"/>
    <w:rsid w:val="00AA42C0"/>
    <w:rsid w:val="00AA43DB"/>
    <w:rsid w:val="00AA4429"/>
    <w:rsid w:val="00AA4594"/>
    <w:rsid w:val="00AA4663"/>
    <w:rsid w:val="00AA49F7"/>
    <w:rsid w:val="00AA4B61"/>
    <w:rsid w:val="00AA4C3D"/>
    <w:rsid w:val="00AA4CAA"/>
    <w:rsid w:val="00AA4D9E"/>
    <w:rsid w:val="00AA5013"/>
    <w:rsid w:val="00AA504F"/>
    <w:rsid w:val="00AA5890"/>
    <w:rsid w:val="00AA5A46"/>
    <w:rsid w:val="00AA5AEB"/>
    <w:rsid w:val="00AA5C65"/>
    <w:rsid w:val="00AA5D34"/>
    <w:rsid w:val="00AA5F24"/>
    <w:rsid w:val="00AA5F7C"/>
    <w:rsid w:val="00AA6134"/>
    <w:rsid w:val="00AA62DF"/>
    <w:rsid w:val="00AA62FB"/>
    <w:rsid w:val="00AA6309"/>
    <w:rsid w:val="00AA63E2"/>
    <w:rsid w:val="00AA641D"/>
    <w:rsid w:val="00AA64DB"/>
    <w:rsid w:val="00AA6571"/>
    <w:rsid w:val="00AA6706"/>
    <w:rsid w:val="00AA673D"/>
    <w:rsid w:val="00AA6798"/>
    <w:rsid w:val="00AA6843"/>
    <w:rsid w:val="00AA6F77"/>
    <w:rsid w:val="00AA7156"/>
    <w:rsid w:val="00AA75E4"/>
    <w:rsid w:val="00AA77A2"/>
    <w:rsid w:val="00AA78A9"/>
    <w:rsid w:val="00AA7C27"/>
    <w:rsid w:val="00AA7DCC"/>
    <w:rsid w:val="00AB0252"/>
    <w:rsid w:val="00AB03A1"/>
    <w:rsid w:val="00AB06C9"/>
    <w:rsid w:val="00AB092C"/>
    <w:rsid w:val="00AB0D6A"/>
    <w:rsid w:val="00AB0DCE"/>
    <w:rsid w:val="00AB1042"/>
    <w:rsid w:val="00AB10E7"/>
    <w:rsid w:val="00AB1399"/>
    <w:rsid w:val="00AB1431"/>
    <w:rsid w:val="00AB1743"/>
    <w:rsid w:val="00AB196B"/>
    <w:rsid w:val="00AB1D4C"/>
    <w:rsid w:val="00AB1EE7"/>
    <w:rsid w:val="00AB236A"/>
    <w:rsid w:val="00AB23E9"/>
    <w:rsid w:val="00AB253E"/>
    <w:rsid w:val="00AB2549"/>
    <w:rsid w:val="00AB2551"/>
    <w:rsid w:val="00AB2595"/>
    <w:rsid w:val="00AB2CC2"/>
    <w:rsid w:val="00AB2D09"/>
    <w:rsid w:val="00AB35D9"/>
    <w:rsid w:val="00AB369F"/>
    <w:rsid w:val="00AB3884"/>
    <w:rsid w:val="00AB39F9"/>
    <w:rsid w:val="00AB3B18"/>
    <w:rsid w:val="00AB3B4A"/>
    <w:rsid w:val="00AB3C0C"/>
    <w:rsid w:val="00AB3C45"/>
    <w:rsid w:val="00AB3E7C"/>
    <w:rsid w:val="00AB40F2"/>
    <w:rsid w:val="00AB41EC"/>
    <w:rsid w:val="00AB420E"/>
    <w:rsid w:val="00AB4631"/>
    <w:rsid w:val="00AB466B"/>
    <w:rsid w:val="00AB4854"/>
    <w:rsid w:val="00AB49E2"/>
    <w:rsid w:val="00AB4B37"/>
    <w:rsid w:val="00AB4BD3"/>
    <w:rsid w:val="00AB4DA6"/>
    <w:rsid w:val="00AB5013"/>
    <w:rsid w:val="00AB511D"/>
    <w:rsid w:val="00AB5293"/>
    <w:rsid w:val="00AB52EC"/>
    <w:rsid w:val="00AB534F"/>
    <w:rsid w:val="00AB5433"/>
    <w:rsid w:val="00AB568E"/>
    <w:rsid w:val="00AB5762"/>
    <w:rsid w:val="00AB5A2D"/>
    <w:rsid w:val="00AB6090"/>
    <w:rsid w:val="00AB60AC"/>
    <w:rsid w:val="00AB6315"/>
    <w:rsid w:val="00AB6472"/>
    <w:rsid w:val="00AB682B"/>
    <w:rsid w:val="00AB6B2F"/>
    <w:rsid w:val="00AB6EA7"/>
    <w:rsid w:val="00AB6F7C"/>
    <w:rsid w:val="00AB700B"/>
    <w:rsid w:val="00AB70A8"/>
    <w:rsid w:val="00AB70D4"/>
    <w:rsid w:val="00AB7252"/>
    <w:rsid w:val="00AB741D"/>
    <w:rsid w:val="00AB75D3"/>
    <w:rsid w:val="00AB78C8"/>
    <w:rsid w:val="00AB79F2"/>
    <w:rsid w:val="00AB7A3A"/>
    <w:rsid w:val="00AB7B21"/>
    <w:rsid w:val="00AB7B42"/>
    <w:rsid w:val="00AB7C7D"/>
    <w:rsid w:val="00AB7CBC"/>
    <w:rsid w:val="00AB7E14"/>
    <w:rsid w:val="00AB7E40"/>
    <w:rsid w:val="00AB7E6B"/>
    <w:rsid w:val="00AB7ECE"/>
    <w:rsid w:val="00AB7FC5"/>
    <w:rsid w:val="00AC0069"/>
    <w:rsid w:val="00AC0265"/>
    <w:rsid w:val="00AC02CB"/>
    <w:rsid w:val="00AC0789"/>
    <w:rsid w:val="00AC09E6"/>
    <w:rsid w:val="00AC0C25"/>
    <w:rsid w:val="00AC0EA2"/>
    <w:rsid w:val="00AC0F23"/>
    <w:rsid w:val="00AC1027"/>
    <w:rsid w:val="00AC112D"/>
    <w:rsid w:val="00AC11C6"/>
    <w:rsid w:val="00AC123F"/>
    <w:rsid w:val="00AC1363"/>
    <w:rsid w:val="00AC1473"/>
    <w:rsid w:val="00AC18A9"/>
    <w:rsid w:val="00AC1B08"/>
    <w:rsid w:val="00AC1EE9"/>
    <w:rsid w:val="00AC1F0B"/>
    <w:rsid w:val="00AC2151"/>
    <w:rsid w:val="00AC2239"/>
    <w:rsid w:val="00AC235F"/>
    <w:rsid w:val="00AC25DF"/>
    <w:rsid w:val="00AC2679"/>
    <w:rsid w:val="00AC2915"/>
    <w:rsid w:val="00AC2927"/>
    <w:rsid w:val="00AC29B4"/>
    <w:rsid w:val="00AC2AA5"/>
    <w:rsid w:val="00AC2C85"/>
    <w:rsid w:val="00AC2EEC"/>
    <w:rsid w:val="00AC2EFA"/>
    <w:rsid w:val="00AC306E"/>
    <w:rsid w:val="00AC32BD"/>
    <w:rsid w:val="00AC333D"/>
    <w:rsid w:val="00AC34EC"/>
    <w:rsid w:val="00AC3546"/>
    <w:rsid w:val="00AC3777"/>
    <w:rsid w:val="00AC38B4"/>
    <w:rsid w:val="00AC3A1A"/>
    <w:rsid w:val="00AC3AD7"/>
    <w:rsid w:val="00AC3D17"/>
    <w:rsid w:val="00AC3E75"/>
    <w:rsid w:val="00AC44DB"/>
    <w:rsid w:val="00AC4805"/>
    <w:rsid w:val="00AC48C5"/>
    <w:rsid w:val="00AC4A50"/>
    <w:rsid w:val="00AC4BE4"/>
    <w:rsid w:val="00AC4C54"/>
    <w:rsid w:val="00AC4EB1"/>
    <w:rsid w:val="00AC50F6"/>
    <w:rsid w:val="00AC5129"/>
    <w:rsid w:val="00AC5253"/>
    <w:rsid w:val="00AC5648"/>
    <w:rsid w:val="00AC5666"/>
    <w:rsid w:val="00AC57C3"/>
    <w:rsid w:val="00AC5934"/>
    <w:rsid w:val="00AC59C2"/>
    <w:rsid w:val="00AC59C7"/>
    <w:rsid w:val="00AC5A3F"/>
    <w:rsid w:val="00AC5AFC"/>
    <w:rsid w:val="00AC5E7F"/>
    <w:rsid w:val="00AC62C4"/>
    <w:rsid w:val="00AC64D4"/>
    <w:rsid w:val="00AC659C"/>
    <w:rsid w:val="00AC66C2"/>
    <w:rsid w:val="00AC69C2"/>
    <w:rsid w:val="00AC6A38"/>
    <w:rsid w:val="00AC6BF9"/>
    <w:rsid w:val="00AC6C0B"/>
    <w:rsid w:val="00AC6DEE"/>
    <w:rsid w:val="00AC6ECC"/>
    <w:rsid w:val="00AC6F25"/>
    <w:rsid w:val="00AC7356"/>
    <w:rsid w:val="00AC760A"/>
    <w:rsid w:val="00AC79B4"/>
    <w:rsid w:val="00AC7CAC"/>
    <w:rsid w:val="00AC7F84"/>
    <w:rsid w:val="00AD02DA"/>
    <w:rsid w:val="00AD0387"/>
    <w:rsid w:val="00AD0418"/>
    <w:rsid w:val="00AD0537"/>
    <w:rsid w:val="00AD05E6"/>
    <w:rsid w:val="00AD060B"/>
    <w:rsid w:val="00AD070C"/>
    <w:rsid w:val="00AD08D1"/>
    <w:rsid w:val="00AD0944"/>
    <w:rsid w:val="00AD0A57"/>
    <w:rsid w:val="00AD0D3F"/>
    <w:rsid w:val="00AD0D7E"/>
    <w:rsid w:val="00AD1049"/>
    <w:rsid w:val="00AD10B5"/>
    <w:rsid w:val="00AD1281"/>
    <w:rsid w:val="00AD1C07"/>
    <w:rsid w:val="00AD1C5A"/>
    <w:rsid w:val="00AD1DCA"/>
    <w:rsid w:val="00AD1DE7"/>
    <w:rsid w:val="00AD1E8C"/>
    <w:rsid w:val="00AD208F"/>
    <w:rsid w:val="00AD2269"/>
    <w:rsid w:val="00AD2326"/>
    <w:rsid w:val="00AD2696"/>
    <w:rsid w:val="00AD28ED"/>
    <w:rsid w:val="00AD2981"/>
    <w:rsid w:val="00AD2CA5"/>
    <w:rsid w:val="00AD2D9C"/>
    <w:rsid w:val="00AD3009"/>
    <w:rsid w:val="00AD3547"/>
    <w:rsid w:val="00AD37B7"/>
    <w:rsid w:val="00AD3BBC"/>
    <w:rsid w:val="00AD40ED"/>
    <w:rsid w:val="00AD4347"/>
    <w:rsid w:val="00AD4374"/>
    <w:rsid w:val="00AD437A"/>
    <w:rsid w:val="00AD43C8"/>
    <w:rsid w:val="00AD489C"/>
    <w:rsid w:val="00AD4909"/>
    <w:rsid w:val="00AD4BF3"/>
    <w:rsid w:val="00AD4FDE"/>
    <w:rsid w:val="00AD50F9"/>
    <w:rsid w:val="00AD519F"/>
    <w:rsid w:val="00AD51A4"/>
    <w:rsid w:val="00AD572A"/>
    <w:rsid w:val="00AD5965"/>
    <w:rsid w:val="00AD5981"/>
    <w:rsid w:val="00AD5AE9"/>
    <w:rsid w:val="00AD5C21"/>
    <w:rsid w:val="00AD5C49"/>
    <w:rsid w:val="00AD5D16"/>
    <w:rsid w:val="00AD5FAB"/>
    <w:rsid w:val="00AD65D2"/>
    <w:rsid w:val="00AD664B"/>
    <w:rsid w:val="00AD6A87"/>
    <w:rsid w:val="00AD6E52"/>
    <w:rsid w:val="00AD7257"/>
    <w:rsid w:val="00AD749E"/>
    <w:rsid w:val="00AD74A8"/>
    <w:rsid w:val="00AD7AD4"/>
    <w:rsid w:val="00AD7CEB"/>
    <w:rsid w:val="00AD7D11"/>
    <w:rsid w:val="00AD7DA3"/>
    <w:rsid w:val="00AE01C4"/>
    <w:rsid w:val="00AE0561"/>
    <w:rsid w:val="00AE0636"/>
    <w:rsid w:val="00AE0687"/>
    <w:rsid w:val="00AE0780"/>
    <w:rsid w:val="00AE07CB"/>
    <w:rsid w:val="00AE07D9"/>
    <w:rsid w:val="00AE0939"/>
    <w:rsid w:val="00AE0A01"/>
    <w:rsid w:val="00AE0AD9"/>
    <w:rsid w:val="00AE1071"/>
    <w:rsid w:val="00AE12F4"/>
    <w:rsid w:val="00AE1515"/>
    <w:rsid w:val="00AE1A98"/>
    <w:rsid w:val="00AE1BCA"/>
    <w:rsid w:val="00AE1CF4"/>
    <w:rsid w:val="00AE1D49"/>
    <w:rsid w:val="00AE1D7D"/>
    <w:rsid w:val="00AE202D"/>
    <w:rsid w:val="00AE2172"/>
    <w:rsid w:val="00AE224C"/>
    <w:rsid w:val="00AE22D0"/>
    <w:rsid w:val="00AE241F"/>
    <w:rsid w:val="00AE27A8"/>
    <w:rsid w:val="00AE290F"/>
    <w:rsid w:val="00AE2A8B"/>
    <w:rsid w:val="00AE2B37"/>
    <w:rsid w:val="00AE2BB8"/>
    <w:rsid w:val="00AE2BDF"/>
    <w:rsid w:val="00AE2F6C"/>
    <w:rsid w:val="00AE2FD3"/>
    <w:rsid w:val="00AE30BD"/>
    <w:rsid w:val="00AE3347"/>
    <w:rsid w:val="00AE33BA"/>
    <w:rsid w:val="00AE34AB"/>
    <w:rsid w:val="00AE37F6"/>
    <w:rsid w:val="00AE3849"/>
    <w:rsid w:val="00AE3A0A"/>
    <w:rsid w:val="00AE3DA9"/>
    <w:rsid w:val="00AE3E4F"/>
    <w:rsid w:val="00AE3F64"/>
    <w:rsid w:val="00AE407C"/>
    <w:rsid w:val="00AE415E"/>
    <w:rsid w:val="00AE4526"/>
    <w:rsid w:val="00AE495B"/>
    <w:rsid w:val="00AE497A"/>
    <w:rsid w:val="00AE4BB0"/>
    <w:rsid w:val="00AE4C23"/>
    <w:rsid w:val="00AE4DB5"/>
    <w:rsid w:val="00AE4E17"/>
    <w:rsid w:val="00AE50E5"/>
    <w:rsid w:val="00AE52D8"/>
    <w:rsid w:val="00AE53AB"/>
    <w:rsid w:val="00AE5746"/>
    <w:rsid w:val="00AE5B99"/>
    <w:rsid w:val="00AE5BB1"/>
    <w:rsid w:val="00AE5C0C"/>
    <w:rsid w:val="00AE5DC6"/>
    <w:rsid w:val="00AE5F39"/>
    <w:rsid w:val="00AE6282"/>
    <w:rsid w:val="00AE633A"/>
    <w:rsid w:val="00AE6634"/>
    <w:rsid w:val="00AE6E3F"/>
    <w:rsid w:val="00AE6E40"/>
    <w:rsid w:val="00AE6E4F"/>
    <w:rsid w:val="00AE6F9F"/>
    <w:rsid w:val="00AE7119"/>
    <w:rsid w:val="00AE74B7"/>
    <w:rsid w:val="00AE74DB"/>
    <w:rsid w:val="00AE7524"/>
    <w:rsid w:val="00AE754F"/>
    <w:rsid w:val="00AE75FD"/>
    <w:rsid w:val="00AE77A6"/>
    <w:rsid w:val="00AE7B51"/>
    <w:rsid w:val="00AE7EF7"/>
    <w:rsid w:val="00AE7EF9"/>
    <w:rsid w:val="00AE7F1A"/>
    <w:rsid w:val="00AF0402"/>
    <w:rsid w:val="00AF067F"/>
    <w:rsid w:val="00AF07CA"/>
    <w:rsid w:val="00AF0A5B"/>
    <w:rsid w:val="00AF0DA3"/>
    <w:rsid w:val="00AF0DBC"/>
    <w:rsid w:val="00AF102A"/>
    <w:rsid w:val="00AF10B3"/>
    <w:rsid w:val="00AF1149"/>
    <w:rsid w:val="00AF116C"/>
    <w:rsid w:val="00AF155A"/>
    <w:rsid w:val="00AF1649"/>
    <w:rsid w:val="00AF19C7"/>
    <w:rsid w:val="00AF1A1F"/>
    <w:rsid w:val="00AF1D3E"/>
    <w:rsid w:val="00AF1E42"/>
    <w:rsid w:val="00AF215A"/>
    <w:rsid w:val="00AF23E8"/>
    <w:rsid w:val="00AF24C7"/>
    <w:rsid w:val="00AF24EB"/>
    <w:rsid w:val="00AF26D8"/>
    <w:rsid w:val="00AF2844"/>
    <w:rsid w:val="00AF299B"/>
    <w:rsid w:val="00AF2B16"/>
    <w:rsid w:val="00AF2B77"/>
    <w:rsid w:val="00AF2D69"/>
    <w:rsid w:val="00AF2FB2"/>
    <w:rsid w:val="00AF30EB"/>
    <w:rsid w:val="00AF357D"/>
    <w:rsid w:val="00AF37A4"/>
    <w:rsid w:val="00AF39BA"/>
    <w:rsid w:val="00AF3A48"/>
    <w:rsid w:val="00AF3A68"/>
    <w:rsid w:val="00AF3A80"/>
    <w:rsid w:val="00AF3ACE"/>
    <w:rsid w:val="00AF3BDE"/>
    <w:rsid w:val="00AF3F3D"/>
    <w:rsid w:val="00AF42E8"/>
    <w:rsid w:val="00AF45B7"/>
    <w:rsid w:val="00AF463F"/>
    <w:rsid w:val="00AF47C7"/>
    <w:rsid w:val="00AF4851"/>
    <w:rsid w:val="00AF4F74"/>
    <w:rsid w:val="00AF5176"/>
    <w:rsid w:val="00AF51B8"/>
    <w:rsid w:val="00AF51B9"/>
    <w:rsid w:val="00AF54EF"/>
    <w:rsid w:val="00AF5912"/>
    <w:rsid w:val="00AF5A37"/>
    <w:rsid w:val="00AF5D62"/>
    <w:rsid w:val="00AF5E55"/>
    <w:rsid w:val="00AF69E4"/>
    <w:rsid w:val="00AF6B0D"/>
    <w:rsid w:val="00AF6B92"/>
    <w:rsid w:val="00AF6E5C"/>
    <w:rsid w:val="00AF6F42"/>
    <w:rsid w:val="00AF731F"/>
    <w:rsid w:val="00AF7386"/>
    <w:rsid w:val="00AF7486"/>
    <w:rsid w:val="00AF754A"/>
    <w:rsid w:val="00AF7579"/>
    <w:rsid w:val="00AF77E7"/>
    <w:rsid w:val="00AF7837"/>
    <w:rsid w:val="00AF7934"/>
    <w:rsid w:val="00AF7A5D"/>
    <w:rsid w:val="00AF7BE6"/>
    <w:rsid w:val="00AF7E46"/>
    <w:rsid w:val="00B00758"/>
    <w:rsid w:val="00B008EB"/>
    <w:rsid w:val="00B008FF"/>
    <w:rsid w:val="00B00A18"/>
    <w:rsid w:val="00B00B81"/>
    <w:rsid w:val="00B01119"/>
    <w:rsid w:val="00B01447"/>
    <w:rsid w:val="00B0164C"/>
    <w:rsid w:val="00B017C8"/>
    <w:rsid w:val="00B01955"/>
    <w:rsid w:val="00B01980"/>
    <w:rsid w:val="00B01A2F"/>
    <w:rsid w:val="00B01A39"/>
    <w:rsid w:val="00B01B12"/>
    <w:rsid w:val="00B01F40"/>
    <w:rsid w:val="00B0214B"/>
    <w:rsid w:val="00B022D5"/>
    <w:rsid w:val="00B02605"/>
    <w:rsid w:val="00B02724"/>
    <w:rsid w:val="00B0273E"/>
    <w:rsid w:val="00B029E1"/>
    <w:rsid w:val="00B02B8C"/>
    <w:rsid w:val="00B02C18"/>
    <w:rsid w:val="00B02C30"/>
    <w:rsid w:val="00B02D51"/>
    <w:rsid w:val="00B02D7F"/>
    <w:rsid w:val="00B02E9F"/>
    <w:rsid w:val="00B03087"/>
    <w:rsid w:val="00B03258"/>
    <w:rsid w:val="00B0359F"/>
    <w:rsid w:val="00B035E4"/>
    <w:rsid w:val="00B036FB"/>
    <w:rsid w:val="00B03CBB"/>
    <w:rsid w:val="00B03CE1"/>
    <w:rsid w:val="00B03EDF"/>
    <w:rsid w:val="00B041B2"/>
    <w:rsid w:val="00B041E2"/>
    <w:rsid w:val="00B044D1"/>
    <w:rsid w:val="00B04580"/>
    <w:rsid w:val="00B048F5"/>
    <w:rsid w:val="00B04A93"/>
    <w:rsid w:val="00B04AB1"/>
    <w:rsid w:val="00B04B09"/>
    <w:rsid w:val="00B04C06"/>
    <w:rsid w:val="00B04DD1"/>
    <w:rsid w:val="00B050C2"/>
    <w:rsid w:val="00B0519E"/>
    <w:rsid w:val="00B052C9"/>
    <w:rsid w:val="00B05375"/>
    <w:rsid w:val="00B0549E"/>
    <w:rsid w:val="00B05B92"/>
    <w:rsid w:val="00B05CB1"/>
    <w:rsid w:val="00B05E4D"/>
    <w:rsid w:val="00B060F9"/>
    <w:rsid w:val="00B062BE"/>
    <w:rsid w:val="00B0631E"/>
    <w:rsid w:val="00B064D6"/>
    <w:rsid w:val="00B064E8"/>
    <w:rsid w:val="00B065D9"/>
    <w:rsid w:val="00B068A3"/>
    <w:rsid w:val="00B07074"/>
    <w:rsid w:val="00B0719F"/>
    <w:rsid w:val="00B071D9"/>
    <w:rsid w:val="00B071E8"/>
    <w:rsid w:val="00B0722D"/>
    <w:rsid w:val="00B0736F"/>
    <w:rsid w:val="00B07377"/>
    <w:rsid w:val="00B0744C"/>
    <w:rsid w:val="00B07490"/>
    <w:rsid w:val="00B07548"/>
    <w:rsid w:val="00B077D7"/>
    <w:rsid w:val="00B07A32"/>
    <w:rsid w:val="00B07D1A"/>
    <w:rsid w:val="00B07DB5"/>
    <w:rsid w:val="00B07E13"/>
    <w:rsid w:val="00B07F3C"/>
    <w:rsid w:val="00B100AF"/>
    <w:rsid w:val="00B10235"/>
    <w:rsid w:val="00B10757"/>
    <w:rsid w:val="00B10CB0"/>
    <w:rsid w:val="00B10EB4"/>
    <w:rsid w:val="00B10FBB"/>
    <w:rsid w:val="00B1104E"/>
    <w:rsid w:val="00B117EE"/>
    <w:rsid w:val="00B11BD7"/>
    <w:rsid w:val="00B11BEB"/>
    <w:rsid w:val="00B11BFB"/>
    <w:rsid w:val="00B11C9A"/>
    <w:rsid w:val="00B11E98"/>
    <w:rsid w:val="00B11EFF"/>
    <w:rsid w:val="00B12045"/>
    <w:rsid w:val="00B124CA"/>
    <w:rsid w:val="00B12553"/>
    <w:rsid w:val="00B128B3"/>
    <w:rsid w:val="00B128DE"/>
    <w:rsid w:val="00B12E71"/>
    <w:rsid w:val="00B132C9"/>
    <w:rsid w:val="00B13359"/>
    <w:rsid w:val="00B13437"/>
    <w:rsid w:val="00B1349C"/>
    <w:rsid w:val="00B13674"/>
    <w:rsid w:val="00B139E8"/>
    <w:rsid w:val="00B13AE5"/>
    <w:rsid w:val="00B13D18"/>
    <w:rsid w:val="00B13D71"/>
    <w:rsid w:val="00B13FB0"/>
    <w:rsid w:val="00B13FDB"/>
    <w:rsid w:val="00B14290"/>
    <w:rsid w:val="00B14556"/>
    <w:rsid w:val="00B14628"/>
    <w:rsid w:val="00B14A34"/>
    <w:rsid w:val="00B14ACB"/>
    <w:rsid w:val="00B14CCC"/>
    <w:rsid w:val="00B14CE6"/>
    <w:rsid w:val="00B14DAC"/>
    <w:rsid w:val="00B14FA0"/>
    <w:rsid w:val="00B15221"/>
    <w:rsid w:val="00B15596"/>
    <w:rsid w:val="00B156FC"/>
    <w:rsid w:val="00B1583C"/>
    <w:rsid w:val="00B1583D"/>
    <w:rsid w:val="00B158A7"/>
    <w:rsid w:val="00B1592F"/>
    <w:rsid w:val="00B15938"/>
    <w:rsid w:val="00B15A23"/>
    <w:rsid w:val="00B15B42"/>
    <w:rsid w:val="00B15CE4"/>
    <w:rsid w:val="00B15F33"/>
    <w:rsid w:val="00B161FA"/>
    <w:rsid w:val="00B16479"/>
    <w:rsid w:val="00B16528"/>
    <w:rsid w:val="00B167AA"/>
    <w:rsid w:val="00B16881"/>
    <w:rsid w:val="00B1690B"/>
    <w:rsid w:val="00B16A51"/>
    <w:rsid w:val="00B16D66"/>
    <w:rsid w:val="00B171D0"/>
    <w:rsid w:val="00B17377"/>
    <w:rsid w:val="00B1753B"/>
    <w:rsid w:val="00B17973"/>
    <w:rsid w:val="00B17B05"/>
    <w:rsid w:val="00B17C60"/>
    <w:rsid w:val="00B17F3C"/>
    <w:rsid w:val="00B17FD9"/>
    <w:rsid w:val="00B2010E"/>
    <w:rsid w:val="00B201CD"/>
    <w:rsid w:val="00B207A8"/>
    <w:rsid w:val="00B207F3"/>
    <w:rsid w:val="00B20B53"/>
    <w:rsid w:val="00B20F14"/>
    <w:rsid w:val="00B20FC7"/>
    <w:rsid w:val="00B20FF6"/>
    <w:rsid w:val="00B210AD"/>
    <w:rsid w:val="00B212E0"/>
    <w:rsid w:val="00B2131E"/>
    <w:rsid w:val="00B2133D"/>
    <w:rsid w:val="00B2140F"/>
    <w:rsid w:val="00B21426"/>
    <w:rsid w:val="00B21552"/>
    <w:rsid w:val="00B215DB"/>
    <w:rsid w:val="00B21892"/>
    <w:rsid w:val="00B21CFF"/>
    <w:rsid w:val="00B22270"/>
    <w:rsid w:val="00B227D7"/>
    <w:rsid w:val="00B22C96"/>
    <w:rsid w:val="00B22CA4"/>
    <w:rsid w:val="00B2307A"/>
    <w:rsid w:val="00B23105"/>
    <w:rsid w:val="00B2322D"/>
    <w:rsid w:val="00B23270"/>
    <w:rsid w:val="00B233DB"/>
    <w:rsid w:val="00B2370A"/>
    <w:rsid w:val="00B2374C"/>
    <w:rsid w:val="00B238D8"/>
    <w:rsid w:val="00B238D9"/>
    <w:rsid w:val="00B23956"/>
    <w:rsid w:val="00B2396F"/>
    <w:rsid w:val="00B239A1"/>
    <w:rsid w:val="00B23A61"/>
    <w:rsid w:val="00B23D42"/>
    <w:rsid w:val="00B23E66"/>
    <w:rsid w:val="00B242C0"/>
    <w:rsid w:val="00B242C6"/>
    <w:rsid w:val="00B24359"/>
    <w:rsid w:val="00B2447D"/>
    <w:rsid w:val="00B24702"/>
    <w:rsid w:val="00B24972"/>
    <w:rsid w:val="00B24ACA"/>
    <w:rsid w:val="00B24AF4"/>
    <w:rsid w:val="00B24C67"/>
    <w:rsid w:val="00B24E09"/>
    <w:rsid w:val="00B24FBA"/>
    <w:rsid w:val="00B25000"/>
    <w:rsid w:val="00B25188"/>
    <w:rsid w:val="00B25282"/>
    <w:rsid w:val="00B252E4"/>
    <w:rsid w:val="00B2530E"/>
    <w:rsid w:val="00B25348"/>
    <w:rsid w:val="00B253C3"/>
    <w:rsid w:val="00B25440"/>
    <w:rsid w:val="00B25480"/>
    <w:rsid w:val="00B254F0"/>
    <w:rsid w:val="00B256A1"/>
    <w:rsid w:val="00B2584B"/>
    <w:rsid w:val="00B25AE8"/>
    <w:rsid w:val="00B25AF3"/>
    <w:rsid w:val="00B25BFB"/>
    <w:rsid w:val="00B25D58"/>
    <w:rsid w:val="00B25F57"/>
    <w:rsid w:val="00B2605D"/>
    <w:rsid w:val="00B261C6"/>
    <w:rsid w:val="00B264C1"/>
    <w:rsid w:val="00B26725"/>
    <w:rsid w:val="00B26764"/>
    <w:rsid w:val="00B26799"/>
    <w:rsid w:val="00B267DF"/>
    <w:rsid w:val="00B2681E"/>
    <w:rsid w:val="00B26882"/>
    <w:rsid w:val="00B26B04"/>
    <w:rsid w:val="00B26B6A"/>
    <w:rsid w:val="00B26D4D"/>
    <w:rsid w:val="00B26DEC"/>
    <w:rsid w:val="00B26E7E"/>
    <w:rsid w:val="00B27028"/>
    <w:rsid w:val="00B2710E"/>
    <w:rsid w:val="00B27585"/>
    <w:rsid w:val="00B275BF"/>
    <w:rsid w:val="00B27857"/>
    <w:rsid w:val="00B2791C"/>
    <w:rsid w:val="00B27A94"/>
    <w:rsid w:val="00B27EF9"/>
    <w:rsid w:val="00B27F06"/>
    <w:rsid w:val="00B30107"/>
    <w:rsid w:val="00B305F9"/>
    <w:rsid w:val="00B3095D"/>
    <w:rsid w:val="00B30C8E"/>
    <w:rsid w:val="00B30E3A"/>
    <w:rsid w:val="00B30E8B"/>
    <w:rsid w:val="00B30F04"/>
    <w:rsid w:val="00B310B1"/>
    <w:rsid w:val="00B311C9"/>
    <w:rsid w:val="00B3129F"/>
    <w:rsid w:val="00B31594"/>
    <w:rsid w:val="00B317D7"/>
    <w:rsid w:val="00B31A25"/>
    <w:rsid w:val="00B31AAE"/>
    <w:rsid w:val="00B31EED"/>
    <w:rsid w:val="00B3215F"/>
    <w:rsid w:val="00B321DD"/>
    <w:rsid w:val="00B32222"/>
    <w:rsid w:val="00B325E8"/>
    <w:rsid w:val="00B326CF"/>
    <w:rsid w:val="00B32A89"/>
    <w:rsid w:val="00B32A8E"/>
    <w:rsid w:val="00B32BEA"/>
    <w:rsid w:val="00B32C7C"/>
    <w:rsid w:val="00B32CA0"/>
    <w:rsid w:val="00B32DE6"/>
    <w:rsid w:val="00B32EB8"/>
    <w:rsid w:val="00B33BE1"/>
    <w:rsid w:val="00B33EF0"/>
    <w:rsid w:val="00B34064"/>
    <w:rsid w:val="00B3409F"/>
    <w:rsid w:val="00B34198"/>
    <w:rsid w:val="00B341FA"/>
    <w:rsid w:val="00B343E6"/>
    <w:rsid w:val="00B34512"/>
    <w:rsid w:val="00B34722"/>
    <w:rsid w:val="00B349A0"/>
    <w:rsid w:val="00B34DAD"/>
    <w:rsid w:val="00B34DE7"/>
    <w:rsid w:val="00B34E36"/>
    <w:rsid w:val="00B35166"/>
    <w:rsid w:val="00B3526F"/>
    <w:rsid w:val="00B353CD"/>
    <w:rsid w:val="00B3547B"/>
    <w:rsid w:val="00B357B0"/>
    <w:rsid w:val="00B35949"/>
    <w:rsid w:val="00B359DF"/>
    <w:rsid w:val="00B35BFA"/>
    <w:rsid w:val="00B35C2E"/>
    <w:rsid w:val="00B35CCF"/>
    <w:rsid w:val="00B35DE8"/>
    <w:rsid w:val="00B35DFD"/>
    <w:rsid w:val="00B35E14"/>
    <w:rsid w:val="00B3618D"/>
    <w:rsid w:val="00B36195"/>
    <w:rsid w:val="00B36233"/>
    <w:rsid w:val="00B364C4"/>
    <w:rsid w:val="00B36664"/>
    <w:rsid w:val="00B36A71"/>
    <w:rsid w:val="00B36F27"/>
    <w:rsid w:val="00B3717F"/>
    <w:rsid w:val="00B3723E"/>
    <w:rsid w:val="00B372C9"/>
    <w:rsid w:val="00B3747C"/>
    <w:rsid w:val="00B37A95"/>
    <w:rsid w:val="00B37AAB"/>
    <w:rsid w:val="00B37B8C"/>
    <w:rsid w:val="00B37C95"/>
    <w:rsid w:val="00B40026"/>
    <w:rsid w:val="00B402B3"/>
    <w:rsid w:val="00B40376"/>
    <w:rsid w:val="00B4039C"/>
    <w:rsid w:val="00B40553"/>
    <w:rsid w:val="00B4088C"/>
    <w:rsid w:val="00B408A2"/>
    <w:rsid w:val="00B40D53"/>
    <w:rsid w:val="00B40EDB"/>
    <w:rsid w:val="00B40EEB"/>
    <w:rsid w:val="00B40F17"/>
    <w:rsid w:val="00B40F26"/>
    <w:rsid w:val="00B41327"/>
    <w:rsid w:val="00B41505"/>
    <w:rsid w:val="00B4179E"/>
    <w:rsid w:val="00B41932"/>
    <w:rsid w:val="00B41A1D"/>
    <w:rsid w:val="00B41A42"/>
    <w:rsid w:val="00B41A93"/>
    <w:rsid w:val="00B41DFD"/>
    <w:rsid w:val="00B420EA"/>
    <w:rsid w:val="00B4219F"/>
    <w:rsid w:val="00B4249E"/>
    <w:rsid w:val="00B42566"/>
    <w:rsid w:val="00B42636"/>
    <w:rsid w:val="00B42712"/>
    <w:rsid w:val="00B42851"/>
    <w:rsid w:val="00B42932"/>
    <w:rsid w:val="00B42933"/>
    <w:rsid w:val="00B42945"/>
    <w:rsid w:val="00B42BDD"/>
    <w:rsid w:val="00B43590"/>
    <w:rsid w:val="00B4378C"/>
    <w:rsid w:val="00B438ED"/>
    <w:rsid w:val="00B43983"/>
    <w:rsid w:val="00B43AD5"/>
    <w:rsid w:val="00B43D86"/>
    <w:rsid w:val="00B44549"/>
    <w:rsid w:val="00B4475F"/>
    <w:rsid w:val="00B44785"/>
    <w:rsid w:val="00B4480B"/>
    <w:rsid w:val="00B4489C"/>
    <w:rsid w:val="00B4490B"/>
    <w:rsid w:val="00B44DAC"/>
    <w:rsid w:val="00B44F3D"/>
    <w:rsid w:val="00B457EF"/>
    <w:rsid w:val="00B459B9"/>
    <w:rsid w:val="00B459EC"/>
    <w:rsid w:val="00B45AC7"/>
    <w:rsid w:val="00B45CA3"/>
    <w:rsid w:val="00B45D29"/>
    <w:rsid w:val="00B45F94"/>
    <w:rsid w:val="00B460A6"/>
    <w:rsid w:val="00B46256"/>
    <w:rsid w:val="00B462BE"/>
    <w:rsid w:val="00B46583"/>
    <w:rsid w:val="00B46756"/>
    <w:rsid w:val="00B46DDF"/>
    <w:rsid w:val="00B46E70"/>
    <w:rsid w:val="00B4716C"/>
    <w:rsid w:val="00B47247"/>
    <w:rsid w:val="00B47256"/>
    <w:rsid w:val="00B4729C"/>
    <w:rsid w:val="00B473E5"/>
    <w:rsid w:val="00B475D3"/>
    <w:rsid w:val="00B478BB"/>
    <w:rsid w:val="00B47BC8"/>
    <w:rsid w:val="00B47BCD"/>
    <w:rsid w:val="00B47F5D"/>
    <w:rsid w:val="00B503B7"/>
    <w:rsid w:val="00B50902"/>
    <w:rsid w:val="00B509EC"/>
    <w:rsid w:val="00B50BD6"/>
    <w:rsid w:val="00B50CFD"/>
    <w:rsid w:val="00B50EB1"/>
    <w:rsid w:val="00B51001"/>
    <w:rsid w:val="00B51284"/>
    <w:rsid w:val="00B51287"/>
    <w:rsid w:val="00B512CC"/>
    <w:rsid w:val="00B513B7"/>
    <w:rsid w:val="00B513D3"/>
    <w:rsid w:val="00B5148F"/>
    <w:rsid w:val="00B517E9"/>
    <w:rsid w:val="00B51876"/>
    <w:rsid w:val="00B518B1"/>
    <w:rsid w:val="00B51A47"/>
    <w:rsid w:val="00B51B36"/>
    <w:rsid w:val="00B51DE0"/>
    <w:rsid w:val="00B52217"/>
    <w:rsid w:val="00B522B3"/>
    <w:rsid w:val="00B523C8"/>
    <w:rsid w:val="00B526DB"/>
    <w:rsid w:val="00B52932"/>
    <w:rsid w:val="00B52956"/>
    <w:rsid w:val="00B52D8E"/>
    <w:rsid w:val="00B52FF5"/>
    <w:rsid w:val="00B53130"/>
    <w:rsid w:val="00B533E1"/>
    <w:rsid w:val="00B536AE"/>
    <w:rsid w:val="00B5372F"/>
    <w:rsid w:val="00B53916"/>
    <w:rsid w:val="00B53A69"/>
    <w:rsid w:val="00B53A7E"/>
    <w:rsid w:val="00B53C32"/>
    <w:rsid w:val="00B53DA4"/>
    <w:rsid w:val="00B53F76"/>
    <w:rsid w:val="00B54080"/>
    <w:rsid w:val="00B541A1"/>
    <w:rsid w:val="00B541E3"/>
    <w:rsid w:val="00B546B8"/>
    <w:rsid w:val="00B5473B"/>
    <w:rsid w:val="00B5516E"/>
    <w:rsid w:val="00B552AB"/>
    <w:rsid w:val="00B553B0"/>
    <w:rsid w:val="00B553F9"/>
    <w:rsid w:val="00B5585F"/>
    <w:rsid w:val="00B55864"/>
    <w:rsid w:val="00B558A5"/>
    <w:rsid w:val="00B55CDF"/>
    <w:rsid w:val="00B565EE"/>
    <w:rsid w:val="00B56639"/>
    <w:rsid w:val="00B56668"/>
    <w:rsid w:val="00B56752"/>
    <w:rsid w:val="00B56AB7"/>
    <w:rsid w:val="00B56CAA"/>
    <w:rsid w:val="00B56F69"/>
    <w:rsid w:val="00B56F99"/>
    <w:rsid w:val="00B57064"/>
    <w:rsid w:val="00B574D9"/>
    <w:rsid w:val="00B57580"/>
    <w:rsid w:val="00B57D9F"/>
    <w:rsid w:val="00B57ED8"/>
    <w:rsid w:val="00B57FED"/>
    <w:rsid w:val="00B60422"/>
    <w:rsid w:val="00B60AB9"/>
    <w:rsid w:val="00B60ED8"/>
    <w:rsid w:val="00B60F80"/>
    <w:rsid w:val="00B61120"/>
    <w:rsid w:val="00B61129"/>
    <w:rsid w:val="00B61156"/>
    <w:rsid w:val="00B6136C"/>
    <w:rsid w:val="00B61509"/>
    <w:rsid w:val="00B615D2"/>
    <w:rsid w:val="00B61835"/>
    <w:rsid w:val="00B618C8"/>
    <w:rsid w:val="00B61C3A"/>
    <w:rsid w:val="00B62070"/>
    <w:rsid w:val="00B620EC"/>
    <w:rsid w:val="00B62128"/>
    <w:rsid w:val="00B62227"/>
    <w:rsid w:val="00B625E9"/>
    <w:rsid w:val="00B626CF"/>
    <w:rsid w:val="00B6285F"/>
    <w:rsid w:val="00B62BAF"/>
    <w:rsid w:val="00B62D9B"/>
    <w:rsid w:val="00B62E0D"/>
    <w:rsid w:val="00B62EAA"/>
    <w:rsid w:val="00B63057"/>
    <w:rsid w:val="00B630D4"/>
    <w:rsid w:val="00B631D2"/>
    <w:rsid w:val="00B632B0"/>
    <w:rsid w:val="00B633D9"/>
    <w:rsid w:val="00B634BF"/>
    <w:rsid w:val="00B6374C"/>
    <w:rsid w:val="00B63789"/>
    <w:rsid w:val="00B6383D"/>
    <w:rsid w:val="00B638A7"/>
    <w:rsid w:val="00B63ABB"/>
    <w:rsid w:val="00B63ABD"/>
    <w:rsid w:val="00B63C7C"/>
    <w:rsid w:val="00B63C82"/>
    <w:rsid w:val="00B64093"/>
    <w:rsid w:val="00B6419F"/>
    <w:rsid w:val="00B6431F"/>
    <w:rsid w:val="00B64343"/>
    <w:rsid w:val="00B6479B"/>
    <w:rsid w:val="00B648C8"/>
    <w:rsid w:val="00B648F3"/>
    <w:rsid w:val="00B64BF9"/>
    <w:rsid w:val="00B64D63"/>
    <w:rsid w:val="00B65014"/>
    <w:rsid w:val="00B6509A"/>
    <w:rsid w:val="00B65106"/>
    <w:rsid w:val="00B651C9"/>
    <w:rsid w:val="00B652ED"/>
    <w:rsid w:val="00B657D4"/>
    <w:rsid w:val="00B658E2"/>
    <w:rsid w:val="00B65C10"/>
    <w:rsid w:val="00B65CB9"/>
    <w:rsid w:val="00B6601C"/>
    <w:rsid w:val="00B660D1"/>
    <w:rsid w:val="00B6624B"/>
    <w:rsid w:val="00B662E9"/>
    <w:rsid w:val="00B66710"/>
    <w:rsid w:val="00B66AAB"/>
    <w:rsid w:val="00B66B0B"/>
    <w:rsid w:val="00B66CD9"/>
    <w:rsid w:val="00B67DB8"/>
    <w:rsid w:val="00B67E7F"/>
    <w:rsid w:val="00B70000"/>
    <w:rsid w:val="00B7019B"/>
    <w:rsid w:val="00B703F4"/>
    <w:rsid w:val="00B703F7"/>
    <w:rsid w:val="00B70414"/>
    <w:rsid w:val="00B705B0"/>
    <w:rsid w:val="00B706F0"/>
    <w:rsid w:val="00B7076A"/>
    <w:rsid w:val="00B707D2"/>
    <w:rsid w:val="00B70B1E"/>
    <w:rsid w:val="00B70D84"/>
    <w:rsid w:val="00B70DB9"/>
    <w:rsid w:val="00B71144"/>
    <w:rsid w:val="00B7134D"/>
    <w:rsid w:val="00B714C2"/>
    <w:rsid w:val="00B71521"/>
    <w:rsid w:val="00B71896"/>
    <w:rsid w:val="00B718AC"/>
    <w:rsid w:val="00B71F5D"/>
    <w:rsid w:val="00B71F76"/>
    <w:rsid w:val="00B72051"/>
    <w:rsid w:val="00B72178"/>
    <w:rsid w:val="00B723D5"/>
    <w:rsid w:val="00B7253A"/>
    <w:rsid w:val="00B7277D"/>
    <w:rsid w:val="00B72B47"/>
    <w:rsid w:val="00B72B8E"/>
    <w:rsid w:val="00B72CF4"/>
    <w:rsid w:val="00B72D73"/>
    <w:rsid w:val="00B73004"/>
    <w:rsid w:val="00B73028"/>
    <w:rsid w:val="00B731DB"/>
    <w:rsid w:val="00B7328E"/>
    <w:rsid w:val="00B7331F"/>
    <w:rsid w:val="00B738AE"/>
    <w:rsid w:val="00B738E3"/>
    <w:rsid w:val="00B73E77"/>
    <w:rsid w:val="00B73FED"/>
    <w:rsid w:val="00B7428B"/>
    <w:rsid w:val="00B7432C"/>
    <w:rsid w:val="00B743F5"/>
    <w:rsid w:val="00B748BC"/>
    <w:rsid w:val="00B74C14"/>
    <w:rsid w:val="00B74F68"/>
    <w:rsid w:val="00B75026"/>
    <w:rsid w:val="00B75517"/>
    <w:rsid w:val="00B757B9"/>
    <w:rsid w:val="00B7587F"/>
    <w:rsid w:val="00B75916"/>
    <w:rsid w:val="00B75A01"/>
    <w:rsid w:val="00B75A04"/>
    <w:rsid w:val="00B75BEC"/>
    <w:rsid w:val="00B7607B"/>
    <w:rsid w:val="00B760A7"/>
    <w:rsid w:val="00B76342"/>
    <w:rsid w:val="00B76407"/>
    <w:rsid w:val="00B769EC"/>
    <w:rsid w:val="00B76AE0"/>
    <w:rsid w:val="00B76CDA"/>
    <w:rsid w:val="00B770E4"/>
    <w:rsid w:val="00B770ED"/>
    <w:rsid w:val="00B771A8"/>
    <w:rsid w:val="00B772CF"/>
    <w:rsid w:val="00B772DA"/>
    <w:rsid w:val="00B77911"/>
    <w:rsid w:val="00B779FE"/>
    <w:rsid w:val="00B77AC7"/>
    <w:rsid w:val="00B77E2C"/>
    <w:rsid w:val="00B80250"/>
    <w:rsid w:val="00B80265"/>
    <w:rsid w:val="00B805D8"/>
    <w:rsid w:val="00B8081C"/>
    <w:rsid w:val="00B80BC1"/>
    <w:rsid w:val="00B80C98"/>
    <w:rsid w:val="00B80D17"/>
    <w:rsid w:val="00B80D94"/>
    <w:rsid w:val="00B80E32"/>
    <w:rsid w:val="00B80E9E"/>
    <w:rsid w:val="00B80EE1"/>
    <w:rsid w:val="00B8145D"/>
    <w:rsid w:val="00B81485"/>
    <w:rsid w:val="00B81AE5"/>
    <w:rsid w:val="00B81AF7"/>
    <w:rsid w:val="00B81B06"/>
    <w:rsid w:val="00B81C9E"/>
    <w:rsid w:val="00B82163"/>
    <w:rsid w:val="00B822A9"/>
    <w:rsid w:val="00B82477"/>
    <w:rsid w:val="00B8279C"/>
    <w:rsid w:val="00B82DE1"/>
    <w:rsid w:val="00B82EF7"/>
    <w:rsid w:val="00B8309E"/>
    <w:rsid w:val="00B831AC"/>
    <w:rsid w:val="00B831E0"/>
    <w:rsid w:val="00B831F6"/>
    <w:rsid w:val="00B83362"/>
    <w:rsid w:val="00B8347D"/>
    <w:rsid w:val="00B83626"/>
    <w:rsid w:val="00B838CE"/>
    <w:rsid w:val="00B839B2"/>
    <w:rsid w:val="00B83C8E"/>
    <w:rsid w:val="00B841A6"/>
    <w:rsid w:val="00B8439C"/>
    <w:rsid w:val="00B847E1"/>
    <w:rsid w:val="00B84908"/>
    <w:rsid w:val="00B84A38"/>
    <w:rsid w:val="00B84AD9"/>
    <w:rsid w:val="00B84ADA"/>
    <w:rsid w:val="00B84B1B"/>
    <w:rsid w:val="00B84DA1"/>
    <w:rsid w:val="00B84DB5"/>
    <w:rsid w:val="00B852C4"/>
    <w:rsid w:val="00B85301"/>
    <w:rsid w:val="00B854F5"/>
    <w:rsid w:val="00B85BC4"/>
    <w:rsid w:val="00B85C3E"/>
    <w:rsid w:val="00B85EBD"/>
    <w:rsid w:val="00B85FDE"/>
    <w:rsid w:val="00B86113"/>
    <w:rsid w:val="00B86115"/>
    <w:rsid w:val="00B86137"/>
    <w:rsid w:val="00B86268"/>
    <w:rsid w:val="00B86433"/>
    <w:rsid w:val="00B869D8"/>
    <w:rsid w:val="00B86A05"/>
    <w:rsid w:val="00B86A2B"/>
    <w:rsid w:val="00B86AF7"/>
    <w:rsid w:val="00B86B44"/>
    <w:rsid w:val="00B86C0B"/>
    <w:rsid w:val="00B86D23"/>
    <w:rsid w:val="00B87035"/>
    <w:rsid w:val="00B872D9"/>
    <w:rsid w:val="00B8751D"/>
    <w:rsid w:val="00B8752E"/>
    <w:rsid w:val="00B8773A"/>
    <w:rsid w:val="00B8785D"/>
    <w:rsid w:val="00B878F4"/>
    <w:rsid w:val="00B87A06"/>
    <w:rsid w:val="00B87A88"/>
    <w:rsid w:val="00B87C65"/>
    <w:rsid w:val="00B87D6C"/>
    <w:rsid w:val="00B87E37"/>
    <w:rsid w:val="00B87F16"/>
    <w:rsid w:val="00B87F7B"/>
    <w:rsid w:val="00B9000D"/>
    <w:rsid w:val="00B9013E"/>
    <w:rsid w:val="00B90457"/>
    <w:rsid w:val="00B904C6"/>
    <w:rsid w:val="00B9070D"/>
    <w:rsid w:val="00B908BD"/>
    <w:rsid w:val="00B909D3"/>
    <w:rsid w:val="00B90DDF"/>
    <w:rsid w:val="00B91220"/>
    <w:rsid w:val="00B91667"/>
    <w:rsid w:val="00B91852"/>
    <w:rsid w:val="00B92035"/>
    <w:rsid w:val="00B920B4"/>
    <w:rsid w:val="00B9288E"/>
    <w:rsid w:val="00B928D5"/>
    <w:rsid w:val="00B92952"/>
    <w:rsid w:val="00B929AD"/>
    <w:rsid w:val="00B92A2E"/>
    <w:rsid w:val="00B92F20"/>
    <w:rsid w:val="00B92F28"/>
    <w:rsid w:val="00B9308E"/>
    <w:rsid w:val="00B932BE"/>
    <w:rsid w:val="00B936B3"/>
    <w:rsid w:val="00B93775"/>
    <w:rsid w:val="00B938F1"/>
    <w:rsid w:val="00B93E79"/>
    <w:rsid w:val="00B93EF0"/>
    <w:rsid w:val="00B940D3"/>
    <w:rsid w:val="00B94252"/>
    <w:rsid w:val="00B946F0"/>
    <w:rsid w:val="00B94840"/>
    <w:rsid w:val="00B94AFF"/>
    <w:rsid w:val="00B94D11"/>
    <w:rsid w:val="00B94D96"/>
    <w:rsid w:val="00B94F29"/>
    <w:rsid w:val="00B94F65"/>
    <w:rsid w:val="00B94FD4"/>
    <w:rsid w:val="00B950A2"/>
    <w:rsid w:val="00B95196"/>
    <w:rsid w:val="00B953AA"/>
    <w:rsid w:val="00B954C7"/>
    <w:rsid w:val="00B95527"/>
    <w:rsid w:val="00B9560B"/>
    <w:rsid w:val="00B95660"/>
    <w:rsid w:val="00B95666"/>
    <w:rsid w:val="00B95794"/>
    <w:rsid w:val="00B957A7"/>
    <w:rsid w:val="00B95897"/>
    <w:rsid w:val="00B95A08"/>
    <w:rsid w:val="00B95EA4"/>
    <w:rsid w:val="00B96061"/>
    <w:rsid w:val="00B96131"/>
    <w:rsid w:val="00B9627D"/>
    <w:rsid w:val="00B9639C"/>
    <w:rsid w:val="00B964D6"/>
    <w:rsid w:val="00B968A3"/>
    <w:rsid w:val="00B969A6"/>
    <w:rsid w:val="00B96A9A"/>
    <w:rsid w:val="00B96BAE"/>
    <w:rsid w:val="00B96DF3"/>
    <w:rsid w:val="00B96DF8"/>
    <w:rsid w:val="00B96E82"/>
    <w:rsid w:val="00B96F2D"/>
    <w:rsid w:val="00B96FFF"/>
    <w:rsid w:val="00B970ED"/>
    <w:rsid w:val="00B9715A"/>
    <w:rsid w:val="00B97655"/>
    <w:rsid w:val="00B9767F"/>
    <w:rsid w:val="00B976C2"/>
    <w:rsid w:val="00B97772"/>
    <w:rsid w:val="00B97837"/>
    <w:rsid w:val="00B97BF2"/>
    <w:rsid w:val="00B97C7E"/>
    <w:rsid w:val="00BA0111"/>
    <w:rsid w:val="00BA029C"/>
    <w:rsid w:val="00BA066C"/>
    <w:rsid w:val="00BA0952"/>
    <w:rsid w:val="00BA0AF8"/>
    <w:rsid w:val="00BA0B56"/>
    <w:rsid w:val="00BA0DCD"/>
    <w:rsid w:val="00BA1455"/>
    <w:rsid w:val="00BA14BE"/>
    <w:rsid w:val="00BA14EF"/>
    <w:rsid w:val="00BA1845"/>
    <w:rsid w:val="00BA1C8D"/>
    <w:rsid w:val="00BA1CEE"/>
    <w:rsid w:val="00BA23E0"/>
    <w:rsid w:val="00BA25CF"/>
    <w:rsid w:val="00BA25DE"/>
    <w:rsid w:val="00BA25EE"/>
    <w:rsid w:val="00BA2732"/>
    <w:rsid w:val="00BA278D"/>
    <w:rsid w:val="00BA28A0"/>
    <w:rsid w:val="00BA293D"/>
    <w:rsid w:val="00BA2AC0"/>
    <w:rsid w:val="00BA2AD4"/>
    <w:rsid w:val="00BA2D01"/>
    <w:rsid w:val="00BA330C"/>
    <w:rsid w:val="00BA37C8"/>
    <w:rsid w:val="00BA37F6"/>
    <w:rsid w:val="00BA39F5"/>
    <w:rsid w:val="00BA3CAF"/>
    <w:rsid w:val="00BA3F57"/>
    <w:rsid w:val="00BA3F8F"/>
    <w:rsid w:val="00BA40C0"/>
    <w:rsid w:val="00BA45E9"/>
    <w:rsid w:val="00BA4654"/>
    <w:rsid w:val="00BA49BC"/>
    <w:rsid w:val="00BA4A26"/>
    <w:rsid w:val="00BA4C54"/>
    <w:rsid w:val="00BA4F40"/>
    <w:rsid w:val="00BA51D3"/>
    <w:rsid w:val="00BA5332"/>
    <w:rsid w:val="00BA5470"/>
    <w:rsid w:val="00BA54A6"/>
    <w:rsid w:val="00BA558C"/>
    <w:rsid w:val="00BA5592"/>
    <w:rsid w:val="00BA56B7"/>
    <w:rsid w:val="00BA588B"/>
    <w:rsid w:val="00BA5C40"/>
    <w:rsid w:val="00BA5D5B"/>
    <w:rsid w:val="00BA5D5D"/>
    <w:rsid w:val="00BA5DDE"/>
    <w:rsid w:val="00BA5EDB"/>
    <w:rsid w:val="00BA5EE4"/>
    <w:rsid w:val="00BA5FCC"/>
    <w:rsid w:val="00BA60C8"/>
    <w:rsid w:val="00BA6144"/>
    <w:rsid w:val="00BA64F4"/>
    <w:rsid w:val="00BA66CC"/>
    <w:rsid w:val="00BA67EC"/>
    <w:rsid w:val="00BA6903"/>
    <w:rsid w:val="00BA69D2"/>
    <w:rsid w:val="00BA6A7C"/>
    <w:rsid w:val="00BA6AAE"/>
    <w:rsid w:val="00BA6B25"/>
    <w:rsid w:val="00BA6BC2"/>
    <w:rsid w:val="00BA6BE0"/>
    <w:rsid w:val="00BA6FA9"/>
    <w:rsid w:val="00BA6FB8"/>
    <w:rsid w:val="00BA6FE4"/>
    <w:rsid w:val="00BA7058"/>
    <w:rsid w:val="00BA717F"/>
    <w:rsid w:val="00BA742E"/>
    <w:rsid w:val="00BA75BC"/>
    <w:rsid w:val="00BA771B"/>
    <w:rsid w:val="00BA7766"/>
    <w:rsid w:val="00BA7815"/>
    <w:rsid w:val="00BA79D4"/>
    <w:rsid w:val="00BA7A11"/>
    <w:rsid w:val="00BA7A1E"/>
    <w:rsid w:val="00BA7BB4"/>
    <w:rsid w:val="00BA7CA9"/>
    <w:rsid w:val="00BB0086"/>
    <w:rsid w:val="00BB051F"/>
    <w:rsid w:val="00BB0521"/>
    <w:rsid w:val="00BB06DD"/>
    <w:rsid w:val="00BB0B7F"/>
    <w:rsid w:val="00BB0D28"/>
    <w:rsid w:val="00BB0F3B"/>
    <w:rsid w:val="00BB189C"/>
    <w:rsid w:val="00BB18BD"/>
    <w:rsid w:val="00BB18E8"/>
    <w:rsid w:val="00BB1A2D"/>
    <w:rsid w:val="00BB1A44"/>
    <w:rsid w:val="00BB1C1C"/>
    <w:rsid w:val="00BB1C32"/>
    <w:rsid w:val="00BB1C84"/>
    <w:rsid w:val="00BB1E15"/>
    <w:rsid w:val="00BB2143"/>
    <w:rsid w:val="00BB227B"/>
    <w:rsid w:val="00BB246E"/>
    <w:rsid w:val="00BB24AE"/>
    <w:rsid w:val="00BB260C"/>
    <w:rsid w:val="00BB2694"/>
    <w:rsid w:val="00BB27D5"/>
    <w:rsid w:val="00BB2BBD"/>
    <w:rsid w:val="00BB2D46"/>
    <w:rsid w:val="00BB2F6C"/>
    <w:rsid w:val="00BB32F4"/>
    <w:rsid w:val="00BB3515"/>
    <w:rsid w:val="00BB35BF"/>
    <w:rsid w:val="00BB36D1"/>
    <w:rsid w:val="00BB3769"/>
    <w:rsid w:val="00BB3875"/>
    <w:rsid w:val="00BB3967"/>
    <w:rsid w:val="00BB39A4"/>
    <w:rsid w:val="00BB3BB1"/>
    <w:rsid w:val="00BB3F34"/>
    <w:rsid w:val="00BB42E1"/>
    <w:rsid w:val="00BB462B"/>
    <w:rsid w:val="00BB48AB"/>
    <w:rsid w:val="00BB48D1"/>
    <w:rsid w:val="00BB4BAA"/>
    <w:rsid w:val="00BB4FE6"/>
    <w:rsid w:val="00BB50FD"/>
    <w:rsid w:val="00BB53B1"/>
    <w:rsid w:val="00BB56B0"/>
    <w:rsid w:val="00BB5860"/>
    <w:rsid w:val="00BB58B3"/>
    <w:rsid w:val="00BB5D82"/>
    <w:rsid w:val="00BB5D98"/>
    <w:rsid w:val="00BB5E72"/>
    <w:rsid w:val="00BB614B"/>
    <w:rsid w:val="00BB66CB"/>
    <w:rsid w:val="00BB69AB"/>
    <w:rsid w:val="00BB6AAD"/>
    <w:rsid w:val="00BB6D59"/>
    <w:rsid w:val="00BB6F84"/>
    <w:rsid w:val="00BB735E"/>
    <w:rsid w:val="00BB73D8"/>
    <w:rsid w:val="00BB75EC"/>
    <w:rsid w:val="00BB7658"/>
    <w:rsid w:val="00BB7B7C"/>
    <w:rsid w:val="00BB7BFD"/>
    <w:rsid w:val="00BB7D04"/>
    <w:rsid w:val="00BBC684"/>
    <w:rsid w:val="00BC0120"/>
    <w:rsid w:val="00BC01DA"/>
    <w:rsid w:val="00BC02BA"/>
    <w:rsid w:val="00BC0427"/>
    <w:rsid w:val="00BC0826"/>
    <w:rsid w:val="00BC0CAC"/>
    <w:rsid w:val="00BC0F2B"/>
    <w:rsid w:val="00BC119D"/>
    <w:rsid w:val="00BC1276"/>
    <w:rsid w:val="00BC1467"/>
    <w:rsid w:val="00BC159C"/>
    <w:rsid w:val="00BC1C4F"/>
    <w:rsid w:val="00BC263C"/>
    <w:rsid w:val="00BC2857"/>
    <w:rsid w:val="00BC28B6"/>
    <w:rsid w:val="00BC2B33"/>
    <w:rsid w:val="00BC2D92"/>
    <w:rsid w:val="00BC2E70"/>
    <w:rsid w:val="00BC2EDC"/>
    <w:rsid w:val="00BC2F5C"/>
    <w:rsid w:val="00BC3046"/>
    <w:rsid w:val="00BC32B3"/>
    <w:rsid w:val="00BC332F"/>
    <w:rsid w:val="00BC352B"/>
    <w:rsid w:val="00BC3551"/>
    <w:rsid w:val="00BC3582"/>
    <w:rsid w:val="00BC38DA"/>
    <w:rsid w:val="00BC38F9"/>
    <w:rsid w:val="00BC3DFD"/>
    <w:rsid w:val="00BC3E92"/>
    <w:rsid w:val="00BC3FDC"/>
    <w:rsid w:val="00BC4396"/>
    <w:rsid w:val="00BC43AC"/>
    <w:rsid w:val="00BC4436"/>
    <w:rsid w:val="00BC450E"/>
    <w:rsid w:val="00BC45DC"/>
    <w:rsid w:val="00BC4A19"/>
    <w:rsid w:val="00BC4A69"/>
    <w:rsid w:val="00BC4A9C"/>
    <w:rsid w:val="00BC4C6B"/>
    <w:rsid w:val="00BC4D6E"/>
    <w:rsid w:val="00BC4E6D"/>
    <w:rsid w:val="00BC4E72"/>
    <w:rsid w:val="00BC4F57"/>
    <w:rsid w:val="00BC50F9"/>
    <w:rsid w:val="00BC5171"/>
    <w:rsid w:val="00BC5239"/>
    <w:rsid w:val="00BC558A"/>
    <w:rsid w:val="00BC5669"/>
    <w:rsid w:val="00BC56C3"/>
    <w:rsid w:val="00BC5726"/>
    <w:rsid w:val="00BC595F"/>
    <w:rsid w:val="00BC5D5D"/>
    <w:rsid w:val="00BC5F6B"/>
    <w:rsid w:val="00BC5F71"/>
    <w:rsid w:val="00BC60ED"/>
    <w:rsid w:val="00BC61CD"/>
    <w:rsid w:val="00BC6729"/>
    <w:rsid w:val="00BC68C2"/>
    <w:rsid w:val="00BC6B2C"/>
    <w:rsid w:val="00BC6CBB"/>
    <w:rsid w:val="00BC6D65"/>
    <w:rsid w:val="00BC6E1F"/>
    <w:rsid w:val="00BC6E48"/>
    <w:rsid w:val="00BC6F1A"/>
    <w:rsid w:val="00BC7167"/>
    <w:rsid w:val="00BC737C"/>
    <w:rsid w:val="00BC743B"/>
    <w:rsid w:val="00BC76A0"/>
    <w:rsid w:val="00BC77B6"/>
    <w:rsid w:val="00BC780B"/>
    <w:rsid w:val="00BC7854"/>
    <w:rsid w:val="00BC78BC"/>
    <w:rsid w:val="00BC79E2"/>
    <w:rsid w:val="00BC7A45"/>
    <w:rsid w:val="00BC7A4C"/>
    <w:rsid w:val="00BD0069"/>
    <w:rsid w:val="00BD0349"/>
    <w:rsid w:val="00BD05EF"/>
    <w:rsid w:val="00BD0617"/>
    <w:rsid w:val="00BD078B"/>
    <w:rsid w:val="00BD0827"/>
    <w:rsid w:val="00BD0920"/>
    <w:rsid w:val="00BD0D81"/>
    <w:rsid w:val="00BD0EDC"/>
    <w:rsid w:val="00BD168D"/>
    <w:rsid w:val="00BD18C8"/>
    <w:rsid w:val="00BD18E3"/>
    <w:rsid w:val="00BD1AF9"/>
    <w:rsid w:val="00BD1D3C"/>
    <w:rsid w:val="00BD1EB5"/>
    <w:rsid w:val="00BD2094"/>
    <w:rsid w:val="00BD20F6"/>
    <w:rsid w:val="00BD219E"/>
    <w:rsid w:val="00BD23B3"/>
    <w:rsid w:val="00BD240D"/>
    <w:rsid w:val="00BD278D"/>
    <w:rsid w:val="00BD29E4"/>
    <w:rsid w:val="00BD2C4D"/>
    <w:rsid w:val="00BD2D1D"/>
    <w:rsid w:val="00BD2E9B"/>
    <w:rsid w:val="00BD2FC7"/>
    <w:rsid w:val="00BD35F3"/>
    <w:rsid w:val="00BD3742"/>
    <w:rsid w:val="00BD3B0D"/>
    <w:rsid w:val="00BD3C02"/>
    <w:rsid w:val="00BD3CC3"/>
    <w:rsid w:val="00BD3D09"/>
    <w:rsid w:val="00BD3F12"/>
    <w:rsid w:val="00BD4078"/>
    <w:rsid w:val="00BD40D2"/>
    <w:rsid w:val="00BD4141"/>
    <w:rsid w:val="00BD4143"/>
    <w:rsid w:val="00BD42CC"/>
    <w:rsid w:val="00BD4382"/>
    <w:rsid w:val="00BD44AC"/>
    <w:rsid w:val="00BD46D8"/>
    <w:rsid w:val="00BD4736"/>
    <w:rsid w:val="00BD48C8"/>
    <w:rsid w:val="00BD497F"/>
    <w:rsid w:val="00BD4FE7"/>
    <w:rsid w:val="00BD5015"/>
    <w:rsid w:val="00BD545B"/>
    <w:rsid w:val="00BD5567"/>
    <w:rsid w:val="00BD58E4"/>
    <w:rsid w:val="00BD5926"/>
    <w:rsid w:val="00BD5B30"/>
    <w:rsid w:val="00BD5B77"/>
    <w:rsid w:val="00BD5B8C"/>
    <w:rsid w:val="00BD5C5D"/>
    <w:rsid w:val="00BD5DE2"/>
    <w:rsid w:val="00BD638C"/>
    <w:rsid w:val="00BD67C7"/>
    <w:rsid w:val="00BD6A7A"/>
    <w:rsid w:val="00BD6A9A"/>
    <w:rsid w:val="00BD6F4E"/>
    <w:rsid w:val="00BD6F5A"/>
    <w:rsid w:val="00BD6FD0"/>
    <w:rsid w:val="00BD703B"/>
    <w:rsid w:val="00BD70C1"/>
    <w:rsid w:val="00BD7253"/>
    <w:rsid w:val="00BD7563"/>
    <w:rsid w:val="00BD76B8"/>
    <w:rsid w:val="00BD791A"/>
    <w:rsid w:val="00BD7965"/>
    <w:rsid w:val="00BD7AE2"/>
    <w:rsid w:val="00BD7B5E"/>
    <w:rsid w:val="00BD7C12"/>
    <w:rsid w:val="00BD7C44"/>
    <w:rsid w:val="00BD7D39"/>
    <w:rsid w:val="00BD7DF4"/>
    <w:rsid w:val="00BE02F4"/>
    <w:rsid w:val="00BE0301"/>
    <w:rsid w:val="00BE04AE"/>
    <w:rsid w:val="00BE0611"/>
    <w:rsid w:val="00BE07D3"/>
    <w:rsid w:val="00BE08B5"/>
    <w:rsid w:val="00BE08C6"/>
    <w:rsid w:val="00BE08CA"/>
    <w:rsid w:val="00BE0EBC"/>
    <w:rsid w:val="00BE117A"/>
    <w:rsid w:val="00BE13EA"/>
    <w:rsid w:val="00BE1490"/>
    <w:rsid w:val="00BE15EC"/>
    <w:rsid w:val="00BE1809"/>
    <w:rsid w:val="00BE1BF4"/>
    <w:rsid w:val="00BE1EB6"/>
    <w:rsid w:val="00BE20C7"/>
    <w:rsid w:val="00BE215F"/>
    <w:rsid w:val="00BE22C9"/>
    <w:rsid w:val="00BE2580"/>
    <w:rsid w:val="00BE2AA1"/>
    <w:rsid w:val="00BE2C75"/>
    <w:rsid w:val="00BE2CF7"/>
    <w:rsid w:val="00BE2FAF"/>
    <w:rsid w:val="00BE311B"/>
    <w:rsid w:val="00BE3199"/>
    <w:rsid w:val="00BE3478"/>
    <w:rsid w:val="00BE3766"/>
    <w:rsid w:val="00BE37A5"/>
    <w:rsid w:val="00BE3AE8"/>
    <w:rsid w:val="00BE3C16"/>
    <w:rsid w:val="00BE3CDD"/>
    <w:rsid w:val="00BE3F06"/>
    <w:rsid w:val="00BE3F7B"/>
    <w:rsid w:val="00BE41DD"/>
    <w:rsid w:val="00BE436C"/>
    <w:rsid w:val="00BE4434"/>
    <w:rsid w:val="00BE446D"/>
    <w:rsid w:val="00BE46DE"/>
    <w:rsid w:val="00BE471A"/>
    <w:rsid w:val="00BE478E"/>
    <w:rsid w:val="00BE47DB"/>
    <w:rsid w:val="00BE4BD8"/>
    <w:rsid w:val="00BE4D22"/>
    <w:rsid w:val="00BE533D"/>
    <w:rsid w:val="00BE5518"/>
    <w:rsid w:val="00BE56E3"/>
    <w:rsid w:val="00BE5789"/>
    <w:rsid w:val="00BE57A1"/>
    <w:rsid w:val="00BE5B47"/>
    <w:rsid w:val="00BE5B9F"/>
    <w:rsid w:val="00BE5D4A"/>
    <w:rsid w:val="00BE5D8D"/>
    <w:rsid w:val="00BE5E33"/>
    <w:rsid w:val="00BE6008"/>
    <w:rsid w:val="00BE60F4"/>
    <w:rsid w:val="00BE660A"/>
    <w:rsid w:val="00BE6736"/>
    <w:rsid w:val="00BE6874"/>
    <w:rsid w:val="00BE68BB"/>
    <w:rsid w:val="00BE68C0"/>
    <w:rsid w:val="00BE6B5B"/>
    <w:rsid w:val="00BE6B71"/>
    <w:rsid w:val="00BE6CD9"/>
    <w:rsid w:val="00BE6D1E"/>
    <w:rsid w:val="00BE73C8"/>
    <w:rsid w:val="00BE748C"/>
    <w:rsid w:val="00BE7553"/>
    <w:rsid w:val="00BE75D4"/>
    <w:rsid w:val="00BE7704"/>
    <w:rsid w:val="00BE7881"/>
    <w:rsid w:val="00BE78CC"/>
    <w:rsid w:val="00BE7A7F"/>
    <w:rsid w:val="00BF01B3"/>
    <w:rsid w:val="00BF0B33"/>
    <w:rsid w:val="00BF0C28"/>
    <w:rsid w:val="00BF0C47"/>
    <w:rsid w:val="00BF104C"/>
    <w:rsid w:val="00BF10BC"/>
    <w:rsid w:val="00BF1335"/>
    <w:rsid w:val="00BF148D"/>
    <w:rsid w:val="00BF14F5"/>
    <w:rsid w:val="00BF1922"/>
    <w:rsid w:val="00BF1A61"/>
    <w:rsid w:val="00BF1BE5"/>
    <w:rsid w:val="00BF1E87"/>
    <w:rsid w:val="00BF216F"/>
    <w:rsid w:val="00BF2706"/>
    <w:rsid w:val="00BF2A72"/>
    <w:rsid w:val="00BF2AEB"/>
    <w:rsid w:val="00BF2B27"/>
    <w:rsid w:val="00BF2B94"/>
    <w:rsid w:val="00BF3140"/>
    <w:rsid w:val="00BF3190"/>
    <w:rsid w:val="00BF371A"/>
    <w:rsid w:val="00BF3B8E"/>
    <w:rsid w:val="00BF3E0B"/>
    <w:rsid w:val="00BF3E0E"/>
    <w:rsid w:val="00BF3E24"/>
    <w:rsid w:val="00BF3F77"/>
    <w:rsid w:val="00BF4256"/>
    <w:rsid w:val="00BF42D2"/>
    <w:rsid w:val="00BF439D"/>
    <w:rsid w:val="00BF4460"/>
    <w:rsid w:val="00BF4673"/>
    <w:rsid w:val="00BF4B32"/>
    <w:rsid w:val="00BF4C33"/>
    <w:rsid w:val="00BF4DED"/>
    <w:rsid w:val="00BF50B3"/>
    <w:rsid w:val="00BF5178"/>
    <w:rsid w:val="00BF524B"/>
    <w:rsid w:val="00BF5390"/>
    <w:rsid w:val="00BF553D"/>
    <w:rsid w:val="00BF55F7"/>
    <w:rsid w:val="00BF5667"/>
    <w:rsid w:val="00BF5CAA"/>
    <w:rsid w:val="00BF627E"/>
    <w:rsid w:val="00BF62BD"/>
    <w:rsid w:val="00BF667D"/>
    <w:rsid w:val="00BF6A97"/>
    <w:rsid w:val="00BF6B3E"/>
    <w:rsid w:val="00BF6FB6"/>
    <w:rsid w:val="00BF70D9"/>
    <w:rsid w:val="00BF71E5"/>
    <w:rsid w:val="00BF73CF"/>
    <w:rsid w:val="00BF754D"/>
    <w:rsid w:val="00BF761C"/>
    <w:rsid w:val="00BF7673"/>
    <w:rsid w:val="00BF77C3"/>
    <w:rsid w:val="00BF799C"/>
    <w:rsid w:val="00BF79D5"/>
    <w:rsid w:val="00BF7AD7"/>
    <w:rsid w:val="00BF7D27"/>
    <w:rsid w:val="00BF7DC0"/>
    <w:rsid w:val="00BF7DFC"/>
    <w:rsid w:val="00C00005"/>
    <w:rsid w:val="00C00250"/>
    <w:rsid w:val="00C002EA"/>
    <w:rsid w:val="00C0033B"/>
    <w:rsid w:val="00C0040C"/>
    <w:rsid w:val="00C0068E"/>
    <w:rsid w:val="00C0079B"/>
    <w:rsid w:val="00C007C0"/>
    <w:rsid w:val="00C00930"/>
    <w:rsid w:val="00C00AD4"/>
    <w:rsid w:val="00C00C4F"/>
    <w:rsid w:val="00C00CBD"/>
    <w:rsid w:val="00C00CDF"/>
    <w:rsid w:val="00C00E7B"/>
    <w:rsid w:val="00C00EA1"/>
    <w:rsid w:val="00C00EE9"/>
    <w:rsid w:val="00C010D1"/>
    <w:rsid w:val="00C014B7"/>
    <w:rsid w:val="00C01670"/>
    <w:rsid w:val="00C016EC"/>
    <w:rsid w:val="00C018DD"/>
    <w:rsid w:val="00C01957"/>
    <w:rsid w:val="00C01D03"/>
    <w:rsid w:val="00C01D6B"/>
    <w:rsid w:val="00C01D74"/>
    <w:rsid w:val="00C01DDE"/>
    <w:rsid w:val="00C0207D"/>
    <w:rsid w:val="00C021A4"/>
    <w:rsid w:val="00C02319"/>
    <w:rsid w:val="00C023AC"/>
    <w:rsid w:val="00C02643"/>
    <w:rsid w:val="00C02767"/>
    <w:rsid w:val="00C02A4A"/>
    <w:rsid w:val="00C02F72"/>
    <w:rsid w:val="00C03180"/>
    <w:rsid w:val="00C0322B"/>
    <w:rsid w:val="00C03266"/>
    <w:rsid w:val="00C03654"/>
    <w:rsid w:val="00C0388C"/>
    <w:rsid w:val="00C039A3"/>
    <w:rsid w:val="00C03B62"/>
    <w:rsid w:val="00C03DC7"/>
    <w:rsid w:val="00C03E59"/>
    <w:rsid w:val="00C03F71"/>
    <w:rsid w:val="00C041CA"/>
    <w:rsid w:val="00C0441E"/>
    <w:rsid w:val="00C04421"/>
    <w:rsid w:val="00C04519"/>
    <w:rsid w:val="00C0458A"/>
    <w:rsid w:val="00C045DA"/>
    <w:rsid w:val="00C049A1"/>
    <w:rsid w:val="00C04CBA"/>
    <w:rsid w:val="00C04DAC"/>
    <w:rsid w:val="00C04F62"/>
    <w:rsid w:val="00C05149"/>
    <w:rsid w:val="00C0514D"/>
    <w:rsid w:val="00C05476"/>
    <w:rsid w:val="00C054B0"/>
    <w:rsid w:val="00C05529"/>
    <w:rsid w:val="00C05566"/>
    <w:rsid w:val="00C055BB"/>
    <w:rsid w:val="00C0577D"/>
    <w:rsid w:val="00C057CD"/>
    <w:rsid w:val="00C0587E"/>
    <w:rsid w:val="00C05987"/>
    <w:rsid w:val="00C05D97"/>
    <w:rsid w:val="00C05E08"/>
    <w:rsid w:val="00C05E27"/>
    <w:rsid w:val="00C060AD"/>
    <w:rsid w:val="00C0624D"/>
    <w:rsid w:val="00C06256"/>
    <w:rsid w:val="00C06282"/>
    <w:rsid w:val="00C06466"/>
    <w:rsid w:val="00C0670D"/>
    <w:rsid w:val="00C0694D"/>
    <w:rsid w:val="00C06962"/>
    <w:rsid w:val="00C06A86"/>
    <w:rsid w:val="00C06D7E"/>
    <w:rsid w:val="00C06D99"/>
    <w:rsid w:val="00C070F1"/>
    <w:rsid w:val="00C0726A"/>
    <w:rsid w:val="00C07626"/>
    <w:rsid w:val="00C07814"/>
    <w:rsid w:val="00C078CE"/>
    <w:rsid w:val="00C07AA5"/>
    <w:rsid w:val="00C07FF1"/>
    <w:rsid w:val="00C105CC"/>
    <w:rsid w:val="00C105FF"/>
    <w:rsid w:val="00C1086F"/>
    <w:rsid w:val="00C108F0"/>
    <w:rsid w:val="00C10D18"/>
    <w:rsid w:val="00C10D51"/>
    <w:rsid w:val="00C10D73"/>
    <w:rsid w:val="00C10FF6"/>
    <w:rsid w:val="00C11049"/>
    <w:rsid w:val="00C11362"/>
    <w:rsid w:val="00C113BF"/>
    <w:rsid w:val="00C113E8"/>
    <w:rsid w:val="00C11402"/>
    <w:rsid w:val="00C11567"/>
    <w:rsid w:val="00C1163E"/>
    <w:rsid w:val="00C11712"/>
    <w:rsid w:val="00C117DA"/>
    <w:rsid w:val="00C117EB"/>
    <w:rsid w:val="00C11913"/>
    <w:rsid w:val="00C11A61"/>
    <w:rsid w:val="00C1229D"/>
    <w:rsid w:val="00C126D9"/>
    <w:rsid w:val="00C12888"/>
    <w:rsid w:val="00C12A3D"/>
    <w:rsid w:val="00C12A94"/>
    <w:rsid w:val="00C12C55"/>
    <w:rsid w:val="00C135EE"/>
    <w:rsid w:val="00C13672"/>
    <w:rsid w:val="00C13752"/>
    <w:rsid w:val="00C137A2"/>
    <w:rsid w:val="00C13C8B"/>
    <w:rsid w:val="00C13FB1"/>
    <w:rsid w:val="00C140EF"/>
    <w:rsid w:val="00C1410C"/>
    <w:rsid w:val="00C14178"/>
    <w:rsid w:val="00C14247"/>
    <w:rsid w:val="00C14479"/>
    <w:rsid w:val="00C14936"/>
    <w:rsid w:val="00C1496F"/>
    <w:rsid w:val="00C14C4C"/>
    <w:rsid w:val="00C14C7D"/>
    <w:rsid w:val="00C14D43"/>
    <w:rsid w:val="00C14F2E"/>
    <w:rsid w:val="00C150C8"/>
    <w:rsid w:val="00C1517E"/>
    <w:rsid w:val="00C151FE"/>
    <w:rsid w:val="00C15278"/>
    <w:rsid w:val="00C1533E"/>
    <w:rsid w:val="00C1535C"/>
    <w:rsid w:val="00C15443"/>
    <w:rsid w:val="00C15458"/>
    <w:rsid w:val="00C1580F"/>
    <w:rsid w:val="00C15A1D"/>
    <w:rsid w:val="00C15B4F"/>
    <w:rsid w:val="00C16649"/>
    <w:rsid w:val="00C1675B"/>
    <w:rsid w:val="00C167EF"/>
    <w:rsid w:val="00C16830"/>
    <w:rsid w:val="00C16991"/>
    <w:rsid w:val="00C169C7"/>
    <w:rsid w:val="00C16B49"/>
    <w:rsid w:val="00C16C92"/>
    <w:rsid w:val="00C16E5D"/>
    <w:rsid w:val="00C16FCC"/>
    <w:rsid w:val="00C170BB"/>
    <w:rsid w:val="00C175C4"/>
    <w:rsid w:val="00C17629"/>
    <w:rsid w:val="00C178B3"/>
    <w:rsid w:val="00C17909"/>
    <w:rsid w:val="00C179CA"/>
    <w:rsid w:val="00C17A86"/>
    <w:rsid w:val="00C17B1A"/>
    <w:rsid w:val="00C17B9D"/>
    <w:rsid w:val="00C17BE8"/>
    <w:rsid w:val="00C17C8E"/>
    <w:rsid w:val="00C17F40"/>
    <w:rsid w:val="00C17FA6"/>
    <w:rsid w:val="00C202AE"/>
    <w:rsid w:val="00C202DC"/>
    <w:rsid w:val="00C20367"/>
    <w:rsid w:val="00C20789"/>
    <w:rsid w:val="00C2080D"/>
    <w:rsid w:val="00C20F5C"/>
    <w:rsid w:val="00C21284"/>
    <w:rsid w:val="00C213A8"/>
    <w:rsid w:val="00C2176E"/>
    <w:rsid w:val="00C2188F"/>
    <w:rsid w:val="00C21C34"/>
    <w:rsid w:val="00C21E4D"/>
    <w:rsid w:val="00C21F05"/>
    <w:rsid w:val="00C21F98"/>
    <w:rsid w:val="00C22211"/>
    <w:rsid w:val="00C224C1"/>
    <w:rsid w:val="00C22992"/>
    <w:rsid w:val="00C22A52"/>
    <w:rsid w:val="00C22AAD"/>
    <w:rsid w:val="00C22C2A"/>
    <w:rsid w:val="00C22EF2"/>
    <w:rsid w:val="00C22F57"/>
    <w:rsid w:val="00C2307F"/>
    <w:rsid w:val="00C232CD"/>
    <w:rsid w:val="00C23430"/>
    <w:rsid w:val="00C234D7"/>
    <w:rsid w:val="00C23674"/>
    <w:rsid w:val="00C2391A"/>
    <w:rsid w:val="00C23CE2"/>
    <w:rsid w:val="00C23D9B"/>
    <w:rsid w:val="00C23DC0"/>
    <w:rsid w:val="00C23EB4"/>
    <w:rsid w:val="00C2411F"/>
    <w:rsid w:val="00C241E5"/>
    <w:rsid w:val="00C241E8"/>
    <w:rsid w:val="00C246FB"/>
    <w:rsid w:val="00C24838"/>
    <w:rsid w:val="00C248F5"/>
    <w:rsid w:val="00C24B14"/>
    <w:rsid w:val="00C24B39"/>
    <w:rsid w:val="00C24FDE"/>
    <w:rsid w:val="00C2547F"/>
    <w:rsid w:val="00C256BB"/>
    <w:rsid w:val="00C25861"/>
    <w:rsid w:val="00C258B6"/>
    <w:rsid w:val="00C25A04"/>
    <w:rsid w:val="00C25A5A"/>
    <w:rsid w:val="00C25D0A"/>
    <w:rsid w:val="00C25D8B"/>
    <w:rsid w:val="00C25D99"/>
    <w:rsid w:val="00C25E9A"/>
    <w:rsid w:val="00C267AD"/>
    <w:rsid w:val="00C267B8"/>
    <w:rsid w:val="00C26BF0"/>
    <w:rsid w:val="00C26F62"/>
    <w:rsid w:val="00C270D8"/>
    <w:rsid w:val="00C2740D"/>
    <w:rsid w:val="00C27664"/>
    <w:rsid w:val="00C27BB5"/>
    <w:rsid w:val="00C27D67"/>
    <w:rsid w:val="00C27EB8"/>
    <w:rsid w:val="00C300F9"/>
    <w:rsid w:val="00C30123"/>
    <w:rsid w:val="00C301D0"/>
    <w:rsid w:val="00C302F5"/>
    <w:rsid w:val="00C305AF"/>
    <w:rsid w:val="00C305BB"/>
    <w:rsid w:val="00C30688"/>
    <w:rsid w:val="00C308BA"/>
    <w:rsid w:val="00C30991"/>
    <w:rsid w:val="00C309D1"/>
    <w:rsid w:val="00C30ABC"/>
    <w:rsid w:val="00C30B48"/>
    <w:rsid w:val="00C30CA6"/>
    <w:rsid w:val="00C30EC1"/>
    <w:rsid w:val="00C30F77"/>
    <w:rsid w:val="00C311A9"/>
    <w:rsid w:val="00C31457"/>
    <w:rsid w:val="00C3146F"/>
    <w:rsid w:val="00C3156A"/>
    <w:rsid w:val="00C317B8"/>
    <w:rsid w:val="00C317EE"/>
    <w:rsid w:val="00C319E8"/>
    <w:rsid w:val="00C31B08"/>
    <w:rsid w:val="00C31BA9"/>
    <w:rsid w:val="00C31E0A"/>
    <w:rsid w:val="00C31FC5"/>
    <w:rsid w:val="00C321BD"/>
    <w:rsid w:val="00C32200"/>
    <w:rsid w:val="00C325CE"/>
    <w:rsid w:val="00C32699"/>
    <w:rsid w:val="00C326C3"/>
    <w:rsid w:val="00C328BD"/>
    <w:rsid w:val="00C329F1"/>
    <w:rsid w:val="00C32A69"/>
    <w:rsid w:val="00C32B94"/>
    <w:rsid w:val="00C32D0D"/>
    <w:rsid w:val="00C32E99"/>
    <w:rsid w:val="00C32F02"/>
    <w:rsid w:val="00C330A4"/>
    <w:rsid w:val="00C331C8"/>
    <w:rsid w:val="00C33261"/>
    <w:rsid w:val="00C33367"/>
    <w:rsid w:val="00C334F0"/>
    <w:rsid w:val="00C33535"/>
    <w:rsid w:val="00C33549"/>
    <w:rsid w:val="00C3369F"/>
    <w:rsid w:val="00C3379C"/>
    <w:rsid w:val="00C339EA"/>
    <w:rsid w:val="00C33B3B"/>
    <w:rsid w:val="00C33C04"/>
    <w:rsid w:val="00C33E3C"/>
    <w:rsid w:val="00C3400A"/>
    <w:rsid w:val="00C342ED"/>
    <w:rsid w:val="00C34864"/>
    <w:rsid w:val="00C3494F"/>
    <w:rsid w:val="00C349FD"/>
    <w:rsid w:val="00C34A13"/>
    <w:rsid w:val="00C34BD2"/>
    <w:rsid w:val="00C34C06"/>
    <w:rsid w:val="00C34DAA"/>
    <w:rsid w:val="00C34DAD"/>
    <w:rsid w:val="00C34E93"/>
    <w:rsid w:val="00C34F0D"/>
    <w:rsid w:val="00C34FBB"/>
    <w:rsid w:val="00C353DB"/>
    <w:rsid w:val="00C354D0"/>
    <w:rsid w:val="00C35575"/>
    <w:rsid w:val="00C357E9"/>
    <w:rsid w:val="00C358F8"/>
    <w:rsid w:val="00C35AB4"/>
    <w:rsid w:val="00C35DE9"/>
    <w:rsid w:val="00C35ED7"/>
    <w:rsid w:val="00C35F6D"/>
    <w:rsid w:val="00C3631D"/>
    <w:rsid w:val="00C363D6"/>
    <w:rsid w:val="00C36430"/>
    <w:rsid w:val="00C36606"/>
    <w:rsid w:val="00C3667C"/>
    <w:rsid w:val="00C366E7"/>
    <w:rsid w:val="00C369F0"/>
    <w:rsid w:val="00C36D9A"/>
    <w:rsid w:val="00C36E5B"/>
    <w:rsid w:val="00C36F6A"/>
    <w:rsid w:val="00C37276"/>
    <w:rsid w:val="00C3735D"/>
    <w:rsid w:val="00C3789F"/>
    <w:rsid w:val="00C37A34"/>
    <w:rsid w:val="00C37AC8"/>
    <w:rsid w:val="00C37B44"/>
    <w:rsid w:val="00C37BB3"/>
    <w:rsid w:val="00C37C63"/>
    <w:rsid w:val="00C37D4C"/>
    <w:rsid w:val="00C40096"/>
    <w:rsid w:val="00C40165"/>
    <w:rsid w:val="00C40200"/>
    <w:rsid w:val="00C4022E"/>
    <w:rsid w:val="00C40261"/>
    <w:rsid w:val="00C40310"/>
    <w:rsid w:val="00C405E5"/>
    <w:rsid w:val="00C4091E"/>
    <w:rsid w:val="00C4105C"/>
    <w:rsid w:val="00C412DA"/>
    <w:rsid w:val="00C4134F"/>
    <w:rsid w:val="00C41497"/>
    <w:rsid w:val="00C4190F"/>
    <w:rsid w:val="00C419F1"/>
    <w:rsid w:val="00C41C20"/>
    <w:rsid w:val="00C41D6F"/>
    <w:rsid w:val="00C41E0F"/>
    <w:rsid w:val="00C41EAA"/>
    <w:rsid w:val="00C41FCE"/>
    <w:rsid w:val="00C4200C"/>
    <w:rsid w:val="00C42067"/>
    <w:rsid w:val="00C4211C"/>
    <w:rsid w:val="00C421B1"/>
    <w:rsid w:val="00C423E3"/>
    <w:rsid w:val="00C4248A"/>
    <w:rsid w:val="00C4297D"/>
    <w:rsid w:val="00C429CE"/>
    <w:rsid w:val="00C42C80"/>
    <w:rsid w:val="00C42E29"/>
    <w:rsid w:val="00C42FB1"/>
    <w:rsid w:val="00C42FB3"/>
    <w:rsid w:val="00C43016"/>
    <w:rsid w:val="00C43182"/>
    <w:rsid w:val="00C431A7"/>
    <w:rsid w:val="00C431DD"/>
    <w:rsid w:val="00C43329"/>
    <w:rsid w:val="00C4334E"/>
    <w:rsid w:val="00C433EA"/>
    <w:rsid w:val="00C4343F"/>
    <w:rsid w:val="00C4358C"/>
    <w:rsid w:val="00C435FC"/>
    <w:rsid w:val="00C43A40"/>
    <w:rsid w:val="00C43CB2"/>
    <w:rsid w:val="00C43D0C"/>
    <w:rsid w:val="00C442A4"/>
    <w:rsid w:val="00C4433B"/>
    <w:rsid w:val="00C4442E"/>
    <w:rsid w:val="00C44490"/>
    <w:rsid w:val="00C444D1"/>
    <w:rsid w:val="00C44565"/>
    <w:rsid w:val="00C445FD"/>
    <w:rsid w:val="00C446A9"/>
    <w:rsid w:val="00C446C3"/>
    <w:rsid w:val="00C44780"/>
    <w:rsid w:val="00C44C8E"/>
    <w:rsid w:val="00C44CD4"/>
    <w:rsid w:val="00C44ED3"/>
    <w:rsid w:val="00C4522E"/>
    <w:rsid w:val="00C452C2"/>
    <w:rsid w:val="00C454EB"/>
    <w:rsid w:val="00C4580D"/>
    <w:rsid w:val="00C4591D"/>
    <w:rsid w:val="00C45BA5"/>
    <w:rsid w:val="00C4605B"/>
    <w:rsid w:val="00C4610D"/>
    <w:rsid w:val="00C46137"/>
    <w:rsid w:val="00C4631F"/>
    <w:rsid w:val="00C46BE8"/>
    <w:rsid w:val="00C46E32"/>
    <w:rsid w:val="00C46E6E"/>
    <w:rsid w:val="00C47108"/>
    <w:rsid w:val="00C472D1"/>
    <w:rsid w:val="00C472E0"/>
    <w:rsid w:val="00C474BB"/>
    <w:rsid w:val="00C47538"/>
    <w:rsid w:val="00C4771C"/>
    <w:rsid w:val="00C47934"/>
    <w:rsid w:val="00C47A1E"/>
    <w:rsid w:val="00C47E5C"/>
    <w:rsid w:val="00C5016C"/>
    <w:rsid w:val="00C50187"/>
    <w:rsid w:val="00C503D3"/>
    <w:rsid w:val="00C506E1"/>
    <w:rsid w:val="00C508CF"/>
    <w:rsid w:val="00C50A3C"/>
    <w:rsid w:val="00C50AF2"/>
    <w:rsid w:val="00C50BBF"/>
    <w:rsid w:val="00C50DA9"/>
    <w:rsid w:val="00C50E16"/>
    <w:rsid w:val="00C50E99"/>
    <w:rsid w:val="00C51085"/>
    <w:rsid w:val="00C513C9"/>
    <w:rsid w:val="00C5171A"/>
    <w:rsid w:val="00C51986"/>
    <w:rsid w:val="00C51B14"/>
    <w:rsid w:val="00C51FDD"/>
    <w:rsid w:val="00C5208E"/>
    <w:rsid w:val="00C521D6"/>
    <w:rsid w:val="00C52412"/>
    <w:rsid w:val="00C5241A"/>
    <w:rsid w:val="00C5255D"/>
    <w:rsid w:val="00C52677"/>
    <w:rsid w:val="00C526C3"/>
    <w:rsid w:val="00C52B46"/>
    <w:rsid w:val="00C52B78"/>
    <w:rsid w:val="00C52D8F"/>
    <w:rsid w:val="00C52DDC"/>
    <w:rsid w:val="00C52E58"/>
    <w:rsid w:val="00C52F37"/>
    <w:rsid w:val="00C53091"/>
    <w:rsid w:val="00C5317A"/>
    <w:rsid w:val="00C53729"/>
    <w:rsid w:val="00C53BED"/>
    <w:rsid w:val="00C53DD2"/>
    <w:rsid w:val="00C53E3D"/>
    <w:rsid w:val="00C53E6D"/>
    <w:rsid w:val="00C53F26"/>
    <w:rsid w:val="00C544F0"/>
    <w:rsid w:val="00C5453D"/>
    <w:rsid w:val="00C545F3"/>
    <w:rsid w:val="00C546C9"/>
    <w:rsid w:val="00C54703"/>
    <w:rsid w:val="00C548A4"/>
    <w:rsid w:val="00C548A6"/>
    <w:rsid w:val="00C54A29"/>
    <w:rsid w:val="00C54BCC"/>
    <w:rsid w:val="00C54BD3"/>
    <w:rsid w:val="00C54D39"/>
    <w:rsid w:val="00C54E5D"/>
    <w:rsid w:val="00C54E75"/>
    <w:rsid w:val="00C55258"/>
    <w:rsid w:val="00C5542A"/>
    <w:rsid w:val="00C55620"/>
    <w:rsid w:val="00C55879"/>
    <w:rsid w:val="00C55A87"/>
    <w:rsid w:val="00C56366"/>
    <w:rsid w:val="00C564C5"/>
    <w:rsid w:val="00C56565"/>
    <w:rsid w:val="00C5667A"/>
    <w:rsid w:val="00C5685D"/>
    <w:rsid w:val="00C56903"/>
    <w:rsid w:val="00C56D69"/>
    <w:rsid w:val="00C56DC9"/>
    <w:rsid w:val="00C56EF7"/>
    <w:rsid w:val="00C5704F"/>
    <w:rsid w:val="00C57091"/>
    <w:rsid w:val="00C57375"/>
    <w:rsid w:val="00C57A91"/>
    <w:rsid w:val="00C57C9E"/>
    <w:rsid w:val="00C57D9B"/>
    <w:rsid w:val="00C57DED"/>
    <w:rsid w:val="00C601DE"/>
    <w:rsid w:val="00C60224"/>
    <w:rsid w:val="00C60381"/>
    <w:rsid w:val="00C6038D"/>
    <w:rsid w:val="00C60669"/>
    <w:rsid w:val="00C60935"/>
    <w:rsid w:val="00C60C31"/>
    <w:rsid w:val="00C60C4B"/>
    <w:rsid w:val="00C60CF2"/>
    <w:rsid w:val="00C60EF8"/>
    <w:rsid w:val="00C60FB4"/>
    <w:rsid w:val="00C6119D"/>
    <w:rsid w:val="00C61A25"/>
    <w:rsid w:val="00C61A67"/>
    <w:rsid w:val="00C61BB9"/>
    <w:rsid w:val="00C62256"/>
    <w:rsid w:val="00C624CE"/>
    <w:rsid w:val="00C628FD"/>
    <w:rsid w:val="00C62ADE"/>
    <w:rsid w:val="00C62B88"/>
    <w:rsid w:val="00C62DB0"/>
    <w:rsid w:val="00C62F4E"/>
    <w:rsid w:val="00C631FE"/>
    <w:rsid w:val="00C634C8"/>
    <w:rsid w:val="00C63632"/>
    <w:rsid w:val="00C63F64"/>
    <w:rsid w:val="00C641BF"/>
    <w:rsid w:val="00C64288"/>
    <w:rsid w:val="00C6440E"/>
    <w:rsid w:val="00C64515"/>
    <w:rsid w:val="00C6461E"/>
    <w:rsid w:val="00C64647"/>
    <w:rsid w:val="00C64682"/>
    <w:rsid w:val="00C64AA0"/>
    <w:rsid w:val="00C64C7B"/>
    <w:rsid w:val="00C64E08"/>
    <w:rsid w:val="00C651A9"/>
    <w:rsid w:val="00C655D3"/>
    <w:rsid w:val="00C6568B"/>
    <w:rsid w:val="00C658A1"/>
    <w:rsid w:val="00C65CEB"/>
    <w:rsid w:val="00C65E92"/>
    <w:rsid w:val="00C6603C"/>
    <w:rsid w:val="00C66136"/>
    <w:rsid w:val="00C6623B"/>
    <w:rsid w:val="00C6640E"/>
    <w:rsid w:val="00C6646C"/>
    <w:rsid w:val="00C665F9"/>
    <w:rsid w:val="00C6668B"/>
    <w:rsid w:val="00C666E3"/>
    <w:rsid w:val="00C66971"/>
    <w:rsid w:val="00C66ABD"/>
    <w:rsid w:val="00C66B38"/>
    <w:rsid w:val="00C67003"/>
    <w:rsid w:val="00C67034"/>
    <w:rsid w:val="00C67458"/>
    <w:rsid w:val="00C675F4"/>
    <w:rsid w:val="00C679A4"/>
    <w:rsid w:val="00C67AD1"/>
    <w:rsid w:val="00C67CE1"/>
    <w:rsid w:val="00C67F50"/>
    <w:rsid w:val="00C70064"/>
    <w:rsid w:val="00C70388"/>
    <w:rsid w:val="00C703F7"/>
    <w:rsid w:val="00C704BB"/>
    <w:rsid w:val="00C70524"/>
    <w:rsid w:val="00C7054C"/>
    <w:rsid w:val="00C7066C"/>
    <w:rsid w:val="00C707BD"/>
    <w:rsid w:val="00C70B3A"/>
    <w:rsid w:val="00C70E41"/>
    <w:rsid w:val="00C711E7"/>
    <w:rsid w:val="00C712C7"/>
    <w:rsid w:val="00C71699"/>
    <w:rsid w:val="00C71810"/>
    <w:rsid w:val="00C71DBE"/>
    <w:rsid w:val="00C71F8D"/>
    <w:rsid w:val="00C72304"/>
    <w:rsid w:val="00C7261B"/>
    <w:rsid w:val="00C726A0"/>
    <w:rsid w:val="00C7271E"/>
    <w:rsid w:val="00C72D52"/>
    <w:rsid w:val="00C7302F"/>
    <w:rsid w:val="00C73654"/>
    <w:rsid w:val="00C73839"/>
    <w:rsid w:val="00C738B4"/>
    <w:rsid w:val="00C73918"/>
    <w:rsid w:val="00C73B3E"/>
    <w:rsid w:val="00C73E88"/>
    <w:rsid w:val="00C73F9F"/>
    <w:rsid w:val="00C7421C"/>
    <w:rsid w:val="00C745BB"/>
    <w:rsid w:val="00C745DA"/>
    <w:rsid w:val="00C74A7F"/>
    <w:rsid w:val="00C74FE5"/>
    <w:rsid w:val="00C75568"/>
    <w:rsid w:val="00C7556B"/>
    <w:rsid w:val="00C75691"/>
    <w:rsid w:val="00C75B01"/>
    <w:rsid w:val="00C75D5E"/>
    <w:rsid w:val="00C75EB4"/>
    <w:rsid w:val="00C763B9"/>
    <w:rsid w:val="00C76403"/>
    <w:rsid w:val="00C764A4"/>
    <w:rsid w:val="00C764C6"/>
    <w:rsid w:val="00C7690A"/>
    <w:rsid w:val="00C76C80"/>
    <w:rsid w:val="00C76EFB"/>
    <w:rsid w:val="00C7706F"/>
    <w:rsid w:val="00C77254"/>
    <w:rsid w:val="00C7744F"/>
    <w:rsid w:val="00C7772C"/>
    <w:rsid w:val="00C777BF"/>
    <w:rsid w:val="00C779C2"/>
    <w:rsid w:val="00C779E4"/>
    <w:rsid w:val="00C77C7D"/>
    <w:rsid w:val="00C77E4F"/>
    <w:rsid w:val="00C77EBA"/>
    <w:rsid w:val="00C800A1"/>
    <w:rsid w:val="00C802F7"/>
    <w:rsid w:val="00C80338"/>
    <w:rsid w:val="00C803AA"/>
    <w:rsid w:val="00C80489"/>
    <w:rsid w:val="00C80620"/>
    <w:rsid w:val="00C80645"/>
    <w:rsid w:val="00C8086C"/>
    <w:rsid w:val="00C80A89"/>
    <w:rsid w:val="00C80B43"/>
    <w:rsid w:val="00C80B9E"/>
    <w:rsid w:val="00C80CC4"/>
    <w:rsid w:val="00C8101F"/>
    <w:rsid w:val="00C810CE"/>
    <w:rsid w:val="00C8123B"/>
    <w:rsid w:val="00C813CF"/>
    <w:rsid w:val="00C814D5"/>
    <w:rsid w:val="00C8150E"/>
    <w:rsid w:val="00C8157C"/>
    <w:rsid w:val="00C816EB"/>
    <w:rsid w:val="00C81705"/>
    <w:rsid w:val="00C817BB"/>
    <w:rsid w:val="00C81B4E"/>
    <w:rsid w:val="00C81CBA"/>
    <w:rsid w:val="00C81D10"/>
    <w:rsid w:val="00C82137"/>
    <w:rsid w:val="00C8274A"/>
    <w:rsid w:val="00C82775"/>
    <w:rsid w:val="00C82954"/>
    <w:rsid w:val="00C829FF"/>
    <w:rsid w:val="00C82CF7"/>
    <w:rsid w:val="00C82D85"/>
    <w:rsid w:val="00C82EEB"/>
    <w:rsid w:val="00C83192"/>
    <w:rsid w:val="00C83246"/>
    <w:rsid w:val="00C833B8"/>
    <w:rsid w:val="00C83433"/>
    <w:rsid w:val="00C83443"/>
    <w:rsid w:val="00C8358C"/>
    <w:rsid w:val="00C83671"/>
    <w:rsid w:val="00C836BF"/>
    <w:rsid w:val="00C83853"/>
    <w:rsid w:val="00C83910"/>
    <w:rsid w:val="00C83923"/>
    <w:rsid w:val="00C84086"/>
    <w:rsid w:val="00C8456F"/>
    <w:rsid w:val="00C845EB"/>
    <w:rsid w:val="00C8465C"/>
    <w:rsid w:val="00C84735"/>
    <w:rsid w:val="00C847AF"/>
    <w:rsid w:val="00C848D3"/>
    <w:rsid w:val="00C848EB"/>
    <w:rsid w:val="00C84915"/>
    <w:rsid w:val="00C84AE9"/>
    <w:rsid w:val="00C84BDE"/>
    <w:rsid w:val="00C84D34"/>
    <w:rsid w:val="00C84DA7"/>
    <w:rsid w:val="00C85161"/>
    <w:rsid w:val="00C851EF"/>
    <w:rsid w:val="00C85413"/>
    <w:rsid w:val="00C8572E"/>
    <w:rsid w:val="00C85969"/>
    <w:rsid w:val="00C85A6E"/>
    <w:rsid w:val="00C85BD8"/>
    <w:rsid w:val="00C85C66"/>
    <w:rsid w:val="00C85D91"/>
    <w:rsid w:val="00C85EA9"/>
    <w:rsid w:val="00C85FD6"/>
    <w:rsid w:val="00C8609C"/>
    <w:rsid w:val="00C86190"/>
    <w:rsid w:val="00C86613"/>
    <w:rsid w:val="00C86BEA"/>
    <w:rsid w:val="00C86E00"/>
    <w:rsid w:val="00C86E94"/>
    <w:rsid w:val="00C86E95"/>
    <w:rsid w:val="00C86F71"/>
    <w:rsid w:val="00C8705B"/>
    <w:rsid w:val="00C877A1"/>
    <w:rsid w:val="00C878DE"/>
    <w:rsid w:val="00C87C59"/>
    <w:rsid w:val="00C87C7E"/>
    <w:rsid w:val="00C87CAD"/>
    <w:rsid w:val="00C87F18"/>
    <w:rsid w:val="00C87F63"/>
    <w:rsid w:val="00C90208"/>
    <w:rsid w:val="00C9020E"/>
    <w:rsid w:val="00C9042B"/>
    <w:rsid w:val="00C904EC"/>
    <w:rsid w:val="00C9062C"/>
    <w:rsid w:val="00C906EF"/>
    <w:rsid w:val="00C9074F"/>
    <w:rsid w:val="00C90913"/>
    <w:rsid w:val="00C90934"/>
    <w:rsid w:val="00C909DC"/>
    <w:rsid w:val="00C90A40"/>
    <w:rsid w:val="00C90AC8"/>
    <w:rsid w:val="00C90C96"/>
    <w:rsid w:val="00C90E30"/>
    <w:rsid w:val="00C91067"/>
    <w:rsid w:val="00C91072"/>
    <w:rsid w:val="00C9108F"/>
    <w:rsid w:val="00C91194"/>
    <w:rsid w:val="00C913C0"/>
    <w:rsid w:val="00C9140D"/>
    <w:rsid w:val="00C91481"/>
    <w:rsid w:val="00C914B1"/>
    <w:rsid w:val="00C914F0"/>
    <w:rsid w:val="00C916BB"/>
    <w:rsid w:val="00C917CC"/>
    <w:rsid w:val="00C91BD9"/>
    <w:rsid w:val="00C91C22"/>
    <w:rsid w:val="00C91CAC"/>
    <w:rsid w:val="00C91D04"/>
    <w:rsid w:val="00C92268"/>
    <w:rsid w:val="00C92325"/>
    <w:rsid w:val="00C9249D"/>
    <w:rsid w:val="00C92507"/>
    <w:rsid w:val="00C92529"/>
    <w:rsid w:val="00C9280C"/>
    <w:rsid w:val="00C9281B"/>
    <w:rsid w:val="00C92889"/>
    <w:rsid w:val="00C92FBD"/>
    <w:rsid w:val="00C93239"/>
    <w:rsid w:val="00C932D8"/>
    <w:rsid w:val="00C932E1"/>
    <w:rsid w:val="00C93489"/>
    <w:rsid w:val="00C93812"/>
    <w:rsid w:val="00C939A3"/>
    <w:rsid w:val="00C93C4D"/>
    <w:rsid w:val="00C93C8C"/>
    <w:rsid w:val="00C93D62"/>
    <w:rsid w:val="00C94051"/>
    <w:rsid w:val="00C9437A"/>
    <w:rsid w:val="00C943C9"/>
    <w:rsid w:val="00C94A87"/>
    <w:rsid w:val="00C94B3E"/>
    <w:rsid w:val="00C94C5D"/>
    <w:rsid w:val="00C94EE0"/>
    <w:rsid w:val="00C94F3F"/>
    <w:rsid w:val="00C94F5B"/>
    <w:rsid w:val="00C94F62"/>
    <w:rsid w:val="00C95375"/>
    <w:rsid w:val="00C95589"/>
    <w:rsid w:val="00C95609"/>
    <w:rsid w:val="00C95668"/>
    <w:rsid w:val="00C9566C"/>
    <w:rsid w:val="00C95A32"/>
    <w:rsid w:val="00C95B0A"/>
    <w:rsid w:val="00C95C31"/>
    <w:rsid w:val="00C95D9D"/>
    <w:rsid w:val="00C95FF8"/>
    <w:rsid w:val="00C9606A"/>
    <w:rsid w:val="00C96081"/>
    <w:rsid w:val="00C96A44"/>
    <w:rsid w:val="00C96C57"/>
    <w:rsid w:val="00C96C85"/>
    <w:rsid w:val="00C96EA2"/>
    <w:rsid w:val="00C97028"/>
    <w:rsid w:val="00C971DC"/>
    <w:rsid w:val="00C972A1"/>
    <w:rsid w:val="00C9745F"/>
    <w:rsid w:val="00C9777B"/>
    <w:rsid w:val="00C97D36"/>
    <w:rsid w:val="00C97D70"/>
    <w:rsid w:val="00C97D8B"/>
    <w:rsid w:val="00C97E8F"/>
    <w:rsid w:val="00CA02B7"/>
    <w:rsid w:val="00CA0452"/>
    <w:rsid w:val="00CA0524"/>
    <w:rsid w:val="00CA06DC"/>
    <w:rsid w:val="00CA0873"/>
    <w:rsid w:val="00CA0B5E"/>
    <w:rsid w:val="00CA0BDB"/>
    <w:rsid w:val="00CA0C2C"/>
    <w:rsid w:val="00CA0EF4"/>
    <w:rsid w:val="00CA0F02"/>
    <w:rsid w:val="00CA0FB8"/>
    <w:rsid w:val="00CA11D9"/>
    <w:rsid w:val="00CA1310"/>
    <w:rsid w:val="00CA13EF"/>
    <w:rsid w:val="00CA16B7"/>
    <w:rsid w:val="00CA16DD"/>
    <w:rsid w:val="00CA1828"/>
    <w:rsid w:val="00CA1884"/>
    <w:rsid w:val="00CA1D49"/>
    <w:rsid w:val="00CA1F0C"/>
    <w:rsid w:val="00CA20CD"/>
    <w:rsid w:val="00CA2430"/>
    <w:rsid w:val="00CA27C4"/>
    <w:rsid w:val="00CA27FC"/>
    <w:rsid w:val="00CA2ABD"/>
    <w:rsid w:val="00CA2C60"/>
    <w:rsid w:val="00CA339F"/>
    <w:rsid w:val="00CA35B1"/>
    <w:rsid w:val="00CA3C5B"/>
    <w:rsid w:val="00CA3EA0"/>
    <w:rsid w:val="00CA3ECB"/>
    <w:rsid w:val="00CA4166"/>
    <w:rsid w:val="00CA41FF"/>
    <w:rsid w:val="00CA4536"/>
    <w:rsid w:val="00CA459B"/>
    <w:rsid w:val="00CA460E"/>
    <w:rsid w:val="00CA4B2A"/>
    <w:rsid w:val="00CA4BE3"/>
    <w:rsid w:val="00CA4EF1"/>
    <w:rsid w:val="00CA500A"/>
    <w:rsid w:val="00CA5285"/>
    <w:rsid w:val="00CA540F"/>
    <w:rsid w:val="00CA555A"/>
    <w:rsid w:val="00CA56B4"/>
    <w:rsid w:val="00CA5791"/>
    <w:rsid w:val="00CA5893"/>
    <w:rsid w:val="00CA5D24"/>
    <w:rsid w:val="00CA5D31"/>
    <w:rsid w:val="00CA5D46"/>
    <w:rsid w:val="00CA607A"/>
    <w:rsid w:val="00CA62AE"/>
    <w:rsid w:val="00CA632E"/>
    <w:rsid w:val="00CA6371"/>
    <w:rsid w:val="00CA6386"/>
    <w:rsid w:val="00CA6986"/>
    <w:rsid w:val="00CA69EB"/>
    <w:rsid w:val="00CA6A31"/>
    <w:rsid w:val="00CA6ADD"/>
    <w:rsid w:val="00CA6D41"/>
    <w:rsid w:val="00CA7101"/>
    <w:rsid w:val="00CA71F2"/>
    <w:rsid w:val="00CA72EE"/>
    <w:rsid w:val="00CA7301"/>
    <w:rsid w:val="00CA730D"/>
    <w:rsid w:val="00CA75B8"/>
    <w:rsid w:val="00CA761E"/>
    <w:rsid w:val="00CA7A0B"/>
    <w:rsid w:val="00CA7C0D"/>
    <w:rsid w:val="00CA7CB9"/>
    <w:rsid w:val="00CA7F4F"/>
    <w:rsid w:val="00CB02C0"/>
    <w:rsid w:val="00CB0657"/>
    <w:rsid w:val="00CB0713"/>
    <w:rsid w:val="00CB071A"/>
    <w:rsid w:val="00CB09A2"/>
    <w:rsid w:val="00CB0ACD"/>
    <w:rsid w:val="00CB0F13"/>
    <w:rsid w:val="00CB139F"/>
    <w:rsid w:val="00CB18FF"/>
    <w:rsid w:val="00CB19BC"/>
    <w:rsid w:val="00CB1C5A"/>
    <w:rsid w:val="00CB1E8C"/>
    <w:rsid w:val="00CB2081"/>
    <w:rsid w:val="00CB21AD"/>
    <w:rsid w:val="00CB228A"/>
    <w:rsid w:val="00CB23A1"/>
    <w:rsid w:val="00CB2542"/>
    <w:rsid w:val="00CB2620"/>
    <w:rsid w:val="00CB26AC"/>
    <w:rsid w:val="00CB26C1"/>
    <w:rsid w:val="00CB27C5"/>
    <w:rsid w:val="00CB2D26"/>
    <w:rsid w:val="00CB2D8D"/>
    <w:rsid w:val="00CB2F62"/>
    <w:rsid w:val="00CB2FB4"/>
    <w:rsid w:val="00CB300D"/>
    <w:rsid w:val="00CB3268"/>
    <w:rsid w:val="00CB33CA"/>
    <w:rsid w:val="00CB342A"/>
    <w:rsid w:val="00CB3553"/>
    <w:rsid w:val="00CB3637"/>
    <w:rsid w:val="00CB376E"/>
    <w:rsid w:val="00CB37B2"/>
    <w:rsid w:val="00CB3AFC"/>
    <w:rsid w:val="00CB4002"/>
    <w:rsid w:val="00CB4147"/>
    <w:rsid w:val="00CB4153"/>
    <w:rsid w:val="00CB44E0"/>
    <w:rsid w:val="00CB45B8"/>
    <w:rsid w:val="00CB4720"/>
    <w:rsid w:val="00CB4861"/>
    <w:rsid w:val="00CB49FC"/>
    <w:rsid w:val="00CB4D00"/>
    <w:rsid w:val="00CB53BD"/>
    <w:rsid w:val="00CB5403"/>
    <w:rsid w:val="00CB54BF"/>
    <w:rsid w:val="00CB559D"/>
    <w:rsid w:val="00CB597E"/>
    <w:rsid w:val="00CB59CF"/>
    <w:rsid w:val="00CB5A7B"/>
    <w:rsid w:val="00CB5B1A"/>
    <w:rsid w:val="00CB5BF2"/>
    <w:rsid w:val="00CB5D47"/>
    <w:rsid w:val="00CB5DE1"/>
    <w:rsid w:val="00CB5F5A"/>
    <w:rsid w:val="00CB64A3"/>
    <w:rsid w:val="00CB660D"/>
    <w:rsid w:val="00CB670B"/>
    <w:rsid w:val="00CB6F89"/>
    <w:rsid w:val="00CB72EC"/>
    <w:rsid w:val="00CB74C9"/>
    <w:rsid w:val="00CB7552"/>
    <w:rsid w:val="00CB77FB"/>
    <w:rsid w:val="00CB7A72"/>
    <w:rsid w:val="00CB7C5C"/>
    <w:rsid w:val="00CB7F53"/>
    <w:rsid w:val="00CB7FE7"/>
    <w:rsid w:val="00CC0122"/>
    <w:rsid w:val="00CC0257"/>
    <w:rsid w:val="00CC04A0"/>
    <w:rsid w:val="00CC081D"/>
    <w:rsid w:val="00CC0909"/>
    <w:rsid w:val="00CC0D1A"/>
    <w:rsid w:val="00CC0D21"/>
    <w:rsid w:val="00CC0D68"/>
    <w:rsid w:val="00CC0DD8"/>
    <w:rsid w:val="00CC0F31"/>
    <w:rsid w:val="00CC139B"/>
    <w:rsid w:val="00CC181B"/>
    <w:rsid w:val="00CC1B6A"/>
    <w:rsid w:val="00CC1C01"/>
    <w:rsid w:val="00CC1E20"/>
    <w:rsid w:val="00CC1EC1"/>
    <w:rsid w:val="00CC1F10"/>
    <w:rsid w:val="00CC1F3F"/>
    <w:rsid w:val="00CC220B"/>
    <w:rsid w:val="00CC24B6"/>
    <w:rsid w:val="00CC27B0"/>
    <w:rsid w:val="00CC282F"/>
    <w:rsid w:val="00CC28B7"/>
    <w:rsid w:val="00CC2A59"/>
    <w:rsid w:val="00CC2C52"/>
    <w:rsid w:val="00CC2C7E"/>
    <w:rsid w:val="00CC2D9E"/>
    <w:rsid w:val="00CC2EC6"/>
    <w:rsid w:val="00CC2F22"/>
    <w:rsid w:val="00CC3129"/>
    <w:rsid w:val="00CC33EA"/>
    <w:rsid w:val="00CC34C3"/>
    <w:rsid w:val="00CC35DD"/>
    <w:rsid w:val="00CC397D"/>
    <w:rsid w:val="00CC3D54"/>
    <w:rsid w:val="00CC3F5E"/>
    <w:rsid w:val="00CC3FE1"/>
    <w:rsid w:val="00CC4131"/>
    <w:rsid w:val="00CC419E"/>
    <w:rsid w:val="00CC41A1"/>
    <w:rsid w:val="00CC4485"/>
    <w:rsid w:val="00CC4733"/>
    <w:rsid w:val="00CC4B5E"/>
    <w:rsid w:val="00CC4BB7"/>
    <w:rsid w:val="00CC4DE9"/>
    <w:rsid w:val="00CC52B2"/>
    <w:rsid w:val="00CC530C"/>
    <w:rsid w:val="00CC534B"/>
    <w:rsid w:val="00CC557E"/>
    <w:rsid w:val="00CC57FE"/>
    <w:rsid w:val="00CC594D"/>
    <w:rsid w:val="00CC5C43"/>
    <w:rsid w:val="00CC5CAF"/>
    <w:rsid w:val="00CC5E46"/>
    <w:rsid w:val="00CC5F9B"/>
    <w:rsid w:val="00CC60E7"/>
    <w:rsid w:val="00CC6164"/>
    <w:rsid w:val="00CC64EB"/>
    <w:rsid w:val="00CC657E"/>
    <w:rsid w:val="00CC6586"/>
    <w:rsid w:val="00CC67C7"/>
    <w:rsid w:val="00CC6AF2"/>
    <w:rsid w:val="00CC6EE8"/>
    <w:rsid w:val="00CC72E9"/>
    <w:rsid w:val="00CC7456"/>
    <w:rsid w:val="00CC74E9"/>
    <w:rsid w:val="00CC7886"/>
    <w:rsid w:val="00CC78C2"/>
    <w:rsid w:val="00CC797A"/>
    <w:rsid w:val="00CC7AF3"/>
    <w:rsid w:val="00CC7E72"/>
    <w:rsid w:val="00CC7FDA"/>
    <w:rsid w:val="00CC7FDC"/>
    <w:rsid w:val="00CD00B9"/>
    <w:rsid w:val="00CD00EA"/>
    <w:rsid w:val="00CD0115"/>
    <w:rsid w:val="00CD0188"/>
    <w:rsid w:val="00CD02AE"/>
    <w:rsid w:val="00CD05EE"/>
    <w:rsid w:val="00CD0716"/>
    <w:rsid w:val="00CD0718"/>
    <w:rsid w:val="00CD08BC"/>
    <w:rsid w:val="00CD0966"/>
    <w:rsid w:val="00CD09CA"/>
    <w:rsid w:val="00CD09DE"/>
    <w:rsid w:val="00CD0A3B"/>
    <w:rsid w:val="00CD0CA8"/>
    <w:rsid w:val="00CD0D31"/>
    <w:rsid w:val="00CD0EA3"/>
    <w:rsid w:val="00CD0EC5"/>
    <w:rsid w:val="00CD0ED4"/>
    <w:rsid w:val="00CD0F30"/>
    <w:rsid w:val="00CD1060"/>
    <w:rsid w:val="00CD10DB"/>
    <w:rsid w:val="00CD124A"/>
    <w:rsid w:val="00CD12B1"/>
    <w:rsid w:val="00CD12BF"/>
    <w:rsid w:val="00CD212B"/>
    <w:rsid w:val="00CD2280"/>
    <w:rsid w:val="00CD22AA"/>
    <w:rsid w:val="00CD2320"/>
    <w:rsid w:val="00CD237E"/>
    <w:rsid w:val="00CD262A"/>
    <w:rsid w:val="00CD29F1"/>
    <w:rsid w:val="00CD2A02"/>
    <w:rsid w:val="00CD2A4F"/>
    <w:rsid w:val="00CD2BA3"/>
    <w:rsid w:val="00CD2DBE"/>
    <w:rsid w:val="00CD2E39"/>
    <w:rsid w:val="00CD2E70"/>
    <w:rsid w:val="00CD327F"/>
    <w:rsid w:val="00CD32FE"/>
    <w:rsid w:val="00CD33B6"/>
    <w:rsid w:val="00CD3610"/>
    <w:rsid w:val="00CD36B1"/>
    <w:rsid w:val="00CD37C1"/>
    <w:rsid w:val="00CD3918"/>
    <w:rsid w:val="00CD3983"/>
    <w:rsid w:val="00CD39F3"/>
    <w:rsid w:val="00CD3BD9"/>
    <w:rsid w:val="00CD3D21"/>
    <w:rsid w:val="00CD3E4D"/>
    <w:rsid w:val="00CD3E5B"/>
    <w:rsid w:val="00CD41CA"/>
    <w:rsid w:val="00CD41CE"/>
    <w:rsid w:val="00CD4222"/>
    <w:rsid w:val="00CD43DF"/>
    <w:rsid w:val="00CD450D"/>
    <w:rsid w:val="00CD47A2"/>
    <w:rsid w:val="00CD47D2"/>
    <w:rsid w:val="00CD4813"/>
    <w:rsid w:val="00CD4928"/>
    <w:rsid w:val="00CD4CCD"/>
    <w:rsid w:val="00CD4EA3"/>
    <w:rsid w:val="00CD4EDB"/>
    <w:rsid w:val="00CD5101"/>
    <w:rsid w:val="00CD5249"/>
    <w:rsid w:val="00CD52F4"/>
    <w:rsid w:val="00CD545A"/>
    <w:rsid w:val="00CD5A10"/>
    <w:rsid w:val="00CD5CC6"/>
    <w:rsid w:val="00CD61CE"/>
    <w:rsid w:val="00CD61EE"/>
    <w:rsid w:val="00CD6305"/>
    <w:rsid w:val="00CD6787"/>
    <w:rsid w:val="00CD686D"/>
    <w:rsid w:val="00CD6986"/>
    <w:rsid w:val="00CD6D81"/>
    <w:rsid w:val="00CD6F4F"/>
    <w:rsid w:val="00CD7304"/>
    <w:rsid w:val="00CD7568"/>
    <w:rsid w:val="00CD768B"/>
    <w:rsid w:val="00CD7792"/>
    <w:rsid w:val="00CD7947"/>
    <w:rsid w:val="00CD79B0"/>
    <w:rsid w:val="00CD7A93"/>
    <w:rsid w:val="00CD7B7B"/>
    <w:rsid w:val="00CE006B"/>
    <w:rsid w:val="00CE0108"/>
    <w:rsid w:val="00CE0172"/>
    <w:rsid w:val="00CE0390"/>
    <w:rsid w:val="00CE03BA"/>
    <w:rsid w:val="00CE03CA"/>
    <w:rsid w:val="00CE04EA"/>
    <w:rsid w:val="00CE0688"/>
    <w:rsid w:val="00CE0BE8"/>
    <w:rsid w:val="00CE1184"/>
    <w:rsid w:val="00CE12F9"/>
    <w:rsid w:val="00CE13F0"/>
    <w:rsid w:val="00CE1718"/>
    <w:rsid w:val="00CE1AAC"/>
    <w:rsid w:val="00CE1C10"/>
    <w:rsid w:val="00CE1FF6"/>
    <w:rsid w:val="00CE2022"/>
    <w:rsid w:val="00CE210C"/>
    <w:rsid w:val="00CE21A7"/>
    <w:rsid w:val="00CE21BD"/>
    <w:rsid w:val="00CE228F"/>
    <w:rsid w:val="00CE22F1"/>
    <w:rsid w:val="00CE23AD"/>
    <w:rsid w:val="00CE23BB"/>
    <w:rsid w:val="00CE24EA"/>
    <w:rsid w:val="00CE25CA"/>
    <w:rsid w:val="00CE26B4"/>
    <w:rsid w:val="00CE275D"/>
    <w:rsid w:val="00CE2777"/>
    <w:rsid w:val="00CE28DD"/>
    <w:rsid w:val="00CE2917"/>
    <w:rsid w:val="00CE2A75"/>
    <w:rsid w:val="00CE2B2C"/>
    <w:rsid w:val="00CE3006"/>
    <w:rsid w:val="00CE3362"/>
    <w:rsid w:val="00CE3537"/>
    <w:rsid w:val="00CE36F0"/>
    <w:rsid w:val="00CE37B2"/>
    <w:rsid w:val="00CE39E3"/>
    <w:rsid w:val="00CE3A12"/>
    <w:rsid w:val="00CE3A41"/>
    <w:rsid w:val="00CE3BB5"/>
    <w:rsid w:val="00CE3C14"/>
    <w:rsid w:val="00CE3C54"/>
    <w:rsid w:val="00CE3D9A"/>
    <w:rsid w:val="00CE418C"/>
    <w:rsid w:val="00CE4243"/>
    <w:rsid w:val="00CE434F"/>
    <w:rsid w:val="00CE44FE"/>
    <w:rsid w:val="00CE4655"/>
    <w:rsid w:val="00CE4741"/>
    <w:rsid w:val="00CE47EA"/>
    <w:rsid w:val="00CE4881"/>
    <w:rsid w:val="00CE4909"/>
    <w:rsid w:val="00CE4B70"/>
    <w:rsid w:val="00CE4D5D"/>
    <w:rsid w:val="00CE4DEA"/>
    <w:rsid w:val="00CE4F15"/>
    <w:rsid w:val="00CE5043"/>
    <w:rsid w:val="00CE50F2"/>
    <w:rsid w:val="00CE5773"/>
    <w:rsid w:val="00CE59A6"/>
    <w:rsid w:val="00CE5AF2"/>
    <w:rsid w:val="00CE5BE1"/>
    <w:rsid w:val="00CE5BE9"/>
    <w:rsid w:val="00CE5D65"/>
    <w:rsid w:val="00CE5D8D"/>
    <w:rsid w:val="00CE5E8A"/>
    <w:rsid w:val="00CE6502"/>
    <w:rsid w:val="00CE66D0"/>
    <w:rsid w:val="00CE674E"/>
    <w:rsid w:val="00CE679B"/>
    <w:rsid w:val="00CE6804"/>
    <w:rsid w:val="00CE6812"/>
    <w:rsid w:val="00CE6AF0"/>
    <w:rsid w:val="00CE6B36"/>
    <w:rsid w:val="00CE6D4D"/>
    <w:rsid w:val="00CE6D7E"/>
    <w:rsid w:val="00CE6E06"/>
    <w:rsid w:val="00CE6E86"/>
    <w:rsid w:val="00CE6F84"/>
    <w:rsid w:val="00CE7318"/>
    <w:rsid w:val="00CE748B"/>
    <w:rsid w:val="00CE7556"/>
    <w:rsid w:val="00CE776C"/>
    <w:rsid w:val="00CE79AA"/>
    <w:rsid w:val="00CE7D65"/>
    <w:rsid w:val="00CF017D"/>
    <w:rsid w:val="00CF0208"/>
    <w:rsid w:val="00CF0C6F"/>
    <w:rsid w:val="00CF0D04"/>
    <w:rsid w:val="00CF0E6B"/>
    <w:rsid w:val="00CF0EA3"/>
    <w:rsid w:val="00CF0EF6"/>
    <w:rsid w:val="00CF0FAF"/>
    <w:rsid w:val="00CF1016"/>
    <w:rsid w:val="00CF104F"/>
    <w:rsid w:val="00CF108F"/>
    <w:rsid w:val="00CF1111"/>
    <w:rsid w:val="00CF131D"/>
    <w:rsid w:val="00CF1467"/>
    <w:rsid w:val="00CF1834"/>
    <w:rsid w:val="00CF1A3F"/>
    <w:rsid w:val="00CF1AC7"/>
    <w:rsid w:val="00CF1B7F"/>
    <w:rsid w:val="00CF1ECA"/>
    <w:rsid w:val="00CF2075"/>
    <w:rsid w:val="00CF23AB"/>
    <w:rsid w:val="00CF2406"/>
    <w:rsid w:val="00CF25D4"/>
    <w:rsid w:val="00CF278D"/>
    <w:rsid w:val="00CF295F"/>
    <w:rsid w:val="00CF29CF"/>
    <w:rsid w:val="00CF2B37"/>
    <w:rsid w:val="00CF2C44"/>
    <w:rsid w:val="00CF2E63"/>
    <w:rsid w:val="00CF2E6D"/>
    <w:rsid w:val="00CF2EA1"/>
    <w:rsid w:val="00CF31A2"/>
    <w:rsid w:val="00CF32F5"/>
    <w:rsid w:val="00CF3791"/>
    <w:rsid w:val="00CF3909"/>
    <w:rsid w:val="00CF394A"/>
    <w:rsid w:val="00CF3A27"/>
    <w:rsid w:val="00CF3BD9"/>
    <w:rsid w:val="00CF43BA"/>
    <w:rsid w:val="00CF441F"/>
    <w:rsid w:val="00CF44BC"/>
    <w:rsid w:val="00CF465B"/>
    <w:rsid w:val="00CF4747"/>
    <w:rsid w:val="00CF4D6D"/>
    <w:rsid w:val="00CF4DC4"/>
    <w:rsid w:val="00CF4FD0"/>
    <w:rsid w:val="00CF5291"/>
    <w:rsid w:val="00CF5416"/>
    <w:rsid w:val="00CF552C"/>
    <w:rsid w:val="00CF5538"/>
    <w:rsid w:val="00CF584C"/>
    <w:rsid w:val="00CF586D"/>
    <w:rsid w:val="00CF5BAC"/>
    <w:rsid w:val="00CF5BC5"/>
    <w:rsid w:val="00CF5D30"/>
    <w:rsid w:val="00CF5DBE"/>
    <w:rsid w:val="00CF5FE0"/>
    <w:rsid w:val="00CF62E6"/>
    <w:rsid w:val="00CF630D"/>
    <w:rsid w:val="00CF66E4"/>
    <w:rsid w:val="00CF6713"/>
    <w:rsid w:val="00CF67E9"/>
    <w:rsid w:val="00CF6A7A"/>
    <w:rsid w:val="00CF6D86"/>
    <w:rsid w:val="00CF6F95"/>
    <w:rsid w:val="00CF709D"/>
    <w:rsid w:val="00CF71F7"/>
    <w:rsid w:val="00CF734A"/>
    <w:rsid w:val="00CF737A"/>
    <w:rsid w:val="00CF73BB"/>
    <w:rsid w:val="00CF750A"/>
    <w:rsid w:val="00CF75B8"/>
    <w:rsid w:val="00CF76DC"/>
    <w:rsid w:val="00CF791D"/>
    <w:rsid w:val="00CF7A62"/>
    <w:rsid w:val="00CF7A87"/>
    <w:rsid w:val="00CF7D3C"/>
    <w:rsid w:val="00CF7E14"/>
    <w:rsid w:val="00CF7F13"/>
    <w:rsid w:val="00D00054"/>
    <w:rsid w:val="00D00150"/>
    <w:rsid w:val="00D00AE6"/>
    <w:rsid w:val="00D00B2C"/>
    <w:rsid w:val="00D00B5D"/>
    <w:rsid w:val="00D012AA"/>
    <w:rsid w:val="00D01404"/>
    <w:rsid w:val="00D01433"/>
    <w:rsid w:val="00D01748"/>
    <w:rsid w:val="00D01983"/>
    <w:rsid w:val="00D01AB6"/>
    <w:rsid w:val="00D01C83"/>
    <w:rsid w:val="00D01C8F"/>
    <w:rsid w:val="00D01D0B"/>
    <w:rsid w:val="00D021B0"/>
    <w:rsid w:val="00D021E6"/>
    <w:rsid w:val="00D02823"/>
    <w:rsid w:val="00D028C4"/>
    <w:rsid w:val="00D029EC"/>
    <w:rsid w:val="00D02E6A"/>
    <w:rsid w:val="00D030FF"/>
    <w:rsid w:val="00D03281"/>
    <w:rsid w:val="00D0329D"/>
    <w:rsid w:val="00D03439"/>
    <w:rsid w:val="00D03481"/>
    <w:rsid w:val="00D034FA"/>
    <w:rsid w:val="00D0356A"/>
    <w:rsid w:val="00D037DB"/>
    <w:rsid w:val="00D03933"/>
    <w:rsid w:val="00D0398C"/>
    <w:rsid w:val="00D03B98"/>
    <w:rsid w:val="00D03D25"/>
    <w:rsid w:val="00D03D78"/>
    <w:rsid w:val="00D03F1F"/>
    <w:rsid w:val="00D042CC"/>
    <w:rsid w:val="00D042FD"/>
    <w:rsid w:val="00D04308"/>
    <w:rsid w:val="00D04538"/>
    <w:rsid w:val="00D04656"/>
    <w:rsid w:val="00D04675"/>
    <w:rsid w:val="00D04794"/>
    <w:rsid w:val="00D04874"/>
    <w:rsid w:val="00D04905"/>
    <w:rsid w:val="00D049F5"/>
    <w:rsid w:val="00D04B30"/>
    <w:rsid w:val="00D04BA9"/>
    <w:rsid w:val="00D051E0"/>
    <w:rsid w:val="00D05379"/>
    <w:rsid w:val="00D053A1"/>
    <w:rsid w:val="00D05538"/>
    <w:rsid w:val="00D056C5"/>
    <w:rsid w:val="00D05766"/>
    <w:rsid w:val="00D057C9"/>
    <w:rsid w:val="00D058E3"/>
    <w:rsid w:val="00D059B7"/>
    <w:rsid w:val="00D05CA9"/>
    <w:rsid w:val="00D05D4A"/>
    <w:rsid w:val="00D05D89"/>
    <w:rsid w:val="00D061FC"/>
    <w:rsid w:val="00D0626A"/>
    <w:rsid w:val="00D062A3"/>
    <w:rsid w:val="00D06324"/>
    <w:rsid w:val="00D064E5"/>
    <w:rsid w:val="00D066B7"/>
    <w:rsid w:val="00D066FD"/>
    <w:rsid w:val="00D06AB2"/>
    <w:rsid w:val="00D06B3A"/>
    <w:rsid w:val="00D06EC1"/>
    <w:rsid w:val="00D070AE"/>
    <w:rsid w:val="00D07275"/>
    <w:rsid w:val="00D07C86"/>
    <w:rsid w:val="00D07F49"/>
    <w:rsid w:val="00D07F56"/>
    <w:rsid w:val="00D07F82"/>
    <w:rsid w:val="00D07F83"/>
    <w:rsid w:val="00D101FB"/>
    <w:rsid w:val="00D1076A"/>
    <w:rsid w:val="00D10873"/>
    <w:rsid w:val="00D10AF6"/>
    <w:rsid w:val="00D10CA8"/>
    <w:rsid w:val="00D10CD6"/>
    <w:rsid w:val="00D10F46"/>
    <w:rsid w:val="00D10FD3"/>
    <w:rsid w:val="00D113B1"/>
    <w:rsid w:val="00D11548"/>
    <w:rsid w:val="00D115FB"/>
    <w:rsid w:val="00D11B00"/>
    <w:rsid w:val="00D11F02"/>
    <w:rsid w:val="00D12001"/>
    <w:rsid w:val="00D1203C"/>
    <w:rsid w:val="00D1207A"/>
    <w:rsid w:val="00D121DD"/>
    <w:rsid w:val="00D1236A"/>
    <w:rsid w:val="00D123FA"/>
    <w:rsid w:val="00D12416"/>
    <w:rsid w:val="00D1241E"/>
    <w:rsid w:val="00D12421"/>
    <w:rsid w:val="00D124C6"/>
    <w:rsid w:val="00D12609"/>
    <w:rsid w:val="00D1286A"/>
    <w:rsid w:val="00D12A31"/>
    <w:rsid w:val="00D12E99"/>
    <w:rsid w:val="00D131BE"/>
    <w:rsid w:val="00D131D9"/>
    <w:rsid w:val="00D13568"/>
    <w:rsid w:val="00D136B3"/>
    <w:rsid w:val="00D1374C"/>
    <w:rsid w:val="00D1383C"/>
    <w:rsid w:val="00D13ABA"/>
    <w:rsid w:val="00D13B04"/>
    <w:rsid w:val="00D13B2F"/>
    <w:rsid w:val="00D13F9B"/>
    <w:rsid w:val="00D13FC9"/>
    <w:rsid w:val="00D13FDC"/>
    <w:rsid w:val="00D1400C"/>
    <w:rsid w:val="00D14068"/>
    <w:rsid w:val="00D14140"/>
    <w:rsid w:val="00D1437E"/>
    <w:rsid w:val="00D14380"/>
    <w:rsid w:val="00D1452C"/>
    <w:rsid w:val="00D1464D"/>
    <w:rsid w:val="00D146DA"/>
    <w:rsid w:val="00D14702"/>
    <w:rsid w:val="00D147EB"/>
    <w:rsid w:val="00D147EC"/>
    <w:rsid w:val="00D149BE"/>
    <w:rsid w:val="00D14C0F"/>
    <w:rsid w:val="00D14C81"/>
    <w:rsid w:val="00D14C85"/>
    <w:rsid w:val="00D14CFF"/>
    <w:rsid w:val="00D14D43"/>
    <w:rsid w:val="00D14E17"/>
    <w:rsid w:val="00D14EBB"/>
    <w:rsid w:val="00D14FCC"/>
    <w:rsid w:val="00D15223"/>
    <w:rsid w:val="00D15287"/>
    <w:rsid w:val="00D15330"/>
    <w:rsid w:val="00D1585C"/>
    <w:rsid w:val="00D1598E"/>
    <w:rsid w:val="00D159FC"/>
    <w:rsid w:val="00D15C29"/>
    <w:rsid w:val="00D15C8B"/>
    <w:rsid w:val="00D15FA4"/>
    <w:rsid w:val="00D16473"/>
    <w:rsid w:val="00D16808"/>
    <w:rsid w:val="00D16880"/>
    <w:rsid w:val="00D16ABF"/>
    <w:rsid w:val="00D16C6F"/>
    <w:rsid w:val="00D16E20"/>
    <w:rsid w:val="00D16EB3"/>
    <w:rsid w:val="00D170ED"/>
    <w:rsid w:val="00D17426"/>
    <w:rsid w:val="00D178B7"/>
    <w:rsid w:val="00D17960"/>
    <w:rsid w:val="00D17987"/>
    <w:rsid w:val="00D179AF"/>
    <w:rsid w:val="00D17A1D"/>
    <w:rsid w:val="00D17AF0"/>
    <w:rsid w:val="00D17BD5"/>
    <w:rsid w:val="00D17D56"/>
    <w:rsid w:val="00D20086"/>
    <w:rsid w:val="00D2014E"/>
    <w:rsid w:val="00D2025D"/>
    <w:rsid w:val="00D204E6"/>
    <w:rsid w:val="00D2067E"/>
    <w:rsid w:val="00D20730"/>
    <w:rsid w:val="00D207ED"/>
    <w:rsid w:val="00D20BA5"/>
    <w:rsid w:val="00D20DEC"/>
    <w:rsid w:val="00D20E67"/>
    <w:rsid w:val="00D20EFA"/>
    <w:rsid w:val="00D2137E"/>
    <w:rsid w:val="00D21440"/>
    <w:rsid w:val="00D21441"/>
    <w:rsid w:val="00D2152C"/>
    <w:rsid w:val="00D21585"/>
    <w:rsid w:val="00D215CA"/>
    <w:rsid w:val="00D2163F"/>
    <w:rsid w:val="00D21683"/>
    <w:rsid w:val="00D21892"/>
    <w:rsid w:val="00D21C7C"/>
    <w:rsid w:val="00D21D60"/>
    <w:rsid w:val="00D21EBF"/>
    <w:rsid w:val="00D21F28"/>
    <w:rsid w:val="00D21F56"/>
    <w:rsid w:val="00D22109"/>
    <w:rsid w:val="00D22173"/>
    <w:rsid w:val="00D22193"/>
    <w:rsid w:val="00D221BE"/>
    <w:rsid w:val="00D22320"/>
    <w:rsid w:val="00D2243D"/>
    <w:rsid w:val="00D224B6"/>
    <w:rsid w:val="00D2254D"/>
    <w:rsid w:val="00D229C9"/>
    <w:rsid w:val="00D229EE"/>
    <w:rsid w:val="00D22C47"/>
    <w:rsid w:val="00D22C64"/>
    <w:rsid w:val="00D22CD1"/>
    <w:rsid w:val="00D22D63"/>
    <w:rsid w:val="00D22E9F"/>
    <w:rsid w:val="00D22EB9"/>
    <w:rsid w:val="00D231C2"/>
    <w:rsid w:val="00D2363C"/>
    <w:rsid w:val="00D236AA"/>
    <w:rsid w:val="00D238B4"/>
    <w:rsid w:val="00D23AC2"/>
    <w:rsid w:val="00D240CC"/>
    <w:rsid w:val="00D240F7"/>
    <w:rsid w:val="00D24447"/>
    <w:rsid w:val="00D245EB"/>
    <w:rsid w:val="00D24721"/>
    <w:rsid w:val="00D248D4"/>
    <w:rsid w:val="00D24A6D"/>
    <w:rsid w:val="00D24A88"/>
    <w:rsid w:val="00D24E1D"/>
    <w:rsid w:val="00D2508A"/>
    <w:rsid w:val="00D2515A"/>
    <w:rsid w:val="00D252E3"/>
    <w:rsid w:val="00D254E2"/>
    <w:rsid w:val="00D256F3"/>
    <w:rsid w:val="00D25AE9"/>
    <w:rsid w:val="00D25EB7"/>
    <w:rsid w:val="00D25F9B"/>
    <w:rsid w:val="00D25FB8"/>
    <w:rsid w:val="00D26042"/>
    <w:rsid w:val="00D2607F"/>
    <w:rsid w:val="00D261B3"/>
    <w:rsid w:val="00D261E4"/>
    <w:rsid w:val="00D2632C"/>
    <w:rsid w:val="00D263FC"/>
    <w:rsid w:val="00D2640C"/>
    <w:rsid w:val="00D26479"/>
    <w:rsid w:val="00D265AD"/>
    <w:rsid w:val="00D26791"/>
    <w:rsid w:val="00D26E00"/>
    <w:rsid w:val="00D26FBA"/>
    <w:rsid w:val="00D2715C"/>
    <w:rsid w:val="00D27581"/>
    <w:rsid w:val="00D2761C"/>
    <w:rsid w:val="00D27698"/>
    <w:rsid w:val="00D27741"/>
    <w:rsid w:val="00D2787B"/>
    <w:rsid w:val="00D279FC"/>
    <w:rsid w:val="00D27C0A"/>
    <w:rsid w:val="00D27F99"/>
    <w:rsid w:val="00D300D5"/>
    <w:rsid w:val="00D30134"/>
    <w:rsid w:val="00D30215"/>
    <w:rsid w:val="00D304B1"/>
    <w:rsid w:val="00D304C0"/>
    <w:rsid w:val="00D305EE"/>
    <w:rsid w:val="00D30848"/>
    <w:rsid w:val="00D30986"/>
    <w:rsid w:val="00D30A4F"/>
    <w:rsid w:val="00D30AEC"/>
    <w:rsid w:val="00D30DC1"/>
    <w:rsid w:val="00D30F26"/>
    <w:rsid w:val="00D3119B"/>
    <w:rsid w:val="00D31362"/>
    <w:rsid w:val="00D316DF"/>
    <w:rsid w:val="00D31AF5"/>
    <w:rsid w:val="00D31C51"/>
    <w:rsid w:val="00D31D9D"/>
    <w:rsid w:val="00D320C6"/>
    <w:rsid w:val="00D322E6"/>
    <w:rsid w:val="00D324EA"/>
    <w:rsid w:val="00D32599"/>
    <w:rsid w:val="00D328AB"/>
    <w:rsid w:val="00D329C5"/>
    <w:rsid w:val="00D32AE7"/>
    <w:rsid w:val="00D32BAF"/>
    <w:rsid w:val="00D32CBB"/>
    <w:rsid w:val="00D32D22"/>
    <w:rsid w:val="00D32E08"/>
    <w:rsid w:val="00D32EAB"/>
    <w:rsid w:val="00D32EC9"/>
    <w:rsid w:val="00D32FF1"/>
    <w:rsid w:val="00D3316A"/>
    <w:rsid w:val="00D3325C"/>
    <w:rsid w:val="00D333C1"/>
    <w:rsid w:val="00D333FD"/>
    <w:rsid w:val="00D33982"/>
    <w:rsid w:val="00D33B5F"/>
    <w:rsid w:val="00D33BF8"/>
    <w:rsid w:val="00D340AE"/>
    <w:rsid w:val="00D34193"/>
    <w:rsid w:val="00D3431C"/>
    <w:rsid w:val="00D344A9"/>
    <w:rsid w:val="00D3465E"/>
    <w:rsid w:val="00D34667"/>
    <w:rsid w:val="00D34775"/>
    <w:rsid w:val="00D34780"/>
    <w:rsid w:val="00D347CE"/>
    <w:rsid w:val="00D347D0"/>
    <w:rsid w:val="00D34C84"/>
    <w:rsid w:val="00D34CC0"/>
    <w:rsid w:val="00D35085"/>
    <w:rsid w:val="00D352DE"/>
    <w:rsid w:val="00D352ED"/>
    <w:rsid w:val="00D3580E"/>
    <w:rsid w:val="00D35843"/>
    <w:rsid w:val="00D358F2"/>
    <w:rsid w:val="00D35A98"/>
    <w:rsid w:val="00D35B06"/>
    <w:rsid w:val="00D35B31"/>
    <w:rsid w:val="00D35B6B"/>
    <w:rsid w:val="00D35D45"/>
    <w:rsid w:val="00D35E0F"/>
    <w:rsid w:val="00D35E53"/>
    <w:rsid w:val="00D35ED2"/>
    <w:rsid w:val="00D360ED"/>
    <w:rsid w:val="00D361E3"/>
    <w:rsid w:val="00D361F9"/>
    <w:rsid w:val="00D36249"/>
    <w:rsid w:val="00D36276"/>
    <w:rsid w:val="00D36482"/>
    <w:rsid w:val="00D367E0"/>
    <w:rsid w:val="00D367FF"/>
    <w:rsid w:val="00D36886"/>
    <w:rsid w:val="00D3693B"/>
    <w:rsid w:val="00D36E65"/>
    <w:rsid w:val="00D36F24"/>
    <w:rsid w:val="00D37168"/>
    <w:rsid w:val="00D37270"/>
    <w:rsid w:val="00D37563"/>
    <w:rsid w:val="00D37685"/>
    <w:rsid w:val="00D37803"/>
    <w:rsid w:val="00D37862"/>
    <w:rsid w:val="00D379C4"/>
    <w:rsid w:val="00D37B12"/>
    <w:rsid w:val="00D37B85"/>
    <w:rsid w:val="00D37BCD"/>
    <w:rsid w:val="00D37DBC"/>
    <w:rsid w:val="00D37E6A"/>
    <w:rsid w:val="00D37F23"/>
    <w:rsid w:val="00D39B3E"/>
    <w:rsid w:val="00D40168"/>
    <w:rsid w:val="00D40170"/>
    <w:rsid w:val="00D401E1"/>
    <w:rsid w:val="00D40509"/>
    <w:rsid w:val="00D40521"/>
    <w:rsid w:val="00D4059B"/>
    <w:rsid w:val="00D4062B"/>
    <w:rsid w:val="00D408A4"/>
    <w:rsid w:val="00D408B4"/>
    <w:rsid w:val="00D408DF"/>
    <w:rsid w:val="00D408F1"/>
    <w:rsid w:val="00D40A7F"/>
    <w:rsid w:val="00D40B0A"/>
    <w:rsid w:val="00D40C98"/>
    <w:rsid w:val="00D40D7A"/>
    <w:rsid w:val="00D40DDB"/>
    <w:rsid w:val="00D40E83"/>
    <w:rsid w:val="00D41105"/>
    <w:rsid w:val="00D41189"/>
    <w:rsid w:val="00D41373"/>
    <w:rsid w:val="00D414B3"/>
    <w:rsid w:val="00D41755"/>
    <w:rsid w:val="00D4176A"/>
    <w:rsid w:val="00D4185E"/>
    <w:rsid w:val="00D41A93"/>
    <w:rsid w:val="00D41CDB"/>
    <w:rsid w:val="00D41E5A"/>
    <w:rsid w:val="00D41EF9"/>
    <w:rsid w:val="00D42280"/>
    <w:rsid w:val="00D4235B"/>
    <w:rsid w:val="00D423B1"/>
    <w:rsid w:val="00D4250A"/>
    <w:rsid w:val="00D42594"/>
    <w:rsid w:val="00D426AA"/>
    <w:rsid w:val="00D426C2"/>
    <w:rsid w:val="00D427FA"/>
    <w:rsid w:val="00D429BB"/>
    <w:rsid w:val="00D42A4D"/>
    <w:rsid w:val="00D42ABE"/>
    <w:rsid w:val="00D42E91"/>
    <w:rsid w:val="00D4337F"/>
    <w:rsid w:val="00D43400"/>
    <w:rsid w:val="00D4341C"/>
    <w:rsid w:val="00D434BD"/>
    <w:rsid w:val="00D435CB"/>
    <w:rsid w:val="00D43650"/>
    <w:rsid w:val="00D437D4"/>
    <w:rsid w:val="00D43895"/>
    <w:rsid w:val="00D43B45"/>
    <w:rsid w:val="00D43B5B"/>
    <w:rsid w:val="00D43D25"/>
    <w:rsid w:val="00D43E56"/>
    <w:rsid w:val="00D44196"/>
    <w:rsid w:val="00D441CC"/>
    <w:rsid w:val="00D44513"/>
    <w:rsid w:val="00D44817"/>
    <w:rsid w:val="00D44CAE"/>
    <w:rsid w:val="00D44CC7"/>
    <w:rsid w:val="00D44F5D"/>
    <w:rsid w:val="00D44FD5"/>
    <w:rsid w:val="00D4514A"/>
    <w:rsid w:val="00D456A9"/>
    <w:rsid w:val="00D458CC"/>
    <w:rsid w:val="00D459E6"/>
    <w:rsid w:val="00D45B56"/>
    <w:rsid w:val="00D45CE7"/>
    <w:rsid w:val="00D45D94"/>
    <w:rsid w:val="00D45EE1"/>
    <w:rsid w:val="00D4600A"/>
    <w:rsid w:val="00D46366"/>
    <w:rsid w:val="00D46432"/>
    <w:rsid w:val="00D4660D"/>
    <w:rsid w:val="00D46AC7"/>
    <w:rsid w:val="00D46CDB"/>
    <w:rsid w:val="00D46D07"/>
    <w:rsid w:val="00D47212"/>
    <w:rsid w:val="00D47475"/>
    <w:rsid w:val="00D475DB"/>
    <w:rsid w:val="00D47613"/>
    <w:rsid w:val="00D47632"/>
    <w:rsid w:val="00D4765C"/>
    <w:rsid w:val="00D47B98"/>
    <w:rsid w:val="00D47C39"/>
    <w:rsid w:val="00D47C4C"/>
    <w:rsid w:val="00D50887"/>
    <w:rsid w:val="00D5095B"/>
    <w:rsid w:val="00D509DD"/>
    <w:rsid w:val="00D509F3"/>
    <w:rsid w:val="00D50A05"/>
    <w:rsid w:val="00D50C7B"/>
    <w:rsid w:val="00D50DD2"/>
    <w:rsid w:val="00D5109B"/>
    <w:rsid w:val="00D51308"/>
    <w:rsid w:val="00D5140D"/>
    <w:rsid w:val="00D518EA"/>
    <w:rsid w:val="00D51BD1"/>
    <w:rsid w:val="00D51DA4"/>
    <w:rsid w:val="00D51DBF"/>
    <w:rsid w:val="00D51EF1"/>
    <w:rsid w:val="00D522D6"/>
    <w:rsid w:val="00D523AB"/>
    <w:rsid w:val="00D524C8"/>
    <w:rsid w:val="00D5252C"/>
    <w:rsid w:val="00D52CA7"/>
    <w:rsid w:val="00D531F9"/>
    <w:rsid w:val="00D53409"/>
    <w:rsid w:val="00D53469"/>
    <w:rsid w:val="00D53605"/>
    <w:rsid w:val="00D537D4"/>
    <w:rsid w:val="00D538A1"/>
    <w:rsid w:val="00D53BA3"/>
    <w:rsid w:val="00D53BAD"/>
    <w:rsid w:val="00D53C15"/>
    <w:rsid w:val="00D53D8D"/>
    <w:rsid w:val="00D541D6"/>
    <w:rsid w:val="00D5426F"/>
    <w:rsid w:val="00D54383"/>
    <w:rsid w:val="00D54665"/>
    <w:rsid w:val="00D54889"/>
    <w:rsid w:val="00D54B67"/>
    <w:rsid w:val="00D54B88"/>
    <w:rsid w:val="00D54F0B"/>
    <w:rsid w:val="00D55022"/>
    <w:rsid w:val="00D5517D"/>
    <w:rsid w:val="00D5558B"/>
    <w:rsid w:val="00D556CF"/>
    <w:rsid w:val="00D55797"/>
    <w:rsid w:val="00D5584B"/>
    <w:rsid w:val="00D558D6"/>
    <w:rsid w:val="00D55AA4"/>
    <w:rsid w:val="00D55AFB"/>
    <w:rsid w:val="00D55E38"/>
    <w:rsid w:val="00D5604A"/>
    <w:rsid w:val="00D56296"/>
    <w:rsid w:val="00D564B9"/>
    <w:rsid w:val="00D56DCC"/>
    <w:rsid w:val="00D5710B"/>
    <w:rsid w:val="00D57139"/>
    <w:rsid w:val="00D571F0"/>
    <w:rsid w:val="00D572B7"/>
    <w:rsid w:val="00D5736D"/>
    <w:rsid w:val="00D57437"/>
    <w:rsid w:val="00D5744C"/>
    <w:rsid w:val="00D57A9D"/>
    <w:rsid w:val="00D57B0B"/>
    <w:rsid w:val="00D57B15"/>
    <w:rsid w:val="00D57B6F"/>
    <w:rsid w:val="00D57DE9"/>
    <w:rsid w:val="00D57F2E"/>
    <w:rsid w:val="00D6005F"/>
    <w:rsid w:val="00D600DA"/>
    <w:rsid w:val="00D602B1"/>
    <w:rsid w:val="00D60388"/>
    <w:rsid w:val="00D60441"/>
    <w:rsid w:val="00D605FF"/>
    <w:rsid w:val="00D60756"/>
    <w:rsid w:val="00D607FA"/>
    <w:rsid w:val="00D60916"/>
    <w:rsid w:val="00D60B7D"/>
    <w:rsid w:val="00D60D3F"/>
    <w:rsid w:val="00D60D97"/>
    <w:rsid w:val="00D60E25"/>
    <w:rsid w:val="00D61011"/>
    <w:rsid w:val="00D6107B"/>
    <w:rsid w:val="00D610D3"/>
    <w:rsid w:val="00D61432"/>
    <w:rsid w:val="00D614EB"/>
    <w:rsid w:val="00D616AF"/>
    <w:rsid w:val="00D6175E"/>
    <w:rsid w:val="00D61BB1"/>
    <w:rsid w:val="00D61CC3"/>
    <w:rsid w:val="00D61CEC"/>
    <w:rsid w:val="00D61D01"/>
    <w:rsid w:val="00D61D2B"/>
    <w:rsid w:val="00D62330"/>
    <w:rsid w:val="00D624B6"/>
    <w:rsid w:val="00D624E2"/>
    <w:rsid w:val="00D62BD3"/>
    <w:rsid w:val="00D62CB9"/>
    <w:rsid w:val="00D62F3B"/>
    <w:rsid w:val="00D63055"/>
    <w:rsid w:val="00D6330B"/>
    <w:rsid w:val="00D63336"/>
    <w:rsid w:val="00D63682"/>
    <w:rsid w:val="00D637C6"/>
    <w:rsid w:val="00D637F2"/>
    <w:rsid w:val="00D63AFA"/>
    <w:rsid w:val="00D63BCF"/>
    <w:rsid w:val="00D63D07"/>
    <w:rsid w:val="00D63D26"/>
    <w:rsid w:val="00D63D6E"/>
    <w:rsid w:val="00D64084"/>
    <w:rsid w:val="00D641FA"/>
    <w:rsid w:val="00D64335"/>
    <w:rsid w:val="00D6462A"/>
    <w:rsid w:val="00D64816"/>
    <w:rsid w:val="00D64E6D"/>
    <w:rsid w:val="00D651C3"/>
    <w:rsid w:val="00D65B03"/>
    <w:rsid w:val="00D65B4A"/>
    <w:rsid w:val="00D65D34"/>
    <w:rsid w:val="00D65D99"/>
    <w:rsid w:val="00D660C8"/>
    <w:rsid w:val="00D662CE"/>
    <w:rsid w:val="00D6637E"/>
    <w:rsid w:val="00D663E6"/>
    <w:rsid w:val="00D6656E"/>
    <w:rsid w:val="00D666CF"/>
    <w:rsid w:val="00D668A9"/>
    <w:rsid w:val="00D66926"/>
    <w:rsid w:val="00D66C0D"/>
    <w:rsid w:val="00D66D50"/>
    <w:rsid w:val="00D66EDA"/>
    <w:rsid w:val="00D6706E"/>
    <w:rsid w:val="00D67309"/>
    <w:rsid w:val="00D67620"/>
    <w:rsid w:val="00D6779E"/>
    <w:rsid w:val="00D678D5"/>
    <w:rsid w:val="00D67A64"/>
    <w:rsid w:val="00D67AE1"/>
    <w:rsid w:val="00D7008E"/>
    <w:rsid w:val="00D701A5"/>
    <w:rsid w:val="00D703A5"/>
    <w:rsid w:val="00D7040B"/>
    <w:rsid w:val="00D70462"/>
    <w:rsid w:val="00D70623"/>
    <w:rsid w:val="00D709CA"/>
    <w:rsid w:val="00D70DA6"/>
    <w:rsid w:val="00D70E24"/>
    <w:rsid w:val="00D70E43"/>
    <w:rsid w:val="00D70F07"/>
    <w:rsid w:val="00D70F3C"/>
    <w:rsid w:val="00D70FBA"/>
    <w:rsid w:val="00D712C4"/>
    <w:rsid w:val="00D71369"/>
    <w:rsid w:val="00D713F9"/>
    <w:rsid w:val="00D7154C"/>
    <w:rsid w:val="00D71563"/>
    <w:rsid w:val="00D7166B"/>
    <w:rsid w:val="00D71893"/>
    <w:rsid w:val="00D71964"/>
    <w:rsid w:val="00D71B6A"/>
    <w:rsid w:val="00D71C7B"/>
    <w:rsid w:val="00D72067"/>
    <w:rsid w:val="00D720F9"/>
    <w:rsid w:val="00D72831"/>
    <w:rsid w:val="00D72869"/>
    <w:rsid w:val="00D72934"/>
    <w:rsid w:val="00D72973"/>
    <w:rsid w:val="00D72B61"/>
    <w:rsid w:val="00D72C43"/>
    <w:rsid w:val="00D72DE3"/>
    <w:rsid w:val="00D730B4"/>
    <w:rsid w:val="00D730CF"/>
    <w:rsid w:val="00D730FE"/>
    <w:rsid w:val="00D732F8"/>
    <w:rsid w:val="00D73420"/>
    <w:rsid w:val="00D7381A"/>
    <w:rsid w:val="00D73A97"/>
    <w:rsid w:val="00D74116"/>
    <w:rsid w:val="00D74164"/>
    <w:rsid w:val="00D74252"/>
    <w:rsid w:val="00D744CE"/>
    <w:rsid w:val="00D749C8"/>
    <w:rsid w:val="00D74A92"/>
    <w:rsid w:val="00D74C4C"/>
    <w:rsid w:val="00D74F37"/>
    <w:rsid w:val="00D750D0"/>
    <w:rsid w:val="00D7525C"/>
    <w:rsid w:val="00D75720"/>
    <w:rsid w:val="00D759BA"/>
    <w:rsid w:val="00D75B67"/>
    <w:rsid w:val="00D75C57"/>
    <w:rsid w:val="00D75E23"/>
    <w:rsid w:val="00D7644A"/>
    <w:rsid w:val="00D76464"/>
    <w:rsid w:val="00D764FD"/>
    <w:rsid w:val="00D76E3D"/>
    <w:rsid w:val="00D76EA7"/>
    <w:rsid w:val="00D76F96"/>
    <w:rsid w:val="00D76FA5"/>
    <w:rsid w:val="00D77029"/>
    <w:rsid w:val="00D770FA"/>
    <w:rsid w:val="00D77124"/>
    <w:rsid w:val="00D77129"/>
    <w:rsid w:val="00D774A4"/>
    <w:rsid w:val="00D7792D"/>
    <w:rsid w:val="00D7797B"/>
    <w:rsid w:val="00D779C9"/>
    <w:rsid w:val="00D779D3"/>
    <w:rsid w:val="00D779F7"/>
    <w:rsid w:val="00D77EFA"/>
    <w:rsid w:val="00D77FA5"/>
    <w:rsid w:val="00D800E8"/>
    <w:rsid w:val="00D80116"/>
    <w:rsid w:val="00D801C6"/>
    <w:rsid w:val="00D801D9"/>
    <w:rsid w:val="00D80205"/>
    <w:rsid w:val="00D80296"/>
    <w:rsid w:val="00D8043E"/>
    <w:rsid w:val="00D805AB"/>
    <w:rsid w:val="00D806E1"/>
    <w:rsid w:val="00D80770"/>
    <w:rsid w:val="00D80C3A"/>
    <w:rsid w:val="00D80FE7"/>
    <w:rsid w:val="00D811E3"/>
    <w:rsid w:val="00D811F7"/>
    <w:rsid w:val="00D812EE"/>
    <w:rsid w:val="00D818D8"/>
    <w:rsid w:val="00D8197E"/>
    <w:rsid w:val="00D819AF"/>
    <w:rsid w:val="00D81BA7"/>
    <w:rsid w:val="00D81CD1"/>
    <w:rsid w:val="00D81D90"/>
    <w:rsid w:val="00D81F3E"/>
    <w:rsid w:val="00D820CC"/>
    <w:rsid w:val="00D821D6"/>
    <w:rsid w:val="00D8230A"/>
    <w:rsid w:val="00D82397"/>
    <w:rsid w:val="00D82405"/>
    <w:rsid w:val="00D82539"/>
    <w:rsid w:val="00D825C7"/>
    <w:rsid w:val="00D82613"/>
    <w:rsid w:val="00D826DB"/>
    <w:rsid w:val="00D826E4"/>
    <w:rsid w:val="00D82960"/>
    <w:rsid w:val="00D82CF5"/>
    <w:rsid w:val="00D82ED3"/>
    <w:rsid w:val="00D8302A"/>
    <w:rsid w:val="00D830A1"/>
    <w:rsid w:val="00D832BB"/>
    <w:rsid w:val="00D836C4"/>
    <w:rsid w:val="00D83881"/>
    <w:rsid w:val="00D838E2"/>
    <w:rsid w:val="00D83A81"/>
    <w:rsid w:val="00D83E35"/>
    <w:rsid w:val="00D83F30"/>
    <w:rsid w:val="00D83F8F"/>
    <w:rsid w:val="00D84196"/>
    <w:rsid w:val="00D8422F"/>
    <w:rsid w:val="00D845E2"/>
    <w:rsid w:val="00D84627"/>
    <w:rsid w:val="00D8492F"/>
    <w:rsid w:val="00D84D49"/>
    <w:rsid w:val="00D84DB2"/>
    <w:rsid w:val="00D84E3A"/>
    <w:rsid w:val="00D8524F"/>
    <w:rsid w:val="00D85328"/>
    <w:rsid w:val="00D853D4"/>
    <w:rsid w:val="00D85A2F"/>
    <w:rsid w:val="00D85E00"/>
    <w:rsid w:val="00D85E21"/>
    <w:rsid w:val="00D86456"/>
    <w:rsid w:val="00D86943"/>
    <w:rsid w:val="00D86A3D"/>
    <w:rsid w:val="00D86AD3"/>
    <w:rsid w:val="00D86BC9"/>
    <w:rsid w:val="00D86E1B"/>
    <w:rsid w:val="00D86EE8"/>
    <w:rsid w:val="00D87049"/>
    <w:rsid w:val="00D87069"/>
    <w:rsid w:val="00D870BB"/>
    <w:rsid w:val="00D8766A"/>
    <w:rsid w:val="00D87679"/>
    <w:rsid w:val="00D8780D"/>
    <w:rsid w:val="00D87ACA"/>
    <w:rsid w:val="00D87CBD"/>
    <w:rsid w:val="00D901B3"/>
    <w:rsid w:val="00D90450"/>
    <w:rsid w:val="00D904A5"/>
    <w:rsid w:val="00D90711"/>
    <w:rsid w:val="00D908AF"/>
    <w:rsid w:val="00D90964"/>
    <w:rsid w:val="00D909F1"/>
    <w:rsid w:val="00D90E2F"/>
    <w:rsid w:val="00D91001"/>
    <w:rsid w:val="00D91184"/>
    <w:rsid w:val="00D91302"/>
    <w:rsid w:val="00D91603"/>
    <w:rsid w:val="00D9170E"/>
    <w:rsid w:val="00D91745"/>
    <w:rsid w:val="00D9174A"/>
    <w:rsid w:val="00D917B5"/>
    <w:rsid w:val="00D917E8"/>
    <w:rsid w:val="00D91826"/>
    <w:rsid w:val="00D91E92"/>
    <w:rsid w:val="00D92213"/>
    <w:rsid w:val="00D9232E"/>
    <w:rsid w:val="00D92538"/>
    <w:rsid w:val="00D9268D"/>
    <w:rsid w:val="00D9278D"/>
    <w:rsid w:val="00D92AB4"/>
    <w:rsid w:val="00D92AD7"/>
    <w:rsid w:val="00D92BF2"/>
    <w:rsid w:val="00D92C6C"/>
    <w:rsid w:val="00D92FAA"/>
    <w:rsid w:val="00D930E5"/>
    <w:rsid w:val="00D93221"/>
    <w:rsid w:val="00D9388B"/>
    <w:rsid w:val="00D93A8B"/>
    <w:rsid w:val="00D93B91"/>
    <w:rsid w:val="00D93C10"/>
    <w:rsid w:val="00D93D1C"/>
    <w:rsid w:val="00D9410F"/>
    <w:rsid w:val="00D9417E"/>
    <w:rsid w:val="00D941A2"/>
    <w:rsid w:val="00D944CC"/>
    <w:rsid w:val="00D94AFD"/>
    <w:rsid w:val="00D94B5A"/>
    <w:rsid w:val="00D95161"/>
    <w:rsid w:val="00D95239"/>
    <w:rsid w:val="00D952A2"/>
    <w:rsid w:val="00D952DE"/>
    <w:rsid w:val="00D95464"/>
    <w:rsid w:val="00D954CE"/>
    <w:rsid w:val="00D9555C"/>
    <w:rsid w:val="00D95590"/>
    <w:rsid w:val="00D95614"/>
    <w:rsid w:val="00D9561C"/>
    <w:rsid w:val="00D9569A"/>
    <w:rsid w:val="00D956CD"/>
    <w:rsid w:val="00D957E9"/>
    <w:rsid w:val="00D959E6"/>
    <w:rsid w:val="00D95B73"/>
    <w:rsid w:val="00D95B7A"/>
    <w:rsid w:val="00D95C6D"/>
    <w:rsid w:val="00D95CF8"/>
    <w:rsid w:val="00D96496"/>
    <w:rsid w:val="00D9651A"/>
    <w:rsid w:val="00D9665F"/>
    <w:rsid w:val="00D966C1"/>
    <w:rsid w:val="00D967E4"/>
    <w:rsid w:val="00D96C85"/>
    <w:rsid w:val="00D96CF3"/>
    <w:rsid w:val="00D96D02"/>
    <w:rsid w:val="00D97391"/>
    <w:rsid w:val="00D9761E"/>
    <w:rsid w:val="00D97635"/>
    <w:rsid w:val="00D978DF"/>
    <w:rsid w:val="00D97A8E"/>
    <w:rsid w:val="00D97B50"/>
    <w:rsid w:val="00D97D27"/>
    <w:rsid w:val="00DA0334"/>
    <w:rsid w:val="00DA0510"/>
    <w:rsid w:val="00DA05BD"/>
    <w:rsid w:val="00DA05DB"/>
    <w:rsid w:val="00DA0773"/>
    <w:rsid w:val="00DA097E"/>
    <w:rsid w:val="00DA098A"/>
    <w:rsid w:val="00DA0A83"/>
    <w:rsid w:val="00DA0E17"/>
    <w:rsid w:val="00DA0F4F"/>
    <w:rsid w:val="00DA1117"/>
    <w:rsid w:val="00DA18FD"/>
    <w:rsid w:val="00DA1B50"/>
    <w:rsid w:val="00DA2071"/>
    <w:rsid w:val="00DA2136"/>
    <w:rsid w:val="00DA2308"/>
    <w:rsid w:val="00DA23B2"/>
    <w:rsid w:val="00DA23CF"/>
    <w:rsid w:val="00DA2504"/>
    <w:rsid w:val="00DA2538"/>
    <w:rsid w:val="00DA287F"/>
    <w:rsid w:val="00DA2F09"/>
    <w:rsid w:val="00DA2FEF"/>
    <w:rsid w:val="00DA3025"/>
    <w:rsid w:val="00DA31E4"/>
    <w:rsid w:val="00DA32F6"/>
    <w:rsid w:val="00DA36A3"/>
    <w:rsid w:val="00DA3996"/>
    <w:rsid w:val="00DA3A14"/>
    <w:rsid w:val="00DA3A9A"/>
    <w:rsid w:val="00DA3B93"/>
    <w:rsid w:val="00DA3CD2"/>
    <w:rsid w:val="00DA3D1D"/>
    <w:rsid w:val="00DA3F64"/>
    <w:rsid w:val="00DA3F7D"/>
    <w:rsid w:val="00DA417D"/>
    <w:rsid w:val="00DA42AF"/>
    <w:rsid w:val="00DA42BF"/>
    <w:rsid w:val="00DA4432"/>
    <w:rsid w:val="00DA4611"/>
    <w:rsid w:val="00DA4699"/>
    <w:rsid w:val="00DA4DDF"/>
    <w:rsid w:val="00DA4F6B"/>
    <w:rsid w:val="00DA523A"/>
    <w:rsid w:val="00DA53A6"/>
    <w:rsid w:val="00DA5452"/>
    <w:rsid w:val="00DA59EC"/>
    <w:rsid w:val="00DA5A6F"/>
    <w:rsid w:val="00DA616D"/>
    <w:rsid w:val="00DA6288"/>
    <w:rsid w:val="00DA6534"/>
    <w:rsid w:val="00DA65BC"/>
    <w:rsid w:val="00DA67B6"/>
    <w:rsid w:val="00DA6927"/>
    <w:rsid w:val="00DA6A0F"/>
    <w:rsid w:val="00DA6A5A"/>
    <w:rsid w:val="00DA6BCD"/>
    <w:rsid w:val="00DA6C17"/>
    <w:rsid w:val="00DA6C65"/>
    <w:rsid w:val="00DA6C82"/>
    <w:rsid w:val="00DA7040"/>
    <w:rsid w:val="00DA7134"/>
    <w:rsid w:val="00DA78EF"/>
    <w:rsid w:val="00DA79F5"/>
    <w:rsid w:val="00DA7C99"/>
    <w:rsid w:val="00DA7CD5"/>
    <w:rsid w:val="00DA7F77"/>
    <w:rsid w:val="00DB0028"/>
    <w:rsid w:val="00DB0138"/>
    <w:rsid w:val="00DB058C"/>
    <w:rsid w:val="00DB087C"/>
    <w:rsid w:val="00DB0939"/>
    <w:rsid w:val="00DB09D9"/>
    <w:rsid w:val="00DB0B37"/>
    <w:rsid w:val="00DB0ED4"/>
    <w:rsid w:val="00DB0FAD"/>
    <w:rsid w:val="00DB1126"/>
    <w:rsid w:val="00DB115B"/>
    <w:rsid w:val="00DB1B47"/>
    <w:rsid w:val="00DB1C34"/>
    <w:rsid w:val="00DB1E69"/>
    <w:rsid w:val="00DB1FFE"/>
    <w:rsid w:val="00DB20F0"/>
    <w:rsid w:val="00DB21D3"/>
    <w:rsid w:val="00DB230B"/>
    <w:rsid w:val="00DB24CB"/>
    <w:rsid w:val="00DB2605"/>
    <w:rsid w:val="00DB272D"/>
    <w:rsid w:val="00DB29F9"/>
    <w:rsid w:val="00DB2A6A"/>
    <w:rsid w:val="00DB2CBB"/>
    <w:rsid w:val="00DB2D20"/>
    <w:rsid w:val="00DB2D30"/>
    <w:rsid w:val="00DB2D4C"/>
    <w:rsid w:val="00DB309C"/>
    <w:rsid w:val="00DB3B5D"/>
    <w:rsid w:val="00DB3BCC"/>
    <w:rsid w:val="00DB3D93"/>
    <w:rsid w:val="00DB4166"/>
    <w:rsid w:val="00DB4235"/>
    <w:rsid w:val="00DB42D9"/>
    <w:rsid w:val="00DB438D"/>
    <w:rsid w:val="00DB43CD"/>
    <w:rsid w:val="00DB43D9"/>
    <w:rsid w:val="00DB4410"/>
    <w:rsid w:val="00DB44BC"/>
    <w:rsid w:val="00DB4682"/>
    <w:rsid w:val="00DB487F"/>
    <w:rsid w:val="00DB4AE1"/>
    <w:rsid w:val="00DB50F3"/>
    <w:rsid w:val="00DB53C3"/>
    <w:rsid w:val="00DB55FC"/>
    <w:rsid w:val="00DB56C2"/>
    <w:rsid w:val="00DB5784"/>
    <w:rsid w:val="00DB5903"/>
    <w:rsid w:val="00DB5977"/>
    <w:rsid w:val="00DB5D3F"/>
    <w:rsid w:val="00DB5F2C"/>
    <w:rsid w:val="00DB5F57"/>
    <w:rsid w:val="00DB5FF5"/>
    <w:rsid w:val="00DB618C"/>
    <w:rsid w:val="00DB6286"/>
    <w:rsid w:val="00DB6375"/>
    <w:rsid w:val="00DB63DE"/>
    <w:rsid w:val="00DB645F"/>
    <w:rsid w:val="00DB6529"/>
    <w:rsid w:val="00DB65C2"/>
    <w:rsid w:val="00DB6D56"/>
    <w:rsid w:val="00DB6EC7"/>
    <w:rsid w:val="00DB6F72"/>
    <w:rsid w:val="00DB723B"/>
    <w:rsid w:val="00DB7309"/>
    <w:rsid w:val="00DB76E9"/>
    <w:rsid w:val="00DB7BD3"/>
    <w:rsid w:val="00DB7CC3"/>
    <w:rsid w:val="00DC01C1"/>
    <w:rsid w:val="00DC02BE"/>
    <w:rsid w:val="00DC0675"/>
    <w:rsid w:val="00DC06CB"/>
    <w:rsid w:val="00DC0743"/>
    <w:rsid w:val="00DC0761"/>
    <w:rsid w:val="00DC089D"/>
    <w:rsid w:val="00DC0A67"/>
    <w:rsid w:val="00DC0A95"/>
    <w:rsid w:val="00DC0A9F"/>
    <w:rsid w:val="00DC0B79"/>
    <w:rsid w:val="00DC0CAC"/>
    <w:rsid w:val="00DC0D9C"/>
    <w:rsid w:val="00DC0F5C"/>
    <w:rsid w:val="00DC120D"/>
    <w:rsid w:val="00DC12F7"/>
    <w:rsid w:val="00DC156C"/>
    <w:rsid w:val="00DC165C"/>
    <w:rsid w:val="00DC16BC"/>
    <w:rsid w:val="00DC171C"/>
    <w:rsid w:val="00DC1841"/>
    <w:rsid w:val="00DC1C8F"/>
    <w:rsid w:val="00DC1D16"/>
    <w:rsid w:val="00DC1D4F"/>
    <w:rsid w:val="00DC1D5E"/>
    <w:rsid w:val="00DC1FD1"/>
    <w:rsid w:val="00DC20D6"/>
    <w:rsid w:val="00DC21BC"/>
    <w:rsid w:val="00DC21EC"/>
    <w:rsid w:val="00DC2313"/>
    <w:rsid w:val="00DC23A8"/>
    <w:rsid w:val="00DC26C8"/>
    <w:rsid w:val="00DC28EC"/>
    <w:rsid w:val="00DC2A63"/>
    <w:rsid w:val="00DC2B13"/>
    <w:rsid w:val="00DC2BFA"/>
    <w:rsid w:val="00DC2C2A"/>
    <w:rsid w:val="00DC2D22"/>
    <w:rsid w:val="00DC2F99"/>
    <w:rsid w:val="00DC32B2"/>
    <w:rsid w:val="00DC33E0"/>
    <w:rsid w:val="00DC3703"/>
    <w:rsid w:val="00DC3798"/>
    <w:rsid w:val="00DC386A"/>
    <w:rsid w:val="00DC405A"/>
    <w:rsid w:val="00DC4588"/>
    <w:rsid w:val="00DC45EF"/>
    <w:rsid w:val="00DC461E"/>
    <w:rsid w:val="00DC467B"/>
    <w:rsid w:val="00DC48F8"/>
    <w:rsid w:val="00DC498D"/>
    <w:rsid w:val="00DC4D5A"/>
    <w:rsid w:val="00DC5024"/>
    <w:rsid w:val="00DC51A6"/>
    <w:rsid w:val="00DC521C"/>
    <w:rsid w:val="00DC5220"/>
    <w:rsid w:val="00DC526E"/>
    <w:rsid w:val="00DC5288"/>
    <w:rsid w:val="00DC53D2"/>
    <w:rsid w:val="00DC5588"/>
    <w:rsid w:val="00DC5650"/>
    <w:rsid w:val="00DC56DF"/>
    <w:rsid w:val="00DC58B6"/>
    <w:rsid w:val="00DC594B"/>
    <w:rsid w:val="00DC5ACB"/>
    <w:rsid w:val="00DC5B54"/>
    <w:rsid w:val="00DC5C4A"/>
    <w:rsid w:val="00DC5C75"/>
    <w:rsid w:val="00DC5F54"/>
    <w:rsid w:val="00DC6264"/>
    <w:rsid w:val="00DC62BA"/>
    <w:rsid w:val="00DC62D2"/>
    <w:rsid w:val="00DC6743"/>
    <w:rsid w:val="00DC6BA7"/>
    <w:rsid w:val="00DC6BB8"/>
    <w:rsid w:val="00DC6C56"/>
    <w:rsid w:val="00DC70F2"/>
    <w:rsid w:val="00DC7538"/>
    <w:rsid w:val="00DC7782"/>
    <w:rsid w:val="00DC7910"/>
    <w:rsid w:val="00DC7A63"/>
    <w:rsid w:val="00DC7D73"/>
    <w:rsid w:val="00DC7D84"/>
    <w:rsid w:val="00DC7ED9"/>
    <w:rsid w:val="00DD001C"/>
    <w:rsid w:val="00DD0473"/>
    <w:rsid w:val="00DD0546"/>
    <w:rsid w:val="00DD063F"/>
    <w:rsid w:val="00DD064C"/>
    <w:rsid w:val="00DD0698"/>
    <w:rsid w:val="00DD06BE"/>
    <w:rsid w:val="00DD080B"/>
    <w:rsid w:val="00DD0901"/>
    <w:rsid w:val="00DD0981"/>
    <w:rsid w:val="00DD0C0C"/>
    <w:rsid w:val="00DD0E0D"/>
    <w:rsid w:val="00DD0F37"/>
    <w:rsid w:val="00DD122B"/>
    <w:rsid w:val="00DD14E3"/>
    <w:rsid w:val="00DD1759"/>
    <w:rsid w:val="00DD1A3B"/>
    <w:rsid w:val="00DD1F11"/>
    <w:rsid w:val="00DD2061"/>
    <w:rsid w:val="00DD264A"/>
    <w:rsid w:val="00DD27DB"/>
    <w:rsid w:val="00DD28FF"/>
    <w:rsid w:val="00DD29A0"/>
    <w:rsid w:val="00DD2A8B"/>
    <w:rsid w:val="00DD2E20"/>
    <w:rsid w:val="00DD31B3"/>
    <w:rsid w:val="00DD3633"/>
    <w:rsid w:val="00DD380D"/>
    <w:rsid w:val="00DD3830"/>
    <w:rsid w:val="00DD397A"/>
    <w:rsid w:val="00DD3B99"/>
    <w:rsid w:val="00DD3DC1"/>
    <w:rsid w:val="00DD3EC4"/>
    <w:rsid w:val="00DD4498"/>
    <w:rsid w:val="00DD493B"/>
    <w:rsid w:val="00DD494D"/>
    <w:rsid w:val="00DD49CE"/>
    <w:rsid w:val="00DD4A17"/>
    <w:rsid w:val="00DD4B2B"/>
    <w:rsid w:val="00DD4C81"/>
    <w:rsid w:val="00DD4EDC"/>
    <w:rsid w:val="00DD4EDF"/>
    <w:rsid w:val="00DD5146"/>
    <w:rsid w:val="00DD5288"/>
    <w:rsid w:val="00DD548D"/>
    <w:rsid w:val="00DD54A1"/>
    <w:rsid w:val="00DD5B12"/>
    <w:rsid w:val="00DD5BDE"/>
    <w:rsid w:val="00DD5C11"/>
    <w:rsid w:val="00DD5D31"/>
    <w:rsid w:val="00DD5DF3"/>
    <w:rsid w:val="00DD5DFF"/>
    <w:rsid w:val="00DD5E94"/>
    <w:rsid w:val="00DD5EB1"/>
    <w:rsid w:val="00DD603C"/>
    <w:rsid w:val="00DD63CC"/>
    <w:rsid w:val="00DD63CD"/>
    <w:rsid w:val="00DD6507"/>
    <w:rsid w:val="00DD6673"/>
    <w:rsid w:val="00DD6731"/>
    <w:rsid w:val="00DD69AE"/>
    <w:rsid w:val="00DD6C4A"/>
    <w:rsid w:val="00DD6CD7"/>
    <w:rsid w:val="00DD708A"/>
    <w:rsid w:val="00DD70F5"/>
    <w:rsid w:val="00DD7369"/>
    <w:rsid w:val="00DD788E"/>
    <w:rsid w:val="00DD795E"/>
    <w:rsid w:val="00DD7B34"/>
    <w:rsid w:val="00DD7DAB"/>
    <w:rsid w:val="00DD7E3E"/>
    <w:rsid w:val="00DD7E4F"/>
    <w:rsid w:val="00DE0170"/>
    <w:rsid w:val="00DE0251"/>
    <w:rsid w:val="00DE058F"/>
    <w:rsid w:val="00DE0C51"/>
    <w:rsid w:val="00DE0D62"/>
    <w:rsid w:val="00DE0E03"/>
    <w:rsid w:val="00DE10CB"/>
    <w:rsid w:val="00DE10FB"/>
    <w:rsid w:val="00DE115D"/>
    <w:rsid w:val="00DE1225"/>
    <w:rsid w:val="00DE171E"/>
    <w:rsid w:val="00DE1A1D"/>
    <w:rsid w:val="00DE1BF8"/>
    <w:rsid w:val="00DE1C1B"/>
    <w:rsid w:val="00DE1E97"/>
    <w:rsid w:val="00DE222A"/>
    <w:rsid w:val="00DE2364"/>
    <w:rsid w:val="00DE23B4"/>
    <w:rsid w:val="00DE2463"/>
    <w:rsid w:val="00DE25EB"/>
    <w:rsid w:val="00DE2647"/>
    <w:rsid w:val="00DE2860"/>
    <w:rsid w:val="00DE2975"/>
    <w:rsid w:val="00DE29E4"/>
    <w:rsid w:val="00DE2DBC"/>
    <w:rsid w:val="00DE2E9A"/>
    <w:rsid w:val="00DE3044"/>
    <w:rsid w:val="00DE3295"/>
    <w:rsid w:val="00DE32FC"/>
    <w:rsid w:val="00DE3355"/>
    <w:rsid w:val="00DE343F"/>
    <w:rsid w:val="00DE35B0"/>
    <w:rsid w:val="00DE3634"/>
    <w:rsid w:val="00DE36A0"/>
    <w:rsid w:val="00DE3997"/>
    <w:rsid w:val="00DE3B18"/>
    <w:rsid w:val="00DE3CC1"/>
    <w:rsid w:val="00DE3DB9"/>
    <w:rsid w:val="00DE3EF4"/>
    <w:rsid w:val="00DE3F9C"/>
    <w:rsid w:val="00DE4181"/>
    <w:rsid w:val="00DE423C"/>
    <w:rsid w:val="00DE4281"/>
    <w:rsid w:val="00DE42C4"/>
    <w:rsid w:val="00DE458F"/>
    <w:rsid w:val="00DE4720"/>
    <w:rsid w:val="00DE4869"/>
    <w:rsid w:val="00DE4C2D"/>
    <w:rsid w:val="00DE4DF4"/>
    <w:rsid w:val="00DE54E9"/>
    <w:rsid w:val="00DE560A"/>
    <w:rsid w:val="00DE56CF"/>
    <w:rsid w:val="00DE5CA6"/>
    <w:rsid w:val="00DE5EC0"/>
    <w:rsid w:val="00DE63FF"/>
    <w:rsid w:val="00DE656D"/>
    <w:rsid w:val="00DE67B6"/>
    <w:rsid w:val="00DE67D7"/>
    <w:rsid w:val="00DE6879"/>
    <w:rsid w:val="00DE69B2"/>
    <w:rsid w:val="00DE6EC0"/>
    <w:rsid w:val="00DE6FEB"/>
    <w:rsid w:val="00DE6FEC"/>
    <w:rsid w:val="00DE7001"/>
    <w:rsid w:val="00DE7168"/>
    <w:rsid w:val="00DE71AE"/>
    <w:rsid w:val="00DE723E"/>
    <w:rsid w:val="00DE7322"/>
    <w:rsid w:val="00DE78CB"/>
    <w:rsid w:val="00DE7EC1"/>
    <w:rsid w:val="00DF00B3"/>
    <w:rsid w:val="00DF0508"/>
    <w:rsid w:val="00DF08C6"/>
    <w:rsid w:val="00DF0987"/>
    <w:rsid w:val="00DF0AD9"/>
    <w:rsid w:val="00DF0E52"/>
    <w:rsid w:val="00DF0E92"/>
    <w:rsid w:val="00DF0FB1"/>
    <w:rsid w:val="00DF10D5"/>
    <w:rsid w:val="00DF10F0"/>
    <w:rsid w:val="00DF1165"/>
    <w:rsid w:val="00DF118B"/>
    <w:rsid w:val="00DF126A"/>
    <w:rsid w:val="00DF127D"/>
    <w:rsid w:val="00DF13E4"/>
    <w:rsid w:val="00DF1C65"/>
    <w:rsid w:val="00DF1EBD"/>
    <w:rsid w:val="00DF1FF0"/>
    <w:rsid w:val="00DF2018"/>
    <w:rsid w:val="00DF209E"/>
    <w:rsid w:val="00DF241C"/>
    <w:rsid w:val="00DF26A1"/>
    <w:rsid w:val="00DF2716"/>
    <w:rsid w:val="00DF2783"/>
    <w:rsid w:val="00DF27EF"/>
    <w:rsid w:val="00DF2E19"/>
    <w:rsid w:val="00DF2E5D"/>
    <w:rsid w:val="00DF2F94"/>
    <w:rsid w:val="00DF33B9"/>
    <w:rsid w:val="00DF36A4"/>
    <w:rsid w:val="00DF36EA"/>
    <w:rsid w:val="00DF37D4"/>
    <w:rsid w:val="00DF37F7"/>
    <w:rsid w:val="00DF3985"/>
    <w:rsid w:val="00DF3A10"/>
    <w:rsid w:val="00DF4188"/>
    <w:rsid w:val="00DF41EA"/>
    <w:rsid w:val="00DF429E"/>
    <w:rsid w:val="00DF44E6"/>
    <w:rsid w:val="00DF481C"/>
    <w:rsid w:val="00DF486F"/>
    <w:rsid w:val="00DF4C51"/>
    <w:rsid w:val="00DF4C6A"/>
    <w:rsid w:val="00DF4CA6"/>
    <w:rsid w:val="00DF4DC0"/>
    <w:rsid w:val="00DF4DF3"/>
    <w:rsid w:val="00DF5070"/>
    <w:rsid w:val="00DF5221"/>
    <w:rsid w:val="00DF5227"/>
    <w:rsid w:val="00DF5620"/>
    <w:rsid w:val="00DF5626"/>
    <w:rsid w:val="00DF59FF"/>
    <w:rsid w:val="00DF5A43"/>
    <w:rsid w:val="00DF5B5B"/>
    <w:rsid w:val="00DF5D4C"/>
    <w:rsid w:val="00DF6230"/>
    <w:rsid w:val="00DF6462"/>
    <w:rsid w:val="00DF6A16"/>
    <w:rsid w:val="00DF6E06"/>
    <w:rsid w:val="00DF6EFD"/>
    <w:rsid w:val="00DF7160"/>
    <w:rsid w:val="00DF71DB"/>
    <w:rsid w:val="00DF749F"/>
    <w:rsid w:val="00DF7619"/>
    <w:rsid w:val="00DF771A"/>
    <w:rsid w:val="00DF78E1"/>
    <w:rsid w:val="00DF7CC5"/>
    <w:rsid w:val="00DF7DDF"/>
    <w:rsid w:val="00DF7E69"/>
    <w:rsid w:val="00E0000E"/>
    <w:rsid w:val="00E00113"/>
    <w:rsid w:val="00E00200"/>
    <w:rsid w:val="00E00812"/>
    <w:rsid w:val="00E008F1"/>
    <w:rsid w:val="00E00951"/>
    <w:rsid w:val="00E00965"/>
    <w:rsid w:val="00E00B36"/>
    <w:rsid w:val="00E00CFF"/>
    <w:rsid w:val="00E00E95"/>
    <w:rsid w:val="00E00F76"/>
    <w:rsid w:val="00E011C1"/>
    <w:rsid w:val="00E0126D"/>
    <w:rsid w:val="00E013AC"/>
    <w:rsid w:val="00E01808"/>
    <w:rsid w:val="00E01C01"/>
    <w:rsid w:val="00E01C3F"/>
    <w:rsid w:val="00E02103"/>
    <w:rsid w:val="00E022DE"/>
    <w:rsid w:val="00E0230B"/>
    <w:rsid w:val="00E025AD"/>
    <w:rsid w:val="00E025CF"/>
    <w:rsid w:val="00E0265A"/>
    <w:rsid w:val="00E0291C"/>
    <w:rsid w:val="00E02A2D"/>
    <w:rsid w:val="00E02ACC"/>
    <w:rsid w:val="00E02AD6"/>
    <w:rsid w:val="00E02DC5"/>
    <w:rsid w:val="00E02F08"/>
    <w:rsid w:val="00E0329D"/>
    <w:rsid w:val="00E03315"/>
    <w:rsid w:val="00E03397"/>
    <w:rsid w:val="00E03427"/>
    <w:rsid w:val="00E035D5"/>
    <w:rsid w:val="00E03B45"/>
    <w:rsid w:val="00E03B6F"/>
    <w:rsid w:val="00E03C5F"/>
    <w:rsid w:val="00E03F77"/>
    <w:rsid w:val="00E040D1"/>
    <w:rsid w:val="00E04122"/>
    <w:rsid w:val="00E04163"/>
    <w:rsid w:val="00E042D8"/>
    <w:rsid w:val="00E043EE"/>
    <w:rsid w:val="00E04475"/>
    <w:rsid w:val="00E044FE"/>
    <w:rsid w:val="00E04687"/>
    <w:rsid w:val="00E04790"/>
    <w:rsid w:val="00E04969"/>
    <w:rsid w:val="00E049EC"/>
    <w:rsid w:val="00E04A5B"/>
    <w:rsid w:val="00E04BDD"/>
    <w:rsid w:val="00E04C48"/>
    <w:rsid w:val="00E04DAA"/>
    <w:rsid w:val="00E050F5"/>
    <w:rsid w:val="00E0524C"/>
    <w:rsid w:val="00E056DA"/>
    <w:rsid w:val="00E058A2"/>
    <w:rsid w:val="00E05D05"/>
    <w:rsid w:val="00E05FBB"/>
    <w:rsid w:val="00E06139"/>
    <w:rsid w:val="00E06605"/>
    <w:rsid w:val="00E069C2"/>
    <w:rsid w:val="00E069EB"/>
    <w:rsid w:val="00E06E10"/>
    <w:rsid w:val="00E06E5C"/>
    <w:rsid w:val="00E072F8"/>
    <w:rsid w:val="00E0734F"/>
    <w:rsid w:val="00E07878"/>
    <w:rsid w:val="00E0788E"/>
    <w:rsid w:val="00E079A6"/>
    <w:rsid w:val="00E07C81"/>
    <w:rsid w:val="00E07EBA"/>
    <w:rsid w:val="00E07EE7"/>
    <w:rsid w:val="00E07F8A"/>
    <w:rsid w:val="00E0B0EB"/>
    <w:rsid w:val="00E100B6"/>
    <w:rsid w:val="00E10208"/>
    <w:rsid w:val="00E10529"/>
    <w:rsid w:val="00E1079D"/>
    <w:rsid w:val="00E10831"/>
    <w:rsid w:val="00E10960"/>
    <w:rsid w:val="00E10A20"/>
    <w:rsid w:val="00E10CD3"/>
    <w:rsid w:val="00E10E81"/>
    <w:rsid w:val="00E10F5F"/>
    <w:rsid w:val="00E1103B"/>
    <w:rsid w:val="00E114C3"/>
    <w:rsid w:val="00E1170E"/>
    <w:rsid w:val="00E1192C"/>
    <w:rsid w:val="00E11963"/>
    <w:rsid w:val="00E11981"/>
    <w:rsid w:val="00E11B8E"/>
    <w:rsid w:val="00E11DB8"/>
    <w:rsid w:val="00E11DE2"/>
    <w:rsid w:val="00E11E2A"/>
    <w:rsid w:val="00E11E2F"/>
    <w:rsid w:val="00E120E3"/>
    <w:rsid w:val="00E120F6"/>
    <w:rsid w:val="00E12269"/>
    <w:rsid w:val="00E12281"/>
    <w:rsid w:val="00E126F7"/>
    <w:rsid w:val="00E129E9"/>
    <w:rsid w:val="00E12BC3"/>
    <w:rsid w:val="00E13103"/>
    <w:rsid w:val="00E13156"/>
    <w:rsid w:val="00E1317A"/>
    <w:rsid w:val="00E131CD"/>
    <w:rsid w:val="00E133C6"/>
    <w:rsid w:val="00E133FB"/>
    <w:rsid w:val="00E13524"/>
    <w:rsid w:val="00E1365A"/>
    <w:rsid w:val="00E13676"/>
    <w:rsid w:val="00E1383D"/>
    <w:rsid w:val="00E13890"/>
    <w:rsid w:val="00E13E6E"/>
    <w:rsid w:val="00E13EA4"/>
    <w:rsid w:val="00E13F6D"/>
    <w:rsid w:val="00E1421C"/>
    <w:rsid w:val="00E14229"/>
    <w:rsid w:val="00E142C2"/>
    <w:rsid w:val="00E14339"/>
    <w:rsid w:val="00E1435B"/>
    <w:rsid w:val="00E14780"/>
    <w:rsid w:val="00E14894"/>
    <w:rsid w:val="00E1497B"/>
    <w:rsid w:val="00E14B23"/>
    <w:rsid w:val="00E14CD5"/>
    <w:rsid w:val="00E14D74"/>
    <w:rsid w:val="00E14DF3"/>
    <w:rsid w:val="00E14FA2"/>
    <w:rsid w:val="00E14FA7"/>
    <w:rsid w:val="00E14FD3"/>
    <w:rsid w:val="00E152D4"/>
    <w:rsid w:val="00E15307"/>
    <w:rsid w:val="00E1542E"/>
    <w:rsid w:val="00E1549A"/>
    <w:rsid w:val="00E1550E"/>
    <w:rsid w:val="00E15514"/>
    <w:rsid w:val="00E1561B"/>
    <w:rsid w:val="00E156A9"/>
    <w:rsid w:val="00E15790"/>
    <w:rsid w:val="00E157F0"/>
    <w:rsid w:val="00E15B9F"/>
    <w:rsid w:val="00E16131"/>
    <w:rsid w:val="00E16182"/>
    <w:rsid w:val="00E162B6"/>
    <w:rsid w:val="00E16346"/>
    <w:rsid w:val="00E1673C"/>
    <w:rsid w:val="00E1696C"/>
    <w:rsid w:val="00E16B15"/>
    <w:rsid w:val="00E16C0F"/>
    <w:rsid w:val="00E16DEF"/>
    <w:rsid w:val="00E16E59"/>
    <w:rsid w:val="00E16EEF"/>
    <w:rsid w:val="00E1700C"/>
    <w:rsid w:val="00E17098"/>
    <w:rsid w:val="00E17474"/>
    <w:rsid w:val="00E17664"/>
    <w:rsid w:val="00E1781D"/>
    <w:rsid w:val="00E1790A"/>
    <w:rsid w:val="00E17B44"/>
    <w:rsid w:val="00E17B8E"/>
    <w:rsid w:val="00E17D67"/>
    <w:rsid w:val="00E20215"/>
    <w:rsid w:val="00E203F1"/>
    <w:rsid w:val="00E2071E"/>
    <w:rsid w:val="00E20753"/>
    <w:rsid w:val="00E2076B"/>
    <w:rsid w:val="00E2086A"/>
    <w:rsid w:val="00E20903"/>
    <w:rsid w:val="00E20A7F"/>
    <w:rsid w:val="00E20C72"/>
    <w:rsid w:val="00E20CCB"/>
    <w:rsid w:val="00E20F66"/>
    <w:rsid w:val="00E21607"/>
    <w:rsid w:val="00E2166E"/>
    <w:rsid w:val="00E217E1"/>
    <w:rsid w:val="00E218F4"/>
    <w:rsid w:val="00E21962"/>
    <w:rsid w:val="00E219C9"/>
    <w:rsid w:val="00E22085"/>
    <w:rsid w:val="00E221B3"/>
    <w:rsid w:val="00E223A5"/>
    <w:rsid w:val="00E224EA"/>
    <w:rsid w:val="00E22716"/>
    <w:rsid w:val="00E22813"/>
    <w:rsid w:val="00E22921"/>
    <w:rsid w:val="00E229F9"/>
    <w:rsid w:val="00E22FA6"/>
    <w:rsid w:val="00E22FE2"/>
    <w:rsid w:val="00E231FC"/>
    <w:rsid w:val="00E23245"/>
    <w:rsid w:val="00E233EF"/>
    <w:rsid w:val="00E234C0"/>
    <w:rsid w:val="00E23DA1"/>
    <w:rsid w:val="00E24142"/>
    <w:rsid w:val="00E2416E"/>
    <w:rsid w:val="00E24177"/>
    <w:rsid w:val="00E24195"/>
    <w:rsid w:val="00E242C1"/>
    <w:rsid w:val="00E242C7"/>
    <w:rsid w:val="00E2430A"/>
    <w:rsid w:val="00E244D2"/>
    <w:rsid w:val="00E245EC"/>
    <w:rsid w:val="00E24603"/>
    <w:rsid w:val="00E247F5"/>
    <w:rsid w:val="00E248B1"/>
    <w:rsid w:val="00E24B9F"/>
    <w:rsid w:val="00E24ED3"/>
    <w:rsid w:val="00E250E6"/>
    <w:rsid w:val="00E2525F"/>
    <w:rsid w:val="00E252FB"/>
    <w:rsid w:val="00E2568C"/>
    <w:rsid w:val="00E25944"/>
    <w:rsid w:val="00E259CC"/>
    <w:rsid w:val="00E25A89"/>
    <w:rsid w:val="00E25B44"/>
    <w:rsid w:val="00E25E1B"/>
    <w:rsid w:val="00E26411"/>
    <w:rsid w:val="00E26C52"/>
    <w:rsid w:val="00E26C99"/>
    <w:rsid w:val="00E26CC0"/>
    <w:rsid w:val="00E26E49"/>
    <w:rsid w:val="00E27302"/>
    <w:rsid w:val="00E2753E"/>
    <w:rsid w:val="00E27828"/>
    <w:rsid w:val="00E27903"/>
    <w:rsid w:val="00E27B39"/>
    <w:rsid w:val="00E27D1B"/>
    <w:rsid w:val="00E27FEA"/>
    <w:rsid w:val="00E2E045"/>
    <w:rsid w:val="00E300EF"/>
    <w:rsid w:val="00E30316"/>
    <w:rsid w:val="00E30354"/>
    <w:rsid w:val="00E30471"/>
    <w:rsid w:val="00E30722"/>
    <w:rsid w:val="00E30AE9"/>
    <w:rsid w:val="00E30BC9"/>
    <w:rsid w:val="00E30D09"/>
    <w:rsid w:val="00E30F0B"/>
    <w:rsid w:val="00E311E0"/>
    <w:rsid w:val="00E31409"/>
    <w:rsid w:val="00E315A8"/>
    <w:rsid w:val="00E318D9"/>
    <w:rsid w:val="00E31951"/>
    <w:rsid w:val="00E31955"/>
    <w:rsid w:val="00E31A13"/>
    <w:rsid w:val="00E31A41"/>
    <w:rsid w:val="00E31CCB"/>
    <w:rsid w:val="00E31F82"/>
    <w:rsid w:val="00E32093"/>
    <w:rsid w:val="00E321CE"/>
    <w:rsid w:val="00E325F2"/>
    <w:rsid w:val="00E32631"/>
    <w:rsid w:val="00E3264A"/>
    <w:rsid w:val="00E32A9E"/>
    <w:rsid w:val="00E32AFE"/>
    <w:rsid w:val="00E32D59"/>
    <w:rsid w:val="00E32E11"/>
    <w:rsid w:val="00E32EF2"/>
    <w:rsid w:val="00E32F00"/>
    <w:rsid w:val="00E3357A"/>
    <w:rsid w:val="00E33A92"/>
    <w:rsid w:val="00E33DDC"/>
    <w:rsid w:val="00E33FCA"/>
    <w:rsid w:val="00E340DA"/>
    <w:rsid w:val="00E343DB"/>
    <w:rsid w:val="00E34442"/>
    <w:rsid w:val="00E3458F"/>
    <w:rsid w:val="00E34841"/>
    <w:rsid w:val="00E34E5B"/>
    <w:rsid w:val="00E34FA7"/>
    <w:rsid w:val="00E350E2"/>
    <w:rsid w:val="00E35699"/>
    <w:rsid w:val="00E357FA"/>
    <w:rsid w:val="00E3585F"/>
    <w:rsid w:val="00E359AF"/>
    <w:rsid w:val="00E35B33"/>
    <w:rsid w:val="00E35D35"/>
    <w:rsid w:val="00E35EBD"/>
    <w:rsid w:val="00E36046"/>
    <w:rsid w:val="00E36102"/>
    <w:rsid w:val="00E36585"/>
    <w:rsid w:val="00E36849"/>
    <w:rsid w:val="00E368FB"/>
    <w:rsid w:val="00E369BB"/>
    <w:rsid w:val="00E36BAF"/>
    <w:rsid w:val="00E36CC9"/>
    <w:rsid w:val="00E36DC0"/>
    <w:rsid w:val="00E37064"/>
    <w:rsid w:val="00E371EE"/>
    <w:rsid w:val="00E3736F"/>
    <w:rsid w:val="00E3737C"/>
    <w:rsid w:val="00E373AD"/>
    <w:rsid w:val="00E373EC"/>
    <w:rsid w:val="00E37498"/>
    <w:rsid w:val="00E374BF"/>
    <w:rsid w:val="00E37759"/>
    <w:rsid w:val="00E3790E"/>
    <w:rsid w:val="00E37A4D"/>
    <w:rsid w:val="00E37A8D"/>
    <w:rsid w:val="00E37A8E"/>
    <w:rsid w:val="00E37A99"/>
    <w:rsid w:val="00E400DF"/>
    <w:rsid w:val="00E40372"/>
    <w:rsid w:val="00E40568"/>
    <w:rsid w:val="00E4058F"/>
    <w:rsid w:val="00E4086F"/>
    <w:rsid w:val="00E409DF"/>
    <w:rsid w:val="00E40C56"/>
    <w:rsid w:val="00E40CE4"/>
    <w:rsid w:val="00E40E89"/>
    <w:rsid w:val="00E410F5"/>
    <w:rsid w:val="00E41203"/>
    <w:rsid w:val="00E417F7"/>
    <w:rsid w:val="00E418E1"/>
    <w:rsid w:val="00E41DC0"/>
    <w:rsid w:val="00E41EEC"/>
    <w:rsid w:val="00E41FFC"/>
    <w:rsid w:val="00E4231B"/>
    <w:rsid w:val="00E428E6"/>
    <w:rsid w:val="00E42AEA"/>
    <w:rsid w:val="00E43067"/>
    <w:rsid w:val="00E43113"/>
    <w:rsid w:val="00E431E8"/>
    <w:rsid w:val="00E432E1"/>
    <w:rsid w:val="00E4331E"/>
    <w:rsid w:val="00E43618"/>
    <w:rsid w:val="00E43716"/>
    <w:rsid w:val="00E438E0"/>
    <w:rsid w:val="00E43B3C"/>
    <w:rsid w:val="00E43C19"/>
    <w:rsid w:val="00E43DDB"/>
    <w:rsid w:val="00E44198"/>
    <w:rsid w:val="00E442E6"/>
    <w:rsid w:val="00E44340"/>
    <w:rsid w:val="00E44922"/>
    <w:rsid w:val="00E453CF"/>
    <w:rsid w:val="00E45488"/>
    <w:rsid w:val="00E454A8"/>
    <w:rsid w:val="00E457B7"/>
    <w:rsid w:val="00E45BC5"/>
    <w:rsid w:val="00E464FE"/>
    <w:rsid w:val="00E467BB"/>
    <w:rsid w:val="00E467F9"/>
    <w:rsid w:val="00E46B0F"/>
    <w:rsid w:val="00E46C06"/>
    <w:rsid w:val="00E46C70"/>
    <w:rsid w:val="00E46CB0"/>
    <w:rsid w:val="00E46E86"/>
    <w:rsid w:val="00E47136"/>
    <w:rsid w:val="00E47944"/>
    <w:rsid w:val="00E479CB"/>
    <w:rsid w:val="00E47B0C"/>
    <w:rsid w:val="00E47B2B"/>
    <w:rsid w:val="00E47B53"/>
    <w:rsid w:val="00E47C90"/>
    <w:rsid w:val="00E47DFD"/>
    <w:rsid w:val="00E47F46"/>
    <w:rsid w:val="00E47F7B"/>
    <w:rsid w:val="00E47F80"/>
    <w:rsid w:val="00E50188"/>
    <w:rsid w:val="00E50248"/>
    <w:rsid w:val="00E507A9"/>
    <w:rsid w:val="00E508D6"/>
    <w:rsid w:val="00E509A4"/>
    <w:rsid w:val="00E50ADB"/>
    <w:rsid w:val="00E50EFA"/>
    <w:rsid w:val="00E50F81"/>
    <w:rsid w:val="00E5111C"/>
    <w:rsid w:val="00E511D4"/>
    <w:rsid w:val="00E5124F"/>
    <w:rsid w:val="00E512B7"/>
    <w:rsid w:val="00E51331"/>
    <w:rsid w:val="00E51350"/>
    <w:rsid w:val="00E5141E"/>
    <w:rsid w:val="00E515CB"/>
    <w:rsid w:val="00E5181F"/>
    <w:rsid w:val="00E51CB5"/>
    <w:rsid w:val="00E51DAB"/>
    <w:rsid w:val="00E51F24"/>
    <w:rsid w:val="00E5208E"/>
    <w:rsid w:val="00E5210F"/>
    <w:rsid w:val="00E52260"/>
    <w:rsid w:val="00E526A8"/>
    <w:rsid w:val="00E52700"/>
    <w:rsid w:val="00E52856"/>
    <w:rsid w:val="00E52883"/>
    <w:rsid w:val="00E52A29"/>
    <w:rsid w:val="00E52BE0"/>
    <w:rsid w:val="00E52DF6"/>
    <w:rsid w:val="00E53017"/>
    <w:rsid w:val="00E53034"/>
    <w:rsid w:val="00E5338B"/>
    <w:rsid w:val="00E535E3"/>
    <w:rsid w:val="00E5364E"/>
    <w:rsid w:val="00E536B1"/>
    <w:rsid w:val="00E53A09"/>
    <w:rsid w:val="00E53E1D"/>
    <w:rsid w:val="00E541EA"/>
    <w:rsid w:val="00E54253"/>
    <w:rsid w:val="00E545E3"/>
    <w:rsid w:val="00E546E4"/>
    <w:rsid w:val="00E549F3"/>
    <w:rsid w:val="00E549F8"/>
    <w:rsid w:val="00E54BE3"/>
    <w:rsid w:val="00E550AB"/>
    <w:rsid w:val="00E55165"/>
    <w:rsid w:val="00E551B7"/>
    <w:rsid w:val="00E557C2"/>
    <w:rsid w:val="00E55A8C"/>
    <w:rsid w:val="00E55B48"/>
    <w:rsid w:val="00E55C02"/>
    <w:rsid w:val="00E55D27"/>
    <w:rsid w:val="00E55E86"/>
    <w:rsid w:val="00E560F6"/>
    <w:rsid w:val="00E56367"/>
    <w:rsid w:val="00E56437"/>
    <w:rsid w:val="00E56678"/>
    <w:rsid w:val="00E56850"/>
    <w:rsid w:val="00E56A01"/>
    <w:rsid w:val="00E56AF3"/>
    <w:rsid w:val="00E56F0B"/>
    <w:rsid w:val="00E57017"/>
    <w:rsid w:val="00E57118"/>
    <w:rsid w:val="00E57132"/>
    <w:rsid w:val="00E57407"/>
    <w:rsid w:val="00E57981"/>
    <w:rsid w:val="00E57A2F"/>
    <w:rsid w:val="00E57CB4"/>
    <w:rsid w:val="00E57FBC"/>
    <w:rsid w:val="00E60014"/>
    <w:rsid w:val="00E6026E"/>
    <w:rsid w:val="00E602F1"/>
    <w:rsid w:val="00E60759"/>
    <w:rsid w:val="00E60883"/>
    <w:rsid w:val="00E608DE"/>
    <w:rsid w:val="00E60CDD"/>
    <w:rsid w:val="00E60E45"/>
    <w:rsid w:val="00E612E1"/>
    <w:rsid w:val="00E61512"/>
    <w:rsid w:val="00E6166E"/>
    <w:rsid w:val="00E616C9"/>
    <w:rsid w:val="00E6191A"/>
    <w:rsid w:val="00E619F5"/>
    <w:rsid w:val="00E61A28"/>
    <w:rsid w:val="00E61B01"/>
    <w:rsid w:val="00E61CD6"/>
    <w:rsid w:val="00E61FC6"/>
    <w:rsid w:val="00E6226B"/>
    <w:rsid w:val="00E622B1"/>
    <w:rsid w:val="00E623F4"/>
    <w:rsid w:val="00E62422"/>
    <w:rsid w:val="00E624FA"/>
    <w:rsid w:val="00E62548"/>
    <w:rsid w:val="00E62901"/>
    <w:rsid w:val="00E62F96"/>
    <w:rsid w:val="00E62F9D"/>
    <w:rsid w:val="00E63099"/>
    <w:rsid w:val="00E630C7"/>
    <w:rsid w:val="00E630EC"/>
    <w:rsid w:val="00E6328E"/>
    <w:rsid w:val="00E635F0"/>
    <w:rsid w:val="00E639B6"/>
    <w:rsid w:val="00E63A38"/>
    <w:rsid w:val="00E63CA9"/>
    <w:rsid w:val="00E64046"/>
    <w:rsid w:val="00E6404E"/>
    <w:rsid w:val="00E64176"/>
    <w:rsid w:val="00E642A2"/>
    <w:rsid w:val="00E6434B"/>
    <w:rsid w:val="00E64433"/>
    <w:rsid w:val="00E644B8"/>
    <w:rsid w:val="00E6463D"/>
    <w:rsid w:val="00E64746"/>
    <w:rsid w:val="00E649CA"/>
    <w:rsid w:val="00E64B6A"/>
    <w:rsid w:val="00E64CEC"/>
    <w:rsid w:val="00E64D72"/>
    <w:rsid w:val="00E64E69"/>
    <w:rsid w:val="00E64FE8"/>
    <w:rsid w:val="00E65173"/>
    <w:rsid w:val="00E65355"/>
    <w:rsid w:val="00E656BA"/>
    <w:rsid w:val="00E656BB"/>
    <w:rsid w:val="00E657C4"/>
    <w:rsid w:val="00E65BD1"/>
    <w:rsid w:val="00E65CD4"/>
    <w:rsid w:val="00E65CEC"/>
    <w:rsid w:val="00E65DD5"/>
    <w:rsid w:val="00E666CD"/>
    <w:rsid w:val="00E667DD"/>
    <w:rsid w:val="00E668AF"/>
    <w:rsid w:val="00E66AB0"/>
    <w:rsid w:val="00E66BA3"/>
    <w:rsid w:val="00E66C03"/>
    <w:rsid w:val="00E66D2F"/>
    <w:rsid w:val="00E67517"/>
    <w:rsid w:val="00E67646"/>
    <w:rsid w:val="00E67C09"/>
    <w:rsid w:val="00E67C74"/>
    <w:rsid w:val="00E67EFB"/>
    <w:rsid w:val="00E70044"/>
    <w:rsid w:val="00E70172"/>
    <w:rsid w:val="00E70351"/>
    <w:rsid w:val="00E70354"/>
    <w:rsid w:val="00E70428"/>
    <w:rsid w:val="00E70554"/>
    <w:rsid w:val="00E70571"/>
    <w:rsid w:val="00E705E2"/>
    <w:rsid w:val="00E706F2"/>
    <w:rsid w:val="00E70A62"/>
    <w:rsid w:val="00E70BE5"/>
    <w:rsid w:val="00E70DA8"/>
    <w:rsid w:val="00E70EAD"/>
    <w:rsid w:val="00E70FDB"/>
    <w:rsid w:val="00E71134"/>
    <w:rsid w:val="00E71203"/>
    <w:rsid w:val="00E71363"/>
    <w:rsid w:val="00E71450"/>
    <w:rsid w:val="00E71876"/>
    <w:rsid w:val="00E71A92"/>
    <w:rsid w:val="00E71CD6"/>
    <w:rsid w:val="00E72005"/>
    <w:rsid w:val="00E725EE"/>
    <w:rsid w:val="00E72636"/>
    <w:rsid w:val="00E729D6"/>
    <w:rsid w:val="00E72B4A"/>
    <w:rsid w:val="00E72C03"/>
    <w:rsid w:val="00E72C8F"/>
    <w:rsid w:val="00E72E9B"/>
    <w:rsid w:val="00E7324A"/>
    <w:rsid w:val="00E7332E"/>
    <w:rsid w:val="00E734AB"/>
    <w:rsid w:val="00E73523"/>
    <w:rsid w:val="00E73540"/>
    <w:rsid w:val="00E73850"/>
    <w:rsid w:val="00E7385E"/>
    <w:rsid w:val="00E73965"/>
    <w:rsid w:val="00E739B0"/>
    <w:rsid w:val="00E739FE"/>
    <w:rsid w:val="00E73A8F"/>
    <w:rsid w:val="00E73F06"/>
    <w:rsid w:val="00E74194"/>
    <w:rsid w:val="00E74206"/>
    <w:rsid w:val="00E7456A"/>
    <w:rsid w:val="00E748A8"/>
    <w:rsid w:val="00E748C2"/>
    <w:rsid w:val="00E74B50"/>
    <w:rsid w:val="00E74CB2"/>
    <w:rsid w:val="00E74D5B"/>
    <w:rsid w:val="00E74F98"/>
    <w:rsid w:val="00E75345"/>
    <w:rsid w:val="00E754F0"/>
    <w:rsid w:val="00E75C76"/>
    <w:rsid w:val="00E75D8B"/>
    <w:rsid w:val="00E75F34"/>
    <w:rsid w:val="00E76319"/>
    <w:rsid w:val="00E763D0"/>
    <w:rsid w:val="00E764F7"/>
    <w:rsid w:val="00E7674E"/>
    <w:rsid w:val="00E76970"/>
    <w:rsid w:val="00E76974"/>
    <w:rsid w:val="00E76B17"/>
    <w:rsid w:val="00E76B32"/>
    <w:rsid w:val="00E76EF2"/>
    <w:rsid w:val="00E76F9C"/>
    <w:rsid w:val="00E770C8"/>
    <w:rsid w:val="00E77137"/>
    <w:rsid w:val="00E77222"/>
    <w:rsid w:val="00E772A0"/>
    <w:rsid w:val="00E7755C"/>
    <w:rsid w:val="00E77873"/>
    <w:rsid w:val="00E779BB"/>
    <w:rsid w:val="00E77CDA"/>
    <w:rsid w:val="00E8007F"/>
    <w:rsid w:val="00E8024F"/>
    <w:rsid w:val="00E80401"/>
    <w:rsid w:val="00E80BDF"/>
    <w:rsid w:val="00E80C1E"/>
    <w:rsid w:val="00E80D50"/>
    <w:rsid w:val="00E80FA6"/>
    <w:rsid w:val="00E80FDB"/>
    <w:rsid w:val="00E81062"/>
    <w:rsid w:val="00E812A4"/>
    <w:rsid w:val="00E8161A"/>
    <w:rsid w:val="00E81621"/>
    <w:rsid w:val="00E81E20"/>
    <w:rsid w:val="00E81ED1"/>
    <w:rsid w:val="00E8215B"/>
    <w:rsid w:val="00E8225E"/>
    <w:rsid w:val="00E82269"/>
    <w:rsid w:val="00E824D3"/>
    <w:rsid w:val="00E8285E"/>
    <w:rsid w:val="00E82B7D"/>
    <w:rsid w:val="00E82B9D"/>
    <w:rsid w:val="00E82BB4"/>
    <w:rsid w:val="00E82C66"/>
    <w:rsid w:val="00E82DD2"/>
    <w:rsid w:val="00E82E14"/>
    <w:rsid w:val="00E8300A"/>
    <w:rsid w:val="00E83361"/>
    <w:rsid w:val="00E83366"/>
    <w:rsid w:val="00E8360C"/>
    <w:rsid w:val="00E836C3"/>
    <w:rsid w:val="00E83829"/>
    <w:rsid w:val="00E8386F"/>
    <w:rsid w:val="00E83A19"/>
    <w:rsid w:val="00E83A95"/>
    <w:rsid w:val="00E83AAB"/>
    <w:rsid w:val="00E83B4E"/>
    <w:rsid w:val="00E83C61"/>
    <w:rsid w:val="00E83E24"/>
    <w:rsid w:val="00E83F72"/>
    <w:rsid w:val="00E840CD"/>
    <w:rsid w:val="00E84231"/>
    <w:rsid w:val="00E84706"/>
    <w:rsid w:val="00E849DA"/>
    <w:rsid w:val="00E84B95"/>
    <w:rsid w:val="00E84C08"/>
    <w:rsid w:val="00E84CEA"/>
    <w:rsid w:val="00E84E84"/>
    <w:rsid w:val="00E84E86"/>
    <w:rsid w:val="00E84EA0"/>
    <w:rsid w:val="00E850D5"/>
    <w:rsid w:val="00E8529A"/>
    <w:rsid w:val="00E853AA"/>
    <w:rsid w:val="00E853C8"/>
    <w:rsid w:val="00E855E6"/>
    <w:rsid w:val="00E85896"/>
    <w:rsid w:val="00E858E3"/>
    <w:rsid w:val="00E85990"/>
    <w:rsid w:val="00E85C06"/>
    <w:rsid w:val="00E85C15"/>
    <w:rsid w:val="00E85F9E"/>
    <w:rsid w:val="00E86142"/>
    <w:rsid w:val="00E8616A"/>
    <w:rsid w:val="00E863CB"/>
    <w:rsid w:val="00E8690D"/>
    <w:rsid w:val="00E86AFB"/>
    <w:rsid w:val="00E86DFC"/>
    <w:rsid w:val="00E86EBA"/>
    <w:rsid w:val="00E871A9"/>
    <w:rsid w:val="00E871CC"/>
    <w:rsid w:val="00E87270"/>
    <w:rsid w:val="00E873A5"/>
    <w:rsid w:val="00E873B8"/>
    <w:rsid w:val="00E8771B"/>
    <w:rsid w:val="00E8776D"/>
    <w:rsid w:val="00E879D0"/>
    <w:rsid w:val="00E87A74"/>
    <w:rsid w:val="00E87C1D"/>
    <w:rsid w:val="00E87CFD"/>
    <w:rsid w:val="00E87D28"/>
    <w:rsid w:val="00E902AB"/>
    <w:rsid w:val="00E903B6"/>
    <w:rsid w:val="00E90505"/>
    <w:rsid w:val="00E90F9C"/>
    <w:rsid w:val="00E9106F"/>
    <w:rsid w:val="00E91318"/>
    <w:rsid w:val="00E91522"/>
    <w:rsid w:val="00E91568"/>
    <w:rsid w:val="00E916B2"/>
    <w:rsid w:val="00E91747"/>
    <w:rsid w:val="00E91773"/>
    <w:rsid w:val="00E919F9"/>
    <w:rsid w:val="00E91A39"/>
    <w:rsid w:val="00E91B02"/>
    <w:rsid w:val="00E91B3F"/>
    <w:rsid w:val="00E91C88"/>
    <w:rsid w:val="00E91D5A"/>
    <w:rsid w:val="00E91DD1"/>
    <w:rsid w:val="00E920F0"/>
    <w:rsid w:val="00E9247C"/>
    <w:rsid w:val="00E92748"/>
    <w:rsid w:val="00E92883"/>
    <w:rsid w:val="00E929AD"/>
    <w:rsid w:val="00E92C0E"/>
    <w:rsid w:val="00E92C9A"/>
    <w:rsid w:val="00E92CF4"/>
    <w:rsid w:val="00E934EA"/>
    <w:rsid w:val="00E935AA"/>
    <w:rsid w:val="00E9374F"/>
    <w:rsid w:val="00E9384D"/>
    <w:rsid w:val="00E93880"/>
    <w:rsid w:val="00E93C63"/>
    <w:rsid w:val="00E93C6A"/>
    <w:rsid w:val="00E93ECF"/>
    <w:rsid w:val="00E94181"/>
    <w:rsid w:val="00E941A4"/>
    <w:rsid w:val="00E9421F"/>
    <w:rsid w:val="00E94584"/>
    <w:rsid w:val="00E9462E"/>
    <w:rsid w:val="00E94688"/>
    <w:rsid w:val="00E94A58"/>
    <w:rsid w:val="00E94A69"/>
    <w:rsid w:val="00E94B66"/>
    <w:rsid w:val="00E94CB3"/>
    <w:rsid w:val="00E94FDA"/>
    <w:rsid w:val="00E9544A"/>
    <w:rsid w:val="00E955A3"/>
    <w:rsid w:val="00E956E8"/>
    <w:rsid w:val="00E957F6"/>
    <w:rsid w:val="00E958C3"/>
    <w:rsid w:val="00E95BE7"/>
    <w:rsid w:val="00E95D68"/>
    <w:rsid w:val="00E95D6D"/>
    <w:rsid w:val="00E9604F"/>
    <w:rsid w:val="00E960CE"/>
    <w:rsid w:val="00E9619D"/>
    <w:rsid w:val="00E96705"/>
    <w:rsid w:val="00E9676D"/>
    <w:rsid w:val="00E96ED9"/>
    <w:rsid w:val="00E96FEB"/>
    <w:rsid w:val="00E97045"/>
    <w:rsid w:val="00E970D4"/>
    <w:rsid w:val="00E9738E"/>
    <w:rsid w:val="00E97767"/>
    <w:rsid w:val="00E97773"/>
    <w:rsid w:val="00E977F7"/>
    <w:rsid w:val="00E97CF7"/>
    <w:rsid w:val="00E97F7E"/>
    <w:rsid w:val="00EA03E1"/>
    <w:rsid w:val="00EA0451"/>
    <w:rsid w:val="00EA05EA"/>
    <w:rsid w:val="00EA06B8"/>
    <w:rsid w:val="00EA0776"/>
    <w:rsid w:val="00EA0883"/>
    <w:rsid w:val="00EA0A02"/>
    <w:rsid w:val="00EA0B9A"/>
    <w:rsid w:val="00EA0C06"/>
    <w:rsid w:val="00EA0C3C"/>
    <w:rsid w:val="00EA0CF3"/>
    <w:rsid w:val="00EA0DC7"/>
    <w:rsid w:val="00EA0EFF"/>
    <w:rsid w:val="00EA0F68"/>
    <w:rsid w:val="00EA103A"/>
    <w:rsid w:val="00EA120D"/>
    <w:rsid w:val="00EA127F"/>
    <w:rsid w:val="00EA1362"/>
    <w:rsid w:val="00EA1684"/>
    <w:rsid w:val="00EA1730"/>
    <w:rsid w:val="00EA19C2"/>
    <w:rsid w:val="00EA1A73"/>
    <w:rsid w:val="00EA1B00"/>
    <w:rsid w:val="00EA1C2A"/>
    <w:rsid w:val="00EA1C7C"/>
    <w:rsid w:val="00EA2409"/>
    <w:rsid w:val="00EA2419"/>
    <w:rsid w:val="00EA2555"/>
    <w:rsid w:val="00EA26FC"/>
    <w:rsid w:val="00EA28F4"/>
    <w:rsid w:val="00EA2977"/>
    <w:rsid w:val="00EA30CF"/>
    <w:rsid w:val="00EA3BB8"/>
    <w:rsid w:val="00EA408C"/>
    <w:rsid w:val="00EA41AF"/>
    <w:rsid w:val="00EA44C2"/>
    <w:rsid w:val="00EA4515"/>
    <w:rsid w:val="00EA470E"/>
    <w:rsid w:val="00EA47A7"/>
    <w:rsid w:val="00EA490C"/>
    <w:rsid w:val="00EA4C67"/>
    <w:rsid w:val="00EA4EAD"/>
    <w:rsid w:val="00EA4F47"/>
    <w:rsid w:val="00EA4F85"/>
    <w:rsid w:val="00EA50A5"/>
    <w:rsid w:val="00EA5337"/>
    <w:rsid w:val="00EA53CC"/>
    <w:rsid w:val="00EA56B0"/>
    <w:rsid w:val="00EA57EB"/>
    <w:rsid w:val="00EA5870"/>
    <w:rsid w:val="00EA5898"/>
    <w:rsid w:val="00EA58F4"/>
    <w:rsid w:val="00EA5951"/>
    <w:rsid w:val="00EA5A24"/>
    <w:rsid w:val="00EA5AFA"/>
    <w:rsid w:val="00EA5C83"/>
    <w:rsid w:val="00EA5EB4"/>
    <w:rsid w:val="00EA5FF5"/>
    <w:rsid w:val="00EA61A7"/>
    <w:rsid w:val="00EA6266"/>
    <w:rsid w:val="00EA62B9"/>
    <w:rsid w:val="00EA6388"/>
    <w:rsid w:val="00EA65EA"/>
    <w:rsid w:val="00EA660B"/>
    <w:rsid w:val="00EA679C"/>
    <w:rsid w:val="00EA67F3"/>
    <w:rsid w:val="00EA68D5"/>
    <w:rsid w:val="00EA6C5C"/>
    <w:rsid w:val="00EA6DB7"/>
    <w:rsid w:val="00EA6E24"/>
    <w:rsid w:val="00EA6E5B"/>
    <w:rsid w:val="00EA7115"/>
    <w:rsid w:val="00EA713F"/>
    <w:rsid w:val="00EA78B2"/>
    <w:rsid w:val="00EA78F1"/>
    <w:rsid w:val="00EA790A"/>
    <w:rsid w:val="00EA7B99"/>
    <w:rsid w:val="00EA7C0C"/>
    <w:rsid w:val="00EA7D16"/>
    <w:rsid w:val="00EB01ED"/>
    <w:rsid w:val="00EB0322"/>
    <w:rsid w:val="00EB06DB"/>
    <w:rsid w:val="00EB09BD"/>
    <w:rsid w:val="00EB0A34"/>
    <w:rsid w:val="00EB0A7E"/>
    <w:rsid w:val="00EB0A87"/>
    <w:rsid w:val="00EB0C2B"/>
    <w:rsid w:val="00EB0D31"/>
    <w:rsid w:val="00EB0D6D"/>
    <w:rsid w:val="00EB0F03"/>
    <w:rsid w:val="00EB1071"/>
    <w:rsid w:val="00EB10C1"/>
    <w:rsid w:val="00EB1294"/>
    <w:rsid w:val="00EB1492"/>
    <w:rsid w:val="00EB14FF"/>
    <w:rsid w:val="00EB1595"/>
    <w:rsid w:val="00EB15E4"/>
    <w:rsid w:val="00EB1A28"/>
    <w:rsid w:val="00EB1A7E"/>
    <w:rsid w:val="00EB1E03"/>
    <w:rsid w:val="00EB1F91"/>
    <w:rsid w:val="00EB24A7"/>
    <w:rsid w:val="00EB2624"/>
    <w:rsid w:val="00EB26EF"/>
    <w:rsid w:val="00EB26F0"/>
    <w:rsid w:val="00EB26FD"/>
    <w:rsid w:val="00EB2774"/>
    <w:rsid w:val="00EB2A55"/>
    <w:rsid w:val="00EB2A82"/>
    <w:rsid w:val="00EB2E5C"/>
    <w:rsid w:val="00EB2EAD"/>
    <w:rsid w:val="00EB2F00"/>
    <w:rsid w:val="00EB3226"/>
    <w:rsid w:val="00EB329B"/>
    <w:rsid w:val="00EB3529"/>
    <w:rsid w:val="00EB3656"/>
    <w:rsid w:val="00EB3661"/>
    <w:rsid w:val="00EB3B12"/>
    <w:rsid w:val="00EB3BD7"/>
    <w:rsid w:val="00EB40D2"/>
    <w:rsid w:val="00EB41F3"/>
    <w:rsid w:val="00EB45DB"/>
    <w:rsid w:val="00EB4709"/>
    <w:rsid w:val="00EB4829"/>
    <w:rsid w:val="00EB4E41"/>
    <w:rsid w:val="00EB4EC0"/>
    <w:rsid w:val="00EB4F15"/>
    <w:rsid w:val="00EB50C3"/>
    <w:rsid w:val="00EB51EE"/>
    <w:rsid w:val="00EB52D8"/>
    <w:rsid w:val="00EB5736"/>
    <w:rsid w:val="00EB58A6"/>
    <w:rsid w:val="00EB59A0"/>
    <w:rsid w:val="00EB5DC6"/>
    <w:rsid w:val="00EB630D"/>
    <w:rsid w:val="00EB6336"/>
    <w:rsid w:val="00EB64C2"/>
    <w:rsid w:val="00EB64C9"/>
    <w:rsid w:val="00EB669B"/>
    <w:rsid w:val="00EB6AF3"/>
    <w:rsid w:val="00EB6E91"/>
    <w:rsid w:val="00EB6F29"/>
    <w:rsid w:val="00EB6FBB"/>
    <w:rsid w:val="00EB70D1"/>
    <w:rsid w:val="00EB71F3"/>
    <w:rsid w:val="00EB747D"/>
    <w:rsid w:val="00EB74F0"/>
    <w:rsid w:val="00EB7584"/>
    <w:rsid w:val="00EB76DF"/>
    <w:rsid w:val="00EB7732"/>
    <w:rsid w:val="00EB79EF"/>
    <w:rsid w:val="00EC0060"/>
    <w:rsid w:val="00EC0168"/>
    <w:rsid w:val="00EC021D"/>
    <w:rsid w:val="00EC05A1"/>
    <w:rsid w:val="00EC05D0"/>
    <w:rsid w:val="00EC08F7"/>
    <w:rsid w:val="00EC0A3F"/>
    <w:rsid w:val="00EC0B93"/>
    <w:rsid w:val="00EC0E59"/>
    <w:rsid w:val="00EC0EAF"/>
    <w:rsid w:val="00EC1052"/>
    <w:rsid w:val="00EC154E"/>
    <w:rsid w:val="00EC189E"/>
    <w:rsid w:val="00EC1B56"/>
    <w:rsid w:val="00EC1DF1"/>
    <w:rsid w:val="00EC1EB4"/>
    <w:rsid w:val="00EC1F25"/>
    <w:rsid w:val="00EC200F"/>
    <w:rsid w:val="00EC213A"/>
    <w:rsid w:val="00EC222F"/>
    <w:rsid w:val="00EC23C5"/>
    <w:rsid w:val="00EC23D1"/>
    <w:rsid w:val="00EC24CB"/>
    <w:rsid w:val="00EC24FF"/>
    <w:rsid w:val="00EC25B0"/>
    <w:rsid w:val="00EC2630"/>
    <w:rsid w:val="00EC2718"/>
    <w:rsid w:val="00EC27AD"/>
    <w:rsid w:val="00EC27D0"/>
    <w:rsid w:val="00EC28CE"/>
    <w:rsid w:val="00EC29AD"/>
    <w:rsid w:val="00EC2A03"/>
    <w:rsid w:val="00EC2A0E"/>
    <w:rsid w:val="00EC2C9D"/>
    <w:rsid w:val="00EC2E59"/>
    <w:rsid w:val="00EC2EA8"/>
    <w:rsid w:val="00EC3451"/>
    <w:rsid w:val="00EC3902"/>
    <w:rsid w:val="00EC39EF"/>
    <w:rsid w:val="00EC3ABD"/>
    <w:rsid w:val="00EC3BE6"/>
    <w:rsid w:val="00EC3CE2"/>
    <w:rsid w:val="00EC3CF4"/>
    <w:rsid w:val="00EC40CE"/>
    <w:rsid w:val="00EC40D7"/>
    <w:rsid w:val="00EC4263"/>
    <w:rsid w:val="00EC481F"/>
    <w:rsid w:val="00EC4876"/>
    <w:rsid w:val="00EC48DD"/>
    <w:rsid w:val="00EC4BA0"/>
    <w:rsid w:val="00EC4CEC"/>
    <w:rsid w:val="00EC5094"/>
    <w:rsid w:val="00EC54ED"/>
    <w:rsid w:val="00EC56E9"/>
    <w:rsid w:val="00EC57D6"/>
    <w:rsid w:val="00EC5A1C"/>
    <w:rsid w:val="00EC5C23"/>
    <w:rsid w:val="00EC5CC6"/>
    <w:rsid w:val="00EC5F59"/>
    <w:rsid w:val="00EC6020"/>
    <w:rsid w:val="00EC6056"/>
    <w:rsid w:val="00EC6135"/>
    <w:rsid w:val="00EC632B"/>
    <w:rsid w:val="00EC65EA"/>
    <w:rsid w:val="00EC6603"/>
    <w:rsid w:val="00EC6699"/>
    <w:rsid w:val="00EC6744"/>
    <w:rsid w:val="00EC67C2"/>
    <w:rsid w:val="00EC68BA"/>
    <w:rsid w:val="00EC6BCF"/>
    <w:rsid w:val="00EC70AB"/>
    <w:rsid w:val="00EC733C"/>
    <w:rsid w:val="00EC748C"/>
    <w:rsid w:val="00EC7744"/>
    <w:rsid w:val="00EC7C4A"/>
    <w:rsid w:val="00EC7D1F"/>
    <w:rsid w:val="00EC7D2E"/>
    <w:rsid w:val="00ED009D"/>
    <w:rsid w:val="00ED03E0"/>
    <w:rsid w:val="00ED042B"/>
    <w:rsid w:val="00ED051A"/>
    <w:rsid w:val="00ED091B"/>
    <w:rsid w:val="00ED0AA0"/>
    <w:rsid w:val="00ED0CD5"/>
    <w:rsid w:val="00ED0CE6"/>
    <w:rsid w:val="00ED0DAD"/>
    <w:rsid w:val="00ED0E59"/>
    <w:rsid w:val="00ED0F46"/>
    <w:rsid w:val="00ED1087"/>
    <w:rsid w:val="00ED1196"/>
    <w:rsid w:val="00ED1229"/>
    <w:rsid w:val="00ED1455"/>
    <w:rsid w:val="00ED1832"/>
    <w:rsid w:val="00ED18A2"/>
    <w:rsid w:val="00ED1907"/>
    <w:rsid w:val="00ED1956"/>
    <w:rsid w:val="00ED1BAB"/>
    <w:rsid w:val="00ED1BB4"/>
    <w:rsid w:val="00ED1D45"/>
    <w:rsid w:val="00ED1D7C"/>
    <w:rsid w:val="00ED20F2"/>
    <w:rsid w:val="00ED2111"/>
    <w:rsid w:val="00ED2373"/>
    <w:rsid w:val="00ED2496"/>
    <w:rsid w:val="00ED24AE"/>
    <w:rsid w:val="00ED2A37"/>
    <w:rsid w:val="00ED2BB7"/>
    <w:rsid w:val="00ED2CF3"/>
    <w:rsid w:val="00ED313A"/>
    <w:rsid w:val="00ED3142"/>
    <w:rsid w:val="00ED32FC"/>
    <w:rsid w:val="00ED334F"/>
    <w:rsid w:val="00ED3448"/>
    <w:rsid w:val="00ED35A2"/>
    <w:rsid w:val="00ED3637"/>
    <w:rsid w:val="00ED391B"/>
    <w:rsid w:val="00ED3A9A"/>
    <w:rsid w:val="00ED3CC5"/>
    <w:rsid w:val="00ED3F2F"/>
    <w:rsid w:val="00ED4231"/>
    <w:rsid w:val="00ED4409"/>
    <w:rsid w:val="00ED4410"/>
    <w:rsid w:val="00ED4516"/>
    <w:rsid w:val="00ED4647"/>
    <w:rsid w:val="00ED48AC"/>
    <w:rsid w:val="00ED496F"/>
    <w:rsid w:val="00ED49A7"/>
    <w:rsid w:val="00ED4A35"/>
    <w:rsid w:val="00ED4C16"/>
    <w:rsid w:val="00ED4C7F"/>
    <w:rsid w:val="00ED4D17"/>
    <w:rsid w:val="00ED4E0A"/>
    <w:rsid w:val="00ED4F3D"/>
    <w:rsid w:val="00ED4F75"/>
    <w:rsid w:val="00ED51F1"/>
    <w:rsid w:val="00ED5479"/>
    <w:rsid w:val="00ED56E0"/>
    <w:rsid w:val="00ED58D5"/>
    <w:rsid w:val="00ED5939"/>
    <w:rsid w:val="00ED5A6B"/>
    <w:rsid w:val="00ED5B6B"/>
    <w:rsid w:val="00ED5D62"/>
    <w:rsid w:val="00ED5DD3"/>
    <w:rsid w:val="00ED5F14"/>
    <w:rsid w:val="00ED6052"/>
    <w:rsid w:val="00ED6223"/>
    <w:rsid w:val="00ED631F"/>
    <w:rsid w:val="00ED6404"/>
    <w:rsid w:val="00ED67D5"/>
    <w:rsid w:val="00ED6C39"/>
    <w:rsid w:val="00ED6E8D"/>
    <w:rsid w:val="00ED6F41"/>
    <w:rsid w:val="00ED71A4"/>
    <w:rsid w:val="00ED71AF"/>
    <w:rsid w:val="00ED7431"/>
    <w:rsid w:val="00ED7439"/>
    <w:rsid w:val="00ED7449"/>
    <w:rsid w:val="00ED745D"/>
    <w:rsid w:val="00ED747B"/>
    <w:rsid w:val="00ED7A79"/>
    <w:rsid w:val="00ED7E8C"/>
    <w:rsid w:val="00ED7EEF"/>
    <w:rsid w:val="00EE00D0"/>
    <w:rsid w:val="00EE0190"/>
    <w:rsid w:val="00EE0259"/>
    <w:rsid w:val="00EE0474"/>
    <w:rsid w:val="00EE0A1F"/>
    <w:rsid w:val="00EE0BDA"/>
    <w:rsid w:val="00EE0D9F"/>
    <w:rsid w:val="00EE0DE1"/>
    <w:rsid w:val="00EE1046"/>
    <w:rsid w:val="00EE1693"/>
    <w:rsid w:val="00EE17EF"/>
    <w:rsid w:val="00EE17FE"/>
    <w:rsid w:val="00EE1AE4"/>
    <w:rsid w:val="00EE1C63"/>
    <w:rsid w:val="00EE1E96"/>
    <w:rsid w:val="00EE1EA2"/>
    <w:rsid w:val="00EE1EE3"/>
    <w:rsid w:val="00EE1F03"/>
    <w:rsid w:val="00EE2146"/>
    <w:rsid w:val="00EE228B"/>
    <w:rsid w:val="00EE232C"/>
    <w:rsid w:val="00EE264E"/>
    <w:rsid w:val="00EE2742"/>
    <w:rsid w:val="00EE27B0"/>
    <w:rsid w:val="00EE282F"/>
    <w:rsid w:val="00EE2B23"/>
    <w:rsid w:val="00EE2C16"/>
    <w:rsid w:val="00EE2D76"/>
    <w:rsid w:val="00EE2F1B"/>
    <w:rsid w:val="00EE30DB"/>
    <w:rsid w:val="00EE3102"/>
    <w:rsid w:val="00EE342E"/>
    <w:rsid w:val="00EE3663"/>
    <w:rsid w:val="00EE366F"/>
    <w:rsid w:val="00EE3734"/>
    <w:rsid w:val="00EE37A0"/>
    <w:rsid w:val="00EE3A72"/>
    <w:rsid w:val="00EE3E8A"/>
    <w:rsid w:val="00EE412C"/>
    <w:rsid w:val="00EE420D"/>
    <w:rsid w:val="00EE4334"/>
    <w:rsid w:val="00EE43B5"/>
    <w:rsid w:val="00EE4645"/>
    <w:rsid w:val="00EE46C2"/>
    <w:rsid w:val="00EE4D3E"/>
    <w:rsid w:val="00EE4F3C"/>
    <w:rsid w:val="00EE5094"/>
    <w:rsid w:val="00EE510E"/>
    <w:rsid w:val="00EE528F"/>
    <w:rsid w:val="00EE552A"/>
    <w:rsid w:val="00EE567C"/>
    <w:rsid w:val="00EE5786"/>
    <w:rsid w:val="00EE57DE"/>
    <w:rsid w:val="00EE584F"/>
    <w:rsid w:val="00EE5E1A"/>
    <w:rsid w:val="00EE6209"/>
    <w:rsid w:val="00EE63AD"/>
    <w:rsid w:val="00EE64BD"/>
    <w:rsid w:val="00EE66D9"/>
    <w:rsid w:val="00EE6728"/>
    <w:rsid w:val="00EE687A"/>
    <w:rsid w:val="00EE692A"/>
    <w:rsid w:val="00EE6A6D"/>
    <w:rsid w:val="00EE6E50"/>
    <w:rsid w:val="00EE71C2"/>
    <w:rsid w:val="00EE736B"/>
    <w:rsid w:val="00EE74E9"/>
    <w:rsid w:val="00EE75B4"/>
    <w:rsid w:val="00EE7770"/>
    <w:rsid w:val="00EE7930"/>
    <w:rsid w:val="00EE79E9"/>
    <w:rsid w:val="00EE7B26"/>
    <w:rsid w:val="00EE7E21"/>
    <w:rsid w:val="00EF0132"/>
    <w:rsid w:val="00EF01A4"/>
    <w:rsid w:val="00EF020A"/>
    <w:rsid w:val="00EF031C"/>
    <w:rsid w:val="00EF0492"/>
    <w:rsid w:val="00EF04F7"/>
    <w:rsid w:val="00EF084A"/>
    <w:rsid w:val="00EF0924"/>
    <w:rsid w:val="00EF09C0"/>
    <w:rsid w:val="00EF0E1A"/>
    <w:rsid w:val="00EF19E2"/>
    <w:rsid w:val="00EF1C78"/>
    <w:rsid w:val="00EF1CA3"/>
    <w:rsid w:val="00EF1E8C"/>
    <w:rsid w:val="00EF1F10"/>
    <w:rsid w:val="00EF1F8A"/>
    <w:rsid w:val="00EF1FB5"/>
    <w:rsid w:val="00EF2005"/>
    <w:rsid w:val="00EF2383"/>
    <w:rsid w:val="00EF2403"/>
    <w:rsid w:val="00EF2646"/>
    <w:rsid w:val="00EF26EB"/>
    <w:rsid w:val="00EF2A2A"/>
    <w:rsid w:val="00EF2C7B"/>
    <w:rsid w:val="00EF2D8E"/>
    <w:rsid w:val="00EF2DA4"/>
    <w:rsid w:val="00EF3523"/>
    <w:rsid w:val="00EF3599"/>
    <w:rsid w:val="00EF35D4"/>
    <w:rsid w:val="00EF365E"/>
    <w:rsid w:val="00EF37F3"/>
    <w:rsid w:val="00EF38CE"/>
    <w:rsid w:val="00EF3FE1"/>
    <w:rsid w:val="00EF401B"/>
    <w:rsid w:val="00EF41F0"/>
    <w:rsid w:val="00EF42C6"/>
    <w:rsid w:val="00EF42D4"/>
    <w:rsid w:val="00EF43F0"/>
    <w:rsid w:val="00EF4A3F"/>
    <w:rsid w:val="00EF4A80"/>
    <w:rsid w:val="00EF4AF6"/>
    <w:rsid w:val="00EF4E2C"/>
    <w:rsid w:val="00EF4EF8"/>
    <w:rsid w:val="00EF5007"/>
    <w:rsid w:val="00EF52C5"/>
    <w:rsid w:val="00EF551E"/>
    <w:rsid w:val="00EF58B2"/>
    <w:rsid w:val="00EF5A06"/>
    <w:rsid w:val="00EF5A78"/>
    <w:rsid w:val="00EF5D93"/>
    <w:rsid w:val="00EF61CD"/>
    <w:rsid w:val="00EF6641"/>
    <w:rsid w:val="00EF6920"/>
    <w:rsid w:val="00EF6B91"/>
    <w:rsid w:val="00EF6D22"/>
    <w:rsid w:val="00EF6E4E"/>
    <w:rsid w:val="00EF6ECA"/>
    <w:rsid w:val="00EF6EFB"/>
    <w:rsid w:val="00EF70F0"/>
    <w:rsid w:val="00EF7213"/>
    <w:rsid w:val="00EF7419"/>
    <w:rsid w:val="00EF7423"/>
    <w:rsid w:val="00EF7557"/>
    <w:rsid w:val="00EF7577"/>
    <w:rsid w:val="00EF765D"/>
    <w:rsid w:val="00EF7820"/>
    <w:rsid w:val="00EF7834"/>
    <w:rsid w:val="00EF78A8"/>
    <w:rsid w:val="00EF78F0"/>
    <w:rsid w:val="00EF7B54"/>
    <w:rsid w:val="00EF7B5A"/>
    <w:rsid w:val="00EF7C04"/>
    <w:rsid w:val="00EF7C72"/>
    <w:rsid w:val="00EF7C8D"/>
    <w:rsid w:val="00EF7D3B"/>
    <w:rsid w:val="00EF7DD4"/>
    <w:rsid w:val="00F0018C"/>
    <w:rsid w:val="00F0020B"/>
    <w:rsid w:val="00F002BD"/>
    <w:rsid w:val="00F00490"/>
    <w:rsid w:val="00F00507"/>
    <w:rsid w:val="00F008D4"/>
    <w:rsid w:val="00F00931"/>
    <w:rsid w:val="00F009FC"/>
    <w:rsid w:val="00F00A6C"/>
    <w:rsid w:val="00F00FA5"/>
    <w:rsid w:val="00F011EB"/>
    <w:rsid w:val="00F0139B"/>
    <w:rsid w:val="00F01447"/>
    <w:rsid w:val="00F016A0"/>
    <w:rsid w:val="00F017F0"/>
    <w:rsid w:val="00F0182E"/>
    <w:rsid w:val="00F01860"/>
    <w:rsid w:val="00F01911"/>
    <w:rsid w:val="00F01A2A"/>
    <w:rsid w:val="00F01B6D"/>
    <w:rsid w:val="00F01BAD"/>
    <w:rsid w:val="00F01CCE"/>
    <w:rsid w:val="00F01D60"/>
    <w:rsid w:val="00F01E18"/>
    <w:rsid w:val="00F01F0B"/>
    <w:rsid w:val="00F02014"/>
    <w:rsid w:val="00F020CA"/>
    <w:rsid w:val="00F020FF"/>
    <w:rsid w:val="00F0220C"/>
    <w:rsid w:val="00F0225D"/>
    <w:rsid w:val="00F0249A"/>
    <w:rsid w:val="00F024E1"/>
    <w:rsid w:val="00F024EB"/>
    <w:rsid w:val="00F02674"/>
    <w:rsid w:val="00F02D4A"/>
    <w:rsid w:val="00F02D8F"/>
    <w:rsid w:val="00F03083"/>
    <w:rsid w:val="00F03545"/>
    <w:rsid w:val="00F035EE"/>
    <w:rsid w:val="00F036A6"/>
    <w:rsid w:val="00F037D8"/>
    <w:rsid w:val="00F0391D"/>
    <w:rsid w:val="00F03929"/>
    <w:rsid w:val="00F04227"/>
    <w:rsid w:val="00F043EB"/>
    <w:rsid w:val="00F04567"/>
    <w:rsid w:val="00F04708"/>
    <w:rsid w:val="00F0472A"/>
    <w:rsid w:val="00F04794"/>
    <w:rsid w:val="00F047A1"/>
    <w:rsid w:val="00F047F5"/>
    <w:rsid w:val="00F049F6"/>
    <w:rsid w:val="00F04A73"/>
    <w:rsid w:val="00F04A8F"/>
    <w:rsid w:val="00F04C13"/>
    <w:rsid w:val="00F04DE6"/>
    <w:rsid w:val="00F04E47"/>
    <w:rsid w:val="00F04EDE"/>
    <w:rsid w:val="00F05010"/>
    <w:rsid w:val="00F050DB"/>
    <w:rsid w:val="00F05248"/>
    <w:rsid w:val="00F05765"/>
    <w:rsid w:val="00F059DC"/>
    <w:rsid w:val="00F05A08"/>
    <w:rsid w:val="00F05BE8"/>
    <w:rsid w:val="00F05C1C"/>
    <w:rsid w:val="00F05D60"/>
    <w:rsid w:val="00F06430"/>
    <w:rsid w:val="00F065E2"/>
    <w:rsid w:val="00F06973"/>
    <w:rsid w:val="00F06ABB"/>
    <w:rsid w:val="00F06C04"/>
    <w:rsid w:val="00F06C10"/>
    <w:rsid w:val="00F06DC9"/>
    <w:rsid w:val="00F06E59"/>
    <w:rsid w:val="00F06E81"/>
    <w:rsid w:val="00F07498"/>
    <w:rsid w:val="00F100A4"/>
    <w:rsid w:val="00F103D4"/>
    <w:rsid w:val="00F10418"/>
    <w:rsid w:val="00F104D1"/>
    <w:rsid w:val="00F10531"/>
    <w:rsid w:val="00F1059F"/>
    <w:rsid w:val="00F1061A"/>
    <w:rsid w:val="00F108EA"/>
    <w:rsid w:val="00F1096F"/>
    <w:rsid w:val="00F10D94"/>
    <w:rsid w:val="00F10E47"/>
    <w:rsid w:val="00F10F65"/>
    <w:rsid w:val="00F10FFD"/>
    <w:rsid w:val="00F1124C"/>
    <w:rsid w:val="00F113CE"/>
    <w:rsid w:val="00F11557"/>
    <w:rsid w:val="00F116E6"/>
    <w:rsid w:val="00F11925"/>
    <w:rsid w:val="00F11BBE"/>
    <w:rsid w:val="00F11BD8"/>
    <w:rsid w:val="00F11CF6"/>
    <w:rsid w:val="00F11E9C"/>
    <w:rsid w:val="00F11F1E"/>
    <w:rsid w:val="00F1210D"/>
    <w:rsid w:val="00F12178"/>
    <w:rsid w:val="00F12392"/>
    <w:rsid w:val="00F1245E"/>
    <w:rsid w:val="00F12503"/>
    <w:rsid w:val="00F12589"/>
    <w:rsid w:val="00F12595"/>
    <w:rsid w:val="00F12A7E"/>
    <w:rsid w:val="00F12B8F"/>
    <w:rsid w:val="00F12BA0"/>
    <w:rsid w:val="00F12BA3"/>
    <w:rsid w:val="00F12DD2"/>
    <w:rsid w:val="00F12E2C"/>
    <w:rsid w:val="00F12F62"/>
    <w:rsid w:val="00F12FC1"/>
    <w:rsid w:val="00F12FFA"/>
    <w:rsid w:val="00F130CE"/>
    <w:rsid w:val="00F134D9"/>
    <w:rsid w:val="00F13595"/>
    <w:rsid w:val="00F13692"/>
    <w:rsid w:val="00F1377D"/>
    <w:rsid w:val="00F13AAD"/>
    <w:rsid w:val="00F13F04"/>
    <w:rsid w:val="00F1403D"/>
    <w:rsid w:val="00F140A8"/>
    <w:rsid w:val="00F144DF"/>
    <w:rsid w:val="00F14524"/>
    <w:rsid w:val="00F1463F"/>
    <w:rsid w:val="00F14899"/>
    <w:rsid w:val="00F14984"/>
    <w:rsid w:val="00F14AA5"/>
    <w:rsid w:val="00F14C62"/>
    <w:rsid w:val="00F14DC0"/>
    <w:rsid w:val="00F15492"/>
    <w:rsid w:val="00F154DD"/>
    <w:rsid w:val="00F1563C"/>
    <w:rsid w:val="00F156B5"/>
    <w:rsid w:val="00F15802"/>
    <w:rsid w:val="00F15AE9"/>
    <w:rsid w:val="00F15BA5"/>
    <w:rsid w:val="00F15BF4"/>
    <w:rsid w:val="00F15E69"/>
    <w:rsid w:val="00F15ED6"/>
    <w:rsid w:val="00F16074"/>
    <w:rsid w:val="00F160E0"/>
    <w:rsid w:val="00F164D3"/>
    <w:rsid w:val="00F165B5"/>
    <w:rsid w:val="00F16602"/>
    <w:rsid w:val="00F16828"/>
    <w:rsid w:val="00F16915"/>
    <w:rsid w:val="00F16F7E"/>
    <w:rsid w:val="00F16F82"/>
    <w:rsid w:val="00F16FA6"/>
    <w:rsid w:val="00F172B9"/>
    <w:rsid w:val="00F173F9"/>
    <w:rsid w:val="00F174B2"/>
    <w:rsid w:val="00F17607"/>
    <w:rsid w:val="00F17A40"/>
    <w:rsid w:val="00F17AF6"/>
    <w:rsid w:val="00F17AFA"/>
    <w:rsid w:val="00F17D4D"/>
    <w:rsid w:val="00F17F47"/>
    <w:rsid w:val="00F17FBA"/>
    <w:rsid w:val="00F17FD3"/>
    <w:rsid w:val="00F17FFC"/>
    <w:rsid w:val="00F20171"/>
    <w:rsid w:val="00F20176"/>
    <w:rsid w:val="00F202A0"/>
    <w:rsid w:val="00F204D7"/>
    <w:rsid w:val="00F20699"/>
    <w:rsid w:val="00F2093D"/>
    <w:rsid w:val="00F20A24"/>
    <w:rsid w:val="00F20A5E"/>
    <w:rsid w:val="00F20B35"/>
    <w:rsid w:val="00F20BB8"/>
    <w:rsid w:val="00F20BF0"/>
    <w:rsid w:val="00F20ED2"/>
    <w:rsid w:val="00F210DF"/>
    <w:rsid w:val="00F21302"/>
    <w:rsid w:val="00F21659"/>
    <w:rsid w:val="00F21929"/>
    <w:rsid w:val="00F21BED"/>
    <w:rsid w:val="00F21E31"/>
    <w:rsid w:val="00F2210A"/>
    <w:rsid w:val="00F223F5"/>
    <w:rsid w:val="00F2258F"/>
    <w:rsid w:val="00F22653"/>
    <w:rsid w:val="00F2299B"/>
    <w:rsid w:val="00F22E80"/>
    <w:rsid w:val="00F22F76"/>
    <w:rsid w:val="00F22F85"/>
    <w:rsid w:val="00F23006"/>
    <w:rsid w:val="00F2303F"/>
    <w:rsid w:val="00F2305F"/>
    <w:rsid w:val="00F2310B"/>
    <w:rsid w:val="00F2319E"/>
    <w:rsid w:val="00F23414"/>
    <w:rsid w:val="00F234A6"/>
    <w:rsid w:val="00F234EC"/>
    <w:rsid w:val="00F235ED"/>
    <w:rsid w:val="00F23782"/>
    <w:rsid w:val="00F2392F"/>
    <w:rsid w:val="00F23982"/>
    <w:rsid w:val="00F23A3B"/>
    <w:rsid w:val="00F23B60"/>
    <w:rsid w:val="00F23DAA"/>
    <w:rsid w:val="00F23E52"/>
    <w:rsid w:val="00F23F91"/>
    <w:rsid w:val="00F23FC4"/>
    <w:rsid w:val="00F24088"/>
    <w:rsid w:val="00F240ED"/>
    <w:rsid w:val="00F2410F"/>
    <w:rsid w:val="00F24421"/>
    <w:rsid w:val="00F246DF"/>
    <w:rsid w:val="00F246E0"/>
    <w:rsid w:val="00F2487B"/>
    <w:rsid w:val="00F248C4"/>
    <w:rsid w:val="00F24B67"/>
    <w:rsid w:val="00F24BDD"/>
    <w:rsid w:val="00F24C14"/>
    <w:rsid w:val="00F24C48"/>
    <w:rsid w:val="00F24CC3"/>
    <w:rsid w:val="00F24DB3"/>
    <w:rsid w:val="00F24E01"/>
    <w:rsid w:val="00F24EF0"/>
    <w:rsid w:val="00F25198"/>
    <w:rsid w:val="00F251E2"/>
    <w:rsid w:val="00F25241"/>
    <w:rsid w:val="00F25478"/>
    <w:rsid w:val="00F2577C"/>
    <w:rsid w:val="00F25900"/>
    <w:rsid w:val="00F2598A"/>
    <w:rsid w:val="00F259DF"/>
    <w:rsid w:val="00F25BB2"/>
    <w:rsid w:val="00F25BBC"/>
    <w:rsid w:val="00F25C3C"/>
    <w:rsid w:val="00F25D41"/>
    <w:rsid w:val="00F25F29"/>
    <w:rsid w:val="00F26206"/>
    <w:rsid w:val="00F2629F"/>
    <w:rsid w:val="00F26301"/>
    <w:rsid w:val="00F26389"/>
    <w:rsid w:val="00F2641A"/>
    <w:rsid w:val="00F26482"/>
    <w:rsid w:val="00F265BC"/>
    <w:rsid w:val="00F266DD"/>
    <w:rsid w:val="00F26706"/>
    <w:rsid w:val="00F26DC0"/>
    <w:rsid w:val="00F26E91"/>
    <w:rsid w:val="00F26F54"/>
    <w:rsid w:val="00F27020"/>
    <w:rsid w:val="00F273C2"/>
    <w:rsid w:val="00F277A8"/>
    <w:rsid w:val="00F277C2"/>
    <w:rsid w:val="00F278A5"/>
    <w:rsid w:val="00F27BBF"/>
    <w:rsid w:val="00F27BE2"/>
    <w:rsid w:val="00F27CAB"/>
    <w:rsid w:val="00F27EF9"/>
    <w:rsid w:val="00F27FD2"/>
    <w:rsid w:val="00F30138"/>
    <w:rsid w:val="00F302D6"/>
    <w:rsid w:val="00F306B2"/>
    <w:rsid w:val="00F306FE"/>
    <w:rsid w:val="00F309ED"/>
    <w:rsid w:val="00F30A63"/>
    <w:rsid w:val="00F30D39"/>
    <w:rsid w:val="00F30E6A"/>
    <w:rsid w:val="00F30EB2"/>
    <w:rsid w:val="00F30F83"/>
    <w:rsid w:val="00F31146"/>
    <w:rsid w:val="00F31478"/>
    <w:rsid w:val="00F315BA"/>
    <w:rsid w:val="00F31ADF"/>
    <w:rsid w:val="00F31BEF"/>
    <w:rsid w:val="00F31CF0"/>
    <w:rsid w:val="00F31DF9"/>
    <w:rsid w:val="00F31E3C"/>
    <w:rsid w:val="00F31E7B"/>
    <w:rsid w:val="00F31F49"/>
    <w:rsid w:val="00F31F4C"/>
    <w:rsid w:val="00F3217D"/>
    <w:rsid w:val="00F321DE"/>
    <w:rsid w:val="00F32314"/>
    <w:rsid w:val="00F323A6"/>
    <w:rsid w:val="00F32579"/>
    <w:rsid w:val="00F325AB"/>
    <w:rsid w:val="00F3297F"/>
    <w:rsid w:val="00F32A20"/>
    <w:rsid w:val="00F32A39"/>
    <w:rsid w:val="00F32E2B"/>
    <w:rsid w:val="00F33167"/>
    <w:rsid w:val="00F333FD"/>
    <w:rsid w:val="00F33744"/>
    <w:rsid w:val="00F33745"/>
    <w:rsid w:val="00F33777"/>
    <w:rsid w:val="00F33794"/>
    <w:rsid w:val="00F337D6"/>
    <w:rsid w:val="00F33AE7"/>
    <w:rsid w:val="00F33AEC"/>
    <w:rsid w:val="00F33C68"/>
    <w:rsid w:val="00F33E50"/>
    <w:rsid w:val="00F340CE"/>
    <w:rsid w:val="00F34138"/>
    <w:rsid w:val="00F34216"/>
    <w:rsid w:val="00F342E5"/>
    <w:rsid w:val="00F3438B"/>
    <w:rsid w:val="00F343E0"/>
    <w:rsid w:val="00F34621"/>
    <w:rsid w:val="00F349F2"/>
    <w:rsid w:val="00F34AEE"/>
    <w:rsid w:val="00F34FE5"/>
    <w:rsid w:val="00F351C8"/>
    <w:rsid w:val="00F35335"/>
    <w:rsid w:val="00F354E9"/>
    <w:rsid w:val="00F35513"/>
    <w:rsid w:val="00F35598"/>
    <w:rsid w:val="00F3572B"/>
    <w:rsid w:val="00F3596C"/>
    <w:rsid w:val="00F35A77"/>
    <w:rsid w:val="00F35D5F"/>
    <w:rsid w:val="00F36072"/>
    <w:rsid w:val="00F3629C"/>
    <w:rsid w:val="00F367D4"/>
    <w:rsid w:val="00F3689A"/>
    <w:rsid w:val="00F36921"/>
    <w:rsid w:val="00F3694E"/>
    <w:rsid w:val="00F36A18"/>
    <w:rsid w:val="00F36ADB"/>
    <w:rsid w:val="00F36B38"/>
    <w:rsid w:val="00F36E2A"/>
    <w:rsid w:val="00F371CE"/>
    <w:rsid w:val="00F37515"/>
    <w:rsid w:val="00F3788B"/>
    <w:rsid w:val="00F3791A"/>
    <w:rsid w:val="00F37A42"/>
    <w:rsid w:val="00F37C98"/>
    <w:rsid w:val="00F37CF6"/>
    <w:rsid w:val="00F37D92"/>
    <w:rsid w:val="00F401B7"/>
    <w:rsid w:val="00F403A4"/>
    <w:rsid w:val="00F40648"/>
    <w:rsid w:val="00F40796"/>
    <w:rsid w:val="00F40A83"/>
    <w:rsid w:val="00F40B47"/>
    <w:rsid w:val="00F40BA7"/>
    <w:rsid w:val="00F40CDA"/>
    <w:rsid w:val="00F40FAB"/>
    <w:rsid w:val="00F412AC"/>
    <w:rsid w:val="00F4137C"/>
    <w:rsid w:val="00F416F1"/>
    <w:rsid w:val="00F417CB"/>
    <w:rsid w:val="00F418C6"/>
    <w:rsid w:val="00F41936"/>
    <w:rsid w:val="00F4198B"/>
    <w:rsid w:val="00F41B61"/>
    <w:rsid w:val="00F41CE3"/>
    <w:rsid w:val="00F41DD5"/>
    <w:rsid w:val="00F41FBE"/>
    <w:rsid w:val="00F42166"/>
    <w:rsid w:val="00F42172"/>
    <w:rsid w:val="00F426BF"/>
    <w:rsid w:val="00F42792"/>
    <w:rsid w:val="00F427C7"/>
    <w:rsid w:val="00F42972"/>
    <w:rsid w:val="00F42C66"/>
    <w:rsid w:val="00F42CE6"/>
    <w:rsid w:val="00F4301F"/>
    <w:rsid w:val="00F431B7"/>
    <w:rsid w:val="00F432C8"/>
    <w:rsid w:val="00F4341F"/>
    <w:rsid w:val="00F436A6"/>
    <w:rsid w:val="00F437F0"/>
    <w:rsid w:val="00F4383E"/>
    <w:rsid w:val="00F438AB"/>
    <w:rsid w:val="00F43ACA"/>
    <w:rsid w:val="00F43B4B"/>
    <w:rsid w:val="00F43C8E"/>
    <w:rsid w:val="00F43CD4"/>
    <w:rsid w:val="00F43EA3"/>
    <w:rsid w:val="00F43FBC"/>
    <w:rsid w:val="00F440EF"/>
    <w:rsid w:val="00F44328"/>
    <w:rsid w:val="00F44341"/>
    <w:rsid w:val="00F443A9"/>
    <w:rsid w:val="00F4444B"/>
    <w:rsid w:val="00F444B7"/>
    <w:rsid w:val="00F4471E"/>
    <w:rsid w:val="00F44803"/>
    <w:rsid w:val="00F448DF"/>
    <w:rsid w:val="00F44C95"/>
    <w:rsid w:val="00F44DBA"/>
    <w:rsid w:val="00F44FFC"/>
    <w:rsid w:val="00F45340"/>
    <w:rsid w:val="00F454BE"/>
    <w:rsid w:val="00F454D4"/>
    <w:rsid w:val="00F455D8"/>
    <w:rsid w:val="00F45A4B"/>
    <w:rsid w:val="00F45AA9"/>
    <w:rsid w:val="00F45B8F"/>
    <w:rsid w:val="00F45DAE"/>
    <w:rsid w:val="00F467A5"/>
    <w:rsid w:val="00F467E8"/>
    <w:rsid w:val="00F468B2"/>
    <w:rsid w:val="00F468B5"/>
    <w:rsid w:val="00F46EA2"/>
    <w:rsid w:val="00F4709B"/>
    <w:rsid w:val="00F471FC"/>
    <w:rsid w:val="00F47441"/>
    <w:rsid w:val="00F47646"/>
    <w:rsid w:val="00F4788A"/>
    <w:rsid w:val="00F479BB"/>
    <w:rsid w:val="00F479E9"/>
    <w:rsid w:val="00F47DA2"/>
    <w:rsid w:val="00F47ECC"/>
    <w:rsid w:val="00F50041"/>
    <w:rsid w:val="00F50310"/>
    <w:rsid w:val="00F505E4"/>
    <w:rsid w:val="00F50932"/>
    <w:rsid w:val="00F50A11"/>
    <w:rsid w:val="00F50FA0"/>
    <w:rsid w:val="00F51133"/>
    <w:rsid w:val="00F51366"/>
    <w:rsid w:val="00F5139B"/>
    <w:rsid w:val="00F514C9"/>
    <w:rsid w:val="00F51595"/>
    <w:rsid w:val="00F515FE"/>
    <w:rsid w:val="00F5163C"/>
    <w:rsid w:val="00F51705"/>
    <w:rsid w:val="00F517F0"/>
    <w:rsid w:val="00F519FC"/>
    <w:rsid w:val="00F51AC3"/>
    <w:rsid w:val="00F51BC1"/>
    <w:rsid w:val="00F51C94"/>
    <w:rsid w:val="00F51D0B"/>
    <w:rsid w:val="00F51FAD"/>
    <w:rsid w:val="00F520B0"/>
    <w:rsid w:val="00F521EA"/>
    <w:rsid w:val="00F524FA"/>
    <w:rsid w:val="00F5265E"/>
    <w:rsid w:val="00F5290C"/>
    <w:rsid w:val="00F52C65"/>
    <w:rsid w:val="00F52D16"/>
    <w:rsid w:val="00F52E8A"/>
    <w:rsid w:val="00F52F2D"/>
    <w:rsid w:val="00F530E8"/>
    <w:rsid w:val="00F53389"/>
    <w:rsid w:val="00F53508"/>
    <w:rsid w:val="00F53684"/>
    <w:rsid w:val="00F537EE"/>
    <w:rsid w:val="00F538A9"/>
    <w:rsid w:val="00F53AD8"/>
    <w:rsid w:val="00F53C73"/>
    <w:rsid w:val="00F53EC3"/>
    <w:rsid w:val="00F54102"/>
    <w:rsid w:val="00F54105"/>
    <w:rsid w:val="00F54131"/>
    <w:rsid w:val="00F543B7"/>
    <w:rsid w:val="00F544AE"/>
    <w:rsid w:val="00F54535"/>
    <w:rsid w:val="00F5460F"/>
    <w:rsid w:val="00F5468D"/>
    <w:rsid w:val="00F547C9"/>
    <w:rsid w:val="00F547CC"/>
    <w:rsid w:val="00F54877"/>
    <w:rsid w:val="00F548D2"/>
    <w:rsid w:val="00F5496E"/>
    <w:rsid w:val="00F54DDC"/>
    <w:rsid w:val="00F551EF"/>
    <w:rsid w:val="00F5540A"/>
    <w:rsid w:val="00F5557E"/>
    <w:rsid w:val="00F55612"/>
    <w:rsid w:val="00F55750"/>
    <w:rsid w:val="00F557F2"/>
    <w:rsid w:val="00F55A5E"/>
    <w:rsid w:val="00F55FCC"/>
    <w:rsid w:val="00F563A9"/>
    <w:rsid w:val="00F563EC"/>
    <w:rsid w:val="00F56791"/>
    <w:rsid w:val="00F56DB9"/>
    <w:rsid w:val="00F56EDC"/>
    <w:rsid w:val="00F571A1"/>
    <w:rsid w:val="00F575E4"/>
    <w:rsid w:val="00F578C0"/>
    <w:rsid w:val="00F5796B"/>
    <w:rsid w:val="00F57B29"/>
    <w:rsid w:val="00F57E7B"/>
    <w:rsid w:val="00F57E81"/>
    <w:rsid w:val="00F57EC4"/>
    <w:rsid w:val="00F600B7"/>
    <w:rsid w:val="00F60274"/>
    <w:rsid w:val="00F6063C"/>
    <w:rsid w:val="00F607A8"/>
    <w:rsid w:val="00F607F1"/>
    <w:rsid w:val="00F6095A"/>
    <w:rsid w:val="00F60A21"/>
    <w:rsid w:val="00F60B0E"/>
    <w:rsid w:val="00F60BAE"/>
    <w:rsid w:val="00F60C9C"/>
    <w:rsid w:val="00F61030"/>
    <w:rsid w:val="00F613CD"/>
    <w:rsid w:val="00F613D4"/>
    <w:rsid w:val="00F613E4"/>
    <w:rsid w:val="00F61457"/>
    <w:rsid w:val="00F61558"/>
    <w:rsid w:val="00F61654"/>
    <w:rsid w:val="00F61784"/>
    <w:rsid w:val="00F61B98"/>
    <w:rsid w:val="00F61E11"/>
    <w:rsid w:val="00F62064"/>
    <w:rsid w:val="00F62104"/>
    <w:rsid w:val="00F6239D"/>
    <w:rsid w:val="00F6252B"/>
    <w:rsid w:val="00F625DA"/>
    <w:rsid w:val="00F6264A"/>
    <w:rsid w:val="00F626A4"/>
    <w:rsid w:val="00F626E9"/>
    <w:rsid w:val="00F62743"/>
    <w:rsid w:val="00F628AD"/>
    <w:rsid w:val="00F62CC5"/>
    <w:rsid w:val="00F62FE1"/>
    <w:rsid w:val="00F6302A"/>
    <w:rsid w:val="00F634A4"/>
    <w:rsid w:val="00F63586"/>
    <w:rsid w:val="00F63683"/>
    <w:rsid w:val="00F638BA"/>
    <w:rsid w:val="00F63985"/>
    <w:rsid w:val="00F639C0"/>
    <w:rsid w:val="00F63A4D"/>
    <w:rsid w:val="00F63ADE"/>
    <w:rsid w:val="00F63AE6"/>
    <w:rsid w:val="00F63B45"/>
    <w:rsid w:val="00F63C7C"/>
    <w:rsid w:val="00F63D04"/>
    <w:rsid w:val="00F6423C"/>
    <w:rsid w:val="00F64289"/>
    <w:rsid w:val="00F642CE"/>
    <w:rsid w:val="00F6432E"/>
    <w:rsid w:val="00F64534"/>
    <w:rsid w:val="00F64848"/>
    <w:rsid w:val="00F64953"/>
    <w:rsid w:val="00F649F8"/>
    <w:rsid w:val="00F64B06"/>
    <w:rsid w:val="00F64E65"/>
    <w:rsid w:val="00F64EF6"/>
    <w:rsid w:val="00F65399"/>
    <w:rsid w:val="00F65462"/>
    <w:rsid w:val="00F65589"/>
    <w:rsid w:val="00F65595"/>
    <w:rsid w:val="00F657CF"/>
    <w:rsid w:val="00F65866"/>
    <w:rsid w:val="00F65DC9"/>
    <w:rsid w:val="00F65F45"/>
    <w:rsid w:val="00F66060"/>
    <w:rsid w:val="00F6610F"/>
    <w:rsid w:val="00F66189"/>
    <w:rsid w:val="00F664BA"/>
    <w:rsid w:val="00F66626"/>
    <w:rsid w:val="00F66719"/>
    <w:rsid w:val="00F66861"/>
    <w:rsid w:val="00F669A2"/>
    <w:rsid w:val="00F66AE1"/>
    <w:rsid w:val="00F66BF2"/>
    <w:rsid w:val="00F66E7F"/>
    <w:rsid w:val="00F66EEB"/>
    <w:rsid w:val="00F66F96"/>
    <w:rsid w:val="00F66FFC"/>
    <w:rsid w:val="00F6715F"/>
    <w:rsid w:val="00F6716C"/>
    <w:rsid w:val="00F672E3"/>
    <w:rsid w:val="00F6738E"/>
    <w:rsid w:val="00F67457"/>
    <w:rsid w:val="00F67659"/>
    <w:rsid w:val="00F67667"/>
    <w:rsid w:val="00F67A10"/>
    <w:rsid w:val="00F67B35"/>
    <w:rsid w:val="00F67CCF"/>
    <w:rsid w:val="00F67E41"/>
    <w:rsid w:val="00F67FC5"/>
    <w:rsid w:val="00F7026A"/>
    <w:rsid w:val="00F705AF"/>
    <w:rsid w:val="00F70625"/>
    <w:rsid w:val="00F70850"/>
    <w:rsid w:val="00F70D8F"/>
    <w:rsid w:val="00F70F61"/>
    <w:rsid w:val="00F71205"/>
    <w:rsid w:val="00F714A0"/>
    <w:rsid w:val="00F715D2"/>
    <w:rsid w:val="00F71644"/>
    <w:rsid w:val="00F71774"/>
    <w:rsid w:val="00F71820"/>
    <w:rsid w:val="00F71B0A"/>
    <w:rsid w:val="00F71C12"/>
    <w:rsid w:val="00F71C84"/>
    <w:rsid w:val="00F71E55"/>
    <w:rsid w:val="00F71EA9"/>
    <w:rsid w:val="00F71F22"/>
    <w:rsid w:val="00F7210B"/>
    <w:rsid w:val="00F721CC"/>
    <w:rsid w:val="00F72293"/>
    <w:rsid w:val="00F7274F"/>
    <w:rsid w:val="00F728AA"/>
    <w:rsid w:val="00F729E6"/>
    <w:rsid w:val="00F72A6A"/>
    <w:rsid w:val="00F72AD1"/>
    <w:rsid w:val="00F72F87"/>
    <w:rsid w:val="00F731F3"/>
    <w:rsid w:val="00F73356"/>
    <w:rsid w:val="00F73555"/>
    <w:rsid w:val="00F7359B"/>
    <w:rsid w:val="00F7374E"/>
    <w:rsid w:val="00F73912"/>
    <w:rsid w:val="00F7399B"/>
    <w:rsid w:val="00F73CCE"/>
    <w:rsid w:val="00F73DAE"/>
    <w:rsid w:val="00F73DEF"/>
    <w:rsid w:val="00F73F49"/>
    <w:rsid w:val="00F7407A"/>
    <w:rsid w:val="00F74127"/>
    <w:rsid w:val="00F7413B"/>
    <w:rsid w:val="00F7414B"/>
    <w:rsid w:val="00F742E5"/>
    <w:rsid w:val="00F74368"/>
    <w:rsid w:val="00F7437C"/>
    <w:rsid w:val="00F74427"/>
    <w:rsid w:val="00F7446F"/>
    <w:rsid w:val="00F7449E"/>
    <w:rsid w:val="00F7467B"/>
    <w:rsid w:val="00F748D8"/>
    <w:rsid w:val="00F749BE"/>
    <w:rsid w:val="00F74A0A"/>
    <w:rsid w:val="00F74BC3"/>
    <w:rsid w:val="00F74E30"/>
    <w:rsid w:val="00F74E40"/>
    <w:rsid w:val="00F74E51"/>
    <w:rsid w:val="00F751A2"/>
    <w:rsid w:val="00F75559"/>
    <w:rsid w:val="00F75569"/>
    <w:rsid w:val="00F755C8"/>
    <w:rsid w:val="00F7592C"/>
    <w:rsid w:val="00F759B6"/>
    <w:rsid w:val="00F75E19"/>
    <w:rsid w:val="00F75F26"/>
    <w:rsid w:val="00F76075"/>
    <w:rsid w:val="00F7612E"/>
    <w:rsid w:val="00F76367"/>
    <w:rsid w:val="00F7653F"/>
    <w:rsid w:val="00F76543"/>
    <w:rsid w:val="00F76686"/>
    <w:rsid w:val="00F76714"/>
    <w:rsid w:val="00F768F7"/>
    <w:rsid w:val="00F76A33"/>
    <w:rsid w:val="00F76C69"/>
    <w:rsid w:val="00F76CBD"/>
    <w:rsid w:val="00F76CEA"/>
    <w:rsid w:val="00F76D8A"/>
    <w:rsid w:val="00F76E5E"/>
    <w:rsid w:val="00F76FA8"/>
    <w:rsid w:val="00F770CF"/>
    <w:rsid w:val="00F77142"/>
    <w:rsid w:val="00F7727A"/>
    <w:rsid w:val="00F7728D"/>
    <w:rsid w:val="00F773E2"/>
    <w:rsid w:val="00F7741E"/>
    <w:rsid w:val="00F7759C"/>
    <w:rsid w:val="00F77660"/>
    <w:rsid w:val="00F77727"/>
    <w:rsid w:val="00F77899"/>
    <w:rsid w:val="00F77B49"/>
    <w:rsid w:val="00F77B92"/>
    <w:rsid w:val="00F77BD6"/>
    <w:rsid w:val="00F77C6C"/>
    <w:rsid w:val="00F77E77"/>
    <w:rsid w:val="00F77EFC"/>
    <w:rsid w:val="00F77F20"/>
    <w:rsid w:val="00F80183"/>
    <w:rsid w:val="00F801A8"/>
    <w:rsid w:val="00F8047C"/>
    <w:rsid w:val="00F804AE"/>
    <w:rsid w:val="00F80690"/>
    <w:rsid w:val="00F807FD"/>
    <w:rsid w:val="00F80868"/>
    <w:rsid w:val="00F80956"/>
    <w:rsid w:val="00F80CBF"/>
    <w:rsid w:val="00F80CF1"/>
    <w:rsid w:val="00F80E12"/>
    <w:rsid w:val="00F80F9D"/>
    <w:rsid w:val="00F81254"/>
    <w:rsid w:val="00F8132D"/>
    <w:rsid w:val="00F81679"/>
    <w:rsid w:val="00F8179C"/>
    <w:rsid w:val="00F8183D"/>
    <w:rsid w:val="00F81AEC"/>
    <w:rsid w:val="00F81C46"/>
    <w:rsid w:val="00F81D12"/>
    <w:rsid w:val="00F81D52"/>
    <w:rsid w:val="00F82050"/>
    <w:rsid w:val="00F8219D"/>
    <w:rsid w:val="00F8283F"/>
    <w:rsid w:val="00F828AF"/>
    <w:rsid w:val="00F828DB"/>
    <w:rsid w:val="00F82C32"/>
    <w:rsid w:val="00F82DA3"/>
    <w:rsid w:val="00F83074"/>
    <w:rsid w:val="00F8319E"/>
    <w:rsid w:val="00F836DD"/>
    <w:rsid w:val="00F8378A"/>
    <w:rsid w:val="00F83833"/>
    <w:rsid w:val="00F83917"/>
    <w:rsid w:val="00F83979"/>
    <w:rsid w:val="00F83A02"/>
    <w:rsid w:val="00F83B9A"/>
    <w:rsid w:val="00F83C02"/>
    <w:rsid w:val="00F840B4"/>
    <w:rsid w:val="00F8446C"/>
    <w:rsid w:val="00F84A2C"/>
    <w:rsid w:val="00F84BA0"/>
    <w:rsid w:val="00F84D0B"/>
    <w:rsid w:val="00F84E08"/>
    <w:rsid w:val="00F84ED5"/>
    <w:rsid w:val="00F84F26"/>
    <w:rsid w:val="00F850A6"/>
    <w:rsid w:val="00F85133"/>
    <w:rsid w:val="00F8513B"/>
    <w:rsid w:val="00F852BD"/>
    <w:rsid w:val="00F852CA"/>
    <w:rsid w:val="00F854C6"/>
    <w:rsid w:val="00F85658"/>
    <w:rsid w:val="00F857F5"/>
    <w:rsid w:val="00F85841"/>
    <w:rsid w:val="00F858B0"/>
    <w:rsid w:val="00F858D5"/>
    <w:rsid w:val="00F858EF"/>
    <w:rsid w:val="00F8592B"/>
    <w:rsid w:val="00F859E1"/>
    <w:rsid w:val="00F85A67"/>
    <w:rsid w:val="00F85A88"/>
    <w:rsid w:val="00F85C61"/>
    <w:rsid w:val="00F85FA6"/>
    <w:rsid w:val="00F8604C"/>
    <w:rsid w:val="00F860E8"/>
    <w:rsid w:val="00F86233"/>
    <w:rsid w:val="00F862B2"/>
    <w:rsid w:val="00F86341"/>
    <w:rsid w:val="00F864F0"/>
    <w:rsid w:val="00F86515"/>
    <w:rsid w:val="00F8695D"/>
    <w:rsid w:val="00F86B41"/>
    <w:rsid w:val="00F86F52"/>
    <w:rsid w:val="00F87318"/>
    <w:rsid w:val="00F87579"/>
    <w:rsid w:val="00F876E8"/>
    <w:rsid w:val="00F87722"/>
    <w:rsid w:val="00F8790F"/>
    <w:rsid w:val="00F87937"/>
    <w:rsid w:val="00F879FC"/>
    <w:rsid w:val="00F87A3E"/>
    <w:rsid w:val="00F87D64"/>
    <w:rsid w:val="00F901A6"/>
    <w:rsid w:val="00F90391"/>
    <w:rsid w:val="00F90508"/>
    <w:rsid w:val="00F9059F"/>
    <w:rsid w:val="00F90649"/>
    <w:rsid w:val="00F906EF"/>
    <w:rsid w:val="00F90A3C"/>
    <w:rsid w:val="00F90BF4"/>
    <w:rsid w:val="00F90CEF"/>
    <w:rsid w:val="00F90D5A"/>
    <w:rsid w:val="00F90F36"/>
    <w:rsid w:val="00F90FC2"/>
    <w:rsid w:val="00F91454"/>
    <w:rsid w:val="00F915A0"/>
    <w:rsid w:val="00F915FA"/>
    <w:rsid w:val="00F9175C"/>
    <w:rsid w:val="00F917F4"/>
    <w:rsid w:val="00F91CDD"/>
    <w:rsid w:val="00F91D3C"/>
    <w:rsid w:val="00F91FC0"/>
    <w:rsid w:val="00F92043"/>
    <w:rsid w:val="00F92287"/>
    <w:rsid w:val="00F9241C"/>
    <w:rsid w:val="00F924E9"/>
    <w:rsid w:val="00F92638"/>
    <w:rsid w:val="00F927A2"/>
    <w:rsid w:val="00F92CD0"/>
    <w:rsid w:val="00F92D0F"/>
    <w:rsid w:val="00F92D43"/>
    <w:rsid w:val="00F92E86"/>
    <w:rsid w:val="00F92FDB"/>
    <w:rsid w:val="00F931CA"/>
    <w:rsid w:val="00F93304"/>
    <w:rsid w:val="00F93793"/>
    <w:rsid w:val="00F93A88"/>
    <w:rsid w:val="00F93C73"/>
    <w:rsid w:val="00F93EC0"/>
    <w:rsid w:val="00F93F08"/>
    <w:rsid w:val="00F9426D"/>
    <w:rsid w:val="00F942CA"/>
    <w:rsid w:val="00F94424"/>
    <w:rsid w:val="00F9452D"/>
    <w:rsid w:val="00F947AC"/>
    <w:rsid w:val="00F947AF"/>
    <w:rsid w:val="00F947E9"/>
    <w:rsid w:val="00F949C8"/>
    <w:rsid w:val="00F94CED"/>
    <w:rsid w:val="00F94DEE"/>
    <w:rsid w:val="00F94F6F"/>
    <w:rsid w:val="00F94FF5"/>
    <w:rsid w:val="00F95249"/>
    <w:rsid w:val="00F95455"/>
    <w:rsid w:val="00F95944"/>
    <w:rsid w:val="00F95C07"/>
    <w:rsid w:val="00F95C17"/>
    <w:rsid w:val="00F95DD4"/>
    <w:rsid w:val="00F95EB0"/>
    <w:rsid w:val="00F960DF"/>
    <w:rsid w:val="00F962B6"/>
    <w:rsid w:val="00F9655A"/>
    <w:rsid w:val="00F9656A"/>
    <w:rsid w:val="00F966D1"/>
    <w:rsid w:val="00F9670B"/>
    <w:rsid w:val="00F96777"/>
    <w:rsid w:val="00F9678E"/>
    <w:rsid w:val="00F968FA"/>
    <w:rsid w:val="00F96919"/>
    <w:rsid w:val="00F9699E"/>
    <w:rsid w:val="00F96A84"/>
    <w:rsid w:val="00F96C0A"/>
    <w:rsid w:val="00F96C11"/>
    <w:rsid w:val="00F96D6D"/>
    <w:rsid w:val="00F96EC7"/>
    <w:rsid w:val="00F97017"/>
    <w:rsid w:val="00F970BF"/>
    <w:rsid w:val="00F97229"/>
    <w:rsid w:val="00F972A3"/>
    <w:rsid w:val="00F97394"/>
    <w:rsid w:val="00F974D9"/>
    <w:rsid w:val="00F974FD"/>
    <w:rsid w:val="00F97528"/>
    <w:rsid w:val="00F9763C"/>
    <w:rsid w:val="00F976A7"/>
    <w:rsid w:val="00F976AB"/>
    <w:rsid w:val="00F976BE"/>
    <w:rsid w:val="00F9785F"/>
    <w:rsid w:val="00F97B78"/>
    <w:rsid w:val="00F97C16"/>
    <w:rsid w:val="00F97CB8"/>
    <w:rsid w:val="00F97EAE"/>
    <w:rsid w:val="00F97F1D"/>
    <w:rsid w:val="00F97F37"/>
    <w:rsid w:val="00FA01D8"/>
    <w:rsid w:val="00FA025A"/>
    <w:rsid w:val="00FA0425"/>
    <w:rsid w:val="00FA09C6"/>
    <w:rsid w:val="00FA0A1D"/>
    <w:rsid w:val="00FA0E12"/>
    <w:rsid w:val="00FA1189"/>
    <w:rsid w:val="00FA14F9"/>
    <w:rsid w:val="00FA17C8"/>
    <w:rsid w:val="00FA18EC"/>
    <w:rsid w:val="00FA1D6D"/>
    <w:rsid w:val="00FA1D9A"/>
    <w:rsid w:val="00FA1FBA"/>
    <w:rsid w:val="00FA20C5"/>
    <w:rsid w:val="00FA23CA"/>
    <w:rsid w:val="00FA283E"/>
    <w:rsid w:val="00FA2847"/>
    <w:rsid w:val="00FA28BA"/>
    <w:rsid w:val="00FA2C64"/>
    <w:rsid w:val="00FA2C9E"/>
    <w:rsid w:val="00FA2CEE"/>
    <w:rsid w:val="00FA318C"/>
    <w:rsid w:val="00FA31B5"/>
    <w:rsid w:val="00FA3330"/>
    <w:rsid w:val="00FA3741"/>
    <w:rsid w:val="00FA3788"/>
    <w:rsid w:val="00FA3795"/>
    <w:rsid w:val="00FA3B78"/>
    <w:rsid w:val="00FA3C33"/>
    <w:rsid w:val="00FA3CCF"/>
    <w:rsid w:val="00FA3F0A"/>
    <w:rsid w:val="00FA412C"/>
    <w:rsid w:val="00FA42C2"/>
    <w:rsid w:val="00FA432F"/>
    <w:rsid w:val="00FA4562"/>
    <w:rsid w:val="00FA4703"/>
    <w:rsid w:val="00FA479F"/>
    <w:rsid w:val="00FA47C8"/>
    <w:rsid w:val="00FA4818"/>
    <w:rsid w:val="00FA4AE6"/>
    <w:rsid w:val="00FA4B13"/>
    <w:rsid w:val="00FA4C1F"/>
    <w:rsid w:val="00FA4C8F"/>
    <w:rsid w:val="00FA4DBC"/>
    <w:rsid w:val="00FA4E97"/>
    <w:rsid w:val="00FA5264"/>
    <w:rsid w:val="00FA527F"/>
    <w:rsid w:val="00FA5459"/>
    <w:rsid w:val="00FA55C1"/>
    <w:rsid w:val="00FA58A4"/>
    <w:rsid w:val="00FA590B"/>
    <w:rsid w:val="00FA5ACD"/>
    <w:rsid w:val="00FA5AD0"/>
    <w:rsid w:val="00FA5B0E"/>
    <w:rsid w:val="00FA5D6F"/>
    <w:rsid w:val="00FA617A"/>
    <w:rsid w:val="00FA61B5"/>
    <w:rsid w:val="00FA6211"/>
    <w:rsid w:val="00FA6A6A"/>
    <w:rsid w:val="00FA6B94"/>
    <w:rsid w:val="00FA6D37"/>
    <w:rsid w:val="00FA6E4C"/>
    <w:rsid w:val="00FA6E7C"/>
    <w:rsid w:val="00FA71EE"/>
    <w:rsid w:val="00FA7689"/>
    <w:rsid w:val="00FA76D4"/>
    <w:rsid w:val="00FA7877"/>
    <w:rsid w:val="00FA789F"/>
    <w:rsid w:val="00FA7F09"/>
    <w:rsid w:val="00FB03A3"/>
    <w:rsid w:val="00FB07F7"/>
    <w:rsid w:val="00FB0BA3"/>
    <w:rsid w:val="00FB0C3F"/>
    <w:rsid w:val="00FB0DCB"/>
    <w:rsid w:val="00FB0FDE"/>
    <w:rsid w:val="00FB116C"/>
    <w:rsid w:val="00FB1382"/>
    <w:rsid w:val="00FB17CF"/>
    <w:rsid w:val="00FB1B8A"/>
    <w:rsid w:val="00FB1E18"/>
    <w:rsid w:val="00FB1E84"/>
    <w:rsid w:val="00FB1EA3"/>
    <w:rsid w:val="00FB1F06"/>
    <w:rsid w:val="00FB1F14"/>
    <w:rsid w:val="00FB1F72"/>
    <w:rsid w:val="00FB21FD"/>
    <w:rsid w:val="00FB2204"/>
    <w:rsid w:val="00FB23CB"/>
    <w:rsid w:val="00FB2533"/>
    <w:rsid w:val="00FB2544"/>
    <w:rsid w:val="00FB2612"/>
    <w:rsid w:val="00FB26CA"/>
    <w:rsid w:val="00FB28C4"/>
    <w:rsid w:val="00FB28C5"/>
    <w:rsid w:val="00FB296B"/>
    <w:rsid w:val="00FB2CEF"/>
    <w:rsid w:val="00FB2D7F"/>
    <w:rsid w:val="00FB2DD5"/>
    <w:rsid w:val="00FB30E9"/>
    <w:rsid w:val="00FB30F6"/>
    <w:rsid w:val="00FB311B"/>
    <w:rsid w:val="00FB342D"/>
    <w:rsid w:val="00FB3444"/>
    <w:rsid w:val="00FB3995"/>
    <w:rsid w:val="00FB399E"/>
    <w:rsid w:val="00FB3CF4"/>
    <w:rsid w:val="00FB411F"/>
    <w:rsid w:val="00FB44A6"/>
    <w:rsid w:val="00FB450E"/>
    <w:rsid w:val="00FB455F"/>
    <w:rsid w:val="00FB46CB"/>
    <w:rsid w:val="00FB4807"/>
    <w:rsid w:val="00FB4CD1"/>
    <w:rsid w:val="00FB54BC"/>
    <w:rsid w:val="00FB54E3"/>
    <w:rsid w:val="00FB552E"/>
    <w:rsid w:val="00FB55BB"/>
    <w:rsid w:val="00FB56C0"/>
    <w:rsid w:val="00FB5727"/>
    <w:rsid w:val="00FB5736"/>
    <w:rsid w:val="00FB57D0"/>
    <w:rsid w:val="00FB58D3"/>
    <w:rsid w:val="00FB59D5"/>
    <w:rsid w:val="00FB59D7"/>
    <w:rsid w:val="00FB5AB5"/>
    <w:rsid w:val="00FB5E35"/>
    <w:rsid w:val="00FB5E55"/>
    <w:rsid w:val="00FB62DC"/>
    <w:rsid w:val="00FB6331"/>
    <w:rsid w:val="00FB63AF"/>
    <w:rsid w:val="00FB6567"/>
    <w:rsid w:val="00FB699D"/>
    <w:rsid w:val="00FB6AA9"/>
    <w:rsid w:val="00FB6C81"/>
    <w:rsid w:val="00FB6E9E"/>
    <w:rsid w:val="00FB6F92"/>
    <w:rsid w:val="00FB74A6"/>
    <w:rsid w:val="00FB7557"/>
    <w:rsid w:val="00FB75EF"/>
    <w:rsid w:val="00FB778E"/>
    <w:rsid w:val="00FB78E9"/>
    <w:rsid w:val="00FB79FD"/>
    <w:rsid w:val="00FB7A5A"/>
    <w:rsid w:val="00FB7C75"/>
    <w:rsid w:val="00FB7CEB"/>
    <w:rsid w:val="00FB7DDB"/>
    <w:rsid w:val="00FB7EB8"/>
    <w:rsid w:val="00FC026E"/>
    <w:rsid w:val="00FC044C"/>
    <w:rsid w:val="00FC06A8"/>
    <w:rsid w:val="00FC0806"/>
    <w:rsid w:val="00FC0954"/>
    <w:rsid w:val="00FC09A0"/>
    <w:rsid w:val="00FC09B3"/>
    <w:rsid w:val="00FC0A62"/>
    <w:rsid w:val="00FC0C62"/>
    <w:rsid w:val="00FC0E1C"/>
    <w:rsid w:val="00FC0E23"/>
    <w:rsid w:val="00FC0EBD"/>
    <w:rsid w:val="00FC1548"/>
    <w:rsid w:val="00FC176C"/>
    <w:rsid w:val="00FC1AB4"/>
    <w:rsid w:val="00FC1C87"/>
    <w:rsid w:val="00FC1EA4"/>
    <w:rsid w:val="00FC1EA6"/>
    <w:rsid w:val="00FC2498"/>
    <w:rsid w:val="00FC272E"/>
    <w:rsid w:val="00FC2806"/>
    <w:rsid w:val="00FC28FC"/>
    <w:rsid w:val="00FC296A"/>
    <w:rsid w:val="00FC2CCE"/>
    <w:rsid w:val="00FC3066"/>
    <w:rsid w:val="00FC313E"/>
    <w:rsid w:val="00FC3487"/>
    <w:rsid w:val="00FC3544"/>
    <w:rsid w:val="00FC3656"/>
    <w:rsid w:val="00FC3703"/>
    <w:rsid w:val="00FC38C2"/>
    <w:rsid w:val="00FC3D92"/>
    <w:rsid w:val="00FC4554"/>
    <w:rsid w:val="00FC4D25"/>
    <w:rsid w:val="00FC4E57"/>
    <w:rsid w:val="00FC4EB8"/>
    <w:rsid w:val="00FC4F9B"/>
    <w:rsid w:val="00FC4FDE"/>
    <w:rsid w:val="00FC5124"/>
    <w:rsid w:val="00FC53A6"/>
    <w:rsid w:val="00FC53B6"/>
    <w:rsid w:val="00FC5529"/>
    <w:rsid w:val="00FC560C"/>
    <w:rsid w:val="00FC57E0"/>
    <w:rsid w:val="00FC581F"/>
    <w:rsid w:val="00FC5A8E"/>
    <w:rsid w:val="00FC5AC4"/>
    <w:rsid w:val="00FC5B84"/>
    <w:rsid w:val="00FC5BA3"/>
    <w:rsid w:val="00FC5CB0"/>
    <w:rsid w:val="00FC5CD1"/>
    <w:rsid w:val="00FC5D1E"/>
    <w:rsid w:val="00FC5DE1"/>
    <w:rsid w:val="00FC5F89"/>
    <w:rsid w:val="00FC609A"/>
    <w:rsid w:val="00FC634D"/>
    <w:rsid w:val="00FC667A"/>
    <w:rsid w:val="00FC6905"/>
    <w:rsid w:val="00FC6A1F"/>
    <w:rsid w:val="00FC7004"/>
    <w:rsid w:val="00FC70D7"/>
    <w:rsid w:val="00FC7156"/>
    <w:rsid w:val="00FC7586"/>
    <w:rsid w:val="00FC7592"/>
    <w:rsid w:val="00FC7664"/>
    <w:rsid w:val="00FC7A85"/>
    <w:rsid w:val="00FC7D6E"/>
    <w:rsid w:val="00FC7F9B"/>
    <w:rsid w:val="00FC7FC6"/>
    <w:rsid w:val="00FD0039"/>
    <w:rsid w:val="00FD022B"/>
    <w:rsid w:val="00FD0443"/>
    <w:rsid w:val="00FD06B0"/>
    <w:rsid w:val="00FD06FB"/>
    <w:rsid w:val="00FD07A8"/>
    <w:rsid w:val="00FD0D03"/>
    <w:rsid w:val="00FD1404"/>
    <w:rsid w:val="00FD145D"/>
    <w:rsid w:val="00FD14CB"/>
    <w:rsid w:val="00FD15BC"/>
    <w:rsid w:val="00FD16B7"/>
    <w:rsid w:val="00FD19EE"/>
    <w:rsid w:val="00FD1BBD"/>
    <w:rsid w:val="00FD1C6E"/>
    <w:rsid w:val="00FD1DF2"/>
    <w:rsid w:val="00FD255A"/>
    <w:rsid w:val="00FD25E6"/>
    <w:rsid w:val="00FD2813"/>
    <w:rsid w:val="00FD28F3"/>
    <w:rsid w:val="00FD2915"/>
    <w:rsid w:val="00FD2B80"/>
    <w:rsid w:val="00FD2CD0"/>
    <w:rsid w:val="00FD2CF9"/>
    <w:rsid w:val="00FD3112"/>
    <w:rsid w:val="00FD34BC"/>
    <w:rsid w:val="00FD36D7"/>
    <w:rsid w:val="00FD37AE"/>
    <w:rsid w:val="00FD38ED"/>
    <w:rsid w:val="00FD3B08"/>
    <w:rsid w:val="00FD3BF6"/>
    <w:rsid w:val="00FD3CDC"/>
    <w:rsid w:val="00FD3EF7"/>
    <w:rsid w:val="00FD3F58"/>
    <w:rsid w:val="00FD3FFA"/>
    <w:rsid w:val="00FD4006"/>
    <w:rsid w:val="00FD4133"/>
    <w:rsid w:val="00FD41A7"/>
    <w:rsid w:val="00FD422E"/>
    <w:rsid w:val="00FD4251"/>
    <w:rsid w:val="00FD42C3"/>
    <w:rsid w:val="00FD4731"/>
    <w:rsid w:val="00FD47F4"/>
    <w:rsid w:val="00FD48FE"/>
    <w:rsid w:val="00FD496D"/>
    <w:rsid w:val="00FD4BF9"/>
    <w:rsid w:val="00FD4C5F"/>
    <w:rsid w:val="00FD4DD5"/>
    <w:rsid w:val="00FD4E64"/>
    <w:rsid w:val="00FD507F"/>
    <w:rsid w:val="00FD5175"/>
    <w:rsid w:val="00FD529C"/>
    <w:rsid w:val="00FD52A3"/>
    <w:rsid w:val="00FD5401"/>
    <w:rsid w:val="00FD5501"/>
    <w:rsid w:val="00FD5840"/>
    <w:rsid w:val="00FD592B"/>
    <w:rsid w:val="00FD59F5"/>
    <w:rsid w:val="00FD5ABD"/>
    <w:rsid w:val="00FD5EEB"/>
    <w:rsid w:val="00FD5FA8"/>
    <w:rsid w:val="00FD67A9"/>
    <w:rsid w:val="00FD689B"/>
    <w:rsid w:val="00FD68BF"/>
    <w:rsid w:val="00FD69FB"/>
    <w:rsid w:val="00FD6A03"/>
    <w:rsid w:val="00FD6CFD"/>
    <w:rsid w:val="00FD6F5F"/>
    <w:rsid w:val="00FD6FD9"/>
    <w:rsid w:val="00FD7055"/>
    <w:rsid w:val="00FD7072"/>
    <w:rsid w:val="00FD71F5"/>
    <w:rsid w:val="00FD747B"/>
    <w:rsid w:val="00FD7678"/>
    <w:rsid w:val="00FD7705"/>
    <w:rsid w:val="00FD7842"/>
    <w:rsid w:val="00FD79DB"/>
    <w:rsid w:val="00FD7D44"/>
    <w:rsid w:val="00FD7D73"/>
    <w:rsid w:val="00FD7DA6"/>
    <w:rsid w:val="00FD7E7F"/>
    <w:rsid w:val="00FD7F28"/>
    <w:rsid w:val="00FD7F47"/>
    <w:rsid w:val="00FD7FDF"/>
    <w:rsid w:val="00FE0010"/>
    <w:rsid w:val="00FE0262"/>
    <w:rsid w:val="00FE03CD"/>
    <w:rsid w:val="00FE05D0"/>
    <w:rsid w:val="00FE09C2"/>
    <w:rsid w:val="00FE0EFA"/>
    <w:rsid w:val="00FE16F6"/>
    <w:rsid w:val="00FE1B62"/>
    <w:rsid w:val="00FE2581"/>
    <w:rsid w:val="00FE2F41"/>
    <w:rsid w:val="00FE317D"/>
    <w:rsid w:val="00FE33B7"/>
    <w:rsid w:val="00FE36C2"/>
    <w:rsid w:val="00FE3788"/>
    <w:rsid w:val="00FE37F7"/>
    <w:rsid w:val="00FE3896"/>
    <w:rsid w:val="00FE3A91"/>
    <w:rsid w:val="00FE3C9F"/>
    <w:rsid w:val="00FE3D2F"/>
    <w:rsid w:val="00FE3EBD"/>
    <w:rsid w:val="00FE406D"/>
    <w:rsid w:val="00FE4099"/>
    <w:rsid w:val="00FE442A"/>
    <w:rsid w:val="00FE4648"/>
    <w:rsid w:val="00FE4752"/>
    <w:rsid w:val="00FE479A"/>
    <w:rsid w:val="00FE4818"/>
    <w:rsid w:val="00FE4E7F"/>
    <w:rsid w:val="00FE4ED7"/>
    <w:rsid w:val="00FE50E5"/>
    <w:rsid w:val="00FE53D3"/>
    <w:rsid w:val="00FE57D3"/>
    <w:rsid w:val="00FE5980"/>
    <w:rsid w:val="00FE59BF"/>
    <w:rsid w:val="00FE5E0A"/>
    <w:rsid w:val="00FE6049"/>
    <w:rsid w:val="00FE6192"/>
    <w:rsid w:val="00FE630C"/>
    <w:rsid w:val="00FE654A"/>
    <w:rsid w:val="00FE6564"/>
    <w:rsid w:val="00FE68FB"/>
    <w:rsid w:val="00FE69F8"/>
    <w:rsid w:val="00FE6DC9"/>
    <w:rsid w:val="00FE6FD1"/>
    <w:rsid w:val="00FE7284"/>
    <w:rsid w:val="00FE762F"/>
    <w:rsid w:val="00FE7764"/>
    <w:rsid w:val="00FE787C"/>
    <w:rsid w:val="00FE790C"/>
    <w:rsid w:val="00FE7B4C"/>
    <w:rsid w:val="00FE7EFC"/>
    <w:rsid w:val="00FF0012"/>
    <w:rsid w:val="00FF0022"/>
    <w:rsid w:val="00FF0305"/>
    <w:rsid w:val="00FF0540"/>
    <w:rsid w:val="00FF072A"/>
    <w:rsid w:val="00FF0738"/>
    <w:rsid w:val="00FF07AB"/>
    <w:rsid w:val="00FF07E1"/>
    <w:rsid w:val="00FF09DF"/>
    <w:rsid w:val="00FF0AB0"/>
    <w:rsid w:val="00FF0B98"/>
    <w:rsid w:val="00FF0F2D"/>
    <w:rsid w:val="00FF16AA"/>
    <w:rsid w:val="00FF1902"/>
    <w:rsid w:val="00FF1A0D"/>
    <w:rsid w:val="00FF1E27"/>
    <w:rsid w:val="00FF2106"/>
    <w:rsid w:val="00FF218D"/>
    <w:rsid w:val="00FF2238"/>
    <w:rsid w:val="00FF2593"/>
    <w:rsid w:val="00FF2634"/>
    <w:rsid w:val="00FF2641"/>
    <w:rsid w:val="00FF265A"/>
    <w:rsid w:val="00FF280C"/>
    <w:rsid w:val="00FF28AC"/>
    <w:rsid w:val="00FF28CE"/>
    <w:rsid w:val="00FF2BE3"/>
    <w:rsid w:val="00FF2C01"/>
    <w:rsid w:val="00FF2C47"/>
    <w:rsid w:val="00FF2DC6"/>
    <w:rsid w:val="00FF2FEF"/>
    <w:rsid w:val="00FF30E7"/>
    <w:rsid w:val="00FF319A"/>
    <w:rsid w:val="00FF37A5"/>
    <w:rsid w:val="00FF40B7"/>
    <w:rsid w:val="00FF4148"/>
    <w:rsid w:val="00FF423C"/>
    <w:rsid w:val="00FF449E"/>
    <w:rsid w:val="00FF457B"/>
    <w:rsid w:val="00FF458B"/>
    <w:rsid w:val="00FF4737"/>
    <w:rsid w:val="00FF4872"/>
    <w:rsid w:val="00FF4AB3"/>
    <w:rsid w:val="00FF4BC9"/>
    <w:rsid w:val="00FF4C7F"/>
    <w:rsid w:val="00FF4F87"/>
    <w:rsid w:val="00FF528A"/>
    <w:rsid w:val="00FF531D"/>
    <w:rsid w:val="00FF53D3"/>
    <w:rsid w:val="00FF55AD"/>
    <w:rsid w:val="00FF55F6"/>
    <w:rsid w:val="00FF5710"/>
    <w:rsid w:val="00FF5A98"/>
    <w:rsid w:val="00FF5ABE"/>
    <w:rsid w:val="00FF5B88"/>
    <w:rsid w:val="00FF5BE7"/>
    <w:rsid w:val="00FF5C82"/>
    <w:rsid w:val="00FF5E21"/>
    <w:rsid w:val="00FF5F0B"/>
    <w:rsid w:val="00FF5F91"/>
    <w:rsid w:val="00FF607A"/>
    <w:rsid w:val="00FF634A"/>
    <w:rsid w:val="00FF6667"/>
    <w:rsid w:val="00FF6685"/>
    <w:rsid w:val="00FF670F"/>
    <w:rsid w:val="00FF6C05"/>
    <w:rsid w:val="00FF6C85"/>
    <w:rsid w:val="00FF6DF8"/>
    <w:rsid w:val="00FF6E86"/>
    <w:rsid w:val="00FF6F97"/>
    <w:rsid w:val="00FF6FC3"/>
    <w:rsid w:val="00FF7079"/>
    <w:rsid w:val="00FF7F62"/>
    <w:rsid w:val="013843F8"/>
    <w:rsid w:val="014A6DB7"/>
    <w:rsid w:val="01576903"/>
    <w:rsid w:val="017FCA65"/>
    <w:rsid w:val="018F883B"/>
    <w:rsid w:val="01A813FE"/>
    <w:rsid w:val="01B0A7EB"/>
    <w:rsid w:val="01B94555"/>
    <w:rsid w:val="01F2CAE9"/>
    <w:rsid w:val="0217C534"/>
    <w:rsid w:val="022CEAC0"/>
    <w:rsid w:val="02A7D2E0"/>
    <w:rsid w:val="02E9B0BA"/>
    <w:rsid w:val="0330B7D1"/>
    <w:rsid w:val="03397378"/>
    <w:rsid w:val="0364DDC2"/>
    <w:rsid w:val="036A6109"/>
    <w:rsid w:val="038E2459"/>
    <w:rsid w:val="03995D8C"/>
    <w:rsid w:val="03ACBCBF"/>
    <w:rsid w:val="03C5F559"/>
    <w:rsid w:val="041A8221"/>
    <w:rsid w:val="043DCBA1"/>
    <w:rsid w:val="045F1AFB"/>
    <w:rsid w:val="04C0A6CB"/>
    <w:rsid w:val="04DE16BF"/>
    <w:rsid w:val="04FAE552"/>
    <w:rsid w:val="050EF472"/>
    <w:rsid w:val="05151A11"/>
    <w:rsid w:val="0541B4A0"/>
    <w:rsid w:val="0566ED7F"/>
    <w:rsid w:val="058A6554"/>
    <w:rsid w:val="0595FDC8"/>
    <w:rsid w:val="05B8DC39"/>
    <w:rsid w:val="05B92D1A"/>
    <w:rsid w:val="05CFBC1B"/>
    <w:rsid w:val="0632EA87"/>
    <w:rsid w:val="063BC626"/>
    <w:rsid w:val="06402136"/>
    <w:rsid w:val="065509CF"/>
    <w:rsid w:val="0660E57B"/>
    <w:rsid w:val="0670F622"/>
    <w:rsid w:val="0687CEBC"/>
    <w:rsid w:val="068BD680"/>
    <w:rsid w:val="06AB7FBE"/>
    <w:rsid w:val="06B64814"/>
    <w:rsid w:val="06E0AD29"/>
    <w:rsid w:val="06EB873F"/>
    <w:rsid w:val="06EFB0B2"/>
    <w:rsid w:val="071A7FFB"/>
    <w:rsid w:val="073E6F03"/>
    <w:rsid w:val="076446E2"/>
    <w:rsid w:val="0766D8BE"/>
    <w:rsid w:val="0767A11B"/>
    <w:rsid w:val="07B87797"/>
    <w:rsid w:val="07BDCCA4"/>
    <w:rsid w:val="07DB9F79"/>
    <w:rsid w:val="07ED89A4"/>
    <w:rsid w:val="0860A266"/>
    <w:rsid w:val="0869E81C"/>
    <w:rsid w:val="087E9FDE"/>
    <w:rsid w:val="08876A2E"/>
    <w:rsid w:val="08940BE4"/>
    <w:rsid w:val="089C8F4B"/>
    <w:rsid w:val="089F7E87"/>
    <w:rsid w:val="08B63CBD"/>
    <w:rsid w:val="08B9A41E"/>
    <w:rsid w:val="08C03AF8"/>
    <w:rsid w:val="08D06F39"/>
    <w:rsid w:val="090ACB7B"/>
    <w:rsid w:val="09195647"/>
    <w:rsid w:val="09310E99"/>
    <w:rsid w:val="09685C69"/>
    <w:rsid w:val="09753241"/>
    <w:rsid w:val="099DCC57"/>
    <w:rsid w:val="09D87331"/>
    <w:rsid w:val="09FFB610"/>
    <w:rsid w:val="0A1A09E2"/>
    <w:rsid w:val="0A1E32F1"/>
    <w:rsid w:val="0A6F160A"/>
    <w:rsid w:val="0A7984D6"/>
    <w:rsid w:val="0A945695"/>
    <w:rsid w:val="0ACA739B"/>
    <w:rsid w:val="0AFD2806"/>
    <w:rsid w:val="0B13C6D8"/>
    <w:rsid w:val="0B6C4606"/>
    <w:rsid w:val="0B8A54A8"/>
    <w:rsid w:val="0BADD9F0"/>
    <w:rsid w:val="0BB6AD68"/>
    <w:rsid w:val="0BDF6F14"/>
    <w:rsid w:val="0BDF7644"/>
    <w:rsid w:val="0C2548AE"/>
    <w:rsid w:val="0C2E8FCC"/>
    <w:rsid w:val="0C4245C6"/>
    <w:rsid w:val="0C57E3B0"/>
    <w:rsid w:val="0CBF0756"/>
    <w:rsid w:val="0CDA5707"/>
    <w:rsid w:val="0CEAF581"/>
    <w:rsid w:val="0CFC7D04"/>
    <w:rsid w:val="0CFDBA9F"/>
    <w:rsid w:val="0D155BA0"/>
    <w:rsid w:val="0D1C60D0"/>
    <w:rsid w:val="0D205AE4"/>
    <w:rsid w:val="0D237529"/>
    <w:rsid w:val="0D2A5746"/>
    <w:rsid w:val="0D3F3D54"/>
    <w:rsid w:val="0D4190F2"/>
    <w:rsid w:val="0D4C1C85"/>
    <w:rsid w:val="0D54EEDD"/>
    <w:rsid w:val="0D680BC6"/>
    <w:rsid w:val="0D884DC9"/>
    <w:rsid w:val="0DA16F3B"/>
    <w:rsid w:val="0DB7E09E"/>
    <w:rsid w:val="0DB99102"/>
    <w:rsid w:val="0DC9900C"/>
    <w:rsid w:val="0E123FEE"/>
    <w:rsid w:val="0E332FFD"/>
    <w:rsid w:val="0E7F163A"/>
    <w:rsid w:val="0EAE21CC"/>
    <w:rsid w:val="0EC4B699"/>
    <w:rsid w:val="0EC8B5CE"/>
    <w:rsid w:val="0ECC64C7"/>
    <w:rsid w:val="0EDDC989"/>
    <w:rsid w:val="0EF8C03E"/>
    <w:rsid w:val="0EFEF1C6"/>
    <w:rsid w:val="0F0CEACB"/>
    <w:rsid w:val="0F247D11"/>
    <w:rsid w:val="0F4186E0"/>
    <w:rsid w:val="0F6F566F"/>
    <w:rsid w:val="0F782971"/>
    <w:rsid w:val="0F7BE6AC"/>
    <w:rsid w:val="0FB79AFC"/>
    <w:rsid w:val="0FCD49AF"/>
    <w:rsid w:val="0FF46B26"/>
    <w:rsid w:val="1009FC43"/>
    <w:rsid w:val="102284A1"/>
    <w:rsid w:val="102CA7F4"/>
    <w:rsid w:val="10334032"/>
    <w:rsid w:val="103CCDC3"/>
    <w:rsid w:val="1062C22E"/>
    <w:rsid w:val="106FB835"/>
    <w:rsid w:val="1084A43D"/>
    <w:rsid w:val="1090A6DD"/>
    <w:rsid w:val="1096DDB6"/>
    <w:rsid w:val="10A2A38D"/>
    <w:rsid w:val="10A8A7B7"/>
    <w:rsid w:val="10AC3BDC"/>
    <w:rsid w:val="10D5A653"/>
    <w:rsid w:val="10E7077D"/>
    <w:rsid w:val="10ED4EB0"/>
    <w:rsid w:val="10F19ECF"/>
    <w:rsid w:val="1120A794"/>
    <w:rsid w:val="11266F5B"/>
    <w:rsid w:val="112710AF"/>
    <w:rsid w:val="112F3A68"/>
    <w:rsid w:val="11419F0B"/>
    <w:rsid w:val="118DA00D"/>
    <w:rsid w:val="1217874E"/>
    <w:rsid w:val="1226B23E"/>
    <w:rsid w:val="1260B211"/>
    <w:rsid w:val="127F5D5D"/>
    <w:rsid w:val="128A1A80"/>
    <w:rsid w:val="129D77F8"/>
    <w:rsid w:val="12D964AA"/>
    <w:rsid w:val="12ECC073"/>
    <w:rsid w:val="1309F8FE"/>
    <w:rsid w:val="13280B52"/>
    <w:rsid w:val="133CAFB0"/>
    <w:rsid w:val="1348B59D"/>
    <w:rsid w:val="1388633A"/>
    <w:rsid w:val="139DF0D5"/>
    <w:rsid w:val="13C2AC20"/>
    <w:rsid w:val="13DB43D2"/>
    <w:rsid w:val="13DC56FE"/>
    <w:rsid w:val="13FB45F7"/>
    <w:rsid w:val="14150928"/>
    <w:rsid w:val="14254B65"/>
    <w:rsid w:val="145355BA"/>
    <w:rsid w:val="14792746"/>
    <w:rsid w:val="14C93FF6"/>
    <w:rsid w:val="14D8724A"/>
    <w:rsid w:val="15002420"/>
    <w:rsid w:val="1502E758"/>
    <w:rsid w:val="15092AC1"/>
    <w:rsid w:val="150AD5D8"/>
    <w:rsid w:val="150BCA2F"/>
    <w:rsid w:val="151574D5"/>
    <w:rsid w:val="151AEE0B"/>
    <w:rsid w:val="152D0922"/>
    <w:rsid w:val="1544FCC0"/>
    <w:rsid w:val="1578855C"/>
    <w:rsid w:val="15B0AB43"/>
    <w:rsid w:val="15B77D64"/>
    <w:rsid w:val="15D92BE0"/>
    <w:rsid w:val="15FD1D6C"/>
    <w:rsid w:val="160B0547"/>
    <w:rsid w:val="161D898D"/>
    <w:rsid w:val="161DD09B"/>
    <w:rsid w:val="163D0CC5"/>
    <w:rsid w:val="164725D2"/>
    <w:rsid w:val="165B6898"/>
    <w:rsid w:val="168E0B85"/>
    <w:rsid w:val="16C5E555"/>
    <w:rsid w:val="16D272E7"/>
    <w:rsid w:val="16E189A3"/>
    <w:rsid w:val="16F261AF"/>
    <w:rsid w:val="16FB6EA9"/>
    <w:rsid w:val="1706F724"/>
    <w:rsid w:val="170B58C4"/>
    <w:rsid w:val="1730F4B6"/>
    <w:rsid w:val="174E30FF"/>
    <w:rsid w:val="1764B5E6"/>
    <w:rsid w:val="178694A6"/>
    <w:rsid w:val="178C13E0"/>
    <w:rsid w:val="17A24EF8"/>
    <w:rsid w:val="17A91702"/>
    <w:rsid w:val="17B58855"/>
    <w:rsid w:val="17D87FD4"/>
    <w:rsid w:val="17FACFA9"/>
    <w:rsid w:val="1834CE32"/>
    <w:rsid w:val="1838EE07"/>
    <w:rsid w:val="18D983D5"/>
    <w:rsid w:val="18FE80D6"/>
    <w:rsid w:val="19051CB5"/>
    <w:rsid w:val="19222B22"/>
    <w:rsid w:val="193845F0"/>
    <w:rsid w:val="195047EB"/>
    <w:rsid w:val="1968AFE3"/>
    <w:rsid w:val="196BDFE1"/>
    <w:rsid w:val="197BD531"/>
    <w:rsid w:val="199D6FDC"/>
    <w:rsid w:val="19B12072"/>
    <w:rsid w:val="19C06857"/>
    <w:rsid w:val="19C61AE8"/>
    <w:rsid w:val="1A1FFB11"/>
    <w:rsid w:val="1A42253D"/>
    <w:rsid w:val="1A489950"/>
    <w:rsid w:val="1A67B613"/>
    <w:rsid w:val="1A83DF2D"/>
    <w:rsid w:val="1A8C426B"/>
    <w:rsid w:val="1A945398"/>
    <w:rsid w:val="1AC2F324"/>
    <w:rsid w:val="1AD02211"/>
    <w:rsid w:val="1AE26C69"/>
    <w:rsid w:val="1AE6655A"/>
    <w:rsid w:val="1AF3E0D3"/>
    <w:rsid w:val="1AF77412"/>
    <w:rsid w:val="1AF994E8"/>
    <w:rsid w:val="1B73F123"/>
    <w:rsid w:val="1B885EF2"/>
    <w:rsid w:val="1B95895F"/>
    <w:rsid w:val="1BB5DD9C"/>
    <w:rsid w:val="1C058BA0"/>
    <w:rsid w:val="1C20A621"/>
    <w:rsid w:val="1C23097C"/>
    <w:rsid w:val="1C390D83"/>
    <w:rsid w:val="1C4EBF7B"/>
    <w:rsid w:val="1C5E4659"/>
    <w:rsid w:val="1C6535AC"/>
    <w:rsid w:val="1C669090"/>
    <w:rsid w:val="1C7B45AA"/>
    <w:rsid w:val="1C86EE76"/>
    <w:rsid w:val="1C9BB359"/>
    <w:rsid w:val="1C9EC14F"/>
    <w:rsid w:val="1CC6A8BD"/>
    <w:rsid w:val="1CF09855"/>
    <w:rsid w:val="1D087F12"/>
    <w:rsid w:val="1D0FC913"/>
    <w:rsid w:val="1D12C695"/>
    <w:rsid w:val="1D2EDAC6"/>
    <w:rsid w:val="1D54F66F"/>
    <w:rsid w:val="1D8F693D"/>
    <w:rsid w:val="1DBC3F00"/>
    <w:rsid w:val="1DCD42CB"/>
    <w:rsid w:val="1DCDCBCC"/>
    <w:rsid w:val="1DFD22FC"/>
    <w:rsid w:val="1E281056"/>
    <w:rsid w:val="1E33677F"/>
    <w:rsid w:val="1E35EE28"/>
    <w:rsid w:val="1E5895D1"/>
    <w:rsid w:val="1E90C63E"/>
    <w:rsid w:val="1EAC42D3"/>
    <w:rsid w:val="1EC3BACB"/>
    <w:rsid w:val="1EC5ABB9"/>
    <w:rsid w:val="1ED2985D"/>
    <w:rsid w:val="1EF568FD"/>
    <w:rsid w:val="1EFBEB3B"/>
    <w:rsid w:val="1F0CE804"/>
    <w:rsid w:val="1F46DC30"/>
    <w:rsid w:val="1F68F7A7"/>
    <w:rsid w:val="1F7115E0"/>
    <w:rsid w:val="1F722CA6"/>
    <w:rsid w:val="1F75EC24"/>
    <w:rsid w:val="1F7AB40C"/>
    <w:rsid w:val="1F7D58E5"/>
    <w:rsid w:val="1FD92263"/>
    <w:rsid w:val="1FFF1BBF"/>
    <w:rsid w:val="2040B664"/>
    <w:rsid w:val="2058DF3D"/>
    <w:rsid w:val="2088B225"/>
    <w:rsid w:val="2096FB3F"/>
    <w:rsid w:val="20A0FD09"/>
    <w:rsid w:val="20A462D0"/>
    <w:rsid w:val="20A822CC"/>
    <w:rsid w:val="20AF6DBC"/>
    <w:rsid w:val="20C3D8D2"/>
    <w:rsid w:val="20C6B6B0"/>
    <w:rsid w:val="21001A40"/>
    <w:rsid w:val="210A3B80"/>
    <w:rsid w:val="21183DF0"/>
    <w:rsid w:val="212BC6CD"/>
    <w:rsid w:val="2177C3CB"/>
    <w:rsid w:val="219378F9"/>
    <w:rsid w:val="21A3F085"/>
    <w:rsid w:val="21BC741A"/>
    <w:rsid w:val="21DE088F"/>
    <w:rsid w:val="21F1861E"/>
    <w:rsid w:val="21F407C6"/>
    <w:rsid w:val="21F4296F"/>
    <w:rsid w:val="21FDE2B9"/>
    <w:rsid w:val="2214E6C7"/>
    <w:rsid w:val="2226815E"/>
    <w:rsid w:val="222BEA39"/>
    <w:rsid w:val="222C5A17"/>
    <w:rsid w:val="2240B65D"/>
    <w:rsid w:val="22731E92"/>
    <w:rsid w:val="227774FD"/>
    <w:rsid w:val="22795669"/>
    <w:rsid w:val="227D45E1"/>
    <w:rsid w:val="2291A30A"/>
    <w:rsid w:val="22D83369"/>
    <w:rsid w:val="230C80E8"/>
    <w:rsid w:val="2318F3E7"/>
    <w:rsid w:val="234A8E89"/>
    <w:rsid w:val="23656798"/>
    <w:rsid w:val="239F2015"/>
    <w:rsid w:val="23A31193"/>
    <w:rsid w:val="23AF9C98"/>
    <w:rsid w:val="23B494CB"/>
    <w:rsid w:val="23DFD3B9"/>
    <w:rsid w:val="243A3EF9"/>
    <w:rsid w:val="2457A011"/>
    <w:rsid w:val="247EEBAA"/>
    <w:rsid w:val="248B6D2D"/>
    <w:rsid w:val="249755F7"/>
    <w:rsid w:val="24B8C406"/>
    <w:rsid w:val="24EF6D56"/>
    <w:rsid w:val="2503DA90"/>
    <w:rsid w:val="250E7456"/>
    <w:rsid w:val="25130192"/>
    <w:rsid w:val="253F41FA"/>
    <w:rsid w:val="2559E5D2"/>
    <w:rsid w:val="2577DA86"/>
    <w:rsid w:val="257EEAF8"/>
    <w:rsid w:val="25857C6C"/>
    <w:rsid w:val="259EEA1A"/>
    <w:rsid w:val="25BB2B92"/>
    <w:rsid w:val="25C1A705"/>
    <w:rsid w:val="25D8E310"/>
    <w:rsid w:val="25F43247"/>
    <w:rsid w:val="25F61F17"/>
    <w:rsid w:val="2602D4AC"/>
    <w:rsid w:val="2615A852"/>
    <w:rsid w:val="264409CE"/>
    <w:rsid w:val="264EBF3A"/>
    <w:rsid w:val="26791D7B"/>
    <w:rsid w:val="26C6D6AD"/>
    <w:rsid w:val="26C8C591"/>
    <w:rsid w:val="270CF2D6"/>
    <w:rsid w:val="270F2890"/>
    <w:rsid w:val="2739DD31"/>
    <w:rsid w:val="275ED00E"/>
    <w:rsid w:val="27642F21"/>
    <w:rsid w:val="279A98F4"/>
    <w:rsid w:val="279DB222"/>
    <w:rsid w:val="27A99470"/>
    <w:rsid w:val="27B4F427"/>
    <w:rsid w:val="27C17993"/>
    <w:rsid w:val="27C265F8"/>
    <w:rsid w:val="27C9115F"/>
    <w:rsid w:val="27E16BC3"/>
    <w:rsid w:val="28076835"/>
    <w:rsid w:val="280CE778"/>
    <w:rsid w:val="2870B58F"/>
    <w:rsid w:val="2881A3C6"/>
    <w:rsid w:val="28945439"/>
    <w:rsid w:val="28B67B5C"/>
    <w:rsid w:val="28D34658"/>
    <w:rsid w:val="28EDB01B"/>
    <w:rsid w:val="29146BFD"/>
    <w:rsid w:val="2930C208"/>
    <w:rsid w:val="294F86D8"/>
    <w:rsid w:val="2986CD7C"/>
    <w:rsid w:val="29918FF5"/>
    <w:rsid w:val="29C2C901"/>
    <w:rsid w:val="29CD28B5"/>
    <w:rsid w:val="29D16EB4"/>
    <w:rsid w:val="29E5605E"/>
    <w:rsid w:val="29FFBF76"/>
    <w:rsid w:val="2A2A79A0"/>
    <w:rsid w:val="2A362F6F"/>
    <w:rsid w:val="2A50B3AD"/>
    <w:rsid w:val="2A580FF9"/>
    <w:rsid w:val="2ABE2F8C"/>
    <w:rsid w:val="2AF1153F"/>
    <w:rsid w:val="2AF5612B"/>
    <w:rsid w:val="2AFC591D"/>
    <w:rsid w:val="2B24D2B7"/>
    <w:rsid w:val="2B69B42F"/>
    <w:rsid w:val="2B72214E"/>
    <w:rsid w:val="2B86BF98"/>
    <w:rsid w:val="2BC6018F"/>
    <w:rsid w:val="2BD0FD37"/>
    <w:rsid w:val="2BD77FFE"/>
    <w:rsid w:val="2BF87DDC"/>
    <w:rsid w:val="2C18ECDF"/>
    <w:rsid w:val="2C4C5949"/>
    <w:rsid w:val="2C4C8B04"/>
    <w:rsid w:val="2C82ABC1"/>
    <w:rsid w:val="2CB7E78C"/>
    <w:rsid w:val="2CBE8625"/>
    <w:rsid w:val="2CE60F3C"/>
    <w:rsid w:val="2D23CD94"/>
    <w:rsid w:val="2D27E00F"/>
    <w:rsid w:val="2D2FB95E"/>
    <w:rsid w:val="2D5DD9B1"/>
    <w:rsid w:val="2D6DD3A4"/>
    <w:rsid w:val="2D73B127"/>
    <w:rsid w:val="2D880050"/>
    <w:rsid w:val="2D986145"/>
    <w:rsid w:val="2DA84884"/>
    <w:rsid w:val="2DB3F788"/>
    <w:rsid w:val="2DB45F7D"/>
    <w:rsid w:val="2DDB3AC5"/>
    <w:rsid w:val="2DE4A784"/>
    <w:rsid w:val="2E19458E"/>
    <w:rsid w:val="2E1CE2E9"/>
    <w:rsid w:val="2E34A110"/>
    <w:rsid w:val="2E494C95"/>
    <w:rsid w:val="2E4A33F6"/>
    <w:rsid w:val="2E5A236E"/>
    <w:rsid w:val="2E6C3CBE"/>
    <w:rsid w:val="2E745E57"/>
    <w:rsid w:val="2EB19540"/>
    <w:rsid w:val="2ED423BB"/>
    <w:rsid w:val="2EE3664A"/>
    <w:rsid w:val="2EE78BDF"/>
    <w:rsid w:val="2EEF2C90"/>
    <w:rsid w:val="2F077D79"/>
    <w:rsid w:val="2F0F2B2C"/>
    <w:rsid w:val="2F106B2A"/>
    <w:rsid w:val="2F2E2785"/>
    <w:rsid w:val="2F34D92D"/>
    <w:rsid w:val="2F5DA2AF"/>
    <w:rsid w:val="2F95AE25"/>
    <w:rsid w:val="2F9AE938"/>
    <w:rsid w:val="2FA5C835"/>
    <w:rsid w:val="2FF1E4CE"/>
    <w:rsid w:val="30127F88"/>
    <w:rsid w:val="302E2C61"/>
    <w:rsid w:val="3033F831"/>
    <w:rsid w:val="30361E72"/>
    <w:rsid w:val="30395D42"/>
    <w:rsid w:val="303EE287"/>
    <w:rsid w:val="30497FEF"/>
    <w:rsid w:val="305346BD"/>
    <w:rsid w:val="30614136"/>
    <w:rsid w:val="3063A970"/>
    <w:rsid w:val="3077647A"/>
    <w:rsid w:val="308B0F8B"/>
    <w:rsid w:val="30937CB4"/>
    <w:rsid w:val="30942154"/>
    <w:rsid w:val="30C3860F"/>
    <w:rsid w:val="30F190AE"/>
    <w:rsid w:val="3149B541"/>
    <w:rsid w:val="31614961"/>
    <w:rsid w:val="31ACE3AF"/>
    <w:rsid w:val="31B9EDA7"/>
    <w:rsid w:val="3201DF52"/>
    <w:rsid w:val="3215A562"/>
    <w:rsid w:val="321EB144"/>
    <w:rsid w:val="324723EB"/>
    <w:rsid w:val="3249D10E"/>
    <w:rsid w:val="3260D869"/>
    <w:rsid w:val="32640C3F"/>
    <w:rsid w:val="32A94E8A"/>
    <w:rsid w:val="32A9FC31"/>
    <w:rsid w:val="32B0D80B"/>
    <w:rsid w:val="32B1D51C"/>
    <w:rsid w:val="32D3E625"/>
    <w:rsid w:val="32D4A1DB"/>
    <w:rsid w:val="32D4F1B2"/>
    <w:rsid w:val="32E5824E"/>
    <w:rsid w:val="3301C9FE"/>
    <w:rsid w:val="330CCAFC"/>
    <w:rsid w:val="330DBBB1"/>
    <w:rsid w:val="331BD731"/>
    <w:rsid w:val="335A6E07"/>
    <w:rsid w:val="335C53D7"/>
    <w:rsid w:val="3368C968"/>
    <w:rsid w:val="336CF5EE"/>
    <w:rsid w:val="3387F964"/>
    <w:rsid w:val="339A60CF"/>
    <w:rsid w:val="33B79352"/>
    <w:rsid w:val="33CD1EBB"/>
    <w:rsid w:val="34550CB6"/>
    <w:rsid w:val="34DA7FCD"/>
    <w:rsid w:val="34E20C2B"/>
    <w:rsid w:val="351E4D0B"/>
    <w:rsid w:val="354EFA01"/>
    <w:rsid w:val="355E7ACE"/>
    <w:rsid w:val="3568211C"/>
    <w:rsid w:val="356BF6E9"/>
    <w:rsid w:val="3581F820"/>
    <w:rsid w:val="35A32E77"/>
    <w:rsid w:val="35A33D70"/>
    <w:rsid w:val="35C4AB62"/>
    <w:rsid w:val="35E49E53"/>
    <w:rsid w:val="35F20124"/>
    <w:rsid w:val="35F91B23"/>
    <w:rsid w:val="3601D9E9"/>
    <w:rsid w:val="3627151E"/>
    <w:rsid w:val="36313331"/>
    <w:rsid w:val="363AC2E4"/>
    <w:rsid w:val="365E02F6"/>
    <w:rsid w:val="3660A58B"/>
    <w:rsid w:val="3697D3FD"/>
    <w:rsid w:val="369A6A56"/>
    <w:rsid w:val="369CDFD9"/>
    <w:rsid w:val="36AA4193"/>
    <w:rsid w:val="36BA2078"/>
    <w:rsid w:val="36CD8249"/>
    <w:rsid w:val="36D78D8C"/>
    <w:rsid w:val="37068EB7"/>
    <w:rsid w:val="3709E3D3"/>
    <w:rsid w:val="370F8B63"/>
    <w:rsid w:val="372FB1B3"/>
    <w:rsid w:val="37364859"/>
    <w:rsid w:val="375977E6"/>
    <w:rsid w:val="3778742A"/>
    <w:rsid w:val="37981D4A"/>
    <w:rsid w:val="37BB0206"/>
    <w:rsid w:val="37C35F29"/>
    <w:rsid w:val="37D2D685"/>
    <w:rsid w:val="37D4D0AA"/>
    <w:rsid w:val="38320FDA"/>
    <w:rsid w:val="38350F70"/>
    <w:rsid w:val="383B4A07"/>
    <w:rsid w:val="38A82A80"/>
    <w:rsid w:val="38DFAC6A"/>
    <w:rsid w:val="38DFED9D"/>
    <w:rsid w:val="38F9FDE4"/>
    <w:rsid w:val="390EA638"/>
    <w:rsid w:val="3926B633"/>
    <w:rsid w:val="3930A154"/>
    <w:rsid w:val="39434B0F"/>
    <w:rsid w:val="39463C35"/>
    <w:rsid w:val="39BE6F3A"/>
    <w:rsid w:val="39D38E7F"/>
    <w:rsid w:val="39EF0853"/>
    <w:rsid w:val="39FCE7DE"/>
    <w:rsid w:val="3A021E7D"/>
    <w:rsid w:val="3A02B5B7"/>
    <w:rsid w:val="3A268259"/>
    <w:rsid w:val="3A5DB5D7"/>
    <w:rsid w:val="3A6FAEEB"/>
    <w:rsid w:val="3AAF714F"/>
    <w:rsid w:val="3ABB7AB8"/>
    <w:rsid w:val="3AFE3E17"/>
    <w:rsid w:val="3B0D0954"/>
    <w:rsid w:val="3B11172F"/>
    <w:rsid w:val="3B24ABD1"/>
    <w:rsid w:val="3B3A1345"/>
    <w:rsid w:val="3B8861B0"/>
    <w:rsid w:val="3BAA8F9D"/>
    <w:rsid w:val="3BCD2D9D"/>
    <w:rsid w:val="3BEA8BB4"/>
    <w:rsid w:val="3BF509CC"/>
    <w:rsid w:val="3BFD3177"/>
    <w:rsid w:val="3C518AE4"/>
    <w:rsid w:val="3C653E09"/>
    <w:rsid w:val="3CBA517D"/>
    <w:rsid w:val="3CC7B38B"/>
    <w:rsid w:val="3CD7EF0C"/>
    <w:rsid w:val="3CDD0421"/>
    <w:rsid w:val="3CF08FC5"/>
    <w:rsid w:val="3D021115"/>
    <w:rsid w:val="3D051673"/>
    <w:rsid w:val="3D07C277"/>
    <w:rsid w:val="3D1C1472"/>
    <w:rsid w:val="3D25C96B"/>
    <w:rsid w:val="3D505121"/>
    <w:rsid w:val="3D537B28"/>
    <w:rsid w:val="3D6BF066"/>
    <w:rsid w:val="3D8EB097"/>
    <w:rsid w:val="3D9ED3CB"/>
    <w:rsid w:val="3DC71D79"/>
    <w:rsid w:val="3DE160E2"/>
    <w:rsid w:val="3E0542EA"/>
    <w:rsid w:val="3E20CC75"/>
    <w:rsid w:val="3E320185"/>
    <w:rsid w:val="3E890C56"/>
    <w:rsid w:val="3E9D8E30"/>
    <w:rsid w:val="3E9DD0F4"/>
    <w:rsid w:val="3EA4FBB6"/>
    <w:rsid w:val="3EB091CB"/>
    <w:rsid w:val="3EBC2E30"/>
    <w:rsid w:val="3EBC3916"/>
    <w:rsid w:val="3EBF8B97"/>
    <w:rsid w:val="3EC666B2"/>
    <w:rsid w:val="3EC8395A"/>
    <w:rsid w:val="3ECE7370"/>
    <w:rsid w:val="3EF6640D"/>
    <w:rsid w:val="3F0178C2"/>
    <w:rsid w:val="3F1115C6"/>
    <w:rsid w:val="3F14A110"/>
    <w:rsid w:val="3F26DD33"/>
    <w:rsid w:val="3F40FC3D"/>
    <w:rsid w:val="3F424015"/>
    <w:rsid w:val="3F57B995"/>
    <w:rsid w:val="3F644F07"/>
    <w:rsid w:val="3F856A3B"/>
    <w:rsid w:val="3F9023EB"/>
    <w:rsid w:val="3FCB7B5E"/>
    <w:rsid w:val="3FF5E9EE"/>
    <w:rsid w:val="3FF7A96A"/>
    <w:rsid w:val="4005426B"/>
    <w:rsid w:val="4005C44C"/>
    <w:rsid w:val="401C6E9F"/>
    <w:rsid w:val="406799BE"/>
    <w:rsid w:val="408E7139"/>
    <w:rsid w:val="409186CE"/>
    <w:rsid w:val="409BF112"/>
    <w:rsid w:val="40DA6058"/>
    <w:rsid w:val="40E1820E"/>
    <w:rsid w:val="40F8EAFC"/>
    <w:rsid w:val="4103E15F"/>
    <w:rsid w:val="410D0423"/>
    <w:rsid w:val="41339980"/>
    <w:rsid w:val="413BC671"/>
    <w:rsid w:val="4151F962"/>
    <w:rsid w:val="41714182"/>
    <w:rsid w:val="418380AE"/>
    <w:rsid w:val="41B89522"/>
    <w:rsid w:val="41EBDB5D"/>
    <w:rsid w:val="41ED8ED9"/>
    <w:rsid w:val="41F5C0E7"/>
    <w:rsid w:val="41F90E1B"/>
    <w:rsid w:val="41FD0FA2"/>
    <w:rsid w:val="420C05F9"/>
    <w:rsid w:val="421EA787"/>
    <w:rsid w:val="42738C48"/>
    <w:rsid w:val="427CA67E"/>
    <w:rsid w:val="429C1684"/>
    <w:rsid w:val="42C55302"/>
    <w:rsid w:val="42CE7E72"/>
    <w:rsid w:val="42D2CFE8"/>
    <w:rsid w:val="4300D7EB"/>
    <w:rsid w:val="4304EF27"/>
    <w:rsid w:val="431E98A0"/>
    <w:rsid w:val="435DD20B"/>
    <w:rsid w:val="4383A08B"/>
    <w:rsid w:val="4394E309"/>
    <w:rsid w:val="43971DE9"/>
    <w:rsid w:val="43997865"/>
    <w:rsid w:val="43A962EB"/>
    <w:rsid w:val="43B1B2AC"/>
    <w:rsid w:val="43F0948E"/>
    <w:rsid w:val="43F682EC"/>
    <w:rsid w:val="44041612"/>
    <w:rsid w:val="4438729A"/>
    <w:rsid w:val="44457402"/>
    <w:rsid w:val="445D3D29"/>
    <w:rsid w:val="4486DE34"/>
    <w:rsid w:val="449596B2"/>
    <w:rsid w:val="44993845"/>
    <w:rsid w:val="44C448E5"/>
    <w:rsid w:val="44C53E46"/>
    <w:rsid w:val="44CBCAEA"/>
    <w:rsid w:val="44DAF9CB"/>
    <w:rsid w:val="44E012F7"/>
    <w:rsid w:val="450AA977"/>
    <w:rsid w:val="45278D0A"/>
    <w:rsid w:val="457AD9AC"/>
    <w:rsid w:val="4583D7B0"/>
    <w:rsid w:val="45A5AD56"/>
    <w:rsid w:val="45AE7707"/>
    <w:rsid w:val="45EF8018"/>
    <w:rsid w:val="46053E83"/>
    <w:rsid w:val="464C1CB1"/>
    <w:rsid w:val="46DFB53D"/>
    <w:rsid w:val="46ECA1D0"/>
    <w:rsid w:val="47214DFA"/>
    <w:rsid w:val="47353876"/>
    <w:rsid w:val="476FD6D4"/>
    <w:rsid w:val="47873A27"/>
    <w:rsid w:val="4797303D"/>
    <w:rsid w:val="47BA72DE"/>
    <w:rsid w:val="47BF38D6"/>
    <w:rsid w:val="47EB9125"/>
    <w:rsid w:val="47F38FC3"/>
    <w:rsid w:val="47F68AE0"/>
    <w:rsid w:val="47F890D4"/>
    <w:rsid w:val="47FC0F45"/>
    <w:rsid w:val="482287F1"/>
    <w:rsid w:val="482966A5"/>
    <w:rsid w:val="482AD0A7"/>
    <w:rsid w:val="486A5A39"/>
    <w:rsid w:val="48AE7F99"/>
    <w:rsid w:val="48BB0D68"/>
    <w:rsid w:val="491260D5"/>
    <w:rsid w:val="491DB36C"/>
    <w:rsid w:val="4932FF38"/>
    <w:rsid w:val="4939EC13"/>
    <w:rsid w:val="49986CB3"/>
    <w:rsid w:val="49A6862C"/>
    <w:rsid w:val="49CBFEDD"/>
    <w:rsid w:val="4A019C80"/>
    <w:rsid w:val="4A07A62A"/>
    <w:rsid w:val="4A44532C"/>
    <w:rsid w:val="4A51C796"/>
    <w:rsid w:val="4A769992"/>
    <w:rsid w:val="4A90AE38"/>
    <w:rsid w:val="4A920ACB"/>
    <w:rsid w:val="4A931DC1"/>
    <w:rsid w:val="4ABEF4B3"/>
    <w:rsid w:val="4ADA09B5"/>
    <w:rsid w:val="4ADAFAE8"/>
    <w:rsid w:val="4AE4740B"/>
    <w:rsid w:val="4AE4B9EB"/>
    <w:rsid w:val="4B1927BE"/>
    <w:rsid w:val="4B2AF0F2"/>
    <w:rsid w:val="4B3A6D21"/>
    <w:rsid w:val="4B586F8D"/>
    <w:rsid w:val="4B59B845"/>
    <w:rsid w:val="4B609C64"/>
    <w:rsid w:val="4B78FAF4"/>
    <w:rsid w:val="4B7E7474"/>
    <w:rsid w:val="4B893E00"/>
    <w:rsid w:val="4BCA7454"/>
    <w:rsid w:val="4BD307CA"/>
    <w:rsid w:val="4C0A2CF6"/>
    <w:rsid w:val="4C2EF189"/>
    <w:rsid w:val="4C9DD4B3"/>
    <w:rsid w:val="4CE41039"/>
    <w:rsid w:val="4D0BAF0D"/>
    <w:rsid w:val="4D270F27"/>
    <w:rsid w:val="4D3CBB07"/>
    <w:rsid w:val="4D7AA9AA"/>
    <w:rsid w:val="4DA720AC"/>
    <w:rsid w:val="4DCCD857"/>
    <w:rsid w:val="4DED4109"/>
    <w:rsid w:val="4DEE8323"/>
    <w:rsid w:val="4E577B96"/>
    <w:rsid w:val="4E60CA24"/>
    <w:rsid w:val="4E7BCF4C"/>
    <w:rsid w:val="4E8399AE"/>
    <w:rsid w:val="4E880F0C"/>
    <w:rsid w:val="4EBF912E"/>
    <w:rsid w:val="4EFA1C6C"/>
    <w:rsid w:val="4F1CFDE7"/>
    <w:rsid w:val="4F37713C"/>
    <w:rsid w:val="4F44F141"/>
    <w:rsid w:val="4F5FE5D2"/>
    <w:rsid w:val="4F6BCA96"/>
    <w:rsid w:val="4FBB7053"/>
    <w:rsid w:val="4FC31165"/>
    <w:rsid w:val="4FC3A325"/>
    <w:rsid w:val="4FE3D2BE"/>
    <w:rsid w:val="4FEB64B0"/>
    <w:rsid w:val="4FEF8531"/>
    <w:rsid w:val="4FF8C0A0"/>
    <w:rsid w:val="502FF8B3"/>
    <w:rsid w:val="50483303"/>
    <w:rsid w:val="504A9328"/>
    <w:rsid w:val="5057C173"/>
    <w:rsid w:val="5070D6AD"/>
    <w:rsid w:val="507F4A55"/>
    <w:rsid w:val="50BD831C"/>
    <w:rsid w:val="50D25EB4"/>
    <w:rsid w:val="5117C2FA"/>
    <w:rsid w:val="511D4DF2"/>
    <w:rsid w:val="514201FB"/>
    <w:rsid w:val="5160059B"/>
    <w:rsid w:val="51687091"/>
    <w:rsid w:val="5173A286"/>
    <w:rsid w:val="517EC653"/>
    <w:rsid w:val="51BDDBD8"/>
    <w:rsid w:val="51D86E43"/>
    <w:rsid w:val="520F34D6"/>
    <w:rsid w:val="52143434"/>
    <w:rsid w:val="5242DE5F"/>
    <w:rsid w:val="525E86B5"/>
    <w:rsid w:val="526AD77E"/>
    <w:rsid w:val="5273E872"/>
    <w:rsid w:val="527E902F"/>
    <w:rsid w:val="529A42FF"/>
    <w:rsid w:val="52DA7CD2"/>
    <w:rsid w:val="52EFE0CD"/>
    <w:rsid w:val="53061C67"/>
    <w:rsid w:val="5312422C"/>
    <w:rsid w:val="533E5441"/>
    <w:rsid w:val="53415030"/>
    <w:rsid w:val="534F34F4"/>
    <w:rsid w:val="53678142"/>
    <w:rsid w:val="536A90E7"/>
    <w:rsid w:val="53862078"/>
    <w:rsid w:val="5389720A"/>
    <w:rsid w:val="53910EBB"/>
    <w:rsid w:val="53AC809E"/>
    <w:rsid w:val="53B59ECA"/>
    <w:rsid w:val="54046636"/>
    <w:rsid w:val="544E92E1"/>
    <w:rsid w:val="544ED702"/>
    <w:rsid w:val="546206E6"/>
    <w:rsid w:val="5462A4FE"/>
    <w:rsid w:val="54644E29"/>
    <w:rsid w:val="5471219B"/>
    <w:rsid w:val="5494FD2D"/>
    <w:rsid w:val="54E9D123"/>
    <w:rsid w:val="54EA9EA7"/>
    <w:rsid w:val="54F68840"/>
    <w:rsid w:val="55057127"/>
    <w:rsid w:val="5525A943"/>
    <w:rsid w:val="558BC8E2"/>
    <w:rsid w:val="5592D733"/>
    <w:rsid w:val="5598F87A"/>
    <w:rsid w:val="55B20D8E"/>
    <w:rsid w:val="55E08D46"/>
    <w:rsid w:val="55EDE0B8"/>
    <w:rsid w:val="5600CCC0"/>
    <w:rsid w:val="5636983E"/>
    <w:rsid w:val="569127E9"/>
    <w:rsid w:val="56B71DD6"/>
    <w:rsid w:val="56E1BCDE"/>
    <w:rsid w:val="570A6C97"/>
    <w:rsid w:val="571393BB"/>
    <w:rsid w:val="574AB04B"/>
    <w:rsid w:val="574D0A74"/>
    <w:rsid w:val="574F0F45"/>
    <w:rsid w:val="5761ADDB"/>
    <w:rsid w:val="57824E9B"/>
    <w:rsid w:val="57A08A48"/>
    <w:rsid w:val="57D32118"/>
    <w:rsid w:val="58184F5F"/>
    <w:rsid w:val="5865E6B8"/>
    <w:rsid w:val="58794C65"/>
    <w:rsid w:val="58ABDC52"/>
    <w:rsid w:val="5909B0E1"/>
    <w:rsid w:val="590ACA2B"/>
    <w:rsid w:val="59187AA6"/>
    <w:rsid w:val="59326313"/>
    <w:rsid w:val="593F9B6A"/>
    <w:rsid w:val="5942291C"/>
    <w:rsid w:val="59495DE4"/>
    <w:rsid w:val="59508938"/>
    <w:rsid w:val="59525BD7"/>
    <w:rsid w:val="59589236"/>
    <w:rsid w:val="5961CAC0"/>
    <w:rsid w:val="59966ED6"/>
    <w:rsid w:val="59BF6BBD"/>
    <w:rsid w:val="59E7DFDD"/>
    <w:rsid w:val="59EA302C"/>
    <w:rsid w:val="59EB5891"/>
    <w:rsid w:val="59FB1DB8"/>
    <w:rsid w:val="5A292C06"/>
    <w:rsid w:val="5A6CFA47"/>
    <w:rsid w:val="5A85E720"/>
    <w:rsid w:val="5A9686DB"/>
    <w:rsid w:val="5AA2DEA3"/>
    <w:rsid w:val="5AAFA281"/>
    <w:rsid w:val="5AB4D9E9"/>
    <w:rsid w:val="5AF6F7F9"/>
    <w:rsid w:val="5AFD7A81"/>
    <w:rsid w:val="5B1CE868"/>
    <w:rsid w:val="5B7D9748"/>
    <w:rsid w:val="5B9CCD4D"/>
    <w:rsid w:val="5C08A1C4"/>
    <w:rsid w:val="5C24A233"/>
    <w:rsid w:val="5C51DB8E"/>
    <w:rsid w:val="5C5897B5"/>
    <w:rsid w:val="5C5BEC1B"/>
    <w:rsid w:val="5C8534C3"/>
    <w:rsid w:val="5C89117C"/>
    <w:rsid w:val="5CA848C7"/>
    <w:rsid w:val="5CB1C416"/>
    <w:rsid w:val="5CFBD1E2"/>
    <w:rsid w:val="5D02C12A"/>
    <w:rsid w:val="5D035752"/>
    <w:rsid w:val="5D1BDBF2"/>
    <w:rsid w:val="5D3A8C11"/>
    <w:rsid w:val="5D4781C1"/>
    <w:rsid w:val="5D56A214"/>
    <w:rsid w:val="5D5C3007"/>
    <w:rsid w:val="5D817CCD"/>
    <w:rsid w:val="5DA3883B"/>
    <w:rsid w:val="5DB05D0B"/>
    <w:rsid w:val="5DE719A0"/>
    <w:rsid w:val="5DF1F23F"/>
    <w:rsid w:val="5E190BCD"/>
    <w:rsid w:val="5E1C5302"/>
    <w:rsid w:val="5E37AAF3"/>
    <w:rsid w:val="5E963F47"/>
    <w:rsid w:val="5E9A8E45"/>
    <w:rsid w:val="5EB81073"/>
    <w:rsid w:val="5EBE7066"/>
    <w:rsid w:val="5ECE6809"/>
    <w:rsid w:val="5EE6FDFB"/>
    <w:rsid w:val="5EEA5FDE"/>
    <w:rsid w:val="5F16A295"/>
    <w:rsid w:val="5F1ADBD7"/>
    <w:rsid w:val="5F336174"/>
    <w:rsid w:val="5F51E805"/>
    <w:rsid w:val="5F731D8C"/>
    <w:rsid w:val="5F7D3388"/>
    <w:rsid w:val="5FAC9E8C"/>
    <w:rsid w:val="5FFF9FF0"/>
    <w:rsid w:val="601F656F"/>
    <w:rsid w:val="60248E3A"/>
    <w:rsid w:val="6025A81C"/>
    <w:rsid w:val="602635A7"/>
    <w:rsid w:val="602D57C0"/>
    <w:rsid w:val="602F9C31"/>
    <w:rsid w:val="60328D85"/>
    <w:rsid w:val="6046CF18"/>
    <w:rsid w:val="604B8B71"/>
    <w:rsid w:val="6052D021"/>
    <w:rsid w:val="60BD65D3"/>
    <w:rsid w:val="6118414F"/>
    <w:rsid w:val="612478BB"/>
    <w:rsid w:val="61288192"/>
    <w:rsid w:val="6137FF42"/>
    <w:rsid w:val="6151C1BA"/>
    <w:rsid w:val="6152A26F"/>
    <w:rsid w:val="615B2B47"/>
    <w:rsid w:val="61655DE5"/>
    <w:rsid w:val="61C2577F"/>
    <w:rsid w:val="61D072F6"/>
    <w:rsid w:val="61D63A56"/>
    <w:rsid w:val="61DFB501"/>
    <w:rsid w:val="61EBE0CA"/>
    <w:rsid w:val="6207A264"/>
    <w:rsid w:val="624798B6"/>
    <w:rsid w:val="626E5BA3"/>
    <w:rsid w:val="627BF3D3"/>
    <w:rsid w:val="62B0ED5D"/>
    <w:rsid w:val="62C54F55"/>
    <w:rsid w:val="62E90A01"/>
    <w:rsid w:val="62FD432E"/>
    <w:rsid w:val="63000CA8"/>
    <w:rsid w:val="63019DA8"/>
    <w:rsid w:val="631668DE"/>
    <w:rsid w:val="635E6919"/>
    <w:rsid w:val="636F9DE0"/>
    <w:rsid w:val="6393271E"/>
    <w:rsid w:val="63F0377E"/>
    <w:rsid w:val="641443C7"/>
    <w:rsid w:val="643EAF9A"/>
    <w:rsid w:val="6442F41C"/>
    <w:rsid w:val="6459A3C6"/>
    <w:rsid w:val="647A646A"/>
    <w:rsid w:val="64963B64"/>
    <w:rsid w:val="649CB51A"/>
    <w:rsid w:val="64AA4636"/>
    <w:rsid w:val="64AFAA2D"/>
    <w:rsid w:val="64B66EFC"/>
    <w:rsid w:val="64BC1E78"/>
    <w:rsid w:val="64C423A9"/>
    <w:rsid w:val="64E267C7"/>
    <w:rsid w:val="650A9053"/>
    <w:rsid w:val="6518535E"/>
    <w:rsid w:val="652B949A"/>
    <w:rsid w:val="6531C0FD"/>
    <w:rsid w:val="65475F34"/>
    <w:rsid w:val="654CB2F6"/>
    <w:rsid w:val="655CCE40"/>
    <w:rsid w:val="6562375C"/>
    <w:rsid w:val="6598DFC4"/>
    <w:rsid w:val="659CE20E"/>
    <w:rsid w:val="65B5B613"/>
    <w:rsid w:val="65BEA668"/>
    <w:rsid w:val="6605B2FC"/>
    <w:rsid w:val="660C1EDB"/>
    <w:rsid w:val="661036DB"/>
    <w:rsid w:val="66207432"/>
    <w:rsid w:val="66295FA7"/>
    <w:rsid w:val="6640A28F"/>
    <w:rsid w:val="665E3773"/>
    <w:rsid w:val="6666E56C"/>
    <w:rsid w:val="666D303E"/>
    <w:rsid w:val="66BA0A03"/>
    <w:rsid w:val="66D3B874"/>
    <w:rsid w:val="67118045"/>
    <w:rsid w:val="673470CB"/>
    <w:rsid w:val="67355383"/>
    <w:rsid w:val="674CB49C"/>
    <w:rsid w:val="67557553"/>
    <w:rsid w:val="67783AF1"/>
    <w:rsid w:val="67AC9482"/>
    <w:rsid w:val="67B36A53"/>
    <w:rsid w:val="67B5C69F"/>
    <w:rsid w:val="67BFA367"/>
    <w:rsid w:val="67E21766"/>
    <w:rsid w:val="67E51945"/>
    <w:rsid w:val="682E8661"/>
    <w:rsid w:val="68490951"/>
    <w:rsid w:val="6850F181"/>
    <w:rsid w:val="6858C2F7"/>
    <w:rsid w:val="686AA4F7"/>
    <w:rsid w:val="688F5264"/>
    <w:rsid w:val="68ABF36C"/>
    <w:rsid w:val="68AE0DBF"/>
    <w:rsid w:val="68DCCFB9"/>
    <w:rsid w:val="68DDECA3"/>
    <w:rsid w:val="69271E76"/>
    <w:rsid w:val="6931E9EA"/>
    <w:rsid w:val="6935DF46"/>
    <w:rsid w:val="693A6151"/>
    <w:rsid w:val="6944DEA0"/>
    <w:rsid w:val="69538723"/>
    <w:rsid w:val="69742208"/>
    <w:rsid w:val="698900F2"/>
    <w:rsid w:val="699046B8"/>
    <w:rsid w:val="699B11BC"/>
    <w:rsid w:val="69CBFF9B"/>
    <w:rsid w:val="69D4C2F5"/>
    <w:rsid w:val="69E72DB1"/>
    <w:rsid w:val="69F60187"/>
    <w:rsid w:val="6A04806C"/>
    <w:rsid w:val="6A0549CB"/>
    <w:rsid w:val="6A0B1A9E"/>
    <w:rsid w:val="6A54A332"/>
    <w:rsid w:val="6A54D9E7"/>
    <w:rsid w:val="6A60D7D2"/>
    <w:rsid w:val="6A7451CE"/>
    <w:rsid w:val="6AB20411"/>
    <w:rsid w:val="6AB99559"/>
    <w:rsid w:val="6B09FF49"/>
    <w:rsid w:val="6B2B3DE5"/>
    <w:rsid w:val="6B4A3698"/>
    <w:rsid w:val="6B4ABD45"/>
    <w:rsid w:val="6B7A8D0A"/>
    <w:rsid w:val="6B8824BF"/>
    <w:rsid w:val="6B913512"/>
    <w:rsid w:val="6B9A022B"/>
    <w:rsid w:val="6BA37FE5"/>
    <w:rsid w:val="6BC32AF8"/>
    <w:rsid w:val="6C00E755"/>
    <w:rsid w:val="6C0E40EB"/>
    <w:rsid w:val="6C228169"/>
    <w:rsid w:val="6C292699"/>
    <w:rsid w:val="6C2F9B2D"/>
    <w:rsid w:val="6C45B8C2"/>
    <w:rsid w:val="6C4AABF3"/>
    <w:rsid w:val="6C7A2315"/>
    <w:rsid w:val="6C853C40"/>
    <w:rsid w:val="6CED0E16"/>
    <w:rsid w:val="6CF3E04C"/>
    <w:rsid w:val="6D0C76D1"/>
    <w:rsid w:val="6D1328A4"/>
    <w:rsid w:val="6D2292F7"/>
    <w:rsid w:val="6D2984E0"/>
    <w:rsid w:val="6D37BB4B"/>
    <w:rsid w:val="6D676F96"/>
    <w:rsid w:val="6D776C7E"/>
    <w:rsid w:val="6D81E7B6"/>
    <w:rsid w:val="6D927220"/>
    <w:rsid w:val="6DF95E3D"/>
    <w:rsid w:val="6E136F5E"/>
    <w:rsid w:val="6E42FAE3"/>
    <w:rsid w:val="6E543041"/>
    <w:rsid w:val="6E5BDF36"/>
    <w:rsid w:val="6E6E10AB"/>
    <w:rsid w:val="6E724A5E"/>
    <w:rsid w:val="6E94AAF6"/>
    <w:rsid w:val="6E9637B1"/>
    <w:rsid w:val="6EA042A2"/>
    <w:rsid w:val="6EA4CC0F"/>
    <w:rsid w:val="6EAEB69A"/>
    <w:rsid w:val="6EC5A327"/>
    <w:rsid w:val="6EDB747C"/>
    <w:rsid w:val="6F0BE07B"/>
    <w:rsid w:val="6F51D82E"/>
    <w:rsid w:val="6F683999"/>
    <w:rsid w:val="6FB3C1F8"/>
    <w:rsid w:val="6FB86129"/>
    <w:rsid w:val="6FF7162C"/>
    <w:rsid w:val="7006181B"/>
    <w:rsid w:val="701AF22E"/>
    <w:rsid w:val="702AD408"/>
    <w:rsid w:val="70343AF3"/>
    <w:rsid w:val="703AA4A2"/>
    <w:rsid w:val="704F8FD9"/>
    <w:rsid w:val="704FBC5E"/>
    <w:rsid w:val="706E04CE"/>
    <w:rsid w:val="708140C5"/>
    <w:rsid w:val="7090E626"/>
    <w:rsid w:val="70B5E8C6"/>
    <w:rsid w:val="70D9DCAF"/>
    <w:rsid w:val="70F7FC63"/>
    <w:rsid w:val="70FD88AA"/>
    <w:rsid w:val="71154CB9"/>
    <w:rsid w:val="711FCAF1"/>
    <w:rsid w:val="7143EC4F"/>
    <w:rsid w:val="714ED2C2"/>
    <w:rsid w:val="71508050"/>
    <w:rsid w:val="715C2CA4"/>
    <w:rsid w:val="716A3268"/>
    <w:rsid w:val="717267F4"/>
    <w:rsid w:val="71765135"/>
    <w:rsid w:val="7202803C"/>
    <w:rsid w:val="720A5CCA"/>
    <w:rsid w:val="7214D353"/>
    <w:rsid w:val="7227016B"/>
    <w:rsid w:val="728879FB"/>
    <w:rsid w:val="728EF504"/>
    <w:rsid w:val="72AC4E3F"/>
    <w:rsid w:val="730917D6"/>
    <w:rsid w:val="730F329B"/>
    <w:rsid w:val="731091C7"/>
    <w:rsid w:val="73529746"/>
    <w:rsid w:val="73814821"/>
    <w:rsid w:val="73851680"/>
    <w:rsid w:val="7393AA0D"/>
    <w:rsid w:val="73B6F65B"/>
    <w:rsid w:val="740F8597"/>
    <w:rsid w:val="741156A1"/>
    <w:rsid w:val="74219183"/>
    <w:rsid w:val="742C3D41"/>
    <w:rsid w:val="7446EC2C"/>
    <w:rsid w:val="7480EB1F"/>
    <w:rsid w:val="74A4B017"/>
    <w:rsid w:val="74AC1F5F"/>
    <w:rsid w:val="74CA9AB5"/>
    <w:rsid w:val="74CAE85E"/>
    <w:rsid w:val="74D34FCD"/>
    <w:rsid w:val="74FEE3EC"/>
    <w:rsid w:val="753BB975"/>
    <w:rsid w:val="7544BD12"/>
    <w:rsid w:val="754A02EC"/>
    <w:rsid w:val="754A10B7"/>
    <w:rsid w:val="754AA84F"/>
    <w:rsid w:val="756B1688"/>
    <w:rsid w:val="757E234A"/>
    <w:rsid w:val="75B1482B"/>
    <w:rsid w:val="75E9EBD1"/>
    <w:rsid w:val="75FF5CFB"/>
    <w:rsid w:val="762FEB92"/>
    <w:rsid w:val="76498BB3"/>
    <w:rsid w:val="7682B755"/>
    <w:rsid w:val="76D6A23B"/>
    <w:rsid w:val="76F64EC3"/>
    <w:rsid w:val="77129F86"/>
    <w:rsid w:val="771EA5F9"/>
    <w:rsid w:val="771F70CC"/>
    <w:rsid w:val="772B7E5D"/>
    <w:rsid w:val="772F842C"/>
    <w:rsid w:val="77538F2F"/>
    <w:rsid w:val="7753F31F"/>
    <w:rsid w:val="7756AC99"/>
    <w:rsid w:val="775E8F8A"/>
    <w:rsid w:val="7786BDA6"/>
    <w:rsid w:val="77CA5FB3"/>
    <w:rsid w:val="77D22DED"/>
    <w:rsid w:val="77D4E21F"/>
    <w:rsid w:val="77D54881"/>
    <w:rsid w:val="77E1EB8B"/>
    <w:rsid w:val="77E424AD"/>
    <w:rsid w:val="7804D48F"/>
    <w:rsid w:val="780EAAF9"/>
    <w:rsid w:val="7831E324"/>
    <w:rsid w:val="7857F92D"/>
    <w:rsid w:val="78782248"/>
    <w:rsid w:val="788E5F1C"/>
    <w:rsid w:val="78916E77"/>
    <w:rsid w:val="789A4F1F"/>
    <w:rsid w:val="789E61B2"/>
    <w:rsid w:val="78A1057E"/>
    <w:rsid w:val="78EAD7ED"/>
    <w:rsid w:val="78EF65FE"/>
    <w:rsid w:val="78F2072F"/>
    <w:rsid w:val="790F2418"/>
    <w:rsid w:val="790F797D"/>
    <w:rsid w:val="79167145"/>
    <w:rsid w:val="7931752F"/>
    <w:rsid w:val="79354D0E"/>
    <w:rsid w:val="793FE6C0"/>
    <w:rsid w:val="794BE4B7"/>
    <w:rsid w:val="794E6383"/>
    <w:rsid w:val="795E21AA"/>
    <w:rsid w:val="7971C0D1"/>
    <w:rsid w:val="79773E73"/>
    <w:rsid w:val="79C70934"/>
    <w:rsid w:val="79D5F338"/>
    <w:rsid w:val="7A139635"/>
    <w:rsid w:val="7A235CBD"/>
    <w:rsid w:val="7A26D817"/>
    <w:rsid w:val="7A4295D7"/>
    <w:rsid w:val="7A6081C8"/>
    <w:rsid w:val="7A64B4FF"/>
    <w:rsid w:val="7A66F21C"/>
    <w:rsid w:val="7A938B2F"/>
    <w:rsid w:val="7A948890"/>
    <w:rsid w:val="7ABC4F60"/>
    <w:rsid w:val="7AC7A352"/>
    <w:rsid w:val="7ACA37F8"/>
    <w:rsid w:val="7ACD8334"/>
    <w:rsid w:val="7AE77EFB"/>
    <w:rsid w:val="7B0D1253"/>
    <w:rsid w:val="7B2287F0"/>
    <w:rsid w:val="7B3EBAD9"/>
    <w:rsid w:val="7B41FD11"/>
    <w:rsid w:val="7B6A7DFE"/>
    <w:rsid w:val="7B9C2077"/>
    <w:rsid w:val="7BC22E1F"/>
    <w:rsid w:val="7BE76742"/>
    <w:rsid w:val="7BEC8B34"/>
    <w:rsid w:val="7BF5611E"/>
    <w:rsid w:val="7C0FB887"/>
    <w:rsid w:val="7C1052E9"/>
    <w:rsid w:val="7C10777D"/>
    <w:rsid w:val="7C15DC2B"/>
    <w:rsid w:val="7C37DBE8"/>
    <w:rsid w:val="7C6062E8"/>
    <w:rsid w:val="7C75F7A9"/>
    <w:rsid w:val="7C7E0795"/>
    <w:rsid w:val="7C97B0C1"/>
    <w:rsid w:val="7CB55058"/>
    <w:rsid w:val="7CBBF9D6"/>
    <w:rsid w:val="7CC848F6"/>
    <w:rsid w:val="7CD1CCC4"/>
    <w:rsid w:val="7D00AFC3"/>
    <w:rsid w:val="7D77A9E5"/>
    <w:rsid w:val="7D7CD4E4"/>
    <w:rsid w:val="7DA0E6D4"/>
    <w:rsid w:val="7DE227BF"/>
    <w:rsid w:val="7E110818"/>
    <w:rsid w:val="7E408B0E"/>
    <w:rsid w:val="7E434B9D"/>
    <w:rsid w:val="7E5E54D0"/>
    <w:rsid w:val="7E8D9E7C"/>
    <w:rsid w:val="7ECC8D6E"/>
    <w:rsid w:val="7ED2F40F"/>
    <w:rsid w:val="7F262B5F"/>
    <w:rsid w:val="7F2B2909"/>
    <w:rsid w:val="7F2BAFDE"/>
    <w:rsid w:val="7F363783"/>
    <w:rsid w:val="7F3CE60F"/>
    <w:rsid w:val="7F445880"/>
    <w:rsid w:val="7F4C1EB2"/>
    <w:rsid w:val="7F5DC631"/>
    <w:rsid w:val="7F767FDC"/>
    <w:rsid w:val="7FB3F179"/>
    <w:rsid w:val="7FBFCD1B"/>
    <w:rsid w:val="7FC52063"/>
    <w:rsid w:val="7FEC10DC"/>
    <w:rsid w:val="7FF39D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4C49C"/>
  <w15:docId w15:val="{4C258A01-3C86-4309-9FAD-5CFF2C61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59C3"/>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BF7AD7"/>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BF7AD7"/>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qFormat/>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ind w:left="1004"/>
    </w:pPr>
  </w:style>
  <w:style w:type="paragraph" w:styleId="ListNumber2">
    <w:name w:val="List Number 2"/>
    <w:basedOn w:val="ListBullet"/>
    <w:qFormat/>
    <w:rsid w:val="00BF7AD7"/>
    <w:pPr>
      <w:numPr>
        <w:numId w:val="0"/>
      </w:numPr>
      <w:ind w:left="644" w:hanging="360"/>
    </w:pPr>
  </w:style>
  <w:style w:type="paragraph" w:styleId="ListBullet">
    <w:name w:val="List Bullet"/>
    <w:basedOn w:val="Normal"/>
    <w:qFormat/>
    <w:rsid w:val="00BF7AD7"/>
    <w:pPr>
      <w:numPr>
        <w:numId w:val="1"/>
      </w:numPr>
      <w:tabs>
        <w:tab w:val="left" w:pos="340"/>
        <w:tab w:val="left" w:pos="680"/>
      </w:tabs>
      <w:spacing w:before="60" w:after="60"/>
    </w:pPr>
  </w:style>
  <w:style w:type="paragraph" w:styleId="ListParagraph">
    <w:name w:val="List Paragraph"/>
    <w:aliases w:val="Bullet point,List Paragraph1,List Paragraph11,Recommendation,Body text,Bullet Point,Bulletr List Paragraph,Content descriptions,FooterText,L,List Bullet 1,List Paragraph2,List Paragraph21,Listeafsnit1,NFP GP Bulleted List,numbered,リスト段落,列"/>
    <w:basedOn w:val="Normal"/>
    <w:link w:val="ListParagraphChar"/>
    <w:uiPriority w:val="34"/>
    <w:qFormat/>
    <w:rsid w:val="00BF7AD7"/>
    <w:pPr>
      <w:ind w:left="720"/>
      <w:contextualSpacing/>
    </w:pPr>
  </w:style>
  <w:style w:type="paragraph" w:styleId="ListNumber3">
    <w:name w:val="List Number 3"/>
    <w:aliases w:val="List Third Level"/>
    <w:basedOn w:val="ListNumber2"/>
    <w:rsid w:val="00BF7AD7"/>
    <w:pPr>
      <w:numPr>
        <w:numId w:val="2"/>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link w:val="FigureTitleChar"/>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3"/>
      </w:numPr>
    </w:pPr>
    <w:rPr>
      <w:szCs w:val="20"/>
    </w:rPr>
  </w:style>
  <w:style w:type="paragraph" w:customStyle="1" w:styleId="Tablelistnumber">
    <w:name w:val="Table list number"/>
    <w:basedOn w:val="Tabletextleft"/>
    <w:qFormat/>
    <w:rsid w:val="00BF7AD7"/>
    <w:pPr>
      <w:numPr>
        <w:numId w:val="4"/>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numbering" w:customStyle="1" w:styleId="CurrentList1">
    <w:name w:val="Current List1"/>
    <w:uiPriority w:val="99"/>
    <w:rsid w:val="00BC6729"/>
    <w:pPr>
      <w:numPr>
        <w:numId w:val="4"/>
      </w:numPr>
    </w:pPr>
  </w:style>
  <w:style w:type="paragraph" w:customStyle="1" w:styleId="Normal1">
    <w:name w:val="Normal1"/>
    <w:basedOn w:val="Normal"/>
    <w:link w:val="Normal1Char"/>
    <w:qFormat/>
    <w:rsid w:val="003753F9"/>
    <w:pPr>
      <w:numPr>
        <w:numId w:val="5"/>
      </w:numPr>
      <w:spacing w:line="240" w:lineRule="auto"/>
    </w:pPr>
    <w:rPr>
      <w:rFonts w:ascii="Calibri" w:hAnsi="Calibri"/>
      <w:color w:val="auto"/>
    </w:rPr>
  </w:style>
  <w:style w:type="character" w:customStyle="1" w:styleId="Normal1Char">
    <w:name w:val="Normal1 Char"/>
    <w:basedOn w:val="DefaultParagraphFont"/>
    <w:link w:val="Normal1"/>
    <w:rsid w:val="003753F9"/>
    <w:rPr>
      <w:rFonts w:ascii="Calibri" w:hAnsi="Calibri"/>
      <w:sz w:val="22"/>
      <w:szCs w:val="24"/>
      <w:lang w:eastAsia="en-US"/>
    </w:rPr>
  </w:style>
  <w:style w:type="character" w:styleId="UnresolvedMention">
    <w:name w:val="Unresolved Mention"/>
    <w:basedOn w:val="DefaultParagraphFont"/>
    <w:uiPriority w:val="99"/>
    <w:semiHidden/>
    <w:unhideWhenUsed/>
    <w:rsid w:val="00571A74"/>
    <w:rPr>
      <w:color w:val="605E5C"/>
      <w:shd w:val="clear" w:color="auto" w:fill="E1DFDD"/>
    </w:rPr>
  </w:style>
  <w:style w:type="paragraph" w:styleId="EndnoteText">
    <w:name w:val="endnote text"/>
    <w:basedOn w:val="Normal"/>
    <w:link w:val="EndnoteTextChar"/>
    <w:unhideWhenUsed/>
    <w:rsid w:val="002A2ACE"/>
    <w:pPr>
      <w:spacing w:before="0" w:after="0" w:line="240" w:lineRule="auto"/>
    </w:pPr>
    <w:rPr>
      <w:sz w:val="20"/>
      <w:szCs w:val="20"/>
    </w:rPr>
  </w:style>
  <w:style w:type="character" w:customStyle="1" w:styleId="EndnoteTextChar">
    <w:name w:val="Endnote Text Char"/>
    <w:basedOn w:val="DefaultParagraphFont"/>
    <w:link w:val="EndnoteText"/>
    <w:rsid w:val="002A2ACE"/>
    <w:rPr>
      <w:rFonts w:ascii="Arial" w:hAnsi="Arial"/>
      <w:color w:val="000000" w:themeColor="text1"/>
      <w:lang w:eastAsia="en-US"/>
    </w:rPr>
  </w:style>
  <w:style w:type="character" w:styleId="EndnoteReference">
    <w:name w:val="endnote reference"/>
    <w:basedOn w:val="DefaultParagraphFont"/>
    <w:semiHidden/>
    <w:unhideWhenUsed/>
    <w:rsid w:val="002A2ACE"/>
    <w:rPr>
      <w:vertAlign w:val="superscript"/>
    </w:rPr>
  </w:style>
  <w:style w:type="paragraph" w:styleId="TOCHeading">
    <w:name w:val="TOC Heading"/>
    <w:basedOn w:val="Heading1"/>
    <w:next w:val="Normal"/>
    <w:uiPriority w:val="39"/>
    <w:unhideWhenUsed/>
    <w:qFormat/>
    <w:rsid w:val="00B02B8C"/>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B02B8C"/>
    <w:pPr>
      <w:spacing w:after="100"/>
    </w:pPr>
  </w:style>
  <w:style w:type="paragraph" w:styleId="TOC2">
    <w:name w:val="toc 2"/>
    <w:basedOn w:val="Normal"/>
    <w:next w:val="Normal"/>
    <w:autoRedefine/>
    <w:uiPriority w:val="39"/>
    <w:unhideWhenUsed/>
    <w:rsid w:val="00FA0425"/>
    <w:pPr>
      <w:tabs>
        <w:tab w:val="left" w:pos="960"/>
        <w:tab w:val="right" w:leader="dot" w:pos="9060"/>
      </w:tabs>
      <w:spacing w:after="100"/>
      <w:ind w:left="220"/>
    </w:pPr>
    <w:rPr>
      <w:rFonts w:cs="Arial"/>
      <w:iCs/>
      <w:noProof/>
    </w:rPr>
  </w:style>
  <w:style w:type="paragraph" w:styleId="TOC3">
    <w:name w:val="toc 3"/>
    <w:basedOn w:val="Normal"/>
    <w:next w:val="Normal"/>
    <w:autoRedefine/>
    <w:uiPriority w:val="39"/>
    <w:unhideWhenUsed/>
    <w:rsid w:val="00D64E6D"/>
    <w:pPr>
      <w:spacing w:after="100"/>
      <w:ind w:left="440"/>
    </w:pPr>
  </w:style>
  <w:style w:type="character" w:styleId="CommentReference">
    <w:name w:val="annotation reference"/>
    <w:basedOn w:val="DefaultParagraphFont"/>
    <w:uiPriority w:val="99"/>
    <w:semiHidden/>
    <w:unhideWhenUsed/>
    <w:rsid w:val="00852869"/>
    <w:rPr>
      <w:sz w:val="16"/>
      <w:szCs w:val="16"/>
    </w:rPr>
  </w:style>
  <w:style w:type="paragraph" w:styleId="CommentText">
    <w:name w:val="annotation text"/>
    <w:basedOn w:val="Normal"/>
    <w:link w:val="CommentTextChar"/>
    <w:uiPriority w:val="99"/>
    <w:unhideWhenUsed/>
    <w:rsid w:val="00852869"/>
    <w:pPr>
      <w:spacing w:line="240" w:lineRule="auto"/>
    </w:pPr>
    <w:rPr>
      <w:sz w:val="20"/>
      <w:szCs w:val="20"/>
    </w:rPr>
  </w:style>
  <w:style w:type="character" w:customStyle="1" w:styleId="CommentTextChar">
    <w:name w:val="Comment Text Char"/>
    <w:basedOn w:val="DefaultParagraphFont"/>
    <w:link w:val="CommentText"/>
    <w:uiPriority w:val="99"/>
    <w:rsid w:val="00852869"/>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852869"/>
    <w:rPr>
      <w:b/>
      <w:bCs/>
    </w:rPr>
  </w:style>
  <w:style w:type="character" w:customStyle="1" w:styleId="CommentSubjectChar">
    <w:name w:val="Comment Subject Char"/>
    <w:basedOn w:val="CommentTextChar"/>
    <w:link w:val="CommentSubject"/>
    <w:semiHidden/>
    <w:rsid w:val="00852869"/>
    <w:rPr>
      <w:rFonts w:ascii="Arial" w:hAnsi="Arial"/>
      <w:b/>
      <w:bCs/>
      <w:color w:val="000000" w:themeColor="text1"/>
      <w:lang w:eastAsia="en-US"/>
    </w:rPr>
  </w:style>
  <w:style w:type="paragraph" w:customStyle="1" w:styleId="Style2">
    <w:name w:val="Style2"/>
    <w:basedOn w:val="FigureTitle"/>
    <w:link w:val="Style2Char"/>
    <w:qFormat/>
    <w:rsid w:val="00636C3F"/>
    <w:rPr>
      <w:color w:val="358189"/>
    </w:rPr>
  </w:style>
  <w:style w:type="character" w:customStyle="1" w:styleId="FigureTitleChar">
    <w:name w:val="Figure Title Char"/>
    <w:basedOn w:val="DefaultParagraphFont"/>
    <w:link w:val="FigureTitle"/>
    <w:rsid w:val="00636C3F"/>
    <w:rPr>
      <w:rFonts w:ascii="Arial" w:hAnsi="Arial" w:cs="Arial"/>
      <w:b/>
      <w:bCs/>
      <w:iCs/>
      <w:color w:val="000000" w:themeColor="text1"/>
      <w:sz w:val="22"/>
      <w:szCs w:val="22"/>
      <w:lang w:eastAsia="en-US"/>
    </w:rPr>
  </w:style>
  <w:style w:type="character" w:customStyle="1" w:styleId="Style2Char">
    <w:name w:val="Style2 Char"/>
    <w:basedOn w:val="FigureTitleChar"/>
    <w:link w:val="Style2"/>
    <w:rsid w:val="00636C3F"/>
    <w:rPr>
      <w:rFonts w:ascii="Arial" w:hAnsi="Arial" w:cs="Arial"/>
      <w:b/>
      <w:bCs/>
      <w:iCs/>
      <w:color w:val="358189"/>
      <w:sz w:val="22"/>
      <w:szCs w:val="22"/>
      <w:lang w:eastAsia="en-US"/>
    </w:rPr>
  </w:style>
  <w:style w:type="paragraph" w:customStyle="1" w:styleId="Body">
    <w:name w:val="Body"/>
    <w:basedOn w:val="Normal"/>
    <w:link w:val="BodyChar"/>
    <w:qFormat/>
    <w:rsid w:val="00341138"/>
    <w:pPr>
      <w:spacing w:after="60"/>
    </w:pPr>
    <w:rPr>
      <w:szCs w:val="28"/>
      <w:lang w:val="en-US"/>
    </w:rPr>
  </w:style>
  <w:style w:type="character" w:customStyle="1" w:styleId="BodyChar">
    <w:name w:val="Body Char"/>
    <w:basedOn w:val="DefaultParagraphFont"/>
    <w:link w:val="Body"/>
    <w:rsid w:val="00341138"/>
    <w:rPr>
      <w:rFonts w:ascii="Arial" w:hAnsi="Arial"/>
      <w:color w:val="000000" w:themeColor="text1"/>
      <w:sz w:val="22"/>
      <w:szCs w:val="28"/>
      <w:lang w:val="en-US" w:eastAsia="en-US"/>
    </w:rPr>
  </w:style>
  <w:style w:type="paragraph" w:styleId="Revision">
    <w:name w:val="Revision"/>
    <w:hidden/>
    <w:uiPriority w:val="99"/>
    <w:semiHidden/>
    <w:rsid w:val="008508FD"/>
    <w:rPr>
      <w:rFonts w:ascii="Arial" w:hAnsi="Arial"/>
      <w:color w:val="000000" w:themeColor="text1"/>
      <w:sz w:val="22"/>
      <w:szCs w:val="24"/>
      <w:lang w:eastAsia="en-US"/>
    </w:rPr>
  </w:style>
  <w:style w:type="character" w:styleId="Mention">
    <w:name w:val="Mention"/>
    <w:basedOn w:val="DefaultParagraphFont"/>
    <w:uiPriority w:val="99"/>
    <w:unhideWhenUsed/>
    <w:rsid w:val="00D75B67"/>
    <w:rPr>
      <w:color w:val="2B579A"/>
      <w:shd w:val="clear" w:color="auto" w:fill="E1DFDD"/>
    </w:rPr>
  </w:style>
  <w:style w:type="character" w:styleId="FootnoteReference">
    <w:name w:val="footnote reference"/>
    <w:basedOn w:val="DefaultParagraphFont"/>
    <w:uiPriority w:val="99"/>
    <w:unhideWhenUsed/>
    <w:rsid w:val="00927C8A"/>
    <w:rPr>
      <w:vertAlign w:val="superscript"/>
    </w:rPr>
  </w:style>
  <w:style w:type="paragraph" w:customStyle="1" w:styleId="Paragraphtext">
    <w:name w:val="Paragraph text"/>
    <w:basedOn w:val="Normal"/>
    <w:qFormat/>
    <w:rsid w:val="006C326E"/>
    <w:pPr>
      <w:spacing w:after="60" w:line="240" w:lineRule="auto"/>
    </w:pPr>
    <w:rPr>
      <w:sz w:val="21"/>
    </w:rPr>
  </w:style>
  <w:style w:type="character" w:styleId="FollowedHyperlink">
    <w:name w:val="FollowedHyperlink"/>
    <w:basedOn w:val="DefaultParagraphFont"/>
    <w:semiHidden/>
    <w:unhideWhenUsed/>
    <w:rsid w:val="00BC2F5C"/>
    <w:rPr>
      <w:color w:val="800080" w:themeColor="followedHyperlink"/>
      <w:u w:val="single"/>
    </w:rPr>
  </w:style>
  <w:style w:type="character" w:customStyle="1" w:styleId="ListParagraphChar">
    <w:name w:val="List Paragraph Char"/>
    <w:aliases w:val="Bullet point Char,List Paragraph1 Char,List Paragraph11 Char,Recommendation Char,Body text Char,Bullet Point Char,Bulletr List Paragraph Char,Content descriptions Char,FooterText Char,L Char,List Bullet 1 Char,List Paragraph2 Char"/>
    <w:link w:val="ListParagraph"/>
    <w:uiPriority w:val="34"/>
    <w:qFormat/>
    <w:locked/>
    <w:rsid w:val="00F04C13"/>
    <w:rPr>
      <w:rFonts w:ascii="Arial" w:hAnsi="Arial"/>
      <w:color w:val="000000" w:themeColor="text1"/>
      <w:sz w:val="22"/>
      <w:szCs w:val="24"/>
      <w:lang w:eastAsia="en-US"/>
    </w:rPr>
  </w:style>
  <w:style w:type="character" w:customStyle="1" w:styleId="Heading2Char">
    <w:name w:val="Heading 2 Char"/>
    <w:basedOn w:val="DefaultParagraphFont"/>
    <w:link w:val="Heading2"/>
    <w:rsid w:val="00614868"/>
    <w:rPr>
      <w:rFonts w:ascii="Arial" w:hAnsi="Arial" w:cs="Arial"/>
      <w:b/>
      <w:bCs/>
      <w:iCs/>
      <w:color w:val="358189"/>
      <w:sz w:val="36"/>
      <w:szCs w:val="28"/>
      <w:lang w:eastAsia="en-US"/>
    </w:rPr>
  </w:style>
  <w:style w:type="character" w:customStyle="1" w:styleId="Heading3Char">
    <w:name w:val="Heading 3 Char"/>
    <w:basedOn w:val="DefaultParagraphFont"/>
    <w:link w:val="Heading3"/>
    <w:rsid w:val="004941D3"/>
    <w:rPr>
      <w:rFonts w:ascii="Arial" w:hAnsi="Arial" w:cs="Arial"/>
      <w:b/>
      <w:bCs/>
      <w:color w:val="358189"/>
      <w:sz w:val="32"/>
      <w:szCs w:val="26"/>
      <w:lang w:eastAsia="en-US"/>
    </w:rPr>
  </w:style>
  <w:style w:type="character" w:customStyle="1" w:styleId="normaltextrun">
    <w:name w:val="normaltextrun"/>
    <w:basedOn w:val="DefaultParagraphFont"/>
    <w:rsid w:val="009C1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gov.au/committees-and-groups/private-health-chief-executive-officer-forum" TargetMode="External"/><Relationship Id="rId26" Type="http://schemas.openxmlformats.org/officeDocument/2006/relationships/hyperlink" Target="https://www.health.gov.au/topics/doctors-and-specialists/what-we-do/19ab/moratorium" TargetMode="External"/><Relationship Id="rId39" Type="http://schemas.openxmlformats.org/officeDocument/2006/relationships/header" Target="header5.xml"/><Relationship Id="rId21" Type="http://schemas.openxmlformats.org/officeDocument/2006/relationships/image" Target="media/image2.png"/><Relationship Id="rId34" Type="http://schemas.openxmlformats.org/officeDocument/2006/relationships/hyperlink" Target="https://www.health.gov.au/topics/private-health-insurance/reforms/clinical-categories-review" TargetMode="External"/><Relationship Id="rId42" Type="http://schemas.openxmlformats.org/officeDocument/2006/relationships/image" Target="media/image3.png"/><Relationship Id="rId47" Type="http://schemas.openxmlformats.org/officeDocument/2006/relationships/hyperlink" Target="https://www.legislation.gov.au/C2007A00031/2026-04-01/2026-04-01/text/original/epub/OEBPS/document_1/document_1.html" TargetMode="External"/><Relationship Id="rId50" Type="http://schemas.openxmlformats.org/officeDocument/2006/relationships/hyperlink" Target="https://www.legislation.gov.au/C2007A00031/2026-04-01/2026-04-01/text/original/epub/OEBPS/document_1/document_1.html" TargetMode="External"/><Relationship Id="rId55" Type="http://schemas.openxmlformats.org/officeDocument/2006/relationships/hyperlink" Target="https://www.legislation.gov.au/F2011L02160/latest/tex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9.health.gov.au/mbs/fullDisplay.cfm?type=note&amp;qt=NoteID&amp;q=TN.1.19" TargetMode="External"/><Relationship Id="rId11" Type="http://schemas.openxmlformats.org/officeDocument/2006/relationships/header" Target="header1.xml"/><Relationship Id="rId24" Type="http://schemas.openxmlformats.org/officeDocument/2006/relationships/hyperlink" Target="https://www.legislation.gov.au/Series/C2007A00031" TargetMode="External"/><Relationship Id="rId32" Type="http://schemas.openxmlformats.org/officeDocument/2006/relationships/hyperlink" Target="https://www.health.gov.au/topics/rural-health-workforce/classifications/mmm" TargetMode="External"/><Relationship Id="rId37" Type="http://schemas.openxmlformats.org/officeDocument/2006/relationships/hyperlink" Target="https://www.apra.gov.au/" TargetMode="External"/><Relationship Id="rId40" Type="http://schemas.openxmlformats.org/officeDocument/2006/relationships/footer" Target="footer4.xml"/><Relationship Id="rId45" Type="http://schemas.openxmlformats.org/officeDocument/2006/relationships/hyperlink" Target="https://www.legislation.gov.au/C2007A00031/2026-04-01/2026-04-01/text/original/epub/OEBPS/document_1/document_1.html" TargetMode="External"/><Relationship Id="rId53" Type="http://schemas.openxmlformats.org/officeDocument/2006/relationships/hyperlink" Target="https://www.legislation.gov.au/F2018L00718/latest/versions"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health.gov.au/sites/default/files/2024-11/private-hospital-financial-viability-health-check-summar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gov.au/our-work/consultation-on-specialist-affordability-and-access" TargetMode="External"/><Relationship Id="rId27" Type="http://schemas.openxmlformats.org/officeDocument/2006/relationships/hyperlink" Target="https://consultations.health.gov.au/private-hospitals-branch/private-health-reform-options-dec2024/" TargetMode="External"/><Relationship Id="rId30" Type="http://schemas.openxmlformats.org/officeDocument/2006/relationships/hyperlink" Target="https://www.pbs.gov.au/info/browse/section-100/s100-highly-specialised-drugs" TargetMode="External"/><Relationship Id="rId35" Type="http://schemas.openxmlformats.org/officeDocument/2006/relationships/hyperlink" Target="https://www.health.gov.au/resources/publications/budget-2020-21-private-health-insurance-increasing-the-age-of-dependants" TargetMode="External"/><Relationship Id="rId43" Type="http://schemas.openxmlformats.org/officeDocument/2006/relationships/hyperlink" Target="https://www.safetyandquality.gov.au/accreditation/accreditation-national-safety-and-quality-standards" TargetMode="External"/><Relationship Id="rId48" Type="http://schemas.openxmlformats.org/officeDocument/2006/relationships/hyperlink" Target="https://www.legislation.gov.au/F2011L02241/latest/text" TargetMode="External"/><Relationship Id="rId56" Type="http://schemas.openxmlformats.org/officeDocument/2006/relationships/hyperlink" Target="https://www.legislation.gov.au/C2004A00101/2025-12-05/2025-12-05/text/original/epub/OEBPS/document_1/document_1.html" TargetMode="External"/><Relationship Id="rId8" Type="http://schemas.openxmlformats.org/officeDocument/2006/relationships/webSettings" Target="webSettings.xml"/><Relationship Id="rId51" Type="http://schemas.openxmlformats.org/officeDocument/2006/relationships/hyperlink" Target="https://www.legislation.gov.au/C2007A00031/2026-04-01/2026-04-01/text/original/epub/OEBPS/document_1/document_1.html"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ealth.gov.au/sites/default/files/2024-11/private-hospital-financial-viability-health-check-summary.pdf" TargetMode="External"/><Relationship Id="rId25" Type="http://schemas.openxmlformats.org/officeDocument/2006/relationships/hyperlink" Target="https://catalogue.nla.gov.au/catalog/7129342" TargetMode="External"/><Relationship Id="rId33" Type="http://schemas.openxmlformats.org/officeDocument/2006/relationships/hyperlink" Target="https://www.health.gov.au/resources/publications/private-health-insurance-reforms-gold-silver-bronze-basic-product-tiers-campaign-fact-sheet?language=und" TargetMode="External"/><Relationship Id="rId38" Type="http://schemas.openxmlformats.org/officeDocument/2006/relationships/header" Target="header4.xml"/><Relationship Id="rId46" Type="http://schemas.openxmlformats.org/officeDocument/2006/relationships/hyperlink" Target="https://www.legislation.gov.au/C2007A00031/2026-04-01/2026-04-01/text/original/epub/OEBPS/document_1/document_1.html" TargetMode="External"/><Relationship Id="rId59" Type="http://schemas.openxmlformats.org/officeDocument/2006/relationships/theme" Target="theme/theme1.xml"/><Relationship Id="rId20" Type="http://schemas.openxmlformats.org/officeDocument/2006/relationships/hyperlink" Target="https://consultations.health.gov.au/private-hospitals-branch/private-health-reform-options-dec2024/user_uploads/consultation-paper---private-health-reform-options---january-2025-1.pdf" TargetMode="External"/><Relationship Id="rId41" Type="http://schemas.openxmlformats.org/officeDocument/2006/relationships/header" Target="header6.xml"/><Relationship Id="rId54" Type="http://schemas.openxmlformats.org/officeDocument/2006/relationships/hyperlink" Target="https://www.legislation.gov.au/F2015L01021/latest/versio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aph.gov.au/About_Parliament/House_of_Representatives/About_the_House_News/Media_Releases/Inquiry_into_access_and_affordability_of_medical_specialists" TargetMode="External"/><Relationship Id="rId28" Type="http://schemas.openxmlformats.org/officeDocument/2006/relationships/hyperlink" Target="https://www.safetyandquality.gov.au/resources/policy-approval-under-australian-health-service-safety-and-quality-accreditation-ahssqa-scheme-conduct-assessments" TargetMode="External"/><Relationship Id="rId36" Type="http://schemas.openxmlformats.org/officeDocument/2006/relationships/hyperlink" Target="https://consultations.health.gov.au/medical-benefits-division/phi-phoenixing/" TargetMode="External"/><Relationship Id="rId49" Type="http://schemas.openxmlformats.org/officeDocument/2006/relationships/hyperlink" Target="https://www.health.gov.au/resources/publications/list-of-declared-hospitals" TargetMode="External"/><Relationship Id="rId57" Type="http://schemas.openxmlformats.org/officeDocument/2006/relationships/hyperlink" Target="https://www.legislation.gov.au/C2004A00101/latest/text" TargetMode="External"/><Relationship Id="rId10" Type="http://schemas.openxmlformats.org/officeDocument/2006/relationships/endnotes" Target="endnotes.xml"/><Relationship Id="rId31" Type="http://schemas.openxmlformats.org/officeDocument/2006/relationships/hyperlink" Target="https://www.health.gov.au/resources/publications/second-tier-default-benefits-guidelines?language=en" TargetMode="External"/><Relationship Id="rId44" Type="http://schemas.openxmlformats.org/officeDocument/2006/relationships/hyperlink" Target="https://www.safetyandquality.gov.au/resources/national-safety-and-quality-health-service-standards-second-edition" TargetMode="External"/><Relationship Id="rId52" Type="http://schemas.openxmlformats.org/officeDocument/2006/relationships/hyperlink" Target="https://www.legislation.gov.au/C2007A00031/2026-04-01/2026-04-01/text/original/epub/OEBPS/document_1/document_1.html"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servicesaustralia.gov.au/mbs-billing-for-aftercare-or-post-operative-treatment?context=20" TargetMode="External"/><Relationship Id="rId13" Type="http://schemas.openxmlformats.org/officeDocument/2006/relationships/hyperlink" Target="https://consultations.health.gov.au/medical-benefits-division/consultation-on-phi-studies/" TargetMode="External"/><Relationship Id="rId3" Type="http://schemas.openxmlformats.org/officeDocument/2006/relationships/hyperlink" Target="https://www.aihw.gov.au/hospitals/topics/admitted-patient-care" TargetMode="External"/><Relationship Id="rId7" Type="http://schemas.openxmlformats.org/officeDocument/2006/relationships/hyperlink" Target="https://www.cancer.org.au/cancer-information/screening-tests-and-treatments/treatment/chemotherapy" TargetMode="External"/><Relationship Id="rId12" Type="http://schemas.openxmlformats.org/officeDocument/2006/relationships/hyperlink" Target="https://www.aph.gov.au/Parliamentary_Business/Bills_Legislation/Bills_Search_Results/Result?bId=r7434" TargetMode="External"/><Relationship Id="rId2" Type="http://schemas.openxmlformats.org/officeDocument/2006/relationships/hyperlink" Target="https://www.abs.gov.au/statistics/people/population/births-australia/latest-release" TargetMode="External"/><Relationship Id="rId1" Type="http://schemas.openxmlformats.org/officeDocument/2006/relationships/hyperlink" Target="https://www.servicesaustralia.gov.au/hw019" TargetMode="External"/><Relationship Id="rId6" Type="http://schemas.openxmlformats.org/officeDocument/2006/relationships/hyperlink" Target="https://www.aihw.gov.au/reports-data/health-conditions-disability-deaths/cancer/glossary" TargetMode="External"/><Relationship Id="rId11" Type="http://schemas.openxmlformats.org/officeDocument/2006/relationships/hyperlink" Target="https://www.health.gov.au/resources/publications/list-of-declared-hospitals?language=en" TargetMode="External"/><Relationship Id="rId5" Type="http://schemas.openxmlformats.org/officeDocument/2006/relationships/hyperlink" Target="https://www.eviq.org.au/patients-and-carers/patient-information-sheets/at-home/3095-chemotherapy-safety-at-home" TargetMode="External"/><Relationship Id="rId10" Type="http://schemas.openxmlformats.org/officeDocument/2006/relationships/hyperlink" Target="https://www9.health.gov.au/mbs/fullDisplay.cfm?type=note&amp;qt=NoteID&amp;q=TN.1.19" TargetMode="External"/><Relationship Id="rId4" Type="http://schemas.openxmlformats.org/officeDocument/2006/relationships/hyperlink" Target="https://meteor.aihw.gov.au/content/327308" TargetMode="External"/><Relationship Id="rId9" Type="http://schemas.openxmlformats.org/officeDocument/2006/relationships/hyperlink" Target="https://www.aihw.gov.au/reports/chronic-disease/multimorbidity-in-australia/contents/how-common-is-multimorbidity" TargetMode="External"/><Relationship Id="rId14" Type="http://schemas.openxmlformats.org/officeDocument/2006/relationships/hyperlink" Target="https://consultations.health.gov.au/medical-benefits-division/consultation-on-the-private-health-insurance-phi-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LDN\OneDrive%20-%20Department%20of%20Health\Desktop\DRAFT%20-%20Private%20health%20reforms%20-%20consultation%20paper%201%20-%20post-CEO%20forum%2022%20June%208pm.dotm"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a5e915-27ce-4ef5-a7b5-cb49c3aef0d2" xsi:nil="true"/>
    <lcf76f155ced4ddcb4097134ff3c332f xmlns="3797bb95-ae5a-418a-8ddb-48b15dfc5543">
      <Terms xmlns="http://schemas.microsoft.com/office/infopath/2007/PartnerControls"/>
    </lcf76f155ced4ddcb4097134ff3c332f>
    <Comment xmlns="3797bb95-ae5a-418a-8ddb-48b15dfc5543" xsi:nil="true"/>
    <Notes xmlns="3797bb95-ae5a-418a-8ddb-48b15dfc5543" xsi:nil="true"/>
    <Status xmlns="3797bb95-ae5a-418a-8ddb-48b15dfc55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E4DD089086E54081DA8A0B05B09261" ma:contentTypeVersion="16" ma:contentTypeDescription="Create a new document." ma:contentTypeScope="" ma:versionID="c1ea121b09bf24137e14c5d2ef906951">
  <xsd:schema xmlns:xsd="http://www.w3.org/2001/XMLSchema" xmlns:xs="http://www.w3.org/2001/XMLSchema" xmlns:p="http://schemas.microsoft.com/office/2006/metadata/properties" xmlns:ns2="3797bb95-ae5a-418a-8ddb-48b15dfc5543" xmlns:ns3="3fa5e915-27ce-4ef5-a7b5-cb49c3aef0d2" targetNamespace="http://schemas.microsoft.com/office/2006/metadata/properties" ma:root="true" ma:fieldsID="2bffae2b644bad6ed649010d2c524743" ns2:_="" ns3:_="">
    <xsd:import namespace="3797bb95-ae5a-418a-8ddb-48b15dfc5543"/>
    <xsd:import namespace="3fa5e915-27ce-4ef5-a7b5-cb49c3aef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Comment"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7bb95-ae5a-418a-8ddb-48b15dfc5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Status" ma:description="Where is the status of the file" ma:format="Dropdown" ma:internalName="Status">
      <xsd:simpleType>
        <xsd:union memberTypes="dms:Text">
          <xsd:simpleType>
            <xsd:restriction base="dms:Choice">
              <xsd:enumeration value="Finalised"/>
              <xsd:enumeration value="In Progress"/>
              <xsd:enumeration value="Temp"/>
              <xsd:enumeration value="Deprecated/Superseded"/>
              <xsd:enumeration value="Archive"/>
            </xsd:restriction>
          </xsd:simpleType>
        </xsd:union>
      </xsd:simpleType>
    </xsd:element>
    <xsd:element name="Comment" ma:index="13" nillable="true" ma:displayName="Comment" ma:format="Dropdown" ma:internalName="Comment">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description="Notes to the team staff on the document"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a5e915-27ce-4ef5-a7b5-cb49c3aef0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6d15cfe-245f-4bbe-8a2b-044be18b3913}" ma:internalName="TaxCatchAll" ma:showField="CatchAllData" ma:web="3fa5e915-27ce-4ef5-a7b5-cb49c3aef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fa5e915-27ce-4ef5-a7b5-cb49c3aef0d2"/>
    <ds:schemaRef ds:uri="3797bb95-ae5a-418a-8ddb-48b15dfc5543"/>
  </ds:schemaRefs>
</ds:datastoreItem>
</file>

<file path=customXml/itemProps2.xml><?xml version="1.0" encoding="utf-8"?>
<ds:datastoreItem xmlns:ds="http://schemas.openxmlformats.org/officeDocument/2006/customXml" ds:itemID="{11195BC1-786A-4CBA-83B2-10777012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7bb95-ae5a-418a-8ddb-48b15dfc5543"/>
    <ds:schemaRef ds:uri="3fa5e915-27ce-4ef5-a7b5-cb49c3aef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Private health reforms - consultation paper 1 - post-CEO forum 22 June 8pm.dotm</Template>
  <TotalTime>2</TotalTime>
  <Pages>50</Pages>
  <Words>16806</Words>
  <Characters>95797</Characters>
  <DocSecurity>0</DocSecurity>
  <Lines>798</Lines>
  <Paragraphs>224</Paragraphs>
  <ScaleCrop>false</ScaleCrop>
  <Company/>
  <LinksUpToDate>false</LinksUpToDate>
  <CharactersWithSpaces>112379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2026-07-01T01:36:00Z</cp:lastPrinted>
  <dcterms:created xsi:type="dcterms:W3CDTF">2026-07-01T03:32:00Z</dcterms:created>
  <dcterms:modified xsi:type="dcterms:W3CDTF">2026-07-01T03:58:00Z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0x01010097E4DD089086E54081DA8A0B05B09261</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499;#DESA, Katarina</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775e706c,5b640004,37dcf70b,13230708</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7a1d6ddd,1d03d882,29f77e11,6cfbbe63</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2026-03-09T22:40:03Z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4abcbf7b-4198-4ddd-abb7-37ed5d574263</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y fmtid="{D5CDD505-2E9C-101B-9397-08002B2CF9AE}" pid="39" name="docLang">
    <vt:lpwstr>en</vt:lpwstr>
  </property>
</Properties>
</file>