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5650" w14:textId="77777777" w:rsidR="009B5D7D" w:rsidRPr="006314D5" w:rsidRDefault="009B5D7D" w:rsidP="009B5D7D">
      <w:pPr>
        <w:rPr>
          <w:rFonts w:asciiTheme="minorHAnsi" w:hAnsiTheme="minorHAnsi" w:cstheme="minorHAnsi"/>
          <w:b/>
          <w:bCs/>
        </w:rPr>
      </w:pPr>
      <w:r w:rsidRPr="006314D5">
        <w:rPr>
          <w:rFonts w:asciiTheme="minorHAnsi" w:hAnsiTheme="minorHAnsi" w:cstheme="minorHAnsi"/>
          <w:b/>
          <w:bCs/>
        </w:rPr>
        <w:t xml:space="preserve">National Allied Health Workforce Strategy – Consultation Hub </w:t>
      </w:r>
      <w:r>
        <w:rPr>
          <w:rFonts w:asciiTheme="minorHAnsi" w:hAnsiTheme="minorHAnsi" w:cstheme="minorHAnsi"/>
          <w:b/>
          <w:bCs/>
        </w:rPr>
        <w:t>Landing Page</w:t>
      </w:r>
    </w:p>
    <w:p w14:paraId="03FFE3AD" w14:textId="77777777" w:rsidR="009B5D7D" w:rsidRPr="006314D5" w:rsidRDefault="009B5D7D" w:rsidP="009B5D7D">
      <w:pPr>
        <w:pStyle w:val="Heading1"/>
        <w:numPr>
          <w:ilvl w:val="0"/>
          <w:numId w:val="0"/>
        </w:numPr>
        <w:ind w:left="851" w:hanging="851"/>
      </w:pPr>
      <w:bookmarkStart w:id="0" w:name="_Toc164092327"/>
      <w:r w:rsidRPr="006314D5">
        <w:t>Process for developing the Strategy</w:t>
      </w:r>
      <w:bookmarkEnd w:id="0"/>
    </w:p>
    <w:p w14:paraId="0ACE288F" w14:textId="480AAADB" w:rsidR="009B5D7D" w:rsidRDefault="00B0709D" w:rsidP="009B5D7D">
      <w:pPr>
        <w:spacing w:line="240" w:lineRule="auto"/>
        <w:jc w:val="both"/>
        <w:rPr>
          <w:rFonts w:asciiTheme="minorHAnsi" w:eastAsia="Calibri" w:hAnsiTheme="minorHAnsi" w:cstheme="minorHAnsi"/>
        </w:rPr>
      </w:pPr>
      <w:bookmarkStart w:id="1" w:name="_Hlk164757113"/>
      <w:r>
        <w:rPr>
          <w:rFonts w:asciiTheme="minorHAnsi" w:eastAsia="Calibri" w:hAnsiTheme="minorHAnsi" w:cstheme="minorHAnsi"/>
        </w:rPr>
        <w:t>In 2023 Robyn Kruk AO prepared t</w:t>
      </w:r>
      <w:r w:rsidR="009B5D7D" w:rsidRPr="006314D5">
        <w:rPr>
          <w:rFonts w:asciiTheme="minorHAnsi" w:eastAsia="Calibri" w:hAnsiTheme="minorHAnsi" w:cstheme="minorHAnsi"/>
        </w:rPr>
        <w:t xml:space="preserve">he </w:t>
      </w:r>
      <w:r w:rsidR="009B5D7D" w:rsidRPr="006314D5">
        <w:rPr>
          <w:rFonts w:asciiTheme="minorHAnsi" w:eastAsia="Calibri" w:hAnsiTheme="minorHAnsi" w:cstheme="minorHAnsi"/>
          <w:i/>
          <w:iCs/>
        </w:rPr>
        <w:t>Independent review of overseas health practitioner regulatory settings Final Report</w:t>
      </w:r>
      <w:r>
        <w:rPr>
          <w:rFonts w:asciiTheme="minorHAnsi" w:eastAsia="Calibri" w:hAnsiTheme="minorHAnsi" w:cstheme="minorHAnsi"/>
        </w:rPr>
        <w:t>. The report r</w:t>
      </w:r>
      <w:r w:rsidR="009B5D7D" w:rsidRPr="006314D5">
        <w:rPr>
          <w:rFonts w:asciiTheme="minorHAnsi" w:eastAsia="Calibri" w:hAnsiTheme="minorHAnsi" w:cstheme="minorHAnsi"/>
        </w:rPr>
        <w:t xml:space="preserve">ecommended governments collaborate through Health Ministers to develop a </w:t>
      </w:r>
      <w:r w:rsidR="00143DBA" w:rsidRPr="006314D5">
        <w:rPr>
          <w:rFonts w:asciiTheme="minorHAnsi" w:eastAsia="Calibri" w:hAnsiTheme="minorHAnsi" w:cstheme="minorHAnsi"/>
        </w:rPr>
        <w:t xml:space="preserve">National Allied Health </w:t>
      </w:r>
      <w:r w:rsidR="00143DBA">
        <w:rPr>
          <w:rFonts w:asciiTheme="minorHAnsi" w:eastAsia="Calibri" w:hAnsiTheme="minorHAnsi" w:cstheme="minorHAnsi"/>
        </w:rPr>
        <w:t xml:space="preserve">Workforce </w:t>
      </w:r>
      <w:r w:rsidR="00143DBA" w:rsidRPr="006314D5">
        <w:rPr>
          <w:rFonts w:asciiTheme="minorHAnsi" w:eastAsia="Calibri" w:hAnsiTheme="minorHAnsi" w:cstheme="minorHAnsi"/>
        </w:rPr>
        <w:t xml:space="preserve">Strategy </w:t>
      </w:r>
      <w:r w:rsidR="009B5D7D">
        <w:rPr>
          <w:rFonts w:asciiTheme="minorHAnsi" w:eastAsia="Calibri" w:hAnsiTheme="minorHAnsi" w:cstheme="minorHAnsi"/>
        </w:rPr>
        <w:t>(the Strategy)</w:t>
      </w:r>
      <w:r w:rsidR="009F631C">
        <w:rPr>
          <w:rFonts w:asciiTheme="minorHAnsi" w:eastAsia="Calibri" w:hAnsiTheme="minorHAnsi" w:cstheme="minorHAnsi"/>
        </w:rPr>
        <w:t>. The</w:t>
      </w:r>
      <w:r w:rsidR="004114DA">
        <w:rPr>
          <w:rFonts w:asciiTheme="minorHAnsi" w:eastAsia="Calibri" w:hAnsiTheme="minorHAnsi" w:cstheme="minorHAnsi"/>
        </w:rPr>
        <w:t> </w:t>
      </w:r>
      <w:r w:rsidR="009F631C">
        <w:rPr>
          <w:rFonts w:asciiTheme="minorHAnsi" w:eastAsia="Calibri" w:hAnsiTheme="minorHAnsi" w:cstheme="minorHAnsi"/>
        </w:rPr>
        <w:t>Strategy will</w:t>
      </w:r>
      <w:r w:rsidR="009B5D7D" w:rsidRPr="006314D5">
        <w:rPr>
          <w:rFonts w:asciiTheme="minorHAnsi" w:eastAsia="Calibri" w:hAnsiTheme="minorHAnsi" w:cstheme="minorHAnsi"/>
        </w:rPr>
        <w:t xml:space="preserve"> </w:t>
      </w:r>
      <w:r w:rsidR="00143DBA">
        <w:rPr>
          <w:rFonts w:asciiTheme="minorHAnsi" w:eastAsia="Calibri" w:hAnsiTheme="minorHAnsi" w:cstheme="minorHAnsi"/>
        </w:rPr>
        <w:t>facilitate</w:t>
      </w:r>
      <w:r>
        <w:rPr>
          <w:rFonts w:asciiTheme="minorHAnsi" w:eastAsia="Calibri" w:hAnsiTheme="minorHAnsi" w:cstheme="minorHAnsi"/>
        </w:rPr>
        <w:t xml:space="preserve"> </w:t>
      </w:r>
      <w:r w:rsidR="00143DBA">
        <w:rPr>
          <w:rFonts w:asciiTheme="minorHAnsi" w:eastAsia="Calibri" w:hAnsiTheme="minorHAnsi" w:cstheme="minorHAnsi"/>
        </w:rPr>
        <w:t xml:space="preserve">future workforce </w:t>
      </w:r>
      <w:r w:rsidR="009B5D7D" w:rsidRPr="006314D5">
        <w:rPr>
          <w:rFonts w:asciiTheme="minorHAnsi" w:eastAsia="Calibri" w:hAnsiTheme="minorHAnsi" w:cstheme="minorHAnsi"/>
        </w:rPr>
        <w:t xml:space="preserve">planning </w:t>
      </w:r>
      <w:r w:rsidR="004114DA">
        <w:rPr>
          <w:rFonts w:asciiTheme="minorHAnsi" w:eastAsia="Calibri" w:hAnsiTheme="minorHAnsi" w:cstheme="minorHAnsi"/>
        </w:rPr>
        <w:t>and</w:t>
      </w:r>
      <w:r w:rsidR="009B5D7D" w:rsidRPr="006314D5">
        <w:rPr>
          <w:rFonts w:asciiTheme="minorHAnsi" w:eastAsia="Calibri" w:hAnsiTheme="minorHAnsi" w:cstheme="minorHAnsi"/>
        </w:rPr>
        <w:t xml:space="preserve"> </w:t>
      </w:r>
      <w:r w:rsidR="004114DA">
        <w:rPr>
          <w:rFonts w:asciiTheme="minorHAnsi" w:eastAsia="Calibri" w:hAnsiTheme="minorHAnsi" w:cstheme="minorHAnsi"/>
        </w:rPr>
        <w:t>support</w:t>
      </w:r>
      <w:r w:rsidR="004114DA" w:rsidRPr="006314D5">
        <w:rPr>
          <w:rFonts w:asciiTheme="minorHAnsi" w:eastAsia="Calibri" w:hAnsiTheme="minorHAnsi" w:cstheme="minorHAnsi"/>
        </w:rPr>
        <w:t xml:space="preserve"> </w:t>
      </w:r>
      <w:r w:rsidR="009B5D7D" w:rsidRPr="006314D5">
        <w:rPr>
          <w:rFonts w:asciiTheme="minorHAnsi" w:eastAsia="Calibri" w:hAnsiTheme="minorHAnsi" w:cstheme="minorHAnsi"/>
        </w:rPr>
        <w:t xml:space="preserve">effective multi-disciplinary workforce models and integrated care. </w:t>
      </w:r>
      <w:r w:rsidRPr="00B0709D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The </w:t>
      </w:r>
      <w:r w:rsidR="004114DA">
        <w:rPr>
          <w:rFonts w:asciiTheme="minorHAnsi" w:eastAsia="Calibri" w:hAnsiTheme="minorHAnsi" w:cstheme="minorHAnsi"/>
        </w:rPr>
        <w:t>Australian Government and s</w:t>
      </w:r>
      <w:r>
        <w:rPr>
          <w:rFonts w:asciiTheme="minorHAnsi" w:eastAsia="Calibri" w:hAnsiTheme="minorHAnsi" w:cstheme="minorHAnsi"/>
        </w:rPr>
        <w:t xml:space="preserve">tate and </w:t>
      </w:r>
      <w:r w:rsidR="004114DA">
        <w:rPr>
          <w:rFonts w:asciiTheme="minorHAnsi" w:eastAsia="Calibri" w:hAnsiTheme="minorHAnsi" w:cstheme="minorHAnsi"/>
        </w:rPr>
        <w:t>t</w:t>
      </w:r>
      <w:r>
        <w:rPr>
          <w:rFonts w:asciiTheme="minorHAnsi" w:eastAsia="Calibri" w:hAnsiTheme="minorHAnsi" w:cstheme="minorHAnsi"/>
        </w:rPr>
        <w:t>erritory g</w:t>
      </w:r>
      <w:r w:rsidRPr="006314D5">
        <w:rPr>
          <w:rFonts w:asciiTheme="minorHAnsi" w:eastAsia="Calibri" w:hAnsiTheme="minorHAnsi" w:cstheme="minorHAnsi"/>
        </w:rPr>
        <w:t>overnments</w:t>
      </w:r>
      <w:r>
        <w:rPr>
          <w:rFonts w:asciiTheme="minorHAnsi" w:eastAsia="Calibri" w:hAnsiTheme="minorHAnsi" w:cstheme="minorHAnsi"/>
        </w:rPr>
        <w:t xml:space="preserve"> accepted the </w:t>
      </w:r>
      <w:r w:rsidR="009B5D7D" w:rsidRPr="006314D5">
        <w:rPr>
          <w:rFonts w:asciiTheme="minorHAnsi" w:eastAsia="Calibri" w:hAnsiTheme="minorHAnsi" w:cstheme="minorHAnsi"/>
        </w:rPr>
        <w:t>recommendation</w:t>
      </w:r>
      <w:r>
        <w:rPr>
          <w:rFonts w:asciiTheme="minorHAnsi" w:eastAsia="Calibri" w:hAnsiTheme="minorHAnsi" w:cstheme="minorHAnsi"/>
        </w:rPr>
        <w:t>.</w:t>
      </w:r>
      <w:r w:rsidR="009B5D7D" w:rsidRPr="006314D5">
        <w:rPr>
          <w:rFonts w:asciiTheme="minorHAnsi" w:eastAsia="Calibri" w:hAnsiTheme="minorHAnsi" w:cstheme="minorHAnsi"/>
        </w:rPr>
        <w:t xml:space="preserve"> </w:t>
      </w:r>
    </w:p>
    <w:bookmarkEnd w:id="1"/>
    <w:p w14:paraId="21F6BF15" w14:textId="79E78707" w:rsidR="009B5D7D" w:rsidRPr="006314D5" w:rsidRDefault="009B5D7D" w:rsidP="009B5D7D">
      <w:pPr>
        <w:spacing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</w:t>
      </w:r>
      <w:r w:rsidRPr="006314D5">
        <w:rPr>
          <w:rFonts w:asciiTheme="minorHAnsi" w:eastAsia="Calibri" w:hAnsiTheme="minorHAnsi" w:cstheme="minorHAnsi"/>
        </w:rPr>
        <w:t>he Health Workforce Taskforce</w:t>
      </w:r>
      <w:r w:rsidR="00B0709D">
        <w:rPr>
          <w:rFonts w:asciiTheme="minorHAnsi" w:eastAsia="Calibri" w:hAnsiTheme="minorHAnsi" w:cstheme="minorHAnsi"/>
        </w:rPr>
        <w:t xml:space="preserve">, </w:t>
      </w:r>
      <w:r w:rsidR="00B0709D">
        <w:rPr>
          <w:rFonts w:asciiTheme="minorHAnsi" w:hAnsiTheme="minorHAnsi" w:cstheme="minorHAnsi"/>
          <w:bCs/>
        </w:rPr>
        <w:t xml:space="preserve">a subcommittee under the Health Chief Executives Forum and the Health Ministers Meeting, </w:t>
      </w:r>
      <w:r w:rsidR="00143DBA">
        <w:rPr>
          <w:rFonts w:asciiTheme="minorHAnsi" w:hAnsiTheme="minorHAnsi" w:cstheme="minorHAnsi"/>
          <w:bCs/>
        </w:rPr>
        <w:t xml:space="preserve">considers matters relating to the Australian health workforce. Members are drawn from all jurisdictions and will </w:t>
      </w:r>
      <w:r w:rsidRPr="006314D5">
        <w:rPr>
          <w:rFonts w:asciiTheme="minorHAnsi" w:eastAsia="Calibri" w:hAnsiTheme="minorHAnsi" w:cstheme="minorHAnsi"/>
        </w:rPr>
        <w:t>overs</w:t>
      </w:r>
      <w:r w:rsidR="00143DBA">
        <w:rPr>
          <w:rFonts w:asciiTheme="minorHAnsi" w:eastAsia="Calibri" w:hAnsiTheme="minorHAnsi" w:cstheme="minorHAnsi"/>
        </w:rPr>
        <w:t xml:space="preserve">ee </w:t>
      </w:r>
      <w:r w:rsidRPr="006314D5">
        <w:rPr>
          <w:rFonts w:asciiTheme="minorHAnsi" w:eastAsia="Calibri" w:hAnsiTheme="minorHAnsi" w:cstheme="minorHAnsi"/>
        </w:rPr>
        <w:t>the Strategy</w:t>
      </w:r>
      <w:r w:rsidR="00143DBA">
        <w:rPr>
          <w:rFonts w:asciiTheme="minorHAnsi" w:eastAsia="Calibri" w:hAnsiTheme="minorHAnsi" w:cstheme="minorHAnsi"/>
        </w:rPr>
        <w:t>’s development</w:t>
      </w:r>
      <w:r w:rsidR="004114DA">
        <w:rPr>
          <w:rFonts w:asciiTheme="minorHAnsi" w:eastAsia="Calibri" w:hAnsiTheme="minorHAnsi" w:cstheme="minorHAnsi"/>
        </w:rPr>
        <w:t>. Once Health Workforce Taskforce has endorsed the Strategy, it</w:t>
      </w:r>
      <w:r w:rsidR="00B0709D">
        <w:rPr>
          <w:rFonts w:asciiTheme="minorHAnsi" w:eastAsia="Calibri" w:hAnsiTheme="minorHAnsi" w:cstheme="minorHAnsi"/>
        </w:rPr>
        <w:t xml:space="preserve"> </w:t>
      </w:r>
      <w:r w:rsidRPr="006314D5">
        <w:rPr>
          <w:rFonts w:asciiTheme="minorHAnsi" w:eastAsia="Calibri" w:hAnsiTheme="minorHAnsi" w:cstheme="minorHAnsi"/>
        </w:rPr>
        <w:t xml:space="preserve">will be progressed </w:t>
      </w:r>
      <w:r w:rsidR="004114DA">
        <w:rPr>
          <w:rFonts w:asciiTheme="minorHAnsi" w:eastAsia="Calibri" w:hAnsiTheme="minorHAnsi" w:cstheme="minorHAnsi"/>
        </w:rPr>
        <w:t xml:space="preserve">to Health Chief Executives and Health Ministers </w:t>
      </w:r>
      <w:r w:rsidRPr="006314D5">
        <w:rPr>
          <w:rFonts w:asciiTheme="minorHAnsi" w:eastAsia="Calibri" w:hAnsiTheme="minorHAnsi" w:cstheme="minorHAnsi"/>
        </w:rPr>
        <w:t>for endorsement</w:t>
      </w:r>
      <w:r w:rsidR="00950BDD" w:rsidRPr="006314D5">
        <w:rPr>
          <w:rFonts w:asciiTheme="minorHAnsi" w:eastAsia="Calibri" w:hAnsiTheme="minorHAnsi" w:cstheme="minorHAnsi"/>
        </w:rPr>
        <w:t xml:space="preserve">. </w:t>
      </w:r>
    </w:p>
    <w:p w14:paraId="120D46E6" w14:textId="7854F458" w:rsidR="009B5D7D" w:rsidRPr="006314D5" w:rsidRDefault="00B7716E" w:rsidP="009B5D7D">
      <w:pPr>
        <w:spacing w:before="160" w:after="120"/>
        <w:textboxTightWrap w:val="allLines"/>
        <w:outlineLvl w:val="4"/>
        <w:rPr>
          <w:rFonts w:asciiTheme="minorHAnsi" w:hAnsiTheme="minorHAnsi" w:cstheme="minorHAnsi"/>
          <w:kern w:val="21"/>
          <w14:numSpacing w14:val="proportional"/>
        </w:rPr>
      </w:pPr>
      <w:r>
        <w:rPr>
          <w:rFonts w:asciiTheme="minorHAnsi" w:hAnsiTheme="minorHAnsi" w:cstheme="minorHAnsi"/>
          <w:kern w:val="21"/>
          <w14:numSpacing w14:val="proportional"/>
        </w:rPr>
        <w:t>The</w:t>
      </w:r>
      <w:r w:rsidR="009B5D7D" w:rsidRPr="006314D5">
        <w:rPr>
          <w:rFonts w:asciiTheme="minorHAnsi" w:hAnsiTheme="minorHAnsi" w:cstheme="minorHAnsi"/>
          <w:kern w:val="21"/>
          <w14:numSpacing w14:val="proportional"/>
        </w:rPr>
        <w:t xml:space="preserve"> aim of this project is to </w:t>
      </w:r>
      <w:r w:rsidR="009B5D7D" w:rsidRPr="006314D5">
        <w:rPr>
          <w:rFonts w:asciiTheme="minorHAnsi" w:hAnsiTheme="minorHAnsi" w:cstheme="minorHAnsi"/>
        </w:rPr>
        <w:t xml:space="preserve">deliver a national, cross-sectoral Strategy that will outline how to address current and future allied health workforce issues in Australia over a 10-year horizon. The purpose is to enable long term workforce planning to ensure the supply of allied health professionals better matches existing and predicted need. The Strategy will </w:t>
      </w:r>
      <w:r w:rsidR="009B5D7D" w:rsidRPr="006314D5">
        <w:rPr>
          <w:rFonts w:asciiTheme="minorHAnsi" w:hAnsiTheme="minorHAnsi" w:cstheme="minorHAnsi"/>
          <w:kern w:val="21"/>
          <w14:numSpacing w14:val="proportional"/>
        </w:rPr>
        <w:t>acknowledge and embed other major cross cutting health reforms within it.</w:t>
      </w:r>
    </w:p>
    <w:p w14:paraId="226596DC" w14:textId="77777777" w:rsidR="009B5D7D" w:rsidRDefault="009B5D7D" w:rsidP="009B5D7D">
      <w:pPr>
        <w:spacing w:before="160" w:after="120"/>
        <w:textboxTightWrap w:val="allLines"/>
        <w:outlineLvl w:val="4"/>
        <w:rPr>
          <w:rFonts w:asciiTheme="minorHAnsi" w:hAnsiTheme="minorHAnsi" w:cstheme="minorHAnsi"/>
          <w:kern w:val="21"/>
          <w14:numSpacing w14:val="proportional"/>
        </w:rPr>
      </w:pPr>
      <w:r>
        <w:rPr>
          <w:rFonts w:asciiTheme="minorHAnsi" w:hAnsiTheme="minorHAnsi" w:cstheme="minorHAnsi"/>
          <w:kern w:val="21"/>
          <w14:numSpacing w14:val="proportional"/>
        </w:rPr>
        <w:t>Development of the Strategy is occurring through the stages outlined in Table 1. Some of these stages occur in parallel.</w:t>
      </w:r>
      <w:r w:rsidRPr="006314D5">
        <w:rPr>
          <w:rFonts w:asciiTheme="minorHAnsi" w:hAnsiTheme="minorHAnsi" w:cstheme="minorHAnsi"/>
          <w:kern w:val="21"/>
          <w14:numSpacing w14:val="proportional"/>
        </w:rPr>
        <w:t xml:space="preserve"> </w:t>
      </w:r>
    </w:p>
    <w:p w14:paraId="2E593D54" w14:textId="77777777" w:rsidR="009B5D7D" w:rsidRDefault="009B5D7D" w:rsidP="009B5D7D">
      <w:pPr>
        <w:spacing w:before="160" w:after="120"/>
        <w:textboxTightWrap w:val="allLines"/>
        <w:outlineLvl w:val="4"/>
        <w:rPr>
          <w:rFonts w:asciiTheme="minorHAnsi" w:hAnsiTheme="minorHAnsi" w:cstheme="minorHAnsi"/>
          <w:kern w:val="21"/>
          <w14:numSpacing w14:val="proportional"/>
        </w:rPr>
      </w:pPr>
      <w:r>
        <w:rPr>
          <w:rFonts w:asciiTheme="minorHAnsi" w:hAnsiTheme="minorHAnsi" w:cstheme="minorHAnsi"/>
          <w:kern w:val="21"/>
          <w14:numSpacing w14:val="proportional"/>
        </w:rPr>
        <w:t>Table 1: Stages for development of the National Allied Health Workforce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09"/>
        <w:gridCol w:w="1819"/>
      </w:tblGrid>
      <w:tr w:rsidR="009B5D7D" w14:paraId="3AA01087" w14:textId="77777777" w:rsidTr="001F26FB">
        <w:tc>
          <w:tcPr>
            <w:tcW w:w="7197" w:type="dxa"/>
            <w:gridSpan w:val="2"/>
          </w:tcPr>
          <w:p w14:paraId="30929D54" w14:textId="77777777" w:rsidR="009B5D7D" w:rsidRDefault="009B5D7D" w:rsidP="001F26FB">
            <w:pPr>
              <w:spacing w:before="160" w:after="120"/>
              <w:jc w:val="center"/>
              <w:textboxTightWrap w:val="allLines"/>
              <w:outlineLvl w:val="4"/>
              <w:rPr>
                <w:rFonts w:asciiTheme="minorHAnsi" w:hAnsiTheme="minorHAnsi" w:cstheme="minorHAnsi"/>
                <w:kern w:val="21"/>
                <w14:numSpacing w14:val="proportional"/>
              </w:rPr>
            </w:pPr>
            <w:r>
              <w:rPr>
                <w:rFonts w:asciiTheme="minorHAnsi" w:hAnsiTheme="minorHAnsi" w:cstheme="minorHAnsi"/>
                <w:kern w:val="21"/>
                <w14:numSpacing w14:val="proportional"/>
              </w:rPr>
              <w:t>Stage</w:t>
            </w:r>
          </w:p>
        </w:tc>
        <w:tc>
          <w:tcPr>
            <w:tcW w:w="1819" w:type="dxa"/>
          </w:tcPr>
          <w:p w14:paraId="03AA62E1" w14:textId="77777777" w:rsidR="009B5D7D" w:rsidRDefault="009B5D7D" w:rsidP="001F26FB">
            <w:pPr>
              <w:spacing w:before="160" w:after="120"/>
              <w:jc w:val="center"/>
              <w:textboxTightWrap w:val="allLines"/>
              <w:outlineLvl w:val="4"/>
              <w:rPr>
                <w:rFonts w:asciiTheme="minorHAnsi" w:hAnsiTheme="minorHAnsi" w:cstheme="minorHAnsi"/>
                <w:kern w:val="21"/>
                <w14:numSpacing w14:val="proportional"/>
              </w:rPr>
            </w:pPr>
            <w:r>
              <w:rPr>
                <w:rFonts w:asciiTheme="minorHAnsi" w:hAnsiTheme="minorHAnsi" w:cstheme="minorHAnsi"/>
                <w:kern w:val="21"/>
                <w14:numSpacing w14:val="proportional"/>
              </w:rPr>
              <w:t>Timeframes</w:t>
            </w:r>
          </w:p>
        </w:tc>
      </w:tr>
      <w:tr w:rsidR="009B5D7D" w14:paraId="599C2451" w14:textId="77777777" w:rsidTr="001F26FB">
        <w:trPr>
          <w:cantSplit/>
          <w:trHeight w:val="1134"/>
        </w:trPr>
        <w:tc>
          <w:tcPr>
            <w:tcW w:w="988" w:type="dxa"/>
            <w:textDirection w:val="btLr"/>
          </w:tcPr>
          <w:p w14:paraId="29A6ED20" w14:textId="77777777" w:rsidR="009B5D7D" w:rsidRDefault="009B5D7D" w:rsidP="001F26FB">
            <w:pPr>
              <w:ind w:left="113" w:right="113"/>
              <w:jc w:val="center"/>
              <w:textboxTightWrap w:val="allLines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6314D5">
              <w:rPr>
                <w:rFonts w:asciiTheme="minorHAnsi" w:hAnsiTheme="minorHAnsi" w:cstheme="minorHAnsi"/>
                <w:sz w:val="20"/>
                <w:szCs w:val="20"/>
              </w:rPr>
              <w:t>GATHERING</w:t>
            </w:r>
          </w:p>
          <w:p w14:paraId="03E3B58D" w14:textId="77777777" w:rsidR="009B5D7D" w:rsidRPr="006314D5" w:rsidRDefault="009B5D7D" w:rsidP="001F26FB">
            <w:pPr>
              <w:ind w:left="113" w:right="113"/>
              <w:jc w:val="center"/>
              <w:textboxTightWrap w:val="allLines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6314D5">
              <w:rPr>
                <w:rFonts w:asciiTheme="minorHAnsi" w:hAnsiTheme="minorHAnsi" w:cstheme="minorHAnsi"/>
                <w:sz w:val="20"/>
                <w:szCs w:val="20"/>
              </w:rPr>
              <w:t>EVIDENCE</w:t>
            </w:r>
          </w:p>
        </w:tc>
        <w:tc>
          <w:tcPr>
            <w:tcW w:w="6209" w:type="dxa"/>
          </w:tcPr>
          <w:p w14:paraId="51B89C4B" w14:textId="77777777" w:rsidR="009B5D7D" w:rsidRPr="006314D5" w:rsidRDefault="009B5D7D" w:rsidP="001F26FB">
            <w:pPr>
              <w:textboxTightWrap w:val="allLines"/>
              <w:outlineLvl w:val="4"/>
              <w:rPr>
                <w:rFonts w:asciiTheme="minorHAnsi" w:hAnsiTheme="minorHAnsi" w:cstheme="minorHAnsi"/>
                <w:lang w:val="en-US"/>
              </w:rPr>
            </w:pPr>
            <w:r w:rsidRPr="006314D5">
              <w:rPr>
                <w:rFonts w:asciiTheme="minorHAnsi" w:hAnsiTheme="minorHAnsi" w:cstheme="minorHAnsi"/>
              </w:rPr>
              <w:t>Progressing an environmental scan and literature review with a focus on:</w:t>
            </w:r>
          </w:p>
          <w:p w14:paraId="3250BA52" w14:textId="77777777" w:rsidR="009B5D7D" w:rsidRPr="006314D5" w:rsidRDefault="009B5D7D" w:rsidP="009B5D7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>Overarching factors and reforms influencing workforce supply, demand and safety and quality</w:t>
            </w:r>
          </w:p>
          <w:p w14:paraId="5E08A3CB" w14:textId="77777777" w:rsidR="009B5D7D" w:rsidRPr="006314D5" w:rsidRDefault="009B5D7D" w:rsidP="009B5D7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>Existing policies, strategies and models of care and cross-cutting health reforms</w:t>
            </w:r>
          </w:p>
          <w:p w14:paraId="0C8091F1" w14:textId="77777777" w:rsidR="009B5D7D" w:rsidRPr="006314D5" w:rsidRDefault="009B5D7D" w:rsidP="009B5D7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>Gaps in data collection</w:t>
            </w:r>
          </w:p>
          <w:p w14:paraId="3B6B934F" w14:textId="77777777" w:rsidR="009B5D7D" w:rsidRPr="006314D5" w:rsidRDefault="009B5D7D" w:rsidP="009B5D7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 xml:space="preserve">An analysis of allied health workforce issues by sector (such as, but not limited to, public health, primary care, disability, aged care, mental health, education). </w:t>
            </w:r>
          </w:p>
        </w:tc>
        <w:tc>
          <w:tcPr>
            <w:tcW w:w="1819" w:type="dxa"/>
          </w:tcPr>
          <w:p w14:paraId="28FEFF7D" w14:textId="60F15286" w:rsidR="009B5D7D" w:rsidRDefault="009B5D7D" w:rsidP="001F26FB">
            <w:pPr>
              <w:spacing w:before="160" w:after="120"/>
              <w:textboxTightWrap w:val="allLines"/>
              <w:outlineLvl w:val="4"/>
              <w:rPr>
                <w:rFonts w:asciiTheme="minorHAnsi" w:hAnsiTheme="minorHAnsi" w:cstheme="minorHAnsi"/>
                <w:kern w:val="21"/>
                <w14:numSpacing w14:val="proportional"/>
              </w:rPr>
            </w:pPr>
            <w:r>
              <w:rPr>
                <w:rFonts w:asciiTheme="minorHAnsi" w:hAnsiTheme="minorHAnsi" w:cstheme="minorHAnsi"/>
                <w:kern w:val="21"/>
                <w14:numSpacing w14:val="proportional"/>
              </w:rPr>
              <w:t xml:space="preserve">January 2024 – </w:t>
            </w:r>
            <w:r w:rsidR="00CB4837">
              <w:rPr>
                <w:rFonts w:asciiTheme="minorHAnsi" w:hAnsiTheme="minorHAnsi" w:cstheme="minorHAnsi"/>
                <w:kern w:val="21"/>
                <w14:numSpacing w14:val="proportional"/>
              </w:rPr>
              <w:t>June</w:t>
            </w:r>
            <w:r>
              <w:rPr>
                <w:rFonts w:asciiTheme="minorHAnsi" w:hAnsiTheme="minorHAnsi" w:cstheme="minorHAnsi"/>
                <w:kern w:val="21"/>
                <w14:numSpacing w14:val="proportional"/>
              </w:rPr>
              <w:t> 2024</w:t>
            </w:r>
          </w:p>
        </w:tc>
      </w:tr>
      <w:tr w:rsidR="009B5D7D" w14:paraId="2F78DD69" w14:textId="77777777" w:rsidTr="001F26F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562A2352" w14:textId="77777777" w:rsidR="009B5D7D" w:rsidRPr="006314D5" w:rsidRDefault="009B5D7D" w:rsidP="001F26FB">
            <w:pPr>
              <w:ind w:left="113" w:right="113"/>
              <w:jc w:val="center"/>
              <w:textboxTightWrap w:val="allLines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6314D5">
              <w:rPr>
                <w:rFonts w:asciiTheme="minorHAnsi" w:hAnsiTheme="minorHAnsi" w:cstheme="minorHAnsi"/>
                <w:sz w:val="20"/>
                <w:szCs w:val="20"/>
              </w:rPr>
              <w:t>CONSOLIDATING EVIDENCE</w:t>
            </w:r>
          </w:p>
        </w:tc>
        <w:tc>
          <w:tcPr>
            <w:tcW w:w="6209" w:type="dxa"/>
          </w:tcPr>
          <w:p w14:paraId="2999F036" w14:textId="77777777" w:rsidR="009B5D7D" w:rsidRPr="006314D5" w:rsidRDefault="009B5D7D" w:rsidP="001F26FB">
            <w:pPr>
              <w:textboxTightWrap w:val="allLines"/>
              <w:outlineLvl w:val="4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>Using the results of the environmental scan and literature review to:</w:t>
            </w:r>
          </w:p>
          <w:p w14:paraId="11A0FEEB" w14:textId="77777777" w:rsidR="009B5D7D" w:rsidRPr="006314D5" w:rsidRDefault="009B5D7D" w:rsidP="009B5D7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>Identify and draw out commonalities across sectors; and</w:t>
            </w:r>
          </w:p>
          <w:p w14:paraId="686032CB" w14:textId="77777777" w:rsidR="009B5D7D" w:rsidRPr="006314D5" w:rsidRDefault="009B5D7D" w:rsidP="009B5D7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>Identify sector-specific or emerging issues.</w:t>
            </w:r>
          </w:p>
        </w:tc>
        <w:tc>
          <w:tcPr>
            <w:tcW w:w="1819" w:type="dxa"/>
            <w:vMerge w:val="restart"/>
          </w:tcPr>
          <w:p w14:paraId="4D898324" w14:textId="77777777" w:rsidR="009B5D7D" w:rsidRDefault="009B5D7D" w:rsidP="001F26FB">
            <w:pPr>
              <w:spacing w:before="160" w:after="120"/>
              <w:textboxTightWrap w:val="allLines"/>
              <w:outlineLvl w:val="4"/>
              <w:rPr>
                <w:rFonts w:asciiTheme="minorHAnsi" w:hAnsiTheme="minorHAnsi" w:cstheme="minorHAnsi"/>
                <w:kern w:val="21"/>
                <w14:numSpacing w14:val="proportional"/>
              </w:rPr>
            </w:pPr>
            <w:r>
              <w:rPr>
                <w:rFonts w:asciiTheme="minorHAnsi" w:hAnsiTheme="minorHAnsi" w:cstheme="minorHAnsi"/>
                <w:kern w:val="21"/>
                <w14:numSpacing w14:val="proportional"/>
              </w:rPr>
              <w:t>May 2024 – October 2024</w:t>
            </w:r>
          </w:p>
        </w:tc>
      </w:tr>
      <w:tr w:rsidR="009B5D7D" w14:paraId="51C0A174" w14:textId="77777777" w:rsidTr="001F26FB">
        <w:trPr>
          <w:trHeight w:val="841"/>
        </w:trPr>
        <w:tc>
          <w:tcPr>
            <w:tcW w:w="988" w:type="dxa"/>
            <w:vMerge/>
          </w:tcPr>
          <w:p w14:paraId="4AD2DD1C" w14:textId="77777777" w:rsidR="009B5D7D" w:rsidRPr="006314D5" w:rsidRDefault="009B5D7D" w:rsidP="009B5D7D">
            <w:pPr>
              <w:numPr>
                <w:ilvl w:val="0"/>
                <w:numId w:val="1"/>
              </w:numPr>
              <w:ind w:left="714" w:hanging="357"/>
              <w:jc w:val="center"/>
              <w:textboxTightWrap w:val="allLines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14:paraId="16795E74" w14:textId="77777777" w:rsidR="009B5D7D" w:rsidRPr="006314D5" w:rsidRDefault="009B5D7D" w:rsidP="001F26FB">
            <w:pPr>
              <w:textboxTightWrap w:val="allLines"/>
              <w:outlineLvl w:val="4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>Conducting stakeholder consultations to confirm and build on the findings of the environmental scan and literature review.</w:t>
            </w:r>
          </w:p>
        </w:tc>
        <w:tc>
          <w:tcPr>
            <w:tcW w:w="1819" w:type="dxa"/>
            <w:vMerge/>
          </w:tcPr>
          <w:p w14:paraId="49295577" w14:textId="77777777" w:rsidR="009B5D7D" w:rsidRDefault="009B5D7D" w:rsidP="001F26FB">
            <w:pPr>
              <w:spacing w:before="160" w:after="120"/>
              <w:textboxTightWrap w:val="allLines"/>
              <w:outlineLvl w:val="4"/>
              <w:rPr>
                <w:rFonts w:asciiTheme="minorHAnsi" w:hAnsiTheme="minorHAnsi" w:cstheme="minorHAnsi"/>
                <w:kern w:val="21"/>
                <w14:numSpacing w14:val="proportional"/>
              </w:rPr>
            </w:pPr>
          </w:p>
        </w:tc>
      </w:tr>
      <w:tr w:rsidR="009B5D7D" w14:paraId="15845901" w14:textId="77777777" w:rsidTr="001F26FB">
        <w:trPr>
          <w:cantSplit/>
          <w:trHeight w:val="1134"/>
        </w:trPr>
        <w:tc>
          <w:tcPr>
            <w:tcW w:w="988" w:type="dxa"/>
            <w:textDirection w:val="btLr"/>
          </w:tcPr>
          <w:p w14:paraId="65FEB635" w14:textId="77777777" w:rsidR="009B5D7D" w:rsidRPr="006314D5" w:rsidRDefault="009B5D7D" w:rsidP="001F26FB">
            <w:pPr>
              <w:ind w:left="113" w:right="113"/>
              <w:jc w:val="center"/>
              <w:textboxTightWrap w:val="allLines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6314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DRAFTING STRATEGY</w:t>
            </w:r>
          </w:p>
        </w:tc>
        <w:tc>
          <w:tcPr>
            <w:tcW w:w="6209" w:type="dxa"/>
          </w:tcPr>
          <w:p w14:paraId="77A0EBA3" w14:textId="77777777" w:rsidR="009B5D7D" w:rsidRPr="006314D5" w:rsidRDefault="009B5D7D" w:rsidP="001F26FB">
            <w:pPr>
              <w:textboxTightWrap w:val="allLines"/>
              <w:outlineLvl w:val="4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>Drafting a Strategy that outlines key findings and recommendations or actions for governments to take forward.</w:t>
            </w:r>
          </w:p>
        </w:tc>
        <w:tc>
          <w:tcPr>
            <w:tcW w:w="1819" w:type="dxa"/>
          </w:tcPr>
          <w:p w14:paraId="737CCAFE" w14:textId="77777777" w:rsidR="009B5D7D" w:rsidRDefault="009B5D7D" w:rsidP="001F26FB">
            <w:pPr>
              <w:spacing w:before="160" w:after="120"/>
              <w:textboxTightWrap w:val="allLines"/>
              <w:outlineLvl w:val="4"/>
              <w:rPr>
                <w:rFonts w:asciiTheme="minorHAnsi" w:hAnsiTheme="minorHAnsi" w:cstheme="minorHAnsi"/>
                <w:kern w:val="21"/>
                <w14:numSpacing w14:val="proportional"/>
              </w:rPr>
            </w:pPr>
            <w:r>
              <w:rPr>
                <w:rFonts w:asciiTheme="minorHAnsi" w:hAnsiTheme="minorHAnsi" w:cstheme="minorHAnsi"/>
                <w:kern w:val="21"/>
                <w14:numSpacing w14:val="proportional"/>
              </w:rPr>
              <w:t>July 2024 – December 2024</w:t>
            </w:r>
          </w:p>
        </w:tc>
      </w:tr>
      <w:tr w:rsidR="009B5D7D" w14:paraId="2D73210C" w14:textId="77777777" w:rsidTr="001F26FB">
        <w:trPr>
          <w:cantSplit/>
          <w:trHeight w:val="1679"/>
        </w:trPr>
        <w:tc>
          <w:tcPr>
            <w:tcW w:w="988" w:type="dxa"/>
            <w:textDirection w:val="btLr"/>
          </w:tcPr>
          <w:p w14:paraId="1157300B" w14:textId="77777777" w:rsidR="009B5D7D" w:rsidRPr="006314D5" w:rsidRDefault="009B5D7D" w:rsidP="001F26FB">
            <w:pPr>
              <w:ind w:left="113" w:right="113"/>
              <w:jc w:val="center"/>
              <w:textboxTightWrap w:val="allLines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6314D5">
              <w:rPr>
                <w:rFonts w:asciiTheme="minorHAnsi" w:hAnsiTheme="minorHAnsi" w:cstheme="minorHAnsi"/>
                <w:sz w:val="20"/>
                <w:szCs w:val="20"/>
              </w:rPr>
              <w:t>STRATEGY ENDORSEMENT</w:t>
            </w:r>
          </w:p>
        </w:tc>
        <w:tc>
          <w:tcPr>
            <w:tcW w:w="6209" w:type="dxa"/>
          </w:tcPr>
          <w:p w14:paraId="58DABDB5" w14:textId="77777777" w:rsidR="009B5D7D" w:rsidRPr="006314D5" w:rsidRDefault="009B5D7D" w:rsidP="001F26FB">
            <w:pPr>
              <w:textboxTightWrap w:val="allLines"/>
              <w:outlineLvl w:val="4"/>
              <w:rPr>
                <w:rFonts w:asciiTheme="minorHAnsi" w:hAnsiTheme="minorHAnsi" w:cstheme="minorHAnsi"/>
              </w:rPr>
            </w:pPr>
            <w:r w:rsidRPr="006314D5">
              <w:rPr>
                <w:rFonts w:asciiTheme="minorHAnsi" w:hAnsiTheme="minorHAnsi" w:cstheme="minorHAnsi"/>
              </w:rPr>
              <w:t xml:space="preserve">Final Strategy tabled </w:t>
            </w:r>
            <w:r>
              <w:rPr>
                <w:rFonts w:asciiTheme="minorHAnsi" w:hAnsiTheme="minorHAnsi" w:cstheme="minorHAnsi"/>
              </w:rPr>
              <w:t>with Health Workforce Taskforce, Health Chief Executives and Health Ministers for endorsement</w:t>
            </w:r>
            <w:r w:rsidRPr="006314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19" w:type="dxa"/>
          </w:tcPr>
          <w:p w14:paraId="5AACACEF" w14:textId="77777777" w:rsidR="009B5D7D" w:rsidRDefault="009B5D7D" w:rsidP="001F26FB">
            <w:pPr>
              <w:spacing w:before="160" w:after="120"/>
              <w:textboxTightWrap w:val="allLines"/>
              <w:outlineLvl w:val="4"/>
              <w:rPr>
                <w:rFonts w:asciiTheme="minorHAnsi" w:hAnsiTheme="minorHAnsi" w:cstheme="minorHAnsi"/>
                <w:kern w:val="21"/>
                <w14:numSpacing w14:val="proportional"/>
              </w:rPr>
            </w:pPr>
            <w:r>
              <w:rPr>
                <w:rFonts w:asciiTheme="minorHAnsi" w:hAnsiTheme="minorHAnsi" w:cstheme="minorHAnsi"/>
                <w:kern w:val="21"/>
                <w14:numSpacing w14:val="proportional"/>
              </w:rPr>
              <w:t>Early 2025</w:t>
            </w:r>
          </w:p>
        </w:tc>
      </w:tr>
    </w:tbl>
    <w:p w14:paraId="34C78321" w14:textId="77777777" w:rsidR="009B5D7D" w:rsidRDefault="009B5D7D" w:rsidP="009B5D7D">
      <w:pPr>
        <w:spacing w:line="240" w:lineRule="auto"/>
        <w:textboxTightWrap w:val="allLines"/>
        <w:outlineLvl w:val="4"/>
        <w:rPr>
          <w:rFonts w:asciiTheme="minorHAnsi" w:hAnsiTheme="minorHAnsi" w:cstheme="minorHAnsi"/>
        </w:rPr>
      </w:pPr>
    </w:p>
    <w:p w14:paraId="34F5BB49" w14:textId="6CD38B04" w:rsidR="004114DA" w:rsidRDefault="004114DA" w:rsidP="009B5D7D">
      <w:pPr>
        <w:spacing w:line="240" w:lineRule="auto"/>
        <w:textboxTightWrap w:val="allLines"/>
        <w:outlineLvl w:val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other projects being done through Health Workforce Taskforce that complement the Strategy. One of these projects is considering d</w:t>
      </w:r>
      <w:r w:rsidR="009B5D7D">
        <w:rPr>
          <w:rFonts w:asciiTheme="minorHAnsi" w:hAnsiTheme="minorHAnsi" w:cstheme="minorHAnsi"/>
        </w:rPr>
        <w:t>etailed workforce modelling</w:t>
      </w:r>
      <w:r>
        <w:rPr>
          <w:rFonts w:asciiTheme="minorHAnsi" w:hAnsiTheme="minorHAnsi" w:cstheme="minorHAnsi"/>
        </w:rPr>
        <w:t xml:space="preserve"> for allied health and other health professionals. As such, workforce modelling </w:t>
      </w:r>
      <w:r w:rsidR="009B5D7D">
        <w:rPr>
          <w:rFonts w:asciiTheme="minorHAnsi" w:hAnsiTheme="minorHAnsi" w:cstheme="minorHAnsi"/>
        </w:rPr>
        <w:t>is not in scope for the Strategy.</w:t>
      </w:r>
      <w:r>
        <w:rPr>
          <w:rFonts w:asciiTheme="minorHAnsi" w:hAnsiTheme="minorHAnsi" w:cstheme="minorHAnsi"/>
        </w:rPr>
        <w:t xml:space="preserve"> Governments are collaborating through Health Workforce Taskforce to ensure the Strategy is aligned with other complementary projects.</w:t>
      </w:r>
      <w:r w:rsidR="009B5D7D">
        <w:rPr>
          <w:rFonts w:asciiTheme="minorHAnsi" w:hAnsiTheme="minorHAnsi" w:cstheme="minorHAnsi"/>
        </w:rPr>
        <w:t xml:space="preserve"> </w:t>
      </w:r>
    </w:p>
    <w:p w14:paraId="64FE648C" w14:textId="3C5C1DF3" w:rsidR="009B5D7D" w:rsidRPr="00DD4396" w:rsidRDefault="009B5D7D" w:rsidP="009B5D7D">
      <w:pPr>
        <w:spacing w:line="240" w:lineRule="auto"/>
        <w:textboxTightWrap w:val="allLines"/>
        <w:outlineLvl w:val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Implementation planning will occur once the Strategy is complete. </w:t>
      </w:r>
    </w:p>
    <w:p w14:paraId="0E644DB7" w14:textId="77777777" w:rsidR="009B5D7D" w:rsidRPr="006314D5" w:rsidRDefault="009B5D7D" w:rsidP="009B5D7D">
      <w:pPr>
        <w:pStyle w:val="Heading1"/>
        <w:numPr>
          <w:ilvl w:val="0"/>
          <w:numId w:val="0"/>
        </w:numPr>
        <w:ind w:left="851" w:hanging="851"/>
      </w:pPr>
      <w:bookmarkStart w:id="2" w:name="_Toc164092328"/>
      <w:r w:rsidRPr="006314D5">
        <w:t>Overview of consultation approach</w:t>
      </w:r>
      <w:bookmarkEnd w:id="2"/>
    </w:p>
    <w:p w14:paraId="39062CD0" w14:textId="0A891C08" w:rsidR="009B5D7D" w:rsidRPr="006314D5" w:rsidRDefault="004114DA" w:rsidP="009B5D7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line with the approach for the medical and nursing strategies, t</w:t>
      </w:r>
      <w:r w:rsidR="009B5D7D" w:rsidRPr="006314D5">
        <w:rPr>
          <w:rFonts w:asciiTheme="minorHAnsi" w:hAnsiTheme="minorHAnsi" w:cstheme="minorHAnsi"/>
        </w:rPr>
        <w:t xml:space="preserve">here are five key principles that will guide stakeholder engagement approaches to support </w:t>
      </w:r>
      <w:r w:rsidR="009B5D7D">
        <w:rPr>
          <w:rFonts w:asciiTheme="minorHAnsi" w:hAnsiTheme="minorHAnsi" w:cstheme="minorHAnsi"/>
        </w:rPr>
        <w:t>the Strategy’s</w:t>
      </w:r>
      <w:r w:rsidR="009B5D7D" w:rsidRPr="006314D5">
        <w:rPr>
          <w:rFonts w:asciiTheme="minorHAnsi" w:hAnsiTheme="minorHAnsi" w:cstheme="minorHAnsi"/>
        </w:rPr>
        <w:t xml:space="preserve"> development.</w:t>
      </w:r>
      <w:r w:rsidR="009B5D7D">
        <w:rPr>
          <w:rFonts w:asciiTheme="minorHAnsi" w:hAnsiTheme="minorHAnsi" w:cstheme="minorHAnsi"/>
        </w:rPr>
        <w:t xml:space="preserve"> </w:t>
      </w:r>
      <w:r w:rsidR="009B5D7D" w:rsidRPr="006314D5">
        <w:rPr>
          <w:rFonts w:asciiTheme="minorHAnsi" w:hAnsiTheme="minorHAnsi" w:cstheme="minorHAnsi"/>
        </w:rPr>
        <w:t xml:space="preserve">The five principles set the standards </w:t>
      </w:r>
      <w:r w:rsidR="009B5D7D">
        <w:rPr>
          <w:rFonts w:asciiTheme="minorHAnsi" w:hAnsiTheme="minorHAnsi" w:cstheme="minorHAnsi"/>
        </w:rPr>
        <w:t>for</w:t>
      </w:r>
      <w:r w:rsidR="009B5D7D" w:rsidRPr="006314D5">
        <w:rPr>
          <w:rFonts w:asciiTheme="minorHAnsi" w:hAnsiTheme="minorHAnsi" w:cstheme="minorHAnsi"/>
        </w:rPr>
        <w:t xml:space="preserve"> consistent, open and respectful working relationships. The principles have been tested against, and are consistent with, current stakeholder engagement standards and practices across the public and private sectors, locally and internationally.</w:t>
      </w:r>
    </w:p>
    <w:p w14:paraId="3CF1FE68" w14:textId="77777777" w:rsidR="009B5D7D" w:rsidRPr="006314D5" w:rsidRDefault="009B5D7D" w:rsidP="009B5D7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AB9A344" w14:textId="77777777" w:rsidR="009B5D7D" w:rsidRPr="006314D5" w:rsidRDefault="009B5D7D" w:rsidP="009B5D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6314D5">
        <w:rPr>
          <w:rFonts w:asciiTheme="minorHAnsi" w:hAnsiTheme="minorHAnsi" w:cstheme="minorHAnsi"/>
          <w:b/>
          <w:bCs/>
          <w:color w:val="auto"/>
        </w:rPr>
        <w:t>Purposeful</w:t>
      </w:r>
      <w:r w:rsidRPr="006314D5">
        <w:rPr>
          <w:rFonts w:asciiTheme="minorHAnsi" w:hAnsiTheme="minorHAnsi" w:cstheme="minorHAnsi"/>
          <w:color w:val="auto"/>
        </w:rPr>
        <w:t xml:space="preserve">: begin every engagement with a clear understanding of what we want to achieve </w:t>
      </w:r>
    </w:p>
    <w:p w14:paraId="2EB9261F" w14:textId="6DD32AB9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Drive engagement according to the objectives of the </w:t>
      </w:r>
      <w:r w:rsidR="00977CC3">
        <w:rPr>
          <w:rFonts w:asciiTheme="minorHAnsi" w:hAnsiTheme="minorHAnsi" w:cstheme="minorHAnsi"/>
        </w:rPr>
        <w:t>Strategy</w:t>
      </w:r>
      <w:r w:rsidR="00977CC3" w:rsidRPr="006314D5">
        <w:rPr>
          <w:rFonts w:asciiTheme="minorHAnsi" w:hAnsiTheme="minorHAnsi" w:cstheme="minorHAnsi"/>
        </w:rPr>
        <w:t xml:space="preserve"> </w:t>
      </w:r>
      <w:r w:rsidRPr="006314D5">
        <w:rPr>
          <w:rFonts w:asciiTheme="minorHAnsi" w:hAnsiTheme="minorHAnsi" w:cstheme="minorHAnsi"/>
        </w:rPr>
        <w:t>and the broader government prioritie</w:t>
      </w:r>
      <w:r w:rsidR="00977CC3">
        <w:rPr>
          <w:rFonts w:asciiTheme="minorHAnsi" w:hAnsiTheme="minorHAnsi" w:cstheme="minorHAnsi"/>
        </w:rPr>
        <w:t>s.</w:t>
      </w:r>
      <w:r w:rsidR="00977CC3" w:rsidRPr="006314D5" w:rsidDel="00977CC3">
        <w:rPr>
          <w:rFonts w:asciiTheme="minorHAnsi" w:hAnsiTheme="minorHAnsi" w:cstheme="minorHAnsi"/>
        </w:rPr>
        <w:t xml:space="preserve"> </w:t>
      </w:r>
    </w:p>
    <w:p w14:paraId="0FF83281" w14:textId="77777777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Understand the need to engage and agree on what success looks like, to support focused and meaningful engagement. </w:t>
      </w:r>
    </w:p>
    <w:p w14:paraId="3FB63E07" w14:textId="77777777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Plan communication and manage expectations, to help build lasting goodwill with stakeholders participating in the process and develop an understanding about their capacity to engage. </w:t>
      </w:r>
    </w:p>
    <w:p w14:paraId="4D76711A" w14:textId="77777777" w:rsidR="009B5D7D" w:rsidRPr="006314D5" w:rsidRDefault="009B5D7D" w:rsidP="009B5D7D">
      <w:pPr>
        <w:pStyle w:val="Default"/>
        <w:rPr>
          <w:rFonts w:asciiTheme="minorHAnsi" w:hAnsiTheme="minorHAnsi" w:cstheme="minorHAnsi"/>
        </w:rPr>
      </w:pPr>
    </w:p>
    <w:p w14:paraId="53DDD520" w14:textId="77777777" w:rsidR="009B5D7D" w:rsidRPr="006314D5" w:rsidRDefault="009B5D7D" w:rsidP="009B5D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6314D5">
        <w:rPr>
          <w:rFonts w:asciiTheme="minorHAnsi" w:hAnsiTheme="minorHAnsi" w:cstheme="minorHAnsi"/>
          <w:b/>
          <w:bCs/>
          <w:color w:val="auto"/>
        </w:rPr>
        <w:t>Inclusive</w:t>
      </w:r>
      <w:r w:rsidRPr="006314D5">
        <w:rPr>
          <w:rFonts w:asciiTheme="minorHAnsi" w:hAnsiTheme="minorHAnsi" w:cstheme="minorHAnsi"/>
          <w:color w:val="auto"/>
        </w:rPr>
        <w:t xml:space="preserve">: identify our stakeholders and make it easy for them to engage </w:t>
      </w:r>
    </w:p>
    <w:p w14:paraId="00460EEF" w14:textId="7229494C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Identify and enable the participation of those people and organisations that contribute to, influence, or are affected by implementation of the </w:t>
      </w:r>
      <w:r w:rsidR="004114DA">
        <w:rPr>
          <w:rFonts w:asciiTheme="minorHAnsi" w:hAnsiTheme="minorHAnsi" w:cstheme="minorHAnsi"/>
        </w:rPr>
        <w:t>Strategy</w:t>
      </w:r>
      <w:r w:rsidRPr="006314D5">
        <w:rPr>
          <w:rFonts w:asciiTheme="minorHAnsi" w:hAnsiTheme="minorHAnsi" w:cstheme="minorHAnsi"/>
        </w:rPr>
        <w:t>. This</w:t>
      </w:r>
      <w:r w:rsidR="004114DA">
        <w:rPr>
          <w:rFonts w:asciiTheme="minorHAnsi" w:hAnsiTheme="minorHAnsi" w:cstheme="minorHAnsi"/>
        </w:rPr>
        <w:t> </w:t>
      </w:r>
      <w:r w:rsidRPr="006314D5">
        <w:rPr>
          <w:rFonts w:asciiTheme="minorHAnsi" w:hAnsiTheme="minorHAnsi" w:cstheme="minorHAnsi"/>
        </w:rPr>
        <w:t xml:space="preserve">includes those that may be harder to reach for reasons such as language, culture, age or disability. It also includes other professionals who work </w:t>
      </w:r>
      <w:r w:rsidR="004114DA">
        <w:rPr>
          <w:rFonts w:asciiTheme="minorHAnsi" w:hAnsiTheme="minorHAnsi" w:cstheme="minorHAnsi"/>
        </w:rPr>
        <w:t>alongside</w:t>
      </w:r>
      <w:r w:rsidR="004114DA" w:rsidRPr="006314D5">
        <w:rPr>
          <w:rFonts w:asciiTheme="minorHAnsi" w:hAnsiTheme="minorHAnsi" w:cstheme="minorHAnsi"/>
        </w:rPr>
        <w:t xml:space="preserve"> </w:t>
      </w:r>
      <w:r w:rsidRPr="006314D5">
        <w:rPr>
          <w:rFonts w:asciiTheme="minorHAnsi" w:hAnsiTheme="minorHAnsi" w:cstheme="minorHAnsi"/>
        </w:rPr>
        <w:t>allied health professionals.</w:t>
      </w:r>
    </w:p>
    <w:p w14:paraId="1AB7A64B" w14:textId="77777777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Provide stakeholders with the information they need to engage and contribute in a meaningful way. </w:t>
      </w:r>
    </w:p>
    <w:p w14:paraId="127338F5" w14:textId="77777777" w:rsidR="009B5D7D" w:rsidRPr="006314D5" w:rsidRDefault="009B5D7D" w:rsidP="009B5D7D">
      <w:pPr>
        <w:pStyle w:val="Default"/>
        <w:rPr>
          <w:rFonts w:asciiTheme="minorHAnsi" w:hAnsiTheme="minorHAnsi" w:cstheme="minorHAnsi"/>
        </w:rPr>
      </w:pPr>
    </w:p>
    <w:p w14:paraId="695CC939" w14:textId="77777777" w:rsidR="009B5D7D" w:rsidRPr="006314D5" w:rsidRDefault="009B5D7D" w:rsidP="009B5D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6314D5">
        <w:rPr>
          <w:rFonts w:asciiTheme="minorHAnsi" w:hAnsiTheme="minorHAnsi" w:cstheme="minorHAnsi"/>
          <w:b/>
          <w:bCs/>
          <w:color w:val="auto"/>
        </w:rPr>
        <w:lastRenderedPageBreak/>
        <w:t>Timely</w:t>
      </w:r>
      <w:r w:rsidRPr="006314D5">
        <w:rPr>
          <w:rFonts w:asciiTheme="minorHAnsi" w:hAnsiTheme="minorHAnsi" w:cstheme="minorHAnsi"/>
          <w:color w:val="auto"/>
        </w:rPr>
        <w:t xml:space="preserve">: involve stakeholders early and agree on when and how to engage </w:t>
      </w:r>
    </w:p>
    <w:p w14:paraId="27A06EB8" w14:textId="77777777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Clearly identify and explain the engagement process. This includes meeting schedules, and response times for information requests or feedback. </w:t>
      </w:r>
    </w:p>
    <w:p w14:paraId="50C4489B" w14:textId="77777777" w:rsidR="009B5D7D" w:rsidRPr="006314D5" w:rsidRDefault="009B5D7D" w:rsidP="009B5D7D">
      <w:pPr>
        <w:pStyle w:val="Default"/>
        <w:ind w:left="720"/>
        <w:rPr>
          <w:rFonts w:asciiTheme="minorHAnsi" w:hAnsiTheme="minorHAnsi" w:cstheme="minorHAnsi"/>
        </w:rPr>
      </w:pPr>
    </w:p>
    <w:p w14:paraId="15225241" w14:textId="77777777" w:rsidR="009B5D7D" w:rsidRPr="006314D5" w:rsidRDefault="009B5D7D" w:rsidP="009B5D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6314D5">
        <w:rPr>
          <w:rFonts w:asciiTheme="minorHAnsi" w:hAnsiTheme="minorHAnsi" w:cstheme="minorHAnsi"/>
          <w:b/>
          <w:bCs/>
          <w:color w:val="auto"/>
        </w:rPr>
        <w:t>Transparent</w:t>
      </w:r>
      <w:r w:rsidRPr="006314D5">
        <w:rPr>
          <w:rFonts w:asciiTheme="minorHAnsi" w:hAnsiTheme="minorHAnsi" w:cstheme="minorHAnsi"/>
          <w:color w:val="auto"/>
        </w:rPr>
        <w:t xml:space="preserve">: open in our engagement and set clear expectations </w:t>
      </w:r>
    </w:p>
    <w:p w14:paraId="60BA4953" w14:textId="77777777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Provide information to enable stakeholders to participate in engagement in a meaningful way; this will help foster a culture of sharing information. </w:t>
      </w:r>
    </w:p>
    <w:p w14:paraId="659BDA74" w14:textId="77777777" w:rsidR="009B5D7D" w:rsidRPr="006314D5" w:rsidRDefault="009B5D7D" w:rsidP="009B5D7D">
      <w:pPr>
        <w:pStyle w:val="Default"/>
        <w:rPr>
          <w:rFonts w:asciiTheme="minorHAnsi" w:hAnsiTheme="minorHAnsi" w:cstheme="minorHAnsi"/>
        </w:rPr>
      </w:pPr>
    </w:p>
    <w:p w14:paraId="27188429" w14:textId="77777777" w:rsidR="009B5D7D" w:rsidRPr="006314D5" w:rsidRDefault="009B5D7D" w:rsidP="009B5D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6314D5">
        <w:rPr>
          <w:rFonts w:asciiTheme="minorHAnsi" w:hAnsiTheme="minorHAnsi" w:cstheme="minorHAnsi"/>
          <w:b/>
          <w:bCs/>
          <w:color w:val="auto"/>
        </w:rPr>
        <w:t>Respectful</w:t>
      </w:r>
      <w:r w:rsidRPr="006314D5">
        <w:rPr>
          <w:rFonts w:asciiTheme="minorHAnsi" w:hAnsiTheme="minorHAnsi" w:cstheme="minorHAnsi"/>
          <w:color w:val="auto"/>
        </w:rPr>
        <w:t xml:space="preserve">: acknowledge and respect the expertise, perspective, and needs of stakeholders </w:t>
      </w:r>
    </w:p>
    <w:p w14:paraId="7292E192" w14:textId="77777777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Take care to be open to alternative views and to listen as well as speak, recognising that engagement is a two-way process. </w:t>
      </w:r>
    </w:p>
    <w:p w14:paraId="07E4A597" w14:textId="77777777" w:rsidR="009B5D7D" w:rsidRPr="006314D5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Respect our stakeholders’ expertise and appreciate the benefits of mutual learning. </w:t>
      </w:r>
    </w:p>
    <w:p w14:paraId="69B13598" w14:textId="77777777" w:rsidR="009B5D7D" w:rsidRDefault="009B5D7D" w:rsidP="009B5D7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Recognise the different communication needs and preferences of stakeholders and endeavour to meet these wherever possible. </w:t>
      </w:r>
    </w:p>
    <w:p w14:paraId="4E61FAB5" w14:textId="632A999D" w:rsidR="009B5D7D" w:rsidRPr="00950BDD" w:rsidRDefault="00977CC3" w:rsidP="00950BDD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Recognise </w:t>
      </w:r>
      <w:r w:rsidRPr="006314D5">
        <w:rPr>
          <w:rFonts w:asciiTheme="minorHAnsi" w:hAnsiTheme="minorHAnsi" w:cstheme="minorHAnsi"/>
        </w:rPr>
        <w:t>our stakeholders’ objectives, environment,</w:t>
      </w:r>
      <w:r>
        <w:rPr>
          <w:rFonts w:asciiTheme="minorHAnsi" w:hAnsiTheme="minorHAnsi" w:cstheme="minorHAnsi"/>
        </w:rPr>
        <w:t xml:space="preserve"> </w:t>
      </w:r>
      <w:r w:rsidRPr="006314D5">
        <w:rPr>
          <w:rFonts w:asciiTheme="minorHAnsi" w:hAnsiTheme="minorHAnsi" w:cstheme="minorHAnsi"/>
        </w:rPr>
        <w:t xml:space="preserve">and level of influence. </w:t>
      </w:r>
      <w:r w:rsidR="00462481">
        <w:rPr>
          <w:rFonts w:asciiTheme="minorHAnsi" w:hAnsiTheme="minorHAnsi" w:cstheme="minorHAnsi"/>
        </w:rPr>
        <w:br/>
      </w:r>
    </w:p>
    <w:p w14:paraId="1FDBE093" w14:textId="163FE28D" w:rsidR="009B5D7D" w:rsidRPr="006314D5" w:rsidRDefault="009B5D7D" w:rsidP="009B5D7D">
      <w:pPr>
        <w:pStyle w:val="Default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The stakeholder engagement model at </w:t>
      </w:r>
      <w:r w:rsidRPr="006314D5">
        <w:rPr>
          <w:rFonts w:asciiTheme="minorHAnsi" w:hAnsiTheme="minorHAnsi" w:cstheme="minorHAnsi"/>
          <w:b/>
          <w:bCs/>
        </w:rPr>
        <w:t>Figure 1</w:t>
      </w:r>
      <w:r w:rsidRPr="006314D5">
        <w:rPr>
          <w:rFonts w:asciiTheme="minorHAnsi" w:hAnsiTheme="minorHAnsi" w:cstheme="minorHAnsi"/>
        </w:rPr>
        <w:t xml:space="preserve"> will be used to inform conduct of stakeholder engagement activities in relation to development of the </w:t>
      </w:r>
      <w:r w:rsidR="00775246">
        <w:rPr>
          <w:rFonts w:asciiTheme="minorHAnsi" w:hAnsiTheme="minorHAnsi" w:cstheme="minorHAnsi"/>
        </w:rPr>
        <w:t>Strategy</w:t>
      </w:r>
      <w:r w:rsidRPr="006314D5">
        <w:rPr>
          <w:rFonts w:asciiTheme="minorHAnsi" w:hAnsiTheme="minorHAnsi" w:cstheme="minorHAnsi"/>
        </w:rPr>
        <w:t xml:space="preserve">. The five-step process is structured to support thorough planning, preparation, action and evaluation of every engagement activity. The process is a dynamic and ongoing cycle, which supports a comprehensive approach to engagement. </w:t>
      </w:r>
    </w:p>
    <w:p w14:paraId="514333AE" w14:textId="77777777" w:rsidR="009B5D7D" w:rsidRPr="006314D5" w:rsidRDefault="009B5D7D" w:rsidP="009B5D7D">
      <w:pPr>
        <w:spacing w:after="0"/>
        <w:rPr>
          <w:rFonts w:asciiTheme="minorHAnsi" w:hAnsiTheme="minorHAnsi" w:cstheme="minorHAnsi"/>
        </w:rPr>
      </w:pPr>
    </w:p>
    <w:p w14:paraId="1A22709B" w14:textId="65F5D18B" w:rsidR="009B5D7D" w:rsidRDefault="009B5D7D" w:rsidP="009B5D7D">
      <w:pPr>
        <w:spacing w:after="0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The way in which this process is applied in relation to the </w:t>
      </w:r>
      <w:r w:rsidR="00775246">
        <w:rPr>
          <w:rFonts w:asciiTheme="minorHAnsi" w:hAnsiTheme="minorHAnsi" w:cstheme="minorHAnsi"/>
        </w:rPr>
        <w:t>Strategy</w:t>
      </w:r>
      <w:r w:rsidRPr="006314D5">
        <w:rPr>
          <w:rFonts w:asciiTheme="minorHAnsi" w:hAnsiTheme="minorHAnsi" w:cstheme="minorHAnsi"/>
        </w:rPr>
        <w:t xml:space="preserve"> will be driven by the purpose, level and type of engagement undertaken.</w:t>
      </w:r>
    </w:p>
    <w:p w14:paraId="3646AE58" w14:textId="094FF3B2" w:rsidR="009B5D7D" w:rsidRDefault="00462481" w:rsidP="00950BDD">
      <w:pPr>
        <w:spacing w:after="0"/>
        <w:jc w:val="center"/>
        <w:rPr>
          <w:rFonts w:asciiTheme="minorHAnsi" w:hAnsiTheme="minorHAnsi" w:cstheme="minorHAnsi"/>
        </w:rPr>
      </w:pPr>
      <w:r>
        <w:rPr>
          <w:noProof/>
          <w14:ligatures w14:val="standardContextual"/>
        </w:rPr>
        <w:drawing>
          <wp:inline distT="0" distB="0" distL="0" distR="0" wp14:anchorId="5B449741" wp14:editId="03FA7661">
            <wp:extent cx="3629025" cy="3543428"/>
            <wp:effectExtent l="0" t="0" r="0" b="0"/>
            <wp:docPr id="1596481164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81164" name="Picture 1" descr="A diagram of a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54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3D1C" w14:textId="2B00070A" w:rsidR="009B5D7D" w:rsidRPr="00DD4396" w:rsidRDefault="009B5D7D" w:rsidP="009B5D7D">
      <w:pPr>
        <w:spacing w:after="0"/>
        <w:rPr>
          <w:rFonts w:asciiTheme="minorHAnsi" w:hAnsiTheme="minorHAnsi" w:cstheme="minorHAnsi"/>
        </w:rPr>
      </w:pPr>
      <w:r w:rsidRPr="00DD4396">
        <w:rPr>
          <w:rFonts w:asciiTheme="minorHAnsi" w:hAnsiTheme="minorHAnsi" w:cstheme="minorHAnsi"/>
        </w:rPr>
        <w:t>Figure 1: Stakeholder engagement model for the National Allied Health Workforce Strategy</w:t>
      </w:r>
      <w:r w:rsidRPr="00DD4396">
        <w:rPr>
          <w:rStyle w:val="FootnoteReference"/>
          <w:rFonts w:asciiTheme="minorHAnsi" w:hAnsiTheme="minorHAnsi" w:cstheme="minorHAnsi"/>
        </w:rPr>
        <w:footnoteReference w:id="1"/>
      </w:r>
    </w:p>
    <w:p w14:paraId="6E843E86" w14:textId="22216AAF" w:rsidR="009B5D7D" w:rsidRPr="006314D5" w:rsidRDefault="00462481" w:rsidP="009B5D7D">
      <w:pPr>
        <w:jc w:val="center"/>
        <w:rPr>
          <w:rFonts w:asciiTheme="minorHAnsi" w:hAnsiTheme="minorHAnsi" w:cstheme="minorHAnsi"/>
          <w:b/>
          <w:bCs/>
        </w:rPr>
      </w:pPr>
      <w:r w:rsidRPr="00462481">
        <w:rPr>
          <w:noProof/>
          <w14:ligatures w14:val="standardContextual"/>
        </w:rPr>
        <w:lastRenderedPageBreak/>
        <w:t xml:space="preserve"> </w:t>
      </w:r>
    </w:p>
    <w:p w14:paraId="625F9556" w14:textId="77777777" w:rsidR="009B5D7D" w:rsidRDefault="009B5D7D" w:rsidP="009B5D7D">
      <w:pPr>
        <w:rPr>
          <w:rFonts w:asciiTheme="minorHAnsi" w:hAnsiTheme="minorHAnsi" w:cstheme="minorHAnsi"/>
          <w:b/>
          <w:bCs/>
        </w:rPr>
      </w:pPr>
    </w:p>
    <w:p w14:paraId="07F0EB6C" w14:textId="44A40C58" w:rsidR="009B5D7D" w:rsidRDefault="009B5D7D" w:rsidP="009B5D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multiple methods of consultation on the Strategy. An overview of the methods to be used and the timeframe for these opportunities is outlined in Table 2. </w:t>
      </w:r>
      <w:r w:rsidR="00BA6AF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onsultations </w:t>
      </w:r>
      <w:r w:rsidR="00BA6AFF">
        <w:rPr>
          <w:rFonts w:asciiTheme="minorHAnsi" w:hAnsiTheme="minorHAnsi" w:cstheme="minorHAnsi"/>
        </w:rPr>
        <w:t xml:space="preserve">that are open to all stakeholders </w:t>
      </w:r>
      <w:r>
        <w:rPr>
          <w:rFonts w:asciiTheme="minorHAnsi" w:hAnsiTheme="minorHAnsi" w:cstheme="minorHAnsi"/>
        </w:rPr>
        <w:t>are shaded green</w:t>
      </w:r>
      <w:r w:rsidR="00BA6A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while targeted consultations are shaded orange.</w:t>
      </w:r>
    </w:p>
    <w:p w14:paraId="40844648" w14:textId="77777777" w:rsidR="009B5D7D" w:rsidRDefault="009B5D7D" w:rsidP="009B5D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Table 2: Summary of consultation approaches for the National Allied Health Workforce Strategy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685"/>
        <w:gridCol w:w="685"/>
        <w:gridCol w:w="685"/>
        <w:gridCol w:w="685"/>
        <w:gridCol w:w="685"/>
        <w:gridCol w:w="686"/>
      </w:tblGrid>
      <w:tr w:rsidR="009B5D7D" w14:paraId="4FB340EC" w14:textId="77777777" w:rsidTr="001F26FB">
        <w:trPr>
          <w:cantSplit/>
          <w:trHeight w:val="1134"/>
        </w:trPr>
        <w:tc>
          <w:tcPr>
            <w:tcW w:w="4815" w:type="dxa"/>
          </w:tcPr>
          <w:p w14:paraId="2D890CE7" w14:textId="77777777" w:rsidR="009B5D7D" w:rsidRDefault="009B5D7D" w:rsidP="001F26F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Consultation approach and purpose</w:t>
            </w:r>
          </w:p>
        </w:tc>
        <w:tc>
          <w:tcPr>
            <w:tcW w:w="685" w:type="dxa"/>
            <w:textDirection w:val="btLr"/>
          </w:tcPr>
          <w:p w14:paraId="7DC0BE19" w14:textId="77777777" w:rsidR="009B5D7D" w:rsidRPr="00DD4396" w:rsidRDefault="009B5D7D" w:rsidP="001F26FB">
            <w:pPr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4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685" w:type="dxa"/>
            <w:textDirection w:val="btLr"/>
          </w:tcPr>
          <w:p w14:paraId="6649D086" w14:textId="77777777" w:rsidR="009B5D7D" w:rsidRPr="00DD4396" w:rsidRDefault="009B5D7D" w:rsidP="001F26FB">
            <w:pPr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4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685" w:type="dxa"/>
            <w:textDirection w:val="btLr"/>
          </w:tcPr>
          <w:p w14:paraId="38D17FDE" w14:textId="77777777" w:rsidR="009B5D7D" w:rsidRPr="00DD4396" w:rsidRDefault="009B5D7D" w:rsidP="001F26FB">
            <w:pPr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4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685" w:type="dxa"/>
            <w:textDirection w:val="btLr"/>
          </w:tcPr>
          <w:p w14:paraId="582343A9" w14:textId="77777777" w:rsidR="009B5D7D" w:rsidRPr="00DD4396" w:rsidRDefault="009B5D7D" w:rsidP="001F26FB">
            <w:pPr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4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685" w:type="dxa"/>
            <w:textDirection w:val="btLr"/>
          </w:tcPr>
          <w:p w14:paraId="5BE78655" w14:textId="77777777" w:rsidR="009B5D7D" w:rsidRPr="00DD4396" w:rsidRDefault="009B5D7D" w:rsidP="001F26FB">
            <w:pPr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4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686" w:type="dxa"/>
            <w:textDirection w:val="btLr"/>
          </w:tcPr>
          <w:p w14:paraId="5C193FD9" w14:textId="77777777" w:rsidR="009B5D7D" w:rsidRPr="00DD4396" w:rsidRDefault="009B5D7D" w:rsidP="001F26FB">
            <w:pPr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4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October</w:t>
            </w:r>
          </w:p>
        </w:tc>
      </w:tr>
      <w:tr w:rsidR="009B5D7D" w14:paraId="07154026" w14:textId="77777777" w:rsidTr="00CB4837">
        <w:tc>
          <w:tcPr>
            <w:tcW w:w="4815" w:type="dxa"/>
          </w:tcPr>
          <w:p w14:paraId="2ACE7673" w14:textId="77777777" w:rsidR="009B5D7D" w:rsidRDefault="009B5D7D" w:rsidP="001F2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Consultation Hub – Round 1</w:t>
            </w:r>
          </w:p>
          <w:p w14:paraId="4DA2F603" w14:textId="77777777" w:rsidR="009B5D7D" w:rsidRPr="00DD4396" w:rsidRDefault="009B5D7D" w:rsidP="001F26F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To seek feedback on the purpose and scope of the Strategy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14:paraId="7FC4C1EE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3A50B66E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45737440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793F905E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16924D2D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</w:tcPr>
          <w:p w14:paraId="05A787E6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D7D" w14:paraId="3664E4BA" w14:textId="77777777" w:rsidTr="004D153F">
        <w:tc>
          <w:tcPr>
            <w:tcW w:w="4815" w:type="dxa"/>
          </w:tcPr>
          <w:p w14:paraId="554AB11E" w14:textId="77777777" w:rsidR="009B5D7D" w:rsidRDefault="009B5D7D" w:rsidP="001F2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 workshops and webinars</w:t>
            </w:r>
          </w:p>
          <w:p w14:paraId="2D79B865" w14:textId="77777777" w:rsidR="009B5D7D" w:rsidRPr="00DD4396" w:rsidRDefault="009B5D7D" w:rsidP="001F26F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Targeted consultations with allied health leaders</w:t>
            </w:r>
          </w:p>
        </w:tc>
        <w:tc>
          <w:tcPr>
            <w:tcW w:w="685" w:type="dxa"/>
          </w:tcPr>
          <w:p w14:paraId="31A3D522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7534360A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6F0A22C7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72E523F3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5BA124A0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006F7FF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EF1" w14:paraId="1F0E6383" w14:textId="77777777" w:rsidTr="004D153F">
        <w:tc>
          <w:tcPr>
            <w:tcW w:w="4815" w:type="dxa"/>
          </w:tcPr>
          <w:p w14:paraId="46C18BE0" w14:textId="2F8F2416" w:rsidR="00760EF1" w:rsidRDefault="00760EF1" w:rsidP="001F26FB">
            <w:pPr>
              <w:rPr>
                <w:rFonts w:asciiTheme="minorHAnsi" w:hAnsiTheme="minorHAnsi" w:cstheme="minorHAnsi"/>
              </w:rPr>
            </w:pPr>
            <w:r w:rsidRPr="00760EF1">
              <w:rPr>
                <w:rFonts w:asciiTheme="minorHAnsi" w:hAnsiTheme="minorHAnsi" w:cstheme="minorHAnsi"/>
              </w:rPr>
              <w:t>Targeted consultations with allied health peak bodies on draft Strategy</w:t>
            </w:r>
          </w:p>
        </w:tc>
        <w:tc>
          <w:tcPr>
            <w:tcW w:w="685" w:type="dxa"/>
          </w:tcPr>
          <w:p w14:paraId="0A1FEFFD" w14:textId="77777777" w:rsidR="00760EF1" w:rsidRPr="00DD4396" w:rsidRDefault="00760EF1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064667B3" w14:textId="77777777" w:rsidR="00760EF1" w:rsidRPr="00DD4396" w:rsidRDefault="00760EF1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5604E6A3" w14:textId="77777777" w:rsidR="00760EF1" w:rsidRPr="00DD4396" w:rsidRDefault="00760EF1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1510E64A" w14:textId="77777777" w:rsidR="00760EF1" w:rsidRPr="00DD4396" w:rsidRDefault="00760EF1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445F6E03" w14:textId="77777777" w:rsidR="00760EF1" w:rsidRPr="00DD4396" w:rsidRDefault="00760EF1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E2EFD9" w:themeFill="accent6" w:themeFillTint="33"/>
          </w:tcPr>
          <w:p w14:paraId="1C0C4DB9" w14:textId="77777777" w:rsidR="00760EF1" w:rsidRPr="00DD4396" w:rsidRDefault="00760EF1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D7D" w14:paraId="51889BAA" w14:textId="77777777" w:rsidTr="004D153F">
        <w:tc>
          <w:tcPr>
            <w:tcW w:w="4815" w:type="dxa"/>
          </w:tcPr>
          <w:p w14:paraId="57A78D69" w14:textId="77777777" w:rsidR="009B5D7D" w:rsidRDefault="009B5D7D" w:rsidP="001F2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Consultation Hub – Round 2</w:t>
            </w:r>
          </w:p>
          <w:p w14:paraId="51E8C6D1" w14:textId="77777777" w:rsidR="009B5D7D" w:rsidRPr="00DD4396" w:rsidRDefault="009B5D7D" w:rsidP="001F26F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To summarise the issues to be raised in the Strategy and identify potential actions to address these issues</w:t>
            </w:r>
          </w:p>
        </w:tc>
        <w:tc>
          <w:tcPr>
            <w:tcW w:w="685" w:type="dxa"/>
          </w:tcPr>
          <w:p w14:paraId="6A201950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6C7806A6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53A4006B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55B0FB49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01A50760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BE4D5" w:themeFill="accent2" w:themeFillTint="33"/>
          </w:tcPr>
          <w:p w14:paraId="331897E9" w14:textId="77777777" w:rsidR="009B5D7D" w:rsidRPr="00DD4396" w:rsidRDefault="009B5D7D" w:rsidP="001F26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2540DB" w14:textId="77777777" w:rsidR="00BA6AFF" w:rsidRDefault="00BA6AFF" w:rsidP="00BA6AFF">
      <w:pPr>
        <w:rPr>
          <w:rFonts w:asciiTheme="minorHAnsi" w:hAnsiTheme="minorHAnsi" w:cstheme="minorHAnsi"/>
        </w:rPr>
      </w:pPr>
    </w:p>
    <w:p w14:paraId="6535D4FE" w14:textId="5C6AD41B" w:rsidR="00BA6AFF" w:rsidRDefault="00BA6AFF" w:rsidP="00BA6AFF">
      <w:pPr>
        <w:pStyle w:val="Heading1"/>
        <w:numPr>
          <w:ilvl w:val="0"/>
          <w:numId w:val="0"/>
        </w:numPr>
      </w:pPr>
      <w:bookmarkStart w:id="3" w:name="_Toc164092336"/>
      <w:r>
        <w:t xml:space="preserve">How to provide </w:t>
      </w:r>
      <w:bookmarkEnd w:id="3"/>
      <w:r>
        <w:t>input</w:t>
      </w:r>
    </w:p>
    <w:p w14:paraId="7A1B11CA" w14:textId="77777777" w:rsidR="00775246" w:rsidRDefault="00775246" w:rsidP="00BA6AFF">
      <w:pPr>
        <w:rPr>
          <w:rFonts w:asciiTheme="minorHAnsi" w:hAnsiTheme="minorHAnsi" w:cstheme="minorHAnsi"/>
        </w:rPr>
      </w:pPr>
      <w:r w:rsidRPr="00775246">
        <w:rPr>
          <w:rFonts w:asciiTheme="minorHAnsi" w:hAnsiTheme="minorHAnsi" w:cstheme="minorHAnsi"/>
        </w:rPr>
        <w:t>We welcome your input to the Strategy’s development.</w:t>
      </w:r>
    </w:p>
    <w:p w14:paraId="36F0701A" w14:textId="68294807" w:rsidR="00775246" w:rsidRDefault="00000000" w:rsidP="00BA6AFF">
      <w:pPr>
        <w:rPr>
          <w:rFonts w:asciiTheme="minorHAnsi" w:hAnsiTheme="minorHAnsi" w:cstheme="minorHAnsi"/>
        </w:rPr>
      </w:pPr>
      <w:hyperlink r:id="rId9" w:history="1">
        <w:r w:rsidR="00775246" w:rsidRPr="00462481">
          <w:rPr>
            <w:rStyle w:val="Hyperlink"/>
            <w:rFonts w:asciiTheme="minorHAnsi" w:hAnsiTheme="minorHAnsi" w:cstheme="minorHAnsi"/>
          </w:rPr>
          <w:t>This survey</w:t>
        </w:r>
      </w:hyperlink>
      <w:r w:rsidR="00775246">
        <w:rPr>
          <w:rFonts w:asciiTheme="minorHAnsi" w:hAnsiTheme="minorHAnsi" w:cstheme="minorHAnsi"/>
        </w:rPr>
        <w:t xml:space="preserve"> provides the opportunity to respond to the draft outline of the National Allied Health Workforce Strategy.</w:t>
      </w:r>
    </w:p>
    <w:p w14:paraId="14269387" w14:textId="6FE53406" w:rsidR="00775246" w:rsidRDefault="00775246" w:rsidP="00BA6A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would like to contact us about the consultation process, please email </w:t>
      </w:r>
      <w:hyperlink r:id="rId10" w:history="1">
        <w:r w:rsidRPr="00BF7EDF">
          <w:rPr>
            <w:rStyle w:val="Hyperlink"/>
            <w:rFonts w:asciiTheme="minorHAnsi" w:hAnsiTheme="minorHAnsi" w:cstheme="minorHAnsi"/>
          </w:rPr>
          <w:t>caho@health.gov.au</w:t>
        </w:r>
      </w:hyperlink>
      <w:r>
        <w:rPr>
          <w:rFonts w:asciiTheme="minorHAnsi" w:hAnsiTheme="minorHAnsi" w:cstheme="minorHAnsi"/>
        </w:rPr>
        <w:t xml:space="preserve"> </w:t>
      </w:r>
    </w:p>
    <w:p w14:paraId="55DCE9FB" w14:textId="1709258B" w:rsidR="00EF5426" w:rsidRPr="00775246" w:rsidRDefault="00EF5426" w:rsidP="00BA6AFF">
      <w:pPr>
        <w:rPr>
          <w:rFonts w:asciiTheme="minorHAnsi" w:hAnsiTheme="minorHAnsi" w:cstheme="minorHAnsi"/>
        </w:rPr>
      </w:pPr>
      <w:r w:rsidRPr="00D61539">
        <w:rPr>
          <w:rFonts w:asciiTheme="minorHAnsi" w:hAnsiTheme="minorHAnsi" w:cstheme="minorHAnsi"/>
        </w:rPr>
        <w:t>If you’d like to receive updates on the progress of the Strategy, please</w:t>
      </w:r>
      <w:r>
        <w:rPr>
          <w:rFonts w:asciiTheme="minorHAnsi" w:hAnsiTheme="minorHAnsi" w:cstheme="minorHAnsi"/>
        </w:rPr>
        <w:t xml:space="preserve"> </w:t>
      </w:r>
      <w:r w:rsidRPr="005F1F3E">
        <w:rPr>
          <w:rFonts w:asciiTheme="minorHAnsi" w:hAnsiTheme="minorHAnsi" w:cstheme="minorHAnsi"/>
        </w:rPr>
        <w:t xml:space="preserve">subscribe to allied health sector updates via the </w:t>
      </w:r>
      <w:hyperlink r:id="rId11" w:history="1">
        <w:r w:rsidRPr="005F1F3E">
          <w:rPr>
            <w:rStyle w:val="Hyperlink"/>
            <w:rFonts w:asciiTheme="minorHAnsi" w:hAnsiTheme="minorHAnsi" w:cstheme="minorHAnsi"/>
          </w:rPr>
          <w:t>department’s website</w:t>
        </w:r>
      </w:hyperlink>
      <w:r w:rsidRPr="005F1F3E">
        <w:rPr>
          <w:rFonts w:asciiTheme="minorHAnsi" w:hAnsiTheme="minorHAnsi" w:cstheme="minorHAnsi"/>
        </w:rPr>
        <w:t>.</w:t>
      </w:r>
    </w:p>
    <w:p w14:paraId="1BAC3977" w14:textId="20D1D712" w:rsidR="00BA6AFF" w:rsidRDefault="00462481" w:rsidP="00775246">
      <w:pPr>
        <w:pStyle w:val="Heading1"/>
        <w:numPr>
          <w:ilvl w:val="0"/>
          <w:numId w:val="0"/>
        </w:numPr>
        <w:ind w:left="851" w:hanging="851"/>
      </w:pPr>
      <w:r>
        <w:t>Other d</w:t>
      </w:r>
      <w:r w:rsidR="00775246" w:rsidRPr="00775246">
        <w:t>ocuments</w:t>
      </w:r>
      <w:r>
        <w:t xml:space="preserve"> to review</w:t>
      </w:r>
    </w:p>
    <w:p w14:paraId="4D114072" w14:textId="5A1ED50C" w:rsidR="00775246" w:rsidRDefault="00775246" w:rsidP="007752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775246">
        <w:rPr>
          <w:rFonts w:asciiTheme="minorHAnsi" w:hAnsiTheme="minorHAnsi" w:cstheme="minorHAnsi"/>
          <w:lang w:eastAsia="en-AU"/>
        </w:rPr>
        <w:t>Consultation Hub paper: Draft outline of the National Allied Health Workforce Strategy</w:t>
      </w:r>
    </w:p>
    <w:p w14:paraId="04F98EC6" w14:textId="4918BE82" w:rsidR="00775246" w:rsidRPr="00775246" w:rsidRDefault="00462481" w:rsidP="007752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Consultation Hub survey: the d</w:t>
      </w:r>
      <w:r w:rsidR="00775246">
        <w:rPr>
          <w:rFonts w:asciiTheme="minorHAnsi" w:hAnsiTheme="minorHAnsi" w:cstheme="minorHAnsi"/>
          <w:lang w:eastAsia="en-AU"/>
        </w:rPr>
        <w:t xml:space="preserve">raft outline of the National Allied Health Workforce Strategy </w:t>
      </w:r>
    </w:p>
    <w:sectPr w:rsidR="00775246" w:rsidRPr="007752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30E4" w14:textId="77777777" w:rsidR="001C6C8F" w:rsidRDefault="001C6C8F" w:rsidP="009B5D7D">
      <w:pPr>
        <w:spacing w:after="0" w:line="240" w:lineRule="auto"/>
      </w:pPr>
      <w:r>
        <w:separator/>
      </w:r>
    </w:p>
  </w:endnote>
  <w:endnote w:type="continuationSeparator" w:id="0">
    <w:p w14:paraId="524E56A0" w14:textId="77777777" w:rsidR="001C6C8F" w:rsidRDefault="001C6C8F" w:rsidP="009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4DD" w14:textId="77777777" w:rsidR="00C24D43" w:rsidRDefault="00C2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B25" w14:textId="77777777" w:rsidR="00C24D43" w:rsidRDefault="00C24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0D49" w14:textId="77777777" w:rsidR="00C24D43" w:rsidRDefault="00C2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EA25" w14:textId="77777777" w:rsidR="001C6C8F" w:rsidRDefault="001C6C8F" w:rsidP="009B5D7D">
      <w:pPr>
        <w:spacing w:after="0" w:line="240" w:lineRule="auto"/>
      </w:pPr>
      <w:r>
        <w:separator/>
      </w:r>
    </w:p>
  </w:footnote>
  <w:footnote w:type="continuationSeparator" w:id="0">
    <w:p w14:paraId="389C08CA" w14:textId="77777777" w:rsidR="001C6C8F" w:rsidRDefault="001C6C8F" w:rsidP="009B5D7D">
      <w:pPr>
        <w:spacing w:after="0" w:line="240" w:lineRule="auto"/>
      </w:pPr>
      <w:r>
        <w:continuationSeparator/>
      </w:r>
    </w:p>
  </w:footnote>
  <w:footnote w:id="1">
    <w:p w14:paraId="4751A2EC" w14:textId="77777777" w:rsidR="009B5D7D" w:rsidRDefault="009B5D7D" w:rsidP="009B5D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E07DE">
          <w:rPr>
            <w:rStyle w:val="Hyperlink"/>
          </w:rPr>
          <w:t>https://www.health.gov.au/resources/publications/stakeholder-engagement-framework?language=en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5FF" w14:textId="77777777" w:rsidR="00C24D43" w:rsidRDefault="00C2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276F" w14:textId="292C274A" w:rsidR="00C24D43" w:rsidRDefault="00C2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6C3E" w14:textId="77777777" w:rsidR="00C24D43" w:rsidRDefault="00C2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C9"/>
    <w:multiLevelType w:val="hybridMultilevel"/>
    <w:tmpl w:val="4468B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E36"/>
    <w:multiLevelType w:val="hybridMultilevel"/>
    <w:tmpl w:val="59EE7E80"/>
    <w:lvl w:ilvl="0" w:tplc="7D18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8A69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F1C6B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62DF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FAEA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CEC6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0EE8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D84B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D940F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FE13160"/>
    <w:multiLevelType w:val="hybridMultilevel"/>
    <w:tmpl w:val="6ECC1F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B0B5A"/>
    <w:multiLevelType w:val="hybridMultilevel"/>
    <w:tmpl w:val="1DC2E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24961"/>
    <w:multiLevelType w:val="hybridMultilevel"/>
    <w:tmpl w:val="1B9EFEE8"/>
    <w:lvl w:ilvl="0" w:tplc="D5780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C544A"/>
    <w:multiLevelType w:val="multilevel"/>
    <w:tmpl w:val="6D80223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b/>
        <w:bCs w:val="0"/>
      </w:rPr>
    </w:lvl>
    <w:lvl w:ilvl="1">
      <w:start w:val="1"/>
      <w:numFmt w:val="decimal"/>
      <w:pStyle w:val="Heading2"/>
      <w:lvlText w:val="%1.%2"/>
      <w:lvlJc w:val="left"/>
      <w:pPr>
        <w:ind w:left="2269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H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 w16cid:durableId="1758401862">
    <w:abstractNumId w:val="1"/>
  </w:num>
  <w:num w:numId="2" w16cid:durableId="34627619">
    <w:abstractNumId w:val="5"/>
  </w:num>
  <w:num w:numId="3" w16cid:durableId="1917400015">
    <w:abstractNumId w:val="2"/>
  </w:num>
  <w:num w:numId="4" w16cid:durableId="1367214249">
    <w:abstractNumId w:val="0"/>
  </w:num>
  <w:num w:numId="5" w16cid:durableId="1972901443">
    <w:abstractNumId w:val="3"/>
  </w:num>
  <w:num w:numId="6" w16cid:durableId="745569618">
    <w:abstractNumId w:val="5"/>
  </w:num>
  <w:num w:numId="7" w16cid:durableId="47608361">
    <w:abstractNumId w:val="5"/>
  </w:num>
  <w:num w:numId="8" w16cid:durableId="550925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7D"/>
    <w:rsid w:val="00143DBA"/>
    <w:rsid w:val="001C036E"/>
    <w:rsid w:val="001C6C8F"/>
    <w:rsid w:val="00237351"/>
    <w:rsid w:val="00324FBF"/>
    <w:rsid w:val="00370FEE"/>
    <w:rsid w:val="004114DA"/>
    <w:rsid w:val="00462481"/>
    <w:rsid w:val="004A03D7"/>
    <w:rsid w:val="004D153F"/>
    <w:rsid w:val="00545F2C"/>
    <w:rsid w:val="00730693"/>
    <w:rsid w:val="00760EF1"/>
    <w:rsid w:val="00775246"/>
    <w:rsid w:val="007F2613"/>
    <w:rsid w:val="00922913"/>
    <w:rsid w:val="00950BDD"/>
    <w:rsid w:val="009775E0"/>
    <w:rsid w:val="00977CC3"/>
    <w:rsid w:val="009B5D7D"/>
    <w:rsid w:val="009F631C"/>
    <w:rsid w:val="00AF0B57"/>
    <w:rsid w:val="00B0709D"/>
    <w:rsid w:val="00B23D29"/>
    <w:rsid w:val="00B7716E"/>
    <w:rsid w:val="00BA6AFF"/>
    <w:rsid w:val="00C24D43"/>
    <w:rsid w:val="00CB4837"/>
    <w:rsid w:val="00E221B1"/>
    <w:rsid w:val="00ED236E"/>
    <w:rsid w:val="00EF5426"/>
    <w:rsid w:val="00F26C91"/>
    <w:rsid w:val="00F34715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0B36"/>
  <w15:chartTrackingRefBased/>
  <w15:docId w15:val="{62C0725A-0BEE-4F50-97F9-A00AC73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7D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D7D"/>
    <w:pPr>
      <w:keepNext/>
      <w:keepLines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D7D"/>
    <w:pPr>
      <w:keepNext/>
      <w:keepLines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D7D"/>
    <w:rPr>
      <w:rFonts w:ascii="Arial" w:eastAsia="Times New Roman" w:hAnsi="Arial" w:cs="Arial"/>
      <w:b/>
      <w:kern w:val="0"/>
      <w:sz w:val="32"/>
      <w:szCs w:val="32"/>
      <w:lang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B5D7D"/>
    <w:rPr>
      <w:rFonts w:ascii="Arial" w:eastAsia="Times New Roman" w:hAnsi="Arial" w:cs="Arial"/>
      <w:b/>
      <w:kern w:val="0"/>
      <w:sz w:val="28"/>
      <w:szCs w:val="24"/>
      <w:lang w:eastAsia="en-AU"/>
      <w14:ligatures w14:val="none"/>
    </w:rPr>
  </w:style>
  <w:style w:type="paragraph" w:styleId="ListParagraph">
    <w:name w:val="List Paragraph"/>
    <w:aliases w:val="CAB - List Bullet,List Bullet Cab,Bullet point,Bullets,CV text,Dot pt,F5 List Paragraph,FooterText,L,List Paragraph1,List Paragraph11,List Paragraph111,List Paragraph2,Medium Grid 1 - Accent 21,NAST Quote,NFP GP Bulleted List"/>
    <w:basedOn w:val="Normal"/>
    <w:link w:val="ListParagraphChar"/>
    <w:uiPriority w:val="34"/>
    <w:qFormat/>
    <w:rsid w:val="009B5D7D"/>
    <w:pPr>
      <w:ind w:left="720"/>
      <w:contextualSpacing/>
    </w:pPr>
  </w:style>
  <w:style w:type="character" w:customStyle="1" w:styleId="ListParagraphChar">
    <w:name w:val="List Paragraph Char"/>
    <w:aliases w:val="CAB - List Bullet Char,List Bullet Cab Char,Bullet point Char,Bullets Char,CV text Char,Dot pt Char,F5 List Paragraph Char,FooterText Char,L Char,List Paragraph1 Char,List Paragraph11 Char,List Paragraph111 Char,List Paragraph2 Char"/>
    <w:basedOn w:val="DefaultParagraphFont"/>
    <w:link w:val="ListParagraph"/>
    <w:uiPriority w:val="34"/>
    <w:qFormat/>
    <w:locked/>
    <w:rsid w:val="009B5D7D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D7D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9B5D7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  <w14:ligatures w14:val="none"/>
    </w:rPr>
  </w:style>
  <w:style w:type="paragraph" w:customStyle="1" w:styleId="NH3">
    <w:name w:val="NH3"/>
    <w:basedOn w:val="Normal"/>
    <w:next w:val="Normal"/>
    <w:qFormat/>
    <w:rsid w:val="009B5D7D"/>
    <w:pPr>
      <w:keepNext/>
      <w:keepLines/>
      <w:numPr>
        <w:ilvl w:val="2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sz w:val="26"/>
      <w:lang w:eastAsia="en-AU"/>
    </w:rPr>
  </w:style>
  <w:style w:type="table" w:styleId="TableGrid">
    <w:name w:val="Table Grid"/>
    <w:basedOn w:val="TableNormal"/>
    <w:uiPriority w:val="39"/>
    <w:rsid w:val="009B5D7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5D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D7D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B5D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5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24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26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2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43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43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9F631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using-our-websites/subscriptions/subscribe-to-the-allied-health-sector-upda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ho@health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sultations.health.gov.au/primary-care-mental-health-division/nahwsoutlin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gov.au/resources/publications/stakeholder-engagement-framework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21AA-23E6-4661-8F64-84E09542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BAILIE, Lindsey</dc:creator>
  <cp:keywords/>
  <dc:description/>
  <cp:lastModifiedBy>ANDREOPOULOS, Nick</cp:lastModifiedBy>
  <cp:revision>20</cp:revision>
  <dcterms:created xsi:type="dcterms:W3CDTF">2024-04-15T07:40:00Z</dcterms:created>
  <dcterms:modified xsi:type="dcterms:W3CDTF">2024-05-28T06:18:00Z</dcterms:modified>
</cp:coreProperties>
</file>