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0C701" w14:textId="0482963C" w:rsidR="00C96368" w:rsidRDefault="00C96368" w:rsidP="00C96368">
      <w:pPr>
        <w:pStyle w:val="Heading1"/>
        <w:jc w:val="center"/>
      </w:pPr>
      <w:r>
        <w:t>NATIONAL INITIAL ASSESSMENT AND REFERRAL (IAR) FOR MENTAL HEALTHCARE GUIDANCE</w:t>
      </w:r>
    </w:p>
    <w:p w14:paraId="614F49DA" w14:textId="16180CE8" w:rsidR="00C96368" w:rsidRPr="006336E6" w:rsidRDefault="00C96368" w:rsidP="00C96368">
      <w:pPr>
        <w:pStyle w:val="Heading1"/>
        <w:jc w:val="center"/>
        <w:rPr>
          <w:b w:val="0"/>
          <w:bCs/>
          <w:color w:val="E36C0A" w:themeColor="accent6" w:themeShade="BF"/>
        </w:rPr>
      </w:pPr>
      <w:r w:rsidRPr="006336E6">
        <w:rPr>
          <w:b w:val="0"/>
          <w:bCs/>
          <w:color w:val="E36C0A" w:themeColor="accent6" w:themeShade="BF"/>
        </w:rPr>
        <w:t xml:space="preserve">Consultation </w:t>
      </w:r>
      <w:r>
        <w:rPr>
          <w:b w:val="0"/>
          <w:bCs/>
          <w:color w:val="E36C0A" w:themeColor="accent6" w:themeShade="BF"/>
        </w:rPr>
        <w:t>Information</w:t>
      </w:r>
    </w:p>
    <w:p w14:paraId="39D11DE4" w14:textId="77777777" w:rsidR="00C96368" w:rsidRPr="00F347BB" w:rsidRDefault="00C96368" w:rsidP="00C96368">
      <w:pPr>
        <w:pStyle w:val="Heading2"/>
      </w:pPr>
      <w:r w:rsidRPr="00F347BB">
        <w:t>BACKGROUND</w:t>
      </w:r>
    </w:p>
    <w:p w14:paraId="75A67CD8" w14:textId="088AFA0F" w:rsidR="000926BB" w:rsidRDefault="000926BB" w:rsidP="000926BB">
      <w:r w:rsidRPr="00F60AD1">
        <w:t xml:space="preserve">The Initial Assessment and Referral (IAR) for Mental Healthcare Guidance and Decision Support Tool </w:t>
      </w:r>
      <w:r w:rsidR="00AD6162">
        <w:t xml:space="preserve">(DST) </w:t>
      </w:r>
      <w:r>
        <w:t>assist</w:t>
      </w:r>
      <w:r w:rsidR="00BB5128">
        <w:t>s</w:t>
      </w:r>
      <w:r w:rsidRPr="00F60AD1">
        <w:t xml:space="preserve"> general practitioners and clinicians </w:t>
      </w:r>
      <w:r w:rsidRPr="00660F43">
        <w:t xml:space="preserve">in recommending a level of care for a person seeking mental health support. </w:t>
      </w:r>
      <w:r w:rsidR="00CB5F38" w:rsidRPr="00660F43">
        <w:t>Each level of care is based on the least intensive and least intrusive evidence-based intervention that will likely lead to the most significant possible gain.</w:t>
      </w:r>
    </w:p>
    <w:p w14:paraId="326BDE9D" w14:textId="14FC566F" w:rsidR="009232BD" w:rsidRDefault="000926BB">
      <w:r>
        <w:t xml:space="preserve">The IAR is an initiative of the Australian </w:t>
      </w:r>
      <w:r w:rsidR="00D86EC1">
        <w:t xml:space="preserve">Government </w:t>
      </w:r>
      <w:r>
        <w:t>Department of Health</w:t>
      </w:r>
      <w:r w:rsidR="00A40963">
        <w:t xml:space="preserve"> and</w:t>
      </w:r>
      <w:r>
        <w:t xml:space="preserve"> brings together information from various sources, including Australian and international evidence and advice from leading experts. </w:t>
      </w:r>
    </w:p>
    <w:p w14:paraId="60C2EBBC" w14:textId="57380B7B" w:rsidR="000926BB" w:rsidRDefault="000926BB" w:rsidP="00AD6162">
      <w:r>
        <w:t>The IAR is designed to assist the various parties involved in the assessment and referral process, including</w:t>
      </w:r>
      <w:r w:rsidR="002B3412">
        <w:t xml:space="preserve"> </w:t>
      </w:r>
      <w:r>
        <w:t>General Practitioners (GP)</w:t>
      </w:r>
      <w:r w:rsidR="002B3412">
        <w:t xml:space="preserve">, </w:t>
      </w:r>
      <w:r>
        <w:t>other clinicians and</w:t>
      </w:r>
      <w:r w:rsidR="002B3412">
        <w:t xml:space="preserve"> s</w:t>
      </w:r>
      <w:r>
        <w:t>ervice providers and intake teams responsible for undertaking initial assessments, which may involve making recommendations on the level of care required.</w:t>
      </w:r>
    </w:p>
    <w:p w14:paraId="69260FD4" w14:textId="77777777" w:rsidR="00C96368" w:rsidRPr="00F347BB" w:rsidRDefault="00C96368" w:rsidP="00C96368">
      <w:pPr>
        <w:pStyle w:val="Heading2"/>
      </w:pPr>
      <w:r w:rsidRPr="00F347BB">
        <w:t>PROJECT OBJECTIVES</w:t>
      </w:r>
    </w:p>
    <w:p w14:paraId="743A1D8A" w14:textId="2E3D1DEE" w:rsidR="00C96368" w:rsidRDefault="00C96368" w:rsidP="00C96368">
      <w:r>
        <w:t>The objectives of the IAR Guidance and Decision Support Tool are</w:t>
      </w:r>
      <w:r w:rsidR="00BB5128">
        <w:t xml:space="preserve"> that</w:t>
      </w:r>
      <w:r>
        <w:t>:</w:t>
      </w:r>
    </w:p>
    <w:p w14:paraId="3C6FFCDD" w14:textId="77777777" w:rsidR="00C31065" w:rsidRPr="00066E3E" w:rsidRDefault="00C31065" w:rsidP="00C31065">
      <w:pPr>
        <w:pStyle w:val="ListParagraph"/>
        <w:numPr>
          <w:ilvl w:val="0"/>
          <w:numId w:val="7"/>
        </w:numPr>
      </w:pPr>
      <w:r w:rsidRPr="00066E3E">
        <w:t xml:space="preserve">A person seeking mental health assistance has their experiences understood in the context of holistic assessment domains (the </w:t>
      </w:r>
      <w:r w:rsidRPr="00066E3E">
        <w:rPr>
          <w:b/>
          <w:bCs/>
        </w:rPr>
        <w:t>eight domains</w:t>
      </w:r>
      <w:r w:rsidRPr="00066E3E">
        <w:t>).</w:t>
      </w:r>
    </w:p>
    <w:p w14:paraId="2F447FEE" w14:textId="7160BCEB" w:rsidR="00C31065" w:rsidRPr="00066E3E" w:rsidRDefault="00C31065" w:rsidP="00C31065">
      <w:pPr>
        <w:pStyle w:val="ListParagraph"/>
        <w:numPr>
          <w:ilvl w:val="0"/>
          <w:numId w:val="7"/>
        </w:numPr>
      </w:pPr>
      <w:r w:rsidRPr="00066E3E">
        <w:t>A person</w:t>
      </w:r>
      <w:r w:rsidR="002C7B77">
        <w:t>'</w:t>
      </w:r>
      <w:r w:rsidRPr="00066E3E">
        <w:t xml:space="preserve">s treatment </w:t>
      </w:r>
      <w:proofErr w:type="gramStart"/>
      <w:r w:rsidRPr="00066E3E">
        <w:t>needs</w:t>
      </w:r>
      <w:proofErr w:type="gramEnd"/>
      <w:r w:rsidRPr="00066E3E">
        <w:t xml:space="preserve"> and recovery goals are understood and matched to a suitable service type and intensity based on the least intensive and least intrusive evidence-based intervention that will likely lead to the most significant possible gain (the </w:t>
      </w:r>
      <w:r w:rsidRPr="00066E3E">
        <w:rPr>
          <w:b/>
          <w:bCs/>
        </w:rPr>
        <w:t>five levels of care</w:t>
      </w:r>
      <w:r w:rsidRPr="00066E3E">
        <w:t xml:space="preserve">). </w:t>
      </w:r>
    </w:p>
    <w:p w14:paraId="71EC9889" w14:textId="017BEEF3" w:rsidR="00C31065" w:rsidRPr="00066E3E" w:rsidRDefault="00BB5128" w:rsidP="00C31065">
      <w:pPr>
        <w:pStyle w:val="ListParagraph"/>
        <w:numPr>
          <w:ilvl w:val="0"/>
          <w:numId w:val="7"/>
        </w:numPr>
      </w:pPr>
      <w:r>
        <w:t>A</w:t>
      </w:r>
      <w:r w:rsidR="00C31065" w:rsidRPr="00066E3E">
        <w:t xml:space="preserve"> nationally consistent decision support tool</w:t>
      </w:r>
      <w:r>
        <w:t xml:space="preserve"> is used</w:t>
      </w:r>
      <w:r w:rsidR="00C31065" w:rsidRPr="00066E3E">
        <w:t xml:space="preserve"> to guide clinical judgement and consumer choice.</w:t>
      </w:r>
    </w:p>
    <w:p w14:paraId="1CA4C020" w14:textId="1E64C89B" w:rsidR="00C31065" w:rsidRPr="00066E3E" w:rsidRDefault="00C31065" w:rsidP="00C31065">
      <w:pPr>
        <w:pStyle w:val="ListParagraph"/>
        <w:numPr>
          <w:ilvl w:val="0"/>
          <w:numId w:val="7"/>
        </w:numPr>
      </w:pPr>
      <w:r w:rsidRPr="00066E3E">
        <w:t xml:space="preserve">A sector-wide framework </w:t>
      </w:r>
      <w:r w:rsidR="00BB5128">
        <w:t xml:space="preserve">is used </w:t>
      </w:r>
      <w:r w:rsidRPr="00066E3E">
        <w:t>for estimating and responding to service needs, reducing the frustration of referrals not being accepted.</w:t>
      </w:r>
    </w:p>
    <w:p w14:paraId="776B44F1" w14:textId="77777777" w:rsidR="00C31065" w:rsidRPr="00066E3E" w:rsidRDefault="00C31065" w:rsidP="00C31065">
      <w:pPr>
        <w:pStyle w:val="ListParagraph"/>
        <w:numPr>
          <w:ilvl w:val="0"/>
          <w:numId w:val="7"/>
        </w:numPr>
      </w:pPr>
      <w:r w:rsidRPr="00066E3E">
        <w:t xml:space="preserve">Initial assessment and referral information is communicated in a consistent and standardised way across the sector. </w:t>
      </w:r>
    </w:p>
    <w:p w14:paraId="6940D007" w14:textId="0A8A8B84" w:rsidR="00C31065" w:rsidRPr="00905EB2" w:rsidRDefault="00BB5128" w:rsidP="00C31065">
      <w:pPr>
        <w:pStyle w:val="ListParagraph"/>
        <w:numPr>
          <w:ilvl w:val="0"/>
          <w:numId w:val="7"/>
        </w:numPr>
      </w:pPr>
      <w:r>
        <w:t xml:space="preserve">It </w:t>
      </w:r>
      <w:r w:rsidR="00C31065">
        <w:t>guide</w:t>
      </w:r>
      <w:r>
        <w:t>s</w:t>
      </w:r>
      <w:r w:rsidR="00C31065" w:rsidRPr="00905EB2">
        <w:t xml:space="preserve"> what information should be explored and considered when looking to match a person with a care type and intensity most likely to meet their treatment needs.</w:t>
      </w:r>
    </w:p>
    <w:p w14:paraId="76798DC2" w14:textId="0016F304" w:rsidR="00C31065" w:rsidRDefault="00BB5128" w:rsidP="00C31065">
      <w:pPr>
        <w:pStyle w:val="ListParagraph"/>
        <w:numPr>
          <w:ilvl w:val="0"/>
          <w:numId w:val="7"/>
        </w:numPr>
      </w:pPr>
      <w:r>
        <w:t>It</w:t>
      </w:r>
      <w:r w:rsidR="00C31065">
        <w:t xml:space="preserve"> minimise</w:t>
      </w:r>
      <w:r>
        <w:t>s</w:t>
      </w:r>
      <w:r w:rsidR="00C31065">
        <w:t xml:space="preserve"> </w:t>
      </w:r>
      <w:r w:rsidR="00C31065" w:rsidRPr="00905EB2">
        <w:t xml:space="preserve">the risks that arise through under-servicing (poor outcomes) and over-servicing (unnecessary burden of care for the individual). </w:t>
      </w:r>
    </w:p>
    <w:p w14:paraId="304036ED" w14:textId="3952AC37" w:rsidR="00C31065" w:rsidRDefault="00BB5128" w:rsidP="00C31065">
      <w:pPr>
        <w:pStyle w:val="ListParagraph"/>
        <w:numPr>
          <w:ilvl w:val="0"/>
          <w:numId w:val="7"/>
        </w:numPr>
      </w:pPr>
      <w:r>
        <w:t>It br</w:t>
      </w:r>
      <w:r w:rsidR="00C31065" w:rsidRPr="00905EB2">
        <w:t>ing</w:t>
      </w:r>
      <w:r>
        <w:t>s</w:t>
      </w:r>
      <w:r w:rsidR="00C31065" w:rsidRPr="00905EB2">
        <w:t xml:space="preserve"> together the </w:t>
      </w:r>
      <w:r w:rsidR="00C31065">
        <w:t>assessment results</w:t>
      </w:r>
      <w:r w:rsidR="00C31065" w:rsidRPr="00905EB2">
        <w:t xml:space="preserve"> rather than replace</w:t>
      </w:r>
      <w:r>
        <w:t>s</w:t>
      </w:r>
      <w:r w:rsidR="00C31065" w:rsidRPr="00905EB2">
        <w:t xml:space="preserve"> (or require</w:t>
      </w:r>
      <w:r>
        <w:t>s</w:t>
      </w:r>
      <w:r w:rsidR="00C31065" w:rsidRPr="00905EB2">
        <w:t xml:space="preserve"> additional) existing clinical assessment scales and processes</w:t>
      </w:r>
      <w:r w:rsidR="00C31065">
        <w:t>.</w:t>
      </w:r>
    </w:p>
    <w:p w14:paraId="3EB5319B" w14:textId="77777777" w:rsidR="00C96368" w:rsidRDefault="00C96368" w:rsidP="00C96368">
      <w:pPr>
        <w:pStyle w:val="Heading2"/>
        <w:spacing w:before="120" w:after="120"/>
      </w:pPr>
      <w:r>
        <w:lastRenderedPageBreak/>
        <w:t>POLICY CONTEXT</w:t>
      </w:r>
    </w:p>
    <w:p w14:paraId="27275FF3" w14:textId="4AD7B5C1" w:rsidR="00AD6162" w:rsidRDefault="006C3D33" w:rsidP="00AD6162">
      <w:pPr>
        <w:shd w:val="clear" w:color="auto" w:fill="FFFFFF"/>
        <w:rPr>
          <w:rFonts w:eastAsia="Times New Roman" w:cs="Arial"/>
          <w:color w:val="000000"/>
          <w:szCs w:val="20"/>
          <w:lang w:eastAsia="en-AU"/>
        </w:rPr>
      </w:pPr>
      <w:r>
        <w:t>The Department of Health (the Department) is expanding and implementing the Initial Assessment and Referral (IAR) tool into primary care settings to support General Practitioners and other specialists, allied health professionals and referrers to recommend a level of care for a person seeking mental health support based on the least intrusive evidence-based intervention that will lead to the most significant gain.</w:t>
      </w:r>
    </w:p>
    <w:p w14:paraId="39E24BCD" w14:textId="6AF01923" w:rsidR="009232BD" w:rsidRPr="00AD6162" w:rsidRDefault="009232BD" w:rsidP="00AD6162">
      <w:pPr>
        <w:shd w:val="clear" w:color="auto" w:fill="FFFFFF"/>
        <w:rPr>
          <w:rFonts w:eastAsia="Times New Roman" w:cs="Arial"/>
          <w:color w:val="000000"/>
          <w:szCs w:val="20"/>
          <w:lang w:eastAsia="en-AU"/>
        </w:rPr>
      </w:pPr>
      <w:r w:rsidRPr="00AD6162">
        <w:rPr>
          <w:rFonts w:eastAsia="Times New Roman" w:cs="Arial"/>
          <w:color w:val="000000"/>
          <w:szCs w:val="20"/>
          <w:lang w:eastAsia="en-AU"/>
        </w:rPr>
        <w:t xml:space="preserve">With the advice of clinical experts, the Department </w:t>
      </w:r>
      <w:r>
        <w:rPr>
          <w:rFonts w:eastAsia="Times New Roman" w:cs="Arial"/>
          <w:color w:val="000000"/>
          <w:szCs w:val="20"/>
          <w:lang w:eastAsia="en-AU"/>
        </w:rPr>
        <w:t xml:space="preserve">will expand the IAR to make it suitable for priority cohorts, starting with </w:t>
      </w:r>
      <w:r w:rsidRPr="00AD6162">
        <w:rPr>
          <w:rFonts w:eastAsia="Times New Roman" w:cs="Arial"/>
          <w:color w:val="000000"/>
          <w:szCs w:val="20"/>
          <w:lang w:eastAsia="en-AU"/>
        </w:rPr>
        <w:t>a lifespan approach to version development. This decision was based on advice relating to the different mental health experiences, developmental, social, decision-making abilities and treatment needs of children (</w:t>
      </w:r>
      <w:r w:rsidR="00AD6162">
        <w:rPr>
          <w:rFonts w:eastAsia="Times New Roman" w:cs="Arial"/>
          <w:color w:val="000000"/>
          <w:szCs w:val="20"/>
          <w:lang w:eastAsia="en-AU"/>
        </w:rPr>
        <w:t xml:space="preserve">aged </w:t>
      </w:r>
      <w:r w:rsidRPr="00AD6162">
        <w:rPr>
          <w:rFonts w:eastAsia="Times New Roman" w:cs="Arial"/>
          <w:color w:val="000000"/>
          <w:szCs w:val="20"/>
          <w:lang w:eastAsia="en-AU"/>
        </w:rPr>
        <w:t>5-11), adolescents (</w:t>
      </w:r>
      <w:r w:rsidR="00AD6162">
        <w:rPr>
          <w:rFonts w:eastAsia="Times New Roman" w:cs="Arial"/>
          <w:color w:val="000000"/>
          <w:szCs w:val="20"/>
          <w:lang w:eastAsia="en-AU"/>
        </w:rPr>
        <w:t xml:space="preserve">aged </w:t>
      </w:r>
      <w:r w:rsidRPr="00AD6162">
        <w:rPr>
          <w:rFonts w:eastAsia="Times New Roman" w:cs="Arial"/>
          <w:color w:val="000000"/>
          <w:szCs w:val="20"/>
          <w:lang w:eastAsia="en-AU"/>
        </w:rPr>
        <w:t>12-17), adults (</w:t>
      </w:r>
      <w:r w:rsidR="00AD6162">
        <w:rPr>
          <w:rFonts w:eastAsia="Times New Roman" w:cs="Arial"/>
          <w:color w:val="000000"/>
          <w:szCs w:val="20"/>
          <w:lang w:eastAsia="en-AU"/>
        </w:rPr>
        <w:t xml:space="preserve">aged </w:t>
      </w:r>
      <w:r w:rsidRPr="00AD6162">
        <w:rPr>
          <w:rFonts w:eastAsia="Times New Roman" w:cs="Arial"/>
          <w:color w:val="000000"/>
          <w:szCs w:val="20"/>
          <w:lang w:eastAsia="en-AU"/>
        </w:rPr>
        <w:t xml:space="preserve">18-65) and older adults (65+). </w:t>
      </w:r>
    </w:p>
    <w:p w14:paraId="334F094A" w14:textId="405E3FD6" w:rsidR="00C96368" w:rsidRDefault="00C96368" w:rsidP="00C96368">
      <w:pPr>
        <w:pStyle w:val="Heading2"/>
        <w:spacing w:before="120" w:after="120"/>
      </w:pPr>
      <w:r>
        <w:t xml:space="preserve">ADAPTATIONS FOR </w:t>
      </w:r>
      <w:r w:rsidR="00801804">
        <w:t>OLDER ADULTS</w:t>
      </w:r>
    </w:p>
    <w:p w14:paraId="7A242469" w14:textId="45CBD8E8" w:rsidR="00C96368" w:rsidRDefault="00C96368" w:rsidP="00C96368">
      <w:r>
        <w:t xml:space="preserve">The current </w:t>
      </w:r>
      <w:hyperlink r:id="rId10" w:history="1">
        <w:r w:rsidRPr="00FC756A">
          <w:rPr>
            <w:rStyle w:val="Hyperlink"/>
          </w:rPr>
          <w:t>IAR Guidance</w:t>
        </w:r>
      </w:hyperlink>
      <w:r>
        <w:t xml:space="preserve"> and </w:t>
      </w:r>
      <w:hyperlink r:id="rId11" w:anchor="/" w:history="1">
        <w:r w:rsidRPr="00363E80">
          <w:rPr>
            <w:rStyle w:val="Hyperlink"/>
          </w:rPr>
          <w:t>Decision Support Tool</w:t>
        </w:r>
      </w:hyperlink>
      <w:r>
        <w:t xml:space="preserve"> </w:t>
      </w:r>
      <w:r w:rsidR="002C7B77">
        <w:t>focuses</w:t>
      </w:r>
      <w:r>
        <w:t xml:space="preserve"> on adults aged 18-65</w:t>
      </w:r>
      <w:r w:rsidR="005A1AD4">
        <w:t xml:space="preserve"> years</w:t>
      </w:r>
      <w:r>
        <w:t>. In 2020</w:t>
      </w:r>
      <w:r w:rsidR="00511B1A">
        <w:t>-</w:t>
      </w:r>
      <w:r>
        <w:t xml:space="preserve">21, the Department </w:t>
      </w:r>
      <w:r w:rsidR="00AD6162">
        <w:t xml:space="preserve">commenced </w:t>
      </w:r>
      <w:r w:rsidR="005A1AD4">
        <w:t xml:space="preserve">development of adapted </w:t>
      </w:r>
      <w:r>
        <w:t xml:space="preserve">guidance and a </w:t>
      </w:r>
      <w:r w:rsidR="00AD6162">
        <w:t xml:space="preserve">DST </w:t>
      </w:r>
      <w:r>
        <w:t xml:space="preserve">for children (aged 5-11) and </w:t>
      </w:r>
      <w:r w:rsidR="005A1AD4">
        <w:t xml:space="preserve">separately for </w:t>
      </w:r>
      <w:r>
        <w:t>adolescents (aged 12-17).</w:t>
      </w:r>
    </w:p>
    <w:p w14:paraId="2869C376" w14:textId="4D2CF2F4" w:rsidR="00C96368" w:rsidRDefault="00C96368" w:rsidP="00C96368">
      <w:r>
        <w:t>Throughout 2021</w:t>
      </w:r>
      <w:r w:rsidR="00511B1A">
        <w:t>-</w:t>
      </w:r>
      <w:r w:rsidR="00F16AE4">
        <w:t>22</w:t>
      </w:r>
      <w:r>
        <w:t>, the Department facilitated</w:t>
      </w:r>
      <w:r w:rsidR="002B3412">
        <w:t>,</w:t>
      </w:r>
      <w:r>
        <w:t xml:space="preserve"> th</w:t>
      </w:r>
      <w:r w:rsidR="00484955">
        <w:t xml:space="preserve">rough an </w:t>
      </w:r>
      <w:r>
        <w:t>Expert Advisory Group</w:t>
      </w:r>
      <w:r w:rsidR="00F16AE4">
        <w:t xml:space="preserve"> and a Working Group</w:t>
      </w:r>
      <w:r w:rsidR="002B3412">
        <w:t>,</w:t>
      </w:r>
      <w:r w:rsidR="00484955">
        <w:t xml:space="preserve"> an adaptation</w:t>
      </w:r>
      <w:r w:rsidR="00F16AE4">
        <w:t xml:space="preserve"> for </w:t>
      </w:r>
      <w:r w:rsidR="005A1AD4">
        <w:t>o</w:t>
      </w:r>
      <w:r w:rsidR="00F16AE4">
        <w:t xml:space="preserve">lder </w:t>
      </w:r>
      <w:r w:rsidR="005A1AD4">
        <w:t>a</w:t>
      </w:r>
      <w:r w:rsidR="00F16AE4">
        <w:t xml:space="preserve">dults. </w:t>
      </w:r>
    </w:p>
    <w:p w14:paraId="3E49D55B" w14:textId="72E60207" w:rsidR="00F16AE4" w:rsidRPr="004F6FBA" w:rsidRDefault="00F16AE4" w:rsidP="00F16AE4">
      <w:pPr>
        <w:rPr>
          <w:rFonts w:cs="Arial"/>
          <w:szCs w:val="20"/>
        </w:rPr>
      </w:pPr>
      <w:r w:rsidRPr="004F6FBA">
        <w:rPr>
          <w:rFonts w:cs="Arial"/>
          <w:szCs w:val="20"/>
        </w:rPr>
        <w:t xml:space="preserve">The process </w:t>
      </w:r>
      <w:r w:rsidR="002C7B77">
        <w:rPr>
          <w:rFonts w:cs="Arial"/>
          <w:szCs w:val="20"/>
        </w:rPr>
        <w:t>of developing</w:t>
      </w:r>
      <w:r w:rsidRPr="004F6FBA">
        <w:rPr>
          <w:rFonts w:cs="Arial"/>
          <w:szCs w:val="20"/>
        </w:rPr>
        <w:t xml:space="preserve"> the older adult version of the National IAR Guidance has incorporated the following steps:</w:t>
      </w:r>
    </w:p>
    <w:p w14:paraId="318ACB04" w14:textId="128265BF" w:rsidR="00F16AE4" w:rsidRPr="004F6FBA" w:rsidRDefault="005A1AD4" w:rsidP="00F16AE4">
      <w:pPr>
        <w:numPr>
          <w:ilvl w:val="0"/>
          <w:numId w:val="8"/>
        </w:numPr>
        <w:rPr>
          <w:rFonts w:cs="Arial"/>
          <w:szCs w:val="20"/>
        </w:rPr>
      </w:pPr>
      <w:r>
        <w:rPr>
          <w:rFonts w:cs="Arial"/>
          <w:szCs w:val="20"/>
          <w:lang w:val="en-US"/>
        </w:rPr>
        <w:t xml:space="preserve">A </w:t>
      </w:r>
      <w:r w:rsidR="00F16AE4" w:rsidRPr="004F6FBA">
        <w:rPr>
          <w:rFonts w:cs="Arial"/>
          <w:szCs w:val="20"/>
          <w:lang w:val="en-US"/>
        </w:rPr>
        <w:t xml:space="preserve">Working Group </w:t>
      </w:r>
      <w:r w:rsidR="00F16AE4">
        <w:rPr>
          <w:rFonts w:cs="Arial"/>
          <w:szCs w:val="20"/>
          <w:lang w:val="en-US"/>
        </w:rPr>
        <w:t xml:space="preserve">was convened and </w:t>
      </w:r>
      <w:r w:rsidR="00F16AE4" w:rsidRPr="004F6FBA">
        <w:rPr>
          <w:rFonts w:cs="Arial"/>
          <w:szCs w:val="20"/>
          <w:lang w:val="en-US"/>
        </w:rPr>
        <w:t xml:space="preserve">comprised </w:t>
      </w:r>
      <w:r w:rsidR="00484955">
        <w:rPr>
          <w:rFonts w:cs="Arial"/>
          <w:szCs w:val="20"/>
          <w:lang w:val="en-US"/>
        </w:rPr>
        <w:t xml:space="preserve">of members with considerable </w:t>
      </w:r>
      <w:r w:rsidR="00F16AE4" w:rsidRPr="004F6FBA">
        <w:rPr>
          <w:rFonts w:cs="Arial"/>
          <w:szCs w:val="20"/>
          <w:lang w:val="en-US"/>
        </w:rPr>
        <w:t xml:space="preserve">clinical </w:t>
      </w:r>
      <w:r w:rsidR="00484955">
        <w:rPr>
          <w:rFonts w:cs="Arial"/>
          <w:szCs w:val="20"/>
          <w:lang w:val="en-US"/>
        </w:rPr>
        <w:t xml:space="preserve">and lived </w:t>
      </w:r>
      <w:r w:rsidR="00F16AE4" w:rsidRPr="004F6FBA">
        <w:rPr>
          <w:rFonts w:cs="Arial"/>
          <w:szCs w:val="20"/>
          <w:lang w:val="en-US"/>
        </w:rPr>
        <w:t>expertise in mental health for older adults.</w:t>
      </w:r>
    </w:p>
    <w:p w14:paraId="349B32D1" w14:textId="3484E11D" w:rsidR="00F16AE4" w:rsidRPr="004F6FBA" w:rsidRDefault="00F16AE4" w:rsidP="00F16AE4">
      <w:pPr>
        <w:numPr>
          <w:ilvl w:val="0"/>
          <w:numId w:val="8"/>
        </w:numPr>
        <w:rPr>
          <w:rFonts w:cs="Arial"/>
          <w:szCs w:val="20"/>
        </w:rPr>
      </w:pPr>
      <w:r w:rsidRPr="004F6FBA">
        <w:rPr>
          <w:rFonts w:cs="Arial"/>
          <w:szCs w:val="20"/>
          <w:lang w:val="en-US"/>
        </w:rPr>
        <w:t xml:space="preserve">A Version Development Framework for older adults was developed for the </w:t>
      </w:r>
      <w:r w:rsidR="005A1AD4">
        <w:rPr>
          <w:rFonts w:cs="Arial"/>
          <w:szCs w:val="20"/>
          <w:lang w:val="en-US"/>
        </w:rPr>
        <w:t>W</w:t>
      </w:r>
      <w:r w:rsidRPr="004F6FBA">
        <w:rPr>
          <w:rFonts w:cs="Arial"/>
          <w:szCs w:val="20"/>
          <w:lang w:val="en-US"/>
        </w:rPr>
        <w:t xml:space="preserve">orking </w:t>
      </w:r>
      <w:r w:rsidR="005A1AD4">
        <w:rPr>
          <w:rFonts w:cs="Arial"/>
          <w:szCs w:val="20"/>
          <w:lang w:val="en-US"/>
        </w:rPr>
        <w:t>G</w:t>
      </w:r>
      <w:r w:rsidRPr="004F6FBA">
        <w:rPr>
          <w:rFonts w:cs="Arial"/>
          <w:szCs w:val="20"/>
          <w:lang w:val="en-US"/>
        </w:rPr>
        <w:t xml:space="preserve">roup, incorporating evidence and critical considerations to guide </w:t>
      </w:r>
      <w:r w:rsidR="002B3412">
        <w:rPr>
          <w:rFonts w:cs="Arial"/>
          <w:szCs w:val="20"/>
          <w:lang w:val="en-US"/>
        </w:rPr>
        <w:t>W</w:t>
      </w:r>
      <w:r w:rsidRPr="004F6FBA">
        <w:rPr>
          <w:rFonts w:cs="Arial"/>
          <w:szCs w:val="20"/>
          <w:lang w:val="en-US"/>
        </w:rPr>
        <w:t xml:space="preserve">orking </w:t>
      </w:r>
      <w:r w:rsidR="002B3412">
        <w:rPr>
          <w:rFonts w:cs="Arial"/>
          <w:szCs w:val="20"/>
          <w:lang w:val="en-US"/>
        </w:rPr>
        <w:t>G</w:t>
      </w:r>
      <w:r w:rsidRPr="004F6FBA">
        <w:rPr>
          <w:rFonts w:cs="Arial"/>
          <w:szCs w:val="20"/>
          <w:lang w:val="en-US"/>
        </w:rPr>
        <w:t xml:space="preserve">roup meeting discussions. </w:t>
      </w:r>
    </w:p>
    <w:p w14:paraId="40F95803" w14:textId="2F1ED6C1" w:rsidR="00F16AE4" w:rsidRPr="004F6FBA" w:rsidRDefault="00F16AE4" w:rsidP="00F16AE4">
      <w:pPr>
        <w:numPr>
          <w:ilvl w:val="0"/>
          <w:numId w:val="8"/>
        </w:numPr>
        <w:rPr>
          <w:rFonts w:cs="Arial"/>
          <w:szCs w:val="20"/>
        </w:rPr>
      </w:pPr>
      <w:r w:rsidRPr="004F6FBA">
        <w:rPr>
          <w:rFonts w:cs="Arial"/>
          <w:szCs w:val="20"/>
          <w:lang w:val="en-US"/>
        </w:rPr>
        <w:t xml:space="preserve">Four </w:t>
      </w:r>
      <w:r w:rsidR="002B3412">
        <w:rPr>
          <w:rFonts w:cs="Arial"/>
          <w:szCs w:val="20"/>
          <w:lang w:val="en-US"/>
        </w:rPr>
        <w:t>W</w:t>
      </w:r>
      <w:r w:rsidRPr="004F6FBA">
        <w:rPr>
          <w:rFonts w:cs="Arial"/>
          <w:szCs w:val="20"/>
          <w:lang w:val="en-US"/>
        </w:rPr>
        <w:t xml:space="preserve">orking </w:t>
      </w:r>
      <w:r w:rsidR="002B3412">
        <w:rPr>
          <w:rFonts w:cs="Arial"/>
          <w:szCs w:val="20"/>
          <w:lang w:val="en-US"/>
        </w:rPr>
        <w:t>G</w:t>
      </w:r>
      <w:r w:rsidRPr="004F6FBA">
        <w:rPr>
          <w:rFonts w:cs="Arial"/>
          <w:szCs w:val="20"/>
          <w:lang w:val="en-US"/>
        </w:rPr>
        <w:t xml:space="preserve">roup meetings were facilitated alongside significant out-of-session input from members. </w:t>
      </w:r>
    </w:p>
    <w:p w14:paraId="28F2E6B5" w14:textId="4D216528" w:rsidR="00F16AE4" w:rsidRPr="00F16AE4" w:rsidRDefault="005B637B" w:rsidP="00C96368">
      <w:pPr>
        <w:numPr>
          <w:ilvl w:val="0"/>
          <w:numId w:val="8"/>
        </w:numPr>
        <w:rPr>
          <w:rFonts w:cs="Arial"/>
          <w:szCs w:val="20"/>
        </w:rPr>
      </w:pPr>
      <w:r>
        <w:rPr>
          <w:rFonts w:cs="Arial"/>
          <w:szCs w:val="20"/>
          <w:lang w:val="en-US"/>
        </w:rPr>
        <w:t>The Expert Advisory Group</w:t>
      </w:r>
      <w:r w:rsidR="002B3412">
        <w:rPr>
          <w:rFonts w:cs="Arial"/>
          <w:szCs w:val="20"/>
          <w:lang w:val="en-US"/>
        </w:rPr>
        <w:t>,</w:t>
      </w:r>
      <w:r w:rsidR="003B1D0D">
        <w:rPr>
          <w:rFonts w:cs="Arial"/>
          <w:szCs w:val="20"/>
          <w:lang w:val="en-US"/>
        </w:rPr>
        <w:t xml:space="preserve"> which is comprised of GPs, psychologists, nurses, social workers and lived experience representatives</w:t>
      </w:r>
      <w:r w:rsidR="002B3412">
        <w:rPr>
          <w:rFonts w:cs="Arial"/>
          <w:szCs w:val="20"/>
          <w:lang w:val="en-US"/>
        </w:rPr>
        <w:t>,</w:t>
      </w:r>
      <w:r>
        <w:rPr>
          <w:rFonts w:cs="Arial"/>
          <w:szCs w:val="20"/>
          <w:lang w:val="en-US"/>
        </w:rPr>
        <w:t xml:space="preserve"> met to review </w:t>
      </w:r>
      <w:r w:rsidR="002B3412">
        <w:rPr>
          <w:rFonts w:cs="Arial"/>
          <w:szCs w:val="20"/>
          <w:lang w:val="en-US"/>
        </w:rPr>
        <w:t xml:space="preserve">the </w:t>
      </w:r>
      <w:proofErr w:type="gramStart"/>
      <w:r>
        <w:rPr>
          <w:rFonts w:cs="Arial"/>
          <w:szCs w:val="20"/>
          <w:lang w:val="en-US"/>
        </w:rPr>
        <w:t>draft</w:t>
      </w:r>
      <w:proofErr w:type="gramEnd"/>
      <w:r>
        <w:rPr>
          <w:rFonts w:cs="Arial"/>
          <w:szCs w:val="20"/>
          <w:lang w:val="en-US"/>
        </w:rPr>
        <w:t xml:space="preserve"> and recommend the version for broader consultation following the development phase</w:t>
      </w:r>
      <w:r w:rsidR="00F16AE4" w:rsidRPr="004F6FBA">
        <w:rPr>
          <w:rFonts w:cs="Arial"/>
          <w:szCs w:val="20"/>
          <w:lang w:val="en-US"/>
        </w:rPr>
        <w:t xml:space="preserve">. </w:t>
      </w:r>
    </w:p>
    <w:p w14:paraId="7C7C513E" w14:textId="77777777" w:rsidR="00C96368" w:rsidRDefault="00C96368" w:rsidP="00C96368">
      <w:pPr>
        <w:pStyle w:val="Heading2"/>
        <w:spacing w:before="120" w:after="120"/>
      </w:pPr>
      <w:r>
        <w:t>CONSULTATION OBJECTIVES</w:t>
      </w:r>
    </w:p>
    <w:p w14:paraId="4845AD63" w14:textId="42E1AD3E" w:rsidR="00C96368" w:rsidRDefault="00C96368" w:rsidP="00C96368">
      <w:r>
        <w:t xml:space="preserve">The Guidance and </w:t>
      </w:r>
      <w:r w:rsidR="009B1A15">
        <w:t xml:space="preserve">a paper version of the </w:t>
      </w:r>
      <w:r>
        <w:t xml:space="preserve">Decision Support Tool for </w:t>
      </w:r>
      <w:r w:rsidR="00265DC8">
        <w:t>older adults has</w:t>
      </w:r>
      <w:r>
        <w:t xml:space="preserve"> been drafted and </w:t>
      </w:r>
      <w:r w:rsidR="005B637B">
        <w:t>is</w:t>
      </w:r>
      <w:r>
        <w:t xml:space="preserve"> being released for consultation only. A consultation report will be prepared for the Department of Health and the IAR Expert Advisory Group</w:t>
      </w:r>
      <w:r w:rsidR="00265DC8">
        <w:t xml:space="preserve">. </w:t>
      </w:r>
    </w:p>
    <w:p w14:paraId="34197E2A" w14:textId="554E4B4C" w:rsidR="00C96368" w:rsidRPr="00E41140" w:rsidRDefault="00C96368" w:rsidP="00C96368">
      <w:r w:rsidRPr="00E41140">
        <w:t xml:space="preserve">The consultation findings will inform </w:t>
      </w:r>
      <w:r w:rsidR="00265DC8">
        <w:t>the</w:t>
      </w:r>
      <w:r w:rsidRPr="00E41140">
        <w:t xml:space="preserve"> finalisation of the IAR Guidance and Decision Support Tool for </w:t>
      </w:r>
      <w:r w:rsidR="00265DC8">
        <w:t>older adults</w:t>
      </w:r>
      <w:r w:rsidRPr="00E41140">
        <w:t xml:space="preserve">, which is scheduled for </w:t>
      </w:r>
      <w:r w:rsidR="002B3412">
        <w:t xml:space="preserve">finalisation and trial </w:t>
      </w:r>
      <w:r>
        <w:t>from</w:t>
      </w:r>
      <w:r w:rsidRPr="00E41140">
        <w:t xml:space="preserve"> </w:t>
      </w:r>
      <w:r w:rsidR="002B3412">
        <w:t>early 2022-23.</w:t>
      </w:r>
      <w:r w:rsidRPr="00E41140">
        <w:t xml:space="preserve"> </w:t>
      </w:r>
    </w:p>
    <w:p w14:paraId="5109EADF" w14:textId="77777777" w:rsidR="00C96368" w:rsidRPr="00237814" w:rsidRDefault="00C96368" w:rsidP="00C96368">
      <w:pPr>
        <w:pStyle w:val="Heading2"/>
        <w:spacing w:before="120" w:after="120"/>
      </w:pPr>
      <w:r>
        <w:t>CONSULTATION TIMEFRAME</w:t>
      </w:r>
    </w:p>
    <w:p w14:paraId="04845025" w14:textId="313D97C4" w:rsidR="00C96368" w:rsidRPr="00237814" w:rsidRDefault="00C96368" w:rsidP="00C96368">
      <w:r>
        <w:t>The consultation will be open from</w:t>
      </w:r>
      <w:r w:rsidR="004D12E1">
        <w:t xml:space="preserve"> 20 May 2022 to 3 June 2022.</w:t>
      </w:r>
      <w:r>
        <w:t xml:space="preserve"> </w:t>
      </w:r>
    </w:p>
    <w:p w14:paraId="63035AD4" w14:textId="77777777" w:rsidR="00C96368" w:rsidRPr="005C6256" w:rsidRDefault="00C96368" w:rsidP="00C96368">
      <w:pPr>
        <w:pStyle w:val="Heading2"/>
        <w:spacing w:before="120" w:after="120"/>
      </w:pPr>
      <w:r w:rsidRPr="0011686A">
        <w:t>KEY STAKEHOLDERS</w:t>
      </w:r>
    </w:p>
    <w:p w14:paraId="076D1DE4" w14:textId="77777777" w:rsidR="00A0664C" w:rsidRDefault="00A0664C" w:rsidP="00A0664C">
      <w:pPr>
        <w:contextualSpacing/>
        <w:rPr>
          <w:rFonts w:cs="Arial"/>
          <w:szCs w:val="20"/>
        </w:rPr>
      </w:pPr>
      <w:r>
        <w:rPr>
          <w:rFonts w:cs="Arial"/>
          <w:szCs w:val="20"/>
        </w:rPr>
        <w:t xml:space="preserve">The Department of Health has identified the </w:t>
      </w:r>
      <w:r w:rsidRPr="005C6256">
        <w:rPr>
          <w:rFonts w:cs="Arial"/>
          <w:szCs w:val="20"/>
        </w:rPr>
        <w:t>following key stakeholders as critical to consultation and involvement in the project</w:t>
      </w:r>
      <w:r>
        <w:rPr>
          <w:rFonts w:cs="Arial"/>
          <w:szCs w:val="20"/>
        </w:rPr>
        <w:t xml:space="preserve">. </w:t>
      </w:r>
    </w:p>
    <w:p w14:paraId="002062BD" w14:textId="77777777" w:rsidR="00A0664C" w:rsidRPr="00342596" w:rsidRDefault="00A0664C" w:rsidP="00A0664C">
      <w:pPr>
        <w:pStyle w:val="ListParagraph"/>
        <w:numPr>
          <w:ilvl w:val="0"/>
          <w:numId w:val="10"/>
        </w:numPr>
        <w:rPr>
          <w:rFonts w:cs="Arial"/>
          <w:szCs w:val="20"/>
        </w:rPr>
      </w:pPr>
      <w:r>
        <w:rPr>
          <w:rFonts w:cs="Arial"/>
          <w:szCs w:val="20"/>
        </w:rPr>
        <w:t>Older adults</w:t>
      </w:r>
      <w:r w:rsidRPr="00342596">
        <w:rPr>
          <w:rFonts w:cs="Arial"/>
          <w:szCs w:val="20"/>
        </w:rPr>
        <w:t>, families, and carers with lived experience</w:t>
      </w:r>
      <w:r>
        <w:rPr>
          <w:rFonts w:cs="Arial"/>
          <w:szCs w:val="20"/>
        </w:rPr>
        <w:t>.</w:t>
      </w:r>
    </w:p>
    <w:p w14:paraId="757894E5" w14:textId="77777777" w:rsidR="00A0664C" w:rsidRDefault="00A0664C" w:rsidP="00A0664C">
      <w:pPr>
        <w:pStyle w:val="ListParagraph"/>
        <w:numPr>
          <w:ilvl w:val="0"/>
          <w:numId w:val="10"/>
        </w:numPr>
        <w:rPr>
          <w:rFonts w:cs="Arial"/>
          <w:szCs w:val="20"/>
        </w:rPr>
      </w:pPr>
      <w:r>
        <w:rPr>
          <w:rFonts w:cs="Arial"/>
          <w:szCs w:val="20"/>
        </w:rPr>
        <w:t>General Practitioners.</w:t>
      </w:r>
    </w:p>
    <w:p w14:paraId="2DF503CA" w14:textId="77777777" w:rsidR="00A0664C" w:rsidRPr="00D7552A" w:rsidRDefault="00A0664C" w:rsidP="00A0664C">
      <w:pPr>
        <w:pStyle w:val="ListParagraph"/>
        <w:numPr>
          <w:ilvl w:val="0"/>
          <w:numId w:val="10"/>
        </w:numPr>
        <w:rPr>
          <w:rFonts w:cs="Arial"/>
          <w:szCs w:val="20"/>
        </w:rPr>
      </w:pPr>
      <w:r>
        <w:rPr>
          <w:rFonts w:cs="Arial"/>
          <w:szCs w:val="20"/>
        </w:rPr>
        <w:t>Peer workers and lived experience practitioners.</w:t>
      </w:r>
    </w:p>
    <w:p w14:paraId="2B9F2225" w14:textId="77777777" w:rsidR="00A0664C" w:rsidRDefault="00A0664C" w:rsidP="00A0664C">
      <w:pPr>
        <w:pStyle w:val="ListParagraph"/>
        <w:numPr>
          <w:ilvl w:val="0"/>
          <w:numId w:val="10"/>
        </w:numPr>
        <w:rPr>
          <w:rFonts w:cs="Arial"/>
          <w:szCs w:val="20"/>
        </w:rPr>
      </w:pPr>
      <w:r>
        <w:rPr>
          <w:rFonts w:cs="Arial"/>
          <w:szCs w:val="20"/>
        </w:rPr>
        <w:t>Allied Mental Health Clinicians.</w:t>
      </w:r>
    </w:p>
    <w:p w14:paraId="12ED9D0B" w14:textId="77777777" w:rsidR="00A0664C" w:rsidRPr="0002770D" w:rsidRDefault="00A0664C" w:rsidP="00A0664C">
      <w:pPr>
        <w:pStyle w:val="ListParagraph"/>
        <w:numPr>
          <w:ilvl w:val="0"/>
          <w:numId w:val="10"/>
        </w:numPr>
        <w:rPr>
          <w:rFonts w:cs="Arial"/>
          <w:szCs w:val="20"/>
        </w:rPr>
      </w:pPr>
      <w:r>
        <w:rPr>
          <w:rFonts w:cs="Arial"/>
          <w:szCs w:val="20"/>
        </w:rPr>
        <w:t>Specialists (including p</w:t>
      </w:r>
      <w:r w:rsidRPr="00F6191D">
        <w:rPr>
          <w:rFonts w:cs="Arial"/>
          <w:szCs w:val="20"/>
        </w:rPr>
        <w:t>sychiatrists</w:t>
      </w:r>
      <w:r>
        <w:rPr>
          <w:rFonts w:cs="Arial"/>
          <w:szCs w:val="20"/>
        </w:rPr>
        <w:t xml:space="preserve"> and geriatricians).</w:t>
      </w:r>
    </w:p>
    <w:p w14:paraId="40AE59EE" w14:textId="481A21BA" w:rsidR="00A0664C" w:rsidRPr="00B04D71" w:rsidRDefault="002B3412" w:rsidP="00A0664C">
      <w:pPr>
        <w:contextualSpacing/>
        <w:rPr>
          <w:rFonts w:cs="Arial"/>
          <w:szCs w:val="20"/>
        </w:rPr>
      </w:pPr>
      <w:r>
        <w:rPr>
          <w:rFonts w:cs="Arial"/>
          <w:szCs w:val="20"/>
        </w:rPr>
        <w:t xml:space="preserve">This includes </w:t>
      </w:r>
      <w:r w:rsidR="00794EC9">
        <w:rPr>
          <w:rFonts w:cs="Arial"/>
          <w:szCs w:val="20"/>
        </w:rPr>
        <w:t>t</w:t>
      </w:r>
      <w:r w:rsidR="00A0664C">
        <w:rPr>
          <w:rFonts w:cs="Arial"/>
          <w:szCs w:val="20"/>
        </w:rPr>
        <w:t>he following organisations and services:</w:t>
      </w:r>
    </w:p>
    <w:p w14:paraId="7BBCDC5E" w14:textId="77777777" w:rsidR="00A0664C" w:rsidRDefault="00A0664C" w:rsidP="00A0664C">
      <w:pPr>
        <w:pStyle w:val="ListParagraph"/>
        <w:numPr>
          <w:ilvl w:val="0"/>
          <w:numId w:val="9"/>
        </w:numPr>
        <w:rPr>
          <w:rFonts w:cs="Arial"/>
          <w:szCs w:val="20"/>
        </w:rPr>
      </w:pPr>
      <w:r>
        <w:rPr>
          <w:rFonts w:cs="Arial"/>
          <w:szCs w:val="20"/>
        </w:rPr>
        <w:t>Primary Health Networks.</w:t>
      </w:r>
    </w:p>
    <w:p w14:paraId="175F0B58" w14:textId="77777777" w:rsidR="00A0664C" w:rsidRPr="005C6256" w:rsidRDefault="00A0664C" w:rsidP="00A0664C">
      <w:pPr>
        <w:pStyle w:val="ListParagraph"/>
        <w:numPr>
          <w:ilvl w:val="0"/>
          <w:numId w:val="9"/>
        </w:numPr>
        <w:rPr>
          <w:rFonts w:cs="Arial"/>
          <w:szCs w:val="20"/>
        </w:rPr>
      </w:pPr>
      <w:r>
        <w:rPr>
          <w:rFonts w:cs="Arial"/>
          <w:szCs w:val="20"/>
        </w:rPr>
        <w:t>Mental health services working with older adults.</w:t>
      </w:r>
    </w:p>
    <w:p w14:paraId="3442F8ED" w14:textId="77777777" w:rsidR="00A0664C" w:rsidRDefault="00A0664C" w:rsidP="00A0664C">
      <w:pPr>
        <w:pStyle w:val="ListParagraph"/>
        <w:numPr>
          <w:ilvl w:val="0"/>
          <w:numId w:val="9"/>
        </w:numPr>
        <w:rPr>
          <w:rFonts w:cs="Arial"/>
          <w:szCs w:val="20"/>
        </w:rPr>
      </w:pPr>
      <w:r>
        <w:rPr>
          <w:rFonts w:cs="Arial"/>
          <w:szCs w:val="20"/>
        </w:rPr>
        <w:t>State and Territory Mental Health Services.</w:t>
      </w:r>
    </w:p>
    <w:p w14:paraId="08545A4B" w14:textId="77777777" w:rsidR="00A0664C" w:rsidRDefault="00A0664C" w:rsidP="00A0664C">
      <w:pPr>
        <w:pStyle w:val="ListParagraph"/>
        <w:numPr>
          <w:ilvl w:val="0"/>
          <w:numId w:val="9"/>
        </w:numPr>
        <w:rPr>
          <w:rFonts w:cs="Arial"/>
          <w:szCs w:val="20"/>
        </w:rPr>
      </w:pPr>
      <w:r>
        <w:rPr>
          <w:rFonts w:cs="Arial"/>
          <w:szCs w:val="20"/>
        </w:rPr>
        <w:t>Aboriginal Community Controlled Health Services.</w:t>
      </w:r>
    </w:p>
    <w:p w14:paraId="27189995" w14:textId="77777777" w:rsidR="00A0664C" w:rsidRDefault="00A0664C" w:rsidP="00A0664C">
      <w:pPr>
        <w:pStyle w:val="ListParagraph"/>
        <w:numPr>
          <w:ilvl w:val="0"/>
          <w:numId w:val="9"/>
        </w:numPr>
        <w:rPr>
          <w:rFonts w:cs="Arial"/>
          <w:szCs w:val="20"/>
        </w:rPr>
      </w:pPr>
      <w:r>
        <w:rPr>
          <w:rFonts w:cs="Arial"/>
          <w:szCs w:val="20"/>
        </w:rPr>
        <w:t>Peak bodies with a role in older adult mental health.</w:t>
      </w:r>
    </w:p>
    <w:p w14:paraId="75C8B4A7" w14:textId="77777777" w:rsidR="00A0664C" w:rsidRDefault="00A0664C" w:rsidP="00A0664C">
      <w:pPr>
        <w:pStyle w:val="ListParagraph"/>
        <w:numPr>
          <w:ilvl w:val="0"/>
          <w:numId w:val="9"/>
        </w:numPr>
        <w:rPr>
          <w:rFonts w:cs="Arial"/>
          <w:szCs w:val="20"/>
        </w:rPr>
      </w:pPr>
      <w:r>
        <w:rPr>
          <w:rFonts w:cs="Arial"/>
          <w:szCs w:val="20"/>
        </w:rPr>
        <w:lastRenderedPageBreak/>
        <w:t>Education providers.</w:t>
      </w:r>
    </w:p>
    <w:p w14:paraId="2FC76E78" w14:textId="77777777" w:rsidR="00A0664C" w:rsidRDefault="00A0664C" w:rsidP="00A0664C">
      <w:pPr>
        <w:pStyle w:val="ListParagraph"/>
        <w:numPr>
          <w:ilvl w:val="0"/>
          <w:numId w:val="9"/>
        </w:numPr>
        <w:rPr>
          <w:rFonts w:cs="Arial"/>
          <w:szCs w:val="20"/>
        </w:rPr>
      </w:pPr>
      <w:r>
        <w:rPr>
          <w:rFonts w:cs="Arial"/>
          <w:szCs w:val="20"/>
        </w:rPr>
        <w:t>Community service providers (including Community Managed Organisations).</w:t>
      </w:r>
    </w:p>
    <w:p w14:paraId="10E5B88E" w14:textId="77777777" w:rsidR="00A0664C" w:rsidRDefault="00A0664C" w:rsidP="00A0664C">
      <w:pPr>
        <w:pStyle w:val="ListParagraph"/>
        <w:numPr>
          <w:ilvl w:val="0"/>
          <w:numId w:val="9"/>
        </w:numPr>
        <w:rPr>
          <w:rFonts w:cs="Arial"/>
          <w:szCs w:val="20"/>
        </w:rPr>
      </w:pPr>
      <w:r>
        <w:rPr>
          <w:rFonts w:cs="Arial"/>
          <w:szCs w:val="20"/>
        </w:rPr>
        <w:t>Aged care services.</w:t>
      </w:r>
    </w:p>
    <w:p w14:paraId="57E5D396" w14:textId="77777777" w:rsidR="00A0664C" w:rsidRPr="0011686A" w:rsidRDefault="00A0664C" w:rsidP="00A0664C">
      <w:pPr>
        <w:pStyle w:val="ListParagraph"/>
        <w:numPr>
          <w:ilvl w:val="0"/>
          <w:numId w:val="9"/>
        </w:numPr>
        <w:rPr>
          <w:rFonts w:cs="Arial"/>
          <w:szCs w:val="20"/>
        </w:rPr>
      </w:pPr>
      <w:r>
        <w:rPr>
          <w:rFonts w:cs="Arial"/>
          <w:szCs w:val="20"/>
        </w:rPr>
        <w:t>Residential aged care facilities.</w:t>
      </w:r>
    </w:p>
    <w:p w14:paraId="5EABD0BE" w14:textId="77777777" w:rsidR="00C96368" w:rsidRPr="005C6256" w:rsidRDefault="00C96368" w:rsidP="00C96368">
      <w:pPr>
        <w:pStyle w:val="Heading2"/>
        <w:spacing w:before="120" w:after="120"/>
      </w:pPr>
      <w:r w:rsidRPr="005C6256">
        <w:t>CONSULTATION ACTIVITIES AND METHOD</w:t>
      </w:r>
    </w:p>
    <w:p w14:paraId="2EFB6A35" w14:textId="4C276F40" w:rsidR="006C3D33" w:rsidRPr="006C3D33" w:rsidRDefault="00B6626C" w:rsidP="00C96368">
      <w:pPr>
        <w:rPr>
          <w:rFonts w:cs="Arial"/>
          <w:color w:val="333333"/>
          <w:szCs w:val="20"/>
          <w:shd w:val="clear" w:color="auto" w:fill="EEEEEE"/>
        </w:rPr>
      </w:pPr>
      <w:r>
        <w:rPr>
          <w:rFonts w:cs="Arial"/>
          <w:szCs w:val="20"/>
        </w:rPr>
        <w:t>The consultation materials and consultation survey can be accessed by visiting:</w:t>
      </w:r>
      <w:r w:rsidR="006C3D33">
        <w:rPr>
          <w:rFonts w:cs="Arial"/>
          <w:szCs w:val="20"/>
        </w:rPr>
        <w:t xml:space="preserve"> </w:t>
      </w:r>
      <w:hyperlink r:id="rId12" w:history="1">
        <w:r w:rsidR="006C3D33" w:rsidRPr="006C3D33">
          <w:rPr>
            <w:rStyle w:val="Hyperlink"/>
            <w:rFonts w:cs="Arial"/>
            <w:szCs w:val="20"/>
            <w:shd w:val="clear" w:color="auto" w:fill="EEEEEE"/>
          </w:rPr>
          <w:t>https://consultations.health.gov.au/primary-care-mental-health-division/consultation-draft-older-adults-national-iar</w:t>
        </w:r>
      </w:hyperlink>
    </w:p>
    <w:p w14:paraId="218A7FA5" w14:textId="1133CBF9" w:rsidR="00C96368" w:rsidRDefault="00C96368" w:rsidP="00C96368">
      <w:pPr>
        <w:rPr>
          <w:rFonts w:cs="Arial"/>
          <w:szCs w:val="20"/>
        </w:rPr>
      </w:pPr>
      <w:r>
        <w:rPr>
          <w:rFonts w:cs="Arial"/>
          <w:szCs w:val="20"/>
        </w:rPr>
        <w:t xml:space="preserve">The National Project Manager </w:t>
      </w:r>
      <w:r w:rsidR="00303862">
        <w:rPr>
          <w:rFonts w:cs="Arial"/>
          <w:szCs w:val="20"/>
        </w:rPr>
        <w:t>is also</w:t>
      </w:r>
      <w:r>
        <w:rPr>
          <w:rFonts w:cs="Arial"/>
          <w:szCs w:val="20"/>
        </w:rPr>
        <w:t xml:space="preserve"> available for telephone and video consultations with groups and individuals </w:t>
      </w:r>
      <w:proofErr w:type="gramStart"/>
      <w:r>
        <w:rPr>
          <w:rFonts w:cs="Arial"/>
          <w:szCs w:val="20"/>
        </w:rPr>
        <w:t>where</w:t>
      </w:r>
      <w:proofErr w:type="gramEnd"/>
      <w:r>
        <w:rPr>
          <w:rFonts w:cs="Arial"/>
          <w:szCs w:val="20"/>
        </w:rPr>
        <w:t xml:space="preserve"> requested during the consultation period. These individual or group consultations will have a broad scope but are likely to focus on:</w:t>
      </w:r>
    </w:p>
    <w:p w14:paraId="594FAF83" w14:textId="77777777" w:rsidR="00C96368" w:rsidRDefault="00C96368" w:rsidP="00C96368">
      <w:pPr>
        <w:pStyle w:val="Bulletlevel1"/>
      </w:pPr>
      <w:r>
        <w:t>PHN facilitated consultations with PHN representatives, local stakeholders, clinical councils, and community advisory committees.</w:t>
      </w:r>
    </w:p>
    <w:p w14:paraId="610D14DF" w14:textId="77777777" w:rsidR="00C96368" w:rsidRDefault="00C96368" w:rsidP="00C96368">
      <w:pPr>
        <w:pStyle w:val="Bulletlevel1"/>
      </w:pPr>
      <w:r>
        <w:t>Consultations with members facilitated by peak bodies and professional colleges.</w:t>
      </w:r>
    </w:p>
    <w:p w14:paraId="4DE69883" w14:textId="77777777" w:rsidR="00C96368" w:rsidRDefault="00C96368" w:rsidP="00C96368">
      <w:pPr>
        <w:pStyle w:val="Bulletlevel1"/>
      </w:pPr>
      <w:r>
        <w:t xml:space="preserve">Consultations with members facilitated by lived experience groups and peaks. </w:t>
      </w:r>
    </w:p>
    <w:p w14:paraId="2275A9D7" w14:textId="77777777" w:rsidR="00C96368" w:rsidRDefault="00C96368" w:rsidP="00C96368">
      <w:pPr>
        <w:pStyle w:val="Bulletlevel1"/>
      </w:pPr>
      <w:r>
        <w:t xml:space="preserve">Consultations with state and territory mental health and education agencies. </w:t>
      </w:r>
    </w:p>
    <w:p w14:paraId="61BD8732" w14:textId="77777777" w:rsidR="009232BD" w:rsidRDefault="009232BD">
      <w:pPr>
        <w:pStyle w:val="Bulletlevel1"/>
        <w:numPr>
          <w:ilvl w:val="0"/>
          <w:numId w:val="0"/>
        </w:numPr>
      </w:pPr>
    </w:p>
    <w:p w14:paraId="693AC091" w14:textId="1846732F" w:rsidR="002B3412" w:rsidRPr="00342596" w:rsidRDefault="002B3412" w:rsidP="0041608E">
      <w:pPr>
        <w:pStyle w:val="Bulletlevel1"/>
        <w:numPr>
          <w:ilvl w:val="0"/>
          <w:numId w:val="0"/>
        </w:numPr>
      </w:pPr>
      <w:r w:rsidRPr="00342596">
        <w:t>The National Project Manager will monitor consultation responses</w:t>
      </w:r>
      <w:r>
        <w:t>,</w:t>
      </w:r>
      <w:r w:rsidRPr="00342596">
        <w:t xml:space="preserve"> and if responses from key stakeholders </w:t>
      </w:r>
      <w:r>
        <w:t>are</w:t>
      </w:r>
      <w:r w:rsidRPr="00342596">
        <w:t xml:space="preserve"> </w:t>
      </w:r>
      <w:r>
        <w:t>lacking</w:t>
      </w:r>
      <w:r w:rsidRPr="00342596">
        <w:t xml:space="preserve">, the National Project Manager will take a pro-active engagement approach. The National Project Manager will also raise </w:t>
      </w:r>
      <w:r>
        <w:t>consultation gaps</w:t>
      </w:r>
      <w:r w:rsidRPr="00342596">
        <w:t xml:space="preserve"> with the Department of Health and P</w:t>
      </w:r>
      <w:r>
        <w:t>HNs</w:t>
      </w:r>
      <w:r w:rsidRPr="00342596">
        <w:t xml:space="preserve">, requesting that the Department and PHNs </w:t>
      </w:r>
      <w:r>
        <w:t>activate</w:t>
      </w:r>
      <w:r w:rsidRPr="00342596">
        <w:t xml:space="preserve"> their connections with stakeholders to highlight the consultation opportunity and</w:t>
      </w:r>
      <w:r>
        <w:t xml:space="preserve"> the</w:t>
      </w:r>
      <w:r w:rsidRPr="00342596">
        <w:t xml:space="preserve"> strategic importance</w:t>
      </w:r>
      <w:r>
        <w:t xml:space="preserve"> of the project</w:t>
      </w:r>
      <w:r w:rsidRPr="00342596">
        <w:t xml:space="preserve">. There is also an opportunity for additional targeted consultation if </w:t>
      </w:r>
      <w:r>
        <w:t>further input from an identified key stakeholder group is required during or after the consultation perio</w:t>
      </w:r>
      <w:r w:rsidRPr="00342596">
        <w:t xml:space="preserve">d. </w:t>
      </w:r>
    </w:p>
    <w:p w14:paraId="2B93B23D" w14:textId="1B48E8A8" w:rsidR="00C96368" w:rsidRPr="00B6626C" w:rsidRDefault="00C96368" w:rsidP="00C96368">
      <w:pPr>
        <w:rPr>
          <w:rFonts w:cs="Arial"/>
          <w:szCs w:val="20"/>
        </w:rPr>
      </w:pPr>
      <w:r>
        <w:rPr>
          <w:rFonts w:cs="Arial"/>
          <w:szCs w:val="20"/>
        </w:rPr>
        <w:t xml:space="preserve">Please </w:t>
      </w:r>
      <w:r w:rsidR="005E71B6">
        <w:rPr>
          <w:rFonts w:cs="Arial"/>
          <w:szCs w:val="20"/>
        </w:rPr>
        <w:t>get in touch with</w:t>
      </w:r>
      <w:r>
        <w:rPr>
          <w:rFonts w:cs="Arial"/>
          <w:szCs w:val="20"/>
        </w:rPr>
        <w:t xml:space="preserve"> the National Project Manager, Ms Jenni Campbell, to request a facilitated consultation with regional stakeholders by emailing </w:t>
      </w:r>
      <w:hyperlink r:id="rId13" w:history="1">
        <w:r w:rsidRPr="00E944CB">
          <w:rPr>
            <w:rStyle w:val="Hyperlink"/>
            <w:rFonts w:cs="Arial"/>
            <w:szCs w:val="20"/>
          </w:rPr>
          <w:t>jenni.a.campbell@outlook.com</w:t>
        </w:r>
      </w:hyperlink>
      <w:r>
        <w:rPr>
          <w:rFonts w:cs="Arial"/>
          <w:szCs w:val="20"/>
        </w:rPr>
        <w:t xml:space="preserve"> </w:t>
      </w:r>
    </w:p>
    <w:p w14:paraId="5C2992CB" w14:textId="60E39F70" w:rsidR="00C96368" w:rsidRPr="002D12A2" w:rsidRDefault="00C96368" w:rsidP="00C96368">
      <w:pPr>
        <w:rPr>
          <w:rFonts w:eastAsia="Times New Roman"/>
          <w:szCs w:val="20"/>
        </w:rPr>
      </w:pPr>
      <w:r>
        <w:rPr>
          <w:rFonts w:eastAsia="Times New Roman"/>
          <w:szCs w:val="20"/>
        </w:rPr>
        <w:t xml:space="preserve">For more information about the consultation process, </w:t>
      </w:r>
      <w:r w:rsidR="0041608E">
        <w:rPr>
          <w:rFonts w:eastAsia="Times New Roman"/>
          <w:szCs w:val="20"/>
        </w:rPr>
        <w:t xml:space="preserve">please </w:t>
      </w:r>
      <w:r>
        <w:rPr>
          <w:rFonts w:eastAsia="Times New Roman"/>
          <w:szCs w:val="20"/>
        </w:rPr>
        <w:t xml:space="preserve">contact </w:t>
      </w:r>
      <w:hyperlink r:id="rId14" w:history="1">
        <w:r w:rsidRPr="00B8198B">
          <w:rPr>
            <w:rStyle w:val="Hyperlink"/>
            <w:rFonts w:eastAsia="Times New Roman"/>
            <w:szCs w:val="20"/>
          </w:rPr>
          <w:t>MH.IARProject@health.gov.au</w:t>
        </w:r>
      </w:hyperlink>
    </w:p>
    <w:p w14:paraId="41F15E45" w14:textId="77777777" w:rsidR="00C96368" w:rsidRDefault="00C96368" w:rsidP="00C96368">
      <w:pPr>
        <w:rPr>
          <w:rFonts w:ascii="Century Gothic" w:eastAsiaTheme="majorEastAsia" w:hAnsi="Century Gothic" w:cstheme="majorBidi"/>
          <w:b/>
          <w:color w:val="003C6A"/>
          <w:sz w:val="32"/>
          <w:szCs w:val="26"/>
        </w:rPr>
      </w:pPr>
    </w:p>
    <w:p w14:paraId="63BA65D0" w14:textId="77777777" w:rsidR="00C96368" w:rsidRDefault="00C96368" w:rsidP="00C96368">
      <w:pPr>
        <w:spacing w:before="0" w:after="200" w:line="276" w:lineRule="auto"/>
        <w:rPr>
          <w:rFonts w:ascii="Century Gothic" w:eastAsiaTheme="majorEastAsia" w:hAnsi="Century Gothic" w:cstheme="majorBidi"/>
          <w:b/>
          <w:color w:val="003C6A"/>
          <w:sz w:val="32"/>
          <w:szCs w:val="26"/>
        </w:rPr>
      </w:pPr>
      <w:r>
        <w:br w:type="page"/>
      </w:r>
    </w:p>
    <w:p w14:paraId="00E0DA39" w14:textId="77777777" w:rsidR="00C96368" w:rsidRDefault="00C96368" w:rsidP="00C96368">
      <w:pPr>
        <w:pStyle w:val="Heading2"/>
        <w:spacing w:before="120" w:after="120"/>
      </w:pPr>
      <w:r>
        <w:lastRenderedPageBreak/>
        <w:t xml:space="preserve">ATTACHMENT 1 </w:t>
      </w:r>
      <w:r w:rsidRPr="00F347BB">
        <w:t>KEY CONSULTATION RESOURCES</w:t>
      </w:r>
    </w:p>
    <w:p w14:paraId="4D206146" w14:textId="3920D722" w:rsidR="00C96368" w:rsidRDefault="005E71B6" w:rsidP="00C96368">
      <w:r>
        <w:t>Several draft resources</w:t>
      </w:r>
      <w:r w:rsidR="00C96368">
        <w:t xml:space="preserve"> will be released for consultation. There is a risk that people implement or begin using the resources </w:t>
      </w:r>
      <w:r>
        <w:t>before</w:t>
      </w:r>
      <w:r w:rsidR="00C96368">
        <w:t xml:space="preserve"> their finalisation (post-consultation). Therefore, the documents will be watermarked to caution against implementation and prohibit circulation. The online survey will also include this caution. </w:t>
      </w:r>
    </w:p>
    <w:p w14:paraId="6E40867B" w14:textId="0765EE2D" w:rsidR="00C96368" w:rsidRPr="00437E57" w:rsidRDefault="00C96368" w:rsidP="00C96368">
      <w:r>
        <w:t xml:space="preserve">The following resources have been made available for consultation purposes </w:t>
      </w:r>
      <w:r w:rsidR="00B6626C">
        <w:t>and are included on the consultation portal</w:t>
      </w:r>
      <w:r>
        <w:t>:</w:t>
      </w:r>
    </w:p>
    <w:p w14:paraId="3C741000" w14:textId="321C2198" w:rsidR="00C96368" w:rsidRDefault="00481B31" w:rsidP="00C96368">
      <w:pPr>
        <w:pStyle w:val="Bulletlevel1"/>
        <w:numPr>
          <w:ilvl w:val="0"/>
          <w:numId w:val="4"/>
        </w:numPr>
        <w:spacing w:before="120" w:after="120"/>
      </w:pPr>
      <w:r>
        <w:t xml:space="preserve">Consultation Draft – Older Adults Lift Out </w:t>
      </w:r>
      <w:r w:rsidR="00B6626C">
        <w:t>(see attachment)</w:t>
      </w:r>
    </w:p>
    <w:p w14:paraId="4B969875" w14:textId="53EED7B2" w:rsidR="00C96368" w:rsidRDefault="00481B31" w:rsidP="00C96368">
      <w:pPr>
        <w:pStyle w:val="Bulletlevel1"/>
        <w:numPr>
          <w:ilvl w:val="0"/>
          <w:numId w:val="4"/>
        </w:numPr>
        <w:spacing w:before="120" w:after="120"/>
      </w:pPr>
      <w:r>
        <w:t xml:space="preserve">Summary of approach to and outcomes from IAR adaptations </w:t>
      </w:r>
      <w:r w:rsidR="00C96368">
        <w:t>(see attachment)</w:t>
      </w:r>
    </w:p>
    <w:p w14:paraId="62BBAFCE" w14:textId="6E543351" w:rsidR="0028128D" w:rsidRDefault="00C96368" w:rsidP="0028128D">
      <w:pPr>
        <w:pStyle w:val="Bulletlevel1"/>
        <w:numPr>
          <w:ilvl w:val="0"/>
          <w:numId w:val="4"/>
        </w:numPr>
        <w:spacing w:before="120" w:after="120"/>
      </w:pPr>
      <w:r>
        <w:t xml:space="preserve">Draft IAR Snapshot – </w:t>
      </w:r>
      <w:r w:rsidR="001E7AAC">
        <w:t>Older Adults</w:t>
      </w:r>
      <w:r>
        <w:t xml:space="preserve"> (see </w:t>
      </w:r>
      <w:r w:rsidR="001E7AAC">
        <w:t>attachment</w:t>
      </w:r>
      <w:r w:rsidR="007B6165">
        <w:t>)</w:t>
      </w:r>
    </w:p>
    <w:p w14:paraId="2BF7AD83" w14:textId="77777777" w:rsidR="00C96368" w:rsidRDefault="00C96368" w:rsidP="00C96368"/>
    <w:p w14:paraId="4700884E" w14:textId="4A43083D" w:rsidR="00BD61F3" w:rsidRPr="003B67F1" w:rsidRDefault="00A4281B" w:rsidP="003B67F1">
      <w:pPr>
        <w:spacing w:before="0" w:after="200" w:line="276" w:lineRule="auto"/>
        <w:rPr>
          <w:rFonts w:ascii="Century Gothic" w:eastAsiaTheme="majorEastAsia" w:hAnsi="Century Gothic" w:cstheme="majorBidi"/>
          <w:b/>
          <w:color w:val="003C6A"/>
          <w:sz w:val="46"/>
          <w:szCs w:val="32"/>
        </w:rPr>
      </w:pPr>
      <w:r w:rsidRPr="00602379">
        <w:rPr>
          <w:bCs/>
          <w:sz w:val="22"/>
          <w:szCs w:val="16"/>
        </w:rPr>
        <w:t>End</w:t>
      </w:r>
    </w:p>
    <w:sectPr w:rsidR="00BD61F3" w:rsidRPr="003B67F1" w:rsidSect="00602379">
      <w:footerReference w:type="default" r:id="rId15"/>
      <w:headerReference w:type="first" r:id="rId16"/>
      <w:footerReference w:type="first" r:id="rId17"/>
      <w:pgSz w:w="11906" w:h="16838" w:code="9"/>
      <w:pgMar w:top="1077" w:right="1134" w:bottom="1134" w:left="1134" w:header="3941" w:footer="1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3BD49" w14:textId="77777777" w:rsidR="002B06F0" w:rsidRDefault="002B06F0" w:rsidP="00DD23EC">
      <w:pPr>
        <w:spacing w:before="0" w:after="0"/>
      </w:pPr>
      <w:r>
        <w:separator/>
      </w:r>
    </w:p>
  </w:endnote>
  <w:endnote w:type="continuationSeparator" w:id="0">
    <w:p w14:paraId="3C283DF5" w14:textId="77777777" w:rsidR="002B06F0" w:rsidRDefault="002B06F0" w:rsidP="00DD23E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Pro">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FFBA1" w14:textId="71680763" w:rsidR="00DD23EC" w:rsidRDefault="00C96368" w:rsidP="009A4120">
    <w:pPr>
      <w:pStyle w:val="Footer"/>
    </w:pPr>
    <w:r>
      <w:t>National IAR Project – Consultation Information</w:t>
    </w:r>
    <w:r w:rsidR="009A4120">
      <w:tab/>
    </w:r>
    <w:r w:rsidR="009A4120" w:rsidRPr="00407B7B">
      <w:rPr>
        <w:noProof w:val="0"/>
      </w:rPr>
      <w:fldChar w:fldCharType="begin"/>
    </w:r>
    <w:r w:rsidR="009A4120" w:rsidRPr="00407B7B">
      <w:instrText xml:space="preserve"> PAGE   \* MERGEFORMAT </w:instrText>
    </w:r>
    <w:r w:rsidR="009A4120" w:rsidRPr="00407B7B">
      <w:rPr>
        <w:noProof w:val="0"/>
      </w:rPr>
      <w:fldChar w:fldCharType="separate"/>
    </w:r>
    <w:r w:rsidR="00B10200">
      <w:t>2</w:t>
    </w:r>
    <w:r w:rsidR="009A4120" w:rsidRPr="00407B7B">
      <w:fldChar w:fldCharType="end"/>
    </w:r>
    <w:r w:rsidR="00DD23EC">
      <w:drawing>
        <wp:anchor distT="0" distB="0" distL="114300" distR="114300" simplePos="0" relativeHeight="251661312" behindDoc="1" locked="0" layoutInCell="1" allowOverlap="1" wp14:anchorId="2D4C9CFE" wp14:editId="1D5F9E9C">
          <wp:simplePos x="0" y="0"/>
          <wp:positionH relativeFrom="page">
            <wp:align>center</wp:align>
          </wp:positionH>
          <wp:positionV relativeFrom="page">
            <wp:align>bottom</wp:align>
          </wp:positionV>
          <wp:extent cx="7560000" cy="745200"/>
          <wp:effectExtent l="0" t="0" r="3175"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745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BEFE1" w14:textId="1B286AE2" w:rsidR="00DD23EC" w:rsidRPr="009A4120" w:rsidRDefault="00DD23EC" w:rsidP="009A4120">
    <w:pPr>
      <w:pStyle w:val="Footer"/>
    </w:pPr>
    <w:r w:rsidRPr="009A4120">
      <w:drawing>
        <wp:anchor distT="0" distB="0" distL="114300" distR="114300" simplePos="0" relativeHeight="251659264" behindDoc="1" locked="0" layoutInCell="1" allowOverlap="1" wp14:anchorId="14DD688F" wp14:editId="0D010082">
          <wp:simplePos x="914400" y="9500558"/>
          <wp:positionH relativeFrom="page">
            <wp:align>center</wp:align>
          </wp:positionH>
          <wp:positionV relativeFrom="page">
            <wp:align>bottom</wp:align>
          </wp:positionV>
          <wp:extent cx="7560000" cy="745200"/>
          <wp:effectExtent l="0" t="0" r="3175" b="0"/>
          <wp:wrapNone/>
          <wp:docPr id="18" name="Picture 18"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T0001706 - PHN Initial Assessment and Referral fact sheet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745200"/>
                  </a:xfrm>
                  <a:prstGeom prst="rect">
                    <a:avLst/>
                  </a:prstGeom>
                </pic:spPr>
              </pic:pic>
            </a:graphicData>
          </a:graphic>
          <wp14:sizeRelH relativeFrom="margin">
            <wp14:pctWidth>0</wp14:pctWidth>
          </wp14:sizeRelH>
          <wp14:sizeRelV relativeFrom="margin">
            <wp14:pctHeight>0</wp14:pctHeight>
          </wp14:sizeRelV>
        </wp:anchor>
      </w:drawing>
    </w:r>
    <w:r w:rsidR="00C96368" w:rsidRPr="00C96368">
      <w:t xml:space="preserve"> </w:t>
    </w:r>
    <w:r w:rsidR="00C96368">
      <w:t>National IAR Project – Consultation Information Sheet</w:t>
    </w:r>
    <w:r w:rsidR="00407B7B" w:rsidRPr="009A4120">
      <w:tab/>
    </w:r>
    <w:r w:rsidR="00407B7B" w:rsidRPr="009A4120">
      <w:fldChar w:fldCharType="begin"/>
    </w:r>
    <w:r w:rsidR="00407B7B" w:rsidRPr="009A4120">
      <w:instrText xml:space="preserve"> PAGE   \* MERGEFORMAT </w:instrText>
    </w:r>
    <w:r w:rsidR="00407B7B" w:rsidRPr="009A4120">
      <w:fldChar w:fldCharType="separate"/>
    </w:r>
    <w:r w:rsidR="00B10200">
      <w:t>1</w:t>
    </w:r>
    <w:r w:rsidR="00407B7B" w:rsidRPr="009A412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F23F2" w14:textId="77777777" w:rsidR="002B06F0" w:rsidRDefault="002B06F0" w:rsidP="00DD23EC">
      <w:pPr>
        <w:spacing w:before="0" w:after="0"/>
      </w:pPr>
      <w:r>
        <w:separator/>
      </w:r>
    </w:p>
  </w:footnote>
  <w:footnote w:type="continuationSeparator" w:id="0">
    <w:p w14:paraId="48920D8A" w14:textId="77777777" w:rsidR="002B06F0" w:rsidRDefault="002B06F0" w:rsidP="00DD23E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99E00" w14:textId="77777777" w:rsidR="00DD23EC" w:rsidRDefault="00DD23EC">
    <w:pPr>
      <w:pStyle w:val="Header"/>
    </w:pPr>
    <w:r>
      <w:rPr>
        <w:noProof/>
        <w:lang w:eastAsia="en-AU"/>
      </w:rPr>
      <w:drawing>
        <wp:anchor distT="0" distB="0" distL="114300" distR="114300" simplePos="0" relativeHeight="251658240" behindDoc="1" locked="0" layoutInCell="1" allowOverlap="1" wp14:anchorId="2AF50569" wp14:editId="1F7042B5">
          <wp:simplePos x="0" y="0"/>
          <wp:positionH relativeFrom="page">
            <wp:posOffset>0</wp:posOffset>
          </wp:positionH>
          <wp:positionV relativeFrom="page">
            <wp:posOffset>5506</wp:posOffset>
          </wp:positionV>
          <wp:extent cx="7560000" cy="2134588"/>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21345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06991"/>
    <w:multiLevelType w:val="hybridMultilevel"/>
    <w:tmpl w:val="55C26872"/>
    <w:lvl w:ilvl="0" w:tplc="C9B8519C">
      <w:start w:val="1"/>
      <w:numFmt w:val="bullet"/>
      <w:pStyle w:val="Bulletlevel1"/>
      <w:lvlText w:val=""/>
      <w:lvlJc w:val="left"/>
      <w:pPr>
        <w:ind w:left="644" w:hanging="360"/>
      </w:pPr>
      <w:rPr>
        <w:rFonts w:ascii="Symbol" w:hAnsi="Symbol" w:hint="default"/>
        <w:color w:val="F26E3D"/>
        <w:u w:color="F26E3D"/>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BA6ACF"/>
    <w:multiLevelType w:val="hybridMultilevel"/>
    <w:tmpl w:val="883CFF7A"/>
    <w:lvl w:ilvl="0" w:tplc="6BB6A006">
      <w:start w:val="1"/>
      <w:numFmt w:val="bullet"/>
      <w:lvlText w:val=""/>
      <w:lvlJc w:val="left"/>
      <w:pPr>
        <w:ind w:left="720" w:hanging="360"/>
      </w:pPr>
      <w:rPr>
        <w:rFonts w:ascii="Symbol" w:hAnsi="Symbol" w:hint="default"/>
        <w:color w:val="F26E3D"/>
        <w:u w:color="F26E3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63529E"/>
    <w:multiLevelType w:val="hybridMultilevel"/>
    <w:tmpl w:val="1C4860B8"/>
    <w:lvl w:ilvl="0" w:tplc="6BB6A006">
      <w:start w:val="1"/>
      <w:numFmt w:val="bullet"/>
      <w:lvlText w:val=""/>
      <w:lvlJc w:val="left"/>
      <w:pPr>
        <w:ind w:left="785" w:hanging="360"/>
      </w:pPr>
      <w:rPr>
        <w:rFonts w:ascii="Symbol" w:hAnsi="Symbol" w:hint="default"/>
        <w:color w:val="F26E3D"/>
        <w:u w:color="F26E3D"/>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3" w15:restartNumberingAfterBreak="0">
    <w:nsid w:val="2C4E6417"/>
    <w:multiLevelType w:val="hybridMultilevel"/>
    <w:tmpl w:val="0F0821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1029F8"/>
    <w:multiLevelType w:val="hybridMultilevel"/>
    <w:tmpl w:val="A1223326"/>
    <w:lvl w:ilvl="0" w:tplc="6BB6A006">
      <w:start w:val="1"/>
      <w:numFmt w:val="bullet"/>
      <w:lvlText w:val=""/>
      <w:lvlJc w:val="left"/>
      <w:pPr>
        <w:ind w:left="720" w:hanging="360"/>
      </w:pPr>
      <w:rPr>
        <w:rFonts w:ascii="Symbol" w:hAnsi="Symbol" w:hint="default"/>
        <w:color w:val="F26E3D"/>
        <w:u w:color="F26E3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7B7B18"/>
    <w:multiLevelType w:val="hybridMultilevel"/>
    <w:tmpl w:val="12940610"/>
    <w:lvl w:ilvl="0" w:tplc="6BB6A006">
      <w:start w:val="1"/>
      <w:numFmt w:val="bullet"/>
      <w:lvlText w:val=""/>
      <w:lvlJc w:val="left"/>
      <w:pPr>
        <w:ind w:left="720" w:hanging="360"/>
      </w:pPr>
      <w:rPr>
        <w:rFonts w:ascii="Symbol" w:hAnsi="Symbol" w:hint="default"/>
        <w:color w:val="F26E3D"/>
        <w:u w:color="F26E3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452E61"/>
    <w:multiLevelType w:val="hybridMultilevel"/>
    <w:tmpl w:val="C37AC320"/>
    <w:lvl w:ilvl="0" w:tplc="0C09000F">
      <w:start w:val="1"/>
      <w:numFmt w:val="decimal"/>
      <w:lvlText w:val="%1."/>
      <w:lvlJc w:val="left"/>
      <w:pPr>
        <w:ind w:left="785" w:hanging="360"/>
      </w:pPr>
      <w:rPr>
        <w:rFonts w:hint="default"/>
        <w:color w:val="F26E3D"/>
        <w:u w:color="F26E3D"/>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66F59E9"/>
    <w:multiLevelType w:val="hybridMultilevel"/>
    <w:tmpl w:val="35125666"/>
    <w:lvl w:ilvl="0" w:tplc="6BB6A006">
      <w:start w:val="1"/>
      <w:numFmt w:val="bullet"/>
      <w:lvlText w:val=""/>
      <w:lvlJc w:val="left"/>
      <w:pPr>
        <w:ind w:left="785" w:hanging="360"/>
      </w:pPr>
      <w:rPr>
        <w:rFonts w:ascii="Symbol" w:hAnsi="Symbol" w:hint="default"/>
        <w:color w:val="F26E3D"/>
        <w:u w:color="F26E3D"/>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59D2D9F"/>
    <w:multiLevelType w:val="hybridMultilevel"/>
    <w:tmpl w:val="EF565D40"/>
    <w:lvl w:ilvl="0" w:tplc="6BB6A006">
      <w:start w:val="1"/>
      <w:numFmt w:val="bullet"/>
      <w:lvlText w:val=""/>
      <w:lvlJc w:val="left"/>
      <w:pPr>
        <w:ind w:left="720" w:hanging="360"/>
      </w:pPr>
      <w:rPr>
        <w:rFonts w:ascii="Symbol" w:hAnsi="Symbol" w:hint="default"/>
        <w:color w:val="F26E3D"/>
        <w:u w:color="F26E3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0D5AEB"/>
    <w:multiLevelType w:val="hybridMultilevel"/>
    <w:tmpl w:val="8D928CA6"/>
    <w:lvl w:ilvl="0" w:tplc="C9B8519C">
      <w:start w:val="1"/>
      <w:numFmt w:val="bullet"/>
      <w:lvlText w:val=""/>
      <w:lvlJc w:val="left"/>
      <w:pPr>
        <w:ind w:left="644" w:hanging="360"/>
      </w:pPr>
      <w:rPr>
        <w:rFonts w:ascii="Symbol" w:hAnsi="Symbol" w:hint="default"/>
        <w:color w:val="F26E3D"/>
        <w:u w:color="F26E3D"/>
      </w:rPr>
    </w:lvl>
    <w:lvl w:ilvl="1" w:tplc="37EEF5A6">
      <w:start w:val="1"/>
      <w:numFmt w:val="bullet"/>
      <w:pStyle w:val="Bulletlevel2"/>
      <w:lvlText w:val="–"/>
      <w:lvlJc w:val="left"/>
      <w:pPr>
        <w:ind w:left="1440" w:hanging="360"/>
      </w:pPr>
      <w:rPr>
        <w:rFonts w:ascii="Arial" w:hAnsi="Arial" w:hint="default"/>
        <w:color w:val="F26E3D"/>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99B00D6"/>
    <w:multiLevelType w:val="hybridMultilevel"/>
    <w:tmpl w:val="C25E3658"/>
    <w:lvl w:ilvl="0" w:tplc="6BB6A006">
      <w:start w:val="1"/>
      <w:numFmt w:val="bullet"/>
      <w:lvlText w:val=""/>
      <w:lvlJc w:val="left"/>
      <w:pPr>
        <w:ind w:left="785" w:hanging="360"/>
      </w:pPr>
      <w:rPr>
        <w:rFonts w:ascii="Symbol" w:hAnsi="Symbol" w:hint="default"/>
        <w:color w:val="F26E3D"/>
        <w:u w:color="F26E3D"/>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11" w15:restartNumberingAfterBreak="0">
    <w:nsid w:val="7A8E7FB8"/>
    <w:multiLevelType w:val="hybridMultilevel"/>
    <w:tmpl w:val="242874B4"/>
    <w:lvl w:ilvl="0" w:tplc="6BB6A006">
      <w:start w:val="1"/>
      <w:numFmt w:val="bullet"/>
      <w:lvlText w:val=""/>
      <w:lvlJc w:val="left"/>
      <w:pPr>
        <w:tabs>
          <w:tab w:val="num" w:pos="720"/>
        </w:tabs>
        <w:ind w:left="720" w:hanging="360"/>
      </w:pPr>
      <w:rPr>
        <w:rFonts w:ascii="Symbol" w:hAnsi="Symbol" w:hint="default"/>
        <w:color w:val="F26E3D"/>
        <w:u w:color="F26E3D"/>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9"/>
  </w:num>
  <w:num w:numId="3">
    <w:abstractNumId w:val="3"/>
  </w:num>
  <w:num w:numId="4">
    <w:abstractNumId w:val="6"/>
  </w:num>
  <w:num w:numId="5">
    <w:abstractNumId w:val="7"/>
  </w:num>
  <w:num w:numId="6">
    <w:abstractNumId w:val="8"/>
  </w:num>
  <w:num w:numId="7">
    <w:abstractNumId w:val="1"/>
  </w:num>
  <w:num w:numId="8">
    <w:abstractNumId w:val="11"/>
  </w:num>
  <w:num w:numId="9">
    <w:abstractNumId w:val="10"/>
  </w:num>
  <w:num w:numId="10">
    <w:abstractNumId w:val="2"/>
  </w:num>
  <w:num w:numId="11">
    <w:abstractNumId w:val="4"/>
  </w:num>
  <w:num w:numId="12">
    <w:abstractNumId w:val="5"/>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wNLa0NLcwMTQ0MzZV0lEKTi0uzszPAykwqgUA7LMojSwAAAA="/>
  </w:docVars>
  <w:rsids>
    <w:rsidRoot w:val="00BD61F3"/>
    <w:rsid w:val="000717C2"/>
    <w:rsid w:val="000926BB"/>
    <w:rsid w:val="001074F9"/>
    <w:rsid w:val="001243EC"/>
    <w:rsid w:val="0019383F"/>
    <w:rsid w:val="00197ECF"/>
    <w:rsid w:val="001E7AAC"/>
    <w:rsid w:val="0026050D"/>
    <w:rsid w:val="00262325"/>
    <w:rsid w:val="002656A4"/>
    <w:rsid w:val="00265DC8"/>
    <w:rsid w:val="0028128D"/>
    <w:rsid w:val="002B06F0"/>
    <w:rsid w:val="002B3412"/>
    <w:rsid w:val="002C2375"/>
    <w:rsid w:val="002C7B77"/>
    <w:rsid w:val="002F1749"/>
    <w:rsid w:val="00303862"/>
    <w:rsid w:val="00363E80"/>
    <w:rsid w:val="0037101B"/>
    <w:rsid w:val="00377A32"/>
    <w:rsid w:val="003B1D0D"/>
    <w:rsid w:val="003B67F1"/>
    <w:rsid w:val="003E4234"/>
    <w:rsid w:val="00407B7B"/>
    <w:rsid w:val="0041608E"/>
    <w:rsid w:val="00481B31"/>
    <w:rsid w:val="00484955"/>
    <w:rsid w:val="004A0CB5"/>
    <w:rsid w:val="004A314D"/>
    <w:rsid w:val="004D12E1"/>
    <w:rsid w:val="00511B1A"/>
    <w:rsid w:val="00542074"/>
    <w:rsid w:val="0055111B"/>
    <w:rsid w:val="005A03D4"/>
    <w:rsid w:val="005A1AD4"/>
    <w:rsid w:val="005B637B"/>
    <w:rsid w:val="005C5EAE"/>
    <w:rsid w:val="005E71B6"/>
    <w:rsid w:val="00602379"/>
    <w:rsid w:val="006025DD"/>
    <w:rsid w:val="00612630"/>
    <w:rsid w:val="006C2701"/>
    <w:rsid w:val="006C3D33"/>
    <w:rsid w:val="006E3759"/>
    <w:rsid w:val="006F675F"/>
    <w:rsid w:val="00724A7A"/>
    <w:rsid w:val="00766B33"/>
    <w:rsid w:val="00794EC9"/>
    <w:rsid w:val="00796DF0"/>
    <w:rsid w:val="007B6165"/>
    <w:rsid w:val="007E235B"/>
    <w:rsid w:val="007E2A26"/>
    <w:rsid w:val="00801804"/>
    <w:rsid w:val="008425E8"/>
    <w:rsid w:val="0085703D"/>
    <w:rsid w:val="00920B48"/>
    <w:rsid w:val="009232BD"/>
    <w:rsid w:val="009430DF"/>
    <w:rsid w:val="00963E90"/>
    <w:rsid w:val="009758DB"/>
    <w:rsid w:val="009A4120"/>
    <w:rsid w:val="009B1A15"/>
    <w:rsid w:val="009B50D2"/>
    <w:rsid w:val="00A0664C"/>
    <w:rsid w:val="00A179C1"/>
    <w:rsid w:val="00A34F21"/>
    <w:rsid w:val="00A40963"/>
    <w:rsid w:val="00A40F86"/>
    <w:rsid w:val="00A4281B"/>
    <w:rsid w:val="00A56676"/>
    <w:rsid w:val="00A61A7B"/>
    <w:rsid w:val="00A852C9"/>
    <w:rsid w:val="00AD6162"/>
    <w:rsid w:val="00B10200"/>
    <w:rsid w:val="00B37817"/>
    <w:rsid w:val="00B6626C"/>
    <w:rsid w:val="00B8041C"/>
    <w:rsid w:val="00B94F2A"/>
    <w:rsid w:val="00BA01D8"/>
    <w:rsid w:val="00BB3035"/>
    <w:rsid w:val="00BB5128"/>
    <w:rsid w:val="00BD61F3"/>
    <w:rsid w:val="00BE54C3"/>
    <w:rsid w:val="00BF58ED"/>
    <w:rsid w:val="00C31065"/>
    <w:rsid w:val="00C33765"/>
    <w:rsid w:val="00C748B4"/>
    <w:rsid w:val="00C96368"/>
    <w:rsid w:val="00CB3A95"/>
    <w:rsid w:val="00CB5F38"/>
    <w:rsid w:val="00CE7B97"/>
    <w:rsid w:val="00D86EC1"/>
    <w:rsid w:val="00DD23EC"/>
    <w:rsid w:val="00E03131"/>
    <w:rsid w:val="00E36DE8"/>
    <w:rsid w:val="00E417DF"/>
    <w:rsid w:val="00E421D6"/>
    <w:rsid w:val="00E97A98"/>
    <w:rsid w:val="00F16AE4"/>
    <w:rsid w:val="00F2667C"/>
    <w:rsid w:val="00F47678"/>
    <w:rsid w:val="00FC75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C78637"/>
  <w15:chartTrackingRefBased/>
  <w15:docId w15:val="{0B531A8B-39AB-48BA-B94F-2730E017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41C"/>
    <w:pPr>
      <w:spacing w:before="120" w:after="120" w:line="240" w:lineRule="auto"/>
    </w:pPr>
    <w:rPr>
      <w:rFonts w:ascii="Arial" w:hAnsi="Arial"/>
      <w:sz w:val="20"/>
    </w:rPr>
  </w:style>
  <w:style w:type="paragraph" w:styleId="Heading1">
    <w:name w:val="heading 1"/>
    <w:next w:val="Normal"/>
    <w:link w:val="Heading1Char"/>
    <w:uiPriority w:val="9"/>
    <w:qFormat/>
    <w:rsid w:val="00542074"/>
    <w:pPr>
      <w:keepNext/>
      <w:keepLines/>
      <w:spacing w:before="120" w:after="0" w:line="240" w:lineRule="auto"/>
      <w:outlineLvl w:val="0"/>
    </w:pPr>
    <w:rPr>
      <w:rFonts w:ascii="Century Gothic" w:eastAsiaTheme="majorEastAsia" w:hAnsi="Century Gothic" w:cstheme="majorBidi"/>
      <w:b/>
      <w:color w:val="003C6A"/>
      <w:sz w:val="46"/>
      <w:szCs w:val="32"/>
    </w:rPr>
  </w:style>
  <w:style w:type="paragraph" w:styleId="Heading2">
    <w:name w:val="heading 2"/>
    <w:next w:val="Normal"/>
    <w:link w:val="Heading2Char"/>
    <w:uiPriority w:val="9"/>
    <w:unhideWhenUsed/>
    <w:qFormat/>
    <w:rsid w:val="00542074"/>
    <w:pPr>
      <w:keepNext/>
      <w:keepLines/>
      <w:spacing w:before="360" w:after="0" w:line="240" w:lineRule="auto"/>
      <w:outlineLvl w:val="1"/>
    </w:pPr>
    <w:rPr>
      <w:rFonts w:ascii="Century Gothic" w:eastAsiaTheme="majorEastAsia" w:hAnsi="Century Gothic" w:cstheme="majorBidi"/>
      <w:b/>
      <w:color w:val="003C6A"/>
      <w:sz w:val="32"/>
      <w:szCs w:val="26"/>
    </w:rPr>
  </w:style>
  <w:style w:type="paragraph" w:styleId="Heading3">
    <w:name w:val="heading 3"/>
    <w:basedOn w:val="Normal"/>
    <w:next w:val="Normal"/>
    <w:link w:val="Heading3Char"/>
    <w:uiPriority w:val="9"/>
    <w:unhideWhenUsed/>
    <w:qFormat/>
    <w:rsid w:val="00542074"/>
    <w:pPr>
      <w:keepNext/>
      <w:keepLines/>
      <w:spacing w:before="240" w:after="0"/>
      <w:outlineLvl w:val="2"/>
    </w:pPr>
    <w:rPr>
      <w:rFonts w:ascii="Century Gothic" w:eastAsiaTheme="majorEastAsia" w:hAnsi="Century Gothic" w:cstheme="majorBidi"/>
      <w:color w:val="003C6A"/>
      <w:sz w:val="32"/>
      <w:szCs w:val="24"/>
    </w:rPr>
  </w:style>
  <w:style w:type="paragraph" w:styleId="Heading4">
    <w:name w:val="heading 4"/>
    <w:basedOn w:val="Normal"/>
    <w:next w:val="Normal"/>
    <w:link w:val="Heading4Char"/>
    <w:uiPriority w:val="9"/>
    <w:unhideWhenUsed/>
    <w:qFormat/>
    <w:rsid w:val="00542074"/>
    <w:pPr>
      <w:keepNext/>
      <w:keepLines/>
      <w:spacing w:before="240" w:after="0"/>
      <w:outlineLvl w:val="3"/>
    </w:pPr>
    <w:rPr>
      <w:rFonts w:ascii="Century Gothic" w:eastAsiaTheme="majorEastAsia" w:hAnsi="Century Gothic" w:cstheme="majorBidi"/>
      <w:iCs/>
      <w:color w:val="003C6A"/>
      <w:sz w:val="24"/>
    </w:rPr>
  </w:style>
  <w:style w:type="paragraph" w:styleId="Heading5">
    <w:name w:val="heading 5"/>
    <w:basedOn w:val="Normal"/>
    <w:next w:val="Normal"/>
    <w:link w:val="Heading5Char"/>
    <w:uiPriority w:val="9"/>
    <w:semiHidden/>
    <w:unhideWhenUsed/>
    <w:qFormat/>
    <w:rsid w:val="00E36DE8"/>
    <w:pPr>
      <w:keepNext/>
      <w:keepLines/>
      <w:spacing w:before="40" w:after="0"/>
      <w:outlineLvl w:val="4"/>
    </w:pPr>
    <w:rPr>
      <w:rFonts w:ascii="Century Gothic" w:eastAsiaTheme="majorEastAsia" w:hAnsi="Century Gothic" w:cstheme="majorBidi"/>
      <w:i/>
      <w:color w:val="003C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074"/>
    <w:rPr>
      <w:rFonts w:ascii="Century Gothic" w:eastAsiaTheme="majorEastAsia" w:hAnsi="Century Gothic" w:cstheme="majorBidi"/>
      <w:b/>
      <w:color w:val="003C6A"/>
      <w:sz w:val="46"/>
      <w:szCs w:val="32"/>
    </w:rPr>
  </w:style>
  <w:style w:type="character" w:customStyle="1" w:styleId="Heading2Char">
    <w:name w:val="Heading 2 Char"/>
    <w:basedOn w:val="DefaultParagraphFont"/>
    <w:link w:val="Heading2"/>
    <w:uiPriority w:val="9"/>
    <w:rsid w:val="00542074"/>
    <w:rPr>
      <w:rFonts w:ascii="Century Gothic" w:eastAsiaTheme="majorEastAsia" w:hAnsi="Century Gothic" w:cstheme="majorBidi"/>
      <w:b/>
      <w:color w:val="003C6A"/>
      <w:sz w:val="32"/>
      <w:szCs w:val="26"/>
    </w:rPr>
  </w:style>
  <w:style w:type="character" w:customStyle="1" w:styleId="Heading3Char">
    <w:name w:val="Heading 3 Char"/>
    <w:basedOn w:val="DefaultParagraphFont"/>
    <w:link w:val="Heading3"/>
    <w:uiPriority w:val="9"/>
    <w:rsid w:val="00542074"/>
    <w:rPr>
      <w:rFonts w:ascii="Century Gothic" w:eastAsiaTheme="majorEastAsia" w:hAnsi="Century Gothic" w:cstheme="majorBidi"/>
      <w:color w:val="003C6A"/>
      <w:sz w:val="32"/>
      <w:szCs w:val="24"/>
    </w:rPr>
  </w:style>
  <w:style w:type="character" w:customStyle="1" w:styleId="Heading4Char">
    <w:name w:val="Heading 4 Char"/>
    <w:basedOn w:val="DefaultParagraphFont"/>
    <w:link w:val="Heading4"/>
    <w:uiPriority w:val="9"/>
    <w:rsid w:val="00542074"/>
    <w:rPr>
      <w:rFonts w:ascii="Century Gothic" w:eastAsiaTheme="majorEastAsia" w:hAnsi="Century Gothic" w:cstheme="majorBidi"/>
      <w:iCs/>
      <w:color w:val="003C6A"/>
      <w:sz w:val="24"/>
    </w:rPr>
  </w:style>
  <w:style w:type="paragraph" w:styleId="Title">
    <w:name w:val="Title"/>
    <w:basedOn w:val="Heading1"/>
    <w:next w:val="Normal"/>
    <w:link w:val="TitleChar"/>
    <w:uiPriority w:val="10"/>
    <w:qFormat/>
    <w:rsid w:val="00407B7B"/>
  </w:style>
  <w:style w:type="character" w:customStyle="1" w:styleId="TitleChar">
    <w:name w:val="Title Char"/>
    <w:basedOn w:val="DefaultParagraphFont"/>
    <w:link w:val="Title"/>
    <w:uiPriority w:val="10"/>
    <w:rsid w:val="00407B7B"/>
    <w:rPr>
      <w:rFonts w:ascii="Century Gothic" w:eastAsiaTheme="majorEastAsia" w:hAnsi="Century Gothic" w:cstheme="majorBidi"/>
      <w:b/>
      <w:color w:val="003C6A"/>
      <w:sz w:val="46"/>
      <w:szCs w:val="32"/>
    </w:rPr>
  </w:style>
  <w:style w:type="paragraph" w:styleId="Subtitle">
    <w:name w:val="Subtitle"/>
    <w:basedOn w:val="Normal"/>
    <w:next w:val="Normal"/>
    <w:link w:val="SubtitleChar"/>
    <w:uiPriority w:val="11"/>
    <w:qFormat/>
    <w:rsid w:val="00BD61F3"/>
    <w:pPr>
      <w:numPr>
        <w:ilvl w:val="1"/>
      </w:numPr>
      <w:spacing w:after="160"/>
    </w:pPr>
    <w:rPr>
      <w:rFonts w:ascii="Century Gothic" w:eastAsiaTheme="minorEastAsia" w:hAnsi="Century Gothic"/>
      <w:color w:val="FFFFFF" w:themeColor="background1"/>
      <w:spacing w:val="15"/>
      <w:sz w:val="52"/>
    </w:rPr>
  </w:style>
  <w:style w:type="character" w:customStyle="1" w:styleId="SubtitleChar">
    <w:name w:val="Subtitle Char"/>
    <w:basedOn w:val="DefaultParagraphFont"/>
    <w:link w:val="Subtitle"/>
    <w:uiPriority w:val="11"/>
    <w:rsid w:val="00BD61F3"/>
    <w:rPr>
      <w:rFonts w:ascii="Century Gothic" w:eastAsiaTheme="minorEastAsia" w:hAnsi="Century Gothic"/>
      <w:color w:val="FFFFFF" w:themeColor="background1"/>
      <w:spacing w:val="15"/>
      <w:sz w:val="52"/>
    </w:rPr>
  </w:style>
  <w:style w:type="paragraph" w:styleId="Header">
    <w:name w:val="header"/>
    <w:basedOn w:val="Normal"/>
    <w:link w:val="HeaderChar"/>
    <w:uiPriority w:val="99"/>
    <w:unhideWhenUsed/>
    <w:rsid w:val="00DD23EC"/>
    <w:pPr>
      <w:tabs>
        <w:tab w:val="center" w:pos="4513"/>
        <w:tab w:val="right" w:pos="9026"/>
      </w:tabs>
      <w:spacing w:after="0"/>
    </w:pPr>
  </w:style>
  <w:style w:type="character" w:customStyle="1" w:styleId="HeaderChar">
    <w:name w:val="Header Char"/>
    <w:basedOn w:val="DefaultParagraphFont"/>
    <w:link w:val="Header"/>
    <w:uiPriority w:val="99"/>
    <w:rsid w:val="00DD23EC"/>
    <w:rPr>
      <w:rFonts w:ascii="Arial" w:hAnsi="Arial"/>
      <w:sz w:val="20"/>
    </w:rPr>
  </w:style>
  <w:style w:type="paragraph" w:styleId="Footer">
    <w:name w:val="footer"/>
    <w:basedOn w:val="Normal"/>
    <w:link w:val="FooterChar"/>
    <w:uiPriority w:val="99"/>
    <w:unhideWhenUsed/>
    <w:rsid w:val="009A4120"/>
    <w:pPr>
      <w:tabs>
        <w:tab w:val="right" w:pos="9639"/>
      </w:tabs>
      <w:spacing w:after="0"/>
    </w:pPr>
    <w:rPr>
      <w:noProof/>
      <w:color w:val="FFFFFF" w:themeColor="background1"/>
      <w:lang w:eastAsia="en-AU"/>
    </w:rPr>
  </w:style>
  <w:style w:type="character" w:customStyle="1" w:styleId="FooterChar">
    <w:name w:val="Footer Char"/>
    <w:basedOn w:val="DefaultParagraphFont"/>
    <w:link w:val="Footer"/>
    <w:uiPriority w:val="99"/>
    <w:rsid w:val="009A4120"/>
    <w:rPr>
      <w:rFonts w:ascii="Arial" w:hAnsi="Arial"/>
      <w:noProof/>
      <w:color w:val="FFFFFF" w:themeColor="background1"/>
      <w:sz w:val="20"/>
      <w:lang w:eastAsia="en-AU"/>
    </w:rPr>
  </w:style>
  <w:style w:type="character" w:customStyle="1" w:styleId="Heading5Char">
    <w:name w:val="Heading 5 Char"/>
    <w:basedOn w:val="DefaultParagraphFont"/>
    <w:link w:val="Heading5"/>
    <w:uiPriority w:val="9"/>
    <w:semiHidden/>
    <w:rsid w:val="00E36DE8"/>
    <w:rPr>
      <w:rFonts w:ascii="Century Gothic" w:eastAsiaTheme="majorEastAsia" w:hAnsi="Century Gothic" w:cstheme="majorBidi"/>
      <w:i/>
      <w:color w:val="003C6A"/>
      <w:sz w:val="20"/>
    </w:rPr>
  </w:style>
  <w:style w:type="paragraph" w:styleId="ListParagraph">
    <w:name w:val="List Paragraph"/>
    <w:aliases w:val="List Paragraph1,List Paragraph11,Recommendation,L,SAP Subpara,List Paragraph Number,Bullet point,Bulleted Para,NFP GP Bulleted List,bullet point list,Bullet points,Content descriptions,Bullet Point,List Paragraph2,List Paragraph111"/>
    <w:basedOn w:val="Normal"/>
    <w:link w:val="ListParagraphChar"/>
    <w:uiPriority w:val="34"/>
    <w:qFormat/>
    <w:rsid w:val="0019383F"/>
    <w:pPr>
      <w:ind w:left="720"/>
      <w:contextualSpacing/>
    </w:pPr>
  </w:style>
  <w:style w:type="paragraph" w:customStyle="1" w:styleId="Bulletlevel1">
    <w:name w:val="Bullet level 1"/>
    <w:basedOn w:val="ListParagraph"/>
    <w:qFormat/>
    <w:rsid w:val="00B37817"/>
    <w:pPr>
      <w:numPr>
        <w:numId w:val="1"/>
      </w:numPr>
      <w:tabs>
        <w:tab w:val="left" w:pos="284"/>
      </w:tabs>
      <w:spacing w:before="60" w:after="60"/>
      <w:contextualSpacing w:val="0"/>
    </w:pPr>
  </w:style>
  <w:style w:type="paragraph" w:customStyle="1" w:styleId="Bulletlevel2">
    <w:name w:val="Bullet level 2"/>
    <w:basedOn w:val="Bulletlevel1"/>
    <w:qFormat/>
    <w:rsid w:val="00B37817"/>
    <w:pPr>
      <w:numPr>
        <w:ilvl w:val="1"/>
        <w:numId w:val="2"/>
      </w:numPr>
      <w:tabs>
        <w:tab w:val="left" w:pos="567"/>
      </w:tabs>
      <w:ind w:left="936" w:hanging="284"/>
    </w:pPr>
  </w:style>
  <w:style w:type="paragraph" w:customStyle="1" w:styleId="highlighttext">
    <w:name w:val="highlight text"/>
    <w:basedOn w:val="Normal"/>
    <w:qFormat/>
    <w:rsid w:val="00C748B4"/>
    <w:pPr>
      <w:pBdr>
        <w:top w:val="single" w:sz="18" w:space="4" w:color="F26E3D"/>
        <w:bottom w:val="single" w:sz="18" w:space="5" w:color="F26E3D"/>
      </w:pBdr>
      <w:spacing w:before="300" w:after="240" w:line="288" w:lineRule="auto"/>
    </w:pPr>
    <w:rPr>
      <w:sz w:val="24"/>
      <w:szCs w:val="24"/>
    </w:rPr>
  </w:style>
  <w:style w:type="table" w:styleId="TableGrid">
    <w:name w:val="Table Grid"/>
    <w:basedOn w:val="TableNormal"/>
    <w:uiPriority w:val="59"/>
    <w:rsid w:val="00F26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376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765"/>
    <w:rPr>
      <w:rFonts w:ascii="Segoe UI" w:hAnsi="Segoe UI" w:cs="Segoe UI"/>
      <w:sz w:val="18"/>
      <w:szCs w:val="18"/>
    </w:rPr>
  </w:style>
  <w:style w:type="paragraph" w:customStyle="1" w:styleId="Pa1">
    <w:name w:val="Pa1"/>
    <w:basedOn w:val="Normal"/>
    <w:next w:val="Normal"/>
    <w:uiPriority w:val="99"/>
    <w:rsid w:val="00C33765"/>
    <w:pPr>
      <w:autoSpaceDE w:val="0"/>
      <w:autoSpaceDN w:val="0"/>
      <w:adjustRightInd w:val="0"/>
      <w:spacing w:before="0" w:after="0" w:line="241" w:lineRule="atLeast"/>
    </w:pPr>
    <w:rPr>
      <w:rFonts w:ascii="Century Gothic Pro" w:hAnsi="Century Gothic Pro"/>
      <w:sz w:val="24"/>
      <w:szCs w:val="24"/>
    </w:rPr>
  </w:style>
  <w:style w:type="character" w:customStyle="1" w:styleId="A4">
    <w:name w:val="A4"/>
    <w:uiPriority w:val="99"/>
    <w:rsid w:val="00C33765"/>
    <w:rPr>
      <w:rFonts w:cs="Century Gothic Pro"/>
      <w:color w:val="FFFFFF"/>
      <w:sz w:val="20"/>
      <w:szCs w:val="20"/>
    </w:rPr>
  </w:style>
  <w:style w:type="paragraph" w:customStyle="1" w:styleId="Tableheading">
    <w:name w:val="Table heading"/>
    <w:basedOn w:val="Normal"/>
    <w:qFormat/>
    <w:rsid w:val="00C33765"/>
    <w:pPr>
      <w:autoSpaceDE w:val="0"/>
      <w:autoSpaceDN w:val="0"/>
      <w:adjustRightInd w:val="0"/>
      <w:spacing w:before="0" w:after="0" w:line="241" w:lineRule="atLeast"/>
    </w:pPr>
    <w:rPr>
      <w:rFonts w:ascii="Century Gothic Pro" w:hAnsi="Century Gothic Pro" w:cs="Century Gothic Pro"/>
      <w:b/>
      <w:bCs/>
      <w:color w:val="FFFFFF"/>
      <w:szCs w:val="20"/>
    </w:rPr>
  </w:style>
  <w:style w:type="paragraph" w:customStyle="1" w:styleId="Tableheading2">
    <w:name w:val="Table heading 2"/>
    <w:basedOn w:val="Normal"/>
    <w:qFormat/>
    <w:rsid w:val="00C33765"/>
    <w:pPr>
      <w:autoSpaceDE w:val="0"/>
      <w:autoSpaceDN w:val="0"/>
      <w:adjustRightInd w:val="0"/>
      <w:spacing w:before="0" w:after="0" w:line="241" w:lineRule="atLeast"/>
    </w:pPr>
    <w:rPr>
      <w:rFonts w:ascii="Century Gothic Pro" w:hAnsi="Century Gothic Pro" w:cs="Century Gothic Pro"/>
      <w:color w:val="FFFFFF"/>
      <w:szCs w:val="20"/>
    </w:rPr>
  </w:style>
  <w:style w:type="paragraph" w:customStyle="1" w:styleId="Tablebody">
    <w:name w:val="Table body"/>
    <w:basedOn w:val="Normal"/>
    <w:qFormat/>
    <w:rsid w:val="00407B7B"/>
    <w:pPr>
      <w:spacing w:before="0"/>
    </w:pPr>
    <w:rPr>
      <w:sz w:val="18"/>
      <w:szCs w:val="18"/>
    </w:rPr>
  </w:style>
  <w:style w:type="character" w:styleId="Hyperlink">
    <w:name w:val="Hyperlink"/>
    <w:basedOn w:val="DefaultParagraphFont"/>
    <w:uiPriority w:val="99"/>
    <w:unhideWhenUsed/>
    <w:rsid w:val="00C96368"/>
    <w:rPr>
      <w:color w:val="0000FF" w:themeColor="hyperlink"/>
      <w:u w:val="single"/>
    </w:rPr>
  </w:style>
  <w:style w:type="character" w:styleId="UnresolvedMention">
    <w:name w:val="Unresolved Mention"/>
    <w:basedOn w:val="DefaultParagraphFont"/>
    <w:uiPriority w:val="99"/>
    <w:semiHidden/>
    <w:unhideWhenUsed/>
    <w:rsid w:val="00B6626C"/>
    <w:rPr>
      <w:color w:val="605E5C"/>
      <w:shd w:val="clear" w:color="auto" w:fill="E1DFDD"/>
    </w:rPr>
  </w:style>
  <w:style w:type="character" w:customStyle="1" w:styleId="ListParagraphChar">
    <w:name w:val="List Paragraph Char"/>
    <w:aliases w:val="List Paragraph1 Char,List Paragraph11 Char,Recommendation Char,L Char,SAP Subpara Char,List Paragraph Number Char,Bullet point Char,Bulleted Para Char,NFP GP Bulleted List Char,bullet point list Char,Bullet points Char"/>
    <w:link w:val="ListParagraph"/>
    <w:uiPriority w:val="34"/>
    <w:locked/>
    <w:rsid w:val="000926BB"/>
    <w:rPr>
      <w:rFonts w:ascii="Arial" w:hAnsi="Arial"/>
      <w:sz w:val="20"/>
    </w:rPr>
  </w:style>
  <w:style w:type="character" w:styleId="FollowedHyperlink">
    <w:name w:val="FollowedHyperlink"/>
    <w:basedOn w:val="DefaultParagraphFont"/>
    <w:uiPriority w:val="99"/>
    <w:semiHidden/>
    <w:unhideWhenUsed/>
    <w:rsid w:val="00724A7A"/>
    <w:rPr>
      <w:color w:val="800080" w:themeColor="followedHyperlink"/>
      <w:u w:val="single"/>
    </w:rPr>
  </w:style>
  <w:style w:type="character" w:styleId="CommentReference">
    <w:name w:val="annotation reference"/>
    <w:basedOn w:val="DefaultParagraphFont"/>
    <w:uiPriority w:val="99"/>
    <w:semiHidden/>
    <w:unhideWhenUsed/>
    <w:rsid w:val="00BB5128"/>
    <w:rPr>
      <w:sz w:val="16"/>
      <w:szCs w:val="16"/>
    </w:rPr>
  </w:style>
  <w:style w:type="paragraph" w:styleId="CommentText">
    <w:name w:val="annotation text"/>
    <w:basedOn w:val="Normal"/>
    <w:link w:val="CommentTextChar"/>
    <w:uiPriority w:val="99"/>
    <w:semiHidden/>
    <w:unhideWhenUsed/>
    <w:rsid w:val="00BB5128"/>
    <w:rPr>
      <w:szCs w:val="20"/>
    </w:rPr>
  </w:style>
  <w:style w:type="character" w:customStyle="1" w:styleId="CommentTextChar">
    <w:name w:val="Comment Text Char"/>
    <w:basedOn w:val="DefaultParagraphFont"/>
    <w:link w:val="CommentText"/>
    <w:uiPriority w:val="99"/>
    <w:semiHidden/>
    <w:rsid w:val="00BB512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B5128"/>
    <w:rPr>
      <w:b/>
      <w:bCs/>
    </w:rPr>
  </w:style>
  <w:style w:type="character" w:customStyle="1" w:styleId="CommentSubjectChar">
    <w:name w:val="Comment Subject Char"/>
    <w:basedOn w:val="CommentTextChar"/>
    <w:link w:val="CommentSubject"/>
    <w:uiPriority w:val="99"/>
    <w:semiHidden/>
    <w:rsid w:val="00BB512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enni.a.campbell@outlook.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nsultations.health.gov.au/primary-care-mental-health-division/consultation-draft-older-adults-national-ia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ar-dst.onlin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health.gov.au/resources/publications/primary-health-networks-phn-mental-health-care-guidance-initial-assessment-and-referral-for-mental-health-car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H.IARProject@health.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B0B12D2F0A044930B7F0ED9CD8462" ma:contentTypeVersion="15" ma:contentTypeDescription="Create a new document." ma:contentTypeScope="" ma:versionID="3a47fea1736b24f5ae1554db059b5530">
  <xsd:schema xmlns:xsd="http://www.w3.org/2001/XMLSchema" xmlns:xs="http://www.w3.org/2001/XMLSchema" xmlns:p="http://schemas.microsoft.com/office/2006/metadata/properties" xmlns:ns2="66b98d56-25b7-479b-bf58-c8a0702ccf2c" xmlns:ns3="3e9090f6-0245-48e3-bd19-46cc0b4d31f0" targetNamespace="http://schemas.microsoft.com/office/2006/metadata/properties" ma:root="true" ma:fieldsID="ae2c912b358e3060b04b04e10a2a743d" ns2:_="" ns3:_="">
    <xsd:import namespace="66b98d56-25b7-479b-bf58-c8a0702ccf2c"/>
    <xsd:import namespace="3e9090f6-0245-48e3-bd19-46cc0b4d31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Trello" minOccurs="0"/>
                <xsd:element ref="ns3:MediaServiceLocation"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98d56-25b7-479b-bf58-c8a0702ccf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9090f6-0245-48e3-bd19-46cc0b4d31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Trello" ma:index="20" nillable="true" ma:displayName="Trello" ma:description="Link to Trello ticket" ma:format="Hyperlink" ma:internalName="Trello">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Category" ma:index="22" nillable="true" ma:displayName="Category" ma:format="Dropdown" ma:internalName="Category">
      <xsd:simpleType>
        <xsd:restriction base="dms:Choice">
          <xsd:enumeration value="Design Files"/>
          <xsd:enumeration value="Image Libraries"/>
          <xsd:enumeration value="Video Team"/>
          <xsd:enumeration value="Design Files - Corporate Comms Wallboard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rello xmlns="3e9090f6-0245-48e3-bd19-46cc0b4d31f0">
      <Url xsi:nil="true"/>
      <Description xsi:nil="true"/>
    </Trello>
    <Category xmlns="3e9090f6-0245-48e3-bd19-46cc0b4d31f0" xsi:nil="true"/>
  </documentManagement>
</p:properties>
</file>

<file path=customXml/itemProps1.xml><?xml version="1.0" encoding="utf-8"?>
<ds:datastoreItem xmlns:ds="http://schemas.openxmlformats.org/officeDocument/2006/customXml" ds:itemID="{7C718EE5-3C71-47F7-99B8-4C79DE34FBED}">
  <ds:schemaRefs>
    <ds:schemaRef ds:uri="http://schemas.microsoft.com/sharepoint/v3/contenttype/forms"/>
  </ds:schemaRefs>
</ds:datastoreItem>
</file>

<file path=customXml/itemProps2.xml><?xml version="1.0" encoding="utf-8"?>
<ds:datastoreItem xmlns:ds="http://schemas.openxmlformats.org/officeDocument/2006/customXml" ds:itemID="{6689F75D-E854-4F34-ACCA-D04022076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98d56-25b7-479b-bf58-c8a0702ccf2c"/>
    <ds:schemaRef ds:uri="3e9090f6-0245-48e3-bd19-46cc0b4d3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AFED4F-0B8C-4B01-B7F6-F4D7BB32113F}">
  <ds:schemaRefs>
    <ds:schemaRef ds:uri="http://schemas.microsoft.com/office/2006/metadata/properties"/>
    <ds:schemaRef ds:uri="http://schemas.microsoft.com/office/infopath/2007/PartnerControls"/>
    <ds:schemaRef ds:uri="3e9090f6-0245-48e3-bd19-46cc0b4d31f0"/>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FAIRHALL, Brad</dc:creator>
  <cp:keywords/>
  <dc:description/>
  <cp:lastModifiedBy>BENTLEY, Lisa</cp:lastModifiedBy>
  <cp:revision>6</cp:revision>
  <dcterms:created xsi:type="dcterms:W3CDTF">2022-05-11T07:12:00Z</dcterms:created>
  <dcterms:modified xsi:type="dcterms:W3CDTF">2022-05-19T04:26:00Z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0x010100AA3B0B12D2F0A044930B7F0ED9CD8462</vt:lpwstr>
  </property>
</Properties>
</file>