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016"/>
      </w:tblGrid>
      <w:tr w:rsidR="00A71F1C" w:rsidRPr="00B456CF" w14:paraId="6B5530FA" w14:textId="77777777" w:rsidTr="00AC1D02">
        <w:trPr>
          <w:trHeight w:val="567"/>
        </w:trPr>
        <w:tc>
          <w:tcPr>
            <w:tcW w:w="9016" w:type="dxa"/>
            <w:shd w:val="clear" w:color="auto" w:fill="C45911" w:themeFill="accent2" w:themeFillShade="BF"/>
            <w:vAlign w:val="center"/>
          </w:tcPr>
          <w:p w14:paraId="6C17E265" w14:textId="7A029303" w:rsidR="00A71F1C" w:rsidRPr="00F25F36" w:rsidRDefault="00104C7E" w:rsidP="00F25F36">
            <w:pPr>
              <w:pStyle w:val="Heading1"/>
              <w:spacing w:before="120" w:after="120"/>
              <w:jc w:val="center"/>
              <w:outlineLvl w:val="0"/>
              <w:rPr>
                <w:b/>
                <w:bCs/>
              </w:rPr>
            </w:pPr>
            <w:r w:rsidRPr="00F76D61">
              <w:rPr>
                <w:b/>
                <w:bCs/>
                <w:color w:val="FFFFFF" w:themeColor="background1"/>
              </w:rPr>
              <w:t>SUMMARY</w:t>
            </w:r>
          </w:p>
        </w:tc>
      </w:tr>
      <w:tr w:rsidR="00A71F1C" w:rsidRPr="00B456CF" w14:paraId="66C663B4" w14:textId="77777777" w:rsidTr="00AC1D02">
        <w:trPr>
          <w:trHeight w:val="1304"/>
        </w:trPr>
        <w:tc>
          <w:tcPr>
            <w:tcW w:w="9016" w:type="dxa"/>
            <w:shd w:val="clear" w:color="auto" w:fill="FBE4D5" w:themeFill="accent2" w:themeFillTint="33"/>
            <w:vAlign w:val="center"/>
          </w:tcPr>
          <w:p w14:paraId="3E44E36D" w14:textId="77777777" w:rsidR="00A71F1C" w:rsidRPr="00B456CF" w:rsidRDefault="00A71F1C" w:rsidP="00A71F1C">
            <w:pPr>
              <w:jc w:val="center"/>
              <w:rPr>
                <w:rFonts w:cstheme="minorHAnsi"/>
                <w:b/>
                <w:sz w:val="28"/>
                <w:szCs w:val="28"/>
              </w:rPr>
            </w:pPr>
            <w:r w:rsidRPr="00B456CF">
              <w:rPr>
                <w:rFonts w:cstheme="minorHAnsi"/>
                <w:b/>
                <w:sz w:val="28"/>
                <w:szCs w:val="28"/>
              </w:rPr>
              <w:t>GUIDING PRINCIPLES</w:t>
            </w:r>
          </w:p>
          <w:p w14:paraId="73D5A922" w14:textId="77777777" w:rsidR="00A71F1C" w:rsidRPr="00B456CF" w:rsidRDefault="00A71F1C" w:rsidP="00A71F1C">
            <w:pPr>
              <w:jc w:val="center"/>
              <w:rPr>
                <w:rFonts w:eastAsia="Arial" w:cstheme="minorHAnsi"/>
                <w:sz w:val="28"/>
                <w:szCs w:val="28"/>
                <w:shd w:val="clear" w:color="auto" w:fill="FFFFFF"/>
                <w:lang w:val="en-AU"/>
              </w:rPr>
            </w:pPr>
            <w:r w:rsidRPr="00B456CF">
              <w:rPr>
                <w:rFonts w:cstheme="minorHAnsi"/>
                <w:b/>
                <w:sz w:val="28"/>
                <w:szCs w:val="28"/>
              </w:rPr>
              <w:t>Ensuring Culturally Safe Health Genomics in Partnership with Aboriginal and Torres Strait Islander Peoples.</w:t>
            </w:r>
          </w:p>
        </w:tc>
      </w:tr>
    </w:tbl>
    <w:p w14:paraId="687202D4" w14:textId="77777777" w:rsidR="001D5FA6" w:rsidRPr="00F25F36" w:rsidRDefault="001D5FA6" w:rsidP="00F25F36">
      <w:pPr>
        <w:pStyle w:val="Heading1"/>
        <w:rPr>
          <w:rFonts w:eastAsia="Arial"/>
          <w:b/>
          <w:bCs/>
          <w:color w:val="auto"/>
          <w:shd w:val="clear" w:color="auto" w:fill="FFFFFF"/>
          <w:lang w:val="en-AU"/>
        </w:rPr>
      </w:pPr>
      <w:r w:rsidRPr="00F25F36">
        <w:rPr>
          <w:rFonts w:eastAsia="Arial"/>
          <w:b/>
          <w:bCs/>
          <w:color w:val="auto"/>
          <w:shd w:val="clear" w:color="auto" w:fill="FFFFFF"/>
          <w:lang w:val="en-AU"/>
        </w:rPr>
        <w:t>Introduction</w:t>
      </w:r>
    </w:p>
    <w:p w14:paraId="28E8B102" w14:textId="2E50E9AE" w:rsidR="00043FB6" w:rsidRDefault="00DA4DB3" w:rsidP="00617114">
      <w:pPr>
        <w:spacing w:after="120" w:line="240" w:lineRule="auto"/>
        <w:jc w:val="both"/>
      </w:pPr>
      <w:r w:rsidRPr="00DA4DB3">
        <w:t xml:space="preserve">Genomics describes the study of </w:t>
      </w:r>
      <w:proofErr w:type="gramStart"/>
      <w:r w:rsidRPr="00DA4DB3">
        <w:t>all of</w:t>
      </w:r>
      <w:proofErr w:type="gramEnd"/>
      <w:r w:rsidRPr="00DA4DB3">
        <w:t xml:space="preserve"> a person's genes (the genome), including interactions of those genes with each other and with the person's environment. Genomics includes the scientific study of complex diseases such as heart disease, asthma, diabetes, and cancer because these diseases are typically caused more by a combination of genetic and environmental factors than by individual genes. Genomics is offering new possibilities for therapies and treatments for some complex diseases, as well as new diagnostic methods.</w:t>
      </w:r>
    </w:p>
    <w:p w14:paraId="78E35D33" w14:textId="5BA8DC81" w:rsidR="0056318E" w:rsidRPr="000B6D4E" w:rsidRDefault="000B6D4E" w:rsidP="00617114">
      <w:pPr>
        <w:spacing w:after="120" w:line="240" w:lineRule="auto"/>
        <w:jc w:val="both"/>
        <w:rPr>
          <w:rFonts w:cstheme="minorHAnsi"/>
        </w:rPr>
      </w:pPr>
      <w:r w:rsidRPr="005973DF">
        <w:t>The Aboriginal and</w:t>
      </w:r>
      <w:r w:rsidRPr="005973DF">
        <w:rPr>
          <w:rFonts w:eastAsia="Arial" w:cstheme="minorHAnsi"/>
          <w:shd w:val="clear" w:color="auto" w:fill="FFFFFF"/>
          <w:lang w:val="en-AU"/>
        </w:rPr>
        <w:t xml:space="preserve"> Torres Strait Islander Advisory Group on Health Genomics ha</w:t>
      </w:r>
      <w:r w:rsidR="00DA4DB3">
        <w:rPr>
          <w:rFonts w:eastAsia="Arial" w:cstheme="minorHAnsi"/>
          <w:shd w:val="clear" w:color="auto" w:fill="FFFFFF"/>
          <w:lang w:val="en-AU"/>
        </w:rPr>
        <w:t>s</w:t>
      </w:r>
      <w:r w:rsidRPr="005973DF">
        <w:rPr>
          <w:rFonts w:eastAsia="Arial" w:cstheme="minorHAnsi"/>
          <w:shd w:val="clear" w:color="auto" w:fill="FFFFFF"/>
          <w:lang w:val="en-AU"/>
        </w:rPr>
        <w:t xml:space="preserve"> developed these Guiding Principles</w:t>
      </w:r>
      <w:r w:rsidR="00DA4DB3">
        <w:rPr>
          <w:rFonts w:eastAsia="Arial" w:cstheme="minorHAnsi"/>
          <w:shd w:val="clear" w:color="auto" w:fill="FFFFFF"/>
          <w:lang w:val="en-AU"/>
        </w:rPr>
        <w:t xml:space="preserve"> as</w:t>
      </w:r>
      <w:r w:rsidR="0028066A" w:rsidRPr="005973DF">
        <w:rPr>
          <w:rFonts w:eastAsia="Arial" w:cstheme="minorHAnsi"/>
          <w:shd w:val="clear" w:color="auto" w:fill="FFFFFF"/>
          <w:lang w:val="en-AU"/>
        </w:rPr>
        <w:t xml:space="preserve"> </w:t>
      </w:r>
      <w:r w:rsidR="00DA4DB3" w:rsidRPr="00B456CF">
        <w:rPr>
          <w:rFonts w:cstheme="minorHAnsi"/>
        </w:rPr>
        <w:t xml:space="preserve">a framework for ensuring culturally safe genomic health services and research studies that </w:t>
      </w:r>
      <w:r w:rsidR="00DA4DB3" w:rsidRPr="000B6D4E">
        <w:rPr>
          <w:rFonts w:cstheme="minorHAnsi"/>
        </w:rPr>
        <w:t xml:space="preserve">maximise benefits and minimise risks for Aboriginal and Torres Strait Islander peoples. The Guiding Principles are intended to be applied to the range of genomic health services, including diagnostic, prevention and treatment, and all facets of genomics research. </w:t>
      </w:r>
      <w:r w:rsidR="00DA4DB3">
        <w:rPr>
          <w:rFonts w:cstheme="minorHAnsi"/>
        </w:rPr>
        <w:t xml:space="preserve">The </w:t>
      </w:r>
      <w:r w:rsidR="00DA4DB3" w:rsidRPr="00DA4DB3">
        <w:rPr>
          <w:rFonts w:ascii="Calibri" w:eastAsia="Times New Roman" w:hAnsi="Calibri" w:cstheme="minorHAnsi"/>
          <w:szCs w:val="24"/>
        </w:rPr>
        <w:t>guiding principles</w:t>
      </w:r>
      <w:r w:rsidR="0028066A" w:rsidRPr="00B456CF">
        <w:rPr>
          <w:rFonts w:eastAsia="Arial" w:cstheme="minorHAnsi"/>
          <w:bCs/>
          <w:shd w:val="clear" w:color="auto" w:fill="FFFFFF"/>
          <w:lang w:val="en-AU"/>
        </w:rPr>
        <w:t xml:space="preserve"> complement and extend the National Health Genomics Policy Framework.</w:t>
      </w:r>
      <w:r w:rsidR="0028066A" w:rsidRPr="00B456CF">
        <w:rPr>
          <w:rStyle w:val="FootnoteReference"/>
          <w:rFonts w:cstheme="minorHAnsi"/>
          <w:color w:val="56575A"/>
          <w:lang w:val="en-AU"/>
        </w:rPr>
        <w:footnoteReference w:id="1"/>
      </w:r>
      <w:r w:rsidR="0028066A" w:rsidRPr="00B456CF">
        <w:rPr>
          <w:rFonts w:eastAsia="Arial" w:cstheme="minorHAnsi"/>
          <w:shd w:val="clear" w:color="auto" w:fill="FFFFFF"/>
          <w:vertAlign w:val="superscript"/>
          <w:lang w:val="en-AU"/>
        </w:rPr>
        <w:t>,</w:t>
      </w:r>
      <w:r w:rsidR="0028066A" w:rsidRPr="00B456CF">
        <w:rPr>
          <w:rFonts w:cstheme="minorHAnsi"/>
          <w:vertAlign w:val="superscript"/>
          <w:lang w:val="en-AU"/>
        </w:rPr>
        <w:footnoteReference w:id="2"/>
      </w:r>
      <w:r w:rsidR="0028066A" w:rsidRPr="00B456CF">
        <w:rPr>
          <w:rFonts w:cstheme="minorHAnsi"/>
          <w:color w:val="56575A"/>
          <w:lang w:val="en-AU"/>
        </w:rPr>
        <w:t xml:space="preserve"> </w:t>
      </w:r>
    </w:p>
    <w:p w14:paraId="457B53BB" w14:textId="5B311267" w:rsidR="00CC661C" w:rsidRPr="00B456CF" w:rsidRDefault="000445A3" w:rsidP="00617114">
      <w:pPr>
        <w:spacing w:after="120" w:line="240" w:lineRule="auto"/>
        <w:jc w:val="both"/>
        <w:rPr>
          <w:rFonts w:cstheme="minorHAnsi"/>
        </w:rPr>
      </w:pPr>
      <w:r w:rsidRPr="000B6D4E">
        <w:rPr>
          <w:rFonts w:cstheme="minorHAnsi"/>
        </w:rPr>
        <w:t>The</w:t>
      </w:r>
      <w:r w:rsidR="00B40249" w:rsidRPr="000B6D4E">
        <w:rPr>
          <w:rFonts w:cstheme="minorHAnsi"/>
        </w:rPr>
        <w:t>se</w:t>
      </w:r>
      <w:r w:rsidRPr="000B6D4E">
        <w:rPr>
          <w:rFonts w:cstheme="minorHAnsi"/>
        </w:rPr>
        <w:t xml:space="preserve"> </w:t>
      </w:r>
      <w:r w:rsidR="000B6D4E" w:rsidRPr="000B6D4E">
        <w:rPr>
          <w:rFonts w:cstheme="minorHAnsi"/>
        </w:rPr>
        <w:t xml:space="preserve">Guiding </w:t>
      </w:r>
      <w:r w:rsidR="00CC661C" w:rsidRPr="000B6D4E">
        <w:rPr>
          <w:rFonts w:cstheme="minorHAnsi"/>
        </w:rPr>
        <w:t>P</w:t>
      </w:r>
      <w:r w:rsidRPr="000B6D4E">
        <w:rPr>
          <w:rFonts w:cstheme="minorHAnsi"/>
        </w:rPr>
        <w:t xml:space="preserve">rinciples </w:t>
      </w:r>
      <w:r w:rsidR="0056318E" w:rsidRPr="000B6D4E">
        <w:rPr>
          <w:rFonts w:cstheme="minorHAnsi"/>
        </w:rPr>
        <w:t xml:space="preserve">are directed at </w:t>
      </w:r>
      <w:r w:rsidR="00A82AF7" w:rsidRPr="000B6D4E">
        <w:rPr>
          <w:rFonts w:cstheme="minorHAnsi"/>
        </w:rPr>
        <w:t xml:space="preserve">the clinical workforce, </w:t>
      </w:r>
      <w:r w:rsidR="001D5FA6" w:rsidRPr="000B6D4E">
        <w:rPr>
          <w:rFonts w:cstheme="minorHAnsi"/>
        </w:rPr>
        <w:t xml:space="preserve">managers and </w:t>
      </w:r>
      <w:r w:rsidR="00A82AF7" w:rsidRPr="000B6D4E">
        <w:rPr>
          <w:rFonts w:cstheme="minorHAnsi"/>
        </w:rPr>
        <w:t xml:space="preserve">researchers </w:t>
      </w:r>
      <w:r w:rsidR="0056318E" w:rsidRPr="000B6D4E">
        <w:rPr>
          <w:rFonts w:cstheme="minorHAnsi"/>
        </w:rPr>
        <w:t xml:space="preserve">involved in the planning and provision of genomic </w:t>
      </w:r>
      <w:r w:rsidR="001D5FA6" w:rsidRPr="000B6D4E">
        <w:rPr>
          <w:rFonts w:cstheme="minorHAnsi"/>
        </w:rPr>
        <w:t xml:space="preserve">health </w:t>
      </w:r>
      <w:r w:rsidR="0056318E" w:rsidRPr="000B6D4E">
        <w:rPr>
          <w:rFonts w:cstheme="minorHAnsi"/>
        </w:rPr>
        <w:t xml:space="preserve">services and research related to Aboriginal and Torres Strait Islander </w:t>
      </w:r>
      <w:r w:rsidR="00104C7E" w:rsidRPr="000B6D4E">
        <w:rPr>
          <w:rFonts w:cstheme="minorHAnsi"/>
        </w:rPr>
        <w:t>p</w:t>
      </w:r>
      <w:r w:rsidR="0056318E" w:rsidRPr="000B6D4E">
        <w:rPr>
          <w:rFonts w:cstheme="minorHAnsi"/>
        </w:rPr>
        <w:t xml:space="preserve">eople. The </w:t>
      </w:r>
      <w:r w:rsidR="000B6D4E" w:rsidRPr="000B6D4E">
        <w:rPr>
          <w:rFonts w:cstheme="minorHAnsi"/>
        </w:rPr>
        <w:t xml:space="preserve">Guiding </w:t>
      </w:r>
      <w:r w:rsidR="0056318E" w:rsidRPr="000B6D4E">
        <w:rPr>
          <w:rFonts w:cstheme="minorHAnsi"/>
        </w:rPr>
        <w:t>Principles</w:t>
      </w:r>
      <w:r w:rsidR="0056318E" w:rsidRPr="00B456CF">
        <w:rPr>
          <w:rFonts w:cstheme="minorHAnsi"/>
        </w:rPr>
        <w:t xml:space="preserve"> </w:t>
      </w:r>
      <w:r w:rsidR="00C509BA">
        <w:rPr>
          <w:rFonts w:cstheme="minorHAnsi"/>
        </w:rPr>
        <w:t xml:space="preserve">are </w:t>
      </w:r>
      <w:r w:rsidR="0056318E" w:rsidRPr="00B456CF">
        <w:rPr>
          <w:rFonts w:cstheme="minorHAnsi"/>
        </w:rPr>
        <w:t xml:space="preserve">also </w:t>
      </w:r>
      <w:r w:rsidR="00C509BA">
        <w:rPr>
          <w:rFonts w:cstheme="minorHAnsi"/>
        </w:rPr>
        <w:t xml:space="preserve">intended to </w:t>
      </w:r>
      <w:r w:rsidR="0056318E" w:rsidRPr="00B456CF">
        <w:rPr>
          <w:rFonts w:cstheme="minorHAnsi"/>
        </w:rPr>
        <w:t xml:space="preserve">be a useful resource for </w:t>
      </w:r>
      <w:r w:rsidR="00DA4DB3" w:rsidRPr="00B456CF">
        <w:rPr>
          <w:rFonts w:cstheme="minorHAnsi"/>
        </w:rPr>
        <w:t xml:space="preserve">Aboriginal </w:t>
      </w:r>
      <w:r w:rsidR="00DA4DB3">
        <w:rPr>
          <w:rFonts w:cstheme="minorHAnsi"/>
        </w:rPr>
        <w:t>and</w:t>
      </w:r>
      <w:r w:rsidR="00736523" w:rsidRPr="00B456CF">
        <w:rPr>
          <w:rFonts w:cstheme="minorHAnsi"/>
        </w:rPr>
        <w:t xml:space="preserve"> Torres Strait Islander peoples and their communities</w:t>
      </w:r>
      <w:r w:rsidR="00C509BA">
        <w:rPr>
          <w:rFonts w:cstheme="minorHAnsi"/>
        </w:rPr>
        <w:t xml:space="preserve"> to support their decision making with respect to engaging (or not) with genomics research</w:t>
      </w:r>
      <w:r w:rsidR="0056318E" w:rsidRPr="00B456CF">
        <w:rPr>
          <w:rFonts w:cstheme="minorHAnsi"/>
        </w:rPr>
        <w:t>.</w:t>
      </w:r>
      <w:r w:rsidR="00736523" w:rsidRPr="00B456CF">
        <w:rPr>
          <w:rFonts w:cstheme="minorHAnsi"/>
        </w:rPr>
        <w:t xml:space="preserve"> </w:t>
      </w:r>
    </w:p>
    <w:p w14:paraId="2747FD7C" w14:textId="77777777" w:rsidR="001F1A44" w:rsidRPr="00B456CF" w:rsidRDefault="00CC661C" w:rsidP="00617114">
      <w:pPr>
        <w:spacing w:after="120" w:line="240" w:lineRule="auto"/>
        <w:jc w:val="both"/>
        <w:rPr>
          <w:rFonts w:cstheme="minorHAnsi"/>
          <w:bCs/>
          <w:i/>
          <w:iCs/>
        </w:rPr>
      </w:pPr>
      <w:r w:rsidRPr="00B456CF">
        <w:rPr>
          <w:rFonts w:eastAsia="Arial" w:cstheme="minorHAnsi"/>
          <w:shd w:val="clear" w:color="auto" w:fill="FFFFFF"/>
          <w:lang w:val="en-AU"/>
        </w:rPr>
        <w:t>Significant health and social disparities exist between Aboriginal and Torres Strait Islander people and non-Indigenous Australians</w:t>
      </w:r>
      <w:r w:rsidR="00B366E6" w:rsidRPr="00B456CF">
        <w:rPr>
          <w:rFonts w:eastAsia="Arial" w:cstheme="minorHAnsi"/>
          <w:shd w:val="clear" w:color="auto" w:fill="FFFFFF"/>
          <w:lang w:val="en-AU"/>
        </w:rPr>
        <w:t xml:space="preserve"> in relation to </w:t>
      </w:r>
      <w:r w:rsidR="00A82AF7" w:rsidRPr="00B456CF">
        <w:rPr>
          <w:rFonts w:eastAsia="Arial" w:cstheme="minorHAnsi"/>
          <w:shd w:val="clear" w:color="auto" w:fill="FFFFFF"/>
          <w:lang w:val="en-AU"/>
        </w:rPr>
        <w:t xml:space="preserve">health service access and </w:t>
      </w:r>
      <w:r w:rsidR="00B366E6" w:rsidRPr="00B456CF">
        <w:rPr>
          <w:rFonts w:eastAsia="Arial" w:cstheme="minorHAnsi"/>
          <w:shd w:val="clear" w:color="auto" w:fill="FFFFFF"/>
          <w:lang w:val="en-AU"/>
        </w:rPr>
        <w:t>health outcomes</w:t>
      </w:r>
      <w:r w:rsidRPr="00B456CF">
        <w:rPr>
          <w:rFonts w:eastAsia="Arial" w:cstheme="minorHAnsi"/>
          <w:shd w:val="clear" w:color="auto" w:fill="FFFFFF"/>
          <w:lang w:val="en-AU"/>
        </w:rPr>
        <w:t xml:space="preserve">. </w:t>
      </w:r>
      <w:r w:rsidR="00164DC1" w:rsidRPr="00B456CF">
        <w:rPr>
          <w:rFonts w:cstheme="minorHAnsi"/>
        </w:rPr>
        <w:t xml:space="preserve">The </w:t>
      </w:r>
      <w:r w:rsidR="005937AF" w:rsidRPr="00B456CF">
        <w:rPr>
          <w:rFonts w:cstheme="minorHAnsi"/>
          <w:bCs/>
          <w:i/>
          <w:iCs/>
        </w:rPr>
        <w:t>National Agreement on Closing the Gap: Closing the Gap in Partnership, July 2020</w:t>
      </w:r>
      <w:r w:rsidR="005937AF" w:rsidRPr="00B456CF">
        <w:rPr>
          <w:rFonts w:cstheme="minorHAnsi"/>
          <w:bCs/>
        </w:rPr>
        <w:t xml:space="preserve"> </w:t>
      </w:r>
      <w:r w:rsidR="005937AF" w:rsidRPr="00B456CF">
        <w:rPr>
          <w:rStyle w:val="FootnoteReference"/>
          <w:rFonts w:cstheme="minorHAnsi"/>
        </w:rPr>
        <w:footnoteReference w:id="3"/>
      </w:r>
      <w:r w:rsidR="005937AF" w:rsidRPr="00B456CF">
        <w:rPr>
          <w:rFonts w:cstheme="minorHAnsi"/>
        </w:rPr>
        <w:t xml:space="preserve"> </w:t>
      </w:r>
      <w:r w:rsidR="00164DC1" w:rsidRPr="00B456CF">
        <w:rPr>
          <w:rFonts w:cstheme="minorHAnsi"/>
        </w:rPr>
        <w:t>highlight</w:t>
      </w:r>
      <w:r w:rsidR="005937AF" w:rsidRPr="00B456CF">
        <w:rPr>
          <w:rFonts w:cstheme="minorHAnsi"/>
        </w:rPr>
        <w:t>s</w:t>
      </w:r>
      <w:r w:rsidR="00164DC1" w:rsidRPr="00B456CF">
        <w:rPr>
          <w:rFonts w:cstheme="minorHAnsi"/>
        </w:rPr>
        <w:t xml:space="preserve"> that strong culture is fundamental to and directly contributes to improving life outcomes for Aboriginal and Torres Strait Islander individuals, </w:t>
      </w:r>
      <w:proofErr w:type="gramStart"/>
      <w:r w:rsidR="00164DC1" w:rsidRPr="00B456CF">
        <w:rPr>
          <w:rFonts w:cstheme="minorHAnsi"/>
        </w:rPr>
        <w:t>families</w:t>
      </w:r>
      <w:proofErr w:type="gramEnd"/>
      <w:r w:rsidR="00164DC1" w:rsidRPr="00B456CF">
        <w:rPr>
          <w:rFonts w:cstheme="minorHAnsi"/>
        </w:rPr>
        <w:t xml:space="preserve"> and communities</w:t>
      </w:r>
      <w:r w:rsidR="005937AF" w:rsidRPr="00B456CF">
        <w:rPr>
          <w:rFonts w:cstheme="minorHAnsi"/>
        </w:rPr>
        <w:t xml:space="preserve">. </w:t>
      </w:r>
    </w:p>
    <w:p w14:paraId="0FD43BA4" w14:textId="7D530931" w:rsidR="00586360" w:rsidRPr="00B456CF" w:rsidRDefault="008335A4" w:rsidP="00617114">
      <w:pPr>
        <w:spacing w:after="120" w:line="240" w:lineRule="auto"/>
        <w:jc w:val="both"/>
        <w:rPr>
          <w:rFonts w:cstheme="minorHAnsi"/>
        </w:rPr>
      </w:pPr>
      <w:r w:rsidRPr="00B456CF">
        <w:rPr>
          <w:rFonts w:eastAsia="Arial" w:cstheme="minorHAnsi"/>
          <w:shd w:val="clear" w:color="auto" w:fill="FFFFFF"/>
          <w:lang w:val="en-AU"/>
        </w:rPr>
        <w:t>Aboriginal and Torres Strait Islander people</w:t>
      </w:r>
      <w:r w:rsidR="001D5FA6" w:rsidRPr="00B456CF">
        <w:rPr>
          <w:rFonts w:eastAsia="Arial" w:cstheme="minorHAnsi"/>
          <w:shd w:val="clear" w:color="auto" w:fill="FFFFFF"/>
          <w:lang w:val="en-AU"/>
        </w:rPr>
        <w:t>s</w:t>
      </w:r>
      <w:r w:rsidRPr="00B456CF">
        <w:rPr>
          <w:rFonts w:eastAsia="Arial" w:cstheme="minorHAnsi"/>
          <w:shd w:val="clear" w:color="auto" w:fill="FFFFFF"/>
          <w:lang w:val="en-AU"/>
        </w:rPr>
        <w:t xml:space="preserve"> have the right to feel confident and safe in accessing the Australian healthcare system, and the system and its workforce must be able to respond to their needs. </w:t>
      </w:r>
      <w:r w:rsidR="00A82AF7" w:rsidRPr="00B456CF">
        <w:rPr>
          <w:rFonts w:cstheme="minorHAnsi"/>
        </w:rPr>
        <w:t>The</w:t>
      </w:r>
      <w:r w:rsidR="007539C0" w:rsidRPr="00B456CF">
        <w:rPr>
          <w:rFonts w:cstheme="minorHAnsi"/>
        </w:rPr>
        <w:t>se</w:t>
      </w:r>
      <w:r w:rsidR="00A82AF7" w:rsidRPr="00B456CF">
        <w:rPr>
          <w:rFonts w:cstheme="minorHAnsi"/>
        </w:rPr>
        <w:t xml:space="preserve"> Guiding Principles </w:t>
      </w:r>
      <w:r w:rsidR="00891F6B" w:rsidRPr="00B456CF">
        <w:rPr>
          <w:rFonts w:cstheme="minorHAnsi"/>
        </w:rPr>
        <w:t xml:space="preserve">aim </w:t>
      </w:r>
      <w:r w:rsidR="00586360" w:rsidRPr="00B456CF">
        <w:rPr>
          <w:rFonts w:cstheme="minorHAnsi"/>
        </w:rPr>
        <w:t xml:space="preserve">to </w:t>
      </w:r>
      <w:r w:rsidR="00891F6B" w:rsidRPr="00B456CF">
        <w:rPr>
          <w:rFonts w:cstheme="minorHAnsi"/>
          <w:lang w:val="en-AU"/>
        </w:rPr>
        <w:t xml:space="preserve">ensure </w:t>
      </w:r>
      <w:r w:rsidR="001D5FA6" w:rsidRPr="00B456CF">
        <w:rPr>
          <w:rFonts w:cstheme="minorHAnsi"/>
          <w:lang w:val="en-AU"/>
        </w:rPr>
        <w:t xml:space="preserve">that </w:t>
      </w:r>
      <w:r w:rsidR="00891F6B" w:rsidRPr="00B456CF">
        <w:rPr>
          <w:rFonts w:cstheme="minorHAnsi"/>
          <w:lang w:val="en-AU"/>
        </w:rPr>
        <w:t>Aboriginal and Torres Strait Islander individuals, families and communities benefit equitably th</w:t>
      </w:r>
      <w:r w:rsidR="001D5FA6" w:rsidRPr="00B456CF">
        <w:rPr>
          <w:rFonts w:cstheme="minorHAnsi"/>
          <w:lang w:val="en-AU"/>
        </w:rPr>
        <w:t>r</w:t>
      </w:r>
      <w:r w:rsidR="00891F6B" w:rsidRPr="00B456CF">
        <w:rPr>
          <w:rFonts w:cstheme="minorHAnsi"/>
          <w:lang w:val="en-AU"/>
        </w:rPr>
        <w:t xml:space="preserve">ough culturally safe </w:t>
      </w:r>
      <w:r w:rsidR="001D5FA6" w:rsidRPr="00B456CF">
        <w:rPr>
          <w:rFonts w:cstheme="minorHAnsi"/>
          <w:lang w:val="en-AU"/>
        </w:rPr>
        <w:t>and</w:t>
      </w:r>
      <w:r w:rsidR="00891F6B" w:rsidRPr="00B456CF">
        <w:rPr>
          <w:rFonts w:cstheme="minorHAnsi"/>
          <w:lang w:val="en-AU"/>
        </w:rPr>
        <w:t xml:space="preserve"> </w:t>
      </w:r>
      <w:r w:rsidR="001F1A44" w:rsidRPr="00B456CF">
        <w:rPr>
          <w:rFonts w:cstheme="minorHAnsi"/>
          <w:lang w:val="en-AU"/>
        </w:rPr>
        <w:t>responsive</w:t>
      </w:r>
      <w:r w:rsidR="00891F6B" w:rsidRPr="00B456CF">
        <w:rPr>
          <w:rFonts w:cstheme="minorHAnsi"/>
          <w:lang w:val="en-AU"/>
        </w:rPr>
        <w:t xml:space="preserve"> genomic </w:t>
      </w:r>
      <w:r w:rsidR="005937AF" w:rsidRPr="00B456CF">
        <w:rPr>
          <w:rFonts w:cstheme="minorHAnsi"/>
          <w:lang w:val="en-AU"/>
        </w:rPr>
        <w:t xml:space="preserve">health </w:t>
      </w:r>
      <w:r w:rsidR="00891F6B" w:rsidRPr="00B456CF">
        <w:rPr>
          <w:rFonts w:cstheme="minorHAnsi"/>
          <w:lang w:val="en-AU"/>
        </w:rPr>
        <w:t>services</w:t>
      </w:r>
      <w:r w:rsidR="00586360" w:rsidRPr="00B456CF">
        <w:rPr>
          <w:rFonts w:cstheme="minorHAnsi"/>
          <w:lang w:val="en-AU"/>
        </w:rPr>
        <w:t xml:space="preserve"> and research</w:t>
      </w:r>
      <w:r w:rsidR="00E23DCD" w:rsidRPr="00B456CF">
        <w:rPr>
          <w:rFonts w:cstheme="minorHAnsi"/>
          <w:lang w:val="en-AU"/>
        </w:rPr>
        <w:t xml:space="preserve"> that incorporate</w:t>
      </w:r>
      <w:r w:rsidR="001D5FA6" w:rsidRPr="00B456CF">
        <w:rPr>
          <w:rFonts w:cstheme="minorHAnsi"/>
          <w:lang w:val="en-AU"/>
        </w:rPr>
        <w:t>s</w:t>
      </w:r>
      <w:r w:rsidR="00E23DCD" w:rsidRPr="00B456CF">
        <w:rPr>
          <w:rFonts w:cstheme="minorHAnsi"/>
          <w:lang w:val="en-AU"/>
        </w:rPr>
        <w:t xml:space="preserve"> </w:t>
      </w:r>
      <w:r w:rsidR="005937AF" w:rsidRPr="00B456CF">
        <w:rPr>
          <w:rFonts w:cstheme="minorHAnsi"/>
          <w:lang w:val="en-AU"/>
        </w:rPr>
        <w:t xml:space="preserve">their </w:t>
      </w:r>
      <w:r w:rsidR="00E23DCD" w:rsidRPr="00B456CF">
        <w:rPr>
          <w:rFonts w:cstheme="minorHAnsi"/>
          <w:lang w:val="en-AU"/>
        </w:rPr>
        <w:t>belief systems and keep</w:t>
      </w:r>
      <w:r w:rsidR="001D5FA6" w:rsidRPr="00B456CF">
        <w:rPr>
          <w:rFonts w:cstheme="minorHAnsi"/>
          <w:lang w:val="en-AU"/>
        </w:rPr>
        <w:t>s</w:t>
      </w:r>
      <w:r w:rsidR="00E23DCD" w:rsidRPr="00B456CF">
        <w:rPr>
          <w:rFonts w:cstheme="minorHAnsi"/>
          <w:lang w:val="en-AU"/>
        </w:rPr>
        <w:t xml:space="preserve"> dynamic and evolving cultures strong</w:t>
      </w:r>
      <w:r w:rsidR="00586360" w:rsidRPr="00B456CF">
        <w:rPr>
          <w:rFonts w:cstheme="minorHAnsi"/>
          <w:lang w:val="en-AU"/>
        </w:rPr>
        <w:t xml:space="preserve">. </w:t>
      </w:r>
    </w:p>
    <w:p w14:paraId="5C00C1E4" w14:textId="0F744B89" w:rsidR="001D5FA6" w:rsidRPr="00B456CF" w:rsidRDefault="00586360" w:rsidP="00617114">
      <w:pPr>
        <w:spacing w:after="120" w:line="240" w:lineRule="auto"/>
        <w:jc w:val="both"/>
        <w:rPr>
          <w:rFonts w:cstheme="minorHAnsi"/>
        </w:rPr>
      </w:pPr>
      <w:r w:rsidRPr="00B456CF">
        <w:rPr>
          <w:rFonts w:cstheme="minorHAnsi"/>
          <w:lang w:val="en-AU"/>
        </w:rPr>
        <w:t>Cultural</w:t>
      </w:r>
      <w:r w:rsidR="00164DC1" w:rsidRPr="00B456CF">
        <w:rPr>
          <w:rFonts w:cstheme="minorHAnsi"/>
          <w:lang w:val="en-AU"/>
        </w:rPr>
        <w:t>ly</w:t>
      </w:r>
      <w:r w:rsidRPr="00B456CF">
        <w:rPr>
          <w:rFonts w:cstheme="minorHAnsi"/>
          <w:lang w:val="en-AU"/>
        </w:rPr>
        <w:t xml:space="preserve"> responsive</w:t>
      </w:r>
      <w:r w:rsidR="00164DC1" w:rsidRPr="00B456CF">
        <w:rPr>
          <w:rFonts w:cstheme="minorHAnsi"/>
          <w:lang w:val="en-AU"/>
        </w:rPr>
        <w:t xml:space="preserve"> </w:t>
      </w:r>
      <w:r w:rsidR="007539C0" w:rsidRPr="00B456CF">
        <w:rPr>
          <w:rFonts w:cstheme="minorHAnsi"/>
          <w:lang w:val="en-AU"/>
        </w:rPr>
        <w:t xml:space="preserve">health </w:t>
      </w:r>
      <w:r w:rsidR="00164DC1" w:rsidRPr="00B456CF">
        <w:rPr>
          <w:rFonts w:cstheme="minorHAnsi"/>
          <w:lang w:val="en-AU"/>
        </w:rPr>
        <w:t xml:space="preserve">services and research studies </w:t>
      </w:r>
      <w:r w:rsidRPr="00B456CF">
        <w:rPr>
          <w:rFonts w:cstheme="minorHAnsi"/>
          <w:lang w:val="en-AU"/>
        </w:rPr>
        <w:t>demand commitment to the phrases “</w:t>
      </w:r>
      <w:r w:rsidRPr="00B456CF">
        <w:rPr>
          <w:rFonts w:cstheme="minorHAnsi"/>
          <w:bCs/>
          <w:i/>
          <w:iCs/>
          <w:lang w:val="en-AU"/>
        </w:rPr>
        <w:t>Do nothing about us, without us</w:t>
      </w:r>
      <w:r w:rsidRPr="00B456CF">
        <w:rPr>
          <w:rFonts w:cstheme="minorHAnsi"/>
          <w:lang w:val="en-AU"/>
        </w:rPr>
        <w:t>”</w:t>
      </w:r>
      <w:r w:rsidR="00164DC1" w:rsidRPr="00B456CF">
        <w:rPr>
          <w:rFonts w:cstheme="minorHAnsi"/>
          <w:lang w:val="en-AU"/>
        </w:rPr>
        <w:t>, with</w:t>
      </w:r>
      <w:r w:rsidR="00164DC1" w:rsidRPr="00B456CF">
        <w:rPr>
          <w:rFonts w:cstheme="minorHAnsi"/>
          <w:color w:val="C00000"/>
        </w:rPr>
        <w:t xml:space="preserve"> </w:t>
      </w:r>
      <w:r w:rsidR="00164DC1" w:rsidRPr="00B456CF">
        <w:rPr>
          <w:rFonts w:cstheme="minorHAnsi"/>
        </w:rPr>
        <w:t xml:space="preserve">Aboriginal and Torres Strait Islander peoples being equal partners in decision-making. </w:t>
      </w:r>
      <w:r w:rsidR="001D5FA6" w:rsidRPr="00B456CF">
        <w:rPr>
          <w:rFonts w:cstheme="minorHAnsi"/>
        </w:rPr>
        <w:t xml:space="preserve">Co-design of services and research studies in partnership with Aboriginal and Torres Strait Islander peoples is promoted through these </w:t>
      </w:r>
      <w:r w:rsidR="007D5BD4">
        <w:rPr>
          <w:rFonts w:cstheme="minorHAnsi"/>
        </w:rPr>
        <w:t xml:space="preserve">Guiding </w:t>
      </w:r>
      <w:r w:rsidR="007D5BD4" w:rsidRPr="00B456CF">
        <w:rPr>
          <w:rFonts w:cstheme="minorHAnsi"/>
        </w:rPr>
        <w:t>Principles</w:t>
      </w:r>
      <w:r w:rsidR="001D5FA6" w:rsidRPr="00B456CF">
        <w:rPr>
          <w:rFonts w:cstheme="minorHAnsi"/>
        </w:rPr>
        <w:t xml:space="preserve">, as well as the need for </w:t>
      </w:r>
      <w:r w:rsidR="001D5FA6" w:rsidRPr="00B456CF">
        <w:rPr>
          <w:rFonts w:cstheme="minorHAnsi"/>
        </w:rPr>
        <w:lastRenderedPageBreak/>
        <w:t>greater opportunities for Aboriginal and Torres Strait Islander peoples to participate in the workforce and fulfil leadership roles in genomic health service and research</w:t>
      </w:r>
      <w:r w:rsidR="007539C0" w:rsidRPr="00B456CF">
        <w:rPr>
          <w:rFonts w:cstheme="minorHAnsi"/>
        </w:rPr>
        <w:t xml:space="preserve"> sectors</w:t>
      </w:r>
      <w:r w:rsidR="001D5FA6" w:rsidRPr="00B456CF">
        <w:rPr>
          <w:rFonts w:cstheme="minorHAnsi"/>
        </w:rPr>
        <w:t>.</w:t>
      </w:r>
    </w:p>
    <w:p w14:paraId="241B3454" w14:textId="093888E4" w:rsidR="000A1656" w:rsidRPr="00B456CF" w:rsidRDefault="000A1656" w:rsidP="00617114">
      <w:pPr>
        <w:spacing w:after="120" w:line="240" w:lineRule="auto"/>
        <w:jc w:val="both"/>
        <w:rPr>
          <w:rFonts w:cstheme="minorHAnsi"/>
        </w:rPr>
      </w:pPr>
      <w:r w:rsidRPr="00B456CF">
        <w:rPr>
          <w:rFonts w:cstheme="minorHAnsi"/>
        </w:rPr>
        <w:t>It is</w:t>
      </w:r>
      <w:r w:rsidR="00736523" w:rsidRPr="00B456CF">
        <w:rPr>
          <w:rFonts w:cstheme="minorHAnsi"/>
        </w:rPr>
        <w:t xml:space="preserve"> </w:t>
      </w:r>
      <w:r w:rsidRPr="00B456CF">
        <w:rPr>
          <w:rFonts w:cstheme="minorHAnsi"/>
        </w:rPr>
        <w:t xml:space="preserve">also </w:t>
      </w:r>
      <w:r w:rsidR="00736523" w:rsidRPr="00B456CF">
        <w:rPr>
          <w:rFonts w:cstheme="minorHAnsi"/>
        </w:rPr>
        <w:t>recognise</w:t>
      </w:r>
      <w:r w:rsidRPr="00B456CF">
        <w:rPr>
          <w:rFonts w:cstheme="minorHAnsi"/>
        </w:rPr>
        <w:t>d</w:t>
      </w:r>
      <w:r w:rsidR="00736523" w:rsidRPr="00B456CF">
        <w:rPr>
          <w:rFonts w:cstheme="minorHAnsi"/>
        </w:rPr>
        <w:t xml:space="preserve"> that p</w:t>
      </w:r>
      <w:proofErr w:type="spellStart"/>
      <w:r w:rsidR="004314DA" w:rsidRPr="00B456CF">
        <w:rPr>
          <w:rFonts w:cstheme="minorHAnsi"/>
          <w:lang w:val="en-AU"/>
        </w:rPr>
        <w:t>artnership</w:t>
      </w:r>
      <w:proofErr w:type="spellEnd"/>
      <w:r w:rsidR="004314DA" w:rsidRPr="00B456CF">
        <w:rPr>
          <w:rFonts w:cstheme="minorHAnsi"/>
          <w:lang w:val="en-AU"/>
        </w:rPr>
        <w:t xml:space="preserve"> requires a foundation of trust</w:t>
      </w:r>
      <w:r w:rsidR="001B37C0" w:rsidRPr="00B456CF">
        <w:rPr>
          <w:rFonts w:cstheme="minorHAnsi"/>
          <w:lang w:val="en-AU"/>
        </w:rPr>
        <w:t>,</w:t>
      </w:r>
      <w:r w:rsidR="00736523" w:rsidRPr="00B456CF">
        <w:rPr>
          <w:rFonts w:cstheme="minorHAnsi"/>
          <w:lang w:val="en-AU"/>
        </w:rPr>
        <w:t xml:space="preserve"> and that trust takes time to develop </w:t>
      </w:r>
      <w:r w:rsidR="004314DA" w:rsidRPr="00B456CF">
        <w:rPr>
          <w:rFonts w:cstheme="minorHAnsi"/>
          <w:lang w:val="en-AU"/>
        </w:rPr>
        <w:t>through culturally respectful conversations</w:t>
      </w:r>
      <w:r w:rsidR="00736523" w:rsidRPr="00B456CF">
        <w:rPr>
          <w:rFonts w:cstheme="minorHAnsi"/>
          <w:lang w:val="en-AU"/>
        </w:rPr>
        <w:t xml:space="preserve"> that focus on </w:t>
      </w:r>
      <w:r w:rsidR="001D5FA6" w:rsidRPr="00B456CF">
        <w:rPr>
          <w:rFonts w:cstheme="minorHAnsi"/>
          <w:lang w:val="en-AU"/>
        </w:rPr>
        <w:t xml:space="preserve">the </w:t>
      </w:r>
      <w:r w:rsidR="004314DA" w:rsidRPr="00B456CF">
        <w:rPr>
          <w:rFonts w:cstheme="minorHAnsi"/>
          <w:lang w:val="en-AU"/>
        </w:rPr>
        <w:t>priorities and aspirations</w:t>
      </w:r>
      <w:r w:rsidR="001B37C0" w:rsidRPr="00B456CF">
        <w:rPr>
          <w:rFonts w:cstheme="minorHAnsi"/>
          <w:lang w:val="en-AU"/>
        </w:rPr>
        <w:t xml:space="preserve"> </w:t>
      </w:r>
      <w:r w:rsidR="00104C7E" w:rsidRPr="00B456CF">
        <w:rPr>
          <w:rFonts w:cstheme="minorHAnsi"/>
          <w:lang w:val="en-AU"/>
        </w:rPr>
        <w:t xml:space="preserve">of </w:t>
      </w:r>
      <w:r w:rsidR="001B37C0" w:rsidRPr="00B456CF">
        <w:rPr>
          <w:rFonts w:cstheme="minorHAnsi"/>
          <w:lang w:val="en-AU"/>
        </w:rPr>
        <w:t>Aboriginal and Torres Strait Islander peoples</w:t>
      </w:r>
      <w:r w:rsidR="004314DA" w:rsidRPr="00B456CF">
        <w:rPr>
          <w:rFonts w:cstheme="minorHAnsi"/>
          <w:lang w:val="en-AU"/>
        </w:rPr>
        <w:t>.</w:t>
      </w:r>
      <w:r w:rsidRPr="00B456CF">
        <w:rPr>
          <w:rFonts w:cstheme="minorHAnsi"/>
          <w:lang w:val="en-AU"/>
        </w:rPr>
        <w:t xml:space="preserve"> Trust relationships also need to be built at a</w:t>
      </w:r>
      <w:r w:rsidRPr="00B456CF">
        <w:rPr>
          <w:rFonts w:cstheme="minorHAnsi"/>
        </w:rPr>
        <w:t xml:space="preserve"> </w:t>
      </w:r>
      <w:r w:rsidR="005F0317" w:rsidRPr="00B456CF">
        <w:rPr>
          <w:rFonts w:cstheme="minorHAnsi"/>
        </w:rPr>
        <w:t>pace determined by Aboriginal and Torres Strait Islander peoples</w:t>
      </w:r>
      <w:r w:rsidRPr="00B456CF">
        <w:rPr>
          <w:rFonts w:cstheme="minorHAnsi"/>
        </w:rPr>
        <w:t xml:space="preserve">, </w:t>
      </w:r>
      <w:r w:rsidR="001D5FA6" w:rsidRPr="00B456CF">
        <w:rPr>
          <w:rFonts w:cstheme="minorHAnsi"/>
        </w:rPr>
        <w:t xml:space="preserve">which is </w:t>
      </w:r>
      <w:r w:rsidRPr="00B456CF">
        <w:rPr>
          <w:rFonts w:cstheme="minorHAnsi"/>
        </w:rPr>
        <w:t xml:space="preserve">reflected in </w:t>
      </w:r>
      <w:r w:rsidRPr="00B456CF">
        <w:rPr>
          <w:rFonts w:cstheme="minorHAnsi"/>
          <w:lang w:val="en-AU"/>
        </w:rPr>
        <w:t>the phrase “</w:t>
      </w:r>
      <w:r w:rsidRPr="00B456CF">
        <w:rPr>
          <w:rFonts w:cstheme="minorHAnsi"/>
          <w:bCs/>
          <w:i/>
          <w:iCs/>
          <w:lang w:val="en-AU"/>
        </w:rPr>
        <w:t>on our time</w:t>
      </w:r>
      <w:r w:rsidRPr="00B456CF">
        <w:rPr>
          <w:rFonts w:cstheme="minorHAnsi"/>
          <w:lang w:val="en-AU"/>
        </w:rPr>
        <w:t xml:space="preserve">”. </w:t>
      </w:r>
    </w:p>
    <w:p w14:paraId="42B32E97" w14:textId="098A9449" w:rsidR="005D1C6F" w:rsidRPr="00B456CF" w:rsidRDefault="005F0317" w:rsidP="00617114">
      <w:pPr>
        <w:spacing w:after="0" w:line="240" w:lineRule="auto"/>
        <w:jc w:val="both"/>
        <w:rPr>
          <w:rFonts w:cstheme="minorHAnsi"/>
          <w:lang w:val="en-AU"/>
        </w:rPr>
      </w:pPr>
      <w:r w:rsidRPr="00D13D0F">
        <w:rPr>
          <w:rFonts w:eastAsia="Arial" w:cstheme="minorHAnsi"/>
          <w:shd w:val="clear" w:color="auto" w:fill="FFFFFF"/>
          <w:lang w:val="en-AU"/>
        </w:rPr>
        <w:t>In summary</w:t>
      </w:r>
      <w:r w:rsidRPr="00D13D0F">
        <w:rPr>
          <w:rFonts w:eastAsia="Arial" w:cstheme="minorHAnsi"/>
          <w:color w:val="000000" w:themeColor="text1"/>
          <w:shd w:val="clear" w:color="auto" w:fill="FFFFFF"/>
          <w:lang w:val="en-AU"/>
        </w:rPr>
        <w:t xml:space="preserve">, </w:t>
      </w:r>
      <w:r w:rsidR="00D23270" w:rsidRPr="00D13D0F">
        <w:rPr>
          <w:rFonts w:cstheme="minorHAnsi"/>
          <w:color w:val="000000" w:themeColor="text1"/>
        </w:rPr>
        <w:t>the</w:t>
      </w:r>
      <w:r w:rsidR="00743389" w:rsidRPr="00D13D0F">
        <w:rPr>
          <w:rFonts w:cstheme="minorHAnsi"/>
          <w:color w:val="000000" w:themeColor="text1"/>
        </w:rPr>
        <w:t>se</w:t>
      </w:r>
      <w:r w:rsidR="00D23270" w:rsidRPr="00D13D0F">
        <w:rPr>
          <w:rFonts w:cstheme="minorHAnsi"/>
          <w:color w:val="000000" w:themeColor="text1"/>
        </w:rPr>
        <w:t xml:space="preserve"> </w:t>
      </w:r>
      <w:r w:rsidR="000B6D4E" w:rsidRPr="00D13D0F">
        <w:rPr>
          <w:rFonts w:cstheme="minorHAnsi"/>
        </w:rPr>
        <w:t xml:space="preserve">Guiding </w:t>
      </w:r>
      <w:r w:rsidR="00D23270" w:rsidRPr="00D13D0F">
        <w:rPr>
          <w:rFonts w:cstheme="minorHAnsi"/>
          <w:color w:val="000000" w:themeColor="text1"/>
        </w:rPr>
        <w:t xml:space="preserve">Principles aim to ensure that Aboriginal and Torres Strait Islander people lead the development of fit-for-purpose, culturally safe and responsive genomic health </w:t>
      </w:r>
      <w:proofErr w:type="gramStart"/>
      <w:r w:rsidR="00D23270" w:rsidRPr="00D13D0F">
        <w:rPr>
          <w:rFonts w:cstheme="minorHAnsi"/>
          <w:color w:val="000000" w:themeColor="text1"/>
        </w:rPr>
        <w:t>services</w:t>
      </w:r>
      <w:proofErr w:type="gramEnd"/>
      <w:r w:rsidR="00D23270" w:rsidRPr="00D13D0F">
        <w:rPr>
          <w:rFonts w:cstheme="minorHAnsi"/>
          <w:color w:val="000000" w:themeColor="text1"/>
        </w:rPr>
        <w:t xml:space="preserve"> and research studies. </w:t>
      </w:r>
      <w:r w:rsidR="005D1C6F" w:rsidRPr="00D13D0F">
        <w:rPr>
          <w:rFonts w:cstheme="minorHAnsi"/>
          <w:lang w:val="en-AU"/>
        </w:rPr>
        <w:t xml:space="preserve">The </w:t>
      </w:r>
      <w:r w:rsidR="000B6D4E" w:rsidRPr="00D13D0F">
        <w:rPr>
          <w:rFonts w:cstheme="minorHAnsi"/>
        </w:rPr>
        <w:t xml:space="preserve">Guiding </w:t>
      </w:r>
      <w:r w:rsidR="001D5FA6" w:rsidRPr="00D13D0F">
        <w:rPr>
          <w:rFonts w:cstheme="minorHAnsi"/>
          <w:lang w:val="en-AU"/>
        </w:rPr>
        <w:t>P</w:t>
      </w:r>
      <w:r w:rsidR="005D1C6F" w:rsidRPr="00D13D0F">
        <w:rPr>
          <w:rFonts w:cstheme="minorHAnsi"/>
          <w:lang w:val="en-AU"/>
        </w:rPr>
        <w:t xml:space="preserve">rinciples identify the priority areas </w:t>
      </w:r>
      <w:r w:rsidR="00C509BA">
        <w:rPr>
          <w:rFonts w:cstheme="minorHAnsi"/>
          <w:lang w:val="en-AU"/>
        </w:rPr>
        <w:t xml:space="preserve">that support </w:t>
      </w:r>
      <w:r w:rsidR="005D1C6F" w:rsidRPr="00D13D0F">
        <w:rPr>
          <w:rFonts w:cstheme="minorHAnsi"/>
          <w:lang w:val="en-AU"/>
        </w:rPr>
        <w:t>the application of new genomics knowledge and rapidly evolving health technologies</w:t>
      </w:r>
      <w:r w:rsidR="00743389" w:rsidRPr="00D13D0F">
        <w:rPr>
          <w:rFonts w:cstheme="minorHAnsi"/>
          <w:lang w:val="en-AU"/>
        </w:rPr>
        <w:t xml:space="preserve"> </w:t>
      </w:r>
      <w:r w:rsidR="005D1C6F" w:rsidRPr="00D13D0F">
        <w:rPr>
          <w:rFonts w:cstheme="minorHAnsi"/>
          <w:lang w:val="en-AU"/>
        </w:rPr>
        <w:t>in a culturally safe way, incorporating the ancient and contemporary</w:t>
      </w:r>
      <w:r w:rsidR="005D1C6F" w:rsidRPr="00B456CF">
        <w:rPr>
          <w:rFonts w:cstheme="minorHAnsi"/>
          <w:lang w:val="en-AU"/>
        </w:rPr>
        <w:t xml:space="preserve"> wisdom of Aboriginal and Torres Strait Islander peoples. </w:t>
      </w:r>
    </w:p>
    <w:p w14:paraId="54C9CC85" w14:textId="5E1E43EE" w:rsidR="00B1440A" w:rsidRPr="00B456CF" w:rsidRDefault="00B1440A" w:rsidP="00B456CF">
      <w:pPr>
        <w:spacing w:after="0" w:line="240" w:lineRule="auto"/>
        <w:jc w:val="both"/>
        <w:rPr>
          <w:rFonts w:cstheme="minorHAnsi"/>
          <w:lang w:val="en-AU"/>
        </w:rPr>
      </w:pPr>
    </w:p>
    <w:p w14:paraId="4A20E125" w14:textId="5854E28B" w:rsidR="00B1440A" w:rsidRPr="00F25F36" w:rsidRDefault="00B1440A" w:rsidP="00F25F36">
      <w:pPr>
        <w:pStyle w:val="Heading1"/>
        <w:rPr>
          <w:rFonts w:eastAsia="Arial"/>
          <w:b/>
          <w:bCs/>
          <w:color w:val="auto"/>
          <w:shd w:val="clear" w:color="auto" w:fill="FFFFFF"/>
          <w:lang w:val="en-AU"/>
        </w:rPr>
      </w:pPr>
      <w:r w:rsidRPr="00F25F36">
        <w:rPr>
          <w:rFonts w:eastAsia="Arial"/>
          <w:b/>
          <w:bCs/>
          <w:color w:val="auto"/>
          <w:shd w:val="clear" w:color="auto" w:fill="FFFFFF"/>
          <w:lang w:val="en-AU"/>
        </w:rPr>
        <w:t>THE GUIDING PRINCIPLES</w:t>
      </w:r>
    </w:p>
    <w:tbl>
      <w:tblPr>
        <w:tblStyle w:val="GridTable5Dark-Accent61"/>
        <w:tblW w:w="0" w:type="auto"/>
        <w:tblInd w:w="-5" w:type="dxa"/>
        <w:tblLook w:val="04A0" w:firstRow="1" w:lastRow="0" w:firstColumn="1" w:lastColumn="0" w:noHBand="0" w:noVBand="1"/>
      </w:tblPr>
      <w:tblGrid>
        <w:gridCol w:w="1579"/>
        <w:gridCol w:w="7442"/>
      </w:tblGrid>
      <w:tr w:rsidR="00FC0E31" w:rsidRPr="00B456CF" w14:paraId="2520924C" w14:textId="77777777" w:rsidTr="00BD6B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9" w:type="dxa"/>
            <w:tcBorders>
              <w:right w:val="single" w:sz="4" w:space="0" w:color="FFFFFF" w:themeColor="background1"/>
            </w:tcBorders>
            <w:shd w:val="clear" w:color="auto" w:fill="C45911" w:themeFill="accent2" w:themeFillShade="BF"/>
            <w:vAlign w:val="center"/>
            <w:hideMark/>
          </w:tcPr>
          <w:p w14:paraId="362D7E6E" w14:textId="77777777" w:rsidR="00FC0E31" w:rsidRPr="00B456CF" w:rsidRDefault="00FC0E31" w:rsidP="00534DEC">
            <w:pPr>
              <w:autoSpaceDE w:val="0"/>
              <w:autoSpaceDN w:val="0"/>
              <w:adjustRightInd w:val="0"/>
              <w:spacing w:after="100" w:line="211" w:lineRule="atLeast"/>
              <w:jc w:val="center"/>
              <w:rPr>
                <w:rFonts w:cstheme="minorHAnsi"/>
                <w:sz w:val="32"/>
                <w:szCs w:val="32"/>
                <w:lang w:val="en-AU"/>
              </w:rPr>
            </w:pPr>
            <w:r w:rsidRPr="00B456CF">
              <w:rPr>
                <w:rFonts w:cstheme="minorHAnsi"/>
                <w:sz w:val="32"/>
                <w:szCs w:val="32"/>
                <w:lang w:val="en-AU"/>
              </w:rPr>
              <w:t>PRINCIPLE 1</w:t>
            </w:r>
          </w:p>
        </w:tc>
        <w:tc>
          <w:tcPr>
            <w:tcW w:w="7442" w:type="dxa"/>
            <w:tcBorders>
              <w:left w:val="single" w:sz="4" w:space="0" w:color="FFFFFF" w:themeColor="background1"/>
              <w:bottom w:val="single" w:sz="4" w:space="0" w:color="FFFFFF" w:themeColor="background1"/>
            </w:tcBorders>
            <w:shd w:val="clear" w:color="auto" w:fill="FBE4D5" w:themeFill="accent2" w:themeFillTint="33"/>
            <w:hideMark/>
          </w:tcPr>
          <w:p w14:paraId="0A581343" w14:textId="77777777" w:rsidR="00655852" w:rsidRPr="00F25F36" w:rsidRDefault="00FC0E31" w:rsidP="00F25F36">
            <w:pPr>
              <w:autoSpaceDE w:val="0"/>
              <w:autoSpaceDN w:val="0"/>
              <w:adjustRightInd w:val="0"/>
              <w:spacing w:before="120" w:after="120"/>
              <w:cnfStyle w:val="100000000000" w:firstRow="1" w:lastRow="0" w:firstColumn="0" w:lastColumn="0" w:oddVBand="0" w:evenVBand="0" w:oddHBand="0" w:evenHBand="0" w:firstRowFirstColumn="0" w:firstRowLastColumn="0" w:lastRowFirstColumn="0" w:lastRowLastColumn="0"/>
              <w:rPr>
                <w:rFonts w:cstheme="minorHAnsi"/>
                <w:color w:val="auto"/>
                <w:lang w:val="en-AU"/>
              </w:rPr>
            </w:pPr>
            <w:r w:rsidRPr="00F25F36">
              <w:rPr>
                <w:rFonts w:cstheme="minorHAnsi"/>
                <w:color w:val="auto"/>
                <w:lang w:val="en-AU"/>
              </w:rPr>
              <w:t xml:space="preserve">ABORIGINAL AND TORRES STRAIT ISLANDER PEOPLES RIGHTS: </w:t>
            </w:r>
          </w:p>
          <w:p w14:paraId="6FE7A7E3" w14:textId="2C92DAC1" w:rsidR="00FC0E31" w:rsidRPr="00B456CF" w:rsidRDefault="00FC0E31" w:rsidP="00F25F36">
            <w:pPr>
              <w:autoSpaceDE w:val="0"/>
              <w:autoSpaceDN w:val="0"/>
              <w:adjustRightInd w:val="0"/>
              <w:spacing w:before="120" w:after="120"/>
              <w:cnfStyle w:val="100000000000" w:firstRow="1" w:lastRow="0" w:firstColumn="0" w:lastColumn="0" w:oddVBand="0" w:evenVBand="0" w:oddHBand="0" w:evenHBand="0" w:firstRowFirstColumn="0" w:firstRowLastColumn="0" w:lastRowFirstColumn="0" w:lastRowLastColumn="0"/>
              <w:rPr>
                <w:rFonts w:cstheme="minorHAnsi"/>
                <w:color w:val="56575A"/>
                <w:lang w:val="en-AU"/>
              </w:rPr>
            </w:pPr>
            <w:r w:rsidRPr="00F25F36">
              <w:rPr>
                <w:rFonts w:cstheme="minorHAnsi"/>
                <w:bCs w:val="0"/>
                <w:color w:val="auto"/>
                <w:lang w:val="en-AU"/>
              </w:rPr>
              <w:t xml:space="preserve">To ensure the United Nations Declaration on the Rights of Indigenous peoples, the Cultural Respect Framework for Aboriginal and Torres Strait Islander </w:t>
            </w:r>
            <w:r w:rsidR="0029048C" w:rsidRPr="00F25F36">
              <w:rPr>
                <w:rFonts w:cstheme="minorHAnsi"/>
                <w:bCs w:val="0"/>
                <w:color w:val="auto"/>
                <w:lang w:val="en-AU"/>
              </w:rPr>
              <w:t>P</w:t>
            </w:r>
            <w:r w:rsidRPr="00F25F36">
              <w:rPr>
                <w:rFonts w:cstheme="minorHAnsi"/>
                <w:bCs w:val="0"/>
                <w:color w:val="auto"/>
                <w:lang w:val="en-AU"/>
              </w:rPr>
              <w:t>eoples Health and the Australian Charter of Healthcare Rights are applied to Aboriginal and Torres Strait Islander people’s health genomics and self-determination, decision-making and co-design of services are assured and implemented.</w:t>
            </w:r>
            <w:r w:rsidR="00C7136C">
              <w:t xml:space="preserve"> </w:t>
            </w:r>
            <w:r w:rsidR="00C7136C" w:rsidRPr="00C7136C">
              <w:rPr>
                <w:rFonts w:cstheme="minorHAnsi"/>
                <w:bCs w:val="0"/>
                <w:color w:val="auto"/>
                <w:lang w:val="en-AU"/>
              </w:rPr>
              <w:t xml:space="preserve">This includes the duty to obtain the free, </w:t>
            </w:r>
            <w:proofErr w:type="gramStart"/>
            <w:r w:rsidR="00C7136C" w:rsidRPr="00C7136C">
              <w:rPr>
                <w:rFonts w:cstheme="minorHAnsi"/>
                <w:bCs w:val="0"/>
                <w:color w:val="auto"/>
                <w:lang w:val="en-AU"/>
              </w:rPr>
              <w:t>prior</w:t>
            </w:r>
            <w:proofErr w:type="gramEnd"/>
            <w:r w:rsidR="00C7136C" w:rsidRPr="00C7136C">
              <w:rPr>
                <w:rFonts w:cstheme="minorHAnsi"/>
                <w:bCs w:val="0"/>
                <w:color w:val="auto"/>
                <w:lang w:val="en-AU"/>
              </w:rPr>
              <w:t xml:space="preserve"> and informed consent of Aboriginal and/or Torres Strait Islander collaborators or participants.</w:t>
            </w:r>
          </w:p>
        </w:tc>
      </w:tr>
    </w:tbl>
    <w:p w14:paraId="6D993790" w14:textId="77777777" w:rsidR="00FC0E31" w:rsidRPr="00B456CF" w:rsidRDefault="00FC0E31" w:rsidP="00440757">
      <w:pPr>
        <w:spacing w:after="0" w:line="240" w:lineRule="auto"/>
        <w:rPr>
          <w:rFonts w:cstheme="minorHAnsi"/>
        </w:rPr>
      </w:pPr>
    </w:p>
    <w:p w14:paraId="29F573DE" w14:textId="1B793B19" w:rsidR="00FC0E31" w:rsidRPr="00B456CF" w:rsidRDefault="00571ED3" w:rsidP="00617114">
      <w:pPr>
        <w:spacing w:after="0" w:line="240" w:lineRule="auto"/>
        <w:jc w:val="both"/>
        <w:rPr>
          <w:rFonts w:cstheme="minorHAnsi"/>
          <w:lang w:val="en-AU"/>
        </w:rPr>
      </w:pPr>
      <w:r w:rsidRPr="00B456CF">
        <w:rPr>
          <w:rFonts w:cstheme="minorHAnsi"/>
        </w:rPr>
        <w:t xml:space="preserve">Aboriginal and Torres Strait Islander leadership and the engagement </w:t>
      </w:r>
      <w:r w:rsidR="001D5FA6" w:rsidRPr="00B456CF">
        <w:rPr>
          <w:rFonts w:cstheme="minorHAnsi"/>
        </w:rPr>
        <w:t>with</w:t>
      </w:r>
      <w:r w:rsidRPr="00B456CF">
        <w:rPr>
          <w:rFonts w:cstheme="minorHAnsi"/>
        </w:rPr>
        <w:t xml:space="preserve"> individuals, families and communities is key to addressing disparities in the health gap. </w:t>
      </w:r>
      <w:r w:rsidR="00FC0E31" w:rsidRPr="00B456CF">
        <w:rPr>
          <w:rFonts w:cstheme="minorHAnsi"/>
          <w:lang w:val="en-AU"/>
        </w:rPr>
        <w:t xml:space="preserve">The </w:t>
      </w:r>
      <w:r w:rsidR="00FC0E31" w:rsidRPr="00B456CF">
        <w:rPr>
          <w:rFonts w:cstheme="minorHAnsi"/>
          <w:i/>
          <w:lang w:val="en-AU"/>
        </w:rPr>
        <w:t>United Nations Declaration on the Rights of Indigenous Peoples (UNDRIP)</w:t>
      </w:r>
      <w:r w:rsidR="007539C0" w:rsidRPr="00B456CF">
        <w:rPr>
          <w:rFonts w:cstheme="minorHAnsi"/>
          <w:i/>
          <w:lang w:val="en-AU"/>
        </w:rPr>
        <w:t xml:space="preserve"> </w:t>
      </w:r>
      <w:r w:rsidR="000F3D45" w:rsidRPr="00B456CF">
        <w:rPr>
          <w:rFonts w:cstheme="minorHAnsi"/>
          <w:color w:val="56575A"/>
          <w:vertAlign w:val="superscript"/>
          <w:lang w:val="en-AU"/>
        </w:rPr>
        <w:footnoteReference w:id="4"/>
      </w:r>
      <w:r w:rsidR="000F3D45" w:rsidRPr="00B456CF">
        <w:rPr>
          <w:rFonts w:cstheme="minorHAnsi"/>
          <w:color w:val="56575A"/>
          <w:lang w:val="en-AU"/>
        </w:rPr>
        <w:t xml:space="preserve"> </w:t>
      </w:r>
      <w:r w:rsidR="00FC0E31" w:rsidRPr="00B456CF">
        <w:rPr>
          <w:rFonts w:cstheme="minorHAnsi"/>
          <w:lang w:val="en-AU"/>
        </w:rPr>
        <w:t xml:space="preserve">provides an overarching Human Rights framework for developing </w:t>
      </w:r>
      <w:r w:rsidRPr="00B456CF">
        <w:rPr>
          <w:rFonts w:cstheme="minorHAnsi"/>
          <w:lang w:val="en-AU"/>
        </w:rPr>
        <w:t xml:space="preserve">and implementing </w:t>
      </w:r>
      <w:r w:rsidR="00FC0E31" w:rsidRPr="00B456CF">
        <w:rPr>
          <w:rFonts w:cstheme="minorHAnsi"/>
          <w:lang w:val="en-AU"/>
        </w:rPr>
        <w:t>policy. This includes:</w:t>
      </w:r>
    </w:p>
    <w:p w14:paraId="486ADC7F" w14:textId="77777777" w:rsidR="00FC0E31" w:rsidRPr="00B456CF" w:rsidRDefault="00571ED3" w:rsidP="00617114">
      <w:pPr>
        <w:pStyle w:val="ListParagraph"/>
        <w:numPr>
          <w:ilvl w:val="0"/>
          <w:numId w:val="3"/>
        </w:numPr>
        <w:jc w:val="both"/>
        <w:rPr>
          <w:rFonts w:cstheme="minorHAnsi"/>
        </w:rPr>
      </w:pPr>
      <w:r w:rsidRPr="00B456CF">
        <w:rPr>
          <w:rFonts w:cstheme="minorHAnsi"/>
          <w:lang w:val="en-AU"/>
        </w:rPr>
        <w:t>T</w:t>
      </w:r>
      <w:r w:rsidR="00FC0E31" w:rsidRPr="00B456CF">
        <w:rPr>
          <w:rFonts w:cstheme="minorHAnsi"/>
          <w:lang w:val="en-AU"/>
        </w:rPr>
        <w:t>he right to self-determination, with equal rights to the highest attainable standar</w:t>
      </w:r>
      <w:r w:rsidRPr="00B456CF">
        <w:rPr>
          <w:rFonts w:cstheme="minorHAnsi"/>
          <w:lang w:val="en-AU"/>
        </w:rPr>
        <w:t>d of physical and mental health.</w:t>
      </w:r>
      <w:r w:rsidR="00FC0E31" w:rsidRPr="00B456CF">
        <w:rPr>
          <w:rFonts w:cstheme="minorHAnsi"/>
          <w:lang w:val="en-AU"/>
        </w:rPr>
        <w:t xml:space="preserve"> </w:t>
      </w:r>
    </w:p>
    <w:p w14:paraId="4699CD9A" w14:textId="77777777" w:rsidR="00FC0E31" w:rsidRPr="00B456CF" w:rsidRDefault="00571ED3" w:rsidP="00617114">
      <w:pPr>
        <w:pStyle w:val="ListParagraph"/>
        <w:numPr>
          <w:ilvl w:val="0"/>
          <w:numId w:val="3"/>
        </w:numPr>
        <w:jc w:val="both"/>
        <w:rPr>
          <w:rFonts w:cstheme="minorHAnsi"/>
        </w:rPr>
      </w:pPr>
      <w:r w:rsidRPr="00B456CF">
        <w:rPr>
          <w:rFonts w:cstheme="minorHAnsi"/>
          <w:lang w:val="en-AU"/>
        </w:rPr>
        <w:t>T</w:t>
      </w:r>
      <w:r w:rsidR="00FC0E31" w:rsidRPr="00B456CF">
        <w:rPr>
          <w:rFonts w:cstheme="minorHAnsi"/>
          <w:lang w:val="en-AU"/>
        </w:rPr>
        <w:t xml:space="preserve">he right to participate in decision-making </w:t>
      </w:r>
      <w:r w:rsidRPr="00B456CF">
        <w:rPr>
          <w:rFonts w:cstheme="minorHAnsi"/>
          <w:lang w:val="en-AU"/>
        </w:rPr>
        <w:t>for</w:t>
      </w:r>
      <w:r w:rsidR="00FC0E31" w:rsidRPr="00B456CF">
        <w:rPr>
          <w:rFonts w:cstheme="minorHAnsi"/>
          <w:lang w:val="en-AU"/>
        </w:rPr>
        <w:t xml:space="preserve"> matters that affect them, which includes the right to maintain control, protect and </w:t>
      </w:r>
      <w:r w:rsidR="00DB56A7" w:rsidRPr="00B456CF">
        <w:rPr>
          <w:rFonts w:cstheme="minorHAnsi"/>
          <w:lang w:val="en-AU"/>
        </w:rPr>
        <w:t>develop cultural heritage</w:t>
      </w:r>
      <w:r w:rsidR="00FC0E31" w:rsidRPr="00B456CF">
        <w:rPr>
          <w:rFonts w:cstheme="minorHAnsi"/>
          <w:lang w:val="en-AU"/>
        </w:rPr>
        <w:t xml:space="preserve">, traditional </w:t>
      </w:r>
      <w:proofErr w:type="gramStart"/>
      <w:r w:rsidR="00FC0E31" w:rsidRPr="00B456CF">
        <w:rPr>
          <w:rFonts w:cstheme="minorHAnsi"/>
          <w:lang w:val="en-AU"/>
        </w:rPr>
        <w:t>kno</w:t>
      </w:r>
      <w:r w:rsidRPr="00B456CF">
        <w:rPr>
          <w:rFonts w:cstheme="minorHAnsi"/>
          <w:lang w:val="en-AU"/>
        </w:rPr>
        <w:t>wledge</w:t>
      </w:r>
      <w:proofErr w:type="gramEnd"/>
      <w:r w:rsidRPr="00B456CF">
        <w:rPr>
          <w:rFonts w:cstheme="minorHAnsi"/>
          <w:lang w:val="en-AU"/>
        </w:rPr>
        <w:t xml:space="preserve"> and cultural expressions.</w:t>
      </w:r>
    </w:p>
    <w:p w14:paraId="15716224" w14:textId="4A6E513A" w:rsidR="00571ED3" w:rsidRPr="00B456CF" w:rsidRDefault="00571ED3" w:rsidP="00617114">
      <w:pPr>
        <w:pStyle w:val="ListParagraph"/>
        <w:numPr>
          <w:ilvl w:val="0"/>
          <w:numId w:val="3"/>
        </w:numPr>
        <w:jc w:val="both"/>
        <w:rPr>
          <w:rFonts w:cstheme="minorHAnsi"/>
        </w:rPr>
      </w:pPr>
      <w:r w:rsidRPr="00B456CF">
        <w:rPr>
          <w:rFonts w:cstheme="minorHAnsi"/>
          <w:lang w:val="en-AU"/>
        </w:rPr>
        <w:t xml:space="preserve">The right to determine priorities and strategies in health at the </w:t>
      </w:r>
      <w:r w:rsidR="009C5BBC" w:rsidRPr="00B456CF">
        <w:rPr>
          <w:rFonts w:cstheme="minorHAnsi"/>
          <w:lang w:val="en-AU"/>
        </w:rPr>
        <w:t xml:space="preserve">national </w:t>
      </w:r>
      <w:r w:rsidRPr="00B456CF">
        <w:rPr>
          <w:rFonts w:cstheme="minorHAnsi"/>
          <w:lang w:val="en-AU"/>
        </w:rPr>
        <w:t xml:space="preserve">and state levels, promoting respect and full application of the provisions of the Declaration. </w:t>
      </w:r>
    </w:p>
    <w:p w14:paraId="39CEC6B6" w14:textId="052EEF4C" w:rsidR="006A6B57" w:rsidRPr="00B456CF" w:rsidRDefault="00571ED3" w:rsidP="00617114">
      <w:pPr>
        <w:pStyle w:val="ListParagraph"/>
        <w:numPr>
          <w:ilvl w:val="0"/>
          <w:numId w:val="3"/>
        </w:numPr>
        <w:jc w:val="both"/>
        <w:rPr>
          <w:rFonts w:cstheme="minorHAnsi"/>
        </w:rPr>
      </w:pPr>
      <w:r w:rsidRPr="00B456CF">
        <w:rPr>
          <w:rFonts w:cstheme="minorHAnsi"/>
          <w:lang w:val="en-AU"/>
        </w:rPr>
        <w:t>T</w:t>
      </w:r>
      <w:r w:rsidR="006A6B57" w:rsidRPr="00B456CF">
        <w:rPr>
          <w:rFonts w:cstheme="minorHAnsi"/>
          <w:lang w:val="en-AU"/>
        </w:rPr>
        <w:t>he needs of Indigenous Elder</w:t>
      </w:r>
      <w:r w:rsidR="009C5BBC" w:rsidRPr="00B456CF">
        <w:rPr>
          <w:rFonts w:cstheme="minorHAnsi"/>
          <w:lang w:val="en-AU"/>
        </w:rPr>
        <w:t>s</w:t>
      </w:r>
      <w:r w:rsidR="006A6B57" w:rsidRPr="00B456CF">
        <w:rPr>
          <w:rFonts w:cstheme="minorHAnsi"/>
          <w:lang w:val="en-AU"/>
        </w:rPr>
        <w:t xml:space="preserve">, women, youth, </w:t>
      </w:r>
      <w:proofErr w:type="gramStart"/>
      <w:r w:rsidR="006A6B57" w:rsidRPr="00B456CF">
        <w:rPr>
          <w:rFonts w:cstheme="minorHAnsi"/>
          <w:lang w:val="en-AU"/>
        </w:rPr>
        <w:t>children</w:t>
      </w:r>
      <w:proofErr w:type="gramEnd"/>
      <w:r w:rsidR="006A6B57" w:rsidRPr="00B456CF">
        <w:rPr>
          <w:rFonts w:cstheme="minorHAnsi"/>
          <w:lang w:val="en-AU"/>
        </w:rPr>
        <w:t xml:space="preserve"> and persons with disabilities </w:t>
      </w:r>
      <w:r w:rsidRPr="00B456CF">
        <w:rPr>
          <w:rFonts w:cstheme="minorHAnsi"/>
          <w:lang w:val="en-AU"/>
        </w:rPr>
        <w:t>are</w:t>
      </w:r>
      <w:r w:rsidR="006A6B57" w:rsidRPr="00B456CF">
        <w:rPr>
          <w:rFonts w:cstheme="minorHAnsi"/>
          <w:lang w:val="en-AU"/>
        </w:rPr>
        <w:t xml:space="preserve"> considered in consultation and coop</w:t>
      </w:r>
      <w:r w:rsidRPr="00B456CF">
        <w:rPr>
          <w:rFonts w:cstheme="minorHAnsi"/>
          <w:lang w:val="en-AU"/>
        </w:rPr>
        <w:t xml:space="preserve">eration with Indigenous </w:t>
      </w:r>
      <w:r w:rsidR="009C5BBC" w:rsidRPr="00B456CF">
        <w:rPr>
          <w:rFonts w:cstheme="minorHAnsi"/>
          <w:lang w:val="en-AU"/>
        </w:rPr>
        <w:t>p</w:t>
      </w:r>
      <w:r w:rsidRPr="00B456CF">
        <w:rPr>
          <w:rFonts w:cstheme="minorHAnsi"/>
          <w:lang w:val="en-AU"/>
        </w:rPr>
        <w:t>eoples.</w:t>
      </w:r>
    </w:p>
    <w:p w14:paraId="4CAA0078" w14:textId="39D462D4" w:rsidR="00571ED3" w:rsidRPr="00B456CF" w:rsidRDefault="00571ED3" w:rsidP="00617114">
      <w:pPr>
        <w:pStyle w:val="ListParagraph"/>
        <w:numPr>
          <w:ilvl w:val="0"/>
          <w:numId w:val="3"/>
        </w:numPr>
        <w:jc w:val="both"/>
        <w:rPr>
          <w:rFonts w:cstheme="minorHAnsi"/>
        </w:rPr>
      </w:pPr>
      <w:r w:rsidRPr="00B456CF">
        <w:rPr>
          <w:rFonts w:cstheme="minorHAnsi"/>
          <w:lang w:val="en-AU"/>
        </w:rPr>
        <w:t xml:space="preserve">Free, </w:t>
      </w:r>
      <w:proofErr w:type="gramStart"/>
      <w:r w:rsidRPr="00B456CF">
        <w:rPr>
          <w:rFonts w:cstheme="minorHAnsi"/>
          <w:lang w:val="en-AU"/>
        </w:rPr>
        <w:t>prior</w:t>
      </w:r>
      <w:proofErr w:type="gramEnd"/>
      <w:r w:rsidRPr="00B456CF">
        <w:rPr>
          <w:rFonts w:cstheme="minorHAnsi"/>
          <w:lang w:val="en-AU"/>
        </w:rPr>
        <w:t xml:space="preserve"> and informed consent</w:t>
      </w:r>
      <w:r w:rsidR="004C0998" w:rsidRPr="00B456CF">
        <w:rPr>
          <w:rFonts w:cstheme="minorHAnsi"/>
          <w:lang w:val="en-AU"/>
        </w:rPr>
        <w:t xml:space="preserve"> to service provision and participation in research studies</w:t>
      </w:r>
      <w:r w:rsidRPr="00B456CF">
        <w:rPr>
          <w:rFonts w:cstheme="minorHAnsi"/>
          <w:lang w:val="en-AU"/>
        </w:rPr>
        <w:t>.</w:t>
      </w:r>
    </w:p>
    <w:p w14:paraId="30E0D8F5" w14:textId="77777777" w:rsidR="002A0D6C" w:rsidRPr="00B456CF" w:rsidRDefault="00A2123C" w:rsidP="00617114">
      <w:pPr>
        <w:spacing w:after="120" w:line="240" w:lineRule="auto"/>
        <w:jc w:val="both"/>
        <w:rPr>
          <w:rFonts w:cstheme="minorHAnsi"/>
          <w:bCs/>
          <w:iCs/>
          <w:lang w:val="en-AU"/>
        </w:rPr>
      </w:pPr>
      <w:r w:rsidRPr="00B456CF">
        <w:rPr>
          <w:rFonts w:cstheme="minorHAnsi"/>
          <w:bCs/>
        </w:rPr>
        <w:t>T</w:t>
      </w:r>
      <w:r w:rsidRPr="00B456CF">
        <w:rPr>
          <w:rFonts w:cstheme="minorHAnsi"/>
        </w:rPr>
        <w:t xml:space="preserve">he Commonwealth Government </w:t>
      </w:r>
      <w:r w:rsidRPr="00B456CF">
        <w:rPr>
          <w:rFonts w:cstheme="minorHAnsi"/>
          <w:bCs/>
        </w:rPr>
        <w:t>endorse</w:t>
      </w:r>
      <w:r w:rsidR="00571ED3" w:rsidRPr="00B456CF">
        <w:rPr>
          <w:rFonts w:cstheme="minorHAnsi"/>
          <w:bCs/>
        </w:rPr>
        <w:t>s</w:t>
      </w:r>
      <w:r w:rsidRPr="00B456CF">
        <w:rPr>
          <w:rFonts w:cstheme="minorHAnsi"/>
          <w:bCs/>
        </w:rPr>
        <w:t xml:space="preserve"> these values </w:t>
      </w:r>
      <w:r w:rsidR="00571ED3" w:rsidRPr="00B456CF">
        <w:rPr>
          <w:rFonts w:cstheme="minorHAnsi"/>
          <w:bCs/>
        </w:rPr>
        <w:t>through the</w:t>
      </w:r>
      <w:r w:rsidRPr="00B456CF">
        <w:rPr>
          <w:rFonts w:cstheme="minorHAnsi"/>
          <w:lang w:val="en-AU"/>
        </w:rPr>
        <w:t xml:space="preserve"> </w:t>
      </w:r>
      <w:r w:rsidRPr="00B456CF">
        <w:rPr>
          <w:rFonts w:cstheme="minorHAnsi"/>
          <w:bCs/>
          <w:i/>
          <w:iCs/>
        </w:rPr>
        <w:t xml:space="preserve">Cultural Respect Framework 2016 - 2026: For Aboriginal and Torres Strait Islander Health </w:t>
      </w:r>
      <w:r w:rsidRPr="00B456CF">
        <w:rPr>
          <w:rStyle w:val="FootnoteReference"/>
          <w:rFonts w:cstheme="minorHAnsi"/>
          <w:lang w:val="en-AU"/>
        </w:rPr>
        <w:footnoteReference w:id="5"/>
      </w:r>
      <w:r w:rsidRPr="00B456CF">
        <w:rPr>
          <w:rFonts w:eastAsia="Arial" w:cstheme="minorHAnsi"/>
          <w:shd w:val="clear" w:color="auto" w:fill="FFFFFF"/>
          <w:lang w:val="en-AU"/>
        </w:rPr>
        <w:t xml:space="preserve"> and </w:t>
      </w:r>
      <w:r w:rsidRPr="00B456CF">
        <w:rPr>
          <w:rFonts w:cstheme="minorHAnsi"/>
        </w:rPr>
        <w:t>the</w:t>
      </w:r>
      <w:r w:rsidRPr="00B456CF">
        <w:rPr>
          <w:rFonts w:cstheme="minorHAnsi"/>
          <w:bCs/>
          <w:i/>
          <w:iCs/>
        </w:rPr>
        <w:t xml:space="preserve"> Australian Charter of Healthcare </w:t>
      </w:r>
      <w:r w:rsidRPr="00B456CF">
        <w:rPr>
          <w:rFonts w:cstheme="minorHAnsi"/>
          <w:bCs/>
          <w:i/>
          <w:iCs/>
        </w:rPr>
        <w:lastRenderedPageBreak/>
        <w:t>Rights</w:t>
      </w:r>
      <w:r w:rsidR="00571ED3" w:rsidRPr="00B456CF">
        <w:rPr>
          <w:rFonts w:cstheme="minorHAnsi"/>
          <w:bCs/>
          <w:i/>
          <w:iCs/>
        </w:rPr>
        <w:t>.</w:t>
      </w:r>
      <w:r w:rsidRPr="00B456CF">
        <w:rPr>
          <w:rFonts w:cstheme="minorHAnsi"/>
          <w:bCs/>
          <w:i/>
          <w:iCs/>
        </w:rPr>
        <w:t xml:space="preserve"> </w:t>
      </w:r>
      <w:r w:rsidRPr="00B456CF">
        <w:rPr>
          <w:rStyle w:val="FootnoteReference"/>
          <w:rFonts w:cstheme="minorHAnsi"/>
          <w:bCs/>
          <w:iCs/>
        </w:rPr>
        <w:footnoteReference w:id="6"/>
      </w:r>
      <w:r w:rsidRPr="00B456CF">
        <w:rPr>
          <w:rFonts w:cstheme="minorHAnsi"/>
        </w:rPr>
        <w:t xml:space="preserve"> </w:t>
      </w:r>
      <w:r w:rsidR="00901EF8" w:rsidRPr="00B456CF">
        <w:rPr>
          <w:rFonts w:cstheme="minorHAnsi"/>
          <w:bCs/>
          <w:iCs/>
        </w:rPr>
        <w:t>Cultural r</w:t>
      </w:r>
      <w:r w:rsidRPr="00B456CF">
        <w:rPr>
          <w:rFonts w:cstheme="minorHAnsi"/>
          <w:bCs/>
          <w:iCs/>
        </w:rPr>
        <w:t xml:space="preserve">espect </w:t>
      </w:r>
      <w:r w:rsidR="00901EF8" w:rsidRPr="00B456CF">
        <w:rPr>
          <w:rFonts w:cstheme="minorHAnsi"/>
          <w:bCs/>
          <w:iCs/>
        </w:rPr>
        <w:t>r</w:t>
      </w:r>
      <w:proofErr w:type="spellStart"/>
      <w:r w:rsidRPr="00B456CF">
        <w:rPr>
          <w:rFonts w:cstheme="minorHAnsi"/>
          <w:bCs/>
          <w:iCs/>
          <w:lang w:val="en-AU"/>
        </w:rPr>
        <w:t>ecogni</w:t>
      </w:r>
      <w:r w:rsidR="00901EF8" w:rsidRPr="00B456CF">
        <w:rPr>
          <w:rFonts w:cstheme="minorHAnsi"/>
          <w:bCs/>
          <w:iCs/>
          <w:lang w:val="en-AU"/>
        </w:rPr>
        <w:t>ses</w:t>
      </w:r>
      <w:proofErr w:type="spellEnd"/>
      <w:r w:rsidRPr="00B456CF">
        <w:rPr>
          <w:rFonts w:cstheme="minorHAnsi"/>
          <w:bCs/>
          <w:iCs/>
          <w:lang w:val="en-AU"/>
        </w:rPr>
        <w:t xml:space="preserve">, </w:t>
      </w:r>
      <w:proofErr w:type="gramStart"/>
      <w:r w:rsidRPr="00B456CF">
        <w:rPr>
          <w:rFonts w:cstheme="minorHAnsi"/>
          <w:bCs/>
          <w:iCs/>
          <w:lang w:val="en-AU"/>
        </w:rPr>
        <w:t>protect</w:t>
      </w:r>
      <w:r w:rsidR="00901EF8" w:rsidRPr="00B456CF">
        <w:rPr>
          <w:rFonts w:cstheme="minorHAnsi"/>
          <w:bCs/>
          <w:iCs/>
          <w:lang w:val="en-AU"/>
        </w:rPr>
        <w:t>s</w:t>
      </w:r>
      <w:proofErr w:type="gramEnd"/>
      <w:r w:rsidRPr="00B456CF">
        <w:rPr>
          <w:rFonts w:cstheme="minorHAnsi"/>
          <w:bCs/>
          <w:iCs/>
          <w:lang w:val="en-AU"/>
        </w:rPr>
        <w:t xml:space="preserve"> and </w:t>
      </w:r>
      <w:r w:rsidR="00901EF8" w:rsidRPr="00B456CF">
        <w:rPr>
          <w:rFonts w:cstheme="minorHAnsi"/>
          <w:bCs/>
          <w:iCs/>
          <w:lang w:val="en-AU"/>
        </w:rPr>
        <w:t xml:space="preserve">supports </w:t>
      </w:r>
      <w:r w:rsidRPr="00B456CF">
        <w:rPr>
          <w:rFonts w:cstheme="minorHAnsi"/>
          <w:bCs/>
          <w:iCs/>
          <w:lang w:val="en-AU"/>
        </w:rPr>
        <w:t>continued advancement of the</w:t>
      </w:r>
      <w:r w:rsidRPr="00B456CF">
        <w:rPr>
          <w:rFonts w:eastAsiaTheme="minorHAnsi" w:cstheme="minorHAnsi"/>
          <w:bCs/>
          <w:iCs/>
          <w:lang w:val="en-AU"/>
        </w:rPr>
        <w:t xml:space="preserve"> </w:t>
      </w:r>
      <w:r w:rsidRPr="00B456CF">
        <w:rPr>
          <w:rFonts w:cstheme="minorHAnsi"/>
          <w:bCs/>
          <w:iCs/>
          <w:lang w:val="en-AU"/>
        </w:rPr>
        <w:t>inherent rights, cultures and traditions of Aboriginal and Torres</w:t>
      </w:r>
      <w:r w:rsidRPr="00B456CF">
        <w:rPr>
          <w:rFonts w:eastAsiaTheme="minorHAnsi" w:cstheme="minorHAnsi"/>
          <w:bCs/>
          <w:iCs/>
          <w:lang w:val="en-AU"/>
        </w:rPr>
        <w:t xml:space="preserve"> </w:t>
      </w:r>
      <w:r w:rsidR="00901EF8" w:rsidRPr="00B456CF">
        <w:rPr>
          <w:rFonts w:cstheme="minorHAnsi"/>
          <w:bCs/>
          <w:iCs/>
          <w:lang w:val="en-AU"/>
        </w:rPr>
        <w:t xml:space="preserve">Strait Islander people. </w:t>
      </w:r>
    </w:p>
    <w:p w14:paraId="54A40132" w14:textId="4472874F" w:rsidR="004C0998" w:rsidRPr="00B456CF" w:rsidRDefault="00A2123C" w:rsidP="00617114">
      <w:pPr>
        <w:spacing w:after="120" w:line="240" w:lineRule="auto"/>
        <w:jc w:val="both"/>
        <w:rPr>
          <w:rFonts w:cstheme="minorHAnsi"/>
          <w:bCs/>
          <w:color w:val="000000" w:themeColor="text1"/>
        </w:rPr>
      </w:pPr>
      <w:r w:rsidRPr="00B456CF">
        <w:rPr>
          <w:rFonts w:cstheme="minorHAnsi"/>
        </w:rPr>
        <w:t xml:space="preserve">Partnerships and engagement with Aboriginal and Torres Strait Islander people </w:t>
      </w:r>
      <w:r w:rsidR="002A0D6C" w:rsidRPr="00B456CF">
        <w:rPr>
          <w:rFonts w:cstheme="minorHAnsi"/>
        </w:rPr>
        <w:t xml:space="preserve">to </w:t>
      </w:r>
      <w:r w:rsidR="006219BD" w:rsidRPr="00B456CF">
        <w:rPr>
          <w:rFonts w:cstheme="minorHAnsi"/>
        </w:rPr>
        <w:t xml:space="preserve">enable them to </w:t>
      </w:r>
      <w:r w:rsidRPr="00B456CF">
        <w:rPr>
          <w:rFonts w:cstheme="minorHAnsi"/>
        </w:rPr>
        <w:t xml:space="preserve">lead and set their </w:t>
      </w:r>
      <w:r w:rsidR="002A0D6C" w:rsidRPr="00B456CF">
        <w:rPr>
          <w:rFonts w:cstheme="minorHAnsi"/>
        </w:rPr>
        <w:t xml:space="preserve">own </w:t>
      </w:r>
      <w:r w:rsidRPr="00B456CF">
        <w:rPr>
          <w:rFonts w:cstheme="minorHAnsi"/>
        </w:rPr>
        <w:t>health priorities are critical for developing a</w:t>
      </w:r>
      <w:r w:rsidRPr="00B456CF">
        <w:rPr>
          <w:rFonts w:cstheme="minorHAnsi"/>
          <w:bCs/>
        </w:rPr>
        <w:t xml:space="preserve"> culturally safe and culturally responsive health system</w:t>
      </w:r>
      <w:r w:rsidRPr="00B456CF">
        <w:rPr>
          <w:rFonts w:cstheme="minorHAnsi"/>
          <w:bCs/>
          <w:color w:val="000000" w:themeColor="text1"/>
        </w:rPr>
        <w:t xml:space="preserve">. </w:t>
      </w:r>
      <w:r w:rsidR="004C0998" w:rsidRPr="00B456CF">
        <w:rPr>
          <w:rFonts w:cstheme="minorHAnsi"/>
          <w:color w:val="000000" w:themeColor="text1"/>
        </w:rPr>
        <w:t>This needs to be supported by building Aboriginal and Torres Strait Islander peoples</w:t>
      </w:r>
      <w:r w:rsidR="006466B7" w:rsidRPr="00B456CF">
        <w:rPr>
          <w:rFonts w:cstheme="minorHAnsi"/>
          <w:color w:val="000000" w:themeColor="text1"/>
        </w:rPr>
        <w:t>’</w:t>
      </w:r>
      <w:r w:rsidR="004C0998" w:rsidRPr="00B456CF">
        <w:rPr>
          <w:rFonts w:cstheme="minorHAnsi"/>
          <w:color w:val="000000" w:themeColor="text1"/>
        </w:rPr>
        <w:t xml:space="preserve"> capacity and capability at every level across the health genomics field to help foster strong leadership, self-determination, joint decision-making </w:t>
      </w:r>
      <w:proofErr w:type="gramStart"/>
      <w:r w:rsidR="004C0998" w:rsidRPr="00B456CF">
        <w:rPr>
          <w:rFonts w:cstheme="minorHAnsi"/>
          <w:color w:val="000000" w:themeColor="text1"/>
        </w:rPr>
        <w:t>processes</w:t>
      </w:r>
      <w:proofErr w:type="gramEnd"/>
      <w:r w:rsidR="004C0998" w:rsidRPr="00B456CF">
        <w:rPr>
          <w:rFonts w:cstheme="minorHAnsi"/>
          <w:color w:val="000000" w:themeColor="text1"/>
        </w:rPr>
        <w:t xml:space="preserve"> and ethical co-design</w:t>
      </w:r>
      <w:r w:rsidR="004C0998" w:rsidRPr="00B456CF">
        <w:rPr>
          <w:rFonts w:cstheme="minorHAnsi"/>
          <w:b/>
          <w:i/>
          <w:color w:val="000000" w:themeColor="text1"/>
        </w:rPr>
        <w:t>.</w:t>
      </w:r>
    </w:p>
    <w:p w14:paraId="5BAD84E3" w14:textId="749EE630" w:rsidR="005C0187" w:rsidRPr="00B456CF" w:rsidRDefault="00444741" w:rsidP="004B00F6">
      <w:pPr>
        <w:spacing w:after="0" w:line="240" w:lineRule="auto"/>
        <w:jc w:val="both"/>
        <w:rPr>
          <w:rFonts w:cstheme="minorHAnsi"/>
        </w:rPr>
      </w:pPr>
      <w:r w:rsidRPr="00B456CF">
        <w:rPr>
          <w:rFonts w:cstheme="minorHAnsi"/>
          <w:bCs/>
        </w:rPr>
        <w:t>Furthermore, t</w:t>
      </w:r>
      <w:r w:rsidR="00812243" w:rsidRPr="00B456CF">
        <w:rPr>
          <w:rFonts w:cstheme="minorHAnsi"/>
          <w:bCs/>
        </w:rPr>
        <w:t xml:space="preserve">he </w:t>
      </w:r>
      <w:r w:rsidR="002A0D6C" w:rsidRPr="00B456CF">
        <w:rPr>
          <w:rFonts w:cstheme="minorHAnsi"/>
          <w:i/>
        </w:rPr>
        <w:t>National Safety and Quality Health Service (NSQHS) Standards</w:t>
      </w:r>
      <w:r w:rsidR="002A0D6C" w:rsidRPr="00B456CF">
        <w:rPr>
          <w:rFonts w:cstheme="minorHAnsi"/>
          <w:bCs/>
          <w:i/>
          <w:iCs/>
        </w:rPr>
        <w:t xml:space="preserve"> </w:t>
      </w:r>
      <w:r w:rsidR="002A0D6C" w:rsidRPr="00B456CF">
        <w:rPr>
          <w:rStyle w:val="FootnoteReference"/>
          <w:rFonts w:cstheme="minorHAnsi"/>
          <w:bCs/>
          <w:i/>
          <w:iCs/>
        </w:rPr>
        <w:footnoteReference w:id="7"/>
      </w:r>
      <w:r w:rsidR="002A0D6C" w:rsidRPr="00B456CF">
        <w:rPr>
          <w:rFonts w:cstheme="minorHAnsi"/>
          <w:bCs/>
        </w:rPr>
        <w:t xml:space="preserve"> </w:t>
      </w:r>
      <w:r w:rsidR="002A0D6C" w:rsidRPr="00B456CF">
        <w:rPr>
          <w:rFonts w:cstheme="minorHAnsi"/>
        </w:rPr>
        <w:t xml:space="preserve">promote active and informed participation by </w:t>
      </w:r>
      <w:r w:rsidR="002A0D6C" w:rsidRPr="00B456CF">
        <w:rPr>
          <w:rFonts w:cstheme="minorHAnsi"/>
          <w:bCs/>
        </w:rPr>
        <w:t xml:space="preserve">Aboriginal and Torres Strait Islander </w:t>
      </w:r>
      <w:r w:rsidR="002A0D6C" w:rsidRPr="00B456CF">
        <w:rPr>
          <w:rFonts w:cstheme="minorHAnsi"/>
        </w:rPr>
        <w:t>consumers in decisions about their own care</w:t>
      </w:r>
      <w:r w:rsidR="002A0D6C" w:rsidRPr="00B456CF">
        <w:rPr>
          <w:rFonts w:cstheme="minorHAnsi"/>
          <w:bCs/>
        </w:rPr>
        <w:t>.</w:t>
      </w:r>
      <w:r w:rsidR="002A0D6C" w:rsidRPr="00B456CF">
        <w:rPr>
          <w:rFonts w:cstheme="minorHAnsi"/>
        </w:rPr>
        <w:t xml:space="preserve"> </w:t>
      </w:r>
      <w:r w:rsidR="00955822" w:rsidRPr="00B456CF">
        <w:rPr>
          <w:rFonts w:cstheme="minorHAnsi"/>
        </w:rPr>
        <w:t xml:space="preserve">The </w:t>
      </w:r>
      <w:r w:rsidR="00955822" w:rsidRPr="00B456CF">
        <w:rPr>
          <w:rFonts w:cstheme="minorHAnsi"/>
          <w:bCs/>
          <w:i/>
        </w:rPr>
        <w:t>Australian Institute of Aboriginal and Torres Strait Islander Studies (AIATSIS)</w:t>
      </w:r>
      <w:r w:rsidR="00955822" w:rsidRPr="00B456CF">
        <w:rPr>
          <w:rFonts w:cstheme="minorHAnsi"/>
          <w:i/>
        </w:rPr>
        <w:t xml:space="preserve"> </w:t>
      </w:r>
      <w:r w:rsidR="00955822" w:rsidRPr="00B456CF">
        <w:rPr>
          <w:rFonts w:cstheme="minorHAnsi"/>
          <w:bCs/>
          <w:i/>
        </w:rPr>
        <w:t>Code of Ethics for Aboriginal and Torres Strait Islander Research</w:t>
      </w:r>
      <w:r w:rsidR="00955822" w:rsidRPr="00B456CF">
        <w:rPr>
          <w:rFonts w:cstheme="minorHAnsi"/>
        </w:rPr>
        <w:t xml:space="preserve"> </w:t>
      </w:r>
      <w:r w:rsidR="00955822" w:rsidRPr="00B456CF">
        <w:rPr>
          <w:rFonts w:eastAsia="Arial" w:cstheme="minorHAnsi"/>
          <w:vertAlign w:val="superscript"/>
        </w:rPr>
        <w:footnoteReference w:id="8"/>
      </w:r>
      <w:r w:rsidR="00955822" w:rsidRPr="00B456CF">
        <w:rPr>
          <w:rFonts w:cstheme="minorHAnsi"/>
        </w:rPr>
        <w:t xml:space="preserve"> </w:t>
      </w:r>
      <w:r w:rsidR="00F55DA6" w:rsidRPr="00B456CF">
        <w:rPr>
          <w:rFonts w:cstheme="minorHAnsi"/>
        </w:rPr>
        <w:t xml:space="preserve">also </w:t>
      </w:r>
      <w:r w:rsidR="00A2123C" w:rsidRPr="00B456CF">
        <w:rPr>
          <w:rFonts w:cstheme="minorHAnsi"/>
        </w:rPr>
        <w:t xml:space="preserve">sets </w:t>
      </w:r>
      <w:r w:rsidR="00F55DA6" w:rsidRPr="00B456CF">
        <w:rPr>
          <w:rFonts w:cstheme="minorHAnsi"/>
        </w:rPr>
        <w:t xml:space="preserve">out </w:t>
      </w:r>
      <w:r w:rsidR="00A2123C" w:rsidRPr="00B456CF">
        <w:rPr>
          <w:rFonts w:cstheme="minorHAnsi"/>
        </w:rPr>
        <w:t xml:space="preserve">the national standards for ethical and responsible conduct </w:t>
      </w:r>
      <w:r w:rsidR="008A5466" w:rsidRPr="00B456CF">
        <w:rPr>
          <w:rFonts w:cstheme="minorHAnsi"/>
        </w:rPr>
        <w:t xml:space="preserve">of research </w:t>
      </w:r>
      <w:r w:rsidR="00A2123C" w:rsidRPr="00B456CF">
        <w:rPr>
          <w:rFonts w:cstheme="minorHAnsi"/>
        </w:rPr>
        <w:t xml:space="preserve">with Aboriginal and Torres Strait Islander </w:t>
      </w:r>
      <w:r w:rsidR="009C5BBC" w:rsidRPr="00B456CF">
        <w:rPr>
          <w:rFonts w:cstheme="minorHAnsi"/>
        </w:rPr>
        <w:t>p</w:t>
      </w:r>
      <w:r w:rsidR="00A2123C" w:rsidRPr="00B456CF">
        <w:rPr>
          <w:rFonts w:cstheme="minorHAnsi"/>
        </w:rPr>
        <w:t xml:space="preserve">eoples. </w:t>
      </w:r>
      <w:r w:rsidR="005C0187" w:rsidRPr="00B456CF">
        <w:rPr>
          <w:rFonts w:cstheme="minorHAnsi"/>
        </w:rPr>
        <w:t xml:space="preserve">This includes leadership and participation in the prioritisation and conduct of health genomic research to ensure culturally responsive outcomes. </w:t>
      </w:r>
    </w:p>
    <w:p w14:paraId="2ACFD84D" w14:textId="77777777" w:rsidR="00A2123C" w:rsidRPr="00B456CF" w:rsidRDefault="00A2123C" w:rsidP="004B00F6">
      <w:pPr>
        <w:spacing w:after="0" w:line="240" w:lineRule="auto"/>
        <w:rPr>
          <w:rFonts w:cstheme="minorHAnsi"/>
          <w:bCs/>
          <w:i/>
          <w:iCs/>
          <w:color w:val="1A1A1A"/>
          <w:lang w:val="en-AU"/>
        </w:rPr>
      </w:pPr>
    </w:p>
    <w:tbl>
      <w:tblPr>
        <w:tblStyle w:val="GridTable5Dark-Accent61"/>
        <w:tblW w:w="0" w:type="auto"/>
        <w:tblInd w:w="-5" w:type="dxa"/>
        <w:tblLook w:val="04A0" w:firstRow="1" w:lastRow="0" w:firstColumn="1" w:lastColumn="0" w:noHBand="0" w:noVBand="1"/>
      </w:tblPr>
      <w:tblGrid>
        <w:gridCol w:w="1579"/>
        <w:gridCol w:w="7442"/>
      </w:tblGrid>
      <w:tr w:rsidR="0070240F" w:rsidRPr="00B456CF" w14:paraId="049FC6E7" w14:textId="77777777" w:rsidTr="00BD6B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9" w:type="dxa"/>
            <w:tcBorders>
              <w:right w:val="single" w:sz="4" w:space="0" w:color="FFFFFF" w:themeColor="background1"/>
            </w:tcBorders>
            <w:shd w:val="clear" w:color="auto" w:fill="C45911" w:themeFill="accent2" w:themeFillShade="BF"/>
            <w:vAlign w:val="center"/>
            <w:hideMark/>
          </w:tcPr>
          <w:p w14:paraId="02A9C1AA" w14:textId="77777777" w:rsidR="0070240F" w:rsidRPr="00B456CF" w:rsidRDefault="0070240F" w:rsidP="00534DEC">
            <w:pPr>
              <w:autoSpaceDE w:val="0"/>
              <w:autoSpaceDN w:val="0"/>
              <w:adjustRightInd w:val="0"/>
              <w:spacing w:after="100" w:line="211" w:lineRule="atLeast"/>
              <w:jc w:val="center"/>
              <w:rPr>
                <w:rFonts w:cstheme="minorHAnsi"/>
                <w:sz w:val="32"/>
                <w:szCs w:val="32"/>
                <w:lang w:val="en-AU"/>
              </w:rPr>
            </w:pPr>
            <w:r w:rsidRPr="00B456CF">
              <w:rPr>
                <w:rFonts w:cstheme="minorHAnsi"/>
                <w:sz w:val="32"/>
                <w:szCs w:val="32"/>
                <w:lang w:val="en-AU"/>
              </w:rPr>
              <w:t>PRINCIPLE 2</w:t>
            </w:r>
          </w:p>
        </w:tc>
        <w:tc>
          <w:tcPr>
            <w:tcW w:w="7442" w:type="dxa"/>
            <w:tcBorders>
              <w:left w:val="single" w:sz="4" w:space="0" w:color="FFFFFF" w:themeColor="background1"/>
              <w:bottom w:val="single" w:sz="4" w:space="0" w:color="FFFFFF" w:themeColor="background1"/>
            </w:tcBorders>
            <w:shd w:val="clear" w:color="auto" w:fill="FBE4D5" w:themeFill="accent2" w:themeFillTint="33"/>
            <w:hideMark/>
          </w:tcPr>
          <w:p w14:paraId="4577595E" w14:textId="77777777" w:rsidR="00655852" w:rsidRPr="00F25F36" w:rsidRDefault="0070240F" w:rsidP="00F25F36">
            <w:pPr>
              <w:autoSpaceDE w:val="0"/>
              <w:autoSpaceDN w:val="0"/>
              <w:adjustRightInd w:val="0"/>
              <w:spacing w:before="120" w:after="120"/>
              <w:cnfStyle w:val="100000000000" w:firstRow="1" w:lastRow="0" w:firstColumn="0" w:lastColumn="0" w:oddVBand="0" w:evenVBand="0" w:oddHBand="0" w:evenHBand="0" w:firstRowFirstColumn="0" w:firstRowLastColumn="0" w:lastRowFirstColumn="0" w:lastRowLastColumn="0"/>
              <w:rPr>
                <w:rFonts w:cstheme="minorHAnsi"/>
                <w:color w:val="auto"/>
                <w:lang w:val="en-AU"/>
              </w:rPr>
            </w:pPr>
            <w:r w:rsidRPr="00F25F36">
              <w:rPr>
                <w:rFonts w:cstheme="minorHAnsi"/>
                <w:bCs w:val="0"/>
                <w:color w:val="auto"/>
                <w:lang w:val="en-AU"/>
              </w:rPr>
              <w:t>CULTURALLY SAFE</w:t>
            </w:r>
            <w:r w:rsidRPr="00F25F36">
              <w:rPr>
                <w:rFonts w:cstheme="minorHAnsi"/>
                <w:color w:val="auto"/>
                <w:lang w:val="en-AU"/>
              </w:rPr>
              <w:t xml:space="preserve">: </w:t>
            </w:r>
          </w:p>
          <w:p w14:paraId="0EAC575A" w14:textId="55A959B7" w:rsidR="0070240F" w:rsidRPr="00F25F36" w:rsidRDefault="0070240F" w:rsidP="00F25F36">
            <w:pPr>
              <w:autoSpaceDE w:val="0"/>
              <w:autoSpaceDN w:val="0"/>
              <w:adjustRightInd w:val="0"/>
              <w:spacing w:before="120" w:after="120"/>
              <w:cnfStyle w:val="100000000000" w:firstRow="1" w:lastRow="0" w:firstColumn="0" w:lastColumn="0" w:oddVBand="0" w:evenVBand="0" w:oddHBand="0" w:evenHBand="0" w:firstRowFirstColumn="0" w:firstRowLastColumn="0" w:lastRowFirstColumn="0" w:lastRowLastColumn="0"/>
              <w:rPr>
                <w:rFonts w:cstheme="minorHAnsi"/>
                <w:color w:val="auto"/>
                <w:lang w:val="en-AU"/>
              </w:rPr>
            </w:pPr>
            <w:r w:rsidRPr="00F25F36">
              <w:rPr>
                <w:rFonts w:cstheme="minorHAnsi"/>
                <w:color w:val="auto"/>
                <w:lang w:val="en-AU"/>
              </w:rPr>
              <w:t>To ensure the rights of future generations are not undermined by decisions made now, it is critical that culture and kinship are key considerations in all applications of genomics. In clinical investigations, this means that the provision of genomic health services will not compromise the legitimate cultural and human rights, values, and expectations of Aboriginal and Torres Strait Islander peoples. In research and service design, projects should be conducted though co-design processes ensuring benefits and outcomes are mapped to cultural and kinship practices and priorities.</w:t>
            </w:r>
          </w:p>
        </w:tc>
      </w:tr>
    </w:tbl>
    <w:p w14:paraId="009E5008" w14:textId="77777777" w:rsidR="006A6B57" w:rsidRPr="00B456CF" w:rsidRDefault="006A6B57" w:rsidP="00E00843">
      <w:pPr>
        <w:spacing w:after="0" w:line="240" w:lineRule="auto"/>
        <w:rPr>
          <w:rFonts w:cstheme="minorHAnsi"/>
        </w:rPr>
      </w:pPr>
    </w:p>
    <w:p w14:paraId="0D4CB7E8" w14:textId="5419B26F" w:rsidR="00F61982" w:rsidRPr="00B456CF" w:rsidRDefault="00F61982" w:rsidP="00617114">
      <w:pPr>
        <w:spacing w:after="120" w:line="240" w:lineRule="auto"/>
        <w:jc w:val="both"/>
        <w:rPr>
          <w:rFonts w:cstheme="minorHAnsi"/>
        </w:rPr>
      </w:pPr>
      <w:r w:rsidRPr="005973DF">
        <w:rPr>
          <w:rFonts w:cstheme="minorHAnsi"/>
        </w:rPr>
        <w:t>Aboriginal and Torres Strait Islander cultures</w:t>
      </w:r>
      <w:r w:rsidRPr="005973DF">
        <w:rPr>
          <w:rFonts w:cstheme="minorHAnsi"/>
          <w:b/>
        </w:rPr>
        <w:t xml:space="preserve"> </w:t>
      </w:r>
      <w:r w:rsidRPr="005973DF">
        <w:rPr>
          <w:rFonts w:cstheme="minorHAnsi"/>
        </w:rPr>
        <w:t xml:space="preserve">are varied, with more than 250 Aboriginal and Torres Strait Islander nations across the continent of Australia. </w:t>
      </w:r>
      <w:r w:rsidR="00605214" w:rsidRPr="005973DF">
        <w:rPr>
          <w:rFonts w:cstheme="minorHAnsi"/>
        </w:rPr>
        <w:t xml:space="preserve">Culture plays a pivotal role in the health and wellbeing of Aboriginal and Torres Strait Islander people; and their belief systems are built on centuries of unbroken connection to country, encompassing land, waters, </w:t>
      </w:r>
      <w:proofErr w:type="gramStart"/>
      <w:r w:rsidR="00605214" w:rsidRPr="005973DF">
        <w:rPr>
          <w:rFonts w:cstheme="minorHAnsi"/>
        </w:rPr>
        <w:t>islands</w:t>
      </w:r>
      <w:proofErr w:type="gramEnd"/>
      <w:r w:rsidR="00605214" w:rsidRPr="005973DF">
        <w:rPr>
          <w:rFonts w:cstheme="minorHAnsi"/>
        </w:rPr>
        <w:t xml:space="preserve"> and seas. </w:t>
      </w:r>
      <w:r w:rsidRPr="005973DF">
        <w:rPr>
          <w:rFonts w:cstheme="minorHAnsi"/>
        </w:rPr>
        <w:t xml:space="preserve">Aboriginal </w:t>
      </w:r>
      <w:r w:rsidR="00C509BA">
        <w:rPr>
          <w:rFonts w:cstheme="minorHAnsi"/>
        </w:rPr>
        <w:t xml:space="preserve">and Torres Strait Islander </w:t>
      </w:r>
      <w:r w:rsidRPr="005973DF">
        <w:rPr>
          <w:rFonts w:cstheme="minorHAnsi"/>
        </w:rPr>
        <w:t>people</w:t>
      </w:r>
      <w:r w:rsidR="00605214" w:rsidRPr="005973DF">
        <w:rPr>
          <w:rFonts w:cstheme="minorHAnsi"/>
        </w:rPr>
        <w:t xml:space="preserve">s’ connection to country has existed </w:t>
      </w:r>
      <w:r w:rsidRPr="005973DF">
        <w:rPr>
          <w:rFonts w:cstheme="minorHAnsi"/>
        </w:rPr>
        <w:t xml:space="preserve">for </w:t>
      </w:r>
      <w:r w:rsidR="00C509BA">
        <w:rPr>
          <w:rFonts w:cstheme="minorHAnsi"/>
        </w:rPr>
        <w:t>millennia</w:t>
      </w:r>
      <w:r w:rsidRPr="005973DF">
        <w:rPr>
          <w:rFonts w:cstheme="minorHAnsi"/>
        </w:rPr>
        <w:t>.</w:t>
      </w:r>
      <w:r w:rsidRPr="00B456CF">
        <w:rPr>
          <w:rFonts w:cstheme="minorHAnsi"/>
        </w:rPr>
        <w:t xml:space="preserve"> </w:t>
      </w:r>
    </w:p>
    <w:p w14:paraId="5337F90D" w14:textId="2EAFFC7A" w:rsidR="00F61982" w:rsidRPr="00B456CF" w:rsidRDefault="00F61982" w:rsidP="00617114">
      <w:pPr>
        <w:spacing w:after="120" w:line="240" w:lineRule="auto"/>
        <w:jc w:val="both"/>
        <w:rPr>
          <w:rFonts w:cstheme="minorHAnsi"/>
        </w:rPr>
      </w:pPr>
      <w:r w:rsidRPr="00B456CF">
        <w:rPr>
          <w:rFonts w:cstheme="minorHAnsi"/>
        </w:rPr>
        <w:t xml:space="preserve">The separate Aboriginal nations, and the many island nations in the Torres Strait, are distinct </w:t>
      </w:r>
      <w:proofErr w:type="gramStart"/>
      <w:r w:rsidRPr="00B456CF">
        <w:rPr>
          <w:rFonts w:cstheme="minorHAnsi"/>
        </w:rPr>
        <w:t>groups in their own right</w:t>
      </w:r>
      <w:proofErr w:type="gramEnd"/>
      <w:r w:rsidRPr="00B456CF">
        <w:rPr>
          <w:rFonts w:cstheme="minorHAnsi"/>
        </w:rPr>
        <w:t>. Consequently, cultural responsiveness in service design and ethical research co-design ensures cultural safety as a key consideration across all aspects of genomics</w:t>
      </w:r>
      <w:r w:rsidR="00F55DA6" w:rsidRPr="00B456CF">
        <w:rPr>
          <w:rFonts w:cstheme="minorHAnsi"/>
        </w:rPr>
        <w:t xml:space="preserve"> health services</w:t>
      </w:r>
      <w:r w:rsidRPr="00B456CF">
        <w:rPr>
          <w:rFonts w:cstheme="minorHAnsi"/>
        </w:rPr>
        <w:t xml:space="preserve"> and research for Aboriginal and Torres Strait Islander individuals, </w:t>
      </w:r>
      <w:proofErr w:type="gramStart"/>
      <w:r w:rsidRPr="00B456CF">
        <w:rPr>
          <w:rFonts w:cstheme="minorHAnsi"/>
        </w:rPr>
        <w:t>families</w:t>
      </w:r>
      <w:proofErr w:type="gramEnd"/>
      <w:r w:rsidRPr="00B456CF">
        <w:rPr>
          <w:rFonts w:cstheme="minorHAnsi"/>
        </w:rPr>
        <w:t xml:space="preserve"> and communities.</w:t>
      </w:r>
    </w:p>
    <w:p w14:paraId="12D42003" w14:textId="01ED0E98" w:rsidR="003A144E" w:rsidRDefault="00F61982" w:rsidP="00DA4DB3">
      <w:pPr>
        <w:spacing w:after="0" w:line="240" w:lineRule="auto"/>
        <w:jc w:val="both"/>
        <w:rPr>
          <w:rFonts w:cstheme="minorHAnsi"/>
        </w:rPr>
      </w:pPr>
      <w:r w:rsidRPr="00B456CF">
        <w:rPr>
          <w:rFonts w:cstheme="minorHAnsi"/>
        </w:rPr>
        <w:t xml:space="preserve">Kinship is a </w:t>
      </w:r>
      <w:r w:rsidR="00C509BA">
        <w:rPr>
          <w:rFonts w:cstheme="minorHAnsi"/>
        </w:rPr>
        <w:t>c</w:t>
      </w:r>
      <w:r w:rsidR="00A23B30">
        <w:rPr>
          <w:rFonts w:cstheme="minorHAnsi"/>
        </w:rPr>
        <w:t>r</w:t>
      </w:r>
      <w:r w:rsidR="00C509BA">
        <w:rPr>
          <w:rFonts w:cstheme="minorHAnsi"/>
        </w:rPr>
        <w:t>itical</w:t>
      </w:r>
      <w:r w:rsidR="00C509BA" w:rsidRPr="00B456CF">
        <w:rPr>
          <w:rFonts w:cstheme="minorHAnsi"/>
        </w:rPr>
        <w:t xml:space="preserve"> </w:t>
      </w:r>
      <w:r w:rsidRPr="00B456CF">
        <w:rPr>
          <w:rFonts w:cstheme="minorHAnsi"/>
        </w:rPr>
        <w:t xml:space="preserve">element across all Aboriginal and Torres Strait Islander cultures that defines the relationships between family, </w:t>
      </w:r>
      <w:proofErr w:type="gramStart"/>
      <w:r w:rsidRPr="00B456CF">
        <w:rPr>
          <w:rFonts w:cstheme="minorHAnsi"/>
        </w:rPr>
        <w:t>lore</w:t>
      </w:r>
      <w:proofErr w:type="gramEnd"/>
      <w:r w:rsidRPr="00B456CF">
        <w:rPr>
          <w:rFonts w:cstheme="minorHAnsi"/>
        </w:rPr>
        <w:t xml:space="preserve"> and culture. Engagement </w:t>
      </w:r>
      <w:r w:rsidR="00232721" w:rsidRPr="00B456CF">
        <w:rPr>
          <w:rFonts w:cstheme="minorHAnsi"/>
        </w:rPr>
        <w:t xml:space="preserve">with Aboriginal and Torres Strait Islander peoples </w:t>
      </w:r>
      <w:r w:rsidRPr="00B456CF">
        <w:rPr>
          <w:rFonts w:cstheme="minorHAnsi"/>
        </w:rPr>
        <w:t xml:space="preserve">must occur to understand the impact of genomic </w:t>
      </w:r>
      <w:r w:rsidR="00F55DA6" w:rsidRPr="00B456CF">
        <w:rPr>
          <w:rFonts w:cstheme="minorHAnsi"/>
        </w:rPr>
        <w:t>health services</w:t>
      </w:r>
      <w:r w:rsidRPr="00B456CF">
        <w:rPr>
          <w:rFonts w:cstheme="minorHAnsi"/>
        </w:rPr>
        <w:t xml:space="preserve"> and research on the individual, family</w:t>
      </w:r>
      <w:r w:rsidR="00232721" w:rsidRPr="00B456CF">
        <w:rPr>
          <w:rFonts w:cstheme="minorHAnsi"/>
        </w:rPr>
        <w:t>,</w:t>
      </w:r>
      <w:r w:rsidRPr="00B456CF">
        <w:rPr>
          <w:rFonts w:cstheme="minorHAnsi"/>
        </w:rPr>
        <w:t xml:space="preserve"> kinship dynamics and their communities more broadly. </w:t>
      </w:r>
      <w:r w:rsidR="006A4D63" w:rsidRPr="00B456CF">
        <w:rPr>
          <w:rFonts w:cstheme="minorHAnsi"/>
        </w:rPr>
        <w:t xml:space="preserve">Consideration also needs to be given to variations in cultural protocols and kinship, and for people from other groups living within a community. </w:t>
      </w:r>
      <w:r w:rsidRPr="00B456CF">
        <w:rPr>
          <w:rFonts w:cstheme="minorHAnsi"/>
        </w:rPr>
        <w:t xml:space="preserve">Flexible models need to be co-designed to meet the needs and wants of the people concerned. This should occur through ongoing </w:t>
      </w:r>
      <w:r w:rsidR="00C509BA">
        <w:rPr>
          <w:rFonts w:cstheme="minorHAnsi"/>
        </w:rPr>
        <w:t xml:space="preserve">consultation and </w:t>
      </w:r>
      <w:r w:rsidRPr="00B456CF">
        <w:rPr>
          <w:rFonts w:cstheme="minorHAnsi"/>
        </w:rPr>
        <w:t>conversations with communities</w:t>
      </w:r>
      <w:r w:rsidR="00BD386D" w:rsidRPr="00B456CF">
        <w:rPr>
          <w:rFonts w:cstheme="minorHAnsi"/>
        </w:rPr>
        <w:t xml:space="preserve"> to ensure </w:t>
      </w:r>
      <w:r w:rsidR="00C509BA">
        <w:rPr>
          <w:rFonts w:cstheme="minorHAnsi"/>
        </w:rPr>
        <w:t>that</w:t>
      </w:r>
      <w:r w:rsidRPr="00B456CF">
        <w:rPr>
          <w:rFonts w:cstheme="minorHAnsi"/>
        </w:rPr>
        <w:t xml:space="preserve"> culture</w:t>
      </w:r>
      <w:r w:rsidR="00C509BA">
        <w:rPr>
          <w:rFonts w:cstheme="minorHAnsi"/>
        </w:rPr>
        <w:t xml:space="preserve"> is protected and sustained through clinical care and research practice</w:t>
      </w:r>
      <w:r w:rsidR="00F55DA6" w:rsidRPr="00B456CF">
        <w:rPr>
          <w:rFonts w:cstheme="minorHAnsi"/>
        </w:rPr>
        <w:t xml:space="preserve">. </w:t>
      </w:r>
      <w:r w:rsidR="003A144E">
        <w:rPr>
          <w:rFonts w:cstheme="minorHAnsi"/>
        </w:rPr>
        <w:br w:type="page"/>
      </w:r>
    </w:p>
    <w:p w14:paraId="40D7FC87" w14:textId="77777777" w:rsidR="00AE6067" w:rsidRPr="00B456CF" w:rsidRDefault="00AE6067" w:rsidP="00DB56A7">
      <w:pPr>
        <w:spacing w:after="0" w:line="240" w:lineRule="auto"/>
        <w:rPr>
          <w:rFonts w:cstheme="minorHAnsi"/>
        </w:rPr>
      </w:pPr>
    </w:p>
    <w:tbl>
      <w:tblPr>
        <w:tblStyle w:val="GridTable5Dark-Accent61"/>
        <w:tblW w:w="0" w:type="auto"/>
        <w:tblInd w:w="-5" w:type="dxa"/>
        <w:tblLook w:val="04A0" w:firstRow="1" w:lastRow="0" w:firstColumn="1" w:lastColumn="0" w:noHBand="0" w:noVBand="1"/>
      </w:tblPr>
      <w:tblGrid>
        <w:gridCol w:w="1579"/>
        <w:gridCol w:w="7442"/>
      </w:tblGrid>
      <w:tr w:rsidR="0068586A" w:rsidRPr="00B456CF" w14:paraId="5E47EEA7" w14:textId="77777777" w:rsidTr="00AE60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9" w:type="dxa"/>
            <w:tcBorders>
              <w:right w:val="single" w:sz="4" w:space="0" w:color="FFFFFF" w:themeColor="background1"/>
            </w:tcBorders>
            <w:shd w:val="clear" w:color="auto" w:fill="C45911" w:themeFill="accent2" w:themeFillShade="BF"/>
            <w:vAlign w:val="center"/>
            <w:hideMark/>
          </w:tcPr>
          <w:p w14:paraId="6EDCDA6B" w14:textId="77777777" w:rsidR="0068586A" w:rsidRPr="00B456CF" w:rsidRDefault="0068586A" w:rsidP="00534DEC">
            <w:pPr>
              <w:autoSpaceDE w:val="0"/>
              <w:autoSpaceDN w:val="0"/>
              <w:adjustRightInd w:val="0"/>
              <w:spacing w:after="100" w:line="211" w:lineRule="atLeast"/>
              <w:jc w:val="center"/>
              <w:rPr>
                <w:rFonts w:cstheme="minorHAnsi"/>
                <w:sz w:val="32"/>
                <w:szCs w:val="32"/>
                <w:lang w:val="en-AU"/>
              </w:rPr>
            </w:pPr>
            <w:r w:rsidRPr="00B456CF">
              <w:rPr>
                <w:rFonts w:cstheme="minorHAnsi"/>
                <w:sz w:val="32"/>
                <w:szCs w:val="32"/>
                <w:lang w:val="en-AU"/>
              </w:rPr>
              <w:t>PRINCIPLE 3</w:t>
            </w:r>
          </w:p>
        </w:tc>
        <w:tc>
          <w:tcPr>
            <w:tcW w:w="7442" w:type="dxa"/>
            <w:tcBorders>
              <w:left w:val="single" w:sz="4" w:space="0" w:color="FFFFFF" w:themeColor="background1"/>
              <w:bottom w:val="single" w:sz="4" w:space="0" w:color="FFFFFF" w:themeColor="background1"/>
            </w:tcBorders>
            <w:shd w:val="clear" w:color="auto" w:fill="FBE4D5" w:themeFill="accent2" w:themeFillTint="33"/>
            <w:hideMark/>
          </w:tcPr>
          <w:p w14:paraId="29B43814" w14:textId="77777777" w:rsidR="00DC60CC" w:rsidRPr="00F25F36" w:rsidRDefault="0068586A" w:rsidP="00F25F36">
            <w:pPr>
              <w:tabs>
                <w:tab w:val="left" w:pos="1589"/>
              </w:tabs>
              <w:autoSpaceDE w:val="0"/>
              <w:autoSpaceDN w:val="0"/>
              <w:adjustRightInd w:val="0"/>
              <w:spacing w:before="120" w:after="120"/>
              <w:cnfStyle w:val="100000000000" w:firstRow="1" w:lastRow="0" w:firstColumn="0" w:lastColumn="0" w:oddVBand="0" w:evenVBand="0" w:oddHBand="0" w:evenHBand="0" w:firstRowFirstColumn="0" w:firstRowLastColumn="0" w:lastRowFirstColumn="0" w:lastRowLastColumn="0"/>
              <w:rPr>
                <w:rFonts w:cstheme="minorHAnsi"/>
                <w:color w:val="auto"/>
                <w:shd w:val="clear" w:color="auto" w:fill="FBE4D5" w:themeFill="accent2" w:themeFillTint="33"/>
                <w:lang w:val="en-AU"/>
              </w:rPr>
            </w:pPr>
            <w:r w:rsidRPr="00F25F36">
              <w:rPr>
                <w:rFonts w:cstheme="minorHAnsi"/>
                <w:color w:val="auto"/>
                <w:shd w:val="clear" w:color="auto" w:fill="FBE4D5" w:themeFill="accent2" w:themeFillTint="33"/>
                <w:lang w:val="en-AU"/>
              </w:rPr>
              <w:t xml:space="preserve">HEALTH EQUITY:  </w:t>
            </w:r>
          </w:p>
          <w:p w14:paraId="01D81ED4" w14:textId="302266B6" w:rsidR="00DC60CC" w:rsidRPr="00F76D61" w:rsidRDefault="0068586A" w:rsidP="00F25F36">
            <w:pPr>
              <w:tabs>
                <w:tab w:val="left" w:pos="1589"/>
              </w:tabs>
              <w:autoSpaceDE w:val="0"/>
              <w:autoSpaceDN w:val="0"/>
              <w:adjustRightInd w:val="0"/>
              <w:spacing w:before="120" w:after="120"/>
              <w:ind w:left="434" w:hanging="425"/>
              <w:cnfStyle w:val="100000000000" w:firstRow="1" w:lastRow="0" w:firstColumn="0" w:lastColumn="0" w:oddVBand="0" w:evenVBand="0" w:oddHBand="0" w:evenHBand="0" w:firstRowFirstColumn="0" w:firstRowLastColumn="0" w:lastRowFirstColumn="0" w:lastRowLastColumn="0"/>
              <w:rPr>
                <w:rFonts w:cstheme="minorHAnsi"/>
                <w:bCs w:val="0"/>
                <w:color w:val="auto"/>
                <w:shd w:val="clear" w:color="auto" w:fill="FBE4D5" w:themeFill="accent2" w:themeFillTint="33"/>
                <w:lang w:val="en-AU"/>
              </w:rPr>
            </w:pPr>
            <w:r w:rsidRPr="00F25F36">
              <w:rPr>
                <w:rFonts w:cstheme="minorHAnsi"/>
                <w:color w:val="auto"/>
                <w:shd w:val="clear" w:color="auto" w:fill="FBE4D5" w:themeFill="accent2" w:themeFillTint="33"/>
                <w:lang w:val="en-AU"/>
              </w:rPr>
              <w:t>(</w:t>
            </w:r>
            <w:r w:rsidRPr="00F25F36">
              <w:rPr>
                <w:rFonts w:cstheme="minorHAnsi"/>
                <w:bCs w:val="0"/>
                <w:color w:val="auto"/>
                <w:shd w:val="clear" w:color="auto" w:fill="FBE4D5" w:themeFill="accent2" w:themeFillTint="33"/>
                <w:lang w:val="en-AU"/>
              </w:rPr>
              <w:t xml:space="preserve">a) </w:t>
            </w:r>
            <w:r w:rsidR="00DC60CC" w:rsidRPr="00F25F36">
              <w:rPr>
                <w:rFonts w:cstheme="minorHAnsi"/>
                <w:bCs w:val="0"/>
                <w:color w:val="auto"/>
                <w:shd w:val="clear" w:color="auto" w:fill="FBE4D5" w:themeFill="accent2" w:themeFillTint="33"/>
                <w:lang w:val="en-AU"/>
              </w:rPr>
              <w:tab/>
            </w:r>
            <w:r w:rsidRPr="00F25F36">
              <w:rPr>
                <w:rFonts w:cstheme="minorHAnsi"/>
                <w:bCs w:val="0"/>
                <w:color w:val="auto"/>
                <w:shd w:val="clear" w:color="auto" w:fill="FBE4D5" w:themeFill="accent2" w:themeFillTint="33"/>
                <w:lang w:val="en-AU"/>
              </w:rPr>
              <w:t xml:space="preserve">To ensure the application of genomics in clinical practice and health service delivery provides equitable access, equitable outcomes and optimised benefits through respectful partnerships with Aboriginal and Torres Strait Islander individuals, families </w:t>
            </w:r>
            <w:r w:rsidR="00DC60CC" w:rsidRPr="00F25F36">
              <w:rPr>
                <w:rFonts w:cstheme="minorHAnsi"/>
                <w:bCs w:val="0"/>
                <w:color w:val="auto"/>
                <w:shd w:val="clear" w:color="auto" w:fill="FBE4D5" w:themeFill="accent2" w:themeFillTint="33"/>
                <w:lang w:val="en-AU"/>
              </w:rPr>
              <w:t xml:space="preserve">and </w:t>
            </w:r>
            <w:r w:rsidR="00DC60CC" w:rsidRPr="00F76D61">
              <w:rPr>
                <w:rFonts w:cstheme="minorHAnsi"/>
                <w:bCs w:val="0"/>
                <w:color w:val="auto"/>
                <w:shd w:val="clear" w:color="auto" w:fill="FBE4D5" w:themeFill="accent2" w:themeFillTint="33"/>
                <w:lang w:val="en-AU"/>
              </w:rPr>
              <w:t>communities</w:t>
            </w:r>
            <w:r w:rsidR="00DA4DB3" w:rsidRPr="00F76D61">
              <w:rPr>
                <w:rFonts w:cstheme="minorHAnsi"/>
                <w:bCs w:val="0"/>
                <w:color w:val="auto"/>
                <w:shd w:val="clear" w:color="auto" w:fill="FBE4D5" w:themeFill="accent2" w:themeFillTint="33"/>
                <w:lang w:val="en-AU"/>
              </w:rPr>
              <w:t xml:space="preserve"> </w:t>
            </w:r>
            <w:r w:rsidR="00DA4DB3" w:rsidRPr="00F76D61">
              <w:rPr>
                <w:rFonts w:cstheme="minorHAnsi"/>
                <w:color w:val="auto"/>
                <w:lang w:val="en-AU"/>
              </w:rPr>
              <w:t>, including through partnerships with Aboriginal organisations, such as the Aboriginal Community Controlled Health Sector</w:t>
            </w:r>
            <w:r w:rsidR="00DC60CC" w:rsidRPr="00F76D61">
              <w:rPr>
                <w:rFonts w:cstheme="minorHAnsi"/>
                <w:bCs w:val="0"/>
                <w:color w:val="auto"/>
                <w:shd w:val="clear" w:color="auto" w:fill="FBE4D5" w:themeFill="accent2" w:themeFillTint="33"/>
                <w:lang w:val="en-AU"/>
              </w:rPr>
              <w:t xml:space="preserve">; </w:t>
            </w:r>
          </w:p>
          <w:p w14:paraId="5B234A09" w14:textId="6532F50D" w:rsidR="00DC60CC" w:rsidRPr="00F25F36" w:rsidRDefault="0068586A" w:rsidP="00F25F36">
            <w:pPr>
              <w:tabs>
                <w:tab w:val="left" w:pos="1589"/>
              </w:tabs>
              <w:autoSpaceDE w:val="0"/>
              <w:autoSpaceDN w:val="0"/>
              <w:adjustRightInd w:val="0"/>
              <w:spacing w:before="120" w:after="120"/>
              <w:ind w:left="434" w:hanging="425"/>
              <w:cnfStyle w:val="100000000000" w:firstRow="1" w:lastRow="0" w:firstColumn="0" w:lastColumn="0" w:oddVBand="0" w:evenVBand="0" w:oddHBand="0" w:evenHBand="0" w:firstRowFirstColumn="0" w:firstRowLastColumn="0" w:lastRowFirstColumn="0" w:lastRowLastColumn="0"/>
              <w:rPr>
                <w:rFonts w:cstheme="minorHAnsi"/>
                <w:bCs w:val="0"/>
                <w:color w:val="auto"/>
                <w:lang w:val="en-AU"/>
              </w:rPr>
            </w:pPr>
            <w:r w:rsidRPr="00F25F36">
              <w:rPr>
                <w:rFonts w:cstheme="minorHAnsi"/>
                <w:bCs w:val="0"/>
                <w:color w:val="auto"/>
                <w:shd w:val="clear" w:color="auto" w:fill="FBE4D5" w:themeFill="accent2" w:themeFillTint="33"/>
                <w:lang w:val="en-AU"/>
              </w:rPr>
              <w:t>(b)</w:t>
            </w:r>
            <w:r w:rsidR="00DC60CC" w:rsidRPr="00F25F36">
              <w:rPr>
                <w:rFonts w:cstheme="minorHAnsi"/>
                <w:bCs w:val="0"/>
                <w:color w:val="auto"/>
                <w:shd w:val="clear" w:color="auto" w:fill="FBE4D5" w:themeFill="accent2" w:themeFillTint="33"/>
                <w:lang w:val="en-AU"/>
              </w:rPr>
              <w:tab/>
            </w:r>
            <w:r w:rsidRPr="00F25F36">
              <w:rPr>
                <w:rFonts w:cstheme="minorHAnsi"/>
                <w:bCs w:val="0"/>
                <w:color w:val="auto"/>
                <w:shd w:val="clear" w:color="auto" w:fill="FBE4D5" w:themeFill="accent2" w:themeFillTint="33"/>
                <w:lang w:val="en-AU"/>
              </w:rPr>
              <w:t>To ensure mandatory co-</w:t>
            </w:r>
            <w:r w:rsidRPr="00F76D61">
              <w:rPr>
                <w:rFonts w:cstheme="minorHAnsi"/>
                <w:bCs w:val="0"/>
                <w:color w:val="auto"/>
                <w:shd w:val="clear" w:color="auto" w:fill="FBE4D5" w:themeFill="accent2" w:themeFillTint="33"/>
                <w:lang w:val="en-AU"/>
              </w:rPr>
              <w:t>design</w:t>
            </w:r>
            <w:r w:rsidR="00DA4DB3" w:rsidRPr="00F76D61">
              <w:rPr>
                <w:rFonts w:cstheme="minorHAnsi"/>
                <w:bCs w:val="0"/>
                <w:color w:val="auto"/>
                <w:shd w:val="clear" w:color="auto" w:fill="FBE4D5" w:themeFill="accent2" w:themeFillTint="33"/>
                <w:lang w:val="en-AU"/>
              </w:rPr>
              <w:t xml:space="preserve"> </w:t>
            </w:r>
            <w:r w:rsidR="00DA4DB3" w:rsidRPr="00F76D61">
              <w:rPr>
                <w:rFonts w:cstheme="minorHAnsi"/>
                <w:color w:val="auto"/>
                <w:lang w:val="en-AU"/>
              </w:rPr>
              <w:t>and co-production</w:t>
            </w:r>
            <w:r w:rsidRPr="00F76D61">
              <w:rPr>
                <w:rFonts w:cstheme="minorHAnsi"/>
                <w:bCs w:val="0"/>
                <w:color w:val="auto"/>
                <w:shd w:val="clear" w:color="auto" w:fill="FBE4D5" w:themeFill="accent2" w:themeFillTint="33"/>
                <w:lang w:val="en-AU"/>
              </w:rPr>
              <w:t xml:space="preserve"> in </w:t>
            </w:r>
            <w:r w:rsidRPr="00F25F36">
              <w:rPr>
                <w:rFonts w:cstheme="minorHAnsi"/>
                <w:bCs w:val="0"/>
                <w:color w:val="auto"/>
                <w:shd w:val="clear" w:color="auto" w:fill="FBE4D5" w:themeFill="accent2" w:themeFillTint="33"/>
                <w:lang w:val="en-AU"/>
              </w:rPr>
              <w:t>all genomic research</w:t>
            </w:r>
            <w:r w:rsidRPr="00F25F36">
              <w:rPr>
                <w:rFonts w:cstheme="minorHAnsi"/>
                <w:bCs w:val="0"/>
                <w:color w:val="auto"/>
                <w:lang w:val="en-AU"/>
              </w:rPr>
              <w:t xml:space="preserve"> studies so that health benefits are returned to participants and passed on to Aboriginal and Torres Strait Islander people and </w:t>
            </w:r>
            <w:proofErr w:type="gramStart"/>
            <w:r w:rsidRPr="00F25F36">
              <w:rPr>
                <w:rFonts w:cstheme="minorHAnsi"/>
                <w:bCs w:val="0"/>
                <w:color w:val="auto"/>
                <w:lang w:val="en-AU"/>
              </w:rPr>
              <w:t>communities;</w:t>
            </w:r>
            <w:proofErr w:type="gramEnd"/>
          </w:p>
          <w:p w14:paraId="3DCFFADB" w14:textId="6EEFE922" w:rsidR="00DA4DB3" w:rsidRDefault="0068586A" w:rsidP="00DA4DB3">
            <w:pPr>
              <w:tabs>
                <w:tab w:val="left" w:pos="1589"/>
              </w:tabs>
              <w:autoSpaceDE w:val="0"/>
              <w:autoSpaceDN w:val="0"/>
              <w:adjustRightInd w:val="0"/>
              <w:spacing w:before="120" w:after="120"/>
              <w:ind w:left="434" w:hanging="425"/>
              <w:cnfStyle w:val="100000000000" w:firstRow="1" w:lastRow="0" w:firstColumn="0" w:lastColumn="0" w:oddVBand="0" w:evenVBand="0" w:oddHBand="0" w:evenHBand="0" w:firstRowFirstColumn="0" w:firstRowLastColumn="0" w:lastRowFirstColumn="0" w:lastRowLastColumn="0"/>
              <w:rPr>
                <w:rFonts w:cstheme="minorHAnsi"/>
                <w:b w:val="0"/>
                <w:lang w:val="en-AU"/>
              </w:rPr>
            </w:pPr>
            <w:r w:rsidRPr="00F25F36">
              <w:rPr>
                <w:rFonts w:cstheme="minorHAnsi"/>
                <w:bCs w:val="0"/>
                <w:color w:val="auto"/>
                <w:lang w:val="en-AU"/>
              </w:rPr>
              <w:t>(c)</w:t>
            </w:r>
            <w:r w:rsidR="00DC60CC" w:rsidRPr="00F25F36">
              <w:rPr>
                <w:rFonts w:cstheme="minorHAnsi"/>
                <w:bCs w:val="0"/>
                <w:color w:val="auto"/>
                <w:lang w:val="en-AU"/>
              </w:rPr>
              <w:tab/>
            </w:r>
            <w:r w:rsidRPr="00F25F36">
              <w:rPr>
                <w:rFonts w:cstheme="minorHAnsi"/>
                <w:bCs w:val="0"/>
                <w:color w:val="auto"/>
                <w:lang w:val="en-AU"/>
              </w:rPr>
              <w:t xml:space="preserve">To ensure Aboriginal and Torres Strait Islander people, communities and organisations are empowered in the development, conduct, </w:t>
            </w:r>
            <w:proofErr w:type="gramStart"/>
            <w:r w:rsidRPr="00F25F36">
              <w:rPr>
                <w:rFonts w:cstheme="minorHAnsi"/>
                <w:bCs w:val="0"/>
                <w:color w:val="auto"/>
                <w:lang w:val="en-AU"/>
              </w:rPr>
              <w:t>analysis</w:t>
            </w:r>
            <w:proofErr w:type="gramEnd"/>
            <w:r w:rsidRPr="00F25F36">
              <w:rPr>
                <w:rFonts w:cstheme="minorHAnsi"/>
                <w:bCs w:val="0"/>
                <w:color w:val="auto"/>
                <w:lang w:val="en-AU"/>
              </w:rPr>
              <w:t xml:space="preserve"> and evaluation of clinical and research genomics to improve their respective health journeys and to ensure a healthful future</w:t>
            </w:r>
            <w:r w:rsidR="00DA4DB3">
              <w:rPr>
                <w:rFonts w:cstheme="minorHAnsi"/>
                <w:bCs w:val="0"/>
                <w:color w:val="auto"/>
                <w:lang w:val="en-AU"/>
              </w:rPr>
              <w:t>; and</w:t>
            </w:r>
          </w:p>
          <w:p w14:paraId="73DC1CC0" w14:textId="32CB23FE" w:rsidR="00DA4DB3" w:rsidRPr="00B456CF" w:rsidRDefault="00DA4DB3" w:rsidP="00DA4DB3">
            <w:pPr>
              <w:tabs>
                <w:tab w:val="left" w:pos="1589"/>
              </w:tabs>
              <w:autoSpaceDE w:val="0"/>
              <w:autoSpaceDN w:val="0"/>
              <w:adjustRightInd w:val="0"/>
              <w:spacing w:before="120" w:after="120"/>
              <w:ind w:left="434" w:hanging="425"/>
              <w:cnfStyle w:val="100000000000" w:firstRow="1" w:lastRow="0" w:firstColumn="0" w:lastColumn="0" w:oddVBand="0" w:evenVBand="0" w:oddHBand="0" w:evenHBand="0" w:firstRowFirstColumn="0" w:firstRowLastColumn="0" w:lastRowFirstColumn="0" w:lastRowLastColumn="0"/>
              <w:rPr>
                <w:rFonts w:cstheme="minorHAnsi"/>
                <w:color w:val="56575A"/>
                <w:lang w:val="en-AU"/>
              </w:rPr>
            </w:pPr>
            <w:r w:rsidRPr="00551742">
              <w:rPr>
                <w:rFonts w:cstheme="minorHAnsi"/>
                <w:bCs w:val="0"/>
                <w:color w:val="auto"/>
                <w:lang w:val="en-AU"/>
              </w:rPr>
              <w:t xml:space="preserve">(d) To ensure all Aboriginal and Torres Strait Islander peoples and communities </w:t>
            </w:r>
            <w:proofErr w:type="gramStart"/>
            <w:r w:rsidRPr="00551742">
              <w:rPr>
                <w:rFonts w:cstheme="minorHAnsi"/>
                <w:bCs w:val="0"/>
                <w:color w:val="auto"/>
                <w:lang w:val="en-AU"/>
              </w:rPr>
              <w:t>have the opportunity to</w:t>
            </w:r>
            <w:proofErr w:type="gramEnd"/>
            <w:r w:rsidRPr="00551742">
              <w:rPr>
                <w:rFonts w:cstheme="minorHAnsi"/>
                <w:bCs w:val="0"/>
                <w:color w:val="auto"/>
                <w:lang w:val="en-AU"/>
              </w:rPr>
              <w:t xml:space="preserve"> benefit from genomics services and research regardless of where they live.</w:t>
            </w:r>
          </w:p>
        </w:tc>
      </w:tr>
    </w:tbl>
    <w:p w14:paraId="089B7515" w14:textId="77777777" w:rsidR="00F61982" w:rsidRPr="00B456CF" w:rsidRDefault="00F61982" w:rsidP="00DB56A7">
      <w:pPr>
        <w:spacing w:after="0" w:line="240" w:lineRule="auto"/>
        <w:rPr>
          <w:rFonts w:cstheme="minorHAnsi"/>
        </w:rPr>
      </w:pPr>
    </w:p>
    <w:p w14:paraId="4EE75622" w14:textId="77777777" w:rsidR="00BD4682" w:rsidRPr="00B456CF" w:rsidRDefault="00F55DA6" w:rsidP="00617114">
      <w:pPr>
        <w:spacing w:after="120" w:line="240" w:lineRule="auto"/>
        <w:jc w:val="both"/>
        <w:rPr>
          <w:rFonts w:cstheme="minorHAnsi"/>
        </w:rPr>
      </w:pPr>
      <w:r w:rsidRPr="00B456CF">
        <w:rPr>
          <w:rFonts w:cstheme="minorHAnsi"/>
        </w:rPr>
        <w:t>G</w:t>
      </w:r>
      <w:r w:rsidR="0068586A" w:rsidRPr="00B456CF">
        <w:rPr>
          <w:rFonts w:cstheme="minorHAnsi"/>
        </w:rPr>
        <w:t>enomic</w:t>
      </w:r>
      <w:r w:rsidR="00B928E4" w:rsidRPr="00B456CF">
        <w:rPr>
          <w:rFonts w:cstheme="minorHAnsi"/>
        </w:rPr>
        <w:t xml:space="preserve"> </w:t>
      </w:r>
      <w:r w:rsidRPr="00B456CF">
        <w:rPr>
          <w:rFonts w:cstheme="minorHAnsi"/>
        </w:rPr>
        <w:t>health</w:t>
      </w:r>
      <w:r w:rsidR="00B928E4" w:rsidRPr="00B456CF">
        <w:rPr>
          <w:rFonts w:cstheme="minorHAnsi"/>
        </w:rPr>
        <w:t xml:space="preserve"> services</w:t>
      </w:r>
      <w:r w:rsidR="0068586A" w:rsidRPr="00B456CF">
        <w:rPr>
          <w:rFonts w:cstheme="minorHAnsi"/>
        </w:rPr>
        <w:t xml:space="preserve"> and research must benefit </w:t>
      </w:r>
      <w:r w:rsidR="007A495C" w:rsidRPr="00B456CF">
        <w:rPr>
          <w:rFonts w:cstheme="minorHAnsi"/>
        </w:rPr>
        <w:t xml:space="preserve">Aboriginal and Torres Strait Islander </w:t>
      </w:r>
      <w:r w:rsidR="0068586A" w:rsidRPr="00B456CF">
        <w:rPr>
          <w:rFonts w:cstheme="minorHAnsi"/>
        </w:rPr>
        <w:t xml:space="preserve">individuals, families, </w:t>
      </w:r>
      <w:proofErr w:type="gramStart"/>
      <w:r w:rsidR="0068586A" w:rsidRPr="00B456CF">
        <w:rPr>
          <w:rFonts w:cstheme="minorHAnsi"/>
        </w:rPr>
        <w:t>communities</w:t>
      </w:r>
      <w:proofErr w:type="gramEnd"/>
      <w:r w:rsidR="0068586A" w:rsidRPr="00B456CF">
        <w:rPr>
          <w:rFonts w:cstheme="minorHAnsi"/>
        </w:rPr>
        <w:t xml:space="preserve"> and their cultural belief systems more broadly. Aboriginal Community Controlled Health Organisations and Aboriginal Medical Services have been established</w:t>
      </w:r>
      <w:r w:rsidR="007A495C" w:rsidRPr="00B456CF">
        <w:rPr>
          <w:rFonts w:cstheme="minorHAnsi"/>
        </w:rPr>
        <w:t xml:space="preserve"> in response to </w:t>
      </w:r>
      <w:r w:rsidRPr="00B456CF">
        <w:rPr>
          <w:rFonts w:cstheme="minorHAnsi"/>
        </w:rPr>
        <w:t xml:space="preserve">state-based health </w:t>
      </w:r>
      <w:r w:rsidR="007A495C" w:rsidRPr="00B456CF">
        <w:rPr>
          <w:rFonts w:cstheme="minorHAnsi"/>
        </w:rPr>
        <w:t xml:space="preserve">services failing to provide culturally safe environments for Aboriginal and Torres Strait Islander people. </w:t>
      </w:r>
    </w:p>
    <w:p w14:paraId="1BE03656" w14:textId="3D2FB0C1" w:rsidR="0068586A" w:rsidRPr="00B456CF" w:rsidRDefault="0068586A" w:rsidP="00617114">
      <w:pPr>
        <w:spacing w:after="120" w:line="240" w:lineRule="auto"/>
        <w:jc w:val="both"/>
        <w:rPr>
          <w:rFonts w:cstheme="minorHAnsi"/>
        </w:rPr>
      </w:pPr>
      <w:r w:rsidRPr="00B456CF">
        <w:rPr>
          <w:rFonts w:cstheme="minorHAnsi"/>
        </w:rPr>
        <w:t xml:space="preserve">In Australia, genomic </w:t>
      </w:r>
      <w:r w:rsidR="00F55DA6" w:rsidRPr="00B456CF">
        <w:rPr>
          <w:rFonts w:cstheme="minorHAnsi"/>
        </w:rPr>
        <w:t xml:space="preserve">health </w:t>
      </w:r>
      <w:r w:rsidRPr="00B456CF">
        <w:rPr>
          <w:rFonts w:cstheme="minorHAnsi"/>
        </w:rPr>
        <w:t>services are predominately delivered through state-based health services</w:t>
      </w:r>
      <w:r w:rsidR="00BD4682" w:rsidRPr="00B456CF">
        <w:rPr>
          <w:rFonts w:cstheme="minorHAnsi"/>
        </w:rPr>
        <w:t xml:space="preserve">. </w:t>
      </w:r>
      <w:r w:rsidR="008B4AC9" w:rsidRPr="00B456CF">
        <w:rPr>
          <w:rFonts w:cstheme="minorHAnsi"/>
        </w:rPr>
        <w:t xml:space="preserve">Despite </w:t>
      </w:r>
      <w:r w:rsidR="00C6686B">
        <w:rPr>
          <w:rFonts w:cstheme="minorHAnsi"/>
        </w:rPr>
        <w:t>the</w:t>
      </w:r>
      <w:r w:rsidR="008B4AC9" w:rsidRPr="00B456CF">
        <w:rPr>
          <w:rFonts w:cstheme="minorHAnsi"/>
        </w:rPr>
        <w:t xml:space="preserve"> incidence of some genetically determined conditions among Aboriginal and Torres Strait Islander</w:t>
      </w:r>
      <w:r w:rsidR="009C5BBC" w:rsidRPr="00B456CF">
        <w:rPr>
          <w:rFonts w:cstheme="minorHAnsi"/>
        </w:rPr>
        <w:t xml:space="preserve"> people</w:t>
      </w:r>
      <w:r w:rsidR="008B4AC9" w:rsidRPr="00B456CF">
        <w:rPr>
          <w:rFonts w:cstheme="minorHAnsi"/>
        </w:rPr>
        <w:t xml:space="preserve">, uptake of these services is lower than </w:t>
      </w:r>
      <w:r w:rsidR="006A4D63" w:rsidRPr="00B456CF">
        <w:rPr>
          <w:rFonts w:cstheme="minorHAnsi"/>
        </w:rPr>
        <w:t xml:space="preserve">for </w:t>
      </w:r>
      <w:r w:rsidR="008B4AC9" w:rsidRPr="00B456CF">
        <w:rPr>
          <w:rFonts w:cstheme="minorHAnsi"/>
        </w:rPr>
        <w:t xml:space="preserve">the general Australian population. </w:t>
      </w:r>
      <w:r w:rsidR="00BD4682" w:rsidRPr="00B456CF">
        <w:rPr>
          <w:rFonts w:cstheme="minorHAnsi"/>
        </w:rPr>
        <w:t>A lack of understanding of Aboriginal and Torres Strait Islanders</w:t>
      </w:r>
      <w:r w:rsidR="009C5BBC" w:rsidRPr="00B456CF">
        <w:rPr>
          <w:rFonts w:cstheme="minorHAnsi"/>
        </w:rPr>
        <w:t xml:space="preserve"> peoples</w:t>
      </w:r>
      <w:r w:rsidR="00BD4682" w:rsidRPr="00B456CF">
        <w:rPr>
          <w:rFonts w:cstheme="minorHAnsi"/>
        </w:rPr>
        <w:t xml:space="preserve">’ unique cultures, belief systems, and their historical experiences with the </w:t>
      </w:r>
      <w:r w:rsidR="008B4AC9" w:rsidRPr="00B456CF">
        <w:rPr>
          <w:rFonts w:cstheme="minorHAnsi"/>
        </w:rPr>
        <w:t xml:space="preserve">Australian </w:t>
      </w:r>
      <w:r w:rsidR="00BD4682" w:rsidRPr="00B456CF">
        <w:rPr>
          <w:rFonts w:cstheme="minorHAnsi"/>
        </w:rPr>
        <w:t xml:space="preserve">health system, may be contributing to the low uptake of </w:t>
      </w:r>
      <w:r w:rsidR="008B4AC9" w:rsidRPr="00B456CF">
        <w:rPr>
          <w:rFonts w:cstheme="minorHAnsi"/>
        </w:rPr>
        <w:t xml:space="preserve">genomic </w:t>
      </w:r>
      <w:r w:rsidR="00BD4682" w:rsidRPr="00B456CF">
        <w:rPr>
          <w:rFonts w:cstheme="minorHAnsi"/>
        </w:rPr>
        <w:t>health services.</w:t>
      </w:r>
      <w:r w:rsidRPr="00B456CF">
        <w:rPr>
          <w:rFonts w:cstheme="minorHAnsi"/>
        </w:rPr>
        <w:t xml:space="preserve"> </w:t>
      </w:r>
    </w:p>
    <w:p w14:paraId="03914EDF" w14:textId="7174ACFF" w:rsidR="0068586A" w:rsidRPr="00B456CF" w:rsidRDefault="0068586A" w:rsidP="00617114">
      <w:pPr>
        <w:spacing w:after="120" w:line="240" w:lineRule="auto"/>
        <w:jc w:val="both"/>
        <w:rPr>
          <w:rStyle w:val="st"/>
          <w:rFonts w:cstheme="minorHAnsi"/>
          <w:color w:val="C00000"/>
        </w:rPr>
      </w:pPr>
      <w:r w:rsidRPr="00B456CF">
        <w:rPr>
          <w:rFonts w:cstheme="minorHAnsi"/>
        </w:rPr>
        <w:t xml:space="preserve">An understanding of </w:t>
      </w:r>
      <w:r w:rsidR="007A495C" w:rsidRPr="00B456CF">
        <w:rPr>
          <w:rFonts w:cstheme="minorHAnsi"/>
        </w:rPr>
        <w:t xml:space="preserve">local cultural histories of Aboriginal and Torres Strait Island peoples and </w:t>
      </w:r>
      <w:r w:rsidRPr="00B456CF">
        <w:rPr>
          <w:rFonts w:cstheme="minorHAnsi"/>
        </w:rPr>
        <w:t xml:space="preserve">what is culturally safe </w:t>
      </w:r>
      <w:r w:rsidR="007A495C" w:rsidRPr="00B456CF">
        <w:rPr>
          <w:rFonts w:cstheme="minorHAnsi"/>
        </w:rPr>
        <w:t>for</w:t>
      </w:r>
      <w:r w:rsidRPr="00B456CF">
        <w:rPr>
          <w:rFonts w:cstheme="minorHAnsi"/>
        </w:rPr>
        <w:t xml:space="preserve"> individuals, families and communit</w:t>
      </w:r>
      <w:r w:rsidR="007A495C" w:rsidRPr="00B456CF">
        <w:rPr>
          <w:rFonts w:cstheme="minorHAnsi"/>
        </w:rPr>
        <w:t>ies</w:t>
      </w:r>
      <w:r w:rsidRPr="00B456CF">
        <w:rPr>
          <w:rFonts w:cstheme="minorHAnsi"/>
        </w:rPr>
        <w:t xml:space="preserve"> is critical </w:t>
      </w:r>
      <w:r w:rsidR="007A495C" w:rsidRPr="00B456CF">
        <w:rPr>
          <w:rFonts w:cstheme="minorHAnsi"/>
        </w:rPr>
        <w:t>to</w:t>
      </w:r>
      <w:r w:rsidRPr="00B456CF">
        <w:rPr>
          <w:rFonts w:cstheme="minorHAnsi"/>
        </w:rPr>
        <w:t xml:space="preserve"> delivering a responsive clinical service</w:t>
      </w:r>
      <w:r w:rsidR="007A495C" w:rsidRPr="00B456CF">
        <w:rPr>
          <w:rFonts w:cstheme="minorHAnsi"/>
        </w:rPr>
        <w:t xml:space="preserve">. The design of </w:t>
      </w:r>
      <w:r w:rsidR="008B4AC9" w:rsidRPr="00B456CF">
        <w:rPr>
          <w:rFonts w:cstheme="minorHAnsi"/>
        </w:rPr>
        <w:t xml:space="preserve">genomic </w:t>
      </w:r>
      <w:r w:rsidR="007A495C" w:rsidRPr="00B456CF">
        <w:rPr>
          <w:rFonts w:cstheme="minorHAnsi"/>
        </w:rPr>
        <w:t>h</w:t>
      </w:r>
      <w:r w:rsidRPr="00B456CF">
        <w:rPr>
          <w:rFonts w:cstheme="minorHAnsi"/>
        </w:rPr>
        <w:t xml:space="preserve">ealth services must be </w:t>
      </w:r>
      <w:r w:rsidR="00C6686B">
        <w:rPr>
          <w:rFonts w:cstheme="minorHAnsi"/>
        </w:rPr>
        <w:t xml:space="preserve">guided and/or </w:t>
      </w:r>
      <w:r w:rsidRPr="00B456CF">
        <w:rPr>
          <w:rFonts w:cstheme="minorHAnsi"/>
        </w:rPr>
        <w:t xml:space="preserve">led by regional Aboriginal and Torres Strait Islander communities to proactively establish equitable partnerships that </w:t>
      </w:r>
      <w:r w:rsidR="007A495C" w:rsidRPr="00B456CF">
        <w:rPr>
          <w:rFonts w:cstheme="minorHAnsi"/>
        </w:rPr>
        <w:t xml:space="preserve">meet </w:t>
      </w:r>
      <w:r w:rsidR="006A4D63" w:rsidRPr="00B456CF">
        <w:rPr>
          <w:rFonts w:cstheme="minorHAnsi"/>
        </w:rPr>
        <w:t xml:space="preserve">their </w:t>
      </w:r>
      <w:r w:rsidR="007A495C" w:rsidRPr="00B456CF">
        <w:rPr>
          <w:rFonts w:cstheme="minorHAnsi"/>
        </w:rPr>
        <w:t xml:space="preserve">health care priorities and </w:t>
      </w:r>
      <w:r w:rsidRPr="00B456CF">
        <w:rPr>
          <w:rFonts w:cstheme="minorHAnsi"/>
        </w:rPr>
        <w:t xml:space="preserve">ensure equitable and beneficial outcomes. </w:t>
      </w:r>
    </w:p>
    <w:p w14:paraId="788B7B61" w14:textId="45AF4EF3" w:rsidR="0068586A" w:rsidRPr="00B456CF" w:rsidRDefault="0068586A" w:rsidP="00617114">
      <w:pPr>
        <w:spacing w:after="0" w:line="240" w:lineRule="auto"/>
        <w:jc w:val="both"/>
        <w:rPr>
          <w:rFonts w:cstheme="minorHAnsi"/>
        </w:rPr>
      </w:pPr>
      <w:r w:rsidRPr="00B456CF">
        <w:rPr>
          <w:rStyle w:val="st"/>
          <w:rFonts w:cstheme="minorHAnsi"/>
        </w:rPr>
        <w:t>Aboriginal and Torres Strait Islander people leading genomics r</w:t>
      </w:r>
      <w:r w:rsidRPr="00B456CF">
        <w:rPr>
          <w:rFonts w:cstheme="minorHAnsi"/>
        </w:rPr>
        <w:t xml:space="preserve">esearch is equally critical to advancing and improving health and wellbeing </w:t>
      </w:r>
      <w:r w:rsidR="007A495C" w:rsidRPr="00B456CF">
        <w:rPr>
          <w:rFonts w:cstheme="minorHAnsi"/>
        </w:rPr>
        <w:t>that</w:t>
      </w:r>
      <w:r w:rsidRPr="00B456CF">
        <w:rPr>
          <w:rFonts w:cstheme="minorHAnsi"/>
        </w:rPr>
        <w:t xml:space="preserve"> ensures research priorities focus on beneficial outcomes for the participants</w:t>
      </w:r>
      <w:r w:rsidR="008B4AC9" w:rsidRPr="00B456CF">
        <w:rPr>
          <w:rFonts w:cstheme="minorHAnsi"/>
        </w:rPr>
        <w:t xml:space="preserve"> and</w:t>
      </w:r>
      <w:r w:rsidRPr="00B456CF">
        <w:rPr>
          <w:rFonts w:cstheme="minorHAnsi"/>
        </w:rPr>
        <w:t xml:space="preserve"> </w:t>
      </w:r>
      <w:r w:rsidR="006A4D63" w:rsidRPr="00B456CF">
        <w:rPr>
          <w:rFonts w:cstheme="minorHAnsi"/>
        </w:rPr>
        <w:t>their</w:t>
      </w:r>
      <w:r w:rsidRPr="00B456CF">
        <w:rPr>
          <w:rFonts w:cstheme="minorHAnsi"/>
        </w:rPr>
        <w:t xml:space="preserve"> communities</w:t>
      </w:r>
      <w:r w:rsidR="007A495C" w:rsidRPr="00B456CF">
        <w:rPr>
          <w:rFonts w:cstheme="minorHAnsi"/>
        </w:rPr>
        <w:t>.</w:t>
      </w:r>
    </w:p>
    <w:p w14:paraId="1A092530" w14:textId="77777777" w:rsidR="00DB56A7" w:rsidRPr="00B456CF" w:rsidRDefault="00DB56A7" w:rsidP="00DB56A7">
      <w:pPr>
        <w:spacing w:after="0" w:line="240" w:lineRule="auto"/>
        <w:rPr>
          <w:rStyle w:val="st"/>
          <w:rFonts w:cstheme="minorHAnsi"/>
        </w:rPr>
      </w:pPr>
    </w:p>
    <w:tbl>
      <w:tblPr>
        <w:tblStyle w:val="GridTable5Dark-Accent61"/>
        <w:tblW w:w="0" w:type="auto"/>
        <w:tblInd w:w="-5" w:type="dxa"/>
        <w:tblLook w:val="04A0" w:firstRow="1" w:lastRow="0" w:firstColumn="1" w:lastColumn="0" w:noHBand="0" w:noVBand="1"/>
      </w:tblPr>
      <w:tblGrid>
        <w:gridCol w:w="1579"/>
        <w:gridCol w:w="7442"/>
      </w:tblGrid>
      <w:tr w:rsidR="0029048C" w:rsidRPr="00B456CF" w14:paraId="55570444" w14:textId="77777777" w:rsidTr="00BD6B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 w:type="dxa"/>
            <w:tcBorders>
              <w:right w:val="single" w:sz="4" w:space="0" w:color="FFFFFF" w:themeColor="background1"/>
            </w:tcBorders>
            <w:shd w:val="clear" w:color="auto" w:fill="C45911" w:themeFill="accent2" w:themeFillShade="BF"/>
            <w:vAlign w:val="center"/>
            <w:hideMark/>
          </w:tcPr>
          <w:p w14:paraId="6BE45A1B" w14:textId="77777777" w:rsidR="0029048C" w:rsidRPr="00B456CF" w:rsidRDefault="0029048C" w:rsidP="00534DEC">
            <w:pPr>
              <w:autoSpaceDE w:val="0"/>
              <w:autoSpaceDN w:val="0"/>
              <w:adjustRightInd w:val="0"/>
              <w:spacing w:after="100" w:line="211" w:lineRule="atLeast"/>
              <w:jc w:val="center"/>
              <w:rPr>
                <w:rFonts w:cstheme="minorHAnsi"/>
                <w:sz w:val="32"/>
                <w:szCs w:val="32"/>
                <w:lang w:val="en-AU"/>
              </w:rPr>
            </w:pPr>
            <w:r w:rsidRPr="00B456CF">
              <w:rPr>
                <w:rFonts w:cstheme="minorHAnsi"/>
                <w:sz w:val="32"/>
                <w:szCs w:val="32"/>
                <w:lang w:val="en-AU"/>
              </w:rPr>
              <w:t>PRINCIPLE 4</w:t>
            </w:r>
          </w:p>
        </w:tc>
        <w:tc>
          <w:tcPr>
            <w:tcW w:w="7720" w:type="dxa"/>
            <w:tcBorders>
              <w:left w:val="single" w:sz="4" w:space="0" w:color="FFFFFF" w:themeColor="background1"/>
              <w:bottom w:val="single" w:sz="4" w:space="0" w:color="FFFFFF" w:themeColor="background1"/>
            </w:tcBorders>
            <w:shd w:val="clear" w:color="auto" w:fill="FBE4D5" w:themeFill="accent2" w:themeFillTint="33"/>
            <w:hideMark/>
          </w:tcPr>
          <w:p w14:paraId="3261BC70" w14:textId="77777777" w:rsidR="00655852" w:rsidRPr="00F25F36" w:rsidRDefault="0029048C" w:rsidP="00F25F36">
            <w:pPr>
              <w:autoSpaceDE w:val="0"/>
              <w:autoSpaceDN w:val="0"/>
              <w:adjustRightInd w:val="0"/>
              <w:spacing w:before="120" w:after="120"/>
              <w:ind w:left="40"/>
              <w:cnfStyle w:val="100000000000" w:firstRow="1" w:lastRow="0" w:firstColumn="0" w:lastColumn="0" w:oddVBand="0" w:evenVBand="0" w:oddHBand="0" w:evenHBand="0" w:firstRowFirstColumn="0" w:firstRowLastColumn="0" w:lastRowFirstColumn="0" w:lastRowLastColumn="0"/>
              <w:rPr>
                <w:rFonts w:cstheme="minorHAnsi"/>
                <w:color w:val="auto"/>
                <w:lang w:val="en-AU"/>
              </w:rPr>
            </w:pPr>
            <w:r w:rsidRPr="00F25F36">
              <w:rPr>
                <w:rFonts w:cstheme="minorHAnsi"/>
                <w:color w:val="auto"/>
                <w:lang w:val="en-AU"/>
              </w:rPr>
              <w:t xml:space="preserve">DATA SOVEREIGNTY: </w:t>
            </w:r>
          </w:p>
          <w:p w14:paraId="6A86EDA0" w14:textId="241DA1FB" w:rsidR="0029048C" w:rsidRPr="00B456CF" w:rsidRDefault="0029048C" w:rsidP="00F25F36">
            <w:pPr>
              <w:autoSpaceDE w:val="0"/>
              <w:autoSpaceDN w:val="0"/>
              <w:adjustRightInd w:val="0"/>
              <w:spacing w:before="120" w:after="120"/>
              <w:ind w:left="40"/>
              <w:cnfStyle w:val="100000000000" w:firstRow="1" w:lastRow="0" w:firstColumn="0" w:lastColumn="0" w:oddVBand="0" w:evenVBand="0" w:oddHBand="0" w:evenHBand="0" w:firstRowFirstColumn="0" w:firstRowLastColumn="0" w:lastRowFirstColumn="0" w:lastRowLastColumn="0"/>
              <w:rPr>
                <w:rFonts w:cstheme="minorHAnsi"/>
                <w:color w:val="56575A"/>
                <w:lang w:val="en-AU"/>
              </w:rPr>
            </w:pPr>
            <w:r w:rsidRPr="00F25F36">
              <w:rPr>
                <w:rFonts w:cstheme="minorHAnsi"/>
                <w:color w:val="auto"/>
                <w:lang w:val="en-AU"/>
              </w:rPr>
              <w:t>To ensure, through equivalent partnerships and co-design processes, Aboriginal and Torres Strait Islander peoples</w:t>
            </w:r>
            <w:r w:rsidR="009C5BBC" w:rsidRPr="00F25F36">
              <w:rPr>
                <w:rFonts w:cstheme="minorHAnsi"/>
                <w:color w:val="auto"/>
                <w:lang w:val="en-AU"/>
              </w:rPr>
              <w:t>’</w:t>
            </w:r>
            <w:r w:rsidRPr="00F25F36">
              <w:rPr>
                <w:rFonts w:cstheme="minorHAnsi"/>
                <w:color w:val="auto"/>
                <w:lang w:val="en-AU"/>
              </w:rPr>
              <w:t xml:space="preserve"> genomics data are defined, collected, managed, stored, analysed</w:t>
            </w:r>
            <w:r w:rsidR="00C6686B" w:rsidRPr="00F25F36">
              <w:rPr>
                <w:rFonts w:cstheme="minorHAnsi"/>
                <w:color w:val="auto"/>
                <w:lang w:val="en-AU"/>
              </w:rPr>
              <w:t xml:space="preserve">, </w:t>
            </w:r>
            <w:proofErr w:type="gramStart"/>
            <w:r w:rsidR="00C6686B" w:rsidRPr="00F25F36">
              <w:rPr>
                <w:rFonts w:cstheme="minorHAnsi"/>
                <w:color w:val="auto"/>
                <w:lang w:val="en-AU"/>
              </w:rPr>
              <w:t>inte</w:t>
            </w:r>
            <w:r w:rsidR="00A23B30" w:rsidRPr="00F25F36">
              <w:rPr>
                <w:rFonts w:cstheme="minorHAnsi"/>
                <w:color w:val="auto"/>
                <w:lang w:val="en-AU"/>
              </w:rPr>
              <w:t>r</w:t>
            </w:r>
            <w:r w:rsidR="00C6686B" w:rsidRPr="00F25F36">
              <w:rPr>
                <w:rFonts w:cstheme="minorHAnsi"/>
                <w:color w:val="auto"/>
                <w:lang w:val="en-AU"/>
              </w:rPr>
              <w:t>preted</w:t>
            </w:r>
            <w:proofErr w:type="gramEnd"/>
            <w:r w:rsidRPr="00F25F36">
              <w:rPr>
                <w:rFonts w:cstheme="minorHAnsi"/>
                <w:color w:val="auto"/>
                <w:lang w:val="en-AU"/>
              </w:rPr>
              <w:t xml:space="preserve"> and used under robust data governance structures.</w:t>
            </w:r>
          </w:p>
        </w:tc>
      </w:tr>
    </w:tbl>
    <w:p w14:paraId="064B8930" w14:textId="77777777" w:rsidR="0029048C" w:rsidRPr="00B456CF" w:rsidRDefault="0029048C" w:rsidP="00DB56A7">
      <w:pPr>
        <w:spacing w:after="0" w:line="240" w:lineRule="auto"/>
        <w:rPr>
          <w:rFonts w:cstheme="minorHAnsi"/>
        </w:rPr>
      </w:pPr>
    </w:p>
    <w:p w14:paraId="1ADA99CE" w14:textId="43A74646" w:rsidR="0029048C" w:rsidRPr="00B456CF" w:rsidRDefault="0029048C" w:rsidP="00617114">
      <w:pPr>
        <w:spacing w:after="120" w:line="240" w:lineRule="auto"/>
        <w:jc w:val="both"/>
        <w:rPr>
          <w:rFonts w:cstheme="minorHAnsi"/>
          <w:lang w:val="en-AU"/>
        </w:rPr>
      </w:pPr>
      <w:r w:rsidRPr="00B456CF">
        <w:rPr>
          <w:rFonts w:cstheme="minorHAnsi"/>
        </w:rPr>
        <w:lastRenderedPageBreak/>
        <w:t>Data hold extremely important implications for Aboriginal and Torres Strait Islander peoples</w:t>
      </w:r>
      <w:r w:rsidR="00914E5C" w:rsidRPr="00B456CF">
        <w:rPr>
          <w:rFonts w:cstheme="minorHAnsi"/>
        </w:rPr>
        <w:t>’</w:t>
      </w:r>
      <w:r w:rsidRPr="00B456CF">
        <w:rPr>
          <w:rFonts w:cstheme="minorHAnsi"/>
        </w:rPr>
        <w:t xml:space="preserve"> ability to exercise their individual, family, </w:t>
      </w:r>
      <w:proofErr w:type="gramStart"/>
      <w:r w:rsidRPr="00B456CF">
        <w:rPr>
          <w:rFonts w:cstheme="minorHAnsi"/>
        </w:rPr>
        <w:t>community</w:t>
      </w:r>
      <w:proofErr w:type="gramEnd"/>
      <w:r w:rsidRPr="00B456CF">
        <w:rPr>
          <w:rFonts w:cstheme="minorHAnsi"/>
        </w:rPr>
        <w:t xml:space="preserve"> and collective rights to self-determination. Aboriginal and Torres Strait Islander peoples have exceptionally long uninterrupted </w:t>
      </w:r>
      <w:r w:rsidR="007B6162" w:rsidRPr="00B456CF">
        <w:rPr>
          <w:rFonts w:cstheme="minorHAnsi"/>
        </w:rPr>
        <w:t xml:space="preserve">and </w:t>
      </w:r>
      <w:r w:rsidRPr="00B456CF">
        <w:rPr>
          <w:rFonts w:cstheme="minorHAnsi"/>
        </w:rPr>
        <w:t>culturally rich histories of data collection and preservation of data. This knowledge</w:t>
      </w:r>
      <w:r w:rsidRPr="00B456CF">
        <w:rPr>
          <w:rFonts w:cstheme="minorHAnsi"/>
          <w:lang w:val="en-AU"/>
        </w:rPr>
        <w:t xml:space="preserve"> is dynamic and constantly growing as Aboriginal and Torres Strait Islander culture and knowledge systems evolve with individuals, families and communities continuing to express themselves in new and adapted ways.</w:t>
      </w:r>
    </w:p>
    <w:p w14:paraId="3CAC8967" w14:textId="3123279C" w:rsidR="009C5BBC" w:rsidRPr="00B456CF" w:rsidRDefault="0029048C" w:rsidP="00416E3B">
      <w:pPr>
        <w:spacing w:after="120" w:line="240" w:lineRule="auto"/>
        <w:jc w:val="both"/>
        <w:rPr>
          <w:rFonts w:cstheme="minorHAnsi"/>
        </w:rPr>
      </w:pPr>
      <w:r w:rsidRPr="00B456CF">
        <w:rPr>
          <w:rFonts w:cstheme="minorHAnsi"/>
          <w:lang w:val="en-AU"/>
        </w:rPr>
        <w:t>Ab</w:t>
      </w:r>
      <w:r w:rsidRPr="00B456CF">
        <w:rPr>
          <w:rFonts w:cstheme="minorHAnsi"/>
        </w:rPr>
        <w:t>original and Torres Strait Islander peoples have been collaborating internationally and advocating nationally for Indigenous data sovereignty and governance p</w:t>
      </w:r>
      <w:r w:rsidR="007B6162" w:rsidRPr="00B456CF">
        <w:rPr>
          <w:rFonts w:cstheme="minorHAnsi"/>
        </w:rPr>
        <w:t xml:space="preserve">rocesses to support these data. </w:t>
      </w:r>
      <w:r w:rsidR="00416E3B" w:rsidRPr="00B456CF">
        <w:rPr>
          <w:rFonts w:cstheme="minorHAnsi"/>
        </w:rPr>
        <w:t xml:space="preserve">Indigenous data sovereignty refers to </w:t>
      </w:r>
      <w:r w:rsidR="00416E3B" w:rsidRPr="00B456CF">
        <w:rPr>
          <w:rFonts w:cstheme="minorHAnsi"/>
          <w:iCs/>
        </w:rPr>
        <w:t xml:space="preserve">the right of Indigenous peoples to govern the creation, collection, ownership, </w:t>
      </w:r>
      <w:proofErr w:type="gramStart"/>
      <w:r w:rsidR="00416E3B" w:rsidRPr="00B456CF">
        <w:rPr>
          <w:rFonts w:cstheme="minorHAnsi"/>
          <w:iCs/>
        </w:rPr>
        <w:t>application</w:t>
      </w:r>
      <w:proofErr w:type="gramEnd"/>
      <w:r w:rsidR="00416E3B" w:rsidRPr="00B456CF">
        <w:rPr>
          <w:rFonts w:cstheme="minorHAnsi"/>
          <w:iCs/>
        </w:rPr>
        <w:t xml:space="preserve"> and destruction of data related to Indigenous communities, peoples, lands and resources. </w:t>
      </w:r>
      <w:r w:rsidRPr="00B456CF">
        <w:rPr>
          <w:rFonts w:cstheme="minorHAnsi"/>
        </w:rPr>
        <w:t>Indigenous data sovereignty developed out of a collective frustration of Indigenous people globally and the shared reality that</w:t>
      </w:r>
      <w:r w:rsidR="009C5BBC" w:rsidRPr="00B456CF">
        <w:rPr>
          <w:rFonts w:cstheme="minorHAnsi"/>
        </w:rPr>
        <w:t>,</w:t>
      </w:r>
      <w:r w:rsidRPr="00B456CF">
        <w:rPr>
          <w:rFonts w:cstheme="minorHAnsi"/>
        </w:rPr>
        <w:t xml:space="preserve"> despite the interest and magnitude of data collected on their respective communities</w:t>
      </w:r>
      <w:r w:rsidR="00673340" w:rsidRPr="00B456CF">
        <w:rPr>
          <w:rFonts w:cstheme="minorHAnsi"/>
        </w:rPr>
        <w:t>,</w:t>
      </w:r>
      <w:r w:rsidRPr="00B456CF">
        <w:rPr>
          <w:rFonts w:cstheme="minorHAnsi"/>
        </w:rPr>
        <w:t xml:space="preserve"> information collect</w:t>
      </w:r>
      <w:r w:rsidR="00673340" w:rsidRPr="00B456CF">
        <w:rPr>
          <w:rFonts w:cstheme="minorHAnsi"/>
        </w:rPr>
        <w:t xml:space="preserve">ions and </w:t>
      </w:r>
      <w:r w:rsidRPr="00B456CF">
        <w:rPr>
          <w:rFonts w:cstheme="minorHAnsi"/>
        </w:rPr>
        <w:t>report</w:t>
      </w:r>
      <w:r w:rsidR="00673340" w:rsidRPr="00B456CF">
        <w:rPr>
          <w:rFonts w:cstheme="minorHAnsi"/>
        </w:rPr>
        <w:t xml:space="preserve">s tend to </w:t>
      </w:r>
      <w:r w:rsidRPr="00B456CF">
        <w:rPr>
          <w:rFonts w:cstheme="minorHAnsi"/>
        </w:rPr>
        <w:t xml:space="preserve">focus on what is wrong in Indigenous health. Furthermore, it is rare that data collected are used and shared in a manner that directly benefit the communities </w:t>
      </w:r>
      <w:r w:rsidR="00673340" w:rsidRPr="00B456CF">
        <w:rPr>
          <w:rFonts w:cstheme="minorHAnsi"/>
        </w:rPr>
        <w:t>or</w:t>
      </w:r>
      <w:r w:rsidRPr="00B456CF">
        <w:rPr>
          <w:rFonts w:cstheme="minorHAnsi"/>
        </w:rPr>
        <w:t xml:space="preserve"> reflect their priorities and cultural world views</w:t>
      </w:r>
      <w:r w:rsidR="00673340" w:rsidRPr="00B456CF">
        <w:rPr>
          <w:rFonts w:cstheme="minorHAnsi"/>
        </w:rPr>
        <w:t xml:space="preserve"> </w:t>
      </w:r>
      <w:r w:rsidR="00BB5275" w:rsidRPr="00B456CF">
        <w:rPr>
          <w:rFonts w:cstheme="minorHAnsi"/>
        </w:rPr>
        <w:t xml:space="preserve">in a way </w:t>
      </w:r>
      <w:r w:rsidR="00673340" w:rsidRPr="00B456CF">
        <w:rPr>
          <w:rFonts w:cstheme="minorHAnsi"/>
        </w:rPr>
        <w:t>that contribute</w:t>
      </w:r>
      <w:r w:rsidR="00BB5275" w:rsidRPr="00B456CF">
        <w:rPr>
          <w:rFonts w:cstheme="minorHAnsi"/>
        </w:rPr>
        <w:t>s</w:t>
      </w:r>
      <w:r w:rsidR="00673340" w:rsidRPr="00B456CF">
        <w:rPr>
          <w:rFonts w:cstheme="minorHAnsi"/>
        </w:rPr>
        <w:t xml:space="preserve"> to cultur</w:t>
      </w:r>
      <w:r w:rsidR="00C6686B">
        <w:rPr>
          <w:rFonts w:cstheme="minorHAnsi"/>
        </w:rPr>
        <w:t>al strengths and community aspirations</w:t>
      </w:r>
      <w:r w:rsidRPr="00B456CF">
        <w:rPr>
          <w:rFonts w:cstheme="minorHAnsi"/>
        </w:rPr>
        <w:t xml:space="preserve">. </w:t>
      </w:r>
    </w:p>
    <w:p w14:paraId="319E2DD9" w14:textId="15D6070D" w:rsidR="00416E3B" w:rsidRPr="00B456CF" w:rsidRDefault="0029048C" w:rsidP="00416E3B">
      <w:pPr>
        <w:spacing w:after="120" w:line="240" w:lineRule="auto"/>
        <w:jc w:val="both"/>
        <w:rPr>
          <w:rFonts w:cstheme="minorHAnsi"/>
        </w:rPr>
      </w:pPr>
      <w:r w:rsidRPr="00B456CF">
        <w:rPr>
          <w:rFonts w:cstheme="minorHAnsi"/>
        </w:rPr>
        <w:t>Consequently, much of the published data are skewed towards deficit and disparity</w:t>
      </w:r>
      <w:r w:rsidR="00DB14C6" w:rsidRPr="00B456CF">
        <w:rPr>
          <w:rFonts w:cstheme="minorHAnsi"/>
        </w:rPr>
        <w:t>,</w:t>
      </w:r>
      <w:r w:rsidRPr="00B456CF">
        <w:rPr>
          <w:rFonts w:cstheme="minorHAnsi"/>
        </w:rPr>
        <w:t xml:space="preserve"> which become the policy drivers for government funding agencies and research agenda</w:t>
      </w:r>
      <w:r w:rsidR="00673340" w:rsidRPr="00B456CF">
        <w:rPr>
          <w:rFonts w:cstheme="minorHAnsi"/>
        </w:rPr>
        <w:t>s. This</w:t>
      </w:r>
      <w:r w:rsidRPr="00B456CF">
        <w:rPr>
          <w:rFonts w:cstheme="minorHAnsi"/>
        </w:rPr>
        <w:t xml:space="preserve"> </w:t>
      </w:r>
      <w:r w:rsidR="00673340" w:rsidRPr="00B456CF">
        <w:rPr>
          <w:rFonts w:cstheme="minorHAnsi"/>
        </w:rPr>
        <w:t>subsequently</w:t>
      </w:r>
      <w:r w:rsidRPr="00B456CF">
        <w:rPr>
          <w:rFonts w:cstheme="minorHAnsi"/>
        </w:rPr>
        <w:t xml:space="preserve"> feed</w:t>
      </w:r>
      <w:r w:rsidR="00673340" w:rsidRPr="00B456CF">
        <w:rPr>
          <w:rFonts w:cstheme="minorHAnsi"/>
        </w:rPr>
        <w:t>s</w:t>
      </w:r>
      <w:r w:rsidRPr="00B456CF">
        <w:rPr>
          <w:rFonts w:cstheme="minorHAnsi"/>
        </w:rPr>
        <w:t xml:space="preserve"> action plans that frequently do not reflect cultural values and health priorities of Aboriginal and Torres Strait Islander</w:t>
      </w:r>
      <w:r w:rsidR="00673340" w:rsidRPr="00B456CF">
        <w:rPr>
          <w:rFonts w:cstheme="minorHAnsi"/>
        </w:rPr>
        <w:t xml:space="preserve"> peoples. It also </w:t>
      </w:r>
      <w:r w:rsidRPr="00B456CF">
        <w:rPr>
          <w:rFonts w:cstheme="minorHAnsi"/>
        </w:rPr>
        <w:t>miss</w:t>
      </w:r>
      <w:r w:rsidR="00673340" w:rsidRPr="00B456CF">
        <w:rPr>
          <w:rFonts w:cstheme="minorHAnsi"/>
        </w:rPr>
        <w:t>es</w:t>
      </w:r>
      <w:r w:rsidRPr="00B456CF">
        <w:rPr>
          <w:rFonts w:cstheme="minorHAnsi"/>
        </w:rPr>
        <w:t xml:space="preserve"> the opportunity to highlight what Indigenous culture can contribute</w:t>
      </w:r>
      <w:r w:rsidR="00C6686B">
        <w:rPr>
          <w:rFonts w:cstheme="minorHAnsi"/>
        </w:rPr>
        <w:t xml:space="preserve"> to their own community’s health, and that of society more broadly</w:t>
      </w:r>
      <w:r w:rsidR="007B6162" w:rsidRPr="00B456CF">
        <w:rPr>
          <w:rFonts w:cstheme="minorHAnsi"/>
        </w:rPr>
        <w:t>.</w:t>
      </w:r>
      <w:r w:rsidRPr="00B456CF">
        <w:rPr>
          <w:rFonts w:cstheme="minorHAnsi"/>
        </w:rPr>
        <w:t xml:space="preserve"> </w:t>
      </w:r>
      <w:r w:rsidR="001E026E" w:rsidRPr="00B456CF">
        <w:rPr>
          <w:rFonts w:cstheme="minorHAnsi"/>
        </w:rPr>
        <w:t>Collected and reported d</w:t>
      </w:r>
      <w:r w:rsidR="00416E3B" w:rsidRPr="00B456CF">
        <w:rPr>
          <w:rFonts w:cstheme="minorHAnsi"/>
        </w:rPr>
        <w:t xml:space="preserve">ata </w:t>
      </w:r>
      <w:r w:rsidR="003C7578">
        <w:rPr>
          <w:rFonts w:cstheme="minorHAnsi"/>
        </w:rPr>
        <w:t xml:space="preserve">can have </w:t>
      </w:r>
      <w:r w:rsidR="00416E3B" w:rsidRPr="00B456CF">
        <w:rPr>
          <w:rFonts w:cstheme="minorHAnsi"/>
        </w:rPr>
        <w:t>a significant influence on decision</w:t>
      </w:r>
      <w:r w:rsidR="00DB14C6" w:rsidRPr="00B456CF">
        <w:rPr>
          <w:rFonts w:cstheme="minorHAnsi"/>
        </w:rPr>
        <w:noBreakHyphen/>
      </w:r>
      <w:r w:rsidR="00416E3B" w:rsidRPr="00B456CF">
        <w:rPr>
          <w:rFonts w:cstheme="minorHAnsi"/>
        </w:rPr>
        <w:t>making, allocation of resources and driving innovation. Related investment is critical to Aboriginal and Torres Strait Islander peoples</w:t>
      </w:r>
      <w:r w:rsidR="007509DD" w:rsidRPr="00B456CF">
        <w:rPr>
          <w:rFonts w:cstheme="minorHAnsi"/>
        </w:rPr>
        <w:t>’</w:t>
      </w:r>
      <w:r w:rsidR="00416E3B" w:rsidRPr="00B456CF">
        <w:rPr>
          <w:rFonts w:cstheme="minorHAnsi"/>
        </w:rPr>
        <w:t xml:space="preserve"> capacity and capability to exercise their human rights and their cultural and kinship responsibilities.</w:t>
      </w:r>
    </w:p>
    <w:p w14:paraId="36E6A5BC" w14:textId="77777777" w:rsidR="00B93C1D" w:rsidRDefault="00B93C1D" w:rsidP="00416E3B">
      <w:pPr>
        <w:spacing w:after="0" w:line="240" w:lineRule="auto"/>
        <w:jc w:val="both"/>
        <w:rPr>
          <w:rFonts w:cstheme="minorHAnsi"/>
        </w:rPr>
      </w:pPr>
      <w:r w:rsidRPr="00B93C1D">
        <w:rPr>
          <w:rFonts w:cstheme="minorHAnsi"/>
        </w:rPr>
        <w:t xml:space="preserve">Aboriginal and Torres Strait Islander peoples must be able to lead in the collection of all Aboriginal and Torres Strait Islander health genomics data. The leadership and ethical co-design of the data collection include the data elements, collection process development, and the storage, management, analysis, sharing and use of these data.  </w:t>
      </w:r>
    </w:p>
    <w:p w14:paraId="0B2AE965" w14:textId="77777777" w:rsidR="00B93C1D" w:rsidRDefault="00B93C1D" w:rsidP="00416E3B">
      <w:pPr>
        <w:spacing w:after="0" w:line="240" w:lineRule="auto"/>
        <w:jc w:val="both"/>
        <w:rPr>
          <w:rFonts w:cstheme="minorHAnsi"/>
        </w:rPr>
      </w:pPr>
    </w:p>
    <w:p w14:paraId="18614C68" w14:textId="44DDC9C6" w:rsidR="00DB56A7" w:rsidRDefault="0029048C" w:rsidP="00416E3B">
      <w:pPr>
        <w:spacing w:after="0" w:line="240" w:lineRule="auto"/>
        <w:jc w:val="both"/>
        <w:rPr>
          <w:rFonts w:cstheme="minorHAnsi"/>
          <w:lang w:val="en-AU"/>
        </w:rPr>
      </w:pPr>
      <w:r w:rsidRPr="00B456CF">
        <w:rPr>
          <w:rFonts w:cstheme="minorHAnsi"/>
        </w:rPr>
        <w:t xml:space="preserve">The </w:t>
      </w:r>
      <w:proofErr w:type="spellStart"/>
      <w:r w:rsidRPr="00B456CF">
        <w:rPr>
          <w:rFonts w:cstheme="minorHAnsi"/>
        </w:rPr>
        <w:t>Maiam</w:t>
      </w:r>
      <w:proofErr w:type="spellEnd"/>
      <w:r w:rsidRPr="00B456CF">
        <w:rPr>
          <w:rFonts w:cstheme="minorHAnsi"/>
        </w:rPr>
        <w:t xml:space="preserve"> </w:t>
      </w:r>
      <w:proofErr w:type="spellStart"/>
      <w:r w:rsidRPr="00B456CF">
        <w:rPr>
          <w:rFonts w:cstheme="minorHAnsi"/>
        </w:rPr>
        <w:t>nayri</w:t>
      </w:r>
      <w:proofErr w:type="spellEnd"/>
      <w:r w:rsidRPr="00B456CF">
        <w:rPr>
          <w:rFonts w:cstheme="minorHAnsi"/>
        </w:rPr>
        <w:t xml:space="preserve"> </w:t>
      </w:r>
      <w:proofErr w:type="spellStart"/>
      <w:r w:rsidRPr="00B456CF">
        <w:rPr>
          <w:rFonts w:cstheme="minorHAnsi"/>
        </w:rPr>
        <w:t>Wingara</w:t>
      </w:r>
      <w:proofErr w:type="spellEnd"/>
      <w:r w:rsidRPr="00B456CF">
        <w:rPr>
          <w:rFonts w:cstheme="minorHAnsi"/>
        </w:rPr>
        <w:t xml:space="preserve"> Aboriginal and Torres Strait Islander Data Sovereignty Collective was established in 2017 to progress Indigenous data sovereignty and Indigenous data governance through developing shared understandings and initiating an Australian set of Indigenous data governance protocols. </w:t>
      </w:r>
      <w:r w:rsidRPr="00B456CF">
        <w:rPr>
          <w:rFonts w:cstheme="minorHAnsi"/>
          <w:lang w:val="en-AU"/>
        </w:rPr>
        <w:t xml:space="preserve">The key priorities are </w:t>
      </w:r>
      <w:r w:rsidR="004944FB" w:rsidRPr="00B456CF">
        <w:rPr>
          <w:rFonts w:cstheme="minorHAnsi"/>
          <w:lang w:val="en-AU"/>
        </w:rPr>
        <w:t>to produce</w:t>
      </w:r>
      <w:r w:rsidRPr="00B456CF">
        <w:rPr>
          <w:rFonts w:cstheme="minorHAnsi"/>
          <w:lang w:val="en-AU"/>
        </w:rPr>
        <w:t xml:space="preserve"> more nuanced data and information than currently exist</w:t>
      </w:r>
      <w:r w:rsidR="00FD5C07" w:rsidRPr="00B456CF">
        <w:rPr>
          <w:rFonts w:cstheme="minorHAnsi"/>
          <w:lang w:val="en-AU"/>
        </w:rPr>
        <w:t>,</w:t>
      </w:r>
      <w:r w:rsidRPr="00B456CF">
        <w:rPr>
          <w:rFonts w:cstheme="minorHAnsi"/>
          <w:lang w:val="en-AU"/>
        </w:rPr>
        <w:t xml:space="preserve"> </w:t>
      </w:r>
      <w:r w:rsidR="003C7578">
        <w:rPr>
          <w:rFonts w:cstheme="minorHAnsi"/>
          <w:lang w:val="en-AU"/>
        </w:rPr>
        <w:t xml:space="preserve">provide </w:t>
      </w:r>
      <w:r w:rsidRPr="00B456CF">
        <w:rPr>
          <w:rFonts w:cstheme="minorHAnsi"/>
          <w:lang w:val="en-AU"/>
        </w:rPr>
        <w:t>greater input into the data elements collected</w:t>
      </w:r>
      <w:r w:rsidR="003C7578">
        <w:rPr>
          <w:rFonts w:cstheme="minorHAnsi"/>
          <w:lang w:val="en-AU"/>
        </w:rPr>
        <w:t>,</w:t>
      </w:r>
      <w:r w:rsidRPr="00B456CF">
        <w:rPr>
          <w:rFonts w:cstheme="minorHAnsi"/>
          <w:lang w:val="en-AU"/>
        </w:rPr>
        <w:t xml:space="preserve"> and </w:t>
      </w:r>
      <w:r w:rsidR="00A23B30">
        <w:rPr>
          <w:rFonts w:cstheme="minorHAnsi"/>
          <w:lang w:val="en-AU"/>
        </w:rPr>
        <w:t xml:space="preserve">greater </w:t>
      </w:r>
      <w:r w:rsidRPr="00B456CF">
        <w:rPr>
          <w:rFonts w:cstheme="minorHAnsi"/>
          <w:lang w:val="en-AU"/>
        </w:rPr>
        <w:t xml:space="preserve">governance </w:t>
      </w:r>
      <w:r w:rsidR="00A23B30">
        <w:rPr>
          <w:rFonts w:cstheme="minorHAnsi"/>
          <w:lang w:val="en-AU"/>
        </w:rPr>
        <w:t>of</w:t>
      </w:r>
      <w:r w:rsidR="00A23B30" w:rsidRPr="00B456CF">
        <w:rPr>
          <w:rFonts w:cstheme="minorHAnsi"/>
          <w:lang w:val="en-AU"/>
        </w:rPr>
        <w:t xml:space="preserve"> </w:t>
      </w:r>
      <w:r w:rsidRPr="00B456CF">
        <w:rPr>
          <w:rFonts w:cstheme="minorHAnsi"/>
          <w:lang w:val="en-AU"/>
        </w:rPr>
        <w:t>the use of data from Aboriginal and Torres Strait Islander peoples themselves.</w:t>
      </w:r>
    </w:p>
    <w:p w14:paraId="3DD6B9B5" w14:textId="719F35A2" w:rsidR="00B93C1D" w:rsidRDefault="00B93C1D" w:rsidP="00416E3B">
      <w:pPr>
        <w:spacing w:after="0" w:line="240" w:lineRule="auto"/>
        <w:jc w:val="both"/>
        <w:rPr>
          <w:rFonts w:cstheme="minorHAnsi"/>
          <w:lang w:val="en-AU"/>
        </w:rPr>
      </w:pPr>
    </w:p>
    <w:tbl>
      <w:tblPr>
        <w:tblStyle w:val="GridTable5Dark-Accent61"/>
        <w:tblW w:w="0" w:type="auto"/>
        <w:tblInd w:w="-5" w:type="dxa"/>
        <w:tblLook w:val="04A0" w:firstRow="1" w:lastRow="0" w:firstColumn="1" w:lastColumn="0" w:noHBand="0" w:noVBand="1"/>
      </w:tblPr>
      <w:tblGrid>
        <w:gridCol w:w="1579"/>
        <w:gridCol w:w="7442"/>
      </w:tblGrid>
      <w:tr w:rsidR="00DC60CC" w:rsidRPr="00B456CF" w14:paraId="4342120E" w14:textId="77777777" w:rsidTr="00B93C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9" w:type="dxa"/>
            <w:tcBorders>
              <w:right w:val="single" w:sz="4" w:space="0" w:color="FFFFFF" w:themeColor="background1"/>
            </w:tcBorders>
            <w:shd w:val="clear" w:color="auto" w:fill="C45911" w:themeFill="accent2" w:themeFillShade="BF"/>
            <w:vAlign w:val="center"/>
            <w:hideMark/>
          </w:tcPr>
          <w:p w14:paraId="67BCE9C0" w14:textId="77777777" w:rsidR="00DC60CC" w:rsidRPr="00B456CF" w:rsidRDefault="00DC60CC" w:rsidP="00534DEC">
            <w:pPr>
              <w:autoSpaceDE w:val="0"/>
              <w:autoSpaceDN w:val="0"/>
              <w:adjustRightInd w:val="0"/>
              <w:spacing w:after="100" w:line="211" w:lineRule="atLeast"/>
              <w:jc w:val="center"/>
              <w:rPr>
                <w:rFonts w:cstheme="minorHAnsi"/>
                <w:sz w:val="32"/>
                <w:szCs w:val="32"/>
                <w:lang w:val="en-AU"/>
              </w:rPr>
            </w:pPr>
            <w:r w:rsidRPr="00B456CF">
              <w:rPr>
                <w:rFonts w:cstheme="minorHAnsi"/>
                <w:sz w:val="32"/>
                <w:szCs w:val="32"/>
                <w:lang w:val="en-AU"/>
              </w:rPr>
              <w:t>PRINCIPLE 5</w:t>
            </w:r>
          </w:p>
        </w:tc>
        <w:tc>
          <w:tcPr>
            <w:tcW w:w="7442" w:type="dxa"/>
            <w:tcBorders>
              <w:left w:val="single" w:sz="4" w:space="0" w:color="FFFFFF" w:themeColor="background1"/>
              <w:bottom w:val="single" w:sz="4" w:space="0" w:color="FFFFFF" w:themeColor="background1"/>
            </w:tcBorders>
            <w:shd w:val="clear" w:color="auto" w:fill="FBE4D5" w:themeFill="accent2" w:themeFillTint="33"/>
            <w:hideMark/>
          </w:tcPr>
          <w:p w14:paraId="55605EE3" w14:textId="77777777" w:rsidR="00655852" w:rsidRPr="00F25F36" w:rsidRDefault="00DC60CC" w:rsidP="00F25F36">
            <w:pPr>
              <w:autoSpaceDE w:val="0"/>
              <w:autoSpaceDN w:val="0"/>
              <w:adjustRightInd w:val="0"/>
              <w:spacing w:before="120" w:after="120"/>
              <w:cnfStyle w:val="100000000000" w:firstRow="1" w:lastRow="0" w:firstColumn="0" w:lastColumn="0" w:oddVBand="0" w:evenVBand="0" w:oddHBand="0" w:evenHBand="0" w:firstRowFirstColumn="0" w:firstRowLastColumn="0" w:lastRowFirstColumn="0" w:lastRowLastColumn="0"/>
              <w:rPr>
                <w:rFonts w:cstheme="minorHAnsi"/>
                <w:color w:val="auto"/>
                <w:lang w:val="en-AU"/>
              </w:rPr>
            </w:pPr>
            <w:r w:rsidRPr="00F25F36">
              <w:rPr>
                <w:rFonts w:cstheme="minorHAnsi"/>
                <w:color w:val="auto"/>
                <w:lang w:val="en-AU"/>
              </w:rPr>
              <w:t xml:space="preserve">INFORMED CONSENT: </w:t>
            </w:r>
          </w:p>
          <w:p w14:paraId="6D251922" w14:textId="033FB4CA" w:rsidR="00DC60CC" w:rsidRPr="00B456CF" w:rsidRDefault="00DC60CC" w:rsidP="00F25F36">
            <w:pPr>
              <w:autoSpaceDE w:val="0"/>
              <w:autoSpaceDN w:val="0"/>
              <w:adjustRightInd w:val="0"/>
              <w:spacing w:before="120" w:after="120"/>
              <w:cnfStyle w:val="100000000000" w:firstRow="1" w:lastRow="0" w:firstColumn="0" w:lastColumn="0" w:oddVBand="0" w:evenVBand="0" w:oddHBand="0" w:evenHBand="0" w:firstRowFirstColumn="0" w:firstRowLastColumn="0" w:lastRowFirstColumn="0" w:lastRowLastColumn="0"/>
              <w:rPr>
                <w:rFonts w:cstheme="minorHAnsi"/>
                <w:color w:val="56575A"/>
                <w:lang w:val="en-AU"/>
              </w:rPr>
            </w:pPr>
            <w:r w:rsidRPr="00F25F36">
              <w:rPr>
                <w:rFonts w:cstheme="minorHAnsi"/>
                <w:color w:val="auto"/>
                <w:lang w:val="en-AU"/>
              </w:rPr>
              <w:t xml:space="preserve">To ensure ethical clinical practice and research guidelines centre on culturally appropriate, free, </w:t>
            </w:r>
            <w:proofErr w:type="gramStart"/>
            <w:r w:rsidR="004944FB" w:rsidRPr="00F25F36">
              <w:rPr>
                <w:rFonts w:cstheme="minorHAnsi"/>
                <w:color w:val="auto"/>
                <w:lang w:val="en-AU"/>
              </w:rPr>
              <w:t>prior</w:t>
            </w:r>
            <w:proofErr w:type="gramEnd"/>
            <w:r w:rsidRPr="00F25F36">
              <w:rPr>
                <w:rFonts w:cstheme="minorHAnsi"/>
                <w:color w:val="auto"/>
                <w:lang w:val="en-AU"/>
              </w:rPr>
              <w:t xml:space="preserve"> and informed consent as foundational principles. This includes consideration of the implications of decisions made by parents/carers on behalf of children that will affect them as adults; implications for adults dependent upon carers and guardians; and protection of cultural sovereignty and self-determination rights of future generations.</w:t>
            </w:r>
          </w:p>
        </w:tc>
      </w:tr>
    </w:tbl>
    <w:p w14:paraId="58BB81B8" w14:textId="77777777" w:rsidR="00DC60CC" w:rsidRPr="00B456CF" w:rsidRDefault="00DC60CC" w:rsidP="00DB56A7">
      <w:pPr>
        <w:spacing w:after="0" w:line="240" w:lineRule="auto"/>
        <w:rPr>
          <w:rFonts w:cstheme="minorHAnsi"/>
        </w:rPr>
      </w:pPr>
    </w:p>
    <w:p w14:paraId="2C6C597F" w14:textId="10D0733B" w:rsidR="00DC60CC" w:rsidRPr="00B456CF" w:rsidRDefault="00DC60CC" w:rsidP="00617114">
      <w:pPr>
        <w:spacing w:after="120" w:line="240" w:lineRule="auto"/>
        <w:jc w:val="both"/>
        <w:rPr>
          <w:rFonts w:cstheme="minorHAnsi"/>
        </w:rPr>
      </w:pPr>
      <w:r w:rsidRPr="00B456CF">
        <w:rPr>
          <w:rFonts w:cstheme="minorHAnsi"/>
        </w:rPr>
        <w:t>Across the practical application of ethical models of informed consent, there exists a persistent tension between the provision of sufficient information in a culturally appropriate and understandable form; and of the simplification of information presented being reduced to an inadequate level of information for participants to make fully informed decision</w:t>
      </w:r>
      <w:r w:rsidR="00A6494D" w:rsidRPr="00B456CF">
        <w:rPr>
          <w:rFonts w:cstheme="minorHAnsi"/>
        </w:rPr>
        <w:t>s</w:t>
      </w:r>
      <w:r w:rsidRPr="00B456CF">
        <w:rPr>
          <w:rFonts w:cstheme="minorHAnsi"/>
          <w:color w:val="000000" w:themeColor="text1"/>
        </w:rPr>
        <w:t xml:space="preserve">. </w:t>
      </w:r>
      <w:r w:rsidR="000A66BD" w:rsidRPr="00B456CF">
        <w:rPr>
          <w:rFonts w:cstheme="minorHAnsi"/>
          <w:color w:val="000000" w:themeColor="text1"/>
        </w:rPr>
        <w:t>Furthermore, r</w:t>
      </w:r>
      <w:r w:rsidR="007539C0" w:rsidRPr="00B456CF">
        <w:rPr>
          <w:rFonts w:cstheme="minorHAnsi"/>
          <w:color w:val="000000" w:themeColor="text1"/>
        </w:rPr>
        <w:t>esearch teams m</w:t>
      </w:r>
      <w:r w:rsidR="000A66BD" w:rsidRPr="00B456CF">
        <w:rPr>
          <w:rFonts w:cstheme="minorHAnsi"/>
          <w:color w:val="000000" w:themeColor="text1"/>
        </w:rPr>
        <w:t>ay</w:t>
      </w:r>
      <w:r w:rsidR="007539C0" w:rsidRPr="00B456CF">
        <w:rPr>
          <w:rFonts w:cstheme="minorHAnsi"/>
          <w:color w:val="000000" w:themeColor="text1"/>
        </w:rPr>
        <w:t xml:space="preserve"> focus on the logistics of consent and the accrual of participant numbers</w:t>
      </w:r>
      <w:r w:rsidR="000A66BD" w:rsidRPr="00B456CF">
        <w:rPr>
          <w:rFonts w:cstheme="minorHAnsi"/>
          <w:color w:val="000000" w:themeColor="text1"/>
        </w:rPr>
        <w:t xml:space="preserve">, rather than </w:t>
      </w:r>
      <w:r w:rsidR="007539C0" w:rsidRPr="00B456CF">
        <w:rPr>
          <w:rFonts w:cstheme="minorHAnsi"/>
          <w:color w:val="000000" w:themeColor="text1"/>
        </w:rPr>
        <w:t xml:space="preserve">participant’s rights to </w:t>
      </w:r>
      <w:r w:rsidR="007539C0" w:rsidRPr="00B456CF">
        <w:rPr>
          <w:rFonts w:cstheme="minorHAnsi"/>
          <w:color w:val="000000" w:themeColor="text1"/>
        </w:rPr>
        <w:lastRenderedPageBreak/>
        <w:t>self</w:t>
      </w:r>
      <w:r w:rsidR="00A6494D" w:rsidRPr="00B456CF">
        <w:rPr>
          <w:rFonts w:cstheme="minorHAnsi"/>
          <w:color w:val="000000" w:themeColor="text1"/>
        </w:rPr>
        <w:noBreakHyphen/>
      </w:r>
      <w:r w:rsidR="007539C0" w:rsidRPr="00B456CF">
        <w:rPr>
          <w:rFonts w:cstheme="minorHAnsi"/>
          <w:color w:val="000000" w:themeColor="text1"/>
        </w:rPr>
        <w:t xml:space="preserve">determination in balancing the risks and benefits of participating in research. </w:t>
      </w:r>
      <w:r w:rsidRPr="00B456CF">
        <w:rPr>
          <w:rFonts w:cstheme="minorHAnsi"/>
          <w:color w:val="000000" w:themeColor="text1"/>
        </w:rPr>
        <w:t>Th</w:t>
      </w:r>
      <w:r w:rsidR="00AF110C" w:rsidRPr="00B456CF">
        <w:rPr>
          <w:rFonts w:cstheme="minorHAnsi"/>
          <w:color w:val="000000" w:themeColor="text1"/>
        </w:rPr>
        <w:t xml:space="preserve">ese </w:t>
      </w:r>
      <w:r w:rsidR="00AF110C" w:rsidRPr="00B456CF">
        <w:rPr>
          <w:rFonts w:cstheme="minorHAnsi"/>
        </w:rPr>
        <w:t>issues are</w:t>
      </w:r>
      <w:r w:rsidRPr="00B456CF">
        <w:rPr>
          <w:rFonts w:cstheme="minorHAnsi"/>
        </w:rPr>
        <w:t xml:space="preserve"> exacerbated when there are cultural and language differences, perceptions of power imbalance between research</w:t>
      </w:r>
      <w:r w:rsidR="00AF110C" w:rsidRPr="00B456CF">
        <w:rPr>
          <w:rFonts w:cstheme="minorHAnsi"/>
        </w:rPr>
        <w:t>ers</w:t>
      </w:r>
      <w:r w:rsidRPr="00B456CF">
        <w:rPr>
          <w:rFonts w:cstheme="minorHAnsi"/>
        </w:rPr>
        <w:t xml:space="preserve"> or clinical providers and participants, and whether the consent process is occurring a</w:t>
      </w:r>
      <w:r w:rsidR="00AF110C" w:rsidRPr="00B456CF">
        <w:rPr>
          <w:rFonts w:cstheme="minorHAnsi"/>
        </w:rPr>
        <w:t xml:space="preserve">t a time of significant stress </w:t>
      </w:r>
      <w:r w:rsidRPr="00B456CF">
        <w:rPr>
          <w:rFonts w:cstheme="minorHAnsi"/>
        </w:rPr>
        <w:t>or within the context of investigating potential genetic disease.</w:t>
      </w:r>
    </w:p>
    <w:p w14:paraId="53B214F5" w14:textId="27E15941" w:rsidR="00DC60CC" w:rsidRPr="00B456CF" w:rsidRDefault="00DC60CC" w:rsidP="00617114">
      <w:pPr>
        <w:spacing w:after="120" w:line="240" w:lineRule="auto"/>
        <w:jc w:val="both"/>
        <w:rPr>
          <w:rFonts w:cstheme="minorHAnsi"/>
        </w:rPr>
      </w:pPr>
      <w:r w:rsidRPr="00B456CF">
        <w:rPr>
          <w:rFonts w:cstheme="minorHAnsi"/>
        </w:rPr>
        <w:t>While there have been positive steps to help protect Aboriginal and Torres Strait Islander peoples</w:t>
      </w:r>
      <w:r w:rsidR="00A6494D" w:rsidRPr="00B456CF">
        <w:rPr>
          <w:rFonts w:cstheme="minorHAnsi"/>
        </w:rPr>
        <w:t>’</w:t>
      </w:r>
      <w:r w:rsidRPr="00B456CF">
        <w:rPr>
          <w:rFonts w:cstheme="minorHAnsi"/>
        </w:rPr>
        <w:t xml:space="preserve"> rights within clinical services and research, much work remains to be done to ensure individual, </w:t>
      </w:r>
      <w:proofErr w:type="gramStart"/>
      <w:r w:rsidR="004944FB" w:rsidRPr="00B456CF">
        <w:rPr>
          <w:rFonts w:cstheme="minorHAnsi"/>
        </w:rPr>
        <w:t>collective</w:t>
      </w:r>
      <w:proofErr w:type="gramEnd"/>
      <w:r w:rsidRPr="00B456CF">
        <w:rPr>
          <w:rFonts w:cstheme="minorHAnsi"/>
        </w:rPr>
        <w:t xml:space="preserve"> and prospective rights </w:t>
      </w:r>
      <w:r w:rsidR="00AF110C" w:rsidRPr="00B456CF">
        <w:rPr>
          <w:rFonts w:cstheme="minorHAnsi"/>
        </w:rPr>
        <w:t>and</w:t>
      </w:r>
      <w:r w:rsidRPr="00B456CF">
        <w:rPr>
          <w:rFonts w:cstheme="minorHAnsi"/>
        </w:rPr>
        <w:t xml:space="preserve"> aspirations are respected, </w:t>
      </w:r>
      <w:r w:rsidR="004944FB" w:rsidRPr="00B456CF">
        <w:rPr>
          <w:rFonts w:cstheme="minorHAnsi"/>
        </w:rPr>
        <w:t>protected</w:t>
      </w:r>
      <w:r w:rsidRPr="00B456CF">
        <w:rPr>
          <w:rFonts w:cstheme="minorHAnsi"/>
        </w:rPr>
        <w:t xml:space="preserve"> and ensured.</w:t>
      </w:r>
      <w:r w:rsidR="00AA5827" w:rsidRPr="00B456CF">
        <w:rPr>
          <w:rFonts w:cstheme="minorHAnsi"/>
        </w:rPr>
        <w:t xml:space="preserve"> </w:t>
      </w:r>
      <w:r w:rsidRPr="00B456CF">
        <w:rPr>
          <w:rFonts w:cstheme="minorHAnsi"/>
        </w:rPr>
        <w:t xml:space="preserve">Unfortunately, </w:t>
      </w:r>
      <w:r w:rsidR="00EE1B76" w:rsidRPr="00B456CF">
        <w:rPr>
          <w:rFonts w:cstheme="minorHAnsi"/>
        </w:rPr>
        <w:t>c</w:t>
      </w:r>
      <w:r w:rsidRPr="00B456CF">
        <w:rPr>
          <w:rFonts w:cstheme="minorHAnsi"/>
        </w:rPr>
        <w:t>ontemporary consent processes</w:t>
      </w:r>
      <w:r w:rsidR="00AF110C" w:rsidRPr="00B456CF">
        <w:rPr>
          <w:rFonts w:cstheme="minorHAnsi"/>
        </w:rPr>
        <w:t xml:space="preserve"> </w:t>
      </w:r>
      <w:r w:rsidRPr="00B456CF">
        <w:rPr>
          <w:rFonts w:cstheme="minorHAnsi"/>
        </w:rPr>
        <w:t>rarely consider the belief systems, cultural practices and kinship obligations of Aboriginal and Torres Strait Islander ind</w:t>
      </w:r>
      <w:r w:rsidR="00EE1B76" w:rsidRPr="00B456CF">
        <w:rPr>
          <w:rFonts w:cstheme="minorHAnsi"/>
        </w:rPr>
        <w:t xml:space="preserve">ividuals, </w:t>
      </w:r>
      <w:proofErr w:type="gramStart"/>
      <w:r w:rsidR="004944FB" w:rsidRPr="00B456CF">
        <w:rPr>
          <w:rFonts w:cstheme="minorHAnsi"/>
        </w:rPr>
        <w:t>family</w:t>
      </w:r>
      <w:proofErr w:type="gramEnd"/>
      <w:r w:rsidR="00EE1B76" w:rsidRPr="00B456CF">
        <w:rPr>
          <w:rFonts w:cstheme="minorHAnsi"/>
        </w:rPr>
        <w:t xml:space="preserve"> and community. </w:t>
      </w:r>
      <w:r w:rsidR="00AF110C" w:rsidRPr="00B456CF">
        <w:rPr>
          <w:rFonts w:cstheme="minorHAnsi"/>
        </w:rPr>
        <w:t>Development of consent processes</w:t>
      </w:r>
      <w:r w:rsidRPr="00B456CF">
        <w:rPr>
          <w:rFonts w:cstheme="minorHAnsi"/>
        </w:rPr>
        <w:t xml:space="preserve"> in partnership with Aboriginal and Torres Strait Islander peoples requires a fundamental shift in the </w:t>
      </w:r>
      <w:r w:rsidR="00AF110C" w:rsidRPr="00B456CF">
        <w:rPr>
          <w:rFonts w:cstheme="minorHAnsi"/>
        </w:rPr>
        <w:t xml:space="preserve">prioritisation, </w:t>
      </w:r>
      <w:proofErr w:type="gramStart"/>
      <w:r w:rsidR="004944FB" w:rsidRPr="00B456CF">
        <w:rPr>
          <w:rFonts w:cstheme="minorHAnsi"/>
        </w:rPr>
        <w:t>conceptualisation</w:t>
      </w:r>
      <w:proofErr w:type="gramEnd"/>
      <w:r w:rsidRPr="00B456CF">
        <w:rPr>
          <w:rFonts w:cstheme="minorHAnsi"/>
        </w:rPr>
        <w:t xml:space="preserve"> and deployment of informed consent processes. </w:t>
      </w:r>
      <w:r w:rsidR="00AF110C" w:rsidRPr="00B456CF">
        <w:rPr>
          <w:rFonts w:cstheme="minorHAnsi"/>
        </w:rPr>
        <w:t>F</w:t>
      </w:r>
      <w:r w:rsidRPr="00B456CF">
        <w:rPr>
          <w:rFonts w:cstheme="minorHAnsi"/>
        </w:rPr>
        <w:t xml:space="preserve">amily or community consent may </w:t>
      </w:r>
      <w:r w:rsidR="00AA5827" w:rsidRPr="00B456CF">
        <w:rPr>
          <w:rFonts w:cstheme="minorHAnsi"/>
        </w:rPr>
        <w:t xml:space="preserve">also </w:t>
      </w:r>
      <w:r w:rsidRPr="00B456CF">
        <w:rPr>
          <w:rFonts w:cstheme="minorHAnsi"/>
        </w:rPr>
        <w:t xml:space="preserve">be required for clinical </w:t>
      </w:r>
      <w:r w:rsidR="00AF110C" w:rsidRPr="00B456CF">
        <w:rPr>
          <w:rFonts w:cstheme="minorHAnsi"/>
        </w:rPr>
        <w:t xml:space="preserve">genomic </w:t>
      </w:r>
      <w:r w:rsidRPr="00B456CF">
        <w:rPr>
          <w:rFonts w:cstheme="minorHAnsi"/>
        </w:rPr>
        <w:t xml:space="preserve">testing or for research studies. </w:t>
      </w:r>
    </w:p>
    <w:p w14:paraId="71DAE134" w14:textId="3714188C" w:rsidR="00DC60CC" w:rsidRPr="00B456CF" w:rsidRDefault="00DC60CC" w:rsidP="00617114">
      <w:pPr>
        <w:spacing w:after="0" w:line="240" w:lineRule="auto"/>
        <w:jc w:val="both"/>
        <w:rPr>
          <w:rFonts w:cstheme="minorHAnsi"/>
        </w:rPr>
      </w:pPr>
      <w:r w:rsidRPr="00B456CF">
        <w:rPr>
          <w:rFonts w:cstheme="minorHAnsi"/>
        </w:rPr>
        <w:t xml:space="preserve">The </w:t>
      </w:r>
      <w:r w:rsidR="00955822" w:rsidRPr="00B456CF">
        <w:rPr>
          <w:rFonts w:cstheme="minorHAnsi"/>
          <w:i/>
          <w:shd w:val="clear" w:color="auto" w:fill="FFFFFF"/>
        </w:rPr>
        <w:t>AIATSIS Code of Ethics for Aboriginal and Torres Strait Islander Research</w:t>
      </w:r>
      <w:r w:rsidR="00955822" w:rsidRPr="00B456CF">
        <w:rPr>
          <w:rFonts w:cstheme="minorHAnsi"/>
          <w:shd w:val="clear" w:color="auto" w:fill="FFFFFF"/>
        </w:rPr>
        <w:t xml:space="preserve"> </w:t>
      </w:r>
      <w:r w:rsidR="00707D24" w:rsidRPr="00B456CF">
        <w:rPr>
          <w:rFonts w:cstheme="minorHAnsi"/>
          <w:iCs/>
          <w:color w:val="000000" w:themeColor="text1"/>
          <w:szCs w:val="24"/>
          <w:lang w:val="en-AU" w:eastAsia="en-GB"/>
        </w:rPr>
        <w:t>sets national standards for the ethical and responsible conduct of all Aboriginal and Torres Strait Islander research</w:t>
      </w:r>
      <w:r w:rsidRPr="00B456CF">
        <w:rPr>
          <w:rFonts w:cstheme="minorHAnsi"/>
        </w:rPr>
        <w:t>. The</w:t>
      </w:r>
      <w:r w:rsidR="00707D24" w:rsidRPr="00B456CF">
        <w:rPr>
          <w:rFonts w:cstheme="minorHAnsi"/>
        </w:rPr>
        <w:t xml:space="preserve"> code </w:t>
      </w:r>
      <w:r w:rsidRPr="00B456CF">
        <w:rPr>
          <w:rFonts w:cstheme="minorHAnsi"/>
        </w:rPr>
        <w:t>highlight</w:t>
      </w:r>
      <w:r w:rsidR="00707D24" w:rsidRPr="00B456CF">
        <w:rPr>
          <w:rFonts w:cstheme="minorHAnsi"/>
        </w:rPr>
        <w:t>s</w:t>
      </w:r>
      <w:r w:rsidRPr="00B456CF">
        <w:rPr>
          <w:rFonts w:cstheme="minorHAnsi"/>
        </w:rPr>
        <w:t xml:space="preserve"> the imperative for initiating and maintaining culturally responsive engagement with Aboriginal and Torres Strait Islander individuals, </w:t>
      </w:r>
      <w:proofErr w:type="gramStart"/>
      <w:r w:rsidRPr="00B456CF">
        <w:rPr>
          <w:rFonts w:cstheme="minorHAnsi"/>
        </w:rPr>
        <w:t>families</w:t>
      </w:r>
      <w:proofErr w:type="gramEnd"/>
      <w:r w:rsidRPr="00B456CF">
        <w:rPr>
          <w:rFonts w:cstheme="minorHAnsi"/>
        </w:rPr>
        <w:t xml:space="preserve"> and communities</w:t>
      </w:r>
      <w:r w:rsidR="00AA5827" w:rsidRPr="00B456CF">
        <w:rPr>
          <w:rFonts w:cstheme="minorHAnsi"/>
        </w:rPr>
        <w:t>, as well as</w:t>
      </w:r>
      <w:r w:rsidRPr="00B456CF">
        <w:rPr>
          <w:rFonts w:cstheme="minorHAnsi"/>
        </w:rPr>
        <w:t xml:space="preserve"> </w:t>
      </w:r>
      <w:r w:rsidR="000B7F4D" w:rsidRPr="00B456CF">
        <w:rPr>
          <w:rFonts w:cstheme="minorHAnsi"/>
        </w:rPr>
        <w:t>maintaining a</w:t>
      </w:r>
      <w:r w:rsidRPr="00B456CF">
        <w:rPr>
          <w:rFonts w:cstheme="minorHAnsi"/>
        </w:rPr>
        <w:t xml:space="preserve"> clear understanding of the participants </w:t>
      </w:r>
      <w:r w:rsidR="000B7F4D" w:rsidRPr="00B456CF">
        <w:rPr>
          <w:rFonts w:cstheme="minorHAnsi"/>
        </w:rPr>
        <w:t>and</w:t>
      </w:r>
      <w:r w:rsidRPr="00B456CF">
        <w:rPr>
          <w:rFonts w:cstheme="minorHAnsi"/>
        </w:rPr>
        <w:t xml:space="preserve"> </w:t>
      </w:r>
      <w:bookmarkStart w:id="0" w:name="_Hlk69810635"/>
      <w:r w:rsidRPr="00B456CF">
        <w:rPr>
          <w:rFonts w:cstheme="minorHAnsi"/>
        </w:rPr>
        <w:t xml:space="preserve">the </w:t>
      </w:r>
      <w:r w:rsidR="00EE1B76" w:rsidRPr="00B456CF">
        <w:rPr>
          <w:rFonts w:cstheme="minorHAnsi"/>
        </w:rPr>
        <w:t xml:space="preserve">potential </w:t>
      </w:r>
      <w:r w:rsidRPr="00B456CF">
        <w:rPr>
          <w:rFonts w:cstheme="minorHAnsi"/>
        </w:rPr>
        <w:t>benefits</w:t>
      </w:r>
      <w:bookmarkEnd w:id="0"/>
      <w:r w:rsidR="000B7F4D" w:rsidRPr="00B456CF">
        <w:rPr>
          <w:rFonts w:cstheme="minorHAnsi"/>
        </w:rPr>
        <w:t xml:space="preserve"> for them</w:t>
      </w:r>
      <w:r w:rsidRPr="00B456CF">
        <w:rPr>
          <w:rFonts w:cstheme="minorHAnsi"/>
        </w:rPr>
        <w:t xml:space="preserve">. </w:t>
      </w:r>
      <w:r w:rsidR="00707D24" w:rsidRPr="00B456CF">
        <w:rPr>
          <w:rFonts w:cstheme="minorHAnsi"/>
        </w:rPr>
        <w:t xml:space="preserve">It </w:t>
      </w:r>
      <w:r w:rsidRPr="00B456CF">
        <w:rPr>
          <w:rFonts w:cstheme="minorHAnsi"/>
        </w:rPr>
        <w:t>also provides a guide for policy makers to partner with Aboriginal and Torres Strait Islander peoples</w:t>
      </w:r>
      <w:r w:rsidR="00EE1B76" w:rsidRPr="00B456CF">
        <w:rPr>
          <w:rFonts w:cstheme="minorHAnsi"/>
        </w:rPr>
        <w:t xml:space="preserve"> in clinical service design. </w:t>
      </w:r>
      <w:r w:rsidR="00707D24" w:rsidRPr="00B456CF">
        <w:rPr>
          <w:rFonts w:cstheme="minorHAnsi"/>
        </w:rPr>
        <w:t>P</w:t>
      </w:r>
      <w:r w:rsidRPr="00B456CF">
        <w:rPr>
          <w:rFonts w:cstheme="minorHAnsi"/>
        </w:rPr>
        <w:t>riorities</w:t>
      </w:r>
      <w:r w:rsidR="002E68D7" w:rsidRPr="00B456CF">
        <w:rPr>
          <w:rFonts w:cstheme="minorHAnsi"/>
        </w:rPr>
        <w:t xml:space="preserve"> for health genomics consent</w:t>
      </w:r>
      <w:r w:rsidRPr="00B456CF">
        <w:rPr>
          <w:rFonts w:cstheme="minorHAnsi"/>
        </w:rPr>
        <w:t xml:space="preserve"> identified by Aboriginal and Torres Strait Islander peoples include:  </w:t>
      </w:r>
    </w:p>
    <w:p w14:paraId="74FE7ECD" w14:textId="17C667AF" w:rsidR="00DC60CC" w:rsidRPr="00B456CF" w:rsidRDefault="00DC60CC" w:rsidP="00617114">
      <w:pPr>
        <w:pStyle w:val="ListParagraph"/>
        <w:numPr>
          <w:ilvl w:val="0"/>
          <w:numId w:val="5"/>
        </w:numPr>
        <w:spacing w:after="120" w:line="240" w:lineRule="auto"/>
        <w:jc w:val="both"/>
        <w:rPr>
          <w:rFonts w:cstheme="minorHAnsi"/>
        </w:rPr>
      </w:pPr>
      <w:r w:rsidRPr="00B456CF">
        <w:rPr>
          <w:rFonts w:cstheme="minorHAnsi"/>
          <w:bCs/>
          <w:iCs/>
        </w:rPr>
        <w:t>How decisions are made by individuals, families and by the community on behalf of the collective</w:t>
      </w:r>
      <w:r w:rsidR="00B91F65" w:rsidRPr="00B456CF">
        <w:rPr>
          <w:rFonts w:cstheme="minorHAnsi"/>
          <w:bCs/>
          <w:iCs/>
        </w:rPr>
        <w:t>.</w:t>
      </w:r>
      <w:r w:rsidRPr="00B456CF">
        <w:rPr>
          <w:rFonts w:cstheme="minorHAnsi"/>
        </w:rPr>
        <w:t xml:space="preserve"> </w:t>
      </w:r>
    </w:p>
    <w:p w14:paraId="62536280" w14:textId="60026B19" w:rsidR="00707D24" w:rsidRPr="00B456CF" w:rsidRDefault="00DC60CC" w:rsidP="00617114">
      <w:pPr>
        <w:pStyle w:val="ListParagraph"/>
        <w:numPr>
          <w:ilvl w:val="0"/>
          <w:numId w:val="5"/>
        </w:numPr>
        <w:spacing w:after="120" w:line="240" w:lineRule="auto"/>
        <w:jc w:val="both"/>
        <w:rPr>
          <w:rFonts w:cstheme="minorHAnsi"/>
        </w:rPr>
      </w:pPr>
      <w:r w:rsidRPr="00B456CF">
        <w:rPr>
          <w:rFonts w:cstheme="minorHAnsi"/>
          <w:bCs/>
          <w:iCs/>
        </w:rPr>
        <w:t xml:space="preserve">How decisions are made by parents, </w:t>
      </w:r>
      <w:proofErr w:type="gramStart"/>
      <w:r w:rsidR="004944FB" w:rsidRPr="00B456CF">
        <w:rPr>
          <w:rFonts w:cstheme="minorHAnsi"/>
          <w:bCs/>
          <w:iCs/>
        </w:rPr>
        <w:t>carers</w:t>
      </w:r>
      <w:proofErr w:type="gramEnd"/>
      <w:r w:rsidRPr="00B456CF">
        <w:rPr>
          <w:rFonts w:cstheme="minorHAnsi"/>
          <w:bCs/>
          <w:iCs/>
        </w:rPr>
        <w:t xml:space="preserve"> and guardians on behalf of children </w:t>
      </w:r>
      <w:r w:rsidR="00A6494D" w:rsidRPr="00B456CF">
        <w:rPr>
          <w:rFonts w:cstheme="minorHAnsi"/>
          <w:bCs/>
          <w:iCs/>
        </w:rPr>
        <w:t xml:space="preserve">that </w:t>
      </w:r>
      <w:r w:rsidRPr="00B456CF">
        <w:rPr>
          <w:rFonts w:cstheme="minorHAnsi"/>
          <w:bCs/>
          <w:iCs/>
        </w:rPr>
        <w:t xml:space="preserve">will </w:t>
      </w:r>
      <w:r w:rsidR="00A6494D" w:rsidRPr="00B456CF">
        <w:rPr>
          <w:rFonts w:cstheme="minorHAnsi"/>
          <w:bCs/>
          <w:iCs/>
        </w:rPr>
        <w:t xml:space="preserve">affect </w:t>
      </w:r>
      <w:r w:rsidRPr="00B456CF">
        <w:rPr>
          <w:rFonts w:cstheme="minorHAnsi"/>
          <w:bCs/>
          <w:iCs/>
        </w:rPr>
        <w:t>them in adulthood</w:t>
      </w:r>
      <w:r w:rsidR="00B91F65" w:rsidRPr="00B456CF">
        <w:rPr>
          <w:rFonts w:cstheme="minorHAnsi"/>
          <w:bCs/>
          <w:iCs/>
        </w:rPr>
        <w:t>.</w:t>
      </w:r>
      <w:r w:rsidRPr="00B456CF">
        <w:rPr>
          <w:rFonts w:cstheme="minorHAnsi"/>
        </w:rPr>
        <w:t xml:space="preserve"> </w:t>
      </w:r>
    </w:p>
    <w:p w14:paraId="33F6B539" w14:textId="77777777" w:rsidR="00B91F65" w:rsidRPr="00B456CF" w:rsidRDefault="00DC60CC" w:rsidP="00617114">
      <w:pPr>
        <w:pStyle w:val="ListParagraph"/>
        <w:numPr>
          <w:ilvl w:val="0"/>
          <w:numId w:val="5"/>
        </w:numPr>
        <w:spacing w:after="120" w:line="240" w:lineRule="auto"/>
        <w:jc w:val="both"/>
        <w:rPr>
          <w:rFonts w:cstheme="minorHAnsi"/>
        </w:rPr>
      </w:pPr>
      <w:r w:rsidRPr="00B456CF">
        <w:rPr>
          <w:rFonts w:cstheme="minorHAnsi"/>
          <w:bCs/>
        </w:rPr>
        <w:t>How decisions are made by, or on behalf of, vulnerable members of the community</w:t>
      </w:r>
      <w:r w:rsidR="00B91F65" w:rsidRPr="00B456CF">
        <w:rPr>
          <w:rFonts w:cstheme="minorHAnsi"/>
        </w:rPr>
        <w:t>.</w:t>
      </w:r>
      <w:r w:rsidRPr="00B456CF">
        <w:rPr>
          <w:rFonts w:cstheme="minorHAnsi"/>
        </w:rPr>
        <w:t xml:space="preserve"> </w:t>
      </w:r>
    </w:p>
    <w:p w14:paraId="1A9314B1" w14:textId="77777777" w:rsidR="00707D24" w:rsidRPr="00B456CF" w:rsidRDefault="00DC60CC" w:rsidP="00617114">
      <w:pPr>
        <w:pStyle w:val="ListParagraph"/>
        <w:numPr>
          <w:ilvl w:val="0"/>
          <w:numId w:val="5"/>
        </w:numPr>
        <w:spacing w:after="120" w:line="240" w:lineRule="auto"/>
        <w:jc w:val="both"/>
        <w:rPr>
          <w:rFonts w:cstheme="minorHAnsi"/>
        </w:rPr>
      </w:pPr>
      <w:r w:rsidRPr="00B456CF">
        <w:rPr>
          <w:rFonts w:cstheme="minorHAnsi"/>
          <w:bCs/>
          <w:iCs/>
        </w:rPr>
        <w:t xml:space="preserve">Exploring and adapting flexible, culturally </w:t>
      </w:r>
      <w:proofErr w:type="gramStart"/>
      <w:r w:rsidRPr="00B456CF">
        <w:rPr>
          <w:rFonts w:cstheme="minorHAnsi"/>
          <w:bCs/>
          <w:iCs/>
        </w:rPr>
        <w:t>safe</w:t>
      </w:r>
      <w:proofErr w:type="gramEnd"/>
      <w:r w:rsidRPr="00B456CF">
        <w:rPr>
          <w:rFonts w:cstheme="minorHAnsi"/>
          <w:bCs/>
          <w:iCs/>
        </w:rPr>
        <w:t xml:space="preserve"> and responsive consent model</w:t>
      </w:r>
      <w:r w:rsidR="00707D24" w:rsidRPr="00B456CF">
        <w:rPr>
          <w:rFonts w:cstheme="minorHAnsi"/>
          <w:bCs/>
          <w:iCs/>
        </w:rPr>
        <w:t>s</w:t>
      </w:r>
      <w:r w:rsidR="00B91F65" w:rsidRPr="00B456CF">
        <w:rPr>
          <w:rFonts w:cstheme="minorHAnsi"/>
          <w:bCs/>
          <w:iCs/>
        </w:rPr>
        <w:t>.</w:t>
      </w:r>
      <w:r w:rsidRPr="00B456CF">
        <w:rPr>
          <w:rFonts w:cstheme="minorHAnsi"/>
        </w:rPr>
        <w:t xml:space="preserve"> </w:t>
      </w:r>
    </w:p>
    <w:p w14:paraId="178D7AA2" w14:textId="0EEEBC4A" w:rsidR="00DC60CC" w:rsidRPr="00B456CF" w:rsidRDefault="00DC60CC" w:rsidP="00617114">
      <w:pPr>
        <w:spacing w:after="0" w:line="240" w:lineRule="auto"/>
        <w:jc w:val="both"/>
        <w:rPr>
          <w:rFonts w:cstheme="minorHAnsi"/>
        </w:rPr>
      </w:pPr>
      <w:r w:rsidRPr="00B456CF">
        <w:rPr>
          <w:rFonts w:cstheme="minorHAnsi"/>
        </w:rPr>
        <w:t>Informed consent is highly complex</w:t>
      </w:r>
      <w:r w:rsidR="00B91F65" w:rsidRPr="00B456CF">
        <w:rPr>
          <w:rFonts w:cstheme="minorHAnsi"/>
        </w:rPr>
        <w:t xml:space="preserve"> and different models, such as </w:t>
      </w:r>
      <w:r w:rsidRPr="00B456CF">
        <w:rPr>
          <w:rFonts w:cstheme="minorHAnsi"/>
        </w:rPr>
        <w:t>Dynamic and Tiered consent</w:t>
      </w:r>
      <w:r w:rsidR="00B91F65" w:rsidRPr="00B456CF">
        <w:rPr>
          <w:rFonts w:cstheme="minorHAnsi"/>
        </w:rPr>
        <w:t>, need to be considered.</w:t>
      </w:r>
      <w:r w:rsidR="00707D24" w:rsidRPr="00B456CF">
        <w:rPr>
          <w:rFonts w:cstheme="minorHAnsi"/>
        </w:rPr>
        <w:t xml:space="preserve"> However, r</w:t>
      </w:r>
      <w:r w:rsidRPr="00B456CF">
        <w:rPr>
          <w:rFonts w:cstheme="minorHAnsi"/>
        </w:rPr>
        <w:t>egardless of the consent model</w:t>
      </w:r>
      <w:r w:rsidR="00A6494D" w:rsidRPr="00B456CF">
        <w:rPr>
          <w:rFonts w:cstheme="minorHAnsi"/>
        </w:rPr>
        <w:t>,</w:t>
      </w:r>
      <w:r w:rsidRPr="00B456CF">
        <w:rPr>
          <w:rFonts w:cstheme="minorHAnsi"/>
        </w:rPr>
        <w:t xml:space="preserve"> there are risk</w:t>
      </w:r>
      <w:r w:rsidR="00B91F65" w:rsidRPr="00B456CF">
        <w:rPr>
          <w:rFonts w:cstheme="minorHAnsi"/>
        </w:rPr>
        <w:t>s</w:t>
      </w:r>
      <w:r w:rsidRPr="00B456CF">
        <w:rPr>
          <w:rFonts w:cstheme="minorHAnsi"/>
        </w:rPr>
        <w:t xml:space="preserve"> and benefit</w:t>
      </w:r>
      <w:r w:rsidR="00B91F65" w:rsidRPr="00B456CF">
        <w:rPr>
          <w:rFonts w:cstheme="minorHAnsi"/>
        </w:rPr>
        <w:t>s</w:t>
      </w:r>
      <w:r w:rsidRPr="00B456CF">
        <w:rPr>
          <w:rFonts w:cstheme="minorHAnsi"/>
        </w:rPr>
        <w:t xml:space="preserve"> for Aboriginal and Torres Strait Islander</w:t>
      </w:r>
      <w:r w:rsidR="00B838AC">
        <w:rPr>
          <w:rFonts w:cstheme="minorHAnsi"/>
        </w:rPr>
        <w:t xml:space="preserve"> people</w:t>
      </w:r>
      <w:r w:rsidRPr="00B456CF">
        <w:rPr>
          <w:rFonts w:cstheme="minorHAnsi"/>
        </w:rPr>
        <w:t xml:space="preserve">s </w:t>
      </w:r>
      <w:r w:rsidR="00B91F65" w:rsidRPr="00B456CF">
        <w:rPr>
          <w:rFonts w:cstheme="minorHAnsi"/>
        </w:rPr>
        <w:t xml:space="preserve">that </w:t>
      </w:r>
      <w:r w:rsidRPr="00B456CF">
        <w:rPr>
          <w:rFonts w:cstheme="minorHAnsi"/>
        </w:rPr>
        <w:t xml:space="preserve">will need to be balanced. </w:t>
      </w:r>
    </w:p>
    <w:p w14:paraId="29A65266" w14:textId="77777777" w:rsidR="00F93FF7" w:rsidRPr="00B456CF" w:rsidRDefault="00F93FF7" w:rsidP="00F93FF7">
      <w:pPr>
        <w:spacing w:after="0" w:line="240" w:lineRule="auto"/>
        <w:rPr>
          <w:rFonts w:cstheme="minorHAnsi"/>
        </w:rPr>
      </w:pPr>
    </w:p>
    <w:tbl>
      <w:tblPr>
        <w:tblStyle w:val="GridTable5Dark-Accent61"/>
        <w:tblW w:w="0" w:type="auto"/>
        <w:tblInd w:w="-5" w:type="dxa"/>
        <w:tblLook w:val="04A0" w:firstRow="1" w:lastRow="0" w:firstColumn="1" w:lastColumn="0" w:noHBand="0" w:noVBand="1"/>
      </w:tblPr>
      <w:tblGrid>
        <w:gridCol w:w="1579"/>
        <w:gridCol w:w="7442"/>
      </w:tblGrid>
      <w:tr w:rsidR="00B56018" w:rsidRPr="00B456CF" w14:paraId="37384FE8" w14:textId="77777777" w:rsidTr="00BD6B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 w:type="dxa"/>
            <w:tcBorders>
              <w:right w:val="single" w:sz="4" w:space="0" w:color="FFFFFF" w:themeColor="background1"/>
            </w:tcBorders>
            <w:shd w:val="clear" w:color="auto" w:fill="C45911" w:themeFill="accent2" w:themeFillShade="BF"/>
            <w:vAlign w:val="center"/>
            <w:hideMark/>
          </w:tcPr>
          <w:p w14:paraId="6CB3D9B6" w14:textId="77777777" w:rsidR="00B56018" w:rsidRPr="00B456CF" w:rsidRDefault="00B56018" w:rsidP="00534DEC">
            <w:pPr>
              <w:autoSpaceDE w:val="0"/>
              <w:autoSpaceDN w:val="0"/>
              <w:adjustRightInd w:val="0"/>
              <w:spacing w:after="100" w:line="211" w:lineRule="atLeast"/>
              <w:jc w:val="center"/>
              <w:rPr>
                <w:rFonts w:cstheme="minorHAnsi"/>
                <w:sz w:val="32"/>
                <w:szCs w:val="32"/>
                <w:lang w:val="en-AU"/>
              </w:rPr>
            </w:pPr>
            <w:r w:rsidRPr="00B456CF">
              <w:rPr>
                <w:rFonts w:cstheme="minorHAnsi"/>
                <w:sz w:val="32"/>
                <w:szCs w:val="32"/>
                <w:lang w:val="en-AU"/>
              </w:rPr>
              <w:t>PRINCIPLE 6</w:t>
            </w:r>
          </w:p>
        </w:tc>
        <w:tc>
          <w:tcPr>
            <w:tcW w:w="7720" w:type="dxa"/>
            <w:tcBorders>
              <w:left w:val="single" w:sz="4" w:space="0" w:color="FFFFFF" w:themeColor="background1"/>
              <w:bottom w:val="single" w:sz="4" w:space="0" w:color="FFFFFF" w:themeColor="background1"/>
            </w:tcBorders>
            <w:shd w:val="clear" w:color="auto" w:fill="FBE4D5" w:themeFill="accent2" w:themeFillTint="33"/>
            <w:hideMark/>
          </w:tcPr>
          <w:p w14:paraId="4AB3FFF8" w14:textId="77777777" w:rsidR="00B56018" w:rsidRPr="00F25F36" w:rsidRDefault="00B56018" w:rsidP="00F25F36">
            <w:pPr>
              <w:autoSpaceDE w:val="0"/>
              <w:autoSpaceDN w:val="0"/>
              <w:adjustRightInd w:val="0"/>
              <w:spacing w:before="120" w:after="120"/>
              <w:cnfStyle w:val="100000000000" w:firstRow="1" w:lastRow="0" w:firstColumn="0" w:lastColumn="0" w:oddVBand="0" w:evenVBand="0" w:oddHBand="0" w:evenHBand="0" w:firstRowFirstColumn="0" w:firstRowLastColumn="0" w:lastRowFirstColumn="0" w:lastRowLastColumn="0"/>
              <w:rPr>
                <w:rFonts w:cstheme="minorHAnsi"/>
                <w:color w:val="auto"/>
                <w:lang w:val="en-AU"/>
              </w:rPr>
            </w:pPr>
            <w:r w:rsidRPr="00F25F36">
              <w:rPr>
                <w:rFonts w:cstheme="minorHAnsi"/>
                <w:color w:val="auto"/>
                <w:lang w:val="en-AU"/>
              </w:rPr>
              <w:t xml:space="preserve">GENOMICS HEALTH WORKFORCE: </w:t>
            </w:r>
          </w:p>
          <w:p w14:paraId="766FB9D0" w14:textId="7362B7F4" w:rsidR="00B56018" w:rsidRPr="00B456CF" w:rsidRDefault="00B56018" w:rsidP="00F25F36">
            <w:pPr>
              <w:autoSpaceDE w:val="0"/>
              <w:autoSpaceDN w:val="0"/>
              <w:adjustRightInd w:val="0"/>
              <w:spacing w:before="120" w:after="120"/>
              <w:cnfStyle w:val="100000000000" w:firstRow="1" w:lastRow="0" w:firstColumn="0" w:lastColumn="0" w:oddVBand="0" w:evenVBand="0" w:oddHBand="0" w:evenHBand="0" w:firstRowFirstColumn="0" w:firstRowLastColumn="0" w:lastRowFirstColumn="0" w:lastRowLastColumn="0"/>
              <w:rPr>
                <w:rFonts w:cstheme="minorHAnsi"/>
                <w:color w:val="56575A"/>
                <w:lang w:val="en-AU"/>
              </w:rPr>
            </w:pPr>
            <w:r w:rsidRPr="00F25F36">
              <w:rPr>
                <w:rFonts w:cstheme="minorHAnsi"/>
                <w:color w:val="auto"/>
                <w:lang w:val="en-AU"/>
              </w:rPr>
              <w:t xml:space="preserve">To ensure Aboriginal and Torres Strait Islander people have equitable access to services, resources, funding, and opportunities to participate as members of a culturally safe genomics workforce; and to have </w:t>
            </w:r>
            <w:r w:rsidR="00690BF9">
              <w:rPr>
                <w:rFonts w:cstheme="minorHAnsi"/>
                <w:color w:val="auto"/>
                <w:lang w:val="en-AU"/>
              </w:rPr>
              <w:t xml:space="preserve">individual and community </w:t>
            </w:r>
            <w:r w:rsidRPr="00F25F36">
              <w:rPr>
                <w:rFonts w:cstheme="minorHAnsi"/>
                <w:color w:val="auto"/>
                <w:lang w:val="en-AU"/>
              </w:rPr>
              <w:t>leadership roles in every clinical and research field contributing to genomics health, from clinical genomics, service design, data sciences, analytics, and to research leadership.</w:t>
            </w:r>
          </w:p>
        </w:tc>
      </w:tr>
    </w:tbl>
    <w:p w14:paraId="065E4E21" w14:textId="77777777" w:rsidR="005258DE" w:rsidRPr="00B456CF" w:rsidRDefault="005258DE" w:rsidP="008E258D">
      <w:pPr>
        <w:spacing w:after="0" w:line="240" w:lineRule="auto"/>
        <w:rPr>
          <w:rFonts w:cstheme="minorHAnsi"/>
        </w:rPr>
      </w:pPr>
    </w:p>
    <w:p w14:paraId="6AE7E91B" w14:textId="03EAD13F" w:rsidR="00B56018" w:rsidRPr="00B456CF" w:rsidRDefault="00B56018" w:rsidP="00617114">
      <w:pPr>
        <w:spacing w:after="120" w:line="240" w:lineRule="auto"/>
        <w:jc w:val="both"/>
        <w:rPr>
          <w:rFonts w:cstheme="minorHAnsi"/>
        </w:rPr>
      </w:pPr>
      <w:r w:rsidRPr="00B456CF">
        <w:rPr>
          <w:rFonts w:cstheme="minorHAnsi"/>
        </w:rPr>
        <w:t xml:space="preserve">Aboriginal and Torres Strait Islander people have a unique contribution to make to the Australian health workforce, and yet are significantly under-represented. Currently, there are no Aboriginal and Torres Strait Islander clinical geneticists or genetic counsellors in Australia. Furthermore, there are very few examples of roles or opportunities for Aboriginal and Torre Strait Islander people </w:t>
      </w:r>
      <w:r w:rsidR="00ED568C" w:rsidRPr="00B456CF">
        <w:rPr>
          <w:rFonts w:cstheme="minorHAnsi"/>
        </w:rPr>
        <w:t xml:space="preserve">to </w:t>
      </w:r>
      <w:r w:rsidRPr="00B456CF">
        <w:rPr>
          <w:rFonts w:cstheme="minorHAnsi"/>
        </w:rPr>
        <w:t>upskill</w:t>
      </w:r>
      <w:r w:rsidR="00ED568C" w:rsidRPr="00B456CF">
        <w:rPr>
          <w:rFonts w:cstheme="minorHAnsi"/>
        </w:rPr>
        <w:t xml:space="preserve"> with</w:t>
      </w:r>
      <w:r w:rsidRPr="00B456CF">
        <w:rPr>
          <w:rFonts w:cstheme="minorHAnsi"/>
        </w:rPr>
        <w:t xml:space="preserve">in the </w:t>
      </w:r>
      <w:r w:rsidR="00A77A1A">
        <w:rPr>
          <w:rFonts w:cstheme="minorHAnsi"/>
        </w:rPr>
        <w:t xml:space="preserve">primary or </w:t>
      </w:r>
      <w:r w:rsidRPr="00B456CF">
        <w:rPr>
          <w:rFonts w:cstheme="minorHAnsi"/>
        </w:rPr>
        <w:t xml:space="preserve">allied health sector, or other </w:t>
      </w:r>
      <w:r w:rsidR="005A5C9A">
        <w:rPr>
          <w:rFonts w:cstheme="minorHAnsi"/>
        </w:rPr>
        <w:t xml:space="preserve">genomics related </w:t>
      </w:r>
      <w:r w:rsidRPr="00B456CF">
        <w:rPr>
          <w:rFonts w:cstheme="minorHAnsi"/>
        </w:rPr>
        <w:t>fields where cultural</w:t>
      </w:r>
      <w:r w:rsidR="000E027D" w:rsidRPr="00B456CF">
        <w:rPr>
          <w:rFonts w:cstheme="minorHAnsi"/>
        </w:rPr>
        <w:t>ly</w:t>
      </w:r>
      <w:r w:rsidRPr="00B456CF">
        <w:rPr>
          <w:rFonts w:cstheme="minorHAnsi"/>
        </w:rPr>
        <w:t xml:space="preserve"> safe and responsive processes are needed. </w:t>
      </w:r>
    </w:p>
    <w:p w14:paraId="5DE69596" w14:textId="20771B1D" w:rsidR="00FD2636" w:rsidRPr="00B456CF" w:rsidRDefault="000E027D" w:rsidP="00617114">
      <w:pPr>
        <w:spacing w:after="120" w:line="240" w:lineRule="auto"/>
        <w:jc w:val="both"/>
        <w:rPr>
          <w:rFonts w:cstheme="minorHAnsi"/>
        </w:rPr>
      </w:pPr>
      <w:r w:rsidRPr="00B456CF">
        <w:rPr>
          <w:rFonts w:cstheme="minorHAnsi"/>
        </w:rPr>
        <w:t xml:space="preserve">Workforce disparity contributes to reduced access to culturally safe and responsive health services for Aboriginal and Torres Strait Islander people. </w:t>
      </w:r>
      <w:r w:rsidR="00B56018" w:rsidRPr="00B456CF">
        <w:rPr>
          <w:rFonts w:cstheme="minorHAnsi"/>
        </w:rPr>
        <w:t>Ensuring workforce equity in health genomics requires investment in the Aboriginal and Torres Strait Islander health workforce</w:t>
      </w:r>
      <w:r w:rsidR="00BB4FE6">
        <w:rPr>
          <w:rFonts w:cstheme="minorHAnsi"/>
        </w:rPr>
        <w:t xml:space="preserve">, </w:t>
      </w:r>
      <w:r w:rsidR="00D13D0F" w:rsidRPr="00D13D0F">
        <w:t xml:space="preserve">including co-creating </w:t>
      </w:r>
      <w:r w:rsidR="00D13D0F" w:rsidRPr="00D13D0F">
        <w:lastRenderedPageBreak/>
        <w:t xml:space="preserve">pathways from school to university, through to meaningful </w:t>
      </w:r>
      <w:r w:rsidR="00D13D0F" w:rsidRPr="00BB4FE6">
        <w:t>employment</w:t>
      </w:r>
      <w:r w:rsidR="00BB4FE6" w:rsidRPr="00BB4FE6">
        <w:t xml:space="preserve">. </w:t>
      </w:r>
      <w:r w:rsidR="00BB4FE6" w:rsidRPr="00BB4FE6">
        <w:rPr>
          <w:rFonts w:cstheme="minorHAnsi"/>
        </w:rPr>
        <w:t xml:space="preserve">If </w:t>
      </w:r>
      <w:r w:rsidR="00BB4FE6">
        <w:rPr>
          <w:rFonts w:cstheme="minorHAnsi"/>
        </w:rPr>
        <w:t>o</w:t>
      </w:r>
      <w:r w:rsidR="00B56018" w:rsidRPr="00B456CF">
        <w:rPr>
          <w:rFonts w:cstheme="minorHAnsi"/>
        </w:rPr>
        <w:t xml:space="preserve">pportunities for cultural inclusivity do not </w:t>
      </w:r>
      <w:r w:rsidR="00ED568C" w:rsidRPr="00B456CF">
        <w:rPr>
          <w:rFonts w:cstheme="minorHAnsi"/>
        </w:rPr>
        <w:t>improve</w:t>
      </w:r>
      <w:r w:rsidR="00FD2636" w:rsidRPr="00B456CF">
        <w:rPr>
          <w:rFonts w:cstheme="minorHAnsi"/>
        </w:rPr>
        <w:t>, current</w:t>
      </w:r>
      <w:r w:rsidR="00B56018" w:rsidRPr="00B456CF">
        <w:rPr>
          <w:rFonts w:cstheme="minorHAnsi"/>
        </w:rPr>
        <w:t xml:space="preserve"> disparit</w:t>
      </w:r>
      <w:r w:rsidR="00FD2636" w:rsidRPr="00B456CF">
        <w:rPr>
          <w:rFonts w:cstheme="minorHAnsi"/>
        </w:rPr>
        <w:t xml:space="preserve">ies </w:t>
      </w:r>
      <w:r w:rsidR="00AC18D0" w:rsidRPr="00B456CF">
        <w:rPr>
          <w:rFonts w:cstheme="minorHAnsi"/>
        </w:rPr>
        <w:t xml:space="preserve">in access </w:t>
      </w:r>
      <w:r w:rsidR="00602B00" w:rsidRPr="00B456CF">
        <w:rPr>
          <w:rFonts w:cstheme="minorHAnsi"/>
        </w:rPr>
        <w:t xml:space="preserve">to </w:t>
      </w:r>
      <w:r w:rsidR="00AC18D0" w:rsidRPr="00B456CF">
        <w:rPr>
          <w:rFonts w:cstheme="minorHAnsi"/>
        </w:rPr>
        <w:t xml:space="preserve">the workforce </w:t>
      </w:r>
      <w:r w:rsidR="00FD2636" w:rsidRPr="00B456CF">
        <w:rPr>
          <w:rFonts w:cstheme="minorHAnsi"/>
        </w:rPr>
        <w:t xml:space="preserve">are likely to </w:t>
      </w:r>
      <w:r w:rsidR="007509DD" w:rsidRPr="00B456CF">
        <w:rPr>
          <w:rFonts w:cstheme="minorHAnsi"/>
        </w:rPr>
        <w:t>b</w:t>
      </w:r>
      <w:r w:rsidR="004944FB" w:rsidRPr="00B456CF">
        <w:rPr>
          <w:rFonts w:cstheme="minorHAnsi"/>
        </w:rPr>
        <w:t xml:space="preserve">e further </w:t>
      </w:r>
      <w:r w:rsidR="00FD2636" w:rsidRPr="00B456CF">
        <w:rPr>
          <w:rFonts w:cstheme="minorHAnsi"/>
        </w:rPr>
        <w:t>exacerbate</w:t>
      </w:r>
      <w:r w:rsidR="004944FB" w:rsidRPr="00B456CF">
        <w:rPr>
          <w:rFonts w:cstheme="minorHAnsi"/>
        </w:rPr>
        <w:t>d</w:t>
      </w:r>
      <w:r w:rsidR="00AC18D0" w:rsidRPr="00B456CF">
        <w:rPr>
          <w:rFonts w:cstheme="minorHAnsi"/>
        </w:rPr>
        <w:t xml:space="preserve">. It also presents a </w:t>
      </w:r>
      <w:r w:rsidR="00FD2636" w:rsidRPr="00B456CF">
        <w:rPr>
          <w:rFonts w:cstheme="minorHAnsi"/>
        </w:rPr>
        <w:t>miss</w:t>
      </w:r>
      <w:r w:rsidR="00AC18D0" w:rsidRPr="00B456CF">
        <w:rPr>
          <w:rFonts w:cstheme="minorHAnsi"/>
        </w:rPr>
        <w:t>ed</w:t>
      </w:r>
      <w:r w:rsidR="00FD2636" w:rsidRPr="00B456CF">
        <w:rPr>
          <w:rFonts w:cstheme="minorHAnsi"/>
        </w:rPr>
        <w:t xml:space="preserve"> opportunit</w:t>
      </w:r>
      <w:r w:rsidR="00AC18D0" w:rsidRPr="00B456CF">
        <w:rPr>
          <w:rFonts w:cstheme="minorHAnsi"/>
        </w:rPr>
        <w:t>y</w:t>
      </w:r>
      <w:r w:rsidR="00FD2636" w:rsidRPr="00B456CF">
        <w:rPr>
          <w:rFonts w:cstheme="minorHAnsi"/>
        </w:rPr>
        <w:t xml:space="preserve"> to </w:t>
      </w:r>
      <w:r w:rsidR="00AC18D0" w:rsidRPr="00B456CF">
        <w:rPr>
          <w:rFonts w:cstheme="minorHAnsi"/>
        </w:rPr>
        <w:t>embrace</w:t>
      </w:r>
      <w:r w:rsidR="00FD2636" w:rsidRPr="00B456CF">
        <w:rPr>
          <w:rFonts w:cstheme="minorHAnsi"/>
        </w:rPr>
        <w:t xml:space="preserve"> valuable knowledge and experience</w:t>
      </w:r>
      <w:r w:rsidRPr="00B456CF">
        <w:rPr>
          <w:rFonts w:cstheme="minorHAnsi"/>
        </w:rPr>
        <w:t>s</w:t>
      </w:r>
      <w:r w:rsidR="00FD2636" w:rsidRPr="00B456CF">
        <w:rPr>
          <w:rFonts w:cstheme="minorHAnsi"/>
        </w:rPr>
        <w:t xml:space="preserve"> that </w:t>
      </w:r>
      <w:r w:rsidR="00602B00" w:rsidRPr="00B456CF">
        <w:rPr>
          <w:rFonts w:cstheme="minorHAnsi"/>
        </w:rPr>
        <w:t>could</w:t>
      </w:r>
      <w:r w:rsidR="00AC18D0" w:rsidRPr="00B456CF">
        <w:rPr>
          <w:rFonts w:cstheme="minorHAnsi"/>
        </w:rPr>
        <w:t xml:space="preserve"> facilitate </w:t>
      </w:r>
      <w:r w:rsidR="00602B00" w:rsidRPr="00B456CF">
        <w:rPr>
          <w:rFonts w:cstheme="minorHAnsi"/>
        </w:rPr>
        <w:t xml:space="preserve">effective </w:t>
      </w:r>
      <w:r w:rsidR="00FD2636" w:rsidRPr="00B456CF">
        <w:rPr>
          <w:rFonts w:cstheme="minorHAnsi"/>
        </w:rPr>
        <w:t xml:space="preserve">partnerships with Aboriginal and Torres Strait Islander people </w:t>
      </w:r>
      <w:r w:rsidR="00AC18D0" w:rsidRPr="00B456CF">
        <w:rPr>
          <w:rFonts w:cstheme="minorHAnsi"/>
        </w:rPr>
        <w:t xml:space="preserve">to </w:t>
      </w:r>
      <w:r w:rsidR="00FD2636" w:rsidRPr="00B456CF">
        <w:rPr>
          <w:rFonts w:cstheme="minorHAnsi"/>
        </w:rPr>
        <w:t xml:space="preserve">develop </w:t>
      </w:r>
      <w:r w:rsidR="00AC18D0" w:rsidRPr="00B456CF">
        <w:rPr>
          <w:rFonts w:cstheme="minorHAnsi"/>
        </w:rPr>
        <w:t>culturally appropriate</w:t>
      </w:r>
      <w:r w:rsidR="00ED568C" w:rsidRPr="00B456CF">
        <w:rPr>
          <w:rFonts w:cstheme="minorHAnsi"/>
        </w:rPr>
        <w:t xml:space="preserve"> genomics</w:t>
      </w:r>
      <w:r w:rsidR="00AC18D0" w:rsidRPr="00B456CF">
        <w:rPr>
          <w:rFonts w:cstheme="minorHAnsi"/>
        </w:rPr>
        <w:t xml:space="preserve"> </w:t>
      </w:r>
      <w:r w:rsidR="00FD2636" w:rsidRPr="00B456CF">
        <w:rPr>
          <w:rFonts w:cstheme="minorHAnsi"/>
        </w:rPr>
        <w:t>health services and research</w:t>
      </w:r>
      <w:r w:rsidR="00ED568C" w:rsidRPr="00B456CF">
        <w:rPr>
          <w:rFonts w:cstheme="minorHAnsi"/>
        </w:rPr>
        <w:t xml:space="preserve"> studies</w:t>
      </w:r>
      <w:r w:rsidR="00602B00" w:rsidRPr="00B456CF">
        <w:rPr>
          <w:rFonts w:cstheme="minorHAnsi"/>
        </w:rPr>
        <w:t>, which</w:t>
      </w:r>
      <w:r w:rsidR="00FD2636" w:rsidRPr="00B456CF">
        <w:rPr>
          <w:rFonts w:cstheme="minorHAnsi"/>
        </w:rPr>
        <w:t xml:space="preserve"> benefit communit</w:t>
      </w:r>
      <w:r w:rsidRPr="00B456CF">
        <w:rPr>
          <w:rFonts w:cstheme="minorHAnsi"/>
        </w:rPr>
        <w:t>ies</w:t>
      </w:r>
      <w:r w:rsidR="00FD2636" w:rsidRPr="00B456CF">
        <w:rPr>
          <w:rFonts w:cstheme="minorHAnsi"/>
        </w:rPr>
        <w:t xml:space="preserve"> and </w:t>
      </w:r>
      <w:r w:rsidR="005A5C9A">
        <w:rPr>
          <w:rFonts w:cstheme="minorHAnsi"/>
        </w:rPr>
        <w:t>families</w:t>
      </w:r>
      <w:r w:rsidR="00FD2636" w:rsidRPr="00B456CF">
        <w:rPr>
          <w:rFonts w:cstheme="minorHAnsi"/>
        </w:rPr>
        <w:t xml:space="preserve">. </w:t>
      </w:r>
    </w:p>
    <w:p w14:paraId="7205812B" w14:textId="6F28A055" w:rsidR="00602B00" w:rsidRPr="00B456CF" w:rsidRDefault="00602B00" w:rsidP="00617114">
      <w:pPr>
        <w:spacing w:after="120" w:line="240" w:lineRule="auto"/>
        <w:jc w:val="both"/>
        <w:rPr>
          <w:rFonts w:cstheme="minorHAnsi"/>
          <w:color w:val="C00000"/>
        </w:rPr>
      </w:pPr>
      <w:r w:rsidRPr="00B456CF">
        <w:rPr>
          <w:rFonts w:cstheme="minorHAnsi"/>
        </w:rPr>
        <w:t xml:space="preserve">The spectrum of </w:t>
      </w:r>
      <w:r w:rsidR="005B0F96" w:rsidRPr="00B456CF">
        <w:rPr>
          <w:rFonts w:cstheme="minorHAnsi"/>
        </w:rPr>
        <w:t xml:space="preserve">the </w:t>
      </w:r>
      <w:r w:rsidRPr="00B456CF">
        <w:rPr>
          <w:rFonts w:cstheme="minorHAnsi"/>
        </w:rPr>
        <w:t xml:space="preserve">genomics workforce encompasses </w:t>
      </w:r>
      <w:r w:rsidR="005B0F96" w:rsidRPr="00B456CF">
        <w:rPr>
          <w:rFonts w:cstheme="minorHAnsi"/>
        </w:rPr>
        <w:t>a wide</w:t>
      </w:r>
      <w:r w:rsidRPr="00B456CF">
        <w:rPr>
          <w:rFonts w:cstheme="minorHAnsi"/>
        </w:rPr>
        <w:t xml:space="preserve"> range of clinical diagnostic</w:t>
      </w:r>
      <w:r w:rsidR="00ED568C" w:rsidRPr="00B456CF">
        <w:rPr>
          <w:rFonts w:cstheme="minorHAnsi"/>
        </w:rPr>
        <w:t>, prevention</w:t>
      </w:r>
      <w:r w:rsidRPr="00B456CF">
        <w:rPr>
          <w:rFonts w:cstheme="minorHAnsi"/>
        </w:rPr>
        <w:t xml:space="preserve"> and treatment services and </w:t>
      </w:r>
      <w:r w:rsidR="00ED568C" w:rsidRPr="00B456CF">
        <w:rPr>
          <w:rFonts w:cstheme="minorHAnsi"/>
        </w:rPr>
        <w:t xml:space="preserve">all facets of </w:t>
      </w:r>
      <w:r w:rsidRPr="00B456CF">
        <w:rPr>
          <w:rFonts w:cstheme="minorHAnsi"/>
        </w:rPr>
        <w:t xml:space="preserve">genomics research. </w:t>
      </w:r>
      <w:r w:rsidR="005B0F96" w:rsidRPr="00B456CF">
        <w:rPr>
          <w:rFonts w:cstheme="minorHAnsi"/>
        </w:rPr>
        <w:t xml:space="preserve">However, </w:t>
      </w:r>
      <w:r w:rsidR="00B56018" w:rsidRPr="00B456CF">
        <w:rPr>
          <w:rFonts w:cstheme="minorHAnsi"/>
        </w:rPr>
        <w:t>Aboriginal and Torres Strait Islander</w:t>
      </w:r>
      <w:r w:rsidR="00B838AC">
        <w:rPr>
          <w:rFonts w:cstheme="minorHAnsi"/>
        </w:rPr>
        <w:t xml:space="preserve"> people</w:t>
      </w:r>
      <w:r w:rsidR="00B56018" w:rsidRPr="00B456CF">
        <w:rPr>
          <w:rFonts w:cstheme="minorHAnsi"/>
        </w:rPr>
        <w:t xml:space="preserve"> are unlikely to work in areas that are unknown to them, and </w:t>
      </w:r>
      <w:r w:rsidR="00FD2636" w:rsidRPr="00B456CF">
        <w:rPr>
          <w:rFonts w:cstheme="minorHAnsi"/>
        </w:rPr>
        <w:t>current genomic</w:t>
      </w:r>
      <w:r w:rsidR="00B56018" w:rsidRPr="00B456CF">
        <w:rPr>
          <w:rFonts w:cstheme="minorHAnsi"/>
        </w:rPr>
        <w:t xml:space="preserve"> protocols may not be considered culturally safe. Investment in developing culturally responsive approaches to informing individuals, families and communities of what health genomics is, and what it entails, is an essential prerequisite for Aboriginal and Torres Strait Islander people to reconcile </w:t>
      </w:r>
      <w:r w:rsidR="000E027D" w:rsidRPr="00B456CF">
        <w:rPr>
          <w:rFonts w:cstheme="minorHAnsi"/>
        </w:rPr>
        <w:t xml:space="preserve">such </w:t>
      </w:r>
      <w:r w:rsidR="00B56018" w:rsidRPr="00B456CF">
        <w:rPr>
          <w:rFonts w:cstheme="minorHAnsi"/>
        </w:rPr>
        <w:t xml:space="preserve">information with cultural concepts and balance the potential </w:t>
      </w:r>
      <w:r w:rsidR="000E027D" w:rsidRPr="00B456CF">
        <w:rPr>
          <w:rFonts w:cstheme="minorHAnsi"/>
        </w:rPr>
        <w:t xml:space="preserve">risks and </w:t>
      </w:r>
      <w:r w:rsidR="00B56018" w:rsidRPr="00B456CF">
        <w:rPr>
          <w:rFonts w:cstheme="minorHAnsi"/>
        </w:rPr>
        <w:t xml:space="preserve">benefits. </w:t>
      </w:r>
    </w:p>
    <w:p w14:paraId="58393B1E" w14:textId="66F1DDAA" w:rsidR="00B56018" w:rsidRPr="00B456CF" w:rsidRDefault="005B0F96" w:rsidP="00617114">
      <w:pPr>
        <w:jc w:val="both"/>
        <w:rPr>
          <w:rFonts w:eastAsia="Arial" w:cstheme="minorHAnsi"/>
        </w:rPr>
      </w:pPr>
      <w:r w:rsidRPr="00B456CF">
        <w:rPr>
          <w:rFonts w:cstheme="minorHAnsi"/>
        </w:rPr>
        <w:t>Furthermore</w:t>
      </w:r>
      <w:r w:rsidR="00B56018" w:rsidRPr="00B456CF">
        <w:rPr>
          <w:rFonts w:cstheme="minorHAnsi"/>
        </w:rPr>
        <w:t>, increasing cultural competency is a significant workforce priority</w:t>
      </w:r>
      <w:r w:rsidR="00AC18D0" w:rsidRPr="00B456CF">
        <w:rPr>
          <w:rFonts w:cstheme="minorHAnsi"/>
        </w:rPr>
        <w:t xml:space="preserve"> to enable</w:t>
      </w:r>
      <w:r w:rsidR="00B56018" w:rsidRPr="00B456CF">
        <w:rPr>
          <w:rFonts w:cstheme="minorHAnsi"/>
        </w:rPr>
        <w:t xml:space="preserve"> culturally responsive approaches </w:t>
      </w:r>
      <w:r w:rsidR="00ED568C" w:rsidRPr="00B456CF">
        <w:rPr>
          <w:rFonts w:cstheme="minorHAnsi"/>
        </w:rPr>
        <w:t>to</w:t>
      </w:r>
      <w:r w:rsidR="00B56018" w:rsidRPr="00B456CF">
        <w:rPr>
          <w:rFonts w:cstheme="minorHAnsi"/>
        </w:rPr>
        <w:t xml:space="preserve"> improving Indigenous engagement </w:t>
      </w:r>
      <w:r w:rsidR="00AC18D0" w:rsidRPr="00B456CF">
        <w:rPr>
          <w:rFonts w:cstheme="minorHAnsi"/>
        </w:rPr>
        <w:t>across policy, research</w:t>
      </w:r>
      <w:r w:rsidR="00914E5C" w:rsidRPr="00B456CF">
        <w:rPr>
          <w:rFonts w:cstheme="minorHAnsi"/>
        </w:rPr>
        <w:t>,</w:t>
      </w:r>
      <w:r w:rsidR="00AC18D0" w:rsidRPr="00B456CF">
        <w:rPr>
          <w:rFonts w:cstheme="minorHAnsi"/>
        </w:rPr>
        <w:t xml:space="preserve"> and clinical service design, as well as establishing priorities</w:t>
      </w:r>
      <w:r w:rsidR="00B56018" w:rsidRPr="00B456CF">
        <w:rPr>
          <w:rFonts w:cstheme="minorHAnsi"/>
        </w:rPr>
        <w:t>. Cultural</w:t>
      </w:r>
      <w:r w:rsidR="00AC18D0" w:rsidRPr="00B456CF">
        <w:rPr>
          <w:rFonts w:cstheme="minorHAnsi"/>
        </w:rPr>
        <w:t>ly</w:t>
      </w:r>
      <w:r w:rsidR="00B56018" w:rsidRPr="00B456CF">
        <w:rPr>
          <w:rFonts w:cstheme="minorHAnsi"/>
        </w:rPr>
        <w:t xml:space="preserve"> competen</w:t>
      </w:r>
      <w:r w:rsidR="00AC18D0" w:rsidRPr="00B456CF">
        <w:rPr>
          <w:rFonts w:cstheme="minorHAnsi"/>
        </w:rPr>
        <w:t>t</w:t>
      </w:r>
      <w:r w:rsidR="00B56018" w:rsidRPr="00B456CF">
        <w:rPr>
          <w:rFonts w:cstheme="minorHAnsi"/>
        </w:rPr>
        <w:t xml:space="preserve"> systems </w:t>
      </w:r>
      <w:r w:rsidR="00AC18D0" w:rsidRPr="00B456CF">
        <w:rPr>
          <w:rFonts w:cstheme="minorHAnsi"/>
        </w:rPr>
        <w:t xml:space="preserve">need to </w:t>
      </w:r>
      <w:r w:rsidR="00B56018" w:rsidRPr="00B456CF">
        <w:rPr>
          <w:rFonts w:cstheme="minorHAnsi"/>
        </w:rPr>
        <w:t xml:space="preserve">acknowledge </w:t>
      </w:r>
      <w:r w:rsidR="00B56018" w:rsidRPr="00B456CF">
        <w:rPr>
          <w:rFonts w:cstheme="minorHAnsi"/>
          <w:iCs/>
        </w:rPr>
        <w:t>the importance of culture</w:t>
      </w:r>
      <w:r w:rsidR="00AC18D0" w:rsidRPr="00B456CF">
        <w:rPr>
          <w:rFonts w:cstheme="minorHAnsi"/>
          <w:iCs/>
        </w:rPr>
        <w:t xml:space="preserve"> at all levels, as well as recognise </w:t>
      </w:r>
      <w:r w:rsidR="00B56018" w:rsidRPr="00B456CF">
        <w:rPr>
          <w:rFonts w:cstheme="minorHAnsi"/>
          <w:iCs/>
        </w:rPr>
        <w:t xml:space="preserve">cultural </w:t>
      </w:r>
      <w:r w:rsidR="00AC18D0" w:rsidRPr="00B456CF">
        <w:rPr>
          <w:rFonts w:cstheme="minorHAnsi"/>
          <w:iCs/>
        </w:rPr>
        <w:t xml:space="preserve">differences </w:t>
      </w:r>
      <w:r w:rsidR="00B56018" w:rsidRPr="00B456CF">
        <w:rPr>
          <w:rFonts w:cstheme="minorHAnsi"/>
          <w:iCs/>
        </w:rPr>
        <w:t xml:space="preserve">and </w:t>
      </w:r>
      <w:r w:rsidR="00AC18D0" w:rsidRPr="00B456CF">
        <w:rPr>
          <w:rFonts w:cstheme="minorHAnsi"/>
          <w:iCs/>
        </w:rPr>
        <w:t xml:space="preserve">the need to </w:t>
      </w:r>
      <w:r w:rsidR="00B56018" w:rsidRPr="00B456CF">
        <w:rPr>
          <w:rFonts w:cstheme="minorHAnsi"/>
          <w:iCs/>
        </w:rPr>
        <w:t>adapt services to meet culturally unique needs</w:t>
      </w:r>
      <w:r w:rsidR="00B56018" w:rsidRPr="00B456CF">
        <w:rPr>
          <w:rFonts w:cstheme="minorHAnsi"/>
        </w:rPr>
        <w:t xml:space="preserve">. </w:t>
      </w:r>
      <w:bookmarkStart w:id="1" w:name="_Toc68776859"/>
      <w:bookmarkStart w:id="2" w:name="_Toc68776860"/>
      <w:bookmarkStart w:id="3" w:name="_Toc68776861"/>
      <w:bookmarkStart w:id="4" w:name="_Toc68776862"/>
      <w:bookmarkStart w:id="5" w:name="_Toc68776863"/>
      <w:bookmarkStart w:id="6" w:name="_Toc68776864"/>
      <w:bookmarkStart w:id="7" w:name="_Toc68776865"/>
      <w:bookmarkStart w:id="8" w:name="_Toc68776866"/>
      <w:bookmarkStart w:id="9" w:name="_Toc68776867"/>
      <w:bookmarkStart w:id="10" w:name="_Toc68776868"/>
      <w:bookmarkStart w:id="11" w:name="_Toc68776869"/>
      <w:bookmarkStart w:id="12" w:name="_Toc68776870"/>
      <w:bookmarkStart w:id="13" w:name="_Toc68776871"/>
      <w:bookmarkEnd w:id="1"/>
      <w:bookmarkEnd w:id="2"/>
      <w:bookmarkEnd w:id="3"/>
      <w:bookmarkEnd w:id="4"/>
      <w:bookmarkEnd w:id="5"/>
      <w:bookmarkEnd w:id="6"/>
      <w:bookmarkEnd w:id="7"/>
      <w:bookmarkEnd w:id="8"/>
      <w:bookmarkEnd w:id="9"/>
      <w:bookmarkEnd w:id="10"/>
      <w:bookmarkEnd w:id="11"/>
      <w:bookmarkEnd w:id="12"/>
      <w:bookmarkEnd w:id="13"/>
    </w:p>
    <w:p w14:paraId="269DC857" w14:textId="77777777" w:rsidR="00B56018" w:rsidRPr="00AC18D0" w:rsidRDefault="00B56018" w:rsidP="0029048C"/>
    <w:p w14:paraId="0C4FC1F9" w14:textId="77777777" w:rsidR="00C73078" w:rsidRPr="0083733C" w:rsidRDefault="00C73078" w:rsidP="00617114">
      <w:pPr>
        <w:jc w:val="both"/>
      </w:pPr>
    </w:p>
    <w:sectPr w:rsidR="00C73078" w:rsidRPr="0083733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F0B61" w14:textId="77777777" w:rsidR="004E7441" w:rsidRDefault="004E7441" w:rsidP="0028066A">
      <w:pPr>
        <w:spacing w:after="0" w:line="240" w:lineRule="auto"/>
      </w:pPr>
      <w:r>
        <w:separator/>
      </w:r>
    </w:p>
  </w:endnote>
  <w:endnote w:type="continuationSeparator" w:id="0">
    <w:p w14:paraId="4FFF3D31" w14:textId="77777777" w:rsidR="004E7441" w:rsidRDefault="004E7441" w:rsidP="00280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2CB79" w14:textId="77777777" w:rsidR="00F25F36" w:rsidRDefault="00F25F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1442213"/>
      <w:docPartObj>
        <w:docPartGallery w:val="Page Numbers (Bottom of Page)"/>
        <w:docPartUnique/>
      </w:docPartObj>
    </w:sdtPr>
    <w:sdtEndPr>
      <w:rPr>
        <w:noProof/>
      </w:rPr>
    </w:sdtEndPr>
    <w:sdtContent>
      <w:p w14:paraId="3755C9ED" w14:textId="21292E0C" w:rsidR="004A4F9D" w:rsidRDefault="004A4F9D">
        <w:pPr>
          <w:pStyle w:val="Footer"/>
          <w:jc w:val="right"/>
        </w:pPr>
        <w:r>
          <w:fldChar w:fldCharType="begin"/>
        </w:r>
        <w:r>
          <w:instrText xml:space="preserve"> PAGE   \* MERGEFORMAT </w:instrText>
        </w:r>
        <w:r>
          <w:fldChar w:fldCharType="separate"/>
        </w:r>
        <w:r w:rsidR="005973DF">
          <w:rPr>
            <w:noProof/>
          </w:rPr>
          <w:t>7</w:t>
        </w:r>
        <w:r>
          <w:rPr>
            <w:noProof/>
          </w:rPr>
          <w:fldChar w:fldCharType="end"/>
        </w:r>
      </w:p>
    </w:sdtContent>
  </w:sdt>
  <w:p w14:paraId="71304D21" w14:textId="77777777" w:rsidR="004A4F9D" w:rsidRDefault="004A4F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05F8A" w14:textId="77777777" w:rsidR="00F25F36" w:rsidRDefault="00F25F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6BF4A" w14:textId="77777777" w:rsidR="004E7441" w:rsidRDefault="004E7441" w:rsidP="0028066A">
      <w:pPr>
        <w:spacing w:after="0" w:line="240" w:lineRule="auto"/>
      </w:pPr>
      <w:r>
        <w:separator/>
      </w:r>
    </w:p>
  </w:footnote>
  <w:footnote w:type="continuationSeparator" w:id="0">
    <w:p w14:paraId="5DD1EBD1" w14:textId="77777777" w:rsidR="004E7441" w:rsidRDefault="004E7441" w:rsidP="0028066A">
      <w:pPr>
        <w:spacing w:after="0" w:line="240" w:lineRule="auto"/>
      </w:pPr>
      <w:r>
        <w:continuationSeparator/>
      </w:r>
    </w:p>
  </w:footnote>
  <w:footnote w:id="1">
    <w:p w14:paraId="657E5F27" w14:textId="77777777" w:rsidR="0028066A" w:rsidRPr="00B456CF" w:rsidRDefault="0028066A" w:rsidP="0028066A">
      <w:pPr>
        <w:pStyle w:val="FootnoteText"/>
        <w:spacing w:after="0"/>
        <w:rPr>
          <w:rFonts w:asciiTheme="minorHAnsi" w:hAnsiTheme="minorHAnsi" w:cstheme="minorHAnsi"/>
          <w:sz w:val="18"/>
          <w:szCs w:val="18"/>
          <w:lang w:val="en-US"/>
        </w:rPr>
      </w:pPr>
      <w:r w:rsidRPr="00B456CF">
        <w:rPr>
          <w:rStyle w:val="FootnoteReference"/>
          <w:rFonts w:asciiTheme="minorHAnsi" w:hAnsiTheme="minorHAnsi" w:cstheme="minorHAnsi"/>
          <w:color w:val="000000" w:themeColor="text1"/>
          <w:sz w:val="18"/>
          <w:szCs w:val="18"/>
        </w:rPr>
        <w:footnoteRef/>
      </w:r>
      <w:r w:rsidRPr="00B456CF">
        <w:rPr>
          <w:rFonts w:asciiTheme="minorHAnsi" w:hAnsiTheme="minorHAnsi" w:cstheme="minorHAnsi"/>
          <w:color w:val="000000" w:themeColor="text1"/>
          <w:sz w:val="18"/>
          <w:szCs w:val="18"/>
        </w:rPr>
        <w:t xml:space="preserve"> </w:t>
      </w:r>
      <w:r w:rsidRPr="00B456CF">
        <w:rPr>
          <w:rFonts w:asciiTheme="minorHAnsi" w:hAnsiTheme="minorHAnsi" w:cstheme="minorHAnsi"/>
          <w:color w:val="000000" w:themeColor="text1"/>
          <w:sz w:val="18"/>
          <w:szCs w:val="18"/>
          <w:lang w:val="en-AU"/>
        </w:rPr>
        <w:t>National Health Genomics Policy Framework</w:t>
      </w:r>
      <w:r w:rsidRPr="00B456CF">
        <w:rPr>
          <w:rFonts w:asciiTheme="minorHAnsi" w:hAnsiTheme="minorHAnsi" w:cstheme="minorHAnsi"/>
          <w:color w:val="000000" w:themeColor="text1"/>
          <w:sz w:val="18"/>
          <w:szCs w:val="18"/>
        </w:rPr>
        <w:t xml:space="preserve"> </w:t>
      </w:r>
      <w:hyperlink r:id="rId1" w:history="1">
        <w:r w:rsidRPr="00B456CF">
          <w:rPr>
            <w:rStyle w:val="Hyperlink"/>
            <w:rFonts w:asciiTheme="minorHAnsi" w:hAnsiTheme="minorHAnsi" w:cstheme="minorHAnsi"/>
            <w:sz w:val="18"/>
            <w:szCs w:val="18"/>
          </w:rPr>
          <w:t>https://www1.health.gov.au/internet/main/publishing.nsf/Content/national-health-genomics-policy-framework-2018-2021 Accessed 20/11/2020</w:t>
        </w:r>
      </w:hyperlink>
    </w:p>
  </w:footnote>
  <w:footnote w:id="2">
    <w:p w14:paraId="3C153E26" w14:textId="77777777" w:rsidR="0028066A" w:rsidRPr="00B456CF" w:rsidRDefault="0028066A" w:rsidP="004A1C55">
      <w:pPr>
        <w:pStyle w:val="FootnoteText"/>
        <w:spacing w:after="0"/>
        <w:rPr>
          <w:rFonts w:asciiTheme="minorHAnsi" w:hAnsiTheme="minorHAnsi" w:cstheme="minorHAnsi"/>
          <w:color w:val="C00000"/>
          <w:sz w:val="18"/>
          <w:szCs w:val="18"/>
          <w:lang w:val="en-US"/>
        </w:rPr>
      </w:pPr>
      <w:r w:rsidRPr="00B456CF">
        <w:rPr>
          <w:rStyle w:val="FootnoteReference"/>
          <w:rFonts w:asciiTheme="minorHAnsi" w:hAnsiTheme="minorHAnsi" w:cstheme="minorHAnsi"/>
          <w:sz w:val="18"/>
          <w:szCs w:val="18"/>
        </w:rPr>
        <w:footnoteRef/>
      </w:r>
      <w:r w:rsidRPr="00B456CF">
        <w:rPr>
          <w:rFonts w:asciiTheme="minorHAnsi" w:hAnsiTheme="minorHAnsi" w:cstheme="minorHAnsi"/>
          <w:sz w:val="18"/>
          <w:szCs w:val="18"/>
        </w:rPr>
        <w:t xml:space="preserve"> The term ‘genomics’ is used throughout this document to refer to both the study of single genes (genetics) and the study of an individual’s entire genetic makeup (genome) and how it interacts with environmental or non-genetic factors. </w:t>
      </w:r>
    </w:p>
  </w:footnote>
  <w:footnote w:id="3">
    <w:p w14:paraId="15FE0FA0" w14:textId="77777777" w:rsidR="005937AF" w:rsidRPr="00B456CF" w:rsidRDefault="005937AF" w:rsidP="005937AF">
      <w:pPr>
        <w:pStyle w:val="FootnoteText"/>
        <w:spacing w:after="0"/>
        <w:rPr>
          <w:rFonts w:asciiTheme="minorHAnsi" w:hAnsiTheme="minorHAnsi" w:cstheme="minorHAnsi"/>
          <w:sz w:val="18"/>
          <w:szCs w:val="18"/>
          <w:lang w:val="en-US"/>
        </w:rPr>
      </w:pPr>
      <w:r w:rsidRPr="00B456CF">
        <w:rPr>
          <w:rStyle w:val="FootnoteReference"/>
          <w:rFonts w:asciiTheme="minorHAnsi" w:hAnsiTheme="minorHAnsi" w:cstheme="minorHAnsi"/>
          <w:sz w:val="18"/>
          <w:szCs w:val="18"/>
        </w:rPr>
        <w:footnoteRef/>
      </w:r>
      <w:r w:rsidRPr="00B456CF">
        <w:rPr>
          <w:rFonts w:asciiTheme="minorHAnsi" w:hAnsiTheme="minorHAnsi" w:cstheme="minorHAnsi"/>
          <w:sz w:val="18"/>
          <w:szCs w:val="18"/>
        </w:rPr>
        <w:t xml:space="preserve"> National Agreement on Closing the Gap: Closing the Gap in Partnership July 2020. </w:t>
      </w:r>
      <w:hyperlink r:id="rId2" w:history="1">
        <w:r w:rsidRPr="00B456CF">
          <w:rPr>
            <w:rStyle w:val="Hyperlink"/>
            <w:rFonts w:asciiTheme="minorHAnsi" w:hAnsiTheme="minorHAnsi" w:cstheme="minorHAnsi"/>
            <w:sz w:val="18"/>
            <w:szCs w:val="18"/>
          </w:rPr>
          <w:t xml:space="preserve"> (coalitionofpeaks.org.au)</w:t>
        </w:r>
      </w:hyperlink>
      <w:r w:rsidRPr="00B456CF">
        <w:rPr>
          <w:rFonts w:asciiTheme="minorHAnsi" w:hAnsiTheme="minorHAnsi" w:cstheme="minorHAnsi"/>
          <w:sz w:val="18"/>
          <w:szCs w:val="18"/>
        </w:rPr>
        <w:t xml:space="preserve"> Accessed 18/02/2021</w:t>
      </w:r>
    </w:p>
  </w:footnote>
  <w:footnote w:id="4">
    <w:p w14:paraId="4EAA1C1B" w14:textId="77777777" w:rsidR="000F3D45" w:rsidRPr="00B456CF" w:rsidRDefault="000F3D45" w:rsidP="000F3D45">
      <w:pPr>
        <w:pStyle w:val="References"/>
      </w:pPr>
      <w:r w:rsidRPr="00B456CF">
        <w:rPr>
          <w:rStyle w:val="FootnoteReference"/>
          <w:i w:val="0"/>
        </w:rPr>
        <w:footnoteRef/>
      </w:r>
      <w:r w:rsidRPr="00B456CF">
        <w:rPr>
          <w:rStyle w:val="FootnoteReference"/>
          <w:i w:val="0"/>
        </w:rPr>
        <w:t xml:space="preserve"> </w:t>
      </w:r>
      <w:r w:rsidRPr="00B456CF">
        <w:t xml:space="preserve">United Nations, 2007. United Nations Declaration on the Rights of Indigenous peoples. United Nations, Geneva. </w:t>
      </w:r>
    </w:p>
  </w:footnote>
  <w:footnote w:id="5">
    <w:p w14:paraId="6F050D60" w14:textId="77777777" w:rsidR="00A2123C" w:rsidRPr="00B456CF" w:rsidRDefault="00A2123C" w:rsidP="00A2123C">
      <w:pPr>
        <w:pStyle w:val="FootnoteText"/>
        <w:spacing w:after="0"/>
        <w:rPr>
          <w:rFonts w:asciiTheme="minorHAnsi" w:hAnsiTheme="minorHAnsi" w:cstheme="minorHAnsi"/>
          <w:sz w:val="18"/>
          <w:szCs w:val="18"/>
          <w:lang w:val="en-US"/>
        </w:rPr>
      </w:pPr>
      <w:r w:rsidRPr="00B456CF">
        <w:rPr>
          <w:rStyle w:val="FootnoteReference"/>
          <w:rFonts w:asciiTheme="minorHAnsi" w:hAnsiTheme="minorHAnsi" w:cstheme="minorHAnsi"/>
          <w:sz w:val="18"/>
          <w:szCs w:val="18"/>
        </w:rPr>
        <w:footnoteRef/>
      </w:r>
      <w:r w:rsidRPr="00B456CF">
        <w:rPr>
          <w:rFonts w:asciiTheme="minorHAnsi" w:hAnsiTheme="minorHAnsi" w:cstheme="minorHAnsi"/>
          <w:sz w:val="18"/>
          <w:szCs w:val="18"/>
        </w:rPr>
        <w:t xml:space="preserve"> </w:t>
      </w:r>
      <w:r w:rsidRPr="00B456CF">
        <w:rPr>
          <w:rFonts w:asciiTheme="minorHAnsi" w:hAnsiTheme="minorHAnsi" w:cstheme="minorHAnsi"/>
          <w:sz w:val="18"/>
          <w:szCs w:val="18"/>
          <w:lang w:val="en-US"/>
        </w:rPr>
        <w:t xml:space="preserve">Cultural Respect Framework 2016-2026; For Aboriginal and Torres Strait Islander Health. </w:t>
      </w:r>
      <w:hyperlink r:id="rId3" w:history="1">
        <w:r w:rsidRPr="00B456CF">
          <w:rPr>
            <w:rStyle w:val="Hyperlink"/>
            <w:rFonts w:asciiTheme="minorHAnsi" w:hAnsiTheme="minorHAnsi" w:cstheme="minorHAnsi"/>
            <w:color w:val="auto"/>
            <w:sz w:val="18"/>
            <w:szCs w:val="18"/>
            <w:lang w:val="en-US"/>
          </w:rPr>
          <w:t>https://nacchocommunique.files.wordpress.com/2016/12/cultural_respect_framework_1december2016_1.pdf</w:t>
        </w:r>
      </w:hyperlink>
      <w:r w:rsidRPr="00B456CF">
        <w:rPr>
          <w:rFonts w:asciiTheme="minorHAnsi" w:hAnsiTheme="minorHAnsi" w:cstheme="minorHAnsi"/>
          <w:sz w:val="18"/>
          <w:szCs w:val="18"/>
          <w:lang w:val="en-US"/>
        </w:rPr>
        <w:t xml:space="preserve"> Accessed 23/02/2021</w:t>
      </w:r>
    </w:p>
  </w:footnote>
  <w:footnote w:id="6">
    <w:p w14:paraId="2FDF0659" w14:textId="77777777" w:rsidR="00A2123C" w:rsidRPr="00B456CF" w:rsidRDefault="00A2123C" w:rsidP="00A2123C">
      <w:pPr>
        <w:pStyle w:val="FootnoteText"/>
        <w:spacing w:after="0"/>
        <w:rPr>
          <w:rFonts w:asciiTheme="minorHAnsi" w:hAnsiTheme="minorHAnsi" w:cstheme="minorHAnsi"/>
          <w:sz w:val="18"/>
          <w:szCs w:val="18"/>
          <w:lang w:val="en-US"/>
        </w:rPr>
      </w:pPr>
      <w:r w:rsidRPr="00B456CF">
        <w:rPr>
          <w:rStyle w:val="FootnoteReference"/>
          <w:rFonts w:asciiTheme="minorHAnsi" w:hAnsiTheme="minorHAnsi" w:cstheme="minorHAnsi"/>
          <w:sz w:val="18"/>
          <w:szCs w:val="18"/>
        </w:rPr>
        <w:footnoteRef/>
      </w:r>
      <w:r w:rsidRPr="00B456CF">
        <w:rPr>
          <w:rFonts w:asciiTheme="minorHAnsi" w:hAnsiTheme="minorHAnsi" w:cstheme="minorHAnsi"/>
          <w:sz w:val="18"/>
          <w:szCs w:val="18"/>
        </w:rPr>
        <w:t xml:space="preserve"> Australian Charter of Healthcare Rights </w:t>
      </w:r>
      <w:hyperlink r:id="rId4" w:history="1">
        <w:r w:rsidRPr="00B456CF">
          <w:rPr>
            <w:rStyle w:val="Hyperlink"/>
            <w:rFonts w:asciiTheme="minorHAnsi" w:hAnsiTheme="minorHAnsi" w:cstheme="minorHAnsi"/>
            <w:color w:val="auto"/>
            <w:sz w:val="18"/>
            <w:szCs w:val="18"/>
          </w:rPr>
          <w:t>https://www.safetyandquality.gov.au/sites/default/files/migrated/Charter-PDf.pdf</w:t>
        </w:r>
      </w:hyperlink>
      <w:r w:rsidRPr="00B456CF">
        <w:rPr>
          <w:rFonts w:asciiTheme="minorHAnsi" w:hAnsiTheme="minorHAnsi" w:cstheme="minorHAnsi"/>
          <w:sz w:val="18"/>
          <w:szCs w:val="18"/>
        </w:rPr>
        <w:t xml:space="preserve"> Accessed 14/01/2021</w:t>
      </w:r>
    </w:p>
  </w:footnote>
  <w:footnote w:id="7">
    <w:p w14:paraId="1A036285" w14:textId="77777777" w:rsidR="002A0D6C" w:rsidRPr="00B456CF" w:rsidRDefault="002A0D6C" w:rsidP="002A0D6C">
      <w:pPr>
        <w:pStyle w:val="FootnoteText"/>
        <w:spacing w:after="0"/>
        <w:rPr>
          <w:rFonts w:asciiTheme="minorHAnsi" w:hAnsiTheme="minorHAnsi" w:cstheme="minorHAnsi"/>
          <w:sz w:val="18"/>
          <w:szCs w:val="18"/>
          <w:lang w:val="en-US"/>
        </w:rPr>
      </w:pPr>
      <w:r w:rsidRPr="00B456CF">
        <w:rPr>
          <w:rStyle w:val="FootnoteReference"/>
          <w:rFonts w:asciiTheme="minorHAnsi" w:hAnsiTheme="minorHAnsi" w:cstheme="minorHAnsi"/>
          <w:sz w:val="18"/>
          <w:szCs w:val="18"/>
        </w:rPr>
        <w:footnoteRef/>
      </w:r>
      <w:r w:rsidRPr="00B456CF">
        <w:rPr>
          <w:rFonts w:asciiTheme="minorHAnsi" w:hAnsiTheme="minorHAnsi" w:cstheme="minorHAnsi"/>
          <w:sz w:val="18"/>
          <w:szCs w:val="18"/>
        </w:rPr>
        <w:t xml:space="preserve"> National Safety and Quality Health Service (NSQHS) Standards </w:t>
      </w:r>
      <w:hyperlink r:id="rId5" w:history="1">
        <w:r w:rsidRPr="00B456CF">
          <w:rPr>
            <w:rStyle w:val="Hyperlink"/>
            <w:rFonts w:asciiTheme="minorHAnsi" w:hAnsiTheme="minorHAnsi" w:cstheme="minorHAnsi"/>
            <w:sz w:val="18"/>
            <w:szCs w:val="18"/>
          </w:rPr>
          <w:t>https://www.safetyandquality.gov.au/standards/nsqhs-standards</w:t>
        </w:r>
      </w:hyperlink>
      <w:r w:rsidRPr="00B456CF">
        <w:rPr>
          <w:rFonts w:asciiTheme="minorHAnsi" w:hAnsiTheme="minorHAnsi" w:cstheme="minorHAnsi"/>
          <w:sz w:val="18"/>
          <w:szCs w:val="18"/>
        </w:rPr>
        <w:t xml:space="preserve"> . Accessed 14/01/2021</w:t>
      </w:r>
    </w:p>
  </w:footnote>
  <w:footnote w:id="8">
    <w:p w14:paraId="65B3147B" w14:textId="77777777" w:rsidR="00955822" w:rsidRPr="00B456CF" w:rsidRDefault="00955822" w:rsidP="00955822">
      <w:pPr>
        <w:pStyle w:val="FootnoteText"/>
        <w:spacing w:after="0"/>
        <w:rPr>
          <w:rFonts w:asciiTheme="minorHAnsi" w:hAnsiTheme="minorHAnsi" w:cstheme="minorHAnsi"/>
          <w:sz w:val="18"/>
          <w:szCs w:val="18"/>
          <w:lang w:val="en-US"/>
        </w:rPr>
      </w:pPr>
      <w:r w:rsidRPr="00B456CF">
        <w:rPr>
          <w:rStyle w:val="FootnoteReference"/>
          <w:rFonts w:asciiTheme="minorHAnsi" w:hAnsiTheme="minorHAnsi" w:cstheme="minorHAnsi"/>
          <w:sz w:val="18"/>
          <w:szCs w:val="18"/>
        </w:rPr>
        <w:footnoteRef/>
      </w:r>
      <w:r w:rsidRPr="00B456CF">
        <w:rPr>
          <w:rFonts w:asciiTheme="minorHAnsi" w:hAnsiTheme="minorHAnsi" w:cstheme="minorHAnsi"/>
          <w:sz w:val="18"/>
          <w:szCs w:val="18"/>
        </w:rPr>
        <w:t xml:space="preserve"> </w:t>
      </w:r>
      <w:r w:rsidRPr="00B456CF">
        <w:rPr>
          <w:rFonts w:asciiTheme="minorHAnsi" w:hAnsiTheme="minorHAnsi" w:cstheme="minorHAnsi"/>
          <w:color w:val="000000"/>
          <w:sz w:val="18"/>
          <w:szCs w:val="18"/>
          <w:shd w:val="clear" w:color="auto" w:fill="FFFFFF"/>
        </w:rPr>
        <w:t xml:space="preserve">AIATSIS Code of Ethics for Aboriginal and Torres Strait Islander Research </w:t>
      </w:r>
      <w:hyperlink r:id="rId6" w:history="1">
        <w:r w:rsidRPr="00B456CF">
          <w:rPr>
            <w:rStyle w:val="Hyperlink"/>
            <w:rFonts w:asciiTheme="minorHAnsi" w:hAnsiTheme="minorHAnsi" w:cstheme="minorHAnsi"/>
            <w:sz w:val="18"/>
            <w:szCs w:val="18"/>
          </w:rPr>
          <w:t>https://aiatsis.gov.au/research/ethical-research/guidelines-ethical-research-australian-indigenous-studies</w:t>
        </w:r>
      </w:hyperlink>
      <w:r w:rsidRPr="00B456CF">
        <w:rPr>
          <w:rFonts w:asciiTheme="minorHAnsi" w:hAnsiTheme="minorHAnsi" w:cstheme="minorHAnsi"/>
          <w:sz w:val="18"/>
          <w:szCs w:val="18"/>
        </w:rPr>
        <w:t>. Accessed 20/12/20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9362F" w14:textId="6B8BB304" w:rsidR="00F25F36" w:rsidRDefault="00F76D61">
    <w:pPr>
      <w:pStyle w:val="Header"/>
    </w:pPr>
    <w:r>
      <w:rPr>
        <w:noProof/>
      </w:rPr>
      <w:pict w14:anchorId="5BD3E8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24610"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51ACD" w14:textId="64AFA708" w:rsidR="00F25F36" w:rsidRDefault="00F76D61">
    <w:pPr>
      <w:pStyle w:val="Header"/>
    </w:pPr>
    <w:r>
      <w:rPr>
        <w:noProof/>
      </w:rPr>
      <w:pict w14:anchorId="34B37C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24611"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F214A" w14:textId="2E9AB199" w:rsidR="00F25F36" w:rsidRDefault="00F76D61">
    <w:pPr>
      <w:pStyle w:val="Header"/>
    </w:pPr>
    <w:r>
      <w:rPr>
        <w:noProof/>
      </w:rPr>
      <w:pict w14:anchorId="5E599A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24609"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94DAE"/>
    <w:multiLevelType w:val="hybridMultilevel"/>
    <w:tmpl w:val="9EE678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6D54F8"/>
    <w:multiLevelType w:val="hybridMultilevel"/>
    <w:tmpl w:val="ECE01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681DAE"/>
    <w:multiLevelType w:val="hybridMultilevel"/>
    <w:tmpl w:val="CCC8A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1A4C7E"/>
    <w:multiLevelType w:val="hybridMultilevel"/>
    <w:tmpl w:val="7E2AA3C0"/>
    <w:lvl w:ilvl="0" w:tplc="0C090005">
      <w:start w:val="1"/>
      <w:numFmt w:val="bullet"/>
      <w:lvlText w:val=""/>
      <w:lvlJc w:val="left"/>
      <w:rPr>
        <w:rFonts w:ascii="Wingdings" w:hAnsi="Wingdings" w:hint="default"/>
      </w:rPr>
    </w:lvl>
    <w:lvl w:ilvl="1" w:tplc="0C090005">
      <w:start w:val="1"/>
      <w:numFmt w:val="bullet"/>
      <w:lvlText w:val=""/>
      <w:lvlJc w:val="left"/>
      <w:rPr>
        <w:rFonts w:ascii="Wingdings" w:hAnsi="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E6D1063"/>
    <w:multiLevelType w:val="hybridMultilevel"/>
    <w:tmpl w:val="99C819B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68E43021"/>
    <w:multiLevelType w:val="hybridMultilevel"/>
    <w:tmpl w:val="28B06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5A3"/>
    <w:rsid w:val="000401EC"/>
    <w:rsid w:val="00043FB6"/>
    <w:rsid w:val="000445A3"/>
    <w:rsid w:val="0007441A"/>
    <w:rsid w:val="000A1656"/>
    <w:rsid w:val="000A66BD"/>
    <w:rsid w:val="000B6D4E"/>
    <w:rsid w:val="000B7F4D"/>
    <w:rsid w:val="000D3406"/>
    <w:rsid w:val="000E027D"/>
    <w:rsid w:val="000F3D45"/>
    <w:rsid w:val="00104C7E"/>
    <w:rsid w:val="001162F3"/>
    <w:rsid w:val="001638AC"/>
    <w:rsid w:val="00164DC1"/>
    <w:rsid w:val="00182C24"/>
    <w:rsid w:val="00193B79"/>
    <w:rsid w:val="001B37C0"/>
    <w:rsid w:val="001C4B2F"/>
    <w:rsid w:val="001D5FA6"/>
    <w:rsid w:val="001E026E"/>
    <w:rsid w:val="001E7FEA"/>
    <w:rsid w:val="001F1A44"/>
    <w:rsid w:val="001F68EA"/>
    <w:rsid w:val="0020683E"/>
    <w:rsid w:val="00214AF2"/>
    <w:rsid w:val="00221907"/>
    <w:rsid w:val="00232721"/>
    <w:rsid w:val="00272C3A"/>
    <w:rsid w:val="002744CE"/>
    <w:rsid w:val="00280050"/>
    <w:rsid w:val="0028066A"/>
    <w:rsid w:val="0029048C"/>
    <w:rsid w:val="00294386"/>
    <w:rsid w:val="002A026F"/>
    <w:rsid w:val="002A0D6C"/>
    <w:rsid w:val="002C39B0"/>
    <w:rsid w:val="002E68D7"/>
    <w:rsid w:val="002E782F"/>
    <w:rsid w:val="00300324"/>
    <w:rsid w:val="00347FCD"/>
    <w:rsid w:val="00375332"/>
    <w:rsid w:val="003940D9"/>
    <w:rsid w:val="003A144E"/>
    <w:rsid w:val="003C7578"/>
    <w:rsid w:val="003E74B5"/>
    <w:rsid w:val="00416E3B"/>
    <w:rsid w:val="00417A57"/>
    <w:rsid w:val="004314DA"/>
    <w:rsid w:val="00440757"/>
    <w:rsid w:val="00444741"/>
    <w:rsid w:val="00452DFA"/>
    <w:rsid w:val="004578C8"/>
    <w:rsid w:val="00472498"/>
    <w:rsid w:val="00474656"/>
    <w:rsid w:val="004944FB"/>
    <w:rsid w:val="004A1C55"/>
    <w:rsid w:val="004A4F9D"/>
    <w:rsid w:val="004B00F6"/>
    <w:rsid w:val="004B5A75"/>
    <w:rsid w:val="004C0998"/>
    <w:rsid w:val="004D39EB"/>
    <w:rsid w:val="004E7441"/>
    <w:rsid w:val="004F581C"/>
    <w:rsid w:val="004F63CE"/>
    <w:rsid w:val="00517652"/>
    <w:rsid w:val="005258DE"/>
    <w:rsid w:val="00551742"/>
    <w:rsid w:val="0056318E"/>
    <w:rsid w:val="00571ED3"/>
    <w:rsid w:val="00585FB0"/>
    <w:rsid w:val="00586360"/>
    <w:rsid w:val="005937AF"/>
    <w:rsid w:val="005973DF"/>
    <w:rsid w:val="005A5C9A"/>
    <w:rsid w:val="005B0F96"/>
    <w:rsid w:val="005C0187"/>
    <w:rsid w:val="005D1C6F"/>
    <w:rsid w:val="005D3A37"/>
    <w:rsid w:val="005E0C6B"/>
    <w:rsid w:val="005F0317"/>
    <w:rsid w:val="00602B00"/>
    <w:rsid w:val="00605214"/>
    <w:rsid w:val="00617114"/>
    <w:rsid w:val="006219BD"/>
    <w:rsid w:val="00631B39"/>
    <w:rsid w:val="006466B7"/>
    <w:rsid w:val="00655852"/>
    <w:rsid w:val="00666AD1"/>
    <w:rsid w:val="00673340"/>
    <w:rsid w:val="00685439"/>
    <w:rsid w:val="0068586A"/>
    <w:rsid w:val="00690BF9"/>
    <w:rsid w:val="006A2258"/>
    <w:rsid w:val="006A4D63"/>
    <w:rsid w:val="006A6B57"/>
    <w:rsid w:val="0070240F"/>
    <w:rsid w:val="00707D24"/>
    <w:rsid w:val="00713240"/>
    <w:rsid w:val="00716858"/>
    <w:rsid w:val="00736523"/>
    <w:rsid w:val="00740E80"/>
    <w:rsid w:val="00743389"/>
    <w:rsid w:val="007509DD"/>
    <w:rsid w:val="00752A84"/>
    <w:rsid w:val="007539C0"/>
    <w:rsid w:val="00782B6D"/>
    <w:rsid w:val="00787E53"/>
    <w:rsid w:val="007A495C"/>
    <w:rsid w:val="007B6162"/>
    <w:rsid w:val="007D5BD4"/>
    <w:rsid w:val="007F763F"/>
    <w:rsid w:val="0080125E"/>
    <w:rsid w:val="00812243"/>
    <w:rsid w:val="00815074"/>
    <w:rsid w:val="00817D12"/>
    <w:rsid w:val="008335A4"/>
    <w:rsid w:val="0083733C"/>
    <w:rsid w:val="008452AC"/>
    <w:rsid w:val="00874DD9"/>
    <w:rsid w:val="00891F6B"/>
    <w:rsid w:val="008A5466"/>
    <w:rsid w:val="008B4AC9"/>
    <w:rsid w:val="008D6FCC"/>
    <w:rsid w:val="008E258D"/>
    <w:rsid w:val="00901EF8"/>
    <w:rsid w:val="009058C9"/>
    <w:rsid w:val="00914E5C"/>
    <w:rsid w:val="0092746D"/>
    <w:rsid w:val="00955822"/>
    <w:rsid w:val="00967D1F"/>
    <w:rsid w:val="009C5BBC"/>
    <w:rsid w:val="009C7628"/>
    <w:rsid w:val="00A2123C"/>
    <w:rsid w:val="00A23B30"/>
    <w:rsid w:val="00A3460F"/>
    <w:rsid w:val="00A3588D"/>
    <w:rsid w:val="00A50237"/>
    <w:rsid w:val="00A6494D"/>
    <w:rsid w:val="00A71F1C"/>
    <w:rsid w:val="00A77A1A"/>
    <w:rsid w:val="00A8232C"/>
    <w:rsid w:val="00A82AF7"/>
    <w:rsid w:val="00A92E07"/>
    <w:rsid w:val="00AA5827"/>
    <w:rsid w:val="00AC18D0"/>
    <w:rsid w:val="00AC1D02"/>
    <w:rsid w:val="00AE6067"/>
    <w:rsid w:val="00AE682C"/>
    <w:rsid w:val="00AF110C"/>
    <w:rsid w:val="00B1440A"/>
    <w:rsid w:val="00B226BA"/>
    <w:rsid w:val="00B366E6"/>
    <w:rsid w:val="00B36B83"/>
    <w:rsid w:val="00B40249"/>
    <w:rsid w:val="00B456CF"/>
    <w:rsid w:val="00B56018"/>
    <w:rsid w:val="00B577D9"/>
    <w:rsid w:val="00B838AC"/>
    <w:rsid w:val="00B91F65"/>
    <w:rsid w:val="00B928E4"/>
    <w:rsid w:val="00B93C1D"/>
    <w:rsid w:val="00B93E8B"/>
    <w:rsid w:val="00BB4FE6"/>
    <w:rsid w:val="00BB5275"/>
    <w:rsid w:val="00BD386D"/>
    <w:rsid w:val="00BD4682"/>
    <w:rsid w:val="00BD6BF0"/>
    <w:rsid w:val="00C407D1"/>
    <w:rsid w:val="00C509BA"/>
    <w:rsid w:val="00C51419"/>
    <w:rsid w:val="00C6686B"/>
    <w:rsid w:val="00C7136C"/>
    <w:rsid w:val="00C72CD4"/>
    <w:rsid w:val="00C73078"/>
    <w:rsid w:val="00C9765F"/>
    <w:rsid w:val="00CB189B"/>
    <w:rsid w:val="00CB6B6E"/>
    <w:rsid w:val="00CC2F7A"/>
    <w:rsid w:val="00CC661C"/>
    <w:rsid w:val="00CD7E14"/>
    <w:rsid w:val="00CF389E"/>
    <w:rsid w:val="00D13D0F"/>
    <w:rsid w:val="00D23270"/>
    <w:rsid w:val="00D26B80"/>
    <w:rsid w:val="00D2783B"/>
    <w:rsid w:val="00D47844"/>
    <w:rsid w:val="00D74391"/>
    <w:rsid w:val="00D87ECF"/>
    <w:rsid w:val="00DA4DB3"/>
    <w:rsid w:val="00DB14C6"/>
    <w:rsid w:val="00DB56A7"/>
    <w:rsid w:val="00DC60CC"/>
    <w:rsid w:val="00DD415B"/>
    <w:rsid w:val="00DD4637"/>
    <w:rsid w:val="00E00843"/>
    <w:rsid w:val="00E130A5"/>
    <w:rsid w:val="00E23DCD"/>
    <w:rsid w:val="00E5087A"/>
    <w:rsid w:val="00E50FF1"/>
    <w:rsid w:val="00EA113B"/>
    <w:rsid w:val="00ED568C"/>
    <w:rsid w:val="00EE1B76"/>
    <w:rsid w:val="00EE2C05"/>
    <w:rsid w:val="00F02F53"/>
    <w:rsid w:val="00F14D6C"/>
    <w:rsid w:val="00F20340"/>
    <w:rsid w:val="00F2485C"/>
    <w:rsid w:val="00F25F36"/>
    <w:rsid w:val="00F266C3"/>
    <w:rsid w:val="00F55DA6"/>
    <w:rsid w:val="00F61982"/>
    <w:rsid w:val="00F76D61"/>
    <w:rsid w:val="00F80DEA"/>
    <w:rsid w:val="00F93FF7"/>
    <w:rsid w:val="00FC0E31"/>
    <w:rsid w:val="00FC465C"/>
    <w:rsid w:val="00FC659E"/>
    <w:rsid w:val="00FD2636"/>
    <w:rsid w:val="00FD5C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0B59C51"/>
  <w15:chartTrackingRefBased/>
  <w15:docId w15:val="{5731FBA4-0018-40AC-8550-2B7AF3C2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5A3"/>
    <w:rPr>
      <w:rFonts w:asciiTheme="minorHAnsi" w:eastAsiaTheme="minorEastAsia" w:hAnsiTheme="minorHAnsi" w:cstheme="minorBidi"/>
      <w:sz w:val="22"/>
      <w:szCs w:val="22"/>
      <w:lang w:val="en-GB"/>
    </w:rPr>
  </w:style>
  <w:style w:type="paragraph" w:styleId="Heading1">
    <w:name w:val="heading 1"/>
    <w:basedOn w:val="Normal"/>
    <w:next w:val="Normal"/>
    <w:link w:val="Heading1Char"/>
    <w:uiPriority w:val="9"/>
    <w:qFormat/>
    <w:rsid w:val="00F25F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066A"/>
    <w:rPr>
      <w:color w:val="0563C1" w:themeColor="hyperlink"/>
      <w:u w:val="single"/>
    </w:rPr>
  </w:style>
  <w:style w:type="paragraph" w:styleId="FootnoteText">
    <w:name w:val="footnote text"/>
    <w:basedOn w:val="Normal"/>
    <w:link w:val="FootnoteTextChar"/>
    <w:uiPriority w:val="99"/>
    <w:unhideWhenUsed/>
    <w:rsid w:val="0028066A"/>
    <w:pPr>
      <w:spacing w:after="200"/>
    </w:pPr>
    <w:rPr>
      <w:rFonts w:ascii="Times New Roman" w:hAnsi="Times New Roman"/>
      <w:i/>
      <w:sz w:val="20"/>
      <w:szCs w:val="20"/>
      <w:lang w:eastAsia="en-GB"/>
    </w:rPr>
  </w:style>
  <w:style w:type="character" w:customStyle="1" w:styleId="FootnoteTextChar">
    <w:name w:val="Footnote Text Char"/>
    <w:basedOn w:val="DefaultParagraphFont"/>
    <w:link w:val="FootnoteText"/>
    <w:uiPriority w:val="99"/>
    <w:rsid w:val="0028066A"/>
    <w:rPr>
      <w:rFonts w:eastAsiaTheme="minorEastAsia" w:cstheme="minorBidi"/>
      <w:i/>
      <w:sz w:val="20"/>
      <w:szCs w:val="20"/>
      <w:lang w:val="en-GB" w:eastAsia="en-GB"/>
    </w:rPr>
  </w:style>
  <w:style w:type="character" w:styleId="FootnoteReference">
    <w:name w:val="footnote reference"/>
    <w:basedOn w:val="DefaultParagraphFont"/>
    <w:unhideWhenUsed/>
    <w:rsid w:val="0028066A"/>
    <w:rPr>
      <w:vertAlign w:val="superscript"/>
    </w:rPr>
  </w:style>
  <w:style w:type="paragraph" w:styleId="ListParagraph">
    <w:name w:val="List Paragraph"/>
    <w:aliases w:val="Recommendation,List Paragraph1,List Paragraph11,First level bullet point,Body text,standard lewis,Bullet point,List Paragraph Number,Bulleted Para,NFP GP Bulleted List,bullet point list,L,Bullet points,Content descriptions,Bullet Point,列"/>
    <w:basedOn w:val="Normal"/>
    <w:link w:val="ListParagraphChar"/>
    <w:uiPriority w:val="34"/>
    <w:qFormat/>
    <w:rsid w:val="0083733C"/>
    <w:pPr>
      <w:ind w:left="720"/>
      <w:contextualSpacing/>
    </w:pPr>
  </w:style>
  <w:style w:type="paragraph" w:customStyle="1" w:styleId="References">
    <w:name w:val="References"/>
    <w:basedOn w:val="Normal"/>
    <w:autoRedefine/>
    <w:rsid w:val="00D47844"/>
    <w:pPr>
      <w:spacing w:after="0"/>
      <w:contextualSpacing/>
    </w:pPr>
    <w:rPr>
      <w:rFonts w:cstheme="minorHAnsi"/>
      <w:i/>
      <w:sz w:val="18"/>
      <w:szCs w:val="18"/>
      <w:lang w:eastAsia="en-GB"/>
    </w:rPr>
  </w:style>
  <w:style w:type="paragraph" w:styleId="Header">
    <w:name w:val="header"/>
    <w:basedOn w:val="Normal"/>
    <w:link w:val="HeaderChar"/>
    <w:uiPriority w:val="99"/>
    <w:unhideWhenUsed/>
    <w:rsid w:val="004A4F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F9D"/>
    <w:rPr>
      <w:rFonts w:asciiTheme="minorHAnsi" w:eastAsiaTheme="minorEastAsia" w:hAnsiTheme="minorHAnsi" w:cstheme="minorBidi"/>
      <w:sz w:val="22"/>
      <w:szCs w:val="22"/>
      <w:lang w:val="en-GB"/>
    </w:rPr>
  </w:style>
  <w:style w:type="paragraph" w:styleId="Footer">
    <w:name w:val="footer"/>
    <w:basedOn w:val="Normal"/>
    <w:link w:val="FooterChar"/>
    <w:uiPriority w:val="99"/>
    <w:unhideWhenUsed/>
    <w:rsid w:val="004A4F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4F9D"/>
    <w:rPr>
      <w:rFonts w:asciiTheme="minorHAnsi" w:eastAsiaTheme="minorEastAsia" w:hAnsiTheme="minorHAnsi" w:cstheme="minorBidi"/>
      <w:sz w:val="22"/>
      <w:szCs w:val="22"/>
      <w:lang w:val="en-GB"/>
    </w:rPr>
  </w:style>
  <w:style w:type="table" w:customStyle="1" w:styleId="GridTable5Dark-Accent61">
    <w:name w:val="Grid Table 5 Dark - Accent 61"/>
    <w:basedOn w:val="TableNormal"/>
    <w:next w:val="GridTable5Dark-Accent6"/>
    <w:uiPriority w:val="50"/>
    <w:rsid w:val="00FC0E31"/>
    <w:pPr>
      <w:spacing w:after="0" w:line="240" w:lineRule="auto"/>
    </w:pPr>
    <w:rPr>
      <w:rFonts w:asciiTheme="minorHAnsi" w:eastAsiaTheme="minorEastAsia" w:hAnsiTheme="minorHAnsi" w:cstheme="minorBidi"/>
      <w:sz w:val="22"/>
      <w:szCs w:val="22"/>
      <w:lang w:val="en-GB"/>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5Dark-Accent6">
    <w:name w:val="Grid Table 5 Dark Accent 6"/>
    <w:basedOn w:val="TableNormal"/>
    <w:uiPriority w:val="50"/>
    <w:rsid w:val="00FC0E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CommentText">
    <w:name w:val="annotation text"/>
    <w:basedOn w:val="Normal"/>
    <w:link w:val="CommentTextChar"/>
    <w:uiPriority w:val="99"/>
    <w:unhideWhenUsed/>
    <w:rsid w:val="0068586A"/>
    <w:rPr>
      <w:sz w:val="20"/>
      <w:szCs w:val="20"/>
    </w:rPr>
  </w:style>
  <w:style w:type="character" w:customStyle="1" w:styleId="CommentTextChar">
    <w:name w:val="Comment Text Char"/>
    <w:basedOn w:val="DefaultParagraphFont"/>
    <w:link w:val="CommentText"/>
    <w:uiPriority w:val="99"/>
    <w:rsid w:val="0068586A"/>
    <w:rPr>
      <w:rFonts w:asciiTheme="minorHAnsi" w:eastAsiaTheme="minorEastAsia" w:hAnsiTheme="minorHAnsi" w:cstheme="minorBidi"/>
      <w:sz w:val="20"/>
      <w:szCs w:val="20"/>
      <w:lang w:val="en-GB"/>
    </w:rPr>
  </w:style>
  <w:style w:type="character" w:customStyle="1" w:styleId="st">
    <w:name w:val="st"/>
    <w:basedOn w:val="DefaultParagraphFont"/>
    <w:rsid w:val="0068586A"/>
  </w:style>
  <w:style w:type="character" w:customStyle="1" w:styleId="ListParagraphChar">
    <w:name w:val="List Paragraph Char"/>
    <w:aliases w:val="Recommendation Char,List Paragraph1 Char,List Paragraph11 Char,First level bullet point Char,Body text Char,standard lewis Char,Bullet point Char,List Paragraph Number Char,Bulleted Para Char,NFP GP Bulleted List Char,L Char,列 Char"/>
    <w:link w:val="ListParagraph"/>
    <w:uiPriority w:val="34"/>
    <w:locked/>
    <w:rsid w:val="00DC60CC"/>
    <w:rPr>
      <w:rFonts w:asciiTheme="minorHAnsi" w:eastAsiaTheme="minorEastAsia" w:hAnsiTheme="minorHAnsi" w:cstheme="minorBidi"/>
      <w:sz w:val="22"/>
      <w:szCs w:val="22"/>
      <w:lang w:val="en-GB"/>
    </w:rPr>
  </w:style>
  <w:style w:type="paragraph" w:styleId="BalloonText">
    <w:name w:val="Balloon Text"/>
    <w:basedOn w:val="Normal"/>
    <w:link w:val="BalloonTextChar"/>
    <w:uiPriority w:val="99"/>
    <w:semiHidden/>
    <w:unhideWhenUsed/>
    <w:rsid w:val="00E008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843"/>
    <w:rPr>
      <w:rFonts w:ascii="Segoe UI" w:eastAsiaTheme="minorEastAsia" w:hAnsi="Segoe UI" w:cs="Segoe UI"/>
      <w:sz w:val="18"/>
      <w:szCs w:val="18"/>
      <w:lang w:val="en-GB"/>
    </w:rPr>
  </w:style>
  <w:style w:type="table" w:styleId="TableGrid">
    <w:name w:val="Table Grid"/>
    <w:basedOn w:val="TableNormal"/>
    <w:uiPriority w:val="39"/>
    <w:rsid w:val="00A71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838AC"/>
    <w:rPr>
      <w:sz w:val="16"/>
      <w:szCs w:val="16"/>
    </w:rPr>
  </w:style>
  <w:style w:type="paragraph" w:styleId="CommentSubject">
    <w:name w:val="annotation subject"/>
    <w:basedOn w:val="CommentText"/>
    <w:next w:val="CommentText"/>
    <w:link w:val="CommentSubjectChar"/>
    <w:uiPriority w:val="99"/>
    <w:semiHidden/>
    <w:unhideWhenUsed/>
    <w:rsid w:val="00B838AC"/>
    <w:pPr>
      <w:spacing w:line="240" w:lineRule="auto"/>
    </w:pPr>
    <w:rPr>
      <w:b/>
      <w:bCs/>
    </w:rPr>
  </w:style>
  <w:style w:type="character" w:customStyle="1" w:styleId="CommentSubjectChar">
    <w:name w:val="Comment Subject Char"/>
    <w:basedOn w:val="CommentTextChar"/>
    <w:link w:val="CommentSubject"/>
    <w:uiPriority w:val="99"/>
    <w:semiHidden/>
    <w:rsid w:val="00B838AC"/>
    <w:rPr>
      <w:rFonts w:asciiTheme="minorHAnsi" w:eastAsiaTheme="minorEastAsia" w:hAnsiTheme="minorHAnsi" w:cstheme="minorBidi"/>
      <w:b/>
      <w:bCs/>
      <w:sz w:val="20"/>
      <w:szCs w:val="20"/>
      <w:lang w:val="en-GB"/>
    </w:rPr>
  </w:style>
  <w:style w:type="character" w:customStyle="1" w:styleId="Heading1Char">
    <w:name w:val="Heading 1 Char"/>
    <w:basedOn w:val="DefaultParagraphFont"/>
    <w:link w:val="Heading1"/>
    <w:uiPriority w:val="9"/>
    <w:rsid w:val="00F25F36"/>
    <w:rPr>
      <w:rFonts w:asciiTheme="majorHAnsi" w:eastAsiaTheme="majorEastAsia" w:hAnsiTheme="majorHAnsi" w:cstheme="majorBidi"/>
      <w:color w:val="2E74B5"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nacchocommunique.files.wordpress.com/2016/12/cultural_respect_framework_1december2016_1.pdf" TargetMode="External"/><Relationship Id="rId2" Type="http://schemas.openxmlformats.org/officeDocument/2006/relationships/hyperlink" Target="https://coalitionofpeaks.org.au/wp-content/uploads/2020/07/FINAL-National-Agreement-on-Closing-the-Gap-1.pdf" TargetMode="External"/><Relationship Id="rId1" Type="http://schemas.openxmlformats.org/officeDocument/2006/relationships/hyperlink" Target="https://www1.health.gov.au/internet/main/publishing.nsf/Content/national-health-genomics-policy-framework-2018-2021%20Accessed%2020/11/2020" TargetMode="External"/><Relationship Id="rId6" Type="http://schemas.openxmlformats.org/officeDocument/2006/relationships/hyperlink" Target="https://aiatsis.gov.au/research/ethical-research/guidelines-ethical-research-australian-indigenous-studies" TargetMode="External"/><Relationship Id="rId5" Type="http://schemas.openxmlformats.org/officeDocument/2006/relationships/hyperlink" Target="https://www.safetyandquality.gov.au/standards/nsqhs-standards" TargetMode="External"/><Relationship Id="rId4" Type="http://schemas.openxmlformats.org/officeDocument/2006/relationships/hyperlink" Target="https://www.safetyandquality.gov.au/sites/default/files/migrated/Charter-PD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3349</Words>
  <Characters>19092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22397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Kim</dc:creator>
  <cp:keywords/>
  <dc:description/>
  <cp:lastModifiedBy>HOCKEY, Melisa</cp:lastModifiedBy>
  <cp:revision>3</cp:revision>
  <cp:lastPrinted>2021-07-05T04:30:00Z</cp:lastPrinted>
  <dcterms:created xsi:type="dcterms:W3CDTF">2021-09-21T01:53:00Z</dcterms:created>
  <dcterms:modified xsi:type="dcterms:W3CDTF">2021-09-21T01:54:00Z</dcterms:modified>
</cp:coreProperties>
</file>