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901E" w14:textId="6264A430" w:rsidR="00DD27EB" w:rsidRPr="00400300" w:rsidRDefault="0060376E" w:rsidP="00DD27EB">
      <w:pPr>
        <w:pStyle w:val="Subtitle"/>
        <w:jc w:val="center"/>
        <w:rPr>
          <w:rFonts w:cstheme="minorHAnsi"/>
          <w:b/>
          <w:lang w:val="en-AU"/>
        </w:rPr>
      </w:pPr>
      <w:r>
        <w:rPr>
          <w:rFonts w:cs="Arial"/>
          <w:noProof/>
          <w:sz w:val="18"/>
          <w:szCs w:val="18"/>
          <w:lang w:val="en-AU" w:eastAsia="en-AU"/>
        </w:rPr>
        <w:drawing>
          <wp:inline distT="0" distB="0" distL="0" distR="0" wp14:anchorId="49FBA785" wp14:editId="2CACBC53">
            <wp:extent cx="5997039" cy="8483940"/>
            <wp:effectExtent l="0" t="0" r="3810" b="0"/>
            <wp:docPr id="6" name="Picture 6" descr="Title page. National Injury Prevention Strategy 2020-2030 – Draft for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al.health\dfsuserenv\Users\User_03\DAWESH\Documents\National Injury Prevention Strategy\Strategy Cover\12661 National Injury prevention strategy Cover_V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7039" cy="8483940"/>
                    </a:xfrm>
                    <a:prstGeom prst="rect">
                      <a:avLst/>
                    </a:prstGeom>
                    <a:noFill/>
                    <a:ln>
                      <a:noFill/>
                    </a:ln>
                  </pic:spPr>
                </pic:pic>
              </a:graphicData>
            </a:graphic>
          </wp:inline>
        </w:drawing>
      </w:r>
      <w:r w:rsidR="00DD27EB" w:rsidRPr="00400300">
        <w:rPr>
          <w:rFonts w:cstheme="minorHAnsi"/>
          <w:b/>
          <w:lang w:val="en-AU"/>
        </w:rPr>
        <w:br w:type="page"/>
      </w:r>
    </w:p>
    <w:p w14:paraId="2734608B" w14:textId="77777777" w:rsidR="00DD27EB" w:rsidRPr="00400300" w:rsidRDefault="00DD27EB" w:rsidP="00DD27EB">
      <w:pPr>
        <w:rPr>
          <w:rFonts w:cstheme="minorHAnsi"/>
          <w:lang w:val="en-AU"/>
        </w:rPr>
        <w:sectPr w:rsidR="00DD27EB" w:rsidRPr="0040030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D21A9C9" w14:textId="1698326E" w:rsidR="0060376E" w:rsidRPr="00EA0128" w:rsidRDefault="0060376E" w:rsidP="0060376E">
      <w:pPr>
        <w:spacing w:after="240"/>
        <w:rPr>
          <w:rFonts w:cs="Arial"/>
          <w:sz w:val="18"/>
          <w:szCs w:val="18"/>
        </w:rPr>
      </w:pPr>
      <w:bookmarkStart w:id="0" w:name="_Toc31128292"/>
      <w:bookmarkStart w:id="1" w:name="_Toc30591811"/>
      <w:bookmarkStart w:id="2" w:name="_Toc30077714"/>
      <w:bookmarkStart w:id="3" w:name="_Toc30421473"/>
      <w:bookmarkStart w:id="4" w:name="_Toc32584872"/>
      <w:bookmarkStart w:id="5" w:name="_Toc32585015"/>
      <w:bookmarkStart w:id="6" w:name="_Toc32587818"/>
      <w:bookmarkStart w:id="7" w:name="_Toc32838918"/>
      <w:bookmarkStart w:id="8" w:name="_Toc32839246"/>
      <w:bookmarkStart w:id="9" w:name="_Toc32851545"/>
      <w:bookmarkStart w:id="10" w:name="_Toc32851656"/>
      <w:bookmarkStart w:id="11" w:name="_Toc33445722"/>
      <w:bookmarkStart w:id="12" w:name="_Toc33446579"/>
      <w:bookmarkStart w:id="13" w:name="_Toc35858555"/>
      <w:bookmarkStart w:id="14" w:name="_Toc22922785"/>
      <w:bookmarkStart w:id="15" w:name="_Toc22922965"/>
      <w:r w:rsidRPr="00EA0128">
        <w:rPr>
          <w:rFonts w:cs="Arial"/>
          <w:sz w:val="18"/>
          <w:szCs w:val="18"/>
        </w:rPr>
        <w:lastRenderedPageBreak/>
        <w:t>© Commonwealth of Australia as represented by the Department of Health 20</w:t>
      </w:r>
      <w:r w:rsidR="00EA0128" w:rsidRPr="00EA0128">
        <w:rPr>
          <w:rFonts w:cs="Arial"/>
          <w:sz w:val="18"/>
          <w:szCs w:val="18"/>
        </w:rPr>
        <w:t>20</w:t>
      </w:r>
    </w:p>
    <w:p w14:paraId="5F7B3073" w14:textId="5A0A7CCE" w:rsidR="0060376E" w:rsidRPr="00391592" w:rsidRDefault="0060376E" w:rsidP="0060376E">
      <w:pPr>
        <w:pBdr>
          <w:top w:val="single" w:sz="4" w:space="1" w:color="auto"/>
          <w:bottom w:val="single" w:sz="4" w:space="1" w:color="auto"/>
        </w:pBdr>
        <w:rPr>
          <w:rFonts w:cs="Arial"/>
          <w:sz w:val="18"/>
          <w:szCs w:val="18"/>
        </w:rPr>
      </w:pPr>
      <w:r w:rsidRPr="00EA0128">
        <w:rPr>
          <w:rFonts w:cs="Arial"/>
          <w:sz w:val="18"/>
          <w:szCs w:val="18"/>
        </w:rPr>
        <w:t xml:space="preserve">Title: </w:t>
      </w:r>
      <w:r w:rsidR="00EA0128" w:rsidRPr="00EA0128">
        <w:rPr>
          <w:rFonts w:cs="Arial"/>
          <w:sz w:val="18"/>
          <w:szCs w:val="18"/>
        </w:rPr>
        <w:t>National Injury Prevention Strategy: 2020-2030 – Draft for consultation</w:t>
      </w:r>
    </w:p>
    <w:p w14:paraId="20F50873" w14:textId="77777777" w:rsidR="0060376E" w:rsidRPr="00391592" w:rsidRDefault="0060376E" w:rsidP="0060376E">
      <w:pPr>
        <w:rPr>
          <w:rFonts w:cs="Arial"/>
          <w:sz w:val="18"/>
          <w:szCs w:val="18"/>
        </w:rPr>
      </w:pPr>
    </w:p>
    <w:p w14:paraId="7351F4FF" w14:textId="77777777" w:rsidR="0060376E" w:rsidRPr="00391592" w:rsidRDefault="0060376E" w:rsidP="0060376E">
      <w:pPr>
        <w:spacing w:after="240"/>
        <w:rPr>
          <w:rFonts w:cs="Arial"/>
          <w:b/>
          <w:sz w:val="18"/>
          <w:szCs w:val="18"/>
        </w:rPr>
      </w:pPr>
      <w:r w:rsidRPr="00391592">
        <w:rPr>
          <w:rFonts w:cs="Arial"/>
          <w:b/>
          <w:sz w:val="18"/>
          <w:szCs w:val="18"/>
        </w:rPr>
        <w:t>Creative Commons Licence</w:t>
      </w:r>
    </w:p>
    <w:p w14:paraId="2A30D6F2" w14:textId="77777777" w:rsidR="0060376E" w:rsidRPr="00391592" w:rsidRDefault="0060376E" w:rsidP="0060376E">
      <w:pPr>
        <w:rPr>
          <w:rFonts w:cs="Arial"/>
          <w:sz w:val="18"/>
          <w:szCs w:val="18"/>
        </w:rPr>
      </w:pPr>
      <w:r w:rsidRPr="00391592">
        <w:rPr>
          <w:rFonts w:cs="Arial"/>
          <w:noProof/>
          <w:sz w:val="18"/>
          <w:szCs w:val="18"/>
          <w:lang w:val="en-AU" w:eastAsia="en-AU"/>
        </w:rPr>
        <w:drawing>
          <wp:inline distT="0" distB="0" distL="0" distR="0" wp14:anchorId="5FD00E7C" wp14:editId="4BC89512">
            <wp:extent cx="1026160" cy="356870"/>
            <wp:effectExtent l="0" t="0" r="2540" b="5080"/>
            <wp:docPr id="3" name="Picture 3" descr="cid:image001.png@01D10CD1.33FE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CD1.33FE7F7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26160" cy="356870"/>
                    </a:xfrm>
                    <a:prstGeom prst="rect">
                      <a:avLst/>
                    </a:prstGeom>
                    <a:noFill/>
                    <a:ln>
                      <a:noFill/>
                    </a:ln>
                  </pic:spPr>
                </pic:pic>
              </a:graphicData>
            </a:graphic>
          </wp:inline>
        </w:drawing>
      </w:r>
    </w:p>
    <w:p w14:paraId="2EB2C294" w14:textId="77777777" w:rsidR="0060376E" w:rsidRPr="00391592" w:rsidRDefault="0060376E" w:rsidP="0060376E">
      <w:pPr>
        <w:autoSpaceDE w:val="0"/>
        <w:autoSpaceDN w:val="0"/>
        <w:spacing w:after="240" w:line="181" w:lineRule="atLeast"/>
        <w:rPr>
          <w:rFonts w:cs="Arial"/>
          <w:sz w:val="18"/>
          <w:szCs w:val="18"/>
        </w:rPr>
      </w:pPr>
      <w:r w:rsidRPr="00391592">
        <w:rPr>
          <w:rFonts w:cs="Arial"/>
          <w:sz w:val="18"/>
          <w:szCs w:val="18"/>
        </w:rPr>
        <w:t xml:space="preserve">This publication is licensed under the Creative Commons Attribution 4.0 International Public License available from </w:t>
      </w:r>
      <w:hyperlink r:id="rId20" w:history="1">
        <w:r w:rsidRPr="00391592">
          <w:rPr>
            <w:rStyle w:val="Hyperlink"/>
            <w:rFonts w:eastAsia="MS Gothic" w:cs="Arial"/>
            <w:sz w:val="18"/>
            <w:szCs w:val="18"/>
          </w:rPr>
          <w:t>https://creativecommons.org/licenses/by/4.0/legalcode</w:t>
        </w:r>
      </w:hyperlink>
      <w:r w:rsidRPr="00391592">
        <w:rPr>
          <w:rStyle w:val="Hyperlink"/>
          <w:rFonts w:eastAsia="MS Gothic" w:cs="Arial"/>
          <w:sz w:val="18"/>
          <w:szCs w:val="18"/>
        </w:rPr>
        <w:t xml:space="preserve"> </w:t>
      </w:r>
      <w:r w:rsidRPr="00391592">
        <w:rPr>
          <w:rFonts w:cs="Arial"/>
          <w:sz w:val="18"/>
          <w:szCs w:val="18"/>
        </w:rPr>
        <w:t xml:space="preserve">(“Licence”). You must read and understand the Licence before using any material from this publication. </w:t>
      </w:r>
    </w:p>
    <w:p w14:paraId="1ADF783E" w14:textId="77777777" w:rsidR="0060376E" w:rsidRPr="00391592" w:rsidRDefault="0060376E" w:rsidP="0060376E">
      <w:pPr>
        <w:autoSpaceDE w:val="0"/>
        <w:autoSpaceDN w:val="0"/>
        <w:spacing w:before="100" w:after="240" w:line="181" w:lineRule="atLeast"/>
        <w:rPr>
          <w:rFonts w:cs="Arial"/>
          <w:sz w:val="18"/>
          <w:szCs w:val="18"/>
        </w:rPr>
      </w:pPr>
      <w:r w:rsidRPr="00391592">
        <w:rPr>
          <w:rFonts w:cs="Arial"/>
          <w:sz w:val="18"/>
          <w:szCs w:val="18"/>
        </w:rPr>
        <w:t>Restrictions</w:t>
      </w:r>
    </w:p>
    <w:p w14:paraId="0A149926" w14:textId="77777777" w:rsidR="0060376E" w:rsidRPr="00391592" w:rsidRDefault="0060376E" w:rsidP="0060376E">
      <w:pPr>
        <w:autoSpaceDE w:val="0"/>
        <w:autoSpaceDN w:val="0"/>
        <w:spacing w:before="100" w:after="240" w:line="181" w:lineRule="atLeast"/>
        <w:rPr>
          <w:rFonts w:cs="Arial"/>
          <w:sz w:val="18"/>
          <w:szCs w:val="18"/>
        </w:rPr>
      </w:pPr>
      <w:r w:rsidRPr="00391592">
        <w:rPr>
          <w:rFonts w:cs="Arial"/>
          <w:sz w:val="18"/>
          <w:szCs w:val="18"/>
        </w:rPr>
        <w:t xml:space="preserve">The Licence may not give you all the permissions necessary for your intended use. For example, other rights (such as publicity, privacy and moral rights) may limit how you use the material found in this publication.  </w:t>
      </w:r>
    </w:p>
    <w:p w14:paraId="53440A3D" w14:textId="77777777" w:rsidR="0060376E" w:rsidRPr="00391592" w:rsidRDefault="0060376E" w:rsidP="0060376E">
      <w:pPr>
        <w:autoSpaceDE w:val="0"/>
        <w:autoSpaceDN w:val="0"/>
        <w:spacing w:before="100" w:line="181" w:lineRule="atLeast"/>
        <w:rPr>
          <w:rFonts w:cs="Arial"/>
          <w:sz w:val="18"/>
          <w:szCs w:val="18"/>
        </w:rPr>
      </w:pPr>
      <w:r w:rsidRPr="00391592">
        <w:rPr>
          <w:rFonts w:cs="Arial"/>
          <w:sz w:val="18"/>
          <w:szCs w:val="18"/>
        </w:rPr>
        <w:t xml:space="preserve">The Licence does not cover, and there is no permission given for, use of any of the following material found in this publication: </w:t>
      </w:r>
    </w:p>
    <w:p w14:paraId="7449B247" w14:textId="77777777" w:rsidR="0060376E" w:rsidRPr="00391592" w:rsidRDefault="0060376E" w:rsidP="007D5286">
      <w:pPr>
        <w:pStyle w:val="ListParagraph"/>
        <w:numPr>
          <w:ilvl w:val="0"/>
          <w:numId w:val="49"/>
        </w:numPr>
        <w:spacing w:before="0"/>
        <w:rPr>
          <w:rFonts w:cs="Arial"/>
          <w:sz w:val="18"/>
          <w:szCs w:val="18"/>
        </w:rPr>
      </w:pPr>
      <w:r w:rsidRPr="00391592">
        <w:rPr>
          <w:rFonts w:cs="Arial"/>
          <w:sz w:val="18"/>
          <w:szCs w:val="18"/>
        </w:rPr>
        <w:t xml:space="preserve">the Commonwealth Coat of Arms. (by way of information, the terms under which the Coat of Arms may be used can be found on the Department of Prime Minister and Cabinet website </w:t>
      </w:r>
      <w:r w:rsidRPr="00391592">
        <w:rPr>
          <w:rStyle w:val="Hyperlink"/>
          <w:rFonts w:eastAsia="MS Gothic" w:cs="Arial"/>
          <w:sz w:val="18"/>
          <w:szCs w:val="18"/>
          <w:lang w:eastAsia="en-AU"/>
        </w:rPr>
        <w:t>http://www.dpmc.gov.au/government/commonwealth-coat-arms</w:t>
      </w:r>
      <w:r w:rsidRPr="00391592">
        <w:rPr>
          <w:rFonts w:cs="Arial"/>
          <w:sz w:val="18"/>
          <w:szCs w:val="18"/>
        </w:rPr>
        <w:t>);</w:t>
      </w:r>
    </w:p>
    <w:p w14:paraId="4A49521E" w14:textId="77777777" w:rsidR="0060376E" w:rsidRPr="00391592" w:rsidRDefault="0060376E" w:rsidP="007D5286">
      <w:pPr>
        <w:pStyle w:val="ListParagraph"/>
        <w:numPr>
          <w:ilvl w:val="0"/>
          <w:numId w:val="49"/>
        </w:numPr>
        <w:spacing w:before="0"/>
        <w:rPr>
          <w:rFonts w:cs="Arial"/>
          <w:sz w:val="18"/>
          <w:szCs w:val="18"/>
        </w:rPr>
      </w:pPr>
      <w:r w:rsidRPr="00391592">
        <w:rPr>
          <w:rFonts w:cs="Arial"/>
          <w:sz w:val="18"/>
          <w:szCs w:val="18"/>
        </w:rPr>
        <w:t>any logos and trademarks;</w:t>
      </w:r>
    </w:p>
    <w:p w14:paraId="79E01A58" w14:textId="77777777" w:rsidR="0060376E" w:rsidRPr="00391592" w:rsidRDefault="0060376E" w:rsidP="007D5286">
      <w:pPr>
        <w:pStyle w:val="ListParagraph"/>
        <w:numPr>
          <w:ilvl w:val="0"/>
          <w:numId w:val="49"/>
        </w:numPr>
        <w:spacing w:before="0"/>
        <w:rPr>
          <w:rFonts w:cs="Arial"/>
          <w:sz w:val="18"/>
          <w:szCs w:val="18"/>
        </w:rPr>
      </w:pPr>
      <w:r w:rsidRPr="00391592">
        <w:rPr>
          <w:rFonts w:cs="Arial"/>
          <w:sz w:val="18"/>
          <w:szCs w:val="18"/>
        </w:rPr>
        <w:t xml:space="preserve">any photographs and images; </w:t>
      </w:r>
    </w:p>
    <w:p w14:paraId="255F8CD2" w14:textId="77777777" w:rsidR="0060376E" w:rsidRPr="00391592" w:rsidRDefault="0060376E" w:rsidP="007D5286">
      <w:pPr>
        <w:pStyle w:val="ListParagraph"/>
        <w:numPr>
          <w:ilvl w:val="0"/>
          <w:numId w:val="49"/>
        </w:numPr>
        <w:spacing w:before="0"/>
        <w:rPr>
          <w:rFonts w:cs="Arial"/>
          <w:sz w:val="18"/>
          <w:szCs w:val="18"/>
        </w:rPr>
      </w:pPr>
      <w:r w:rsidRPr="00391592">
        <w:rPr>
          <w:rFonts w:cs="Arial"/>
          <w:sz w:val="18"/>
          <w:szCs w:val="18"/>
        </w:rPr>
        <w:t>any signatures; and</w:t>
      </w:r>
    </w:p>
    <w:p w14:paraId="5DAA08AA" w14:textId="63315A59" w:rsidR="0060376E" w:rsidRDefault="0060376E" w:rsidP="007D5286">
      <w:pPr>
        <w:pStyle w:val="ListParagraph"/>
        <w:numPr>
          <w:ilvl w:val="0"/>
          <w:numId w:val="49"/>
        </w:numPr>
        <w:spacing w:before="0"/>
        <w:rPr>
          <w:rFonts w:cs="Arial"/>
          <w:sz w:val="18"/>
          <w:szCs w:val="18"/>
        </w:rPr>
      </w:pPr>
      <w:r w:rsidRPr="00391592">
        <w:rPr>
          <w:rFonts w:cs="Arial"/>
          <w:sz w:val="18"/>
          <w:szCs w:val="18"/>
        </w:rPr>
        <w:t xml:space="preserve">any material belonging to third parties.  </w:t>
      </w:r>
    </w:p>
    <w:p w14:paraId="7763F3C7" w14:textId="77777777" w:rsidR="00CF06EF" w:rsidRPr="00CF06EF" w:rsidRDefault="00CF06EF" w:rsidP="00CF06EF">
      <w:pPr>
        <w:spacing w:before="0"/>
        <w:ind w:left="360"/>
        <w:rPr>
          <w:rFonts w:cs="Arial"/>
          <w:sz w:val="18"/>
          <w:szCs w:val="18"/>
        </w:rPr>
      </w:pPr>
    </w:p>
    <w:p w14:paraId="5F1B3A52" w14:textId="77777777" w:rsidR="0060376E" w:rsidRPr="00391592" w:rsidRDefault="0060376E" w:rsidP="0060376E">
      <w:pPr>
        <w:autoSpaceDE w:val="0"/>
        <w:autoSpaceDN w:val="0"/>
        <w:spacing w:line="181" w:lineRule="atLeast"/>
        <w:ind w:right="-766"/>
        <w:rPr>
          <w:rFonts w:cs="Arial"/>
          <w:sz w:val="18"/>
          <w:szCs w:val="18"/>
        </w:rPr>
      </w:pPr>
      <w:r w:rsidRPr="00391592">
        <w:rPr>
          <w:rFonts w:cs="Arial"/>
          <w:sz w:val="18"/>
          <w:szCs w:val="18"/>
        </w:rPr>
        <w:t>Attribution</w:t>
      </w:r>
    </w:p>
    <w:p w14:paraId="32995074" w14:textId="77777777" w:rsidR="0060376E" w:rsidRPr="00391592" w:rsidRDefault="0060376E" w:rsidP="0060376E">
      <w:pPr>
        <w:autoSpaceDE w:val="0"/>
        <w:autoSpaceDN w:val="0"/>
        <w:spacing w:line="181" w:lineRule="atLeast"/>
        <w:rPr>
          <w:rFonts w:cs="Arial"/>
          <w:sz w:val="18"/>
          <w:szCs w:val="18"/>
        </w:rPr>
      </w:pPr>
      <w:r w:rsidRPr="00391592">
        <w:rPr>
          <w:rFonts w:cs="Arial"/>
          <w:sz w:val="18"/>
          <w:szCs w:val="18"/>
        </w:rPr>
        <w:t xml:space="preserve">Without limiting your obligations under the Licence, the Department of Health requests that you attribute this publication in your work. Any reasonable form of words may be used </w:t>
      </w:r>
      <w:proofErr w:type="gramStart"/>
      <w:r w:rsidRPr="00391592">
        <w:rPr>
          <w:rFonts w:cs="Arial"/>
          <w:sz w:val="18"/>
          <w:szCs w:val="18"/>
        </w:rPr>
        <w:t>provided that</w:t>
      </w:r>
      <w:proofErr w:type="gramEnd"/>
      <w:r w:rsidRPr="00391592">
        <w:rPr>
          <w:rFonts w:cs="Arial"/>
          <w:sz w:val="18"/>
          <w:szCs w:val="18"/>
        </w:rPr>
        <w:t xml:space="preserve"> you:</w:t>
      </w:r>
    </w:p>
    <w:p w14:paraId="3EB044DD" w14:textId="77777777" w:rsidR="0060376E" w:rsidRPr="00391592" w:rsidRDefault="0060376E" w:rsidP="007D5286">
      <w:pPr>
        <w:pStyle w:val="ListParagraph"/>
        <w:numPr>
          <w:ilvl w:val="0"/>
          <w:numId w:val="50"/>
        </w:numPr>
        <w:autoSpaceDE w:val="0"/>
        <w:autoSpaceDN w:val="0"/>
        <w:spacing w:before="0" w:line="181" w:lineRule="atLeast"/>
        <w:jc w:val="both"/>
        <w:rPr>
          <w:rFonts w:cs="Arial"/>
          <w:sz w:val="18"/>
          <w:szCs w:val="18"/>
        </w:rPr>
      </w:pPr>
      <w:r w:rsidRPr="00391592">
        <w:rPr>
          <w:rFonts w:cs="Arial"/>
          <w:sz w:val="18"/>
          <w:szCs w:val="18"/>
        </w:rPr>
        <w:t xml:space="preserve">include a reference to this publication and where, practicable, the relevant page numbers; </w:t>
      </w:r>
    </w:p>
    <w:p w14:paraId="0B4E9A25" w14:textId="77777777" w:rsidR="0060376E" w:rsidRPr="00391592" w:rsidRDefault="0060376E" w:rsidP="007D5286">
      <w:pPr>
        <w:pStyle w:val="ListParagraph"/>
        <w:numPr>
          <w:ilvl w:val="0"/>
          <w:numId w:val="50"/>
        </w:numPr>
        <w:autoSpaceDE w:val="0"/>
        <w:autoSpaceDN w:val="0"/>
        <w:spacing w:before="0" w:line="181" w:lineRule="atLeast"/>
        <w:jc w:val="both"/>
        <w:rPr>
          <w:rFonts w:cs="Arial"/>
          <w:sz w:val="18"/>
          <w:szCs w:val="18"/>
        </w:rPr>
      </w:pPr>
      <w:r w:rsidRPr="00391592">
        <w:rPr>
          <w:rFonts w:cs="Arial"/>
          <w:sz w:val="18"/>
          <w:szCs w:val="18"/>
        </w:rPr>
        <w:t>make it clear that you have permission to use the material under the Creative Commons Attribution 4.0 International Public License;</w:t>
      </w:r>
    </w:p>
    <w:p w14:paraId="617C3855" w14:textId="77777777" w:rsidR="0060376E" w:rsidRPr="00391592" w:rsidRDefault="0060376E" w:rsidP="007D5286">
      <w:pPr>
        <w:pStyle w:val="ListParagraph"/>
        <w:numPr>
          <w:ilvl w:val="0"/>
          <w:numId w:val="50"/>
        </w:numPr>
        <w:autoSpaceDE w:val="0"/>
        <w:autoSpaceDN w:val="0"/>
        <w:spacing w:before="0" w:line="181" w:lineRule="atLeast"/>
        <w:jc w:val="both"/>
        <w:rPr>
          <w:rFonts w:cs="Arial"/>
          <w:sz w:val="18"/>
          <w:szCs w:val="18"/>
        </w:rPr>
      </w:pPr>
      <w:r w:rsidRPr="00391592">
        <w:rPr>
          <w:rFonts w:cs="Arial"/>
          <w:sz w:val="18"/>
          <w:szCs w:val="18"/>
        </w:rPr>
        <w:t xml:space="preserve">make it clear </w:t>
      </w:r>
      <w:proofErr w:type="gramStart"/>
      <w:r w:rsidRPr="00391592">
        <w:rPr>
          <w:rFonts w:cs="Arial"/>
          <w:sz w:val="18"/>
          <w:szCs w:val="18"/>
        </w:rPr>
        <w:t>whether or not</w:t>
      </w:r>
      <w:proofErr w:type="gramEnd"/>
      <w:r w:rsidRPr="00391592">
        <w:rPr>
          <w:rFonts w:cs="Arial"/>
          <w:sz w:val="18"/>
          <w:szCs w:val="18"/>
        </w:rPr>
        <w:t xml:space="preserve"> you have changed the material used from this publication; </w:t>
      </w:r>
    </w:p>
    <w:p w14:paraId="758A0C3D" w14:textId="377B0AD8" w:rsidR="0060376E" w:rsidRPr="00391592" w:rsidRDefault="0060376E" w:rsidP="007D5286">
      <w:pPr>
        <w:pStyle w:val="ListParagraph"/>
        <w:numPr>
          <w:ilvl w:val="0"/>
          <w:numId w:val="50"/>
        </w:numPr>
        <w:autoSpaceDE w:val="0"/>
        <w:autoSpaceDN w:val="0"/>
        <w:spacing w:before="0" w:line="181" w:lineRule="atLeast"/>
        <w:jc w:val="both"/>
        <w:rPr>
          <w:rFonts w:cs="Arial"/>
          <w:sz w:val="18"/>
          <w:szCs w:val="18"/>
        </w:rPr>
      </w:pPr>
      <w:r w:rsidRPr="00391592">
        <w:rPr>
          <w:rFonts w:cs="Arial"/>
          <w:sz w:val="18"/>
          <w:szCs w:val="18"/>
        </w:rPr>
        <w:t>include a copyright notice in relation to the material used. In the case of no change to the material, the words “© Commonwealth of Australia (Department of Health) 20</w:t>
      </w:r>
      <w:r w:rsidR="00EA0128" w:rsidRPr="00EA0128">
        <w:rPr>
          <w:rFonts w:cs="Arial"/>
          <w:sz w:val="18"/>
          <w:szCs w:val="18"/>
        </w:rPr>
        <w:t>20</w:t>
      </w:r>
      <w:r w:rsidRPr="00391592">
        <w:rPr>
          <w:rFonts w:cs="Arial"/>
          <w:sz w:val="18"/>
          <w:szCs w:val="18"/>
        </w:rPr>
        <w:t>” may be used. In the case where the material has been changed or adapted, the words: “Based on Commonwealth of Australia (Department of Health) material” may be used; and</w:t>
      </w:r>
    </w:p>
    <w:p w14:paraId="4C046790" w14:textId="77777777" w:rsidR="0060376E" w:rsidRPr="00391592" w:rsidRDefault="0060376E" w:rsidP="007D5286">
      <w:pPr>
        <w:pStyle w:val="ListParagraph"/>
        <w:numPr>
          <w:ilvl w:val="0"/>
          <w:numId w:val="50"/>
        </w:numPr>
        <w:autoSpaceDE w:val="0"/>
        <w:autoSpaceDN w:val="0"/>
        <w:spacing w:before="0" w:line="181" w:lineRule="atLeast"/>
        <w:jc w:val="both"/>
        <w:rPr>
          <w:rFonts w:cs="Arial"/>
          <w:sz w:val="18"/>
          <w:szCs w:val="18"/>
        </w:rPr>
      </w:pPr>
      <w:r w:rsidRPr="00391592">
        <w:rPr>
          <w:rFonts w:cs="Arial"/>
          <w:sz w:val="18"/>
          <w:szCs w:val="18"/>
        </w:rPr>
        <w:t>do not suggest that the Department of Health endorses you or your use of the material.</w:t>
      </w:r>
    </w:p>
    <w:p w14:paraId="6005CC43" w14:textId="77777777" w:rsidR="0060376E" w:rsidRPr="00391592" w:rsidRDefault="0060376E" w:rsidP="0060376E">
      <w:pPr>
        <w:pStyle w:val="ListParagraph"/>
        <w:tabs>
          <w:tab w:val="left" w:pos="426"/>
          <w:tab w:val="left" w:pos="1560"/>
        </w:tabs>
        <w:autoSpaceDE w:val="0"/>
        <w:autoSpaceDN w:val="0"/>
        <w:spacing w:before="120" w:line="181" w:lineRule="atLeast"/>
        <w:ind w:left="780" w:right="-766"/>
        <w:rPr>
          <w:rFonts w:cs="Arial"/>
          <w:sz w:val="18"/>
          <w:szCs w:val="18"/>
        </w:rPr>
      </w:pPr>
      <w:r w:rsidRPr="00391592">
        <w:rPr>
          <w:rFonts w:cs="Arial"/>
          <w:sz w:val="18"/>
          <w:szCs w:val="18"/>
        </w:rPr>
        <w:t>.</w:t>
      </w:r>
    </w:p>
    <w:p w14:paraId="597A1515" w14:textId="77777777" w:rsidR="0060376E" w:rsidRPr="00391592" w:rsidRDefault="0060376E" w:rsidP="0060376E">
      <w:pPr>
        <w:autoSpaceDE w:val="0"/>
        <w:autoSpaceDN w:val="0"/>
        <w:spacing w:after="240"/>
        <w:rPr>
          <w:rFonts w:cs="Arial"/>
          <w:sz w:val="18"/>
          <w:szCs w:val="18"/>
        </w:rPr>
      </w:pPr>
      <w:r w:rsidRPr="00391592">
        <w:rPr>
          <w:rFonts w:cs="Arial"/>
          <w:sz w:val="18"/>
          <w:szCs w:val="18"/>
        </w:rPr>
        <w:t>Enquiries</w:t>
      </w:r>
    </w:p>
    <w:p w14:paraId="26E1A5AF" w14:textId="6B24C229" w:rsidR="00212D77" w:rsidRDefault="0060376E" w:rsidP="0060376E">
      <w:pPr>
        <w:rPr>
          <w:rStyle w:val="Hyperlink"/>
          <w:rFonts w:eastAsia="MS Gothic" w:cs="Arial"/>
          <w:sz w:val="18"/>
          <w:szCs w:val="18"/>
        </w:rPr>
      </w:pPr>
      <w:r w:rsidRPr="00391592">
        <w:rPr>
          <w:rFonts w:cs="Arial"/>
          <w:sz w:val="18"/>
          <w:szCs w:val="18"/>
        </w:rPr>
        <w:t xml:space="preserve">Enquiries regarding any other use of this publication should be addressed to the Branch Manager, Communication Branch, Department of Health, GPO Box 9848, Canberra ACT 2601, or via e-mail to </w:t>
      </w:r>
      <w:hyperlink r:id="rId21" w:history="1">
        <w:r w:rsidRPr="00391592">
          <w:rPr>
            <w:rStyle w:val="Hyperlink"/>
            <w:rFonts w:eastAsia="MS Gothic" w:cs="Arial"/>
            <w:sz w:val="18"/>
            <w:szCs w:val="18"/>
          </w:rPr>
          <w:t>copyright@health.gov.au</w:t>
        </w:r>
      </w:hyperlink>
      <w:r>
        <w:rPr>
          <w:rStyle w:val="Hyperlink"/>
          <w:rFonts w:eastAsia="MS Gothic" w:cs="Arial"/>
          <w:sz w:val="18"/>
          <w:szCs w:val="18"/>
        </w:rPr>
        <w:t xml:space="preserve"> </w:t>
      </w:r>
    </w:p>
    <w:p w14:paraId="04B8D3AA" w14:textId="2DB57E99" w:rsidR="00212D77" w:rsidRDefault="00212D77" w:rsidP="00EA0128">
      <w:pPr>
        <w:spacing w:before="0" w:after="160" w:line="259" w:lineRule="auto"/>
        <w:rPr>
          <w:rStyle w:val="Hyperlink"/>
          <w:rFonts w:eastAsia="MS Gothic" w:cs="Arial"/>
          <w:sz w:val="18"/>
          <w:szCs w:val="18"/>
        </w:rPr>
      </w:pPr>
    </w:p>
    <w:p w14:paraId="3AF0D7AA" w14:textId="77777777" w:rsidR="00212D77" w:rsidRDefault="00212D77" w:rsidP="0060376E">
      <w:pPr>
        <w:rPr>
          <w:rStyle w:val="Hyperlink"/>
          <w:rFonts w:eastAsia="MS Gothic" w:cs="Arial"/>
          <w:sz w:val="18"/>
          <w:szCs w:val="18"/>
        </w:rPr>
      </w:pPr>
    </w:p>
    <w:p w14:paraId="3A8A6A82" w14:textId="419CE458" w:rsidR="00212D77" w:rsidRDefault="00212D77" w:rsidP="0060376E">
      <w:pPr>
        <w:rPr>
          <w:rStyle w:val="Hyperlink"/>
          <w:rFonts w:eastAsia="MS Gothic" w:cs="Arial"/>
          <w:sz w:val="18"/>
          <w:szCs w:val="18"/>
        </w:rPr>
        <w:sectPr w:rsidR="00212D77" w:rsidSect="00AA3231">
          <w:footerReference w:type="default" r:id="rId22"/>
          <w:pgSz w:w="11906" w:h="16838"/>
          <w:pgMar w:top="1440" w:right="1440" w:bottom="1440" w:left="1440" w:header="708" w:footer="708" w:gutter="0"/>
          <w:pgNumType w:fmt="lowerRoman" w:start="1"/>
          <w:cols w:space="708"/>
          <w:docGrid w:linePitch="360"/>
        </w:sectPr>
      </w:pPr>
    </w:p>
    <w:p w14:paraId="4A1E2761" w14:textId="188CA94B" w:rsidR="006B2C84" w:rsidRPr="00400300" w:rsidRDefault="006B2C84" w:rsidP="006B2C84">
      <w:pPr>
        <w:pStyle w:val="Style1notnumbered"/>
        <w:rPr>
          <w:lang w:val="en-AU"/>
        </w:rPr>
      </w:pPr>
      <w:bookmarkStart w:id="16" w:name="_Toc36196510"/>
      <w:bookmarkStart w:id="17" w:name="_Toc38021079"/>
      <w:r w:rsidRPr="00400300">
        <w:rPr>
          <w:lang w:val="en-AU"/>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6"/>
      <w:bookmarkEnd w:id="17"/>
    </w:p>
    <w:p w14:paraId="29B53BD9" w14:textId="11AE6A16" w:rsidR="00B53316" w:rsidRDefault="006B2C84">
      <w:pPr>
        <w:pStyle w:val="TOC1"/>
        <w:rPr>
          <w:rFonts w:cstheme="minorBidi"/>
          <w:b w:val="0"/>
          <w:sz w:val="22"/>
          <w:szCs w:val="22"/>
          <w:lang w:val="en-AU" w:eastAsia="en-AU"/>
        </w:rPr>
      </w:pPr>
      <w:r w:rsidRPr="00400300">
        <w:rPr>
          <w:lang w:val="en-AU"/>
        </w:rPr>
        <w:fldChar w:fldCharType="begin"/>
      </w:r>
      <w:r w:rsidRPr="00400300">
        <w:rPr>
          <w:lang w:val="en-AU"/>
        </w:rPr>
        <w:instrText xml:space="preserve"> TOC \o "1-2" \h \z \u </w:instrText>
      </w:r>
      <w:r w:rsidRPr="00400300">
        <w:rPr>
          <w:lang w:val="en-AU"/>
        </w:rPr>
        <w:fldChar w:fldCharType="separate"/>
      </w:r>
    </w:p>
    <w:p w14:paraId="28C5B146" w14:textId="69FEB9D5" w:rsidR="00B53316" w:rsidRDefault="00CC28D5">
      <w:pPr>
        <w:pStyle w:val="TOC1"/>
        <w:rPr>
          <w:rFonts w:cstheme="minorBidi"/>
          <w:b w:val="0"/>
          <w:sz w:val="22"/>
          <w:szCs w:val="22"/>
          <w:lang w:val="en-AU" w:eastAsia="en-AU"/>
        </w:rPr>
      </w:pPr>
      <w:hyperlink w:anchor="_Toc38021080" w:history="1">
        <w:r w:rsidR="00B53316" w:rsidRPr="003C057C">
          <w:rPr>
            <w:rStyle w:val="Hyperlink"/>
          </w:rPr>
          <w:t>Glossary and abbreviations</w:t>
        </w:r>
        <w:r w:rsidR="00B53316">
          <w:rPr>
            <w:webHidden/>
          </w:rPr>
          <w:tab/>
        </w:r>
        <w:r w:rsidR="00B53316">
          <w:rPr>
            <w:webHidden/>
          </w:rPr>
          <w:fldChar w:fldCharType="begin"/>
        </w:r>
        <w:r w:rsidR="00B53316">
          <w:rPr>
            <w:webHidden/>
          </w:rPr>
          <w:instrText xml:space="preserve"> PAGEREF _Toc38021080 \h </w:instrText>
        </w:r>
        <w:r w:rsidR="00B53316">
          <w:rPr>
            <w:webHidden/>
          </w:rPr>
        </w:r>
        <w:r w:rsidR="00B53316">
          <w:rPr>
            <w:webHidden/>
          </w:rPr>
          <w:fldChar w:fldCharType="separate"/>
        </w:r>
        <w:r w:rsidR="00E84433">
          <w:rPr>
            <w:webHidden/>
          </w:rPr>
          <w:t>ii</w:t>
        </w:r>
        <w:r w:rsidR="00B53316">
          <w:rPr>
            <w:webHidden/>
          </w:rPr>
          <w:fldChar w:fldCharType="end"/>
        </w:r>
      </w:hyperlink>
    </w:p>
    <w:p w14:paraId="432EA22C" w14:textId="1FEF50A8" w:rsidR="00B53316" w:rsidRDefault="00CC28D5">
      <w:pPr>
        <w:pStyle w:val="TOC1"/>
        <w:rPr>
          <w:rFonts w:cstheme="minorBidi"/>
          <w:b w:val="0"/>
          <w:sz w:val="22"/>
          <w:szCs w:val="22"/>
          <w:lang w:val="en-AU" w:eastAsia="en-AU"/>
        </w:rPr>
      </w:pPr>
      <w:hyperlink w:anchor="_Toc38021081" w:history="1">
        <w:r w:rsidR="00B53316" w:rsidRPr="003C057C">
          <w:rPr>
            <w:rStyle w:val="Hyperlink"/>
            <w:lang w:val="en-AU"/>
          </w:rPr>
          <w:t>National Injury Prevention Strategy overview</w:t>
        </w:r>
        <w:r w:rsidR="00B53316">
          <w:rPr>
            <w:webHidden/>
          </w:rPr>
          <w:tab/>
        </w:r>
        <w:r w:rsidR="00B53316">
          <w:rPr>
            <w:webHidden/>
          </w:rPr>
          <w:fldChar w:fldCharType="begin"/>
        </w:r>
        <w:r w:rsidR="00B53316">
          <w:rPr>
            <w:webHidden/>
          </w:rPr>
          <w:instrText xml:space="preserve"> PAGEREF _Toc38021081 \h </w:instrText>
        </w:r>
        <w:r w:rsidR="00B53316">
          <w:rPr>
            <w:webHidden/>
          </w:rPr>
        </w:r>
        <w:r w:rsidR="00B53316">
          <w:rPr>
            <w:webHidden/>
          </w:rPr>
          <w:fldChar w:fldCharType="separate"/>
        </w:r>
        <w:r w:rsidR="00E84433">
          <w:rPr>
            <w:webHidden/>
          </w:rPr>
          <w:t>1</w:t>
        </w:r>
        <w:r w:rsidR="00B53316">
          <w:rPr>
            <w:webHidden/>
          </w:rPr>
          <w:fldChar w:fldCharType="end"/>
        </w:r>
      </w:hyperlink>
    </w:p>
    <w:p w14:paraId="6F10405B" w14:textId="0A20C57E" w:rsidR="00B53316" w:rsidRDefault="00CC28D5">
      <w:pPr>
        <w:pStyle w:val="TOC1"/>
        <w:rPr>
          <w:rFonts w:cstheme="minorBidi"/>
          <w:b w:val="0"/>
          <w:sz w:val="22"/>
          <w:szCs w:val="22"/>
          <w:lang w:val="en-AU" w:eastAsia="en-AU"/>
        </w:rPr>
      </w:pPr>
      <w:hyperlink w:anchor="_Toc38021082" w:history="1">
        <w:r w:rsidR="00B53316" w:rsidRPr="003C057C">
          <w:rPr>
            <w:rStyle w:val="Hyperlink"/>
            <w:lang w:val="en-AU"/>
          </w:rPr>
          <w:t>1.</w:t>
        </w:r>
        <w:r w:rsidR="00B53316">
          <w:rPr>
            <w:rFonts w:cstheme="minorBidi"/>
            <w:b w:val="0"/>
            <w:sz w:val="22"/>
            <w:szCs w:val="22"/>
            <w:lang w:val="en-AU" w:eastAsia="en-AU"/>
          </w:rPr>
          <w:tab/>
        </w:r>
        <w:r w:rsidR="00B53316" w:rsidRPr="003C057C">
          <w:rPr>
            <w:rStyle w:val="Hyperlink"/>
            <w:lang w:val="en-AU"/>
          </w:rPr>
          <w:t>Introduction</w:t>
        </w:r>
        <w:r w:rsidR="00B53316">
          <w:rPr>
            <w:webHidden/>
          </w:rPr>
          <w:tab/>
        </w:r>
        <w:r w:rsidR="00B53316">
          <w:rPr>
            <w:webHidden/>
          </w:rPr>
          <w:fldChar w:fldCharType="begin"/>
        </w:r>
        <w:r w:rsidR="00B53316">
          <w:rPr>
            <w:webHidden/>
          </w:rPr>
          <w:instrText xml:space="preserve"> PAGEREF _Toc38021082 \h </w:instrText>
        </w:r>
        <w:r w:rsidR="00B53316">
          <w:rPr>
            <w:webHidden/>
          </w:rPr>
        </w:r>
        <w:r w:rsidR="00B53316">
          <w:rPr>
            <w:webHidden/>
          </w:rPr>
          <w:fldChar w:fldCharType="separate"/>
        </w:r>
        <w:r w:rsidR="00E84433">
          <w:rPr>
            <w:webHidden/>
          </w:rPr>
          <w:t>2</w:t>
        </w:r>
        <w:r w:rsidR="00B53316">
          <w:rPr>
            <w:webHidden/>
          </w:rPr>
          <w:fldChar w:fldCharType="end"/>
        </w:r>
      </w:hyperlink>
    </w:p>
    <w:p w14:paraId="5D81E31C" w14:textId="48FB32D7" w:rsidR="00B53316" w:rsidRDefault="00CC28D5">
      <w:pPr>
        <w:pStyle w:val="TOC1"/>
        <w:rPr>
          <w:rFonts w:cstheme="minorBidi"/>
          <w:b w:val="0"/>
          <w:sz w:val="22"/>
          <w:szCs w:val="22"/>
          <w:lang w:val="en-AU" w:eastAsia="en-AU"/>
        </w:rPr>
      </w:pPr>
      <w:hyperlink w:anchor="_Toc38021083" w:history="1">
        <w:r w:rsidR="00B53316" w:rsidRPr="003C057C">
          <w:rPr>
            <w:rStyle w:val="Hyperlink"/>
            <w:lang w:val="en-AU"/>
          </w:rPr>
          <w:t>2.</w:t>
        </w:r>
        <w:r w:rsidR="00B53316">
          <w:rPr>
            <w:rFonts w:cstheme="minorBidi"/>
            <w:b w:val="0"/>
            <w:sz w:val="22"/>
            <w:szCs w:val="22"/>
            <w:lang w:val="en-AU" w:eastAsia="en-AU"/>
          </w:rPr>
          <w:tab/>
        </w:r>
        <w:r w:rsidR="00B53316" w:rsidRPr="003C057C">
          <w:rPr>
            <w:rStyle w:val="Hyperlink"/>
            <w:lang w:val="en-AU"/>
          </w:rPr>
          <w:t>Setting the scene</w:t>
        </w:r>
        <w:r w:rsidR="00B53316">
          <w:rPr>
            <w:webHidden/>
          </w:rPr>
          <w:tab/>
        </w:r>
        <w:r w:rsidR="00B53316">
          <w:rPr>
            <w:webHidden/>
          </w:rPr>
          <w:fldChar w:fldCharType="begin"/>
        </w:r>
        <w:r w:rsidR="00B53316">
          <w:rPr>
            <w:webHidden/>
          </w:rPr>
          <w:instrText xml:space="preserve"> PAGEREF _Toc38021083 \h </w:instrText>
        </w:r>
        <w:r w:rsidR="00B53316">
          <w:rPr>
            <w:webHidden/>
          </w:rPr>
        </w:r>
        <w:r w:rsidR="00B53316">
          <w:rPr>
            <w:webHidden/>
          </w:rPr>
          <w:fldChar w:fldCharType="separate"/>
        </w:r>
        <w:r w:rsidR="00E84433">
          <w:rPr>
            <w:webHidden/>
          </w:rPr>
          <w:t>4</w:t>
        </w:r>
        <w:r w:rsidR="00B53316">
          <w:rPr>
            <w:webHidden/>
          </w:rPr>
          <w:fldChar w:fldCharType="end"/>
        </w:r>
      </w:hyperlink>
    </w:p>
    <w:p w14:paraId="5AF29358" w14:textId="3A54636C" w:rsidR="00B53316" w:rsidRDefault="00CC28D5">
      <w:pPr>
        <w:pStyle w:val="TOC2"/>
        <w:rPr>
          <w:rFonts w:cstheme="minorBidi"/>
          <w:noProof/>
          <w:sz w:val="22"/>
          <w:szCs w:val="22"/>
          <w:lang w:val="en-AU" w:eastAsia="en-AU"/>
        </w:rPr>
      </w:pPr>
      <w:hyperlink w:anchor="_Toc38021084" w:history="1">
        <w:r w:rsidR="00B53316" w:rsidRPr="003C057C">
          <w:rPr>
            <w:rStyle w:val="Hyperlink"/>
            <w:noProof/>
            <w:lang w:val="en-AU"/>
          </w:rPr>
          <w:t>Injuries at a glance</w:t>
        </w:r>
        <w:r w:rsidR="00B53316">
          <w:rPr>
            <w:noProof/>
            <w:webHidden/>
          </w:rPr>
          <w:tab/>
        </w:r>
        <w:r w:rsidR="00B53316">
          <w:rPr>
            <w:noProof/>
            <w:webHidden/>
          </w:rPr>
          <w:fldChar w:fldCharType="begin"/>
        </w:r>
        <w:r w:rsidR="00B53316">
          <w:rPr>
            <w:noProof/>
            <w:webHidden/>
          </w:rPr>
          <w:instrText xml:space="preserve"> PAGEREF _Toc38021084 \h </w:instrText>
        </w:r>
        <w:r w:rsidR="00B53316">
          <w:rPr>
            <w:noProof/>
            <w:webHidden/>
          </w:rPr>
        </w:r>
        <w:r w:rsidR="00B53316">
          <w:rPr>
            <w:noProof/>
            <w:webHidden/>
          </w:rPr>
          <w:fldChar w:fldCharType="separate"/>
        </w:r>
        <w:r w:rsidR="00E84433">
          <w:rPr>
            <w:noProof/>
            <w:webHidden/>
          </w:rPr>
          <w:t>4</w:t>
        </w:r>
        <w:r w:rsidR="00B53316">
          <w:rPr>
            <w:noProof/>
            <w:webHidden/>
          </w:rPr>
          <w:fldChar w:fldCharType="end"/>
        </w:r>
      </w:hyperlink>
    </w:p>
    <w:p w14:paraId="270B7F92" w14:textId="3A6A4927" w:rsidR="00B53316" w:rsidRDefault="00CC28D5">
      <w:pPr>
        <w:pStyle w:val="TOC2"/>
        <w:rPr>
          <w:rFonts w:cstheme="minorBidi"/>
          <w:noProof/>
          <w:sz w:val="22"/>
          <w:szCs w:val="22"/>
          <w:lang w:val="en-AU" w:eastAsia="en-AU"/>
        </w:rPr>
      </w:pPr>
      <w:hyperlink w:anchor="_Toc38021085" w:history="1">
        <w:r w:rsidR="00B53316" w:rsidRPr="003C057C">
          <w:rPr>
            <w:rStyle w:val="Hyperlink"/>
            <w:noProof/>
            <w:lang w:val="en-AU"/>
          </w:rPr>
          <w:t>What are injuries?</w:t>
        </w:r>
        <w:r w:rsidR="00B53316">
          <w:rPr>
            <w:noProof/>
            <w:webHidden/>
          </w:rPr>
          <w:tab/>
        </w:r>
        <w:r w:rsidR="00B53316">
          <w:rPr>
            <w:noProof/>
            <w:webHidden/>
          </w:rPr>
          <w:fldChar w:fldCharType="begin"/>
        </w:r>
        <w:r w:rsidR="00B53316">
          <w:rPr>
            <w:noProof/>
            <w:webHidden/>
          </w:rPr>
          <w:instrText xml:space="preserve"> PAGEREF _Toc38021085 \h </w:instrText>
        </w:r>
        <w:r w:rsidR="00B53316">
          <w:rPr>
            <w:noProof/>
            <w:webHidden/>
          </w:rPr>
        </w:r>
        <w:r w:rsidR="00B53316">
          <w:rPr>
            <w:noProof/>
            <w:webHidden/>
          </w:rPr>
          <w:fldChar w:fldCharType="separate"/>
        </w:r>
        <w:r w:rsidR="00E84433">
          <w:rPr>
            <w:noProof/>
            <w:webHidden/>
          </w:rPr>
          <w:t>5</w:t>
        </w:r>
        <w:r w:rsidR="00B53316">
          <w:rPr>
            <w:noProof/>
            <w:webHidden/>
          </w:rPr>
          <w:fldChar w:fldCharType="end"/>
        </w:r>
      </w:hyperlink>
    </w:p>
    <w:p w14:paraId="7F29CD64" w14:textId="027F8635" w:rsidR="00B53316" w:rsidRDefault="00CC28D5">
      <w:pPr>
        <w:pStyle w:val="TOC2"/>
        <w:rPr>
          <w:rFonts w:cstheme="minorBidi"/>
          <w:noProof/>
          <w:sz w:val="22"/>
          <w:szCs w:val="22"/>
          <w:lang w:val="en-AU" w:eastAsia="en-AU"/>
        </w:rPr>
      </w:pPr>
      <w:hyperlink w:anchor="_Toc38021086" w:history="1">
        <w:r w:rsidR="00B53316" w:rsidRPr="003C057C">
          <w:rPr>
            <w:rStyle w:val="Hyperlink"/>
            <w:noProof/>
            <w:lang w:val="en-AU"/>
          </w:rPr>
          <w:t>Injuries are preventable</w:t>
        </w:r>
        <w:r w:rsidR="00B53316">
          <w:rPr>
            <w:noProof/>
            <w:webHidden/>
          </w:rPr>
          <w:tab/>
        </w:r>
        <w:r w:rsidR="00B53316">
          <w:rPr>
            <w:noProof/>
            <w:webHidden/>
          </w:rPr>
          <w:fldChar w:fldCharType="begin"/>
        </w:r>
        <w:r w:rsidR="00B53316">
          <w:rPr>
            <w:noProof/>
            <w:webHidden/>
          </w:rPr>
          <w:instrText xml:space="preserve"> PAGEREF _Toc38021086 \h </w:instrText>
        </w:r>
        <w:r w:rsidR="00B53316">
          <w:rPr>
            <w:noProof/>
            <w:webHidden/>
          </w:rPr>
        </w:r>
        <w:r w:rsidR="00B53316">
          <w:rPr>
            <w:noProof/>
            <w:webHidden/>
          </w:rPr>
          <w:fldChar w:fldCharType="separate"/>
        </w:r>
        <w:r w:rsidR="00E84433">
          <w:rPr>
            <w:noProof/>
            <w:webHidden/>
          </w:rPr>
          <w:t>5</w:t>
        </w:r>
        <w:r w:rsidR="00B53316">
          <w:rPr>
            <w:noProof/>
            <w:webHidden/>
          </w:rPr>
          <w:fldChar w:fldCharType="end"/>
        </w:r>
      </w:hyperlink>
    </w:p>
    <w:p w14:paraId="01B96EDE" w14:textId="15E3DA92" w:rsidR="00B53316" w:rsidRDefault="00CC28D5">
      <w:pPr>
        <w:pStyle w:val="TOC2"/>
        <w:rPr>
          <w:rFonts w:cstheme="minorBidi"/>
          <w:noProof/>
          <w:sz w:val="22"/>
          <w:szCs w:val="22"/>
          <w:lang w:val="en-AU" w:eastAsia="en-AU"/>
        </w:rPr>
      </w:pPr>
      <w:hyperlink w:anchor="_Toc38021087" w:history="1">
        <w:r w:rsidR="00B53316" w:rsidRPr="003C057C">
          <w:rPr>
            <w:rStyle w:val="Hyperlink"/>
            <w:noProof/>
            <w:lang w:val="en-AU"/>
          </w:rPr>
          <w:t>Where are we up to?</w:t>
        </w:r>
        <w:r w:rsidR="00B53316">
          <w:rPr>
            <w:noProof/>
            <w:webHidden/>
          </w:rPr>
          <w:tab/>
        </w:r>
        <w:r w:rsidR="00B53316">
          <w:rPr>
            <w:noProof/>
            <w:webHidden/>
          </w:rPr>
          <w:fldChar w:fldCharType="begin"/>
        </w:r>
        <w:r w:rsidR="00B53316">
          <w:rPr>
            <w:noProof/>
            <w:webHidden/>
          </w:rPr>
          <w:instrText xml:space="preserve"> PAGEREF _Toc38021087 \h </w:instrText>
        </w:r>
        <w:r w:rsidR="00B53316">
          <w:rPr>
            <w:noProof/>
            <w:webHidden/>
          </w:rPr>
        </w:r>
        <w:r w:rsidR="00B53316">
          <w:rPr>
            <w:noProof/>
            <w:webHidden/>
          </w:rPr>
          <w:fldChar w:fldCharType="separate"/>
        </w:r>
        <w:r w:rsidR="00E84433">
          <w:rPr>
            <w:noProof/>
            <w:webHidden/>
          </w:rPr>
          <w:t>7</w:t>
        </w:r>
        <w:r w:rsidR="00B53316">
          <w:rPr>
            <w:noProof/>
            <w:webHidden/>
          </w:rPr>
          <w:fldChar w:fldCharType="end"/>
        </w:r>
      </w:hyperlink>
    </w:p>
    <w:p w14:paraId="41DEDFBD" w14:textId="2857F26B" w:rsidR="00B53316" w:rsidRDefault="00CC28D5">
      <w:pPr>
        <w:pStyle w:val="TOC1"/>
        <w:rPr>
          <w:rFonts w:cstheme="minorBidi"/>
          <w:b w:val="0"/>
          <w:sz w:val="22"/>
          <w:szCs w:val="22"/>
          <w:lang w:val="en-AU" w:eastAsia="en-AU"/>
        </w:rPr>
      </w:pPr>
      <w:hyperlink w:anchor="_Toc38021088" w:history="1">
        <w:r w:rsidR="00B53316" w:rsidRPr="003C057C">
          <w:rPr>
            <w:rStyle w:val="Hyperlink"/>
            <w:lang w:val="en-AU"/>
          </w:rPr>
          <w:t>3.</w:t>
        </w:r>
        <w:r w:rsidR="00B53316">
          <w:rPr>
            <w:rFonts w:cstheme="minorBidi"/>
            <w:b w:val="0"/>
            <w:sz w:val="22"/>
            <w:szCs w:val="22"/>
            <w:lang w:val="en-AU" w:eastAsia="en-AU"/>
          </w:rPr>
          <w:tab/>
        </w:r>
        <w:r w:rsidR="00B53316" w:rsidRPr="003C057C">
          <w:rPr>
            <w:rStyle w:val="Hyperlink"/>
            <w:lang w:val="en-AU"/>
          </w:rPr>
          <w:t>Vision</w:t>
        </w:r>
        <w:r w:rsidR="00B53316">
          <w:rPr>
            <w:webHidden/>
          </w:rPr>
          <w:tab/>
        </w:r>
        <w:r w:rsidR="00B53316">
          <w:rPr>
            <w:webHidden/>
          </w:rPr>
          <w:fldChar w:fldCharType="begin"/>
        </w:r>
        <w:r w:rsidR="00B53316">
          <w:rPr>
            <w:webHidden/>
          </w:rPr>
          <w:instrText xml:space="preserve"> PAGEREF _Toc38021088 \h </w:instrText>
        </w:r>
        <w:r w:rsidR="00B53316">
          <w:rPr>
            <w:webHidden/>
          </w:rPr>
        </w:r>
        <w:r w:rsidR="00B53316">
          <w:rPr>
            <w:webHidden/>
          </w:rPr>
          <w:fldChar w:fldCharType="separate"/>
        </w:r>
        <w:r w:rsidR="00E84433">
          <w:rPr>
            <w:webHidden/>
          </w:rPr>
          <w:t>8</w:t>
        </w:r>
        <w:r w:rsidR="00B53316">
          <w:rPr>
            <w:webHidden/>
          </w:rPr>
          <w:fldChar w:fldCharType="end"/>
        </w:r>
      </w:hyperlink>
    </w:p>
    <w:p w14:paraId="1E3A2C22" w14:textId="634B9D6E" w:rsidR="00B53316" w:rsidRDefault="00CC28D5">
      <w:pPr>
        <w:pStyle w:val="TOC1"/>
        <w:rPr>
          <w:rFonts w:cstheme="minorBidi"/>
          <w:b w:val="0"/>
          <w:sz w:val="22"/>
          <w:szCs w:val="22"/>
          <w:lang w:val="en-AU" w:eastAsia="en-AU"/>
        </w:rPr>
      </w:pPr>
      <w:hyperlink w:anchor="_Toc38021089" w:history="1">
        <w:r w:rsidR="00B53316" w:rsidRPr="003C057C">
          <w:rPr>
            <w:rStyle w:val="Hyperlink"/>
            <w:lang w:val="en-AU"/>
          </w:rPr>
          <w:t>4.</w:t>
        </w:r>
        <w:r w:rsidR="00B53316">
          <w:rPr>
            <w:rFonts w:cstheme="minorBidi"/>
            <w:b w:val="0"/>
            <w:sz w:val="22"/>
            <w:szCs w:val="22"/>
            <w:lang w:val="en-AU" w:eastAsia="en-AU"/>
          </w:rPr>
          <w:tab/>
        </w:r>
        <w:r w:rsidR="00B53316" w:rsidRPr="003C057C">
          <w:rPr>
            <w:rStyle w:val="Hyperlink"/>
            <w:lang w:val="en-AU"/>
          </w:rPr>
          <w:t>Call for action</w:t>
        </w:r>
        <w:r w:rsidR="00B53316">
          <w:rPr>
            <w:webHidden/>
          </w:rPr>
          <w:tab/>
        </w:r>
        <w:r w:rsidR="00B53316">
          <w:rPr>
            <w:webHidden/>
          </w:rPr>
          <w:fldChar w:fldCharType="begin"/>
        </w:r>
        <w:r w:rsidR="00B53316">
          <w:rPr>
            <w:webHidden/>
          </w:rPr>
          <w:instrText xml:space="preserve"> PAGEREF _Toc38021089 \h </w:instrText>
        </w:r>
        <w:r w:rsidR="00B53316">
          <w:rPr>
            <w:webHidden/>
          </w:rPr>
        </w:r>
        <w:r w:rsidR="00B53316">
          <w:rPr>
            <w:webHidden/>
          </w:rPr>
          <w:fldChar w:fldCharType="separate"/>
        </w:r>
        <w:r w:rsidR="00E84433">
          <w:rPr>
            <w:webHidden/>
          </w:rPr>
          <w:t>8</w:t>
        </w:r>
        <w:r w:rsidR="00B53316">
          <w:rPr>
            <w:webHidden/>
          </w:rPr>
          <w:fldChar w:fldCharType="end"/>
        </w:r>
      </w:hyperlink>
    </w:p>
    <w:p w14:paraId="38BBCFFF" w14:textId="3F0B89DD" w:rsidR="00B53316" w:rsidRDefault="00CC28D5">
      <w:pPr>
        <w:pStyle w:val="TOC2"/>
        <w:rPr>
          <w:rFonts w:cstheme="minorBidi"/>
          <w:noProof/>
          <w:sz w:val="22"/>
          <w:szCs w:val="22"/>
          <w:lang w:val="en-AU" w:eastAsia="en-AU"/>
        </w:rPr>
      </w:pPr>
      <w:hyperlink w:anchor="_Toc38021090" w:history="1">
        <w:r w:rsidR="00B53316" w:rsidRPr="003C057C">
          <w:rPr>
            <w:rStyle w:val="Hyperlink"/>
            <w:noProof/>
            <w:lang w:val="en-AU"/>
          </w:rPr>
          <w:t>Principles</w:t>
        </w:r>
        <w:r w:rsidR="00B53316">
          <w:rPr>
            <w:noProof/>
            <w:webHidden/>
          </w:rPr>
          <w:tab/>
        </w:r>
        <w:r w:rsidR="00B53316">
          <w:rPr>
            <w:noProof/>
            <w:webHidden/>
          </w:rPr>
          <w:fldChar w:fldCharType="begin"/>
        </w:r>
        <w:r w:rsidR="00B53316">
          <w:rPr>
            <w:noProof/>
            <w:webHidden/>
          </w:rPr>
          <w:instrText xml:space="preserve"> PAGEREF _Toc38021090 \h </w:instrText>
        </w:r>
        <w:r w:rsidR="00B53316">
          <w:rPr>
            <w:noProof/>
            <w:webHidden/>
          </w:rPr>
        </w:r>
        <w:r w:rsidR="00B53316">
          <w:rPr>
            <w:noProof/>
            <w:webHidden/>
          </w:rPr>
          <w:fldChar w:fldCharType="separate"/>
        </w:r>
        <w:r w:rsidR="00E84433">
          <w:rPr>
            <w:noProof/>
            <w:webHidden/>
          </w:rPr>
          <w:t>8</w:t>
        </w:r>
        <w:r w:rsidR="00B53316">
          <w:rPr>
            <w:noProof/>
            <w:webHidden/>
          </w:rPr>
          <w:fldChar w:fldCharType="end"/>
        </w:r>
      </w:hyperlink>
    </w:p>
    <w:p w14:paraId="18273398" w14:textId="09E1F9A0" w:rsidR="00B53316" w:rsidRDefault="00CC28D5">
      <w:pPr>
        <w:pStyle w:val="TOC1"/>
        <w:rPr>
          <w:rFonts w:cstheme="minorBidi"/>
          <w:b w:val="0"/>
          <w:sz w:val="22"/>
          <w:szCs w:val="22"/>
          <w:lang w:val="en-AU" w:eastAsia="en-AU"/>
        </w:rPr>
      </w:pPr>
      <w:hyperlink w:anchor="_Toc38021091" w:history="1">
        <w:r w:rsidR="00B53316" w:rsidRPr="003C057C">
          <w:rPr>
            <w:rStyle w:val="Hyperlink"/>
            <w:lang w:val="en-AU"/>
          </w:rPr>
          <w:t>5.</w:t>
        </w:r>
        <w:r w:rsidR="00B53316">
          <w:rPr>
            <w:rFonts w:cstheme="minorBidi"/>
            <w:b w:val="0"/>
            <w:sz w:val="22"/>
            <w:szCs w:val="22"/>
            <w:lang w:val="en-AU" w:eastAsia="en-AU"/>
          </w:rPr>
          <w:tab/>
        </w:r>
        <w:r w:rsidR="00B53316" w:rsidRPr="003C057C">
          <w:rPr>
            <w:rStyle w:val="Hyperlink"/>
            <w:lang w:val="en-AU"/>
          </w:rPr>
          <w:t>Priority populations</w:t>
        </w:r>
        <w:r w:rsidR="00B53316">
          <w:rPr>
            <w:webHidden/>
          </w:rPr>
          <w:tab/>
        </w:r>
        <w:r w:rsidR="00B53316">
          <w:rPr>
            <w:webHidden/>
          </w:rPr>
          <w:fldChar w:fldCharType="begin"/>
        </w:r>
        <w:r w:rsidR="00B53316">
          <w:rPr>
            <w:webHidden/>
          </w:rPr>
          <w:instrText xml:space="preserve"> PAGEREF _Toc38021091 \h </w:instrText>
        </w:r>
        <w:r w:rsidR="00B53316">
          <w:rPr>
            <w:webHidden/>
          </w:rPr>
        </w:r>
        <w:r w:rsidR="00B53316">
          <w:rPr>
            <w:webHidden/>
          </w:rPr>
          <w:fldChar w:fldCharType="separate"/>
        </w:r>
        <w:r w:rsidR="00E84433">
          <w:rPr>
            <w:webHidden/>
          </w:rPr>
          <w:t>10</w:t>
        </w:r>
        <w:r w:rsidR="00B53316">
          <w:rPr>
            <w:webHidden/>
          </w:rPr>
          <w:fldChar w:fldCharType="end"/>
        </w:r>
      </w:hyperlink>
    </w:p>
    <w:p w14:paraId="32F30C69" w14:textId="4A0CA119" w:rsidR="00B53316" w:rsidRDefault="00CC28D5">
      <w:pPr>
        <w:pStyle w:val="TOC2"/>
        <w:rPr>
          <w:rFonts w:cstheme="minorBidi"/>
          <w:noProof/>
          <w:sz w:val="22"/>
          <w:szCs w:val="22"/>
          <w:lang w:val="en-AU" w:eastAsia="en-AU"/>
        </w:rPr>
      </w:pPr>
      <w:hyperlink w:anchor="_Toc38021092" w:history="1">
        <w:r w:rsidR="00B53316" w:rsidRPr="003C057C">
          <w:rPr>
            <w:rStyle w:val="Hyperlink"/>
            <w:noProof/>
            <w:lang w:val="en-AU"/>
          </w:rPr>
          <w:t>Aboriginal and Torres Strait Islander people</w:t>
        </w:r>
        <w:r w:rsidR="00B53316">
          <w:rPr>
            <w:noProof/>
            <w:webHidden/>
          </w:rPr>
          <w:tab/>
        </w:r>
        <w:r w:rsidR="00B53316">
          <w:rPr>
            <w:noProof/>
            <w:webHidden/>
          </w:rPr>
          <w:fldChar w:fldCharType="begin"/>
        </w:r>
        <w:r w:rsidR="00B53316">
          <w:rPr>
            <w:noProof/>
            <w:webHidden/>
          </w:rPr>
          <w:instrText xml:space="preserve"> PAGEREF _Toc38021092 \h </w:instrText>
        </w:r>
        <w:r w:rsidR="00B53316">
          <w:rPr>
            <w:noProof/>
            <w:webHidden/>
          </w:rPr>
        </w:r>
        <w:r w:rsidR="00B53316">
          <w:rPr>
            <w:noProof/>
            <w:webHidden/>
          </w:rPr>
          <w:fldChar w:fldCharType="separate"/>
        </w:r>
        <w:r w:rsidR="00E84433">
          <w:rPr>
            <w:noProof/>
            <w:webHidden/>
          </w:rPr>
          <w:t>10</w:t>
        </w:r>
        <w:r w:rsidR="00B53316">
          <w:rPr>
            <w:noProof/>
            <w:webHidden/>
          </w:rPr>
          <w:fldChar w:fldCharType="end"/>
        </w:r>
      </w:hyperlink>
    </w:p>
    <w:p w14:paraId="312FE8D8" w14:textId="7A782875" w:rsidR="00B53316" w:rsidRDefault="00CC28D5">
      <w:pPr>
        <w:pStyle w:val="TOC2"/>
        <w:rPr>
          <w:rFonts w:cstheme="minorBidi"/>
          <w:noProof/>
          <w:sz w:val="22"/>
          <w:szCs w:val="22"/>
          <w:lang w:val="en-AU" w:eastAsia="en-AU"/>
        </w:rPr>
      </w:pPr>
      <w:hyperlink w:anchor="_Toc38021093" w:history="1">
        <w:r w:rsidR="00B53316" w:rsidRPr="003C057C">
          <w:rPr>
            <w:rStyle w:val="Hyperlink"/>
            <w:noProof/>
            <w:lang w:val="en-AU"/>
          </w:rPr>
          <w:t>Rural and remote populations</w:t>
        </w:r>
        <w:r w:rsidR="00B53316">
          <w:rPr>
            <w:noProof/>
            <w:webHidden/>
          </w:rPr>
          <w:tab/>
        </w:r>
        <w:r w:rsidR="00B53316">
          <w:rPr>
            <w:noProof/>
            <w:webHidden/>
          </w:rPr>
          <w:fldChar w:fldCharType="begin"/>
        </w:r>
        <w:r w:rsidR="00B53316">
          <w:rPr>
            <w:noProof/>
            <w:webHidden/>
          </w:rPr>
          <w:instrText xml:space="preserve"> PAGEREF _Toc38021093 \h </w:instrText>
        </w:r>
        <w:r w:rsidR="00B53316">
          <w:rPr>
            <w:noProof/>
            <w:webHidden/>
          </w:rPr>
        </w:r>
        <w:r w:rsidR="00B53316">
          <w:rPr>
            <w:noProof/>
            <w:webHidden/>
          </w:rPr>
          <w:fldChar w:fldCharType="separate"/>
        </w:r>
        <w:r w:rsidR="00E84433">
          <w:rPr>
            <w:noProof/>
            <w:webHidden/>
          </w:rPr>
          <w:t>15</w:t>
        </w:r>
        <w:r w:rsidR="00B53316">
          <w:rPr>
            <w:noProof/>
            <w:webHidden/>
          </w:rPr>
          <w:fldChar w:fldCharType="end"/>
        </w:r>
      </w:hyperlink>
    </w:p>
    <w:p w14:paraId="16047200" w14:textId="3320C392" w:rsidR="00B53316" w:rsidRDefault="00CC28D5">
      <w:pPr>
        <w:pStyle w:val="TOC2"/>
        <w:rPr>
          <w:rFonts w:cstheme="minorBidi"/>
          <w:noProof/>
          <w:sz w:val="22"/>
          <w:szCs w:val="22"/>
          <w:lang w:val="en-AU" w:eastAsia="en-AU"/>
        </w:rPr>
      </w:pPr>
      <w:hyperlink w:anchor="_Toc38021094" w:history="1">
        <w:r w:rsidR="00B53316" w:rsidRPr="003C057C">
          <w:rPr>
            <w:rStyle w:val="Hyperlink"/>
            <w:noProof/>
            <w:lang w:val="en-AU"/>
          </w:rPr>
          <w:t>Socio-economically disadvantaged people</w:t>
        </w:r>
        <w:r w:rsidR="00B53316">
          <w:rPr>
            <w:noProof/>
            <w:webHidden/>
          </w:rPr>
          <w:tab/>
        </w:r>
        <w:r w:rsidR="00B53316">
          <w:rPr>
            <w:noProof/>
            <w:webHidden/>
          </w:rPr>
          <w:fldChar w:fldCharType="begin"/>
        </w:r>
        <w:r w:rsidR="00B53316">
          <w:rPr>
            <w:noProof/>
            <w:webHidden/>
          </w:rPr>
          <w:instrText xml:space="preserve"> PAGEREF _Toc38021094 \h </w:instrText>
        </w:r>
        <w:r w:rsidR="00B53316">
          <w:rPr>
            <w:noProof/>
            <w:webHidden/>
          </w:rPr>
        </w:r>
        <w:r w:rsidR="00B53316">
          <w:rPr>
            <w:noProof/>
            <w:webHidden/>
          </w:rPr>
          <w:fldChar w:fldCharType="separate"/>
        </w:r>
        <w:r w:rsidR="00E84433">
          <w:rPr>
            <w:noProof/>
            <w:webHidden/>
          </w:rPr>
          <w:t>16</w:t>
        </w:r>
        <w:r w:rsidR="00B53316">
          <w:rPr>
            <w:noProof/>
            <w:webHidden/>
          </w:rPr>
          <w:fldChar w:fldCharType="end"/>
        </w:r>
      </w:hyperlink>
    </w:p>
    <w:p w14:paraId="43962113" w14:textId="6F773DA6" w:rsidR="00B53316" w:rsidRDefault="00CC28D5">
      <w:pPr>
        <w:pStyle w:val="TOC2"/>
        <w:rPr>
          <w:rFonts w:cstheme="minorBidi"/>
          <w:noProof/>
          <w:sz w:val="22"/>
          <w:szCs w:val="22"/>
          <w:lang w:val="en-AU" w:eastAsia="en-AU"/>
        </w:rPr>
      </w:pPr>
      <w:hyperlink w:anchor="_Toc38021095" w:history="1">
        <w:r w:rsidR="00B53316" w:rsidRPr="003C057C">
          <w:rPr>
            <w:rStyle w:val="Hyperlink"/>
            <w:noProof/>
            <w:lang w:val="en-AU"/>
          </w:rPr>
          <w:t>Priority areas for action across the priority population groups</w:t>
        </w:r>
        <w:r w:rsidR="00B53316">
          <w:rPr>
            <w:noProof/>
            <w:webHidden/>
          </w:rPr>
          <w:tab/>
        </w:r>
        <w:r w:rsidR="00B53316">
          <w:rPr>
            <w:noProof/>
            <w:webHidden/>
          </w:rPr>
          <w:fldChar w:fldCharType="begin"/>
        </w:r>
        <w:r w:rsidR="00B53316">
          <w:rPr>
            <w:noProof/>
            <w:webHidden/>
          </w:rPr>
          <w:instrText xml:space="preserve"> PAGEREF _Toc38021095 \h </w:instrText>
        </w:r>
        <w:r w:rsidR="00B53316">
          <w:rPr>
            <w:noProof/>
            <w:webHidden/>
          </w:rPr>
        </w:r>
        <w:r w:rsidR="00B53316">
          <w:rPr>
            <w:noProof/>
            <w:webHidden/>
          </w:rPr>
          <w:fldChar w:fldCharType="separate"/>
        </w:r>
        <w:r w:rsidR="00E84433">
          <w:rPr>
            <w:noProof/>
            <w:webHidden/>
          </w:rPr>
          <w:t>17</w:t>
        </w:r>
        <w:r w:rsidR="00B53316">
          <w:rPr>
            <w:noProof/>
            <w:webHidden/>
          </w:rPr>
          <w:fldChar w:fldCharType="end"/>
        </w:r>
      </w:hyperlink>
    </w:p>
    <w:p w14:paraId="717F9CC8" w14:textId="26D051B7" w:rsidR="00B53316" w:rsidRDefault="00CC28D5">
      <w:pPr>
        <w:pStyle w:val="TOC1"/>
        <w:rPr>
          <w:rFonts w:cstheme="minorBidi"/>
          <w:b w:val="0"/>
          <w:sz w:val="22"/>
          <w:szCs w:val="22"/>
          <w:lang w:val="en-AU" w:eastAsia="en-AU"/>
        </w:rPr>
      </w:pPr>
      <w:hyperlink w:anchor="_Toc38021096" w:history="1">
        <w:r w:rsidR="00B53316" w:rsidRPr="003C057C">
          <w:rPr>
            <w:rStyle w:val="Hyperlink"/>
            <w:lang w:val="en-AU"/>
          </w:rPr>
          <w:t>6.</w:t>
        </w:r>
        <w:r w:rsidR="00B53316">
          <w:rPr>
            <w:rFonts w:cstheme="minorBidi"/>
            <w:b w:val="0"/>
            <w:sz w:val="22"/>
            <w:szCs w:val="22"/>
            <w:lang w:val="en-AU" w:eastAsia="en-AU"/>
          </w:rPr>
          <w:tab/>
        </w:r>
        <w:r w:rsidR="00B53316" w:rsidRPr="003C057C">
          <w:rPr>
            <w:rStyle w:val="Hyperlink"/>
            <w:lang w:val="en-AU"/>
          </w:rPr>
          <w:t>Babies and children (0-14 years)</w:t>
        </w:r>
        <w:r w:rsidR="00B53316">
          <w:rPr>
            <w:webHidden/>
          </w:rPr>
          <w:tab/>
        </w:r>
        <w:r w:rsidR="00B53316">
          <w:rPr>
            <w:webHidden/>
          </w:rPr>
          <w:fldChar w:fldCharType="begin"/>
        </w:r>
        <w:r w:rsidR="00B53316">
          <w:rPr>
            <w:webHidden/>
          </w:rPr>
          <w:instrText xml:space="preserve"> PAGEREF _Toc38021096 \h </w:instrText>
        </w:r>
        <w:r w:rsidR="00B53316">
          <w:rPr>
            <w:webHidden/>
          </w:rPr>
        </w:r>
        <w:r w:rsidR="00B53316">
          <w:rPr>
            <w:webHidden/>
          </w:rPr>
          <w:fldChar w:fldCharType="separate"/>
        </w:r>
        <w:r w:rsidR="00E84433">
          <w:rPr>
            <w:webHidden/>
          </w:rPr>
          <w:t>21</w:t>
        </w:r>
        <w:r w:rsidR="00B53316">
          <w:rPr>
            <w:webHidden/>
          </w:rPr>
          <w:fldChar w:fldCharType="end"/>
        </w:r>
      </w:hyperlink>
    </w:p>
    <w:p w14:paraId="47AE9E6A" w14:textId="27390570" w:rsidR="00B53316" w:rsidRDefault="00CC28D5">
      <w:pPr>
        <w:pStyle w:val="TOC2"/>
        <w:rPr>
          <w:rFonts w:cstheme="minorBidi"/>
          <w:noProof/>
          <w:sz w:val="22"/>
          <w:szCs w:val="22"/>
          <w:lang w:val="en-AU" w:eastAsia="en-AU"/>
        </w:rPr>
      </w:pPr>
      <w:hyperlink w:anchor="_Toc38021097" w:history="1">
        <w:r w:rsidR="00B53316" w:rsidRPr="003C057C">
          <w:rPr>
            <w:rStyle w:val="Hyperlink"/>
            <w:noProof/>
            <w:lang w:val="en-AU"/>
          </w:rPr>
          <w:t>Priority areas for action</w:t>
        </w:r>
        <w:r w:rsidR="00B53316">
          <w:rPr>
            <w:noProof/>
            <w:webHidden/>
          </w:rPr>
          <w:tab/>
        </w:r>
        <w:r w:rsidR="00B53316">
          <w:rPr>
            <w:noProof/>
            <w:webHidden/>
          </w:rPr>
          <w:fldChar w:fldCharType="begin"/>
        </w:r>
        <w:r w:rsidR="00B53316">
          <w:rPr>
            <w:noProof/>
            <w:webHidden/>
          </w:rPr>
          <w:instrText xml:space="preserve"> PAGEREF _Toc38021097 \h </w:instrText>
        </w:r>
        <w:r w:rsidR="00B53316">
          <w:rPr>
            <w:noProof/>
            <w:webHidden/>
          </w:rPr>
        </w:r>
        <w:r w:rsidR="00B53316">
          <w:rPr>
            <w:noProof/>
            <w:webHidden/>
          </w:rPr>
          <w:fldChar w:fldCharType="separate"/>
        </w:r>
        <w:r w:rsidR="00E84433">
          <w:rPr>
            <w:noProof/>
            <w:webHidden/>
          </w:rPr>
          <w:t>22</w:t>
        </w:r>
        <w:r w:rsidR="00B53316">
          <w:rPr>
            <w:noProof/>
            <w:webHidden/>
          </w:rPr>
          <w:fldChar w:fldCharType="end"/>
        </w:r>
      </w:hyperlink>
    </w:p>
    <w:p w14:paraId="110028CB" w14:textId="774A9789" w:rsidR="00B53316" w:rsidRDefault="00CC28D5">
      <w:pPr>
        <w:pStyle w:val="TOC1"/>
        <w:rPr>
          <w:rFonts w:cstheme="minorBidi"/>
          <w:b w:val="0"/>
          <w:sz w:val="22"/>
          <w:szCs w:val="22"/>
          <w:lang w:val="en-AU" w:eastAsia="en-AU"/>
        </w:rPr>
      </w:pPr>
      <w:hyperlink w:anchor="_Toc38021098" w:history="1">
        <w:r w:rsidR="00B53316" w:rsidRPr="003C057C">
          <w:rPr>
            <w:rStyle w:val="Hyperlink"/>
            <w:lang w:val="en-AU"/>
          </w:rPr>
          <w:t>7.</w:t>
        </w:r>
        <w:r w:rsidR="00B53316">
          <w:rPr>
            <w:rFonts w:cstheme="minorBidi"/>
            <w:b w:val="0"/>
            <w:sz w:val="22"/>
            <w:szCs w:val="22"/>
            <w:lang w:val="en-AU" w:eastAsia="en-AU"/>
          </w:rPr>
          <w:tab/>
        </w:r>
        <w:r w:rsidR="00B53316" w:rsidRPr="003C057C">
          <w:rPr>
            <w:rStyle w:val="Hyperlink"/>
            <w:lang w:val="en-AU"/>
          </w:rPr>
          <w:t>Youth (15-24 years)</w:t>
        </w:r>
        <w:r w:rsidR="00B53316">
          <w:rPr>
            <w:webHidden/>
          </w:rPr>
          <w:tab/>
        </w:r>
        <w:r w:rsidR="00B53316">
          <w:rPr>
            <w:webHidden/>
          </w:rPr>
          <w:fldChar w:fldCharType="begin"/>
        </w:r>
        <w:r w:rsidR="00B53316">
          <w:rPr>
            <w:webHidden/>
          </w:rPr>
          <w:instrText xml:space="preserve"> PAGEREF _Toc38021098 \h </w:instrText>
        </w:r>
        <w:r w:rsidR="00B53316">
          <w:rPr>
            <w:webHidden/>
          </w:rPr>
        </w:r>
        <w:r w:rsidR="00B53316">
          <w:rPr>
            <w:webHidden/>
          </w:rPr>
          <w:fldChar w:fldCharType="separate"/>
        </w:r>
        <w:r w:rsidR="00E84433">
          <w:rPr>
            <w:webHidden/>
          </w:rPr>
          <w:t>25</w:t>
        </w:r>
        <w:r w:rsidR="00B53316">
          <w:rPr>
            <w:webHidden/>
          </w:rPr>
          <w:fldChar w:fldCharType="end"/>
        </w:r>
      </w:hyperlink>
    </w:p>
    <w:p w14:paraId="4E29B6E2" w14:textId="52FD2D12" w:rsidR="00B53316" w:rsidRDefault="00CC28D5">
      <w:pPr>
        <w:pStyle w:val="TOC2"/>
        <w:rPr>
          <w:rFonts w:cstheme="minorBidi"/>
          <w:noProof/>
          <w:sz w:val="22"/>
          <w:szCs w:val="22"/>
          <w:lang w:val="en-AU" w:eastAsia="en-AU"/>
        </w:rPr>
      </w:pPr>
      <w:hyperlink w:anchor="_Toc38021099" w:history="1">
        <w:r w:rsidR="00B53316" w:rsidRPr="003C057C">
          <w:rPr>
            <w:rStyle w:val="Hyperlink"/>
            <w:noProof/>
            <w:lang w:val="en-AU"/>
          </w:rPr>
          <w:t>Priority areas for action</w:t>
        </w:r>
        <w:r w:rsidR="00B53316">
          <w:rPr>
            <w:noProof/>
            <w:webHidden/>
          </w:rPr>
          <w:tab/>
        </w:r>
        <w:r w:rsidR="00B53316">
          <w:rPr>
            <w:noProof/>
            <w:webHidden/>
          </w:rPr>
          <w:fldChar w:fldCharType="begin"/>
        </w:r>
        <w:r w:rsidR="00B53316">
          <w:rPr>
            <w:noProof/>
            <w:webHidden/>
          </w:rPr>
          <w:instrText xml:space="preserve"> PAGEREF _Toc38021099 \h </w:instrText>
        </w:r>
        <w:r w:rsidR="00B53316">
          <w:rPr>
            <w:noProof/>
            <w:webHidden/>
          </w:rPr>
        </w:r>
        <w:r w:rsidR="00B53316">
          <w:rPr>
            <w:noProof/>
            <w:webHidden/>
          </w:rPr>
          <w:fldChar w:fldCharType="separate"/>
        </w:r>
        <w:r w:rsidR="00E84433">
          <w:rPr>
            <w:noProof/>
            <w:webHidden/>
          </w:rPr>
          <w:t>25</w:t>
        </w:r>
        <w:r w:rsidR="00B53316">
          <w:rPr>
            <w:noProof/>
            <w:webHidden/>
          </w:rPr>
          <w:fldChar w:fldCharType="end"/>
        </w:r>
      </w:hyperlink>
    </w:p>
    <w:p w14:paraId="3159CC5A" w14:textId="64E3A7E6" w:rsidR="00B53316" w:rsidRDefault="00CC28D5">
      <w:pPr>
        <w:pStyle w:val="TOC1"/>
        <w:rPr>
          <w:rFonts w:cstheme="minorBidi"/>
          <w:b w:val="0"/>
          <w:sz w:val="22"/>
          <w:szCs w:val="22"/>
          <w:lang w:val="en-AU" w:eastAsia="en-AU"/>
        </w:rPr>
      </w:pPr>
      <w:hyperlink w:anchor="_Toc38021100" w:history="1">
        <w:r w:rsidR="00B53316" w:rsidRPr="003C057C">
          <w:rPr>
            <w:rStyle w:val="Hyperlink"/>
            <w:lang w:val="en-AU"/>
          </w:rPr>
          <w:t>8.</w:t>
        </w:r>
        <w:r w:rsidR="00B53316">
          <w:rPr>
            <w:rFonts w:cstheme="minorBidi"/>
            <w:b w:val="0"/>
            <w:sz w:val="22"/>
            <w:szCs w:val="22"/>
            <w:lang w:val="en-AU" w:eastAsia="en-AU"/>
          </w:rPr>
          <w:tab/>
        </w:r>
        <w:r w:rsidR="00B53316" w:rsidRPr="003C057C">
          <w:rPr>
            <w:rStyle w:val="Hyperlink"/>
            <w:lang w:val="en-AU"/>
          </w:rPr>
          <w:t>Adults (25-64 years)</w:t>
        </w:r>
        <w:r w:rsidR="00B53316">
          <w:rPr>
            <w:webHidden/>
          </w:rPr>
          <w:tab/>
        </w:r>
        <w:r w:rsidR="00B53316">
          <w:rPr>
            <w:webHidden/>
          </w:rPr>
          <w:fldChar w:fldCharType="begin"/>
        </w:r>
        <w:r w:rsidR="00B53316">
          <w:rPr>
            <w:webHidden/>
          </w:rPr>
          <w:instrText xml:space="preserve"> PAGEREF _Toc38021100 \h </w:instrText>
        </w:r>
        <w:r w:rsidR="00B53316">
          <w:rPr>
            <w:webHidden/>
          </w:rPr>
        </w:r>
        <w:r w:rsidR="00B53316">
          <w:rPr>
            <w:webHidden/>
          </w:rPr>
          <w:fldChar w:fldCharType="separate"/>
        </w:r>
        <w:r w:rsidR="00E84433">
          <w:rPr>
            <w:webHidden/>
          </w:rPr>
          <w:t>28</w:t>
        </w:r>
        <w:r w:rsidR="00B53316">
          <w:rPr>
            <w:webHidden/>
          </w:rPr>
          <w:fldChar w:fldCharType="end"/>
        </w:r>
      </w:hyperlink>
    </w:p>
    <w:p w14:paraId="5D0160C6" w14:textId="672434C7" w:rsidR="00B53316" w:rsidRDefault="00CC28D5">
      <w:pPr>
        <w:pStyle w:val="TOC2"/>
        <w:rPr>
          <w:rFonts w:cstheme="minorBidi"/>
          <w:noProof/>
          <w:sz w:val="22"/>
          <w:szCs w:val="22"/>
          <w:lang w:val="en-AU" w:eastAsia="en-AU"/>
        </w:rPr>
      </w:pPr>
      <w:hyperlink w:anchor="_Toc38021101" w:history="1">
        <w:r w:rsidR="00B53316" w:rsidRPr="003C057C">
          <w:rPr>
            <w:rStyle w:val="Hyperlink"/>
            <w:noProof/>
            <w:lang w:val="en-AU"/>
          </w:rPr>
          <w:t>Priority areas for action</w:t>
        </w:r>
        <w:r w:rsidR="00B53316">
          <w:rPr>
            <w:noProof/>
            <w:webHidden/>
          </w:rPr>
          <w:tab/>
        </w:r>
        <w:r w:rsidR="00B53316">
          <w:rPr>
            <w:noProof/>
            <w:webHidden/>
          </w:rPr>
          <w:fldChar w:fldCharType="begin"/>
        </w:r>
        <w:r w:rsidR="00B53316">
          <w:rPr>
            <w:noProof/>
            <w:webHidden/>
          </w:rPr>
          <w:instrText xml:space="preserve"> PAGEREF _Toc38021101 \h </w:instrText>
        </w:r>
        <w:r w:rsidR="00B53316">
          <w:rPr>
            <w:noProof/>
            <w:webHidden/>
          </w:rPr>
        </w:r>
        <w:r w:rsidR="00B53316">
          <w:rPr>
            <w:noProof/>
            <w:webHidden/>
          </w:rPr>
          <w:fldChar w:fldCharType="separate"/>
        </w:r>
        <w:r w:rsidR="00E84433">
          <w:rPr>
            <w:noProof/>
            <w:webHidden/>
          </w:rPr>
          <w:t>28</w:t>
        </w:r>
        <w:r w:rsidR="00B53316">
          <w:rPr>
            <w:noProof/>
            <w:webHidden/>
          </w:rPr>
          <w:fldChar w:fldCharType="end"/>
        </w:r>
      </w:hyperlink>
    </w:p>
    <w:p w14:paraId="18EA8218" w14:textId="5571A5E7" w:rsidR="00B53316" w:rsidRDefault="00CC28D5">
      <w:pPr>
        <w:pStyle w:val="TOC1"/>
        <w:rPr>
          <w:rFonts w:cstheme="minorBidi"/>
          <w:b w:val="0"/>
          <w:sz w:val="22"/>
          <w:szCs w:val="22"/>
          <w:lang w:val="en-AU" w:eastAsia="en-AU"/>
        </w:rPr>
      </w:pPr>
      <w:hyperlink w:anchor="_Toc38021102" w:history="1">
        <w:r w:rsidR="00B53316" w:rsidRPr="003C057C">
          <w:rPr>
            <w:rStyle w:val="Hyperlink"/>
            <w:lang w:val="en-AU"/>
          </w:rPr>
          <w:t>9.</w:t>
        </w:r>
        <w:r w:rsidR="00B53316">
          <w:rPr>
            <w:rFonts w:cstheme="minorBidi"/>
            <w:b w:val="0"/>
            <w:sz w:val="22"/>
            <w:szCs w:val="22"/>
            <w:lang w:val="en-AU" w:eastAsia="en-AU"/>
          </w:rPr>
          <w:tab/>
        </w:r>
        <w:r w:rsidR="00B53316" w:rsidRPr="003C057C">
          <w:rPr>
            <w:rStyle w:val="Hyperlink"/>
            <w:lang w:val="en-AU"/>
          </w:rPr>
          <w:t>Older people (65+ years)</w:t>
        </w:r>
        <w:r w:rsidR="00B53316">
          <w:rPr>
            <w:webHidden/>
          </w:rPr>
          <w:tab/>
        </w:r>
        <w:r w:rsidR="00B53316">
          <w:rPr>
            <w:webHidden/>
          </w:rPr>
          <w:fldChar w:fldCharType="begin"/>
        </w:r>
        <w:r w:rsidR="00B53316">
          <w:rPr>
            <w:webHidden/>
          </w:rPr>
          <w:instrText xml:space="preserve"> PAGEREF _Toc38021102 \h </w:instrText>
        </w:r>
        <w:r w:rsidR="00B53316">
          <w:rPr>
            <w:webHidden/>
          </w:rPr>
        </w:r>
        <w:r w:rsidR="00B53316">
          <w:rPr>
            <w:webHidden/>
          </w:rPr>
          <w:fldChar w:fldCharType="separate"/>
        </w:r>
        <w:r w:rsidR="00E84433">
          <w:rPr>
            <w:webHidden/>
          </w:rPr>
          <w:t>31</w:t>
        </w:r>
        <w:r w:rsidR="00B53316">
          <w:rPr>
            <w:webHidden/>
          </w:rPr>
          <w:fldChar w:fldCharType="end"/>
        </w:r>
      </w:hyperlink>
    </w:p>
    <w:p w14:paraId="778D975A" w14:textId="2322BDDA" w:rsidR="00B53316" w:rsidRDefault="00CC28D5">
      <w:pPr>
        <w:pStyle w:val="TOC2"/>
        <w:rPr>
          <w:rFonts w:cstheme="minorBidi"/>
          <w:noProof/>
          <w:sz w:val="22"/>
          <w:szCs w:val="22"/>
          <w:lang w:val="en-AU" w:eastAsia="en-AU"/>
        </w:rPr>
      </w:pPr>
      <w:hyperlink w:anchor="_Toc38021103" w:history="1">
        <w:r w:rsidR="00B53316" w:rsidRPr="003C057C">
          <w:rPr>
            <w:rStyle w:val="Hyperlink"/>
            <w:noProof/>
            <w:lang w:val="en-AU"/>
          </w:rPr>
          <w:t>Priority areas for action</w:t>
        </w:r>
        <w:r w:rsidR="00B53316">
          <w:rPr>
            <w:noProof/>
            <w:webHidden/>
          </w:rPr>
          <w:tab/>
        </w:r>
        <w:r w:rsidR="00B53316">
          <w:rPr>
            <w:noProof/>
            <w:webHidden/>
          </w:rPr>
          <w:fldChar w:fldCharType="begin"/>
        </w:r>
        <w:r w:rsidR="00B53316">
          <w:rPr>
            <w:noProof/>
            <w:webHidden/>
          </w:rPr>
          <w:instrText xml:space="preserve"> PAGEREF _Toc38021103 \h </w:instrText>
        </w:r>
        <w:r w:rsidR="00B53316">
          <w:rPr>
            <w:noProof/>
            <w:webHidden/>
          </w:rPr>
        </w:r>
        <w:r w:rsidR="00B53316">
          <w:rPr>
            <w:noProof/>
            <w:webHidden/>
          </w:rPr>
          <w:fldChar w:fldCharType="separate"/>
        </w:r>
        <w:r w:rsidR="00E84433">
          <w:rPr>
            <w:noProof/>
            <w:webHidden/>
          </w:rPr>
          <w:t>31</w:t>
        </w:r>
        <w:r w:rsidR="00B53316">
          <w:rPr>
            <w:noProof/>
            <w:webHidden/>
          </w:rPr>
          <w:fldChar w:fldCharType="end"/>
        </w:r>
      </w:hyperlink>
    </w:p>
    <w:p w14:paraId="0DF44039" w14:textId="7872FFFA" w:rsidR="00B53316" w:rsidRDefault="00CC28D5">
      <w:pPr>
        <w:pStyle w:val="TOC1"/>
        <w:rPr>
          <w:rFonts w:cstheme="minorBidi"/>
          <w:b w:val="0"/>
          <w:sz w:val="22"/>
          <w:szCs w:val="22"/>
          <w:lang w:val="en-AU" w:eastAsia="en-AU"/>
        </w:rPr>
      </w:pPr>
      <w:hyperlink w:anchor="_Toc38021104" w:history="1">
        <w:r w:rsidR="00B53316" w:rsidRPr="003C057C">
          <w:rPr>
            <w:rStyle w:val="Hyperlink"/>
            <w:lang w:val="en-AU"/>
          </w:rPr>
          <w:t>10.</w:t>
        </w:r>
        <w:r w:rsidR="00B53316">
          <w:rPr>
            <w:rFonts w:cstheme="minorBidi"/>
            <w:b w:val="0"/>
            <w:sz w:val="22"/>
            <w:szCs w:val="22"/>
            <w:lang w:val="en-AU" w:eastAsia="en-AU"/>
          </w:rPr>
          <w:tab/>
        </w:r>
        <w:r w:rsidR="00B53316" w:rsidRPr="003C057C">
          <w:rPr>
            <w:rStyle w:val="Hyperlink"/>
            <w:lang w:val="en-AU"/>
          </w:rPr>
          <w:t>Cross-cutting priority areas (across the lifespan)</w:t>
        </w:r>
        <w:r w:rsidR="00B53316">
          <w:rPr>
            <w:webHidden/>
          </w:rPr>
          <w:tab/>
        </w:r>
        <w:r w:rsidR="00B53316">
          <w:rPr>
            <w:webHidden/>
          </w:rPr>
          <w:fldChar w:fldCharType="begin"/>
        </w:r>
        <w:r w:rsidR="00B53316">
          <w:rPr>
            <w:webHidden/>
          </w:rPr>
          <w:instrText xml:space="preserve"> PAGEREF _Toc38021104 \h </w:instrText>
        </w:r>
        <w:r w:rsidR="00B53316">
          <w:rPr>
            <w:webHidden/>
          </w:rPr>
        </w:r>
        <w:r w:rsidR="00B53316">
          <w:rPr>
            <w:webHidden/>
          </w:rPr>
          <w:fldChar w:fldCharType="separate"/>
        </w:r>
        <w:r w:rsidR="00E84433">
          <w:rPr>
            <w:webHidden/>
          </w:rPr>
          <w:t>33</w:t>
        </w:r>
        <w:r w:rsidR="00B53316">
          <w:rPr>
            <w:webHidden/>
          </w:rPr>
          <w:fldChar w:fldCharType="end"/>
        </w:r>
      </w:hyperlink>
    </w:p>
    <w:p w14:paraId="6E508D2A" w14:textId="3246F930" w:rsidR="00B53316" w:rsidRDefault="00CC28D5">
      <w:pPr>
        <w:pStyle w:val="TOC2"/>
        <w:rPr>
          <w:rFonts w:cstheme="minorBidi"/>
          <w:noProof/>
          <w:sz w:val="22"/>
          <w:szCs w:val="22"/>
          <w:lang w:val="en-AU" w:eastAsia="en-AU"/>
        </w:rPr>
      </w:pPr>
      <w:hyperlink w:anchor="_Toc38021105" w:history="1">
        <w:r w:rsidR="00B53316" w:rsidRPr="003C057C">
          <w:rPr>
            <w:rStyle w:val="Hyperlink"/>
            <w:noProof/>
            <w:lang w:val="en-AU"/>
          </w:rPr>
          <w:t>Reducing injury associated with alcohol</w:t>
        </w:r>
        <w:r w:rsidR="00B53316">
          <w:rPr>
            <w:noProof/>
            <w:webHidden/>
          </w:rPr>
          <w:tab/>
        </w:r>
        <w:r w:rsidR="00B53316">
          <w:rPr>
            <w:noProof/>
            <w:webHidden/>
          </w:rPr>
          <w:fldChar w:fldCharType="begin"/>
        </w:r>
        <w:r w:rsidR="00B53316">
          <w:rPr>
            <w:noProof/>
            <w:webHidden/>
          </w:rPr>
          <w:instrText xml:space="preserve"> PAGEREF _Toc38021105 \h </w:instrText>
        </w:r>
        <w:r w:rsidR="00B53316">
          <w:rPr>
            <w:noProof/>
            <w:webHidden/>
          </w:rPr>
        </w:r>
        <w:r w:rsidR="00B53316">
          <w:rPr>
            <w:noProof/>
            <w:webHidden/>
          </w:rPr>
          <w:fldChar w:fldCharType="separate"/>
        </w:r>
        <w:r w:rsidR="00E84433">
          <w:rPr>
            <w:noProof/>
            <w:webHidden/>
          </w:rPr>
          <w:t>33</w:t>
        </w:r>
        <w:r w:rsidR="00B53316">
          <w:rPr>
            <w:noProof/>
            <w:webHidden/>
          </w:rPr>
          <w:fldChar w:fldCharType="end"/>
        </w:r>
      </w:hyperlink>
    </w:p>
    <w:p w14:paraId="234488E2" w14:textId="10AFBF8E" w:rsidR="00B53316" w:rsidRDefault="00CC28D5">
      <w:pPr>
        <w:pStyle w:val="TOC2"/>
        <w:rPr>
          <w:rFonts w:cstheme="minorBidi"/>
          <w:noProof/>
          <w:sz w:val="22"/>
          <w:szCs w:val="22"/>
          <w:lang w:val="en-AU" w:eastAsia="en-AU"/>
        </w:rPr>
      </w:pPr>
      <w:hyperlink w:anchor="_Toc38021106" w:history="1">
        <w:r w:rsidR="00B53316" w:rsidRPr="003C057C">
          <w:rPr>
            <w:rStyle w:val="Hyperlink"/>
            <w:noProof/>
            <w:lang w:val="en-AU"/>
          </w:rPr>
          <w:t>Reducing injury associated with an increase in extreme weather events</w:t>
        </w:r>
        <w:r w:rsidR="00B53316">
          <w:rPr>
            <w:noProof/>
            <w:webHidden/>
          </w:rPr>
          <w:tab/>
        </w:r>
        <w:r w:rsidR="00B53316">
          <w:rPr>
            <w:noProof/>
            <w:webHidden/>
          </w:rPr>
          <w:fldChar w:fldCharType="begin"/>
        </w:r>
        <w:r w:rsidR="00B53316">
          <w:rPr>
            <w:noProof/>
            <w:webHidden/>
          </w:rPr>
          <w:instrText xml:space="preserve"> PAGEREF _Toc38021106 \h </w:instrText>
        </w:r>
        <w:r w:rsidR="00B53316">
          <w:rPr>
            <w:noProof/>
            <w:webHidden/>
          </w:rPr>
        </w:r>
        <w:r w:rsidR="00B53316">
          <w:rPr>
            <w:noProof/>
            <w:webHidden/>
          </w:rPr>
          <w:fldChar w:fldCharType="separate"/>
        </w:r>
        <w:r w:rsidR="00E84433">
          <w:rPr>
            <w:noProof/>
            <w:webHidden/>
          </w:rPr>
          <w:t>35</w:t>
        </w:r>
        <w:r w:rsidR="00B53316">
          <w:rPr>
            <w:noProof/>
            <w:webHidden/>
          </w:rPr>
          <w:fldChar w:fldCharType="end"/>
        </w:r>
      </w:hyperlink>
    </w:p>
    <w:p w14:paraId="17440D10" w14:textId="5EC5C52B" w:rsidR="00B53316" w:rsidRDefault="00CC28D5">
      <w:pPr>
        <w:pStyle w:val="TOC2"/>
        <w:rPr>
          <w:rFonts w:cstheme="minorBidi"/>
          <w:noProof/>
          <w:sz w:val="22"/>
          <w:szCs w:val="22"/>
          <w:lang w:val="en-AU" w:eastAsia="en-AU"/>
        </w:rPr>
      </w:pPr>
      <w:hyperlink w:anchor="_Toc38021107" w:history="1">
        <w:r w:rsidR="00B53316" w:rsidRPr="003C057C">
          <w:rPr>
            <w:rStyle w:val="Hyperlink"/>
            <w:noProof/>
            <w:lang w:val="en-AU"/>
          </w:rPr>
          <w:t>Better planning of the built environment</w:t>
        </w:r>
        <w:r w:rsidR="00B53316">
          <w:rPr>
            <w:noProof/>
            <w:webHidden/>
          </w:rPr>
          <w:tab/>
        </w:r>
        <w:r w:rsidR="00B53316">
          <w:rPr>
            <w:noProof/>
            <w:webHidden/>
          </w:rPr>
          <w:fldChar w:fldCharType="begin"/>
        </w:r>
        <w:r w:rsidR="00B53316">
          <w:rPr>
            <w:noProof/>
            <w:webHidden/>
          </w:rPr>
          <w:instrText xml:space="preserve"> PAGEREF _Toc38021107 \h </w:instrText>
        </w:r>
        <w:r w:rsidR="00B53316">
          <w:rPr>
            <w:noProof/>
            <w:webHidden/>
          </w:rPr>
        </w:r>
        <w:r w:rsidR="00B53316">
          <w:rPr>
            <w:noProof/>
            <w:webHidden/>
          </w:rPr>
          <w:fldChar w:fldCharType="separate"/>
        </w:r>
        <w:r w:rsidR="00E84433">
          <w:rPr>
            <w:noProof/>
            <w:webHidden/>
          </w:rPr>
          <w:t>37</w:t>
        </w:r>
        <w:r w:rsidR="00B53316">
          <w:rPr>
            <w:noProof/>
            <w:webHidden/>
          </w:rPr>
          <w:fldChar w:fldCharType="end"/>
        </w:r>
      </w:hyperlink>
    </w:p>
    <w:p w14:paraId="28B5D2D1" w14:textId="398A7809" w:rsidR="00B53316" w:rsidRDefault="00CC28D5">
      <w:pPr>
        <w:pStyle w:val="TOC1"/>
        <w:rPr>
          <w:rFonts w:cstheme="minorBidi"/>
          <w:b w:val="0"/>
          <w:sz w:val="22"/>
          <w:szCs w:val="22"/>
          <w:lang w:val="en-AU" w:eastAsia="en-AU"/>
        </w:rPr>
      </w:pPr>
      <w:hyperlink w:anchor="_Toc38021108" w:history="1">
        <w:r w:rsidR="00B53316" w:rsidRPr="003C057C">
          <w:rPr>
            <w:rStyle w:val="Hyperlink"/>
            <w:lang w:val="en-AU"/>
          </w:rPr>
          <w:t>11.</w:t>
        </w:r>
        <w:r w:rsidR="00B53316">
          <w:rPr>
            <w:rFonts w:cstheme="minorBidi"/>
            <w:b w:val="0"/>
            <w:sz w:val="22"/>
            <w:szCs w:val="22"/>
            <w:lang w:val="en-AU" w:eastAsia="en-AU"/>
          </w:rPr>
          <w:tab/>
        </w:r>
        <w:r w:rsidR="00B53316" w:rsidRPr="003C057C">
          <w:rPr>
            <w:rStyle w:val="Hyperlink"/>
            <w:lang w:val="en-AU"/>
          </w:rPr>
          <w:t>Current research gaps</w:t>
        </w:r>
        <w:r w:rsidR="00B53316">
          <w:rPr>
            <w:webHidden/>
          </w:rPr>
          <w:tab/>
        </w:r>
        <w:r w:rsidR="00B53316">
          <w:rPr>
            <w:webHidden/>
          </w:rPr>
          <w:fldChar w:fldCharType="begin"/>
        </w:r>
        <w:r w:rsidR="00B53316">
          <w:rPr>
            <w:webHidden/>
          </w:rPr>
          <w:instrText xml:space="preserve"> PAGEREF _Toc38021108 \h </w:instrText>
        </w:r>
        <w:r w:rsidR="00B53316">
          <w:rPr>
            <w:webHidden/>
          </w:rPr>
        </w:r>
        <w:r w:rsidR="00B53316">
          <w:rPr>
            <w:webHidden/>
          </w:rPr>
          <w:fldChar w:fldCharType="separate"/>
        </w:r>
        <w:r w:rsidR="00E84433">
          <w:rPr>
            <w:webHidden/>
          </w:rPr>
          <w:t>39</w:t>
        </w:r>
        <w:r w:rsidR="00B53316">
          <w:rPr>
            <w:webHidden/>
          </w:rPr>
          <w:fldChar w:fldCharType="end"/>
        </w:r>
      </w:hyperlink>
    </w:p>
    <w:p w14:paraId="626551A6" w14:textId="7783EC3A" w:rsidR="00B53316" w:rsidRDefault="00CC28D5">
      <w:pPr>
        <w:pStyle w:val="TOC1"/>
        <w:rPr>
          <w:rFonts w:cstheme="minorBidi"/>
          <w:b w:val="0"/>
          <w:sz w:val="22"/>
          <w:szCs w:val="22"/>
          <w:lang w:val="en-AU" w:eastAsia="en-AU"/>
        </w:rPr>
      </w:pPr>
      <w:hyperlink w:anchor="_Toc38021109" w:history="1">
        <w:r w:rsidR="00B53316" w:rsidRPr="003C057C">
          <w:rPr>
            <w:rStyle w:val="Hyperlink"/>
          </w:rPr>
          <w:t>12.</w:t>
        </w:r>
        <w:r w:rsidR="00B53316">
          <w:rPr>
            <w:rFonts w:cstheme="minorBidi"/>
            <w:b w:val="0"/>
            <w:sz w:val="22"/>
            <w:szCs w:val="22"/>
            <w:lang w:val="en-AU" w:eastAsia="en-AU"/>
          </w:rPr>
          <w:tab/>
        </w:r>
        <w:r w:rsidR="00B53316" w:rsidRPr="003C057C">
          <w:rPr>
            <w:rStyle w:val="Hyperlink"/>
          </w:rPr>
          <w:t>Making progress</w:t>
        </w:r>
        <w:r w:rsidR="00B53316">
          <w:rPr>
            <w:webHidden/>
          </w:rPr>
          <w:tab/>
        </w:r>
        <w:r w:rsidR="00B53316">
          <w:rPr>
            <w:webHidden/>
          </w:rPr>
          <w:fldChar w:fldCharType="begin"/>
        </w:r>
        <w:r w:rsidR="00B53316">
          <w:rPr>
            <w:webHidden/>
          </w:rPr>
          <w:instrText xml:space="preserve"> PAGEREF _Toc38021109 \h </w:instrText>
        </w:r>
        <w:r w:rsidR="00B53316">
          <w:rPr>
            <w:webHidden/>
          </w:rPr>
        </w:r>
        <w:r w:rsidR="00B53316">
          <w:rPr>
            <w:webHidden/>
          </w:rPr>
          <w:fldChar w:fldCharType="separate"/>
        </w:r>
        <w:r w:rsidR="00E84433">
          <w:rPr>
            <w:webHidden/>
          </w:rPr>
          <w:t>41</w:t>
        </w:r>
        <w:r w:rsidR="00B53316">
          <w:rPr>
            <w:webHidden/>
          </w:rPr>
          <w:fldChar w:fldCharType="end"/>
        </w:r>
      </w:hyperlink>
    </w:p>
    <w:p w14:paraId="63FA3035" w14:textId="7665D255" w:rsidR="00B53316" w:rsidRDefault="00CC28D5">
      <w:pPr>
        <w:pStyle w:val="TOC1"/>
        <w:rPr>
          <w:rFonts w:cstheme="minorBidi"/>
          <w:b w:val="0"/>
          <w:sz w:val="22"/>
          <w:szCs w:val="22"/>
          <w:lang w:val="en-AU" w:eastAsia="en-AU"/>
        </w:rPr>
      </w:pPr>
      <w:hyperlink w:anchor="_Toc38021110" w:history="1">
        <w:r w:rsidR="00B53316" w:rsidRPr="003C057C">
          <w:rPr>
            <w:rStyle w:val="Hyperlink"/>
            <w:lang w:val="en-AU"/>
          </w:rPr>
          <w:t>References</w:t>
        </w:r>
        <w:r w:rsidR="00B53316">
          <w:rPr>
            <w:webHidden/>
          </w:rPr>
          <w:tab/>
        </w:r>
        <w:r w:rsidR="00B53316">
          <w:rPr>
            <w:webHidden/>
          </w:rPr>
          <w:fldChar w:fldCharType="begin"/>
        </w:r>
        <w:r w:rsidR="00B53316">
          <w:rPr>
            <w:webHidden/>
          </w:rPr>
          <w:instrText xml:space="preserve"> PAGEREF _Toc38021110 \h </w:instrText>
        </w:r>
        <w:r w:rsidR="00B53316">
          <w:rPr>
            <w:webHidden/>
          </w:rPr>
        </w:r>
        <w:r w:rsidR="00B53316">
          <w:rPr>
            <w:webHidden/>
          </w:rPr>
          <w:fldChar w:fldCharType="separate"/>
        </w:r>
        <w:r w:rsidR="00E84433">
          <w:rPr>
            <w:webHidden/>
          </w:rPr>
          <w:t>43</w:t>
        </w:r>
        <w:r w:rsidR="00B53316">
          <w:rPr>
            <w:webHidden/>
          </w:rPr>
          <w:fldChar w:fldCharType="end"/>
        </w:r>
      </w:hyperlink>
    </w:p>
    <w:p w14:paraId="10185878" w14:textId="168A55C2" w:rsidR="00B53316" w:rsidRDefault="00CC28D5">
      <w:pPr>
        <w:pStyle w:val="TOC1"/>
        <w:rPr>
          <w:rFonts w:cstheme="minorBidi"/>
          <w:b w:val="0"/>
          <w:sz w:val="22"/>
          <w:szCs w:val="22"/>
          <w:lang w:val="en-AU" w:eastAsia="en-AU"/>
        </w:rPr>
      </w:pPr>
      <w:hyperlink w:anchor="_Toc38021111" w:history="1">
        <w:r w:rsidR="00B53316" w:rsidRPr="003C057C">
          <w:rPr>
            <w:rStyle w:val="Hyperlink"/>
            <w:lang w:val="en-AU"/>
          </w:rPr>
          <w:t>Appendix A - Burden of disease overview</w:t>
        </w:r>
        <w:r w:rsidR="00B53316">
          <w:rPr>
            <w:webHidden/>
          </w:rPr>
          <w:tab/>
        </w:r>
        <w:r w:rsidR="00B53316">
          <w:rPr>
            <w:webHidden/>
          </w:rPr>
          <w:fldChar w:fldCharType="begin"/>
        </w:r>
        <w:r w:rsidR="00B53316">
          <w:rPr>
            <w:webHidden/>
          </w:rPr>
          <w:instrText xml:space="preserve"> PAGEREF _Toc38021111 \h </w:instrText>
        </w:r>
        <w:r w:rsidR="00B53316">
          <w:rPr>
            <w:webHidden/>
          </w:rPr>
        </w:r>
        <w:r w:rsidR="00B53316">
          <w:rPr>
            <w:webHidden/>
          </w:rPr>
          <w:fldChar w:fldCharType="separate"/>
        </w:r>
        <w:r w:rsidR="00E84433">
          <w:rPr>
            <w:webHidden/>
          </w:rPr>
          <w:t>46</w:t>
        </w:r>
        <w:r w:rsidR="00B53316">
          <w:rPr>
            <w:webHidden/>
          </w:rPr>
          <w:fldChar w:fldCharType="end"/>
        </w:r>
      </w:hyperlink>
    </w:p>
    <w:p w14:paraId="1106A6B3" w14:textId="6E3E2AAD" w:rsidR="00B53316" w:rsidRDefault="00CC28D5">
      <w:pPr>
        <w:pStyle w:val="TOC2"/>
        <w:rPr>
          <w:rFonts w:cstheme="minorBidi"/>
          <w:noProof/>
          <w:sz w:val="22"/>
          <w:szCs w:val="22"/>
          <w:lang w:val="en-AU" w:eastAsia="en-AU"/>
        </w:rPr>
      </w:pPr>
      <w:hyperlink w:anchor="_Toc38021112" w:history="1">
        <w:r w:rsidR="00B53316" w:rsidRPr="003C057C">
          <w:rPr>
            <w:rStyle w:val="Hyperlink"/>
            <w:noProof/>
            <w:lang w:val="en-AU"/>
          </w:rPr>
          <w:t>Rank of external causes of injury by age group</w:t>
        </w:r>
        <w:r w:rsidR="00B53316">
          <w:rPr>
            <w:noProof/>
            <w:webHidden/>
          </w:rPr>
          <w:tab/>
        </w:r>
        <w:r w:rsidR="00B53316">
          <w:rPr>
            <w:noProof/>
            <w:webHidden/>
          </w:rPr>
          <w:fldChar w:fldCharType="begin"/>
        </w:r>
        <w:r w:rsidR="00B53316">
          <w:rPr>
            <w:noProof/>
            <w:webHidden/>
          </w:rPr>
          <w:instrText xml:space="preserve"> PAGEREF _Toc38021112 \h </w:instrText>
        </w:r>
        <w:r w:rsidR="00B53316">
          <w:rPr>
            <w:noProof/>
            <w:webHidden/>
          </w:rPr>
        </w:r>
        <w:r w:rsidR="00B53316">
          <w:rPr>
            <w:noProof/>
            <w:webHidden/>
          </w:rPr>
          <w:fldChar w:fldCharType="separate"/>
        </w:r>
        <w:r w:rsidR="00E84433">
          <w:rPr>
            <w:noProof/>
            <w:webHidden/>
          </w:rPr>
          <w:t>46</w:t>
        </w:r>
        <w:r w:rsidR="00B53316">
          <w:rPr>
            <w:noProof/>
            <w:webHidden/>
          </w:rPr>
          <w:fldChar w:fldCharType="end"/>
        </w:r>
      </w:hyperlink>
    </w:p>
    <w:p w14:paraId="4735CFDB" w14:textId="07A24960" w:rsidR="00B53316" w:rsidRDefault="00CC28D5">
      <w:pPr>
        <w:pStyle w:val="TOC1"/>
        <w:rPr>
          <w:rFonts w:cstheme="minorBidi"/>
          <w:b w:val="0"/>
          <w:sz w:val="22"/>
          <w:szCs w:val="22"/>
          <w:lang w:val="en-AU" w:eastAsia="en-AU"/>
        </w:rPr>
      </w:pPr>
      <w:hyperlink w:anchor="_Toc38021113" w:history="1">
        <w:r w:rsidR="00B53316" w:rsidRPr="003C057C">
          <w:rPr>
            <w:rStyle w:val="Hyperlink"/>
            <w:lang w:val="en-AU"/>
          </w:rPr>
          <w:t>Appendix B - Policy and Strategy Context</w:t>
        </w:r>
        <w:r w:rsidR="00B53316">
          <w:rPr>
            <w:webHidden/>
          </w:rPr>
          <w:tab/>
        </w:r>
        <w:r w:rsidR="00B53316">
          <w:rPr>
            <w:webHidden/>
          </w:rPr>
          <w:fldChar w:fldCharType="begin"/>
        </w:r>
        <w:r w:rsidR="00B53316">
          <w:rPr>
            <w:webHidden/>
          </w:rPr>
          <w:instrText xml:space="preserve"> PAGEREF _Toc38021113 \h </w:instrText>
        </w:r>
        <w:r w:rsidR="00B53316">
          <w:rPr>
            <w:webHidden/>
          </w:rPr>
        </w:r>
        <w:r w:rsidR="00B53316">
          <w:rPr>
            <w:webHidden/>
          </w:rPr>
          <w:fldChar w:fldCharType="separate"/>
        </w:r>
        <w:r w:rsidR="00E84433">
          <w:rPr>
            <w:webHidden/>
          </w:rPr>
          <w:t>48</w:t>
        </w:r>
        <w:r w:rsidR="00B53316">
          <w:rPr>
            <w:webHidden/>
          </w:rPr>
          <w:fldChar w:fldCharType="end"/>
        </w:r>
      </w:hyperlink>
    </w:p>
    <w:p w14:paraId="7673F28D" w14:textId="3E0FC2AC" w:rsidR="00B53316" w:rsidRDefault="00CC28D5">
      <w:pPr>
        <w:pStyle w:val="TOC1"/>
        <w:rPr>
          <w:rFonts w:cstheme="minorBidi"/>
          <w:b w:val="0"/>
          <w:sz w:val="22"/>
          <w:szCs w:val="22"/>
          <w:lang w:val="en-AU" w:eastAsia="en-AU"/>
        </w:rPr>
      </w:pPr>
      <w:hyperlink w:anchor="_Toc38021114" w:history="1">
        <w:r w:rsidR="00B53316" w:rsidRPr="003C057C">
          <w:rPr>
            <w:rStyle w:val="Hyperlink"/>
            <w:lang w:val="en-AU"/>
          </w:rPr>
          <w:t>Appendix C - Rank of external causes of injury by age group</w:t>
        </w:r>
        <w:r w:rsidR="00B53316" w:rsidRPr="003C057C">
          <w:rPr>
            <w:rStyle w:val="Hyperlink"/>
            <w:vertAlign w:val="superscript"/>
            <w:lang w:val="en-AU"/>
          </w:rPr>
          <w:t>1</w:t>
        </w:r>
        <w:r w:rsidR="00B53316">
          <w:rPr>
            <w:webHidden/>
          </w:rPr>
          <w:tab/>
        </w:r>
        <w:r w:rsidR="00B53316">
          <w:rPr>
            <w:webHidden/>
          </w:rPr>
          <w:fldChar w:fldCharType="begin"/>
        </w:r>
        <w:r w:rsidR="00B53316">
          <w:rPr>
            <w:webHidden/>
          </w:rPr>
          <w:instrText xml:space="preserve"> PAGEREF _Toc38021114 \h </w:instrText>
        </w:r>
        <w:r w:rsidR="00B53316">
          <w:rPr>
            <w:webHidden/>
          </w:rPr>
        </w:r>
        <w:r w:rsidR="00B53316">
          <w:rPr>
            <w:webHidden/>
          </w:rPr>
          <w:fldChar w:fldCharType="separate"/>
        </w:r>
        <w:r w:rsidR="00E84433">
          <w:rPr>
            <w:webHidden/>
          </w:rPr>
          <w:t>52</w:t>
        </w:r>
        <w:r w:rsidR="00B53316">
          <w:rPr>
            <w:webHidden/>
          </w:rPr>
          <w:fldChar w:fldCharType="end"/>
        </w:r>
      </w:hyperlink>
    </w:p>
    <w:p w14:paraId="592CFDF0" w14:textId="4AFF9BEA" w:rsidR="00B53316" w:rsidRDefault="00CC28D5">
      <w:pPr>
        <w:pStyle w:val="TOC1"/>
        <w:rPr>
          <w:rFonts w:cstheme="minorBidi"/>
          <w:b w:val="0"/>
          <w:sz w:val="22"/>
          <w:szCs w:val="22"/>
          <w:lang w:val="en-AU" w:eastAsia="en-AU"/>
        </w:rPr>
      </w:pPr>
      <w:hyperlink w:anchor="_Toc38021115" w:history="1">
        <w:r w:rsidR="00B53316" w:rsidRPr="003C057C">
          <w:rPr>
            <w:rStyle w:val="Hyperlink"/>
            <w:lang w:val="en-AU"/>
          </w:rPr>
          <w:t>Acknowledgements</w:t>
        </w:r>
        <w:r w:rsidR="00B53316">
          <w:rPr>
            <w:webHidden/>
          </w:rPr>
          <w:tab/>
        </w:r>
        <w:r w:rsidR="00B53316">
          <w:rPr>
            <w:webHidden/>
          </w:rPr>
          <w:fldChar w:fldCharType="begin"/>
        </w:r>
        <w:r w:rsidR="00B53316">
          <w:rPr>
            <w:webHidden/>
          </w:rPr>
          <w:instrText xml:space="preserve"> PAGEREF _Toc38021115 \h </w:instrText>
        </w:r>
        <w:r w:rsidR="00B53316">
          <w:rPr>
            <w:webHidden/>
          </w:rPr>
        </w:r>
        <w:r w:rsidR="00B53316">
          <w:rPr>
            <w:webHidden/>
          </w:rPr>
          <w:fldChar w:fldCharType="separate"/>
        </w:r>
        <w:r w:rsidR="00E84433">
          <w:rPr>
            <w:webHidden/>
          </w:rPr>
          <w:t>55</w:t>
        </w:r>
        <w:r w:rsidR="00B53316">
          <w:rPr>
            <w:webHidden/>
          </w:rPr>
          <w:fldChar w:fldCharType="end"/>
        </w:r>
      </w:hyperlink>
    </w:p>
    <w:p w14:paraId="2E16BDA0" w14:textId="571A785D" w:rsidR="00B53316" w:rsidRDefault="00CC28D5">
      <w:pPr>
        <w:pStyle w:val="TOC1"/>
        <w:rPr>
          <w:rFonts w:cstheme="minorBidi"/>
          <w:b w:val="0"/>
          <w:sz w:val="22"/>
          <w:szCs w:val="22"/>
          <w:lang w:val="en-AU" w:eastAsia="en-AU"/>
        </w:rPr>
      </w:pPr>
      <w:hyperlink w:anchor="_Toc38021116" w:history="1">
        <w:r w:rsidR="00B53316" w:rsidRPr="003C057C">
          <w:rPr>
            <w:rStyle w:val="Hyperlink"/>
            <w:lang w:val="en-AU"/>
          </w:rPr>
          <w:t>Strategy development timeline</w:t>
        </w:r>
        <w:r w:rsidR="00B53316">
          <w:rPr>
            <w:webHidden/>
          </w:rPr>
          <w:tab/>
        </w:r>
        <w:r w:rsidR="00B53316">
          <w:rPr>
            <w:webHidden/>
          </w:rPr>
          <w:fldChar w:fldCharType="begin"/>
        </w:r>
        <w:r w:rsidR="00B53316">
          <w:rPr>
            <w:webHidden/>
          </w:rPr>
          <w:instrText xml:space="preserve"> PAGEREF _Toc38021116 \h </w:instrText>
        </w:r>
        <w:r w:rsidR="00B53316">
          <w:rPr>
            <w:webHidden/>
          </w:rPr>
        </w:r>
        <w:r w:rsidR="00B53316">
          <w:rPr>
            <w:webHidden/>
          </w:rPr>
          <w:fldChar w:fldCharType="separate"/>
        </w:r>
        <w:r w:rsidR="00E84433">
          <w:rPr>
            <w:webHidden/>
          </w:rPr>
          <w:t>55</w:t>
        </w:r>
        <w:r w:rsidR="00B53316">
          <w:rPr>
            <w:webHidden/>
          </w:rPr>
          <w:fldChar w:fldCharType="end"/>
        </w:r>
      </w:hyperlink>
    </w:p>
    <w:p w14:paraId="126D2E2F" w14:textId="174769DF" w:rsidR="00C350F0" w:rsidRDefault="006B2C84" w:rsidP="000F6EE2">
      <w:pPr>
        <w:spacing w:after="160" w:line="259" w:lineRule="auto"/>
        <w:rPr>
          <w:lang w:val="en-AU"/>
        </w:rPr>
      </w:pPr>
      <w:r w:rsidRPr="00400300">
        <w:rPr>
          <w:b/>
          <w:noProof/>
          <w:sz w:val="20"/>
          <w:lang w:val="en-AU"/>
        </w:rPr>
        <w:fldChar w:fldCharType="end"/>
      </w:r>
      <w:bookmarkStart w:id="18" w:name="_Toc22928271"/>
      <w:bookmarkStart w:id="19" w:name="_Toc29472984"/>
      <w:bookmarkStart w:id="20" w:name="_Toc30077715"/>
      <w:bookmarkStart w:id="21" w:name="_Toc31128293"/>
      <w:bookmarkStart w:id="22" w:name="_Toc32584873"/>
      <w:r w:rsidRPr="00400300">
        <w:rPr>
          <w:lang w:val="en-AU"/>
        </w:rPr>
        <w:br w:type="page"/>
      </w:r>
      <w:bookmarkEnd w:id="14"/>
      <w:bookmarkEnd w:id="15"/>
      <w:bookmarkEnd w:id="18"/>
      <w:bookmarkEnd w:id="19"/>
      <w:bookmarkEnd w:id="20"/>
      <w:bookmarkEnd w:id="21"/>
      <w:bookmarkEnd w:id="22"/>
    </w:p>
    <w:p w14:paraId="47EF5CEF" w14:textId="6430CFEB" w:rsidR="00212D77" w:rsidRDefault="00212D77" w:rsidP="00212D77">
      <w:pPr>
        <w:pStyle w:val="Style1notnumbered"/>
      </w:pPr>
      <w:bookmarkStart w:id="23" w:name="_Toc35274210"/>
      <w:bookmarkStart w:id="24" w:name="_Toc38021080"/>
      <w:r>
        <w:lastRenderedPageBreak/>
        <w:t>Glossary and abbreviations</w:t>
      </w:r>
      <w:bookmarkEnd w:id="23"/>
      <w:bookmarkEnd w:id="24"/>
      <w:r>
        <w:t xml:space="preserve"> </w:t>
      </w:r>
    </w:p>
    <w:p w14:paraId="3FA568A0" w14:textId="77777777" w:rsidR="00212D77" w:rsidRPr="00B70530" w:rsidRDefault="00212D77" w:rsidP="00212D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5F0EB6" w:rsidRPr="00822E6C" w14:paraId="3C59335C" w14:textId="77777777" w:rsidTr="00822E6C">
        <w:tc>
          <w:tcPr>
            <w:tcW w:w="2263" w:type="dxa"/>
          </w:tcPr>
          <w:p w14:paraId="15B73F19" w14:textId="748E6B8C" w:rsidR="005F0EB6" w:rsidRPr="00822E6C" w:rsidRDefault="005F0EB6" w:rsidP="00822E6C">
            <w:r w:rsidRPr="00822E6C">
              <w:t>ACCOs</w:t>
            </w:r>
          </w:p>
        </w:tc>
        <w:tc>
          <w:tcPr>
            <w:tcW w:w="6753" w:type="dxa"/>
          </w:tcPr>
          <w:p w14:paraId="31FC6FC9" w14:textId="1E70A88D" w:rsidR="005F0EB6" w:rsidRPr="00822E6C" w:rsidRDefault="005F0EB6" w:rsidP="00822E6C">
            <w:r w:rsidRPr="00822E6C">
              <w:t>Aboriginal Community Controlled Organisations</w:t>
            </w:r>
          </w:p>
        </w:tc>
      </w:tr>
      <w:tr w:rsidR="005F0EB6" w:rsidRPr="00822E6C" w14:paraId="1AA4FB21" w14:textId="77777777" w:rsidTr="00822E6C">
        <w:tc>
          <w:tcPr>
            <w:tcW w:w="2263" w:type="dxa"/>
          </w:tcPr>
          <w:p w14:paraId="03DE9D7B" w14:textId="5FB23ECE" w:rsidR="005F0EB6" w:rsidRPr="00822E6C" w:rsidRDefault="005F0EB6" w:rsidP="00822E6C">
            <w:r w:rsidRPr="00822E6C">
              <w:t>ACCHO</w:t>
            </w:r>
          </w:p>
        </w:tc>
        <w:tc>
          <w:tcPr>
            <w:tcW w:w="6753" w:type="dxa"/>
          </w:tcPr>
          <w:p w14:paraId="0E4C27F1" w14:textId="2C675BC5" w:rsidR="005F0EB6" w:rsidRPr="00822E6C" w:rsidRDefault="005F0EB6" w:rsidP="00822E6C">
            <w:r w:rsidRPr="00822E6C">
              <w:t>Aboriginal Community Controlled Health Organisation</w:t>
            </w:r>
          </w:p>
        </w:tc>
      </w:tr>
      <w:tr w:rsidR="005F0EB6" w:rsidRPr="00822E6C" w14:paraId="6A47A218" w14:textId="77777777" w:rsidTr="00822E6C">
        <w:tc>
          <w:tcPr>
            <w:tcW w:w="2263" w:type="dxa"/>
          </w:tcPr>
          <w:p w14:paraId="56B18DFF" w14:textId="02F80032" w:rsidR="005F0EB6" w:rsidRPr="00822E6C" w:rsidRDefault="005F0EB6" w:rsidP="00822E6C">
            <w:r w:rsidRPr="00822E6C">
              <w:t>AIHW</w:t>
            </w:r>
          </w:p>
        </w:tc>
        <w:tc>
          <w:tcPr>
            <w:tcW w:w="6753" w:type="dxa"/>
          </w:tcPr>
          <w:p w14:paraId="74A147AD" w14:textId="7F2C2A25" w:rsidR="005F0EB6" w:rsidRPr="00822E6C" w:rsidRDefault="005F0EB6" w:rsidP="00822E6C">
            <w:r w:rsidRPr="00822E6C">
              <w:t>Australian Institute of Health and Welfare</w:t>
            </w:r>
          </w:p>
        </w:tc>
      </w:tr>
      <w:tr w:rsidR="005F0EB6" w:rsidRPr="00822E6C" w14:paraId="267CDD4E" w14:textId="77777777" w:rsidTr="00822E6C">
        <w:tc>
          <w:tcPr>
            <w:tcW w:w="2263" w:type="dxa"/>
          </w:tcPr>
          <w:p w14:paraId="4642EBC4" w14:textId="0D6A7B87" w:rsidR="005F0EB6" w:rsidRPr="00822E6C" w:rsidRDefault="005F0EB6" w:rsidP="00822E6C">
            <w:r w:rsidRPr="00822E6C">
              <w:t>AOD</w:t>
            </w:r>
          </w:p>
        </w:tc>
        <w:tc>
          <w:tcPr>
            <w:tcW w:w="6753" w:type="dxa"/>
          </w:tcPr>
          <w:p w14:paraId="105BA2AF" w14:textId="0EAD8300" w:rsidR="005F0EB6" w:rsidRPr="00822E6C" w:rsidRDefault="005F0EB6" w:rsidP="00822E6C">
            <w:r w:rsidRPr="00822E6C">
              <w:t>Alcohol and other drugs</w:t>
            </w:r>
          </w:p>
        </w:tc>
      </w:tr>
      <w:tr w:rsidR="005F0EB6" w:rsidRPr="00822E6C" w14:paraId="115F5314" w14:textId="77777777" w:rsidTr="00822E6C">
        <w:tc>
          <w:tcPr>
            <w:tcW w:w="2263" w:type="dxa"/>
          </w:tcPr>
          <w:p w14:paraId="1F42C8FD" w14:textId="6C5F7362" w:rsidR="005F0EB6" w:rsidRPr="00822E6C" w:rsidRDefault="005F0EB6" w:rsidP="00822E6C">
            <w:r w:rsidRPr="00822E6C">
              <w:t>ECHC</w:t>
            </w:r>
          </w:p>
        </w:tc>
        <w:tc>
          <w:tcPr>
            <w:tcW w:w="6753" w:type="dxa"/>
          </w:tcPr>
          <w:p w14:paraId="6025489B" w14:textId="4C038231" w:rsidR="005F0EB6" w:rsidRPr="00822E6C" w:rsidRDefault="00822E6C" w:rsidP="00822E6C">
            <w:r w:rsidRPr="00822E6C">
              <w:t>Early Childhood Health Centres</w:t>
            </w:r>
          </w:p>
        </w:tc>
      </w:tr>
      <w:tr w:rsidR="005F0EB6" w:rsidRPr="00822E6C" w14:paraId="6090F663" w14:textId="77777777" w:rsidTr="00822E6C">
        <w:tc>
          <w:tcPr>
            <w:tcW w:w="2263" w:type="dxa"/>
          </w:tcPr>
          <w:p w14:paraId="1102E7E8" w14:textId="54C59FEB" w:rsidR="005F0EB6" w:rsidRPr="00822E6C" w:rsidRDefault="005F0EB6" w:rsidP="00822E6C">
            <w:r w:rsidRPr="00822E6C">
              <w:t>DALY</w:t>
            </w:r>
          </w:p>
        </w:tc>
        <w:tc>
          <w:tcPr>
            <w:tcW w:w="6753" w:type="dxa"/>
          </w:tcPr>
          <w:p w14:paraId="37876741" w14:textId="28A20F57" w:rsidR="005F0EB6" w:rsidRPr="00822E6C" w:rsidRDefault="005F0EB6" w:rsidP="00EA0128">
            <w:r w:rsidRPr="00822E6C">
              <w:t>Disability Adjusted Life Years counts years of healthy life lost through either premature death or disability. It is calculated through adding years of life lost and years lived with disability or in poor health due to disease or injury.</w:t>
            </w:r>
          </w:p>
        </w:tc>
      </w:tr>
      <w:tr w:rsidR="005F0EB6" w:rsidRPr="00822E6C" w14:paraId="658A7738" w14:textId="77777777" w:rsidTr="00822E6C">
        <w:tc>
          <w:tcPr>
            <w:tcW w:w="2263" w:type="dxa"/>
          </w:tcPr>
          <w:p w14:paraId="344922A3" w14:textId="0C34EF58" w:rsidR="005F0EB6" w:rsidRPr="00822E6C" w:rsidRDefault="005F0EB6" w:rsidP="00822E6C">
            <w:r w:rsidRPr="00822E6C">
              <w:t>FASD</w:t>
            </w:r>
          </w:p>
        </w:tc>
        <w:tc>
          <w:tcPr>
            <w:tcW w:w="6753" w:type="dxa"/>
          </w:tcPr>
          <w:p w14:paraId="74C2858D" w14:textId="4D6F2039" w:rsidR="005F0EB6" w:rsidRPr="00822E6C" w:rsidRDefault="005F0EB6" w:rsidP="00822E6C">
            <w:proofErr w:type="spellStart"/>
            <w:r w:rsidRPr="00822E6C">
              <w:t>Fetal</w:t>
            </w:r>
            <w:proofErr w:type="spellEnd"/>
            <w:r w:rsidRPr="00822E6C">
              <w:t xml:space="preserve"> Alcohol Spectrum Disorder</w:t>
            </w:r>
          </w:p>
        </w:tc>
      </w:tr>
      <w:tr w:rsidR="00822E6C" w:rsidRPr="00822E6C" w14:paraId="2DDD13CD" w14:textId="77777777" w:rsidTr="00822E6C">
        <w:tc>
          <w:tcPr>
            <w:tcW w:w="2263" w:type="dxa"/>
          </w:tcPr>
          <w:p w14:paraId="54A72126" w14:textId="35A7165B" w:rsidR="00822E6C" w:rsidRPr="00822E6C" w:rsidRDefault="00822E6C" w:rsidP="00822E6C">
            <w:r w:rsidRPr="00822E6C">
              <w:t>LGBTIQ</w:t>
            </w:r>
          </w:p>
        </w:tc>
        <w:tc>
          <w:tcPr>
            <w:tcW w:w="6753" w:type="dxa"/>
          </w:tcPr>
          <w:p w14:paraId="2AAF9B14" w14:textId="66117906" w:rsidR="00822E6C" w:rsidRPr="00822E6C" w:rsidRDefault="00822E6C" w:rsidP="00822E6C">
            <w:r w:rsidRPr="00822E6C">
              <w:t>Lesbian, Gay, Bisexual, Transgender, Intersex and Queer/questioning</w:t>
            </w:r>
          </w:p>
        </w:tc>
      </w:tr>
      <w:tr w:rsidR="005F0EB6" w:rsidRPr="00822E6C" w14:paraId="28781699" w14:textId="77777777" w:rsidTr="00822E6C">
        <w:tc>
          <w:tcPr>
            <w:tcW w:w="2263" w:type="dxa"/>
          </w:tcPr>
          <w:p w14:paraId="0C0C8912" w14:textId="62451DE5" w:rsidR="005F0EB6" w:rsidRPr="00822E6C" w:rsidRDefault="005F0EB6" w:rsidP="00822E6C">
            <w:r w:rsidRPr="00822E6C">
              <w:t>NGO</w:t>
            </w:r>
          </w:p>
        </w:tc>
        <w:tc>
          <w:tcPr>
            <w:tcW w:w="6753" w:type="dxa"/>
          </w:tcPr>
          <w:p w14:paraId="57F33654" w14:textId="6B947095" w:rsidR="005F0EB6" w:rsidRPr="00822E6C" w:rsidRDefault="00B11631" w:rsidP="00822E6C">
            <w:r>
              <w:t>Non-Government</w:t>
            </w:r>
            <w:r w:rsidR="00822E6C" w:rsidRPr="00822E6C">
              <w:t xml:space="preserve"> Organisation</w:t>
            </w:r>
          </w:p>
        </w:tc>
      </w:tr>
      <w:tr w:rsidR="005F0EB6" w:rsidRPr="00822E6C" w14:paraId="6F8811AE" w14:textId="77777777" w:rsidTr="00822E6C">
        <w:tc>
          <w:tcPr>
            <w:tcW w:w="2263" w:type="dxa"/>
          </w:tcPr>
          <w:p w14:paraId="2207BC82" w14:textId="7A018093" w:rsidR="005F0EB6" w:rsidRPr="00822E6C" w:rsidRDefault="005F0EB6" w:rsidP="00822E6C">
            <w:r w:rsidRPr="00822E6C">
              <w:t>NIAA</w:t>
            </w:r>
          </w:p>
        </w:tc>
        <w:tc>
          <w:tcPr>
            <w:tcW w:w="6753" w:type="dxa"/>
          </w:tcPr>
          <w:p w14:paraId="1DD7814C" w14:textId="66C4DD9E" w:rsidR="005F0EB6" w:rsidRPr="00822E6C" w:rsidRDefault="00822E6C" w:rsidP="00822E6C">
            <w:r w:rsidRPr="00822E6C">
              <w:t>National Indigenous Australians Agency</w:t>
            </w:r>
          </w:p>
        </w:tc>
      </w:tr>
      <w:tr w:rsidR="005F0EB6" w:rsidRPr="00822E6C" w14:paraId="42CDB2C6" w14:textId="77777777" w:rsidTr="00822E6C">
        <w:tc>
          <w:tcPr>
            <w:tcW w:w="2263" w:type="dxa"/>
          </w:tcPr>
          <w:p w14:paraId="6F9E7B16" w14:textId="7FF4AE88" w:rsidR="005F0EB6" w:rsidRPr="00822E6C" w:rsidRDefault="005F0EB6" w:rsidP="00822E6C">
            <w:r w:rsidRPr="00822E6C">
              <w:t>PHN</w:t>
            </w:r>
          </w:p>
        </w:tc>
        <w:tc>
          <w:tcPr>
            <w:tcW w:w="6753" w:type="dxa"/>
          </w:tcPr>
          <w:p w14:paraId="2DE4EFBB" w14:textId="03A8D965" w:rsidR="005F0EB6" w:rsidRPr="00822E6C" w:rsidRDefault="00B11631" w:rsidP="00822E6C">
            <w:r>
              <w:t>Primary Health Network</w:t>
            </w:r>
          </w:p>
        </w:tc>
      </w:tr>
      <w:tr w:rsidR="005F0EB6" w:rsidRPr="00822E6C" w14:paraId="076ACFFF" w14:textId="77777777" w:rsidTr="00822E6C">
        <w:tc>
          <w:tcPr>
            <w:tcW w:w="2263" w:type="dxa"/>
          </w:tcPr>
          <w:p w14:paraId="521B2E94" w14:textId="55548ED7" w:rsidR="005F0EB6" w:rsidRPr="00822E6C" w:rsidRDefault="005F0EB6" w:rsidP="00822E6C">
            <w:r w:rsidRPr="00822E6C">
              <w:t>Primary prevention</w:t>
            </w:r>
          </w:p>
        </w:tc>
        <w:tc>
          <w:tcPr>
            <w:tcW w:w="6753" w:type="dxa"/>
          </w:tcPr>
          <w:p w14:paraId="77D6D308" w14:textId="50264829" w:rsidR="005F0EB6" w:rsidRPr="00822E6C" w:rsidRDefault="005F0EB6" w:rsidP="00822E6C">
            <w:r w:rsidRPr="00822E6C">
              <w:t>Preventing an injury event from occurring</w:t>
            </w:r>
            <w:r w:rsidR="00822E6C">
              <w:t>.</w:t>
            </w:r>
          </w:p>
        </w:tc>
      </w:tr>
      <w:tr w:rsidR="005F0EB6" w:rsidRPr="00822E6C" w14:paraId="6D2C71D4" w14:textId="77777777" w:rsidTr="00822E6C">
        <w:tc>
          <w:tcPr>
            <w:tcW w:w="2263" w:type="dxa"/>
          </w:tcPr>
          <w:p w14:paraId="498D507E" w14:textId="171FD410" w:rsidR="005F0EB6" w:rsidRPr="00822E6C" w:rsidRDefault="005F0EB6" w:rsidP="00822E6C">
            <w:r w:rsidRPr="00822E6C">
              <w:t>Secondary prevention</w:t>
            </w:r>
          </w:p>
        </w:tc>
        <w:tc>
          <w:tcPr>
            <w:tcW w:w="6753" w:type="dxa"/>
          </w:tcPr>
          <w:p w14:paraId="4D55BC7A" w14:textId="3B173125" w:rsidR="005F0EB6" w:rsidRPr="00822E6C" w:rsidRDefault="005F0EB6" w:rsidP="00822E6C">
            <w:r w:rsidRPr="00822E6C">
              <w:t>Reducing the amount of energy exchanged during an injury event or reducing the harm caused during the injury event. Secondary prevention also relates to enhancing outcomes and recovery after the event.</w:t>
            </w:r>
          </w:p>
        </w:tc>
      </w:tr>
    </w:tbl>
    <w:p w14:paraId="18E32F85" w14:textId="77777777" w:rsidR="00C350F0" w:rsidRPr="00400300" w:rsidRDefault="00C350F0" w:rsidP="00C350F0">
      <w:pPr>
        <w:rPr>
          <w:lang w:val="en-AU" w:eastAsia="en-US"/>
        </w:rPr>
        <w:sectPr w:rsidR="00C350F0" w:rsidRPr="00400300" w:rsidSect="00AA3231">
          <w:footerReference w:type="default" r:id="rId23"/>
          <w:pgSz w:w="11906" w:h="16838"/>
          <w:pgMar w:top="1440" w:right="1440" w:bottom="1440" w:left="1440" w:header="708" w:footer="708" w:gutter="0"/>
          <w:pgNumType w:fmt="lowerRoman" w:start="1"/>
          <w:cols w:space="708"/>
          <w:docGrid w:linePitch="360"/>
        </w:sectPr>
      </w:pPr>
    </w:p>
    <w:p w14:paraId="283A7667" w14:textId="77777777" w:rsidR="000C5F08" w:rsidRDefault="00D13A37" w:rsidP="00DC6E30">
      <w:pPr>
        <w:pStyle w:val="Heading1"/>
        <w:numPr>
          <w:ilvl w:val="0"/>
          <w:numId w:val="0"/>
        </w:numPr>
        <w:spacing w:after="0"/>
        <w:rPr>
          <w:sz w:val="28"/>
          <w:lang w:val="en-AU"/>
        </w:rPr>
      </w:pPr>
      <w:bookmarkStart w:id="25" w:name="_Toc38021081"/>
      <w:bookmarkStart w:id="26" w:name="_Toc29472986"/>
      <w:bookmarkStart w:id="27" w:name="_Toc30077717"/>
      <w:bookmarkStart w:id="28" w:name="_Toc31128295"/>
      <w:bookmarkStart w:id="29" w:name="_Toc32584875"/>
      <w:r w:rsidRPr="00695048">
        <w:rPr>
          <w:sz w:val="28"/>
          <w:lang w:val="en-AU"/>
        </w:rPr>
        <w:t>National Injury Prevention Strategy overview</w:t>
      </w:r>
      <w:bookmarkEnd w:id="25"/>
    </w:p>
    <w:p w14:paraId="3EFD6F67" w14:textId="517FA06E" w:rsidR="00D13A37" w:rsidRPr="00695048" w:rsidRDefault="00695048" w:rsidP="000C5F08">
      <w:pPr>
        <w:rPr>
          <w:lang w:val="en-AU"/>
        </w:rPr>
      </w:pPr>
      <w:r w:rsidRPr="00695048">
        <w:rPr>
          <w:noProof/>
          <w:lang w:val="en-AU"/>
        </w:rPr>
        <mc:AlternateContent>
          <mc:Choice Requires="wpg">
            <w:drawing>
              <wp:inline distT="0" distB="0" distL="0" distR="0" wp14:anchorId="3A76B284" wp14:editId="6B7BEC28">
                <wp:extent cx="9159240" cy="5303520"/>
                <wp:effectExtent l="0" t="0" r="22860" b="11430"/>
                <wp:docPr id="19" name="Group 19" descr="National Injury Prevention Strategy overview"/>
                <wp:cNvGraphicFramePr/>
                <a:graphic xmlns:a="http://schemas.openxmlformats.org/drawingml/2006/main">
                  <a:graphicData uri="http://schemas.microsoft.com/office/word/2010/wordprocessingGroup">
                    <wpg:wgp>
                      <wpg:cNvGrpSpPr/>
                      <wpg:grpSpPr>
                        <a:xfrm>
                          <a:off x="0" y="0"/>
                          <a:ext cx="9159240" cy="5303520"/>
                          <a:chOff x="0" y="0"/>
                          <a:chExt cx="9128760" cy="5150485"/>
                        </a:xfrm>
                      </wpg:grpSpPr>
                      <wpg:grpSp>
                        <wpg:cNvPr id="10" name="Group 10"/>
                        <wpg:cNvGrpSpPr/>
                        <wpg:grpSpPr>
                          <a:xfrm>
                            <a:off x="3299460" y="1988820"/>
                            <a:ext cx="5819775" cy="261620"/>
                            <a:chOff x="0" y="0"/>
                            <a:chExt cx="5819775" cy="261620"/>
                          </a:xfrm>
                        </wpg:grpSpPr>
                        <wps:wsp>
                          <wps:cNvPr id="270" name="Text Box 2"/>
                          <wps:cNvSpPr txBox="1">
                            <a:spLocks noChangeArrowheads="1"/>
                          </wps:cNvSpPr>
                          <wps:spPr bwMode="auto">
                            <a:xfrm>
                              <a:off x="4046220" y="0"/>
                              <a:ext cx="1773555" cy="261620"/>
                            </a:xfrm>
                            <a:prstGeom prst="rect">
                              <a:avLst/>
                            </a:prstGeom>
                            <a:solidFill>
                              <a:srgbClr val="E2F0D9"/>
                            </a:solidFill>
                            <a:ln w="19050">
                              <a:solidFill>
                                <a:srgbClr val="00B050"/>
                              </a:solidFill>
                              <a:miter lim="800000"/>
                              <a:headEnd/>
                              <a:tailEnd/>
                            </a:ln>
                          </wps:spPr>
                          <wps:txbx>
                            <w:txbxContent>
                              <w:p w14:paraId="5B337815" w14:textId="77777777" w:rsidR="00695048" w:rsidRPr="004531EA" w:rsidRDefault="00695048" w:rsidP="00695048">
                                <w:pPr>
                                  <w:spacing w:before="0"/>
                                  <w:jc w:val="center"/>
                                  <w:rPr>
                                    <w:sz w:val="16"/>
                                    <w:szCs w:val="16"/>
                                  </w:rPr>
                                </w:pPr>
                                <w:r w:rsidRPr="004531EA">
                                  <w:rPr>
                                    <w:b/>
                                    <w:sz w:val="16"/>
                                    <w:szCs w:val="16"/>
                                  </w:rPr>
                                  <w:t>Older Adults (65+ yrs)</w:t>
                                </w:r>
                              </w:p>
                              <w:p w14:paraId="6092B058" w14:textId="77777777" w:rsidR="00695048" w:rsidRPr="004531EA" w:rsidRDefault="00695048" w:rsidP="00695048">
                                <w:pPr>
                                  <w:spacing w:before="0"/>
                                  <w:jc w:val="center"/>
                                  <w:rPr>
                                    <w:sz w:val="16"/>
                                    <w:szCs w:val="16"/>
                                  </w:rPr>
                                </w:pPr>
                              </w:p>
                            </w:txbxContent>
                          </wps:txbx>
                          <wps:bodyPr rot="0" vert="horz" wrap="square" lIns="91440" tIns="45720" rIns="91440" bIns="45720" anchor="ctr" anchorCtr="0">
                            <a:noAutofit/>
                          </wps:bodyPr>
                        </wps:wsp>
                        <wps:wsp>
                          <wps:cNvPr id="269" name="Text Box 2"/>
                          <wps:cNvSpPr txBox="1">
                            <a:spLocks noChangeArrowheads="1"/>
                          </wps:cNvSpPr>
                          <wps:spPr bwMode="auto">
                            <a:xfrm>
                              <a:off x="2004060" y="0"/>
                              <a:ext cx="1773555" cy="261620"/>
                            </a:xfrm>
                            <a:prstGeom prst="rect">
                              <a:avLst/>
                            </a:prstGeom>
                            <a:solidFill>
                              <a:srgbClr val="E2F0D9"/>
                            </a:solidFill>
                            <a:ln w="19050">
                              <a:solidFill>
                                <a:srgbClr val="00B050"/>
                              </a:solidFill>
                              <a:miter lim="800000"/>
                              <a:headEnd/>
                              <a:tailEnd/>
                            </a:ln>
                          </wps:spPr>
                          <wps:txbx>
                            <w:txbxContent>
                              <w:p w14:paraId="7683FD54" w14:textId="77777777" w:rsidR="00695048" w:rsidRPr="004531EA" w:rsidRDefault="00695048" w:rsidP="00695048">
                                <w:pPr>
                                  <w:spacing w:before="0"/>
                                  <w:jc w:val="center"/>
                                  <w:rPr>
                                    <w:sz w:val="16"/>
                                    <w:szCs w:val="16"/>
                                  </w:rPr>
                                </w:pPr>
                                <w:r w:rsidRPr="004531EA">
                                  <w:rPr>
                                    <w:b/>
                                    <w:sz w:val="16"/>
                                    <w:szCs w:val="16"/>
                                  </w:rPr>
                                  <w:t>Adults (25-64 yrs)</w:t>
                                </w:r>
                              </w:p>
                              <w:p w14:paraId="409A65CB" w14:textId="77777777" w:rsidR="00695048" w:rsidRPr="004531EA" w:rsidRDefault="00695048" w:rsidP="00695048">
                                <w:pPr>
                                  <w:spacing w:before="0"/>
                                  <w:jc w:val="center"/>
                                  <w:rPr>
                                    <w:sz w:val="16"/>
                                    <w:szCs w:val="16"/>
                                  </w:rPr>
                                </w:pPr>
                              </w:p>
                            </w:txbxContent>
                          </wps:txbx>
                          <wps:bodyPr rot="0" vert="horz" wrap="square" lIns="91440" tIns="45720" rIns="91440" bIns="45720" anchor="ctr" anchorCtr="0">
                            <a:noAutofit/>
                          </wps:bodyPr>
                        </wps:wsp>
                        <wps:wsp>
                          <wps:cNvPr id="263" name="Text Box 2"/>
                          <wps:cNvSpPr txBox="1">
                            <a:spLocks noChangeArrowheads="1"/>
                          </wps:cNvSpPr>
                          <wps:spPr bwMode="auto">
                            <a:xfrm>
                              <a:off x="0" y="0"/>
                              <a:ext cx="1773555" cy="260985"/>
                            </a:xfrm>
                            <a:prstGeom prst="rect">
                              <a:avLst/>
                            </a:prstGeom>
                            <a:solidFill>
                              <a:srgbClr val="E2F0D9"/>
                            </a:solidFill>
                            <a:ln w="19050">
                              <a:solidFill>
                                <a:srgbClr val="00B050"/>
                              </a:solidFill>
                              <a:miter lim="800000"/>
                              <a:headEnd/>
                              <a:tailEnd/>
                            </a:ln>
                          </wps:spPr>
                          <wps:txbx>
                            <w:txbxContent>
                              <w:p w14:paraId="7E3FF455" w14:textId="77777777" w:rsidR="00695048" w:rsidRPr="004531EA" w:rsidRDefault="00695048" w:rsidP="00695048">
                                <w:pPr>
                                  <w:spacing w:before="0"/>
                                  <w:jc w:val="center"/>
                                  <w:rPr>
                                    <w:sz w:val="16"/>
                                    <w:szCs w:val="16"/>
                                  </w:rPr>
                                </w:pPr>
                                <w:r w:rsidRPr="004531EA">
                                  <w:rPr>
                                    <w:b/>
                                    <w:sz w:val="16"/>
                                    <w:szCs w:val="16"/>
                                  </w:rPr>
                                  <w:t>Youth (15-24 yrs)</w:t>
                                </w:r>
                                <w:r>
                                  <w:rPr>
                                    <w:b/>
                                    <w:sz w:val="16"/>
                                    <w:szCs w:val="16"/>
                                  </w:rPr>
                                  <w:t xml:space="preserve"> </w:t>
                                </w:r>
                              </w:p>
                              <w:p w14:paraId="768D6E0A" w14:textId="77777777" w:rsidR="00695048" w:rsidRPr="004531EA" w:rsidRDefault="00695048" w:rsidP="00695048">
                                <w:pPr>
                                  <w:spacing w:before="0"/>
                                  <w:jc w:val="center"/>
                                  <w:rPr>
                                    <w:sz w:val="16"/>
                                    <w:szCs w:val="16"/>
                                  </w:rPr>
                                </w:pPr>
                              </w:p>
                            </w:txbxContent>
                          </wps:txbx>
                          <wps:bodyPr rot="0" vert="horz" wrap="square" lIns="91440" tIns="45720" rIns="91440" bIns="45720" anchor="ctr" anchorCtr="0">
                            <a:noAutofit/>
                          </wps:bodyPr>
                        </wps:wsp>
                      </wpg:grpSp>
                      <wps:wsp>
                        <wps:cNvPr id="288" name="Text Box 2"/>
                        <wps:cNvSpPr txBox="1">
                          <a:spLocks noChangeArrowheads="1"/>
                        </wps:cNvSpPr>
                        <wps:spPr bwMode="auto">
                          <a:xfrm>
                            <a:off x="1303020" y="4632960"/>
                            <a:ext cx="3796453" cy="216535"/>
                          </a:xfrm>
                          <a:prstGeom prst="rect">
                            <a:avLst/>
                          </a:prstGeom>
                          <a:solidFill>
                            <a:schemeClr val="accent3">
                              <a:lumMod val="40000"/>
                              <a:lumOff val="60000"/>
                            </a:schemeClr>
                          </a:solidFill>
                          <a:ln w="19050">
                            <a:noFill/>
                            <a:miter lim="800000"/>
                            <a:headEnd/>
                            <a:tailEnd/>
                          </a:ln>
                        </wps:spPr>
                        <wps:txbx>
                          <w:txbxContent>
                            <w:p w14:paraId="2AC37DEE"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All other external</w:t>
                              </w:r>
                            </w:p>
                          </w:txbxContent>
                        </wps:txbx>
                        <wps:bodyPr rot="0" vert="horz" wrap="square" lIns="91440" tIns="45720" rIns="91440" bIns="45720" anchor="ctr" anchorCtr="0">
                          <a:noAutofit/>
                        </wps:bodyPr>
                      </wps:wsp>
                      <wpg:grpSp>
                        <wpg:cNvPr id="9" name="Group 9" descr="Overview of strategy including vision, outcome indicators, principles, priority populations and life stages, and leading causes of injury in Australia"/>
                        <wpg:cNvGrpSpPr/>
                        <wpg:grpSpPr>
                          <a:xfrm>
                            <a:off x="0" y="0"/>
                            <a:ext cx="9128760" cy="5150485"/>
                            <a:chOff x="0" y="0"/>
                            <a:chExt cx="9265516" cy="5412866"/>
                          </a:xfrm>
                        </wpg:grpSpPr>
                        <wpg:grpSp>
                          <wpg:cNvPr id="8" name="Group 8"/>
                          <wpg:cNvGrpSpPr/>
                          <wpg:grpSpPr>
                            <a:xfrm>
                              <a:off x="0" y="0"/>
                              <a:ext cx="9265516" cy="5412866"/>
                              <a:chOff x="0" y="0"/>
                              <a:chExt cx="9265516" cy="5412866"/>
                            </a:xfrm>
                          </wpg:grpSpPr>
                          <wps:wsp>
                            <wps:cNvPr id="255" name="Text Box 2" descr="Problem/Situation: Injuries are the leading cause of death of people aged 1-44 years and they are responsible for approximately nine percent of the burden of disease in Australia¬¬.&#10;Vision: To reduce the overall burden of injury in Australia and address inequities that contribute to the disproportionate burden of injury experienced by specific population groups."/>
                            <wps:cNvSpPr txBox="1">
                              <a:spLocks noChangeArrowheads="1"/>
                            </wps:cNvSpPr>
                            <wps:spPr bwMode="auto">
                              <a:xfrm>
                                <a:off x="0" y="0"/>
                                <a:ext cx="9246869" cy="476250"/>
                              </a:xfrm>
                              <a:prstGeom prst="rect">
                                <a:avLst/>
                              </a:prstGeom>
                              <a:solidFill>
                                <a:srgbClr val="FFFFFF"/>
                              </a:solidFill>
                              <a:ln w="19050">
                                <a:solidFill>
                                  <a:schemeClr val="accent5"/>
                                </a:solidFill>
                                <a:miter lim="800000"/>
                                <a:headEnd/>
                                <a:tailEnd/>
                              </a:ln>
                              <a:effectLst/>
                            </wps:spPr>
                            <wps:txbx>
                              <w:txbxContent>
                                <w:p w14:paraId="28C2D686" w14:textId="77777777" w:rsidR="00695048" w:rsidRPr="004531EA" w:rsidRDefault="00695048" w:rsidP="00695048">
                                  <w:pPr>
                                    <w:autoSpaceDE w:val="0"/>
                                    <w:autoSpaceDN w:val="0"/>
                                    <w:adjustRightInd w:val="0"/>
                                    <w:spacing w:before="0"/>
                                    <w:jc w:val="center"/>
                                    <w:rPr>
                                      <w:sz w:val="18"/>
                                      <w:szCs w:val="16"/>
                                    </w:rPr>
                                  </w:pPr>
                                  <w:r w:rsidRPr="004531EA">
                                    <w:rPr>
                                      <w:b/>
                                      <w:sz w:val="18"/>
                                      <w:szCs w:val="16"/>
                                    </w:rPr>
                                    <w:t xml:space="preserve">Problem/Situation: </w:t>
                                  </w:r>
                                  <w:r w:rsidRPr="004531EA">
                                    <w:rPr>
                                      <w:sz w:val="18"/>
                                      <w:szCs w:val="16"/>
                                    </w:rPr>
                                    <w:t>Injuries are the</w:t>
                                  </w:r>
                                  <w:r>
                                    <w:rPr>
                                      <w:sz w:val="18"/>
                                      <w:szCs w:val="16"/>
                                    </w:rPr>
                                    <w:t xml:space="preserve"> leading cause of death of people</w:t>
                                  </w:r>
                                  <w:r w:rsidRPr="004531EA">
                                    <w:rPr>
                                      <w:sz w:val="18"/>
                                      <w:szCs w:val="16"/>
                                    </w:rPr>
                                    <w:t xml:space="preserve"> aged 1-44 years </w:t>
                                  </w:r>
                                  <w:r>
                                    <w:rPr>
                                      <w:sz w:val="18"/>
                                      <w:szCs w:val="16"/>
                                    </w:rPr>
                                    <w:t xml:space="preserve">and they are </w:t>
                                  </w:r>
                                  <w:r w:rsidRPr="004531EA">
                                    <w:rPr>
                                      <w:sz w:val="18"/>
                                      <w:szCs w:val="16"/>
                                    </w:rPr>
                                    <w:t>responsible for approximately nine percent of the burden of disease in Australia</w:t>
                                  </w:r>
                                  <w:r>
                                    <w:rPr>
                                      <w:sz w:val="18"/>
                                      <w:szCs w:val="16"/>
                                    </w:rPr>
                                    <w:softHyphen/>
                                  </w:r>
                                  <w:r>
                                    <w:rPr>
                                      <w:sz w:val="18"/>
                                      <w:szCs w:val="16"/>
                                    </w:rPr>
                                    <w:softHyphen/>
                                  </w:r>
                                  <w:r w:rsidRPr="004531EA">
                                    <w:rPr>
                                      <w:sz w:val="18"/>
                                      <w:szCs w:val="16"/>
                                    </w:rPr>
                                    <w:t>.</w:t>
                                  </w:r>
                                </w:p>
                                <w:p w14:paraId="55AC9BF5" w14:textId="77777777" w:rsidR="00695048" w:rsidRDefault="00695048" w:rsidP="00695048">
                                  <w:pPr>
                                    <w:autoSpaceDE w:val="0"/>
                                    <w:autoSpaceDN w:val="0"/>
                                    <w:adjustRightInd w:val="0"/>
                                    <w:jc w:val="center"/>
                                    <w:rPr>
                                      <w:rFonts w:cstheme="minorHAnsi"/>
                                      <w:sz w:val="18"/>
                                      <w:szCs w:val="16"/>
                                    </w:rPr>
                                  </w:pPr>
                                  <w:r w:rsidRPr="004531EA">
                                    <w:rPr>
                                      <w:b/>
                                      <w:sz w:val="18"/>
                                      <w:szCs w:val="16"/>
                                    </w:rPr>
                                    <w:t>Vision</w:t>
                                  </w:r>
                                  <w:r w:rsidRPr="004531EA">
                                    <w:rPr>
                                      <w:sz w:val="18"/>
                                      <w:szCs w:val="16"/>
                                    </w:rPr>
                                    <w:t xml:space="preserve">: </w:t>
                                  </w:r>
                                  <w:r w:rsidRPr="004531EA">
                                    <w:rPr>
                                      <w:rFonts w:cstheme="minorHAnsi"/>
                                      <w:sz w:val="18"/>
                                      <w:szCs w:val="16"/>
                                    </w:rPr>
                                    <w:t xml:space="preserve">To </w:t>
                                  </w:r>
                                  <w:r w:rsidRPr="004531EA">
                                    <w:rPr>
                                      <w:rFonts w:cstheme="minorHAnsi"/>
                                      <w:sz w:val="18"/>
                                      <w:szCs w:val="16"/>
                                      <w:lang w:val="en-AU" w:eastAsia="en-US"/>
                                    </w:rPr>
                                    <w:t xml:space="preserve">reduce the </w:t>
                                  </w:r>
                                  <w:r>
                                    <w:rPr>
                                      <w:rFonts w:cstheme="minorHAnsi"/>
                                      <w:sz w:val="18"/>
                                      <w:szCs w:val="16"/>
                                      <w:lang w:val="en-AU" w:eastAsia="en-US"/>
                                    </w:rPr>
                                    <w:t xml:space="preserve">overall </w:t>
                                  </w:r>
                                  <w:r w:rsidRPr="004531EA">
                                    <w:rPr>
                                      <w:rFonts w:cstheme="minorHAnsi"/>
                                      <w:sz w:val="18"/>
                                      <w:szCs w:val="16"/>
                                      <w:lang w:val="en-AU" w:eastAsia="en-US"/>
                                    </w:rPr>
                                    <w:t xml:space="preserve">burden of injury in Australia and address inequities that </w:t>
                                  </w:r>
                                  <w:r w:rsidRPr="004531EA">
                                    <w:rPr>
                                      <w:rFonts w:cstheme="minorHAnsi"/>
                                      <w:sz w:val="18"/>
                                      <w:szCs w:val="16"/>
                                      <w:lang w:val="en-AU"/>
                                    </w:rPr>
                                    <w:t xml:space="preserve">contribute to the </w:t>
                                  </w:r>
                                  <w:r>
                                    <w:rPr>
                                      <w:rFonts w:cstheme="minorHAnsi"/>
                                      <w:sz w:val="18"/>
                                      <w:szCs w:val="16"/>
                                      <w:lang w:val="en-AU"/>
                                    </w:rPr>
                                    <w:t>disproportionate</w:t>
                                  </w:r>
                                  <w:r w:rsidRPr="004531EA">
                                    <w:rPr>
                                      <w:rFonts w:cstheme="minorHAnsi"/>
                                      <w:sz w:val="18"/>
                                      <w:szCs w:val="16"/>
                                      <w:lang w:val="en-AU"/>
                                    </w:rPr>
                                    <w:t xml:space="preserve"> burden of injury experienced by specific population groups</w:t>
                                  </w:r>
                                  <w:r w:rsidRPr="004531EA">
                                    <w:rPr>
                                      <w:rFonts w:cstheme="minorHAnsi"/>
                                      <w:sz w:val="18"/>
                                      <w:szCs w:val="16"/>
                                    </w:rPr>
                                    <w:t>.</w:t>
                                  </w:r>
                                </w:p>
                                <w:p w14:paraId="59E7F891" w14:textId="77777777" w:rsidR="00695048" w:rsidRPr="004531EA" w:rsidRDefault="00695048" w:rsidP="00695048">
                                  <w:pPr>
                                    <w:autoSpaceDE w:val="0"/>
                                    <w:autoSpaceDN w:val="0"/>
                                    <w:adjustRightInd w:val="0"/>
                                    <w:jc w:val="center"/>
                                    <w:rPr>
                                      <w:rFonts w:cstheme="minorHAnsi"/>
                                      <w:sz w:val="18"/>
                                      <w:szCs w:val="16"/>
                                    </w:rPr>
                                  </w:pPr>
                                </w:p>
                              </w:txbxContent>
                            </wps:txbx>
                            <wps:bodyPr rot="0" vert="horz" wrap="square" lIns="91440" tIns="45720" rIns="91440" bIns="45720" anchor="t" anchorCtr="0">
                              <a:noAutofit/>
                            </wps:bodyPr>
                          </wps:wsp>
                          <wpg:grpSp>
                            <wpg:cNvPr id="265" name="Group 265" descr="Priority populations: Aboriginal and Torres Strait Islander people, people living in rural and remote areas, people experiencing most socio-economic disadvantage.&#10;Life stages: 1. Babies and children, 2. Youth, 3. Adults, 4. Older adults"/>
                            <wpg:cNvGrpSpPr/>
                            <wpg:grpSpPr>
                              <a:xfrm>
                                <a:off x="7620" y="1798320"/>
                                <a:ext cx="9239885" cy="569595"/>
                                <a:chOff x="10630" y="-125598"/>
                                <a:chExt cx="9298815" cy="679376"/>
                              </a:xfrm>
                            </wpg:grpSpPr>
                            <wps:wsp>
                              <wps:cNvPr id="266" name="Text Box 2" descr="Priority populations &amp;&#10;Life-stages&#10;in the Strategy"/>
                              <wps:cNvSpPr txBox="1">
                                <a:spLocks noChangeArrowheads="1"/>
                              </wps:cNvSpPr>
                              <wps:spPr bwMode="auto">
                                <a:xfrm>
                                  <a:off x="10630" y="-125598"/>
                                  <a:ext cx="1072380" cy="679376"/>
                                </a:xfrm>
                                <a:prstGeom prst="rect">
                                  <a:avLst/>
                                </a:prstGeom>
                                <a:solidFill>
                                  <a:srgbClr val="E2F0D9"/>
                                </a:solidFill>
                                <a:ln w="19050">
                                  <a:solidFill>
                                    <a:srgbClr val="00B050"/>
                                  </a:solidFill>
                                  <a:miter lim="800000"/>
                                  <a:headEnd/>
                                  <a:tailEnd/>
                                </a:ln>
                              </wps:spPr>
                              <wps:txbx>
                                <w:txbxContent>
                                  <w:p w14:paraId="3337C877" w14:textId="77777777" w:rsidR="00695048" w:rsidRDefault="00695048" w:rsidP="00695048">
                                    <w:pPr>
                                      <w:spacing w:before="0"/>
                                      <w:jc w:val="center"/>
                                      <w:rPr>
                                        <w:b/>
                                        <w:sz w:val="16"/>
                                        <w:szCs w:val="16"/>
                                      </w:rPr>
                                    </w:pPr>
                                    <w:r>
                                      <w:rPr>
                                        <w:b/>
                                        <w:sz w:val="16"/>
                                        <w:szCs w:val="16"/>
                                      </w:rPr>
                                      <w:t>Priority populations &amp;</w:t>
                                    </w:r>
                                  </w:p>
                                  <w:p w14:paraId="7E124562" w14:textId="77777777" w:rsidR="00695048" w:rsidRPr="004531EA" w:rsidRDefault="00695048" w:rsidP="00695048">
                                    <w:pPr>
                                      <w:spacing w:before="0"/>
                                      <w:jc w:val="center"/>
                                      <w:rPr>
                                        <w:sz w:val="16"/>
                                        <w:szCs w:val="16"/>
                                      </w:rPr>
                                    </w:pPr>
                                    <w:r w:rsidRPr="004531EA">
                                      <w:rPr>
                                        <w:b/>
                                        <w:sz w:val="16"/>
                                        <w:szCs w:val="16"/>
                                      </w:rPr>
                                      <w:t>Life</w:t>
                                    </w:r>
                                    <w:r>
                                      <w:rPr>
                                        <w:b/>
                                        <w:sz w:val="16"/>
                                        <w:szCs w:val="16"/>
                                      </w:rPr>
                                      <w:t>-</w:t>
                                    </w:r>
                                    <w:r w:rsidRPr="004531EA">
                                      <w:rPr>
                                        <w:b/>
                                        <w:sz w:val="16"/>
                                        <w:szCs w:val="16"/>
                                      </w:rPr>
                                      <w:t>stages</w:t>
                                    </w:r>
                                  </w:p>
                                </w:txbxContent>
                              </wps:txbx>
                              <wps:bodyPr rot="0" vert="horz" wrap="square" lIns="91440" tIns="45720" rIns="91440" bIns="45720" anchor="ctr" anchorCtr="0">
                                <a:noAutofit/>
                              </wps:bodyPr>
                            </wps:wsp>
                            <wps:wsp>
                              <wps:cNvPr id="267" name="Text Box 2"/>
                              <wps:cNvSpPr txBox="1">
                                <a:spLocks noChangeArrowheads="1"/>
                              </wps:cNvSpPr>
                              <wps:spPr bwMode="auto">
                                <a:xfrm>
                                  <a:off x="1336797" y="-125442"/>
                                  <a:ext cx="7972648" cy="280930"/>
                                </a:xfrm>
                                <a:prstGeom prst="rect">
                                  <a:avLst/>
                                </a:prstGeom>
                                <a:solidFill>
                                  <a:srgbClr val="E2F0D9"/>
                                </a:solidFill>
                                <a:ln w="19050">
                                  <a:solidFill>
                                    <a:srgbClr val="00B050"/>
                                  </a:solidFill>
                                  <a:miter lim="800000"/>
                                  <a:headEnd/>
                                  <a:tailEnd/>
                                </a:ln>
                              </wps:spPr>
                              <wps:txbx>
                                <w:txbxContent>
                                  <w:p w14:paraId="1DFCBDBC" w14:textId="77777777" w:rsidR="00695048" w:rsidRPr="004531EA" w:rsidRDefault="00695048" w:rsidP="00695048">
                                    <w:pPr>
                                      <w:spacing w:before="0"/>
                                      <w:jc w:val="center"/>
                                      <w:rPr>
                                        <w:rFonts w:cstheme="minorHAnsi"/>
                                        <w:b/>
                                        <w:i/>
                                        <w:sz w:val="16"/>
                                        <w:szCs w:val="16"/>
                                      </w:rPr>
                                    </w:pPr>
                                    <w:r w:rsidRPr="004531EA">
                                      <w:rPr>
                                        <w:rFonts w:cstheme="minorHAnsi"/>
                                        <w:b/>
                                        <w:i/>
                                        <w:sz w:val="16"/>
                                        <w:szCs w:val="16"/>
                                      </w:rPr>
                                      <w:t xml:space="preserve">Priority </w:t>
                                    </w:r>
                                    <w:r w:rsidRPr="0060376E">
                                      <w:rPr>
                                        <w:rFonts w:cstheme="minorHAnsi"/>
                                        <w:b/>
                                        <w:i/>
                                        <w:sz w:val="16"/>
                                        <w:szCs w:val="16"/>
                                      </w:rPr>
                                      <w:t>populations: Aboriginal and Torres Strait Islander people</w:t>
                                    </w:r>
                                    <w:r w:rsidRPr="004531EA">
                                      <w:rPr>
                                        <w:rFonts w:cstheme="minorHAnsi"/>
                                        <w:b/>
                                        <w:i/>
                                        <w:sz w:val="16"/>
                                        <w:szCs w:val="16"/>
                                      </w:rPr>
                                      <w:t xml:space="preserve">, people living in rural and remote areas, people experiencing </w:t>
                                    </w:r>
                                    <w:r>
                                      <w:rPr>
                                        <w:rFonts w:cstheme="minorHAnsi"/>
                                        <w:b/>
                                        <w:i/>
                                        <w:sz w:val="16"/>
                                        <w:szCs w:val="16"/>
                                      </w:rPr>
                                      <w:t xml:space="preserve">most </w:t>
                                    </w:r>
                                    <w:r w:rsidRPr="004531EA">
                                      <w:rPr>
                                        <w:rFonts w:cstheme="minorHAnsi"/>
                                        <w:b/>
                                        <w:i/>
                                        <w:sz w:val="16"/>
                                        <w:szCs w:val="16"/>
                                      </w:rPr>
                                      <w:t>socio-economic disadvantage</w:t>
                                    </w:r>
                                  </w:p>
                                </w:txbxContent>
                              </wps:txbx>
                              <wps:bodyPr rot="0" vert="horz" wrap="square" lIns="91440" tIns="45720" rIns="91440" bIns="45720" anchor="t" anchorCtr="0">
                                <a:noAutofit/>
                              </wps:bodyPr>
                            </wps:wsp>
                            <wps:wsp>
                              <wps:cNvPr id="268" name="Text Box 2"/>
                              <wps:cNvSpPr txBox="1">
                                <a:spLocks noChangeArrowheads="1"/>
                              </wps:cNvSpPr>
                              <wps:spPr bwMode="auto">
                                <a:xfrm>
                                  <a:off x="1335440" y="231676"/>
                                  <a:ext cx="1784933" cy="311784"/>
                                </a:xfrm>
                                <a:prstGeom prst="rect">
                                  <a:avLst/>
                                </a:prstGeom>
                                <a:solidFill>
                                  <a:srgbClr val="E2F0D9"/>
                                </a:solidFill>
                                <a:ln w="19050">
                                  <a:solidFill>
                                    <a:srgbClr val="00B050"/>
                                  </a:solidFill>
                                  <a:miter lim="800000"/>
                                  <a:headEnd/>
                                  <a:tailEnd/>
                                </a:ln>
                              </wps:spPr>
                              <wps:txbx>
                                <w:txbxContent>
                                  <w:p w14:paraId="040795F7" w14:textId="77777777" w:rsidR="00695048" w:rsidRPr="004531EA" w:rsidRDefault="00695048" w:rsidP="00695048">
                                    <w:pPr>
                                      <w:spacing w:before="0"/>
                                      <w:jc w:val="center"/>
                                      <w:rPr>
                                        <w:sz w:val="16"/>
                                        <w:szCs w:val="16"/>
                                      </w:rPr>
                                    </w:pPr>
                                    <w:r w:rsidRPr="004531EA">
                                      <w:rPr>
                                        <w:b/>
                                        <w:sz w:val="16"/>
                                        <w:szCs w:val="16"/>
                                      </w:rPr>
                                      <w:t>Babies &amp; children (0-14 yrs)</w:t>
                                    </w:r>
                                  </w:p>
                                </w:txbxContent>
                              </wps:txbx>
                              <wps:bodyPr rot="0" vert="horz" wrap="square" lIns="91440" tIns="45720" rIns="91440" bIns="45720" anchor="ctr" anchorCtr="0">
                                <a:noAutofit/>
                              </wps:bodyPr>
                            </wps:wsp>
                          </wpg:grpSp>
                          <wpg:grpSp>
                            <wpg:cNvPr id="271" name="Group 271" descr="Principles: Evidence-based, equity, engagement, coordination, resourcing: responsibility"/>
                            <wpg:cNvGrpSpPr/>
                            <wpg:grpSpPr>
                              <a:xfrm>
                                <a:off x="7620" y="1485900"/>
                                <a:ext cx="9239886" cy="261620"/>
                                <a:chOff x="31899" y="0"/>
                                <a:chExt cx="9169786" cy="311785"/>
                              </a:xfrm>
                            </wpg:grpSpPr>
                            <wps:wsp>
                              <wps:cNvPr id="272" name="Text Box 2" descr="Principles of the Strategy"/>
                              <wps:cNvSpPr txBox="1">
                                <a:spLocks noChangeArrowheads="1"/>
                              </wps:cNvSpPr>
                              <wps:spPr bwMode="auto">
                                <a:xfrm>
                                  <a:off x="31899" y="0"/>
                                  <a:ext cx="1072346" cy="306277"/>
                                </a:xfrm>
                                <a:prstGeom prst="rect">
                                  <a:avLst/>
                                </a:prstGeom>
                                <a:solidFill>
                                  <a:srgbClr val="F2DCDB"/>
                                </a:solidFill>
                                <a:ln w="19050">
                                  <a:solidFill>
                                    <a:srgbClr val="A50021"/>
                                  </a:solidFill>
                                  <a:miter lim="800000"/>
                                  <a:headEnd/>
                                  <a:tailEnd/>
                                </a:ln>
                              </wps:spPr>
                              <wps:txbx>
                                <w:txbxContent>
                                  <w:p w14:paraId="3210CED7" w14:textId="77777777" w:rsidR="00695048" w:rsidRPr="00746DEE" w:rsidRDefault="00695048" w:rsidP="00695048">
                                    <w:pPr>
                                      <w:spacing w:before="0"/>
                                      <w:jc w:val="center"/>
                                      <w:rPr>
                                        <w:sz w:val="16"/>
                                        <w:szCs w:val="16"/>
                                      </w:rPr>
                                    </w:pPr>
                                    <w:r w:rsidRPr="00746DEE">
                                      <w:rPr>
                                        <w:b/>
                                        <w:sz w:val="16"/>
                                        <w:szCs w:val="16"/>
                                      </w:rPr>
                                      <w:t>Principles</w:t>
                                    </w:r>
                                  </w:p>
                                  <w:p w14:paraId="49DBEB17" w14:textId="77777777" w:rsidR="00695048" w:rsidRPr="004531EA" w:rsidRDefault="00695048" w:rsidP="00695048">
                                    <w:pPr>
                                      <w:rPr>
                                        <w:sz w:val="16"/>
                                        <w:szCs w:val="16"/>
                                      </w:rPr>
                                    </w:pPr>
                                  </w:p>
                                </w:txbxContent>
                              </wps:txbx>
                              <wps:bodyPr rot="0" vert="horz" wrap="square" lIns="91440" tIns="45720" rIns="91440" bIns="45720" anchor="t" anchorCtr="0">
                                <a:noAutofit/>
                              </wps:bodyPr>
                            </wps:wsp>
                            <wps:wsp>
                              <wps:cNvPr id="273" name="Text Box 2"/>
                              <wps:cNvSpPr txBox="1">
                                <a:spLocks noChangeArrowheads="1"/>
                              </wps:cNvSpPr>
                              <wps:spPr bwMode="auto">
                                <a:xfrm>
                                  <a:off x="1339666" y="0"/>
                                  <a:ext cx="7862019" cy="311785"/>
                                </a:xfrm>
                                <a:prstGeom prst="rect">
                                  <a:avLst/>
                                </a:prstGeom>
                                <a:solidFill>
                                  <a:srgbClr val="F2DCDB"/>
                                </a:solidFill>
                                <a:ln w="19050">
                                  <a:solidFill>
                                    <a:srgbClr val="A50021"/>
                                  </a:solidFill>
                                  <a:miter lim="800000"/>
                                  <a:headEnd/>
                                  <a:tailEnd/>
                                </a:ln>
                              </wps:spPr>
                              <wps:txbx>
                                <w:txbxContent>
                                  <w:p w14:paraId="14D6BB28" w14:textId="77777777" w:rsidR="00695048" w:rsidRPr="00746DEE" w:rsidRDefault="00695048" w:rsidP="00695048">
                                    <w:pPr>
                                      <w:pStyle w:val="ListParagraph"/>
                                      <w:spacing w:before="0"/>
                                      <w:jc w:val="center"/>
                                      <w:rPr>
                                        <w:rFonts w:cstheme="minorHAnsi"/>
                                        <w:sz w:val="16"/>
                                        <w:szCs w:val="16"/>
                                      </w:rPr>
                                    </w:pPr>
                                    <w:r w:rsidRPr="00746DEE">
                                      <w:rPr>
                                        <w:rFonts w:cstheme="minorHAnsi"/>
                                        <w:b/>
                                        <w:sz w:val="16"/>
                                        <w:szCs w:val="16"/>
                                        <w:lang w:val="en-AU"/>
                                      </w:rPr>
                                      <w:t>Evidence-based, equity, e</w:t>
                                    </w:r>
                                    <w:r w:rsidRPr="00746DEE">
                                      <w:rPr>
                                        <w:rFonts w:cstheme="minorHAnsi"/>
                                        <w:b/>
                                        <w:color w:val="000000" w:themeColor="text1"/>
                                        <w:sz w:val="16"/>
                                        <w:szCs w:val="16"/>
                                        <w:lang w:val="en-AU"/>
                                      </w:rPr>
                                      <w:t>ngagement, c</w:t>
                                    </w:r>
                                    <w:r w:rsidRPr="00746DEE">
                                      <w:rPr>
                                        <w:rFonts w:cstheme="minorHAnsi"/>
                                        <w:b/>
                                        <w:sz w:val="16"/>
                                        <w:szCs w:val="16"/>
                                        <w:lang w:val="en-AU"/>
                                      </w:rPr>
                                      <w:t>oordination</w:t>
                                    </w:r>
                                    <w:r w:rsidRPr="00746DEE">
                                      <w:rPr>
                                        <w:rFonts w:cstheme="minorHAnsi"/>
                                        <w:sz w:val="16"/>
                                        <w:szCs w:val="16"/>
                                        <w:lang w:val="en-AU"/>
                                      </w:rPr>
                                      <w:t>, r</w:t>
                                    </w:r>
                                    <w:r w:rsidRPr="00746DEE">
                                      <w:rPr>
                                        <w:rFonts w:cstheme="minorHAnsi"/>
                                        <w:b/>
                                        <w:sz w:val="16"/>
                                        <w:szCs w:val="16"/>
                                        <w:lang w:val="en-AU"/>
                                      </w:rPr>
                                      <w:t>esourcing:</w:t>
                                    </w:r>
                                    <w:r w:rsidRPr="00746DEE">
                                      <w:rPr>
                                        <w:rFonts w:cstheme="minorHAnsi"/>
                                        <w:color w:val="000000" w:themeColor="text1"/>
                                        <w:sz w:val="16"/>
                                        <w:szCs w:val="16"/>
                                        <w:lang w:val="en-AU"/>
                                      </w:rPr>
                                      <w:t xml:space="preserve"> r</w:t>
                                    </w:r>
                                    <w:r w:rsidRPr="00746DEE">
                                      <w:rPr>
                                        <w:rFonts w:cstheme="minorHAnsi"/>
                                        <w:b/>
                                        <w:sz w:val="16"/>
                                        <w:szCs w:val="16"/>
                                        <w:lang w:val="en-AU"/>
                                      </w:rPr>
                                      <w:t>esponsibility</w:t>
                                    </w:r>
                                  </w:p>
                                </w:txbxContent>
                              </wps:txbx>
                              <wps:bodyPr rot="0" vert="horz" wrap="square" lIns="91440" tIns="45720" rIns="91440" bIns="45720" anchor="ctr" anchorCtr="0">
                                <a:noAutofit/>
                              </wps:bodyPr>
                            </wps:wsp>
                          </wpg:grpSp>
                          <wps:wsp>
                            <wps:cNvPr id="262" name="Text Box 2"/>
                            <wps:cNvSpPr txBox="1">
                              <a:spLocks noChangeArrowheads="1"/>
                            </wps:cNvSpPr>
                            <wps:spPr bwMode="auto">
                              <a:xfrm>
                                <a:off x="1341120" y="5151120"/>
                                <a:ext cx="7924396" cy="261746"/>
                              </a:xfrm>
                              <a:prstGeom prst="rect">
                                <a:avLst/>
                              </a:prstGeom>
                              <a:solidFill>
                                <a:srgbClr val="FBCFAB"/>
                              </a:solidFill>
                              <a:ln w="19050">
                                <a:solidFill>
                                  <a:srgbClr val="FFC000"/>
                                </a:solidFill>
                                <a:miter lim="800000"/>
                                <a:headEnd/>
                                <a:tailEnd/>
                              </a:ln>
                            </wps:spPr>
                            <wps:txbx>
                              <w:txbxContent>
                                <w:p w14:paraId="0CD6B34B" w14:textId="77777777" w:rsidR="00695048" w:rsidRPr="004531EA" w:rsidRDefault="00695048" w:rsidP="00695048">
                                  <w:pPr>
                                    <w:spacing w:before="0"/>
                                    <w:jc w:val="center"/>
                                    <w:rPr>
                                      <w:rFonts w:cstheme="minorHAnsi"/>
                                      <w:b/>
                                      <w:sz w:val="16"/>
                                      <w:szCs w:val="16"/>
                                    </w:rPr>
                                  </w:pPr>
                                  <w:r>
                                    <w:rPr>
                                      <w:rFonts w:cstheme="minorHAnsi"/>
                                      <w:b/>
                                      <w:sz w:val="16"/>
                                      <w:szCs w:val="16"/>
                                    </w:rPr>
                                    <w:t xml:space="preserve">Cross cutting factors: </w:t>
                                  </w:r>
                                  <w:r w:rsidRPr="004531EA">
                                    <w:rPr>
                                      <w:rFonts w:cstheme="minorHAnsi"/>
                                      <w:b/>
                                      <w:sz w:val="16"/>
                                      <w:szCs w:val="16"/>
                                    </w:rPr>
                                    <w:t>Alcohol</w:t>
                                  </w:r>
                                  <w:r>
                                    <w:rPr>
                                      <w:rFonts w:cstheme="minorHAnsi"/>
                                      <w:b/>
                                      <w:sz w:val="16"/>
                                      <w:szCs w:val="16"/>
                                    </w:rPr>
                                    <w:t xml:space="preserve">, </w:t>
                                  </w:r>
                                  <w:r w:rsidRPr="004531EA">
                                    <w:rPr>
                                      <w:rFonts w:cstheme="minorHAnsi"/>
                                      <w:b/>
                                      <w:sz w:val="16"/>
                                      <w:szCs w:val="16"/>
                                    </w:rPr>
                                    <w:t>Extreme weather events</w:t>
                                  </w:r>
                                  <w:r>
                                    <w:rPr>
                                      <w:rFonts w:cstheme="minorHAnsi"/>
                                      <w:b/>
                                      <w:sz w:val="16"/>
                                      <w:szCs w:val="16"/>
                                    </w:rPr>
                                    <w:t xml:space="preserve">, </w:t>
                                  </w:r>
                                  <w:r w:rsidRPr="004531EA">
                                    <w:rPr>
                                      <w:rFonts w:cstheme="minorHAnsi"/>
                                      <w:b/>
                                      <w:sz w:val="16"/>
                                      <w:szCs w:val="16"/>
                                    </w:rPr>
                                    <w:t>Built environment</w:t>
                                  </w:r>
                                </w:p>
                              </w:txbxContent>
                            </wps:txbx>
                            <wps:bodyPr rot="0" vert="horz" wrap="square" lIns="91440" tIns="45720" rIns="91440" bIns="45720" anchor="ctr" anchorCtr="0">
                              <a:noAutofit/>
                            </wps:bodyPr>
                          </wps:wsp>
                          <wps:wsp>
                            <wps:cNvPr id="264" name="Text Box 2" descr="Leading causes of injury in Australia"/>
                            <wps:cNvSpPr txBox="1">
                              <a:spLocks noChangeArrowheads="1"/>
                            </wps:cNvSpPr>
                            <wps:spPr bwMode="auto">
                              <a:xfrm>
                                <a:off x="7620" y="2407920"/>
                                <a:ext cx="1065625" cy="2680739"/>
                              </a:xfrm>
                              <a:prstGeom prst="rect">
                                <a:avLst/>
                              </a:prstGeom>
                              <a:solidFill>
                                <a:srgbClr val="FDEADA"/>
                              </a:solidFill>
                              <a:ln w="19050">
                                <a:solidFill>
                                  <a:srgbClr val="FFC000"/>
                                </a:solidFill>
                                <a:miter lim="800000"/>
                                <a:headEnd/>
                                <a:tailEnd/>
                              </a:ln>
                            </wps:spPr>
                            <wps:txbx>
                              <w:txbxContent>
                                <w:p w14:paraId="23A8FBD8" w14:textId="77777777" w:rsidR="00695048" w:rsidRPr="007F1E4B" w:rsidRDefault="00695048" w:rsidP="00695048">
                                  <w:pPr>
                                    <w:spacing w:before="0"/>
                                    <w:jc w:val="center"/>
                                    <w:rPr>
                                      <w:sz w:val="16"/>
                                      <w:szCs w:val="16"/>
                                    </w:rPr>
                                  </w:pPr>
                                  <w:r w:rsidRPr="007F1E4B">
                                    <w:rPr>
                                      <w:rFonts w:cstheme="minorHAnsi"/>
                                      <w:b/>
                                      <w:color w:val="000000" w:themeColor="text1"/>
                                      <w:sz w:val="16"/>
                                      <w:szCs w:val="16"/>
                                      <w:lang w:val="en-AU"/>
                                    </w:rPr>
                                    <w:t>Leading causes of injury in Australia</w:t>
                                  </w:r>
                                </w:p>
                                <w:p w14:paraId="24D25EC5" w14:textId="77777777" w:rsidR="00695048" w:rsidRPr="004531EA" w:rsidRDefault="00695048" w:rsidP="00695048">
                                  <w:pPr>
                                    <w:spacing w:before="0"/>
                                    <w:jc w:val="center"/>
                                    <w:rPr>
                                      <w:sz w:val="16"/>
                                      <w:szCs w:val="16"/>
                                    </w:rPr>
                                  </w:pPr>
                                </w:p>
                              </w:txbxContent>
                            </wps:txbx>
                            <wps:bodyPr rot="0" vert="horz" wrap="square" lIns="91440" tIns="45720" rIns="91440" bIns="45720" anchor="t" anchorCtr="0">
                              <a:noAutofit/>
                            </wps:bodyPr>
                          </wps:wsp>
                          <wpg:grpSp>
                            <wpg:cNvPr id="256" name="Group 256" descr="Outcome Indicators"/>
                            <wpg:cNvGrpSpPr/>
                            <wpg:grpSpPr>
                              <a:xfrm>
                                <a:off x="0" y="518160"/>
                                <a:ext cx="9246870" cy="923545"/>
                                <a:chOff x="-42537" y="-123124"/>
                                <a:chExt cx="9305866" cy="1100854"/>
                              </a:xfrm>
                            </wpg:grpSpPr>
                            <wps:wsp>
                              <wps:cNvPr id="257" name="Text Box 2"/>
                              <wps:cNvSpPr txBox="1">
                                <a:spLocks noChangeArrowheads="1"/>
                              </wps:cNvSpPr>
                              <wps:spPr bwMode="auto">
                                <a:xfrm>
                                  <a:off x="-42537" y="-123124"/>
                                  <a:ext cx="1125382" cy="300133"/>
                                </a:xfrm>
                                <a:prstGeom prst="rect">
                                  <a:avLst/>
                                </a:prstGeom>
                                <a:solidFill>
                                  <a:srgbClr val="E7E0EC"/>
                                </a:solidFill>
                                <a:ln w="19050">
                                  <a:solidFill>
                                    <a:srgbClr val="7030A0"/>
                                  </a:solidFill>
                                  <a:miter lim="800000"/>
                                  <a:headEnd/>
                                  <a:tailEnd/>
                                </a:ln>
                              </wps:spPr>
                              <wps:txbx>
                                <w:txbxContent>
                                  <w:p w14:paraId="358A621D" w14:textId="77777777" w:rsidR="00695048" w:rsidRPr="00746DEE" w:rsidRDefault="00695048" w:rsidP="00695048">
                                    <w:pPr>
                                      <w:spacing w:before="0"/>
                                      <w:jc w:val="center"/>
                                      <w:rPr>
                                        <w:sz w:val="16"/>
                                        <w:szCs w:val="16"/>
                                      </w:rPr>
                                    </w:pPr>
                                    <w:r w:rsidRPr="00746DEE">
                                      <w:rPr>
                                        <w:b/>
                                        <w:sz w:val="16"/>
                                        <w:szCs w:val="16"/>
                                      </w:rPr>
                                      <w:t>Outcome indicators</w:t>
                                    </w:r>
                                  </w:p>
                                  <w:p w14:paraId="18E2D55E" w14:textId="77777777" w:rsidR="00695048" w:rsidRPr="004531EA" w:rsidRDefault="00695048" w:rsidP="00695048">
                                    <w:pPr>
                                      <w:rPr>
                                        <w:sz w:val="16"/>
                                        <w:szCs w:val="16"/>
                                      </w:rPr>
                                    </w:pPr>
                                  </w:p>
                                </w:txbxContent>
                              </wps:txbx>
                              <wps:bodyPr rot="0" vert="horz" wrap="square" lIns="91440" tIns="45720" rIns="91440" bIns="45720" anchor="ctr" anchorCtr="0">
                                <a:noAutofit/>
                              </wps:bodyPr>
                            </wps:wsp>
                            <wps:wsp>
                              <wps:cNvPr id="258" name="Text Box 2"/>
                              <wps:cNvSpPr txBox="1">
                                <a:spLocks noChangeArrowheads="1"/>
                              </wps:cNvSpPr>
                              <wps:spPr bwMode="auto">
                                <a:xfrm>
                                  <a:off x="1289247" y="-122820"/>
                                  <a:ext cx="7974082" cy="410501"/>
                                </a:xfrm>
                                <a:prstGeom prst="rect">
                                  <a:avLst/>
                                </a:prstGeom>
                                <a:solidFill>
                                  <a:srgbClr val="E7E0EC"/>
                                </a:solidFill>
                                <a:ln w="19050">
                                  <a:solidFill>
                                    <a:srgbClr val="7030A0"/>
                                  </a:solidFill>
                                  <a:miter lim="800000"/>
                                  <a:headEnd/>
                                  <a:tailEnd/>
                                </a:ln>
                              </wps:spPr>
                              <wps:txbx>
                                <w:txbxContent>
                                  <w:p w14:paraId="51204107" w14:textId="77777777" w:rsidR="00695048" w:rsidRPr="00746DEE" w:rsidRDefault="00695048" w:rsidP="00695048">
                                    <w:pPr>
                                      <w:spacing w:before="0"/>
                                      <w:rPr>
                                        <w:rFonts w:cstheme="minorHAnsi"/>
                                        <w:b/>
                                        <w:sz w:val="16"/>
                                        <w:szCs w:val="17"/>
                                      </w:rPr>
                                    </w:pPr>
                                    <w:r w:rsidRPr="00746DEE">
                                      <w:rPr>
                                        <w:rFonts w:cstheme="minorHAnsi"/>
                                        <w:b/>
                                        <w:sz w:val="16"/>
                                        <w:szCs w:val="17"/>
                                      </w:rPr>
                                      <w:t xml:space="preserve">Reduced rates of: drowning; intentional self-harm; falls; burns; sports injuries; injuries due to violence; workplace injuries; and road transport accidents. </w:t>
                                    </w:r>
                                  </w:p>
                                  <w:p w14:paraId="5D6B8720" w14:textId="77777777" w:rsidR="00695048" w:rsidRPr="00746DEE" w:rsidRDefault="00695048" w:rsidP="00695048">
                                    <w:pPr>
                                      <w:spacing w:before="0"/>
                                      <w:rPr>
                                        <w:rFonts w:cstheme="minorHAnsi"/>
                                        <w:b/>
                                        <w:sz w:val="16"/>
                                        <w:szCs w:val="17"/>
                                      </w:rPr>
                                    </w:pPr>
                                    <w:r w:rsidRPr="00746DEE">
                                      <w:rPr>
                                        <w:rFonts w:cstheme="minorHAnsi"/>
                                        <w:b/>
                                        <w:sz w:val="16"/>
                                        <w:szCs w:val="17"/>
                                      </w:rPr>
                                      <w:t xml:space="preserve">Target: To reduce the overall rate of injury burden by 30% and by 40% among the priority populations. </w:t>
                                    </w:r>
                                  </w:p>
                                </w:txbxContent>
                              </wps:txbx>
                              <wps:bodyPr rot="0" vert="horz" wrap="square" lIns="91440" tIns="45720" rIns="91440" bIns="45720" anchor="t" anchorCtr="0">
                                <a:noAutofit/>
                              </wps:bodyPr>
                            </wps:wsp>
                            <wps:wsp>
                              <wps:cNvPr id="259" name="Text Box 2"/>
                              <wps:cNvSpPr txBox="1">
                                <a:spLocks noChangeArrowheads="1"/>
                              </wps:cNvSpPr>
                              <wps:spPr bwMode="auto">
                                <a:xfrm>
                                  <a:off x="1289247" y="339397"/>
                                  <a:ext cx="7974081" cy="288923"/>
                                </a:xfrm>
                                <a:prstGeom prst="rect">
                                  <a:avLst/>
                                </a:prstGeom>
                                <a:solidFill>
                                  <a:srgbClr val="E7E0EC"/>
                                </a:solidFill>
                                <a:ln w="19050">
                                  <a:solidFill>
                                    <a:srgbClr val="7030A0"/>
                                  </a:solidFill>
                                  <a:miter lim="800000"/>
                                  <a:headEnd/>
                                  <a:tailEnd/>
                                </a:ln>
                              </wps:spPr>
                              <wps:txbx>
                                <w:txbxContent>
                                  <w:p w14:paraId="012BD1D0" w14:textId="77777777" w:rsidR="00695048" w:rsidRPr="004531EA" w:rsidRDefault="00695048" w:rsidP="00695048">
                                    <w:pPr>
                                      <w:spacing w:before="0"/>
                                      <w:rPr>
                                        <w:rFonts w:cstheme="minorHAnsi"/>
                                        <w:b/>
                                        <w:sz w:val="16"/>
                                        <w:szCs w:val="16"/>
                                      </w:rPr>
                                    </w:pPr>
                                    <w:r w:rsidRPr="004531EA">
                                      <w:rPr>
                                        <w:rFonts w:cstheme="minorHAnsi"/>
                                        <w:b/>
                                        <w:sz w:val="16"/>
                                        <w:szCs w:val="16"/>
                                      </w:rPr>
                                      <w:t>Reduced risks of injuries due to alcohol, extreme weather events and the built environment.</w:t>
                                    </w:r>
                                  </w:p>
                                </w:txbxContent>
                              </wps:txbx>
                              <wps:bodyPr rot="0" vert="horz" wrap="square" lIns="91440" tIns="45720" rIns="91440" bIns="45720" anchor="t" anchorCtr="0">
                                <a:noAutofit/>
                              </wps:bodyPr>
                            </wps:wsp>
                            <wps:wsp>
                              <wps:cNvPr id="260" name="Text Box 2"/>
                              <wps:cNvSpPr txBox="1">
                                <a:spLocks noChangeArrowheads="1"/>
                              </wps:cNvSpPr>
                              <wps:spPr bwMode="auto">
                                <a:xfrm>
                                  <a:off x="1289247" y="688807"/>
                                  <a:ext cx="7974081" cy="288923"/>
                                </a:xfrm>
                                <a:prstGeom prst="rect">
                                  <a:avLst/>
                                </a:prstGeom>
                                <a:solidFill>
                                  <a:srgbClr val="E7E0EC"/>
                                </a:solidFill>
                                <a:ln w="19050">
                                  <a:solidFill>
                                    <a:srgbClr val="7030A0"/>
                                  </a:solidFill>
                                  <a:miter lim="800000"/>
                                  <a:headEnd/>
                                  <a:tailEnd/>
                                </a:ln>
                              </wps:spPr>
                              <wps:txbx>
                                <w:txbxContent>
                                  <w:p w14:paraId="091CBD5B" w14:textId="77777777" w:rsidR="00695048" w:rsidRPr="004531EA" w:rsidRDefault="00695048" w:rsidP="00695048">
                                    <w:pPr>
                                      <w:spacing w:before="0"/>
                                      <w:rPr>
                                        <w:rFonts w:cstheme="minorHAnsi"/>
                                        <w:b/>
                                        <w:sz w:val="16"/>
                                        <w:szCs w:val="16"/>
                                      </w:rPr>
                                    </w:pPr>
                                    <w:r w:rsidRPr="004531EA">
                                      <w:rPr>
                                        <w:rFonts w:cstheme="minorHAnsi"/>
                                        <w:b/>
                                        <w:sz w:val="16"/>
                                        <w:szCs w:val="16"/>
                                      </w:rPr>
                                      <w:t>Reduced inequities in the burden of injury.</w:t>
                                    </w:r>
                                  </w:p>
                                </w:txbxContent>
                              </wps:txbx>
                              <wps:bodyPr rot="0" vert="horz" wrap="square" lIns="91440" tIns="45720" rIns="91440" bIns="45720" anchor="t" anchorCtr="0">
                                <a:noAutofit/>
                              </wps:bodyPr>
                            </wps:wsp>
                          </wpg:grpSp>
                        </wpg:grpSp>
                        <wpg:grpSp>
                          <wpg:cNvPr id="309" name="Group 309" descr="Leading causes of injury in Australia"/>
                          <wpg:cNvGrpSpPr/>
                          <wpg:grpSpPr>
                            <a:xfrm>
                              <a:off x="1333500" y="2407920"/>
                              <a:ext cx="7928822" cy="2678545"/>
                              <a:chOff x="0" y="0"/>
                              <a:chExt cx="7928822" cy="2678545"/>
                            </a:xfrm>
                          </wpg:grpSpPr>
                          <wpg:grpSp>
                            <wpg:cNvPr id="306" name="Group 306"/>
                            <wpg:cNvGrpSpPr/>
                            <wpg:grpSpPr>
                              <a:xfrm>
                                <a:off x="0" y="0"/>
                                <a:ext cx="3804920" cy="2407497"/>
                                <a:chOff x="0" y="0"/>
                                <a:chExt cx="3804920" cy="2407497"/>
                              </a:xfrm>
                            </wpg:grpSpPr>
                            <wps:wsp>
                              <wps:cNvPr id="280" name="Text Box 2"/>
                              <wps:cNvSpPr txBox="1">
                                <a:spLocks noChangeArrowheads="1"/>
                              </wps:cNvSpPr>
                              <wps:spPr bwMode="auto">
                                <a:xfrm>
                                  <a:off x="0" y="0"/>
                                  <a:ext cx="1773705" cy="207818"/>
                                </a:xfrm>
                                <a:prstGeom prst="rect">
                                  <a:avLst/>
                                </a:prstGeom>
                                <a:solidFill>
                                  <a:schemeClr val="accent1">
                                    <a:lumMod val="20000"/>
                                    <a:lumOff val="80000"/>
                                  </a:schemeClr>
                                </a:solidFill>
                                <a:ln w="19050">
                                  <a:noFill/>
                                  <a:miter lim="800000"/>
                                  <a:headEnd/>
                                  <a:tailEnd/>
                                </a:ln>
                              </wps:spPr>
                              <wps:txbx>
                                <w:txbxContent>
                                  <w:p w14:paraId="2E9906A8"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Other unintentional</w:t>
                                    </w:r>
                                  </w:p>
                                </w:txbxContent>
                              </wps:txbx>
                              <wps:bodyPr rot="0" vert="horz" wrap="square" lIns="91440" tIns="45720" rIns="91440" bIns="45720" anchor="ctr" anchorCtr="0">
                                <a:noAutofit/>
                              </wps:bodyPr>
                            </wps:wsp>
                            <wps:wsp>
                              <wps:cNvPr id="278" name="Text Box 2"/>
                              <wps:cNvSpPr txBox="1">
                                <a:spLocks noChangeArrowheads="1"/>
                              </wps:cNvSpPr>
                              <wps:spPr bwMode="auto">
                                <a:xfrm>
                                  <a:off x="0" y="270934"/>
                                  <a:ext cx="3804920" cy="214630"/>
                                </a:xfrm>
                                <a:prstGeom prst="rect">
                                  <a:avLst/>
                                </a:prstGeom>
                                <a:solidFill>
                                  <a:srgbClr val="7999FF"/>
                                </a:solidFill>
                                <a:ln w="19050">
                                  <a:noFill/>
                                  <a:miter lim="800000"/>
                                  <a:headEnd/>
                                  <a:tailEnd/>
                                </a:ln>
                              </wps:spPr>
                              <wps:txbx>
                                <w:txbxContent>
                                  <w:p w14:paraId="3FA11BA8"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Road transport</w:t>
                                    </w:r>
                                  </w:p>
                                </w:txbxContent>
                              </wps:txbx>
                              <wps:bodyPr rot="0" vert="horz" wrap="square" lIns="91440" tIns="45720" rIns="91440" bIns="45720" anchor="ctr" anchorCtr="0">
                                <a:noAutofit/>
                              </wps:bodyPr>
                            </wps:wsp>
                            <wps:wsp>
                              <wps:cNvPr id="281" name="Text Box 2"/>
                              <wps:cNvSpPr txBox="1">
                                <a:spLocks noChangeArrowheads="1"/>
                              </wps:cNvSpPr>
                              <wps:spPr bwMode="auto">
                                <a:xfrm>
                                  <a:off x="0" y="541867"/>
                                  <a:ext cx="1773555" cy="214630"/>
                                </a:xfrm>
                                <a:prstGeom prst="rect">
                                  <a:avLst/>
                                </a:prstGeom>
                                <a:solidFill>
                                  <a:srgbClr val="660066"/>
                                </a:solidFill>
                                <a:ln w="19050">
                                  <a:noFill/>
                                  <a:miter lim="800000"/>
                                  <a:headEnd/>
                                  <a:tailEnd/>
                                </a:ln>
                              </wps:spPr>
                              <wps:txbx>
                                <w:txbxContent>
                                  <w:p w14:paraId="22AEDC34" w14:textId="77777777" w:rsidR="00695048" w:rsidRPr="005E0E71" w:rsidRDefault="00695048" w:rsidP="00695048">
                                    <w:pPr>
                                      <w:spacing w:before="0"/>
                                      <w:jc w:val="center"/>
                                      <w:rPr>
                                        <w:rFonts w:cstheme="minorHAnsi"/>
                                        <w:b/>
                                        <w:sz w:val="16"/>
                                        <w:szCs w:val="16"/>
                                      </w:rPr>
                                    </w:pPr>
                                    <w:r w:rsidRPr="005E0E71">
                                      <w:rPr>
                                        <w:rFonts w:cstheme="minorHAnsi"/>
                                        <w:b/>
                                        <w:sz w:val="16"/>
                                        <w:szCs w:val="16"/>
                                      </w:rPr>
                                      <w:t xml:space="preserve">Falls </w:t>
                                    </w:r>
                                  </w:p>
                                  <w:p w14:paraId="294282B8" w14:textId="77777777" w:rsidR="00695048" w:rsidRPr="004531EA" w:rsidRDefault="00695048" w:rsidP="00695048">
                                    <w:pPr>
                                      <w:spacing w:before="0"/>
                                      <w:jc w:val="center"/>
                                      <w:rPr>
                                        <w:rFonts w:cstheme="minorHAnsi"/>
                                        <w:b/>
                                        <w:sz w:val="16"/>
                                        <w:szCs w:val="16"/>
                                      </w:rPr>
                                    </w:pPr>
                                  </w:p>
                                </w:txbxContent>
                              </wps:txbx>
                              <wps:bodyPr rot="0" vert="horz" wrap="square" lIns="91440" tIns="45720" rIns="91440" bIns="45720" anchor="ctr" anchorCtr="0">
                                <a:noAutofit/>
                              </wps:bodyPr>
                            </wps:wsp>
                            <wps:wsp>
                              <wps:cNvPr id="282" name="Text Box 2"/>
                              <wps:cNvSpPr txBox="1">
                                <a:spLocks noChangeArrowheads="1"/>
                              </wps:cNvSpPr>
                              <wps:spPr bwMode="auto">
                                <a:xfrm>
                                  <a:off x="0" y="812800"/>
                                  <a:ext cx="1773555" cy="214630"/>
                                </a:xfrm>
                                <a:prstGeom prst="rect">
                                  <a:avLst/>
                                </a:prstGeom>
                                <a:solidFill>
                                  <a:srgbClr val="FF9FE6"/>
                                </a:solidFill>
                                <a:ln w="19050">
                                  <a:noFill/>
                                  <a:miter lim="800000"/>
                                  <a:headEnd/>
                                  <a:tailEnd/>
                                </a:ln>
                              </wps:spPr>
                              <wps:txbx>
                                <w:txbxContent>
                                  <w:p w14:paraId="779D9FC9"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Drowning</w:t>
                                    </w:r>
                                  </w:p>
                                  <w:p w14:paraId="7507E524" w14:textId="77777777" w:rsidR="00695048" w:rsidRPr="004531EA" w:rsidRDefault="00695048" w:rsidP="00695048">
                                    <w:pPr>
                                      <w:spacing w:before="0"/>
                                      <w:jc w:val="center"/>
                                      <w:rPr>
                                        <w:rFonts w:cstheme="minorHAnsi"/>
                                        <w:b/>
                                        <w:sz w:val="16"/>
                                        <w:szCs w:val="16"/>
                                      </w:rPr>
                                    </w:pPr>
                                  </w:p>
                                </w:txbxContent>
                              </wps:txbx>
                              <wps:bodyPr rot="0" vert="horz" wrap="square" lIns="91440" tIns="45720" rIns="91440" bIns="45720" anchor="ctr" anchorCtr="0">
                                <a:noAutofit/>
                              </wps:bodyPr>
                            </wps:wsp>
                            <wps:wsp>
                              <wps:cNvPr id="283" name="Text Box 2"/>
                              <wps:cNvSpPr txBox="1">
                                <a:spLocks noChangeArrowheads="1"/>
                              </wps:cNvSpPr>
                              <wps:spPr bwMode="auto">
                                <a:xfrm>
                                  <a:off x="0" y="1092200"/>
                                  <a:ext cx="1773555" cy="214630"/>
                                </a:xfrm>
                                <a:prstGeom prst="rect">
                                  <a:avLst/>
                                </a:prstGeom>
                                <a:solidFill>
                                  <a:srgbClr val="28659C"/>
                                </a:solidFill>
                                <a:ln w="19050">
                                  <a:noFill/>
                                  <a:miter lim="800000"/>
                                  <a:headEnd/>
                                  <a:tailEnd/>
                                </a:ln>
                              </wps:spPr>
                              <wps:txbx>
                                <w:txbxContent>
                                  <w:p w14:paraId="4AEE917C" w14:textId="77777777" w:rsidR="00695048" w:rsidRPr="004A563A" w:rsidRDefault="00695048" w:rsidP="00695048">
                                    <w:pPr>
                                      <w:shd w:val="clear" w:color="auto" w:fill="28659C"/>
                                      <w:spacing w:before="0"/>
                                      <w:jc w:val="center"/>
                                      <w:rPr>
                                        <w:rFonts w:cstheme="minorHAnsi"/>
                                        <w:b/>
                                        <w:color w:val="FFFFFF" w:themeColor="background1"/>
                                        <w:sz w:val="16"/>
                                        <w:szCs w:val="16"/>
                                      </w:rPr>
                                    </w:pPr>
                                    <w:r w:rsidRPr="004A563A">
                                      <w:rPr>
                                        <w:rFonts w:cstheme="minorHAnsi"/>
                                        <w:b/>
                                        <w:color w:val="FFFFFF" w:themeColor="background1"/>
                                        <w:sz w:val="16"/>
                                        <w:szCs w:val="16"/>
                                      </w:rPr>
                                      <w:t>Homicide + violence</w:t>
                                    </w:r>
                                  </w:p>
                                  <w:p w14:paraId="3D50222E" w14:textId="77777777" w:rsidR="00695048" w:rsidRPr="004A563A" w:rsidRDefault="00695048" w:rsidP="00695048">
                                    <w:pPr>
                                      <w:spacing w:before="0"/>
                                      <w:jc w:val="center"/>
                                      <w:rPr>
                                        <w:rFonts w:cstheme="minorHAnsi"/>
                                        <w:b/>
                                        <w:color w:val="FFFFFF" w:themeColor="background1"/>
                                        <w:sz w:val="16"/>
                                        <w:szCs w:val="16"/>
                                      </w:rPr>
                                    </w:pPr>
                                  </w:p>
                                </w:txbxContent>
                              </wps:txbx>
                              <wps:bodyPr rot="0" vert="horz" wrap="square" lIns="91440" tIns="45720" rIns="91440" bIns="45720" anchor="ctr" anchorCtr="0">
                                <a:noAutofit/>
                              </wps:bodyPr>
                            </wps:wsp>
                            <wps:wsp>
                              <wps:cNvPr id="284" name="Text Box 2"/>
                              <wps:cNvSpPr txBox="1">
                                <a:spLocks noChangeArrowheads="1"/>
                              </wps:cNvSpPr>
                              <wps:spPr bwMode="auto">
                                <a:xfrm>
                                  <a:off x="0" y="1371600"/>
                                  <a:ext cx="1773555" cy="214630"/>
                                </a:xfrm>
                                <a:prstGeom prst="rect">
                                  <a:avLst/>
                                </a:prstGeom>
                                <a:solidFill>
                                  <a:srgbClr val="990099"/>
                                </a:solidFill>
                                <a:ln w="19050">
                                  <a:noFill/>
                                  <a:miter lim="800000"/>
                                  <a:headEnd/>
                                  <a:tailEnd/>
                                </a:ln>
                              </wps:spPr>
                              <wps:txbx>
                                <w:txbxContent>
                                  <w:p w14:paraId="463C1A46"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 xml:space="preserve">Other land transport </w:t>
                                    </w:r>
                                  </w:p>
                                  <w:p w14:paraId="0AC8C7EC" w14:textId="77777777" w:rsidR="00695048" w:rsidRPr="004A563A" w:rsidRDefault="00695048" w:rsidP="00695048">
                                    <w:pPr>
                                      <w:spacing w:before="0"/>
                                      <w:jc w:val="center"/>
                                      <w:rPr>
                                        <w:rFonts w:cstheme="minorHAnsi"/>
                                        <w:b/>
                                        <w:color w:val="FFFFFF" w:themeColor="background1"/>
                                        <w:sz w:val="16"/>
                                        <w:szCs w:val="16"/>
                                      </w:rPr>
                                    </w:pPr>
                                  </w:p>
                                </w:txbxContent>
                              </wps:txbx>
                              <wps:bodyPr rot="0" vert="horz" wrap="square" lIns="91440" tIns="45720" rIns="91440" bIns="45720" anchor="ctr" anchorCtr="0">
                                <a:noAutofit/>
                              </wps:bodyPr>
                            </wps:wsp>
                            <wps:wsp>
                              <wps:cNvPr id="285" name="Text Box 2"/>
                              <wps:cNvSpPr txBox="1">
                                <a:spLocks noChangeArrowheads="1"/>
                              </wps:cNvSpPr>
                              <wps:spPr bwMode="auto">
                                <a:xfrm>
                                  <a:off x="8467" y="1651000"/>
                                  <a:ext cx="1773555" cy="214745"/>
                                </a:xfrm>
                                <a:prstGeom prst="rect">
                                  <a:avLst/>
                                </a:prstGeom>
                                <a:solidFill>
                                  <a:schemeClr val="accent5">
                                    <a:lumMod val="50000"/>
                                  </a:schemeClr>
                                </a:solidFill>
                                <a:ln w="19050">
                                  <a:noFill/>
                                  <a:miter lim="800000"/>
                                  <a:headEnd/>
                                  <a:tailEnd/>
                                </a:ln>
                              </wps:spPr>
                              <wps:txbx>
                                <w:txbxContent>
                                  <w:p w14:paraId="53AA7011"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 xml:space="preserve">Intentional self-ham </w:t>
                                    </w:r>
                                  </w:p>
                                  <w:p w14:paraId="4C9A1304" w14:textId="77777777" w:rsidR="00695048" w:rsidRPr="004A563A" w:rsidRDefault="00695048" w:rsidP="00695048">
                                    <w:pPr>
                                      <w:spacing w:before="0"/>
                                      <w:jc w:val="center"/>
                                      <w:rPr>
                                        <w:rFonts w:cstheme="minorHAnsi"/>
                                        <w:b/>
                                        <w:color w:val="FFFFFF" w:themeColor="background1"/>
                                        <w:sz w:val="16"/>
                                        <w:szCs w:val="16"/>
                                      </w:rPr>
                                    </w:pPr>
                                  </w:p>
                                </w:txbxContent>
                              </wps:txbx>
                              <wps:bodyPr rot="0" vert="horz" wrap="square" lIns="91440" tIns="45720" rIns="91440" bIns="45720" anchor="ctr" anchorCtr="0">
                                <a:noAutofit/>
                              </wps:bodyPr>
                            </wps:wsp>
                            <wps:wsp>
                              <wps:cNvPr id="286" name="Text Box 2"/>
                              <wps:cNvSpPr txBox="1">
                                <a:spLocks noChangeArrowheads="1"/>
                              </wps:cNvSpPr>
                              <wps:spPr bwMode="auto">
                                <a:xfrm>
                                  <a:off x="8467" y="1921934"/>
                                  <a:ext cx="1773555" cy="214745"/>
                                </a:xfrm>
                                <a:prstGeom prst="rect">
                                  <a:avLst/>
                                </a:prstGeom>
                                <a:solidFill>
                                  <a:schemeClr val="accent2"/>
                                </a:solidFill>
                                <a:ln w="19050">
                                  <a:noFill/>
                                  <a:miter lim="800000"/>
                                  <a:headEnd/>
                                  <a:tailEnd/>
                                </a:ln>
                              </wps:spPr>
                              <wps:txbx>
                                <w:txbxContent>
                                  <w:p w14:paraId="4DD86E4C" w14:textId="77777777" w:rsidR="00695048" w:rsidRPr="005E0E71" w:rsidRDefault="00695048" w:rsidP="00695048">
                                    <w:pPr>
                                      <w:spacing w:before="0"/>
                                      <w:jc w:val="center"/>
                                      <w:rPr>
                                        <w:rFonts w:cstheme="minorHAnsi"/>
                                        <w:b/>
                                        <w:sz w:val="16"/>
                                        <w:szCs w:val="16"/>
                                      </w:rPr>
                                    </w:pPr>
                                    <w:r w:rsidRPr="005E0E71">
                                      <w:rPr>
                                        <w:rFonts w:cstheme="minorHAnsi"/>
                                        <w:b/>
                                        <w:sz w:val="16"/>
                                        <w:szCs w:val="16"/>
                                      </w:rPr>
                                      <w:t>Fire, burns + scalds</w:t>
                                    </w:r>
                                  </w:p>
                                  <w:p w14:paraId="030C3E64" w14:textId="77777777" w:rsidR="00695048" w:rsidRPr="004531EA" w:rsidRDefault="00695048" w:rsidP="00695048">
                                    <w:pPr>
                                      <w:spacing w:before="0"/>
                                      <w:jc w:val="center"/>
                                      <w:rPr>
                                        <w:rFonts w:cstheme="minorHAnsi"/>
                                        <w:b/>
                                        <w:sz w:val="16"/>
                                        <w:szCs w:val="16"/>
                                      </w:rPr>
                                    </w:pPr>
                                  </w:p>
                                </w:txbxContent>
                              </wps:txbx>
                              <wps:bodyPr rot="0" vert="horz" wrap="square" lIns="91440" tIns="45720" rIns="91440" bIns="45720" anchor="ctr" anchorCtr="0">
                                <a:noAutofit/>
                              </wps:bodyPr>
                            </wps:wsp>
                            <wps:wsp>
                              <wps:cNvPr id="287" name="Text Box 2"/>
                              <wps:cNvSpPr txBox="1">
                                <a:spLocks noChangeArrowheads="1"/>
                              </wps:cNvSpPr>
                              <wps:spPr bwMode="auto">
                                <a:xfrm>
                                  <a:off x="8467" y="2192867"/>
                                  <a:ext cx="1773555" cy="214630"/>
                                </a:xfrm>
                                <a:prstGeom prst="rect">
                                  <a:avLst/>
                                </a:prstGeom>
                                <a:solidFill>
                                  <a:srgbClr val="69D8FF"/>
                                </a:solidFill>
                                <a:ln w="19050">
                                  <a:noFill/>
                                  <a:miter lim="800000"/>
                                  <a:headEnd/>
                                  <a:tailEnd/>
                                </a:ln>
                              </wps:spPr>
                              <wps:txbx>
                                <w:txbxContent>
                                  <w:p w14:paraId="07C24192"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Poisoning</w:t>
                                    </w:r>
                                  </w:p>
                                  <w:p w14:paraId="425A3D35" w14:textId="77777777" w:rsidR="00695048" w:rsidRPr="004531EA" w:rsidRDefault="00695048" w:rsidP="00695048">
                                    <w:pPr>
                                      <w:spacing w:before="0"/>
                                      <w:jc w:val="center"/>
                                      <w:rPr>
                                        <w:rFonts w:cstheme="minorHAnsi"/>
                                        <w:b/>
                                        <w:sz w:val="16"/>
                                        <w:szCs w:val="16"/>
                                      </w:rPr>
                                    </w:pPr>
                                  </w:p>
                                </w:txbxContent>
                              </wps:txbx>
                              <wps:bodyPr rot="0" vert="horz" wrap="square" lIns="91440" tIns="45720" rIns="91440" bIns="45720" anchor="ctr" anchorCtr="0">
                                <a:noAutofit/>
                              </wps:bodyPr>
                            </wps:wsp>
                          </wpg:grpSp>
                          <wpg:grpSp>
                            <wpg:cNvPr id="308" name="Group 308"/>
                            <wpg:cNvGrpSpPr/>
                            <wpg:grpSpPr>
                              <a:xfrm>
                                <a:off x="4089400" y="0"/>
                                <a:ext cx="3839422" cy="2678545"/>
                                <a:chOff x="0" y="0"/>
                                <a:chExt cx="3839422" cy="2678545"/>
                              </a:xfrm>
                            </wpg:grpSpPr>
                            <wps:wsp>
                              <wps:cNvPr id="301" name="Text Box 2"/>
                              <wps:cNvSpPr txBox="1">
                                <a:spLocks noChangeArrowheads="1"/>
                              </wps:cNvSpPr>
                              <wps:spPr bwMode="auto">
                                <a:xfrm>
                                  <a:off x="0" y="270934"/>
                                  <a:ext cx="1773555" cy="214745"/>
                                </a:xfrm>
                                <a:prstGeom prst="rect">
                                  <a:avLst/>
                                </a:prstGeom>
                                <a:solidFill>
                                  <a:srgbClr val="69D8FF"/>
                                </a:solidFill>
                                <a:ln w="19050">
                                  <a:noFill/>
                                  <a:miter lim="800000"/>
                                  <a:headEnd/>
                                  <a:tailEnd/>
                                </a:ln>
                              </wps:spPr>
                              <wps:txbx>
                                <w:txbxContent>
                                  <w:p w14:paraId="1AEAE972"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Poisoning</w:t>
                                    </w:r>
                                  </w:p>
                                </w:txbxContent>
                              </wps:txbx>
                              <wps:bodyPr rot="0" vert="horz" wrap="square" lIns="91440" tIns="45720" rIns="91440" bIns="45720" anchor="ctr" anchorCtr="0">
                                <a:noAutofit/>
                              </wps:bodyPr>
                            </wps:wsp>
                            <wps:wsp>
                              <wps:cNvPr id="302" name="Text Box 2"/>
                              <wps:cNvSpPr txBox="1">
                                <a:spLocks noChangeArrowheads="1"/>
                              </wps:cNvSpPr>
                              <wps:spPr bwMode="auto">
                                <a:xfrm>
                                  <a:off x="0" y="812800"/>
                                  <a:ext cx="1773555" cy="214630"/>
                                </a:xfrm>
                                <a:prstGeom prst="rect">
                                  <a:avLst/>
                                </a:prstGeom>
                                <a:solidFill>
                                  <a:srgbClr val="660066"/>
                                </a:solidFill>
                                <a:ln w="19050">
                                  <a:noFill/>
                                  <a:miter lim="800000"/>
                                  <a:headEnd/>
                                  <a:tailEnd/>
                                </a:ln>
                              </wps:spPr>
                              <wps:txbx>
                                <w:txbxContent>
                                  <w:p w14:paraId="410A84BE"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Falls</w:t>
                                    </w:r>
                                  </w:p>
                                </w:txbxContent>
                              </wps:txbx>
                              <wps:bodyPr rot="0" vert="horz" wrap="square" lIns="91440" tIns="45720" rIns="91440" bIns="45720" anchor="ctr" anchorCtr="0">
                                <a:noAutofit/>
                              </wps:bodyPr>
                            </wps:wsp>
                            <wps:wsp>
                              <wps:cNvPr id="303" name="Text Box 2"/>
                              <wps:cNvSpPr txBox="1">
                                <a:spLocks noChangeArrowheads="1"/>
                              </wps:cNvSpPr>
                              <wps:spPr bwMode="auto">
                                <a:xfrm>
                                  <a:off x="0" y="1092200"/>
                                  <a:ext cx="1773555" cy="214630"/>
                                </a:xfrm>
                                <a:prstGeom prst="rect">
                                  <a:avLst/>
                                </a:prstGeom>
                                <a:solidFill>
                                  <a:schemeClr val="accent1">
                                    <a:lumMod val="20000"/>
                                    <a:lumOff val="80000"/>
                                  </a:schemeClr>
                                </a:solidFill>
                                <a:ln w="19050">
                                  <a:noFill/>
                                  <a:miter lim="800000"/>
                                  <a:headEnd/>
                                  <a:tailEnd/>
                                </a:ln>
                              </wps:spPr>
                              <wps:txbx>
                                <w:txbxContent>
                                  <w:p w14:paraId="4B934E0E" w14:textId="77777777" w:rsidR="00695048" w:rsidRPr="005E0E71" w:rsidRDefault="00695048" w:rsidP="00695048">
                                    <w:pPr>
                                      <w:spacing w:before="0"/>
                                      <w:jc w:val="center"/>
                                      <w:rPr>
                                        <w:rFonts w:cstheme="minorHAnsi"/>
                                        <w:b/>
                                        <w:sz w:val="16"/>
                                        <w:szCs w:val="16"/>
                                      </w:rPr>
                                    </w:pPr>
                                    <w:r w:rsidRPr="005E0E71">
                                      <w:rPr>
                                        <w:rFonts w:cstheme="minorHAnsi"/>
                                        <w:b/>
                                        <w:sz w:val="16"/>
                                        <w:szCs w:val="16"/>
                                      </w:rPr>
                                      <w:t xml:space="preserve">Other unintentional </w:t>
                                    </w:r>
                                  </w:p>
                                  <w:p w14:paraId="6D26518A" w14:textId="77777777" w:rsidR="00695048" w:rsidRPr="004531EA" w:rsidRDefault="00695048" w:rsidP="00695048">
                                    <w:pPr>
                                      <w:spacing w:before="0"/>
                                      <w:jc w:val="center"/>
                                      <w:rPr>
                                        <w:rFonts w:cstheme="minorHAnsi"/>
                                        <w:b/>
                                        <w:sz w:val="16"/>
                                        <w:szCs w:val="16"/>
                                      </w:rPr>
                                    </w:pPr>
                                  </w:p>
                                </w:txbxContent>
                              </wps:txbx>
                              <wps:bodyPr rot="0" vert="horz" wrap="square" lIns="91440" tIns="45720" rIns="91440" bIns="45720" anchor="ctr" anchorCtr="0">
                                <a:noAutofit/>
                              </wps:bodyPr>
                            </wps:wsp>
                            <wps:wsp>
                              <wps:cNvPr id="304" name="Text Box 2"/>
                              <wps:cNvSpPr txBox="1">
                                <a:spLocks noChangeArrowheads="1"/>
                              </wps:cNvSpPr>
                              <wps:spPr bwMode="auto">
                                <a:xfrm>
                                  <a:off x="8467" y="2192867"/>
                                  <a:ext cx="1773555" cy="214630"/>
                                </a:xfrm>
                                <a:prstGeom prst="rect">
                                  <a:avLst/>
                                </a:prstGeom>
                                <a:solidFill>
                                  <a:schemeClr val="accent3">
                                    <a:lumMod val="40000"/>
                                    <a:lumOff val="60000"/>
                                  </a:schemeClr>
                                </a:solidFill>
                                <a:ln w="19050">
                                  <a:noFill/>
                                  <a:miter lim="800000"/>
                                  <a:headEnd/>
                                  <a:tailEnd/>
                                </a:ln>
                              </wps:spPr>
                              <wps:txbx>
                                <w:txbxContent>
                                  <w:p w14:paraId="72130EE5"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All other external</w:t>
                                    </w:r>
                                  </w:p>
                                </w:txbxContent>
                              </wps:txbx>
                              <wps:bodyPr rot="0" vert="horz" wrap="square" lIns="91440" tIns="45720" rIns="91440" bIns="45720" anchor="ctr" anchorCtr="0">
                                <a:noAutofit/>
                              </wps:bodyPr>
                            </wps:wsp>
                            <wps:wsp>
                              <wps:cNvPr id="305" name="Text Box 2"/>
                              <wps:cNvSpPr txBox="1">
                                <a:spLocks noChangeArrowheads="1"/>
                              </wps:cNvSpPr>
                              <wps:spPr bwMode="auto">
                                <a:xfrm>
                                  <a:off x="8467" y="2463800"/>
                                  <a:ext cx="1773555" cy="214745"/>
                                </a:xfrm>
                                <a:prstGeom prst="rect">
                                  <a:avLst/>
                                </a:prstGeom>
                                <a:solidFill>
                                  <a:schemeClr val="accent2"/>
                                </a:solidFill>
                                <a:ln w="19050">
                                  <a:noFill/>
                                  <a:miter lim="800000"/>
                                  <a:headEnd/>
                                  <a:tailEnd/>
                                </a:ln>
                              </wps:spPr>
                              <wps:txbx>
                                <w:txbxContent>
                                  <w:p w14:paraId="602F5975"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Fire, burns + scalds</w:t>
                                    </w:r>
                                  </w:p>
                                </w:txbxContent>
                              </wps:txbx>
                              <wps:bodyPr rot="0" vert="horz" wrap="square" lIns="91440" tIns="45720" rIns="91440" bIns="45720" anchor="ctr" anchorCtr="0">
                                <a:noAutofit/>
                              </wps:bodyPr>
                            </wps:wsp>
                            <wps:wsp>
                              <wps:cNvPr id="294" name="Text Box 2"/>
                              <wps:cNvSpPr txBox="1">
                                <a:spLocks noChangeArrowheads="1"/>
                              </wps:cNvSpPr>
                              <wps:spPr bwMode="auto">
                                <a:xfrm>
                                  <a:off x="2057400" y="0"/>
                                  <a:ext cx="1773705" cy="207818"/>
                                </a:xfrm>
                                <a:prstGeom prst="rect">
                                  <a:avLst/>
                                </a:prstGeom>
                                <a:solidFill>
                                  <a:srgbClr val="660066"/>
                                </a:solidFill>
                                <a:ln w="19050">
                                  <a:noFill/>
                                  <a:miter lim="800000"/>
                                  <a:headEnd/>
                                  <a:tailEnd/>
                                </a:ln>
                              </wps:spPr>
                              <wps:txbx>
                                <w:txbxContent>
                                  <w:p w14:paraId="1387B77F"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Falls</w:t>
                                    </w:r>
                                  </w:p>
                                </w:txbxContent>
                              </wps:txbx>
                              <wps:bodyPr rot="0" vert="horz" wrap="square" lIns="91440" tIns="45720" rIns="91440" bIns="45720" anchor="ctr" anchorCtr="0">
                                <a:noAutofit/>
                              </wps:bodyPr>
                            </wps:wsp>
                            <wps:wsp>
                              <wps:cNvPr id="295" name="Text Box 2"/>
                              <wps:cNvSpPr txBox="1">
                                <a:spLocks noChangeArrowheads="1"/>
                              </wps:cNvSpPr>
                              <wps:spPr bwMode="auto">
                                <a:xfrm>
                                  <a:off x="2057400" y="270934"/>
                                  <a:ext cx="1773555" cy="214745"/>
                                </a:xfrm>
                                <a:prstGeom prst="rect">
                                  <a:avLst/>
                                </a:prstGeom>
                                <a:solidFill>
                                  <a:schemeClr val="accent5">
                                    <a:lumMod val="50000"/>
                                  </a:schemeClr>
                                </a:solidFill>
                                <a:ln w="19050">
                                  <a:noFill/>
                                  <a:miter lim="800000"/>
                                  <a:headEnd/>
                                  <a:tailEnd/>
                                </a:ln>
                              </wps:spPr>
                              <wps:txbx>
                                <w:txbxContent>
                                  <w:p w14:paraId="58973C61"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Intentional self-ham</w:t>
                                    </w:r>
                                  </w:p>
                                </w:txbxContent>
                              </wps:txbx>
                              <wps:bodyPr rot="0" vert="horz" wrap="square" lIns="91440" tIns="45720" rIns="91440" bIns="45720" anchor="ctr" anchorCtr="0">
                                <a:noAutofit/>
                              </wps:bodyPr>
                            </wps:wsp>
                            <wps:wsp>
                              <wps:cNvPr id="296" name="Text Box 2"/>
                              <wps:cNvSpPr txBox="1">
                                <a:spLocks noChangeArrowheads="1"/>
                              </wps:cNvSpPr>
                              <wps:spPr bwMode="auto">
                                <a:xfrm>
                                  <a:off x="2057400" y="812800"/>
                                  <a:ext cx="1773555" cy="214630"/>
                                </a:xfrm>
                                <a:prstGeom prst="rect">
                                  <a:avLst/>
                                </a:prstGeom>
                                <a:solidFill>
                                  <a:schemeClr val="accent1">
                                    <a:lumMod val="20000"/>
                                    <a:lumOff val="80000"/>
                                  </a:schemeClr>
                                </a:solidFill>
                                <a:ln w="19050">
                                  <a:noFill/>
                                  <a:miter lim="800000"/>
                                  <a:headEnd/>
                                  <a:tailEnd/>
                                </a:ln>
                              </wps:spPr>
                              <wps:txbx>
                                <w:txbxContent>
                                  <w:p w14:paraId="3CF44CC0"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Other unintentional</w:t>
                                    </w:r>
                                  </w:p>
                                </w:txbxContent>
                              </wps:txbx>
                              <wps:bodyPr rot="0" vert="horz" wrap="square" lIns="91440" tIns="45720" rIns="91440" bIns="45720" anchor="ctr" anchorCtr="0">
                                <a:noAutofit/>
                              </wps:bodyPr>
                            </wps:wsp>
                            <wps:wsp>
                              <wps:cNvPr id="297" name="Text Box 2"/>
                              <wps:cNvSpPr txBox="1">
                                <a:spLocks noChangeArrowheads="1"/>
                              </wps:cNvSpPr>
                              <wps:spPr bwMode="auto">
                                <a:xfrm>
                                  <a:off x="2057400" y="1092200"/>
                                  <a:ext cx="1773555" cy="214630"/>
                                </a:xfrm>
                                <a:prstGeom prst="rect">
                                  <a:avLst/>
                                </a:prstGeom>
                                <a:solidFill>
                                  <a:schemeClr val="accent3">
                                    <a:lumMod val="40000"/>
                                    <a:lumOff val="60000"/>
                                  </a:schemeClr>
                                </a:solidFill>
                                <a:ln w="19050">
                                  <a:noFill/>
                                  <a:miter lim="800000"/>
                                  <a:headEnd/>
                                  <a:tailEnd/>
                                </a:ln>
                              </wps:spPr>
                              <wps:txbx>
                                <w:txbxContent>
                                  <w:p w14:paraId="033130BA"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All other external</w:t>
                                    </w:r>
                                  </w:p>
                                </w:txbxContent>
                              </wps:txbx>
                              <wps:bodyPr rot="0" vert="horz" wrap="square" lIns="91440" tIns="45720" rIns="91440" bIns="45720" anchor="ctr" anchorCtr="0">
                                <a:noAutofit/>
                              </wps:bodyPr>
                            </wps:wsp>
                            <wps:wsp>
                              <wps:cNvPr id="298" name="Text Box 2"/>
                              <wps:cNvSpPr txBox="1">
                                <a:spLocks noChangeArrowheads="1"/>
                              </wps:cNvSpPr>
                              <wps:spPr bwMode="auto">
                                <a:xfrm>
                                  <a:off x="2057400" y="1371600"/>
                                  <a:ext cx="1773555" cy="214630"/>
                                </a:xfrm>
                                <a:prstGeom prst="rect">
                                  <a:avLst/>
                                </a:prstGeom>
                                <a:solidFill>
                                  <a:srgbClr val="69D8FF"/>
                                </a:solidFill>
                                <a:ln w="19050">
                                  <a:noFill/>
                                  <a:miter lim="800000"/>
                                  <a:headEnd/>
                                  <a:tailEnd/>
                                </a:ln>
                              </wps:spPr>
                              <wps:txbx>
                                <w:txbxContent>
                                  <w:p w14:paraId="11271448" w14:textId="77777777" w:rsidR="00695048" w:rsidRPr="005E0E71" w:rsidRDefault="00695048" w:rsidP="00695048">
                                    <w:pPr>
                                      <w:spacing w:before="0"/>
                                      <w:jc w:val="center"/>
                                      <w:rPr>
                                        <w:rFonts w:cstheme="minorHAnsi"/>
                                        <w:b/>
                                        <w:sz w:val="16"/>
                                        <w:szCs w:val="16"/>
                                      </w:rPr>
                                    </w:pPr>
                                    <w:r w:rsidRPr="005E0E71">
                                      <w:rPr>
                                        <w:rFonts w:cstheme="minorHAnsi"/>
                                        <w:b/>
                                        <w:sz w:val="16"/>
                                        <w:szCs w:val="16"/>
                                      </w:rPr>
                                      <w:t>Poisoning</w:t>
                                    </w:r>
                                  </w:p>
                                  <w:p w14:paraId="2341D74A" w14:textId="77777777" w:rsidR="00695048" w:rsidRPr="004531EA" w:rsidRDefault="00695048" w:rsidP="00695048">
                                    <w:pPr>
                                      <w:spacing w:before="0"/>
                                      <w:jc w:val="center"/>
                                      <w:rPr>
                                        <w:rFonts w:cstheme="minorHAnsi"/>
                                        <w:b/>
                                        <w:sz w:val="16"/>
                                        <w:szCs w:val="16"/>
                                      </w:rPr>
                                    </w:pPr>
                                  </w:p>
                                </w:txbxContent>
                              </wps:txbx>
                              <wps:bodyPr rot="0" vert="horz" wrap="square" lIns="91440" tIns="45720" rIns="91440" bIns="45720" anchor="ctr" anchorCtr="0">
                                <a:noAutofit/>
                              </wps:bodyPr>
                            </wps:wsp>
                            <wps:wsp>
                              <wps:cNvPr id="299" name="Text Box 2"/>
                              <wps:cNvSpPr txBox="1">
                                <a:spLocks noChangeArrowheads="1"/>
                              </wps:cNvSpPr>
                              <wps:spPr bwMode="auto">
                                <a:xfrm>
                                  <a:off x="2065867" y="2192867"/>
                                  <a:ext cx="1773555" cy="214630"/>
                                </a:xfrm>
                                <a:prstGeom prst="rect">
                                  <a:avLst/>
                                </a:prstGeom>
                                <a:solidFill>
                                  <a:schemeClr val="accent2"/>
                                </a:solidFill>
                                <a:ln w="19050">
                                  <a:noFill/>
                                  <a:miter lim="800000"/>
                                  <a:headEnd/>
                                  <a:tailEnd/>
                                </a:ln>
                              </wps:spPr>
                              <wps:txbx>
                                <w:txbxContent>
                                  <w:p w14:paraId="2FED0727"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Fire, burns + scalds</w:t>
                                    </w:r>
                                  </w:p>
                                </w:txbxContent>
                              </wps:txbx>
                              <wps:bodyPr rot="0" vert="horz" wrap="square" lIns="91440" tIns="45720" rIns="91440" bIns="45720" anchor="ctr" anchorCtr="0">
                                <a:noAutofit/>
                              </wps:bodyPr>
                            </wps:wsp>
                            <wps:wsp>
                              <wps:cNvPr id="300" name="Text Box 2"/>
                              <wps:cNvSpPr txBox="1">
                                <a:spLocks noChangeArrowheads="1"/>
                              </wps:cNvSpPr>
                              <wps:spPr bwMode="auto">
                                <a:xfrm>
                                  <a:off x="2065867" y="2463800"/>
                                  <a:ext cx="1773555" cy="214745"/>
                                </a:xfrm>
                                <a:prstGeom prst="rect">
                                  <a:avLst/>
                                </a:prstGeom>
                                <a:solidFill>
                                  <a:srgbClr val="28659C"/>
                                </a:solidFill>
                                <a:ln w="19050">
                                  <a:noFill/>
                                  <a:miter lim="800000"/>
                                  <a:headEnd/>
                                  <a:tailEnd/>
                                </a:ln>
                              </wps:spPr>
                              <wps:txbx>
                                <w:txbxContent>
                                  <w:p w14:paraId="333831C5"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Homicide + violence</w:t>
                                    </w:r>
                                  </w:p>
                                </w:txbxContent>
                              </wps:txbx>
                              <wps:bodyPr rot="0" vert="horz" wrap="square" lIns="91440" tIns="45720" rIns="91440" bIns="45720" anchor="ctr" anchorCtr="0">
                                <a:noAutofit/>
                              </wps:bodyPr>
                            </wps:wsp>
                            <wps:wsp>
                              <wps:cNvPr id="277" name="Text Box 2"/>
                              <wps:cNvSpPr txBox="1">
                                <a:spLocks noChangeArrowheads="1"/>
                              </wps:cNvSpPr>
                              <wps:spPr bwMode="auto">
                                <a:xfrm>
                                  <a:off x="0" y="541867"/>
                                  <a:ext cx="3839422" cy="213995"/>
                                </a:xfrm>
                                <a:prstGeom prst="rect">
                                  <a:avLst/>
                                </a:prstGeom>
                                <a:solidFill>
                                  <a:srgbClr val="7999FF"/>
                                </a:solidFill>
                                <a:ln w="19050">
                                  <a:noFill/>
                                  <a:miter lim="800000"/>
                                  <a:headEnd/>
                                  <a:tailEnd/>
                                </a:ln>
                              </wps:spPr>
                              <wps:txbx>
                                <w:txbxContent>
                                  <w:p w14:paraId="0DDA1ACD"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Road transport</w:t>
                                    </w:r>
                                  </w:p>
                                </w:txbxContent>
                              </wps:txbx>
                              <wps:bodyPr rot="0" vert="horz" wrap="square" lIns="91440" tIns="45720" rIns="91440" bIns="45720" anchor="ctr" anchorCtr="0">
                                <a:noAutofit/>
                              </wps:bodyPr>
                            </wps:wsp>
                          </wpg:grpSp>
                          <wpg:grpSp>
                            <wpg:cNvPr id="307" name="Group 307"/>
                            <wpg:cNvGrpSpPr/>
                            <wpg:grpSpPr>
                              <a:xfrm>
                                <a:off x="2032000" y="0"/>
                                <a:ext cx="5896822" cy="2407455"/>
                                <a:chOff x="0" y="0"/>
                                <a:chExt cx="5896822" cy="2407455"/>
                              </a:xfrm>
                            </wpg:grpSpPr>
                            <wps:wsp>
                              <wps:cNvPr id="279" name="Text Box 2"/>
                              <wps:cNvSpPr txBox="1">
                                <a:spLocks noChangeArrowheads="1"/>
                              </wps:cNvSpPr>
                              <wps:spPr bwMode="auto">
                                <a:xfrm>
                                  <a:off x="0" y="0"/>
                                  <a:ext cx="3830955" cy="207645"/>
                                </a:xfrm>
                                <a:prstGeom prst="rect">
                                  <a:avLst/>
                                </a:prstGeom>
                                <a:solidFill>
                                  <a:schemeClr val="accent5">
                                    <a:lumMod val="50000"/>
                                  </a:schemeClr>
                                </a:solidFill>
                                <a:ln w="19050">
                                  <a:noFill/>
                                  <a:miter lim="800000"/>
                                  <a:headEnd/>
                                  <a:tailEnd/>
                                </a:ln>
                              </wps:spPr>
                              <wps:txbx>
                                <w:txbxContent>
                                  <w:p w14:paraId="0342E1D9"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Intentional self-ham</w:t>
                                    </w:r>
                                  </w:p>
                                </w:txbxContent>
                              </wps:txbx>
                              <wps:bodyPr rot="0" vert="horz" wrap="square" lIns="91440" tIns="45720" rIns="91440" bIns="45720" anchor="ctr" anchorCtr="0">
                                <a:noAutofit/>
                              </wps:bodyPr>
                            </wps:wsp>
                            <wps:wsp>
                              <wps:cNvPr id="289" name="Text Box 2"/>
                              <wps:cNvSpPr txBox="1">
                                <a:spLocks noChangeArrowheads="1"/>
                              </wps:cNvSpPr>
                              <wps:spPr bwMode="auto">
                                <a:xfrm>
                                  <a:off x="0" y="541867"/>
                                  <a:ext cx="1772980" cy="214588"/>
                                </a:xfrm>
                                <a:prstGeom prst="rect">
                                  <a:avLst/>
                                </a:prstGeom>
                                <a:solidFill>
                                  <a:schemeClr val="accent1">
                                    <a:lumMod val="20000"/>
                                    <a:lumOff val="80000"/>
                                  </a:schemeClr>
                                </a:solidFill>
                                <a:ln w="19050">
                                  <a:noFill/>
                                  <a:miter lim="800000"/>
                                  <a:headEnd/>
                                  <a:tailEnd/>
                                </a:ln>
                              </wps:spPr>
                              <wps:txbx>
                                <w:txbxContent>
                                  <w:p w14:paraId="37DEFE3A"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Other unintentional</w:t>
                                    </w:r>
                                  </w:p>
                                </w:txbxContent>
                              </wps:txbx>
                              <wps:bodyPr rot="0" vert="horz" wrap="square" lIns="91440" tIns="45720" rIns="91440" bIns="45720" anchor="ctr" anchorCtr="0">
                                <a:noAutofit/>
                              </wps:bodyPr>
                            </wps:wsp>
                            <wps:wsp>
                              <wps:cNvPr id="290" name="Text Box 2"/>
                              <wps:cNvSpPr txBox="1">
                                <a:spLocks noChangeArrowheads="1"/>
                              </wps:cNvSpPr>
                              <wps:spPr bwMode="auto">
                                <a:xfrm>
                                  <a:off x="0" y="812800"/>
                                  <a:ext cx="1772980" cy="214588"/>
                                </a:xfrm>
                                <a:prstGeom prst="rect">
                                  <a:avLst/>
                                </a:prstGeom>
                                <a:solidFill>
                                  <a:srgbClr val="69D8FF"/>
                                </a:solidFill>
                                <a:ln w="19050">
                                  <a:noFill/>
                                  <a:miter lim="800000"/>
                                  <a:headEnd/>
                                  <a:tailEnd/>
                                </a:ln>
                              </wps:spPr>
                              <wps:txbx>
                                <w:txbxContent>
                                  <w:p w14:paraId="00CBB9FD"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Poisoning</w:t>
                                    </w:r>
                                  </w:p>
                                </w:txbxContent>
                              </wps:txbx>
                              <wps:bodyPr rot="0" vert="horz" wrap="square" lIns="91440" tIns="45720" rIns="91440" bIns="45720" anchor="ctr" anchorCtr="0">
                                <a:noAutofit/>
                              </wps:bodyPr>
                            </wps:wsp>
                            <wps:wsp>
                              <wps:cNvPr id="291" name="Text Box 2"/>
                              <wps:cNvSpPr txBox="1">
                                <a:spLocks noChangeArrowheads="1"/>
                              </wps:cNvSpPr>
                              <wps:spPr bwMode="auto">
                                <a:xfrm>
                                  <a:off x="0" y="1092200"/>
                                  <a:ext cx="1772980" cy="214588"/>
                                </a:xfrm>
                                <a:prstGeom prst="rect">
                                  <a:avLst/>
                                </a:prstGeom>
                                <a:solidFill>
                                  <a:srgbClr val="660066"/>
                                </a:solidFill>
                                <a:ln w="19050">
                                  <a:noFill/>
                                  <a:miter lim="800000"/>
                                  <a:headEnd/>
                                  <a:tailEnd/>
                                </a:ln>
                              </wps:spPr>
                              <wps:txbx>
                                <w:txbxContent>
                                  <w:p w14:paraId="22AACAE5"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Falls</w:t>
                                    </w:r>
                                  </w:p>
                                </w:txbxContent>
                              </wps:txbx>
                              <wps:bodyPr rot="0" vert="horz" wrap="square" lIns="91440" tIns="45720" rIns="91440" bIns="45720" anchor="ctr" anchorCtr="0">
                                <a:noAutofit/>
                              </wps:bodyPr>
                            </wps:wsp>
                            <wps:wsp>
                              <wps:cNvPr id="274" name="Text Box 2"/>
                              <wps:cNvSpPr txBox="1">
                                <a:spLocks noChangeArrowheads="1"/>
                              </wps:cNvSpPr>
                              <wps:spPr bwMode="auto">
                                <a:xfrm>
                                  <a:off x="0" y="1371600"/>
                                  <a:ext cx="3839422" cy="214630"/>
                                </a:xfrm>
                                <a:prstGeom prst="rect">
                                  <a:avLst/>
                                </a:prstGeom>
                                <a:solidFill>
                                  <a:srgbClr val="28659C"/>
                                </a:solidFill>
                                <a:ln w="19050">
                                  <a:noFill/>
                                  <a:miter lim="800000"/>
                                  <a:headEnd/>
                                  <a:tailEnd/>
                                </a:ln>
                              </wps:spPr>
                              <wps:txbx>
                                <w:txbxContent>
                                  <w:p w14:paraId="0D367E93"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Homicide + violence</w:t>
                                    </w:r>
                                  </w:p>
                                  <w:p w14:paraId="7EA28209" w14:textId="77777777" w:rsidR="00695048" w:rsidRPr="004A563A" w:rsidRDefault="00695048" w:rsidP="00695048">
                                    <w:pPr>
                                      <w:spacing w:before="0"/>
                                      <w:jc w:val="center"/>
                                      <w:rPr>
                                        <w:rFonts w:cstheme="minorHAnsi"/>
                                        <w:b/>
                                        <w:color w:val="FFFFFF" w:themeColor="background1"/>
                                        <w:sz w:val="16"/>
                                        <w:szCs w:val="16"/>
                                      </w:rPr>
                                    </w:pPr>
                                  </w:p>
                                </w:txbxContent>
                              </wps:txbx>
                              <wps:bodyPr rot="0" vert="horz" wrap="square" lIns="91440" tIns="45720" rIns="91440" bIns="45720" anchor="ctr" anchorCtr="0">
                                <a:noAutofit/>
                              </wps:bodyPr>
                            </wps:wsp>
                            <wps:wsp>
                              <wps:cNvPr id="292" name="Text Box 2"/>
                              <wps:cNvSpPr txBox="1">
                                <a:spLocks noChangeArrowheads="1"/>
                              </wps:cNvSpPr>
                              <wps:spPr bwMode="auto">
                                <a:xfrm>
                                  <a:off x="8467" y="2192867"/>
                                  <a:ext cx="1772980" cy="214588"/>
                                </a:xfrm>
                                <a:prstGeom prst="rect">
                                  <a:avLst/>
                                </a:prstGeom>
                                <a:solidFill>
                                  <a:schemeClr val="accent2"/>
                                </a:solidFill>
                                <a:ln w="19050">
                                  <a:noFill/>
                                  <a:miter lim="800000"/>
                                  <a:headEnd/>
                                  <a:tailEnd/>
                                </a:ln>
                              </wps:spPr>
                              <wps:txbx>
                                <w:txbxContent>
                                  <w:p w14:paraId="3B639768"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Fire, burns + scalds</w:t>
                                    </w:r>
                                  </w:p>
                                </w:txbxContent>
                              </wps:txbx>
                              <wps:bodyPr rot="0" vert="horz" wrap="square" lIns="91440" tIns="45720" rIns="91440" bIns="45720" anchor="ctr" anchorCtr="0">
                                <a:noAutofit/>
                              </wps:bodyPr>
                            </wps:wsp>
                            <wps:wsp>
                              <wps:cNvPr id="276" name="Text Box 2"/>
                              <wps:cNvSpPr txBox="1">
                                <a:spLocks noChangeArrowheads="1"/>
                              </wps:cNvSpPr>
                              <wps:spPr bwMode="auto">
                                <a:xfrm>
                                  <a:off x="8467" y="1651000"/>
                                  <a:ext cx="5888355" cy="214630"/>
                                </a:xfrm>
                                <a:prstGeom prst="rect">
                                  <a:avLst/>
                                </a:prstGeom>
                                <a:solidFill>
                                  <a:srgbClr val="990099"/>
                                </a:solidFill>
                                <a:ln w="19050">
                                  <a:noFill/>
                                  <a:miter lim="800000"/>
                                  <a:headEnd/>
                                  <a:tailEnd/>
                                </a:ln>
                              </wps:spPr>
                              <wps:txbx>
                                <w:txbxContent>
                                  <w:p w14:paraId="76B443E0"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Other land transport</w:t>
                                    </w:r>
                                  </w:p>
                                  <w:p w14:paraId="7C9CD312" w14:textId="77777777" w:rsidR="00695048" w:rsidRPr="004531EA" w:rsidRDefault="00695048" w:rsidP="00695048">
                                    <w:pPr>
                                      <w:spacing w:before="0"/>
                                      <w:jc w:val="center"/>
                                      <w:rPr>
                                        <w:rFonts w:cstheme="minorHAnsi"/>
                                        <w:b/>
                                        <w:sz w:val="16"/>
                                        <w:szCs w:val="16"/>
                                      </w:rPr>
                                    </w:pPr>
                                  </w:p>
                                </w:txbxContent>
                              </wps:txbx>
                              <wps:bodyPr rot="0" vert="horz" wrap="square" lIns="91440" tIns="45720" rIns="91440" bIns="45720" anchor="ctr" anchorCtr="0">
                                <a:noAutofit/>
                              </wps:bodyPr>
                            </wps:wsp>
                            <wps:wsp>
                              <wps:cNvPr id="275" name="Text Box 2"/>
                              <wps:cNvSpPr txBox="1">
                                <a:spLocks noChangeArrowheads="1"/>
                              </wps:cNvSpPr>
                              <wps:spPr bwMode="auto">
                                <a:xfrm>
                                  <a:off x="8467" y="1913467"/>
                                  <a:ext cx="5888355" cy="214630"/>
                                </a:xfrm>
                                <a:prstGeom prst="rect">
                                  <a:avLst/>
                                </a:prstGeom>
                                <a:solidFill>
                                  <a:srgbClr val="FF9FE6"/>
                                </a:solidFill>
                                <a:ln w="19050">
                                  <a:noFill/>
                                  <a:miter lim="800000"/>
                                  <a:headEnd/>
                                  <a:tailEnd/>
                                </a:ln>
                              </wps:spPr>
                              <wps:txbx>
                                <w:txbxContent>
                                  <w:p w14:paraId="275A4C8E" w14:textId="77777777" w:rsidR="00695048" w:rsidRPr="005E0E71" w:rsidRDefault="00695048" w:rsidP="00695048">
                                    <w:pPr>
                                      <w:spacing w:before="0"/>
                                      <w:jc w:val="center"/>
                                      <w:rPr>
                                        <w:rFonts w:cstheme="minorHAnsi"/>
                                        <w:b/>
                                        <w:sz w:val="16"/>
                                        <w:szCs w:val="16"/>
                                      </w:rPr>
                                    </w:pPr>
                                    <w:r>
                                      <w:rPr>
                                        <w:rFonts w:cstheme="minorHAnsi"/>
                                        <w:b/>
                                        <w:sz w:val="16"/>
                                        <w:szCs w:val="16"/>
                                      </w:rPr>
                                      <w:t>Drowning</w:t>
                                    </w:r>
                                  </w:p>
                                  <w:p w14:paraId="4E37B688" w14:textId="77777777" w:rsidR="00695048" w:rsidRPr="004531EA" w:rsidRDefault="00695048" w:rsidP="00695048">
                                    <w:pPr>
                                      <w:spacing w:before="0"/>
                                      <w:jc w:val="center"/>
                                      <w:rPr>
                                        <w:rFonts w:cstheme="minorHAnsi"/>
                                        <w:b/>
                                        <w:sz w:val="16"/>
                                        <w:szCs w:val="16"/>
                                      </w:rPr>
                                    </w:pPr>
                                  </w:p>
                                </w:txbxContent>
                              </wps:txbx>
                              <wps:bodyPr rot="0" vert="horz" wrap="square" lIns="91440" tIns="45720" rIns="91440" bIns="45720" anchor="ctr" anchorCtr="0">
                                <a:noAutofit/>
                              </wps:bodyPr>
                            </wps:wsp>
                          </wpg:grpSp>
                        </wpg:grpSp>
                      </wpg:grpSp>
                    </wpg:wgp>
                  </a:graphicData>
                </a:graphic>
              </wp:inline>
            </w:drawing>
          </mc:Choice>
          <mc:Fallback>
            <w:pict>
              <v:group w14:anchorId="3A76B284" id="Group 19" o:spid="_x0000_s1026" alt="National Injury Prevention Strategy overview" style="width:721.2pt;height:417.6pt;mso-position-horizontal-relative:char;mso-position-vertical-relative:line" coordsize="91287,5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">
                <v:group id="Group 10" o:spid="_x0000_s1027" style="position:absolute;left:32994;top:19888;width:58198;height:2616" coordsize="5819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left:40462;width:17735;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" fillcolor="#e2f0d9" strokecolor="#00b050" strokeweight="1.5pt">
                    <v:textbox>
                      <w:txbxContent>
                        <w:p w14:paraId="5B337815" w14:textId="77777777" w:rsidR="00695048" w:rsidRPr="004531EA" w:rsidRDefault="00695048" w:rsidP="00695048">
                          <w:pPr>
                            <w:spacing w:before="0"/>
                            <w:jc w:val="center"/>
                            <w:rPr>
                              <w:sz w:val="16"/>
                              <w:szCs w:val="16"/>
                            </w:rPr>
                          </w:pPr>
                          <w:r w:rsidRPr="004531EA">
                            <w:rPr>
                              <w:b/>
                              <w:sz w:val="16"/>
                              <w:szCs w:val="16"/>
                            </w:rPr>
                            <w:t>Older Adults (65+ yrs)</w:t>
                          </w:r>
                        </w:p>
                        <w:p w14:paraId="6092B058" w14:textId="77777777" w:rsidR="00695048" w:rsidRPr="004531EA" w:rsidRDefault="00695048" w:rsidP="00695048">
                          <w:pPr>
                            <w:spacing w:before="0"/>
                            <w:jc w:val="center"/>
                            <w:rPr>
                              <w:sz w:val="16"/>
                              <w:szCs w:val="16"/>
                            </w:rPr>
                          </w:pPr>
                        </w:p>
                      </w:txbxContent>
                    </v:textbox>
                  </v:shape>
                  <v:shape id="_x0000_s1029" type="#_x0000_t202" style="position:absolute;left:20040;width:17736;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" fillcolor="#e2f0d9" strokecolor="#00b050" strokeweight="1.5pt">
                    <v:textbox>
                      <w:txbxContent>
                        <w:p w14:paraId="7683FD54" w14:textId="77777777" w:rsidR="00695048" w:rsidRPr="004531EA" w:rsidRDefault="00695048" w:rsidP="00695048">
                          <w:pPr>
                            <w:spacing w:before="0"/>
                            <w:jc w:val="center"/>
                            <w:rPr>
                              <w:sz w:val="16"/>
                              <w:szCs w:val="16"/>
                            </w:rPr>
                          </w:pPr>
                          <w:r w:rsidRPr="004531EA">
                            <w:rPr>
                              <w:b/>
                              <w:sz w:val="16"/>
                              <w:szCs w:val="16"/>
                            </w:rPr>
                            <w:t>Adults (25-64 yrs)</w:t>
                          </w:r>
                        </w:p>
                        <w:p w14:paraId="409A65CB" w14:textId="77777777" w:rsidR="00695048" w:rsidRPr="004531EA" w:rsidRDefault="00695048" w:rsidP="00695048">
                          <w:pPr>
                            <w:spacing w:before="0"/>
                            <w:jc w:val="center"/>
                            <w:rPr>
                              <w:sz w:val="16"/>
                              <w:szCs w:val="16"/>
                            </w:rPr>
                          </w:pPr>
                        </w:p>
                      </w:txbxContent>
                    </v:textbox>
                  </v:shape>
                  <v:shape id="_x0000_s1030" type="#_x0000_t202" style="position:absolute;width:17735;height:2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" fillcolor="#e2f0d9" strokecolor="#00b050" strokeweight="1.5pt">
                    <v:textbox>
                      <w:txbxContent>
                        <w:p w14:paraId="7E3FF455" w14:textId="77777777" w:rsidR="00695048" w:rsidRPr="004531EA" w:rsidRDefault="00695048" w:rsidP="00695048">
                          <w:pPr>
                            <w:spacing w:before="0"/>
                            <w:jc w:val="center"/>
                            <w:rPr>
                              <w:sz w:val="16"/>
                              <w:szCs w:val="16"/>
                            </w:rPr>
                          </w:pPr>
                          <w:r w:rsidRPr="004531EA">
                            <w:rPr>
                              <w:b/>
                              <w:sz w:val="16"/>
                              <w:szCs w:val="16"/>
                            </w:rPr>
                            <w:t>Youth (15-24 yrs)</w:t>
                          </w:r>
                          <w:r>
                            <w:rPr>
                              <w:b/>
                              <w:sz w:val="16"/>
                              <w:szCs w:val="16"/>
                            </w:rPr>
                            <w:t xml:space="preserve"> </w:t>
                          </w:r>
                        </w:p>
                        <w:p w14:paraId="768D6E0A" w14:textId="77777777" w:rsidR="00695048" w:rsidRPr="004531EA" w:rsidRDefault="00695048" w:rsidP="00695048">
                          <w:pPr>
                            <w:spacing w:before="0"/>
                            <w:jc w:val="center"/>
                            <w:rPr>
                              <w:sz w:val="16"/>
                              <w:szCs w:val="16"/>
                            </w:rPr>
                          </w:pPr>
                        </w:p>
                      </w:txbxContent>
                    </v:textbox>
                  </v:shape>
                </v:group>
                <v:shape id="_x0000_s1031" type="#_x0000_t202" style="position:absolute;left:13030;top:46329;width:37964;height:2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" fillcolor="#dbdbdb [1302]" stroked="f" strokeweight="1.5pt">
                  <v:textbox>
                    <w:txbxContent>
                      <w:p w14:paraId="2AC37DEE"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All other external</w:t>
                        </w:r>
                      </w:p>
                    </w:txbxContent>
                  </v:textbox>
                </v:shape>
                <v:group id="Group 9" o:spid="_x0000_s1032" alt="Overview of strategy including vision, outcome indicators, principles, priority populations and life stages, and leading causes of injury in Australia" style="position:absolute;width:91287;height:51504" coordsize="92655,5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8" o:spid="_x0000_s1033" style="position:absolute;width:92655;height:54128" coordsize="92655,5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_x0000_s1034" type="#_x0000_t202" alt="Problem/Situation: Injuries are the leading cause of death of people aged 1-44 years and they are responsible for approximately nine percent of the burden of disease in Australia¬¬.&#10;Vision: To reduce the overall burden of injury in Australia and address inequities that contribute to the disproportionate burden of injury experienced by specific population groups." style="position:absolute;width:9246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" strokecolor="#4472c4 [3208]" strokeweight="1.5pt">
                      <v:textbox>
                        <w:txbxContent>
                          <w:p w14:paraId="28C2D686" w14:textId="77777777" w:rsidR="00695048" w:rsidRPr="004531EA" w:rsidRDefault="00695048" w:rsidP="00695048">
                            <w:pPr>
                              <w:autoSpaceDE w:val="0"/>
                              <w:autoSpaceDN w:val="0"/>
                              <w:adjustRightInd w:val="0"/>
                              <w:spacing w:before="0"/>
                              <w:jc w:val="center"/>
                              <w:rPr>
                                <w:sz w:val="18"/>
                                <w:szCs w:val="16"/>
                              </w:rPr>
                            </w:pPr>
                            <w:r w:rsidRPr="004531EA">
                              <w:rPr>
                                <w:b/>
                                <w:sz w:val="18"/>
                                <w:szCs w:val="16"/>
                              </w:rPr>
                              <w:t xml:space="preserve">Problem/Situation: </w:t>
                            </w:r>
                            <w:r w:rsidRPr="004531EA">
                              <w:rPr>
                                <w:sz w:val="18"/>
                                <w:szCs w:val="16"/>
                              </w:rPr>
                              <w:t>Injuries are the</w:t>
                            </w:r>
                            <w:r>
                              <w:rPr>
                                <w:sz w:val="18"/>
                                <w:szCs w:val="16"/>
                              </w:rPr>
                              <w:t xml:space="preserve"> leading cause of death of people</w:t>
                            </w:r>
                            <w:r w:rsidRPr="004531EA">
                              <w:rPr>
                                <w:sz w:val="18"/>
                                <w:szCs w:val="16"/>
                              </w:rPr>
                              <w:t xml:space="preserve"> aged 1-44 years </w:t>
                            </w:r>
                            <w:r>
                              <w:rPr>
                                <w:sz w:val="18"/>
                                <w:szCs w:val="16"/>
                              </w:rPr>
                              <w:t xml:space="preserve">and they are </w:t>
                            </w:r>
                            <w:r w:rsidRPr="004531EA">
                              <w:rPr>
                                <w:sz w:val="18"/>
                                <w:szCs w:val="16"/>
                              </w:rPr>
                              <w:t>responsible for approximately nine percent of the burden of disease in Australia</w:t>
                            </w:r>
                            <w:r>
                              <w:rPr>
                                <w:sz w:val="18"/>
                                <w:szCs w:val="16"/>
                              </w:rPr>
                              <w:softHyphen/>
                            </w:r>
                            <w:r>
                              <w:rPr>
                                <w:sz w:val="18"/>
                                <w:szCs w:val="16"/>
                              </w:rPr>
                              <w:softHyphen/>
                            </w:r>
                            <w:r w:rsidRPr="004531EA">
                              <w:rPr>
                                <w:sz w:val="18"/>
                                <w:szCs w:val="16"/>
                              </w:rPr>
                              <w:t>.</w:t>
                            </w:r>
                          </w:p>
                          <w:p w14:paraId="55AC9BF5" w14:textId="77777777" w:rsidR="00695048" w:rsidRDefault="00695048" w:rsidP="00695048">
                            <w:pPr>
                              <w:autoSpaceDE w:val="0"/>
                              <w:autoSpaceDN w:val="0"/>
                              <w:adjustRightInd w:val="0"/>
                              <w:jc w:val="center"/>
                              <w:rPr>
                                <w:rFonts w:cstheme="minorHAnsi"/>
                                <w:sz w:val="18"/>
                                <w:szCs w:val="16"/>
                              </w:rPr>
                            </w:pPr>
                            <w:r w:rsidRPr="004531EA">
                              <w:rPr>
                                <w:b/>
                                <w:sz w:val="18"/>
                                <w:szCs w:val="16"/>
                              </w:rPr>
                              <w:t>Vision</w:t>
                            </w:r>
                            <w:r w:rsidRPr="004531EA">
                              <w:rPr>
                                <w:sz w:val="18"/>
                                <w:szCs w:val="16"/>
                              </w:rPr>
                              <w:t xml:space="preserve">: </w:t>
                            </w:r>
                            <w:r w:rsidRPr="004531EA">
                              <w:rPr>
                                <w:rFonts w:cstheme="minorHAnsi"/>
                                <w:sz w:val="18"/>
                                <w:szCs w:val="16"/>
                              </w:rPr>
                              <w:t xml:space="preserve">To </w:t>
                            </w:r>
                            <w:r w:rsidRPr="004531EA">
                              <w:rPr>
                                <w:rFonts w:cstheme="minorHAnsi"/>
                                <w:sz w:val="18"/>
                                <w:szCs w:val="16"/>
                                <w:lang w:val="en-AU" w:eastAsia="en-US"/>
                              </w:rPr>
                              <w:t xml:space="preserve">reduce the </w:t>
                            </w:r>
                            <w:r>
                              <w:rPr>
                                <w:rFonts w:cstheme="minorHAnsi"/>
                                <w:sz w:val="18"/>
                                <w:szCs w:val="16"/>
                                <w:lang w:val="en-AU" w:eastAsia="en-US"/>
                              </w:rPr>
                              <w:t xml:space="preserve">overall </w:t>
                            </w:r>
                            <w:r w:rsidRPr="004531EA">
                              <w:rPr>
                                <w:rFonts w:cstheme="minorHAnsi"/>
                                <w:sz w:val="18"/>
                                <w:szCs w:val="16"/>
                                <w:lang w:val="en-AU" w:eastAsia="en-US"/>
                              </w:rPr>
                              <w:t xml:space="preserve">burden of injury in Australia and address inequities that </w:t>
                            </w:r>
                            <w:r w:rsidRPr="004531EA">
                              <w:rPr>
                                <w:rFonts w:cstheme="minorHAnsi"/>
                                <w:sz w:val="18"/>
                                <w:szCs w:val="16"/>
                                <w:lang w:val="en-AU"/>
                              </w:rPr>
                              <w:t xml:space="preserve">contribute to the </w:t>
                            </w:r>
                            <w:r>
                              <w:rPr>
                                <w:rFonts w:cstheme="minorHAnsi"/>
                                <w:sz w:val="18"/>
                                <w:szCs w:val="16"/>
                                <w:lang w:val="en-AU"/>
                              </w:rPr>
                              <w:t>disproportionate</w:t>
                            </w:r>
                            <w:r w:rsidRPr="004531EA">
                              <w:rPr>
                                <w:rFonts w:cstheme="minorHAnsi"/>
                                <w:sz w:val="18"/>
                                <w:szCs w:val="16"/>
                                <w:lang w:val="en-AU"/>
                              </w:rPr>
                              <w:t xml:space="preserve"> burden of injury experienced by specific population groups</w:t>
                            </w:r>
                            <w:r w:rsidRPr="004531EA">
                              <w:rPr>
                                <w:rFonts w:cstheme="minorHAnsi"/>
                                <w:sz w:val="18"/>
                                <w:szCs w:val="16"/>
                              </w:rPr>
                              <w:t>.</w:t>
                            </w:r>
                          </w:p>
                          <w:p w14:paraId="59E7F891" w14:textId="77777777" w:rsidR="00695048" w:rsidRPr="004531EA" w:rsidRDefault="00695048" w:rsidP="00695048">
                            <w:pPr>
                              <w:autoSpaceDE w:val="0"/>
                              <w:autoSpaceDN w:val="0"/>
                              <w:adjustRightInd w:val="0"/>
                              <w:jc w:val="center"/>
                              <w:rPr>
                                <w:rFonts w:cstheme="minorHAnsi"/>
                                <w:sz w:val="18"/>
                                <w:szCs w:val="16"/>
                              </w:rPr>
                            </w:pPr>
                          </w:p>
                        </w:txbxContent>
                      </v:textbox>
                    </v:shape>
                    <v:group id="Group 265" o:spid="_x0000_s1035" alt="Priority populations: Aboriginal and Torres Strait Islander people, people living in rural and remote areas, people experiencing most socio-economic disadvantage.&#10;Life stages: 1. Babies and children, 2. Youth, 3. Adults, 4. Older adults" style="position:absolute;left:76;top:17983;width:92399;height:5696" coordorigin="106,-1255" coordsize="92988,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_x0000_s1036" type="#_x0000_t202" alt="Priority populations &amp;&#10;Life-stages&#10;in the Strategy" style="position:absolute;left:106;top:-1255;width:10724;height:6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" fillcolor="#e2f0d9" strokecolor="#00b050" strokeweight="1.5pt">
                        <v:textbox>
                          <w:txbxContent>
                            <w:p w14:paraId="3337C877" w14:textId="77777777" w:rsidR="00695048" w:rsidRDefault="00695048" w:rsidP="00695048">
                              <w:pPr>
                                <w:spacing w:before="0"/>
                                <w:jc w:val="center"/>
                                <w:rPr>
                                  <w:b/>
                                  <w:sz w:val="16"/>
                                  <w:szCs w:val="16"/>
                                </w:rPr>
                              </w:pPr>
                              <w:r>
                                <w:rPr>
                                  <w:b/>
                                  <w:sz w:val="16"/>
                                  <w:szCs w:val="16"/>
                                </w:rPr>
                                <w:t>Priority populations &amp;</w:t>
                              </w:r>
                            </w:p>
                            <w:p w14:paraId="7E124562" w14:textId="77777777" w:rsidR="00695048" w:rsidRPr="004531EA" w:rsidRDefault="00695048" w:rsidP="00695048">
                              <w:pPr>
                                <w:spacing w:before="0"/>
                                <w:jc w:val="center"/>
                                <w:rPr>
                                  <w:sz w:val="16"/>
                                  <w:szCs w:val="16"/>
                                </w:rPr>
                              </w:pPr>
                              <w:r w:rsidRPr="004531EA">
                                <w:rPr>
                                  <w:b/>
                                  <w:sz w:val="16"/>
                                  <w:szCs w:val="16"/>
                                </w:rPr>
                                <w:t>Life</w:t>
                              </w:r>
                              <w:r>
                                <w:rPr>
                                  <w:b/>
                                  <w:sz w:val="16"/>
                                  <w:szCs w:val="16"/>
                                </w:rPr>
                                <w:t>-</w:t>
                              </w:r>
                              <w:r w:rsidRPr="004531EA">
                                <w:rPr>
                                  <w:b/>
                                  <w:sz w:val="16"/>
                                  <w:szCs w:val="16"/>
                                </w:rPr>
                                <w:t>stages</w:t>
                              </w:r>
                            </w:p>
                          </w:txbxContent>
                        </v:textbox>
                      </v:shape>
                      <v:shape id="_x0000_s1037" type="#_x0000_t202" style="position:absolute;left:13367;top:-1254;width:79727;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" fillcolor="#e2f0d9" strokecolor="#00b050" strokeweight="1.5pt">
                        <v:textbox>
                          <w:txbxContent>
                            <w:p w14:paraId="1DFCBDBC" w14:textId="77777777" w:rsidR="00695048" w:rsidRPr="004531EA" w:rsidRDefault="00695048" w:rsidP="00695048">
                              <w:pPr>
                                <w:spacing w:before="0"/>
                                <w:jc w:val="center"/>
                                <w:rPr>
                                  <w:rFonts w:cstheme="minorHAnsi"/>
                                  <w:b/>
                                  <w:i/>
                                  <w:sz w:val="16"/>
                                  <w:szCs w:val="16"/>
                                </w:rPr>
                              </w:pPr>
                              <w:r w:rsidRPr="004531EA">
                                <w:rPr>
                                  <w:rFonts w:cstheme="minorHAnsi"/>
                                  <w:b/>
                                  <w:i/>
                                  <w:sz w:val="16"/>
                                  <w:szCs w:val="16"/>
                                </w:rPr>
                                <w:t xml:space="preserve">Priority </w:t>
                              </w:r>
                              <w:r w:rsidRPr="0060376E">
                                <w:rPr>
                                  <w:rFonts w:cstheme="minorHAnsi"/>
                                  <w:b/>
                                  <w:i/>
                                  <w:sz w:val="16"/>
                                  <w:szCs w:val="16"/>
                                </w:rPr>
                                <w:t>populations: Aboriginal and Torres Strait Islander people</w:t>
                              </w:r>
                              <w:r w:rsidRPr="004531EA">
                                <w:rPr>
                                  <w:rFonts w:cstheme="minorHAnsi"/>
                                  <w:b/>
                                  <w:i/>
                                  <w:sz w:val="16"/>
                                  <w:szCs w:val="16"/>
                                </w:rPr>
                                <w:t xml:space="preserve">, people living in rural and remote areas, people experiencing </w:t>
                              </w:r>
                              <w:r>
                                <w:rPr>
                                  <w:rFonts w:cstheme="minorHAnsi"/>
                                  <w:b/>
                                  <w:i/>
                                  <w:sz w:val="16"/>
                                  <w:szCs w:val="16"/>
                                </w:rPr>
                                <w:t xml:space="preserve">most </w:t>
                              </w:r>
                              <w:r w:rsidRPr="004531EA">
                                <w:rPr>
                                  <w:rFonts w:cstheme="minorHAnsi"/>
                                  <w:b/>
                                  <w:i/>
                                  <w:sz w:val="16"/>
                                  <w:szCs w:val="16"/>
                                </w:rPr>
                                <w:t>socio-economic disadvantage</w:t>
                              </w:r>
                            </w:p>
                          </w:txbxContent>
                        </v:textbox>
                      </v:shape>
                      <v:shape id="_x0000_s1038" type="#_x0000_t202" style="position:absolute;left:13354;top:2316;width:17849;height:3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" fillcolor="#e2f0d9" strokecolor="#00b050" strokeweight="1.5pt">
                        <v:textbox>
                          <w:txbxContent>
                            <w:p w14:paraId="040795F7" w14:textId="77777777" w:rsidR="00695048" w:rsidRPr="004531EA" w:rsidRDefault="00695048" w:rsidP="00695048">
                              <w:pPr>
                                <w:spacing w:before="0"/>
                                <w:jc w:val="center"/>
                                <w:rPr>
                                  <w:sz w:val="16"/>
                                  <w:szCs w:val="16"/>
                                </w:rPr>
                              </w:pPr>
                              <w:r w:rsidRPr="004531EA">
                                <w:rPr>
                                  <w:b/>
                                  <w:sz w:val="16"/>
                                  <w:szCs w:val="16"/>
                                </w:rPr>
                                <w:t>Babies &amp; children (0-14 yrs)</w:t>
                              </w:r>
                            </w:p>
                          </w:txbxContent>
                        </v:textbox>
                      </v:shape>
                    </v:group>
                    <v:group id="Group 271" o:spid="_x0000_s1039" alt="Principles: Evidence-based, equity, engagement, coordination, resourcing: responsibility" style="position:absolute;left:76;top:14859;width:92399;height:2616" coordorigin="318" coordsize="9169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_x0000_s1040" type="#_x0000_t202" alt="Principles of the Strategy" style="position:absolute;left:318;width:10724;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" fillcolor="#f2dcdb" strokecolor="#a50021" strokeweight="1.5pt">
                        <v:textbox>
                          <w:txbxContent>
                            <w:p w14:paraId="3210CED7" w14:textId="77777777" w:rsidR="00695048" w:rsidRPr="00746DEE" w:rsidRDefault="00695048" w:rsidP="00695048">
                              <w:pPr>
                                <w:spacing w:before="0"/>
                                <w:jc w:val="center"/>
                                <w:rPr>
                                  <w:sz w:val="16"/>
                                  <w:szCs w:val="16"/>
                                </w:rPr>
                              </w:pPr>
                              <w:r w:rsidRPr="00746DEE">
                                <w:rPr>
                                  <w:b/>
                                  <w:sz w:val="16"/>
                                  <w:szCs w:val="16"/>
                                </w:rPr>
                                <w:t>Principles</w:t>
                              </w:r>
                            </w:p>
                            <w:p w14:paraId="49DBEB17" w14:textId="77777777" w:rsidR="00695048" w:rsidRPr="004531EA" w:rsidRDefault="00695048" w:rsidP="00695048">
                              <w:pPr>
                                <w:rPr>
                                  <w:sz w:val="16"/>
                                  <w:szCs w:val="16"/>
                                </w:rPr>
                              </w:pPr>
                            </w:p>
                          </w:txbxContent>
                        </v:textbox>
                      </v:shape>
                      <v:shape id="_x0000_s1041" type="#_x0000_t202" style="position:absolute;left:13396;width:78620;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" fillcolor="#f2dcdb" strokecolor="#a50021" strokeweight="1.5pt">
                        <v:textbox>
                          <w:txbxContent>
                            <w:p w14:paraId="14D6BB28" w14:textId="77777777" w:rsidR="00695048" w:rsidRPr="00746DEE" w:rsidRDefault="00695048" w:rsidP="00695048">
                              <w:pPr>
                                <w:pStyle w:val="ListParagraph"/>
                                <w:spacing w:before="0"/>
                                <w:jc w:val="center"/>
                                <w:rPr>
                                  <w:rFonts w:cstheme="minorHAnsi"/>
                                  <w:sz w:val="16"/>
                                  <w:szCs w:val="16"/>
                                </w:rPr>
                              </w:pPr>
                              <w:r w:rsidRPr="00746DEE">
                                <w:rPr>
                                  <w:rFonts w:cstheme="minorHAnsi"/>
                                  <w:b/>
                                  <w:sz w:val="16"/>
                                  <w:szCs w:val="16"/>
                                  <w:lang w:val="en-AU"/>
                                </w:rPr>
                                <w:t>Evidence-based, equity, e</w:t>
                              </w:r>
                              <w:r w:rsidRPr="00746DEE">
                                <w:rPr>
                                  <w:rFonts w:cstheme="minorHAnsi"/>
                                  <w:b/>
                                  <w:color w:val="000000" w:themeColor="text1"/>
                                  <w:sz w:val="16"/>
                                  <w:szCs w:val="16"/>
                                  <w:lang w:val="en-AU"/>
                                </w:rPr>
                                <w:t>ngagement, c</w:t>
                              </w:r>
                              <w:r w:rsidRPr="00746DEE">
                                <w:rPr>
                                  <w:rFonts w:cstheme="minorHAnsi"/>
                                  <w:b/>
                                  <w:sz w:val="16"/>
                                  <w:szCs w:val="16"/>
                                  <w:lang w:val="en-AU"/>
                                </w:rPr>
                                <w:t>oordination</w:t>
                              </w:r>
                              <w:r w:rsidRPr="00746DEE">
                                <w:rPr>
                                  <w:rFonts w:cstheme="minorHAnsi"/>
                                  <w:sz w:val="16"/>
                                  <w:szCs w:val="16"/>
                                  <w:lang w:val="en-AU"/>
                                </w:rPr>
                                <w:t>, r</w:t>
                              </w:r>
                              <w:r w:rsidRPr="00746DEE">
                                <w:rPr>
                                  <w:rFonts w:cstheme="minorHAnsi"/>
                                  <w:b/>
                                  <w:sz w:val="16"/>
                                  <w:szCs w:val="16"/>
                                  <w:lang w:val="en-AU"/>
                                </w:rPr>
                                <w:t>esourcing:</w:t>
                              </w:r>
                              <w:r w:rsidRPr="00746DEE">
                                <w:rPr>
                                  <w:rFonts w:cstheme="minorHAnsi"/>
                                  <w:color w:val="000000" w:themeColor="text1"/>
                                  <w:sz w:val="16"/>
                                  <w:szCs w:val="16"/>
                                  <w:lang w:val="en-AU"/>
                                </w:rPr>
                                <w:t xml:space="preserve"> r</w:t>
                              </w:r>
                              <w:r w:rsidRPr="00746DEE">
                                <w:rPr>
                                  <w:rFonts w:cstheme="minorHAnsi"/>
                                  <w:b/>
                                  <w:sz w:val="16"/>
                                  <w:szCs w:val="16"/>
                                  <w:lang w:val="en-AU"/>
                                </w:rPr>
                                <w:t>esponsibility</w:t>
                              </w:r>
                            </w:p>
                          </w:txbxContent>
                        </v:textbox>
                      </v:shape>
                    </v:group>
                    <v:shape id="_x0000_s1042" type="#_x0000_t202" style="position:absolute;left:13411;top:51511;width:79244;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" fillcolor="#fbcfab" strokecolor="#ffc000" strokeweight="1.5pt">
                      <v:textbox>
                        <w:txbxContent>
                          <w:p w14:paraId="0CD6B34B" w14:textId="77777777" w:rsidR="00695048" w:rsidRPr="004531EA" w:rsidRDefault="00695048" w:rsidP="00695048">
                            <w:pPr>
                              <w:spacing w:before="0"/>
                              <w:jc w:val="center"/>
                              <w:rPr>
                                <w:rFonts w:cstheme="minorHAnsi"/>
                                <w:b/>
                                <w:sz w:val="16"/>
                                <w:szCs w:val="16"/>
                              </w:rPr>
                            </w:pPr>
                            <w:r>
                              <w:rPr>
                                <w:rFonts w:cstheme="minorHAnsi"/>
                                <w:b/>
                                <w:sz w:val="16"/>
                                <w:szCs w:val="16"/>
                              </w:rPr>
                              <w:t xml:space="preserve">Cross cutting factors: </w:t>
                            </w:r>
                            <w:r w:rsidRPr="004531EA">
                              <w:rPr>
                                <w:rFonts w:cstheme="minorHAnsi"/>
                                <w:b/>
                                <w:sz w:val="16"/>
                                <w:szCs w:val="16"/>
                              </w:rPr>
                              <w:t>Alcohol</w:t>
                            </w:r>
                            <w:r>
                              <w:rPr>
                                <w:rFonts w:cstheme="minorHAnsi"/>
                                <w:b/>
                                <w:sz w:val="16"/>
                                <w:szCs w:val="16"/>
                              </w:rPr>
                              <w:t xml:space="preserve">, </w:t>
                            </w:r>
                            <w:r w:rsidRPr="004531EA">
                              <w:rPr>
                                <w:rFonts w:cstheme="minorHAnsi"/>
                                <w:b/>
                                <w:sz w:val="16"/>
                                <w:szCs w:val="16"/>
                              </w:rPr>
                              <w:t>Extreme weather events</w:t>
                            </w:r>
                            <w:r>
                              <w:rPr>
                                <w:rFonts w:cstheme="minorHAnsi"/>
                                <w:b/>
                                <w:sz w:val="16"/>
                                <w:szCs w:val="16"/>
                              </w:rPr>
                              <w:t xml:space="preserve">, </w:t>
                            </w:r>
                            <w:r w:rsidRPr="004531EA">
                              <w:rPr>
                                <w:rFonts w:cstheme="minorHAnsi"/>
                                <w:b/>
                                <w:sz w:val="16"/>
                                <w:szCs w:val="16"/>
                              </w:rPr>
                              <w:t>Built environment</w:t>
                            </w:r>
                          </w:p>
                        </w:txbxContent>
                      </v:textbox>
                    </v:shape>
                    <v:shape id="_x0000_s1043" type="#_x0000_t202" alt="Leading causes of injury in Australia" style="position:absolute;left:76;top:24079;width:10656;height:26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" fillcolor="#fdeada" strokecolor="#ffc000" strokeweight="1.5pt">
                      <v:textbox>
                        <w:txbxContent>
                          <w:p w14:paraId="23A8FBD8" w14:textId="77777777" w:rsidR="00695048" w:rsidRPr="007F1E4B" w:rsidRDefault="00695048" w:rsidP="00695048">
                            <w:pPr>
                              <w:spacing w:before="0"/>
                              <w:jc w:val="center"/>
                              <w:rPr>
                                <w:sz w:val="16"/>
                                <w:szCs w:val="16"/>
                              </w:rPr>
                            </w:pPr>
                            <w:r w:rsidRPr="007F1E4B">
                              <w:rPr>
                                <w:rFonts w:cstheme="minorHAnsi"/>
                                <w:b/>
                                <w:color w:val="000000" w:themeColor="text1"/>
                                <w:sz w:val="16"/>
                                <w:szCs w:val="16"/>
                                <w:lang w:val="en-AU"/>
                              </w:rPr>
                              <w:t>Leading causes of injury in Australia</w:t>
                            </w:r>
                          </w:p>
                          <w:p w14:paraId="24D25EC5" w14:textId="77777777" w:rsidR="00695048" w:rsidRPr="004531EA" w:rsidRDefault="00695048" w:rsidP="00695048">
                            <w:pPr>
                              <w:spacing w:before="0"/>
                              <w:jc w:val="center"/>
                              <w:rPr>
                                <w:sz w:val="16"/>
                                <w:szCs w:val="16"/>
                              </w:rPr>
                            </w:pPr>
                          </w:p>
                        </w:txbxContent>
                      </v:textbox>
                    </v:shape>
                    <v:group id="Group 256" o:spid="_x0000_s1044" alt="Outcome Indicators" style="position:absolute;top:5181;width:92468;height:9236" coordorigin="-425,-1231" coordsize="93058,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_x0000_s1045" type="#_x0000_t202" style="position:absolute;left:-425;top:-1231;width:11253;height:3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" fillcolor="#e7e0ec" strokecolor="#7030a0" strokeweight="1.5pt">
                        <v:textbox>
                          <w:txbxContent>
                            <w:p w14:paraId="358A621D" w14:textId="77777777" w:rsidR="00695048" w:rsidRPr="00746DEE" w:rsidRDefault="00695048" w:rsidP="00695048">
                              <w:pPr>
                                <w:spacing w:before="0"/>
                                <w:jc w:val="center"/>
                                <w:rPr>
                                  <w:sz w:val="16"/>
                                  <w:szCs w:val="16"/>
                                </w:rPr>
                              </w:pPr>
                              <w:r w:rsidRPr="00746DEE">
                                <w:rPr>
                                  <w:b/>
                                  <w:sz w:val="16"/>
                                  <w:szCs w:val="16"/>
                                </w:rPr>
                                <w:t>Outcome indicators</w:t>
                              </w:r>
                            </w:p>
                            <w:p w14:paraId="18E2D55E" w14:textId="77777777" w:rsidR="00695048" w:rsidRPr="004531EA" w:rsidRDefault="00695048" w:rsidP="00695048">
                              <w:pPr>
                                <w:rPr>
                                  <w:sz w:val="16"/>
                                  <w:szCs w:val="16"/>
                                </w:rPr>
                              </w:pPr>
                            </w:p>
                          </w:txbxContent>
                        </v:textbox>
                      </v:shape>
                      <v:shape id="_x0000_s1046" type="#_x0000_t202" style="position:absolute;left:12892;top:-1228;width:79741;height: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" fillcolor="#e7e0ec" strokecolor="#7030a0" strokeweight="1.5pt">
                        <v:textbox>
                          <w:txbxContent>
                            <w:p w14:paraId="51204107" w14:textId="77777777" w:rsidR="00695048" w:rsidRPr="00746DEE" w:rsidRDefault="00695048" w:rsidP="00695048">
                              <w:pPr>
                                <w:spacing w:before="0"/>
                                <w:rPr>
                                  <w:rFonts w:cstheme="minorHAnsi"/>
                                  <w:b/>
                                  <w:sz w:val="16"/>
                                  <w:szCs w:val="17"/>
                                </w:rPr>
                              </w:pPr>
                              <w:r w:rsidRPr="00746DEE">
                                <w:rPr>
                                  <w:rFonts w:cstheme="minorHAnsi"/>
                                  <w:b/>
                                  <w:sz w:val="16"/>
                                  <w:szCs w:val="17"/>
                                </w:rPr>
                                <w:t xml:space="preserve">Reduced rates of: drowning; intentional self-harm; falls; burns; sports injuries; injuries due to violence; workplace injuries; and road transport accidents. </w:t>
                              </w:r>
                            </w:p>
                            <w:p w14:paraId="5D6B8720" w14:textId="77777777" w:rsidR="00695048" w:rsidRPr="00746DEE" w:rsidRDefault="00695048" w:rsidP="00695048">
                              <w:pPr>
                                <w:spacing w:before="0"/>
                                <w:rPr>
                                  <w:rFonts w:cstheme="minorHAnsi"/>
                                  <w:b/>
                                  <w:sz w:val="16"/>
                                  <w:szCs w:val="17"/>
                                </w:rPr>
                              </w:pPr>
                              <w:r w:rsidRPr="00746DEE">
                                <w:rPr>
                                  <w:rFonts w:cstheme="minorHAnsi"/>
                                  <w:b/>
                                  <w:sz w:val="16"/>
                                  <w:szCs w:val="17"/>
                                </w:rPr>
                                <w:t xml:space="preserve">Target: To reduce the overall rate of injury burden by 30% and by 40% among the priority populations. </w:t>
                              </w:r>
                            </w:p>
                          </w:txbxContent>
                        </v:textbox>
                      </v:shape>
                      <v:shape id="_x0000_s1047" type="#_x0000_t202" style="position:absolute;left:12892;top:3393;width:79741;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" fillcolor="#e7e0ec" strokecolor="#7030a0" strokeweight="1.5pt">
                        <v:textbox>
                          <w:txbxContent>
                            <w:p w14:paraId="012BD1D0" w14:textId="77777777" w:rsidR="00695048" w:rsidRPr="004531EA" w:rsidRDefault="00695048" w:rsidP="00695048">
                              <w:pPr>
                                <w:spacing w:before="0"/>
                                <w:rPr>
                                  <w:rFonts w:cstheme="minorHAnsi"/>
                                  <w:b/>
                                  <w:sz w:val="16"/>
                                  <w:szCs w:val="16"/>
                                </w:rPr>
                              </w:pPr>
                              <w:r w:rsidRPr="004531EA">
                                <w:rPr>
                                  <w:rFonts w:cstheme="minorHAnsi"/>
                                  <w:b/>
                                  <w:sz w:val="16"/>
                                  <w:szCs w:val="16"/>
                                </w:rPr>
                                <w:t>Reduced risks of injuries due to alcohol, extreme weather events and the built environment.</w:t>
                              </w:r>
                            </w:p>
                          </w:txbxContent>
                        </v:textbox>
                      </v:shape>
                      <v:shape id="_x0000_s1048" type="#_x0000_t202" style="position:absolute;left:12892;top:6888;width:79741;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" fillcolor="#e7e0ec" strokecolor="#7030a0" strokeweight="1.5pt">
                        <v:textbox>
                          <w:txbxContent>
                            <w:p w14:paraId="091CBD5B" w14:textId="77777777" w:rsidR="00695048" w:rsidRPr="004531EA" w:rsidRDefault="00695048" w:rsidP="00695048">
                              <w:pPr>
                                <w:spacing w:before="0"/>
                                <w:rPr>
                                  <w:rFonts w:cstheme="minorHAnsi"/>
                                  <w:b/>
                                  <w:sz w:val="16"/>
                                  <w:szCs w:val="16"/>
                                </w:rPr>
                              </w:pPr>
                              <w:r w:rsidRPr="004531EA">
                                <w:rPr>
                                  <w:rFonts w:cstheme="minorHAnsi"/>
                                  <w:b/>
                                  <w:sz w:val="16"/>
                                  <w:szCs w:val="16"/>
                                </w:rPr>
                                <w:t>Reduced inequities in the burden of injury.</w:t>
                              </w:r>
                            </w:p>
                          </w:txbxContent>
                        </v:textbox>
                      </v:shape>
                    </v:group>
                  </v:group>
                  <v:group id="Group 309" o:spid="_x0000_s1049" alt="Leading causes of injury in Australia" style="position:absolute;left:13335;top:24079;width:79288;height:26785" coordsize="79288,2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306" o:spid="_x0000_s1050" style="position:absolute;width:38049;height:24074" coordsize="38049,2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_x0000_s1051" type="#_x0000_t202" style="position:absolute;width:17737;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" fillcolor="#deeaf6 [660]" stroked="f" strokeweight="1.5pt">
                        <v:textbox>
                          <w:txbxContent>
                            <w:p w14:paraId="2E9906A8"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Other unintentional</w:t>
                              </w:r>
                            </w:p>
                          </w:txbxContent>
                        </v:textbox>
                      </v:shape>
                      <v:shape id="_x0000_s1052" type="#_x0000_t202" style="position:absolute;top:2709;width:38049;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" fillcolor="#7999ff" stroked="f" strokeweight="1.5pt">
                        <v:textbox>
                          <w:txbxContent>
                            <w:p w14:paraId="3FA11BA8"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Road transport</w:t>
                              </w:r>
                            </w:p>
                          </w:txbxContent>
                        </v:textbox>
                      </v:shape>
                      <v:shape id="_x0000_s1053" type="#_x0000_t202" style="position:absolute;top:5418;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" fillcolor="#606" stroked="f" strokeweight="1.5pt">
                        <v:textbox>
                          <w:txbxContent>
                            <w:p w14:paraId="22AEDC34" w14:textId="77777777" w:rsidR="00695048" w:rsidRPr="005E0E71" w:rsidRDefault="00695048" w:rsidP="00695048">
                              <w:pPr>
                                <w:spacing w:before="0"/>
                                <w:jc w:val="center"/>
                                <w:rPr>
                                  <w:rFonts w:cstheme="minorHAnsi"/>
                                  <w:b/>
                                  <w:sz w:val="16"/>
                                  <w:szCs w:val="16"/>
                                </w:rPr>
                              </w:pPr>
                              <w:r w:rsidRPr="005E0E71">
                                <w:rPr>
                                  <w:rFonts w:cstheme="minorHAnsi"/>
                                  <w:b/>
                                  <w:sz w:val="16"/>
                                  <w:szCs w:val="16"/>
                                </w:rPr>
                                <w:t xml:space="preserve">Falls </w:t>
                              </w:r>
                            </w:p>
                            <w:p w14:paraId="294282B8" w14:textId="77777777" w:rsidR="00695048" w:rsidRPr="004531EA" w:rsidRDefault="00695048" w:rsidP="00695048">
                              <w:pPr>
                                <w:spacing w:before="0"/>
                                <w:jc w:val="center"/>
                                <w:rPr>
                                  <w:rFonts w:cstheme="minorHAnsi"/>
                                  <w:b/>
                                  <w:sz w:val="16"/>
                                  <w:szCs w:val="16"/>
                                </w:rPr>
                              </w:pPr>
                            </w:p>
                          </w:txbxContent>
                        </v:textbox>
                      </v:shape>
                      <v:shape id="_x0000_s1054" type="#_x0000_t202" style="position:absolute;top:8128;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" fillcolor="#ff9fe6" stroked="f" strokeweight="1.5pt">
                        <v:textbox>
                          <w:txbxContent>
                            <w:p w14:paraId="779D9FC9"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Drowning</w:t>
                              </w:r>
                            </w:p>
                            <w:p w14:paraId="7507E524" w14:textId="77777777" w:rsidR="00695048" w:rsidRPr="004531EA" w:rsidRDefault="00695048" w:rsidP="00695048">
                              <w:pPr>
                                <w:spacing w:before="0"/>
                                <w:jc w:val="center"/>
                                <w:rPr>
                                  <w:rFonts w:cstheme="minorHAnsi"/>
                                  <w:b/>
                                  <w:sz w:val="16"/>
                                  <w:szCs w:val="16"/>
                                </w:rPr>
                              </w:pPr>
                            </w:p>
                          </w:txbxContent>
                        </v:textbox>
                      </v:shape>
                      <v:shape id="_x0000_s1055" type="#_x0000_t202" style="position:absolute;top:10922;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" fillcolor="#28659c" stroked="f" strokeweight="1.5pt">
                        <v:textbox>
                          <w:txbxContent>
                            <w:p w14:paraId="4AEE917C" w14:textId="77777777" w:rsidR="00695048" w:rsidRPr="004A563A" w:rsidRDefault="00695048" w:rsidP="00695048">
                              <w:pPr>
                                <w:shd w:val="clear" w:color="auto" w:fill="28659C"/>
                                <w:spacing w:before="0"/>
                                <w:jc w:val="center"/>
                                <w:rPr>
                                  <w:rFonts w:cstheme="minorHAnsi"/>
                                  <w:b/>
                                  <w:color w:val="FFFFFF" w:themeColor="background1"/>
                                  <w:sz w:val="16"/>
                                  <w:szCs w:val="16"/>
                                </w:rPr>
                              </w:pPr>
                              <w:r w:rsidRPr="004A563A">
                                <w:rPr>
                                  <w:rFonts w:cstheme="minorHAnsi"/>
                                  <w:b/>
                                  <w:color w:val="FFFFFF" w:themeColor="background1"/>
                                  <w:sz w:val="16"/>
                                  <w:szCs w:val="16"/>
                                </w:rPr>
                                <w:t>Homicide + violence</w:t>
                              </w:r>
                            </w:p>
                            <w:p w14:paraId="3D50222E" w14:textId="77777777" w:rsidR="00695048" w:rsidRPr="004A563A" w:rsidRDefault="00695048" w:rsidP="00695048">
                              <w:pPr>
                                <w:spacing w:before="0"/>
                                <w:jc w:val="center"/>
                                <w:rPr>
                                  <w:rFonts w:cstheme="minorHAnsi"/>
                                  <w:b/>
                                  <w:color w:val="FFFFFF" w:themeColor="background1"/>
                                  <w:sz w:val="16"/>
                                  <w:szCs w:val="16"/>
                                </w:rPr>
                              </w:pPr>
                            </w:p>
                          </w:txbxContent>
                        </v:textbox>
                      </v:shape>
                      <v:shape id="_x0000_s1056" type="#_x0000_t202" style="position:absolute;top:13716;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" fillcolor="#909" stroked="f" strokeweight="1.5pt">
                        <v:textbox>
                          <w:txbxContent>
                            <w:p w14:paraId="463C1A46"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 xml:space="preserve">Other land transport </w:t>
                              </w:r>
                            </w:p>
                            <w:p w14:paraId="0AC8C7EC" w14:textId="77777777" w:rsidR="00695048" w:rsidRPr="004A563A" w:rsidRDefault="00695048" w:rsidP="00695048">
                              <w:pPr>
                                <w:spacing w:before="0"/>
                                <w:jc w:val="center"/>
                                <w:rPr>
                                  <w:rFonts w:cstheme="minorHAnsi"/>
                                  <w:b/>
                                  <w:color w:val="FFFFFF" w:themeColor="background1"/>
                                  <w:sz w:val="16"/>
                                  <w:szCs w:val="16"/>
                                </w:rPr>
                              </w:pPr>
                            </w:p>
                          </w:txbxContent>
                        </v:textbox>
                      </v:shape>
                      <v:shape id="_x0000_s1057" type="#_x0000_t202" style="position:absolute;left:84;top:16510;width:17736;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" fillcolor="#1f3763 [1608]" stroked="f" strokeweight="1.5pt">
                        <v:textbox>
                          <w:txbxContent>
                            <w:p w14:paraId="53AA7011"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 xml:space="preserve">Intentional self-ham </w:t>
                              </w:r>
                            </w:p>
                            <w:p w14:paraId="4C9A1304" w14:textId="77777777" w:rsidR="00695048" w:rsidRPr="004A563A" w:rsidRDefault="00695048" w:rsidP="00695048">
                              <w:pPr>
                                <w:spacing w:before="0"/>
                                <w:jc w:val="center"/>
                                <w:rPr>
                                  <w:rFonts w:cstheme="minorHAnsi"/>
                                  <w:b/>
                                  <w:color w:val="FFFFFF" w:themeColor="background1"/>
                                  <w:sz w:val="16"/>
                                  <w:szCs w:val="16"/>
                                </w:rPr>
                              </w:pPr>
                            </w:p>
                          </w:txbxContent>
                        </v:textbox>
                      </v:shape>
                      <v:shape id="_x0000_s1058" type="#_x0000_t202" style="position:absolute;left:84;top:19219;width:17736;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" fillcolor="#ed7d31 [3205]" stroked="f" strokeweight="1.5pt">
                        <v:textbox>
                          <w:txbxContent>
                            <w:p w14:paraId="4DD86E4C" w14:textId="77777777" w:rsidR="00695048" w:rsidRPr="005E0E71" w:rsidRDefault="00695048" w:rsidP="00695048">
                              <w:pPr>
                                <w:spacing w:before="0"/>
                                <w:jc w:val="center"/>
                                <w:rPr>
                                  <w:rFonts w:cstheme="minorHAnsi"/>
                                  <w:b/>
                                  <w:sz w:val="16"/>
                                  <w:szCs w:val="16"/>
                                </w:rPr>
                              </w:pPr>
                              <w:r w:rsidRPr="005E0E71">
                                <w:rPr>
                                  <w:rFonts w:cstheme="minorHAnsi"/>
                                  <w:b/>
                                  <w:sz w:val="16"/>
                                  <w:szCs w:val="16"/>
                                </w:rPr>
                                <w:t>Fire, burns + scalds</w:t>
                              </w:r>
                            </w:p>
                            <w:p w14:paraId="030C3E64" w14:textId="77777777" w:rsidR="00695048" w:rsidRPr="004531EA" w:rsidRDefault="00695048" w:rsidP="00695048">
                              <w:pPr>
                                <w:spacing w:before="0"/>
                                <w:jc w:val="center"/>
                                <w:rPr>
                                  <w:rFonts w:cstheme="minorHAnsi"/>
                                  <w:b/>
                                  <w:sz w:val="16"/>
                                  <w:szCs w:val="16"/>
                                </w:rPr>
                              </w:pPr>
                            </w:p>
                          </w:txbxContent>
                        </v:textbox>
                      </v:shape>
                      <v:shape id="_x0000_s1059" type="#_x0000_t202" style="position:absolute;left:84;top:21928;width:17736;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" fillcolor="#69d8ff" stroked="f" strokeweight="1.5pt">
                        <v:textbox>
                          <w:txbxContent>
                            <w:p w14:paraId="07C24192"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Poisoning</w:t>
                              </w:r>
                            </w:p>
                            <w:p w14:paraId="425A3D35" w14:textId="77777777" w:rsidR="00695048" w:rsidRPr="004531EA" w:rsidRDefault="00695048" w:rsidP="00695048">
                              <w:pPr>
                                <w:spacing w:before="0"/>
                                <w:jc w:val="center"/>
                                <w:rPr>
                                  <w:rFonts w:cstheme="minorHAnsi"/>
                                  <w:b/>
                                  <w:sz w:val="16"/>
                                  <w:szCs w:val="16"/>
                                </w:rPr>
                              </w:pPr>
                            </w:p>
                          </w:txbxContent>
                        </v:textbox>
                      </v:shape>
                    </v:group>
                    <v:group id="Group 308" o:spid="_x0000_s1060" style="position:absolute;left:40894;width:38394;height:26785" coordsize="38394,2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061" type="#_x0000_t202" style="position:absolute;top:2709;width:17735;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" fillcolor="#69d8ff" stroked="f" strokeweight="1.5pt">
                        <v:textbox>
                          <w:txbxContent>
                            <w:p w14:paraId="1AEAE972"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Poisoning</w:t>
                              </w:r>
                            </w:p>
                          </w:txbxContent>
                        </v:textbox>
                      </v:shape>
                      <v:shape id="_x0000_s1062" type="#_x0000_t202" style="position:absolute;top:8128;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" fillcolor="#606" stroked="f" strokeweight="1.5pt">
                        <v:textbox>
                          <w:txbxContent>
                            <w:p w14:paraId="410A84BE"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Falls</w:t>
                              </w:r>
                            </w:p>
                          </w:txbxContent>
                        </v:textbox>
                      </v:shape>
                      <v:shape id="_x0000_s1063" type="#_x0000_t202" style="position:absolute;top:10922;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" fillcolor="#deeaf6 [660]" stroked="f" strokeweight="1.5pt">
                        <v:textbox>
                          <w:txbxContent>
                            <w:p w14:paraId="4B934E0E" w14:textId="77777777" w:rsidR="00695048" w:rsidRPr="005E0E71" w:rsidRDefault="00695048" w:rsidP="00695048">
                              <w:pPr>
                                <w:spacing w:before="0"/>
                                <w:jc w:val="center"/>
                                <w:rPr>
                                  <w:rFonts w:cstheme="minorHAnsi"/>
                                  <w:b/>
                                  <w:sz w:val="16"/>
                                  <w:szCs w:val="16"/>
                                </w:rPr>
                              </w:pPr>
                              <w:r w:rsidRPr="005E0E71">
                                <w:rPr>
                                  <w:rFonts w:cstheme="minorHAnsi"/>
                                  <w:b/>
                                  <w:sz w:val="16"/>
                                  <w:szCs w:val="16"/>
                                </w:rPr>
                                <w:t xml:space="preserve">Other unintentional </w:t>
                              </w:r>
                            </w:p>
                            <w:p w14:paraId="6D26518A" w14:textId="77777777" w:rsidR="00695048" w:rsidRPr="004531EA" w:rsidRDefault="00695048" w:rsidP="00695048">
                              <w:pPr>
                                <w:spacing w:before="0"/>
                                <w:jc w:val="center"/>
                                <w:rPr>
                                  <w:rFonts w:cstheme="minorHAnsi"/>
                                  <w:b/>
                                  <w:sz w:val="16"/>
                                  <w:szCs w:val="16"/>
                                </w:rPr>
                              </w:pPr>
                            </w:p>
                          </w:txbxContent>
                        </v:textbox>
                      </v:shape>
                      <v:shape id="_x0000_s1064" type="#_x0000_t202" style="position:absolute;left:84;top:21928;width:17736;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" fillcolor="#dbdbdb [1302]" stroked="f" strokeweight="1.5pt">
                        <v:textbox>
                          <w:txbxContent>
                            <w:p w14:paraId="72130EE5"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All other external</w:t>
                              </w:r>
                            </w:p>
                          </w:txbxContent>
                        </v:textbox>
                      </v:shape>
                      <v:shape id="_x0000_s1065" type="#_x0000_t202" style="position:absolute;left:84;top:24638;width:17736;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" fillcolor="#ed7d31 [3205]" stroked="f" strokeweight="1.5pt">
                        <v:textbox>
                          <w:txbxContent>
                            <w:p w14:paraId="602F5975"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Fire, burns + scalds</w:t>
                              </w:r>
                            </w:p>
                          </w:txbxContent>
                        </v:textbox>
                      </v:shape>
                      <v:shape id="_x0000_s1066" type="#_x0000_t202" style="position:absolute;left:20574;width:17737;height:2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" fillcolor="#606" stroked="f" strokeweight="1.5pt">
                        <v:textbox>
                          <w:txbxContent>
                            <w:p w14:paraId="1387B77F"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Falls</w:t>
                              </w:r>
                            </w:p>
                          </w:txbxContent>
                        </v:textbox>
                      </v:shape>
                      <v:shape id="_x0000_s1067" type="#_x0000_t202" style="position:absolute;left:20574;top:2709;width:17735;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" fillcolor="#1f3763 [1608]" stroked="f" strokeweight="1.5pt">
                        <v:textbox>
                          <w:txbxContent>
                            <w:p w14:paraId="58973C61"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Intentional self-ham</w:t>
                              </w:r>
                            </w:p>
                          </w:txbxContent>
                        </v:textbox>
                      </v:shape>
                      <v:shape id="_x0000_s1068" type="#_x0000_t202" style="position:absolute;left:20574;top:8128;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" fillcolor="#deeaf6 [660]" stroked="f" strokeweight="1.5pt">
                        <v:textbox>
                          <w:txbxContent>
                            <w:p w14:paraId="3CF44CC0"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Other unintentional</w:t>
                              </w:r>
                            </w:p>
                          </w:txbxContent>
                        </v:textbox>
                      </v:shape>
                      <v:shape id="_x0000_s1069" type="#_x0000_t202" style="position:absolute;left:20574;top:10922;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" fillcolor="#dbdbdb [1302]" stroked="f" strokeweight="1.5pt">
                        <v:textbox>
                          <w:txbxContent>
                            <w:p w14:paraId="033130BA"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All other external</w:t>
                              </w:r>
                            </w:p>
                          </w:txbxContent>
                        </v:textbox>
                      </v:shape>
                      <v:shape id="_x0000_s1070" type="#_x0000_t202" style="position:absolute;left:20574;top:13716;width:1773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" fillcolor="#69d8ff" stroked="f" strokeweight="1.5pt">
                        <v:textbox>
                          <w:txbxContent>
                            <w:p w14:paraId="11271448" w14:textId="77777777" w:rsidR="00695048" w:rsidRPr="005E0E71" w:rsidRDefault="00695048" w:rsidP="00695048">
                              <w:pPr>
                                <w:spacing w:before="0"/>
                                <w:jc w:val="center"/>
                                <w:rPr>
                                  <w:rFonts w:cstheme="minorHAnsi"/>
                                  <w:b/>
                                  <w:sz w:val="16"/>
                                  <w:szCs w:val="16"/>
                                </w:rPr>
                              </w:pPr>
                              <w:r w:rsidRPr="005E0E71">
                                <w:rPr>
                                  <w:rFonts w:cstheme="minorHAnsi"/>
                                  <w:b/>
                                  <w:sz w:val="16"/>
                                  <w:szCs w:val="16"/>
                                </w:rPr>
                                <w:t>Poisoning</w:t>
                              </w:r>
                            </w:p>
                            <w:p w14:paraId="2341D74A" w14:textId="77777777" w:rsidR="00695048" w:rsidRPr="004531EA" w:rsidRDefault="00695048" w:rsidP="00695048">
                              <w:pPr>
                                <w:spacing w:before="0"/>
                                <w:jc w:val="center"/>
                                <w:rPr>
                                  <w:rFonts w:cstheme="minorHAnsi"/>
                                  <w:b/>
                                  <w:sz w:val="16"/>
                                  <w:szCs w:val="16"/>
                                </w:rPr>
                              </w:pPr>
                            </w:p>
                          </w:txbxContent>
                        </v:textbox>
                      </v:shape>
                      <v:shape id="_x0000_s1071" type="#_x0000_t202" style="position:absolute;left:20658;top:21928;width:17736;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" fillcolor="#ed7d31 [3205]" stroked="f" strokeweight="1.5pt">
                        <v:textbox>
                          <w:txbxContent>
                            <w:p w14:paraId="2FED0727"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Fire, burns + scalds</w:t>
                              </w:r>
                            </w:p>
                          </w:txbxContent>
                        </v:textbox>
                      </v:shape>
                      <v:shape id="_x0000_s1072" type="#_x0000_t202" style="position:absolute;left:20658;top:24638;width:17736;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" fillcolor="#28659c" stroked="f" strokeweight="1.5pt">
                        <v:textbox>
                          <w:txbxContent>
                            <w:p w14:paraId="333831C5"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Homicide + violence</w:t>
                              </w:r>
                            </w:p>
                          </w:txbxContent>
                        </v:textbox>
                      </v:shape>
                      <v:shape id="_x0000_s1073" type="#_x0000_t202" style="position:absolute;top:5418;width:38394;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" fillcolor="#7999ff" stroked="f" strokeweight="1.5pt">
                        <v:textbox>
                          <w:txbxContent>
                            <w:p w14:paraId="0DDA1ACD"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Road transport</w:t>
                              </w:r>
                            </w:p>
                          </w:txbxContent>
                        </v:textbox>
                      </v:shape>
                    </v:group>
                    <v:group id="Group 307" o:spid="_x0000_s1074" style="position:absolute;left:20320;width:58968;height:24074" coordsize="58968,2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_x0000_s1075" type="#_x0000_t202" style="position:absolute;width:38309;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" fillcolor="#1f3763 [1608]" stroked="f" strokeweight="1.5pt">
                        <v:textbox>
                          <w:txbxContent>
                            <w:p w14:paraId="0342E1D9"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Intentional self-ham</w:t>
                              </w:r>
                            </w:p>
                          </w:txbxContent>
                        </v:textbox>
                      </v:shape>
                      <v:shape id="_x0000_s1076" type="#_x0000_t202" style="position:absolute;top:5418;width:17729;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" fillcolor="#deeaf6 [660]" stroked="f" strokeweight="1.5pt">
                        <v:textbox>
                          <w:txbxContent>
                            <w:p w14:paraId="37DEFE3A"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Other unintentional</w:t>
                              </w:r>
                            </w:p>
                          </w:txbxContent>
                        </v:textbox>
                      </v:shape>
                      <v:shape id="_x0000_s1077" type="#_x0000_t202" style="position:absolute;top:8128;width:17729;height:2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" fillcolor="#69d8ff" stroked="f" strokeweight="1.5pt">
                        <v:textbox>
                          <w:txbxContent>
                            <w:p w14:paraId="00CBB9FD"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Poisoning</w:t>
                              </w:r>
                            </w:p>
                          </w:txbxContent>
                        </v:textbox>
                      </v:shape>
                      <v:shape id="_x0000_s1078" type="#_x0000_t202" style="position:absolute;top:10922;width:17729;height:2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" fillcolor="#606" stroked="f" strokeweight="1.5pt">
                        <v:textbox>
                          <w:txbxContent>
                            <w:p w14:paraId="22AACAE5"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Falls</w:t>
                              </w:r>
                            </w:p>
                          </w:txbxContent>
                        </v:textbox>
                      </v:shape>
                      <v:shape id="_x0000_s1079" type="#_x0000_t202" style="position:absolute;top:13716;width:38394;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" fillcolor="#28659c" stroked="f" strokeweight="1.5pt">
                        <v:textbox>
                          <w:txbxContent>
                            <w:p w14:paraId="0D367E93"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Homicide + violence</w:t>
                              </w:r>
                            </w:p>
                            <w:p w14:paraId="7EA28209" w14:textId="77777777" w:rsidR="00695048" w:rsidRPr="004A563A" w:rsidRDefault="00695048" w:rsidP="00695048">
                              <w:pPr>
                                <w:spacing w:before="0"/>
                                <w:jc w:val="center"/>
                                <w:rPr>
                                  <w:rFonts w:cstheme="minorHAnsi"/>
                                  <w:b/>
                                  <w:color w:val="FFFFFF" w:themeColor="background1"/>
                                  <w:sz w:val="16"/>
                                  <w:szCs w:val="16"/>
                                </w:rPr>
                              </w:pPr>
                            </w:p>
                          </w:txbxContent>
                        </v:textbox>
                      </v:shape>
                      <v:shape id="_x0000_s1080" type="#_x0000_t202" style="position:absolute;left:84;top:21928;width:17730;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" fillcolor="#ed7d31 [3205]" stroked="f" strokeweight="1.5pt">
                        <v:textbox>
                          <w:txbxContent>
                            <w:p w14:paraId="3B639768" w14:textId="77777777" w:rsidR="00695048" w:rsidRPr="004531EA" w:rsidRDefault="00695048" w:rsidP="00695048">
                              <w:pPr>
                                <w:spacing w:before="0"/>
                                <w:jc w:val="center"/>
                                <w:rPr>
                                  <w:rFonts w:cstheme="minorHAnsi"/>
                                  <w:b/>
                                  <w:sz w:val="16"/>
                                  <w:szCs w:val="16"/>
                                </w:rPr>
                              </w:pPr>
                              <w:r w:rsidRPr="005E0E71">
                                <w:rPr>
                                  <w:rFonts w:cstheme="minorHAnsi"/>
                                  <w:b/>
                                  <w:sz w:val="16"/>
                                  <w:szCs w:val="16"/>
                                </w:rPr>
                                <w:t>Fire, burns + scalds</w:t>
                              </w:r>
                            </w:p>
                          </w:txbxContent>
                        </v:textbox>
                      </v:shape>
                      <v:shape id="_x0000_s1081" type="#_x0000_t202" style="position:absolute;left:84;top:16510;width:58884;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" fillcolor="#909" stroked="f" strokeweight="1.5pt">
                        <v:textbox>
                          <w:txbxContent>
                            <w:p w14:paraId="76B443E0" w14:textId="77777777" w:rsidR="00695048" w:rsidRPr="004A563A" w:rsidRDefault="00695048" w:rsidP="00695048">
                              <w:pPr>
                                <w:spacing w:before="0"/>
                                <w:jc w:val="center"/>
                                <w:rPr>
                                  <w:rFonts w:cstheme="minorHAnsi"/>
                                  <w:b/>
                                  <w:color w:val="FFFFFF" w:themeColor="background1"/>
                                  <w:sz w:val="16"/>
                                  <w:szCs w:val="16"/>
                                </w:rPr>
                              </w:pPr>
                              <w:r w:rsidRPr="004A563A">
                                <w:rPr>
                                  <w:rFonts w:cstheme="minorHAnsi"/>
                                  <w:b/>
                                  <w:color w:val="FFFFFF" w:themeColor="background1"/>
                                  <w:sz w:val="16"/>
                                  <w:szCs w:val="16"/>
                                </w:rPr>
                                <w:t>Other land transport</w:t>
                              </w:r>
                            </w:p>
                            <w:p w14:paraId="7C9CD312" w14:textId="77777777" w:rsidR="00695048" w:rsidRPr="004531EA" w:rsidRDefault="00695048" w:rsidP="00695048">
                              <w:pPr>
                                <w:spacing w:before="0"/>
                                <w:jc w:val="center"/>
                                <w:rPr>
                                  <w:rFonts w:cstheme="minorHAnsi"/>
                                  <w:b/>
                                  <w:sz w:val="16"/>
                                  <w:szCs w:val="16"/>
                                </w:rPr>
                              </w:pPr>
                            </w:p>
                          </w:txbxContent>
                        </v:textbox>
                      </v:shape>
                      <v:shape id="_x0000_s1082" type="#_x0000_t202" style="position:absolute;left:84;top:19134;width:58884;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" fillcolor="#ff9fe6" stroked="f" strokeweight="1.5pt">
                        <v:textbox>
                          <w:txbxContent>
                            <w:p w14:paraId="275A4C8E" w14:textId="77777777" w:rsidR="00695048" w:rsidRPr="005E0E71" w:rsidRDefault="00695048" w:rsidP="00695048">
                              <w:pPr>
                                <w:spacing w:before="0"/>
                                <w:jc w:val="center"/>
                                <w:rPr>
                                  <w:rFonts w:cstheme="minorHAnsi"/>
                                  <w:b/>
                                  <w:sz w:val="16"/>
                                  <w:szCs w:val="16"/>
                                </w:rPr>
                              </w:pPr>
                              <w:r>
                                <w:rPr>
                                  <w:rFonts w:cstheme="minorHAnsi"/>
                                  <w:b/>
                                  <w:sz w:val="16"/>
                                  <w:szCs w:val="16"/>
                                </w:rPr>
                                <w:t>Drowning</w:t>
                              </w:r>
                            </w:p>
                            <w:p w14:paraId="4E37B688" w14:textId="77777777" w:rsidR="00695048" w:rsidRPr="004531EA" w:rsidRDefault="00695048" w:rsidP="00695048">
                              <w:pPr>
                                <w:spacing w:before="0"/>
                                <w:jc w:val="center"/>
                                <w:rPr>
                                  <w:rFonts w:cstheme="minorHAnsi"/>
                                  <w:b/>
                                  <w:sz w:val="16"/>
                                  <w:szCs w:val="16"/>
                                </w:rPr>
                              </w:pPr>
                            </w:p>
                          </w:txbxContent>
                        </v:textbox>
                      </v:shape>
                    </v:group>
                  </v:group>
                </v:group>
                <w10:anchorlock/>
              </v:group>
            </w:pict>
          </mc:Fallback>
        </mc:AlternateContent>
      </w:r>
    </w:p>
    <w:p w14:paraId="1BA78CEF" w14:textId="7DB7F9E7" w:rsidR="00D13A37" w:rsidRPr="00400300" w:rsidRDefault="00D13A37" w:rsidP="00D13A37">
      <w:pPr>
        <w:spacing w:before="0" w:after="160" w:line="259" w:lineRule="auto"/>
        <w:rPr>
          <w:lang w:val="en-AU"/>
        </w:rPr>
      </w:pPr>
    </w:p>
    <w:p w14:paraId="459E6917" w14:textId="323EE71B" w:rsidR="004531EA" w:rsidRPr="00DC6E30" w:rsidRDefault="004531EA">
      <w:pPr>
        <w:spacing w:before="0" w:after="160" w:line="259" w:lineRule="auto"/>
        <w:rPr>
          <w:rFonts w:eastAsiaTheme="majorEastAsia" w:cstheme="minorHAnsi"/>
          <w:b/>
          <w:color w:val="2E74B5" w:themeColor="accent1" w:themeShade="BF"/>
          <w:sz w:val="36"/>
          <w:szCs w:val="36"/>
          <w:lang w:val="en-AU" w:eastAsia="en-US"/>
        </w:rPr>
        <w:sectPr w:rsidR="004531EA" w:rsidRPr="00DC6E30" w:rsidSect="000C5F08">
          <w:headerReference w:type="default" r:id="rId24"/>
          <w:footerReference w:type="default" r:id="rId25"/>
          <w:endnotePr>
            <w:numFmt w:val="decimal"/>
          </w:endnotePr>
          <w:pgSz w:w="16839" w:h="11907" w:orient="landscape" w:code="9"/>
          <w:pgMar w:top="720" w:right="720" w:bottom="720" w:left="720" w:header="720" w:footer="720" w:gutter="0"/>
          <w:pgNumType w:start="1"/>
          <w:cols w:space="720"/>
          <w:docGrid w:linePitch="360"/>
        </w:sectPr>
      </w:pPr>
    </w:p>
    <w:p w14:paraId="5EA01A6A" w14:textId="77777777" w:rsidR="001B1972" w:rsidRPr="00400300" w:rsidRDefault="001B1972" w:rsidP="001B1972">
      <w:pPr>
        <w:pStyle w:val="Heading1"/>
        <w:rPr>
          <w:lang w:val="en-AU"/>
        </w:rPr>
      </w:pPr>
      <w:bookmarkStart w:id="30" w:name="_Toc25317351"/>
      <w:bookmarkStart w:id="31" w:name="_Toc25317352"/>
      <w:bookmarkStart w:id="32" w:name="_Toc34225060"/>
      <w:bookmarkStart w:id="33" w:name="_Toc34225064"/>
      <w:bookmarkStart w:id="34" w:name="_Toc33107350"/>
      <w:bookmarkStart w:id="35" w:name="_Toc38021082"/>
      <w:bookmarkStart w:id="36" w:name="_Toc32584883"/>
      <w:bookmarkEnd w:id="26"/>
      <w:bookmarkEnd w:id="27"/>
      <w:bookmarkEnd w:id="28"/>
      <w:bookmarkEnd w:id="29"/>
      <w:bookmarkEnd w:id="30"/>
      <w:bookmarkEnd w:id="31"/>
      <w:bookmarkEnd w:id="32"/>
      <w:bookmarkEnd w:id="33"/>
      <w:r w:rsidRPr="00400300">
        <w:rPr>
          <w:lang w:val="en-AU"/>
        </w:rPr>
        <w:t>Introduction</w:t>
      </w:r>
      <w:bookmarkEnd w:id="34"/>
      <w:bookmarkEnd w:id="35"/>
    </w:p>
    <w:p w14:paraId="1FD4216D" w14:textId="61E7A033" w:rsidR="001B1972" w:rsidRPr="00400300" w:rsidRDefault="001B1972" w:rsidP="001B1972">
      <w:pPr>
        <w:rPr>
          <w:rFonts w:ascii="Times New Roman" w:hAnsi="Times New Roman"/>
          <w:lang w:val="en-AU" w:eastAsia="zh-CN"/>
        </w:rPr>
      </w:pPr>
      <w:r w:rsidRPr="00400300">
        <w:rPr>
          <w:lang w:val="en-AU" w:eastAsia="en-US"/>
        </w:rPr>
        <w:t xml:space="preserve">Injuries are the leading cause of death to those aged 1-44 years </w:t>
      </w:r>
      <w:r w:rsidRPr="00400300">
        <w:rPr>
          <w:lang w:val="en-AU" w:eastAsia="en-US"/>
        </w:rPr>
        <w:fldChar w:fldCharType="begin"/>
      </w:r>
      <w:r w:rsidRPr="00400300">
        <w:rPr>
          <w:lang w:val="en-AU" w:eastAsia="en-US"/>
        </w:rPr>
        <w:instrText xml:space="preserve"> ADDIN EN.CITE &lt;EndNote&gt;&lt;Cite&gt;&lt;Author&gt;Henley&lt;/Author&gt;&lt;Year&gt;2018&lt;/Year&gt;&lt;RecNum&gt;2&lt;/RecNum&gt;&lt;DisplayText&gt;&lt;style face="superscript"&gt;2&lt;/style&gt;&lt;/DisplayText&gt;&lt;record&gt;&lt;rec-number&gt;2&lt;/rec-number&gt;&lt;foreign-keys&gt;&lt;key app="EN" db-id="2wsw9x5wvsspa1evwxlvvergx9epfd50fs2a" timestamp="1571987674"&gt;2&lt;/key&gt;&lt;/foreign-keys&gt;&lt;ref-type name="Book"&gt;6&lt;/ref-type&gt;&lt;contributors&gt;&lt;authors&gt;&lt;author&gt;AIHW: Henley G &amp;amp; Harrison JE,&lt;/author&gt;&lt;/authors&gt;&lt;/contributors&gt;&lt;titles&gt;&lt;title&gt;Trends in Injury Deaths, Australia: 1999-00 to 2014-15&lt;/title&gt;&lt;/titles&gt;&lt;volume&gt;series no. 112. Cat. no. INJCAT 192. Canberra: AIHW&lt;/volume&gt;&lt;dates&gt;&lt;year&gt;2018&lt;/year&gt;&lt;/dates&gt;&lt;publisher&gt;AIHW&lt;/publisher&gt;&lt;isbn&gt;1760541591&lt;/isbn&gt;&lt;urls&gt;&lt;/urls&gt;&lt;/record&gt;&lt;/Cite&gt;&lt;/EndNote&gt;</w:instrText>
      </w:r>
      <w:r w:rsidRPr="00400300">
        <w:rPr>
          <w:lang w:val="en-AU" w:eastAsia="en-US"/>
        </w:rPr>
        <w:fldChar w:fldCharType="separate"/>
      </w:r>
      <w:r w:rsidRPr="00400300">
        <w:rPr>
          <w:noProof/>
          <w:vertAlign w:val="superscript"/>
          <w:lang w:val="en-AU" w:eastAsia="en-US"/>
        </w:rPr>
        <w:t>2</w:t>
      </w:r>
      <w:r w:rsidRPr="00400300">
        <w:rPr>
          <w:lang w:val="en-AU" w:eastAsia="en-US"/>
        </w:rPr>
        <w:fldChar w:fldCharType="end"/>
      </w:r>
      <w:r w:rsidRPr="00400300">
        <w:rPr>
          <w:lang w:val="en-AU" w:eastAsia="en-US"/>
        </w:rPr>
        <w:t xml:space="preserve"> and are responsible for approximately 9% of the total burden of disease in Australia</w:t>
      </w:r>
      <w:r w:rsidRPr="00400300">
        <w:rPr>
          <w:lang w:val="en-AU" w:eastAsia="en-US"/>
        </w:rPr>
        <w:fldChar w:fldCharType="begin"/>
      </w:r>
      <w:r w:rsidR="008462F1" w:rsidRPr="00400300">
        <w:rPr>
          <w:lang w:val="en-AU" w:eastAsia="en-US"/>
        </w:rPr>
        <w:instrText xml:space="preserve"> ADDIN EN.CITE &lt;EndNote&gt;&lt;Cite&gt;&lt;Author&gt;Moon&lt;/Author&gt;&lt;Year&gt;2018&lt;/Year&gt;&lt;RecNum&gt;1&lt;/RecNum&gt;&lt;DisplayText&gt;&lt;style face="superscript"&gt;3&lt;/style&gt;&lt;/DisplayText&gt;&lt;record&gt;&lt;rec-number&gt;1&lt;/rec-number&gt;&lt;foreign-keys&gt;&lt;key app="EN" db-id="2wsw9x5wvsspa1evwxlvvergx9epfd50fs2a" timestamp="1571987674"&gt;1&lt;/key&gt;&lt;/foreign-keys&gt;&lt;ref-type name="Journal Article"&gt;17&lt;/ref-type&gt;&lt;contributors&gt;&lt;authors&gt;&lt;author&gt;Moon, Lynelle&lt;/author&gt;&lt;author&gt;Garcia, Julianne&lt;/author&gt;&lt;author&gt;Laws, Paula&lt;/author&gt;&lt;author&gt;Dunford, Melanie&lt;/author&gt;&lt;author&gt;On, Miriam Lum&lt;/author&gt;&lt;author&gt;Bishop, Karen&lt;/author&gt;&lt;author&gt;Prescott, Vanessa&lt;/author&gt;&lt;author&gt;Gourley, Michelle&lt;/author&gt;&lt;/authors&gt;&lt;/contributors&gt;&lt;titles&gt;&lt;title&gt;Measuring Health Loss in Australia: the Australian Burden of Disease Study&lt;/title&gt;&lt;secondary-title&gt;Journal of Korean Medical Science&lt;/secondary-title&gt;&lt;/titles&gt;&lt;periodical&gt;&lt;full-title&gt;Journal of Korean Medical Science&lt;/full-title&gt;&lt;/periodical&gt;&lt;volume&gt;34&lt;/volume&gt;&lt;number&gt;Suppl 1&lt;/number&gt;&lt;dates&gt;&lt;year&gt;2018&lt;/year&gt;&lt;/dates&gt;&lt;isbn&gt;1598-6357&lt;/isbn&gt;&lt;urls&gt;&lt;/urls&gt;&lt;/record&gt;&lt;/Cite&gt;&lt;/EndNote&gt;</w:instrText>
      </w:r>
      <w:r w:rsidRPr="00400300">
        <w:rPr>
          <w:lang w:val="en-AU" w:eastAsia="en-US"/>
        </w:rPr>
        <w:fldChar w:fldCharType="separate"/>
      </w:r>
      <w:r w:rsidR="008462F1" w:rsidRPr="00400300">
        <w:rPr>
          <w:noProof/>
          <w:vertAlign w:val="superscript"/>
          <w:lang w:val="en-AU" w:eastAsia="en-US"/>
        </w:rPr>
        <w:t>3</w:t>
      </w:r>
      <w:r w:rsidRPr="00400300">
        <w:rPr>
          <w:lang w:val="en-AU" w:eastAsia="en-US"/>
        </w:rPr>
        <w:fldChar w:fldCharType="end"/>
      </w:r>
      <w:r w:rsidRPr="00400300">
        <w:rPr>
          <w:lang w:val="en-AU" w:eastAsia="en-US"/>
        </w:rPr>
        <w:t xml:space="preserve">. While injury deaths fell between </w:t>
      </w:r>
      <w:r w:rsidR="00A23E0B">
        <w:rPr>
          <w:lang w:val="en-AU" w:eastAsia="en-US"/>
        </w:rPr>
        <w:br/>
      </w:r>
      <w:r w:rsidRPr="00400300">
        <w:rPr>
          <w:lang w:val="en-AU" w:eastAsia="en-US"/>
        </w:rPr>
        <w:t>1999-00 and 2004-05, there have been limited reductions since then</w:t>
      </w:r>
      <w:r w:rsidRPr="00400300">
        <w:rPr>
          <w:lang w:val="en-AU" w:eastAsia="en-US"/>
        </w:rPr>
        <w:fldChar w:fldCharType="begin"/>
      </w:r>
      <w:r w:rsidR="008462F1" w:rsidRPr="00400300">
        <w:rPr>
          <w:lang w:val="en-AU" w:eastAsia="en-US"/>
        </w:rPr>
        <w:instrText xml:space="preserve"> ADDIN EN.CITE &lt;EndNote&gt;&lt;Cite&gt;&lt;Author&gt;AIHW: Henley G &amp;amp; Harrison JE&lt;/Author&gt;&lt;Year&gt;2019&lt;/Year&gt;&lt;RecNum&gt;89&lt;/RecNum&gt;&lt;DisplayText&gt;&lt;style face="superscript"&gt;4&lt;/style&gt;&lt;/DisplayText&gt;&lt;record&gt;&lt;rec-number&gt;89&lt;/rec-number&gt;&lt;foreign-keys&gt;&lt;key app="EN" db-id="2wsw9x5wvsspa1evwxlvvergx9epfd50fs2a" timestamp="1578262755"&gt;89&lt;/key&gt;&lt;/foreign-keys&gt;&lt;ref-type name="Government Document"&gt;46&lt;/ref-type&gt;&lt;contributors&gt;&lt;authors&gt;&lt;author&gt;AIHW: Henley G &amp;amp; Harrison JE,&lt;/author&gt;&lt;/authors&gt;&lt;secondary-authors&gt;&lt;author&gt;AIHW&lt;/author&gt;&lt;/secondary-authors&gt;&lt;/contributors&gt;&lt;titles&gt;&lt;title&gt;Trends in injury deaths, Australia, 1999–00 to 2016–17&lt;/title&gt;&lt;/titles&gt;&lt;volume&gt;Injury research and statistics series no. 127. Cat. no. INJCAT 207&lt;/volume&gt;&lt;dates&gt;&lt;year&gt;2019&lt;/year&gt;&lt;/dates&gt;&lt;pub-location&gt;Canberra&lt;/pub-location&gt;&lt;publisher&gt;AIHW&lt;/publisher&gt;&lt;urls&gt;&lt;/urls&gt;&lt;/record&gt;&lt;/Cite&gt;&lt;/EndNote&gt;</w:instrText>
      </w:r>
      <w:r w:rsidRPr="00400300">
        <w:rPr>
          <w:lang w:val="en-AU" w:eastAsia="en-US"/>
        </w:rPr>
        <w:fldChar w:fldCharType="separate"/>
      </w:r>
      <w:r w:rsidR="008462F1" w:rsidRPr="00400300">
        <w:rPr>
          <w:noProof/>
          <w:vertAlign w:val="superscript"/>
          <w:lang w:val="en-AU" w:eastAsia="en-US"/>
        </w:rPr>
        <w:t>4</w:t>
      </w:r>
      <w:r w:rsidRPr="00400300">
        <w:rPr>
          <w:lang w:val="en-AU" w:eastAsia="en-US"/>
        </w:rPr>
        <w:fldChar w:fldCharType="end"/>
      </w:r>
      <w:r w:rsidRPr="00400300">
        <w:rPr>
          <w:lang w:val="en-AU" w:eastAsia="en-US"/>
        </w:rPr>
        <w:t xml:space="preserve"> and since 2007-08, there has been a yearly increase in hospitalised injury cases (at a rate of 1% per year).</w:t>
      </w:r>
      <w:r w:rsidRPr="00400300">
        <w:rPr>
          <w:lang w:val="en-AU" w:eastAsia="en-US"/>
        </w:rPr>
        <w:fldChar w:fldCharType="begin"/>
      </w:r>
      <w:r w:rsidR="008462F1" w:rsidRPr="00400300">
        <w:rPr>
          <w:lang w:val="en-AU" w:eastAsia="en-US"/>
        </w:rPr>
        <w:instrText xml:space="preserve"> ADDIN EN.CITE &lt;EndNote&gt;&lt;Cite&gt;&lt;Author&gt;AIHW&lt;/Author&gt;&lt;Year&gt;2019&lt;/Year&gt;&lt;RecNum&gt;69&lt;/RecNum&gt;&lt;DisplayText&gt;&lt;style face="superscript"&gt;5&lt;/style&gt;&lt;/DisplayText&gt;&lt;record&gt;&lt;rec-number&gt;69&lt;/rec-number&gt;&lt;foreign-keys&gt;&lt;key app="EN" db-id="2wsw9x5wvsspa1evwxlvvergx9epfd50fs2a" timestamp="1575011887"&gt;69&lt;/key&gt;&lt;/foreign-keys&gt;&lt;ref-type name="Government Document"&gt;46&lt;/ref-type&gt;&lt;contributors&gt;&lt;authors&gt;&lt;author&gt;AIHW: Pointer SC,&lt;/author&gt;&lt;/authors&gt;&lt;/contributors&gt;&lt;titles&gt;&lt;title&gt;Trends in hospitalised injury, Australia 2007–08 to 2016–17. Cat. no. INJCAT 204.&lt;/title&gt;&lt;/titles&gt;&lt;dates&gt;&lt;year&gt;2019&lt;/year&gt;&lt;/dates&gt;&lt;pub-location&gt;Canberra&lt;/pub-location&gt;&lt;publisher&gt;AIHW&lt;/publisher&gt;&lt;urls&gt;&lt;/urls&gt;&lt;/record&gt;&lt;/Cite&gt;&lt;/EndNote&gt;</w:instrText>
      </w:r>
      <w:r w:rsidRPr="00400300">
        <w:rPr>
          <w:lang w:val="en-AU" w:eastAsia="en-US"/>
        </w:rPr>
        <w:fldChar w:fldCharType="separate"/>
      </w:r>
      <w:r w:rsidR="008462F1" w:rsidRPr="00400300">
        <w:rPr>
          <w:noProof/>
          <w:vertAlign w:val="superscript"/>
          <w:lang w:val="en-AU" w:eastAsia="en-US"/>
        </w:rPr>
        <w:t>5</w:t>
      </w:r>
      <w:r w:rsidRPr="00400300">
        <w:rPr>
          <w:lang w:val="en-AU" w:eastAsia="en-US"/>
        </w:rPr>
        <w:fldChar w:fldCharType="end"/>
      </w:r>
      <w:r w:rsidRPr="00400300">
        <w:rPr>
          <w:lang w:val="en-AU" w:eastAsia="en-US"/>
        </w:rPr>
        <w:t xml:space="preserve"> </w:t>
      </w:r>
    </w:p>
    <w:p w14:paraId="28130F97" w14:textId="77777777" w:rsidR="001B1972" w:rsidRPr="00400300" w:rsidRDefault="001B1972" w:rsidP="001B1972">
      <w:pPr>
        <w:rPr>
          <w:lang w:val="en-AU" w:eastAsia="en-US"/>
        </w:rPr>
      </w:pPr>
      <w:r w:rsidRPr="00400300">
        <w:rPr>
          <w:lang w:val="en-AU" w:eastAsia="en-US"/>
        </w:rPr>
        <w:t xml:space="preserve">The National Injury Prevention Strategy: 2020-2030 (the Strategy) considers injuries in their broadest context: unintentional injuries as well as violence and intentional self-harm. While the data are presented in terms of death, hospitalisations and disability, the Strategy recognises that for communities, families and individuals, the social, emotional, spiritual and economic impact goes well beyond those statistics. </w:t>
      </w:r>
    </w:p>
    <w:p w14:paraId="7E49E825" w14:textId="282EE6BF" w:rsidR="001B1972" w:rsidRPr="00400300" w:rsidRDefault="001B1972" w:rsidP="001B1972">
      <w:pPr>
        <w:rPr>
          <w:lang w:val="en-AU"/>
        </w:rPr>
      </w:pPr>
      <w:r w:rsidRPr="00400300">
        <w:rPr>
          <w:lang w:val="en-AU"/>
        </w:rPr>
        <w:t xml:space="preserve">The Strategy aims to create a </w:t>
      </w:r>
      <w:r w:rsidRPr="00400300">
        <w:rPr>
          <w:i/>
          <w:lang w:val="en-AU"/>
        </w:rPr>
        <w:t>national focus</w:t>
      </w:r>
      <w:r w:rsidRPr="00400300">
        <w:rPr>
          <w:lang w:val="en-AU"/>
        </w:rPr>
        <w:t xml:space="preserve"> </w:t>
      </w:r>
      <w:r w:rsidRPr="00400300">
        <w:rPr>
          <w:i/>
          <w:lang w:val="en-AU"/>
        </w:rPr>
        <w:t>on injuries and their prevention</w:t>
      </w:r>
      <w:r w:rsidRPr="00400300">
        <w:rPr>
          <w:lang w:val="en-AU"/>
        </w:rPr>
        <w:t>. The Strategy seeks to encourage collective investment and action on evidence-based strategies to prevent the types of injuries with the highest burden for each of the priority population groups. The Strategy nominates these priority areas for action and identifies the lead agencies responsible for injury prevention programs, resourcing, workforce development and providing quality and timely data.</w:t>
      </w:r>
    </w:p>
    <w:p w14:paraId="5CF8C125" w14:textId="77777777" w:rsidR="001B1972" w:rsidRPr="00400300" w:rsidRDefault="001B1972" w:rsidP="001B1972">
      <w:pPr>
        <w:rPr>
          <w:szCs w:val="22"/>
          <w:lang w:val="en-AU"/>
        </w:rPr>
      </w:pPr>
      <w:r w:rsidRPr="00400300">
        <w:rPr>
          <w:rFonts w:cstheme="minorHAnsi"/>
          <w:lang w:val="en-AU"/>
        </w:rPr>
        <w:t xml:space="preserve">This Strategy takes a </w:t>
      </w:r>
      <w:r w:rsidRPr="00400300">
        <w:rPr>
          <w:rFonts w:cstheme="minorHAnsi"/>
          <w:b/>
          <w:lang w:val="en-AU"/>
        </w:rPr>
        <w:t>life-stages approach</w:t>
      </w:r>
      <w:r w:rsidRPr="00400300">
        <w:rPr>
          <w:rFonts w:cstheme="minorHAnsi"/>
          <w:lang w:val="en-AU"/>
        </w:rPr>
        <w:t xml:space="preserve"> recognising the role of injury prevention before an individual is born and across the various phases of their life (Figure 1). </w:t>
      </w:r>
    </w:p>
    <w:p w14:paraId="4E169995" w14:textId="77777777" w:rsidR="001B1972" w:rsidRPr="00400300" w:rsidRDefault="001B1972" w:rsidP="001B1972">
      <w:pPr>
        <w:rPr>
          <w:szCs w:val="22"/>
          <w:lang w:val="en-AU"/>
        </w:rPr>
      </w:pPr>
    </w:p>
    <w:p w14:paraId="540ECD9B" w14:textId="5F0BBDAB" w:rsidR="001B1972" w:rsidRPr="00400300" w:rsidRDefault="001B1972" w:rsidP="001B1972">
      <w:pPr>
        <w:pStyle w:val="Caption"/>
        <w:keepNext/>
        <w:rPr>
          <w:lang w:val="en-AU"/>
        </w:rPr>
      </w:pPr>
      <w:bookmarkStart w:id="37" w:name="_Toc32827722"/>
      <w:r w:rsidRPr="00400300">
        <w:rPr>
          <w:lang w:val="en-AU"/>
        </w:rPr>
        <w:t xml:space="preserve">Figure </w:t>
      </w:r>
      <w:r w:rsidRPr="00400300">
        <w:rPr>
          <w:lang w:val="en-AU"/>
        </w:rPr>
        <w:fldChar w:fldCharType="begin"/>
      </w:r>
      <w:r w:rsidRPr="00400300">
        <w:rPr>
          <w:lang w:val="en-AU"/>
        </w:rPr>
        <w:instrText xml:space="preserve"> SEQ Figure \* ARABIC </w:instrText>
      </w:r>
      <w:r w:rsidRPr="00400300">
        <w:rPr>
          <w:lang w:val="en-AU"/>
        </w:rPr>
        <w:fldChar w:fldCharType="separate"/>
      </w:r>
      <w:r w:rsidR="00E84433">
        <w:rPr>
          <w:noProof/>
          <w:lang w:val="en-AU"/>
        </w:rPr>
        <w:t>1</w:t>
      </w:r>
      <w:r w:rsidRPr="00400300">
        <w:rPr>
          <w:lang w:val="en-AU"/>
        </w:rPr>
        <w:fldChar w:fldCharType="end"/>
      </w:r>
      <w:r w:rsidRPr="00400300">
        <w:rPr>
          <w:lang w:val="en-AU"/>
        </w:rPr>
        <w:t>. A life-stages approach</w:t>
      </w:r>
      <w:bookmarkEnd w:id="37"/>
    </w:p>
    <w:p w14:paraId="56F2A366" w14:textId="77777777" w:rsidR="001B1972" w:rsidRPr="00400300" w:rsidRDefault="001B1972" w:rsidP="001B1972">
      <w:pPr>
        <w:rPr>
          <w:rFonts w:cstheme="minorHAnsi"/>
          <w:lang w:val="en-AU"/>
        </w:rPr>
      </w:pPr>
      <w:r w:rsidRPr="00400300">
        <w:rPr>
          <w:noProof/>
          <w:lang w:val="en-AU" w:eastAsia="en-AU"/>
        </w:rPr>
        <w:drawing>
          <wp:inline distT="0" distB="0" distL="0" distR="0" wp14:anchorId="79B740E8" wp14:editId="376F7029">
            <wp:extent cx="3895106" cy="1562100"/>
            <wp:effectExtent l="0" t="0" r="0" b="0"/>
            <wp:docPr id="2" name="Picture 2" descr="Babies and children (0-14 years). Youth (15-24 years), Adults (25-64 years), Older people (6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5570" t="12683" r="6439" b="7287"/>
                    <a:stretch/>
                  </pic:blipFill>
                  <pic:spPr bwMode="auto">
                    <a:xfrm>
                      <a:off x="0" y="0"/>
                      <a:ext cx="3896274" cy="1562568"/>
                    </a:xfrm>
                    <a:prstGeom prst="rect">
                      <a:avLst/>
                    </a:prstGeom>
                    <a:ln>
                      <a:noFill/>
                    </a:ln>
                    <a:extLst>
                      <a:ext uri="{53640926-AAD7-44D8-BBD7-CCE9431645EC}">
                        <a14:shadowObscured xmlns:a14="http://schemas.microsoft.com/office/drawing/2010/main"/>
                      </a:ext>
                    </a:extLst>
                  </pic:spPr>
                </pic:pic>
              </a:graphicData>
            </a:graphic>
          </wp:inline>
        </w:drawing>
      </w:r>
    </w:p>
    <w:p w14:paraId="1157AEA7" w14:textId="77777777" w:rsidR="00746DEE" w:rsidRDefault="001B1972" w:rsidP="001B1972">
      <w:pPr>
        <w:rPr>
          <w:szCs w:val="22"/>
          <w:lang w:val="en-AU"/>
        </w:rPr>
      </w:pPr>
      <w:r w:rsidRPr="00400300">
        <w:rPr>
          <w:lang w:val="en-AU"/>
        </w:rPr>
        <w:t xml:space="preserve">By examining injury prevention opportunities over the lifespan, the Strategy recognises that healthy childhoods create the greatest opportunity for heathy ageing. As we grow and mature, our environment, our life roles, our behaviour and our physical make-up all change in ways that affect our exposure to injury risks. </w:t>
      </w:r>
      <w:r w:rsidRPr="00400300">
        <w:rPr>
          <w:szCs w:val="22"/>
          <w:lang w:val="en-AU"/>
        </w:rPr>
        <w:t>Accordingly, the recommended actions are</w:t>
      </w:r>
      <w:r w:rsidR="00DC3061" w:rsidRPr="00400300">
        <w:rPr>
          <w:szCs w:val="22"/>
          <w:lang w:val="en-AU"/>
        </w:rPr>
        <w:t xml:space="preserve"> </w:t>
      </w:r>
      <w:r w:rsidRPr="00400300">
        <w:rPr>
          <w:szCs w:val="22"/>
          <w:lang w:val="en-AU"/>
        </w:rPr>
        <w:t xml:space="preserve">grouped into those relevant to each specific life-stage. </w:t>
      </w:r>
    </w:p>
    <w:p w14:paraId="1437D9E6" w14:textId="77777777" w:rsidR="00746DEE" w:rsidRDefault="001B1972" w:rsidP="001B1972">
      <w:pPr>
        <w:rPr>
          <w:rFonts w:cstheme="minorHAnsi"/>
          <w:szCs w:val="22"/>
          <w:lang w:val="en-AU"/>
        </w:rPr>
      </w:pPr>
      <w:r w:rsidRPr="00400300">
        <w:rPr>
          <w:szCs w:val="22"/>
          <w:lang w:val="en-AU"/>
        </w:rPr>
        <w:t xml:space="preserve">Within all life-stages are </w:t>
      </w:r>
      <w:r w:rsidRPr="006F4241">
        <w:rPr>
          <w:rFonts w:cstheme="minorHAnsi"/>
          <w:b/>
          <w:szCs w:val="22"/>
          <w:lang w:val="en-AU"/>
        </w:rPr>
        <w:t>priority</w:t>
      </w:r>
      <w:r w:rsidRPr="00400300">
        <w:rPr>
          <w:rFonts w:cstheme="minorHAnsi"/>
          <w:szCs w:val="22"/>
          <w:lang w:val="en-AU"/>
        </w:rPr>
        <w:t xml:space="preserve"> </w:t>
      </w:r>
      <w:r w:rsidRPr="006F4241">
        <w:rPr>
          <w:rFonts w:cstheme="minorHAnsi"/>
          <w:b/>
          <w:szCs w:val="22"/>
          <w:lang w:val="en-AU"/>
        </w:rPr>
        <w:t>populations</w:t>
      </w:r>
      <w:r w:rsidRPr="00400300">
        <w:rPr>
          <w:rFonts w:cstheme="minorHAnsi"/>
          <w:szCs w:val="22"/>
          <w:lang w:val="en-AU"/>
        </w:rPr>
        <w:t xml:space="preserve"> </w:t>
      </w:r>
      <w:r w:rsidR="00046929">
        <w:rPr>
          <w:rFonts w:cstheme="minorHAnsi"/>
          <w:szCs w:val="22"/>
          <w:lang w:val="en-AU"/>
        </w:rPr>
        <w:t xml:space="preserve">(Aboriginal and Torres Strait Islander people, people living in rural and remote areas and people experiencing socio-economic disadvantage) </w:t>
      </w:r>
      <w:r w:rsidRPr="00400300">
        <w:rPr>
          <w:rFonts w:cstheme="minorHAnsi"/>
          <w:szCs w:val="22"/>
          <w:lang w:val="en-AU"/>
        </w:rPr>
        <w:t xml:space="preserve">which are overrepresented among fatal and serious injuries. </w:t>
      </w:r>
    </w:p>
    <w:p w14:paraId="35737611" w14:textId="7A0E5DF8" w:rsidR="001B1972" w:rsidRDefault="001B1972" w:rsidP="001B1972">
      <w:pPr>
        <w:rPr>
          <w:rFonts w:cstheme="minorHAnsi"/>
          <w:szCs w:val="22"/>
          <w:lang w:val="en-AU"/>
        </w:rPr>
      </w:pPr>
      <w:r w:rsidRPr="00400300">
        <w:rPr>
          <w:rFonts w:cstheme="minorHAnsi"/>
          <w:szCs w:val="22"/>
          <w:lang w:val="en-AU"/>
        </w:rPr>
        <w:t xml:space="preserve">The Strategy </w:t>
      </w:r>
      <w:r w:rsidR="006F4241">
        <w:rPr>
          <w:rFonts w:cstheme="minorHAnsi"/>
          <w:szCs w:val="22"/>
          <w:lang w:val="en-AU"/>
        </w:rPr>
        <w:t xml:space="preserve">also </w:t>
      </w:r>
      <w:r w:rsidRPr="00400300">
        <w:rPr>
          <w:rFonts w:cstheme="minorHAnsi"/>
          <w:szCs w:val="22"/>
          <w:lang w:val="en-AU"/>
        </w:rPr>
        <w:t xml:space="preserve">recognises the direct contribution of </w:t>
      </w:r>
      <w:r w:rsidRPr="006F4241">
        <w:rPr>
          <w:rFonts w:cstheme="minorHAnsi"/>
          <w:b/>
          <w:szCs w:val="22"/>
          <w:lang w:val="en-AU"/>
        </w:rPr>
        <w:t>cross</w:t>
      </w:r>
      <w:r w:rsidRPr="00400300">
        <w:rPr>
          <w:rFonts w:cstheme="minorHAnsi"/>
          <w:szCs w:val="22"/>
          <w:lang w:val="en-AU"/>
        </w:rPr>
        <w:t>-</w:t>
      </w:r>
      <w:r w:rsidRPr="006F4241">
        <w:rPr>
          <w:rFonts w:cstheme="minorHAnsi"/>
          <w:b/>
          <w:szCs w:val="22"/>
          <w:lang w:val="en-AU"/>
        </w:rPr>
        <w:t>cutting</w:t>
      </w:r>
      <w:r w:rsidRPr="00400300">
        <w:rPr>
          <w:rFonts w:cstheme="minorHAnsi"/>
          <w:szCs w:val="22"/>
          <w:lang w:val="en-AU"/>
        </w:rPr>
        <w:t xml:space="preserve"> </w:t>
      </w:r>
      <w:r w:rsidRPr="006F4241">
        <w:rPr>
          <w:rFonts w:cstheme="minorHAnsi"/>
          <w:b/>
          <w:szCs w:val="22"/>
          <w:lang w:val="en-AU"/>
        </w:rPr>
        <w:t>factors</w:t>
      </w:r>
      <w:r w:rsidRPr="00400300">
        <w:rPr>
          <w:rFonts w:cstheme="minorHAnsi"/>
          <w:szCs w:val="22"/>
          <w:lang w:val="en-AU"/>
        </w:rPr>
        <w:t xml:space="preserve"> to many different types of injury, and the potential for change in addressing these risk factors</w:t>
      </w:r>
      <w:r w:rsidR="00046929">
        <w:rPr>
          <w:rFonts w:cstheme="minorHAnsi"/>
          <w:szCs w:val="22"/>
          <w:lang w:val="en-AU"/>
        </w:rPr>
        <w:t>. The</w:t>
      </w:r>
      <w:r w:rsidR="006F4241">
        <w:rPr>
          <w:rFonts w:cstheme="minorHAnsi"/>
          <w:szCs w:val="22"/>
          <w:lang w:val="en-AU"/>
        </w:rPr>
        <w:t>se</w:t>
      </w:r>
      <w:r w:rsidR="00046929">
        <w:rPr>
          <w:rFonts w:cstheme="minorHAnsi"/>
          <w:szCs w:val="22"/>
          <w:lang w:val="en-AU"/>
        </w:rPr>
        <w:t xml:space="preserve"> cross-cutting factors are alcohol, extreme weather events and the built environment</w:t>
      </w:r>
      <w:r w:rsidR="00731395">
        <w:rPr>
          <w:rFonts w:cstheme="minorHAnsi"/>
          <w:szCs w:val="22"/>
          <w:lang w:val="en-AU"/>
        </w:rPr>
        <w:t>.</w:t>
      </w:r>
    </w:p>
    <w:p w14:paraId="7D57956C" w14:textId="3FB5B059" w:rsidR="00731395" w:rsidRPr="00400300" w:rsidRDefault="00731395" w:rsidP="00731395">
      <w:pPr>
        <w:rPr>
          <w:lang w:val="en-AU"/>
        </w:rPr>
      </w:pPr>
      <w:proofErr w:type="gramStart"/>
      <w:r w:rsidRPr="00400300">
        <w:rPr>
          <w:lang w:val="en-AU"/>
        </w:rPr>
        <w:t>The Strategy’s priority actions,</w:t>
      </w:r>
      <w:proofErr w:type="gramEnd"/>
      <w:r w:rsidRPr="00400300">
        <w:rPr>
          <w:lang w:val="en-AU"/>
        </w:rPr>
        <w:t xml:space="preserve"> </w:t>
      </w:r>
      <w:r>
        <w:rPr>
          <w:lang w:val="en-AU"/>
        </w:rPr>
        <w:t xml:space="preserve">are </w:t>
      </w:r>
      <w:r w:rsidRPr="00400300">
        <w:rPr>
          <w:lang w:val="en-AU"/>
        </w:rPr>
        <w:t xml:space="preserve">grouped according to </w:t>
      </w:r>
      <w:r w:rsidRPr="00400300">
        <w:rPr>
          <w:b/>
          <w:lang w:val="en-AU"/>
        </w:rPr>
        <w:t>key objectives</w:t>
      </w:r>
      <w:r w:rsidR="006F4241">
        <w:rPr>
          <w:b/>
          <w:lang w:val="en-AU"/>
        </w:rPr>
        <w:t xml:space="preserve"> </w:t>
      </w:r>
      <w:r w:rsidR="006F4241" w:rsidRPr="006F4241">
        <w:rPr>
          <w:lang w:val="en-AU"/>
        </w:rPr>
        <w:t>(see table on page 3)</w:t>
      </w:r>
      <w:r w:rsidRPr="00400300">
        <w:rPr>
          <w:lang w:val="en-AU"/>
        </w:rPr>
        <w:t>. These can be used to monitor and track the actions and measure progress toward the overall vision</w:t>
      </w:r>
      <w:r w:rsidR="006F4241">
        <w:rPr>
          <w:lang w:val="en-AU"/>
        </w:rPr>
        <w:t>. T</w:t>
      </w:r>
      <w:r w:rsidRPr="00400300">
        <w:rPr>
          <w:lang w:val="en-AU"/>
        </w:rPr>
        <w:t xml:space="preserve">he Strategy will be accompanied by a monitoring and </w:t>
      </w:r>
      <w:r w:rsidR="00A23E0B">
        <w:rPr>
          <w:lang w:val="en-AU"/>
        </w:rPr>
        <w:t>reporting framework</w:t>
      </w:r>
      <w:r w:rsidR="00DE4DA1">
        <w:rPr>
          <w:lang w:val="en-AU"/>
        </w:rPr>
        <w:t xml:space="preserve"> to be released in 2021</w:t>
      </w:r>
      <w:r w:rsidRPr="00400300">
        <w:rPr>
          <w:lang w:val="en-AU"/>
        </w:rPr>
        <w:t xml:space="preserve">. </w:t>
      </w:r>
    </w:p>
    <w:p w14:paraId="271C222B" w14:textId="77777777" w:rsidR="00731395" w:rsidRPr="00400300" w:rsidRDefault="00731395" w:rsidP="001B1972">
      <w:pPr>
        <w:rPr>
          <w:szCs w:val="22"/>
          <w:lang w:val="en-AU"/>
        </w:rPr>
      </w:pPr>
    </w:p>
    <w:p w14:paraId="2985473D" w14:textId="4087A84A" w:rsidR="001B1972" w:rsidRDefault="001B1972" w:rsidP="001B1972">
      <w:pPr>
        <w:pStyle w:val="NoSpacing"/>
        <w:rPr>
          <w:lang w:val="en-AU"/>
        </w:rPr>
      </w:pPr>
    </w:p>
    <w:p w14:paraId="55744B72" w14:textId="77777777" w:rsidR="00731395" w:rsidRDefault="00731395" w:rsidP="001B1972">
      <w:pPr>
        <w:pStyle w:val="NoSpacing"/>
        <w:rPr>
          <w:lang w:val="en-AU"/>
        </w:rPr>
        <w:sectPr w:rsidR="00731395" w:rsidSect="00ED45C8">
          <w:headerReference w:type="default" r:id="rId27"/>
          <w:footerReference w:type="default" r:id="rId28"/>
          <w:endnotePr>
            <w:numFmt w:val="decimal"/>
          </w:endnotePr>
          <w:pgSz w:w="11907" w:h="16839" w:code="9"/>
          <w:pgMar w:top="1440" w:right="1440" w:bottom="1440" w:left="1440" w:header="720" w:footer="720" w:gutter="0"/>
          <w:pgNumType w:start="2"/>
          <w:cols w:space="720"/>
          <w:docGrid w:linePitch="360"/>
        </w:sectPr>
      </w:pPr>
    </w:p>
    <w:tbl>
      <w:tblPr>
        <w:tblStyle w:val="ListTable1Light-Accent1"/>
        <w:tblW w:w="5000" w:type="pct"/>
        <w:tblLook w:val="04A0" w:firstRow="1" w:lastRow="0" w:firstColumn="1" w:lastColumn="0" w:noHBand="0" w:noVBand="1"/>
      </w:tblPr>
      <w:tblGrid>
        <w:gridCol w:w="1109"/>
        <w:gridCol w:w="8946"/>
        <w:gridCol w:w="740"/>
        <w:gridCol w:w="588"/>
        <w:gridCol w:w="617"/>
        <w:gridCol w:w="600"/>
        <w:gridCol w:w="783"/>
        <w:gridCol w:w="858"/>
        <w:gridCol w:w="676"/>
        <w:gridCol w:w="472"/>
      </w:tblGrid>
      <w:tr w:rsidR="0060376E" w:rsidRPr="0011179C" w14:paraId="6A5A0997" w14:textId="77777777" w:rsidTr="00413B2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AEAAAA" w:themeColor="background2" w:themeShade="BF"/>
              <w:left w:val="single" w:sz="4" w:space="0" w:color="AEAAAA" w:themeColor="background2" w:themeShade="BF"/>
              <w:bottom w:val="single" w:sz="4" w:space="0" w:color="D0CECE" w:themeColor="background2" w:themeShade="E6"/>
              <w:right w:val="single" w:sz="4" w:space="0" w:color="E7E6E6" w:themeColor="background2"/>
            </w:tcBorders>
            <w:shd w:val="clear" w:color="auto" w:fill="000000" w:themeFill="text1"/>
          </w:tcPr>
          <w:p w14:paraId="19939F79" w14:textId="77777777" w:rsidR="00731395" w:rsidRPr="00413B22" w:rsidRDefault="00731395" w:rsidP="007D2F13">
            <w:pPr>
              <w:pStyle w:val="Numberedtable"/>
              <w:numPr>
                <w:ilvl w:val="0"/>
                <w:numId w:val="0"/>
              </w:numPr>
              <w:rPr>
                <w:rFonts w:asciiTheme="minorHAnsi" w:hAnsiTheme="minorHAnsi" w:cstheme="minorHAnsi"/>
                <w:b/>
                <w:color w:val="FFFFFF" w:themeColor="background1"/>
                <w:sz w:val="18"/>
                <w:szCs w:val="18"/>
              </w:rPr>
            </w:pPr>
            <w:bookmarkStart w:id="38" w:name="_Hlk36125866"/>
            <w:r w:rsidRPr="00413B22">
              <w:rPr>
                <w:rFonts w:asciiTheme="minorHAnsi" w:hAnsiTheme="minorHAnsi" w:cstheme="minorHAnsi"/>
                <w:b/>
                <w:color w:val="FFFFFF" w:themeColor="background1"/>
                <w:sz w:val="18"/>
                <w:szCs w:val="18"/>
              </w:rPr>
              <w:t>Injury type</w:t>
            </w:r>
          </w:p>
        </w:tc>
        <w:tc>
          <w:tcPr>
            <w:tcW w:w="2907" w:type="pct"/>
            <w:vMerge w:val="restart"/>
            <w:tcBorders>
              <w:top w:val="single" w:sz="4" w:space="0" w:color="AEAAAA" w:themeColor="background2" w:themeShade="BF"/>
              <w:left w:val="single" w:sz="4" w:space="0" w:color="E7E6E6" w:themeColor="background2"/>
              <w:bottom w:val="single" w:sz="4" w:space="0" w:color="D0CECE" w:themeColor="background2" w:themeShade="E6"/>
              <w:right w:val="single" w:sz="4" w:space="0" w:color="D0CECE" w:themeColor="background2" w:themeShade="E6"/>
            </w:tcBorders>
            <w:shd w:val="clear" w:color="auto" w:fill="000000" w:themeFill="text1"/>
          </w:tcPr>
          <w:p w14:paraId="4F59A7B8" w14:textId="77777777" w:rsidR="00731395" w:rsidRPr="00413B22" w:rsidRDefault="00731395" w:rsidP="007D2F13">
            <w:pPr>
              <w:pStyle w:val="Numberedtable"/>
              <w:numPr>
                <w:ilvl w:val="0"/>
                <w:numId w:val="0"/>
              </w:numPr>
              <w:ind w:left="36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8"/>
                <w:szCs w:val="18"/>
              </w:rPr>
            </w:pPr>
            <w:r w:rsidRPr="00413B22">
              <w:rPr>
                <w:rFonts w:asciiTheme="minorHAnsi" w:hAnsiTheme="minorHAnsi" w:cstheme="minorHAnsi"/>
                <w:b/>
                <w:color w:val="FFFFFF" w:themeColor="background1"/>
                <w:sz w:val="18"/>
                <w:szCs w:val="18"/>
              </w:rPr>
              <w:t>Objectives</w:t>
            </w:r>
          </w:p>
        </w:tc>
        <w:tc>
          <w:tcPr>
            <w:tcW w:w="688" w:type="pct"/>
            <w:gridSpan w:val="4"/>
            <w:tcBorders>
              <w:top w:val="single" w:sz="4" w:space="0" w:color="AEAAAA" w:themeColor="background2" w:themeShade="BF"/>
              <w:left w:val="single" w:sz="4" w:space="0" w:color="D0CECE" w:themeColor="background2" w:themeShade="E6"/>
              <w:bottom w:val="single" w:sz="4" w:space="0" w:color="D0CECE" w:themeColor="background2" w:themeShade="E6"/>
              <w:right w:val="single" w:sz="4" w:space="0" w:color="D9E2F3" w:themeColor="accent5" w:themeTint="33"/>
            </w:tcBorders>
            <w:shd w:val="clear" w:color="auto" w:fill="000000" w:themeFill="text1"/>
          </w:tcPr>
          <w:p w14:paraId="3D84119D" w14:textId="77777777" w:rsidR="00731395" w:rsidRPr="00413B22" w:rsidRDefault="00731395" w:rsidP="007D2F13">
            <w:pPr>
              <w:pStyle w:val="Numberedtable"/>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color w:val="FFFFFF" w:themeColor="background1"/>
                <w:sz w:val="15"/>
                <w:szCs w:val="15"/>
              </w:rPr>
            </w:pPr>
            <w:r w:rsidRPr="00413B22">
              <w:rPr>
                <w:rFonts w:asciiTheme="minorHAnsi" w:hAnsiTheme="minorHAnsi" w:cstheme="minorHAnsi"/>
                <w:b/>
                <w:color w:val="FFFFFF" w:themeColor="background1"/>
                <w:sz w:val="15"/>
                <w:szCs w:val="15"/>
              </w:rPr>
              <w:t>Life stage</w:t>
            </w:r>
          </w:p>
        </w:tc>
        <w:tc>
          <w:tcPr>
            <w:tcW w:w="252" w:type="pct"/>
            <w:vMerge w:val="restart"/>
            <w:tcBorders>
              <w:top w:val="single" w:sz="4" w:space="0" w:color="AEAAAA" w:themeColor="background2" w:themeShade="BF"/>
              <w:left w:val="single" w:sz="4" w:space="0" w:color="E7E6E6" w:themeColor="background2"/>
              <w:bottom w:val="single" w:sz="4" w:space="0" w:color="D0CECE" w:themeColor="background2" w:themeShade="E6"/>
            </w:tcBorders>
            <w:shd w:val="clear" w:color="auto" w:fill="000000" w:themeFill="text1"/>
          </w:tcPr>
          <w:p w14:paraId="0EA490BA" w14:textId="77777777" w:rsidR="00731395" w:rsidRPr="00413B22" w:rsidRDefault="00731395" w:rsidP="007D2F13">
            <w:pPr>
              <w:pStyle w:val="Numberedtable"/>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5"/>
                <w:szCs w:val="15"/>
              </w:rPr>
            </w:pPr>
            <w:r w:rsidRPr="00413B22">
              <w:rPr>
                <w:rFonts w:asciiTheme="minorHAnsi" w:hAnsiTheme="minorHAnsi" w:cstheme="minorHAnsi"/>
                <w:b/>
                <w:color w:val="FFFFFF" w:themeColor="background1"/>
                <w:sz w:val="15"/>
                <w:szCs w:val="15"/>
                <w:lang w:val="en-AU"/>
              </w:rPr>
              <w:t>Across the lifespan*</w:t>
            </w:r>
          </w:p>
        </w:tc>
        <w:tc>
          <w:tcPr>
            <w:tcW w:w="793" w:type="pct"/>
            <w:gridSpan w:val="3"/>
            <w:tcBorders>
              <w:top w:val="single" w:sz="4" w:space="0" w:color="AEAAAA" w:themeColor="background2" w:themeShade="BF"/>
              <w:left w:val="nil"/>
              <w:bottom w:val="single" w:sz="4" w:space="0" w:color="D0CECE" w:themeColor="background2" w:themeShade="E6"/>
              <w:right w:val="single" w:sz="4" w:space="0" w:color="AEAAAA" w:themeColor="background2" w:themeShade="BF"/>
            </w:tcBorders>
            <w:shd w:val="clear" w:color="auto" w:fill="000000" w:themeFill="text1"/>
          </w:tcPr>
          <w:p w14:paraId="5A50D722" w14:textId="77777777" w:rsidR="00731395" w:rsidRPr="00413B22" w:rsidRDefault="00731395" w:rsidP="007D2F13">
            <w:pPr>
              <w:pStyle w:val="Numberedtable"/>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5"/>
                <w:szCs w:val="15"/>
                <w:lang w:val="en-AU"/>
              </w:rPr>
            </w:pPr>
            <w:r w:rsidRPr="00413B22">
              <w:rPr>
                <w:rFonts w:asciiTheme="minorHAnsi" w:hAnsiTheme="minorHAnsi" w:cstheme="minorHAnsi"/>
                <w:b/>
                <w:color w:val="FFFFFF" w:themeColor="background1"/>
                <w:sz w:val="15"/>
                <w:szCs w:val="15"/>
              </w:rPr>
              <w:t>Priority populations</w:t>
            </w:r>
          </w:p>
        </w:tc>
      </w:tr>
      <w:tr w:rsidR="0060376E" w:rsidRPr="0011179C" w14:paraId="352D0F34"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000000" w:themeFill="text1"/>
          </w:tcPr>
          <w:p w14:paraId="1B2EE8AF" w14:textId="77777777" w:rsidR="00731395" w:rsidRPr="0060376E" w:rsidRDefault="00731395" w:rsidP="007D2F13">
            <w:pPr>
              <w:pStyle w:val="Numberedtable"/>
              <w:numPr>
                <w:ilvl w:val="0"/>
                <w:numId w:val="0"/>
              </w:numPr>
              <w:rPr>
                <w:rFonts w:asciiTheme="minorHAnsi" w:hAnsiTheme="minorHAnsi" w:cstheme="minorHAnsi"/>
                <w:b/>
                <w:color w:val="FFFFFF" w:themeColor="background1"/>
                <w:sz w:val="16"/>
                <w:szCs w:val="18"/>
              </w:rPr>
            </w:pPr>
          </w:p>
        </w:tc>
        <w:tc>
          <w:tcPr>
            <w:tcW w:w="0" w:type="pct"/>
            <w:vMerge/>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000000" w:themeFill="text1"/>
          </w:tcPr>
          <w:p w14:paraId="71A13A98" w14:textId="77777777" w:rsidR="00731395" w:rsidRPr="0060376E" w:rsidRDefault="00731395" w:rsidP="007D2F13">
            <w:pPr>
              <w:pStyle w:val="Numbered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8"/>
                <w:szCs w:val="18"/>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000000" w:themeFill="text1"/>
          </w:tcPr>
          <w:p w14:paraId="5151BBD3" w14:textId="77777777" w:rsidR="00731395" w:rsidRPr="0060376E" w:rsidRDefault="00731395" w:rsidP="007D2F13">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5"/>
                <w:szCs w:val="15"/>
              </w:rPr>
            </w:pPr>
            <w:r w:rsidRPr="0060376E">
              <w:rPr>
                <w:rFonts w:asciiTheme="minorHAnsi" w:hAnsiTheme="minorHAnsi" w:cstheme="minorHAnsi"/>
                <w:color w:val="FFFFFF" w:themeColor="background1"/>
                <w:sz w:val="15"/>
                <w:szCs w:val="15"/>
              </w:rPr>
              <w:t>Children + babies</w:t>
            </w:r>
          </w:p>
        </w:tc>
        <w:tc>
          <w:tcPr>
            <w:tcW w:w="0" w:type="pct"/>
            <w:tcBorders>
              <w:top w:val="single" w:sz="4" w:space="0" w:color="D0CECE" w:themeColor="background2" w:themeShade="E6"/>
              <w:bottom w:val="single" w:sz="4" w:space="0" w:color="D0CECE" w:themeColor="background2" w:themeShade="E6"/>
            </w:tcBorders>
            <w:shd w:val="clear" w:color="auto" w:fill="000000" w:themeFill="text1"/>
          </w:tcPr>
          <w:p w14:paraId="479F68FD" w14:textId="77777777" w:rsidR="00731395" w:rsidRPr="0060376E" w:rsidRDefault="00731395" w:rsidP="007D2F13">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5"/>
                <w:szCs w:val="15"/>
              </w:rPr>
            </w:pPr>
            <w:r w:rsidRPr="0060376E">
              <w:rPr>
                <w:rFonts w:asciiTheme="minorHAnsi" w:hAnsiTheme="minorHAnsi" w:cstheme="minorHAnsi"/>
                <w:color w:val="FFFFFF" w:themeColor="background1"/>
                <w:sz w:val="15"/>
                <w:szCs w:val="15"/>
              </w:rPr>
              <w:t>Youth</w:t>
            </w:r>
          </w:p>
        </w:tc>
        <w:tc>
          <w:tcPr>
            <w:tcW w:w="0" w:type="pct"/>
            <w:tcBorders>
              <w:top w:val="single" w:sz="4" w:space="0" w:color="D0CECE" w:themeColor="background2" w:themeShade="E6"/>
              <w:bottom w:val="single" w:sz="4" w:space="0" w:color="D0CECE" w:themeColor="background2" w:themeShade="E6"/>
            </w:tcBorders>
            <w:shd w:val="clear" w:color="auto" w:fill="000000" w:themeFill="text1"/>
          </w:tcPr>
          <w:p w14:paraId="498B9BDC" w14:textId="77777777" w:rsidR="00731395" w:rsidRPr="0060376E" w:rsidRDefault="00731395" w:rsidP="007D2F13">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5"/>
                <w:szCs w:val="15"/>
              </w:rPr>
            </w:pPr>
            <w:r w:rsidRPr="0060376E">
              <w:rPr>
                <w:rFonts w:asciiTheme="minorHAnsi" w:hAnsiTheme="minorHAnsi" w:cstheme="minorHAnsi"/>
                <w:color w:val="FFFFFF" w:themeColor="background1"/>
                <w:sz w:val="15"/>
                <w:szCs w:val="15"/>
              </w:rPr>
              <w:t>Adults</w:t>
            </w:r>
          </w:p>
        </w:tc>
        <w:tc>
          <w:tcPr>
            <w:tcW w:w="0" w:type="pct"/>
            <w:tcBorders>
              <w:top w:val="single" w:sz="4" w:space="0" w:color="D0CECE" w:themeColor="background2" w:themeShade="E6"/>
              <w:bottom w:val="single" w:sz="4" w:space="0" w:color="D0CECE" w:themeColor="background2" w:themeShade="E6"/>
              <w:right w:val="single" w:sz="4" w:space="0" w:color="E7E6E6" w:themeColor="background2"/>
            </w:tcBorders>
            <w:shd w:val="clear" w:color="auto" w:fill="000000" w:themeFill="text1"/>
          </w:tcPr>
          <w:p w14:paraId="0BE71A9F" w14:textId="77777777" w:rsidR="00731395" w:rsidRPr="0060376E" w:rsidRDefault="00731395" w:rsidP="007D2F13">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5"/>
                <w:szCs w:val="15"/>
              </w:rPr>
            </w:pPr>
            <w:r w:rsidRPr="0060376E">
              <w:rPr>
                <w:rFonts w:asciiTheme="minorHAnsi" w:hAnsiTheme="minorHAnsi" w:cstheme="minorHAnsi"/>
                <w:color w:val="FFFFFF" w:themeColor="background1"/>
                <w:sz w:val="15"/>
                <w:szCs w:val="15"/>
              </w:rPr>
              <w:t>Older adults</w:t>
            </w:r>
          </w:p>
        </w:tc>
        <w:tc>
          <w:tcPr>
            <w:tcW w:w="0" w:type="pct"/>
            <w:vMerge/>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000000" w:themeFill="text1"/>
          </w:tcPr>
          <w:p w14:paraId="3BF4F51E" w14:textId="77777777" w:rsidR="00731395" w:rsidRPr="0060376E" w:rsidRDefault="00731395" w:rsidP="007D2F13">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5"/>
                <w:szCs w:val="15"/>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000000" w:themeFill="text1"/>
          </w:tcPr>
          <w:p w14:paraId="3F6C51F2" w14:textId="77777777" w:rsidR="00731395" w:rsidRPr="0060376E" w:rsidRDefault="00731395" w:rsidP="007D2F13">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5"/>
                <w:szCs w:val="15"/>
              </w:rPr>
            </w:pPr>
            <w:r w:rsidRPr="0060376E">
              <w:rPr>
                <w:rFonts w:asciiTheme="minorHAnsi" w:hAnsiTheme="minorHAnsi" w:cstheme="minorHAnsi"/>
                <w:color w:val="FFFFFF" w:themeColor="background1"/>
                <w:sz w:val="15"/>
                <w:szCs w:val="15"/>
              </w:rPr>
              <w:t xml:space="preserve">Aboriginal </w:t>
            </w:r>
          </w:p>
        </w:tc>
        <w:tc>
          <w:tcPr>
            <w:tcW w:w="0" w:type="pct"/>
            <w:tcBorders>
              <w:top w:val="single" w:sz="4" w:space="0" w:color="D0CECE" w:themeColor="background2" w:themeShade="E6"/>
              <w:bottom w:val="single" w:sz="4" w:space="0" w:color="D0CECE" w:themeColor="background2" w:themeShade="E6"/>
            </w:tcBorders>
            <w:shd w:val="clear" w:color="auto" w:fill="000000" w:themeFill="text1"/>
          </w:tcPr>
          <w:p w14:paraId="399086C8" w14:textId="77777777" w:rsidR="00731395" w:rsidRPr="0060376E" w:rsidRDefault="00731395" w:rsidP="007D2F13">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5"/>
                <w:szCs w:val="15"/>
              </w:rPr>
            </w:pPr>
            <w:r w:rsidRPr="0060376E">
              <w:rPr>
                <w:rFonts w:asciiTheme="minorHAnsi" w:hAnsiTheme="minorHAnsi" w:cstheme="minorHAnsi"/>
                <w:color w:val="FFFFFF" w:themeColor="background1"/>
                <w:sz w:val="15"/>
                <w:szCs w:val="15"/>
              </w:rPr>
              <w:t>Rural + remote</w:t>
            </w: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000000" w:themeFill="text1"/>
          </w:tcPr>
          <w:p w14:paraId="788F86A3" w14:textId="77777777" w:rsidR="00731395" w:rsidRPr="0060376E" w:rsidRDefault="00731395" w:rsidP="007D2F13">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15"/>
                <w:szCs w:val="15"/>
              </w:rPr>
            </w:pPr>
            <w:r w:rsidRPr="0060376E">
              <w:rPr>
                <w:rFonts w:asciiTheme="minorHAnsi" w:hAnsiTheme="minorHAnsi" w:cstheme="minorHAnsi"/>
                <w:color w:val="FFFFFF" w:themeColor="background1"/>
                <w:sz w:val="15"/>
                <w:szCs w:val="15"/>
              </w:rPr>
              <w:t>Low SES</w:t>
            </w:r>
          </w:p>
        </w:tc>
      </w:tr>
      <w:tr w:rsidR="0060376E" w:rsidRPr="0011179C" w14:paraId="54E632D6"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1F3864" w:themeFill="accent5" w:themeFillShade="80"/>
          </w:tcPr>
          <w:p w14:paraId="1CAD1EA0" w14:textId="67DA3A0A" w:rsidR="00731395" w:rsidRPr="00413B22" w:rsidRDefault="00EA12A7" w:rsidP="005B5F77">
            <w:pPr>
              <w:pStyle w:val="Numberedtable"/>
              <w:numPr>
                <w:ilvl w:val="0"/>
                <w:numId w:val="0"/>
              </w:numPr>
              <w:rPr>
                <w:rFonts w:asciiTheme="minorHAnsi" w:hAnsiTheme="minorHAnsi" w:cstheme="minorHAnsi"/>
                <w:color w:val="FFFFFF" w:themeColor="background1"/>
                <w:sz w:val="16"/>
                <w:szCs w:val="19"/>
              </w:rPr>
            </w:pPr>
            <w:r>
              <w:rPr>
                <w:rFonts w:asciiTheme="minorHAnsi" w:hAnsiTheme="minorHAnsi" w:cstheme="minorHAnsi"/>
                <w:color w:val="FFFFFF" w:themeColor="background1"/>
                <w:sz w:val="16"/>
                <w:szCs w:val="19"/>
              </w:rPr>
              <w:t>Intentional</w:t>
            </w:r>
            <w:r w:rsidR="00731395" w:rsidRPr="00413B22">
              <w:rPr>
                <w:rFonts w:asciiTheme="minorHAnsi" w:hAnsiTheme="minorHAnsi" w:cstheme="minorHAnsi"/>
                <w:color w:val="FFFFFF" w:themeColor="background1"/>
                <w:sz w:val="16"/>
                <w:szCs w:val="19"/>
              </w:rPr>
              <w:t xml:space="preserve"> self-harm</w:t>
            </w: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387CA6B5" w14:textId="77777777"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 xml:space="preserve">Reduce the rate of intentional self-harm </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21144BA4"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22A69CE9"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6CDE5150"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27E24C8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F9E57D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689DB969"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05DEE237"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52990F20"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r>
      <w:tr w:rsidR="0060376E" w:rsidRPr="0011179C" w14:paraId="146B914E"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1F3864" w:themeFill="accent5" w:themeFillShade="80"/>
          </w:tcPr>
          <w:p w14:paraId="1E393162" w14:textId="77777777" w:rsidR="00731395" w:rsidRPr="00413B22" w:rsidRDefault="00731395" w:rsidP="005B5F77">
            <w:pPr>
              <w:pStyle w:val="Numberedtable"/>
              <w:numPr>
                <w:ilvl w:val="0"/>
                <w:numId w:val="0"/>
              </w:numPr>
              <w:rPr>
                <w:rFonts w:asciiTheme="minorHAnsi" w:hAnsiTheme="minorHAnsi" w:cstheme="minorHAnsi"/>
                <w:color w:val="FFFFFF" w:themeColor="background1"/>
                <w:sz w:val="16"/>
                <w:szCs w:val="19"/>
              </w:rPr>
            </w:pP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132836D3"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Reduce the rate of intentional self-harm among Aboriginal and Torres Strait Islander people</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08CBF54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138E4AB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54D5FE3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3087523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26AAD1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617F881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7495161F"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167EAACF"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157BE8F8"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660066"/>
          </w:tcPr>
          <w:p w14:paraId="7DB22976" w14:textId="77777777" w:rsidR="00731395" w:rsidRPr="00413B22" w:rsidRDefault="00731395" w:rsidP="005B5F77">
            <w:pPr>
              <w:pStyle w:val="Numberedtable"/>
              <w:numPr>
                <w:ilvl w:val="0"/>
                <w:numId w:val="0"/>
              </w:numPr>
              <w:rPr>
                <w:rFonts w:asciiTheme="minorHAnsi" w:hAnsiTheme="minorHAnsi" w:cstheme="minorHAnsi"/>
                <w:color w:val="FFFFFF" w:themeColor="background1"/>
                <w:sz w:val="16"/>
                <w:szCs w:val="19"/>
              </w:rPr>
            </w:pPr>
            <w:r w:rsidRPr="00413B22">
              <w:rPr>
                <w:rFonts w:asciiTheme="minorHAnsi" w:hAnsiTheme="minorHAnsi" w:cstheme="minorHAnsi"/>
                <w:color w:val="FFFFFF" w:themeColor="background1"/>
                <w:sz w:val="16"/>
                <w:szCs w:val="19"/>
              </w:rPr>
              <w:t xml:space="preserve">Falls </w:t>
            </w: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36ED82B0" w14:textId="4E6743C1"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 xml:space="preserve">Reduce </w:t>
            </w:r>
            <w:r w:rsidR="0080276D">
              <w:rPr>
                <w:rFonts w:asciiTheme="minorHAnsi" w:hAnsiTheme="minorHAnsi" w:cstheme="minorHAnsi"/>
                <w:b w:val="0"/>
                <w:sz w:val="19"/>
                <w:szCs w:val="19"/>
              </w:rPr>
              <w:t>the rate</w:t>
            </w:r>
            <w:r w:rsidRPr="000B7354">
              <w:rPr>
                <w:rFonts w:asciiTheme="minorHAnsi" w:hAnsiTheme="minorHAnsi" w:cstheme="minorHAnsi"/>
                <w:b w:val="0"/>
                <w:sz w:val="19"/>
                <w:szCs w:val="19"/>
              </w:rPr>
              <w:t xml:space="preserve"> of falls </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50BB664A"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050023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872EACD"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BA691FD"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503B76B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14473D14"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BFEEAE1"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4D857F92"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r>
      <w:tr w:rsidR="0060376E" w:rsidRPr="0011179C" w14:paraId="1F0C98F3"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660066"/>
          </w:tcPr>
          <w:p w14:paraId="4DA53F45"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5779175A"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Reduce falls in public spaces due to better design of public buildings, facilities and paths/walk ways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5B81B701"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A567D01"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3064876"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3169A14"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3521C87C"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r w:rsidRPr="00AB59B0">
              <w:rPr>
                <w:rFonts w:asciiTheme="minorHAnsi" w:hAnsiTheme="minorHAnsi" w:cstheme="minorHAnsi"/>
                <w:b w:val="0"/>
                <w:sz w:val="16"/>
                <w:szCs w:val="19"/>
              </w:rPr>
              <w:t>B</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6C151802"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046F233"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3CC6508A"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20F9D7A5" w14:textId="77777777" w:rsidTr="00CC26A3">
        <w:trPr>
          <w:trHeight w:val="8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69D8FF"/>
          </w:tcPr>
          <w:p w14:paraId="415469D6" w14:textId="77777777" w:rsidR="00731395" w:rsidRPr="00AB59B0" w:rsidRDefault="00731395" w:rsidP="005B5F77">
            <w:pPr>
              <w:pStyle w:val="Numberedtable"/>
              <w:numPr>
                <w:ilvl w:val="0"/>
                <w:numId w:val="0"/>
              </w:numPr>
              <w:rPr>
                <w:rFonts w:asciiTheme="minorHAnsi" w:hAnsiTheme="minorHAnsi" w:cstheme="minorHAnsi"/>
                <w:sz w:val="16"/>
                <w:szCs w:val="19"/>
              </w:rPr>
            </w:pPr>
            <w:r w:rsidRPr="00AB59B0">
              <w:rPr>
                <w:rFonts w:asciiTheme="minorHAnsi" w:hAnsiTheme="minorHAnsi" w:cstheme="minorHAnsi"/>
                <w:sz w:val="16"/>
                <w:szCs w:val="19"/>
              </w:rPr>
              <w:t xml:space="preserve">Poisoning </w:t>
            </w: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5E6CFC20" w14:textId="77777777"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Reduce the rate of drug-related poisoning</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1611391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2DC8A6B6"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05B06F29"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5CA51F9B"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5BA617D"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1A3ACCA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5CC91C9F"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2A5BDB53"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r>
      <w:tr w:rsidR="0060376E" w:rsidRPr="0011179C" w14:paraId="3E29F25A"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7999FF"/>
          </w:tcPr>
          <w:p w14:paraId="2BD29C46" w14:textId="619EDBE8" w:rsidR="00731395" w:rsidRPr="00AB59B0" w:rsidRDefault="00731395" w:rsidP="005B5F77">
            <w:pPr>
              <w:pStyle w:val="Numberedtable"/>
              <w:numPr>
                <w:ilvl w:val="0"/>
                <w:numId w:val="0"/>
              </w:numPr>
              <w:rPr>
                <w:rFonts w:asciiTheme="minorHAnsi" w:hAnsiTheme="minorHAnsi" w:cstheme="minorHAnsi"/>
                <w:sz w:val="16"/>
                <w:szCs w:val="19"/>
              </w:rPr>
            </w:pPr>
            <w:r w:rsidRPr="00AB59B0">
              <w:rPr>
                <w:rFonts w:asciiTheme="minorHAnsi" w:hAnsiTheme="minorHAnsi" w:cstheme="minorHAnsi"/>
                <w:sz w:val="16"/>
                <w:szCs w:val="19"/>
              </w:rPr>
              <w:t xml:space="preserve">Road </w:t>
            </w:r>
            <w:r w:rsidR="00252376">
              <w:rPr>
                <w:rFonts w:asciiTheme="minorHAnsi" w:hAnsiTheme="minorHAnsi" w:cstheme="minorHAnsi"/>
                <w:sz w:val="16"/>
                <w:szCs w:val="19"/>
              </w:rPr>
              <w:t>and</w:t>
            </w:r>
            <w:r w:rsidRPr="00AB59B0">
              <w:rPr>
                <w:rFonts w:asciiTheme="minorHAnsi" w:hAnsiTheme="minorHAnsi" w:cstheme="minorHAnsi"/>
                <w:sz w:val="16"/>
                <w:szCs w:val="19"/>
              </w:rPr>
              <w:t xml:space="preserve"> land transport</w:t>
            </w: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49C20045"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 xml:space="preserve">Reduce road-related injury </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329144EA"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A0D836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377ABD6"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1081645"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0E4B33A1" w14:textId="40260D6D" w:rsidR="00731395" w:rsidRPr="00AB59B0" w:rsidRDefault="00E923DE"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r w:rsidRPr="00AB59B0">
              <w:rPr>
                <w:rFonts w:asciiTheme="minorHAnsi" w:hAnsiTheme="minorHAnsi" w:cstheme="minorHAnsi"/>
                <w:sz w:val="16"/>
                <w:szCs w:val="19"/>
              </w:rPr>
              <w:t xml:space="preserve"> </w:t>
            </w:r>
            <w:r w:rsidRPr="00AB59B0">
              <w:rPr>
                <w:rFonts w:asciiTheme="minorHAnsi" w:hAnsiTheme="minorHAnsi" w:cstheme="minorHAnsi"/>
                <w:b w:val="0"/>
                <w:sz w:val="16"/>
                <w:szCs w:val="19"/>
              </w:rPr>
              <w:t>A</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760863CD" w14:textId="77777777" w:rsidR="00731395" w:rsidRPr="00AB59B0" w:rsidRDefault="00731395" w:rsidP="005B5F77">
            <w:pPr>
              <w:jc w:val="center"/>
              <w:cnfStyle w:val="000000100000" w:firstRow="0" w:lastRow="0" w:firstColumn="0" w:lastColumn="0" w:oddVBand="0" w:evenVBand="0" w:oddHBand="1" w:evenHBand="0" w:firstRowFirstColumn="0" w:firstRowLastColumn="0" w:lastRowFirstColumn="0" w:lastRowLastColumn="0"/>
              <w:rPr>
                <w:b/>
              </w:rPr>
            </w:pPr>
            <w:r w:rsidRPr="00AB59B0">
              <w:rPr>
                <w:rFonts w:cstheme="minorHAnsi"/>
                <w:b/>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3AE9B824" w14:textId="77777777" w:rsidR="00731395" w:rsidRPr="00AB59B0" w:rsidRDefault="00731395" w:rsidP="005B5F77">
            <w:pPr>
              <w:jc w:val="center"/>
              <w:cnfStyle w:val="000000100000" w:firstRow="0" w:lastRow="0" w:firstColumn="0" w:lastColumn="0" w:oddVBand="0" w:evenVBand="0" w:oddHBand="1" w:evenHBand="0" w:firstRowFirstColumn="0" w:firstRowLastColumn="0" w:lastRowFirstColumn="0" w:lastRowLastColumn="0"/>
              <w:rPr>
                <w:b/>
              </w:rPr>
            </w:pPr>
            <w:r w:rsidRPr="00AB59B0">
              <w:rPr>
                <w:rFonts w:cstheme="minorHAnsi"/>
                <w:b/>
                <w:sz w:val="16"/>
                <w:szCs w:val="19"/>
              </w:rPr>
              <w:sym w:font="Wingdings" w:char="F0FC"/>
            </w: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334A22E8" w14:textId="77777777" w:rsidR="00731395" w:rsidRPr="00AB59B0" w:rsidRDefault="00731395" w:rsidP="005B5F77">
            <w:pPr>
              <w:jc w:val="center"/>
              <w:cnfStyle w:val="000000100000" w:firstRow="0" w:lastRow="0" w:firstColumn="0" w:lastColumn="0" w:oddVBand="0" w:evenVBand="0" w:oddHBand="1" w:evenHBand="0" w:firstRowFirstColumn="0" w:firstRowLastColumn="0" w:lastRowFirstColumn="0" w:lastRowLastColumn="0"/>
              <w:rPr>
                <w:b/>
              </w:rPr>
            </w:pPr>
            <w:r w:rsidRPr="00AB59B0">
              <w:rPr>
                <w:rFonts w:cstheme="minorHAnsi"/>
                <w:b/>
                <w:sz w:val="16"/>
                <w:szCs w:val="19"/>
              </w:rPr>
              <w:sym w:font="Wingdings" w:char="F0FC"/>
            </w:r>
          </w:p>
        </w:tc>
      </w:tr>
      <w:tr w:rsidR="0060376E" w:rsidRPr="0011179C" w14:paraId="6DA9A79A"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7999FF"/>
          </w:tcPr>
          <w:p w14:paraId="6A4338E4"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2FEA66A2" w14:textId="77777777"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Increase child pedestrian safety</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4E702C98"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06B9198"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9BD4DE8"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E62A761"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59BC15D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1F9FD991"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26A4313"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519C20F8" w14:textId="77777777" w:rsidR="00731395" w:rsidRPr="00AB59B0" w:rsidRDefault="00731395" w:rsidP="005B5F77">
            <w:pPr>
              <w:jc w:val="center"/>
              <w:cnfStyle w:val="000000000000" w:firstRow="0" w:lastRow="0" w:firstColumn="0" w:lastColumn="0" w:oddVBand="0" w:evenVBand="0" w:oddHBand="0" w:evenHBand="0" w:firstRowFirstColumn="0" w:firstRowLastColumn="0" w:lastRowFirstColumn="0" w:lastRowLastColumn="0"/>
              <w:rPr>
                <w:b/>
              </w:rPr>
            </w:pPr>
            <w:r w:rsidRPr="00AB59B0">
              <w:rPr>
                <w:rFonts w:cstheme="minorHAnsi"/>
                <w:b/>
                <w:sz w:val="16"/>
                <w:szCs w:val="19"/>
              </w:rPr>
              <w:sym w:font="Wingdings" w:char="F0FC"/>
            </w:r>
          </w:p>
        </w:tc>
      </w:tr>
      <w:tr w:rsidR="0060376E" w:rsidRPr="0011179C" w14:paraId="43C6198C"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7999FF"/>
          </w:tcPr>
          <w:p w14:paraId="208FB329"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43D8FB3E"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Promote the correct use of appropriate child car seats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762B6112"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937F0CA"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21D5BF5"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B5DB97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05A106F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0D95DC06" w14:textId="77777777" w:rsidR="00731395" w:rsidRPr="00AB59B0" w:rsidRDefault="00731395" w:rsidP="005B5F77">
            <w:pPr>
              <w:jc w:val="center"/>
              <w:cnfStyle w:val="000000100000" w:firstRow="0" w:lastRow="0" w:firstColumn="0" w:lastColumn="0" w:oddVBand="0" w:evenVBand="0" w:oddHBand="1" w:evenHBand="0" w:firstRowFirstColumn="0" w:firstRowLastColumn="0" w:lastRowFirstColumn="0" w:lastRowLastColumn="0"/>
              <w:rPr>
                <w:b/>
              </w:rPr>
            </w:pPr>
            <w:r w:rsidRPr="00AB59B0">
              <w:rPr>
                <w:rFonts w:cstheme="minorHAnsi"/>
                <w:b/>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92689ED" w14:textId="77777777" w:rsidR="00731395" w:rsidRPr="00AB59B0" w:rsidRDefault="00731395" w:rsidP="005B5F77">
            <w:pPr>
              <w:jc w:val="center"/>
              <w:cnfStyle w:val="000000100000" w:firstRow="0" w:lastRow="0" w:firstColumn="0" w:lastColumn="0" w:oddVBand="0" w:evenVBand="0" w:oddHBand="1" w:evenHBand="0" w:firstRowFirstColumn="0" w:firstRowLastColumn="0" w:lastRowFirstColumn="0" w:lastRowLastColumn="0"/>
              <w:rPr>
                <w:b/>
              </w:rPr>
            </w:pPr>
            <w:r w:rsidRPr="00AB59B0">
              <w:rPr>
                <w:rFonts w:cstheme="minorHAnsi"/>
                <w:b/>
                <w:sz w:val="16"/>
                <w:szCs w:val="19"/>
              </w:rPr>
              <w:sym w:font="Wingdings" w:char="F0FC"/>
            </w: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66862854" w14:textId="77777777" w:rsidR="00731395" w:rsidRPr="00AB59B0" w:rsidRDefault="00731395" w:rsidP="005B5F77">
            <w:pPr>
              <w:jc w:val="center"/>
              <w:cnfStyle w:val="000000100000" w:firstRow="0" w:lastRow="0" w:firstColumn="0" w:lastColumn="0" w:oddVBand="0" w:evenVBand="0" w:oddHBand="1" w:evenHBand="0" w:firstRowFirstColumn="0" w:firstRowLastColumn="0" w:lastRowFirstColumn="0" w:lastRowLastColumn="0"/>
              <w:rPr>
                <w:b/>
              </w:rPr>
            </w:pPr>
            <w:r w:rsidRPr="00AB59B0">
              <w:rPr>
                <w:rFonts w:cstheme="minorHAnsi"/>
                <w:b/>
                <w:sz w:val="16"/>
                <w:szCs w:val="19"/>
              </w:rPr>
              <w:sym w:font="Wingdings" w:char="F0FC"/>
            </w:r>
          </w:p>
        </w:tc>
      </w:tr>
      <w:tr w:rsidR="0060376E" w:rsidRPr="0011179C" w14:paraId="3B4D39A9"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7999FF"/>
          </w:tcPr>
          <w:p w14:paraId="21CEF371"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1B5DF8E4" w14:textId="77777777"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Reduce injuries to vulnerable road users through legislation and better design of road infrastructure</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7F21F733"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5155E74"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FD57CF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C277D4D"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01FEB297"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r w:rsidRPr="00AB59B0">
              <w:rPr>
                <w:rFonts w:asciiTheme="minorHAnsi" w:hAnsiTheme="minorHAnsi" w:cstheme="minorHAnsi"/>
                <w:b w:val="0"/>
                <w:sz w:val="16"/>
                <w:szCs w:val="19"/>
              </w:rPr>
              <w:t>B</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23160680"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F04267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7D442BB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07957458"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28659C"/>
          </w:tcPr>
          <w:p w14:paraId="1CA9D4C0" w14:textId="77777777" w:rsidR="00731395" w:rsidRPr="00AB59B0" w:rsidRDefault="00731395" w:rsidP="005B5F77">
            <w:pPr>
              <w:pStyle w:val="Numberedtable"/>
              <w:numPr>
                <w:ilvl w:val="0"/>
                <w:numId w:val="0"/>
              </w:numPr>
              <w:rPr>
                <w:rFonts w:asciiTheme="minorHAnsi" w:hAnsiTheme="minorHAnsi" w:cstheme="minorHAnsi"/>
                <w:sz w:val="16"/>
                <w:szCs w:val="19"/>
              </w:rPr>
            </w:pPr>
            <w:r w:rsidRPr="00413B22">
              <w:rPr>
                <w:rFonts w:asciiTheme="minorHAnsi" w:hAnsiTheme="minorHAnsi" w:cstheme="minorHAnsi"/>
                <w:color w:val="FFFFFF" w:themeColor="background1"/>
                <w:sz w:val="16"/>
                <w:szCs w:val="19"/>
              </w:rPr>
              <w:t xml:space="preserve">Homicide and violence </w:t>
            </w: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3A5380BF" w14:textId="6188156C"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Increase primary prevention of violence and equitable access to timely, appropriate and affordable care</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307F05AA"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1409224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3D74B743"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41A76B64"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ECFC44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13AAAA2C"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154F188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166DA66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4570F00B"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28659C"/>
          </w:tcPr>
          <w:p w14:paraId="0B9D0CEB"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230548A6" w14:textId="5798295E" w:rsidR="00731395" w:rsidRPr="000B7354" w:rsidRDefault="009D0CDB"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Pr>
                <w:rFonts w:asciiTheme="minorHAnsi" w:hAnsiTheme="minorHAnsi" w:cstheme="minorHAnsi"/>
                <w:b w:val="0"/>
                <w:sz w:val="19"/>
                <w:szCs w:val="19"/>
              </w:rPr>
              <w:t>Reduce</w:t>
            </w:r>
            <w:r w:rsidR="00731395" w:rsidRPr="000B7354">
              <w:rPr>
                <w:rFonts w:asciiTheme="minorHAnsi" w:hAnsiTheme="minorHAnsi" w:cstheme="minorHAnsi"/>
                <w:b w:val="0"/>
                <w:sz w:val="19"/>
                <w:szCs w:val="19"/>
              </w:rPr>
              <w:t xml:space="preserve"> the prevalence and impact of violence </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1CC0C167"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29C84FA1"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04A3AAB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15D8A5B7"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335A2DA8"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2596472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11342A5D"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1949F60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04843540"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28659C"/>
          </w:tcPr>
          <w:p w14:paraId="18B5ACFE"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0CBA3B55"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Reduce alcohol-related violence in public places</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5F82E20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3B26F313"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6047FE63"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44F6F7A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1888E46"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r w:rsidRPr="00AB59B0">
              <w:rPr>
                <w:rFonts w:asciiTheme="minorHAnsi" w:hAnsiTheme="minorHAnsi" w:cstheme="minorHAnsi"/>
                <w:b w:val="0"/>
                <w:sz w:val="16"/>
                <w:szCs w:val="19"/>
              </w:rPr>
              <w:t>A</w:t>
            </w: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7EC6F8E1"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3246CDB2"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614DE62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10826E24"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FF9FE6"/>
          </w:tcPr>
          <w:p w14:paraId="5EFB971D" w14:textId="77777777" w:rsidR="00731395" w:rsidRPr="00AB59B0" w:rsidRDefault="00731395" w:rsidP="005B5F77">
            <w:pPr>
              <w:pStyle w:val="Numberedtable"/>
              <w:numPr>
                <w:ilvl w:val="0"/>
                <w:numId w:val="0"/>
              </w:numPr>
              <w:rPr>
                <w:rFonts w:asciiTheme="minorHAnsi" w:hAnsiTheme="minorHAnsi" w:cstheme="minorHAnsi"/>
                <w:sz w:val="16"/>
                <w:szCs w:val="19"/>
              </w:rPr>
            </w:pPr>
            <w:r w:rsidRPr="00AB59B0">
              <w:rPr>
                <w:rFonts w:asciiTheme="minorHAnsi" w:hAnsiTheme="minorHAnsi" w:cstheme="minorHAnsi"/>
                <w:sz w:val="16"/>
                <w:szCs w:val="19"/>
              </w:rPr>
              <w:t xml:space="preserve">Drowning </w:t>
            </w: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74E11C95" w14:textId="77777777"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 xml:space="preserve">Reduce drowning and near-drowning events </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7B12734A"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DDDE52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4ABF796"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445EBB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29719EFB"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r w:rsidRPr="00AB59B0">
              <w:rPr>
                <w:rFonts w:asciiTheme="minorHAnsi" w:hAnsiTheme="minorHAnsi" w:cstheme="minorHAnsi"/>
                <w:sz w:val="16"/>
                <w:szCs w:val="19"/>
              </w:rPr>
              <w:t xml:space="preserve"> </w:t>
            </w:r>
            <w:r w:rsidRPr="00AB59B0">
              <w:rPr>
                <w:rFonts w:asciiTheme="minorHAnsi" w:hAnsiTheme="minorHAnsi" w:cstheme="minorHAnsi"/>
                <w:b w:val="0"/>
                <w:sz w:val="16"/>
                <w:szCs w:val="19"/>
              </w:rPr>
              <w:t>A</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06ECDD8D"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7FC1FF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2E6269D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403DE2D8"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ED7D31" w:themeFill="accent2"/>
          </w:tcPr>
          <w:p w14:paraId="76C80E2D" w14:textId="77777777" w:rsidR="00731395" w:rsidRPr="00AB59B0" w:rsidRDefault="00731395" w:rsidP="005B5F77">
            <w:pPr>
              <w:pStyle w:val="Numberedtable"/>
              <w:numPr>
                <w:ilvl w:val="0"/>
                <w:numId w:val="0"/>
              </w:numPr>
              <w:rPr>
                <w:rFonts w:asciiTheme="minorHAnsi" w:hAnsiTheme="minorHAnsi" w:cstheme="minorHAnsi"/>
                <w:sz w:val="16"/>
                <w:szCs w:val="19"/>
              </w:rPr>
            </w:pPr>
            <w:r w:rsidRPr="00AB59B0">
              <w:rPr>
                <w:rFonts w:asciiTheme="minorHAnsi" w:hAnsiTheme="minorHAnsi" w:cstheme="minorHAnsi"/>
                <w:sz w:val="16"/>
                <w:szCs w:val="19"/>
              </w:rPr>
              <w:t xml:space="preserve">Burns </w:t>
            </w: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73D4CFE7"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 xml:space="preserve">Reduce the rate of scalds and burns </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4638BEF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0A03C34F"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4D68678B"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3959220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B7B3AEA"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318FEAB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792C41CC"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31E52EB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443BE15B"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538135" w:themeFill="accent6" w:themeFillShade="BF"/>
          </w:tcPr>
          <w:p w14:paraId="2134536F" w14:textId="77777777" w:rsidR="00731395" w:rsidRPr="00AB59B0" w:rsidRDefault="00731395" w:rsidP="005B5F77">
            <w:pPr>
              <w:pStyle w:val="Numberedtable"/>
              <w:numPr>
                <w:ilvl w:val="0"/>
                <w:numId w:val="0"/>
              </w:numPr>
              <w:rPr>
                <w:rFonts w:asciiTheme="minorHAnsi" w:hAnsiTheme="minorHAnsi" w:cstheme="minorHAnsi"/>
                <w:sz w:val="16"/>
                <w:szCs w:val="19"/>
              </w:rPr>
            </w:pPr>
            <w:r w:rsidRPr="00AB59B0">
              <w:rPr>
                <w:rFonts w:asciiTheme="minorHAnsi" w:hAnsiTheme="minorHAnsi" w:cstheme="minorHAnsi"/>
                <w:sz w:val="16"/>
                <w:szCs w:val="19"/>
              </w:rPr>
              <w:t>Workplace</w:t>
            </w: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6F71906E" w14:textId="77777777"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Reduce the rate of workplace injuries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72BEB44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9164230" w14:textId="09585DF5" w:rsidR="00731395" w:rsidRPr="00AB59B0" w:rsidRDefault="00C17651"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5F5E8CF"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5F0F79C" w14:textId="3CAAA8CD"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4857EE2B"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7058C0EF"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7EE7E7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3375AB5D"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5555A2E1"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C5E0B3" w:themeFill="accent6" w:themeFillTint="66"/>
          </w:tcPr>
          <w:p w14:paraId="48414057" w14:textId="4D2096F9" w:rsidR="00731395" w:rsidRPr="00AB59B0" w:rsidRDefault="00731395" w:rsidP="009E4DA8">
            <w:pPr>
              <w:pStyle w:val="Numberedtable"/>
              <w:numPr>
                <w:ilvl w:val="0"/>
                <w:numId w:val="0"/>
              </w:numPr>
              <w:tabs>
                <w:tab w:val="left" w:pos="750"/>
              </w:tabs>
              <w:rPr>
                <w:rFonts w:asciiTheme="minorHAnsi" w:hAnsiTheme="minorHAnsi" w:cstheme="minorHAnsi"/>
                <w:sz w:val="16"/>
                <w:szCs w:val="19"/>
              </w:rPr>
            </w:pPr>
            <w:r w:rsidRPr="00AB59B0">
              <w:rPr>
                <w:rFonts w:asciiTheme="minorHAnsi" w:hAnsiTheme="minorHAnsi" w:cstheme="minorHAnsi"/>
                <w:sz w:val="16"/>
                <w:szCs w:val="19"/>
              </w:rPr>
              <w:t xml:space="preserve">Sport </w:t>
            </w:r>
            <w:r w:rsidR="009E4DA8">
              <w:rPr>
                <w:rFonts w:asciiTheme="minorHAnsi" w:hAnsiTheme="minorHAnsi" w:cstheme="minorHAnsi"/>
                <w:sz w:val="16"/>
                <w:szCs w:val="19"/>
              </w:rPr>
              <w:tab/>
            </w: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0A4E331C"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lang w:val="en-AU"/>
              </w:rPr>
            </w:pPr>
            <w:r w:rsidRPr="000B7354">
              <w:rPr>
                <w:rFonts w:asciiTheme="minorHAnsi" w:hAnsiTheme="minorHAnsi" w:cstheme="minorHAnsi"/>
                <w:b w:val="0"/>
                <w:sz w:val="19"/>
                <w:szCs w:val="19"/>
              </w:rPr>
              <w:t xml:space="preserve">Reduce the rate and impact of sports injuries </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750B630E"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50E3FE88"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55A8775B" w14:textId="48E1CA10" w:rsidR="00731395" w:rsidRPr="00AB59B0" w:rsidRDefault="00252376"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3AF7B0A1"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B3FF0C5"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6F049F10"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1F571F6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6C5D60C0"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268484B3"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FFE599" w:themeFill="accent4" w:themeFillTint="66"/>
          </w:tcPr>
          <w:p w14:paraId="515678C4" w14:textId="77777777" w:rsidR="00731395" w:rsidRPr="00AB59B0" w:rsidRDefault="00731395" w:rsidP="005B5F77">
            <w:pPr>
              <w:pStyle w:val="Numberedtable"/>
              <w:numPr>
                <w:ilvl w:val="0"/>
                <w:numId w:val="0"/>
              </w:numPr>
              <w:rPr>
                <w:rFonts w:asciiTheme="minorHAnsi" w:hAnsiTheme="minorHAnsi" w:cstheme="minorHAnsi"/>
                <w:sz w:val="16"/>
                <w:szCs w:val="19"/>
              </w:rPr>
            </w:pPr>
            <w:r w:rsidRPr="00AB59B0">
              <w:rPr>
                <w:rFonts w:asciiTheme="minorHAnsi" w:hAnsiTheme="minorHAnsi" w:cstheme="minorHAnsi"/>
                <w:sz w:val="16"/>
                <w:szCs w:val="19"/>
              </w:rPr>
              <w:t>Determinants</w:t>
            </w:r>
            <w:r>
              <w:rPr>
                <w:rFonts w:asciiTheme="minorHAnsi" w:hAnsiTheme="minorHAnsi" w:cstheme="minorHAnsi"/>
                <w:sz w:val="16"/>
                <w:szCs w:val="19"/>
              </w:rPr>
              <w:t xml:space="preserve"> of injury</w:t>
            </w: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7D63C7AC" w14:textId="77777777"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lang w:val="en-AU"/>
              </w:rPr>
            </w:pPr>
            <w:r w:rsidRPr="000B7354">
              <w:rPr>
                <w:rFonts w:asciiTheme="minorHAnsi" w:hAnsiTheme="minorHAnsi" w:cstheme="minorHAnsi"/>
                <w:b w:val="0"/>
                <w:sz w:val="19"/>
                <w:szCs w:val="19"/>
              </w:rPr>
              <w:t xml:space="preserve">Increase the proportion of families accessing services relevant to the first 2000 days of life. </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77F014D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05C1940"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8419F69"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88D865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38669EFA"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53EDB69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182633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622452A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4E3AFA06"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FFE599" w:themeFill="accent4" w:themeFillTint="66"/>
          </w:tcPr>
          <w:p w14:paraId="44E3964D"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6A09E88E"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Increase proportion of children living in supportive home environments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192B6E9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323EA35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80D56EA"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2CC10B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09AA482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649EA375"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34F1AE8C"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36C2120B"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60FE7FA1"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FFE599" w:themeFill="accent4" w:themeFillTint="66"/>
          </w:tcPr>
          <w:p w14:paraId="4796A3B4"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7912FCF7" w14:textId="7A1A8EC5"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Prioritise the availability of and access to culturally appropriate programs and services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687F81F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EAAED9F"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E6AF2BB"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7EEE771"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5331CF76"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38F0D3E9"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9FE56A8"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7D4F29AB"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5CAF825A"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FFE599" w:themeFill="accent4" w:themeFillTint="66"/>
          </w:tcPr>
          <w:p w14:paraId="1E731CBB"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4121F239"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lang w:val="en-AU"/>
              </w:rPr>
            </w:pPr>
            <w:r w:rsidRPr="000B7354">
              <w:rPr>
                <w:rFonts w:asciiTheme="minorHAnsi" w:hAnsiTheme="minorHAnsi" w:cstheme="minorHAnsi"/>
                <w:b w:val="0"/>
                <w:sz w:val="19"/>
                <w:szCs w:val="19"/>
                <w:lang w:val="en-AU"/>
              </w:rPr>
              <w:t xml:space="preserve">Reduce the use of alcohol, and related harms of alcohol, during pregnancy </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4E5648B3"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F2FEC9E"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C955153"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75DB486"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00E32438"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r w:rsidRPr="00AB59B0">
              <w:rPr>
                <w:rFonts w:asciiTheme="minorHAnsi" w:hAnsiTheme="minorHAnsi" w:cstheme="minorHAnsi"/>
                <w:b w:val="0"/>
                <w:sz w:val="16"/>
                <w:szCs w:val="19"/>
              </w:rPr>
              <w:t>A</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24F119EA"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07BE7DF"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3C7B2E64"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094F8A36"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FFE599" w:themeFill="accent4" w:themeFillTint="66"/>
          </w:tcPr>
          <w:p w14:paraId="5428903C"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333229F6" w14:textId="77777777" w:rsidR="00731395" w:rsidRPr="000B7354" w:rsidRDefault="00731395" w:rsidP="007D5286">
            <w:pPr>
              <w:pStyle w:val="Numberedtable"/>
              <w:numPr>
                <w:ilvl w:val="0"/>
                <w:numId w:val="4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lang w:val="en-AU"/>
              </w:rPr>
            </w:pPr>
            <w:r w:rsidRPr="000B7354">
              <w:rPr>
                <w:rFonts w:asciiTheme="minorHAnsi" w:hAnsiTheme="minorHAnsi" w:cstheme="minorHAnsi"/>
                <w:b w:val="0"/>
                <w:sz w:val="19"/>
                <w:szCs w:val="19"/>
                <w:lang w:val="en-AU"/>
              </w:rPr>
              <w:t>Reduce injuries associated with housing and public spaces through better design and designs standards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268085E1"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B9CD577"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3AB6101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593543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3012750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r w:rsidRPr="00AB59B0">
              <w:rPr>
                <w:rFonts w:asciiTheme="minorHAnsi" w:hAnsiTheme="minorHAnsi" w:cstheme="minorHAnsi"/>
                <w:b w:val="0"/>
                <w:sz w:val="16"/>
                <w:szCs w:val="19"/>
              </w:rPr>
              <w:t>B</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4F1F9C07"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AB18B44"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5838778F"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5350F7C1"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C00000"/>
          </w:tcPr>
          <w:p w14:paraId="4B75E440" w14:textId="77777777" w:rsidR="00731395" w:rsidRPr="00AB59B0" w:rsidRDefault="00731395" w:rsidP="005B5F77">
            <w:pPr>
              <w:pStyle w:val="Numberedtable"/>
              <w:numPr>
                <w:ilvl w:val="0"/>
                <w:numId w:val="0"/>
              </w:numPr>
              <w:rPr>
                <w:rFonts w:asciiTheme="minorHAnsi" w:hAnsiTheme="minorHAnsi" w:cstheme="minorHAnsi"/>
                <w:sz w:val="16"/>
                <w:szCs w:val="19"/>
              </w:rPr>
            </w:pPr>
            <w:r w:rsidRPr="00413B22">
              <w:rPr>
                <w:rFonts w:asciiTheme="minorHAnsi" w:hAnsiTheme="minorHAnsi" w:cstheme="minorHAnsi"/>
                <w:color w:val="FFFFFF" w:themeColor="background1"/>
                <w:sz w:val="16"/>
                <w:szCs w:val="19"/>
              </w:rPr>
              <w:t>Alcohol</w:t>
            </w: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04C252A8" w14:textId="77777777" w:rsidR="00731395" w:rsidRPr="000B7354" w:rsidRDefault="00731395" w:rsidP="007D5286">
            <w:pPr>
              <w:pStyle w:val="Numberedtable"/>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Reduce alcohol-related harm</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2DE99D9F"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7650A524"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0EDC41C1"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32D33D5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CE4FD3B"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27D3BD5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011384A8"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64D4D08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1F2A6B22"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C00000"/>
          </w:tcPr>
          <w:p w14:paraId="643D8033" w14:textId="77777777" w:rsidR="00731395" w:rsidRPr="00AB59B0" w:rsidRDefault="00731395" w:rsidP="005B5F77">
            <w:pPr>
              <w:pStyle w:val="Numberedtable"/>
              <w:numPr>
                <w:ilvl w:val="0"/>
                <w:numId w:val="0"/>
              </w:numPr>
              <w:rPr>
                <w:rFonts w:asciiTheme="minorHAnsi" w:hAnsiTheme="minorHAnsi" w:cstheme="minorHAnsi"/>
                <w:sz w:val="16"/>
                <w:szCs w:val="19"/>
                <w:lang w:val="en-AU"/>
              </w:rPr>
            </w:pP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266C239C" w14:textId="77777777" w:rsidR="00731395" w:rsidRPr="000B7354" w:rsidRDefault="00731395" w:rsidP="007D5286">
            <w:pPr>
              <w:pStyle w:val="Numberedtable"/>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Reduce acceptance of ‘alcohol culture’ that encourages excessive consumption</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1D9ECD8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lang w:val="en-AU"/>
              </w:rPr>
            </w:pP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70403E56"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lang w:val="en-AU"/>
              </w:rPr>
            </w:pP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6BA45835"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lang w:val="en-AU"/>
              </w:rPr>
            </w:pP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1AD8E9E9"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lang w:val="en-AU"/>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0E923E7A"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lang w:val="en-AU"/>
              </w:rPr>
            </w:pPr>
            <w:r w:rsidRPr="00AB59B0">
              <w:rPr>
                <w:rFonts w:asciiTheme="minorHAnsi" w:hAnsiTheme="minorHAnsi" w:cstheme="minorHAnsi"/>
                <w:sz w:val="16"/>
                <w:szCs w:val="19"/>
              </w:rPr>
              <w:sym w:font="Wingdings" w:char="F0FC"/>
            </w: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1B7395F4"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lang w:val="en-AU"/>
              </w:rPr>
            </w:pP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3C4C7DF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lang w:val="en-AU"/>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5D8A56A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lang w:val="en-AU"/>
              </w:rPr>
            </w:pPr>
          </w:p>
        </w:tc>
      </w:tr>
      <w:tr w:rsidR="0060376E" w:rsidRPr="0011179C" w14:paraId="1474D09A"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C00000"/>
          </w:tcPr>
          <w:p w14:paraId="395CA881" w14:textId="77777777" w:rsidR="00731395" w:rsidRPr="00AB59B0" w:rsidRDefault="00731395" w:rsidP="005B5F77">
            <w:pPr>
              <w:pStyle w:val="Numberedtable"/>
              <w:numPr>
                <w:ilvl w:val="0"/>
                <w:numId w:val="0"/>
              </w:numPr>
              <w:rPr>
                <w:rFonts w:asciiTheme="minorHAnsi" w:hAnsiTheme="minorHAnsi" w:cstheme="minorHAnsi"/>
                <w:sz w:val="16"/>
                <w:szCs w:val="19"/>
                <w:lang w:val="en-AU"/>
              </w:rPr>
            </w:pPr>
          </w:p>
        </w:tc>
        <w:tc>
          <w:tcPr>
            <w:tcW w:w="2907"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auto"/>
          </w:tcPr>
          <w:p w14:paraId="32B93CB3" w14:textId="77777777" w:rsidR="00731395" w:rsidRPr="000B7354" w:rsidRDefault="00731395" w:rsidP="007D5286">
            <w:pPr>
              <w:pStyle w:val="Numberedtable"/>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Reduce alcohol-related injuries among those who drink at levels above the recommended guidelines</w:t>
            </w:r>
          </w:p>
        </w:tc>
        <w:tc>
          <w:tcPr>
            <w:tcW w:w="78"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075A5EB8"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185" w:type="pct"/>
            <w:tcBorders>
              <w:top w:val="single" w:sz="4" w:space="0" w:color="D0CECE" w:themeColor="background2" w:themeShade="E6"/>
              <w:bottom w:val="single" w:sz="4" w:space="0" w:color="D0CECE" w:themeColor="background2" w:themeShade="E6"/>
            </w:tcBorders>
            <w:shd w:val="clear" w:color="auto" w:fill="auto"/>
            <w:vAlign w:val="center"/>
          </w:tcPr>
          <w:p w14:paraId="30F07B75"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195" w:type="pct"/>
            <w:tcBorders>
              <w:top w:val="single" w:sz="4" w:space="0" w:color="D0CECE" w:themeColor="background2" w:themeShade="E6"/>
              <w:bottom w:val="single" w:sz="4" w:space="0" w:color="D0CECE" w:themeColor="background2" w:themeShade="E6"/>
            </w:tcBorders>
            <w:shd w:val="clear" w:color="auto" w:fill="auto"/>
            <w:vAlign w:val="center"/>
          </w:tcPr>
          <w:p w14:paraId="14BCFD57"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231" w:type="pct"/>
            <w:tcBorders>
              <w:top w:val="single" w:sz="4" w:space="0" w:color="D0CECE" w:themeColor="background2" w:themeShade="E6"/>
              <w:bottom w:val="single" w:sz="4" w:space="0" w:color="D0CECE" w:themeColor="background2" w:themeShade="E6"/>
            </w:tcBorders>
            <w:shd w:val="clear" w:color="auto" w:fill="auto"/>
            <w:vAlign w:val="center"/>
          </w:tcPr>
          <w:p w14:paraId="314FB12C"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252"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94CB22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r w:rsidRPr="00AB59B0">
              <w:rPr>
                <w:rFonts w:asciiTheme="minorHAnsi" w:hAnsiTheme="minorHAnsi" w:cstheme="minorHAnsi"/>
                <w:sz w:val="16"/>
                <w:szCs w:val="19"/>
              </w:rPr>
              <w:sym w:font="Wingdings" w:char="F0FC"/>
            </w:r>
          </w:p>
        </w:tc>
        <w:tc>
          <w:tcPr>
            <w:tcW w:w="279"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uto"/>
            <w:vAlign w:val="center"/>
          </w:tcPr>
          <w:p w14:paraId="6E5BAC2E"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215" w:type="pct"/>
            <w:tcBorders>
              <w:top w:val="single" w:sz="4" w:space="0" w:color="D0CECE" w:themeColor="background2" w:themeShade="E6"/>
              <w:bottom w:val="single" w:sz="4" w:space="0" w:color="D0CECE" w:themeColor="background2" w:themeShade="E6"/>
            </w:tcBorders>
            <w:shd w:val="clear" w:color="auto" w:fill="auto"/>
            <w:vAlign w:val="center"/>
          </w:tcPr>
          <w:p w14:paraId="4DE94005"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30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auto"/>
            <w:vAlign w:val="center"/>
          </w:tcPr>
          <w:p w14:paraId="0849DB75"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r>
      <w:tr w:rsidR="0060376E" w:rsidRPr="0011179C" w14:paraId="056FC113"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525252" w:themeFill="accent3" w:themeFillShade="80"/>
          </w:tcPr>
          <w:p w14:paraId="60736728" w14:textId="77777777" w:rsidR="00731395" w:rsidRPr="00AB59B0" w:rsidRDefault="00731395" w:rsidP="005B5F77">
            <w:pPr>
              <w:pStyle w:val="Numberedtable"/>
              <w:numPr>
                <w:ilvl w:val="0"/>
                <w:numId w:val="0"/>
              </w:numPr>
              <w:rPr>
                <w:rFonts w:asciiTheme="minorHAnsi" w:hAnsiTheme="minorHAnsi" w:cstheme="minorHAnsi"/>
                <w:sz w:val="16"/>
                <w:szCs w:val="19"/>
              </w:rPr>
            </w:pPr>
            <w:r w:rsidRPr="00413B22">
              <w:rPr>
                <w:rFonts w:asciiTheme="minorHAnsi" w:hAnsiTheme="minorHAnsi" w:cstheme="minorHAnsi"/>
                <w:color w:val="FFFFFF" w:themeColor="background1"/>
                <w:sz w:val="16"/>
                <w:szCs w:val="19"/>
              </w:rPr>
              <w:t>Extreme weather</w:t>
            </w: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464940BF" w14:textId="77777777" w:rsidR="00731395" w:rsidRPr="000B7354" w:rsidRDefault="00731395" w:rsidP="007D5286">
            <w:pPr>
              <w:pStyle w:val="Numberedtable"/>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Provide timely access to data on weather-related presentations to Emergency Departments or hospital admissions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0345C9B7"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7581B4B"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A1BCD5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7A22D59"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43B26A9A"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2EB0636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3FE2F908"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017876B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1BC0F78C"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525252" w:themeFill="accent3" w:themeFillShade="80"/>
          </w:tcPr>
          <w:p w14:paraId="2B4EA0EA" w14:textId="77777777" w:rsidR="00731395" w:rsidRPr="00AB59B0" w:rsidRDefault="00731395" w:rsidP="005B5F77">
            <w:pPr>
              <w:pStyle w:val="Numberedtable"/>
              <w:numPr>
                <w:ilvl w:val="0"/>
                <w:numId w:val="0"/>
              </w:numPr>
              <w:rPr>
                <w:rFonts w:asciiTheme="minorHAnsi" w:hAnsiTheme="minorHAnsi" w:cstheme="minorHAnsi"/>
                <w:sz w:val="16"/>
                <w:szCs w:val="19"/>
                <w:lang w:val="en-AU"/>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027FFA06" w14:textId="77777777" w:rsidR="00731395" w:rsidRPr="000B7354" w:rsidRDefault="00731395" w:rsidP="007D5286">
            <w:pPr>
              <w:pStyle w:val="Numberedtable"/>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Improve the short- and long-term response to climate extremes which include a focus on preventing injuries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02A7778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DA17934"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6B3C272"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937886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02797E7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09F6406E"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712663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27E87443"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5B36D6EE"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525252" w:themeFill="accent3" w:themeFillShade="80"/>
          </w:tcPr>
          <w:p w14:paraId="54E57B18" w14:textId="77777777" w:rsidR="00731395" w:rsidRPr="00AB59B0" w:rsidRDefault="00731395" w:rsidP="005B5F77">
            <w:pPr>
              <w:pStyle w:val="Numberedtable"/>
              <w:numPr>
                <w:ilvl w:val="0"/>
                <w:numId w:val="0"/>
              </w:numPr>
              <w:rPr>
                <w:rFonts w:asciiTheme="minorHAnsi" w:hAnsiTheme="minorHAnsi" w:cstheme="minorHAnsi"/>
                <w:sz w:val="16"/>
                <w:szCs w:val="19"/>
                <w:lang w:val="en-AU"/>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02B01B45" w14:textId="77777777" w:rsidR="00731395" w:rsidRPr="000B7354" w:rsidRDefault="00731395" w:rsidP="007D5286">
            <w:pPr>
              <w:pStyle w:val="Numberedtable"/>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lang w:val="en-AU"/>
              </w:rPr>
              <w:t>Increase the use of innovative design and technology in transport, housing, and urban infrastructure to reduce the risk of injury associated with expected longer and more severe heat and extreme weather events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3912C77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07BBA57"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5A8615D"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7AC0AB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4E2512AF"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7F4AA07B"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CFB97E0"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0AFE5CB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58747E3D"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525252" w:themeFill="accent3" w:themeFillShade="80"/>
          </w:tcPr>
          <w:p w14:paraId="61E04020" w14:textId="77777777" w:rsidR="00731395" w:rsidRPr="00AB59B0" w:rsidRDefault="00731395" w:rsidP="005B5F77">
            <w:pPr>
              <w:pStyle w:val="Numberedtable"/>
              <w:numPr>
                <w:ilvl w:val="0"/>
                <w:numId w:val="0"/>
              </w:numPr>
              <w:rPr>
                <w:rFonts w:asciiTheme="minorHAnsi" w:hAnsiTheme="minorHAnsi" w:cstheme="minorHAnsi"/>
                <w:sz w:val="16"/>
                <w:szCs w:val="19"/>
                <w:lang w:val="en-AU"/>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7308F964" w14:textId="77777777" w:rsidR="00731395" w:rsidRPr="000B7354" w:rsidRDefault="00731395" w:rsidP="007D5286">
            <w:pPr>
              <w:pStyle w:val="Numberedtable"/>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lang w:val="en-AU"/>
              </w:rPr>
            </w:pPr>
            <w:r w:rsidRPr="000B7354">
              <w:rPr>
                <w:rFonts w:asciiTheme="minorHAnsi" w:hAnsiTheme="minorHAnsi" w:cstheme="minorHAnsi"/>
                <w:b w:val="0"/>
                <w:sz w:val="19"/>
                <w:szCs w:val="19"/>
                <w:lang w:val="en-AU"/>
              </w:rPr>
              <w:t>Reduce preventable injuries through improvement of disaster warning and communications technologies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3A547581"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52C993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AFF04D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46A4E02"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4D3F4D4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1084C9F5"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14466B6"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4825427D"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rPr>
            </w:pPr>
          </w:p>
        </w:tc>
      </w:tr>
      <w:tr w:rsidR="0060376E" w:rsidRPr="0011179C" w14:paraId="68096C94" w14:textId="77777777" w:rsidTr="00CC26A3">
        <w:trPr>
          <w:trHeight w:val="2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D0CECE" w:themeColor="background2" w:themeShade="E6"/>
              <w:left w:val="single" w:sz="4" w:space="0" w:color="AEAAAA" w:themeColor="background2" w:themeShade="BF"/>
              <w:bottom w:val="single" w:sz="4" w:space="0" w:color="D0CECE" w:themeColor="background2" w:themeShade="E6"/>
              <w:right w:val="single" w:sz="4" w:space="0" w:color="E7E6E6" w:themeColor="background2"/>
            </w:tcBorders>
            <w:shd w:val="clear" w:color="auto" w:fill="525252" w:themeFill="accent3" w:themeFillShade="80"/>
          </w:tcPr>
          <w:p w14:paraId="081BD948" w14:textId="77777777" w:rsidR="00731395" w:rsidRPr="00AB59B0" w:rsidRDefault="00731395" w:rsidP="005B5F77">
            <w:pPr>
              <w:pStyle w:val="Numberedtable"/>
              <w:numPr>
                <w:ilvl w:val="0"/>
                <w:numId w:val="0"/>
              </w:numPr>
              <w:rPr>
                <w:rFonts w:asciiTheme="minorHAnsi" w:hAnsiTheme="minorHAnsi" w:cstheme="minorHAnsi"/>
                <w:sz w:val="16"/>
                <w:szCs w:val="19"/>
              </w:rPr>
            </w:pPr>
          </w:p>
        </w:tc>
        <w:tc>
          <w:tcPr>
            <w:tcW w:w="0" w:type="pct"/>
            <w:tcBorders>
              <w:top w:val="single" w:sz="4" w:space="0" w:color="D0CECE" w:themeColor="background2" w:themeShade="E6"/>
              <w:left w:val="single" w:sz="4" w:space="0" w:color="E7E6E6" w:themeColor="background2"/>
              <w:bottom w:val="single" w:sz="4" w:space="0" w:color="D0CECE" w:themeColor="background2" w:themeShade="E6"/>
              <w:right w:val="single" w:sz="4" w:space="0" w:color="D0CECE" w:themeColor="background2" w:themeShade="E6"/>
            </w:tcBorders>
            <w:shd w:val="clear" w:color="auto" w:fill="E7E6E6" w:themeFill="background2"/>
          </w:tcPr>
          <w:p w14:paraId="2F6B60F2" w14:textId="77777777" w:rsidR="00731395" w:rsidRPr="000B7354" w:rsidRDefault="00731395" w:rsidP="007D5286">
            <w:pPr>
              <w:pStyle w:val="Numberedtable"/>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9"/>
                <w:szCs w:val="19"/>
              </w:rPr>
            </w:pPr>
            <w:r w:rsidRPr="000B7354">
              <w:rPr>
                <w:rFonts w:asciiTheme="minorHAnsi" w:hAnsiTheme="minorHAnsi" w:cstheme="minorHAnsi"/>
                <w:b w:val="0"/>
                <w:sz w:val="19"/>
                <w:szCs w:val="19"/>
              </w:rPr>
              <w:t>Improve response to the threat of physical and social impacts of climate change and extreme weather events</w:t>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4572E9D2"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481092F"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54A3F7E"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4C72A26F"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7E6E6" w:themeFill="background2"/>
            <w:vAlign w:val="center"/>
          </w:tcPr>
          <w:p w14:paraId="64CE581C"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r w:rsidRPr="00AB59B0">
              <w:rPr>
                <w:rFonts w:asciiTheme="minorHAnsi" w:hAnsiTheme="minorHAnsi" w:cstheme="minorHAnsi"/>
                <w:sz w:val="16"/>
                <w:szCs w:val="19"/>
              </w:rPr>
              <w:sym w:font="Wingdings" w:char="F0FC"/>
            </w:r>
          </w:p>
        </w:tc>
        <w:tc>
          <w:tcPr>
            <w:tcW w:w="0"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E7E6E6" w:themeFill="background2"/>
            <w:vAlign w:val="center"/>
          </w:tcPr>
          <w:p w14:paraId="5B171791"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FEFF703"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c>
          <w:tcPr>
            <w:tcW w:w="0" w:type="pct"/>
            <w:tcBorders>
              <w:top w:val="single" w:sz="4" w:space="0" w:color="D0CECE" w:themeColor="background2" w:themeShade="E6"/>
              <w:left w:val="nil"/>
              <w:bottom w:val="single" w:sz="4" w:space="0" w:color="D0CECE" w:themeColor="background2" w:themeShade="E6"/>
              <w:right w:val="single" w:sz="4" w:space="0" w:color="AEAAAA" w:themeColor="background2" w:themeShade="BF"/>
            </w:tcBorders>
            <w:shd w:val="clear" w:color="auto" w:fill="E7E6E6" w:themeFill="background2"/>
            <w:vAlign w:val="center"/>
          </w:tcPr>
          <w:p w14:paraId="53E3DFB1" w14:textId="77777777" w:rsidR="00731395" w:rsidRPr="00AB59B0" w:rsidRDefault="00731395" w:rsidP="005B5F77">
            <w:pPr>
              <w:pStyle w:val="Numberedtable"/>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9"/>
              </w:rPr>
            </w:pPr>
          </w:p>
        </w:tc>
      </w:tr>
      <w:tr w:rsidR="0060376E" w:rsidRPr="0011179C" w14:paraId="21151988" w14:textId="77777777" w:rsidTr="00CC26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0CECE" w:themeColor="background2" w:themeShade="E6"/>
              <w:left w:val="single" w:sz="4" w:space="0" w:color="AEAAAA" w:themeColor="background2" w:themeShade="BF"/>
              <w:bottom w:val="single" w:sz="4" w:space="0" w:color="AEAAAA" w:themeColor="background2" w:themeShade="BF"/>
              <w:right w:val="single" w:sz="4" w:space="0" w:color="E7E6E6" w:themeColor="background2"/>
            </w:tcBorders>
            <w:shd w:val="clear" w:color="auto" w:fill="FF7C80"/>
          </w:tcPr>
          <w:p w14:paraId="4C975D74" w14:textId="77777777" w:rsidR="00731395" w:rsidRPr="00AB59B0" w:rsidRDefault="00731395" w:rsidP="005B5F77">
            <w:pPr>
              <w:pStyle w:val="Numberedtable"/>
              <w:numPr>
                <w:ilvl w:val="0"/>
                <w:numId w:val="0"/>
              </w:numPr>
              <w:rPr>
                <w:rFonts w:asciiTheme="minorHAnsi" w:hAnsiTheme="minorHAnsi" w:cstheme="minorHAnsi"/>
                <w:sz w:val="16"/>
                <w:szCs w:val="19"/>
                <w:lang w:val="en-AU"/>
              </w:rPr>
            </w:pPr>
            <w:r w:rsidRPr="00AB59B0">
              <w:rPr>
                <w:rFonts w:asciiTheme="minorHAnsi" w:hAnsiTheme="minorHAnsi" w:cstheme="minorHAnsi"/>
                <w:sz w:val="16"/>
                <w:szCs w:val="19"/>
                <w:lang w:val="en-AU"/>
              </w:rPr>
              <w:t xml:space="preserve">Built environment </w:t>
            </w:r>
          </w:p>
        </w:tc>
        <w:tc>
          <w:tcPr>
            <w:tcW w:w="2907" w:type="pct"/>
            <w:tcBorders>
              <w:top w:val="single" w:sz="4" w:space="0" w:color="D0CECE" w:themeColor="background2" w:themeShade="E6"/>
              <w:left w:val="single" w:sz="4" w:space="0" w:color="E7E6E6" w:themeColor="background2"/>
              <w:bottom w:val="single" w:sz="4" w:space="0" w:color="AEAAAA" w:themeColor="background2" w:themeShade="BF"/>
              <w:right w:val="single" w:sz="4" w:space="0" w:color="D0CECE" w:themeColor="background2" w:themeShade="E6"/>
            </w:tcBorders>
            <w:shd w:val="clear" w:color="auto" w:fill="auto"/>
          </w:tcPr>
          <w:p w14:paraId="65E9165C" w14:textId="0D7293CA" w:rsidR="00731395" w:rsidRPr="000B7354" w:rsidRDefault="00070925" w:rsidP="007D5286">
            <w:pPr>
              <w:pStyle w:val="Numberedtable"/>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9"/>
                <w:szCs w:val="19"/>
                <w:lang w:val="en-AU"/>
              </w:rPr>
            </w:pPr>
            <w:r>
              <w:rPr>
                <w:rFonts w:asciiTheme="minorHAnsi" w:hAnsiTheme="minorHAnsi" w:cstheme="minorHAnsi"/>
                <w:sz w:val="21"/>
                <w:szCs w:val="21"/>
                <w:lang w:val="en-AU"/>
              </w:rPr>
              <w:t xml:space="preserve"> </w:t>
            </w:r>
            <w:r w:rsidR="009D0CDB">
              <w:rPr>
                <w:rFonts w:asciiTheme="minorHAnsi" w:hAnsiTheme="minorHAnsi" w:cstheme="minorHAnsi"/>
                <w:b w:val="0"/>
                <w:sz w:val="19"/>
                <w:szCs w:val="19"/>
                <w:lang w:val="en-AU"/>
              </w:rPr>
              <w:t xml:space="preserve">Improve </w:t>
            </w:r>
            <w:r w:rsidRPr="00070925">
              <w:rPr>
                <w:rFonts w:asciiTheme="minorHAnsi" w:hAnsiTheme="minorHAnsi" w:cstheme="minorHAnsi"/>
                <w:b w:val="0"/>
                <w:sz w:val="19"/>
                <w:szCs w:val="19"/>
                <w:lang w:val="en-AU"/>
              </w:rPr>
              <w:t>urban planning to promote health and safety</w:t>
            </w:r>
          </w:p>
        </w:tc>
        <w:tc>
          <w:tcPr>
            <w:tcW w:w="78" w:type="pct"/>
            <w:tcBorders>
              <w:top w:val="single" w:sz="4" w:space="0" w:color="D0CECE" w:themeColor="background2" w:themeShade="E6"/>
              <w:left w:val="single" w:sz="4" w:space="0" w:color="D0CECE" w:themeColor="background2" w:themeShade="E6"/>
              <w:bottom w:val="single" w:sz="4" w:space="0" w:color="AEAAAA" w:themeColor="background2" w:themeShade="BF"/>
            </w:tcBorders>
            <w:shd w:val="clear" w:color="auto" w:fill="auto"/>
            <w:vAlign w:val="center"/>
          </w:tcPr>
          <w:p w14:paraId="3A0BC4DA"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185" w:type="pct"/>
            <w:tcBorders>
              <w:top w:val="single" w:sz="4" w:space="0" w:color="D0CECE" w:themeColor="background2" w:themeShade="E6"/>
              <w:bottom w:val="single" w:sz="4" w:space="0" w:color="AEAAAA" w:themeColor="background2" w:themeShade="BF"/>
            </w:tcBorders>
            <w:shd w:val="clear" w:color="auto" w:fill="auto"/>
            <w:vAlign w:val="center"/>
          </w:tcPr>
          <w:p w14:paraId="708BBB94"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195" w:type="pct"/>
            <w:tcBorders>
              <w:top w:val="single" w:sz="4" w:space="0" w:color="D0CECE" w:themeColor="background2" w:themeShade="E6"/>
              <w:bottom w:val="single" w:sz="4" w:space="0" w:color="AEAAAA" w:themeColor="background2" w:themeShade="BF"/>
            </w:tcBorders>
            <w:shd w:val="clear" w:color="auto" w:fill="auto"/>
            <w:vAlign w:val="center"/>
          </w:tcPr>
          <w:p w14:paraId="3BA81B8B"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231" w:type="pct"/>
            <w:tcBorders>
              <w:top w:val="single" w:sz="4" w:space="0" w:color="D0CECE" w:themeColor="background2" w:themeShade="E6"/>
              <w:bottom w:val="single" w:sz="4" w:space="0" w:color="AEAAAA" w:themeColor="background2" w:themeShade="BF"/>
            </w:tcBorders>
            <w:shd w:val="clear" w:color="auto" w:fill="auto"/>
            <w:vAlign w:val="center"/>
          </w:tcPr>
          <w:p w14:paraId="3B358A39"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252" w:type="pct"/>
            <w:tcBorders>
              <w:top w:val="single" w:sz="4" w:space="0" w:color="D0CECE" w:themeColor="background2" w:themeShade="E6"/>
              <w:bottom w:val="single" w:sz="4" w:space="0" w:color="AEAAAA" w:themeColor="background2" w:themeShade="BF"/>
              <w:right w:val="single" w:sz="4" w:space="0" w:color="D0CECE" w:themeColor="background2" w:themeShade="E6"/>
            </w:tcBorders>
            <w:shd w:val="clear" w:color="auto" w:fill="auto"/>
            <w:vAlign w:val="center"/>
          </w:tcPr>
          <w:p w14:paraId="100487AC"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r w:rsidRPr="00AB59B0">
              <w:rPr>
                <w:rFonts w:asciiTheme="minorHAnsi" w:hAnsiTheme="minorHAnsi" w:cstheme="minorHAnsi"/>
                <w:sz w:val="16"/>
                <w:szCs w:val="19"/>
              </w:rPr>
              <w:sym w:font="Wingdings" w:char="F0FC"/>
            </w:r>
          </w:p>
        </w:tc>
        <w:tc>
          <w:tcPr>
            <w:tcW w:w="279" w:type="pct"/>
            <w:tcBorders>
              <w:top w:val="single" w:sz="4" w:space="0" w:color="D0CECE" w:themeColor="background2" w:themeShade="E6"/>
              <w:left w:val="single" w:sz="4" w:space="0" w:color="D0CECE" w:themeColor="background2" w:themeShade="E6"/>
              <w:bottom w:val="single" w:sz="4" w:space="0" w:color="AEAAAA" w:themeColor="background2" w:themeShade="BF"/>
            </w:tcBorders>
            <w:shd w:val="clear" w:color="auto" w:fill="auto"/>
            <w:vAlign w:val="center"/>
          </w:tcPr>
          <w:p w14:paraId="18D59898"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215" w:type="pct"/>
            <w:tcBorders>
              <w:top w:val="single" w:sz="4" w:space="0" w:color="D0CECE" w:themeColor="background2" w:themeShade="E6"/>
              <w:bottom w:val="single" w:sz="4" w:space="0" w:color="AEAAAA" w:themeColor="background2" w:themeShade="BF"/>
            </w:tcBorders>
            <w:shd w:val="clear" w:color="auto" w:fill="auto"/>
            <w:vAlign w:val="center"/>
          </w:tcPr>
          <w:p w14:paraId="554BC128"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c>
          <w:tcPr>
            <w:tcW w:w="300" w:type="pct"/>
            <w:tcBorders>
              <w:top w:val="single" w:sz="4" w:space="0" w:color="D0CECE" w:themeColor="background2" w:themeShade="E6"/>
              <w:bottom w:val="single" w:sz="4" w:space="0" w:color="AEAAAA" w:themeColor="background2" w:themeShade="BF"/>
              <w:right w:val="single" w:sz="4" w:space="0" w:color="AEAAAA" w:themeColor="background2" w:themeShade="BF"/>
            </w:tcBorders>
            <w:shd w:val="clear" w:color="auto" w:fill="auto"/>
            <w:vAlign w:val="center"/>
          </w:tcPr>
          <w:p w14:paraId="563DEF60" w14:textId="77777777" w:rsidR="00731395" w:rsidRPr="00AB59B0" w:rsidRDefault="00731395" w:rsidP="005B5F77">
            <w:pPr>
              <w:pStyle w:val="Numberedtable"/>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9"/>
                <w:lang w:val="en-AU"/>
              </w:rPr>
            </w:pPr>
          </w:p>
        </w:tc>
      </w:tr>
    </w:tbl>
    <w:bookmarkEnd w:id="38"/>
    <w:p w14:paraId="2E7BD753" w14:textId="0BB3CB0B" w:rsidR="005C609F" w:rsidRPr="0060376E" w:rsidRDefault="005C609F">
      <w:pPr>
        <w:rPr>
          <w:sz w:val="18"/>
        </w:rPr>
      </w:pPr>
      <w:r w:rsidRPr="00192375">
        <w:rPr>
          <w:sz w:val="18"/>
        </w:rPr>
        <w:t>* Cross</w:t>
      </w:r>
      <w:r>
        <w:rPr>
          <w:sz w:val="18"/>
        </w:rPr>
        <w:t xml:space="preserve"> </w:t>
      </w:r>
      <w:r w:rsidRPr="00192375">
        <w:rPr>
          <w:sz w:val="18"/>
        </w:rPr>
        <w:t>cutting across the lifespan and injury type</w:t>
      </w:r>
      <w:r>
        <w:rPr>
          <w:sz w:val="18"/>
        </w:rPr>
        <w:t xml:space="preserve">, A= cross cutting with alcohol, B= cross cutting with the built environment </w:t>
      </w:r>
    </w:p>
    <w:p w14:paraId="0075AF00" w14:textId="77777777" w:rsidR="001B1972" w:rsidRPr="00400300" w:rsidRDefault="001B1972" w:rsidP="0060376E">
      <w:pPr>
        <w:tabs>
          <w:tab w:val="center" w:pos="7699"/>
        </w:tabs>
        <w:rPr>
          <w:lang w:val="en-AU"/>
        </w:rPr>
        <w:sectPr w:rsidR="001B1972" w:rsidRPr="00400300" w:rsidSect="00C34EE8">
          <w:footerReference w:type="default" r:id="rId29"/>
          <w:endnotePr>
            <w:numFmt w:val="decimal"/>
          </w:endnotePr>
          <w:pgSz w:w="16839" w:h="11907" w:orient="landscape" w:code="9"/>
          <w:pgMar w:top="720" w:right="720" w:bottom="720" w:left="720" w:header="720" w:footer="720" w:gutter="0"/>
          <w:cols w:space="720"/>
          <w:docGrid w:linePitch="360"/>
        </w:sectPr>
      </w:pPr>
      <w:bookmarkStart w:id="39" w:name="_Toc22922792"/>
      <w:bookmarkStart w:id="40" w:name="_Toc22928278"/>
    </w:p>
    <w:p w14:paraId="13095E8B" w14:textId="57EF004F" w:rsidR="001B1972" w:rsidRPr="00400300" w:rsidRDefault="001B1972" w:rsidP="001B1972">
      <w:pPr>
        <w:pStyle w:val="Heading1"/>
        <w:rPr>
          <w:lang w:val="en-AU"/>
        </w:rPr>
      </w:pPr>
      <w:bookmarkStart w:id="41" w:name="_Toc33107353"/>
      <w:bookmarkStart w:id="42" w:name="_Toc38021083"/>
      <w:bookmarkEnd w:id="39"/>
      <w:bookmarkEnd w:id="40"/>
      <w:r w:rsidRPr="00400300">
        <w:rPr>
          <w:lang w:val="en-AU"/>
        </w:rPr>
        <w:t>Setting the scene</w:t>
      </w:r>
      <w:bookmarkEnd w:id="41"/>
      <w:bookmarkEnd w:id="42"/>
    </w:p>
    <w:p w14:paraId="19D7E6F5" w14:textId="77777777" w:rsidR="00212D77" w:rsidRPr="00400300" w:rsidRDefault="00212D77" w:rsidP="0052449D">
      <w:pPr>
        <w:pStyle w:val="Heading2"/>
        <w:spacing w:before="0"/>
        <w:rPr>
          <w:lang w:val="en-AU"/>
        </w:rPr>
      </w:pPr>
      <w:bookmarkStart w:id="43" w:name="_Toc38021084"/>
      <w:r w:rsidRPr="00400300">
        <w:rPr>
          <w:lang w:val="en-AU"/>
        </w:rPr>
        <w:t>Injuries at a glance</w:t>
      </w:r>
      <w:bookmarkEnd w:id="43"/>
    </w:p>
    <w:p w14:paraId="0AC4152E" w14:textId="77777777" w:rsidR="00212D77" w:rsidRPr="0052449D" w:rsidRDefault="00212D77" w:rsidP="00D13A37">
      <w:pPr>
        <w:spacing w:before="0"/>
        <w:rPr>
          <w:sz w:val="16"/>
          <w:szCs w:val="16"/>
          <w:lang w:val="en-AU" w:eastAsia="en-US"/>
        </w:rPr>
      </w:pPr>
    </w:p>
    <w:tbl>
      <w:tblPr>
        <w:tblStyle w:val="TableGrid"/>
        <w:tblW w:w="0" w:type="auto"/>
        <w:tblLook w:val="04A0" w:firstRow="1" w:lastRow="0" w:firstColumn="1" w:lastColumn="0" w:noHBand="0" w:noVBand="1"/>
      </w:tblPr>
      <w:tblGrid>
        <w:gridCol w:w="2122"/>
        <w:gridCol w:w="3447"/>
        <w:gridCol w:w="3447"/>
      </w:tblGrid>
      <w:tr w:rsidR="00212D77" w:rsidRPr="00400300" w14:paraId="3E42E093" w14:textId="77777777" w:rsidTr="004F5A5B">
        <w:tc>
          <w:tcPr>
            <w:tcW w:w="9016" w:type="dxa"/>
            <w:gridSpan w:val="3"/>
            <w:shd w:val="clear" w:color="auto" w:fill="E7E6E6" w:themeFill="background2"/>
          </w:tcPr>
          <w:p w14:paraId="1F6D46D3" w14:textId="6B8B0547" w:rsidR="00212D77" w:rsidRPr="00400300" w:rsidRDefault="00212D77" w:rsidP="004F5A5B">
            <w:pPr>
              <w:jc w:val="center"/>
              <w:rPr>
                <w:lang w:val="en-AU"/>
              </w:rPr>
            </w:pPr>
            <w:r w:rsidRPr="00400300">
              <w:rPr>
                <w:lang w:val="en-AU"/>
              </w:rPr>
              <w:t xml:space="preserve">Injury is the </w:t>
            </w:r>
            <w:r w:rsidRPr="00400300">
              <w:rPr>
                <w:b/>
                <w:lang w:val="en-AU"/>
              </w:rPr>
              <w:t>leading</w:t>
            </w:r>
            <w:r w:rsidRPr="00400300">
              <w:rPr>
                <w:lang w:val="en-AU"/>
              </w:rPr>
              <w:t xml:space="preserve"> cause of </w:t>
            </w:r>
            <w:r w:rsidRPr="00400300">
              <w:rPr>
                <w:b/>
                <w:lang w:val="en-AU"/>
              </w:rPr>
              <w:t>death</w:t>
            </w:r>
            <w:r w:rsidRPr="00400300">
              <w:rPr>
                <w:lang w:val="en-AU"/>
              </w:rPr>
              <w:t xml:space="preserve"> for Australians aged </w:t>
            </w:r>
            <w:r w:rsidR="00051D43">
              <w:rPr>
                <w:lang w:val="en-AU"/>
              </w:rPr>
              <w:t>1</w:t>
            </w:r>
            <w:r w:rsidRPr="00400300">
              <w:rPr>
                <w:lang w:val="en-AU"/>
              </w:rPr>
              <w:t>-44</w:t>
            </w:r>
            <w:r w:rsidRPr="00400300">
              <w:rPr>
                <w:vertAlign w:val="superscript"/>
                <w:lang w:val="en-AU"/>
              </w:rPr>
              <w:t>1</w:t>
            </w:r>
          </w:p>
        </w:tc>
      </w:tr>
      <w:tr w:rsidR="00212D77" w:rsidRPr="00400300" w14:paraId="10C38384" w14:textId="77777777" w:rsidTr="004F5A5B">
        <w:tc>
          <w:tcPr>
            <w:tcW w:w="2122" w:type="dxa"/>
            <w:vMerge w:val="restart"/>
          </w:tcPr>
          <w:p w14:paraId="26AE2BAA" w14:textId="669232B8" w:rsidR="00212D77" w:rsidRPr="00400300" w:rsidRDefault="00212D77" w:rsidP="004F5A5B">
            <w:pPr>
              <w:jc w:val="center"/>
              <w:rPr>
                <w:lang w:val="en-AU"/>
              </w:rPr>
            </w:pPr>
            <w:r w:rsidRPr="00400300">
              <w:rPr>
                <w:lang w:val="en-AU"/>
              </w:rPr>
              <w:t>In 2015</w:t>
            </w:r>
            <w:r w:rsidR="0060583A">
              <w:rPr>
                <w:lang w:val="en-AU"/>
              </w:rPr>
              <w:t xml:space="preserve"> almost</w:t>
            </w:r>
          </w:p>
          <w:p w14:paraId="02CDDE72" w14:textId="77777777" w:rsidR="00212D77" w:rsidRPr="00400300" w:rsidRDefault="00212D77" w:rsidP="004F5A5B">
            <w:pPr>
              <w:jc w:val="center"/>
              <w:rPr>
                <w:b/>
                <w:sz w:val="32"/>
                <w:lang w:val="en-AU"/>
              </w:rPr>
            </w:pPr>
            <w:r w:rsidRPr="00400300">
              <w:rPr>
                <w:b/>
                <w:sz w:val="32"/>
                <w:lang w:val="en-AU"/>
              </w:rPr>
              <w:t>11 000</w:t>
            </w:r>
          </w:p>
          <w:p w14:paraId="2EDB6C0B" w14:textId="77777777" w:rsidR="00212D77" w:rsidRPr="00400300" w:rsidRDefault="00212D77" w:rsidP="004F5A5B">
            <w:pPr>
              <w:jc w:val="center"/>
              <w:rPr>
                <w:lang w:val="en-AU"/>
              </w:rPr>
            </w:pPr>
            <w:r w:rsidRPr="00400300">
              <w:rPr>
                <w:lang w:val="en-AU"/>
              </w:rPr>
              <w:t>Australians died from injury</w:t>
            </w:r>
            <w:r w:rsidRPr="00400300">
              <w:rPr>
                <w:vertAlign w:val="superscript"/>
                <w:lang w:val="en-AU"/>
              </w:rPr>
              <w:t>3</w:t>
            </w:r>
          </w:p>
        </w:tc>
        <w:tc>
          <w:tcPr>
            <w:tcW w:w="3447" w:type="dxa"/>
          </w:tcPr>
          <w:p w14:paraId="529CE64F" w14:textId="77777777" w:rsidR="00AB7419" w:rsidRDefault="00AB7419" w:rsidP="00AB7419">
            <w:pPr>
              <w:jc w:val="center"/>
              <w:rPr>
                <w:vertAlign w:val="superscript"/>
                <w:lang w:val="en-AU"/>
              </w:rPr>
            </w:pPr>
            <w:r w:rsidRPr="00B315AC">
              <w:rPr>
                <w:b/>
                <w:sz w:val="26"/>
                <w:szCs w:val="26"/>
                <w:lang w:val="en-AU"/>
              </w:rPr>
              <w:t>189</w:t>
            </w:r>
            <w:r w:rsidRPr="00400300">
              <w:rPr>
                <w:vertAlign w:val="superscript"/>
                <w:lang w:val="en-AU"/>
              </w:rPr>
              <w:t>3</w:t>
            </w:r>
          </w:p>
          <w:p w14:paraId="7D02052A" w14:textId="4CC592C8" w:rsidR="00AB7419" w:rsidRPr="00400300" w:rsidRDefault="00AB7419" w:rsidP="00AB7419">
            <w:pPr>
              <w:jc w:val="center"/>
              <w:rPr>
                <w:b/>
                <w:lang w:val="en-AU"/>
              </w:rPr>
            </w:pPr>
            <w:r w:rsidRPr="00400300">
              <w:rPr>
                <w:i/>
                <w:lang w:val="en-AU"/>
              </w:rPr>
              <w:t xml:space="preserve"> Children 0-14</w:t>
            </w:r>
            <w:r>
              <w:rPr>
                <w:i/>
                <w:lang w:val="en-AU"/>
              </w:rPr>
              <w:t xml:space="preserve"> years</w:t>
            </w:r>
          </w:p>
          <w:p w14:paraId="32CCB76B" w14:textId="643BB215" w:rsidR="00212D77" w:rsidRPr="00400300" w:rsidRDefault="00AB7419" w:rsidP="004F5A5B">
            <w:pPr>
              <w:jc w:val="center"/>
              <w:rPr>
                <w:i/>
                <w:lang w:val="en-AU"/>
              </w:rPr>
            </w:pPr>
            <w:r>
              <w:rPr>
                <w:i/>
                <w:lang w:val="en-AU"/>
              </w:rPr>
              <w:t>died from injury</w:t>
            </w:r>
          </w:p>
          <w:p w14:paraId="4B2316A5" w14:textId="51534611" w:rsidR="00212D77" w:rsidRPr="00D13A37" w:rsidRDefault="00212D77" w:rsidP="004F5A5B">
            <w:pPr>
              <w:rPr>
                <w:sz w:val="20"/>
                <w:szCs w:val="20"/>
                <w:lang w:val="en-AU"/>
              </w:rPr>
            </w:pPr>
            <w:r w:rsidRPr="00D13A37">
              <w:rPr>
                <w:sz w:val="20"/>
                <w:szCs w:val="20"/>
                <w:lang w:val="en-AU"/>
              </w:rPr>
              <w:t>#1</w:t>
            </w:r>
            <w:r w:rsidR="00D13A37" w:rsidRPr="00D13A37">
              <w:rPr>
                <w:sz w:val="20"/>
                <w:szCs w:val="20"/>
                <w:lang w:val="en-AU"/>
              </w:rPr>
              <w:t xml:space="preserve"> cause was</w:t>
            </w:r>
            <w:r w:rsidRPr="00D13A37">
              <w:rPr>
                <w:sz w:val="20"/>
                <w:szCs w:val="20"/>
                <w:lang w:val="en-AU"/>
              </w:rPr>
              <w:t xml:space="preserve"> Transport accidents</w:t>
            </w:r>
            <w:r w:rsidRPr="00D13A37">
              <w:rPr>
                <w:sz w:val="20"/>
                <w:szCs w:val="20"/>
                <w:vertAlign w:val="superscript"/>
                <w:lang w:val="en-AU"/>
              </w:rPr>
              <w:t>4</w:t>
            </w:r>
          </w:p>
        </w:tc>
        <w:tc>
          <w:tcPr>
            <w:tcW w:w="3447" w:type="dxa"/>
          </w:tcPr>
          <w:p w14:paraId="2AA7E46F" w14:textId="11B0AFB6" w:rsidR="00AB7419" w:rsidRPr="00B15ACC" w:rsidRDefault="00AB7419" w:rsidP="00AB7419">
            <w:pPr>
              <w:jc w:val="center"/>
              <w:rPr>
                <w:b/>
                <w:lang w:val="en-AU"/>
              </w:rPr>
            </w:pPr>
            <w:r w:rsidRPr="00B315AC">
              <w:rPr>
                <w:b/>
                <w:sz w:val="26"/>
                <w:szCs w:val="26"/>
                <w:lang w:val="en-AU"/>
              </w:rPr>
              <w:t>811</w:t>
            </w:r>
            <w:r w:rsidR="00B15ACC" w:rsidRPr="00B15ACC">
              <w:rPr>
                <w:vertAlign w:val="superscript"/>
                <w:lang w:val="en-AU"/>
              </w:rPr>
              <w:t>3</w:t>
            </w:r>
          </w:p>
          <w:p w14:paraId="71E3F17D" w14:textId="17165F98" w:rsidR="00AB7419" w:rsidRPr="00AB7419" w:rsidRDefault="00212D77" w:rsidP="00AB7419">
            <w:pPr>
              <w:jc w:val="center"/>
              <w:rPr>
                <w:i/>
                <w:lang w:val="en-AU"/>
              </w:rPr>
            </w:pPr>
            <w:r w:rsidRPr="00AB7419">
              <w:rPr>
                <w:i/>
                <w:lang w:val="en-AU"/>
              </w:rPr>
              <w:t>Young people 15-24</w:t>
            </w:r>
            <w:r w:rsidR="00AB7419" w:rsidRPr="00AB7419">
              <w:rPr>
                <w:i/>
                <w:lang w:val="en-AU"/>
              </w:rPr>
              <w:t xml:space="preserve"> years </w:t>
            </w:r>
          </w:p>
          <w:p w14:paraId="1C289754" w14:textId="4171ADC1" w:rsidR="00212D77" w:rsidRPr="00AB7419" w:rsidRDefault="00AB7419" w:rsidP="00AB7419">
            <w:pPr>
              <w:jc w:val="center"/>
              <w:rPr>
                <w:i/>
                <w:lang w:val="en-AU"/>
              </w:rPr>
            </w:pPr>
            <w:r w:rsidRPr="00AB7419">
              <w:rPr>
                <w:i/>
                <w:lang w:val="en-AU"/>
              </w:rPr>
              <w:t>died from injury</w:t>
            </w:r>
          </w:p>
          <w:p w14:paraId="71E246D0" w14:textId="379ACBA4" w:rsidR="00212D77" w:rsidRPr="00D13A37" w:rsidRDefault="00212D77" w:rsidP="00B315AC">
            <w:pPr>
              <w:jc w:val="center"/>
              <w:rPr>
                <w:i/>
                <w:sz w:val="20"/>
                <w:szCs w:val="20"/>
                <w:lang w:val="en-AU"/>
              </w:rPr>
            </w:pPr>
            <w:r w:rsidRPr="00D13A37">
              <w:rPr>
                <w:sz w:val="20"/>
                <w:szCs w:val="20"/>
                <w:lang w:val="en-AU"/>
              </w:rPr>
              <w:t>#1</w:t>
            </w:r>
            <w:r w:rsidR="00D13A37" w:rsidRPr="00D13A37">
              <w:rPr>
                <w:sz w:val="20"/>
                <w:szCs w:val="20"/>
                <w:lang w:val="en-AU"/>
              </w:rPr>
              <w:t xml:space="preserve"> cause was</w:t>
            </w:r>
            <w:r w:rsidRPr="00D13A37">
              <w:rPr>
                <w:sz w:val="20"/>
                <w:szCs w:val="20"/>
                <w:lang w:val="en-AU"/>
              </w:rPr>
              <w:t xml:space="preserve"> Suicide + Self-harm</w:t>
            </w:r>
            <w:r w:rsidRPr="00D13A37">
              <w:rPr>
                <w:sz w:val="20"/>
                <w:szCs w:val="20"/>
                <w:vertAlign w:val="superscript"/>
                <w:lang w:val="en-AU"/>
              </w:rPr>
              <w:t>4</w:t>
            </w:r>
          </w:p>
        </w:tc>
      </w:tr>
      <w:tr w:rsidR="00212D77" w:rsidRPr="00400300" w14:paraId="06489896" w14:textId="77777777" w:rsidTr="004F5A5B">
        <w:tc>
          <w:tcPr>
            <w:tcW w:w="2122" w:type="dxa"/>
            <w:vMerge/>
          </w:tcPr>
          <w:p w14:paraId="37990C6F" w14:textId="77777777" w:rsidR="00212D77" w:rsidRPr="00400300" w:rsidRDefault="00212D77" w:rsidP="004F5A5B">
            <w:pPr>
              <w:rPr>
                <w:lang w:val="en-AU"/>
              </w:rPr>
            </w:pPr>
          </w:p>
        </w:tc>
        <w:tc>
          <w:tcPr>
            <w:tcW w:w="3447" w:type="dxa"/>
          </w:tcPr>
          <w:p w14:paraId="69431942" w14:textId="77777777" w:rsidR="00AB7419" w:rsidRPr="00400300" w:rsidRDefault="00AB7419" w:rsidP="00AB7419">
            <w:pPr>
              <w:jc w:val="center"/>
              <w:rPr>
                <w:b/>
                <w:lang w:val="en-AU"/>
              </w:rPr>
            </w:pPr>
            <w:r w:rsidRPr="00DD6F30">
              <w:rPr>
                <w:b/>
                <w:sz w:val="26"/>
                <w:szCs w:val="26"/>
                <w:lang w:val="en-AU"/>
              </w:rPr>
              <w:t>5118</w:t>
            </w:r>
            <w:r w:rsidRPr="00400300">
              <w:rPr>
                <w:vertAlign w:val="superscript"/>
                <w:lang w:val="en-AU"/>
              </w:rPr>
              <w:t>3</w:t>
            </w:r>
          </w:p>
          <w:p w14:paraId="4B1CB53E" w14:textId="151F961A" w:rsidR="00B15ACC" w:rsidRPr="00400300" w:rsidRDefault="00212D77" w:rsidP="00B15ACC">
            <w:pPr>
              <w:jc w:val="center"/>
              <w:rPr>
                <w:i/>
                <w:lang w:val="en-AU"/>
              </w:rPr>
            </w:pPr>
            <w:r w:rsidRPr="00400300">
              <w:rPr>
                <w:i/>
                <w:lang w:val="en-AU"/>
              </w:rPr>
              <w:t>Adults 25-64</w:t>
            </w:r>
            <w:r w:rsidR="00AB7419">
              <w:rPr>
                <w:i/>
                <w:lang w:val="en-AU"/>
              </w:rPr>
              <w:t xml:space="preserve"> years</w:t>
            </w:r>
            <w:r w:rsidR="00B15ACC">
              <w:rPr>
                <w:i/>
                <w:lang w:val="en-AU"/>
              </w:rPr>
              <w:t xml:space="preserve"> died from injury</w:t>
            </w:r>
          </w:p>
          <w:p w14:paraId="53617787" w14:textId="4F40F2D3" w:rsidR="00212D77" w:rsidRPr="00D13A37" w:rsidRDefault="00212D77" w:rsidP="004F5A5B">
            <w:pPr>
              <w:rPr>
                <w:sz w:val="20"/>
                <w:szCs w:val="20"/>
                <w:lang w:val="en-AU"/>
              </w:rPr>
            </w:pPr>
            <w:r w:rsidRPr="00D13A37">
              <w:rPr>
                <w:sz w:val="20"/>
                <w:szCs w:val="20"/>
                <w:lang w:val="en-AU"/>
              </w:rPr>
              <w:t>#1</w:t>
            </w:r>
            <w:r w:rsidR="00D13A37" w:rsidRPr="00D13A37">
              <w:rPr>
                <w:sz w:val="20"/>
                <w:szCs w:val="20"/>
                <w:lang w:val="en-AU"/>
              </w:rPr>
              <w:t xml:space="preserve"> cause was </w:t>
            </w:r>
            <w:r w:rsidRPr="00D13A37">
              <w:rPr>
                <w:sz w:val="20"/>
                <w:szCs w:val="20"/>
                <w:lang w:val="en-AU"/>
              </w:rPr>
              <w:t>Suicide + Self-harm</w:t>
            </w:r>
            <w:r w:rsidRPr="0052449D">
              <w:rPr>
                <w:sz w:val="20"/>
                <w:szCs w:val="20"/>
                <w:vertAlign w:val="superscript"/>
                <w:lang w:val="en-AU"/>
              </w:rPr>
              <w:t>4</w:t>
            </w:r>
          </w:p>
        </w:tc>
        <w:tc>
          <w:tcPr>
            <w:tcW w:w="3447" w:type="dxa"/>
          </w:tcPr>
          <w:p w14:paraId="51D8D8EA" w14:textId="502936C2" w:rsidR="00B15ACC" w:rsidRPr="00400300" w:rsidRDefault="0060583A" w:rsidP="00B15ACC">
            <w:pPr>
              <w:jc w:val="center"/>
              <w:rPr>
                <w:b/>
                <w:lang w:val="en-AU"/>
              </w:rPr>
            </w:pPr>
            <w:r w:rsidRPr="00C268CE">
              <w:rPr>
                <w:b/>
                <w:sz w:val="26"/>
                <w:szCs w:val="26"/>
                <w:lang w:val="en-AU"/>
              </w:rPr>
              <w:t>4</w:t>
            </w:r>
            <w:r>
              <w:rPr>
                <w:b/>
                <w:sz w:val="26"/>
                <w:szCs w:val="26"/>
                <w:lang w:val="en-AU"/>
              </w:rPr>
              <w:t>733</w:t>
            </w:r>
            <w:r w:rsidRPr="00400300">
              <w:rPr>
                <w:vertAlign w:val="superscript"/>
                <w:lang w:val="en-AU"/>
              </w:rPr>
              <w:t>3</w:t>
            </w:r>
          </w:p>
          <w:p w14:paraId="47DD97D4" w14:textId="18D67305" w:rsidR="00B15ACC" w:rsidRPr="00400300" w:rsidRDefault="00212D77" w:rsidP="00B15ACC">
            <w:pPr>
              <w:jc w:val="center"/>
              <w:rPr>
                <w:i/>
                <w:lang w:val="en-AU"/>
              </w:rPr>
            </w:pPr>
            <w:r w:rsidRPr="00400300">
              <w:rPr>
                <w:i/>
                <w:lang w:val="en-AU"/>
              </w:rPr>
              <w:t>Older adults 65+</w:t>
            </w:r>
            <w:r w:rsidR="00B15ACC">
              <w:rPr>
                <w:i/>
                <w:lang w:val="en-AU"/>
              </w:rPr>
              <w:t xml:space="preserve"> died from injury</w:t>
            </w:r>
          </w:p>
          <w:p w14:paraId="3D6928A2" w14:textId="5767A960" w:rsidR="00212D77" w:rsidRPr="00D13A37" w:rsidRDefault="00212D77" w:rsidP="004F5A5B">
            <w:pPr>
              <w:rPr>
                <w:sz w:val="20"/>
                <w:szCs w:val="20"/>
                <w:lang w:val="en-AU"/>
              </w:rPr>
            </w:pPr>
            <w:r w:rsidRPr="00D13A37">
              <w:rPr>
                <w:sz w:val="20"/>
                <w:szCs w:val="20"/>
                <w:lang w:val="en-AU"/>
              </w:rPr>
              <w:t>#1</w:t>
            </w:r>
            <w:r w:rsidR="00D13A37" w:rsidRPr="00D13A37">
              <w:rPr>
                <w:sz w:val="20"/>
                <w:szCs w:val="20"/>
                <w:lang w:val="en-AU"/>
              </w:rPr>
              <w:t xml:space="preserve"> cause was </w:t>
            </w:r>
            <w:r w:rsidRPr="00D13A37">
              <w:rPr>
                <w:sz w:val="20"/>
                <w:szCs w:val="20"/>
                <w:lang w:val="en-AU"/>
              </w:rPr>
              <w:t>Falls</w:t>
            </w:r>
            <w:r w:rsidRPr="00D13A37">
              <w:rPr>
                <w:sz w:val="20"/>
                <w:szCs w:val="20"/>
                <w:vertAlign w:val="superscript"/>
                <w:lang w:val="en-AU"/>
              </w:rPr>
              <w:t>4</w:t>
            </w:r>
          </w:p>
        </w:tc>
      </w:tr>
    </w:tbl>
    <w:p w14:paraId="2A125BC8" w14:textId="77777777" w:rsidR="00212D77" w:rsidRPr="00D13A37" w:rsidRDefault="00212D77" w:rsidP="00D13A37">
      <w:pPr>
        <w:spacing w:before="0"/>
        <w:rPr>
          <w:sz w:val="16"/>
          <w:szCs w:val="16"/>
          <w:lang w:val="en-AU"/>
        </w:rPr>
      </w:pPr>
    </w:p>
    <w:tbl>
      <w:tblPr>
        <w:tblStyle w:val="TableGrid"/>
        <w:tblW w:w="0" w:type="auto"/>
        <w:tblLook w:val="04A0" w:firstRow="1" w:lastRow="0" w:firstColumn="1" w:lastColumn="0" w:noHBand="0" w:noVBand="1"/>
      </w:tblPr>
      <w:tblGrid>
        <w:gridCol w:w="4508"/>
        <w:gridCol w:w="4508"/>
      </w:tblGrid>
      <w:tr w:rsidR="00212D77" w:rsidRPr="00400300" w14:paraId="4A2E7376" w14:textId="77777777" w:rsidTr="004F5A5B">
        <w:tc>
          <w:tcPr>
            <w:tcW w:w="9016" w:type="dxa"/>
            <w:gridSpan w:val="2"/>
            <w:shd w:val="clear" w:color="auto" w:fill="E7E6E6" w:themeFill="background2"/>
          </w:tcPr>
          <w:p w14:paraId="1D57BE5B" w14:textId="77777777" w:rsidR="00212D77" w:rsidRPr="00400300" w:rsidRDefault="00212D77" w:rsidP="004F5A5B">
            <w:pPr>
              <w:jc w:val="center"/>
              <w:rPr>
                <w:lang w:val="en-AU"/>
              </w:rPr>
            </w:pPr>
            <w:r w:rsidRPr="00400300">
              <w:rPr>
                <w:lang w:val="en-AU"/>
              </w:rPr>
              <w:t>Many people experience the life-long impacts of injury</w:t>
            </w:r>
          </w:p>
        </w:tc>
      </w:tr>
      <w:tr w:rsidR="00212D77" w:rsidRPr="00400300" w14:paraId="714D4853" w14:textId="77777777" w:rsidTr="004F5A5B">
        <w:tc>
          <w:tcPr>
            <w:tcW w:w="4508" w:type="dxa"/>
          </w:tcPr>
          <w:p w14:paraId="73105DDD" w14:textId="77777777" w:rsidR="00212D77" w:rsidRPr="00400300" w:rsidRDefault="00212D77" w:rsidP="004F5A5B">
            <w:pPr>
              <w:rPr>
                <w:lang w:val="en-AU"/>
              </w:rPr>
            </w:pPr>
            <w:r w:rsidRPr="00400300">
              <w:rPr>
                <w:lang w:val="en-AU"/>
              </w:rPr>
              <w:t xml:space="preserve">The number of </w:t>
            </w:r>
            <w:r w:rsidRPr="00400300">
              <w:rPr>
                <w:b/>
                <w:lang w:val="en-AU"/>
              </w:rPr>
              <w:t>HOSPITALISATIONS</w:t>
            </w:r>
            <w:r w:rsidRPr="00400300">
              <w:rPr>
                <w:lang w:val="en-AU"/>
              </w:rPr>
              <w:t xml:space="preserve"> due to injury has increased each year over the past decade and now exceeds </w:t>
            </w:r>
            <w:r w:rsidRPr="00400300">
              <w:rPr>
                <w:b/>
                <w:lang w:val="en-AU"/>
              </w:rPr>
              <w:t>460,000</w:t>
            </w:r>
            <w:r w:rsidRPr="00400300">
              <w:rPr>
                <w:vertAlign w:val="superscript"/>
                <w:lang w:val="en-AU"/>
              </w:rPr>
              <w:t>2</w:t>
            </w:r>
          </w:p>
        </w:tc>
        <w:tc>
          <w:tcPr>
            <w:tcW w:w="4508" w:type="dxa"/>
          </w:tcPr>
          <w:p w14:paraId="55EDEBFB" w14:textId="77777777" w:rsidR="00212D77" w:rsidRPr="00400300" w:rsidRDefault="00212D77" w:rsidP="007D5286">
            <w:pPr>
              <w:pStyle w:val="ListParagraph"/>
              <w:numPr>
                <w:ilvl w:val="0"/>
                <w:numId w:val="25"/>
              </w:numPr>
              <w:spacing w:before="0"/>
              <w:rPr>
                <w:lang w:val="en-AU"/>
              </w:rPr>
            </w:pPr>
            <w:r w:rsidRPr="00400300">
              <w:rPr>
                <w:lang w:val="en-AU"/>
              </w:rPr>
              <w:t>405 961 DALY from injury</w:t>
            </w:r>
            <w:r w:rsidRPr="00400300">
              <w:rPr>
                <w:vertAlign w:val="superscript"/>
                <w:lang w:val="en-AU"/>
              </w:rPr>
              <w:t>3</w:t>
            </w:r>
          </w:p>
          <w:p w14:paraId="2382F066" w14:textId="77777777" w:rsidR="00212D77" w:rsidRPr="00400300" w:rsidRDefault="00212D77" w:rsidP="007D5286">
            <w:pPr>
              <w:pStyle w:val="ListParagraph"/>
              <w:numPr>
                <w:ilvl w:val="0"/>
                <w:numId w:val="25"/>
              </w:numPr>
              <w:spacing w:before="0"/>
              <w:rPr>
                <w:lang w:val="en-AU"/>
              </w:rPr>
            </w:pPr>
            <w:r w:rsidRPr="00400300">
              <w:rPr>
                <w:lang w:val="en-AU"/>
              </w:rPr>
              <w:t>334 219 years of life lost</w:t>
            </w:r>
            <w:r w:rsidRPr="00400300">
              <w:rPr>
                <w:vertAlign w:val="superscript"/>
                <w:lang w:val="en-AU"/>
              </w:rPr>
              <w:t xml:space="preserve"> </w:t>
            </w:r>
            <w:r w:rsidRPr="00400300">
              <w:rPr>
                <w:lang w:val="en-AU"/>
              </w:rPr>
              <w:t>due to injury</w:t>
            </w:r>
            <w:r w:rsidRPr="00400300">
              <w:rPr>
                <w:vertAlign w:val="superscript"/>
                <w:lang w:val="en-AU"/>
              </w:rPr>
              <w:t>3</w:t>
            </w:r>
          </w:p>
        </w:tc>
      </w:tr>
    </w:tbl>
    <w:p w14:paraId="3CDC9F19" w14:textId="77777777" w:rsidR="00212D77" w:rsidRPr="00D13A37" w:rsidRDefault="00212D77" w:rsidP="00D13A37">
      <w:pPr>
        <w:spacing w:before="0"/>
        <w:rPr>
          <w:sz w:val="12"/>
          <w:lang w:val="en-AU"/>
        </w:rPr>
      </w:pPr>
    </w:p>
    <w:tbl>
      <w:tblPr>
        <w:tblStyle w:val="TableGrid"/>
        <w:tblW w:w="0" w:type="auto"/>
        <w:tblLook w:val="04A0" w:firstRow="1" w:lastRow="0" w:firstColumn="1" w:lastColumn="0" w:noHBand="0" w:noVBand="1"/>
      </w:tblPr>
      <w:tblGrid>
        <w:gridCol w:w="3005"/>
        <w:gridCol w:w="3005"/>
        <w:gridCol w:w="3006"/>
      </w:tblGrid>
      <w:tr w:rsidR="00212D77" w:rsidRPr="00400300" w14:paraId="332C755B" w14:textId="77777777" w:rsidTr="004F5A5B">
        <w:tc>
          <w:tcPr>
            <w:tcW w:w="9016" w:type="dxa"/>
            <w:gridSpan w:val="3"/>
            <w:shd w:val="clear" w:color="auto" w:fill="E7E6E6" w:themeFill="background2"/>
          </w:tcPr>
          <w:p w14:paraId="76D0612A" w14:textId="77777777" w:rsidR="00212D77" w:rsidRPr="0060376E" w:rsidRDefault="00212D77" w:rsidP="004F5A5B">
            <w:pPr>
              <w:jc w:val="center"/>
              <w:rPr>
                <w:lang w:val="en-AU"/>
              </w:rPr>
            </w:pPr>
            <w:r w:rsidRPr="0060376E">
              <w:rPr>
                <w:lang w:val="en-AU"/>
              </w:rPr>
              <w:t>Injury affects some Australians more than others</w:t>
            </w:r>
          </w:p>
        </w:tc>
      </w:tr>
      <w:tr w:rsidR="00212D77" w:rsidRPr="00400300" w14:paraId="271689B2" w14:textId="77777777" w:rsidTr="004F5A5B">
        <w:tc>
          <w:tcPr>
            <w:tcW w:w="3005" w:type="dxa"/>
            <w:vAlign w:val="center"/>
          </w:tcPr>
          <w:p w14:paraId="4B9EE984" w14:textId="77777777" w:rsidR="00212D77" w:rsidRPr="0060376E" w:rsidRDefault="00212D77" w:rsidP="004F5A5B">
            <w:pPr>
              <w:jc w:val="center"/>
              <w:rPr>
                <w:lang w:val="en-AU"/>
              </w:rPr>
            </w:pPr>
            <w:r w:rsidRPr="0060376E">
              <w:rPr>
                <w:lang w:val="en-AU"/>
              </w:rPr>
              <w:t xml:space="preserve">For almost every year since 2001, </w:t>
            </w:r>
            <w:r w:rsidRPr="0060376E">
              <w:rPr>
                <w:b/>
                <w:lang w:val="en-AU"/>
              </w:rPr>
              <w:t>Aboriginal and Torres Strait Islander people</w:t>
            </w:r>
            <w:r w:rsidRPr="0060376E">
              <w:rPr>
                <w:lang w:val="en-AU"/>
              </w:rPr>
              <w:t xml:space="preserve"> have had </w:t>
            </w:r>
            <w:r w:rsidRPr="0060376E">
              <w:rPr>
                <w:b/>
                <w:sz w:val="32"/>
                <w:lang w:val="en-AU"/>
              </w:rPr>
              <w:t xml:space="preserve">2 X </w:t>
            </w:r>
            <w:r w:rsidRPr="0060376E">
              <w:rPr>
                <w:lang w:val="en-AU"/>
              </w:rPr>
              <w:t>the rate of injury compared to non-Indigenous Australians</w:t>
            </w:r>
            <w:r w:rsidRPr="0060376E">
              <w:rPr>
                <w:rFonts w:cstheme="minorHAnsi"/>
                <w:color w:val="292B2C"/>
                <w:shd w:val="clear" w:color="auto" w:fill="FFFFFF"/>
                <w:vertAlign w:val="superscript"/>
                <w:lang w:val="en-AU"/>
              </w:rPr>
              <w:t>6</w:t>
            </w:r>
          </w:p>
        </w:tc>
        <w:tc>
          <w:tcPr>
            <w:tcW w:w="3005" w:type="dxa"/>
            <w:vAlign w:val="center"/>
          </w:tcPr>
          <w:p w14:paraId="2A715568" w14:textId="77777777" w:rsidR="00212D77" w:rsidRPr="0060376E" w:rsidRDefault="00212D77" w:rsidP="004F5A5B">
            <w:pPr>
              <w:jc w:val="center"/>
              <w:rPr>
                <w:lang w:val="en-AU"/>
              </w:rPr>
            </w:pPr>
            <w:r w:rsidRPr="0060376E">
              <w:rPr>
                <w:lang w:val="en-AU"/>
              </w:rPr>
              <w:t xml:space="preserve">People in </w:t>
            </w:r>
            <w:r w:rsidRPr="0060376E">
              <w:rPr>
                <w:b/>
                <w:lang w:val="en-AU"/>
              </w:rPr>
              <w:t>REMOTE AREAS</w:t>
            </w:r>
            <w:r w:rsidRPr="0060376E">
              <w:rPr>
                <w:lang w:val="en-AU"/>
              </w:rPr>
              <w:t xml:space="preserve"> are</w:t>
            </w:r>
          </w:p>
          <w:p w14:paraId="58E63233" w14:textId="77777777" w:rsidR="00212D77" w:rsidRPr="0060376E" w:rsidRDefault="00212D77" w:rsidP="004F5A5B">
            <w:pPr>
              <w:jc w:val="center"/>
              <w:rPr>
                <w:b/>
                <w:sz w:val="40"/>
                <w:lang w:val="en-AU"/>
              </w:rPr>
            </w:pPr>
            <w:r w:rsidRPr="0060376E">
              <w:rPr>
                <w:b/>
                <w:sz w:val="40"/>
                <w:lang w:val="en-AU"/>
              </w:rPr>
              <w:t>2 X</w:t>
            </w:r>
          </w:p>
          <w:p w14:paraId="1220A9F1" w14:textId="77777777" w:rsidR="00212D77" w:rsidRPr="0060376E" w:rsidRDefault="00212D77" w:rsidP="004F5A5B">
            <w:pPr>
              <w:jc w:val="center"/>
              <w:rPr>
                <w:lang w:val="en-AU"/>
              </w:rPr>
            </w:pPr>
            <w:r w:rsidRPr="0060376E">
              <w:rPr>
                <w:lang w:val="en-AU"/>
              </w:rPr>
              <w:t xml:space="preserve">as likely to be injured than people in </w:t>
            </w:r>
            <w:r w:rsidRPr="0060376E">
              <w:rPr>
                <w:i/>
                <w:lang w:val="en-AU"/>
              </w:rPr>
              <w:t>major cities</w:t>
            </w:r>
            <w:r w:rsidRPr="0060376E">
              <w:rPr>
                <w:vertAlign w:val="superscript"/>
                <w:lang w:val="en-AU"/>
              </w:rPr>
              <w:t>5</w:t>
            </w:r>
          </w:p>
        </w:tc>
        <w:tc>
          <w:tcPr>
            <w:tcW w:w="3006" w:type="dxa"/>
            <w:vAlign w:val="center"/>
          </w:tcPr>
          <w:p w14:paraId="0A244D1C" w14:textId="77777777" w:rsidR="00212D77" w:rsidRPr="0060376E" w:rsidRDefault="00212D77" w:rsidP="004F5A5B">
            <w:pPr>
              <w:jc w:val="center"/>
              <w:rPr>
                <w:lang w:val="en-AU"/>
              </w:rPr>
            </w:pPr>
            <w:r w:rsidRPr="0060376E">
              <w:rPr>
                <w:lang w:val="en-AU"/>
              </w:rPr>
              <w:t xml:space="preserve">People living in </w:t>
            </w:r>
            <w:r w:rsidRPr="0060376E">
              <w:rPr>
                <w:b/>
                <w:lang w:val="en-AU"/>
              </w:rPr>
              <w:t xml:space="preserve">AREAS OF MOST SOCIO-ECONOMIC DISADVANTAGE </w:t>
            </w:r>
            <w:r w:rsidRPr="0060376E">
              <w:rPr>
                <w:lang w:val="en-AU"/>
              </w:rPr>
              <w:t>are</w:t>
            </w:r>
          </w:p>
          <w:p w14:paraId="2DAED462" w14:textId="77777777" w:rsidR="00212D77" w:rsidRPr="0060376E" w:rsidRDefault="00212D77" w:rsidP="004F5A5B">
            <w:pPr>
              <w:jc w:val="center"/>
              <w:rPr>
                <w:b/>
                <w:lang w:val="en-AU"/>
              </w:rPr>
            </w:pPr>
            <w:r w:rsidRPr="0060376E">
              <w:rPr>
                <w:b/>
                <w:sz w:val="36"/>
                <w:lang w:val="en-AU"/>
              </w:rPr>
              <w:t xml:space="preserve">1.4 X </w:t>
            </w:r>
            <w:r w:rsidRPr="0060376E">
              <w:rPr>
                <w:lang w:val="en-AU"/>
              </w:rPr>
              <w:t xml:space="preserve">more likely to be injured than those in areas with </w:t>
            </w:r>
            <w:r w:rsidRPr="0060376E">
              <w:rPr>
                <w:i/>
                <w:lang w:val="en-AU"/>
              </w:rPr>
              <w:t>least disadvantage</w:t>
            </w:r>
            <w:r w:rsidRPr="0060376E">
              <w:rPr>
                <w:vertAlign w:val="superscript"/>
                <w:lang w:val="en-AU"/>
              </w:rPr>
              <w:t>5</w:t>
            </w:r>
          </w:p>
        </w:tc>
      </w:tr>
      <w:tr w:rsidR="00212D77" w:rsidRPr="00400300" w14:paraId="4CF0D15F" w14:textId="77777777" w:rsidTr="004F5A5B">
        <w:tc>
          <w:tcPr>
            <w:tcW w:w="3005" w:type="dxa"/>
            <w:vAlign w:val="center"/>
          </w:tcPr>
          <w:p w14:paraId="26AD4031" w14:textId="77777777" w:rsidR="00212D77" w:rsidRPr="00400300" w:rsidRDefault="00212D77" w:rsidP="004F5A5B">
            <w:pPr>
              <w:jc w:val="center"/>
              <w:rPr>
                <w:lang w:val="en-AU"/>
              </w:rPr>
            </w:pPr>
          </w:p>
        </w:tc>
        <w:tc>
          <w:tcPr>
            <w:tcW w:w="3005" w:type="dxa"/>
            <w:vAlign w:val="center"/>
          </w:tcPr>
          <w:p w14:paraId="5F845910" w14:textId="77777777" w:rsidR="00212D77" w:rsidRPr="00400300" w:rsidRDefault="00212D77" w:rsidP="004F5A5B">
            <w:pPr>
              <w:jc w:val="center"/>
              <w:rPr>
                <w:lang w:val="en-AU"/>
              </w:rPr>
            </w:pPr>
            <w:r w:rsidRPr="00400300">
              <w:rPr>
                <w:lang w:val="en-AU"/>
              </w:rPr>
              <w:t xml:space="preserve">People living in </w:t>
            </w:r>
            <w:r w:rsidRPr="00400300">
              <w:rPr>
                <w:b/>
                <w:lang w:val="en-AU"/>
              </w:rPr>
              <w:t>Northern Territory</w:t>
            </w:r>
            <w:r w:rsidRPr="00400300">
              <w:rPr>
                <w:lang w:val="en-AU"/>
              </w:rPr>
              <w:t xml:space="preserve"> have the </w:t>
            </w:r>
            <w:r w:rsidRPr="00400300">
              <w:rPr>
                <w:b/>
                <w:lang w:val="en-AU"/>
              </w:rPr>
              <w:t>highest injury death</w:t>
            </w:r>
            <w:r w:rsidRPr="00400300">
              <w:rPr>
                <w:lang w:val="en-AU"/>
              </w:rPr>
              <w:t xml:space="preserve"> </w:t>
            </w:r>
            <w:r w:rsidRPr="00400300">
              <w:rPr>
                <w:b/>
                <w:lang w:val="en-AU"/>
              </w:rPr>
              <w:t>rate</w:t>
            </w:r>
          </w:p>
          <w:p w14:paraId="73599CAB" w14:textId="77777777" w:rsidR="00212D77" w:rsidRPr="00400300" w:rsidRDefault="00212D77" w:rsidP="004F5A5B">
            <w:pPr>
              <w:jc w:val="center"/>
              <w:rPr>
                <w:b/>
                <w:sz w:val="40"/>
                <w:lang w:val="en-AU"/>
              </w:rPr>
            </w:pPr>
            <w:r w:rsidRPr="00400300">
              <w:rPr>
                <w:b/>
                <w:sz w:val="40"/>
                <w:lang w:val="en-AU"/>
              </w:rPr>
              <w:t xml:space="preserve">1.7 x </w:t>
            </w:r>
            <w:r w:rsidRPr="00400300">
              <w:rPr>
                <w:lang w:val="en-AU"/>
              </w:rPr>
              <w:t>the national rate.</w:t>
            </w:r>
            <w:r w:rsidRPr="00400300">
              <w:rPr>
                <w:vertAlign w:val="superscript"/>
                <w:lang w:val="en-AU"/>
              </w:rPr>
              <w:t>5</w:t>
            </w:r>
          </w:p>
        </w:tc>
        <w:tc>
          <w:tcPr>
            <w:tcW w:w="3006" w:type="dxa"/>
            <w:vAlign w:val="center"/>
          </w:tcPr>
          <w:p w14:paraId="4FDC2E80" w14:textId="77777777" w:rsidR="00212D77" w:rsidRPr="00400300" w:rsidRDefault="00212D77" w:rsidP="004F5A5B">
            <w:pPr>
              <w:jc w:val="center"/>
              <w:rPr>
                <w:lang w:val="en-AU"/>
              </w:rPr>
            </w:pPr>
          </w:p>
        </w:tc>
      </w:tr>
    </w:tbl>
    <w:p w14:paraId="4D9D006E" w14:textId="77777777" w:rsidR="00212D77" w:rsidRPr="00D13A37" w:rsidRDefault="00212D77" w:rsidP="00D13A37">
      <w:pPr>
        <w:spacing w:before="0"/>
        <w:rPr>
          <w:sz w:val="16"/>
          <w:szCs w:val="16"/>
          <w:lang w:val="en-AU"/>
        </w:rPr>
      </w:pPr>
    </w:p>
    <w:tbl>
      <w:tblPr>
        <w:tblStyle w:val="TableGrid"/>
        <w:tblW w:w="0" w:type="auto"/>
        <w:tblLook w:val="04A0" w:firstRow="1" w:lastRow="0" w:firstColumn="1" w:lastColumn="0" w:noHBand="0" w:noVBand="1"/>
      </w:tblPr>
      <w:tblGrid>
        <w:gridCol w:w="4508"/>
        <w:gridCol w:w="4508"/>
      </w:tblGrid>
      <w:tr w:rsidR="00212D77" w:rsidRPr="00400300" w14:paraId="27017ECE" w14:textId="77777777" w:rsidTr="004F5A5B">
        <w:tc>
          <w:tcPr>
            <w:tcW w:w="9016" w:type="dxa"/>
            <w:gridSpan w:val="2"/>
            <w:shd w:val="clear" w:color="auto" w:fill="E7E6E6" w:themeFill="background2"/>
          </w:tcPr>
          <w:p w14:paraId="1B264A6A" w14:textId="77777777" w:rsidR="00212D77" w:rsidRPr="00400300" w:rsidRDefault="00212D77" w:rsidP="004F5A5B">
            <w:pPr>
              <w:jc w:val="center"/>
              <w:rPr>
                <w:lang w:val="en-AU"/>
              </w:rPr>
            </w:pPr>
            <w:r w:rsidRPr="00400300">
              <w:rPr>
                <w:lang w:val="en-AU"/>
              </w:rPr>
              <w:t>Costs to Australia</w:t>
            </w:r>
          </w:p>
        </w:tc>
      </w:tr>
      <w:tr w:rsidR="00212D77" w:rsidRPr="00400300" w14:paraId="16D58984" w14:textId="77777777" w:rsidTr="004F5A5B">
        <w:tc>
          <w:tcPr>
            <w:tcW w:w="4508" w:type="dxa"/>
            <w:vMerge w:val="restart"/>
          </w:tcPr>
          <w:p w14:paraId="7F6A6472" w14:textId="582688BE" w:rsidR="00212D77" w:rsidRPr="00400300" w:rsidRDefault="00B15ACC" w:rsidP="004F5A5B">
            <w:pPr>
              <w:rPr>
                <w:lang w:val="en-AU"/>
              </w:rPr>
            </w:pPr>
            <w:r>
              <w:rPr>
                <w:lang w:val="en-AU"/>
              </w:rPr>
              <w:t>Social, emotional and financial c</w:t>
            </w:r>
            <w:r w:rsidR="00212D77" w:rsidRPr="00400300">
              <w:rPr>
                <w:lang w:val="en-AU"/>
              </w:rPr>
              <w:t>osts include:</w:t>
            </w:r>
            <w:r w:rsidR="006A2763">
              <w:rPr>
                <w:lang w:val="en-AU"/>
              </w:rPr>
              <w:t xml:space="preserve"> </w:t>
            </w:r>
          </w:p>
          <w:p w14:paraId="2F9C71C9" w14:textId="77777777" w:rsidR="00212D77" w:rsidRPr="00400300" w:rsidRDefault="00212D77" w:rsidP="007D5286">
            <w:pPr>
              <w:pStyle w:val="ListParagraph"/>
              <w:numPr>
                <w:ilvl w:val="0"/>
                <w:numId w:val="26"/>
              </w:numPr>
              <w:spacing w:before="0"/>
              <w:rPr>
                <w:lang w:val="en-AU"/>
              </w:rPr>
            </w:pPr>
            <w:r w:rsidRPr="00400300">
              <w:rPr>
                <w:lang w:val="en-AU"/>
              </w:rPr>
              <w:t>Loss of life</w:t>
            </w:r>
          </w:p>
          <w:p w14:paraId="1FC5F5FA" w14:textId="77777777" w:rsidR="00212D77" w:rsidRPr="00400300" w:rsidRDefault="00212D77" w:rsidP="007D5286">
            <w:pPr>
              <w:pStyle w:val="ListParagraph"/>
              <w:numPr>
                <w:ilvl w:val="0"/>
                <w:numId w:val="26"/>
              </w:numPr>
              <w:spacing w:before="0"/>
              <w:rPr>
                <w:lang w:val="en-AU"/>
              </w:rPr>
            </w:pPr>
            <w:r w:rsidRPr="00400300">
              <w:rPr>
                <w:lang w:val="en-AU"/>
              </w:rPr>
              <w:t>Hospital</w:t>
            </w:r>
          </w:p>
          <w:p w14:paraId="087A3604" w14:textId="77777777" w:rsidR="00212D77" w:rsidRPr="00400300" w:rsidRDefault="00212D77" w:rsidP="007D5286">
            <w:pPr>
              <w:pStyle w:val="ListParagraph"/>
              <w:numPr>
                <w:ilvl w:val="0"/>
                <w:numId w:val="26"/>
              </w:numPr>
              <w:spacing w:before="0"/>
              <w:rPr>
                <w:lang w:val="en-AU"/>
              </w:rPr>
            </w:pPr>
            <w:r w:rsidRPr="00400300">
              <w:rPr>
                <w:lang w:val="en-AU"/>
              </w:rPr>
              <w:t>Productivity loss</w:t>
            </w:r>
          </w:p>
          <w:p w14:paraId="50E2D547" w14:textId="77777777" w:rsidR="00B15ACC" w:rsidRDefault="00212D77" w:rsidP="007D5286">
            <w:pPr>
              <w:pStyle w:val="ListParagraph"/>
              <w:numPr>
                <w:ilvl w:val="0"/>
                <w:numId w:val="26"/>
              </w:numPr>
              <w:spacing w:before="0"/>
              <w:rPr>
                <w:lang w:val="en-AU"/>
              </w:rPr>
            </w:pPr>
            <w:r w:rsidRPr="00400300">
              <w:rPr>
                <w:lang w:val="en-AU"/>
              </w:rPr>
              <w:t>Years of good health</w:t>
            </w:r>
          </w:p>
          <w:p w14:paraId="5376E1C9" w14:textId="2F4602D3" w:rsidR="00212D77" w:rsidRPr="00400300" w:rsidRDefault="00B15ACC" w:rsidP="007D5286">
            <w:pPr>
              <w:pStyle w:val="ListParagraph"/>
              <w:numPr>
                <w:ilvl w:val="0"/>
                <w:numId w:val="26"/>
              </w:numPr>
              <w:spacing w:before="0"/>
              <w:rPr>
                <w:lang w:val="en-AU"/>
              </w:rPr>
            </w:pPr>
            <w:r>
              <w:rPr>
                <w:lang w:val="en-AU"/>
              </w:rPr>
              <w:t>Impact on family and community</w:t>
            </w:r>
            <w:r w:rsidR="00212D77" w:rsidRPr="00400300">
              <w:rPr>
                <w:lang w:val="en-AU"/>
              </w:rPr>
              <w:t xml:space="preserve"> </w:t>
            </w:r>
          </w:p>
        </w:tc>
        <w:tc>
          <w:tcPr>
            <w:tcW w:w="4508" w:type="dxa"/>
          </w:tcPr>
          <w:p w14:paraId="12C0CDEA" w14:textId="77777777" w:rsidR="00212D77" w:rsidRPr="00400300" w:rsidRDefault="00212D77" w:rsidP="004F5A5B">
            <w:pPr>
              <w:rPr>
                <w:lang w:val="en-AU"/>
              </w:rPr>
            </w:pPr>
            <w:r w:rsidRPr="00400300">
              <w:rPr>
                <w:rFonts w:cstheme="minorHAnsi"/>
                <w:b/>
                <w:color w:val="292B2C"/>
                <w:sz w:val="28"/>
                <w:szCs w:val="23"/>
                <w:shd w:val="clear" w:color="auto" w:fill="FFFFFF"/>
                <w:lang w:val="en-AU"/>
              </w:rPr>
              <w:t>$8.9 billion</w:t>
            </w:r>
            <w:r w:rsidRPr="00400300">
              <w:rPr>
                <w:lang w:val="en-AU"/>
              </w:rPr>
              <w:t xml:space="preserve"> in 2015-2016 of recurrent health expenditure alone</w:t>
            </w:r>
            <w:r w:rsidRPr="00400300">
              <w:rPr>
                <w:vertAlign w:val="superscript"/>
                <w:lang w:val="en-AU"/>
              </w:rPr>
              <w:t>8</w:t>
            </w:r>
          </w:p>
          <w:p w14:paraId="09A84115" w14:textId="77777777" w:rsidR="00212D77" w:rsidRPr="00400300" w:rsidRDefault="00212D77" w:rsidP="004F5A5B">
            <w:pPr>
              <w:rPr>
                <w:lang w:val="en-AU"/>
              </w:rPr>
            </w:pPr>
          </w:p>
        </w:tc>
      </w:tr>
      <w:tr w:rsidR="00212D77" w:rsidRPr="00400300" w14:paraId="34B87C50" w14:textId="77777777" w:rsidTr="004F5A5B">
        <w:tc>
          <w:tcPr>
            <w:tcW w:w="4508" w:type="dxa"/>
            <w:vMerge/>
          </w:tcPr>
          <w:p w14:paraId="190939FD" w14:textId="77777777" w:rsidR="00212D77" w:rsidRPr="00400300" w:rsidRDefault="00212D77" w:rsidP="004F5A5B">
            <w:pPr>
              <w:rPr>
                <w:lang w:val="en-AU"/>
              </w:rPr>
            </w:pPr>
          </w:p>
        </w:tc>
        <w:tc>
          <w:tcPr>
            <w:tcW w:w="4508" w:type="dxa"/>
          </w:tcPr>
          <w:p w14:paraId="120258C2" w14:textId="77777777" w:rsidR="00212D77" w:rsidRPr="00400300" w:rsidRDefault="00212D77" w:rsidP="004F5A5B">
            <w:pPr>
              <w:rPr>
                <w:rFonts w:cstheme="minorHAnsi"/>
                <w:lang w:val="en-AU"/>
              </w:rPr>
            </w:pPr>
            <w:r w:rsidRPr="00400300">
              <w:rPr>
                <w:rFonts w:cstheme="minorHAnsi"/>
                <w:lang w:val="en-AU"/>
              </w:rPr>
              <w:t xml:space="preserve">Work related injury and disease cost the Australian economy </w:t>
            </w:r>
          </w:p>
          <w:p w14:paraId="7F13C6A4" w14:textId="77777777" w:rsidR="00212D77" w:rsidRPr="00400300" w:rsidRDefault="00212D77" w:rsidP="004F5A5B">
            <w:pPr>
              <w:rPr>
                <w:lang w:val="en-AU"/>
              </w:rPr>
            </w:pPr>
            <w:r w:rsidRPr="00400300">
              <w:rPr>
                <w:rStyle w:val="counter"/>
                <w:rFonts w:cstheme="minorHAnsi"/>
                <w:b/>
                <w:bCs/>
                <w:color w:val="292B2C"/>
                <w:sz w:val="28"/>
                <w:bdr w:val="none" w:sz="0" w:space="0" w:color="auto" w:frame="1"/>
                <w:shd w:val="clear" w:color="auto" w:fill="FFFFFF"/>
                <w:lang w:val="en-AU"/>
              </w:rPr>
              <w:t>$61.8</w:t>
            </w:r>
            <w:r w:rsidRPr="00400300">
              <w:rPr>
                <w:rFonts w:cstheme="minorHAnsi"/>
                <w:b/>
                <w:color w:val="292B2C"/>
                <w:sz w:val="28"/>
                <w:szCs w:val="23"/>
                <w:shd w:val="clear" w:color="auto" w:fill="FFFFFF"/>
                <w:lang w:val="en-AU"/>
              </w:rPr>
              <w:t> billion</w:t>
            </w:r>
            <w:r w:rsidRPr="00400300">
              <w:rPr>
                <w:rFonts w:cstheme="minorHAnsi"/>
                <w:color w:val="292B2C"/>
                <w:shd w:val="clear" w:color="auto" w:fill="FFFFFF"/>
                <w:vertAlign w:val="superscript"/>
                <w:lang w:val="en-AU"/>
              </w:rPr>
              <w:t>7</w:t>
            </w:r>
          </w:p>
        </w:tc>
      </w:tr>
      <w:tr w:rsidR="00212D77" w14:paraId="3CACA8A1" w14:textId="77777777" w:rsidTr="004F5A5B">
        <w:tc>
          <w:tcPr>
            <w:tcW w:w="9016" w:type="dxa"/>
            <w:gridSpan w:val="2"/>
          </w:tcPr>
          <w:p w14:paraId="2485D0EC" w14:textId="77777777" w:rsidR="00212D77" w:rsidRPr="0060376E" w:rsidRDefault="00212D77" w:rsidP="0052449D">
            <w:pPr>
              <w:spacing w:before="0" w:line="259" w:lineRule="auto"/>
              <w:rPr>
                <w:sz w:val="16"/>
                <w:szCs w:val="16"/>
              </w:rPr>
            </w:pPr>
            <w:r w:rsidRPr="00916239">
              <w:rPr>
                <w:sz w:val="16"/>
                <w:szCs w:val="16"/>
              </w:rPr>
              <w:t>1</w:t>
            </w:r>
            <w:r w:rsidRPr="0052449D">
              <w:rPr>
                <w:sz w:val="16"/>
                <w:szCs w:val="16"/>
              </w:rPr>
              <w:t xml:space="preserve">. </w:t>
            </w:r>
            <w:hyperlink r:id="rId30" w:history="1">
              <w:r w:rsidRPr="0052449D">
                <w:rPr>
                  <w:rStyle w:val="Hyperlink"/>
                  <w:sz w:val="16"/>
                  <w:szCs w:val="16"/>
                </w:rPr>
                <w:t>https://www.aihw.gov.au/reports/life-expectancy-death/deaths-in-australia/contents/leading-causes-of-death</w:t>
              </w:r>
            </w:hyperlink>
            <w:r w:rsidRPr="0052449D">
              <w:rPr>
                <w:sz w:val="16"/>
                <w:szCs w:val="16"/>
              </w:rPr>
              <w:t xml:space="preserve">  2. </w:t>
            </w:r>
            <w:hyperlink r:id="rId31" w:history="1">
              <w:r w:rsidRPr="0052449D">
                <w:rPr>
                  <w:rStyle w:val="Hyperlink"/>
                  <w:sz w:val="16"/>
                  <w:szCs w:val="16"/>
                </w:rPr>
                <w:t>https://www.aihw.gov.au/reports-data/health-conditions-disability-deaths/injury/overview 3</w:t>
              </w:r>
            </w:hyperlink>
            <w:r w:rsidRPr="0052449D">
              <w:rPr>
                <w:sz w:val="16"/>
                <w:szCs w:val="16"/>
              </w:rPr>
              <w:t xml:space="preserve">. </w:t>
            </w:r>
            <w:hyperlink r:id="rId32" w:history="1">
              <w:r w:rsidRPr="0052449D">
                <w:rPr>
                  <w:rStyle w:val="Hyperlink"/>
                  <w:sz w:val="16"/>
                  <w:szCs w:val="16"/>
                </w:rPr>
                <w:t>https://www.aihw.gov.au/reports/burden-of-disease/abds-2015-interactive-data-disease-burden/contents/burden-of-disease-in-australia</w:t>
              </w:r>
            </w:hyperlink>
            <w:r w:rsidRPr="0052449D">
              <w:rPr>
                <w:rStyle w:val="Hyperlink"/>
                <w:sz w:val="16"/>
                <w:szCs w:val="16"/>
              </w:rPr>
              <w:t xml:space="preserve"> </w:t>
            </w:r>
            <w:r w:rsidRPr="0052449D">
              <w:rPr>
                <w:sz w:val="16"/>
                <w:szCs w:val="16"/>
              </w:rPr>
              <w:t>4.</w:t>
            </w:r>
            <w:r w:rsidRPr="0052449D">
              <w:rPr>
                <w:rStyle w:val="Hyperlink"/>
                <w:sz w:val="16"/>
                <w:szCs w:val="16"/>
              </w:rPr>
              <w:t xml:space="preserve"> </w:t>
            </w:r>
            <w:r w:rsidRPr="0052449D">
              <w:rPr>
                <w:sz w:val="16"/>
                <w:szCs w:val="16"/>
              </w:rPr>
              <w:t xml:space="preserve">Burden dataset 5. </w:t>
            </w:r>
            <w:hyperlink r:id="rId33" w:history="1">
              <w:r w:rsidRPr="0052449D">
                <w:rPr>
                  <w:rStyle w:val="Hyperlink"/>
                  <w:sz w:val="16"/>
                  <w:szCs w:val="16"/>
                </w:rPr>
                <w:t>https://www.aihw.gov.au/reports/injury/trends-in-injury-deaths-australia-1999-00-to-2016/contents/summary</w:t>
              </w:r>
            </w:hyperlink>
            <w:r w:rsidRPr="0052449D">
              <w:rPr>
                <w:rStyle w:val="Hyperlink"/>
                <w:sz w:val="16"/>
                <w:szCs w:val="16"/>
              </w:rPr>
              <w:t xml:space="preserve"> 6. </w:t>
            </w:r>
            <w:hyperlink r:id="rId34" w:history="1">
              <w:r w:rsidRPr="0052449D">
                <w:rPr>
                  <w:rStyle w:val="Hyperlink"/>
                  <w:sz w:val="16"/>
                  <w:szCs w:val="16"/>
                </w:rPr>
                <w:t>https://www.aihw.gov.au/getmedia/ee82bd99-125f-421e-bbdc-32540f336f98/aihw-injcat-207.pdf.aspx?inline=true</w:t>
              </w:r>
            </w:hyperlink>
            <w:r w:rsidRPr="0052449D">
              <w:rPr>
                <w:rStyle w:val="Hyperlink"/>
                <w:sz w:val="16"/>
                <w:szCs w:val="16"/>
              </w:rPr>
              <w:t xml:space="preserve"> 7. </w:t>
            </w:r>
            <w:hyperlink r:id="rId35" w:history="1">
              <w:r w:rsidRPr="0052449D">
                <w:rPr>
                  <w:rStyle w:val="Hyperlink"/>
                  <w:sz w:val="16"/>
                  <w:szCs w:val="16"/>
                </w:rPr>
                <w:t>https://www.safeworkaustralia.gov.au/statistics-and-research/cost-injury-and-illness-occupation</w:t>
              </w:r>
            </w:hyperlink>
            <w:r w:rsidRPr="0052449D">
              <w:rPr>
                <w:rStyle w:val="Hyperlink"/>
                <w:sz w:val="16"/>
                <w:szCs w:val="16"/>
              </w:rPr>
              <w:t xml:space="preserve"> 8. </w:t>
            </w:r>
            <w:hyperlink r:id="rId36" w:history="1">
              <w:r w:rsidRPr="0052449D">
                <w:rPr>
                  <w:rStyle w:val="Hyperlink"/>
                  <w:sz w:val="16"/>
                  <w:szCs w:val="16"/>
                </w:rPr>
                <w:t>https://www.aihw.gov.au/reports/health-welfare-expenditure/disease-expenditure-australia/data</w:t>
              </w:r>
            </w:hyperlink>
          </w:p>
        </w:tc>
      </w:tr>
    </w:tbl>
    <w:p w14:paraId="6D8D0DC0" w14:textId="77777777" w:rsidR="001B1972" w:rsidRPr="00400300" w:rsidRDefault="001B1972" w:rsidP="001B1972">
      <w:pPr>
        <w:pStyle w:val="Heading2"/>
        <w:rPr>
          <w:lang w:val="en-AU"/>
        </w:rPr>
      </w:pPr>
      <w:bookmarkStart w:id="44" w:name="_Toc33107354"/>
      <w:bookmarkStart w:id="45" w:name="_Toc38021085"/>
      <w:r w:rsidRPr="00400300">
        <w:rPr>
          <w:lang w:val="en-AU"/>
        </w:rPr>
        <w:t>What are injuries?</w:t>
      </w:r>
      <w:bookmarkEnd w:id="44"/>
      <w:bookmarkEnd w:id="45"/>
      <w:r w:rsidRPr="00400300">
        <w:rPr>
          <w:lang w:val="en-AU"/>
        </w:rPr>
        <w:t xml:space="preserve"> </w:t>
      </w:r>
    </w:p>
    <w:p w14:paraId="1EE75A58" w14:textId="5F5342DF" w:rsidR="00301DD9" w:rsidRPr="00400300" w:rsidRDefault="00301DD9" w:rsidP="00301DD9">
      <w:pPr>
        <w:rPr>
          <w:lang w:val="en-AU"/>
        </w:rPr>
      </w:pPr>
      <w:r w:rsidRPr="00D30A29">
        <w:rPr>
          <w:lang w:val="en-AU"/>
        </w:rPr>
        <w:t>The Strategy adopts the Aboriginal and Torres Strait Islander holistic view of health.</w:t>
      </w:r>
      <w:r w:rsidRPr="00D30A29">
        <w:rPr>
          <w:vertAlign w:val="superscript"/>
          <w:lang w:val="en-AU"/>
        </w:rPr>
        <w:fldChar w:fldCharType="begin"/>
      </w:r>
      <w:r w:rsidR="007D2F13">
        <w:rPr>
          <w:vertAlign w:val="superscript"/>
          <w:lang w:val="en-AU"/>
        </w:rPr>
        <w:instrText xml:space="preserve"> ADDIN EN.CITE &lt;EndNote&gt;&lt;Cite&gt;&lt;Author&gt;National Aboriginal Community Controlled Health Organisation&lt;/Author&gt;&lt;Year&gt;2006&lt;/Year&gt;&lt;RecNum&gt;3&lt;/RecNum&gt;&lt;DisplayText&gt;&lt;style face="superscript"&gt;8&lt;/style&gt;&lt;/DisplayText&gt;&lt;record&gt;&lt;rec-number&gt;3&lt;/rec-number&gt;&lt;foreign-keys&gt;&lt;key app="EN" db-id="2wsw9x5wvsspa1evwxlvvergx9epfd50fs2a" timestamp="1571987675"&gt;3&lt;/key&gt;&lt;/foreign-keys&gt;&lt;ref-type name="Web Page"&gt;12&lt;/ref-type&gt;&lt;contributors&gt;&lt;authors&gt;&lt;author&gt;National Aboriginal Community Controlled Health Organisation,&lt;/author&gt;&lt;/authors&gt;&lt;/contributors&gt;&lt;titles&gt;&lt;title&gt;Definitions&lt;/title&gt;&lt;/titles&gt;&lt;volume&gt;2019&lt;/volume&gt;&lt;number&gt;25 October&lt;/number&gt;&lt;dates&gt;&lt;year&gt;2006&lt;/year&gt;&lt;/dates&gt;&lt;publisher&gt;National Aboriginal Community Controlled Health Organisation&lt;/publisher&gt;&lt;urls&gt;&lt;related-urls&gt;&lt;url&gt;https://www.naccho.org.au/about/aboriginal-health/definitions/&lt;/url&gt;&lt;/related-urls&gt;&lt;/urls&gt;&lt;/record&gt;&lt;/Cite&gt;&lt;/EndNote&gt;</w:instrText>
      </w:r>
      <w:r w:rsidRPr="00D30A29">
        <w:rPr>
          <w:vertAlign w:val="superscript"/>
          <w:lang w:val="en-AU"/>
        </w:rPr>
        <w:fldChar w:fldCharType="separate"/>
      </w:r>
      <w:r w:rsidR="007D2F13">
        <w:rPr>
          <w:noProof/>
          <w:vertAlign w:val="superscript"/>
          <w:lang w:val="en-AU"/>
        </w:rPr>
        <w:t>8</w:t>
      </w:r>
      <w:r w:rsidRPr="00D30A29">
        <w:rPr>
          <w:vertAlign w:val="superscript"/>
          <w:lang w:val="en-AU"/>
        </w:rPr>
        <w:fldChar w:fldCharType="end"/>
      </w:r>
      <w:r w:rsidRPr="00D30A29">
        <w:rPr>
          <w:lang w:val="en-AU"/>
        </w:rPr>
        <w:t xml:space="preserve"> Injuries</w:t>
      </w:r>
      <w:r w:rsidRPr="00400300">
        <w:rPr>
          <w:lang w:val="en-AU"/>
        </w:rPr>
        <w:t xml:space="preserve"> are not just the physical harm caused by an external event, but the spiritual, emotional and cultural aspects of harm.</w:t>
      </w:r>
      <w:r w:rsidRPr="00400300">
        <w:rPr>
          <w:vertAlign w:val="superscript"/>
          <w:lang w:val="en-AU"/>
        </w:rPr>
        <w:fldChar w:fldCharType="begin"/>
      </w:r>
      <w:r w:rsidR="007D2F13">
        <w:rPr>
          <w:vertAlign w:val="superscript"/>
          <w:lang w:val="en-AU"/>
        </w:rPr>
        <w:instrText xml:space="preserve"> ADDIN EN.CITE &lt;EndNote&gt;&lt;Cite&gt;&lt;Author&gt;National Public Health Partnership&lt;/Author&gt;&lt;Year&gt;2004&lt;/Year&gt;&lt;RecNum&gt;4&lt;/RecNum&gt;&lt;DisplayText&gt;&lt;style face="superscript"&gt;9&lt;/style&gt;&lt;/DisplayText&gt;&lt;record&gt;&lt;rec-number&gt;4&lt;/rec-number&gt;&lt;foreign-keys&gt;&lt;key app="EN" db-id="2wsw9x5wvsspa1evwxlvvergx9epfd50fs2a" timestamp="1571987675"&gt;4&lt;/key&gt;&lt;/foreign-keys&gt;&lt;ref-type name="Report"&gt;27&lt;/ref-type&gt;&lt;contributors&gt;&lt;authors&gt;&lt;author&gt;National Public Health Partnership,&lt;/author&gt;&lt;/authors&gt;&lt;/contributors&gt;&lt;titles&gt;&lt;title&gt; National Aboriginal and Torres Strait Islander safety promotion strategy&lt;/title&gt;&lt;secondary-title&gt;Injury Issues Monitor&lt;/secondary-title&gt;&lt;/titles&gt;&lt;volume&gt;31&lt;/volume&gt;&lt;num-vols&gt;1,3&lt;/num-vols&gt;&lt;dates&gt;&lt;year&gt;2004&lt;/year&gt;&lt;/dates&gt;&lt;urls&gt;&lt;related-urls&gt;&lt;url&gt;https://webarchive.nla.gov.au/awa/20150623151820/http://www.aihw.gov.au/WorkArea/DownloadAsset.aspx?id=60129550686&lt;/url&gt;&lt;/related-urls&gt;&lt;/urls&gt;&lt;/record&gt;&lt;/Cite&gt;&lt;/EndNote&gt;</w:instrText>
      </w:r>
      <w:r w:rsidRPr="00400300">
        <w:rPr>
          <w:vertAlign w:val="superscript"/>
          <w:lang w:val="en-AU"/>
        </w:rPr>
        <w:fldChar w:fldCharType="separate"/>
      </w:r>
      <w:r w:rsidR="007D2F13">
        <w:rPr>
          <w:noProof/>
          <w:vertAlign w:val="superscript"/>
          <w:lang w:val="en-AU"/>
        </w:rPr>
        <w:t>9</w:t>
      </w:r>
      <w:r w:rsidRPr="00400300">
        <w:rPr>
          <w:vertAlign w:val="superscript"/>
          <w:lang w:val="en-AU"/>
        </w:rPr>
        <w:fldChar w:fldCharType="end"/>
      </w:r>
      <w:r w:rsidRPr="00400300">
        <w:rPr>
          <w:vertAlign w:val="superscript"/>
          <w:lang w:val="en-AU"/>
        </w:rPr>
        <w:t xml:space="preserve"> </w:t>
      </w:r>
      <w:r w:rsidRPr="00400300">
        <w:rPr>
          <w:lang w:val="en-AU"/>
        </w:rPr>
        <w:t>This means that injury prevention should focus not only on reduced hospital bed days or lives lost, but also the safety and emotional wellbeing of individuals as well as the whole community.</w:t>
      </w:r>
      <w:r w:rsidRPr="00400300">
        <w:rPr>
          <w:highlight w:val="green"/>
          <w:lang w:val="en-AU"/>
        </w:rPr>
        <w:t xml:space="preserve"> </w:t>
      </w:r>
    </w:p>
    <w:p w14:paraId="2C81B032" w14:textId="665AAFF5" w:rsidR="00301DD9" w:rsidRDefault="00301DD9" w:rsidP="00301DD9">
      <w:pPr>
        <w:rPr>
          <w:lang w:val="en-AU"/>
        </w:rPr>
      </w:pPr>
      <w:r w:rsidRPr="00400300">
        <w:rPr>
          <w:lang w:val="en-AU"/>
        </w:rPr>
        <w:t xml:space="preserve">The Strategy addresses these broadest definitions of injuries – the physical, cultural, spiritual and community cost of injuries. It addresses </w:t>
      </w:r>
      <w:r w:rsidRPr="00400300">
        <w:rPr>
          <w:b/>
          <w:lang w:val="en-AU"/>
        </w:rPr>
        <w:t>intentional injuries</w:t>
      </w:r>
      <w:r w:rsidRPr="00400300">
        <w:rPr>
          <w:lang w:val="en-AU"/>
        </w:rPr>
        <w:t xml:space="preserve">, including violence and intentional self-harm </w:t>
      </w:r>
      <w:r w:rsidR="00E622C4">
        <w:rPr>
          <w:lang w:val="en-AU"/>
        </w:rPr>
        <w:t xml:space="preserve">(suicide and self-inflicted injury) </w:t>
      </w:r>
      <w:r w:rsidRPr="00400300">
        <w:rPr>
          <w:lang w:val="en-AU"/>
        </w:rPr>
        <w:t xml:space="preserve">and </w:t>
      </w:r>
      <w:r w:rsidRPr="00400300">
        <w:rPr>
          <w:b/>
          <w:lang w:val="en-AU"/>
        </w:rPr>
        <w:t>unintentional injuries</w:t>
      </w:r>
      <w:r w:rsidRPr="00400300">
        <w:rPr>
          <w:lang w:val="en-AU"/>
        </w:rPr>
        <w:t>, including road traffic injuries, falls, sports</w:t>
      </w:r>
      <w:r w:rsidRPr="00400300" w:rsidDel="00B34FB8">
        <w:rPr>
          <w:lang w:val="en-AU"/>
        </w:rPr>
        <w:t xml:space="preserve"> </w:t>
      </w:r>
      <w:r w:rsidRPr="00400300">
        <w:rPr>
          <w:lang w:val="en-AU"/>
        </w:rPr>
        <w:t>injuries, poisoning, drowning and burns. It should be noted that many of these latter types of injuries can also be the result of intended harm.</w:t>
      </w:r>
    </w:p>
    <w:p w14:paraId="6D1EB0FF" w14:textId="77777777" w:rsidR="00212D77" w:rsidRDefault="00212D77" w:rsidP="00301DD9">
      <w:pPr>
        <w:rPr>
          <w:lang w:val="en-AU"/>
        </w:rPr>
      </w:pPr>
    </w:p>
    <w:p w14:paraId="299C5493" w14:textId="09DC9F69" w:rsidR="001B1972" w:rsidRPr="00400300" w:rsidRDefault="001B1972" w:rsidP="001B1972">
      <w:pPr>
        <w:pStyle w:val="Heading2"/>
        <w:rPr>
          <w:lang w:val="en-AU"/>
        </w:rPr>
      </w:pPr>
      <w:bookmarkStart w:id="46" w:name="_Toc29472998"/>
      <w:bookmarkStart w:id="47" w:name="_Toc30077730"/>
      <w:bookmarkStart w:id="48" w:name="_Toc31128307"/>
      <w:bookmarkStart w:id="49" w:name="_Toc32584882"/>
      <w:bookmarkStart w:id="50" w:name="_Toc33107355"/>
      <w:bookmarkStart w:id="51" w:name="_Toc38021086"/>
      <w:r w:rsidRPr="00400300">
        <w:rPr>
          <w:lang w:val="en-AU"/>
        </w:rPr>
        <w:t>Injuries are preventable</w:t>
      </w:r>
      <w:bookmarkEnd w:id="46"/>
      <w:bookmarkEnd w:id="47"/>
      <w:bookmarkEnd w:id="48"/>
      <w:bookmarkEnd w:id="49"/>
      <w:bookmarkEnd w:id="50"/>
      <w:bookmarkEnd w:id="51"/>
    </w:p>
    <w:p w14:paraId="75D1E36F" w14:textId="77777777" w:rsidR="001B1972" w:rsidRPr="00400300" w:rsidRDefault="001B1972" w:rsidP="001B1972">
      <w:pPr>
        <w:rPr>
          <w:lang w:val="en-AU"/>
        </w:rPr>
      </w:pPr>
      <w:r w:rsidRPr="00400300">
        <w:rPr>
          <w:lang w:val="en-AU"/>
        </w:rPr>
        <w:t xml:space="preserve">Although commonly regarded as random and inescapable events, increased knowledge around the mechanisms by which injuries can occur has led to the understanding that injuries can be prevented. </w:t>
      </w:r>
    </w:p>
    <w:p w14:paraId="100F0779" w14:textId="77777777" w:rsidR="001B1972" w:rsidRPr="00400300" w:rsidRDefault="001B1972" w:rsidP="001B1972">
      <w:pPr>
        <w:rPr>
          <w:rFonts w:cstheme="minorHAnsi"/>
          <w:lang w:val="en-AU"/>
        </w:rPr>
      </w:pPr>
      <w:r w:rsidRPr="00400300">
        <w:rPr>
          <w:lang w:val="en-AU"/>
        </w:rPr>
        <w:t xml:space="preserve">This also extends to the ability to prevent </w:t>
      </w:r>
      <w:r w:rsidRPr="00400300">
        <w:rPr>
          <w:rFonts w:cstheme="minorHAnsi"/>
          <w:lang w:val="en-AU"/>
        </w:rPr>
        <w:t xml:space="preserve">spiritual, emotional and cultural injury through the identification of causes and removing or reducing this exposure. </w:t>
      </w:r>
    </w:p>
    <w:bookmarkEnd w:id="36"/>
    <w:p w14:paraId="26D8735C" w14:textId="0F156576" w:rsidR="00301DD9" w:rsidRDefault="00301DD9" w:rsidP="00241801">
      <w:pPr>
        <w:rPr>
          <w:lang w:val="en-AU"/>
        </w:rPr>
      </w:pPr>
    </w:p>
    <w:p w14:paraId="0D087C32" w14:textId="709410A5" w:rsidR="00331CFA" w:rsidRDefault="00331CFA" w:rsidP="00D13A37">
      <w:pPr>
        <w:spacing w:before="0" w:line="259" w:lineRule="auto"/>
        <w:rPr>
          <w:rFonts w:cstheme="minorHAnsi"/>
          <w:i/>
          <w:color w:val="000000" w:themeColor="text1"/>
          <w:sz w:val="18"/>
          <w:szCs w:val="18"/>
          <w:vertAlign w:val="superscript"/>
          <w:lang w:val="en-AU"/>
        </w:rPr>
      </w:pPr>
      <w:bookmarkStart w:id="52" w:name="_Toc30077706"/>
      <w:bookmarkStart w:id="53" w:name="_Toc33445655"/>
      <w:r w:rsidRPr="0060376E">
        <w:rPr>
          <w:rFonts w:cstheme="minorHAnsi"/>
          <w:i/>
          <w:color w:val="000000" w:themeColor="text1"/>
          <w:sz w:val="18"/>
          <w:szCs w:val="18"/>
          <w:lang w:val="en-AU"/>
        </w:rPr>
        <w:t xml:space="preserve">Table </w:t>
      </w:r>
      <w:r w:rsidRPr="0060376E">
        <w:rPr>
          <w:rFonts w:cstheme="minorHAnsi"/>
          <w:i/>
          <w:color w:val="000000" w:themeColor="text1"/>
          <w:sz w:val="18"/>
          <w:szCs w:val="18"/>
          <w:lang w:val="en-AU"/>
        </w:rPr>
        <w:fldChar w:fldCharType="begin"/>
      </w:r>
      <w:r w:rsidRPr="0060376E">
        <w:rPr>
          <w:rFonts w:cstheme="minorHAnsi"/>
          <w:i/>
          <w:color w:val="000000" w:themeColor="text1"/>
          <w:sz w:val="18"/>
          <w:szCs w:val="18"/>
          <w:lang w:val="en-AU"/>
        </w:rPr>
        <w:instrText xml:space="preserve"> SEQ Table \* ARABIC </w:instrText>
      </w:r>
      <w:r w:rsidRPr="0060376E">
        <w:rPr>
          <w:rFonts w:cstheme="minorHAnsi"/>
          <w:i/>
          <w:color w:val="000000" w:themeColor="text1"/>
          <w:sz w:val="18"/>
          <w:szCs w:val="18"/>
          <w:lang w:val="en-AU"/>
        </w:rPr>
        <w:fldChar w:fldCharType="separate"/>
      </w:r>
      <w:r w:rsidR="00E84433">
        <w:rPr>
          <w:rFonts w:cstheme="minorHAnsi"/>
          <w:i/>
          <w:noProof/>
          <w:color w:val="000000" w:themeColor="text1"/>
          <w:sz w:val="18"/>
          <w:szCs w:val="18"/>
          <w:lang w:val="en-AU"/>
        </w:rPr>
        <w:t>1</w:t>
      </w:r>
      <w:r w:rsidRPr="0060376E">
        <w:rPr>
          <w:rFonts w:cstheme="minorHAnsi"/>
          <w:i/>
          <w:color w:val="000000" w:themeColor="text1"/>
          <w:sz w:val="18"/>
          <w:szCs w:val="18"/>
          <w:lang w:val="en-AU"/>
        </w:rPr>
        <w:fldChar w:fldCharType="end"/>
      </w:r>
      <w:r w:rsidR="00C350F0" w:rsidRPr="0060376E">
        <w:rPr>
          <w:rFonts w:cstheme="minorHAnsi"/>
          <w:i/>
          <w:color w:val="000000" w:themeColor="text1"/>
          <w:sz w:val="18"/>
          <w:szCs w:val="18"/>
          <w:lang w:val="en-AU"/>
        </w:rPr>
        <w:t>.</w:t>
      </w:r>
      <w:r w:rsidRPr="0060376E">
        <w:rPr>
          <w:rFonts w:cstheme="minorHAnsi"/>
          <w:i/>
          <w:color w:val="000000" w:themeColor="text1"/>
          <w:sz w:val="18"/>
          <w:szCs w:val="18"/>
          <w:lang w:val="en-AU"/>
        </w:rPr>
        <w:t xml:space="preserve"> Leading causes of burden of injury based on Disability Adjusted Life Years (DALY</w:t>
      </w:r>
      <w:r w:rsidR="00C97B89" w:rsidRPr="0060376E">
        <w:rPr>
          <w:rFonts w:cstheme="minorHAnsi"/>
          <w:i/>
          <w:color w:val="000000" w:themeColor="text1"/>
          <w:sz w:val="18"/>
          <w:szCs w:val="18"/>
          <w:lang w:val="en-AU"/>
        </w:rPr>
        <w:t>s</w:t>
      </w:r>
      <w:r w:rsidRPr="0060376E">
        <w:rPr>
          <w:rFonts w:cstheme="minorHAnsi"/>
          <w:i/>
          <w:color w:val="000000" w:themeColor="text1"/>
          <w:sz w:val="18"/>
          <w:szCs w:val="18"/>
          <w:lang w:val="en-AU"/>
        </w:rPr>
        <w:t>)</w:t>
      </w:r>
      <w:r w:rsidR="00FD3F58" w:rsidRPr="0060376E">
        <w:rPr>
          <w:rFonts w:cstheme="minorHAnsi"/>
          <w:i/>
          <w:color w:val="000000" w:themeColor="text1"/>
          <w:sz w:val="18"/>
          <w:szCs w:val="18"/>
          <w:lang w:val="en-AU"/>
        </w:rPr>
        <w:t xml:space="preserve"> as derived from ICD-coded external cause data</w:t>
      </w:r>
      <w:bookmarkEnd w:id="52"/>
      <w:bookmarkEnd w:id="53"/>
      <w:r w:rsidR="00EF7AF2" w:rsidRPr="0060376E">
        <w:rPr>
          <w:rFonts w:cstheme="minorHAnsi"/>
          <w:i/>
          <w:color w:val="000000" w:themeColor="text1"/>
          <w:sz w:val="18"/>
          <w:szCs w:val="18"/>
          <w:vertAlign w:val="superscript"/>
          <w:lang w:val="en-AU"/>
        </w:rPr>
        <w:t xml:space="preserve"> </w:t>
      </w:r>
      <w:r w:rsidR="00EF7AF2" w:rsidRPr="0060376E">
        <w:rPr>
          <w:rFonts w:cstheme="minorHAnsi"/>
          <w:i/>
          <w:color w:val="000000" w:themeColor="text1"/>
          <w:sz w:val="18"/>
          <w:szCs w:val="18"/>
          <w:lang w:val="en-AU"/>
        </w:rPr>
        <w:t>(2015)</w:t>
      </w:r>
      <w:r w:rsidR="00542B57" w:rsidRPr="00542B57">
        <w:rPr>
          <w:rFonts w:cstheme="minorHAnsi"/>
          <w:i/>
          <w:color w:val="000000" w:themeColor="text1"/>
          <w:sz w:val="18"/>
          <w:szCs w:val="18"/>
          <w:vertAlign w:val="superscript"/>
          <w:lang w:val="en-AU"/>
        </w:rPr>
        <w:t xml:space="preserve"> </w:t>
      </w:r>
      <w:r w:rsidR="00542B57" w:rsidRPr="009E4AEE">
        <w:rPr>
          <w:rFonts w:cstheme="minorHAnsi"/>
          <w:i/>
          <w:color w:val="000000" w:themeColor="text1"/>
          <w:sz w:val="18"/>
          <w:szCs w:val="18"/>
          <w:vertAlign w:val="superscript"/>
          <w:lang w:val="en-AU"/>
        </w:rPr>
        <w:t>[</w:t>
      </w:r>
      <w:r w:rsidR="00542B57" w:rsidRPr="009E4AEE">
        <w:rPr>
          <w:rStyle w:val="FootnoteReference"/>
          <w:rFonts w:cstheme="minorHAnsi"/>
          <w:i/>
          <w:color w:val="000000" w:themeColor="text1"/>
          <w:sz w:val="18"/>
          <w:szCs w:val="18"/>
          <w:lang w:val="en-AU"/>
        </w:rPr>
        <w:footnoteReference w:id="2"/>
      </w:r>
      <w:r w:rsidR="00542B57" w:rsidRPr="009E4AEE">
        <w:rPr>
          <w:rFonts w:cstheme="minorHAnsi"/>
          <w:i/>
          <w:color w:val="000000" w:themeColor="text1"/>
          <w:sz w:val="18"/>
          <w:szCs w:val="18"/>
          <w:vertAlign w:val="superscript"/>
          <w:lang w:val="en-AU"/>
        </w:rPr>
        <w:t>]</w:t>
      </w:r>
    </w:p>
    <w:tbl>
      <w:tblPr>
        <w:tblStyle w:val="NOUSSideHeader1"/>
        <w:tblW w:w="9351" w:type="dxa"/>
        <w:tblLook w:val="04A0" w:firstRow="1" w:lastRow="0" w:firstColumn="1" w:lastColumn="0" w:noHBand="0" w:noVBand="1"/>
      </w:tblPr>
      <w:tblGrid>
        <w:gridCol w:w="631"/>
        <w:gridCol w:w="1744"/>
        <w:gridCol w:w="1744"/>
        <w:gridCol w:w="1744"/>
        <w:gridCol w:w="1744"/>
        <w:gridCol w:w="1744"/>
      </w:tblGrid>
      <w:tr w:rsidR="00E176F7" w:rsidRPr="007F1E4B" w14:paraId="7B0AEE88" w14:textId="77777777" w:rsidTr="00A65690">
        <w:trPr>
          <w:trHeight w:val="20"/>
        </w:trPr>
        <w:tc>
          <w:tcPr>
            <w:tcW w:w="631" w:type="dxa"/>
            <w:shd w:val="clear" w:color="auto" w:fill="auto"/>
            <w:vAlign w:val="center"/>
          </w:tcPr>
          <w:p w14:paraId="65DE6271"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Rank</w:t>
            </w:r>
          </w:p>
        </w:tc>
        <w:tc>
          <w:tcPr>
            <w:tcW w:w="1744" w:type="dxa"/>
            <w:shd w:val="clear" w:color="auto" w:fill="auto"/>
            <w:vAlign w:val="center"/>
          </w:tcPr>
          <w:p w14:paraId="1F7374F3"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Overall</w:t>
            </w:r>
          </w:p>
        </w:tc>
        <w:tc>
          <w:tcPr>
            <w:tcW w:w="1744" w:type="dxa"/>
            <w:shd w:val="clear" w:color="auto" w:fill="auto"/>
            <w:vAlign w:val="center"/>
          </w:tcPr>
          <w:p w14:paraId="2B5A5756"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0-14 years</w:t>
            </w:r>
          </w:p>
        </w:tc>
        <w:tc>
          <w:tcPr>
            <w:tcW w:w="1744" w:type="dxa"/>
            <w:shd w:val="clear" w:color="auto" w:fill="auto"/>
            <w:vAlign w:val="center"/>
          </w:tcPr>
          <w:p w14:paraId="43D5358A"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15-24 years</w:t>
            </w:r>
          </w:p>
        </w:tc>
        <w:tc>
          <w:tcPr>
            <w:tcW w:w="1744" w:type="dxa"/>
            <w:shd w:val="clear" w:color="auto" w:fill="auto"/>
            <w:vAlign w:val="center"/>
          </w:tcPr>
          <w:p w14:paraId="6573CAEB"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25-64 years</w:t>
            </w:r>
          </w:p>
        </w:tc>
        <w:tc>
          <w:tcPr>
            <w:tcW w:w="1744" w:type="dxa"/>
            <w:shd w:val="clear" w:color="auto" w:fill="auto"/>
            <w:vAlign w:val="center"/>
          </w:tcPr>
          <w:p w14:paraId="263C86C5"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65+ years</w:t>
            </w:r>
          </w:p>
        </w:tc>
      </w:tr>
      <w:tr w:rsidR="00E176F7" w:rsidRPr="007F1E4B" w14:paraId="5DBB4395" w14:textId="77777777" w:rsidTr="00A65690">
        <w:trPr>
          <w:trHeight w:val="20"/>
        </w:trPr>
        <w:tc>
          <w:tcPr>
            <w:tcW w:w="631" w:type="dxa"/>
            <w:shd w:val="clear" w:color="auto" w:fill="auto"/>
            <w:vAlign w:val="center"/>
          </w:tcPr>
          <w:p w14:paraId="6D6DD5BC" w14:textId="77777777" w:rsidR="00E176F7" w:rsidRPr="007F1E4B" w:rsidRDefault="00E176F7" w:rsidP="007F1E4B">
            <w:pPr>
              <w:pStyle w:val="BodyCopy"/>
              <w:spacing w:before="0" w:after="0"/>
              <w:jc w:val="center"/>
              <w:rPr>
                <w:rFonts w:cstheme="minorHAnsi"/>
                <w:b/>
                <w:color w:val="auto"/>
                <w:sz w:val="18"/>
                <w:szCs w:val="18"/>
                <w:lang w:eastAsia="en-GB"/>
              </w:rPr>
            </w:pPr>
            <w:bookmarkStart w:id="54" w:name="_Hlk32312299"/>
            <w:r w:rsidRPr="007F1E4B">
              <w:rPr>
                <w:rFonts w:cstheme="minorHAnsi"/>
                <w:b/>
                <w:color w:val="auto"/>
                <w:sz w:val="18"/>
                <w:szCs w:val="18"/>
                <w:lang w:eastAsia="en-GB"/>
              </w:rPr>
              <w:t>1</w:t>
            </w:r>
          </w:p>
        </w:tc>
        <w:tc>
          <w:tcPr>
            <w:tcW w:w="1744" w:type="dxa"/>
            <w:shd w:val="clear" w:color="auto" w:fill="1F3864" w:themeFill="accent5" w:themeFillShade="80"/>
            <w:vAlign w:val="center"/>
          </w:tcPr>
          <w:p w14:paraId="29AD70BA"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auto"/>
                <w:sz w:val="18"/>
                <w:szCs w:val="18"/>
              </w:rPr>
              <w:t>Suicide and self-inflicted injuries</w:t>
            </w:r>
          </w:p>
        </w:tc>
        <w:tc>
          <w:tcPr>
            <w:tcW w:w="1744" w:type="dxa"/>
            <w:shd w:val="clear" w:color="auto" w:fill="DEEAF6" w:themeFill="accent1" w:themeFillTint="33"/>
            <w:vAlign w:val="center"/>
          </w:tcPr>
          <w:p w14:paraId="7DCA6AE8"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Other unintentional injuries</w:t>
            </w:r>
          </w:p>
        </w:tc>
        <w:tc>
          <w:tcPr>
            <w:tcW w:w="1744" w:type="dxa"/>
            <w:shd w:val="clear" w:color="auto" w:fill="1F3864" w:themeFill="accent5" w:themeFillShade="80"/>
            <w:vAlign w:val="center"/>
          </w:tcPr>
          <w:p w14:paraId="5974303B" w14:textId="77777777" w:rsidR="00E176F7" w:rsidRPr="003E5011" w:rsidRDefault="00E176F7" w:rsidP="007F1E4B">
            <w:pPr>
              <w:pStyle w:val="BodyCopy"/>
              <w:spacing w:before="0" w:after="0"/>
              <w:jc w:val="center"/>
              <w:rPr>
                <w:rFonts w:cstheme="minorHAnsi"/>
                <w:color w:val="FFFFFF" w:themeColor="background1"/>
                <w:sz w:val="18"/>
                <w:szCs w:val="18"/>
                <w:lang w:eastAsia="en-GB"/>
              </w:rPr>
            </w:pPr>
            <w:r w:rsidRPr="003E5011">
              <w:rPr>
                <w:rFonts w:cstheme="minorHAnsi"/>
                <w:color w:val="FFFFFF" w:themeColor="background1"/>
                <w:sz w:val="18"/>
                <w:szCs w:val="18"/>
              </w:rPr>
              <w:t>Suicide and self-inflicted injuries</w:t>
            </w:r>
          </w:p>
        </w:tc>
        <w:tc>
          <w:tcPr>
            <w:tcW w:w="1744" w:type="dxa"/>
            <w:shd w:val="clear" w:color="auto" w:fill="1F3864" w:themeFill="accent5" w:themeFillShade="80"/>
            <w:vAlign w:val="center"/>
          </w:tcPr>
          <w:p w14:paraId="596B1B47" w14:textId="77777777" w:rsidR="00E176F7" w:rsidRPr="003E5011" w:rsidRDefault="00E176F7" w:rsidP="007F1E4B">
            <w:pPr>
              <w:pStyle w:val="BodyCopy"/>
              <w:spacing w:before="0" w:after="0"/>
              <w:jc w:val="center"/>
              <w:rPr>
                <w:rFonts w:cstheme="minorHAnsi"/>
                <w:color w:val="FFFFFF" w:themeColor="background1"/>
                <w:sz w:val="18"/>
                <w:szCs w:val="18"/>
                <w:lang w:eastAsia="en-GB"/>
              </w:rPr>
            </w:pPr>
            <w:r w:rsidRPr="003E5011">
              <w:rPr>
                <w:rFonts w:cstheme="minorHAnsi"/>
                <w:color w:val="FFFFFF" w:themeColor="background1"/>
                <w:sz w:val="18"/>
                <w:szCs w:val="18"/>
              </w:rPr>
              <w:t>Suicide and self-inflicted injuries</w:t>
            </w:r>
          </w:p>
        </w:tc>
        <w:tc>
          <w:tcPr>
            <w:tcW w:w="1744" w:type="dxa"/>
            <w:shd w:val="clear" w:color="auto" w:fill="660066"/>
            <w:vAlign w:val="center"/>
          </w:tcPr>
          <w:p w14:paraId="7D025672" w14:textId="77777777" w:rsidR="00E176F7" w:rsidRPr="003E5011" w:rsidRDefault="00E176F7" w:rsidP="007F1E4B">
            <w:pPr>
              <w:pStyle w:val="BodyCopy"/>
              <w:spacing w:before="0" w:after="0"/>
              <w:jc w:val="center"/>
              <w:rPr>
                <w:rFonts w:cstheme="minorHAnsi"/>
                <w:color w:val="FFFFFF" w:themeColor="background1"/>
                <w:sz w:val="18"/>
                <w:szCs w:val="18"/>
                <w:lang w:eastAsia="en-GB"/>
              </w:rPr>
            </w:pPr>
            <w:r w:rsidRPr="003E5011">
              <w:rPr>
                <w:rFonts w:cstheme="minorHAnsi"/>
                <w:color w:val="FFFFFF" w:themeColor="background1"/>
                <w:sz w:val="18"/>
                <w:szCs w:val="18"/>
              </w:rPr>
              <w:t>Falls</w:t>
            </w:r>
          </w:p>
        </w:tc>
      </w:tr>
      <w:tr w:rsidR="00E176F7" w:rsidRPr="007F1E4B" w14:paraId="3215FDFA" w14:textId="77777777" w:rsidTr="00A65690">
        <w:trPr>
          <w:trHeight w:val="20"/>
        </w:trPr>
        <w:tc>
          <w:tcPr>
            <w:tcW w:w="631" w:type="dxa"/>
            <w:shd w:val="clear" w:color="auto" w:fill="auto"/>
            <w:vAlign w:val="center"/>
          </w:tcPr>
          <w:p w14:paraId="741C81D1"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2</w:t>
            </w:r>
          </w:p>
        </w:tc>
        <w:tc>
          <w:tcPr>
            <w:tcW w:w="1744" w:type="dxa"/>
            <w:shd w:val="clear" w:color="auto" w:fill="660066"/>
            <w:vAlign w:val="center"/>
          </w:tcPr>
          <w:p w14:paraId="04AD3534"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auto"/>
                <w:sz w:val="18"/>
                <w:szCs w:val="18"/>
              </w:rPr>
              <w:t>Falls</w:t>
            </w:r>
          </w:p>
        </w:tc>
        <w:tc>
          <w:tcPr>
            <w:tcW w:w="1744" w:type="dxa"/>
            <w:shd w:val="clear" w:color="auto" w:fill="7999FF"/>
            <w:vAlign w:val="center"/>
          </w:tcPr>
          <w:p w14:paraId="03DEAC30"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Road transport injury</w:t>
            </w:r>
          </w:p>
        </w:tc>
        <w:tc>
          <w:tcPr>
            <w:tcW w:w="1744" w:type="dxa"/>
            <w:shd w:val="clear" w:color="auto" w:fill="7999FF"/>
            <w:vAlign w:val="center"/>
          </w:tcPr>
          <w:p w14:paraId="10806BEE"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Road transport injury</w:t>
            </w:r>
          </w:p>
        </w:tc>
        <w:tc>
          <w:tcPr>
            <w:tcW w:w="1744" w:type="dxa"/>
            <w:shd w:val="clear" w:color="auto" w:fill="69D8FF"/>
            <w:vAlign w:val="center"/>
          </w:tcPr>
          <w:p w14:paraId="29B94FAC"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Poisoning</w:t>
            </w:r>
          </w:p>
        </w:tc>
        <w:tc>
          <w:tcPr>
            <w:tcW w:w="1744" w:type="dxa"/>
            <w:shd w:val="clear" w:color="auto" w:fill="1F3864" w:themeFill="accent5" w:themeFillShade="80"/>
            <w:vAlign w:val="center"/>
          </w:tcPr>
          <w:p w14:paraId="45323487" w14:textId="77777777" w:rsidR="00E176F7" w:rsidRPr="007F1E4B" w:rsidRDefault="00E176F7" w:rsidP="007F1E4B">
            <w:pPr>
              <w:pStyle w:val="BodyCopy"/>
              <w:spacing w:before="0" w:after="0"/>
              <w:jc w:val="center"/>
              <w:rPr>
                <w:rFonts w:cstheme="minorHAnsi"/>
                <w:color w:val="auto"/>
                <w:sz w:val="18"/>
                <w:szCs w:val="18"/>
                <w:lang w:eastAsia="en-GB"/>
              </w:rPr>
            </w:pPr>
            <w:r w:rsidRPr="003E5011">
              <w:rPr>
                <w:rFonts w:cstheme="minorHAnsi"/>
                <w:color w:val="FFFFFF" w:themeColor="background1"/>
                <w:sz w:val="18"/>
                <w:szCs w:val="18"/>
              </w:rPr>
              <w:t>Suicide and self-inflicted injuries</w:t>
            </w:r>
          </w:p>
        </w:tc>
      </w:tr>
      <w:tr w:rsidR="00E176F7" w:rsidRPr="007F1E4B" w14:paraId="50B544B7" w14:textId="77777777" w:rsidTr="00A65690">
        <w:trPr>
          <w:trHeight w:val="20"/>
        </w:trPr>
        <w:tc>
          <w:tcPr>
            <w:tcW w:w="631" w:type="dxa"/>
            <w:shd w:val="clear" w:color="auto" w:fill="auto"/>
            <w:vAlign w:val="center"/>
          </w:tcPr>
          <w:p w14:paraId="10BD3EFC"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3</w:t>
            </w:r>
          </w:p>
        </w:tc>
        <w:tc>
          <w:tcPr>
            <w:tcW w:w="1744" w:type="dxa"/>
            <w:shd w:val="clear" w:color="auto" w:fill="69D8FF"/>
            <w:vAlign w:val="center"/>
          </w:tcPr>
          <w:p w14:paraId="4725F0E2"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auto"/>
                <w:sz w:val="18"/>
                <w:szCs w:val="18"/>
              </w:rPr>
              <w:t>Poisoning</w:t>
            </w:r>
          </w:p>
        </w:tc>
        <w:tc>
          <w:tcPr>
            <w:tcW w:w="1744" w:type="dxa"/>
            <w:shd w:val="clear" w:color="auto" w:fill="660066"/>
            <w:vAlign w:val="center"/>
          </w:tcPr>
          <w:p w14:paraId="1596F5CE" w14:textId="77777777" w:rsidR="00E176F7" w:rsidRPr="007F1E4B" w:rsidRDefault="00E176F7" w:rsidP="007F1E4B">
            <w:pPr>
              <w:pStyle w:val="BodyCopy"/>
              <w:spacing w:before="0" w:after="0"/>
              <w:jc w:val="center"/>
              <w:rPr>
                <w:rFonts w:cstheme="minorHAnsi"/>
                <w:color w:val="auto"/>
                <w:sz w:val="18"/>
                <w:szCs w:val="18"/>
                <w:lang w:eastAsia="en-GB"/>
              </w:rPr>
            </w:pPr>
            <w:r w:rsidRPr="003E5011">
              <w:rPr>
                <w:rFonts w:cstheme="minorHAnsi"/>
                <w:color w:val="FFFFFF" w:themeColor="background1"/>
                <w:sz w:val="18"/>
                <w:szCs w:val="18"/>
              </w:rPr>
              <w:t>Falls</w:t>
            </w:r>
          </w:p>
        </w:tc>
        <w:tc>
          <w:tcPr>
            <w:tcW w:w="1744" w:type="dxa"/>
            <w:shd w:val="clear" w:color="auto" w:fill="DEEAF6" w:themeFill="accent1" w:themeFillTint="33"/>
            <w:vAlign w:val="center"/>
          </w:tcPr>
          <w:p w14:paraId="5B60A24C"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Other unintentional injuries</w:t>
            </w:r>
          </w:p>
        </w:tc>
        <w:tc>
          <w:tcPr>
            <w:tcW w:w="1744" w:type="dxa"/>
            <w:shd w:val="clear" w:color="auto" w:fill="7999FF"/>
            <w:vAlign w:val="center"/>
          </w:tcPr>
          <w:p w14:paraId="253F1BDF"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Road transport injury</w:t>
            </w:r>
          </w:p>
        </w:tc>
        <w:tc>
          <w:tcPr>
            <w:tcW w:w="1744" w:type="dxa"/>
            <w:shd w:val="clear" w:color="auto" w:fill="7999FF"/>
            <w:vAlign w:val="center"/>
          </w:tcPr>
          <w:p w14:paraId="011D00D3"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Road transport injury</w:t>
            </w:r>
          </w:p>
        </w:tc>
      </w:tr>
      <w:tr w:rsidR="00E176F7" w:rsidRPr="007F1E4B" w14:paraId="1342A4DD" w14:textId="77777777" w:rsidTr="00A65690">
        <w:trPr>
          <w:trHeight w:val="20"/>
        </w:trPr>
        <w:tc>
          <w:tcPr>
            <w:tcW w:w="631" w:type="dxa"/>
            <w:shd w:val="clear" w:color="auto" w:fill="auto"/>
            <w:vAlign w:val="center"/>
          </w:tcPr>
          <w:p w14:paraId="551A04CF"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4</w:t>
            </w:r>
          </w:p>
        </w:tc>
        <w:tc>
          <w:tcPr>
            <w:tcW w:w="1744" w:type="dxa"/>
            <w:shd w:val="clear" w:color="auto" w:fill="7999FF"/>
            <w:vAlign w:val="center"/>
          </w:tcPr>
          <w:p w14:paraId="623766D1"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auto"/>
                <w:sz w:val="18"/>
                <w:szCs w:val="18"/>
              </w:rPr>
              <w:t>Road transport injury</w:t>
            </w:r>
          </w:p>
        </w:tc>
        <w:tc>
          <w:tcPr>
            <w:tcW w:w="1744" w:type="dxa"/>
            <w:shd w:val="clear" w:color="auto" w:fill="FF9FE6"/>
            <w:vAlign w:val="center"/>
          </w:tcPr>
          <w:p w14:paraId="0270562B"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Drowning</w:t>
            </w:r>
          </w:p>
        </w:tc>
        <w:tc>
          <w:tcPr>
            <w:tcW w:w="1744" w:type="dxa"/>
            <w:shd w:val="clear" w:color="auto" w:fill="69D8FF"/>
            <w:vAlign w:val="center"/>
          </w:tcPr>
          <w:p w14:paraId="2AA654DD"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Poisoning</w:t>
            </w:r>
          </w:p>
        </w:tc>
        <w:tc>
          <w:tcPr>
            <w:tcW w:w="1744" w:type="dxa"/>
            <w:shd w:val="clear" w:color="auto" w:fill="660066"/>
            <w:vAlign w:val="center"/>
          </w:tcPr>
          <w:p w14:paraId="4A126054" w14:textId="77777777" w:rsidR="00E176F7" w:rsidRPr="007F1E4B" w:rsidRDefault="00E176F7" w:rsidP="007F1E4B">
            <w:pPr>
              <w:pStyle w:val="BodyCopy"/>
              <w:spacing w:before="0" w:after="0"/>
              <w:jc w:val="center"/>
              <w:rPr>
                <w:rFonts w:cstheme="minorHAnsi"/>
                <w:color w:val="auto"/>
                <w:sz w:val="18"/>
                <w:szCs w:val="18"/>
                <w:lang w:eastAsia="en-GB"/>
              </w:rPr>
            </w:pPr>
            <w:r w:rsidRPr="003E5011">
              <w:rPr>
                <w:rFonts w:cstheme="minorHAnsi"/>
                <w:color w:val="FFFFFF" w:themeColor="background1"/>
                <w:sz w:val="18"/>
                <w:szCs w:val="18"/>
              </w:rPr>
              <w:t>Falls</w:t>
            </w:r>
          </w:p>
        </w:tc>
        <w:tc>
          <w:tcPr>
            <w:tcW w:w="1744" w:type="dxa"/>
            <w:shd w:val="clear" w:color="auto" w:fill="DEEAF6" w:themeFill="accent1" w:themeFillTint="33"/>
            <w:vAlign w:val="center"/>
          </w:tcPr>
          <w:p w14:paraId="3E065048"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Other unintentional injuries</w:t>
            </w:r>
          </w:p>
        </w:tc>
      </w:tr>
      <w:tr w:rsidR="00E176F7" w:rsidRPr="007F1E4B" w14:paraId="2A03576E" w14:textId="77777777" w:rsidTr="00A65690">
        <w:trPr>
          <w:trHeight w:val="20"/>
        </w:trPr>
        <w:tc>
          <w:tcPr>
            <w:tcW w:w="631" w:type="dxa"/>
            <w:shd w:val="clear" w:color="auto" w:fill="auto"/>
            <w:vAlign w:val="center"/>
          </w:tcPr>
          <w:p w14:paraId="7EBB696E" w14:textId="77777777" w:rsidR="00E176F7" w:rsidRPr="003E5011" w:rsidRDefault="00E176F7" w:rsidP="007F1E4B">
            <w:pPr>
              <w:pStyle w:val="BodyCopy"/>
              <w:spacing w:before="0" w:after="0"/>
              <w:jc w:val="center"/>
              <w:rPr>
                <w:rFonts w:cstheme="minorHAnsi"/>
                <w:b/>
                <w:color w:val="auto"/>
                <w:sz w:val="18"/>
                <w:szCs w:val="18"/>
                <w:lang w:eastAsia="en-GB"/>
              </w:rPr>
            </w:pPr>
            <w:r w:rsidRPr="003E5011">
              <w:rPr>
                <w:rFonts w:cstheme="minorHAnsi"/>
                <w:b/>
                <w:color w:val="auto"/>
                <w:sz w:val="18"/>
                <w:szCs w:val="18"/>
                <w:lang w:eastAsia="en-GB"/>
              </w:rPr>
              <w:t>5</w:t>
            </w:r>
          </w:p>
        </w:tc>
        <w:tc>
          <w:tcPr>
            <w:tcW w:w="1744" w:type="dxa"/>
            <w:shd w:val="clear" w:color="auto" w:fill="DEEAF6" w:themeFill="accent1" w:themeFillTint="33"/>
            <w:vAlign w:val="center"/>
          </w:tcPr>
          <w:p w14:paraId="76C8952C"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auto"/>
                <w:sz w:val="18"/>
                <w:szCs w:val="18"/>
              </w:rPr>
              <w:t>Other unintentional injuries</w:t>
            </w:r>
          </w:p>
        </w:tc>
        <w:tc>
          <w:tcPr>
            <w:tcW w:w="1744" w:type="dxa"/>
            <w:shd w:val="clear" w:color="auto" w:fill="28659C"/>
            <w:vAlign w:val="center"/>
          </w:tcPr>
          <w:p w14:paraId="080FAEB3" w14:textId="77777777" w:rsidR="00E176F7" w:rsidRPr="003E5011" w:rsidRDefault="00E176F7" w:rsidP="007F1E4B">
            <w:pPr>
              <w:pStyle w:val="BodyCopy"/>
              <w:spacing w:before="0" w:after="0"/>
              <w:jc w:val="center"/>
              <w:rPr>
                <w:rFonts w:cstheme="minorHAnsi"/>
                <w:color w:val="FFFFFF" w:themeColor="background1"/>
                <w:sz w:val="18"/>
                <w:szCs w:val="18"/>
                <w:lang w:eastAsia="en-GB"/>
              </w:rPr>
            </w:pPr>
            <w:r w:rsidRPr="003E5011">
              <w:rPr>
                <w:rFonts w:cstheme="minorHAnsi"/>
                <w:color w:val="FFFFFF" w:themeColor="background1"/>
                <w:sz w:val="18"/>
                <w:szCs w:val="18"/>
              </w:rPr>
              <w:t>Homicide and violence</w:t>
            </w:r>
          </w:p>
        </w:tc>
        <w:tc>
          <w:tcPr>
            <w:tcW w:w="1744" w:type="dxa"/>
            <w:shd w:val="clear" w:color="auto" w:fill="660066"/>
            <w:vAlign w:val="center"/>
          </w:tcPr>
          <w:p w14:paraId="5CADCA4A" w14:textId="77777777" w:rsidR="00E176F7" w:rsidRPr="003E5011" w:rsidRDefault="00E176F7" w:rsidP="007F1E4B">
            <w:pPr>
              <w:pStyle w:val="BodyCopy"/>
              <w:spacing w:before="0" w:after="0"/>
              <w:jc w:val="center"/>
              <w:rPr>
                <w:rFonts w:cstheme="minorHAnsi"/>
                <w:color w:val="FFFFFF" w:themeColor="background1"/>
                <w:sz w:val="18"/>
                <w:szCs w:val="18"/>
                <w:lang w:eastAsia="en-GB"/>
              </w:rPr>
            </w:pPr>
            <w:r w:rsidRPr="003E5011">
              <w:rPr>
                <w:rFonts w:cstheme="minorHAnsi"/>
                <w:color w:val="FFFFFF" w:themeColor="background1"/>
                <w:sz w:val="18"/>
                <w:szCs w:val="18"/>
              </w:rPr>
              <w:t>Falls</w:t>
            </w:r>
          </w:p>
        </w:tc>
        <w:tc>
          <w:tcPr>
            <w:tcW w:w="1744" w:type="dxa"/>
            <w:shd w:val="clear" w:color="auto" w:fill="DEEAF6" w:themeFill="accent1" w:themeFillTint="33"/>
            <w:vAlign w:val="center"/>
          </w:tcPr>
          <w:p w14:paraId="12365ABE"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Other unintentional injuries</w:t>
            </w:r>
          </w:p>
        </w:tc>
        <w:tc>
          <w:tcPr>
            <w:tcW w:w="1744" w:type="dxa"/>
            <w:shd w:val="clear" w:color="auto" w:fill="DBDBDB" w:themeFill="accent3" w:themeFillTint="66"/>
            <w:vAlign w:val="center"/>
          </w:tcPr>
          <w:p w14:paraId="4A43E70A"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All other external causes of injury</w:t>
            </w:r>
          </w:p>
        </w:tc>
      </w:tr>
      <w:tr w:rsidR="00E176F7" w:rsidRPr="007F1E4B" w14:paraId="1A56E7D3" w14:textId="77777777" w:rsidTr="00A65690">
        <w:trPr>
          <w:trHeight w:val="20"/>
        </w:trPr>
        <w:tc>
          <w:tcPr>
            <w:tcW w:w="631" w:type="dxa"/>
            <w:shd w:val="clear" w:color="auto" w:fill="auto"/>
            <w:vAlign w:val="center"/>
          </w:tcPr>
          <w:p w14:paraId="5D3DE6E8"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6</w:t>
            </w:r>
          </w:p>
        </w:tc>
        <w:tc>
          <w:tcPr>
            <w:tcW w:w="1744" w:type="dxa"/>
            <w:shd w:val="clear" w:color="auto" w:fill="28659C"/>
            <w:vAlign w:val="center"/>
          </w:tcPr>
          <w:p w14:paraId="2AD04B38"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FFFFFF" w:themeColor="background1"/>
                <w:sz w:val="18"/>
                <w:szCs w:val="18"/>
              </w:rPr>
              <w:t>Homicide and violence</w:t>
            </w:r>
          </w:p>
        </w:tc>
        <w:tc>
          <w:tcPr>
            <w:tcW w:w="1744" w:type="dxa"/>
            <w:shd w:val="clear" w:color="auto" w:fill="990099"/>
            <w:vAlign w:val="center"/>
          </w:tcPr>
          <w:p w14:paraId="13E25D44" w14:textId="77777777" w:rsidR="00E176F7" w:rsidRPr="007F1E4B" w:rsidRDefault="00E176F7" w:rsidP="007F1E4B">
            <w:pPr>
              <w:pStyle w:val="BodyCopy"/>
              <w:spacing w:before="0" w:after="0"/>
              <w:jc w:val="center"/>
              <w:rPr>
                <w:rFonts w:cstheme="minorHAnsi"/>
                <w:color w:val="auto"/>
                <w:sz w:val="18"/>
                <w:szCs w:val="18"/>
                <w:lang w:eastAsia="en-GB"/>
              </w:rPr>
            </w:pPr>
            <w:r w:rsidRPr="00A65690">
              <w:rPr>
                <w:rFonts w:cstheme="minorHAnsi"/>
                <w:color w:val="FFFFFF" w:themeColor="background1"/>
                <w:sz w:val="18"/>
                <w:szCs w:val="18"/>
              </w:rPr>
              <w:t>Other land transport injuries</w:t>
            </w:r>
          </w:p>
        </w:tc>
        <w:tc>
          <w:tcPr>
            <w:tcW w:w="1744" w:type="dxa"/>
            <w:shd w:val="clear" w:color="auto" w:fill="28659C"/>
            <w:vAlign w:val="center"/>
          </w:tcPr>
          <w:p w14:paraId="6E20BCD6" w14:textId="77777777" w:rsidR="00E176F7" w:rsidRPr="003E5011" w:rsidRDefault="00E176F7" w:rsidP="007F1E4B">
            <w:pPr>
              <w:pStyle w:val="BodyCopy"/>
              <w:spacing w:before="0" w:after="0"/>
              <w:jc w:val="center"/>
              <w:rPr>
                <w:rFonts w:cstheme="minorHAnsi"/>
                <w:color w:val="FFFFFF" w:themeColor="background1"/>
                <w:sz w:val="18"/>
                <w:szCs w:val="18"/>
                <w:lang w:eastAsia="en-GB"/>
              </w:rPr>
            </w:pPr>
            <w:r w:rsidRPr="003E5011">
              <w:rPr>
                <w:rFonts w:cstheme="minorHAnsi"/>
                <w:color w:val="FFFFFF" w:themeColor="background1"/>
                <w:sz w:val="18"/>
                <w:szCs w:val="18"/>
              </w:rPr>
              <w:t>Homicide and violence</w:t>
            </w:r>
          </w:p>
        </w:tc>
        <w:tc>
          <w:tcPr>
            <w:tcW w:w="1744" w:type="dxa"/>
            <w:shd w:val="clear" w:color="auto" w:fill="28659C"/>
            <w:vAlign w:val="center"/>
          </w:tcPr>
          <w:p w14:paraId="78F9545A" w14:textId="77777777" w:rsidR="00E176F7" w:rsidRPr="003E5011" w:rsidRDefault="00E176F7" w:rsidP="007F1E4B">
            <w:pPr>
              <w:pStyle w:val="BodyCopy"/>
              <w:spacing w:before="0" w:after="0"/>
              <w:jc w:val="center"/>
              <w:rPr>
                <w:rFonts w:cstheme="minorHAnsi"/>
                <w:color w:val="FFFFFF" w:themeColor="background1"/>
                <w:sz w:val="18"/>
                <w:szCs w:val="18"/>
                <w:lang w:eastAsia="en-GB"/>
              </w:rPr>
            </w:pPr>
            <w:r w:rsidRPr="003E5011">
              <w:rPr>
                <w:rFonts w:cstheme="minorHAnsi"/>
                <w:color w:val="FFFFFF" w:themeColor="background1"/>
                <w:sz w:val="18"/>
                <w:szCs w:val="18"/>
              </w:rPr>
              <w:t>Homicide and violence</w:t>
            </w:r>
          </w:p>
        </w:tc>
        <w:tc>
          <w:tcPr>
            <w:tcW w:w="1744" w:type="dxa"/>
            <w:shd w:val="clear" w:color="auto" w:fill="69D8FF"/>
            <w:vAlign w:val="center"/>
          </w:tcPr>
          <w:p w14:paraId="1025EF38"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Poisoning</w:t>
            </w:r>
          </w:p>
        </w:tc>
      </w:tr>
      <w:tr w:rsidR="00E176F7" w:rsidRPr="007F1E4B" w14:paraId="261539B6" w14:textId="77777777" w:rsidTr="00A65690">
        <w:trPr>
          <w:trHeight w:val="20"/>
        </w:trPr>
        <w:tc>
          <w:tcPr>
            <w:tcW w:w="631" w:type="dxa"/>
            <w:shd w:val="clear" w:color="auto" w:fill="auto"/>
            <w:vAlign w:val="center"/>
          </w:tcPr>
          <w:p w14:paraId="13085123" w14:textId="77777777" w:rsidR="00E176F7" w:rsidRPr="003E5011" w:rsidRDefault="00E176F7" w:rsidP="007F1E4B">
            <w:pPr>
              <w:pStyle w:val="BodyCopy"/>
              <w:spacing w:before="0" w:after="0"/>
              <w:jc w:val="center"/>
              <w:rPr>
                <w:rFonts w:cstheme="minorHAnsi"/>
                <w:b/>
                <w:color w:val="FFFFFF" w:themeColor="background1"/>
                <w:sz w:val="18"/>
                <w:szCs w:val="18"/>
                <w:lang w:eastAsia="en-GB"/>
              </w:rPr>
            </w:pPr>
            <w:r w:rsidRPr="00A65690">
              <w:rPr>
                <w:rFonts w:cstheme="minorHAnsi"/>
                <w:b/>
                <w:color w:val="auto"/>
                <w:sz w:val="18"/>
                <w:szCs w:val="18"/>
                <w:lang w:eastAsia="en-GB"/>
              </w:rPr>
              <w:t>7</w:t>
            </w:r>
          </w:p>
        </w:tc>
        <w:tc>
          <w:tcPr>
            <w:tcW w:w="1744" w:type="dxa"/>
            <w:shd w:val="clear" w:color="auto" w:fill="990099"/>
            <w:vAlign w:val="center"/>
          </w:tcPr>
          <w:p w14:paraId="411D6A21" w14:textId="77777777" w:rsidR="00E176F7" w:rsidRPr="003E5011" w:rsidRDefault="00E176F7" w:rsidP="007F1E4B">
            <w:pPr>
              <w:pStyle w:val="BodyCopy"/>
              <w:spacing w:before="0" w:after="0"/>
              <w:jc w:val="center"/>
              <w:rPr>
                <w:rFonts w:cstheme="minorHAnsi"/>
                <w:color w:val="FFFFFF" w:themeColor="background1"/>
                <w:sz w:val="18"/>
                <w:szCs w:val="18"/>
                <w:lang w:eastAsia="en-GB"/>
              </w:rPr>
            </w:pPr>
            <w:r w:rsidRPr="003E5011">
              <w:rPr>
                <w:rFonts w:cstheme="minorHAnsi"/>
                <w:color w:val="FFFFFF" w:themeColor="background1"/>
                <w:sz w:val="18"/>
                <w:szCs w:val="18"/>
              </w:rPr>
              <w:t>Other land transport injuries</w:t>
            </w:r>
          </w:p>
        </w:tc>
        <w:tc>
          <w:tcPr>
            <w:tcW w:w="1744" w:type="dxa"/>
            <w:shd w:val="clear" w:color="auto" w:fill="1F3864" w:themeFill="accent5" w:themeFillShade="80"/>
            <w:vAlign w:val="center"/>
          </w:tcPr>
          <w:p w14:paraId="207D5998" w14:textId="77777777" w:rsidR="00E176F7" w:rsidRPr="007F1E4B" w:rsidRDefault="00E176F7" w:rsidP="007F1E4B">
            <w:pPr>
              <w:pStyle w:val="BodyCopy"/>
              <w:spacing w:before="0" w:after="0"/>
              <w:jc w:val="center"/>
              <w:rPr>
                <w:rFonts w:cstheme="minorHAnsi"/>
                <w:color w:val="auto"/>
                <w:sz w:val="18"/>
                <w:szCs w:val="18"/>
                <w:lang w:eastAsia="en-GB"/>
              </w:rPr>
            </w:pPr>
            <w:r w:rsidRPr="003E5011">
              <w:rPr>
                <w:rFonts w:cstheme="minorHAnsi"/>
                <w:color w:val="FFFFFF" w:themeColor="background1"/>
                <w:sz w:val="18"/>
                <w:szCs w:val="18"/>
              </w:rPr>
              <w:t>Suicide and self-inflicted injuries</w:t>
            </w:r>
          </w:p>
        </w:tc>
        <w:tc>
          <w:tcPr>
            <w:tcW w:w="1744" w:type="dxa"/>
            <w:shd w:val="clear" w:color="auto" w:fill="990099"/>
            <w:vAlign w:val="center"/>
          </w:tcPr>
          <w:p w14:paraId="03E2DB63" w14:textId="77777777" w:rsidR="00E176F7" w:rsidRPr="00A65690" w:rsidRDefault="00E176F7" w:rsidP="007F1E4B">
            <w:pPr>
              <w:pStyle w:val="BodyCopy"/>
              <w:spacing w:before="0" w:after="0"/>
              <w:jc w:val="center"/>
              <w:rPr>
                <w:rFonts w:cstheme="minorHAnsi"/>
                <w:color w:val="FFFFFF" w:themeColor="background1"/>
                <w:sz w:val="18"/>
                <w:szCs w:val="18"/>
                <w:lang w:eastAsia="en-GB"/>
              </w:rPr>
            </w:pPr>
            <w:r w:rsidRPr="00A65690">
              <w:rPr>
                <w:rFonts w:cstheme="minorHAnsi"/>
                <w:color w:val="FFFFFF" w:themeColor="background1"/>
                <w:sz w:val="18"/>
                <w:szCs w:val="18"/>
              </w:rPr>
              <w:t>Other land transport injuries</w:t>
            </w:r>
          </w:p>
        </w:tc>
        <w:tc>
          <w:tcPr>
            <w:tcW w:w="1744" w:type="dxa"/>
            <w:shd w:val="clear" w:color="auto" w:fill="990099"/>
            <w:vAlign w:val="center"/>
          </w:tcPr>
          <w:p w14:paraId="31071D2A" w14:textId="77777777" w:rsidR="00E176F7" w:rsidRPr="00A65690" w:rsidRDefault="00E176F7" w:rsidP="007F1E4B">
            <w:pPr>
              <w:pStyle w:val="BodyCopy"/>
              <w:spacing w:before="0" w:after="0"/>
              <w:jc w:val="center"/>
              <w:rPr>
                <w:rFonts w:cstheme="minorHAnsi"/>
                <w:color w:val="FFFFFF" w:themeColor="background1"/>
                <w:sz w:val="18"/>
                <w:szCs w:val="18"/>
                <w:lang w:eastAsia="en-GB"/>
              </w:rPr>
            </w:pPr>
            <w:r w:rsidRPr="00A65690">
              <w:rPr>
                <w:rFonts w:cstheme="minorHAnsi"/>
                <w:color w:val="FFFFFF" w:themeColor="background1"/>
                <w:sz w:val="18"/>
                <w:szCs w:val="18"/>
              </w:rPr>
              <w:t>Other land transport injuries</w:t>
            </w:r>
          </w:p>
        </w:tc>
        <w:tc>
          <w:tcPr>
            <w:tcW w:w="1744" w:type="dxa"/>
            <w:shd w:val="clear" w:color="auto" w:fill="990099"/>
            <w:vAlign w:val="center"/>
          </w:tcPr>
          <w:p w14:paraId="78F69092" w14:textId="77777777" w:rsidR="00E176F7" w:rsidRPr="00A65690" w:rsidRDefault="00E176F7" w:rsidP="007F1E4B">
            <w:pPr>
              <w:pStyle w:val="BodyCopy"/>
              <w:spacing w:before="0" w:after="0"/>
              <w:jc w:val="center"/>
              <w:rPr>
                <w:rFonts w:cstheme="minorHAnsi"/>
                <w:color w:val="FFFFFF" w:themeColor="background1"/>
                <w:sz w:val="18"/>
                <w:szCs w:val="18"/>
                <w:lang w:eastAsia="en-GB"/>
              </w:rPr>
            </w:pPr>
            <w:r w:rsidRPr="00A65690">
              <w:rPr>
                <w:rFonts w:cstheme="minorHAnsi"/>
                <w:color w:val="FFFFFF" w:themeColor="background1"/>
                <w:sz w:val="18"/>
                <w:szCs w:val="18"/>
              </w:rPr>
              <w:t>Other land transport injuries</w:t>
            </w:r>
          </w:p>
        </w:tc>
      </w:tr>
      <w:tr w:rsidR="00E176F7" w:rsidRPr="007F1E4B" w14:paraId="713BAA3C" w14:textId="77777777" w:rsidTr="00A65690">
        <w:trPr>
          <w:trHeight w:val="20"/>
        </w:trPr>
        <w:tc>
          <w:tcPr>
            <w:tcW w:w="631" w:type="dxa"/>
            <w:shd w:val="clear" w:color="auto" w:fill="auto"/>
            <w:vAlign w:val="center"/>
          </w:tcPr>
          <w:p w14:paraId="1753BA96"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8</w:t>
            </w:r>
          </w:p>
        </w:tc>
        <w:tc>
          <w:tcPr>
            <w:tcW w:w="1744" w:type="dxa"/>
            <w:shd w:val="clear" w:color="auto" w:fill="FF9FE6"/>
            <w:vAlign w:val="center"/>
          </w:tcPr>
          <w:p w14:paraId="0229BA34"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auto"/>
                <w:sz w:val="18"/>
                <w:szCs w:val="18"/>
              </w:rPr>
              <w:t>Drowning</w:t>
            </w:r>
          </w:p>
        </w:tc>
        <w:tc>
          <w:tcPr>
            <w:tcW w:w="1744" w:type="dxa"/>
            <w:shd w:val="clear" w:color="auto" w:fill="ED7D31" w:themeFill="accent2"/>
            <w:vAlign w:val="center"/>
          </w:tcPr>
          <w:p w14:paraId="15D908BA"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Fire, burns and scalds</w:t>
            </w:r>
          </w:p>
        </w:tc>
        <w:tc>
          <w:tcPr>
            <w:tcW w:w="1744" w:type="dxa"/>
            <w:shd w:val="clear" w:color="auto" w:fill="FF9FE6"/>
            <w:vAlign w:val="center"/>
          </w:tcPr>
          <w:p w14:paraId="42308504"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Drowning</w:t>
            </w:r>
          </w:p>
        </w:tc>
        <w:tc>
          <w:tcPr>
            <w:tcW w:w="1744" w:type="dxa"/>
            <w:shd w:val="clear" w:color="auto" w:fill="FF9FE6"/>
            <w:vAlign w:val="center"/>
          </w:tcPr>
          <w:p w14:paraId="5A6BB2D5"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Drowning</w:t>
            </w:r>
          </w:p>
        </w:tc>
        <w:tc>
          <w:tcPr>
            <w:tcW w:w="1744" w:type="dxa"/>
            <w:shd w:val="clear" w:color="auto" w:fill="FF9FE6"/>
            <w:vAlign w:val="center"/>
          </w:tcPr>
          <w:p w14:paraId="70B8810C"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Drowning</w:t>
            </w:r>
          </w:p>
        </w:tc>
      </w:tr>
      <w:tr w:rsidR="00E176F7" w:rsidRPr="007F1E4B" w14:paraId="57B47DD6" w14:textId="77777777" w:rsidTr="00A65690">
        <w:trPr>
          <w:trHeight w:val="20"/>
        </w:trPr>
        <w:tc>
          <w:tcPr>
            <w:tcW w:w="631" w:type="dxa"/>
            <w:shd w:val="clear" w:color="auto" w:fill="auto"/>
            <w:vAlign w:val="center"/>
          </w:tcPr>
          <w:p w14:paraId="18FEA9D3"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9</w:t>
            </w:r>
          </w:p>
        </w:tc>
        <w:tc>
          <w:tcPr>
            <w:tcW w:w="1744" w:type="dxa"/>
            <w:shd w:val="clear" w:color="auto" w:fill="DBDBDB" w:themeFill="accent3" w:themeFillTint="66"/>
            <w:vAlign w:val="center"/>
          </w:tcPr>
          <w:p w14:paraId="7CC5B806"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auto"/>
                <w:sz w:val="18"/>
                <w:szCs w:val="18"/>
              </w:rPr>
              <w:t>All other external causes of injury</w:t>
            </w:r>
          </w:p>
        </w:tc>
        <w:tc>
          <w:tcPr>
            <w:tcW w:w="1744" w:type="dxa"/>
            <w:shd w:val="clear" w:color="auto" w:fill="69D8FF"/>
            <w:vAlign w:val="center"/>
          </w:tcPr>
          <w:p w14:paraId="4831BD1C"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Poisoning</w:t>
            </w:r>
          </w:p>
        </w:tc>
        <w:tc>
          <w:tcPr>
            <w:tcW w:w="1744" w:type="dxa"/>
            <w:shd w:val="clear" w:color="auto" w:fill="ED7D31" w:themeFill="accent2"/>
            <w:vAlign w:val="center"/>
          </w:tcPr>
          <w:p w14:paraId="3730A99F"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Fire, burns and scalds</w:t>
            </w:r>
          </w:p>
        </w:tc>
        <w:tc>
          <w:tcPr>
            <w:tcW w:w="1744" w:type="dxa"/>
            <w:shd w:val="clear" w:color="auto" w:fill="DBDBDB" w:themeFill="accent3" w:themeFillTint="66"/>
            <w:vAlign w:val="center"/>
          </w:tcPr>
          <w:p w14:paraId="60E8196B"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All other external causes of injury</w:t>
            </w:r>
          </w:p>
        </w:tc>
        <w:tc>
          <w:tcPr>
            <w:tcW w:w="1744" w:type="dxa"/>
            <w:shd w:val="clear" w:color="auto" w:fill="ED7D31" w:themeFill="accent2"/>
            <w:vAlign w:val="center"/>
          </w:tcPr>
          <w:p w14:paraId="432403D9"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Fire, burns and scalds</w:t>
            </w:r>
          </w:p>
        </w:tc>
      </w:tr>
      <w:tr w:rsidR="00E176F7" w:rsidRPr="007F1E4B" w14:paraId="13BA8923" w14:textId="77777777" w:rsidTr="00A65690">
        <w:trPr>
          <w:trHeight w:val="20"/>
        </w:trPr>
        <w:tc>
          <w:tcPr>
            <w:tcW w:w="631" w:type="dxa"/>
            <w:shd w:val="clear" w:color="auto" w:fill="auto"/>
            <w:vAlign w:val="center"/>
          </w:tcPr>
          <w:p w14:paraId="424C6B0F" w14:textId="77777777" w:rsidR="00E176F7" w:rsidRPr="007F1E4B" w:rsidRDefault="00E176F7" w:rsidP="007F1E4B">
            <w:pPr>
              <w:pStyle w:val="BodyCopy"/>
              <w:spacing w:before="0" w:after="0"/>
              <w:jc w:val="center"/>
              <w:rPr>
                <w:rFonts w:cstheme="minorHAnsi"/>
                <w:b/>
                <w:color w:val="auto"/>
                <w:sz w:val="18"/>
                <w:szCs w:val="18"/>
                <w:lang w:eastAsia="en-GB"/>
              </w:rPr>
            </w:pPr>
            <w:r w:rsidRPr="007F1E4B">
              <w:rPr>
                <w:rFonts w:cstheme="minorHAnsi"/>
                <w:b/>
                <w:color w:val="auto"/>
                <w:sz w:val="18"/>
                <w:szCs w:val="18"/>
                <w:lang w:eastAsia="en-GB"/>
              </w:rPr>
              <w:t>10</w:t>
            </w:r>
          </w:p>
        </w:tc>
        <w:tc>
          <w:tcPr>
            <w:tcW w:w="1744" w:type="dxa"/>
            <w:shd w:val="clear" w:color="auto" w:fill="ED7D31" w:themeFill="accent2"/>
            <w:vAlign w:val="center"/>
          </w:tcPr>
          <w:p w14:paraId="08B40302" w14:textId="77777777" w:rsidR="00E176F7" w:rsidRPr="003E5011" w:rsidRDefault="00E176F7" w:rsidP="007F1E4B">
            <w:pPr>
              <w:pStyle w:val="BodyCopy"/>
              <w:spacing w:before="0" w:after="0"/>
              <w:jc w:val="center"/>
              <w:rPr>
                <w:rFonts w:cstheme="minorHAnsi"/>
                <w:color w:val="auto"/>
                <w:sz w:val="18"/>
                <w:szCs w:val="18"/>
                <w:lang w:eastAsia="en-GB"/>
              </w:rPr>
            </w:pPr>
            <w:r w:rsidRPr="003E5011">
              <w:rPr>
                <w:rFonts w:cstheme="minorHAnsi"/>
                <w:color w:val="auto"/>
                <w:sz w:val="18"/>
                <w:szCs w:val="18"/>
              </w:rPr>
              <w:t>Fire, burns and scalds</w:t>
            </w:r>
          </w:p>
        </w:tc>
        <w:tc>
          <w:tcPr>
            <w:tcW w:w="1744" w:type="dxa"/>
            <w:shd w:val="clear" w:color="auto" w:fill="DBDBDB" w:themeFill="accent3" w:themeFillTint="66"/>
            <w:vAlign w:val="center"/>
          </w:tcPr>
          <w:p w14:paraId="7CE40E0F"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All other external causes of injury</w:t>
            </w:r>
          </w:p>
        </w:tc>
        <w:tc>
          <w:tcPr>
            <w:tcW w:w="1744" w:type="dxa"/>
            <w:shd w:val="clear" w:color="auto" w:fill="DBDBDB" w:themeFill="accent3" w:themeFillTint="66"/>
            <w:vAlign w:val="center"/>
          </w:tcPr>
          <w:p w14:paraId="53FC4757"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All other external causes of injury</w:t>
            </w:r>
          </w:p>
        </w:tc>
        <w:tc>
          <w:tcPr>
            <w:tcW w:w="1744" w:type="dxa"/>
            <w:shd w:val="clear" w:color="auto" w:fill="ED7D31" w:themeFill="accent2"/>
            <w:vAlign w:val="center"/>
          </w:tcPr>
          <w:p w14:paraId="1049B20B" w14:textId="77777777" w:rsidR="00E176F7" w:rsidRPr="007F1E4B" w:rsidRDefault="00E176F7" w:rsidP="007F1E4B">
            <w:pPr>
              <w:pStyle w:val="BodyCopy"/>
              <w:spacing w:before="0" w:after="0"/>
              <w:jc w:val="center"/>
              <w:rPr>
                <w:rFonts w:cstheme="minorHAnsi"/>
                <w:color w:val="auto"/>
                <w:sz w:val="18"/>
                <w:szCs w:val="18"/>
                <w:lang w:eastAsia="en-GB"/>
              </w:rPr>
            </w:pPr>
            <w:r w:rsidRPr="007F1E4B">
              <w:rPr>
                <w:rFonts w:cstheme="minorHAnsi"/>
                <w:color w:val="000000"/>
                <w:sz w:val="18"/>
                <w:szCs w:val="18"/>
              </w:rPr>
              <w:t>Fire, burns and scalds</w:t>
            </w:r>
          </w:p>
        </w:tc>
        <w:tc>
          <w:tcPr>
            <w:tcW w:w="1744" w:type="dxa"/>
            <w:shd w:val="clear" w:color="auto" w:fill="28659C"/>
            <w:vAlign w:val="center"/>
          </w:tcPr>
          <w:p w14:paraId="764016E0" w14:textId="77777777" w:rsidR="00E176F7" w:rsidRPr="007F1E4B" w:rsidRDefault="00E176F7" w:rsidP="007F1E4B">
            <w:pPr>
              <w:pStyle w:val="BodyCopy"/>
              <w:spacing w:before="0" w:after="0"/>
              <w:jc w:val="center"/>
              <w:rPr>
                <w:rFonts w:cstheme="minorHAnsi"/>
                <w:color w:val="auto"/>
                <w:sz w:val="18"/>
                <w:szCs w:val="18"/>
                <w:lang w:eastAsia="en-GB"/>
              </w:rPr>
            </w:pPr>
            <w:r w:rsidRPr="003E5011">
              <w:rPr>
                <w:rFonts w:cstheme="minorHAnsi"/>
                <w:color w:val="FFFFFF" w:themeColor="background1"/>
                <w:sz w:val="18"/>
                <w:szCs w:val="18"/>
              </w:rPr>
              <w:t>Homicide and violence</w:t>
            </w:r>
          </w:p>
        </w:tc>
      </w:tr>
    </w:tbl>
    <w:bookmarkStart w:id="55" w:name="_Toc30421491"/>
    <w:bookmarkStart w:id="56" w:name="_Toc25237314"/>
    <w:bookmarkStart w:id="57" w:name="_Toc29473001"/>
    <w:bookmarkStart w:id="58" w:name="_Toc30077733"/>
    <w:bookmarkStart w:id="59" w:name="_Toc31128310"/>
    <w:bookmarkStart w:id="60" w:name="_Toc32584885"/>
    <w:bookmarkEnd w:id="54"/>
    <w:bookmarkEnd w:id="55"/>
    <w:p w14:paraId="3A0FB207" w14:textId="77777777" w:rsidR="00542B57" w:rsidRPr="00DA291B" w:rsidRDefault="00542B57" w:rsidP="00542B57">
      <w:pPr>
        <w:rPr>
          <w:rFonts w:cstheme="minorHAnsi"/>
          <w:sz w:val="18"/>
          <w:szCs w:val="18"/>
          <w:lang w:val="en-AU"/>
        </w:rPr>
      </w:pPr>
      <w:r>
        <w:rPr>
          <w:noProof/>
          <w:sz w:val="18"/>
          <w:szCs w:val="18"/>
        </w:rPr>
        <w:fldChar w:fldCharType="begin"/>
      </w:r>
      <w:r>
        <w:rPr>
          <w:noProof/>
          <w:sz w:val="18"/>
          <w:szCs w:val="18"/>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Pr>
          <w:noProof/>
          <w:sz w:val="18"/>
          <w:szCs w:val="18"/>
        </w:rPr>
        <w:fldChar w:fldCharType="separate"/>
      </w:r>
      <w:r w:rsidRPr="00542B57">
        <w:rPr>
          <w:noProof/>
          <w:sz w:val="18"/>
          <w:szCs w:val="18"/>
          <w:vertAlign w:val="superscript"/>
        </w:rPr>
        <w:t>1</w:t>
      </w:r>
      <w:r>
        <w:rPr>
          <w:noProof/>
          <w:sz w:val="18"/>
          <w:szCs w:val="18"/>
        </w:rPr>
        <w:fldChar w:fldCharType="end"/>
      </w:r>
      <w:r w:rsidRPr="00DA291B">
        <w:rPr>
          <w:noProof/>
          <w:sz w:val="18"/>
          <w:szCs w:val="18"/>
        </w:rPr>
        <w:t>AIHW. Analysis of burden of disease database. 2015.</w:t>
      </w:r>
    </w:p>
    <w:p w14:paraId="0EF7E151" w14:textId="77777777" w:rsidR="001B1972" w:rsidRPr="00400300" w:rsidRDefault="001B1972" w:rsidP="001B1972">
      <w:pPr>
        <w:pStyle w:val="BodyCopy"/>
        <w:spacing w:before="0" w:after="0"/>
        <w:rPr>
          <w:rFonts w:cstheme="minorHAnsi"/>
          <w:color w:val="auto"/>
          <w:szCs w:val="22"/>
        </w:rPr>
      </w:pPr>
    </w:p>
    <w:p w14:paraId="568B8DE8" w14:textId="2E5ECCAD" w:rsidR="001B1972" w:rsidRPr="00400300" w:rsidRDefault="001B1972" w:rsidP="001B1972">
      <w:pPr>
        <w:pStyle w:val="Caption"/>
        <w:rPr>
          <w:color w:val="auto"/>
          <w:lang w:val="en-AU"/>
        </w:rPr>
      </w:pPr>
      <w:bookmarkStart w:id="61" w:name="_Toc32827724"/>
      <w:r w:rsidRPr="00400300">
        <w:rPr>
          <w:color w:val="auto"/>
          <w:lang w:val="en-AU"/>
        </w:rPr>
        <w:t xml:space="preserve">Figure </w:t>
      </w:r>
      <w:r w:rsidRPr="00400300">
        <w:rPr>
          <w:color w:val="auto"/>
          <w:lang w:val="en-AU"/>
        </w:rPr>
        <w:fldChar w:fldCharType="begin"/>
      </w:r>
      <w:r w:rsidRPr="00400300">
        <w:rPr>
          <w:color w:val="auto"/>
          <w:lang w:val="en-AU"/>
        </w:rPr>
        <w:instrText xml:space="preserve"> SEQ Figure \* ARABIC </w:instrText>
      </w:r>
      <w:r w:rsidRPr="00400300">
        <w:rPr>
          <w:color w:val="auto"/>
          <w:lang w:val="en-AU"/>
        </w:rPr>
        <w:fldChar w:fldCharType="separate"/>
      </w:r>
      <w:r w:rsidR="00E84433">
        <w:rPr>
          <w:noProof/>
          <w:color w:val="auto"/>
          <w:lang w:val="en-AU"/>
        </w:rPr>
        <w:t>2</w:t>
      </w:r>
      <w:r w:rsidRPr="00400300">
        <w:rPr>
          <w:color w:val="auto"/>
          <w:lang w:val="en-AU"/>
        </w:rPr>
        <w:fldChar w:fldCharType="end"/>
      </w:r>
      <w:r w:rsidRPr="00400300">
        <w:rPr>
          <w:color w:val="auto"/>
          <w:lang w:val="en-AU"/>
        </w:rPr>
        <w:t>. Injury cause</w:t>
      </w:r>
      <w:r w:rsidR="0060376E">
        <w:rPr>
          <w:color w:val="auto"/>
          <w:lang w:val="en-AU"/>
        </w:rPr>
        <w:t xml:space="preserve"> </w:t>
      </w:r>
      <w:r w:rsidRPr="00400300">
        <w:rPr>
          <w:color w:val="auto"/>
          <w:lang w:val="en-AU"/>
        </w:rPr>
        <w:t xml:space="preserve">by DALYs for each age </w:t>
      </w:r>
      <w:proofErr w:type="gramStart"/>
      <w:r w:rsidRPr="00400300">
        <w:rPr>
          <w:color w:val="auto"/>
          <w:lang w:val="en-AU"/>
        </w:rPr>
        <w:t>group</w:t>
      </w:r>
      <w:r w:rsidR="00542B57" w:rsidRPr="00400300">
        <w:rPr>
          <w:color w:val="auto"/>
          <w:vertAlign w:val="superscript"/>
          <w:lang w:val="en-AU"/>
        </w:rPr>
        <w:t>[</w:t>
      </w:r>
      <w:proofErr w:type="gramEnd"/>
      <w:r w:rsidR="00542B57" w:rsidRPr="00400300">
        <w:rPr>
          <w:rStyle w:val="FootnoteReference"/>
          <w:color w:val="auto"/>
          <w:lang w:val="en-AU"/>
        </w:rPr>
        <w:footnoteReference w:id="3"/>
      </w:r>
      <w:r w:rsidR="00542B57" w:rsidRPr="00400300">
        <w:rPr>
          <w:color w:val="auto"/>
          <w:vertAlign w:val="superscript"/>
          <w:lang w:val="en-AU"/>
        </w:rPr>
        <w:t>]</w:t>
      </w:r>
      <w:bookmarkEnd w:id="61"/>
    </w:p>
    <w:p w14:paraId="5AFBE5EF" w14:textId="69DA7461" w:rsidR="00542B57" w:rsidRDefault="00542B57" w:rsidP="001B1972">
      <w:pPr>
        <w:rPr>
          <w:lang w:val="en-AU"/>
        </w:rPr>
      </w:pPr>
      <w:r w:rsidRPr="00220772">
        <w:rPr>
          <w:noProof/>
          <w:lang w:val="en-AU" w:eastAsia="en-AU"/>
        </w:rPr>
        <w:drawing>
          <wp:inline distT="0" distB="0" distL="0" distR="0" wp14:anchorId="4A7F1EE2" wp14:editId="492EA42B">
            <wp:extent cx="5220586" cy="3114653"/>
            <wp:effectExtent l="0" t="0" r="0" b="0"/>
            <wp:docPr id="15" name="Picture 15" descr="Graph of the injury cause by DALYs for each of the life stages in the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35605" cy="3123614"/>
                    </a:xfrm>
                    <a:prstGeom prst="rect">
                      <a:avLst/>
                    </a:prstGeom>
                  </pic:spPr>
                </pic:pic>
              </a:graphicData>
            </a:graphic>
          </wp:inline>
        </w:drawing>
      </w:r>
    </w:p>
    <w:p w14:paraId="43828B74" w14:textId="442E9AFE" w:rsidR="00212D77" w:rsidRDefault="00542B57" w:rsidP="00212D77">
      <w:pPr>
        <w:rPr>
          <w:noProof/>
          <w:sz w:val="18"/>
          <w:szCs w:val="18"/>
        </w:rPr>
      </w:pPr>
      <w:r w:rsidRPr="00DA291B">
        <w:rPr>
          <w:noProof/>
          <w:sz w:val="18"/>
          <w:szCs w:val="18"/>
        </w:rPr>
        <w:t>AIHW</w:t>
      </w:r>
      <w:r w:rsidR="00701DBE">
        <w:rPr>
          <w:noProof/>
          <w:sz w:val="18"/>
          <w:szCs w:val="18"/>
        </w:rPr>
        <w:t xml:space="preserve"> 2015</w:t>
      </w:r>
      <w:r w:rsidR="0060376E">
        <w:rPr>
          <w:noProof/>
          <w:sz w:val="18"/>
          <w:szCs w:val="18"/>
        </w:rPr>
        <w:fldChar w:fldCharType="begin"/>
      </w:r>
      <w:r w:rsidR="0060376E">
        <w:rPr>
          <w:noProof/>
          <w:sz w:val="18"/>
          <w:szCs w:val="18"/>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0060376E">
        <w:rPr>
          <w:noProof/>
          <w:sz w:val="18"/>
          <w:szCs w:val="18"/>
        </w:rPr>
        <w:fldChar w:fldCharType="separate"/>
      </w:r>
      <w:r w:rsidR="0060376E" w:rsidRPr="00542B57">
        <w:rPr>
          <w:noProof/>
          <w:sz w:val="18"/>
          <w:szCs w:val="18"/>
          <w:vertAlign w:val="superscript"/>
        </w:rPr>
        <w:t>1</w:t>
      </w:r>
      <w:r w:rsidR="0060376E">
        <w:rPr>
          <w:noProof/>
          <w:sz w:val="18"/>
          <w:szCs w:val="18"/>
        </w:rPr>
        <w:fldChar w:fldCharType="end"/>
      </w:r>
      <w:r w:rsidRPr="00DA291B">
        <w:rPr>
          <w:noProof/>
          <w:sz w:val="18"/>
          <w:szCs w:val="18"/>
        </w:rPr>
        <w:t>. Analysis of burden of disease database.</w:t>
      </w:r>
    </w:p>
    <w:p w14:paraId="4AFCD9A4" w14:textId="3090184B" w:rsidR="00676114" w:rsidRDefault="00676114" w:rsidP="00212D77">
      <w:pPr>
        <w:rPr>
          <w:noProof/>
          <w:sz w:val="18"/>
          <w:szCs w:val="18"/>
        </w:rPr>
      </w:pPr>
    </w:p>
    <w:p w14:paraId="2300B490" w14:textId="77777777" w:rsidR="00676114" w:rsidRPr="003E5832" w:rsidRDefault="00676114" w:rsidP="00212D77">
      <w:pPr>
        <w:rPr>
          <w:szCs w:val="22"/>
          <w:lang w:val="en-AU"/>
        </w:rPr>
      </w:pPr>
    </w:p>
    <w:tbl>
      <w:tblPr>
        <w:tblStyle w:val="TableGrid"/>
        <w:tblpPr w:leftFromText="180" w:rightFromText="180" w:vertAnchor="text" w:horzAnchor="margin" w:tblpY="195"/>
        <w:tblW w:w="0" w:type="auto"/>
        <w:shd w:val="clear" w:color="auto" w:fill="F2F2F2" w:themeFill="background1" w:themeFillShade="F2"/>
        <w:tblLook w:val="04A0" w:firstRow="1" w:lastRow="0" w:firstColumn="1" w:lastColumn="0" w:noHBand="0" w:noVBand="1"/>
      </w:tblPr>
      <w:tblGrid>
        <w:gridCol w:w="9016"/>
      </w:tblGrid>
      <w:tr w:rsidR="00212D77" w:rsidRPr="00400300" w14:paraId="577E1327" w14:textId="77777777" w:rsidTr="00284960">
        <w:tc>
          <w:tcPr>
            <w:tcW w:w="9016" w:type="dxa"/>
            <w:shd w:val="clear" w:color="auto" w:fill="F2F2F2" w:themeFill="background1" w:themeFillShade="F2"/>
          </w:tcPr>
          <w:p w14:paraId="022CC76C" w14:textId="77777777" w:rsidR="00212D77" w:rsidRPr="00400300" w:rsidRDefault="00212D77" w:rsidP="004F5A5B">
            <w:pPr>
              <w:rPr>
                <w:szCs w:val="22"/>
                <w:lang w:val="en-AU"/>
              </w:rPr>
            </w:pPr>
            <w:r w:rsidRPr="00400300">
              <w:rPr>
                <w:szCs w:val="22"/>
                <w:lang w:val="en-AU"/>
              </w:rPr>
              <w:t xml:space="preserve">The Strategy uses routinely collected and available data on the burden of injury, death and hospital admissions. </w:t>
            </w:r>
            <w:r w:rsidRPr="00400300">
              <w:rPr>
                <w:lang w:val="en-AU"/>
              </w:rPr>
              <w:t>Data were obtained from the Australian Institute of Health and Welfare (AIHW) Australian Burden of Disease Study 2015 dataset</w:t>
            </w:r>
            <w:r w:rsidRPr="00400300">
              <w:rPr>
                <w:lang w:val="en-AU"/>
              </w:rPr>
              <w:fldChar w:fldCharType="begin"/>
            </w:r>
            <w:r>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Pr="00400300">
              <w:rPr>
                <w:noProof/>
                <w:vertAlign w:val="superscript"/>
                <w:lang w:val="en-AU"/>
              </w:rPr>
              <w:t>1</w:t>
            </w:r>
            <w:r w:rsidRPr="00400300">
              <w:rPr>
                <w:lang w:val="en-AU"/>
              </w:rPr>
              <w:fldChar w:fldCharType="end"/>
            </w:r>
            <w:r w:rsidRPr="00400300">
              <w:rPr>
                <w:lang w:val="en-AU"/>
              </w:rPr>
              <w:t xml:space="preserve"> to </w:t>
            </w:r>
            <w:r w:rsidRPr="00400300">
              <w:rPr>
                <w:szCs w:val="22"/>
                <w:lang w:val="en-AU"/>
              </w:rPr>
              <w:t xml:space="preserve">identify the leading types of injury in Australia. </w:t>
            </w:r>
            <w:r>
              <w:rPr>
                <w:szCs w:val="22"/>
                <w:lang w:val="en-AU"/>
              </w:rPr>
              <w:t>The most recent data describing the overall burden of injury among Aboriginal and Torres Strait Islander people are from the 2011 Australian Burden of Disease Study dataset. The datasets include</w:t>
            </w:r>
            <w:r w:rsidRPr="00400300">
              <w:rPr>
                <w:szCs w:val="22"/>
                <w:lang w:val="en-AU"/>
              </w:rPr>
              <w:t xml:space="preserve"> causes such as: intentional self-harm, road traffic injuries, falls, violence, poisoning, drowning, burns and other injuries. The Strategy recognises that the rank order and magnitude of these events change over different life-stages and in the priority population groups. </w:t>
            </w:r>
          </w:p>
          <w:p w14:paraId="0AEB2B64" w14:textId="77777777" w:rsidR="00212D77" w:rsidRDefault="00212D77" w:rsidP="004F5A5B">
            <w:pPr>
              <w:spacing w:after="120"/>
              <w:rPr>
                <w:szCs w:val="22"/>
                <w:lang w:val="en-AU"/>
              </w:rPr>
            </w:pPr>
            <w:r w:rsidRPr="00400300">
              <w:rPr>
                <w:lang w:val="en-AU"/>
              </w:rPr>
              <w:t>It is important to note that this ‘fatal and hospitalised injury’ approach does not clearly reflect the injury burden that results from key activities such as workplace or sports injury. The Strategy recognises the significant burden of injury stemming from both workplace and sports activities and that burden is reflected in the injury prevention objectives across the life-stages.</w:t>
            </w:r>
            <w:r w:rsidRPr="00400300">
              <w:rPr>
                <w:lang w:val="en-AU"/>
              </w:rPr>
              <w:fldChar w:fldCharType="begin">
                <w:fldData xml:space="preserve">PEVuZE5vdGU+PENpdGU+PEF1dGhvcj5GaW5jaDwvQXV0aG9yPjxZZWFyPjIwMTQ8L1llYXI+PFJl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==
</w:fldData>
              </w:fldChar>
            </w:r>
            <w:r>
              <w:rPr>
                <w:lang w:val="en-AU"/>
              </w:rPr>
              <w:instrText xml:space="preserve"> ADDIN EN.CITE </w:instrText>
            </w:r>
            <w:r>
              <w:rPr>
                <w:lang w:val="en-AU"/>
              </w:rPr>
              <w:fldChar w:fldCharType="begin">
                <w:fldData xml:space="preserve">PEVuZE5vdGU+PENpdGU+PEF1dGhvcj5GaW5jaDwvQXV0aG9yPjxZZWFyPjIwMTQ8L1llYXI+PFJl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==
</w:fldData>
              </w:fldChar>
            </w:r>
            <w:r>
              <w:rPr>
                <w:lang w:val="en-AU"/>
              </w:rPr>
              <w:instrText xml:space="preserve"> ADDIN EN.CITE.DATA </w:instrText>
            </w:r>
            <w:r>
              <w:rPr>
                <w:lang w:val="en-AU"/>
              </w:rPr>
            </w:r>
            <w:r>
              <w:rPr>
                <w:lang w:val="en-AU"/>
              </w:rPr>
              <w:fldChar w:fldCharType="end"/>
            </w:r>
            <w:r w:rsidRPr="00400300">
              <w:rPr>
                <w:lang w:val="en-AU"/>
              </w:rPr>
            </w:r>
            <w:r w:rsidRPr="00400300">
              <w:rPr>
                <w:lang w:val="en-AU"/>
              </w:rPr>
              <w:fldChar w:fldCharType="separate"/>
            </w:r>
            <w:r w:rsidRPr="007D2F13">
              <w:rPr>
                <w:noProof/>
                <w:vertAlign w:val="superscript"/>
                <w:lang w:val="en-AU"/>
              </w:rPr>
              <w:t>6, 7</w:t>
            </w:r>
            <w:r w:rsidRPr="00400300">
              <w:rPr>
                <w:lang w:val="en-AU"/>
              </w:rPr>
              <w:fldChar w:fldCharType="end"/>
            </w:r>
            <w:r w:rsidRPr="00400300">
              <w:rPr>
                <w:szCs w:val="22"/>
                <w:lang w:val="en-AU"/>
              </w:rPr>
              <w:t xml:space="preserve"> </w:t>
            </w:r>
          </w:p>
          <w:p w14:paraId="7AEC54CC" w14:textId="77777777" w:rsidR="00212D77" w:rsidRPr="00400300" w:rsidRDefault="00212D77" w:rsidP="004F5A5B">
            <w:pPr>
              <w:spacing w:after="120"/>
              <w:rPr>
                <w:szCs w:val="22"/>
                <w:lang w:val="en-AU"/>
              </w:rPr>
            </w:pPr>
            <w:r w:rsidRPr="00400300">
              <w:rPr>
                <w:szCs w:val="22"/>
                <w:lang w:val="en-AU"/>
              </w:rPr>
              <w:t xml:space="preserve">The recommended actions are a combination of measures that address injuries of the greatest burden, for which we have evidence of proven or promising strategies or where there is relative ease and acceptability of action. </w:t>
            </w:r>
          </w:p>
        </w:tc>
      </w:tr>
    </w:tbl>
    <w:p w14:paraId="1AB1B63B" w14:textId="3A1CD817" w:rsidR="00212D77" w:rsidRDefault="00212D77" w:rsidP="00212D77"/>
    <w:p w14:paraId="7F9AB74E" w14:textId="09FFC6CC" w:rsidR="00676114" w:rsidRDefault="00676114" w:rsidP="00212D77"/>
    <w:p w14:paraId="347A231A" w14:textId="7FEF687E" w:rsidR="00676114" w:rsidRDefault="00676114" w:rsidP="00212D77"/>
    <w:p w14:paraId="1E889898" w14:textId="77777777" w:rsidR="00676114" w:rsidRPr="0060583A" w:rsidRDefault="00676114" w:rsidP="00212D77"/>
    <w:p w14:paraId="76229754" w14:textId="77777777" w:rsidR="001B1972" w:rsidRPr="00400300" w:rsidRDefault="001B1972" w:rsidP="001B1972">
      <w:pPr>
        <w:pStyle w:val="Heading2"/>
        <w:rPr>
          <w:lang w:val="en-AU"/>
        </w:rPr>
      </w:pPr>
      <w:bookmarkStart w:id="62" w:name="_Toc31128309"/>
      <w:bookmarkStart w:id="63" w:name="_Toc32584884"/>
      <w:bookmarkStart w:id="64" w:name="_Toc33107357"/>
      <w:bookmarkStart w:id="65" w:name="_Toc38021087"/>
      <w:r w:rsidRPr="00400300">
        <w:rPr>
          <w:lang w:val="en-AU"/>
        </w:rPr>
        <w:t>Where are we up to?</w:t>
      </w:r>
      <w:bookmarkEnd w:id="62"/>
      <w:bookmarkEnd w:id="63"/>
      <w:bookmarkEnd w:id="64"/>
      <w:bookmarkEnd w:id="65"/>
    </w:p>
    <w:p w14:paraId="33C8ACAD" w14:textId="03695296" w:rsidR="001B1972" w:rsidRPr="00DC6E30" w:rsidRDefault="001B1972" w:rsidP="00284960">
      <w:pPr>
        <w:pStyle w:val="IntenseQuote"/>
        <w:jc w:val="left"/>
        <w:rPr>
          <w:color w:val="000000" w:themeColor="text1"/>
        </w:rPr>
      </w:pPr>
      <w:r w:rsidRPr="00DC6E30">
        <w:rPr>
          <w:color w:val="000000" w:themeColor="text1"/>
        </w:rPr>
        <w:t>Injury is the fifth leading health condition contributing to the burden of disease, accounting for 9% of all Disability Adjusted Life Years (DALY) in Australia.</w:t>
      </w:r>
      <w:r w:rsidRPr="00DC6E30">
        <w:rPr>
          <w:color w:val="000000" w:themeColor="text1"/>
        </w:rPr>
        <w:fldChar w:fldCharType="begin"/>
      </w:r>
      <w:r w:rsidR="007D2F13" w:rsidRPr="00DC6E30">
        <w:rPr>
          <w:color w:val="000000" w:themeColor="text1"/>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DC6E30">
        <w:rPr>
          <w:color w:val="000000" w:themeColor="text1"/>
        </w:rPr>
        <w:fldChar w:fldCharType="separate"/>
      </w:r>
      <w:r w:rsidR="007D2F13" w:rsidRPr="00DC6E30">
        <w:rPr>
          <w:noProof/>
          <w:color w:val="000000" w:themeColor="text1"/>
          <w:vertAlign w:val="superscript"/>
        </w:rPr>
        <w:t>11</w:t>
      </w:r>
      <w:r w:rsidRPr="00DC6E30">
        <w:rPr>
          <w:color w:val="000000" w:themeColor="text1"/>
        </w:rPr>
        <w:fldChar w:fldCharType="end"/>
      </w:r>
      <w:r w:rsidRPr="00DC6E30">
        <w:rPr>
          <w:color w:val="000000" w:themeColor="text1"/>
        </w:rPr>
        <w:t xml:space="preserve"> </w:t>
      </w:r>
    </w:p>
    <w:p w14:paraId="3495460F" w14:textId="06B92EC4" w:rsidR="001B1972" w:rsidRPr="00DC6E30" w:rsidRDefault="001B1972" w:rsidP="00284960">
      <w:pPr>
        <w:pStyle w:val="IntenseQuote"/>
        <w:jc w:val="left"/>
        <w:rPr>
          <w:color w:val="000000" w:themeColor="text1"/>
        </w:rPr>
      </w:pPr>
      <w:r w:rsidRPr="00DC6E30">
        <w:rPr>
          <w:color w:val="000000" w:themeColor="text1"/>
        </w:rPr>
        <w:t>The leading causes of injury burden are suicide/ self-inflicted injuries (33%), falls (16%), poisonings (15%) and road transport injury (15%).</w:t>
      </w:r>
      <w:r w:rsidRPr="00DC6E30">
        <w:rPr>
          <w:color w:val="000000" w:themeColor="text1"/>
        </w:rPr>
        <w:fldChar w:fldCharType="begin"/>
      </w:r>
      <w:r w:rsidR="007D2F13" w:rsidRPr="00DC6E30">
        <w:rPr>
          <w:color w:val="000000" w:themeColor="text1"/>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DC6E30">
        <w:rPr>
          <w:color w:val="000000" w:themeColor="text1"/>
        </w:rPr>
        <w:fldChar w:fldCharType="separate"/>
      </w:r>
      <w:r w:rsidR="008462F1" w:rsidRPr="00DC6E30">
        <w:rPr>
          <w:noProof/>
          <w:color w:val="000000" w:themeColor="text1"/>
          <w:vertAlign w:val="superscript"/>
        </w:rPr>
        <w:t>1</w:t>
      </w:r>
      <w:r w:rsidRPr="00DC6E30">
        <w:rPr>
          <w:color w:val="000000" w:themeColor="text1"/>
        </w:rPr>
        <w:fldChar w:fldCharType="end"/>
      </w:r>
    </w:p>
    <w:p w14:paraId="5DAD85CA" w14:textId="59C9A795" w:rsidR="001B1972" w:rsidRPr="00DC6E30" w:rsidRDefault="001B1972" w:rsidP="00284960">
      <w:pPr>
        <w:pStyle w:val="IntenseQuote"/>
        <w:jc w:val="left"/>
        <w:rPr>
          <w:color w:val="000000" w:themeColor="text1"/>
        </w:rPr>
      </w:pPr>
      <w:r w:rsidRPr="00DC6E30">
        <w:rPr>
          <w:color w:val="000000" w:themeColor="text1"/>
        </w:rPr>
        <w:t>Age-standardised rate (ASR) of the DALY from injury are nearly three times higher for Aboriginal and Torres Strait Islander people than the rate for other Australians (49.9 per 1,000 population compared to 16.6 in other Australians).</w:t>
      </w:r>
      <w:r w:rsidRPr="00DC6E30">
        <w:rPr>
          <w:color w:val="000000" w:themeColor="text1"/>
        </w:rPr>
        <w:fldChar w:fldCharType="begin"/>
      </w:r>
      <w:r w:rsidR="003E5832" w:rsidRPr="00DC6E30">
        <w:rPr>
          <w:color w:val="000000" w:themeColor="text1"/>
        </w:rPr>
        <w:instrText xml:space="preserve"> ADDIN EN.CITE &lt;EndNote&gt;&lt;Cite&gt;&lt;Author&gt;AIHW&lt;/Author&gt;&lt;Year&gt;2016&lt;/Year&gt;&lt;RecNum&gt;8&lt;/RecNum&gt;&lt;DisplayText&gt;&lt;style face="superscript"&gt;12&lt;/style&gt;&lt;/DisplayText&gt;&lt;record&gt;&lt;rec-number&gt;8&lt;/rec-number&gt;&lt;foreign-keys&gt;&lt;key app="EN" db-id="2wsw9x5wvsspa1evwxlvvergx9epfd50fs2a" timestamp="1571987678"&gt;8&lt;/key&gt;&lt;/foreign-keys&gt;&lt;ref-type name="Report"&gt;27&lt;/ref-type&gt;&lt;contributors&gt;&lt;authors&gt;&lt;author&gt;AIHW,&lt;/author&gt;&lt;/authors&gt;&lt;secondary-authors&gt;&lt;author&gt;AIHW&lt;/author&gt;&lt;/secondary-authors&gt;&lt;/contributors&gt;&lt;titles&gt;&lt;title&gt;Australian Burden of Disease Study: impact and causes of illness and death in Aboriginal and Torres Strait Islander people 2011&lt;/title&gt;&lt;/titles&gt;&lt;section&gt;Cat. no: BOD 7&lt;/section&gt;&lt;dates&gt;&lt;year&gt;2016&lt;/year&gt;&lt;/dates&gt;&lt;pub-location&gt;Canberra&lt;/pub-location&gt;&lt;publisher&gt;AIHW&lt;/publisher&gt;&lt;urls&gt;&lt;related-urls&gt;&lt;url&gt;https://www.aihw.gov.au/getmedia/f494255e-5399-4fae-8e41-1916c99dd030/aihw-bod-7-BoD-ATSI_2011.pdf.aspx?inline=true&lt;/url&gt;&lt;/related-urls&gt;&lt;/urls&gt;&lt;access-date&gt;28 June 2019&lt;/access-date&gt;&lt;/record&gt;&lt;/Cite&gt;&lt;/EndNote&gt;</w:instrText>
      </w:r>
      <w:r w:rsidRPr="00DC6E30">
        <w:rPr>
          <w:color w:val="000000" w:themeColor="text1"/>
        </w:rPr>
        <w:fldChar w:fldCharType="separate"/>
      </w:r>
      <w:r w:rsidR="007D2F13" w:rsidRPr="00DC6E30">
        <w:rPr>
          <w:noProof/>
          <w:color w:val="000000" w:themeColor="text1"/>
          <w:vertAlign w:val="superscript"/>
        </w:rPr>
        <w:t>12</w:t>
      </w:r>
      <w:r w:rsidRPr="00DC6E30">
        <w:rPr>
          <w:color w:val="000000" w:themeColor="text1"/>
        </w:rPr>
        <w:fldChar w:fldCharType="end"/>
      </w:r>
    </w:p>
    <w:p w14:paraId="64F27624" w14:textId="2AD3B17D" w:rsidR="001B1972" w:rsidRPr="00DC6E30" w:rsidRDefault="001B1972" w:rsidP="00284960">
      <w:pPr>
        <w:pStyle w:val="IntenseQuote"/>
        <w:jc w:val="left"/>
        <w:rPr>
          <w:color w:val="000000" w:themeColor="text1"/>
        </w:rPr>
      </w:pPr>
      <w:r w:rsidRPr="00DC6E30">
        <w:rPr>
          <w:color w:val="000000" w:themeColor="text1"/>
        </w:rPr>
        <w:t>Injury is a leading cause of death and hospitalisation for children and young people in Australia.</w:t>
      </w:r>
      <w:r w:rsidRPr="00DC6E30">
        <w:rPr>
          <w:color w:val="000000" w:themeColor="text1"/>
        </w:rPr>
        <w:fldChar w:fldCharType="begin"/>
      </w:r>
      <w:r w:rsidR="007D2F13" w:rsidRPr="00DC6E30">
        <w:rPr>
          <w:color w:val="000000" w:themeColor="text1"/>
        </w:rPr>
        <w:instrText xml:space="preserve"> ADDIN EN.CITE &lt;EndNote&gt;&lt;Cite&gt;&lt;Author&gt;Mitchell&lt;/Author&gt;&lt;Year&gt;2017&lt;/Year&gt;&lt;RecNum&gt;23&lt;/RecNum&gt;&lt;DisplayText&gt;&lt;style face="superscript"&gt;13&lt;/style&gt;&lt;/DisplayText&gt;&lt;record&gt;&lt;rec-number&gt;23&lt;/rec-number&gt;&lt;foreign-keys&gt;&lt;key app="EN" db-id="2wsw9x5wvsspa1evwxlvvergx9epfd50fs2a" timestamp="1571987690"&gt;23&lt;/key&gt;&lt;/foreign-keys&gt;&lt;ref-type name="Journal Article"&gt;17&lt;/ref-type&gt;&lt;contributors&gt;&lt;authors&gt;&lt;author&gt;Mitchell, R.&lt;/author&gt;&lt;author&gt;Curtis, K.&lt;/author&gt;&lt;author&gt;Foster, K.&lt;/author&gt;&lt;/authors&gt;&lt;/contributors&gt;&lt;titles&gt;&lt;title&gt;A 10-year review of child injury hospitalisations, health outcomes and treatment costs in Australia&lt;/title&gt;&lt;secondary-title&gt;Injury Prevention&lt;/secondary-title&gt;&lt;alt-title&gt;Injury Prevention&lt;/alt-title&gt;&lt;/titles&gt;&lt;periodical&gt;&lt;full-title&gt;Injury Prevention&lt;/full-title&gt;&lt;/periodical&gt;&lt;alt-periodical&gt;&lt;full-title&gt;Injury Prevention&lt;/full-title&gt;&lt;/alt-periodical&gt;&lt;pages&gt;344-350&lt;/pages&gt;&lt;volume&gt;24&lt;/volume&gt;&lt;number&gt;5&lt;/number&gt;&lt;dates&gt;&lt;year&gt;2017&lt;/year&gt;&lt;/dates&gt;&lt;urls&gt;&lt;/urls&gt;&lt;electronic-resource-num&gt;10.1136/injuryprev-2017-042451&lt;/electronic-resource-num&gt;&lt;/record&gt;&lt;/Cite&gt;&lt;/EndNote&gt;</w:instrText>
      </w:r>
      <w:r w:rsidRPr="00DC6E30">
        <w:rPr>
          <w:color w:val="000000" w:themeColor="text1"/>
        </w:rPr>
        <w:fldChar w:fldCharType="separate"/>
      </w:r>
      <w:r w:rsidR="007D2F13" w:rsidRPr="00DC6E30">
        <w:rPr>
          <w:noProof/>
          <w:color w:val="000000" w:themeColor="text1"/>
          <w:vertAlign w:val="superscript"/>
        </w:rPr>
        <w:t>13</w:t>
      </w:r>
      <w:r w:rsidRPr="00DC6E30">
        <w:rPr>
          <w:color w:val="000000" w:themeColor="text1"/>
        </w:rPr>
        <w:fldChar w:fldCharType="end"/>
      </w:r>
    </w:p>
    <w:p w14:paraId="744A6BFD" w14:textId="249A362F" w:rsidR="001B1972" w:rsidRPr="00400300" w:rsidRDefault="001B1972" w:rsidP="001B1972">
      <w:pPr>
        <w:rPr>
          <w:rFonts w:cstheme="minorHAnsi"/>
          <w:lang w:val="en-AU" w:eastAsia="en-US"/>
        </w:rPr>
      </w:pPr>
      <w:r w:rsidRPr="00400300">
        <w:rPr>
          <w:rFonts w:cstheme="minorHAnsi"/>
          <w:lang w:val="en-AU" w:eastAsia="en-US"/>
        </w:rPr>
        <w:t>While there are other broad groups, such as heart disease and cancer, which pose a greater burden, there is no greater cause of loss of life to those aged 1 to 44 years</w:t>
      </w:r>
      <w:r w:rsidR="008E4E01">
        <w:rPr>
          <w:rFonts w:cstheme="minorHAnsi"/>
          <w:lang w:val="en-AU" w:eastAsia="en-US"/>
        </w:rPr>
        <w:t xml:space="preserve"> than injury</w:t>
      </w:r>
      <w:r w:rsidRPr="00400300">
        <w:rPr>
          <w:rFonts w:cstheme="minorHAnsi"/>
          <w:lang w:val="en-AU" w:eastAsia="en-US"/>
        </w:rPr>
        <w:t>.</w:t>
      </w:r>
      <w:r w:rsidRPr="00400300">
        <w:rPr>
          <w:rFonts w:cstheme="minorHAnsi"/>
          <w:lang w:val="en-AU" w:eastAsia="en-US"/>
        </w:rPr>
        <w:fldChar w:fldCharType="begin"/>
      </w:r>
      <w:r w:rsidRPr="00400300">
        <w:rPr>
          <w:rFonts w:cstheme="minorHAnsi"/>
          <w:lang w:val="en-AU" w:eastAsia="en-US"/>
        </w:rPr>
        <w:instrText xml:space="preserve"> ADDIN EN.CITE &lt;EndNote&gt;&lt;Cite&gt;&lt;Author&gt;Henley&lt;/Author&gt;&lt;Year&gt;2018&lt;/Year&gt;&lt;RecNum&gt;2&lt;/RecNum&gt;&lt;DisplayText&gt;&lt;style face="superscript"&gt;2&lt;/style&gt;&lt;/DisplayText&gt;&lt;record&gt;&lt;rec-number&gt;2&lt;/rec-number&gt;&lt;foreign-keys&gt;&lt;key app="EN" db-id="2wsw9x5wvsspa1evwxlvvergx9epfd50fs2a" timestamp="1571987674"&gt;2&lt;/key&gt;&lt;/foreign-keys&gt;&lt;ref-type name="Book"&gt;6&lt;/ref-type&gt;&lt;contributors&gt;&lt;authors&gt;&lt;author&gt;AIHW: Henley G &amp;amp; Harrison JE,&lt;/author&gt;&lt;/authors&gt;&lt;/contributors&gt;&lt;titles&gt;&lt;title&gt;Trends in Injury Deaths, Australia: 1999-00 to 2014-15&lt;/title&gt;&lt;/titles&gt;&lt;volume&gt;series no. 112. Cat. no. INJCAT 192. Canberra: AIHW&lt;/volume&gt;&lt;dates&gt;&lt;year&gt;2018&lt;/year&gt;&lt;/dates&gt;&lt;publisher&gt;AIHW&lt;/publisher&gt;&lt;isbn&gt;1760541591&lt;/isbn&gt;&lt;urls&gt;&lt;/urls&gt;&lt;/record&gt;&lt;/Cite&gt;&lt;/EndNote&gt;</w:instrText>
      </w:r>
      <w:r w:rsidRPr="00400300">
        <w:rPr>
          <w:rFonts w:cstheme="minorHAnsi"/>
          <w:lang w:val="en-AU" w:eastAsia="en-US"/>
        </w:rPr>
        <w:fldChar w:fldCharType="separate"/>
      </w:r>
      <w:r w:rsidRPr="00400300">
        <w:rPr>
          <w:rFonts w:cstheme="minorHAnsi"/>
          <w:noProof/>
          <w:vertAlign w:val="superscript"/>
          <w:lang w:val="en-AU" w:eastAsia="en-US"/>
        </w:rPr>
        <w:t>2</w:t>
      </w:r>
      <w:r w:rsidRPr="00400300">
        <w:rPr>
          <w:rFonts w:cstheme="minorHAnsi"/>
          <w:lang w:val="en-AU" w:eastAsia="en-US"/>
        </w:rPr>
        <w:fldChar w:fldCharType="end"/>
      </w:r>
      <w:r w:rsidRPr="00400300">
        <w:rPr>
          <w:rFonts w:cstheme="minorHAnsi"/>
          <w:lang w:val="en-AU" w:eastAsia="en-US"/>
        </w:rPr>
        <w:t xml:space="preserve"> </w:t>
      </w:r>
    </w:p>
    <w:p w14:paraId="661DB4BB" w14:textId="50E968F9" w:rsidR="001B1972" w:rsidRPr="00400300" w:rsidRDefault="001B1972" w:rsidP="001B1972">
      <w:pPr>
        <w:rPr>
          <w:rFonts w:cstheme="minorHAnsi"/>
          <w:lang w:val="en-AU" w:eastAsia="en-US"/>
        </w:rPr>
      </w:pPr>
      <w:r w:rsidRPr="00400300">
        <w:rPr>
          <w:rFonts w:eastAsia="Times New Roman" w:cstheme="minorHAnsi"/>
          <w:lang w:val="en-AU"/>
        </w:rPr>
        <w:t>The burden of injury, of course, goes well beyond the death and hospital admission statistics. Loss of income, reduced quality of life, post-traumatic stress, and the emotional impact of grief on families, are a few of the additional burden of injuries that are less well measured.</w:t>
      </w:r>
      <w:r w:rsidR="00E77D5C">
        <w:rPr>
          <w:rFonts w:eastAsia="Times New Roman" w:cstheme="minorHAnsi"/>
          <w:lang w:val="en-AU"/>
        </w:rPr>
        <w:t xml:space="preserve"> </w:t>
      </w:r>
      <w:r w:rsidRPr="00400300">
        <w:rPr>
          <w:rFonts w:eastAsia="Times New Roman" w:cstheme="minorHAnsi"/>
          <w:lang w:val="en-AU"/>
        </w:rPr>
        <w:t>There is a high frequency of injuries that are treated outside of hospital settings. For example, musculoskeletal injuries related to sport</w:t>
      </w:r>
      <w:r w:rsidR="00B34FB8" w:rsidRPr="00400300">
        <w:rPr>
          <w:rFonts w:eastAsia="Times New Roman" w:cstheme="minorHAnsi"/>
          <w:lang w:val="en-AU"/>
        </w:rPr>
        <w:t>s</w:t>
      </w:r>
      <w:r w:rsidRPr="00400300">
        <w:rPr>
          <w:rFonts w:eastAsia="Times New Roman" w:cstheme="minorHAnsi"/>
          <w:lang w:val="en-AU"/>
        </w:rPr>
        <w:t xml:space="preserve"> or workplace injury, can have high treatment costs, loss of productivity and can also lead to permanent physical impairment and impact on activities of daily living or quality of life.</w:t>
      </w:r>
    </w:p>
    <w:p w14:paraId="1CAB5276" w14:textId="77777777" w:rsidR="001B1972" w:rsidRPr="00400300" w:rsidRDefault="001B1972" w:rsidP="001B1972">
      <w:pPr>
        <w:rPr>
          <w:rFonts w:eastAsia="Times New Roman" w:cstheme="minorHAnsi"/>
          <w:lang w:val="en-AU"/>
        </w:rPr>
      </w:pPr>
      <w:r w:rsidRPr="00400300">
        <w:rPr>
          <w:rFonts w:cstheme="minorHAnsi"/>
          <w:lang w:val="en-AU" w:eastAsia="en-US"/>
        </w:rPr>
        <w:t>Over recent decades, changing injury data indicate some ‘wins’ in terms of significant reductions and some ‘</w:t>
      </w:r>
      <w:proofErr w:type="gramStart"/>
      <w:r w:rsidRPr="00400300">
        <w:rPr>
          <w:rFonts w:cstheme="minorHAnsi"/>
          <w:lang w:val="en-AU" w:eastAsia="en-US"/>
        </w:rPr>
        <w:t>losses’</w:t>
      </w:r>
      <w:proofErr w:type="gramEnd"/>
      <w:r w:rsidRPr="00400300">
        <w:rPr>
          <w:rFonts w:cstheme="minorHAnsi"/>
          <w:lang w:val="en-AU" w:eastAsia="en-US"/>
        </w:rPr>
        <w:t xml:space="preserve">. These vary by age group, injury cause, population group and injury severity. </w:t>
      </w:r>
    </w:p>
    <w:p w14:paraId="73873B40" w14:textId="76202FDC" w:rsidR="001B1972" w:rsidRPr="00284960" w:rsidRDefault="001B1972" w:rsidP="007D5286">
      <w:pPr>
        <w:pStyle w:val="ListParagraph"/>
        <w:numPr>
          <w:ilvl w:val="0"/>
          <w:numId w:val="97"/>
        </w:numPr>
        <w:rPr>
          <w:rFonts w:eastAsia="Times New Roman" w:cstheme="minorHAnsi"/>
          <w:lang w:val="en-AU"/>
        </w:rPr>
      </w:pPr>
      <w:r w:rsidRPr="00284960">
        <w:rPr>
          <w:rFonts w:cstheme="minorHAnsi"/>
          <w:lang w:val="en-AU" w:eastAsia="en-US"/>
        </w:rPr>
        <w:t xml:space="preserve">In 2004-05 the </w:t>
      </w:r>
      <w:r w:rsidRPr="00284960">
        <w:rPr>
          <w:rFonts w:eastAsia="Times New Roman" w:cstheme="minorHAnsi"/>
          <w:lang w:val="en-AU"/>
        </w:rPr>
        <w:t>age-standardised rate of injury deaths was 47.2 deaths per 100,000, a reduction from 55.4 deaths per 100,000 in 1999–00. However, there has been little change since then.</w:t>
      </w:r>
      <w:r w:rsidRPr="00284960">
        <w:rPr>
          <w:rFonts w:eastAsia="Times New Roman" w:cstheme="minorHAnsi"/>
          <w:lang w:val="en-AU"/>
        </w:rPr>
        <w:fldChar w:fldCharType="begin"/>
      </w:r>
      <w:r w:rsidR="008462F1" w:rsidRPr="00284960">
        <w:rPr>
          <w:rFonts w:eastAsia="Times New Roman" w:cstheme="minorHAnsi"/>
          <w:lang w:val="en-AU"/>
        </w:rPr>
        <w:instrText xml:space="preserve"> ADDIN EN.CITE &lt;EndNote&gt;&lt;Cite&gt;&lt;Author&gt;AIHW: Henley G &amp;amp; Harrison JE&lt;/Author&gt;&lt;Year&gt;2019&lt;/Year&gt;&lt;RecNum&gt;89&lt;/RecNum&gt;&lt;DisplayText&gt;&lt;style face="superscript"&gt;4&lt;/style&gt;&lt;/DisplayText&gt;&lt;record&gt;&lt;rec-number&gt;89&lt;/rec-number&gt;&lt;foreign-keys&gt;&lt;key app="EN" db-id="2wsw9x5wvsspa1evwxlvvergx9epfd50fs2a" timestamp="1578262755"&gt;89&lt;/key&gt;&lt;/foreign-keys&gt;&lt;ref-type name="Government Document"&gt;46&lt;/ref-type&gt;&lt;contributors&gt;&lt;authors&gt;&lt;author&gt;AIHW: Henley G &amp;amp; Harrison JE,&lt;/author&gt;&lt;/authors&gt;&lt;secondary-authors&gt;&lt;author&gt;AIHW&lt;/author&gt;&lt;/secondary-authors&gt;&lt;/contributors&gt;&lt;titles&gt;&lt;title&gt;Trends in injury deaths, Australia, 1999–00 to 2016–17&lt;/title&gt;&lt;/titles&gt;&lt;volume&gt;Injury research and statistics series no. 127. Cat. no. INJCAT 207&lt;/volume&gt;&lt;dates&gt;&lt;year&gt;2019&lt;/year&gt;&lt;/dates&gt;&lt;pub-location&gt;Canberra&lt;/pub-location&gt;&lt;publisher&gt;AIHW&lt;/publisher&gt;&lt;urls&gt;&lt;/urls&gt;&lt;/record&gt;&lt;/Cite&gt;&lt;/EndNote&gt;</w:instrText>
      </w:r>
      <w:r w:rsidRPr="00284960">
        <w:rPr>
          <w:rFonts w:eastAsia="Times New Roman" w:cstheme="minorHAnsi"/>
          <w:lang w:val="en-AU"/>
        </w:rPr>
        <w:fldChar w:fldCharType="separate"/>
      </w:r>
      <w:r w:rsidR="008462F1" w:rsidRPr="00284960">
        <w:rPr>
          <w:rFonts w:eastAsia="Times New Roman" w:cstheme="minorHAnsi"/>
          <w:noProof/>
          <w:vertAlign w:val="superscript"/>
          <w:lang w:val="en-AU"/>
        </w:rPr>
        <w:t>4</w:t>
      </w:r>
      <w:r w:rsidRPr="00284960">
        <w:rPr>
          <w:rFonts w:eastAsia="Times New Roman" w:cstheme="minorHAnsi"/>
          <w:lang w:val="en-AU"/>
        </w:rPr>
        <w:fldChar w:fldCharType="end"/>
      </w:r>
      <w:r w:rsidRPr="00284960">
        <w:rPr>
          <w:rFonts w:eastAsia="Times New Roman" w:cstheme="minorHAnsi"/>
          <w:lang w:val="en-AU"/>
        </w:rPr>
        <w:t xml:space="preserve"> Further, the </w:t>
      </w:r>
      <w:r w:rsidRPr="00284960">
        <w:rPr>
          <w:lang w:val="en-AU"/>
        </w:rPr>
        <w:t>age-standardised rate of injury hospitalisations increased between 2007–08 and 2016–17 by an average of 1.2% per year (1,849 cases per 100,000 population in 2007–08 to 2,051 per 100,000 in 2016–17).</w:t>
      </w:r>
      <w:r w:rsidRPr="00284960">
        <w:rPr>
          <w:lang w:val="en-AU"/>
        </w:rPr>
        <w:fldChar w:fldCharType="begin"/>
      </w:r>
      <w:r w:rsidR="008462F1" w:rsidRPr="00284960">
        <w:rPr>
          <w:lang w:val="en-AU"/>
        </w:rPr>
        <w:instrText xml:space="preserve"> ADDIN EN.CITE &lt;EndNote&gt;&lt;Cite&gt;&lt;Author&gt;AIHW&lt;/Author&gt;&lt;Year&gt;2019&lt;/Year&gt;&lt;RecNum&gt;69&lt;/RecNum&gt;&lt;DisplayText&gt;&lt;style face="superscript"&gt;5&lt;/style&gt;&lt;/DisplayText&gt;&lt;record&gt;&lt;rec-number&gt;69&lt;/rec-number&gt;&lt;foreign-keys&gt;&lt;key app="EN" db-id="2wsw9x5wvsspa1evwxlvvergx9epfd50fs2a" timestamp="1575011887"&gt;69&lt;/key&gt;&lt;/foreign-keys&gt;&lt;ref-type name="Government Document"&gt;46&lt;/ref-type&gt;&lt;contributors&gt;&lt;authors&gt;&lt;author&gt;AIHW: Pointer SC,&lt;/author&gt;&lt;/authors&gt;&lt;/contributors&gt;&lt;titles&gt;&lt;title&gt;Trends in hospitalised injury, Australia 2007–08 to 2016–17. Cat. no. INJCAT 204.&lt;/title&gt;&lt;/titles&gt;&lt;dates&gt;&lt;year&gt;2019&lt;/year&gt;&lt;/dates&gt;&lt;pub-location&gt;Canberra&lt;/pub-location&gt;&lt;publisher&gt;AIHW&lt;/publisher&gt;&lt;urls&gt;&lt;/urls&gt;&lt;/record&gt;&lt;/Cite&gt;&lt;/EndNote&gt;</w:instrText>
      </w:r>
      <w:r w:rsidRPr="00284960">
        <w:rPr>
          <w:lang w:val="en-AU"/>
        </w:rPr>
        <w:fldChar w:fldCharType="separate"/>
      </w:r>
      <w:r w:rsidR="008462F1" w:rsidRPr="00284960">
        <w:rPr>
          <w:noProof/>
          <w:vertAlign w:val="superscript"/>
          <w:lang w:val="en-AU"/>
        </w:rPr>
        <w:t>5</w:t>
      </w:r>
      <w:r w:rsidRPr="00284960">
        <w:rPr>
          <w:lang w:val="en-AU"/>
        </w:rPr>
        <w:fldChar w:fldCharType="end"/>
      </w:r>
      <w:r w:rsidRPr="00284960">
        <w:rPr>
          <w:lang w:val="en-AU"/>
        </w:rPr>
        <w:t xml:space="preserve"> </w:t>
      </w:r>
    </w:p>
    <w:p w14:paraId="25F903E8" w14:textId="6D9DFBFC" w:rsidR="001B1972" w:rsidRPr="00284960" w:rsidRDefault="001B1972" w:rsidP="007D5286">
      <w:pPr>
        <w:pStyle w:val="ListParagraph"/>
        <w:numPr>
          <w:ilvl w:val="0"/>
          <w:numId w:val="97"/>
        </w:numPr>
        <w:rPr>
          <w:rFonts w:eastAsia="Times New Roman" w:cstheme="minorHAnsi"/>
          <w:lang w:val="en-AU"/>
        </w:rPr>
      </w:pPr>
      <w:r w:rsidRPr="00284960">
        <w:rPr>
          <w:rFonts w:eastAsia="Times New Roman" w:cstheme="minorHAnsi"/>
          <w:lang w:val="en-AU"/>
        </w:rPr>
        <w:t>Injuries are not spread evenly across the population. Among Aboriginal and Torres Strait Islander people, while the overall burden of disease dropped between 2003 and 2011, the burden from injury increased.</w:t>
      </w:r>
      <w:r w:rsidRPr="00284960">
        <w:rPr>
          <w:rFonts w:eastAsia="Times New Roman" w:cstheme="minorHAnsi"/>
          <w:b/>
          <w:lang w:val="en-AU"/>
        </w:rPr>
        <w:t xml:space="preserve"> </w:t>
      </w:r>
      <w:r w:rsidR="008E4E01" w:rsidRPr="00284960">
        <w:rPr>
          <w:rFonts w:eastAsia="Times New Roman" w:cstheme="minorHAnsi"/>
          <w:lang w:val="en-AU"/>
        </w:rPr>
        <w:t>There have been some improvements over</w:t>
      </w:r>
      <w:r w:rsidR="00532B4B" w:rsidRPr="00284960">
        <w:rPr>
          <w:rFonts w:eastAsia="Times New Roman" w:cstheme="minorHAnsi"/>
          <w:lang w:val="en-AU"/>
        </w:rPr>
        <w:t xml:space="preserve"> that time, such as</w:t>
      </w:r>
      <w:r w:rsidR="008E4E01" w:rsidRPr="00284960">
        <w:rPr>
          <w:rFonts w:eastAsia="Times New Roman" w:cstheme="minorHAnsi"/>
          <w:lang w:val="en-AU"/>
        </w:rPr>
        <w:t xml:space="preserve"> a </w:t>
      </w:r>
      <w:r w:rsidRPr="00284960">
        <w:rPr>
          <w:rFonts w:eastAsia="Times New Roman" w:cstheme="minorHAnsi"/>
          <w:lang w:val="en-AU"/>
        </w:rPr>
        <w:t>reduction, by 3%, of transport-related deaths among Aboriginal and Torres Strait Islander people, between 2001-2002 and 2014-2015</w:t>
      </w:r>
      <w:r w:rsidR="00532B4B" w:rsidRPr="00284960">
        <w:rPr>
          <w:rFonts w:eastAsia="Times New Roman" w:cstheme="minorHAnsi"/>
          <w:lang w:val="en-AU"/>
        </w:rPr>
        <w:t>. H</w:t>
      </w:r>
      <w:r w:rsidR="008E4E01" w:rsidRPr="00284960">
        <w:rPr>
          <w:rFonts w:eastAsia="Times New Roman" w:cstheme="minorHAnsi"/>
          <w:lang w:val="en-AU"/>
        </w:rPr>
        <w:t>owever this has occurred</w:t>
      </w:r>
      <w:r w:rsidRPr="00284960">
        <w:rPr>
          <w:rFonts w:eastAsia="Times New Roman" w:cstheme="minorHAnsi"/>
          <w:lang w:val="en-AU"/>
        </w:rPr>
        <w:t xml:space="preserve"> alongside increases in many other injury causes, including poisoning</w:t>
      </w:r>
      <w:r w:rsidR="00532B4B" w:rsidRPr="00284960">
        <w:rPr>
          <w:rFonts w:eastAsia="Times New Roman" w:cstheme="minorHAnsi"/>
          <w:lang w:val="en-AU"/>
        </w:rPr>
        <w:t>,</w:t>
      </w:r>
      <w:r w:rsidRPr="00284960">
        <w:rPr>
          <w:rFonts w:eastAsia="Times New Roman" w:cstheme="minorHAnsi"/>
          <w:lang w:val="en-AU"/>
        </w:rPr>
        <w:t xml:space="preserve"> which increased by 6.4% per year.</w:t>
      </w:r>
      <w:r w:rsidRPr="00284960">
        <w:rPr>
          <w:rFonts w:eastAsia="Times New Roman" w:cstheme="minorHAnsi"/>
          <w:lang w:val="en-AU"/>
        </w:rPr>
        <w:fldChar w:fldCharType="begin"/>
      </w:r>
      <w:r w:rsidRPr="00284960">
        <w:rPr>
          <w:rFonts w:eastAsia="Times New Roman" w:cstheme="minorHAnsi"/>
          <w:lang w:val="en-AU"/>
        </w:rPr>
        <w:instrText xml:space="preserve"> ADDIN EN.CITE &lt;EndNote&gt;&lt;Cite&gt;&lt;Author&gt;Henley&lt;/Author&gt;&lt;Year&gt;2018&lt;/Year&gt;&lt;RecNum&gt;2&lt;/RecNum&gt;&lt;DisplayText&gt;&lt;style face="superscript"&gt;2&lt;/style&gt;&lt;/DisplayText&gt;&lt;record&gt;&lt;rec-number&gt;2&lt;/rec-number&gt;&lt;foreign-keys&gt;&lt;key app="EN" db-id="2wsw9x5wvsspa1evwxlvvergx9epfd50fs2a" timestamp="1571987674"&gt;2&lt;/key&gt;&lt;/foreign-keys&gt;&lt;ref-type name="Book"&gt;6&lt;/ref-type&gt;&lt;contributors&gt;&lt;authors&gt;&lt;author&gt;AIHW: Henley G &amp;amp; Harrison JE,&lt;/author&gt;&lt;/authors&gt;&lt;/contributors&gt;&lt;titles&gt;&lt;title&gt;Trends in Injury Deaths, Australia: 1999-00 to 2014-15&lt;/title&gt;&lt;/titles&gt;&lt;volume&gt;series no. 112. Cat. no. INJCAT 192. Canberra: AIHW&lt;/volume&gt;&lt;dates&gt;&lt;year&gt;2018&lt;/year&gt;&lt;/dates&gt;&lt;publisher&gt;AIHW&lt;/publisher&gt;&lt;isbn&gt;1760541591&lt;/isbn&gt;&lt;urls&gt;&lt;/urls&gt;&lt;/record&gt;&lt;/Cite&gt;&lt;/EndNote&gt;</w:instrText>
      </w:r>
      <w:r w:rsidRPr="00284960">
        <w:rPr>
          <w:rFonts w:eastAsia="Times New Roman" w:cstheme="minorHAnsi"/>
          <w:lang w:val="en-AU"/>
        </w:rPr>
        <w:fldChar w:fldCharType="separate"/>
      </w:r>
      <w:r w:rsidRPr="00284960">
        <w:rPr>
          <w:rFonts w:eastAsia="Times New Roman" w:cstheme="minorHAnsi"/>
          <w:noProof/>
          <w:vertAlign w:val="superscript"/>
          <w:lang w:val="en-AU"/>
        </w:rPr>
        <w:t>2</w:t>
      </w:r>
      <w:r w:rsidRPr="00284960">
        <w:rPr>
          <w:rFonts w:eastAsia="Times New Roman" w:cstheme="minorHAnsi"/>
          <w:lang w:val="en-AU"/>
        </w:rPr>
        <w:fldChar w:fldCharType="end"/>
      </w:r>
      <w:r w:rsidRPr="00284960">
        <w:rPr>
          <w:rFonts w:eastAsia="Times New Roman" w:cstheme="minorHAnsi"/>
          <w:lang w:val="en-AU"/>
        </w:rPr>
        <w:t xml:space="preserve"> </w:t>
      </w:r>
    </w:p>
    <w:p w14:paraId="5D17A648" w14:textId="378A0931" w:rsidR="001B1972" w:rsidRPr="00284960" w:rsidRDefault="008E4E01" w:rsidP="007D5286">
      <w:pPr>
        <w:pStyle w:val="ListParagraph"/>
        <w:numPr>
          <w:ilvl w:val="0"/>
          <w:numId w:val="97"/>
        </w:numPr>
        <w:rPr>
          <w:rFonts w:eastAsia="Times New Roman" w:cstheme="minorHAnsi"/>
          <w:lang w:val="en-AU"/>
        </w:rPr>
      </w:pPr>
      <w:r w:rsidRPr="00284960">
        <w:rPr>
          <w:rFonts w:eastAsia="Times New Roman" w:cstheme="minorHAnsi"/>
          <w:lang w:val="en-AU"/>
        </w:rPr>
        <w:t>Overall, b</w:t>
      </w:r>
      <w:r w:rsidR="001B1972" w:rsidRPr="00284960">
        <w:rPr>
          <w:rFonts w:eastAsia="Times New Roman" w:cstheme="minorHAnsi"/>
          <w:lang w:val="en-AU"/>
        </w:rPr>
        <w:t>etween 1999–00 and 2016–17, transport-related deaths were reduced by an average of 3.7% each year, drowning by 2.6%, and homicide by 2.3%.</w:t>
      </w:r>
      <w:r w:rsidR="001B1972" w:rsidRPr="00284960">
        <w:rPr>
          <w:rFonts w:eastAsia="Times New Roman" w:cstheme="minorHAnsi"/>
          <w:lang w:val="en-AU"/>
        </w:rPr>
        <w:fldChar w:fldCharType="begin"/>
      </w:r>
      <w:r w:rsidR="008462F1" w:rsidRPr="00284960">
        <w:rPr>
          <w:rFonts w:eastAsia="Times New Roman" w:cstheme="minorHAnsi"/>
          <w:lang w:val="en-AU"/>
        </w:rPr>
        <w:instrText xml:space="preserve"> ADDIN EN.CITE &lt;EndNote&gt;&lt;Cite&gt;&lt;Author&gt;AIHW: Henley G &amp;amp; Harrison JE&lt;/Author&gt;&lt;Year&gt;2019&lt;/Year&gt;&lt;RecNum&gt;89&lt;/RecNum&gt;&lt;DisplayText&gt;&lt;style face="superscript"&gt;4&lt;/style&gt;&lt;/DisplayText&gt;&lt;record&gt;&lt;rec-number&gt;89&lt;/rec-number&gt;&lt;foreign-keys&gt;&lt;key app="EN" db-id="2wsw9x5wvsspa1evwxlvvergx9epfd50fs2a" timestamp="1578262755"&gt;89&lt;/key&gt;&lt;/foreign-keys&gt;&lt;ref-type name="Government Document"&gt;46&lt;/ref-type&gt;&lt;contributors&gt;&lt;authors&gt;&lt;author&gt;AIHW: Henley G &amp;amp; Harrison JE,&lt;/author&gt;&lt;/authors&gt;&lt;secondary-authors&gt;&lt;author&gt;AIHW&lt;/author&gt;&lt;/secondary-authors&gt;&lt;/contributors&gt;&lt;titles&gt;&lt;title&gt;Trends in injury deaths, Australia, 1999–00 to 2016–17&lt;/title&gt;&lt;/titles&gt;&lt;volume&gt;Injury research and statistics series no. 127. Cat. no. INJCAT 207&lt;/volume&gt;&lt;dates&gt;&lt;year&gt;2019&lt;/year&gt;&lt;/dates&gt;&lt;pub-location&gt;Canberra&lt;/pub-location&gt;&lt;publisher&gt;AIHW&lt;/publisher&gt;&lt;urls&gt;&lt;/urls&gt;&lt;/record&gt;&lt;/Cite&gt;&lt;/EndNote&gt;</w:instrText>
      </w:r>
      <w:r w:rsidR="001B1972" w:rsidRPr="00284960">
        <w:rPr>
          <w:rFonts w:eastAsia="Times New Roman" w:cstheme="minorHAnsi"/>
          <w:lang w:val="en-AU"/>
        </w:rPr>
        <w:fldChar w:fldCharType="separate"/>
      </w:r>
      <w:r w:rsidR="008462F1" w:rsidRPr="00284960">
        <w:rPr>
          <w:rFonts w:eastAsia="Times New Roman" w:cstheme="minorHAnsi"/>
          <w:noProof/>
          <w:vertAlign w:val="superscript"/>
          <w:lang w:val="en-AU"/>
        </w:rPr>
        <w:t>4</w:t>
      </w:r>
      <w:r w:rsidR="001B1972" w:rsidRPr="00284960">
        <w:rPr>
          <w:rFonts w:eastAsia="Times New Roman" w:cstheme="minorHAnsi"/>
          <w:lang w:val="en-AU"/>
        </w:rPr>
        <w:fldChar w:fldCharType="end"/>
      </w:r>
      <w:r w:rsidR="001B1972" w:rsidRPr="00284960">
        <w:rPr>
          <w:rFonts w:eastAsia="Times New Roman" w:cstheme="minorHAnsi"/>
          <w:lang w:val="en-AU"/>
        </w:rPr>
        <w:t xml:space="preserve"> Data also show </w:t>
      </w:r>
      <w:r w:rsidR="001B1972" w:rsidRPr="00284960">
        <w:rPr>
          <w:lang w:val="en-AU"/>
        </w:rPr>
        <w:t>significant decreases in the rate of hospitalised injury cases from accidental drowning and submersion (2.2% decrease per year from 2007–08); accidental poisoning (1.0% decrease per year from 2007–0</w:t>
      </w:r>
      <w:r w:rsidR="00532B4B" w:rsidRPr="00284960">
        <w:rPr>
          <w:lang w:val="en-AU"/>
        </w:rPr>
        <w:t>8); thermal causes of injury (</w:t>
      </w:r>
      <w:r w:rsidR="001B1972" w:rsidRPr="00284960">
        <w:rPr>
          <w:lang w:val="en-AU"/>
        </w:rPr>
        <w:t>1.5% decrease per y</w:t>
      </w:r>
      <w:r w:rsidR="00532B4B" w:rsidRPr="00284960">
        <w:rPr>
          <w:lang w:val="en-AU"/>
        </w:rPr>
        <w:t>ear from 2007–08) and assault (</w:t>
      </w:r>
      <w:r w:rsidR="001B1972" w:rsidRPr="00284960">
        <w:rPr>
          <w:lang w:val="en-AU"/>
        </w:rPr>
        <w:t>3.2% decrease per year from 2007–08).</w:t>
      </w:r>
      <w:r w:rsidR="001B1972" w:rsidRPr="00284960">
        <w:rPr>
          <w:lang w:val="en-AU"/>
        </w:rPr>
        <w:fldChar w:fldCharType="begin"/>
      </w:r>
      <w:r w:rsidR="008462F1" w:rsidRPr="00284960">
        <w:rPr>
          <w:lang w:val="en-AU"/>
        </w:rPr>
        <w:instrText xml:space="preserve"> ADDIN EN.CITE &lt;EndNote&gt;&lt;Cite&gt;&lt;Author&gt;AIHW: Pointer SC&lt;/Author&gt;&lt;Year&gt;2019&lt;/Year&gt;&lt;RecNum&gt;69&lt;/RecNum&gt;&lt;DisplayText&gt;&lt;style face="superscript"&gt;5&lt;/style&gt;&lt;/DisplayText&gt;&lt;record&gt;&lt;rec-number&gt;69&lt;/rec-number&gt;&lt;foreign-keys&gt;&lt;key app="EN" db-id="2wsw9x5wvsspa1evwxlvvergx9epfd50fs2a" timestamp="1575011887"&gt;69&lt;/key&gt;&lt;/foreign-keys&gt;&lt;ref-type name="Government Document"&gt;46&lt;/ref-type&gt;&lt;contributors&gt;&lt;authors&gt;&lt;author&gt;AIHW: Pointer SC,&lt;/author&gt;&lt;/authors&gt;&lt;/contributors&gt;&lt;titles&gt;&lt;title&gt;Trends in hospitalised injury, Australia 2007–08 to 2016–17. Cat. no. INJCAT 204.&lt;/title&gt;&lt;/titles&gt;&lt;dates&gt;&lt;year&gt;2019&lt;/year&gt;&lt;/dates&gt;&lt;pub-location&gt;Canberra&lt;/pub-location&gt;&lt;publisher&gt;AIHW&lt;/publisher&gt;&lt;urls&gt;&lt;/urls&gt;&lt;/record&gt;&lt;/Cite&gt;&lt;/EndNote&gt;</w:instrText>
      </w:r>
      <w:r w:rsidR="001B1972" w:rsidRPr="00284960">
        <w:rPr>
          <w:lang w:val="en-AU"/>
        </w:rPr>
        <w:fldChar w:fldCharType="separate"/>
      </w:r>
      <w:r w:rsidR="008462F1" w:rsidRPr="00284960">
        <w:rPr>
          <w:noProof/>
          <w:vertAlign w:val="superscript"/>
          <w:lang w:val="en-AU"/>
        </w:rPr>
        <w:t>5</w:t>
      </w:r>
      <w:r w:rsidR="001B1972" w:rsidRPr="00284960">
        <w:rPr>
          <w:lang w:val="en-AU"/>
        </w:rPr>
        <w:fldChar w:fldCharType="end"/>
      </w:r>
    </w:p>
    <w:p w14:paraId="1F6601E4" w14:textId="77777777" w:rsidR="00BB0CCC" w:rsidRPr="00400300" w:rsidRDefault="001B1972" w:rsidP="00BB0CCC">
      <w:pPr>
        <w:rPr>
          <w:rFonts w:eastAsia="Times New Roman" w:cstheme="minorHAnsi"/>
          <w:lang w:val="en-AU"/>
        </w:rPr>
      </w:pPr>
      <w:r w:rsidRPr="00400300">
        <w:rPr>
          <w:rFonts w:eastAsia="Times New Roman" w:cstheme="minorHAnsi"/>
          <w:lang w:val="en-AU"/>
        </w:rPr>
        <w:t xml:space="preserve">These successes may reflect the investment in </w:t>
      </w:r>
      <w:r w:rsidR="00BB0CCC" w:rsidRPr="00400300">
        <w:rPr>
          <w:rFonts w:eastAsia="Times New Roman" w:cstheme="minorHAnsi"/>
          <w:lang w:val="en-AU"/>
        </w:rPr>
        <w:t>research, policy and action in these areas. Taking transport injuries as an example, there is considerable evidence that investment in safer vehicles and safer roads, combined with legislation and education to encourage safer road user behaviour, is responsible for much of these gains.</w:t>
      </w:r>
      <w:r w:rsidR="00BB0CCC">
        <w:rPr>
          <w:rFonts w:eastAsia="Times New Roman" w:cstheme="minorHAnsi"/>
          <w:lang w:val="en-AU"/>
        </w:rPr>
        <w:t xml:space="preserve"> </w:t>
      </w:r>
    </w:p>
    <w:p w14:paraId="60D4BEDC" w14:textId="2DBD5AEE" w:rsidR="00532B4B" w:rsidRDefault="001B1972" w:rsidP="001B1972">
      <w:pPr>
        <w:rPr>
          <w:rFonts w:eastAsia="Times New Roman" w:cstheme="minorHAnsi"/>
          <w:lang w:val="en-AU"/>
        </w:rPr>
      </w:pPr>
      <w:r w:rsidRPr="00400300">
        <w:rPr>
          <w:rFonts w:eastAsia="Times New Roman" w:cstheme="minorHAnsi"/>
          <w:lang w:val="en-AU"/>
        </w:rPr>
        <w:t xml:space="preserve">While there are many challenges in preventing injury-related harm, there is also widespread commitment to action, a strong research base, and many examples of good practice at community, state and territory and national levels. </w:t>
      </w:r>
    </w:p>
    <w:p w14:paraId="452EB928" w14:textId="5BE227C6" w:rsidR="0096628D" w:rsidRPr="008E4E01" w:rsidRDefault="0096628D" w:rsidP="00B1388F">
      <w:pPr>
        <w:pStyle w:val="Heading1"/>
        <w:rPr>
          <w:lang w:val="en-AU"/>
        </w:rPr>
      </w:pPr>
      <w:bookmarkStart w:id="66" w:name="_Toc34225076"/>
      <w:bookmarkStart w:id="67" w:name="_Toc38021088"/>
      <w:bookmarkEnd w:id="66"/>
      <w:r w:rsidRPr="008E4E01">
        <w:rPr>
          <w:lang w:val="en-AU"/>
        </w:rPr>
        <w:t>Vision</w:t>
      </w:r>
      <w:bookmarkEnd w:id="56"/>
      <w:bookmarkEnd w:id="57"/>
      <w:bookmarkEnd w:id="58"/>
      <w:bookmarkEnd w:id="59"/>
      <w:bookmarkEnd w:id="60"/>
      <w:bookmarkEnd w:id="67"/>
      <w:r w:rsidR="00241801" w:rsidRPr="008E4E01">
        <w:rPr>
          <w:lang w:val="en-AU"/>
        </w:rPr>
        <w:t xml:space="preserve"> </w:t>
      </w:r>
    </w:p>
    <w:p w14:paraId="256BEF75" w14:textId="268DF89C" w:rsidR="00330648" w:rsidRDefault="00330648" w:rsidP="003B5531">
      <w:pPr>
        <w:rPr>
          <w:rFonts w:cstheme="minorHAnsi"/>
          <w:szCs w:val="22"/>
          <w:lang w:val="en-AU"/>
        </w:rPr>
      </w:pPr>
      <w:r w:rsidRPr="00400300">
        <w:rPr>
          <w:rFonts w:cstheme="minorHAnsi"/>
          <w:szCs w:val="22"/>
          <w:lang w:val="en-AU"/>
        </w:rPr>
        <w:t xml:space="preserve">The overall vision of the Strategy is </w:t>
      </w:r>
      <w:r w:rsidR="005C2490" w:rsidRPr="00400300">
        <w:rPr>
          <w:rFonts w:cstheme="minorHAnsi"/>
          <w:szCs w:val="22"/>
          <w:lang w:val="en-AU"/>
        </w:rPr>
        <w:t>to</w:t>
      </w:r>
      <w:r w:rsidR="00953903" w:rsidRPr="00400300">
        <w:rPr>
          <w:rFonts w:cstheme="minorHAnsi"/>
          <w:szCs w:val="22"/>
          <w:lang w:val="en-AU"/>
        </w:rPr>
        <w:t>:</w:t>
      </w:r>
      <w:r w:rsidR="005C2490" w:rsidRPr="00400300">
        <w:rPr>
          <w:rFonts w:cstheme="minorHAnsi"/>
          <w:szCs w:val="22"/>
          <w:lang w:val="en-AU"/>
        </w:rPr>
        <w:t xml:space="preserve"> </w:t>
      </w:r>
    </w:p>
    <w:p w14:paraId="21EA95A0" w14:textId="0C0FE399" w:rsidR="001502E4" w:rsidRPr="00400300" w:rsidRDefault="00DE6A98" w:rsidP="001502E4">
      <w:pPr>
        <w:ind w:left="720"/>
        <w:rPr>
          <w:b/>
          <w:i/>
          <w:lang w:val="en-AU"/>
        </w:rPr>
      </w:pPr>
      <w:bookmarkStart w:id="68" w:name="_Toc30421493"/>
      <w:bookmarkStart w:id="69" w:name="_Toc29215019"/>
      <w:bookmarkStart w:id="70" w:name="_Toc29215078"/>
      <w:bookmarkStart w:id="71" w:name="_Toc29217803"/>
      <w:bookmarkStart w:id="72" w:name="_Toc29217863"/>
      <w:bookmarkStart w:id="73" w:name="_Toc29217929"/>
      <w:bookmarkStart w:id="74" w:name="_Toc29217981"/>
      <w:bookmarkStart w:id="75" w:name="_Toc29218033"/>
      <w:bookmarkStart w:id="76" w:name="_Toc29218085"/>
      <w:bookmarkStart w:id="77" w:name="_Toc29215020"/>
      <w:bookmarkStart w:id="78" w:name="_Toc29215079"/>
      <w:bookmarkStart w:id="79" w:name="_Toc29217804"/>
      <w:bookmarkStart w:id="80" w:name="_Toc29217864"/>
      <w:bookmarkStart w:id="81" w:name="_Toc29217930"/>
      <w:bookmarkStart w:id="82" w:name="_Toc29217982"/>
      <w:bookmarkStart w:id="83" w:name="_Toc29218034"/>
      <w:bookmarkStart w:id="84" w:name="_Toc29218086"/>
      <w:bookmarkStart w:id="85" w:name="_Toc29215021"/>
      <w:bookmarkStart w:id="86" w:name="_Toc29215080"/>
      <w:bookmarkStart w:id="87" w:name="_Toc29217805"/>
      <w:bookmarkStart w:id="88" w:name="_Toc29217865"/>
      <w:bookmarkStart w:id="89" w:name="_Toc29217931"/>
      <w:bookmarkStart w:id="90" w:name="_Toc29217983"/>
      <w:bookmarkStart w:id="91" w:name="_Toc29218035"/>
      <w:bookmarkStart w:id="92" w:name="_Toc29218087"/>
      <w:bookmarkStart w:id="93" w:name="_Toc29215022"/>
      <w:bookmarkStart w:id="94" w:name="_Toc29215081"/>
      <w:bookmarkStart w:id="95" w:name="_Toc29217806"/>
      <w:bookmarkStart w:id="96" w:name="_Toc29217866"/>
      <w:bookmarkStart w:id="97" w:name="_Toc29217932"/>
      <w:bookmarkStart w:id="98" w:name="_Toc29217984"/>
      <w:bookmarkStart w:id="99" w:name="_Toc29218036"/>
      <w:bookmarkStart w:id="100" w:name="_Toc29218088"/>
      <w:bookmarkStart w:id="101" w:name="_Toc32584886"/>
      <w:bookmarkStart w:id="102" w:name="_Hlk3223035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00300">
        <w:rPr>
          <w:b/>
          <w:i/>
          <w:lang w:val="en-AU" w:eastAsia="en-US"/>
        </w:rPr>
        <w:t xml:space="preserve">Reduce the </w:t>
      </w:r>
      <w:r w:rsidR="00292AE9" w:rsidRPr="00400300">
        <w:rPr>
          <w:b/>
          <w:i/>
          <w:lang w:val="en-AU" w:eastAsia="en-US"/>
        </w:rPr>
        <w:t xml:space="preserve">overall </w:t>
      </w:r>
      <w:r w:rsidRPr="00400300">
        <w:rPr>
          <w:b/>
          <w:i/>
          <w:lang w:val="en-AU" w:eastAsia="en-US"/>
        </w:rPr>
        <w:t xml:space="preserve">burden of injury in Australia and address inequities that </w:t>
      </w:r>
      <w:r w:rsidRPr="00400300">
        <w:rPr>
          <w:b/>
          <w:i/>
          <w:lang w:val="en-AU"/>
        </w:rPr>
        <w:t xml:space="preserve">contribute to the </w:t>
      </w:r>
      <w:r w:rsidR="00BD39E9" w:rsidRPr="00400300">
        <w:rPr>
          <w:b/>
          <w:i/>
          <w:lang w:val="en-AU"/>
        </w:rPr>
        <w:t xml:space="preserve">disproportionate </w:t>
      </w:r>
      <w:r w:rsidRPr="00400300">
        <w:rPr>
          <w:b/>
          <w:i/>
          <w:lang w:val="en-AU"/>
        </w:rPr>
        <w:t xml:space="preserve">burden of injury experienced by specific population groups </w:t>
      </w:r>
    </w:p>
    <w:p w14:paraId="1C165B58" w14:textId="77777777" w:rsidR="001502E4" w:rsidRPr="00400300" w:rsidRDefault="001502E4" w:rsidP="001502E4">
      <w:pPr>
        <w:ind w:left="720"/>
        <w:rPr>
          <w:b/>
          <w:i/>
          <w:lang w:val="en-AU"/>
        </w:rPr>
      </w:pPr>
    </w:p>
    <w:p w14:paraId="5E278EE2" w14:textId="632F310E" w:rsidR="001502E4" w:rsidRPr="00400300" w:rsidRDefault="001502E4" w:rsidP="001502E4">
      <w:pPr>
        <w:rPr>
          <w:lang w:val="en-AU"/>
        </w:rPr>
      </w:pPr>
      <w:r w:rsidRPr="00400300">
        <w:rPr>
          <w:lang w:val="en-AU"/>
        </w:rPr>
        <w:t>Three core outcome indi</w:t>
      </w:r>
      <w:r w:rsidR="00532B4B">
        <w:rPr>
          <w:lang w:val="en-AU"/>
        </w:rPr>
        <w:t>cators reflect the Strategy’s Vision</w:t>
      </w:r>
      <w:r w:rsidRPr="00400300">
        <w:rPr>
          <w:lang w:val="en-AU"/>
        </w:rPr>
        <w:t xml:space="preserve">: </w:t>
      </w:r>
    </w:p>
    <w:p w14:paraId="05251E5F" w14:textId="77777777" w:rsidR="00532B4B" w:rsidRDefault="000F7D86" w:rsidP="007D5286">
      <w:pPr>
        <w:pStyle w:val="ListParagraph"/>
        <w:numPr>
          <w:ilvl w:val="0"/>
          <w:numId w:val="93"/>
        </w:numPr>
        <w:rPr>
          <w:lang w:val="en-AU"/>
        </w:rPr>
      </w:pPr>
      <w:r w:rsidRPr="00676114">
        <w:rPr>
          <w:lang w:val="en-AU"/>
        </w:rPr>
        <w:t>R</w:t>
      </w:r>
      <w:r w:rsidR="001502E4" w:rsidRPr="00676114">
        <w:rPr>
          <w:lang w:val="en-AU"/>
        </w:rPr>
        <w:t>educed rates of injury in key priority areas</w:t>
      </w:r>
      <w:r w:rsidR="00676114" w:rsidRPr="00676114">
        <w:rPr>
          <w:lang w:val="en-AU"/>
        </w:rPr>
        <w:t xml:space="preserve"> </w:t>
      </w:r>
    </w:p>
    <w:p w14:paraId="2EA14D58" w14:textId="018E0D46" w:rsidR="001502E4" w:rsidRPr="00532B4B" w:rsidRDefault="00676114" w:rsidP="00532B4B">
      <w:pPr>
        <w:ind w:left="1080"/>
        <w:rPr>
          <w:lang w:val="en-AU"/>
        </w:rPr>
      </w:pPr>
      <w:r w:rsidRPr="00FC1BF8">
        <w:rPr>
          <w:b/>
        </w:rPr>
        <w:t>Target</w:t>
      </w:r>
      <w:r>
        <w:t>: To reduce the overa</w:t>
      </w:r>
      <w:r w:rsidR="00532B4B">
        <w:t>ll rate of injury burden by 30%</w:t>
      </w:r>
      <w:r w:rsidR="000D56D8">
        <w:rPr>
          <w:lang w:val="en-AU"/>
        </w:rPr>
        <w:t>.</w:t>
      </w:r>
    </w:p>
    <w:p w14:paraId="61566571" w14:textId="77777777" w:rsidR="000D56D8" w:rsidRPr="000D56D8" w:rsidRDefault="00676114" w:rsidP="007D5286">
      <w:pPr>
        <w:pStyle w:val="ListParagraph"/>
        <w:numPr>
          <w:ilvl w:val="0"/>
          <w:numId w:val="93"/>
        </w:numPr>
      </w:pPr>
      <w:r w:rsidRPr="00676114">
        <w:rPr>
          <w:lang w:val="en-AU"/>
        </w:rPr>
        <w:t xml:space="preserve">Reduced burden of </w:t>
      </w:r>
      <w:r w:rsidR="000D56D8">
        <w:rPr>
          <w:lang w:val="en-AU"/>
        </w:rPr>
        <w:t xml:space="preserve">injury in priority populations </w:t>
      </w:r>
    </w:p>
    <w:p w14:paraId="7E2A17AD" w14:textId="576B3AA4" w:rsidR="00676114" w:rsidRDefault="00676114" w:rsidP="000D56D8">
      <w:pPr>
        <w:ind w:left="1080"/>
      </w:pPr>
      <w:r w:rsidRPr="00FC1BF8">
        <w:rPr>
          <w:b/>
        </w:rPr>
        <w:t>Target</w:t>
      </w:r>
      <w:r>
        <w:t>: To reduce the overall rate of injury by 40%</w:t>
      </w:r>
      <w:r w:rsidR="000D56D8">
        <w:t xml:space="preserve"> among the priority populations.</w:t>
      </w:r>
    </w:p>
    <w:p w14:paraId="72A15CF8" w14:textId="31606924" w:rsidR="001502E4" w:rsidRPr="00676114" w:rsidRDefault="000F7D86" w:rsidP="007D5286">
      <w:pPr>
        <w:pStyle w:val="ListParagraph"/>
        <w:numPr>
          <w:ilvl w:val="0"/>
          <w:numId w:val="93"/>
        </w:numPr>
        <w:rPr>
          <w:lang w:val="en-AU"/>
        </w:rPr>
      </w:pPr>
      <w:r w:rsidRPr="00676114">
        <w:rPr>
          <w:lang w:val="en-AU"/>
        </w:rPr>
        <w:t xml:space="preserve">Reduced </w:t>
      </w:r>
      <w:r w:rsidR="001502E4" w:rsidRPr="00676114">
        <w:rPr>
          <w:lang w:val="en-AU"/>
        </w:rPr>
        <w:t>risk of injury due to the three cross-cutting priority areas</w:t>
      </w:r>
      <w:r w:rsidR="00676114">
        <w:rPr>
          <w:lang w:val="en-AU"/>
        </w:rPr>
        <w:t>.</w:t>
      </w:r>
      <w:r w:rsidR="001502E4" w:rsidRPr="00676114">
        <w:rPr>
          <w:lang w:val="en-AU"/>
        </w:rPr>
        <w:t xml:space="preserve"> </w:t>
      </w:r>
    </w:p>
    <w:p w14:paraId="5B510897" w14:textId="64FE5618" w:rsidR="00996DB2" w:rsidRPr="00400300" w:rsidRDefault="00DE6A98" w:rsidP="00996DB2">
      <w:pPr>
        <w:pStyle w:val="Heading1"/>
        <w:rPr>
          <w:lang w:val="en-AU"/>
        </w:rPr>
      </w:pPr>
      <w:bookmarkStart w:id="103" w:name="_Toc34225078"/>
      <w:bookmarkStart w:id="104" w:name="_Toc33446585"/>
      <w:bookmarkStart w:id="105" w:name="_Toc34225079"/>
      <w:bookmarkStart w:id="106" w:name="_Toc38021089"/>
      <w:bookmarkEnd w:id="103"/>
      <w:bookmarkEnd w:id="104"/>
      <w:bookmarkEnd w:id="105"/>
      <w:r w:rsidRPr="00400300">
        <w:rPr>
          <w:lang w:val="en-AU"/>
        </w:rPr>
        <w:t>C</w:t>
      </w:r>
      <w:r w:rsidR="00996DB2" w:rsidRPr="00400300">
        <w:rPr>
          <w:lang w:val="en-AU"/>
        </w:rPr>
        <w:t>all for action</w:t>
      </w:r>
      <w:bookmarkEnd w:id="101"/>
      <w:bookmarkEnd w:id="106"/>
    </w:p>
    <w:p w14:paraId="3AE73EBB" w14:textId="70CADAEA" w:rsidR="00996DB2" w:rsidRDefault="00214727" w:rsidP="00996DB2">
      <w:pPr>
        <w:rPr>
          <w:lang w:val="en-AU"/>
        </w:rPr>
      </w:pPr>
      <w:r w:rsidRPr="00212D77">
        <w:rPr>
          <w:lang w:val="en-AU"/>
        </w:rPr>
        <w:t>I</w:t>
      </w:r>
      <w:r w:rsidR="00996DB2" w:rsidRPr="00212D77">
        <w:rPr>
          <w:lang w:val="en-AU"/>
        </w:rPr>
        <w:t xml:space="preserve">njury has a significant impact on Australians. There is a need to strengthen Australia’s response to injury to benefit </w:t>
      </w:r>
      <w:r w:rsidR="00FF6470" w:rsidRPr="00212D77">
        <w:rPr>
          <w:lang w:val="en-AU"/>
        </w:rPr>
        <w:t>everyone</w:t>
      </w:r>
      <w:r w:rsidR="00996DB2" w:rsidRPr="00212D77">
        <w:rPr>
          <w:lang w:val="en-AU"/>
        </w:rPr>
        <w:t xml:space="preserve">. </w:t>
      </w:r>
      <w:r w:rsidR="000F7D86" w:rsidRPr="00212D77">
        <w:rPr>
          <w:lang w:val="en-AU"/>
        </w:rPr>
        <w:t>Everyone has a role to play in injury prevention</w:t>
      </w:r>
      <w:r w:rsidR="00212D77" w:rsidRPr="00212D77">
        <w:rPr>
          <w:lang w:val="en-AU"/>
        </w:rPr>
        <w:t xml:space="preserve">. </w:t>
      </w:r>
      <w:r w:rsidR="00212D77" w:rsidRPr="00212D77">
        <w:rPr>
          <w:szCs w:val="22"/>
          <w:lang w:val="en-AU"/>
        </w:rPr>
        <w:t>Coordinated action across many and varied departments and agencies</w:t>
      </w:r>
      <w:r w:rsidR="00212D77" w:rsidRPr="00212D77">
        <w:rPr>
          <w:b/>
          <w:szCs w:val="22"/>
          <w:lang w:val="en-AU"/>
        </w:rPr>
        <w:t xml:space="preserve"> </w:t>
      </w:r>
      <w:r w:rsidR="00212D77" w:rsidRPr="00212D77">
        <w:rPr>
          <w:szCs w:val="22"/>
          <w:lang w:val="en-AU"/>
        </w:rPr>
        <w:t>is needed for lasting and effective change. The settings, risk factors and repercussions of injuries cut across many sectors: health, transport, housing, urban planning, environment, work health and safety, social services, education, policing and justice departments and agencies</w:t>
      </w:r>
      <w:r w:rsidR="00212D77">
        <w:rPr>
          <w:szCs w:val="22"/>
          <w:lang w:val="en-AU"/>
        </w:rPr>
        <w:t xml:space="preserve">. This </w:t>
      </w:r>
      <w:r w:rsidR="000F7D86">
        <w:rPr>
          <w:lang w:val="en-AU"/>
        </w:rPr>
        <w:t>c</w:t>
      </w:r>
      <w:r w:rsidR="00996DB2" w:rsidRPr="00400300">
        <w:rPr>
          <w:lang w:val="en-AU"/>
        </w:rPr>
        <w:t xml:space="preserve">oordination and engagement </w:t>
      </w:r>
      <w:r w:rsidR="00212D77">
        <w:rPr>
          <w:lang w:val="en-AU"/>
        </w:rPr>
        <w:t xml:space="preserve">should occur </w:t>
      </w:r>
      <w:r w:rsidR="00996DB2" w:rsidRPr="00400300">
        <w:rPr>
          <w:lang w:val="en-AU"/>
        </w:rPr>
        <w:t>at the national, state and local levels</w:t>
      </w:r>
      <w:r w:rsidRPr="00400300">
        <w:rPr>
          <w:lang w:val="en-AU"/>
        </w:rPr>
        <w:t xml:space="preserve"> if </w:t>
      </w:r>
      <w:r w:rsidR="000D56D8">
        <w:rPr>
          <w:lang w:val="en-AU"/>
        </w:rPr>
        <w:t xml:space="preserve">Australia is </w:t>
      </w:r>
      <w:r w:rsidRPr="00400300">
        <w:rPr>
          <w:lang w:val="en-AU"/>
        </w:rPr>
        <w:t>to effectively reduce and prevent injury</w:t>
      </w:r>
      <w:r w:rsidR="00996DB2" w:rsidRPr="00400300">
        <w:rPr>
          <w:lang w:val="en-AU"/>
        </w:rPr>
        <w:t xml:space="preserve">. Investments </w:t>
      </w:r>
      <w:r w:rsidRPr="00400300">
        <w:rPr>
          <w:lang w:val="en-AU"/>
        </w:rPr>
        <w:t>must</w:t>
      </w:r>
      <w:r w:rsidR="00996DB2" w:rsidRPr="00400300">
        <w:rPr>
          <w:lang w:val="en-AU"/>
        </w:rPr>
        <w:t xml:space="preserve"> be culturally appropriate</w:t>
      </w:r>
      <w:r w:rsidRPr="00400300">
        <w:rPr>
          <w:lang w:val="en-AU"/>
        </w:rPr>
        <w:t>,</w:t>
      </w:r>
      <w:r w:rsidR="00F76E63" w:rsidRPr="00400300">
        <w:rPr>
          <w:lang w:val="en-AU"/>
        </w:rPr>
        <w:t xml:space="preserve"> </w:t>
      </w:r>
      <w:r w:rsidRPr="00400300">
        <w:rPr>
          <w:lang w:val="en-AU"/>
        </w:rPr>
        <w:t>build on available evidence and</w:t>
      </w:r>
      <w:r w:rsidRPr="00400300">
        <w:rPr>
          <w:rFonts w:cstheme="minorHAnsi"/>
          <w:lang w:val="en-AU"/>
        </w:rPr>
        <w:t xml:space="preserve"> </w:t>
      </w:r>
      <w:r w:rsidR="00996DB2" w:rsidRPr="00400300">
        <w:rPr>
          <w:lang w:val="en-AU"/>
        </w:rPr>
        <w:t>tailored to local contexts and settings</w:t>
      </w:r>
      <w:r w:rsidR="008E4E01">
        <w:rPr>
          <w:lang w:val="en-AU"/>
        </w:rPr>
        <w:t>.</w:t>
      </w:r>
      <w:r w:rsidR="00996DB2" w:rsidRPr="00400300">
        <w:rPr>
          <w:lang w:val="en-AU"/>
        </w:rPr>
        <w:t xml:space="preserve"> </w:t>
      </w:r>
    </w:p>
    <w:p w14:paraId="313D3978" w14:textId="77777777" w:rsidR="00284960" w:rsidRPr="00400300" w:rsidRDefault="00284960" w:rsidP="00996DB2">
      <w:pPr>
        <w:rPr>
          <w:rFonts w:cstheme="minorHAnsi"/>
          <w:lang w:val="en-AU"/>
        </w:rPr>
      </w:pPr>
    </w:p>
    <w:p w14:paraId="42D54139" w14:textId="77777777" w:rsidR="00996DB2" w:rsidRPr="00400300" w:rsidRDefault="00996DB2" w:rsidP="00996DB2">
      <w:pPr>
        <w:pStyle w:val="Heading2"/>
        <w:rPr>
          <w:lang w:val="en-AU"/>
        </w:rPr>
      </w:pPr>
      <w:bookmarkStart w:id="107" w:name="_Toc32584887"/>
      <w:bookmarkStart w:id="108" w:name="_Toc38021090"/>
      <w:bookmarkStart w:id="109" w:name="_Hlk33607757"/>
      <w:r w:rsidRPr="00400300">
        <w:rPr>
          <w:lang w:val="en-AU"/>
        </w:rPr>
        <w:t>Principles</w:t>
      </w:r>
      <w:bookmarkEnd w:id="107"/>
      <w:bookmarkEnd w:id="108"/>
    </w:p>
    <w:p w14:paraId="184C3DAF" w14:textId="73B2A894" w:rsidR="00884399" w:rsidRDefault="00E949FA" w:rsidP="00884399">
      <w:pPr>
        <w:rPr>
          <w:color w:val="2F5496" w:themeColor="accent5" w:themeShade="BF"/>
        </w:rPr>
      </w:pPr>
      <w:r>
        <w:t xml:space="preserve">Six </w:t>
      </w:r>
      <w:r w:rsidR="00884399">
        <w:t>principles underpin the Strategy and should be at the fo</w:t>
      </w:r>
      <w:r w:rsidR="000D56D8">
        <w:t>refront in planning and</w:t>
      </w:r>
      <w:r w:rsidR="00884399">
        <w:t xml:space="preserve"> implementing the Objectives and Actions in this Strategy. The recommended infrastructure needed to </w:t>
      </w:r>
      <w:r>
        <w:t>enable</w:t>
      </w:r>
      <w:r w:rsidR="00884399">
        <w:t xml:space="preserve"> these principles is outlined in </w:t>
      </w:r>
      <w:r w:rsidR="00884399" w:rsidRPr="00705DD1">
        <w:rPr>
          <w:color w:val="2F5496" w:themeColor="accent5" w:themeShade="BF"/>
        </w:rPr>
        <w:t xml:space="preserve">Section </w:t>
      </w:r>
      <w:r w:rsidR="003240A6">
        <w:rPr>
          <w:color w:val="2F5496" w:themeColor="accent5" w:themeShade="BF"/>
        </w:rPr>
        <w:t>1</w:t>
      </w:r>
      <w:r w:rsidR="0060583A">
        <w:rPr>
          <w:color w:val="2F5496" w:themeColor="accent5" w:themeShade="BF"/>
        </w:rPr>
        <w:t>2</w:t>
      </w:r>
      <w:r w:rsidR="00884399" w:rsidRPr="00705DD1">
        <w:rPr>
          <w:color w:val="2F5496" w:themeColor="accent5" w:themeShade="BF"/>
        </w:rPr>
        <w:t>. Making Progress.</w:t>
      </w:r>
    </w:p>
    <w:p w14:paraId="48A274D2" w14:textId="77777777" w:rsidR="00212D77" w:rsidRDefault="00212D77" w:rsidP="00884399"/>
    <w:tbl>
      <w:tblPr>
        <w:tblStyle w:val="TableGrid"/>
        <w:tblW w:w="5000" w:type="pct"/>
        <w:tblLook w:val="04A0" w:firstRow="1" w:lastRow="0" w:firstColumn="1" w:lastColumn="0" w:noHBand="0" w:noVBand="1"/>
      </w:tblPr>
      <w:tblGrid>
        <w:gridCol w:w="2519"/>
        <w:gridCol w:w="6497"/>
      </w:tblGrid>
      <w:tr w:rsidR="005F31AF" w:rsidRPr="00400300" w14:paraId="24DBC647" w14:textId="77777777" w:rsidTr="0066551B">
        <w:trPr>
          <w:trHeight w:val="487"/>
          <w:tblHeader/>
        </w:trPr>
        <w:tc>
          <w:tcPr>
            <w:tcW w:w="1397" w:type="pct"/>
            <w:shd w:val="clear" w:color="auto" w:fill="000000" w:themeFill="text1"/>
          </w:tcPr>
          <w:p w14:paraId="4026F0F1" w14:textId="77777777" w:rsidR="005F31AF" w:rsidRPr="00060F4E" w:rsidRDefault="005F31AF" w:rsidP="008462F1">
            <w:pPr>
              <w:spacing w:before="0"/>
              <w:rPr>
                <w:rFonts w:cstheme="minorHAnsi"/>
                <w:b/>
                <w:color w:val="FFFFFF" w:themeColor="background1"/>
                <w:sz w:val="20"/>
                <w:szCs w:val="20"/>
                <w:lang w:val="en-AU"/>
              </w:rPr>
            </w:pPr>
            <w:r w:rsidRPr="00060F4E">
              <w:rPr>
                <w:rFonts w:cstheme="minorHAnsi"/>
                <w:b/>
                <w:color w:val="FFFFFF" w:themeColor="background1"/>
                <w:sz w:val="20"/>
                <w:szCs w:val="20"/>
                <w:lang w:val="en-AU"/>
              </w:rPr>
              <w:t>Principle in action</w:t>
            </w:r>
          </w:p>
        </w:tc>
        <w:tc>
          <w:tcPr>
            <w:tcW w:w="3603" w:type="pct"/>
            <w:shd w:val="clear" w:color="auto" w:fill="000000" w:themeFill="text1"/>
          </w:tcPr>
          <w:p w14:paraId="30F61DE0" w14:textId="44B0EFC3" w:rsidR="005F31AF" w:rsidRPr="00060F4E" w:rsidRDefault="00D331AD" w:rsidP="008462F1">
            <w:pPr>
              <w:spacing w:before="0"/>
              <w:rPr>
                <w:rFonts w:cstheme="minorHAnsi"/>
                <w:b/>
                <w:color w:val="FFFFFF" w:themeColor="background1"/>
                <w:sz w:val="20"/>
                <w:szCs w:val="20"/>
                <w:lang w:val="en-AU"/>
              </w:rPr>
            </w:pPr>
            <w:r>
              <w:rPr>
                <w:rFonts w:cstheme="minorHAnsi"/>
                <w:b/>
                <w:color w:val="FFFFFF" w:themeColor="background1"/>
                <w:sz w:val="20"/>
                <w:szCs w:val="20"/>
                <w:lang w:val="en-AU"/>
              </w:rPr>
              <w:t>How is this implemented</w:t>
            </w:r>
            <w:r w:rsidR="005F31AF" w:rsidRPr="00060F4E">
              <w:rPr>
                <w:rFonts w:cstheme="minorHAnsi"/>
                <w:b/>
                <w:color w:val="FFFFFF" w:themeColor="background1"/>
                <w:sz w:val="20"/>
                <w:szCs w:val="20"/>
                <w:lang w:val="en-AU"/>
              </w:rPr>
              <w:t>?</w:t>
            </w:r>
          </w:p>
        </w:tc>
      </w:tr>
      <w:tr w:rsidR="005F31AF" w:rsidRPr="00400300" w14:paraId="4FDB651B" w14:textId="77777777" w:rsidTr="00060F4E">
        <w:tc>
          <w:tcPr>
            <w:tcW w:w="1397" w:type="pct"/>
          </w:tcPr>
          <w:p w14:paraId="1E5256F4" w14:textId="77777777" w:rsidR="005F31AF" w:rsidRPr="00060F4E" w:rsidRDefault="005F31AF" w:rsidP="008462F1">
            <w:pPr>
              <w:spacing w:before="0"/>
              <w:rPr>
                <w:rFonts w:cstheme="minorHAnsi"/>
                <w:b/>
                <w:color w:val="000000" w:themeColor="text1"/>
                <w:sz w:val="20"/>
                <w:szCs w:val="20"/>
                <w:lang w:val="en-AU"/>
              </w:rPr>
            </w:pPr>
            <w:r w:rsidRPr="00060F4E">
              <w:rPr>
                <w:rFonts w:cstheme="minorHAnsi"/>
                <w:b/>
                <w:sz w:val="20"/>
                <w:szCs w:val="20"/>
                <w:lang w:val="en-AU"/>
              </w:rPr>
              <w:t>Evidence-based</w:t>
            </w:r>
          </w:p>
        </w:tc>
        <w:tc>
          <w:tcPr>
            <w:tcW w:w="3603" w:type="pct"/>
          </w:tcPr>
          <w:p w14:paraId="57DE9B37" w14:textId="77777777" w:rsidR="005F31AF" w:rsidRPr="00060F4E"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rPr>
              <w:t>Address priority areas through data-driven and evidence-based action.</w:t>
            </w:r>
          </w:p>
          <w:p w14:paraId="11F57F40" w14:textId="77777777" w:rsidR="005F31AF" w:rsidRPr="00060F4E"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rPr>
              <w:t xml:space="preserve">Focus first on injuries which, for any life-stage, represent the greatest burden (as measured by overall burden, fatalities and hospital admissions), and employ strategies for which there is evidence of their effectiveness. </w:t>
            </w:r>
          </w:p>
          <w:p w14:paraId="121F6DCE" w14:textId="77777777" w:rsidR="005F31AF" w:rsidRPr="00060F4E"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rPr>
              <w:t>When data or evidence are lacking, utilise the opinion of relevant experts.</w:t>
            </w:r>
          </w:p>
        </w:tc>
      </w:tr>
      <w:tr w:rsidR="005F31AF" w:rsidRPr="00400300" w14:paraId="18AE5259" w14:textId="77777777" w:rsidTr="00060F4E">
        <w:tc>
          <w:tcPr>
            <w:tcW w:w="1397" w:type="pct"/>
          </w:tcPr>
          <w:p w14:paraId="2EC29F91" w14:textId="77777777" w:rsidR="005F31AF" w:rsidRPr="00060F4E" w:rsidRDefault="005F31AF" w:rsidP="008462F1">
            <w:pPr>
              <w:spacing w:before="0"/>
              <w:rPr>
                <w:rFonts w:cstheme="minorHAnsi"/>
                <w:b/>
                <w:color w:val="000000" w:themeColor="text1"/>
                <w:sz w:val="20"/>
                <w:szCs w:val="20"/>
                <w:lang w:val="en-AU"/>
              </w:rPr>
            </w:pPr>
            <w:r w:rsidRPr="00060F4E">
              <w:rPr>
                <w:rFonts w:cstheme="minorHAnsi"/>
                <w:b/>
                <w:sz w:val="20"/>
                <w:szCs w:val="20"/>
                <w:lang w:val="en-AU"/>
              </w:rPr>
              <w:t>Equity</w:t>
            </w:r>
          </w:p>
        </w:tc>
        <w:tc>
          <w:tcPr>
            <w:tcW w:w="3603" w:type="pct"/>
          </w:tcPr>
          <w:p w14:paraId="6A5D71C3" w14:textId="2DB56684" w:rsidR="00540A89"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rPr>
              <w:t xml:space="preserve">Provide </w:t>
            </w:r>
            <w:r w:rsidRPr="00060F4E">
              <w:rPr>
                <w:rFonts w:cstheme="minorHAnsi"/>
                <w:color w:val="000000" w:themeColor="text1"/>
                <w:sz w:val="20"/>
                <w:szCs w:val="20"/>
                <w:lang w:val="en-AU" w:eastAsia="zh-CN"/>
              </w:rPr>
              <w:t>equitable access to information and education, products, environments, programs and policies that protect and reduce the risk of serious injury</w:t>
            </w:r>
            <w:r w:rsidR="00284960">
              <w:rPr>
                <w:rFonts w:cstheme="minorHAnsi"/>
                <w:color w:val="000000" w:themeColor="text1"/>
                <w:sz w:val="20"/>
                <w:szCs w:val="20"/>
                <w:lang w:val="en-AU" w:eastAsia="zh-CN"/>
              </w:rPr>
              <w:t>.</w:t>
            </w:r>
            <w:r w:rsidRPr="00060F4E" w:rsidDel="00FF6470">
              <w:rPr>
                <w:rFonts w:cstheme="minorHAnsi"/>
                <w:color w:val="000000" w:themeColor="text1"/>
                <w:sz w:val="20"/>
                <w:szCs w:val="20"/>
                <w:lang w:val="en-AU"/>
              </w:rPr>
              <w:t xml:space="preserve"> </w:t>
            </w:r>
          </w:p>
          <w:p w14:paraId="7B704095" w14:textId="0FAB37EA" w:rsidR="005F31AF" w:rsidRPr="00060F4E" w:rsidRDefault="00540A89" w:rsidP="007D5286">
            <w:pPr>
              <w:pStyle w:val="ListParagraph"/>
              <w:numPr>
                <w:ilvl w:val="0"/>
                <w:numId w:val="3"/>
              </w:numPr>
              <w:tabs>
                <w:tab w:val="left" w:pos="1160"/>
              </w:tabs>
              <w:spacing w:before="0"/>
              <w:ind w:left="322" w:hanging="283"/>
              <w:rPr>
                <w:rFonts w:cstheme="minorHAnsi"/>
                <w:color w:val="000000" w:themeColor="text1"/>
                <w:sz w:val="20"/>
                <w:szCs w:val="20"/>
                <w:lang w:val="en-AU"/>
              </w:rPr>
            </w:pPr>
            <w:r>
              <w:rPr>
                <w:rFonts w:cstheme="minorHAnsi"/>
                <w:color w:val="000000" w:themeColor="text1"/>
                <w:sz w:val="20"/>
                <w:szCs w:val="20"/>
                <w:lang w:val="en-AU"/>
              </w:rPr>
              <w:t xml:space="preserve">Ensure that information is tailored to </w:t>
            </w:r>
            <w:r w:rsidR="00A32395">
              <w:rPr>
                <w:rFonts w:cstheme="minorHAnsi"/>
                <w:color w:val="000000" w:themeColor="text1"/>
                <w:sz w:val="20"/>
                <w:szCs w:val="20"/>
                <w:lang w:val="en-AU" w:eastAsia="zh-CN"/>
              </w:rPr>
              <w:t>different needs</w:t>
            </w:r>
            <w:r>
              <w:rPr>
                <w:rFonts w:cstheme="minorHAnsi"/>
                <w:color w:val="000000" w:themeColor="text1"/>
                <w:sz w:val="20"/>
                <w:szCs w:val="20"/>
                <w:lang w:val="en-AU" w:eastAsia="zh-CN"/>
              </w:rPr>
              <w:t xml:space="preserve"> including</w:t>
            </w:r>
            <w:r w:rsidR="005F31AF" w:rsidRPr="00060F4E">
              <w:rPr>
                <w:rFonts w:cstheme="minorHAnsi"/>
                <w:color w:val="000000" w:themeColor="text1"/>
                <w:sz w:val="20"/>
                <w:szCs w:val="20"/>
                <w:lang w:val="en-AU" w:eastAsia="zh-CN"/>
              </w:rPr>
              <w:t xml:space="preserve"> culture, race, age, gender identity, sexual orientation, socio-economic standing and geographic location.</w:t>
            </w:r>
          </w:p>
          <w:p w14:paraId="1C6A9C34" w14:textId="10C1B8E0" w:rsidR="005F31AF" w:rsidRPr="00060F4E"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rPr>
              <w:t>Develop programs and policies to address the social and cultural determinants of health.</w:t>
            </w:r>
          </w:p>
          <w:p w14:paraId="64523321" w14:textId="481603E0" w:rsidR="005F31AF" w:rsidRPr="00060F4E"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rPr>
              <w:t xml:space="preserve"> Plan programs to</w:t>
            </w:r>
            <w:r w:rsidR="00284960">
              <w:rPr>
                <w:rFonts w:cstheme="minorHAnsi"/>
                <w:color w:val="000000" w:themeColor="text1"/>
                <w:sz w:val="20"/>
                <w:szCs w:val="20"/>
                <w:lang w:val="en-AU"/>
              </w:rPr>
              <w:t xml:space="preserve"> address the over</w:t>
            </w:r>
            <w:r w:rsidR="000F7D86">
              <w:rPr>
                <w:rFonts w:cstheme="minorHAnsi"/>
                <w:color w:val="000000" w:themeColor="text1"/>
                <w:sz w:val="20"/>
                <w:szCs w:val="20"/>
                <w:lang w:val="en-AU"/>
              </w:rPr>
              <w:t xml:space="preserve">representation of </w:t>
            </w:r>
            <w:r w:rsidRPr="00060F4E">
              <w:rPr>
                <w:rFonts w:cstheme="minorHAnsi"/>
                <w:color w:val="000000" w:themeColor="text1"/>
                <w:sz w:val="20"/>
                <w:szCs w:val="20"/>
                <w:lang w:val="en-AU"/>
              </w:rPr>
              <w:t>people most at risk of injury, recognising that risks differ according to people’s conditions. For example the dynamics of the injury process can differ among people living with a disability where the condition magnifies or alters the impact of injury.</w:t>
            </w:r>
            <w:r w:rsidRPr="00060F4E">
              <w:rPr>
                <w:rFonts w:cstheme="minorHAnsi"/>
                <w:color w:val="000000" w:themeColor="text1"/>
                <w:sz w:val="20"/>
                <w:szCs w:val="20"/>
                <w:lang w:val="en-AU"/>
              </w:rPr>
              <w:fldChar w:fldCharType="begin"/>
            </w:r>
            <w:r w:rsidR="007D2F13">
              <w:rPr>
                <w:rFonts w:cstheme="minorHAnsi"/>
                <w:color w:val="000000" w:themeColor="text1"/>
                <w:sz w:val="20"/>
                <w:szCs w:val="20"/>
                <w:lang w:val="en-AU"/>
              </w:rPr>
              <w:instrText xml:space="preserve"> ADDIN EN.CITE &lt;EndNote&gt;&lt;Cite&gt;&lt;Author&gt;Forjuoh&lt;/Author&gt;&lt;Year&gt;2001&lt;/Year&gt;&lt;RecNum&gt;71&lt;/RecNum&gt;&lt;DisplayText&gt;&lt;style face="superscript"&gt;14&lt;/style&gt;&lt;/DisplayText&gt;&lt;record&gt;&lt;rec-number&gt;71&lt;/rec-number&gt;&lt;foreign-keys&gt;&lt;key app="EN" db-id="2wsw9x5wvsspa1evwxlvvergx9epfd50fs2a" timestamp="1575231574"&gt;71&lt;/key&gt;&lt;/foreign-keys&gt;&lt;ref-type name="Generic"&gt;13&lt;/ref-type&gt;&lt;contributors&gt;&lt;authors&gt;&lt;author&gt;Forjuoh, Samuel N&lt;/author&gt;&lt;author&gt;Guyer, Bernard&lt;/author&gt;&lt;/authors&gt;&lt;/contributors&gt;&lt;titles&gt;&lt;title&gt;Injury prevention in people with disabilities: Risks can be minimised without unduly restricting activities&lt;/title&gt;&lt;/titles&gt;&lt;dates&gt;&lt;year&gt;2001&lt;/year&gt;&lt;/dates&gt;&lt;publisher&gt;British Medical Journal&lt;/publisher&gt;&lt;isbn&gt;0959-8138&lt;/isbn&gt;&lt;urls&gt;&lt;/urls&gt;&lt;/record&gt;&lt;/Cite&gt;&lt;/EndNote&gt;</w:instrText>
            </w:r>
            <w:r w:rsidRPr="00060F4E">
              <w:rPr>
                <w:rFonts w:cstheme="minorHAnsi"/>
                <w:color w:val="000000" w:themeColor="text1"/>
                <w:sz w:val="20"/>
                <w:szCs w:val="20"/>
                <w:lang w:val="en-AU"/>
              </w:rPr>
              <w:fldChar w:fldCharType="separate"/>
            </w:r>
            <w:r w:rsidR="007D2F13" w:rsidRPr="007D2F13">
              <w:rPr>
                <w:rFonts w:cstheme="minorHAnsi"/>
                <w:noProof/>
                <w:color w:val="000000" w:themeColor="text1"/>
                <w:sz w:val="20"/>
                <w:szCs w:val="20"/>
                <w:vertAlign w:val="superscript"/>
                <w:lang w:val="en-AU"/>
              </w:rPr>
              <w:t>14</w:t>
            </w:r>
            <w:r w:rsidRPr="00060F4E">
              <w:rPr>
                <w:rFonts w:cstheme="minorHAnsi"/>
                <w:color w:val="000000" w:themeColor="text1"/>
                <w:sz w:val="20"/>
                <w:szCs w:val="20"/>
                <w:lang w:val="en-AU"/>
              </w:rPr>
              <w:fldChar w:fldCharType="end"/>
            </w:r>
            <w:r w:rsidRPr="00060F4E">
              <w:rPr>
                <w:rFonts w:cstheme="minorHAnsi"/>
                <w:color w:val="000000" w:themeColor="text1"/>
                <w:sz w:val="20"/>
                <w:szCs w:val="20"/>
                <w:lang w:val="en-AU"/>
              </w:rPr>
              <w:t xml:space="preserve"> </w:t>
            </w:r>
          </w:p>
        </w:tc>
      </w:tr>
      <w:tr w:rsidR="005F31AF" w:rsidRPr="00400300" w:rsidDel="00944407" w14:paraId="4B54D397" w14:textId="77777777" w:rsidTr="00060F4E">
        <w:tc>
          <w:tcPr>
            <w:tcW w:w="1397" w:type="pct"/>
          </w:tcPr>
          <w:p w14:paraId="7299DCF2" w14:textId="77777777" w:rsidR="005F31AF" w:rsidRPr="00060F4E" w:rsidRDefault="005F31AF" w:rsidP="008462F1">
            <w:pPr>
              <w:spacing w:before="0"/>
              <w:rPr>
                <w:rFonts w:cstheme="minorHAnsi"/>
                <w:b/>
                <w:color w:val="000000" w:themeColor="text1"/>
                <w:sz w:val="20"/>
                <w:szCs w:val="20"/>
                <w:lang w:val="en-AU"/>
              </w:rPr>
            </w:pPr>
            <w:r w:rsidRPr="00060F4E">
              <w:rPr>
                <w:rFonts w:cstheme="minorHAnsi"/>
                <w:b/>
                <w:sz w:val="20"/>
                <w:szCs w:val="20"/>
                <w:lang w:val="en-AU"/>
              </w:rPr>
              <w:t xml:space="preserve">Engagement </w:t>
            </w:r>
          </w:p>
        </w:tc>
        <w:tc>
          <w:tcPr>
            <w:tcW w:w="3603" w:type="pct"/>
          </w:tcPr>
          <w:p w14:paraId="13BE2E19" w14:textId="5B496F25" w:rsidR="005F31AF" w:rsidRPr="00060F4E"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eastAsia="zh-CN"/>
              </w:rPr>
            </w:pPr>
            <w:r w:rsidRPr="00060F4E">
              <w:rPr>
                <w:rFonts w:cstheme="minorHAnsi"/>
                <w:color w:val="000000" w:themeColor="text1"/>
                <w:sz w:val="20"/>
                <w:szCs w:val="20"/>
                <w:lang w:val="en-AU"/>
              </w:rPr>
              <w:t>Engage, empower and enable Aboriginal and Torres Strait Islander communities to co-design and implement programs and influence policies which are in keeping with the priori</w:t>
            </w:r>
            <w:r w:rsidR="00301A1D">
              <w:rPr>
                <w:rFonts w:cstheme="minorHAnsi"/>
                <w:color w:val="000000" w:themeColor="text1"/>
                <w:sz w:val="20"/>
                <w:szCs w:val="20"/>
                <w:lang w:val="en-AU"/>
              </w:rPr>
              <w:t>ti</w:t>
            </w:r>
            <w:r w:rsidRPr="00060F4E">
              <w:rPr>
                <w:rFonts w:cstheme="minorHAnsi"/>
                <w:color w:val="000000" w:themeColor="text1"/>
                <w:sz w:val="20"/>
                <w:szCs w:val="20"/>
                <w:lang w:val="en-AU"/>
              </w:rPr>
              <w:t>es of their local communities</w:t>
            </w:r>
            <w:r w:rsidR="00284960">
              <w:rPr>
                <w:rFonts w:cstheme="minorHAnsi"/>
                <w:color w:val="000000" w:themeColor="text1"/>
                <w:sz w:val="20"/>
                <w:szCs w:val="20"/>
                <w:lang w:val="en-AU"/>
              </w:rPr>
              <w:t>.</w:t>
            </w:r>
          </w:p>
          <w:p w14:paraId="01FB2411" w14:textId="0A2BA1B5" w:rsidR="005F31AF" w:rsidRPr="00060F4E"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eastAsia="zh-CN"/>
              </w:rPr>
            </w:pPr>
            <w:r w:rsidRPr="00060F4E">
              <w:rPr>
                <w:rFonts w:cstheme="minorHAnsi"/>
                <w:sz w:val="20"/>
                <w:szCs w:val="20"/>
                <w:lang w:val="en-AU"/>
              </w:rPr>
              <w:t xml:space="preserve">Engage with groups most impacted by injury, those affected by the proposed actions and </w:t>
            </w:r>
            <w:r w:rsidRPr="00060F4E">
              <w:rPr>
                <w:rFonts w:cstheme="minorHAnsi"/>
                <w:color w:val="000000" w:themeColor="text1"/>
                <w:sz w:val="20"/>
                <w:szCs w:val="20"/>
                <w:lang w:val="en-AU" w:eastAsia="zh-CN"/>
              </w:rPr>
              <w:t xml:space="preserve">key </w:t>
            </w:r>
            <w:r w:rsidRPr="00060F4E">
              <w:rPr>
                <w:rFonts w:cstheme="minorHAnsi"/>
                <w:color w:val="000000" w:themeColor="text1"/>
                <w:sz w:val="20"/>
                <w:szCs w:val="20"/>
                <w:lang w:val="en-AU"/>
              </w:rPr>
              <w:t xml:space="preserve">community </w:t>
            </w:r>
            <w:r w:rsidRPr="00060F4E">
              <w:rPr>
                <w:rFonts w:cstheme="minorHAnsi"/>
                <w:color w:val="000000" w:themeColor="text1"/>
                <w:sz w:val="20"/>
                <w:szCs w:val="20"/>
                <w:lang w:val="en-AU" w:eastAsia="zh-CN"/>
              </w:rPr>
              <w:t xml:space="preserve">groups to ensure that all initiatives are culturally safe. </w:t>
            </w:r>
          </w:p>
          <w:p w14:paraId="1AA34F62" w14:textId="77777777" w:rsidR="005F31AF" w:rsidRPr="00060F4E" w:rsidRDefault="005F31AF" w:rsidP="007D5286">
            <w:pPr>
              <w:pStyle w:val="ListParagraph"/>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eastAsia="zh-CN"/>
              </w:rPr>
              <w:t>Build on what has already been achieved within a community</w:t>
            </w:r>
            <w:r w:rsidRPr="00060F4E">
              <w:rPr>
                <w:rFonts w:cstheme="minorHAnsi"/>
                <w:color w:val="000000" w:themeColor="text1"/>
                <w:sz w:val="20"/>
                <w:szCs w:val="20"/>
                <w:lang w:val="en-AU"/>
              </w:rPr>
              <w:t>, and work with local people to plan and deliver initiatives to reduce injuries.</w:t>
            </w:r>
          </w:p>
        </w:tc>
      </w:tr>
      <w:tr w:rsidR="005F31AF" w:rsidRPr="00400300" w14:paraId="282BF180" w14:textId="77777777" w:rsidTr="00060F4E">
        <w:tc>
          <w:tcPr>
            <w:tcW w:w="1397" w:type="pct"/>
          </w:tcPr>
          <w:p w14:paraId="104612F0" w14:textId="77777777" w:rsidR="005F31AF" w:rsidRPr="00060F4E" w:rsidRDefault="005F31AF" w:rsidP="008462F1">
            <w:pPr>
              <w:keepNext/>
              <w:spacing w:before="0"/>
              <w:rPr>
                <w:rFonts w:cstheme="minorHAnsi"/>
                <w:b/>
                <w:color w:val="000000" w:themeColor="text1"/>
                <w:sz w:val="20"/>
                <w:szCs w:val="20"/>
                <w:lang w:val="en-AU"/>
              </w:rPr>
            </w:pPr>
            <w:r w:rsidRPr="00060F4E">
              <w:rPr>
                <w:rFonts w:cstheme="minorHAnsi"/>
                <w:b/>
                <w:sz w:val="20"/>
                <w:szCs w:val="20"/>
                <w:lang w:val="en-AU"/>
              </w:rPr>
              <w:t>Coordination</w:t>
            </w:r>
          </w:p>
        </w:tc>
        <w:tc>
          <w:tcPr>
            <w:tcW w:w="3603" w:type="pct"/>
          </w:tcPr>
          <w:p w14:paraId="6B514BD0" w14:textId="77777777" w:rsidR="005F31AF" w:rsidRPr="00060F4E" w:rsidRDefault="005F31AF" w:rsidP="007D5286">
            <w:pPr>
              <w:pStyle w:val="ListParagraph"/>
              <w:keepNext/>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eastAsia="zh-CN"/>
              </w:rPr>
              <w:t xml:space="preserve">Ensure efforts are coordinated between partner agencies, with clear lines of responsibility and </w:t>
            </w:r>
            <w:r w:rsidRPr="00060F4E">
              <w:rPr>
                <w:rFonts w:cstheme="minorHAnsi"/>
                <w:sz w:val="20"/>
                <w:szCs w:val="20"/>
                <w:lang w:val="en-AU"/>
              </w:rPr>
              <w:t>unified leadership.</w:t>
            </w:r>
          </w:p>
          <w:p w14:paraId="28D66778" w14:textId="77777777" w:rsidR="005F31AF" w:rsidRPr="00060F4E" w:rsidRDefault="005F31AF" w:rsidP="007D5286">
            <w:pPr>
              <w:pStyle w:val="ListParagraph"/>
              <w:keepNext/>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rPr>
              <w:t>Build clear and ongoing communication between all partners.</w:t>
            </w:r>
          </w:p>
          <w:p w14:paraId="444C38A4" w14:textId="330C888D" w:rsidR="005F31AF" w:rsidRPr="00060F4E" w:rsidRDefault="005F31AF" w:rsidP="007D5286">
            <w:pPr>
              <w:pStyle w:val="ListParagraph"/>
              <w:keepNext/>
              <w:numPr>
                <w:ilvl w:val="0"/>
                <w:numId w:val="3"/>
              </w:numPr>
              <w:tabs>
                <w:tab w:val="left" w:pos="1160"/>
              </w:tabs>
              <w:spacing w:before="0"/>
              <w:ind w:left="322" w:hanging="283"/>
              <w:rPr>
                <w:rFonts w:cstheme="minorHAnsi"/>
                <w:color w:val="000000" w:themeColor="text1"/>
                <w:sz w:val="20"/>
                <w:szCs w:val="20"/>
                <w:lang w:val="en-AU"/>
              </w:rPr>
            </w:pPr>
            <w:r w:rsidRPr="00060F4E">
              <w:rPr>
                <w:rFonts w:cstheme="minorHAnsi"/>
                <w:color w:val="000000" w:themeColor="text1"/>
                <w:sz w:val="20"/>
                <w:szCs w:val="20"/>
                <w:lang w:val="en-AU"/>
              </w:rPr>
              <w:t>Ensure actions complement relevant Australian strategies and plans</w:t>
            </w:r>
            <w:r w:rsidR="00284960">
              <w:rPr>
                <w:rFonts w:cstheme="minorHAnsi"/>
                <w:color w:val="000000" w:themeColor="text1"/>
                <w:sz w:val="20"/>
                <w:szCs w:val="20"/>
                <w:lang w:val="en-AU"/>
              </w:rPr>
              <w:t>.</w:t>
            </w:r>
          </w:p>
        </w:tc>
      </w:tr>
      <w:tr w:rsidR="005F31AF" w:rsidRPr="00400300" w14:paraId="7EB2D149" w14:textId="77777777" w:rsidTr="00060F4E">
        <w:tc>
          <w:tcPr>
            <w:tcW w:w="1397" w:type="pct"/>
          </w:tcPr>
          <w:p w14:paraId="7C357781" w14:textId="77777777" w:rsidR="005F31AF" w:rsidRPr="00060F4E" w:rsidRDefault="005F31AF" w:rsidP="008462F1">
            <w:pPr>
              <w:spacing w:before="0"/>
              <w:rPr>
                <w:rFonts w:cstheme="minorHAnsi"/>
                <w:b/>
                <w:color w:val="000000" w:themeColor="text1"/>
                <w:sz w:val="20"/>
                <w:szCs w:val="20"/>
                <w:lang w:val="en-AU"/>
              </w:rPr>
            </w:pPr>
            <w:r w:rsidRPr="00060F4E">
              <w:rPr>
                <w:rFonts w:cstheme="minorHAnsi"/>
                <w:b/>
                <w:color w:val="000000" w:themeColor="text1"/>
                <w:sz w:val="20"/>
                <w:szCs w:val="20"/>
                <w:lang w:val="en-AU"/>
              </w:rPr>
              <w:t>Resourcing</w:t>
            </w:r>
          </w:p>
        </w:tc>
        <w:tc>
          <w:tcPr>
            <w:tcW w:w="3603" w:type="pct"/>
          </w:tcPr>
          <w:p w14:paraId="2A369743" w14:textId="77777777" w:rsidR="005F31AF" w:rsidRPr="00060F4E" w:rsidRDefault="005F31AF" w:rsidP="007D5286">
            <w:pPr>
              <w:pStyle w:val="ListParagraph"/>
              <w:numPr>
                <w:ilvl w:val="0"/>
                <w:numId w:val="3"/>
              </w:numPr>
              <w:tabs>
                <w:tab w:val="left" w:pos="1160"/>
              </w:tabs>
              <w:spacing w:before="0"/>
              <w:ind w:left="322" w:hanging="283"/>
              <w:rPr>
                <w:rFonts w:cstheme="minorHAnsi"/>
                <w:sz w:val="20"/>
                <w:szCs w:val="20"/>
                <w:lang w:val="en-AU"/>
              </w:rPr>
            </w:pPr>
            <w:r w:rsidRPr="00060F4E">
              <w:rPr>
                <w:rFonts w:cstheme="minorHAnsi"/>
                <w:sz w:val="20"/>
                <w:szCs w:val="20"/>
                <w:lang w:val="en-AU"/>
              </w:rPr>
              <w:t>Target funding and action to reduce the burden of injury.</w:t>
            </w:r>
          </w:p>
          <w:p w14:paraId="0B55A183" w14:textId="77777777" w:rsidR="005F31AF" w:rsidRPr="00060F4E" w:rsidRDefault="005F31AF" w:rsidP="007D5286">
            <w:pPr>
              <w:pStyle w:val="ListParagraph"/>
              <w:numPr>
                <w:ilvl w:val="0"/>
                <w:numId w:val="3"/>
              </w:numPr>
              <w:tabs>
                <w:tab w:val="left" w:pos="1160"/>
              </w:tabs>
              <w:spacing w:before="0"/>
              <w:ind w:left="322" w:hanging="283"/>
              <w:rPr>
                <w:rFonts w:cstheme="minorHAnsi"/>
                <w:sz w:val="20"/>
                <w:szCs w:val="20"/>
                <w:lang w:val="en-AU"/>
              </w:rPr>
            </w:pPr>
            <w:r w:rsidRPr="00060F4E">
              <w:rPr>
                <w:rFonts w:cstheme="minorHAnsi"/>
                <w:sz w:val="20"/>
                <w:szCs w:val="20"/>
                <w:lang w:val="en-AU"/>
              </w:rPr>
              <w:t xml:space="preserve">Identify priority areas for action, which are achievable, acceptable and modifiable. </w:t>
            </w:r>
          </w:p>
        </w:tc>
      </w:tr>
      <w:tr w:rsidR="005F31AF" w:rsidRPr="00400300" w14:paraId="18F253A9" w14:textId="77777777" w:rsidTr="00060F4E">
        <w:tc>
          <w:tcPr>
            <w:tcW w:w="1397" w:type="pct"/>
          </w:tcPr>
          <w:p w14:paraId="2D13D748" w14:textId="77777777" w:rsidR="005F31AF" w:rsidRPr="00060F4E" w:rsidRDefault="005F31AF" w:rsidP="008462F1">
            <w:pPr>
              <w:spacing w:before="0"/>
              <w:rPr>
                <w:rFonts w:cstheme="minorHAnsi"/>
                <w:b/>
                <w:color w:val="000000" w:themeColor="text1"/>
                <w:sz w:val="20"/>
                <w:szCs w:val="20"/>
                <w:lang w:val="en-AU"/>
              </w:rPr>
            </w:pPr>
            <w:r w:rsidRPr="00060F4E">
              <w:rPr>
                <w:rFonts w:cstheme="minorHAnsi"/>
                <w:b/>
                <w:sz w:val="20"/>
                <w:szCs w:val="20"/>
                <w:lang w:val="en-AU"/>
              </w:rPr>
              <w:t>Responsibility</w:t>
            </w:r>
          </w:p>
        </w:tc>
        <w:tc>
          <w:tcPr>
            <w:tcW w:w="3603" w:type="pct"/>
          </w:tcPr>
          <w:p w14:paraId="6D369F13" w14:textId="230114DE" w:rsidR="005F31AF" w:rsidRPr="00060F4E" w:rsidRDefault="005F31AF" w:rsidP="007D5286">
            <w:pPr>
              <w:pStyle w:val="ListParagraph"/>
              <w:numPr>
                <w:ilvl w:val="0"/>
                <w:numId w:val="3"/>
              </w:numPr>
              <w:tabs>
                <w:tab w:val="left" w:pos="1160"/>
              </w:tabs>
              <w:spacing w:before="0"/>
              <w:ind w:left="322" w:hanging="283"/>
              <w:rPr>
                <w:rFonts w:cstheme="minorHAnsi"/>
                <w:sz w:val="20"/>
                <w:szCs w:val="20"/>
                <w:lang w:val="en-AU"/>
              </w:rPr>
            </w:pPr>
            <w:r w:rsidRPr="00060F4E">
              <w:rPr>
                <w:rFonts w:cstheme="minorHAnsi"/>
                <w:sz w:val="20"/>
                <w:szCs w:val="20"/>
                <w:lang w:val="en-AU"/>
              </w:rPr>
              <w:t xml:space="preserve">Ensure each lead agency remains accountable to that action. </w:t>
            </w:r>
          </w:p>
          <w:p w14:paraId="63818566" w14:textId="77777777" w:rsidR="005F31AF" w:rsidRPr="00060F4E" w:rsidRDefault="005F31AF" w:rsidP="007D5286">
            <w:pPr>
              <w:pStyle w:val="ListParagraph"/>
              <w:numPr>
                <w:ilvl w:val="0"/>
                <w:numId w:val="3"/>
              </w:numPr>
              <w:tabs>
                <w:tab w:val="left" w:pos="1160"/>
              </w:tabs>
              <w:spacing w:before="0"/>
              <w:ind w:left="322" w:hanging="283"/>
              <w:rPr>
                <w:rFonts w:cstheme="minorHAnsi"/>
                <w:sz w:val="20"/>
                <w:szCs w:val="20"/>
                <w:lang w:val="en-AU"/>
              </w:rPr>
            </w:pPr>
            <w:r w:rsidRPr="00060F4E">
              <w:rPr>
                <w:rFonts w:cstheme="minorHAnsi"/>
                <w:sz w:val="20"/>
                <w:szCs w:val="20"/>
                <w:lang w:val="en-AU"/>
              </w:rPr>
              <w:t xml:space="preserve">Adopt a clear communication plan with all partners and articulate deliverables. </w:t>
            </w:r>
          </w:p>
        </w:tc>
      </w:tr>
    </w:tbl>
    <w:p w14:paraId="4819B42D" w14:textId="40CE70F7" w:rsidR="00D91CC6" w:rsidRPr="00400300" w:rsidRDefault="00D91CC6">
      <w:pPr>
        <w:rPr>
          <w:lang w:val="en-AU"/>
        </w:rPr>
      </w:pPr>
    </w:p>
    <w:p w14:paraId="4A89E20F" w14:textId="77777777" w:rsidR="001B1972" w:rsidRPr="00400300" w:rsidRDefault="001B1972" w:rsidP="001B1972">
      <w:pPr>
        <w:rPr>
          <w:rFonts w:cstheme="minorHAnsi"/>
          <w:lang w:val="en-AU"/>
        </w:rPr>
      </w:pPr>
      <w:bookmarkStart w:id="110" w:name="_Toc32584889"/>
      <w:bookmarkEnd w:id="102"/>
    </w:p>
    <w:tbl>
      <w:tblPr>
        <w:tblStyle w:val="TableGrid"/>
        <w:tblW w:w="0" w:type="auto"/>
        <w:shd w:val="clear" w:color="auto" w:fill="E7E6E6" w:themeFill="background2"/>
        <w:tblLook w:val="04A0" w:firstRow="1" w:lastRow="0" w:firstColumn="1" w:lastColumn="0" w:noHBand="0" w:noVBand="1"/>
      </w:tblPr>
      <w:tblGrid>
        <w:gridCol w:w="8920"/>
      </w:tblGrid>
      <w:tr w:rsidR="001B1972" w:rsidRPr="00400300" w14:paraId="1DAE4C53" w14:textId="77777777" w:rsidTr="008462F1">
        <w:tc>
          <w:tcPr>
            <w:tcW w:w="8920" w:type="dxa"/>
            <w:shd w:val="clear" w:color="auto" w:fill="D0CECE" w:themeFill="background2" w:themeFillShade="E6"/>
          </w:tcPr>
          <w:p w14:paraId="2371229E" w14:textId="77777777" w:rsidR="001B1972" w:rsidRDefault="001B1972" w:rsidP="00701DBE">
            <w:pPr>
              <w:spacing w:before="0" w:line="276" w:lineRule="auto"/>
              <w:rPr>
                <w:rFonts w:cstheme="minorHAnsi"/>
                <w:lang w:val="en-AU"/>
              </w:rPr>
            </w:pPr>
            <w:r w:rsidRPr="00400300">
              <w:rPr>
                <w:rFonts w:cstheme="minorHAnsi"/>
                <w:b/>
                <w:lang w:val="en-AU"/>
              </w:rPr>
              <w:t xml:space="preserve">Case study: </w:t>
            </w:r>
            <w:r w:rsidRPr="00400300">
              <w:rPr>
                <w:rFonts w:cstheme="minorHAnsi"/>
                <w:lang w:val="en-AU"/>
              </w:rPr>
              <w:t>Royal Life Saving</w:t>
            </w:r>
          </w:p>
          <w:p w14:paraId="26B2352A" w14:textId="4649BAE0" w:rsidR="00701DBE" w:rsidRPr="00701DBE" w:rsidRDefault="00701DBE" w:rsidP="007D5286">
            <w:pPr>
              <w:pStyle w:val="ListParagraph"/>
              <w:numPr>
                <w:ilvl w:val="0"/>
                <w:numId w:val="51"/>
              </w:numPr>
              <w:spacing w:before="0" w:line="276" w:lineRule="auto"/>
              <w:rPr>
                <w:rFonts w:cstheme="minorHAnsi"/>
                <w:b/>
                <w:lang w:val="en-AU"/>
              </w:rPr>
            </w:pPr>
            <w:r w:rsidRPr="00701DBE">
              <w:rPr>
                <w:rFonts w:cstheme="minorHAnsi"/>
              </w:rPr>
              <w:t>To provide an example of an NGO that coordinates well at a national level.</w:t>
            </w:r>
          </w:p>
        </w:tc>
      </w:tr>
    </w:tbl>
    <w:p w14:paraId="42B2CB3E" w14:textId="77777777" w:rsidR="001B1972" w:rsidRPr="00400300" w:rsidRDefault="001B1972" w:rsidP="001B1972">
      <w:pPr>
        <w:rPr>
          <w:lang w:val="en-AU"/>
        </w:rPr>
      </w:pPr>
    </w:p>
    <w:tbl>
      <w:tblPr>
        <w:tblStyle w:val="TableGrid"/>
        <w:tblW w:w="0" w:type="auto"/>
        <w:tblLook w:val="04A0" w:firstRow="1" w:lastRow="0" w:firstColumn="1" w:lastColumn="0" w:noHBand="0" w:noVBand="1"/>
      </w:tblPr>
      <w:tblGrid>
        <w:gridCol w:w="8920"/>
      </w:tblGrid>
      <w:tr w:rsidR="001B1972" w:rsidRPr="00400300" w14:paraId="0E67FC57" w14:textId="77777777" w:rsidTr="008462F1">
        <w:tc>
          <w:tcPr>
            <w:tcW w:w="8920" w:type="dxa"/>
            <w:shd w:val="clear" w:color="auto" w:fill="D0CECE" w:themeFill="background2" w:themeFillShade="E6"/>
          </w:tcPr>
          <w:p w14:paraId="2D1877C4" w14:textId="77777777" w:rsidR="001B1972" w:rsidRDefault="001B1972" w:rsidP="00701DBE">
            <w:pPr>
              <w:spacing w:before="0" w:line="276" w:lineRule="auto"/>
              <w:rPr>
                <w:rFonts w:cstheme="minorHAnsi"/>
                <w:lang w:val="en-AU"/>
              </w:rPr>
            </w:pPr>
            <w:r w:rsidRPr="00400300">
              <w:rPr>
                <w:rFonts w:cstheme="minorHAnsi"/>
                <w:b/>
                <w:lang w:val="en-AU"/>
              </w:rPr>
              <w:t xml:space="preserve">Case Study: </w:t>
            </w:r>
            <w:r w:rsidRPr="00400300">
              <w:rPr>
                <w:rFonts w:cstheme="minorHAnsi"/>
                <w:lang w:val="en-AU"/>
              </w:rPr>
              <w:t>QLD coordination for injury prevention</w:t>
            </w:r>
          </w:p>
          <w:p w14:paraId="602BE11D" w14:textId="341E63C7" w:rsidR="00701DBE" w:rsidRPr="00701DBE" w:rsidRDefault="00701DBE" w:rsidP="007D5286">
            <w:pPr>
              <w:pStyle w:val="ListParagraph"/>
              <w:numPr>
                <w:ilvl w:val="0"/>
                <w:numId w:val="51"/>
              </w:numPr>
              <w:spacing w:before="0" w:line="276" w:lineRule="auto"/>
              <w:rPr>
                <w:rFonts w:cstheme="minorHAnsi"/>
                <w:b/>
                <w:lang w:val="en-AU"/>
              </w:rPr>
            </w:pPr>
            <w:r w:rsidRPr="00701DBE">
              <w:rPr>
                <w:rFonts w:cstheme="minorHAnsi"/>
              </w:rPr>
              <w:t>To provide an example of independent leadership and collaboration between injury prevention stakeholders within one jurisdiction</w:t>
            </w:r>
          </w:p>
        </w:tc>
      </w:tr>
    </w:tbl>
    <w:p w14:paraId="4648512C" w14:textId="77777777" w:rsidR="001B1972" w:rsidRPr="00400300" w:rsidRDefault="001B1972" w:rsidP="001B1972">
      <w:pPr>
        <w:rPr>
          <w:lang w:val="en-AU"/>
        </w:rPr>
      </w:pPr>
    </w:p>
    <w:tbl>
      <w:tblPr>
        <w:tblStyle w:val="TableGrid"/>
        <w:tblW w:w="0" w:type="auto"/>
        <w:tblLook w:val="04A0" w:firstRow="1" w:lastRow="0" w:firstColumn="1" w:lastColumn="0" w:noHBand="0" w:noVBand="1"/>
      </w:tblPr>
      <w:tblGrid>
        <w:gridCol w:w="8920"/>
      </w:tblGrid>
      <w:tr w:rsidR="001B1972" w:rsidRPr="00400300" w14:paraId="57EA1B8D" w14:textId="77777777" w:rsidTr="008462F1">
        <w:tc>
          <w:tcPr>
            <w:tcW w:w="8920" w:type="dxa"/>
            <w:shd w:val="clear" w:color="auto" w:fill="D0CECE" w:themeFill="background2" w:themeFillShade="E6"/>
          </w:tcPr>
          <w:p w14:paraId="4CF84196" w14:textId="77777777" w:rsidR="001B1972" w:rsidRDefault="001B1972" w:rsidP="00701DBE">
            <w:pPr>
              <w:spacing w:before="0" w:line="276" w:lineRule="auto"/>
              <w:rPr>
                <w:rFonts w:cstheme="minorHAnsi"/>
                <w:color w:val="000000" w:themeColor="text1"/>
                <w:lang w:val="en-AU"/>
              </w:rPr>
            </w:pPr>
            <w:r w:rsidRPr="00400300">
              <w:rPr>
                <w:rFonts w:cstheme="minorHAnsi"/>
                <w:b/>
                <w:color w:val="000000" w:themeColor="text1"/>
                <w:lang w:val="en-AU"/>
              </w:rPr>
              <w:t>Case study:</w:t>
            </w:r>
            <w:r w:rsidR="00701DBE">
              <w:rPr>
                <w:rFonts w:cstheme="minorHAnsi"/>
                <w:b/>
                <w:color w:val="000000" w:themeColor="text1"/>
                <w:lang w:val="en-AU"/>
              </w:rPr>
              <w:t xml:space="preserve"> </w:t>
            </w:r>
            <w:r w:rsidR="00701DBE" w:rsidRPr="00701DBE">
              <w:rPr>
                <w:rFonts w:cstheme="minorHAnsi"/>
                <w:color w:val="000000" w:themeColor="text1"/>
                <w:lang w:val="en-AU"/>
              </w:rPr>
              <w:t>State based</w:t>
            </w:r>
            <w:r w:rsidRPr="00400300">
              <w:rPr>
                <w:rFonts w:cstheme="minorHAnsi"/>
                <w:color w:val="000000" w:themeColor="text1"/>
                <w:lang w:val="en-AU"/>
              </w:rPr>
              <w:t xml:space="preserve"> Health Department</w:t>
            </w:r>
          </w:p>
          <w:p w14:paraId="5F5EEE55" w14:textId="6AF90363" w:rsidR="00701DBE" w:rsidRPr="00701DBE" w:rsidRDefault="00701DBE" w:rsidP="007D5286">
            <w:pPr>
              <w:pStyle w:val="ListParagraph"/>
              <w:numPr>
                <w:ilvl w:val="0"/>
                <w:numId w:val="51"/>
              </w:numPr>
              <w:spacing w:before="0" w:line="276" w:lineRule="auto"/>
              <w:rPr>
                <w:rFonts w:cstheme="minorHAnsi"/>
                <w:color w:val="000000" w:themeColor="text1"/>
                <w:lang w:val="en-AU"/>
              </w:rPr>
            </w:pPr>
            <w:r w:rsidRPr="00701DBE">
              <w:rPr>
                <w:rFonts w:cstheme="minorHAnsi"/>
              </w:rPr>
              <w:t>To provide an example of a state government Health department working with key injury stakeholders and the positive impacts of resourcing injury prevention</w:t>
            </w:r>
          </w:p>
        </w:tc>
      </w:tr>
    </w:tbl>
    <w:p w14:paraId="496F6506" w14:textId="77777777" w:rsidR="00D91CC6" w:rsidRPr="00400300" w:rsidRDefault="00D91CC6" w:rsidP="00D91CC6">
      <w:pPr>
        <w:rPr>
          <w:lang w:val="en-AU"/>
        </w:rPr>
      </w:pPr>
    </w:p>
    <w:p w14:paraId="4DE733BD" w14:textId="4F6189C0" w:rsidR="00A67BEE" w:rsidRPr="00400300" w:rsidRDefault="00A67BEE">
      <w:pPr>
        <w:spacing w:before="0" w:after="160" w:line="259" w:lineRule="auto"/>
        <w:rPr>
          <w:lang w:val="en-AU"/>
        </w:rPr>
      </w:pPr>
      <w:bookmarkStart w:id="111" w:name="_Hlk33607893"/>
      <w:bookmarkStart w:id="112" w:name="_Toc29473003"/>
      <w:bookmarkStart w:id="113" w:name="_Toc30077735"/>
      <w:bookmarkStart w:id="114" w:name="_Toc31128312"/>
      <w:bookmarkStart w:id="115" w:name="_Toc32584890"/>
      <w:bookmarkEnd w:id="109"/>
      <w:bookmarkEnd w:id="110"/>
      <w:r w:rsidRPr="00400300">
        <w:rPr>
          <w:lang w:val="en-AU"/>
        </w:rPr>
        <w:br w:type="page"/>
      </w:r>
    </w:p>
    <w:p w14:paraId="444B6E9D" w14:textId="77777777" w:rsidR="00C82BFF" w:rsidRPr="00400300" w:rsidRDefault="00C82BFF" w:rsidP="00C82BFF">
      <w:pPr>
        <w:pStyle w:val="Heading1"/>
        <w:rPr>
          <w:lang w:val="en-AU"/>
        </w:rPr>
      </w:pPr>
      <w:bookmarkStart w:id="116" w:name="_Toc34225082"/>
      <w:bookmarkStart w:id="117" w:name="_Toc35858568"/>
      <w:bookmarkStart w:id="118" w:name="_Toc35858569"/>
      <w:bookmarkStart w:id="119" w:name="_Toc35858570"/>
      <w:bookmarkStart w:id="120" w:name="_Toc35858571"/>
      <w:bookmarkStart w:id="121" w:name="_Toc35858572"/>
      <w:bookmarkStart w:id="122" w:name="_Toc35858573"/>
      <w:bookmarkStart w:id="123" w:name="_Toc35858574"/>
      <w:bookmarkStart w:id="124" w:name="_Toc35858575"/>
      <w:bookmarkStart w:id="125" w:name="_Toc35858576"/>
      <w:bookmarkStart w:id="126" w:name="_Toc35858577"/>
      <w:bookmarkStart w:id="127" w:name="_Toc35858645"/>
      <w:bookmarkStart w:id="128" w:name="_Toc35858646"/>
      <w:bookmarkStart w:id="129" w:name="_Toc35858647"/>
      <w:bookmarkStart w:id="130" w:name="_Toc35858648"/>
      <w:bookmarkStart w:id="131" w:name="_Toc35858649"/>
      <w:bookmarkStart w:id="132" w:name="_Toc35858650"/>
      <w:bookmarkStart w:id="133" w:name="_Toc35858651"/>
      <w:bookmarkStart w:id="134" w:name="_Toc35858652"/>
      <w:bookmarkStart w:id="135" w:name="_Toc35858653"/>
      <w:bookmarkStart w:id="136" w:name="_Toc35858654"/>
      <w:bookmarkStart w:id="137" w:name="_Toc35858655"/>
      <w:bookmarkStart w:id="138" w:name="_Toc35858657"/>
      <w:bookmarkStart w:id="139" w:name="_Toc35858658"/>
      <w:bookmarkStart w:id="140" w:name="_Toc35858659"/>
      <w:bookmarkStart w:id="141" w:name="_Toc35858665"/>
      <w:bookmarkStart w:id="142" w:name="_Toc35858807"/>
      <w:bookmarkStart w:id="143" w:name="_Toc35858808"/>
      <w:bookmarkStart w:id="144" w:name="_Toc35858809"/>
      <w:bookmarkStart w:id="145" w:name="_Toc35858810"/>
      <w:bookmarkStart w:id="146" w:name="_Toc35858832"/>
      <w:bookmarkStart w:id="147" w:name="_Toc35858833"/>
      <w:bookmarkStart w:id="148" w:name="_Toc35858834"/>
      <w:bookmarkStart w:id="149" w:name="_Toc35858835"/>
      <w:bookmarkStart w:id="150" w:name="_Toc35858836"/>
      <w:bookmarkStart w:id="151" w:name="_Toc35858859"/>
      <w:bookmarkStart w:id="152" w:name="_Toc35858863"/>
      <w:bookmarkStart w:id="153" w:name="_Toc35858864"/>
      <w:bookmarkStart w:id="154" w:name="_Toc35858865"/>
      <w:bookmarkStart w:id="155" w:name="_Toc35858866"/>
      <w:bookmarkStart w:id="156" w:name="_Toc35858867"/>
      <w:bookmarkStart w:id="157" w:name="_Toc35858868"/>
      <w:bookmarkStart w:id="158" w:name="_Toc35858869"/>
      <w:bookmarkStart w:id="159" w:name="_Toc35858870"/>
      <w:bookmarkStart w:id="160" w:name="_Toc35858873"/>
      <w:bookmarkStart w:id="161" w:name="_Toc35858874"/>
      <w:bookmarkStart w:id="162" w:name="_Toc35858875"/>
      <w:bookmarkStart w:id="163" w:name="_Toc35858876"/>
      <w:bookmarkStart w:id="164" w:name="_Toc35858877"/>
      <w:bookmarkStart w:id="165" w:name="_Toc35858878"/>
      <w:bookmarkStart w:id="166" w:name="_Toc35858915"/>
      <w:bookmarkStart w:id="167" w:name="_Toc35858916"/>
      <w:bookmarkStart w:id="168" w:name="_Toc35858917"/>
      <w:bookmarkStart w:id="169" w:name="_Toc35858918"/>
      <w:bookmarkStart w:id="170" w:name="_Toc35858919"/>
      <w:bookmarkStart w:id="171" w:name="_Toc35858920"/>
      <w:bookmarkStart w:id="172" w:name="_Toc35858921"/>
      <w:bookmarkStart w:id="173" w:name="_Toc35858922"/>
      <w:bookmarkStart w:id="174" w:name="_Toc35858936"/>
      <w:bookmarkStart w:id="175" w:name="_Toc35858943"/>
      <w:bookmarkStart w:id="176" w:name="_Toc35858950"/>
      <w:bookmarkStart w:id="177" w:name="_Toc35858957"/>
      <w:bookmarkStart w:id="178" w:name="_Toc35858964"/>
      <w:bookmarkStart w:id="179" w:name="_Toc35858972"/>
      <w:bookmarkStart w:id="180" w:name="_Toc35858979"/>
      <w:bookmarkStart w:id="181" w:name="_Toc35858986"/>
      <w:bookmarkStart w:id="182" w:name="_Toc35858987"/>
      <w:bookmarkStart w:id="183" w:name="_Toc35858990"/>
      <w:bookmarkStart w:id="184" w:name="_Toc38021091"/>
      <w:bookmarkStart w:id="185" w:name="_Hlk2230944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400300">
        <w:rPr>
          <w:lang w:val="en-AU"/>
        </w:rPr>
        <w:t>Priority populations</w:t>
      </w:r>
      <w:bookmarkEnd w:id="184"/>
      <w:r w:rsidRPr="00400300">
        <w:rPr>
          <w:lang w:val="en-AU"/>
        </w:rPr>
        <w:t xml:space="preserve"> </w:t>
      </w:r>
    </w:p>
    <w:p w14:paraId="47C9027B" w14:textId="1293FD2D" w:rsidR="00A32395" w:rsidRDefault="00212D77" w:rsidP="00516245">
      <w:pPr>
        <w:spacing w:before="120"/>
        <w:rPr>
          <w:szCs w:val="22"/>
          <w:lang w:val="en-AU"/>
        </w:rPr>
      </w:pPr>
      <w:r w:rsidRPr="00212D77">
        <w:rPr>
          <w:szCs w:val="22"/>
          <w:lang w:val="en-AU"/>
        </w:rPr>
        <w:t xml:space="preserve">Injuries disproportionately affect </w:t>
      </w:r>
      <w:r w:rsidR="00C30AD1" w:rsidRPr="00212D77">
        <w:rPr>
          <w:szCs w:val="22"/>
          <w:lang w:val="en-AU"/>
        </w:rPr>
        <w:t>population</w:t>
      </w:r>
      <w:r w:rsidRPr="00212D77">
        <w:rPr>
          <w:szCs w:val="22"/>
          <w:lang w:val="en-AU"/>
        </w:rPr>
        <w:t xml:space="preserve"> groups</w:t>
      </w:r>
      <w:r w:rsidR="00A713F8">
        <w:rPr>
          <w:szCs w:val="22"/>
          <w:lang w:val="en-AU"/>
        </w:rPr>
        <w:t xml:space="preserve">. </w:t>
      </w:r>
      <w:r w:rsidR="00A32395">
        <w:rPr>
          <w:szCs w:val="22"/>
          <w:lang w:val="en-AU"/>
        </w:rPr>
        <w:t>A</w:t>
      </w:r>
      <w:r w:rsidRPr="00212D77">
        <w:rPr>
          <w:szCs w:val="22"/>
          <w:lang w:val="en-AU"/>
        </w:rPr>
        <w:t>s such</w:t>
      </w:r>
      <w:r w:rsidR="00074E4F">
        <w:rPr>
          <w:szCs w:val="22"/>
          <w:lang w:val="en-AU"/>
        </w:rPr>
        <w:t>,</w:t>
      </w:r>
      <w:r w:rsidRPr="00212D77">
        <w:rPr>
          <w:szCs w:val="22"/>
          <w:lang w:val="en-AU"/>
        </w:rPr>
        <w:t xml:space="preserve"> injury prevention priorities and actions should recogni</w:t>
      </w:r>
      <w:r w:rsidR="00074E4F">
        <w:rPr>
          <w:szCs w:val="22"/>
          <w:lang w:val="en-AU"/>
        </w:rPr>
        <w:t>s</w:t>
      </w:r>
      <w:r w:rsidRPr="00212D77">
        <w:rPr>
          <w:szCs w:val="22"/>
          <w:lang w:val="en-AU"/>
        </w:rPr>
        <w:t>e those inequities and</w:t>
      </w:r>
      <w:r w:rsidR="00074E4F">
        <w:rPr>
          <w:szCs w:val="22"/>
          <w:lang w:val="en-AU"/>
        </w:rPr>
        <w:t>,</w:t>
      </w:r>
      <w:r w:rsidRPr="00212D77">
        <w:rPr>
          <w:szCs w:val="22"/>
          <w:lang w:val="en-AU"/>
        </w:rPr>
        <w:t xml:space="preserve"> where possible</w:t>
      </w:r>
      <w:r w:rsidR="00074E4F">
        <w:rPr>
          <w:szCs w:val="22"/>
          <w:lang w:val="en-AU"/>
        </w:rPr>
        <w:t xml:space="preserve">, </w:t>
      </w:r>
      <w:r w:rsidRPr="00212D77">
        <w:rPr>
          <w:szCs w:val="22"/>
          <w:lang w:val="en-AU"/>
        </w:rPr>
        <w:t>address the underlying social and cultural</w:t>
      </w:r>
      <w:r w:rsidR="00A32395">
        <w:rPr>
          <w:szCs w:val="22"/>
          <w:lang w:val="en-AU"/>
        </w:rPr>
        <w:t xml:space="preserve"> determinants</w:t>
      </w:r>
      <w:r>
        <w:rPr>
          <w:szCs w:val="22"/>
          <w:lang w:val="en-AU"/>
        </w:rPr>
        <w:t xml:space="preserve">. </w:t>
      </w:r>
    </w:p>
    <w:p w14:paraId="3F28C024" w14:textId="1D830E51" w:rsidR="00C82BFF" w:rsidRPr="00400300" w:rsidRDefault="00C82BFF" w:rsidP="00516245">
      <w:pPr>
        <w:spacing w:before="120"/>
        <w:rPr>
          <w:rFonts w:cstheme="minorHAnsi"/>
          <w:lang w:val="en-AU"/>
        </w:rPr>
      </w:pPr>
      <w:r w:rsidRPr="00400300">
        <w:rPr>
          <w:rFonts w:cstheme="minorHAnsi"/>
          <w:lang w:val="en-AU"/>
        </w:rPr>
        <w:t xml:space="preserve">The Strategy identifies priority populations, </w:t>
      </w:r>
      <w:r w:rsidR="00071BF4">
        <w:rPr>
          <w:rFonts w:cstheme="minorHAnsi"/>
          <w:lang w:val="en-AU"/>
        </w:rPr>
        <w:t>for which there is</w:t>
      </w:r>
      <w:r w:rsidRPr="00400300">
        <w:rPr>
          <w:rFonts w:cstheme="minorHAnsi"/>
          <w:lang w:val="en-AU"/>
        </w:rPr>
        <w:t xml:space="preserve"> growing evidence of inequities which result in their overrepresentation among fatal and serious injuries:</w:t>
      </w:r>
    </w:p>
    <w:p w14:paraId="196007FC" w14:textId="77777777" w:rsidR="00C82BFF" w:rsidRPr="00400300" w:rsidRDefault="00C82BFF" w:rsidP="00516245">
      <w:pPr>
        <w:pStyle w:val="ListParagraph"/>
        <w:numPr>
          <w:ilvl w:val="0"/>
          <w:numId w:val="15"/>
        </w:numPr>
        <w:spacing w:before="120"/>
        <w:contextualSpacing w:val="0"/>
        <w:rPr>
          <w:rFonts w:cstheme="minorHAnsi"/>
          <w:b/>
          <w:lang w:val="en-AU"/>
        </w:rPr>
      </w:pPr>
      <w:r w:rsidRPr="00400300">
        <w:rPr>
          <w:rFonts w:cstheme="minorHAnsi"/>
          <w:b/>
          <w:lang w:val="en-AU"/>
        </w:rPr>
        <w:t>Aboriginal and Torres Strait Islander people</w:t>
      </w:r>
    </w:p>
    <w:p w14:paraId="141F1F66" w14:textId="77777777" w:rsidR="00C82BFF" w:rsidRPr="00400300" w:rsidRDefault="00C82BFF" w:rsidP="00516245">
      <w:pPr>
        <w:pStyle w:val="ListParagraph"/>
        <w:numPr>
          <w:ilvl w:val="0"/>
          <w:numId w:val="15"/>
        </w:numPr>
        <w:spacing w:before="120"/>
        <w:contextualSpacing w:val="0"/>
        <w:rPr>
          <w:rFonts w:cstheme="minorHAnsi"/>
          <w:b/>
          <w:lang w:val="en-AU"/>
        </w:rPr>
      </w:pPr>
      <w:r w:rsidRPr="00400300">
        <w:rPr>
          <w:rFonts w:cstheme="minorHAnsi"/>
          <w:b/>
          <w:lang w:val="en-AU"/>
        </w:rPr>
        <w:t>People living in rural and remote areas</w:t>
      </w:r>
    </w:p>
    <w:p w14:paraId="09043F29" w14:textId="77777777" w:rsidR="00C82BFF" w:rsidRPr="00400300" w:rsidRDefault="00C82BFF" w:rsidP="00516245">
      <w:pPr>
        <w:pStyle w:val="ListParagraph"/>
        <w:numPr>
          <w:ilvl w:val="0"/>
          <w:numId w:val="15"/>
        </w:numPr>
        <w:spacing w:before="120"/>
        <w:contextualSpacing w:val="0"/>
        <w:rPr>
          <w:rFonts w:cstheme="minorHAnsi"/>
          <w:lang w:val="en-AU"/>
        </w:rPr>
      </w:pPr>
      <w:r w:rsidRPr="00400300">
        <w:rPr>
          <w:rFonts w:cstheme="minorHAnsi"/>
          <w:b/>
          <w:lang w:val="en-AU"/>
        </w:rPr>
        <w:t>People experiencing socio-economic disadvantage</w:t>
      </w:r>
    </w:p>
    <w:p w14:paraId="7429C533" w14:textId="77777777" w:rsidR="00C82BFF" w:rsidRDefault="00C82BFF" w:rsidP="00516245">
      <w:pPr>
        <w:spacing w:before="120"/>
        <w:rPr>
          <w:color w:val="000000" w:themeColor="text1"/>
          <w:lang w:val="en-AU"/>
        </w:rPr>
      </w:pPr>
      <w:r w:rsidRPr="00400300">
        <w:rPr>
          <w:lang w:val="en-AU"/>
        </w:rPr>
        <w:t>Policy makers and community planners are encouraged to provide</w:t>
      </w:r>
      <w:r>
        <w:rPr>
          <w:lang w:val="en-AU"/>
        </w:rPr>
        <w:t xml:space="preserve"> </w:t>
      </w:r>
      <w:bookmarkStart w:id="186" w:name="_Hlk35517162"/>
      <w:r>
        <w:rPr>
          <w:lang w:val="en-AU"/>
        </w:rPr>
        <w:t>individuals who experience the</w:t>
      </w:r>
      <w:r w:rsidRPr="00400300">
        <w:rPr>
          <w:lang w:val="en-AU"/>
        </w:rPr>
        <w:t xml:space="preserve"> most disadvantage</w:t>
      </w:r>
      <w:bookmarkEnd w:id="186"/>
      <w:r w:rsidRPr="00400300">
        <w:rPr>
          <w:lang w:val="en-AU"/>
        </w:rPr>
        <w:t xml:space="preserve"> with </w:t>
      </w:r>
      <w:r>
        <w:rPr>
          <w:lang w:val="en-AU"/>
        </w:rPr>
        <w:t xml:space="preserve">equitable </w:t>
      </w:r>
      <w:r w:rsidRPr="00400300">
        <w:rPr>
          <w:lang w:val="en-AU"/>
        </w:rPr>
        <w:t xml:space="preserve">opportunities for education, employment, income, and affordable housing. Reducing socio-economic inequities will reduce unfair and unequal distribution of injuries in society. </w:t>
      </w:r>
      <w:r w:rsidRPr="00400300">
        <w:rPr>
          <w:color w:val="000000" w:themeColor="text1"/>
          <w:lang w:val="en-AU"/>
        </w:rPr>
        <w:t xml:space="preserve">Policy makers and community planners should also be mindful that broad population initiatives </w:t>
      </w:r>
      <w:r>
        <w:rPr>
          <w:color w:val="000000" w:themeColor="text1"/>
          <w:lang w:val="en-AU"/>
        </w:rPr>
        <w:t>prioritise</w:t>
      </w:r>
      <w:r w:rsidRPr="00400300">
        <w:rPr>
          <w:color w:val="000000" w:themeColor="text1"/>
          <w:lang w:val="en-AU"/>
        </w:rPr>
        <w:t xml:space="preserve"> key population groups, such as Aboriginal and Torres Strait Islander people, through meaningful engagement</w:t>
      </w:r>
      <w:r>
        <w:rPr>
          <w:color w:val="000000" w:themeColor="text1"/>
          <w:lang w:val="en-AU"/>
        </w:rPr>
        <w:t xml:space="preserve"> and partnerships</w:t>
      </w:r>
      <w:r w:rsidRPr="00400300">
        <w:rPr>
          <w:color w:val="000000" w:themeColor="text1"/>
          <w:lang w:val="en-AU"/>
        </w:rPr>
        <w:t xml:space="preserve"> and by ensuring equitable access to </w:t>
      </w:r>
      <w:r>
        <w:rPr>
          <w:color w:val="000000" w:themeColor="text1"/>
          <w:lang w:val="en-AU"/>
        </w:rPr>
        <w:t xml:space="preserve">culturally appropriate </w:t>
      </w:r>
      <w:r w:rsidRPr="00400300">
        <w:rPr>
          <w:color w:val="000000" w:themeColor="text1"/>
          <w:lang w:val="en-AU"/>
        </w:rPr>
        <w:t>programs.</w:t>
      </w:r>
    </w:p>
    <w:p w14:paraId="017F2840" w14:textId="36A91D99" w:rsidR="00C82BFF" w:rsidRDefault="00C82BFF" w:rsidP="00516245">
      <w:pPr>
        <w:spacing w:before="120"/>
        <w:rPr>
          <w:color w:val="000000" w:themeColor="text1"/>
          <w:lang w:val="en-AU"/>
        </w:rPr>
      </w:pPr>
      <w:r>
        <w:rPr>
          <w:lang w:val="en-AU" w:eastAsia="en-US"/>
        </w:rPr>
        <w:t xml:space="preserve">The intersectionality of injury experienced by people in the </w:t>
      </w:r>
      <w:r w:rsidR="00967D8B">
        <w:rPr>
          <w:lang w:val="en-AU" w:eastAsia="en-US"/>
        </w:rPr>
        <w:t xml:space="preserve">priority </w:t>
      </w:r>
      <w:r>
        <w:rPr>
          <w:lang w:val="en-AU" w:eastAsia="en-US"/>
        </w:rPr>
        <w:t>populations must be considered. This means that there is considerable overlap across the priority population groups</w:t>
      </w:r>
      <w:r w:rsidR="00A713F8">
        <w:rPr>
          <w:lang w:val="en-AU" w:eastAsia="en-US"/>
        </w:rPr>
        <w:t>. F</w:t>
      </w:r>
      <w:r>
        <w:rPr>
          <w:lang w:val="en-AU" w:eastAsia="en-US"/>
        </w:rPr>
        <w:t xml:space="preserve">or example, Aboriginal and Torres </w:t>
      </w:r>
      <w:r w:rsidR="00FC1BF8">
        <w:rPr>
          <w:lang w:val="en-AU" w:eastAsia="en-US"/>
        </w:rPr>
        <w:t>Strait Islander people are over</w:t>
      </w:r>
      <w:r>
        <w:rPr>
          <w:lang w:val="en-AU" w:eastAsia="en-US"/>
        </w:rPr>
        <w:t xml:space="preserve">represented in both rural and remote populations and among people experiencing socio-economic disadvantage. Priorities and actions, therefore, will often cut across all groups. </w:t>
      </w:r>
    </w:p>
    <w:p w14:paraId="24D5CFAE" w14:textId="77777777" w:rsidR="00C82BFF" w:rsidRPr="003A2F9A" w:rsidRDefault="00C82BFF" w:rsidP="00C82BFF">
      <w:pPr>
        <w:pStyle w:val="Heading2"/>
        <w:rPr>
          <w:lang w:val="en-AU"/>
        </w:rPr>
      </w:pPr>
      <w:bookmarkStart w:id="187" w:name="_Toc38021092"/>
      <w:r w:rsidRPr="00515C7E">
        <w:rPr>
          <w:lang w:val="en-AU"/>
        </w:rPr>
        <w:t>Aboriginal and Torres Strait Islander people</w:t>
      </w:r>
      <w:bookmarkEnd w:id="187"/>
      <w:r w:rsidRPr="003A2F9A">
        <w:rPr>
          <w:lang w:val="en-AU"/>
        </w:rPr>
        <w:t xml:space="preserve"> </w:t>
      </w:r>
    </w:p>
    <w:p w14:paraId="71D33756" w14:textId="77777777" w:rsidR="00C82BFF" w:rsidRDefault="00C82BFF" w:rsidP="00C82BFF">
      <w:pPr>
        <w:pStyle w:val="Heading3"/>
        <w:rPr>
          <w:lang w:val="en-AU" w:eastAsia="en-US"/>
        </w:rPr>
      </w:pPr>
      <w:r>
        <w:rPr>
          <w:lang w:val="en-AU" w:eastAsia="en-US"/>
        </w:rPr>
        <w:t>Understanding context</w:t>
      </w:r>
    </w:p>
    <w:p w14:paraId="4EFECFD5" w14:textId="3997B2CD" w:rsidR="00C82BFF" w:rsidRDefault="00C82BFF" w:rsidP="00516245">
      <w:pPr>
        <w:spacing w:before="120"/>
        <w:rPr>
          <w:lang w:val="en-AU" w:eastAsia="en-US"/>
        </w:rPr>
      </w:pPr>
      <w:r>
        <w:rPr>
          <w:lang w:val="en-AU" w:eastAsia="en-US"/>
        </w:rPr>
        <w:t>Aboriginal and Torres Strait Islander peoples are the oldest living cultures globally. For this survival to occur, community, spiritual and cultural strengths and connectedness continue.  These include and incorporate</w:t>
      </w:r>
      <w:r>
        <w:t xml:space="preserve"> aspirations, personal wellness, positive self-image, self-efficacy, non-familial connectedness, family connectedness, positive opportunities, positive social norms and cultural connectedness.</w:t>
      </w:r>
      <w:r>
        <w:fldChar w:fldCharType="begin"/>
      </w:r>
      <w:r w:rsidR="007D2F13">
        <w:instrText xml:space="preserve"> ADDIN EN.CITE &lt;EndNote&gt;&lt;Cite&gt;&lt;Author&gt;Fogarty&lt;/Author&gt;&lt;Year&gt;2018&lt;/Year&gt;&lt;RecNum&gt;109&lt;/RecNum&gt;&lt;DisplayText&gt;&lt;style face="superscript"&gt;15&lt;/style&gt;&lt;/DisplayText&gt;&lt;record&gt;&lt;rec-number&gt;109&lt;/rec-number&gt;&lt;foreign-keys&gt;&lt;key app="EN" db-id="2wsw9x5wvsspa1evwxlvvergx9epfd50fs2a" timestamp="1584676017"&gt;109&lt;/key&gt;&lt;/foreign-keys&gt;&lt;ref-type name="Report"&gt;27&lt;/ref-type&gt;&lt;contributors&gt;&lt;authors&gt;&lt;author&gt;Fogarty, W., &lt;/author&gt;&lt;author&gt;Lovell, M., &lt;/author&gt;&lt;author&gt;Langenberg, J. &lt;/author&gt;&lt;author&gt;Heron, M-J.&lt;/author&gt;&lt;/authors&gt;&lt;/contributors&gt;&lt;titles&gt;&lt;title&gt;Deficit Discourse and Strengths-based Approaches: Changing the Narrative of Aboriginal and Torres Strait Islander Health and Wellbeing&amp;#xD;&lt;/title&gt;&lt;/titles&gt;&lt;dates&gt;&lt;year&gt;2018&lt;/year&gt;&lt;/dates&gt;&lt;pub-location&gt;Melbourne&lt;/pub-location&gt;&lt;publisher&gt;The Lowitja Institute&lt;/publisher&gt;&lt;urls&gt;&lt;/urls&gt;&lt;/record&gt;&lt;/Cite&gt;&lt;/EndNote&gt;</w:instrText>
      </w:r>
      <w:r>
        <w:fldChar w:fldCharType="separate"/>
      </w:r>
      <w:r w:rsidR="007D2F13" w:rsidRPr="007D2F13">
        <w:rPr>
          <w:noProof/>
          <w:vertAlign w:val="superscript"/>
        </w:rPr>
        <w:t>15</w:t>
      </w:r>
      <w:r>
        <w:fldChar w:fldCharType="end"/>
      </w:r>
      <w:r>
        <w:t xml:space="preserve"> </w:t>
      </w:r>
    </w:p>
    <w:p w14:paraId="2078064F" w14:textId="33C595AD" w:rsidR="00C82BFF" w:rsidRDefault="00C82BFF" w:rsidP="00516245">
      <w:pPr>
        <w:spacing w:before="120"/>
        <w:rPr>
          <w:lang w:val="en-AU" w:eastAsia="en-US"/>
        </w:rPr>
      </w:pPr>
      <w:r>
        <w:rPr>
          <w:lang w:val="en-AU" w:eastAsia="en-US"/>
        </w:rPr>
        <w:t>However, t</w:t>
      </w:r>
      <w:r w:rsidRPr="00A05E8A">
        <w:rPr>
          <w:lang w:val="en-AU" w:eastAsia="en-US"/>
        </w:rPr>
        <w:t>o fully understand the extent of injury among Aboriginal and Torres Strait Islander people</w:t>
      </w:r>
      <w:r w:rsidR="00A32395">
        <w:rPr>
          <w:lang w:val="en-AU" w:eastAsia="en-US"/>
        </w:rPr>
        <w:t>s</w:t>
      </w:r>
      <w:r w:rsidRPr="00A05E8A">
        <w:rPr>
          <w:lang w:val="en-AU" w:eastAsia="en-US"/>
        </w:rPr>
        <w:t xml:space="preserve">, </w:t>
      </w:r>
      <w:r>
        <w:rPr>
          <w:lang w:val="en-AU" w:eastAsia="en-US"/>
        </w:rPr>
        <w:t>the impact of colonisation must be acknowledged</w:t>
      </w:r>
      <w:r w:rsidRPr="00A05E8A">
        <w:rPr>
          <w:lang w:val="en-AU" w:eastAsia="en-US"/>
        </w:rPr>
        <w:t>. Aboriginal and Torres Strait Islander communities continue to experience the devastating</w:t>
      </w:r>
      <w:r w:rsidRPr="00400300">
        <w:rPr>
          <w:lang w:val="en-AU" w:eastAsia="en-US"/>
        </w:rPr>
        <w:t xml:space="preserve"> impacts of colonisation including</w:t>
      </w:r>
      <w:r>
        <w:rPr>
          <w:lang w:val="en-AU" w:eastAsia="en-US"/>
        </w:rPr>
        <w:t>:</w:t>
      </w:r>
      <w:r w:rsidRPr="00400300">
        <w:rPr>
          <w:lang w:val="en-AU" w:eastAsia="en-US"/>
        </w:rPr>
        <w:t xml:space="preserve"> socioeconomic disadvantage, </w:t>
      </w:r>
      <w:r>
        <w:rPr>
          <w:lang w:val="en-AU" w:eastAsia="en-US"/>
        </w:rPr>
        <w:t xml:space="preserve">the impact of institutionalised and systemic racism, too few culturally appropriate services, limited access to </w:t>
      </w:r>
      <w:r w:rsidRPr="00400300">
        <w:rPr>
          <w:lang w:val="en-AU" w:eastAsia="en-US"/>
        </w:rPr>
        <w:t>services</w:t>
      </w:r>
      <w:r>
        <w:rPr>
          <w:lang w:val="en-AU" w:eastAsia="en-US"/>
        </w:rPr>
        <w:t xml:space="preserve"> including health and housing</w:t>
      </w:r>
      <w:r w:rsidRPr="00400300">
        <w:rPr>
          <w:lang w:val="en-AU" w:eastAsia="en-US"/>
        </w:rPr>
        <w:t xml:space="preserve">, disruption to culture, </w:t>
      </w:r>
      <w:r>
        <w:rPr>
          <w:lang w:val="en-AU" w:eastAsia="en-US"/>
        </w:rPr>
        <w:t xml:space="preserve">ongoing </w:t>
      </w:r>
      <w:r w:rsidRPr="00400300">
        <w:rPr>
          <w:lang w:val="en-AU" w:eastAsia="en-US"/>
        </w:rPr>
        <w:t>family removal and separation</w:t>
      </w:r>
      <w:r>
        <w:rPr>
          <w:lang w:val="en-AU" w:eastAsia="en-US"/>
        </w:rPr>
        <w:t>. All of which have contributed to</w:t>
      </w:r>
      <w:r w:rsidRPr="00400300">
        <w:rPr>
          <w:lang w:val="en-AU" w:eastAsia="en-US"/>
        </w:rPr>
        <w:t xml:space="preserve"> intergenerational trauma. </w:t>
      </w:r>
    </w:p>
    <w:p w14:paraId="43FB7CA8" w14:textId="77777777" w:rsidR="007621A7" w:rsidRDefault="00C82BFF" w:rsidP="00516245">
      <w:pPr>
        <w:spacing w:before="120"/>
        <w:rPr>
          <w:lang w:val="en-AU" w:eastAsia="en-US"/>
        </w:rPr>
      </w:pPr>
      <w:r w:rsidRPr="00400300">
        <w:rPr>
          <w:lang w:val="en-AU" w:eastAsia="en-US"/>
        </w:rPr>
        <w:t>Intergenerational trauma and consideration of the complex issues around it, must be considered in injury prevention planning for Aboriginal and Torres Strait Islander people. “Trauma informed” models of service delivery are particularly appropriate for Aboriginal people experiencing the impacts of violence and intergenerational trauma.</w:t>
      </w:r>
      <w:r>
        <w:rPr>
          <w:lang w:val="en-AU" w:eastAsia="en-US"/>
        </w:rPr>
        <w:t xml:space="preserve"> </w:t>
      </w:r>
    </w:p>
    <w:p w14:paraId="3796B5B4" w14:textId="7AB9C65B" w:rsidR="00C82BFF" w:rsidRDefault="00C82BFF" w:rsidP="00516245">
      <w:pPr>
        <w:spacing w:before="120"/>
        <w:rPr>
          <w:lang w:val="en-AU" w:eastAsia="en-US"/>
        </w:rPr>
      </w:pPr>
      <w:r>
        <w:rPr>
          <w:lang w:val="en-AU" w:eastAsia="en-US"/>
        </w:rPr>
        <w:t>Trauma informed services</w:t>
      </w:r>
      <w:r w:rsidR="001D5AAD">
        <w:rPr>
          <w:lang w:val="en-AU" w:eastAsia="en-US"/>
        </w:rPr>
        <w:t xml:space="preserve"> </w:t>
      </w:r>
      <w:r w:rsidRPr="00797296">
        <w:rPr>
          <w:vertAlign w:val="superscript"/>
          <w:lang w:val="en-AU" w:eastAsia="en-US"/>
        </w:rPr>
        <w:t>[</w:t>
      </w:r>
      <w:r w:rsidRPr="002347D3">
        <w:rPr>
          <w:rStyle w:val="FootnoteReference"/>
          <w:lang w:val="en-AU" w:eastAsia="en-US"/>
        </w:rPr>
        <w:footnoteReference w:id="4"/>
      </w:r>
      <w:r w:rsidRPr="00797296">
        <w:rPr>
          <w:vertAlign w:val="superscript"/>
          <w:lang w:val="en-AU" w:eastAsia="en-US"/>
        </w:rPr>
        <w:t>]</w:t>
      </w:r>
      <w:r>
        <w:rPr>
          <w:lang w:val="en-AU" w:eastAsia="en-US"/>
        </w:rPr>
        <w:t xml:space="preserve"> are underpinned by knowledge around trauma and the impact on how individuals receive services. These services look at all aspects of their operations (including service, management and program delivery) from a trauma lens.</w:t>
      </w:r>
      <w:r>
        <w:rPr>
          <w:lang w:val="en-AU" w:eastAsia="en-US"/>
        </w:rPr>
        <w:fldChar w:fldCharType="begin"/>
      </w:r>
      <w:r w:rsidR="007D2F13">
        <w:rPr>
          <w:lang w:val="en-AU" w:eastAsia="en-US"/>
        </w:rPr>
        <w:instrText xml:space="preserve"> ADDIN EN.CITE &lt;EndNote&gt;&lt;Cite&gt;&lt;Author&gt;Atkinson&lt;/Author&gt;&lt;Year&gt;2013&lt;/Year&gt;&lt;RecNum&gt;105&lt;/RecNum&gt;&lt;DisplayText&gt;&lt;style face="superscript"&gt;16&lt;/style&gt;&lt;/DisplayText&gt;&lt;record&gt;&lt;rec-number&gt;105&lt;/rec-number&gt;&lt;foreign-keys&gt;&lt;key app="EN" db-id="2wsw9x5wvsspa1evwxlvvergx9epfd50fs2a" timestamp="1583881651"&gt;105&lt;/key&gt;&lt;/foreign-keys&gt;&lt;ref-type name="Report"&gt;27&lt;/ref-type&gt;&lt;contributors&gt;&lt;authors&gt;&lt;author&gt;Atkinson, J&lt;/author&gt;&lt;/authors&gt;&lt;/contributors&gt;&lt;titles&gt;&lt;title&gt;Trauma-informed services and trauma-specific care for Indigenous Australian children, Resource sheet no. 21 produced for the Closing the Gap Clearinghouse&lt;/title&gt;&lt;/titles&gt;&lt;dates&gt;&lt;year&gt;2013&lt;/year&gt;&lt;/dates&gt;&lt;publisher&gt;AIHW&lt;/publisher&gt;&lt;urls&gt;&lt;related-urls&gt;&lt;url&gt;https://www.aihw.gov.au/getmedia/e322914f-ac63-44f1-8c2f-4d84938fcd41/ctg-rs21.pdf.aspx?inline=true&lt;/url&gt;&lt;/related-urls&gt;&lt;/urls&gt;&lt;/record&gt;&lt;/Cite&gt;&lt;/EndNote&gt;</w:instrText>
      </w:r>
      <w:r>
        <w:rPr>
          <w:lang w:val="en-AU" w:eastAsia="en-US"/>
        </w:rPr>
        <w:fldChar w:fldCharType="separate"/>
      </w:r>
      <w:r w:rsidR="007D2F13" w:rsidRPr="007D2F13">
        <w:rPr>
          <w:noProof/>
          <w:vertAlign w:val="superscript"/>
          <w:lang w:val="en-AU" w:eastAsia="en-US"/>
        </w:rPr>
        <w:t>16</w:t>
      </w:r>
      <w:r>
        <w:rPr>
          <w:lang w:val="en-AU" w:eastAsia="en-US"/>
        </w:rPr>
        <w:fldChar w:fldCharType="end"/>
      </w:r>
      <w:r w:rsidRPr="00400300">
        <w:rPr>
          <w:lang w:val="en-AU" w:eastAsia="en-US"/>
        </w:rPr>
        <w:t xml:space="preserve"> </w:t>
      </w:r>
      <w:r>
        <w:rPr>
          <w:lang w:val="en-AU" w:eastAsia="en-US"/>
        </w:rPr>
        <w:t>Important</w:t>
      </w:r>
      <w:r w:rsidRPr="00400300">
        <w:rPr>
          <w:lang w:val="en-AU" w:eastAsia="en-US"/>
        </w:rPr>
        <w:t>ly, injury prevention programs and initiatives should be culturally safe and privilege Aboriginal and Torres Strait Islander ways of knowing, being and doing.</w:t>
      </w:r>
      <w:r w:rsidRPr="00400300">
        <w:rPr>
          <w:lang w:val="en-AU" w:eastAsia="en-US"/>
        </w:rPr>
        <w:fldChar w:fldCharType="begin"/>
      </w:r>
      <w:r w:rsidR="007D2F13">
        <w:rPr>
          <w:lang w:val="en-AU" w:eastAsia="en-US"/>
        </w:rPr>
        <w:instrText xml:space="preserve"> ADDIN EN.CITE &lt;EndNote&gt;&lt;Cite&gt;&lt;Author&gt;Martin&lt;/Author&gt;&lt;Year&gt;2003&lt;/Year&gt;&lt;RecNum&gt;14&lt;/RecNum&gt;&lt;DisplayText&gt;&lt;style face="superscript"&gt;17&lt;/style&gt;&lt;/DisplayText&gt;&lt;record&gt;&lt;rec-number&gt;14&lt;/rec-number&gt;&lt;foreign-keys&gt;&lt;key app="EN" db-id="2wsw9x5wvsspa1evwxlvvergx9epfd50fs2a" timestamp="1571987684"&gt;14&lt;/key&gt;&lt;/foreign-keys&gt;&lt;ref-type name="Journal Article"&gt;17&lt;/ref-type&gt;&lt;contributors&gt;&lt;authors&gt;&lt;author&gt;Martin, Karen&lt;/author&gt;&lt;author&gt;Mirraboopa, Booran&lt;/author&gt;&lt;/authors&gt;&lt;/contributors&gt;&lt;titles&gt;&lt;title&gt;Ways of knowing, being and doi</w:instrText>
      </w:r>
      <w:r w:rsidR="007D2F13">
        <w:rPr>
          <w:rFonts w:hint="eastAsia"/>
          <w:lang w:val="en-AU" w:eastAsia="en-US"/>
        </w:rPr>
        <w:instrText>ng: A theoretical framework and methods for indigenous and indigenist re</w:instrText>
      </w:r>
      <w:r w:rsidR="007D2F13">
        <w:rPr>
          <w:rFonts w:hint="eastAsia"/>
          <w:lang w:val="en-AU" w:eastAsia="en-US"/>
        </w:rPr>
        <w:instrText>‐</w:instrText>
      </w:r>
      <w:r w:rsidR="007D2F13">
        <w:rPr>
          <w:rFonts w:hint="eastAsia"/>
          <w:lang w:val="en-AU" w:eastAsia="en-US"/>
        </w:rPr>
        <w:instrText>search&lt;/title&gt;&lt;secondary-title&gt;Journal of Australian Studies&lt;/secondary-title&gt;&lt;/titles&gt;&lt;periodical&gt;&lt;full-title&gt;Journal of Australian Studies&lt;/full-title&gt;&lt;/periodical&gt;&lt;pages&gt;203-214&lt;/</w:instrText>
      </w:r>
      <w:r w:rsidR="007D2F13">
        <w:rPr>
          <w:lang w:val="en-AU" w:eastAsia="en-US"/>
        </w:rPr>
        <w:instrText>pages&gt;&lt;volume&gt;27&lt;/volume&gt;&lt;number&gt;76&lt;/number&gt;&lt;dates&gt;&lt;year&gt;2003&lt;/year&gt;&lt;/dates&gt;&lt;isbn&gt;1444-3058&lt;/isbn&gt;&lt;urls&gt;&lt;/urls&gt;&lt;/record&gt;&lt;/Cite&gt;&lt;/EndNote&gt;</w:instrText>
      </w:r>
      <w:r w:rsidRPr="00400300">
        <w:rPr>
          <w:lang w:val="en-AU" w:eastAsia="en-US"/>
        </w:rPr>
        <w:fldChar w:fldCharType="separate"/>
      </w:r>
      <w:r w:rsidR="007D2F13" w:rsidRPr="007D2F13">
        <w:rPr>
          <w:noProof/>
          <w:vertAlign w:val="superscript"/>
          <w:lang w:val="en-AU" w:eastAsia="en-US"/>
        </w:rPr>
        <w:t>17</w:t>
      </w:r>
      <w:r w:rsidRPr="00400300">
        <w:rPr>
          <w:lang w:val="en-AU" w:eastAsia="en-US"/>
        </w:rPr>
        <w:fldChar w:fldCharType="end"/>
      </w:r>
    </w:p>
    <w:p w14:paraId="54A3BAD0" w14:textId="77777777" w:rsidR="00C82BFF" w:rsidRPr="003A2F9A" w:rsidRDefault="00C82BFF" w:rsidP="00C82BFF">
      <w:pPr>
        <w:pStyle w:val="Heading3"/>
        <w:rPr>
          <w:lang w:val="en-AU"/>
        </w:rPr>
      </w:pPr>
      <w:r w:rsidRPr="003A2F9A">
        <w:rPr>
          <w:lang w:val="en-AU" w:eastAsia="en-US"/>
        </w:rPr>
        <w:t>Burden of injury</w:t>
      </w:r>
    </w:p>
    <w:p w14:paraId="0B443CCD" w14:textId="77777777" w:rsidR="00A32395" w:rsidRDefault="00C82BFF" w:rsidP="00B443F6">
      <w:pPr>
        <w:spacing w:before="120"/>
        <w:rPr>
          <w:lang w:val="en-AU" w:eastAsia="en-US"/>
        </w:rPr>
      </w:pPr>
      <w:r w:rsidRPr="003A2F9A">
        <w:rPr>
          <w:lang w:val="en-AU" w:eastAsia="en-US"/>
        </w:rPr>
        <w:t>Aboriginal and Torres Strait Islander people experience an inequitable burden of injury. The rates of injury for key causes can be many times those of other Australians.</w:t>
      </w:r>
      <w:r w:rsidRPr="00515C7E">
        <w:rPr>
          <w:lang w:val="en-AU" w:eastAsia="en-US"/>
        </w:rPr>
        <w:fldChar w:fldCharType="begin"/>
      </w:r>
      <w:r w:rsidR="007D2F13">
        <w:rPr>
          <w:lang w:val="en-AU" w:eastAsia="en-US"/>
        </w:rPr>
        <w:instrText xml:space="preserve"> ADDIN EN.CITE &lt;EndNote&gt;&lt;Cite&gt;&lt;Author&gt;AIHW: Pointer&lt;/Author&gt;&lt;Year&gt;2019&lt;/Year&gt;&lt;RecNum&gt;73&lt;/RecNum&gt;&lt;DisplayText&gt;&lt;style face="superscript"&gt;18&lt;/style&gt;&lt;/DisplayText&gt;&lt;record&gt;&lt;rec-number&gt;73&lt;/rec-number&gt;&lt;foreign-keys&gt;&lt;key app="EN" db-id="2wsw9x5wvsspa1evwxlvvergx9epfd50fs2a" timestamp="1575236498"&gt;73&lt;/key&gt;&lt;/foreign-keys&gt;&lt;ref-type name="Report"&gt;27&lt;/ref-type&gt;&lt;contributors&gt;&lt;authors&gt;&lt;author&gt;AIHW: Pointer,&lt;/author&gt;&lt;/authors&gt;&lt;/contributors&gt;&lt;titles&gt;&lt;title&gt;Hospitalised injury among Aboriginal and Torres Strait Islander people, 2011–12 to 2015–16.&lt;/title&gt;&lt;secondary-title&gt; Injury research and statistics series no. 118&lt;/secondary-title&gt;&lt;/titles&gt;&lt;volume&gt;Cat. no. INJCAT 198&lt;/volume&gt;&lt;dates&gt;&lt;year&gt;2019&lt;/year&gt;&lt;/dates&gt;&lt;pub-location&gt;Canberra&lt;/pub-location&gt;&lt;publisher&gt;AIHW&lt;/publisher&gt;&lt;urls&gt;&lt;/urls&gt;&lt;/record&gt;&lt;/Cite&gt;&lt;/EndNote&gt;</w:instrText>
      </w:r>
      <w:r w:rsidRPr="00515C7E">
        <w:rPr>
          <w:lang w:val="en-AU" w:eastAsia="en-US"/>
        </w:rPr>
        <w:fldChar w:fldCharType="separate"/>
      </w:r>
      <w:r w:rsidR="007D2F13" w:rsidRPr="007D2F13">
        <w:rPr>
          <w:noProof/>
          <w:vertAlign w:val="superscript"/>
          <w:lang w:val="en-AU" w:eastAsia="en-US"/>
        </w:rPr>
        <w:t>18</w:t>
      </w:r>
      <w:r w:rsidRPr="00515C7E">
        <w:rPr>
          <w:lang w:val="en-AU" w:eastAsia="en-US"/>
        </w:rPr>
        <w:fldChar w:fldCharType="end"/>
      </w:r>
      <w:r w:rsidRPr="003A2F9A">
        <w:rPr>
          <w:lang w:val="en-AU" w:eastAsia="en-US"/>
        </w:rPr>
        <w:t xml:space="preserve"> </w:t>
      </w:r>
    </w:p>
    <w:p w14:paraId="0F57FD96" w14:textId="7B663CD9" w:rsidR="00A32395" w:rsidRPr="000C5F08" w:rsidRDefault="00C82BFF" w:rsidP="000C5F08">
      <w:pPr>
        <w:pStyle w:val="ListParagraph"/>
        <w:numPr>
          <w:ilvl w:val="0"/>
          <w:numId w:val="103"/>
        </w:numPr>
        <w:rPr>
          <w:lang w:val="en-AU" w:eastAsia="en-US"/>
        </w:rPr>
      </w:pPr>
      <w:r w:rsidRPr="000C5F08">
        <w:rPr>
          <w:lang w:val="en-AU" w:eastAsia="en-US"/>
        </w:rPr>
        <w:t xml:space="preserve">Overall, Aboriginal and Torres Strait Islander Australians experience rates of injury three times higher than non-Indigenous Australians </w:t>
      </w:r>
      <w:r w:rsidRPr="000C5F08">
        <w:rPr>
          <w:lang w:val="en-AU"/>
        </w:rPr>
        <w:t>(49.9 per 1,000 population compared to 16.6 in non-Indigenous Australians).</w:t>
      </w:r>
      <w:r w:rsidRPr="000C5F08">
        <w:rPr>
          <w:lang w:val="en-AU"/>
        </w:rPr>
        <w:fldChar w:fldCharType="begin"/>
      </w:r>
      <w:r w:rsidR="003E5832" w:rsidRPr="000C5F08">
        <w:rPr>
          <w:lang w:val="en-AU"/>
        </w:rPr>
        <w:instrText xml:space="preserve"> ADDIN EN.CITE &lt;EndNote&gt;&lt;Cite&gt;&lt;Author&gt;AIHW&lt;/Author&gt;&lt;Year&gt;2016&lt;/Year&gt;&lt;RecNum&gt;8&lt;/RecNum&gt;&lt;DisplayText&gt;&lt;style face="superscript"&gt;12&lt;/style&gt;&lt;/DisplayText&gt;&lt;record&gt;&lt;rec-number&gt;8&lt;/rec-number&gt;&lt;foreign-keys&gt;&lt;key app="EN" db-id="2wsw9x5wvsspa1evwxlvvergx9epfd50fs2a" timestamp="1571987678"&gt;8&lt;/key&gt;&lt;/foreign-keys&gt;&lt;ref-type name="Report"&gt;27&lt;/ref-type&gt;&lt;contributors&gt;&lt;authors&gt;&lt;author&gt;AIHW,&lt;/author&gt;&lt;/authors&gt;&lt;secondary-authors&gt;&lt;author&gt;AIHW&lt;/author&gt;&lt;/secondary-authors&gt;&lt;/contributors&gt;&lt;titles&gt;&lt;title&gt;Australian Burden of Disease Study: impact and causes of illness and death in Aboriginal and Torres Strait Islander people 2011&lt;/title&gt;&lt;/titles&gt;&lt;section&gt;Cat. no: BOD 7&lt;/section&gt;&lt;dates&gt;&lt;year&gt;2016&lt;/year&gt;&lt;/dates&gt;&lt;pub-location&gt;Canberra&lt;/pub-location&gt;&lt;publisher&gt;AIHW&lt;/publisher&gt;&lt;urls&gt;&lt;related-urls&gt;&lt;url&gt;https://www.aihw.gov.au/getmedia/f494255e-5399-4fae-8e41-1916c99dd030/aihw-bod-7-BoD-ATSI_2011.pdf.aspx?inline=true&lt;/url&gt;&lt;/related-urls&gt;&lt;/urls&gt;&lt;access-date&gt;28 June 2019&lt;/access-date&gt;&lt;/record&gt;&lt;/Cite&gt;&lt;/EndNote&gt;</w:instrText>
      </w:r>
      <w:r w:rsidRPr="000C5F08">
        <w:rPr>
          <w:lang w:val="en-AU"/>
        </w:rPr>
        <w:fldChar w:fldCharType="separate"/>
      </w:r>
      <w:r w:rsidR="007D2F13" w:rsidRPr="000C5F08">
        <w:rPr>
          <w:noProof/>
          <w:vertAlign w:val="superscript"/>
          <w:lang w:val="en-AU"/>
        </w:rPr>
        <w:t>12</w:t>
      </w:r>
      <w:r w:rsidRPr="000C5F08">
        <w:rPr>
          <w:lang w:val="en-AU"/>
        </w:rPr>
        <w:fldChar w:fldCharType="end"/>
      </w:r>
      <w:r w:rsidRPr="000C5F08">
        <w:rPr>
          <w:lang w:val="en-AU"/>
        </w:rPr>
        <w:t xml:space="preserve"> </w:t>
      </w:r>
      <w:r w:rsidRPr="000C5F08">
        <w:rPr>
          <w:lang w:val="en-AU" w:eastAsia="en-US"/>
        </w:rPr>
        <w:t xml:space="preserve"> </w:t>
      </w:r>
    </w:p>
    <w:p w14:paraId="2842A5CA" w14:textId="4DF01B66" w:rsidR="00C82BFF" w:rsidRPr="000C5F08" w:rsidRDefault="00C82BFF" w:rsidP="000C5F08">
      <w:pPr>
        <w:pStyle w:val="ListParagraph"/>
        <w:numPr>
          <w:ilvl w:val="0"/>
          <w:numId w:val="103"/>
        </w:numPr>
        <w:rPr>
          <w:lang w:val="en-AU" w:eastAsia="en-US"/>
        </w:rPr>
      </w:pPr>
      <w:r w:rsidRPr="000C5F08">
        <w:rPr>
          <w:lang w:val="en-AU" w:eastAsia="en-US"/>
        </w:rPr>
        <w:t>Injuries are responsible for 14% of the overall gap between Aboriginal and Torres Strait Islander people and other Australians.</w:t>
      </w:r>
      <w:r w:rsidRPr="000C5F08">
        <w:rPr>
          <w:lang w:val="en-AU" w:eastAsia="en-US"/>
        </w:rPr>
        <w:fldChar w:fldCharType="begin"/>
      </w:r>
      <w:r w:rsidR="003E5832" w:rsidRPr="000C5F08">
        <w:rPr>
          <w:lang w:val="en-AU" w:eastAsia="en-US"/>
        </w:rPr>
        <w:instrText xml:space="preserve"> ADDIN EN.CITE &lt;EndNote&gt;&lt;Cite&gt;&lt;Author&gt;AIHW&lt;/Author&gt;&lt;Year&gt;2016&lt;/Year&gt;&lt;RecNum&gt;8&lt;/RecNum&gt;&lt;DisplayText&gt;&lt;style face="superscript"&gt;12&lt;/style&gt;&lt;/DisplayText&gt;&lt;record&gt;&lt;rec-number&gt;8&lt;/rec-number&gt;&lt;foreign-keys&gt;&lt;key app="EN" db-id="2wsw9x5wvsspa1evwxlvvergx9epfd50fs2a" timestamp="1571987678"&gt;8&lt;/key&gt;&lt;/foreign-keys&gt;&lt;ref-type name="Report"&gt;27&lt;/ref-type&gt;&lt;contributors&gt;&lt;authors&gt;&lt;author&gt;AIHW,&lt;/author&gt;&lt;/authors&gt;&lt;secondary-authors&gt;&lt;author&gt;AIHW&lt;/author&gt;&lt;/secondary-authors&gt;&lt;/contributors&gt;&lt;titles&gt;&lt;title&gt;Australian Burden of Disease Study: impact and causes of illness and death in Aboriginal and Torres Strait Islander people 2011&lt;/title&gt;&lt;/titles&gt;&lt;section&gt;Cat. no: BOD 7&lt;/section&gt;&lt;dates&gt;&lt;year&gt;2016&lt;/year&gt;&lt;/dates&gt;&lt;pub-location&gt;Canberra&lt;/pub-location&gt;&lt;publisher&gt;AIHW&lt;/publisher&gt;&lt;urls&gt;&lt;related-urls&gt;&lt;url&gt;https://www.aihw.gov.au/getmedia/f494255e-5399-4fae-8e41-1916c99dd030/aihw-bod-7-BoD-ATSI_2011.pdf.aspx?inline=true&lt;/url&gt;&lt;/related-urls&gt;&lt;/urls&gt;&lt;access-date&gt;28 June 2019&lt;/access-date&gt;&lt;/record&gt;&lt;/Cite&gt;&lt;/EndNote&gt;</w:instrText>
      </w:r>
      <w:r w:rsidRPr="000C5F08">
        <w:rPr>
          <w:lang w:val="en-AU" w:eastAsia="en-US"/>
        </w:rPr>
        <w:fldChar w:fldCharType="separate"/>
      </w:r>
      <w:r w:rsidR="007D2F13" w:rsidRPr="000C5F08">
        <w:rPr>
          <w:noProof/>
          <w:vertAlign w:val="superscript"/>
          <w:lang w:val="en-AU" w:eastAsia="en-US"/>
        </w:rPr>
        <w:t>12</w:t>
      </w:r>
      <w:r w:rsidRPr="000C5F08">
        <w:rPr>
          <w:lang w:val="en-AU" w:eastAsia="en-US"/>
        </w:rPr>
        <w:fldChar w:fldCharType="end"/>
      </w:r>
      <w:bookmarkStart w:id="188" w:name="_GoBack"/>
      <w:bookmarkEnd w:id="188"/>
    </w:p>
    <w:p w14:paraId="33CD9FBD" w14:textId="75AE3D51" w:rsidR="000C5F08" w:rsidRPr="000C5F08" w:rsidRDefault="00C765AF" w:rsidP="000C5F08">
      <w:pPr>
        <w:pStyle w:val="ListParagraph"/>
        <w:numPr>
          <w:ilvl w:val="0"/>
          <w:numId w:val="103"/>
        </w:numPr>
        <w:rPr>
          <w:lang w:val="en-AU"/>
        </w:rPr>
      </w:pPr>
      <w:r w:rsidRPr="000C5F08">
        <w:rPr>
          <w:lang w:val="en-AU"/>
        </w:rPr>
        <w:t>Suicide accounts for 30% of the total burden of injury for Aboriginal and Torres Strait Islander people across all age groups, followed by road traffic injury of motor vehicle occupants (16.5%) and homicide and violence (12%)</w:t>
      </w:r>
      <w:r w:rsidR="00CC28D5">
        <w:rPr>
          <w:lang w:val="en-AU"/>
        </w:rPr>
        <w:t>.</w:t>
      </w:r>
      <w:r w:rsidRPr="000C5F08">
        <w:rPr>
          <w:lang w:val="en-AU"/>
        </w:rPr>
        <w:fldChar w:fldCharType="begin"/>
      </w:r>
      <w:r w:rsidRPr="000C5F08">
        <w:rPr>
          <w:lang w:val="en-AU"/>
        </w:rPr>
        <w:instrText xml:space="preserve"> ADDIN EN.CITE &lt;EndNote&gt;&lt;Cite&gt;&lt;Author&gt;AIHW&lt;/Author&gt;&lt;Year&gt;2016&lt;/Year&gt;&lt;RecNum&gt;8&lt;/RecNum&gt;&lt;DisplayText&gt;&lt;style face="superscript"&gt;12&lt;/style&gt;&lt;/DisplayText&gt;&lt;record&gt;&lt;rec-number&gt;8&lt;/rec-number&gt;&lt;foreign-keys&gt;&lt;key app="EN" db-id="2wsw9x5wvsspa1evwxlvvergx9epfd50fs2a" timestamp="1571987678"&gt;8&lt;/key&gt;&lt;/foreign-keys&gt;&lt;ref-type name="Report"&gt;27&lt;/ref-type&gt;&lt;contributors&gt;&lt;authors&gt;&lt;author&gt;AIHW,&lt;/author&gt;&lt;/authors&gt;&lt;secondary-authors&gt;&lt;author&gt;AIHW&lt;/author&gt;&lt;/secondary-authors&gt;&lt;/contributors&gt;&lt;titles&gt;&lt;title&gt;Australian Burden of Disease Study: impact and causes of illness and death in Aboriginal and Torres Strait Islander people 2011&lt;/title&gt;&lt;/titles&gt;&lt;section&gt;Cat. no: BOD 7&lt;/section&gt;&lt;dates&gt;&lt;year&gt;2016&lt;/year&gt;&lt;/dates&gt;&lt;pub-location&gt;Canberra&lt;/pub-location&gt;&lt;publisher&gt;AIHW&lt;/publisher&gt;&lt;urls&gt;&lt;related-urls&gt;&lt;url&gt;https://www.aihw.gov.au/getmedia/f494255e-5399-4fae-8e41-1916c99dd030/aihw-bod-7-BoD-ATSI_2011.pdf.aspx?inline=true&lt;/url&gt;&lt;/related-urls&gt;&lt;/urls&gt;&lt;access-date&gt;28 June 2019&lt;/access-date&gt;&lt;/record&gt;&lt;/Cite&gt;&lt;/EndNote&gt;</w:instrText>
      </w:r>
      <w:r w:rsidRPr="000C5F08">
        <w:rPr>
          <w:lang w:val="en-AU"/>
        </w:rPr>
        <w:fldChar w:fldCharType="separate"/>
      </w:r>
      <w:r w:rsidRPr="000C5F08">
        <w:rPr>
          <w:noProof/>
          <w:vertAlign w:val="superscript"/>
          <w:lang w:val="en-AU"/>
        </w:rPr>
        <w:t>12</w:t>
      </w:r>
      <w:r w:rsidRPr="000C5F08">
        <w:rPr>
          <w:lang w:val="en-AU"/>
        </w:rPr>
        <w:fldChar w:fldCharType="end"/>
      </w:r>
      <w:r w:rsidRPr="000C5F08">
        <w:rPr>
          <w:lang w:val="en-AU"/>
        </w:rPr>
        <w:t xml:space="preserve"> </w:t>
      </w:r>
    </w:p>
    <w:p w14:paraId="0F390FD9" w14:textId="1B374E90" w:rsidR="00C765AF" w:rsidRPr="000C5F08" w:rsidRDefault="00C765AF" w:rsidP="000C5F08">
      <w:pPr>
        <w:pStyle w:val="ListParagraph"/>
        <w:numPr>
          <w:ilvl w:val="0"/>
          <w:numId w:val="103"/>
        </w:numPr>
        <w:rPr>
          <w:lang w:val="en-AU" w:eastAsia="en-US"/>
        </w:rPr>
      </w:pPr>
      <w:r w:rsidRPr="000C5F08">
        <w:rPr>
          <w:lang w:val="en-AU" w:eastAsia="en-US"/>
        </w:rPr>
        <w:t xml:space="preserve">The leading causes of </w:t>
      </w:r>
      <w:r w:rsidRPr="000C5F08">
        <w:rPr>
          <w:i/>
          <w:lang w:val="en-AU" w:eastAsia="en-US"/>
        </w:rPr>
        <w:t>hospitalised</w:t>
      </w:r>
      <w:r w:rsidRPr="000C5F08">
        <w:rPr>
          <w:lang w:val="en-AU" w:eastAsia="en-US"/>
        </w:rPr>
        <w:t xml:space="preserve"> injuries is assault and falls while the leading cause of injury-related </w:t>
      </w:r>
      <w:r w:rsidRPr="000C5F08">
        <w:rPr>
          <w:i/>
          <w:lang w:val="en-AU" w:eastAsia="en-US"/>
        </w:rPr>
        <w:t>deaths</w:t>
      </w:r>
      <w:r w:rsidRPr="000C5F08">
        <w:rPr>
          <w:lang w:val="en-AU" w:eastAsia="en-US"/>
        </w:rPr>
        <w:t xml:space="preserve"> is intentional self-harm (33% of all injury deaths) followed by transport crashes (20% of all injury deaths) and unintentional poisoning (14% of all injury deaths). Other frequent causes of deaths were homicide and falls.</w:t>
      </w:r>
      <w:r w:rsidRPr="000C5F08">
        <w:rPr>
          <w:lang w:val="en-AU" w:eastAsia="en-US"/>
        </w:rPr>
        <w:fldChar w:fldCharType="begin"/>
      </w:r>
      <w:r w:rsidRPr="000C5F08">
        <w:rPr>
          <w:lang w:val="en-AU" w:eastAsia="en-US"/>
        </w:rPr>
        <w:instrText xml:space="preserve"> ADDIN EN.CITE &lt;EndNote&gt;&lt;Cite&gt;&lt;Author&gt;AIHW: Kreisfeld&lt;/Author&gt;&lt;Year&gt;2020&lt;/Year&gt;&lt;RecNum&gt;110&lt;/RecNum&gt;&lt;DisplayText&gt;&lt;style face="superscript"&gt;19&lt;/style&gt;&lt;/DisplayText&gt;&lt;record&gt;&lt;rec-number&gt;110&lt;/rec-number&gt;&lt;foreign-keys&gt;&lt;key app="EN" db-id="2wsw9x5wvsspa1evwxlvvergx9epfd50fs2a" timestamp="1584676299"&gt;110&lt;/key&gt;&lt;/foreign-keys&gt;&lt;ref-type name="Report"&gt;27&lt;/ref-type&gt;&lt;contributors&gt;&lt;authors&gt;&lt;author&gt;AIHW: Kreisfeld, R..&lt;/author&gt;&lt;author&gt;Harrison, JE.&lt;/author&gt;&lt;/authors&gt;&lt;/contributors&gt;&lt;titles&gt;&lt;title&gt;Indigenous injury deaths: 2011–12 to 2015–16.&lt;/title&gt;&lt;secondary-title&gt;Injury research and statistics series no. 130. Cat. no. INJCAT 210. Canberra: AIHW&lt;/secondary-title&gt;&lt;/titles&gt;&lt;dates&gt;&lt;year&gt;2020&lt;/year&gt;&lt;/dates&gt;&lt;urls&gt;&lt;/urls&gt;&lt;/record&gt;&lt;/Cite&gt;&lt;/EndNote&gt;</w:instrText>
      </w:r>
      <w:r w:rsidRPr="000C5F08">
        <w:rPr>
          <w:lang w:val="en-AU" w:eastAsia="en-US"/>
        </w:rPr>
        <w:fldChar w:fldCharType="separate"/>
      </w:r>
      <w:r w:rsidRPr="000C5F08">
        <w:rPr>
          <w:noProof/>
          <w:vertAlign w:val="superscript"/>
          <w:lang w:val="en-AU" w:eastAsia="en-US"/>
        </w:rPr>
        <w:t>19</w:t>
      </w:r>
      <w:r w:rsidRPr="000C5F08">
        <w:rPr>
          <w:lang w:val="en-AU" w:eastAsia="en-US"/>
        </w:rPr>
        <w:fldChar w:fldCharType="end"/>
      </w:r>
      <w:r w:rsidRPr="000C5F08">
        <w:rPr>
          <w:lang w:val="en-AU" w:eastAsia="en-US"/>
        </w:rPr>
        <w:t xml:space="preserve"> </w:t>
      </w:r>
    </w:p>
    <w:p w14:paraId="1B21A28B" w14:textId="77777777" w:rsidR="00C765AF" w:rsidRPr="000C5F08" w:rsidRDefault="00C765AF" w:rsidP="000C5F08">
      <w:pPr>
        <w:pStyle w:val="ListParagraph"/>
        <w:numPr>
          <w:ilvl w:val="0"/>
          <w:numId w:val="103"/>
        </w:numPr>
        <w:rPr>
          <w:lang w:val="en-AU" w:eastAsia="en-US"/>
        </w:rPr>
      </w:pPr>
      <w:r w:rsidRPr="000C5F08">
        <w:rPr>
          <w:rFonts w:cstheme="minorHAnsi"/>
          <w:lang w:val="en-AU" w:eastAsia="en-US"/>
        </w:rPr>
        <w:t>The burden of injury experienced by Aboriginal and Torres Strait Islander people is particularly high for those living in remote areas,</w:t>
      </w:r>
      <w:r w:rsidRPr="000C5F08">
        <w:rPr>
          <w:rFonts w:cstheme="minorHAnsi"/>
          <w:lang w:val="en-AU" w:eastAsia="en-US"/>
        </w:rPr>
        <w:fldChar w:fldCharType="begin"/>
      </w:r>
      <w:r w:rsidRPr="000C5F08">
        <w:rPr>
          <w:rFonts w:cstheme="minorHAnsi"/>
          <w:lang w:val="en-AU" w:eastAsia="en-US"/>
        </w:rPr>
        <w:instrText xml:space="preserve"> ADDIN EN.CITE &lt;EndNote&gt;&lt;Cite&gt;&lt;Author&gt;AIHW: Pointer&lt;/Author&gt;&lt;Year&gt;2019&lt;/Year&gt;&lt;RecNum&gt;73&lt;/RecNum&gt;&lt;DisplayText&gt;&lt;style face="superscript"&gt;18&lt;/style&gt;&lt;/DisplayText&gt;&lt;record&gt;&lt;rec-number&gt;73&lt;/rec-number&gt;&lt;foreign-keys&gt;&lt;key app="EN" db-id="2wsw9x5wvsspa1evwxlvvergx9epfd50fs2a" timestamp="1575236498"&gt;73&lt;/key&gt;&lt;/foreign-keys&gt;&lt;ref-type name="Report"&gt;27&lt;/ref-type&gt;&lt;contributors&gt;&lt;authors&gt;&lt;author&gt;AIHW: Pointer,&lt;/author&gt;&lt;/authors&gt;&lt;/contributors&gt;&lt;titles&gt;&lt;title&gt;Hospitalised injury among Aboriginal and Torres Strait Islander people, 2011–12 to 2015–16.&lt;/title&gt;&lt;secondary-title&gt; Injury research and statistics series no. 118&lt;/secondary-title&gt;&lt;/titles&gt;&lt;volume&gt;Cat. no. INJCAT 198&lt;/volume&gt;&lt;dates&gt;&lt;year&gt;2019&lt;/year&gt;&lt;/dates&gt;&lt;pub-location&gt;Canberra&lt;/pub-location&gt;&lt;publisher&gt;AIHW&lt;/publisher&gt;&lt;urls&gt;&lt;/urls&gt;&lt;/record&gt;&lt;/Cite&gt;&lt;/EndNote&gt;</w:instrText>
      </w:r>
      <w:r w:rsidRPr="000C5F08">
        <w:rPr>
          <w:rFonts w:cstheme="minorHAnsi"/>
          <w:lang w:val="en-AU" w:eastAsia="en-US"/>
        </w:rPr>
        <w:fldChar w:fldCharType="separate"/>
      </w:r>
      <w:r w:rsidRPr="000C5F08">
        <w:rPr>
          <w:rFonts w:cstheme="minorHAnsi"/>
          <w:noProof/>
          <w:vertAlign w:val="superscript"/>
          <w:lang w:val="en-AU" w:eastAsia="en-US"/>
        </w:rPr>
        <w:t>18</w:t>
      </w:r>
      <w:r w:rsidRPr="000C5F08">
        <w:rPr>
          <w:rFonts w:cstheme="minorHAnsi"/>
          <w:lang w:val="en-AU" w:eastAsia="en-US"/>
        </w:rPr>
        <w:fldChar w:fldCharType="end"/>
      </w:r>
      <w:r w:rsidRPr="000C5F08">
        <w:rPr>
          <w:rFonts w:cstheme="minorHAnsi"/>
          <w:lang w:val="en-AU" w:eastAsia="en-US"/>
        </w:rPr>
        <w:t xml:space="preserve"> with rates of death much </w:t>
      </w:r>
      <w:r>
        <w:t>higher in remote and very remote areas compared to major cities.</w:t>
      </w:r>
      <w:r>
        <w:fldChar w:fldCharType="begin"/>
      </w:r>
      <w:r>
        <w:instrText xml:space="preserve"> ADDIN EN.CITE &lt;EndNote&gt;&lt;Cite&gt;&lt;Author&gt;AIHW: Kreisfeld&lt;/Author&gt;&lt;Year&gt;2020&lt;/Year&gt;&lt;RecNum&gt;110&lt;/RecNum&gt;&lt;DisplayText&gt;&lt;style face="superscript"&gt;19&lt;/style&gt;&lt;/DisplayText&gt;&lt;record&gt;&lt;rec-number&gt;110&lt;/rec-number&gt;&lt;foreign-keys&gt;&lt;key app="EN" db-id="2wsw9x5wvsspa1evwxlvvergx9epfd50fs2a" timestamp="1584676299"&gt;110&lt;/key&gt;&lt;/foreign-keys&gt;&lt;ref-type name="Report"&gt;27&lt;/ref-type&gt;&lt;contributors&gt;&lt;authors&gt;&lt;author&gt;AIHW: Kreisfeld, R..&lt;/author&gt;&lt;author&gt;Harrison, JE.&lt;/author&gt;&lt;/authors&gt;&lt;/contributors&gt;&lt;titles&gt;&lt;title&gt;Indigenous injury deaths: 2011–12 to 2015–16.&lt;/title&gt;&lt;secondary-title&gt;Injury research and statistics series no. 130. Cat. no. INJCAT 210. Canberra: AIHW&lt;/secondary-title&gt;&lt;/titles&gt;&lt;dates&gt;&lt;year&gt;2020&lt;/year&gt;&lt;/dates&gt;&lt;urls&gt;&lt;/urls&gt;&lt;/record&gt;&lt;/Cite&gt;&lt;/EndNote&gt;</w:instrText>
      </w:r>
      <w:r>
        <w:fldChar w:fldCharType="separate"/>
      </w:r>
      <w:r w:rsidRPr="000C5F08">
        <w:rPr>
          <w:noProof/>
          <w:vertAlign w:val="superscript"/>
        </w:rPr>
        <w:t>19</w:t>
      </w:r>
      <w:r>
        <w:fldChar w:fldCharType="end"/>
      </w:r>
      <w:r w:rsidRPr="000C5F08">
        <w:rPr>
          <w:lang w:val="en-AU" w:eastAsia="en-US"/>
        </w:rPr>
        <w:t xml:space="preserve"> </w:t>
      </w:r>
    </w:p>
    <w:p w14:paraId="74657680" w14:textId="77777777" w:rsidR="00C765AF" w:rsidRPr="000C5F08" w:rsidRDefault="00C765AF" w:rsidP="000C5F08">
      <w:pPr>
        <w:pStyle w:val="ListParagraph"/>
        <w:numPr>
          <w:ilvl w:val="0"/>
          <w:numId w:val="103"/>
        </w:numPr>
        <w:rPr>
          <w:lang w:val="en-AU" w:eastAsia="en-US"/>
        </w:rPr>
      </w:pPr>
      <w:r w:rsidRPr="000C5F08">
        <w:rPr>
          <w:lang w:val="en-AU" w:eastAsia="en-US"/>
        </w:rPr>
        <w:t>A</w:t>
      </w:r>
      <w:r w:rsidRPr="000C5F08">
        <w:rPr>
          <w:lang w:val="en-AU"/>
        </w:rPr>
        <w:t xml:space="preserve">lmost half of all </w:t>
      </w:r>
      <w:r w:rsidRPr="000C5F08">
        <w:rPr>
          <w:lang w:val="en-AU" w:eastAsia="en-US"/>
        </w:rPr>
        <w:t xml:space="preserve">Aboriginal and Torres Strait Islander </w:t>
      </w:r>
      <w:r w:rsidRPr="000C5F08">
        <w:rPr>
          <w:lang w:val="en-AU"/>
        </w:rPr>
        <w:t>injury hospitalisations live in the most disadvantaged socioeconomic areas.</w:t>
      </w:r>
      <w:r w:rsidRPr="000C5F08">
        <w:rPr>
          <w:lang w:val="en-AU"/>
        </w:rPr>
        <w:fldChar w:fldCharType="begin"/>
      </w:r>
      <w:r w:rsidRPr="000C5F08">
        <w:rPr>
          <w:lang w:val="en-AU"/>
        </w:rPr>
        <w:instrText xml:space="preserve"> ADDIN EN.CITE &lt;EndNote&gt;&lt;Cite&gt;&lt;Author&gt;AIHW: Pointer&lt;/Author&gt;&lt;Year&gt;2019&lt;/Year&gt;&lt;RecNum&gt;107&lt;/RecNum&gt;&lt;DisplayText&gt;&lt;style face="superscript"&gt;20&lt;/style&gt;&lt;/DisplayText&gt;&lt;record&gt;&lt;rec-number&gt;107&lt;/rec-number&gt;&lt;foreign-keys&gt;&lt;key app="EN" db-id="2wsw9x5wvsspa1evwxlvvergx9epfd50fs2a" timestamp="1583883019"&gt;107&lt;/key&gt;&lt;/foreign-keys&gt;&lt;ref-type name="Report"&gt;27&lt;/ref-type&gt;&lt;contributors&gt;&lt;authors&gt;&lt;author&gt;AIHW: Pointer, SC.&lt;/author&gt;&lt;/authors&gt;&lt;/contributors&gt;&lt;titles&gt;&lt;title&gt;Hospitalised injury and socioeconomic influence in Australia, 2015–16. Injury research and statistics series no. 125. Cat. no. INJCAT 205&lt;/title&gt;&lt;/titles&gt;&lt;dates&gt;&lt;year&gt;2019&lt;/year&gt;&lt;/dates&gt;&lt;pub-location&gt;Canberra&lt;/pub-location&gt;&lt;publisher&gt;AIHW&lt;/publisher&gt;&lt;urls&gt;&lt;related-urls&gt;&lt;url&gt;https://www.aihw.gov.au/getmedia/6e4f008a-f433-4add-9032-6fa9771406cf/aihw-injcat-205.pdf.aspx?inline=true&lt;/url&gt;&lt;/related-urls&gt;&lt;/urls&gt;&lt;/record&gt;&lt;/Cite&gt;&lt;/EndNote&gt;</w:instrText>
      </w:r>
      <w:r w:rsidRPr="000C5F08">
        <w:rPr>
          <w:lang w:val="en-AU"/>
        </w:rPr>
        <w:fldChar w:fldCharType="separate"/>
      </w:r>
      <w:r w:rsidRPr="000C5F08">
        <w:rPr>
          <w:noProof/>
          <w:vertAlign w:val="superscript"/>
          <w:lang w:val="en-AU"/>
        </w:rPr>
        <w:t>20</w:t>
      </w:r>
      <w:r w:rsidRPr="000C5F08">
        <w:rPr>
          <w:lang w:val="en-AU"/>
        </w:rPr>
        <w:fldChar w:fldCharType="end"/>
      </w:r>
      <w:r w:rsidRPr="000C5F08">
        <w:rPr>
          <w:lang w:val="en-AU"/>
        </w:rPr>
        <w:t xml:space="preserve"> </w:t>
      </w:r>
      <w:r w:rsidRPr="000C5F08">
        <w:rPr>
          <w:lang w:val="en-AU" w:eastAsia="en-US"/>
        </w:rPr>
        <w:t>It should be noted however that the majority of Aboriginal and Torres Strait Islanders reside in urban and regional areas</w:t>
      </w:r>
      <w:r w:rsidRPr="000C5F08">
        <w:rPr>
          <w:lang w:val="en-AU" w:eastAsia="en-US"/>
        </w:rPr>
        <w:fldChar w:fldCharType="begin"/>
      </w:r>
      <w:r w:rsidRPr="000C5F08">
        <w:rPr>
          <w:lang w:val="en-AU" w:eastAsia="en-US"/>
        </w:rPr>
        <w:instrText xml:space="preserve"> ADDIN EN.CITE &lt;EndNote&gt;&lt;Cite&gt;&lt;Author&gt;Australian Bureau of Statistics&lt;/Author&gt;&lt;Year&gt;2018&lt;/Year&gt;&lt;RecNum&gt;111&lt;/RecNum&gt;&lt;DisplayText&gt;&lt;style face="superscript"&gt;21&lt;/style&gt;&lt;/DisplayText&gt;&lt;record&gt;&lt;rec-number&gt;111&lt;/rec-number&gt;&lt;foreign-keys&gt;&lt;key app="EN" db-id="2wsw9x5wvsspa1evwxlvvergx9epfd50fs2a" timestamp="1584676927"&gt;111&lt;/key&gt;&lt;/foreign-keys&gt;&lt;ref-type name="Web Page"&gt;12&lt;/ref-type&gt;&lt;contributors&gt;&lt;authors&gt;&lt;author&gt;Australian Bureau of Statistics,&lt;/author&gt;&lt;/authors&gt;&lt;/contributors&gt;&lt;titles&gt;&lt;title&gt;2016 Census Counts - Aboriginal and Torres Strait Islander Peoples (By Remoteness Area)&lt;/title&gt;&lt;/titles&gt;&lt;volume&gt;2020&lt;/volume&gt;&lt;number&gt;20 March&lt;/number&gt;&lt;dates&gt;&lt;year&gt;2018&lt;/year&gt;&lt;/dates&gt;&lt;pub-location&gt;Online&lt;/pub-location&gt;&lt;publisher&gt;Australian Bureau of Statistics&lt;/publisher&gt;&lt;urls&gt;&lt;related-urls&gt;&lt;url&gt;https://www.abs.gov.au/AUSSTATS/abs@.nsf/Lookup/2075.0Main+Features202016?OpenDocument&lt;/url&gt;&lt;/related-urls&gt;&lt;/urls&gt;&lt;/record&gt;&lt;/Cite&gt;&lt;/EndNote&gt;</w:instrText>
      </w:r>
      <w:r w:rsidRPr="000C5F08">
        <w:rPr>
          <w:lang w:val="en-AU" w:eastAsia="en-US"/>
        </w:rPr>
        <w:fldChar w:fldCharType="separate"/>
      </w:r>
      <w:r w:rsidRPr="000C5F08">
        <w:rPr>
          <w:noProof/>
          <w:vertAlign w:val="superscript"/>
          <w:lang w:val="en-AU" w:eastAsia="en-US"/>
        </w:rPr>
        <w:t>21</w:t>
      </w:r>
      <w:r w:rsidRPr="000C5F08">
        <w:rPr>
          <w:lang w:val="en-AU" w:eastAsia="en-US"/>
        </w:rPr>
        <w:fldChar w:fldCharType="end"/>
      </w:r>
      <w:r w:rsidRPr="000C5F08">
        <w:rPr>
          <w:lang w:val="en-AU" w:eastAsia="en-US"/>
        </w:rPr>
        <w:t xml:space="preserve">and </w:t>
      </w:r>
      <w:r w:rsidRPr="000C5F08">
        <w:rPr>
          <w:lang w:val="en-AU"/>
        </w:rPr>
        <w:t>that these differences largely reflect the uneven distribution of Aboriginal and Torres Strait Islander people across socioeconomic areas.</w:t>
      </w:r>
      <w:r w:rsidRPr="000C5F08">
        <w:rPr>
          <w:lang w:val="en-AU"/>
        </w:rPr>
        <w:fldChar w:fldCharType="begin"/>
      </w:r>
      <w:r w:rsidRPr="000C5F08">
        <w:rPr>
          <w:lang w:val="en-AU"/>
        </w:rPr>
        <w:instrText xml:space="preserve"> ADDIN EN.CITE &lt;EndNote&gt;&lt;Cite&gt;&lt;Author&gt;AIHW: Pointer&lt;/Author&gt;&lt;Year&gt;2019&lt;/Year&gt;&lt;RecNum&gt;107&lt;/RecNum&gt;&lt;DisplayText&gt;&lt;style face="superscript"&gt;20&lt;/style&gt;&lt;/DisplayText&gt;&lt;record&gt;&lt;rec-number&gt;107&lt;/rec-number&gt;&lt;foreign-keys&gt;&lt;key app="EN" db-id="2wsw9x5wvsspa1evwxlvvergx9epfd50fs2a" timestamp="1583883019"&gt;107&lt;/key&gt;&lt;/foreign-keys&gt;&lt;ref-type name="Report"&gt;27&lt;/ref-type&gt;&lt;contributors&gt;&lt;authors&gt;&lt;author&gt;AIHW: Pointer, SC.&lt;/author&gt;&lt;/authors&gt;&lt;/contributors&gt;&lt;titles&gt;&lt;title&gt;Hospitalised injury and socioeconomic influence in Australia, 2015–16. Injury research and statistics series no. 125. Cat. no. INJCAT 205&lt;/title&gt;&lt;/titles&gt;&lt;dates&gt;&lt;year&gt;2019&lt;/year&gt;&lt;/dates&gt;&lt;pub-location&gt;Canberra&lt;/pub-location&gt;&lt;publisher&gt;AIHW&lt;/publisher&gt;&lt;urls&gt;&lt;related-urls&gt;&lt;url&gt;https://www.aihw.gov.au/getmedia/6e4f008a-f433-4add-9032-6fa9771406cf/aihw-injcat-205.pdf.aspx?inline=true&lt;/url&gt;&lt;/related-urls&gt;&lt;/urls&gt;&lt;/record&gt;&lt;/Cite&gt;&lt;/EndNote&gt;</w:instrText>
      </w:r>
      <w:r w:rsidRPr="000C5F08">
        <w:rPr>
          <w:lang w:val="en-AU"/>
        </w:rPr>
        <w:fldChar w:fldCharType="separate"/>
      </w:r>
      <w:r w:rsidRPr="000C5F08">
        <w:rPr>
          <w:noProof/>
          <w:vertAlign w:val="superscript"/>
          <w:lang w:val="en-AU"/>
        </w:rPr>
        <w:t>20</w:t>
      </w:r>
      <w:r w:rsidRPr="000C5F08">
        <w:rPr>
          <w:lang w:val="en-AU"/>
        </w:rPr>
        <w:fldChar w:fldCharType="end"/>
      </w:r>
      <w:r w:rsidRPr="000C5F08">
        <w:rPr>
          <w:lang w:val="en-AU"/>
        </w:rPr>
        <w:t xml:space="preserve"> </w:t>
      </w:r>
    </w:p>
    <w:p w14:paraId="737FFBB1" w14:textId="77777777" w:rsidR="00C765AF" w:rsidRPr="00A32395" w:rsidRDefault="00C765AF" w:rsidP="00C765AF">
      <w:pPr>
        <w:spacing w:before="120"/>
        <w:rPr>
          <w:lang w:val="en-AU" w:eastAsia="en-US"/>
        </w:rPr>
      </w:pPr>
      <w:r w:rsidRPr="00A32395">
        <w:rPr>
          <w:lang w:val="en-AU" w:eastAsia="en-US"/>
        </w:rPr>
        <w:t>It is also important to note there are data limitations. For example, there are no data to date, that assess the risk and impact of injury among Aboriginal and Torres Strait Islander people living with a disability</w:t>
      </w:r>
      <w:r>
        <w:rPr>
          <w:lang w:val="en-AU" w:eastAsia="en-US"/>
        </w:rPr>
        <w:t>.  S</w:t>
      </w:r>
      <w:r w:rsidRPr="00A32395">
        <w:rPr>
          <w:lang w:val="en-AU" w:eastAsia="en-US"/>
        </w:rPr>
        <w:t>imilarly</w:t>
      </w:r>
      <w:r>
        <w:rPr>
          <w:lang w:val="en-AU" w:eastAsia="en-US"/>
        </w:rPr>
        <w:t>,</w:t>
      </w:r>
      <w:r w:rsidRPr="00A32395">
        <w:rPr>
          <w:lang w:val="en-AU" w:eastAsia="en-US"/>
        </w:rPr>
        <w:t xml:space="preserve"> there is a lack of timely injury data that provide </w:t>
      </w:r>
      <w:proofErr w:type="gramStart"/>
      <w:r w:rsidRPr="00A32395">
        <w:rPr>
          <w:lang w:val="en-AU" w:eastAsia="en-US"/>
        </w:rPr>
        <w:t>sufficient</w:t>
      </w:r>
      <w:proofErr w:type="gramEnd"/>
      <w:r w:rsidRPr="00A32395">
        <w:rPr>
          <w:lang w:val="en-AU" w:eastAsia="en-US"/>
        </w:rPr>
        <w:t xml:space="preserve"> detail and granularity to inform individual communities’ injury prevention priorities.</w:t>
      </w:r>
    </w:p>
    <w:p w14:paraId="4DC01905" w14:textId="77777777" w:rsidR="00601E43" w:rsidRDefault="00601E43">
      <w:pPr>
        <w:spacing w:before="0" w:after="160" w:line="259" w:lineRule="auto"/>
        <w:rPr>
          <w:i/>
          <w:iCs/>
          <w:color w:val="000000" w:themeColor="text1"/>
          <w:sz w:val="18"/>
          <w:szCs w:val="18"/>
        </w:rPr>
      </w:pPr>
      <w:bookmarkStart w:id="189" w:name="_Ref35855307"/>
      <w:r>
        <w:rPr>
          <w:color w:val="000000" w:themeColor="text1"/>
        </w:rPr>
        <w:br w:type="page"/>
      </w:r>
    </w:p>
    <w:p w14:paraId="3CE3CF8B" w14:textId="41348170" w:rsidR="00C82BFF" w:rsidRPr="0060376E" w:rsidRDefault="007D2F13" w:rsidP="0060376E">
      <w:pPr>
        <w:pStyle w:val="Caption"/>
        <w:rPr>
          <w:i w:val="0"/>
          <w:color w:val="000000" w:themeColor="text1"/>
          <w:lang w:val="en-AU"/>
        </w:rPr>
      </w:pPr>
      <w:r w:rsidRPr="0060376E">
        <w:rPr>
          <w:color w:val="000000" w:themeColor="text1"/>
        </w:rPr>
        <w:t xml:space="preserve">Figure </w:t>
      </w:r>
      <w:r w:rsidRPr="0060376E">
        <w:rPr>
          <w:color w:val="000000" w:themeColor="text1"/>
        </w:rPr>
        <w:fldChar w:fldCharType="begin"/>
      </w:r>
      <w:r w:rsidRPr="0060376E">
        <w:rPr>
          <w:color w:val="000000" w:themeColor="text1"/>
        </w:rPr>
        <w:instrText xml:space="preserve"> SEQ Figure \* ARABIC </w:instrText>
      </w:r>
      <w:r w:rsidRPr="0060376E">
        <w:rPr>
          <w:color w:val="000000" w:themeColor="text1"/>
        </w:rPr>
        <w:fldChar w:fldCharType="separate"/>
      </w:r>
      <w:r w:rsidR="00E84433">
        <w:rPr>
          <w:noProof/>
          <w:color w:val="000000" w:themeColor="text1"/>
        </w:rPr>
        <w:t>3</w:t>
      </w:r>
      <w:r w:rsidRPr="0060376E">
        <w:rPr>
          <w:color w:val="000000" w:themeColor="text1"/>
        </w:rPr>
        <w:fldChar w:fldCharType="end"/>
      </w:r>
      <w:r w:rsidR="00C82BFF" w:rsidRPr="0060376E">
        <w:rPr>
          <w:color w:val="000000" w:themeColor="text1"/>
          <w:lang w:val="en-AU"/>
        </w:rPr>
        <w:t xml:space="preserve">. </w:t>
      </w:r>
      <w:r w:rsidR="00C82BFF" w:rsidRPr="0060376E">
        <w:rPr>
          <w:color w:val="000000" w:themeColor="text1"/>
        </w:rPr>
        <w:t>External cause of injury burden (DALY) by age and external cause, Indigenous Australians, 2011</w:t>
      </w:r>
      <w:bookmarkEnd w:id="189"/>
      <w:r w:rsidR="00C82BFF" w:rsidRPr="0060376E">
        <w:rPr>
          <w:color w:val="000000" w:themeColor="text1"/>
        </w:rPr>
        <w:t xml:space="preserve"> </w:t>
      </w:r>
    </w:p>
    <w:p w14:paraId="0A9DE1A3" w14:textId="3BFB6E81" w:rsidR="00C82BFF" w:rsidRDefault="007D2F13" w:rsidP="00C82BFF">
      <w:pPr>
        <w:rPr>
          <w:lang w:val="en-AU"/>
        </w:rPr>
      </w:pPr>
      <w:r w:rsidRPr="007D2F13">
        <w:rPr>
          <w:noProof/>
          <w:lang w:val="en-AU" w:eastAsia="en-AU"/>
        </w:rPr>
        <w:drawing>
          <wp:inline distT="0" distB="0" distL="0" distR="0" wp14:anchorId="37CB145E" wp14:editId="1D5CE635">
            <wp:extent cx="3860800" cy="2536083"/>
            <wp:effectExtent l="0" t="0" r="0" b="8255"/>
            <wp:docPr id="7" name="Picture 7" descr="External cause of injury burden (DALY) by age and external cause, Indigenous Australians, 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60800" cy="2536083"/>
                    </a:xfrm>
                    <a:prstGeom prst="rect">
                      <a:avLst/>
                    </a:prstGeom>
                  </pic:spPr>
                </pic:pic>
              </a:graphicData>
            </a:graphic>
          </wp:inline>
        </w:drawing>
      </w:r>
    </w:p>
    <w:p w14:paraId="65E5F165" w14:textId="559B39A0" w:rsidR="00C82BFF" w:rsidRPr="00914FAA" w:rsidRDefault="00C82BFF" w:rsidP="00C82BFF">
      <w:pPr>
        <w:rPr>
          <w:sz w:val="16"/>
          <w:szCs w:val="18"/>
        </w:rPr>
      </w:pPr>
      <w:r w:rsidRPr="00914FAA">
        <w:rPr>
          <w:sz w:val="16"/>
          <w:szCs w:val="18"/>
        </w:rPr>
        <w:t>AIHW 2016</w:t>
      </w:r>
      <w:r w:rsidR="007D2F13" w:rsidRPr="00914FAA">
        <w:rPr>
          <w:sz w:val="16"/>
          <w:szCs w:val="18"/>
        </w:rPr>
        <w:fldChar w:fldCharType="begin"/>
      </w:r>
      <w:r w:rsidR="003E5832" w:rsidRPr="00914FAA">
        <w:rPr>
          <w:sz w:val="16"/>
          <w:szCs w:val="18"/>
        </w:rPr>
        <w:instrText xml:space="preserve"> ADDIN EN.CITE &lt;EndNote&gt;&lt;Cite&gt;&lt;Author&gt;AIHW&lt;/Author&gt;&lt;Year&gt;2016&lt;/Year&gt;&lt;RecNum&gt;8&lt;/RecNum&gt;&lt;DisplayText&gt;&lt;style face="superscript"&gt;12&lt;/style&gt;&lt;/DisplayText&gt;&lt;record&gt;&lt;rec-number&gt;8&lt;/rec-number&gt;&lt;foreign-keys&gt;&lt;key app="EN" db-id="2wsw9x5wvsspa1evwxlvvergx9epfd50fs2a" timestamp="1571987678"&gt;8&lt;/key&gt;&lt;/foreign-keys&gt;&lt;ref-type name="Report"&gt;27&lt;/ref-type&gt;&lt;contributors&gt;&lt;authors&gt;&lt;author&gt;AIHW,&lt;/author&gt;&lt;/authors&gt;&lt;secondary-authors&gt;&lt;author&gt;AIHW&lt;/author&gt;&lt;/secondary-authors&gt;&lt;/contributors&gt;&lt;titles&gt;&lt;title&gt;Australian Burden of Disease Study: impact and causes of illness and death in Aboriginal and Torres Strait Islander people 2011&lt;/title&gt;&lt;/titles&gt;&lt;section&gt;Cat. no: BOD 7&lt;/section&gt;&lt;dates&gt;&lt;year&gt;2016&lt;/year&gt;&lt;/dates&gt;&lt;pub-location&gt;Canberra&lt;/pub-location&gt;&lt;publisher&gt;AIHW&lt;/publisher&gt;&lt;urls&gt;&lt;related-urls&gt;&lt;url&gt;https://www.aihw.gov.au/getmedia/f494255e-5399-4fae-8e41-1916c99dd030/aihw-bod-7-BoD-ATSI_2011.pdf.aspx?inline=true&lt;/url&gt;&lt;/related-urls&gt;&lt;/urls&gt;&lt;access-date&gt;28 June 2019&lt;/access-date&gt;&lt;/record&gt;&lt;/Cite&gt;&lt;/EndNote&gt;</w:instrText>
      </w:r>
      <w:r w:rsidR="007D2F13" w:rsidRPr="00914FAA">
        <w:rPr>
          <w:sz w:val="16"/>
          <w:szCs w:val="18"/>
        </w:rPr>
        <w:fldChar w:fldCharType="separate"/>
      </w:r>
      <w:r w:rsidR="007D2F13" w:rsidRPr="00914FAA">
        <w:rPr>
          <w:noProof/>
          <w:sz w:val="16"/>
          <w:szCs w:val="18"/>
          <w:vertAlign w:val="superscript"/>
        </w:rPr>
        <w:t>12</w:t>
      </w:r>
      <w:r w:rsidR="007D2F13" w:rsidRPr="00914FAA">
        <w:rPr>
          <w:sz w:val="16"/>
          <w:szCs w:val="18"/>
        </w:rPr>
        <w:fldChar w:fldCharType="end"/>
      </w:r>
      <w:r w:rsidRPr="00914FAA">
        <w:rPr>
          <w:sz w:val="16"/>
          <w:szCs w:val="18"/>
        </w:rPr>
        <w:t>. Figure 10.2.2, pg 152</w:t>
      </w:r>
    </w:p>
    <w:p w14:paraId="5E545327" w14:textId="4DD6A52A" w:rsidR="007D2F13" w:rsidRDefault="007D2F13" w:rsidP="00676114"/>
    <w:p w14:paraId="416A9EF6" w14:textId="77777777" w:rsidR="00C82BFF" w:rsidRDefault="00C82BFF" w:rsidP="00C82BFF">
      <w:pPr>
        <w:pStyle w:val="Heading3"/>
        <w:rPr>
          <w:lang w:val="en-AU"/>
        </w:rPr>
      </w:pPr>
      <w:r>
        <w:rPr>
          <w:lang w:val="en-AU" w:eastAsia="en-US"/>
        </w:rPr>
        <w:t xml:space="preserve">Applying the Strategy principles for </w:t>
      </w:r>
      <w:r w:rsidRPr="00400300">
        <w:rPr>
          <w:lang w:val="en-AU"/>
        </w:rPr>
        <w:t>Aboriginal and Torres Strait Islander people</w:t>
      </w:r>
    </w:p>
    <w:p w14:paraId="51263D62" w14:textId="77777777" w:rsidR="00C82BFF" w:rsidRPr="00916239" w:rsidRDefault="00C82BFF" w:rsidP="00C82BFF">
      <w:pPr>
        <w:rPr>
          <w:i/>
          <w:lang w:val="en-AU" w:eastAsia="en-US"/>
        </w:rPr>
      </w:pPr>
      <w:bookmarkStart w:id="190" w:name="_Hlk37157178"/>
      <w:r>
        <w:rPr>
          <w:i/>
        </w:rPr>
        <w:t>Aboriginal Community Controlled Health Organisation (</w:t>
      </w:r>
      <w:r w:rsidRPr="00916239">
        <w:rPr>
          <w:i/>
        </w:rPr>
        <w:t>ACCHO</w:t>
      </w:r>
      <w:r>
        <w:rPr>
          <w:i/>
        </w:rPr>
        <w:t>)</w:t>
      </w:r>
      <w:r w:rsidRPr="00916239">
        <w:rPr>
          <w:i/>
        </w:rPr>
        <w:t xml:space="preserve"> </w:t>
      </w:r>
      <w:bookmarkEnd w:id="190"/>
      <w:r w:rsidRPr="00916239">
        <w:rPr>
          <w:i/>
        </w:rPr>
        <w:t xml:space="preserve">collaboration </w:t>
      </w:r>
    </w:p>
    <w:p w14:paraId="430DC53F" w14:textId="0EAF7715" w:rsidR="00C82BFF" w:rsidRDefault="00C82BFF" w:rsidP="00B443F6">
      <w:pPr>
        <w:spacing w:before="120"/>
        <w:rPr>
          <w:color w:val="000000" w:themeColor="text1"/>
          <w:szCs w:val="22"/>
        </w:rPr>
      </w:pPr>
      <w:r>
        <w:rPr>
          <w:color w:val="000000" w:themeColor="text1"/>
          <w:szCs w:val="22"/>
        </w:rPr>
        <w:t xml:space="preserve">The policy commitment to self-determination for Indigenous Australians has resulted in the establishment of many Aboriginal Community-Controlled Health Organisations (ACCHOs) and </w:t>
      </w:r>
      <w:bookmarkStart w:id="191" w:name="_Hlk37157186"/>
      <w:r>
        <w:rPr>
          <w:color w:val="000000" w:themeColor="text1"/>
          <w:szCs w:val="22"/>
        </w:rPr>
        <w:t>Aboriginal Community Controlled Organisations (ACCOs</w:t>
      </w:r>
      <w:bookmarkEnd w:id="191"/>
      <w:r>
        <w:rPr>
          <w:color w:val="000000" w:themeColor="text1"/>
          <w:szCs w:val="22"/>
        </w:rPr>
        <w:t xml:space="preserve">). There is opportunity for significant engagement with these organisations to build on the evidence </w:t>
      </w:r>
      <w:r w:rsidR="006350BC">
        <w:rPr>
          <w:color w:val="000000" w:themeColor="text1"/>
          <w:szCs w:val="22"/>
        </w:rPr>
        <w:t>for i</w:t>
      </w:r>
      <w:r>
        <w:rPr>
          <w:color w:val="000000" w:themeColor="text1"/>
          <w:szCs w:val="22"/>
        </w:rPr>
        <w:t>njury causation and prevention. ACCHO’s are uniquely placed to consider injury in the context of the whole of person</w:t>
      </w:r>
      <w:r w:rsidR="00FC1BF8">
        <w:rPr>
          <w:color w:val="000000" w:themeColor="text1"/>
          <w:szCs w:val="22"/>
        </w:rPr>
        <w:t>. They</w:t>
      </w:r>
      <w:r>
        <w:rPr>
          <w:color w:val="000000" w:themeColor="text1"/>
          <w:szCs w:val="22"/>
        </w:rPr>
        <w:t xml:space="preserve"> work from a strengths-based approach with a foundation of trust and create a flow between acute injury management and planned injury prevention. Key to this strategy is the support of ACCHOs in leading injury prevention and embedding within their comprehensive primary health care service delivery model. </w:t>
      </w:r>
    </w:p>
    <w:p w14:paraId="0254EA44" w14:textId="4B19597A" w:rsidR="00676114" w:rsidRDefault="00C82BFF" w:rsidP="00B443F6">
      <w:pPr>
        <w:spacing w:before="120"/>
        <w:rPr>
          <w:rFonts w:cstheme="minorHAnsi"/>
          <w:lang w:val="en-AU"/>
        </w:rPr>
      </w:pPr>
      <w:r>
        <w:rPr>
          <w:rFonts w:cstheme="minorHAnsi"/>
          <w:lang w:val="en-AU"/>
        </w:rPr>
        <w:t>Additionally, c</w:t>
      </w:r>
      <w:r w:rsidRPr="00400300">
        <w:rPr>
          <w:rFonts w:cstheme="minorHAnsi"/>
          <w:lang w:val="en-AU"/>
        </w:rPr>
        <w:t xml:space="preserve">ore principles must be adhered to when developing, implementing and evaluating programs aimed at enhancing safety and social and emotional wellbeing and reducing injury among Aboriginal and Torres Strait Islander people. These principles are core to all appropriate frameworks, strategies and guidelines. Of prime importance is the centrality of culture and commitment to the cultural determinants of health (language, knowledge and beliefs, kinship, cultural expression, self-determination, and country and caring for country). </w:t>
      </w:r>
    </w:p>
    <w:p w14:paraId="08A77AF4" w14:textId="77777777" w:rsidR="00E002A3" w:rsidRDefault="00E002A3" w:rsidP="00B443F6">
      <w:pPr>
        <w:spacing w:before="120"/>
        <w:rPr>
          <w:rFonts w:cstheme="minorHAnsi"/>
          <w:lang w:val="en-AU"/>
        </w:rPr>
      </w:pPr>
    </w:p>
    <w:tbl>
      <w:tblPr>
        <w:tblStyle w:val="TableGrid"/>
        <w:tblW w:w="5170" w:type="pct"/>
        <w:tblLook w:val="04A0" w:firstRow="1" w:lastRow="0" w:firstColumn="1" w:lastColumn="0" w:noHBand="0" w:noVBand="1"/>
      </w:tblPr>
      <w:tblGrid>
        <w:gridCol w:w="2185"/>
        <w:gridCol w:w="7138"/>
      </w:tblGrid>
      <w:tr w:rsidR="00C82BFF" w:rsidRPr="00F14320" w14:paraId="7FA1B492" w14:textId="77777777" w:rsidTr="00E002A3">
        <w:trPr>
          <w:trHeight w:val="487"/>
          <w:tblHeader/>
        </w:trPr>
        <w:tc>
          <w:tcPr>
            <w:tcW w:w="1172" w:type="pct"/>
            <w:shd w:val="clear" w:color="auto" w:fill="000000" w:themeFill="text1"/>
          </w:tcPr>
          <w:p w14:paraId="0EABE728" w14:textId="77777777" w:rsidR="00C82BFF" w:rsidRPr="00F14320" w:rsidRDefault="00C82BFF" w:rsidP="005B5F77">
            <w:pPr>
              <w:spacing w:before="0"/>
              <w:rPr>
                <w:rFonts w:cstheme="minorHAnsi"/>
                <w:b/>
                <w:color w:val="FFFFFF" w:themeColor="background1"/>
                <w:sz w:val="20"/>
                <w:szCs w:val="20"/>
                <w:lang w:val="en-AU"/>
              </w:rPr>
            </w:pPr>
            <w:r w:rsidRPr="00F14320">
              <w:rPr>
                <w:rFonts w:cstheme="minorHAnsi"/>
                <w:b/>
                <w:color w:val="FFFFFF" w:themeColor="background1"/>
                <w:sz w:val="20"/>
                <w:szCs w:val="20"/>
                <w:lang w:val="en-AU"/>
              </w:rPr>
              <w:t>Principle in action</w:t>
            </w:r>
          </w:p>
        </w:tc>
        <w:tc>
          <w:tcPr>
            <w:tcW w:w="3828" w:type="pct"/>
            <w:shd w:val="clear" w:color="auto" w:fill="000000" w:themeFill="text1"/>
          </w:tcPr>
          <w:p w14:paraId="73CFA2B3" w14:textId="77777777" w:rsidR="00C82BFF" w:rsidRPr="00F14320" w:rsidRDefault="00C82BFF" w:rsidP="005B5F77">
            <w:pPr>
              <w:spacing w:before="0"/>
              <w:rPr>
                <w:rFonts w:cstheme="minorHAnsi"/>
                <w:b/>
                <w:color w:val="FFFFFF" w:themeColor="background1"/>
                <w:sz w:val="20"/>
                <w:szCs w:val="20"/>
                <w:lang w:val="en-AU"/>
              </w:rPr>
            </w:pPr>
            <w:r w:rsidRPr="00F14320">
              <w:rPr>
                <w:rFonts w:cstheme="minorHAnsi"/>
                <w:b/>
                <w:color w:val="FFFFFF" w:themeColor="background1"/>
                <w:sz w:val="20"/>
                <w:szCs w:val="20"/>
                <w:lang w:val="en-AU"/>
              </w:rPr>
              <w:t>What does this mean for Aboriginal and Torres Strait Islander people?</w:t>
            </w:r>
          </w:p>
        </w:tc>
      </w:tr>
      <w:tr w:rsidR="00C82BFF" w:rsidRPr="00F14320" w14:paraId="7348DC9F" w14:textId="77777777" w:rsidTr="005B5F77">
        <w:tc>
          <w:tcPr>
            <w:tcW w:w="1172" w:type="pct"/>
          </w:tcPr>
          <w:p w14:paraId="79993581" w14:textId="77777777" w:rsidR="00C82BFF" w:rsidRPr="00F14320" w:rsidRDefault="00C82BFF" w:rsidP="005B5F77">
            <w:pPr>
              <w:spacing w:before="0"/>
              <w:rPr>
                <w:rFonts w:cstheme="minorHAnsi"/>
                <w:b/>
                <w:color w:val="000000" w:themeColor="text1"/>
                <w:sz w:val="20"/>
                <w:szCs w:val="20"/>
                <w:lang w:val="en-AU"/>
              </w:rPr>
            </w:pPr>
            <w:r w:rsidRPr="00F14320">
              <w:rPr>
                <w:rFonts w:cstheme="minorHAnsi"/>
                <w:b/>
                <w:sz w:val="20"/>
                <w:szCs w:val="20"/>
                <w:lang w:val="en-AU"/>
              </w:rPr>
              <w:t>Evidence-based</w:t>
            </w:r>
          </w:p>
        </w:tc>
        <w:tc>
          <w:tcPr>
            <w:tcW w:w="3828" w:type="pct"/>
          </w:tcPr>
          <w:p w14:paraId="05A6886F" w14:textId="29552E9C"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Improve the quality and availability of timely Aboriginal and Torres Strait Islander injury data in rout</w:t>
            </w:r>
            <w:r w:rsidR="006350BC">
              <w:rPr>
                <w:color w:val="000000" w:themeColor="text1"/>
                <w:sz w:val="20"/>
                <w:szCs w:val="20"/>
              </w:rPr>
              <w:t>ine collection.</w:t>
            </w:r>
            <w:r w:rsidRPr="00F14320">
              <w:rPr>
                <w:color w:val="000000" w:themeColor="text1"/>
                <w:sz w:val="20"/>
                <w:szCs w:val="20"/>
              </w:rPr>
              <w:t xml:space="preserve"> </w:t>
            </w:r>
          </w:p>
          <w:p w14:paraId="60CCB375" w14:textId="12777161"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Invest in high priority</w:t>
            </w:r>
            <w:r w:rsidR="00FC1BF8">
              <w:rPr>
                <w:color w:val="000000" w:themeColor="text1"/>
                <w:sz w:val="20"/>
                <w:szCs w:val="20"/>
              </w:rPr>
              <w:t xml:space="preserve"> research in i</w:t>
            </w:r>
            <w:r w:rsidR="006350BC">
              <w:rPr>
                <w:color w:val="000000" w:themeColor="text1"/>
                <w:sz w:val="20"/>
                <w:szCs w:val="20"/>
              </w:rPr>
              <w:t>njury prevention.</w:t>
            </w:r>
          </w:p>
          <w:p w14:paraId="280D84FE" w14:textId="2913F2FF"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Support the scaling up and transferability of local level interventions know</w:t>
            </w:r>
            <w:r w:rsidR="006350BC">
              <w:rPr>
                <w:color w:val="000000" w:themeColor="text1"/>
                <w:sz w:val="20"/>
                <w:szCs w:val="20"/>
              </w:rPr>
              <w:t>n and successful interventions.</w:t>
            </w:r>
          </w:p>
          <w:p w14:paraId="29B3D6EC" w14:textId="161DE1C9" w:rsidR="00C82BFF" w:rsidRPr="00F14320" w:rsidRDefault="007172EB" w:rsidP="007D5286">
            <w:pPr>
              <w:pStyle w:val="ListParagraph"/>
              <w:numPr>
                <w:ilvl w:val="0"/>
                <w:numId w:val="46"/>
              </w:numPr>
              <w:spacing w:before="0"/>
              <w:ind w:left="540" w:hanging="425"/>
              <w:rPr>
                <w:color w:val="000000" w:themeColor="text1"/>
                <w:sz w:val="20"/>
                <w:szCs w:val="20"/>
              </w:rPr>
            </w:pPr>
            <w:r>
              <w:rPr>
                <w:color w:val="000000" w:themeColor="text1"/>
                <w:sz w:val="20"/>
                <w:szCs w:val="20"/>
              </w:rPr>
              <w:t>Develop a</w:t>
            </w:r>
            <w:r w:rsidR="00C82BFF" w:rsidRPr="00F14320">
              <w:rPr>
                <w:color w:val="000000" w:themeColor="text1"/>
                <w:sz w:val="20"/>
                <w:szCs w:val="20"/>
              </w:rPr>
              <w:t xml:space="preserve">n Aboriginal and Torres Strait Islander monitoring and evaluation strategy </w:t>
            </w:r>
            <w:r w:rsidR="006350BC">
              <w:rPr>
                <w:color w:val="000000" w:themeColor="text1"/>
                <w:sz w:val="20"/>
                <w:szCs w:val="20"/>
              </w:rPr>
              <w:t>as part of</w:t>
            </w:r>
            <w:r w:rsidR="00C82BFF" w:rsidRPr="00F14320">
              <w:rPr>
                <w:color w:val="000000" w:themeColor="text1"/>
                <w:sz w:val="20"/>
                <w:szCs w:val="20"/>
              </w:rPr>
              <w:t xml:space="preserve"> </w:t>
            </w:r>
            <w:r w:rsidR="00CD4C53">
              <w:rPr>
                <w:color w:val="000000" w:themeColor="text1"/>
                <w:sz w:val="20"/>
                <w:szCs w:val="20"/>
              </w:rPr>
              <w:t xml:space="preserve">the </w:t>
            </w:r>
            <w:r w:rsidR="00C82BFF" w:rsidRPr="00F14320">
              <w:rPr>
                <w:color w:val="000000" w:themeColor="text1"/>
                <w:sz w:val="20"/>
                <w:szCs w:val="20"/>
              </w:rPr>
              <w:t xml:space="preserve">implementation of </w:t>
            </w:r>
            <w:r w:rsidR="00CD4C53">
              <w:rPr>
                <w:color w:val="000000" w:themeColor="text1"/>
                <w:sz w:val="20"/>
                <w:szCs w:val="20"/>
              </w:rPr>
              <w:t>this Strat</w:t>
            </w:r>
            <w:r w:rsidR="00D32C19">
              <w:rPr>
                <w:color w:val="000000" w:themeColor="text1"/>
                <w:sz w:val="20"/>
                <w:szCs w:val="20"/>
              </w:rPr>
              <w:t>eg</w:t>
            </w:r>
            <w:r w:rsidR="00CD4C53">
              <w:rPr>
                <w:color w:val="000000" w:themeColor="text1"/>
                <w:sz w:val="20"/>
                <w:szCs w:val="20"/>
              </w:rPr>
              <w:t>y.</w:t>
            </w:r>
          </w:p>
        </w:tc>
      </w:tr>
      <w:tr w:rsidR="00C82BFF" w:rsidRPr="00F14320" w14:paraId="2CA134BA" w14:textId="77777777" w:rsidTr="005B5F77">
        <w:tc>
          <w:tcPr>
            <w:tcW w:w="1172" w:type="pct"/>
          </w:tcPr>
          <w:p w14:paraId="4D44A524" w14:textId="77777777" w:rsidR="00C82BFF" w:rsidRPr="00F14320" w:rsidRDefault="00C82BFF" w:rsidP="005B5F77">
            <w:pPr>
              <w:spacing w:before="0"/>
              <w:rPr>
                <w:rFonts w:cstheme="minorHAnsi"/>
                <w:b/>
                <w:color w:val="000000" w:themeColor="text1"/>
                <w:sz w:val="20"/>
                <w:szCs w:val="20"/>
                <w:lang w:val="en-AU"/>
              </w:rPr>
            </w:pPr>
            <w:r w:rsidRPr="00F14320">
              <w:rPr>
                <w:rFonts w:cstheme="minorHAnsi"/>
                <w:b/>
                <w:sz w:val="20"/>
                <w:szCs w:val="20"/>
                <w:lang w:val="en-AU"/>
              </w:rPr>
              <w:t>Equity</w:t>
            </w:r>
          </w:p>
        </w:tc>
        <w:tc>
          <w:tcPr>
            <w:tcW w:w="3828" w:type="pct"/>
          </w:tcPr>
          <w:p w14:paraId="5D8026C6" w14:textId="5BC77013"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Develop</w:t>
            </w:r>
            <w:r w:rsidR="00CD4C53">
              <w:rPr>
                <w:color w:val="000000" w:themeColor="text1"/>
                <w:sz w:val="20"/>
                <w:szCs w:val="20"/>
              </w:rPr>
              <w:t xml:space="preserve"> </w:t>
            </w:r>
            <w:r w:rsidRPr="00F14320">
              <w:rPr>
                <w:color w:val="000000" w:themeColor="text1"/>
                <w:sz w:val="20"/>
                <w:szCs w:val="20"/>
              </w:rPr>
              <w:t>capability within the Aboriginal and Torres Strait Islander workforce so that Indigenous injury is adequ</w:t>
            </w:r>
            <w:r w:rsidR="006350BC">
              <w:rPr>
                <w:color w:val="000000" w:themeColor="text1"/>
                <w:sz w:val="20"/>
                <w:szCs w:val="20"/>
              </w:rPr>
              <w:t>ately identified and managed.</w:t>
            </w:r>
          </w:p>
          <w:p w14:paraId="185C6BD3" w14:textId="5BB28176" w:rsidR="00C82BFF" w:rsidRPr="00F14320" w:rsidRDefault="00CD4C53"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Ensur</w:t>
            </w:r>
            <w:r>
              <w:rPr>
                <w:color w:val="000000" w:themeColor="text1"/>
                <w:sz w:val="20"/>
                <w:szCs w:val="20"/>
              </w:rPr>
              <w:t>e</w:t>
            </w:r>
            <w:r w:rsidRPr="00F14320">
              <w:rPr>
                <w:color w:val="000000" w:themeColor="text1"/>
                <w:sz w:val="20"/>
                <w:szCs w:val="20"/>
              </w:rPr>
              <w:t xml:space="preserve"> </w:t>
            </w:r>
            <w:r w:rsidR="00C82BFF" w:rsidRPr="00F14320">
              <w:rPr>
                <w:color w:val="000000" w:themeColor="text1"/>
                <w:sz w:val="20"/>
                <w:szCs w:val="20"/>
              </w:rPr>
              <w:t>an equitable approach to injury prevention including the prioritisation of Aboriginal and Torres Strait funding to address current disparities.</w:t>
            </w:r>
          </w:p>
        </w:tc>
      </w:tr>
      <w:tr w:rsidR="00C82BFF" w:rsidRPr="00F14320" w14:paraId="757A1359" w14:textId="77777777" w:rsidTr="005B5F77">
        <w:tc>
          <w:tcPr>
            <w:tcW w:w="1172" w:type="pct"/>
          </w:tcPr>
          <w:p w14:paraId="3F708A74" w14:textId="77777777" w:rsidR="00C82BFF" w:rsidRPr="00F14320" w:rsidRDefault="00C82BFF" w:rsidP="005B5F77">
            <w:pPr>
              <w:spacing w:before="0"/>
              <w:rPr>
                <w:rFonts w:cstheme="minorHAnsi"/>
                <w:b/>
                <w:color w:val="000000" w:themeColor="text1"/>
                <w:sz w:val="20"/>
                <w:szCs w:val="20"/>
                <w:lang w:val="en-AU"/>
              </w:rPr>
            </w:pPr>
            <w:r w:rsidRPr="00F14320">
              <w:rPr>
                <w:rFonts w:cstheme="minorHAnsi"/>
                <w:b/>
                <w:sz w:val="20"/>
                <w:szCs w:val="20"/>
                <w:lang w:val="en-AU"/>
              </w:rPr>
              <w:t xml:space="preserve">Engagement </w:t>
            </w:r>
          </w:p>
        </w:tc>
        <w:tc>
          <w:tcPr>
            <w:tcW w:w="3828" w:type="pct"/>
          </w:tcPr>
          <w:p w14:paraId="5B7C5789" w14:textId="345EC9B6"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Support Aboriginal and Torres Strait Islander health organisations with information and strategies to i</w:t>
            </w:r>
            <w:r w:rsidR="006350BC">
              <w:rPr>
                <w:color w:val="000000" w:themeColor="text1"/>
                <w:sz w:val="20"/>
                <w:szCs w:val="20"/>
              </w:rPr>
              <w:t>dentify local level strategies.</w:t>
            </w:r>
          </w:p>
          <w:p w14:paraId="4C3702FA" w14:textId="077FC3A6"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 xml:space="preserve">Build health literacy in communities through targeted interventions. </w:t>
            </w:r>
          </w:p>
        </w:tc>
      </w:tr>
      <w:tr w:rsidR="00C82BFF" w:rsidRPr="00F14320" w14:paraId="3BF8E104" w14:textId="77777777" w:rsidTr="005B5F77">
        <w:tc>
          <w:tcPr>
            <w:tcW w:w="1172" w:type="pct"/>
          </w:tcPr>
          <w:p w14:paraId="67453810" w14:textId="77777777" w:rsidR="00C82BFF" w:rsidRPr="00F14320" w:rsidRDefault="00C82BFF" w:rsidP="005B5F77">
            <w:pPr>
              <w:keepNext/>
              <w:spacing w:before="0"/>
              <w:rPr>
                <w:rFonts w:cstheme="minorHAnsi"/>
                <w:b/>
                <w:color w:val="000000" w:themeColor="text1"/>
                <w:sz w:val="20"/>
                <w:szCs w:val="20"/>
                <w:lang w:val="en-AU"/>
              </w:rPr>
            </w:pPr>
            <w:r w:rsidRPr="00F14320">
              <w:rPr>
                <w:rFonts w:cstheme="minorHAnsi"/>
                <w:b/>
                <w:sz w:val="20"/>
                <w:szCs w:val="20"/>
                <w:lang w:val="en-AU"/>
              </w:rPr>
              <w:t>Coordination</w:t>
            </w:r>
          </w:p>
        </w:tc>
        <w:tc>
          <w:tcPr>
            <w:tcW w:w="3828" w:type="pct"/>
          </w:tcPr>
          <w:p w14:paraId="6584AC08" w14:textId="5264DA61"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 xml:space="preserve">Ensure a coordinated effort </w:t>
            </w:r>
            <w:r w:rsidR="00CD4C53">
              <w:rPr>
                <w:color w:val="000000" w:themeColor="text1"/>
                <w:sz w:val="20"/>
                <w:szCs w:val="20"/>
              </w:rPr>
              <w:t xml:space="preserve">across </w:t>
            </w:r>
            <w:r w:rsidRPr="00F14320">
              <w:rPr>
                <w:color w:val="000000" w:themeColor="text1"/>
                <w:sz w:val="20"/>
                <w:szCs w:val="20"/>
              </w:rPr>
              <w:t>the government sector, the Aboriginal and Torres Strait Islander community-controlled sector and other non-p</w:t>
            </w:r>
            <w:r w:rsidR="00FC1BF8">
              <w:rPr>
                <w:color w:val="000000" w:themeColor="text1"/>
                <w:sz w:val="20"/>
                <w:szCs w:val="20"/>
              </w:rPr>
              <w:t>rofit organisations to address i</w:t>
            </w:r>
            <w:r w:rsidRPr="00F14320">
              <w:rPr>
                <w:color w:val="000000" w:themeColor="text1"/>
                <w:sz w:val="20"/>
                <w:szCs w:val="20"/>
              </w:rPr>
              <w:t>njury</w:t>
            </w:r>
            <w:r w:rsidR="006350BC">
              <w:rPr>
                <w:color w:val="000000" w:themeColor="text1"/>
                <w:sz w:val="20"/>
                <w:szCs w:val="20"/>
              </w:rPr>
              <w:t xml:space="preserve"> prevention.</w:t>
            </w:r>
          </w:p>
          <w:p w14:paraId="2DC8902A" w14:textId="2B3B867B" w:rsidR="00C82BFF" w:rsidRPr="00F14320" w:rsidRDefault="00CD4C53" w:rsidP="007D5286">
            <w:pPr>
              <w:pStyle w:val="ListParagraph"/>
              <w:numPr>
                <w:ilvl w:val="0"/>
                <w:numId w:val="46"/>
              </w:numPr>
              <w:spacing w:before="0"/>
              <w:ind w:left="540" w:hanging="425"/>
              <w:rPr>
                <w:color w:val="000000" w:themeColor="text1"/>
                <w:sz w:val="20"/>
                <w:szCs w:val="20"/>
              </w:rPr>
            </w:pPr>
            <w:r>
              <w:rPr>
                <w:color w:val="000000" w:themeColor="text1"/>
                <w:sz w:val="20"/>
                <w:szCs w:val="20"/>
              </w:rPr>
              <w:t>Support</w:t>
            </w:r>
            <w:r w:rsidRPr="00F14320">
              <w:rPr>
                <w:color w:val="000000" w:themeColor="text1"/>
                <w:sz w:val="20"/>
                <w:szCs w:val="20"/>
              </w:rPr>
              <w:t xml:space="preserve"> </w:t>
            </w:r>
            <w:r w:rsidR="00C82BFF" w:rsidRPr="00F14320">
              <w:rPr>
                <w:color w:val="000000" w:themeColor="text1"/>
                <w:sz w:val="20"/>
                <w:szCs w:val="20"/>
              </w:rPr>
              <w:t>advocacy for injury prevention across other sectors that influence the social d</w:t>
            </w:r>
            <w:r w:rsidR="006350BC">
              <w:rPr>
                <w:color w:val="000000" w:themeColor="text1"/>
                <w:sz w:val="20"/>
                <w:szCs w:val="20"/>
              </w:rPr>
              <w:t>eterminants of injury outcomes.</w:t>
            </w:r>
          </w:p>
          <w:p w14:paraId="024F6C42" w14:textId="41573065" w:rsidR="00C82BFF" w:rsidRPr="00F14320" w:rsidRDefault="00CD4C53" w:rsidP="007D5286">
            <w:pPr>
              <w:pStyle w:val="ListParagraph"/>
              <w:numPr>
                <w:ilvl w:val="0"/>
                <w:numId w:val="46"/>
              </w:numPr>
              <w:spacing w:before="0"/>
              <w:ind w:left="540" w:hanging="425"/>
              <w:rPr>
                <w:color w:val="000000" w:themeColor="text1"/>
                <w:sz w:val="20"/>
                <w:szCs w:val="20"/>
              </w:rPr>
            </w:pPr>
            <w:r>
              <w:rPr>
                <w:color w:val="000000" w:themeColor="text1"/>
                <w:sz w:val="20"/>
                <w:szCs w:val="20"/>
              </w:rPr>
              <w:t>Promote m</w:t>
            </w:r>
            <w:r w:rsidR="00C82BFF" w:rsidRPr="00F14320">
              <w:rPr>
                <w:color w:val="000000" w:themeColor="text1"/>
                <w:sz w:val="20"/>
                <w:szCs w:val="20"/>
              </w:rPr>
              <w:t xml:space="preserve">ulti-sectoral collaboration to address the links between injury and mental health, drug and alcohol and substance misuse and excess morbidity and mortality. </w:t>
            </w:r>
          </w:p>
        </w:tc>
      </w:tr>
      <w:tr w:rsidR="00C82BFF" w:rsidRPr="00F14320" w14:paraId="6FAA63C8" w14:textId="77777777" w:rsidTr="005B5F77">
        <w:tc>
          <w:tcPr>
            <w:tcW w:w="1172" w:type="pct"/>
          </w:tcPr>
          <w:p w14:paraId="55DD2368" w14:textId="77777777" w:rsidR="00C82BFF" w:rsidRPr="00F14320" w:rsidRDefault="00C82BFF" w:rsidP="005B5F77">
            <w:pPr>
              <w:spacing w:before="0"/>
              <w:rPr>
                <w:rFonts w:cstheme="minorHAnsi"/>
                <w:b/>
                <w:color w:val="000000" w:themeColor="text1"/>
                <w:sz w:val="20"/>
                <w:szCs w:val="20"/>
                <w:lang w:val="en-AU"/>
              </w:rPr>
            </w:pPr>
            <w:r w:rsidRPr="00F14320">
              <w:rPr>
                <w:rFonts w:cstheme="minorHAnsi"/>
                <w:b/>
                <w:color w:val="000000" w:themeColor="text1"/>
                <w:sz w:val="20"/>
                <w:szCs w:val="20"/>
                <w:lang w:val="en-AU"/>
              </w:rPr>
              <w:t>Resourcing</w:t>
            </w:r>
          </w:p>
        </w:tc>
        <w:tc>
          <w:tcPr>
            <w:tcW w:w="3828" w:type="pct"/>
          </w:tcPr>
          <w:p w14:paraId="1FA42C2B" w14:textId="51B2555F"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Ensur</w:t>
            </w:r>
            <w:r w:rsidR="00CD4C53">
              <w:rPr>
                <w:color w:val="000000" w:themeColor="text1"/>
                <w:sz w:val="20"/>
                <w:szCs w:val="20"/>
              </w:rPr>
              <w:t>e</w:t>
            </w:r>
            <w:r w:rsidRPr="00F14320">
              <w:rPr>
                <w:color w:val="000000" w:themeColor="text1"/>
                <w:sz w:val="20"/>
                <w:szCs w:val="20"/>
              </w:rPr>
              <w:t xml:space="preserve"> current Aboriginal and Torres Strait Islander </w:t>
            </w:r>
            <w:r w:rsidR="00CD4C53">
              <w:rPr>
                <w:color w:val="000000" w:themeColor="text1"/>
                <w:sz w:val="20"/>
                <w:szCs w:val="20"/>
              </w:rPr>
              <w:t>i</w:t>
            </w:r>
            <w:r w:rsidRPr="00F14320">
              <w:rPr>
                <w:color w:val="000000" w:themeColor="text1"/>
                <w:sz w:val="20"/>
                <w:szCs w:val="20"/>
              </w:rPr>
              <w:t>njury prevention resources are used in the most</w:t>
            </w:r>
            <w:r w:rsidR="006350BC">
              <w:rPr>
                <w:color w:val="000000" w:themeColor="text1"/>
                <w:sz w:val="20"/>
                <w:szCs w:val="20"/>
              </w:rPr>
              <w:t xml:space="preserve"> efficient and effective manner.</w:t>
            </w:r>
          </w:p>
          <w:p w14:paraId="783F29DC" w14:textId="38185366"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 xml:space="preserve">Invest to fill </w:t>
            </w:r>
            <w:r w:rsidR="00CD4C53">
              <w:rPr>
                <w:color w:val="000000" w:themeColor="text1"/>
                <w:sz w:val="20"/>
                <w:szCs w:val="20"/>
              </w:rPr>
              <w:t>evidence</w:t>
            </w:r>
            <w:r w:rsidRPr="00F14320">
              <w:rPr>
                <w:color w:val="000000" w:themeColor="text1"/>
                <w:sz w:val="20"/>
                <w:szCs w:val="20"/>
              </w:rPr>
              <w:t xml:space="preserve"> gaps in Aboriginal and Torres Strait Isla</w:t>
            </w:r>
            <w:r w:rsidR="006350BC">
              <w:rPr>
                <w:color w:val="000000" w:themeColor="text1"/>
                <w:sz w:val="20"/>
                <w:szCs w:val="20"/>
              </w:rPr>
              <w:t>nder injury.</w:t>
            </w:r>
          </w:p>
          <w:p w14:paraId="2A35DEA0" w14:textId="11B4D09C" w:rsidR="00C82BFF" w:rsidRPr="00F14320" w:rsidRDefault="00C82BFF" w:rsidP="007D5286">
            <w:pPr>
              <w:pStyle w:val="ListParagraph"/>
              <w:numPr>
                <w:ilvl w:val="0"/>
                <w:numId w:val="46"/>
              </w:numPr>
              <w:tabs>
                <w:tab w:val="left" w:pos="1160"/>
              </w:tabs>
              <w:spacing w:before="0"/>
              <w:ind w:left="540" w:hanging="425"/>
              <w:rPr>
                <w:rFonts w:cstheme="minorHAnsi"/>
                <w:sz w:val="20"/>
                <w:szCs w:val="20"/>
                <w:lang w:val="en-AU"/>
              </w:rPr>
            </w:pPr>
            <w:r w:rsidRPr="00F14320">
              <w:rPr>
                <w:color w:val="000000" w:themeColor="text1"/>
                <w:sz w:val="20"/>
                <w:szCs w:val="20"/>
              </w:rPr>
              <w:t>I</w:t>
            </w:r>
            <w:r w:rsidR="00CD4C53">
              <w:rPr>
                <w:color w:val="000000" w:themeColor="text1"/>
                <w:sz w:val="20"/>
                <w:szCs w:val="20"/>
              </w:rPr>
              <w:t>nvest in i</w:t>
            </w:r>
            <w:r w:rsidRPr="00F14320">
              <w:rPr>
                <w:color w:val="000000" w:themeColor="text1"/>
                <w:sz w:val="20"/>
                <w:szCs w:val="20"/>
              </w:rPr>
              <w:t xml:space="preserve">nfrastructure and </w:t>
            </w:r>
            <w:r w:rsidR="00CD4C53">
              <w:rPr>
                <w:color w:val="000000" w:themeColor="text1"/>
                <w:sz w:val="20"/>
                <w:szCs w:val="20"/>
              </w:rPr>
              <w:t xml:space="preserve">provide </w:t>
            </w:r>
            <w:r w:rsidRPr="00F14320">
              <w:rPr>
                <w:color w:val="000000" w:themeColor="text1"/>
                <w:sz w:val="20"/>
                <w:szCs w:val="20"/>
              </w:rPr>
              <w:t>funding for communities to support sustainable local level strategies.</w:t>
            </w:r>
          </w:p>
        </w:tc>
      </w:tr>
      <w:tr w:rsidR="00C82BFF" w:rsidRPr="00F14320" w14:paraId="768AF0C7" w14:textId="77777777" w:rsidTr="005B5F77">
        <w:tc>
          <w:tcPr>
            <w:tcW w:w="1172" w:type="pct"/>
          </w:tcPr>
          <w:p w14:paraId="76C2F0AE" w14:textId="77777777" w:rsidR="00C82BFF" w:rsidRPr="00F14320" w:rsidRDefault="00C82BFF" w:rsidP="005B5F77">
            <w:pPr>
              <w:spacing w:before="0"/>
              <w:rPr>
                <w:rFonts w:cstheme="minorHAnsi"/>
                <w:b/>
                <w:color w:val="000000" w:themeColor="text1"/>
                <w:sz w:val="20"/>
                <w:szCs w:val="20"/>
                <w:lang w:val="en-AU"/>
              </w:rPr>
            </w:pPr>
            <w:r w:rsidRPr="00F14320">
              <w:rPr>
                <w:rFonts w:cstheme="minorHAnsi"/>
                <w:b/>
                <w:sz w:val="20"/>
                <w:szCs w:val="20"/>
                <w:lang w:val="en-AU"/>
              </w:rPr>
              <w:t>Responsibility</w:t>
            </w:r>
          </w:p>
        </w:tc>
        <w:tc>
          <w:tcPr>
            <w:tcW w:w="3828" w:type="pct"/>
          </w:tcPr>
          <w:p w14:paraId="2F983B53" w14:textId="2B3E5E06" w:rsidR="00C82BFF" w:rsidRPr="00F14320" w:rsidRDefault="00C82BFF" w:rsidP="007D5286">
            <w:pPr>
              <w:pStyle w:val="ListParagraph"/>
              <w:numPr>
                <w:ilvl w:val="0"/>
                <w:numId w:val="46"/>
              </w:numPr>
              <w:spacing w:before="0"/>
              <w:ind w:left="540" w:hanging="425"/>
              <w:rPr>
                <w:color w:val="000000" w:themeColor="text1"/>
                <w:sz w:val="20"/>
                <w:szCs w:val="20"/>
              </w:rPr>
            </w:pPr>
            <w:r w:rsidRPr="00F14320">
              <w:rPr>
                <w:color w:val="000000" w:themeColor="text1"/>
                <w:sz w:val="20"/>
                <w:szCs w:val="20"/>
              </w:rPr>
              <w:t>Provide leadership in ensuring advocacy across all portfolios with respo</w:t>
            </w:r>
            <w:r w:rsidR="006350BC">
              <w:rPr>
                <w:color w:val="000000" w:themeColor="text1"/>
                <w:sz w:val="20"/>
                <w:szCs w:val="20"/>
              </w:rPr>
              <w:t>nsibility for Injury prevention.</w:t>
            </w:r>
          </w:p>
          <w:p w14:paraId="7E289938" w14:textId="7DBA3479" w:rsidR="00C82BFF" w:rsidRPr="00F14320" w:rsidRDefault="00CD4C53" w:rsidP="007D5286">
            <w:pPr>
              <w:pStyle w:val="ListParagraph"/>
              <w:numPr>
                <w:ilvl w:val="0"/>
                <w:numId w:val="46"/>
              </w:numPr>
              <w:spacing w:before="0"/>
              <w:ind w:left="540" w:hanging="425"/>
              <w:rPr>
                <w:color w:val="000000" w:themeColor="text1"/>
                <w:sz w:val="20"/>
                <w:szCs w:val="20"/>
              </w:rPr>
            </w:pPr>
            <w:r>
              <w:rPr>
                <w:color w:val="000000" w:themeColor="text1"/>
                <w:sz w:val="20"/>
                <w:szCs w:val="20"/>
              </w:rPr>
              <w:t>Promote</w:t>
            </w:r>
            <w:r w:rsidR="00C82BFF" w:rsidRPr="00F14320">
              <w:rPr>
                <w:color w:val="000000" w:themeColor="text1"/>
                <w:sz w:val="20"/>
                <w:szCs w:val="20"/>
              </w:rPr>
              <w:t xml:space="preserve"> state, territory and </w:t>
            </w:r>
            <w:r w:rsidR="006350BC">
              <w:rPr>
                <w:color w:val="000000" w:themeColor="text1"/>
                <w:sz w:val="20"/>
                <w:szCs w:val="20"/>
              </w:rPr>
              <w:t>C</w:t>
            </w:r>
            <w:r w:rsidR="00C82BFF" w:rsidRPr="00F14320">
              <w:rPr>
                <w:color w:val="000000" w:themeColor="text1"/>
                <w:sz w:val="20"/>
                <w:szCs w:val="20"/>
              </w:rPr>
              <w:t xml:space="preserve">ommonwealth coordination and collaboration across all relevant portfolios with responsibility for Injury Prevention.  </w:t>
            </w:r>
          </w:p>
        </w:tc>
      </w:tr>
    </w:tbl>
    <w:p w14:paraId="16F59302" w14:textId="77777777" w:rsidR="006350BC" w:rsidRDefault="006350BC" w:rsidP="00C82BFF">
      <w:pPr>
        <w:spacing w:before="0" w:after="160" w:line="259" w:lineRule="auto"/>
        <w:rPr>
          <w:b/>
          <w:lang w:val="en-AU"/>
        </w:rPr>
      </w:pPr>
    </w:p>
    <w:p w14:paraId="087A3268" w14:textId="033EB014" w:rsidR="00C82BFF" w:rsidRPr="00E74402" w:rsidRDefault="00C82BFF" w:rsidP="00C82BFF">
      <w:pPr>
        <w:spacing w:before="0" w:after="160" w:line="259" w:lineRule="auto"/>
        <w:rPr>
          <w:b/>
          <w:lang w:val="en-AU"/>
        </w:rPr>
      </w:pPr>
      <w:r w:rsidRPr="00E74402">
        <w:rPr>
          <w:b/>
          <w:lang w:val="en-AU"/>
        </w:rPr>
        <w:t>Working appropriately with Aboriginal and Torres Strait Islander people, communities and organisations</w:t>
      </w:r>
    </w:p>
    <w:p w14:paraId="3369C4A6" w14:textId="2B4B5F3E" w:rsidR="00CD4C53" w:rsidRDefault="00C82BFF" w:rsidP="00676114">
      <w:pPr>
        <w:spacing w:before="0" w:line="259" w:lineRule="auto"/>
        <w:rPr>
          <w:lang w:val="en-AU"/>
        </w:rPr>
      </w:pPr>
      <w:r>
        <w:rPr>
          <w:lang w:val="en-AU"/>
        </w:rPr>
        <w:t>There are several guidelines to advise organisations how to work appropriately with Aboriginal and Torres Strait Islander people, communities and organisations</w:t>
      </w:r>
      <w:r w:rsidR="006350BC">
        <w:rPr>
          <w:lang w:val="en-AU"/>
        </w:rPr>
        <w:t>. F</w:t>
      </w:r>
      <w:r w:rsidR="00BC173E">
        <w:rPr>
          <w:lang w:val="en-AU"/>
        </w:rPr>
        <w:t>o</w:t>
      </w:r>
      <w:r w:rsidR="00CD4C53">
        <w:rPr>
          <w:lang w:val="en-AU"/>
        </w:rPr>
        <w:t>r example,</w:t>
      </w:r>
      <w:r>
        <w:rPr>
          <w:lang w:val="en-AU"/>
        </w:rPr>
        <w:t xml:space="preserve"> the </w:t>
      </w:r>
      <w:r w:rsidRPr="00E74402">
        <w:rPr>
          <w:i/>
          <w:lang w:val="en-AU"/>
        </w:rPr>
        <w:t>Active and Safe: Aboriginal child injury prevention guidelines</w:t>
      </w:r>
      <w:r w:rsidRPr="00E74402">
        <w:rPr>
          <w:lang w:val="en-AU"/>
        </w:rPr>
        <w:fldChar w:fldCharType="begin"/>
      </w:r>
      <w:r w:rsidR="007D2F13">
        <w:rPr>
          <w:lang w:val="en-AU"/>
        </w:rPr>
        <w:instrText xml:space="preserve"> ADDIN EN.CITE &lt;EndNote&gt;&lt;Cite&gt;&lt;Author&gt;Clapham&lt;/Author&gt;&lt;Year&gt;2019&lt;/Year&gt;&lt;RecNum&gt;112&lt;/RecNum&gt;&lt;DisplayText&gt;&lt;style face="superscript"&gt;22&lt;/style&gt;&lt;/DisplayText&gt;&lt;record&gt;&lt;rec-number&gt;112&lt;/rec-number&gt;&lt;foreign-keys&gt;&lt;key app="EN" db-id="2wsw9x5wvsspa1evwxlvvergx9epfd50fs2a" timestamp="1584677296"&gt;112&lt;/key&gt;&lt;/foreign-keys&gt;&lt;ref-type name="Web Page"&gt;12&lt;/ref-type&gt;&lt;contributors&gt;&lt;authors&gt;&lt;author&gt;Clapham, K., &lt;/author&gt;&lt;author&gt;Bennett-Brook, K., &lt;/author&gt;&lt;author&gt;Hunter, K., &lt;/author&gt;&lt;author&gt;Zwi, K., &lt;/author&gt;&lt;author&gt;Ivers, R..&lt;/author&gt;&lt;/authors&gt;&lt;/contributors&gt;&lt;titles&gt;&lt;title&gt;Active &amp;amp; Safe: Aboriginal child injury prevention guidelines&lt;/title&gt;&lt;/titles&gt;&lt;volume&gt;2020&lt;/volume&gt;&lt;number&gt;20 March&lt;/number&gt;&lt;dates&gt;&lt;year&gt;2019&lt;/year&gt;&lt;/dates&gt;&lt;pub-location&gt;Sydney&lt;/pub-location&gt;&lt;publisher&gt;Sydney Children’s Hospitals Network&lt;/publisher&gt;&lt;urls&gt;&lt;related-urls&gt;&lt;url&gt;https://www.schn.health.nsw.gov.au/professionals/professional-resources/active-safe-aboriginal-child-injury-prevention-guidelines&lt;/url&gt;&lt;/related-urls&gt;&lt;/urls&gt;&lt;/record&gt;&lt;/Cite&gt;&lt;/EndNote&gt;</w:instrText>
      </w:r>
      <w:r w:rsidRPr="00E74402">
        <w:rPr>
          <w:lang w:val="en-AU"/>
        </w:rPr>
        <w:fldChar w:fldCharType="separate"/>
      </w:r>
      <w:r w:rsidR="007D2F13" w:rsidRPr="007D2F13">
        <w:rPr>
          <w:noProof/>
          <w:vertAlign w:val="superscript"/>
          <w:lang w:val="en-AU"/>
        </w:rPr>
        <w:t>22</w:t>
      </w:r>
      <w:r w:rsidRPr="00E74402">
        <w:rPr>
          <w:lang w:val="en-AU"/>
        </w:rPr>
        <w:fldChar w:fldCharType="end"/>
      </w:r>
      <w:r>
        <w:rPr>
          <w:lang w:val="en-AU"/>
        </w:rPr>
        <w:t xml:space="preserve"> state that</w:t>
      </w:r>
      <w:r w:rsidR="00CD4C53">
        <w:rPr>
          <w:lang w:val="en-AU"/>
        </w:rPr>
        <w:t xml:space="preserve">: </w:t>
      </w:r>
    </w:p>
    <w:p w14:paraId="77846B20" w14:textId="2466EF5F" w:rsidR="00CD4C53" w:rsidRDefault="00CD4C53" w:rsidP="007D5286">
      <w:pPr>
        <w:pStyle w:val="ListParagraph"/>
        <w:numPr>
          <w:ilvl w:val="0"/>
          <w:numId w:val="87"/>
        </w:numPr>
        <w:spacing w:before="0" w:after="160" w:line="259" w:lineRule="auto"/>
        <w:rPr>
          <w:lang w:val="en-AU"/>
        </w:rPr>
      </w:pPr>
      <w:r w:rsidRPr="00CD4C53">
        <w:rPr>
          <w:lang w:val="en-AU"/>
        </w:rPr>
        <w:t>K</w:t>
      </w:r>
      <w:r w:rsidR="00C82BFF" w:rsidRPr="00CD4C53">
        <w:rPr>
          <w:lang w:val="en-AU"/>
        </w:rPr>
        <w:t xml:space="preserve">nown effective programs need to be contextualised and localised for the intended community; </w:t>
      </w:r>
    </w:p>
    <w:p w14:paraId="690AA54A" w14:textId="1BF9E5E8" w:rsidR="00CD4C53" w:rsidRDefault="00CD4C53" w:rsidP="007D5286">
      <w:pPr>
        <w:pStyle w:val="ListParagraph"/>
        <w:numPr>
          <w:ilvl w:val="0"/>
          <w:numId w:val="87"/>
        </w:numPr>
        <w:spacing w:before="0" w:after="160" w:line="259" w:lineRule="auto"/>
        <w:rPr>
          <w:lang w:val="en-AU"/>
        </w:rPr>
      </w:pPr>
      <w:r>
        <w:rPr>
          <w:lang w:val="en-AU"/>
        </w:rPr>
        <w:t>P</w:t>
      </w:r>
      <w:r w:rsidR="00C82BFF" w:rsidRPr="00CD4C53">
        <w:rPr>
          <w:lang w:val="en-AU"/>
        </w:rPr>
        <w:t xml:space="preserve">rograms should build on strengths and promote resilience; and </w:t>
      </w:r>
    </w:p>
    <w:p w14:paraId="79812D83" w14:textId="5CF5B951" w:rsidR="00CD4C53" w:rsidRDefault="00CD4C53" w:rsidP="007D5286">
      <w:pPr>
        <w:pStyle w:val="ListParagraph"/>
        <w:numPr>
          <w:ilvl w:val="0"/>
          <w:numId w:val="87"/>
        </w:numPr>
        <w:spacing w:before="0" w:after="160" w:line="259" w:lineRule="auto"/>
        <w:rPr>
          <w:lang w:val="en-AU"/>
        </w:rPr>
      </w:pPr>
      <w:r>
        <w:rPr>
          <w:lang w:val="en-AU"/>
        </w:rPr>
        <w:t>C</w:t>
      </w:r>
      <w:r w:rsidR="00C82BFF" w:rsidRPr="00CD4C53">
        <w:rPr>
          <w:lang w:val="en-AU"/>
        </w:rPr>
        <w:t xml:space="preserve">ommunity-based programs should be prioritised. </w:t>
      </w:r>
    </w:p>
    <w:p w14:paraId="52EC8743" w14:textId="6C7CA3A4" w:rsidR="00C82BFF" w:rsidRPr="00CD4C53" w:rsidRDefault="00CD4C53" w:rsidP="00C30AD1">
      <w:pPr>
        <w:rPr>
          <w:lang w:val="en-AU"/>
        </w:rPr>
      </w:pPr>
      <w:r>
        <w:rPr>
          <w:lang w:val="en-AU"/>
        </w:rPr>
        <w:t>P</w:t>
      </w:r>
      <w:r w:rsidR="00C82BFF" w:rsidRPr="00CD4C53">
        <w:rPr>
          <w:lang w:val="en-AU"/>
        </w:rPr>
        <w:t xml:space="preserve">rograms most likely to be successful are community-led and owned, and </w:t>
      </w:r>
      <w:r>
        <w:rPr>
          <w:lang w:val="en-AU"/>
        </w:rPr>
        <w:t>include integrated</w:t>
      </w:r>
      <w:r w:rsidR="00C82BFF" w:rsidRPr="00CD4C53">
        <w:rPr>
          <w:lang w:val="en-AU"/>
        </w:rPr>
        <w:t xml:space="preserve"> services coordinate</w:t>
      </w:r>
      <w:r>
        <w:rPr>
          <w:lang w:val="en-AU"/>
        </w:rPr>
        <w:t>d</w:t>
      </w:r>
      <w:r w:rsidR="00C82BFF" w:rsidRPr="00CD4C53">
        <w:rPr>
          <w:lang w:val="en-AU"/>
        </w:rPr>
        <w:t xml:space="preserve"> effectively with the community</w:t>
      </w:r>
      <w:r>
        <w:rPr>
          <w:lang w:val="en-AU"/>
        </w:rPr>
        <w:t xml:space="preserve">. Additionally, </w:t>
      </w:r>
      <w:r w:rsidR="00C82BFF" w:rsidRPr="00CD4C53">
        <w:rPr>
          <w:lang w:val="en-AU"/>
        </w:rPr>
        <w:t xml:space="preserve">the program </w:t>
      </w:r>
      <w:r>
        <w:rPr>
          <w:lang w:val="en-AU"/>
        </w:rPr>
        <w:t xml:space="preserve">should be </w:t>
      </w:r>
      <w:r w:rsidR="00C82BFF" w:rsidRPr="00CD4C53">
        <w:rPr>
          <w:lang w:val="en-AU"/>
        </w:rPr>
        <w:t>tailored to meet the needs and support the strengths of the community. The guidelines recognise that many injury prevention efforts also need to address the underlying social and cultural determinants of Aboriginal and Torres Strait Islander health and be evaluated appropriately.</w:t>
      </w:r>
    </w:p>
    <w:p w14:paraId="49462DC2" w14:textId="77777777" w:rsidR="00701DBE" w:rsidRPr="00400300" w:rsidRDefault="00701DBE" w:rsidP="00C82BFF">
      <w:pPr>
        <w:spacing w:before="0" w:after="160" w:line="259" w:lineRule="auto"/>
        <w:rPr>
          <w:lang w:val="en-AU"/>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C82BFF" w:rsidRPr="00400300" w14:paraId="2E8A4C15" w14:textId="77777777" w:rsidTr="006350BC">
        <w:tc>
          <w:tcPr>
            <w:tcW w:w="9016" w:type="dxa"/>
            <w:shd w:val="clear" w:color="auto" w:fill="F2F2F2" w:themeFill="background1" w:themeFillShade="F2"/>
          </w:tcPr>
          <w:p w14:paraId="570DFA1E" w14:textId="77777777" w:rsidR="00C82BFF" w:rsidRPr="00400300" w:rsidRDefault="00C82BFF" w:rsidP="005B5F77">
            <w:pPr>
              <w:spacing w:after="240"/>
              <w:rPr>
                <w:rFonts w:cstheme="minorHAnsi"/>
                <w:sz w:val="20"/>
                <w:lang w:val="en-AU"/>
              </w:rPr>
            </w:pPr>
            <w:r w:rsidRPr="00400300">
              <w:rPr>
                <w:rFonts w:cstheme="minorHAnsi"/>
                <w:b/>
                <w:color w:val="000000" w:themeColor="text1"/>
                <w:sz w:val="20"/>
                <w:lang w:val="en-AU"/>
              </w:rPr>
              <w:t>Case study:</w:t>
            </w:r>
            <w:r w:rsidRPr="00400300">
              <w:rPr>
                <w:rFonts w:cstheme="minorHAnsi"/>
                <w:color w:val="000000" w:themeColor="text1"/>
                <w:sz w:val="20"/>
                <w:lang w:val="en-AU"/>
              </w:rPr>
              <w:t xml:space="preserve"> </w:t>
            </w:r>
            <w:r w:rsidRPr="00400300">
              <w:rPr>
                <w:rFonts w:cstheme="minorHAnsi"/>
                <w:sz w:val="20"/>
                <w:lang w:val="en-AU"/>
              </w:rPr>
              <w:t xml:space="preserve">The Centre of Best Practice in Aboriginal and Torres Strait Islander Suicide Prevention (the Centre) aims to reduce the causes, prevalence and impact of suicide on Indigenous individuals, families and communities. </w:t>
            </w:r>
          </w:p>
          <w:p w14:paraId="4E413680" w14:textId="6A1E55E8" w:rsidR="00C82BFF" w:rsidRPr="00400300" w:rsidRDefault="00C82BFF" w:rsidP="005B5F77">
            <w:pPr>
              <w:spacing w:after="240"/>
              <w:rPr>
                <w:rFonts w:cstheme="minorHAnsi"/>
                <w:sz w:val="20"/>
                <w:lang w:val="en-AU"/>
              </w:rPr>
            </w:pPr>
            <w:r w:rsidRPr="00400300">
              <w:rPr>
                <w:rFonts w:cstheme="minorHAnsi"/>
                <w:sz w:val="20"/>
                <w:lang w:val="en-AU"/>
              </w:rPr>
              <w:t>The Centre highlights 14 key areas that suicide prevention programs and services follow to be considered best practice. These 14 areas, outlined below, fall under the pillars of cultural and community focus, strengthening Indigenous governance and cultural respect</w:t>
            </w:r>
            <w:r w:rsidRPr="00400300">
              <w:rPr>
                <w:rFonts w:cstheme="minorHAnsi"/>
                <w:sz w:val="20"/>
                <w:lang w:val="en-AU"/>
              </w:rPr>
              <w:fldChar w:fldCharType="begin"/>
            </w:r>
            <w:r w:rsidR="007D2F13">
              <w:rPr>
                <w:rFonts w:cstheme="minorHAnsi"/>
                <w:sz w:val="20"/>
                <w:lang w:val="en-AU"/>
              </w:rPr>
              <w:instrText xml:space="preserve"> ADDIN EN.CITE &lt;EndNote&gt;&lt;Cite&gt;&lt;Author&gt;Centre of Best Practice in Aboriginal and Torres Strait Islander Suicide Prevention&lt;/Author&gt;&lt;Year&gt;2018&lt;/Year&gt;&lt;RecNum&gt;26&lt;/RecNum&gt;&lt;DisplayText&gt;&lt;style face="superscript"&gt;23&lt;/style&gt;&lt;/DisplayText&gt;&lt;record&gt;&lt;rec-number&gt;26&lt;/rec-number&gt;&lt;foreign-keys&gt;&lt;key app="EN" db-id="2wsw9x5wvsspa1evwxlvvergx9epfd50fs2a" timestamp="1571987693"&gt;26&lt;/key&gt;&lt;/foreign-keys&gt;&lt;ref-type name="Web Page"&gt;12&lt;/ref-type&gt;&lt;contributors&gt;&lt;authors&gt;&lt;author&gt;Centre of Best Practice in Aboriginal and Torres Strait Islander Suicide Prevention,&lt;/author&gt;&lt;/authors&gt;&lt;/contributors&gt;&lt;titles&gt;&lt;title&gt;An evaluation framework for indigenous suicide prevention activities&lt;/title&gt;&lt;/titles&gt;&lt;volume&gt;2019&lt;/volume&gt;&lt;number&gt;10 October&lt;/number&gt;&lt;dates&gt;&lt;year&gt;2018&lt;/year&gt;&lt;/dates&gt;&lt;publisher&gt;Centre of Best Practice in Aboriginal and Torres Strait Islander Suicide Prevention&lt;/publisher&gt;&lt;urls&gt;&lt;related-urls&gt;&lt;url&gt;https://www.cbpatsisp.com.au/wp-content/uploads/2018/09/4th-September-EVALUATION-FRAMEWORK-FOR-INDIGENOUS-SUICIDE-PREVENTION-ACTIVITY-FOR-USE_-030920182.pdf&lt;/url&gt;&lt;/related-urls&gt;&lt;/urls&gt;&lt;/record&gt;&lt;/Cite&gt;&lt;/EndNote&gt;</w:instrText>
            </w:r>
            <w:r w:rsidRPr="00400300">
              <w:rPr>
                <w:rFonts w:cstheme="minorHAnsi"/>
                <w:sz w:val="20"/>
                <w:lang w:val="en-AU"/>
              </w:rPr>
              <w:fldChar w:fldCharType="separate"/>
            </w:r>
            <w:r w:rsidR="007D2F13" w:rsidRPr="007D2F13">
              <w:rPr>
                <w:rFonts w:cstheme="minorHAnsi"/>
                <w:noProof/>
                <w:sz w:val="20"/>
                <w:vertAlign w:val="superscript"/>
                <w:lang w:val="en-AU"/>
              </w:rPr>
              <w:t>23</w:t>
            </w:r>
            <w:r w:rsidRPr="00400300">
              <w:rPr>
                <w:rFonts w:cstheme="minorHAnsi"/>
                <w:sz w:val="20"/>
                <w:lang w:val="en-AU"/>
              </w:rPr>
              <w:fldChar w:fldCharType="end"/>
            </w:r>
            <w:r w:rsidRPr="00400300">
              <w:rPr>
                <w:rFonts w:cstheme="minorHAnsi"/>
                <w:sz w:val="20"/>
                <w:lang w:val="en-AU"/>
              </w:rPr>
              <w:t>:</w:t>
            </w:r>
          </w:p>
          <w:p w14:paraId="36D4B207" w14:textId="77777777" w:rsidR="00C82BFF" w:rsidRPr="00400300" w:rsidRDefault="00C82BFF" w:rsidP="005B5F77">
            <w:pPr>
              <w:pStyle w:val="Heading3"/>
              <w:outlineLvl w:val="2"/>
              <w:rPr>
                <w:sz w:val="20"/>
                <w:lang w:val="en-AU"/>
              </w:rPr>
            </w:pPr>
            <w:r w:rsidRPr="00400300">
              <w:rPr>
                <w:sz w:val="20"/>
                <w:lang w:val="en-AU"/>
              </w:rPr>
              <w:t>Cultural and Community Focus</w:t>
            </w:r>
          </w:p>
          <w:p w14:paraId="18BE951B"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Are concerned with reconnection and community life,</w:t>
            </w:r>
          </w:p>
          <w:p w14:paraId="626AE920"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Are concerned with restoration and community resilience,</w:t>
            </w:r>
          </w:p>
          <w:p w14:paraId="3A7E52EE"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Are a means of empowering people to regain a sense of control and mastery over their lives,</w:t>
            </w:r>
          </w:p>
          <w:p w14:paraId="1B405A4B"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Have a focus on social and emotional wellbeing and mental health promotion, rather than solely focusing on mental illness and suicide,</w:t>
            </w:r>
          </w:p>
          <w:p w14:paraId="0ED49CF5"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Have a focus on recovery and healing from stress and trauma,</w:t>
            </w:r>
          </w:p>
          <w:p w14:paraId="0D960ED7"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Reflect Aboriginal and Torres Strait Islander understandings of health, mental health and suicidal behaviours.</w:t>
            </w:r>
          </w:p>
          <w:p w14:paraId="50C40B8C" w14:textId="77777777" w:rsidR="00C82BFF" w:rsidRPr="00400300" w:rsidRDefault="00C82BFF" w:rsidP="005B5F77">
            <w:pPr>
              <w:pStyle w:val="Heading3"/>
              <w:outlineLvl w:val="2"/>
              <w:rPr>
                <w:sz w:val="20"/>
                <w:lang w:val="en-AU"/>
              </w:rPr>
            </w:pPr>
            <w:r w:rsidRPr="00400300">
              <w:rPr>
                <w:sz w:val="20"/>
                <w:lang w:val="en-AU"/>
              </w:rPr>
              <w:t>Strengthening Indigenous Governance</w:t>
            </w:r>
          </w:p>
          <w:p w14:paraId="0BFBD19B"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Have strategies that are Indigenous-led, family focused, culturally responsive, and context specific,</w:t>
            </w:r>
          </w:p>
          <w:p w14:paraId="56A4CF52"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Are concerned with self-determination and community governance,</w:t>
            </w:r>
          </w:p>
          <w:p w14:paraId="0BB2567B"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Include activities that use culturally responsive techniques and methods and processes,</w:t>
            </w:r>
          </w:p>
          <w:p w14:paraId="53AC706B"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Use interdisciplinary approaches that provide outreach services,</w:t>
            </w:r>
          </w:p>
          <w:p w14:paraId="19619A81"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Value and enact partnerships with Aboriginal Community Controlled Health Services facilitate ownership and involvement from local communities,</w:t>
            </w:r>
          </w:p>
          <w:p w14:paraId="50711457"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Involve Indigenous people in all stages of consultation, negotiation and decision-making processes to establish community ownership of suicide prevention activities and other initiatives.</w:t>
            </w:r>
          </w:p>
          <w:p w14:paraId="1D262067" w14:textId="77777777" w:rsidR="00C82BFF" w:rsidRPr="00400300" w:rsidRDefault="00C82BFF" w:rsidP="005B5F77">
            <w:pPr>
              <w:pStyle w:val="Heading3"/>
              <w:outlineLvl w:val="2"/>
              <w:rPr>
                <w:sz w:val="20"/>
                <w:lang w:val="en-AU"/>
              </w:rPr>
            </w:pPr>
            <w:r w:rsidRPr="00400300">
              <w:rPr>
                <w:sz w:val="20"/>
                <w:lang w:val="en-AU"/>
              </w:rPr>
              <w:t>Cultural Respect</w:t>
            </w:r>
          </w:p>
          <w:p w14:paraId="5AB5DE3E" w14:textId="77777777" w:rsidR="00C82BFF" w:rsidRPr="00400300" w:rsidRDefault="00C82BFF" w:rsidP="007D5286">
            <w:pPr>
              <w:pStyle w:val="ListParagraph"/>
              <w:numPr>
                <w:ilvl w:val="0"/>
                <w:numId w:val="14"/>
              </w:numPr>
              <w:rPr>
                <w:rFonts w:cstheme="minorHAnsi"/>
                <w:sz w:val="20"/>
                <w:lang w:val="en-AU"/>
              </w:rPr>
            </w:pPr>
            <w:r w:rsidRPr="00400300">
              <w:rPr>
                <w:rFonts w:cstheme="minorHAnsi"/>
                <w:sz w:val="20"/>
                <w:lang w:val="en-AU"/>
              </w:rPr>
              <w:t>Recognise and harness the broad range of skills and expertise of Aboriginal and Torres Strait Islander people, to improve health and wellbeing and reduce suicidal behaviours</w:t>
            </w:r>
          </w:p>
          <w:p w14:paraId="0E1BCDAA" w14:textId="17E69B4B" w:rsidR="00C82BFF" w:rsidRPr="00400300" w:rsidRDefault="00C82BFF" w:rsidP="007D5286">
            <w:pPr>
              <w:pStyle w:val="ListParagraph"/>
              <w:numPr>
                <w:ilvl w:val="0"/>
                <w:numId w:val="14"/>
              </w:numPr>
              <w:spacing w:after="240"/>
              <w:ind w:left="714" w:hanging="357"/>
              <w:rPr>
                <w:rFonts w:cstheme="minorHAnsi"/>
                <w:sz w:val="20"/>
                <w:lang w:val="en-AU"/>
              </w:rPr>
            </w:pPr>
            <w:r w:rsidRPr="00400300">
              <w:rPr>
                <w:rFonts w:cstheme="minorHAnsi"/>
                <w:sz w:val="20"/>
                <w:lang w:val="en-AU"/>
              </w:rPr>
              <w:t>Ensure that organisations and staff are culturally competent and that services are developed and delivered in culturally safe and responsive manner.”</w:t>
            </w:r>
            <w:r w:rsidRPr="00400300">
              <w:rPr>
                <w:rFonts w:cstheme="minorHAnsi"/>
                <w:sz w:val="20"/>
                <w:lang w:val="en-AU"/>
              </w:rPr>
              <w:fldChar w:fldCharType="begin"/>
            </w:r>
            <w:r w:rsidR="007D2F13">
              <w:rPr>
                <w:rFonts w:cstheme="minorHAnsi"/>
                <w:sz w:val="20"/>
                <w:lang w:val="en-AU"/>
              </w:rPr>
              <w:instrText xml:space="preserve"> ADDIN EN.CITE &lt;EndNote&gt;&lt;Cite&gt;&lt;Author&gt;Centre of Best Practice in Aboriginal and Torres Strait Islander Suicide Prevention&lt;/Author&gt;&lt;Year&gt;2018&lt;/Year&gt;&lt;RecNum&gt;26&lt;/RecNum&gt;&lt;DisplayText&gt;&lt;style face="superscript"&gt;23&lt;/style&gt;&lt;/DisplayText&gt;&lt;record&gt;&lt;rec-number&gt;26&lt;/rec-number&gt;&lt;foreign-keys&gt;&lt;key app="EN" db-id="2wsw9x5wvsspa1evwxlvvergx9epfd50fs2a" timestamp="1571987693"&gt;26&lt;/key&gt;&lt;/foreign-keys&gt;&lt;ref-type name="Web Page"&gt;12&lt;/ref-type&gt;&lt;contributors&gt;&lt;authors&gt;&lt;author&gt;Centre of Best Practice in Aboriginal and Torres Strait Islander Suicide Prevention,&lt;/author&gt;&lt;/authors&gt;&lt;/contributors&gt;&lt;titles&gt;&lt;title&gt;An evaluation framework for indigenous suicide prevention activities&lt;/title&gt;&lt;/titles&gt;&lt;volume&gt;2019&lt;/volume&gt;&lt;number&gt;10 October&lt;/number&gt;&lt;dates&gt;&lt;year&gt;2018&lt;/year&gt;&lt;/dates&gt;&lt;publisher&gt;Centre of Best Practice in Aboriginal and Torres Strait Islander Suicide Prevention&lt;/publisher&gt;&lt;urls&gt;&lt;related-urls&gt;&lt;url&gt;https://www.cbpatsisp.com.au/wp-content/uploads/2018/09/4th-September-EVALUATION-FRAMEWORK-FOR-INDIGENOUS-SUICIDE-PREVENTION-ACTIVITY-FOR-USE_-030920182.pdf&lt;/url&gt;&lt;/related-urls&gt;&lt;/urls&gt;&lt;/record&gt;&lt;/Cite&gt;&lt;/EndNote&gt;</w:instrText>
            </w:r>
            <w:r w:rsidRPr="00400300">
              <w:rPr>
                <w:rFonts w:cstheme="minorHAnsi"/>
                <w:sz w:val="20"/>
                <w:lang w:val="en-AU"/>
              </w:rPr>
              <w:fldChar w:fldCharType="separate"/>
            </w:r>
            <w:r w:rsidR="007D2F13" w:rsidRPr="007D2F13">
              <w:rPr>
                <w:rFonts w:cstheme="minorHAnsi"/>
                <w:noProof/>
                <w:sz w:val="20"/>
                <w:vertAlign w:val="superscript"/>
                <w:lang w:val="en-AU"/>
              </w:rPr>
              <w:t>23</w:t>
            </w:r>
            <w:r w:rsidRPr="00400300">
              <w:rPr>
                <w:rFonts w:cstheme="minorHAnsi"/>
                <w:sz w:val="20"/>
                <w:lang w:val="en-AU"/>
              </w:rPr>
              <w:fldChar w:fldCharType="end"/>
            </w:r>
          </w:p>
          <w:p w14:paraId="5BAD9DC4" w14:textId="27A9AEEC" w:rsidR="00C82BFF" w:rsidRPr="00400300" w:rsidRDefault="00C82BFF" w:rsidP="00255A62">
            <w:pPr>
              <w:rPr>
                <w:rFonts w:cstheme="minorHAnsi"/>
                <w:sz w:val="20"/>
                <w:lang w:val="en-AU"/>
              </w:rPr>
            </w:pPr>
            <w:r w:rsidRPr="00400300">
              <w:rPr>
                <w:rFonts w:cstheme="minorHAnsi"/>
                <w:sz w:val="20"/>
                <w:lang w:val="en-AU"/>
              </w:rPr>
              <w:t xml:space="preserve">In addition </w:t>
            </w:r>
            <w:r w:rsidR="006350BC">
              <w:rPr>
                <w:rFonts w:cstheme="minorHAnsi"/>
                <w:sz w:val="20"/>
                <w:lang w:val="en-AU"/>
              </w:rPr>
              <w:t xml:space="preserve">to </w:t>
            </w:r>
            <w:r w:rsidRPr="00400300">
              <w:rPr>
                <w:rFonts w:cstheme="minorHAnsi"/>
                <w:sz w:val="20"/>
                <w:lang w:val="en-AU"/>
              </w:rPr>
              <w:t>these principles, the Centre’s Evaluation Framework provides key indicators which services can use</w:t>
            </w:r>
            <w:r w:rsidR="006350BC">
              <w:rPr>
                <w:rFonts w:cstheme="minorHAnsi"/>
                <w:sz w:val="20"/>
                <w:lang w:val="en-AU"/>
              </w:rPr>
              <w:t xml:space="preserve"> to</w:t>
            </w:r>
            <w:r w:rsidRPr="00400300">
              <w:rPr>
                <w:rFonts w:cstheme="minorHAnsi"/>
                <w:sz w:val="20"/>
                <w:lang w:val="en-AU"/>
              </w:rPr>
              <w:t xml:space="preserve"> develop and assess programs.</w:t>
            </w:r>
            <w:r w:rsidRPr="00400300">
              <w:rPr>
                <w:rFonts w:cstheme="minorHAnsi"/>
                <w:sz w:val="20"/>
                <w:lang w:val="en-AU"/>
              </w:rPr>
              <w:fldChar w:fldCharType="begin"/>
            </w:r>
            <w:r w:rsidR="007D2F13">
              <w:rPr>
                <w:rFonts w:cstheme="minorHAnsi"/>
                <w:sz w:val="20"/>
                <w:lang w:val="en-AU"/>
              </w:rPr>
              <w:instrText xml:space="preserve"> ADDIN EN.CITE &lt;EndNote&gt;&lt;Cite&gt;&lt;Author&gt;Centre of Best Practice in Aboriginal and Torres Strait Islander Suicide Prevention&lt;/Author&gt;&lt;Year&gt;2018&lt;/Year&gt;&lt;RecNum&gt;26&lt;/RecNum&gt;&lt;DisplayText&gt;&lt;style face="superscript"&gt;23&lt;/style&gt;&lt;/DisplayText&gt;&lt;record&gt;&lt;rec-number&gt;26&lt;/rec-number&gt;&lt;foreign-keys&gt;&lt;key app="EN" db-id="2wsw9x5wvsspa1evwxlvvergx9epfd50fs2a" timestamp="1571987693"&gt;26&lt;/key&gt;&lt;/foreign-keys&gt;&lt;ref-type name="Web Page"&gt;12&lt;/ref-type&gt;&lt;contributors&gt;&lt;authors&gt;&lt;author&gt;Centre of Best Practice in Aboriginal and Torres Strait Islander Suicide Prevention,&lt;/author&gt;&lt;/authors&gt;&lt;/contributors&gt;&lt;titles&gt;&lt;title&gt;An evaluation framework for indigenous suicide prevention activities&lt;/title&gt;&lt;/titles&gt;&lt;volume&gt;2019&lt;/volume&gt;&lt;number&gt;10 October&lt;/number&gt;&lt;dates&gt;&lt;year&gt;2018&lt;/year&gt;&lt;/dates&gt;&lt;publisher&gt;Centre of Best Practice in Aboriginal and Torres Strait Islander Suicide Prevention&lt;/publisher&gt;&lt;urls&gt;&lt;related-urls&gt;&lt;url&gt;https://www.cbpatsisp.com.au/wp-content/uploads/2018/09/4th-September-EVALUATION-FRAMEWORK-FOR-INDIGENOUS-SUICIDE-PREVENTION-ACTIVITY-FOR-USE_-030920182.pdf&lt;/url&gt;&lt;/related-urls&gt;&lt;/urls&gt;&lt;/record&gt;&lt;/Cite&gt;&lt;/EndNote&gt;</w:instrText>
            </w:r>
            <w:r w:rsidRPr="00400300">
              <w:rPr>
                <w:rFonts w:cstheme="minorHAnsi"/>
                <w:sz w:val="20"/>
                <w:lang w:val="en-AU"/>
              </w:rPr>
              <w:fldChar w:fldCharType="separate"/>
            </w:r>
            <w:r w:rsidR="007D2F13" w:rsidRPr="007D2F13">
              <w:rPr>
                <w:rFonts w:cstheme="minorHAnsi"/>
                <w:noProof/>
                <w:sz w:val="20"/>
                <w:vertAlign w:val="superscript"/>
                <w:lang w:val="en-AU"/>
              </w:rPr>
              <w:t>23</w:t>
            </w:r>
            <w:r w:rsidRPr="00400300">
              <w:rPr>
                <w:rFonts w:cstheme="minorHAnsi"/>
                <w:sz w:val="20"/>
                <w:lang w:val="en-AU"/>
              </w:rPr>
              <w:fldChar w:fldCharType="end"/>
            </w:r>
            <w:r w:rsidRPr="00400300">
              <w:rPr>
                <w:rFonts w:cstheme="minorHAnsi"/>
                <w:sz w:val="20"/>
                <w:lang w:val="en-AU"/>
              </w:rPr>
              <w:t xml:space="preserve"> Lessons learned from The Centre can be translated to reflect best practice across other injury prevention programs, beyond suicide prevention. </w:t>
            </w:r>
          </w:p>
        </w:tc>
      </w:tr>
    </w:tbl>
    <w:p w14:paraId="5C0758E1" w14:textId="77777777" w:rsidR="00C82BFF" w:rsidRDefault="00C82BFF" w:rsidP="00C82BFF">
      <w:pPr>
        <w:rPr>
          <w:lang w:val="en-AU"/>
        </w:rPr>
      </w:pPr>
    </w:p>
    <w:tbl>
      <w:tblPr>
        <w:tblStyle w:val="TableGrid"/>
        <w:tblW w:w="0" w:type="auto"/>
        <w:shd w:val="clear" w:color="auto" w:fill="E7E6E6" w:themeFill="background2"/>
        <w:tblLook w:val="04A0" w:firstRow="1" w:lastRow="0" w:firstColumn="1" w:lastColumn="0" w:noHBand="0" w:noVBand="1"/>
      </w:tblPr>
      <w:tblGrid>
        <w:gridCol w:w="9016"/>
      </w:tblGrid>
      <w:tr w:rsidR="00C82BFF" w:rsidRPr="00701DBE" w14:paraId="49CD2BE5" w14:textId="77777777" w:rsidTr="00701DBE">
        <w:tc>
          <w:tcPr>
            <w:tcW w:w="9016" w:type="dxa"/>
            <w:shd w:val="clear" w:color="auto" w:fill="E7E6E6" w:themeFill="background2"/>
          </w:tcPr>
          <w:p w14:paraId="33210DED" w14:textId="77777777" w:rsidR="00C82BFF" w:rsidRPr="00701DBE" w:rsidRDefault="00C82BFF" w:rsidP="00701DBE">
            <w:pPr>
              <w:spacing w:before="0"/>
              <w:rPr>
                <w:rFonts w:cstheme="minorHAnsi"/>
                <w:color w:val="000000" w:themeColor="text1"/>
                <w:sz w:val="20"/>
                <w:szCs w:val="20"/>
              </w:rPr>
            </w:pPr>
            <w:r w:rsidRPr="00701DBE">
              <w:rPr>
                <w:rFonts w:cstheme="minorHAnsi"/>
                <w:b/>
                <w:color w:val="000000" w:themeColor="text1"/>
                <w:sz w:val="20"/>
                <w:szCs w:val="20"/>
                <w:lang w:val="en-AU"/>
              </w:rPr>
              <w:t>Case study:</w:t>
            </w:r>
            <w:r w:rsidRPr="00701DBE">
              <w:rPr>
                <w:rFonts w:cstheme="minorHAnsi"/>
                <w:color w:val="000000" w:themeColor="text1"/>
                <w:sz w:val="20"/>
                <w:szCs w:val="20"/>
                <w:lang w:val="en-AU"/>
              </w:rPr>
              <w:t xml:space="preserve"> </w:t>
            </w:r>
            <w:r w:rsidR="00701DBE" w:rsidRPr="00701DBE">
              <w:rPr>
                <w:rFonts w:cstheme="minorHAnsi"/>
                <w:sz w:val="20"/>
                <w:szCs w:val="20"/>
              </w:rPr>
              <w:t xml:space="preserve">Example of </w:t>
            </w:r>
            <w:r w:rsidR="00701DBE" w:rsidRPr="00701DBE">
              <w:rPr>
                <w:rFonts w:cstheme="minorHAnsi"/>
                <w:color w:val="000000" w:themeColor="text1"/>
                <w:sz w:val="20"/>
                <w:szCs w:val="20"/>
              </w:rPr>
              <w:t>Aboriginal and Torres Strait Islander program</w:t>
            </w:r>
          </w:p>
          <w:p w14:paraId="7DBCA9DB" w14:textId="6EFE2E52" w:rsidR="00701DBE" w:rsidRPr="00701DBE" w:rsidRDefault="00701DBE" w:rsidP="007D5286">
            <w:pPr>
              <w:pStyle w:val="ListParagraph"/>
              <w:numPr>
                <w:ilvl w:val="0"/>
                <w:numId w:val="52"/>
              </w:numPr>
              <w:spacing w:before="0"/>
              <w:rPr>
                <w:sz w:val="20"/>
                <w:szCs w:val="20"/>
              </w:rPr>
            </w:pPr>
            <w:r w:rsidRPr="00701DBE">
              <w:rPr>
                <w:sz w:val="20"/>
                <w:szCs w:val="20"/>
              </w:rPr>
              <w:t xml:space="preserve">To describe a safely program which includes educational resources, training of health and education workers, provision of low costs seats and free fitting.  </w:t>
            </w:r>
          </w:p>
        </w:tc>
      </w:tr>
    </w:tbl>
    <w:p w14:paraId="1C725557" w14:textId="77777777" w:rsidR="00676114" w:rsidRDefault="00676114" w:rsidP="00676114">
      <w:pPr>
        <w:rPr>
          <w:lang w:val="en-AU"/>
        </w:rPr>
      </w:pPr>
    </w:p>
    <w:p w14:paraId="7E034892" w14:textId="074BAEB2" w:rsidR="00C82BFF" w:rsidRDefault="00C82BFF" w:rsidP="00C82BFF">
      <w:pPr>
        <w:pStyle w:val="Heading2"/>
        <w:rPr>
          <w:lang w:val="en-AU"/>
        </w:rPr>
      </w:pPr>
      <w:bookmarkStart w:id="192" w:name="_Toc38021093"/>
      <w:r w:rsidRPr="00400300">
        <w:rPr>
          <w:lang w:val="en-AU"/>
        </w:rPr>
        <w:t>Rural and remote populations</w:t>
      </w:r>
      <w:bookmarkEnd w:id="192"/>
    </w:p>
    <w:p w14:paraId="39451CE0" w14:textId="77777777" w:rsidR="00C82BFF" w:rsidRDefault="00C82BFF" w:rsidP="00C82BFF">
      <w:pPr>
        <w:pStyle w:val="Heading3"/>
        <w:rPr>
          <w:lang w:val="en-AU" w:eastAsia="en-US"/>
        </w:rPr>
      </w:pPr>
      <w:r>
        <w:rPr>
          <w:lang w:val="en-AU" w:eastAsia="en-US"/>
        </w:rPr>
        <w:t>Background</w:t>
      </w:r>
    </w:p>
    <w:p w14:paraId="557A4589" w14:textId="77777777" w:rsidR="00255A62" w:rsidRDefault="00C82BFF" w:rsidP="00025AC3">
      <w:pPr>
        <w:spacing w:before="120"/>
        <w:rPr>
          <w:lang w:val="en-AU" w:eastAsia="en-US"/>
        </w:rPr>
      </w:pPr>
      <w:r>
        <w:rPr>
          <w:lang w:val="en-AU" w:eastAsia="en-US"/>
        </w:rPr>
        <w:t xml:space="preserve">There are many unique aspects of living in rural and remote areas of Australia. From life being inextricably connected with the land and climate; the challenges of distances or access to services; the potential for both greater community connectedness and social isolation; and overall, reduced opportunities for employment and advanced education and training. </w:t>
      </w:r>
    </w:p>
    <w:p w14:paraId="2B7184B5" w14:textId="07C22382" w:rsidR="00C82BFF" w:rsidRPr="0086465E" w:rsidRDefault="00C82BFF" w:rsidP="00B443F6">
      <w:pPr>
        <w:spacing w:before="120"/>
        <w:rPr>
          <w:lang w:val="en-AU" w:eastAsia="en-US"/>
        </w:rPr>
      </w:pPr>
      <w:r>
        <w:rPr>
          <w:lang w:val="en-AU" w:eastAsia="en-US"/>
        </w:rPr>
        <w:t>As key social determinants of health, these aspects of</w:t>
      </w:r>
      <w:r w:rsidR="00255A62">
        <w:rPr>
          <w:lang w:val="en-AU" w:eastAsia="en-US"/>
        </w:rPr>
        <w:t xml:space="preserve"> life mean that, </w:t>
      </w:r>
      <w:r w:rsidRPr="0086465E">
        <w:rPr>
          <w:lang w:val="en-AU" w:eastAsia="en-US"/>
        </w:rPr>
        <w:t>compared with people living in metropolitan areas</w:t>
      </w:r>
      <w:r>
        <w:rPr>
          <w:lang w:val="en-AU" w:eastAsia="en-US"/>
        </w:rPr>
        <w:t>,</w:t>
      </w:r>
      <w:r w:rsidRPr="0086465E">
        <w:rPr>
          <w:lang w:val="en-AU" w:eastAsia="en-US"/>
        </w:rPr>
        <w:t xml:space="preserve"> people in rural and remote areas, have </w:t>
      </w:r>
      <w:r>
        <w:rPr>
          <w:lang w:val="en-AU" w:eastAsia="en-US"/>
        </w:rPr>
        <w:t xml:space="preserve">many </w:t>
      </w:r>
      <w:r w:rsidRPr="0086465E">
        <w:rPr>
          <w:lang w:val="en-AU" w:eastAsia="en-US"/>
        </w:rPr>
        <w:t>indicators of poorer health</w:t>
      </w:r>
      <w:r>
        <w:rPr>
          <w:lang w:val="en-AU" w:eastAsia="en-US"/>
        </w:rPr>
        <w:t>. Rural and remote populations</w:t>
      </w:r>
      <w:r w:rsidR="0028258D">
        <w:rPr>
          <w:lang w:val="en-AU" w:eastAsia="en-US"/>
        </w:rPr>
        <w:t xml:space="preserve"> also</w:t>
      </w:r>
      <w:r>
        <w:rPr>
          <w:lang w:val="en-AU" w:eastAsia="en-US"/>
        </w:rPr>
        <w:t xml:space="preserve"> </w:t>
      </w:r>
      <w:r w:rsidRPr="0086465E">
        <w:rPr>
          <w:lang w:val="en-AU" w:eastAsia="en-US"/>
        </w:rPr>
        <w:t xml:space="preserve">have </w:t>
      </w:r>
      <w:r w:rsidRPr="00951417">
        <w:rPr>
          <w:lang w:val="en-AU" w:eastAsia="en-US"/>
        </w:rPr>
        <w:t>reduced access to, and use of, primary health care services</w:t>
      </w:r>
      <w:r>
        <w:rPr>
          <w:lang w:val="en-AU" w:eastAsia="en-US"/>
        </w:rPr>
        <w:t xml:space="preserve">, </w:t>
      </w:r>
      <w:r w:rsidRPr="0086465E">
        <w:rPr>
          <w:lang w:val="en-AU" w:eastAsia="en-US"/>
        </w:rPr>
        <w:t>higher rates of</w:t>
      </w:r>
      <w:r>
        <w:rPr>
          <w:lang w:val="en-AU" w:eastAsia="en-US"/>
        </w:rPr>
        <w:t xml:space="preserve"> </w:t>
      </w:r>
      <w:r w:rsidRPr="0086465E">
        <w:rPr>
          <w:rFonts w:hint="eastAsia"/>
          <w:lang w:val="en-AU" w:eastAsia="en-US"/>
        </w:rPr>
        <w:t>disease</w:t>
      </w:r>
      <w:r>
        <w:rPr>
          <w:lang w:val="en-AU" w:eastAsia="en-US"/>
        </w:rPr>
        <w:t>s</w:t>
      </w:r>
      <w:r w:rsidRPr="0086465E">
        <w:rPr>
          <w:lang w:val="en-AU" w:eastAsia="en-US"/>
        </w:rPr>
        <w:t xml:space="preserve"> and injuries, and thus higher rates of hospitalisations</w:t>
      </w:r>
      <w:r>
        <w:rPr>
          <w:lang w:val="en-AU" w:eastAsia="en-US"/>
        </w:rPr>
        <w:t xml:space="preserve"> and </w:t>
      </w:r>
      <w:r w:rsidRPr="0086465E">
        <w:rPr>
          <w:lang w:val="en-AU" w:eastAsia="en-US"/>
        </w:rPr>
        <w:t>mortality</w:t>
      </w:r>
      <w:r>
        <w:rPr>
          <w:lang w:val="en-AU" w:eastAsia="en-US"/>
        </w:rPr>
        <w:fldChar w:fldCharType="begin"/>
      </w:r>
      <w:r w:rsidR="007D2F13">
        <w:rPr>
          <w:lang w:val="en-AU" w:eastAsia="en-US"/>
        </w:rPr>
        <w:instrText xml:space="preserve"> ADDIN EN.CITE &lt;EndNote&gt;&lt;Cite&gt;&lt;Author&gt;AIHW&lt;/Author&gt;&lt;Year&gt;2019&lt;/Year&gt;&lt;RecNum&gt;114&lt;/RecNum&gt;&lt;DisplayText&gt;&lt;style face="superscript"&gt;24&lt;/style&gt;&lt;/DisplayText&gt;&lt;record&gt;&lt;rec-number&gt;114&lt;/rec-number&gt;&lt;foreign-keys&gt;&lt;key app="EN" db-id="2wsw9x5wvsspa1evwxlvvergx9epfd50fs2a" timestamp="1584677663"&gt;114&lt;/key&gt;&lt;/foreign-keys&gt;&lt;ref-type name="Web Page"&gt;12&lt;/ref-type&gt;&lt;contributors&gt;&lt;authors&gt;&lt;author&gt;AIHW&lt;/author&gt;&lt;/authors&gt;&lt;/contributors&gt;&lt;titles&gt;&lt;title&gt;Rural &amp;amp; remote health&lt;/title&gt;&lt;/titles&gt;&lt;volume&gt;2020&lt;/volume&gt;&lt;number&gt;20 March&lt;/number&gt;&lt;dates&gt;&lt;year&gt;2019&lt;/year&gt;&lt;/dates&gt;&lt;pub-location&gt;Online&lt;/pub-location&gt;&lt;publisher&gt;AIHW&lt;/publisher&gt;&lt;urls&gt;&lt;related-urls&gt;&lt;url&gt;https://www.aihw.gov.au/reports/rural-remote-australians/rural-remote-health/contents/summary&lt;/url&gt;&lt;/related-urls&gt;&lt;/urls&gt;&lt;/record&gt;&lt;/Cite&gt;&lt;/EndNote&gt;</w:instrText>
      </w:r>
      <w:r>
        <w:rPr>
          <w:lang w:val="en-AU" w:eastAsia="en-US"/>
        </w:rPr>
        <w:fldChar w:fldCharType="separate"/>
      </w:r>
      <w:r w:rsidR="007D2F13" w:rsidRPr="007D2F13">
        <w:rPr>
          <w:noProof/>
          <w:vertAlign w:val="superscript"/>
          <w:lang w:val="en-AU" w:eastAsia="en-US"/>
        </w:rPr>
        <w:t>24</w:t>
      </w:r>
      <w:r>
        <w:rPr>
          <w:lang w:val="en-AU" w:eastAsia="en-US"/>
        </w:rPr>
        <w:fldChar w:fldCharType="end"/>
      </w:r>
      <w:r w:rsidRPr="0086465E">
        <w:rPr>
          <w:lang w:val="en-AU" w:eastAsia="en-US"/>
        </w:rPr>
        <w:t xml:space="preserve"> </w:t>
      </w:r>
    </w:p>
    <w:p w14:paraId="4C788C36" w14:textId="6F6019ED" w:rsidR="00255A62" w:rsidRDefault="00C82BFF" w:rsidP="00B443F6">
      <w:pPr>
        <w:spacing w:before="120"/>
        <w:rPr>
          <w:lang w:val="en-AU" w:eastAsia="en-US"/>
        </w:rPr>
      </w:pPr>
      <w:r>
        <w:rPr>
          <w:lang w:val="en-AU" w:eastAsia="en-US"/>
        </w:rPr>
        <w:t>Linked with this challenging geographical and socio-economic environment,</w:t>
      </w:r>
      <w:r w:rsidRPr="004F72F4">
        <w:rPr>
          <w:lang w:val="en-AU" w:eastAsia="en-US"/>
        </w:rPr>
        <w:t xml:space="preserve"> </w:t>
      </w:r>
      <w:r>
        <w:rPr>
          <w:lang w:val="en-AU" w:eastAsia="en-US"/>
        </w:rPr>
        <w:t>people who live in rural and remote areas have higher levels of health risk behaviours (such as t</w:t>
      </w:r>
      <w:r w:rsidR="00255A62">
        <w:rPr>
          <w:lang w:val="en-AU" w:eastAsia="en-US"/>
        </w:rPr>
        <w:t xml:space="preserve">obacco and alcohol consumption). They are also </w:t>
      </w:r>
      <w:r>
        <w:rPr>
          <w:lang w:val="en-AU" w:eastAsia="en-US"/>
        </w:rPr>
        <w:t>exposed to greater physical environmental risks</w:t>
      </w:r>
      <w:r w:rsidR="00255A62">
        <w:rPr>
          <w:lang w:val="en-AU" w:eastAsia="en-US"/>
        </w:rPr>
        <w:t>,</w:t>
      </w:r>
      <w:r>
        <w:rPr>
          <w:lang w:val="en-AU" w:eastAsia="en-US"/>
        </w:rPr>
        <w:t xml:space="preserve"> such as the roads on which they travel, the houses in which they live and the occupations in which they work. </w:t>
      </w:r>
    </w:p>
    <w:p w14:paraId="3CFCEA99" w14:textId="1293D5AA" w:rsidR="00C82BFF" w:rsidRDefault="00C82BFF" w:rsidP="00B443F6">
      <w:pPr>
        <w:spacing w:before="120"/>
        <w:rPr>
          <w:lang w:val="en-AU" w:eastAsia="en-US"/>
        </w:rPr>
      </w:pPr>
      <w:r>
        <w:rPr>
          <w:lang w:val="en-AU" w:eastAsia="en-US"/>
        </w:rPr>
        <w:t>Furthermore, the challenges of access to mental health care and primary health care services, contribute to poorer health outcomes and reduced life expectancy for people living in rural and remote areas.</w:t>
      </w:r>
      <w:r>
        <w:rPr>
          <w:lang w:val="en-AU" w:eastAsia="en-US"/>
        </w:rPr>
        <w:fldChar w:fldCharType="begin"/>
      </w:r>
      <w:r w:rsidR="007D2F13">
        <w:rPr>
          <w:lang w:val="en-AU" w:eastAsia="en-US"/>
        </w:rPr>
        <w:instrText xml:space="preserve"> ADDIN EN.CITE &lt;EndNote&gt;&lt;Cite&gt;&lt;Author&gt;Russell&lt;/Author&gt;&lt;Year&gt;2013&lt;/Year&gt;&lt;RecNum&gt;115&lt;/RecNum&gt;&lt;DisplayText&gt;&lt;style face="superscript"&gt;25&lt;/style&gt;&lt;/DisplayText&gt;&lt;record&gt;&lt;rec-number&gt;115&lt;/rec-number&gt;&lt;foreign-keys&gt;&lt;key app="EN" db-id="2wsw9x5wvsspa1evwxlvvergx9epfd50fs2a" timestamp="1584677713"&gt;115&lt;/key&gt;&lt;/foreign-keys&gt;&lt;ref-type name="Journal Article"&gt;17&lt;/ref-type&gt;&lt;contributors&gt;&lt;authors&gt;&lt;author&gt;Russell, Deborah J&lt;/author&gt;&lt;author&gt;Humphreys, John S&lt;/author&gt;&lt;author&gt;Ward, Bernadette&lt;/author&gt;&lt;author&gt;Chisholm, Marita&lt;/aut</w:instrText>
      </w:r>
      <w:r w:rsidR="007D2F13">
        <w:rPr>
          <w:rFonts w:hint="eastAsia"/>
          <w:lang w:val="en-AU" w:eastAsia="en-US"/>
        </w:rPr>
        <w:instrText>hor&gt;&lt;author&gt;Buykx, Penny&lt;/author&gt;&lt;author&gt;McGrail, Matthew&lt;/author&gt;&lt;author&gt;Wakerman, John %J Australian Journal of Rural Health&lt;/author&gt;&lt;/authors&gt;&lt;/contributors&gt;&lt;titles&gt;&lt;title&gt;Helping policy</w:instrText>
      </w:r>
      <w:r w:rsidR="007D2F13">
        <w:rPr>
          <w:rFonts w:hint="eastAsia"/>
          <w:lang w:val="en-AU" w:eastAsia="en-US"/>
        </w:rPr>
        <w:instrText>‐</w:instrText>
      </w:r>
      <w:r w:rsidR="007D2F13">
        <w:rPr>
          <w:rFonts w:hint="eastAsia"/>
          <w:lang w:val="en-AU" w:eastAsia="en-US"/>
        </w:rPr>
        <w:instrText>makers address rural health access problems&lt;/title&gt;&lt;/titles&gt;&lt;page</w:instrText>
      </w:r>
      <w:r w:rsidR="007D2F13">
        <w:rPr>
          <w:lang w:val="en-AU" w:eastAsia="en-US"/>
        </w:rPr>
        <w:instrText>s&gt;61-71&lt;/pages&gt;&lt;volume&gt;21&lt;/volume&gt;&lt;number&gt;2&lt;/number&gt;&lt;dates&gt;&lt;year&gt;2013&lt;/year&gt;&lt;/dates&gt;&lt;isbn&gt;1038-5282&lt;/isbn&gt;&lt;urls&gt;&lt;/urls&gt;&lt;/record&gt;&lt;/Cite&gt;&lt;/EndNote&gt;</w:instrText>
      </w:r>
      <w:r>
        <w:rPr>
          <w:lang w:val="en-AU" w:eastAsia="en-US"/>
        </w:rPr>
        <w:fldChar w:fldCharType="separate"/>
      </w:r>
      <w:r w:rsidR="007D2F13" w:rsidRPr="007D2F13">
        <w:rPr>
          <w:noProof/>
          <w:vertAlign w:val="superscript"/>
          <w:lang w:val="en-AU" w:eastAsia="en-US"/>
        </w:rPr>
        <w:t>25</w:t>
      </w:r>
      <w:r>
        <w:rPr>
          <w:lang w:val="en-AU" w:eastAsia="en-US"/>
        </w:rPr>
        <w:fldChar w:fldCharType="end"/>
      </w:r>
      <w:r>
        <w:rPr>
          <w:lang w:val="en-AU" w:eastAsia="en-US"/>
        </w:rPr>
        <w:t xml:space="preserve"> While there are opportunities to improve access to health information and services though the internet and tele-health services</w:t>
      </w:r>
      <w:r>
        <w:rPr>
          <w:lang w:val="en-AU" w:eastAsia="en-US"/>
        </w:rPr>
        <w:fldChar w:fldCharType="begin"/>
      </w:r>
      <w:r w:rsidR="007D2F13">
        <w:rPr>
          <w:lang w:val="en-AU" w:eastAsia="en-US"/>
        </w:rPr>
        <w:instrText xml:space="preserve"> ADDIN EN.CITE &lt;EndNote&gt;&lt;Cite&gt;&lt;Author&gt;Australian Digital Health Agency&lt;/Author&gt;&lt;Year&gt;2018&lt;/Year&gt;&lt;RecNum&gt;113&lt;/RecNum&gt;&lt;DisplayText&gt;&lt;style face="superscript"&gt;26&lt;/style&gt;&lt;/DisplayText&gt;&lt;record&gt;&lt;rec-number&gt;113&lt;/rec-number&gt;&lt;foreign-keys&gt;&lt;key app="EN" db-id="2wsw9x5wvsspa1evwxlvvergx9epfd50fs2a" timestamp="1584677540"&gt;113&lt;/key&gt;&lt;/foreign-keys&gt;&lt;ref-type name="Report"&gt;27&lt;/ref-type&gt;&lt;contributors&gt;&lt;authors&gt;&lt;author&gt;Australian Digital Health Agency,&lt;/author&gt;&lt;/authors&gt;&lt;/contributors&gt;&lt;titles&gt;&lt;title&gt;Safe, seamless and secure: evolving health and care to meet the needs of modern Australia. Australia’s National Digital Health Strategy &lt;/title&gt;&lt;/titles&gt;&lt;dates&gt;&lt;year&gt;2018&lt;/year&gt;&lt;/dates&gt;&lt;publisher&gt;Australian Digital Health Agency,&lt;/publisher&gt;&lt;urls&gt;&lt;/urls&gt;&lt;/record&gt;&lt;/Cite&gt;&lt;/EndNote&gt;</w:instrText>
      </w:r>
      <w:r>
        <w:rPr>
          <w:lang w:val="en-AU" w:eastAsia="en-US"/>
        </w:rPr>
        <w:fldChar w:fldCharType="separate"/>
      </w:r>
      <w:r w:rsidR="007D2F13" w:rsidRPr="007D2F13">
        <w:rPr>
          <w:noProof/>
          <w:vertAlign w:val="superscript"/>
          <w:lang w:val="en-AU" w:eastAsia="en-US"/>
        </w:rPr>
        <w:t>26</w:t>
      </w:r>
      <w:r>
        <w:rPr>
          <w:lang w:val="en-AU" w:eastAsia="en-US"/>
        </w:rPr>
        <w:fldChar w:fldCharType="end"/>
      </w:r>
      <w:r>
        <w:rPr>
          <w:lang w:val="en-AU" w:eastAsia="en-US"/>
        </w:rPr>
        <w:t>an aging population and climate change are expected to increase the vulnerability of rural and remote populations.</w:t>
      </w:r>
      <w:r>
        <w:rPr>
          <w:lang w:val="en-AU" w:eastAsia="en-US"/>
        </w:rPr>
        <w:fldChar w:fldCharType="begin"/>
      </w:r>
      <w:r w:rsidR="007D2F13">
        <w:rPr>
          <w:lang w:val="en-AU" w:eastAsia="en-US"/>
        </w:rPr>
        <w:instrText xml:space="preserve"> ADDIN EN.CITE &lt;EndNote&gt;&lt;Cite&gt;&lt;Author&gt;Horton&lt;/Author&gt;&lt;Year&gt;2010&lt;/Year&gt;&lt;RecNum&gt;116&lt;/RecNum&gt;&lt;DisplayText&gt;&lt;style face="superscript"&gt;27&lt;/style&gt;&lt;/DisplayText&gt;&lt;record&gt;&lt;rec-number&gt;116&lt;/rec-number&gt;&lt;foreign-keys&gt;&lt;key app="EN" db-id="2wsw9x5wvsspa1evwxlvvergx9epfd50fs2a" timestamp="1584677752"&gt;116&lt;/key&gt;&lt;/foreign-keys&gt;&lt;ref-type name="Journal Article"&gt;17&lt;/ref-type&gt;&lt;contributors&gt;&lt;authors&gt;&lt;author&gt;Horton, Graeme&lt;/author&gt;&lt;author&gt;Hanna, Liz&lt;/author&gt;&lt;author&gt;Kelly, Brian %J Australasian Journal on Ageing&lt;/author&gt;&lt;/authors&gt;&lt;/contributors&gt;&lt;titles&gt;&lt;title&gt;Drought, drying and climate change: emerging health issues for ageing Australians in rural areas&lt;/title&gt;&lt;/titles&gt;&lt;pages&gt;2-7&lt;/pages&gt;&lt;volume&gt;29&lt;/volume&gt;&lt;number&gt;1&lt;/number&gt;&lt;dates&gt;&lt;year&gt;2010&lt;/year&gt;&lt;/dates&gt;&lt;isbn&gt;1440-6381&lt;/isbn&gt;&lt;urls&gt;&lt;/urls&gt;&lt;/record&gt;&lt;/Cite&gt;&lt;/EndNote&gt;</w:instrText>
      </w:r>
      <w:r>
        <w:rPr>
          <w:lang w:val="en-AU" w:eastAsia="en-US"/>
        </w:rPr>
        <w:fldChar w:fldCharType="separate"/>
      </w:r>
      <w:r w:rsidR="007D2F13" w:rsidRPr="007D2F13">
        <w:rPr>
          <w:noProof/>
          <w:vertAlign w:val="superscript"/>
          <w:lang w:val="en-AU" w:eastAsia="en-US"/>
        </w:rPr>
        <w:t>27</w:t>
      </w:r>
      <w:r>
        <w:rPr>
          <w:lang w:val="en-AU" w:eastAsia="en-US"/>
        </w:rPr>
        <w:fldChar w:fldCharType="end"/>
      </w:r>
    </w:p>
    <w:p w14:paraId="753BC597" w14:textId="415FFEC5" w:rsidR="00C82BFF" w:rsidRPr="00060F4E" w:rsidRDefault="00C82BFF" w:rsidP="00C82BFF">
      <w:pPr>
        <w:pStyle w:val="Heading3"/>
        <w:rPr>
          <w:lang w:val="en-AU" w:eastAsia="en-US"/>
        </w:rPr>
      </w:pPr>
      <w:r w:rsidRPr="00400300">
        <w:rPr>
          <w:lang w:val="en-AU" w:eastAsia="en-US"/>
        </w:rPr>
        <w:t>Burden</w:t>
      </w:r>
      <w:r>
        <w:rPr>
          <w:lang w:val="en-AU" w:eastAsia="en-US"/>
        </w:rPr>
        <w:t xml:space="preserve"> of injury</w:t>
      </w:r>
    </w:p>
    <w:p w14:paraId="13C4122F" w14:textId="77777777" w:rsidR="00255A62" w:rsidRDefault="00C82BFF" w:rsidP="00B443F6">
      <w:pPr>
        <w:spacing w:before="120"/>
        <w:rPr>
          <w:rFonts w:cstheme="minorHAnsi"/>
          <w:lang w:val="en-AU" w:eastAsia="en-US"/>
        </w:rPr>
      </w:pPr>
      <w:r w:rsidRPr="00400300">
        <w:rPr>
          <w:rFonts w:cstheme="minorHAnsi"/>
          <w:lang w:val="en-AU" w:eastAsia="en-US"/>
        </w:rPr>
        <w:t>Injury rates are higher the further people live from major centres</w:t>
      </w:r>
      <w:r w:rsidRPr="00400300">
        <w:rPr>
          <w:rFonts w:cstheme="minorHAnsi"/>
          <w:lang w:val="en-AU" w:eastAsia="en-US"/>
        </w:rPr>
        <w:fldChar w:fldCharType="begin"/>
      </w:r>
      <w:r w:rsidR="007D2F13">
        <w:rPr>
          <w:rFonts w:cstheme="minorHAnsi"/>
          <w:lang w:val="en-AU" w:eastAsia="en-US"/>
        </w:rPr>
        <w:instrText xml:space="preserve"> ADDIN EN.CITE &lt;EndNote&gt;&lt;Cite&gt;&lt;Author&gt;AIHW&lt;/Author&gt;&lt;Year&gt;2019&lt;/Year&gt;&lt;RecNum&gt;15&lt;/RecNum&gt;&lt;DisplayText&gt;&lt;style face="superscript"&gt;28&lt;/style&gt;&lt;/DisplayText&gt;&lt;record&gt;&lt;rec-number&gt;15&lt;/rec-number&gt;&lt;foreign-keys&gt;&lt;key app="EN" db-id="2wsw9x5wvsspa1evwxlvvergx9epfd50fs2a" timestamp="1571987685"&gt;15&lt;/key&gt;&lt;/foreign-keys&gt;&lt;ref-type name="Web Page"&gt;12&lt;/ref-type&gt;&lt;contributors&gt;&lt;authors&gt;&lt;author&gt;AIHW,&lt;/author&gt;&lt;/authors&gt;&lt;/contributors&gt;&lt;titles&gt;&lt;title&gt;Australian Burden of Disease Study 2015: Interactive data on disease burden (remoteness areas)&lt;/title&gt;&lt;/titles&gt;&lt;volume&gt;2019&lt;/volume&gt;&lt;number&gt;25 October&lt;/number&gt;&lt;dates&gt;&lt;year&gt;2019&lt;/year&gt;&lt;pub-dates&gt;&lt;date&gt;13 June 2019&lt;/date&gt;&lt;/pub-dates&gt;&lt;/dates&gt;&lt;pub-location&gt;Online&lt;/pub-location&gt;&lt;publisher&gt;AIHW&lt;/publisher&gt;&lt;urls&gt;&lt;related-urls&gt;&lt;url&gt;https://www.aihw.gov.au/reports/burden-of-disease/abds-2015-interactive-data-disease-burden/contents/remoteness-areas&lt;/url&gt;&lt;/related-urls&gt;&lt;/urls&gt;&lt;/record&gt;&lt;/Cite&gt;&lt;/EndNote&gt;</w:instrText>
      </w:r>
      <w:r w:rsidRPr="00400300">
        <w:rPr>
          <w:rFonts w:cstheme="minorHAnsi"/>
          <w:lang w:val="en-AU" w:eastAsia="en-US"/>
        </w:rPr>
        <w:fldChar w:fldCharType="separate"/>
      </w:r>
      <w:r w:rsidR="007D2F13" w:rsidRPr="007D2F13">
        <w:rPr>
          <w:rFonts w:cstheme="minorHAnsi"/>
          <w:noProof/>
          <w:vertAlign w:val="superscript"/>
          <w:lang w:val="en-AU" w:eastAsia="en-US"/>
        </w:rPr>
        <w:t>28</w:t>
      </w:r>
      <w:r w:rsidRPr="00400300">
        <w:rPr>
          <w:rFonts w:cstheme="minorHAnsi"/>
          <w:lang w:val="en-AU" w:eastAsia="en-US"/>
        </w:rPr>
        <w:fldChar w:fldCharType="end"/>
      </w:r>
      <w:r w:rsidRPr="00400300">
        <w:rPr>
          <w:rFonts w:cstheme="minorHAnsi"/>
          <w:lang w:val="en-AU" w:eastAsia="en-US"/>
        </w:rPr>
        <w:t xml:space="preserve"> (See Figure 4). </w:t>
      </w:r>
    </w:p>
    <w:p w14:paraId="5E314007" w14:textId="77777777" w:rsidR="00255A62" w:rsidRPr="00255A62" w:rsidRDefault="00C82BFF" w:rsidP="007D5286">
      <w:pPr>
        <w:pStyle w:val="ListParagraph"/>
        <w:numPr>
          <w:ilvl w:val="0"/>
          <w:numId w:val="98"/>
        </w:numPr>
        <w:rPr>
          <w:lang w:val="en-AU"/>
        </w:rPr>
      </w:pPr>
      <w:r w:rsidRPr="00255A62">
        <w:rPr>
          <w:rFonts w:cstheme="minorHAnsi"/>
          <w:lang w:val="en-AU" w:eastAsia="en-US"/>
        </w:rPr>
        <w:t>The rate of injury in remote and very remote areas in Australia is 2.5 times higher than people living in major cities.</w:t>
      </w:r>
      <w:r w:rsidRPr="00255A62">
        <w:rPr>
          <w:rFonts w:cstheme="minorHAnsi"/>
          <w:lang w:val="en-AU" w:eastAsia="en-US"/>
        </w:rPr>
        <w:fldChar w:fldCharType="begin"/>
      </w:r>
      <w:r w:rsidR="007D2F13" w:rsidRPr="00255A62">
        <w:rPr>
          <w:rFonts w:cstheme="minorHAnsi"/>
          <w:lang w:val="en-AU" w:eastAsia="en-US"/>
        </w:rPr>
        <w:instrText xml:space="preserve"> ADDIN EN.CITE &lt;EndNote&gt;&lt;Cite&gt;&lt;Author&gt;Dinh&lt;/Author&gt;&lt;Year&gt;2016&lt;/Year&gt;&lt;RecNum&gt;16&lt;/RecNum&gt;&lt;DisplayText&gt;&lt;style face="superscript"&gt;29&lt;/style&gt;&lt;/DisplayText&gt;&lt;record&gt;&lt;rec-number&gt;16&lt;/rec-number&gt;&lt;foreign-keys&gt;&lt;key app="EN" db-id="2wsw9x5wvsspa1evwxlvvergx9epfd50fs2a" timestamp="1571987685"&gt;16&lt;/key&gt;&lt;/foreign-keys&gt;&lt;ref-type name="Journal Article"&gt;17&lt;/ref-type&gt;&lt;contributors&gt;&lt;authors&gt;&lt;author&gt;Dinh, Michael M&lt;/author&gt;&lt;author&gt;Curtis, Kate&lt;/author&gt;&lt;author&gt;Mitchell, Rebecca J&lt;/author&gt;&lt;author&gt;Bein, Kendall J&lt;/author&gt;&lt;author&gt;Balogh, Zsolt J&lt;/author&gt;&lt;author&gt;Seppelt, Ian&lt;/author&gt;&lt;author&gt;Deans, Colin&lt;/author&gt;&lt;author&gt;Ivers, Rebecca&lt;/author&gt;&lt;author&gt;Berendsen Russell, Saartje&lt;/author&gt;&lt;author&gt;Rigby, Oran&lt;/author&gt;&lt;/authors&gt;&lt;/contributors&gt;&lt;titles&gt;&lt;title&gt;Major trauma mortality in rural and metropolitan NSW, 2009–2014: a retrospective analysis of trauma registry data&lt;/title&gt;&lt;secondary-title&gt;Medical journal of Australia&lt;/secondary-title&gt;&lt;/titles&gt;&lt;periodical&gt;&lt;full-title&gt;Medical journal of Australia&lt;/full-title&gt;&lt;/periodical&gt;&lt;pages&gt;403-407&lt;/pages&gt;&lt;volume&gt;205&lt;/volume&gt;&lt;number&gt;9&lt;/number&gt;&lt;dates&gt;&lt;year&gt;2016&lt;/year&gt;&lt;/dates&gt;&lt;isbn&gt;0025-729X&lt;/isbn&gt;&lt;urls&gt;&lt;/urls&gt;&lt;/record&gt;&lt;/Cite&gt;&lt;/EndNote&gt;</w:instrText>
      </w:r>
      <w:r w:rsidRPr="00255A62">
        <w:rPr>
          <w:rFonts w:cstheme="minorHAnsi"/>
          <w:lang w:val="en-AU" w:eastAsia="en-US"/>
        </w:rPr>
        <w:fldChar w:fldCharType="separate"/>
      </w:r>
      <w:r w:rsidR="007D2F13" w:rsidRPr="00255A62">
        <w:rPr>
          <w:rFonts w:cstheme="minorHAnsi"/>
          <w:noProof/>
          <w:vertAlign w:val="superscript"/>
          <w:lang w:val="en-AU" w:eastAsia="en-US"/>
        </w:rPr>
        <w:t>29</w:t>
      </w:r>
      <w:r w:rsidRPr="00255A62">
        <w:rPr>
          <w:rFonts w:cstheme="minorHAnsi"/>
          <w:lang w:val="en-AU" w:eastAsia="en-US"/>
        </w:rPr>
        <w:fldChar w:fldCharType="end"/>
      </w:r>
      <w:r w:rsidRPr="00255A62">
        <w:rPr>
          <w:rFonts w:cstheme="minorHAnsi"/>
          <w:lang w:val="en-AU" w:eastAsia="en-US"/>
        </w:rPr>
        <w:t xml:space="preserve"> </w:t>
      </w:r>
    </w:p>
    <w:p w14:paraId="035B7E92" w14:textId="77777777" w:rsidR="00255A62" w:rsidRPr="00255A62" w:rsidRDefault="00C82BFF" w:rsidP="007D5286">
      <w:pPr>
        <w:pStyle w:val="ListParagraph"/>
        <w:numPr>
          <w:ilvl w:val="0"/>
          <w:numId w:val="98"/>
        </w:numPr>
        <w:rPr>
          <w:lang w:val="en-AU"/>
        </w:rPr>
      </w:pPr>
      <w:r w:rsidRPr="00255A62">
        <w:rPr>
          <w:rFonts w:cstheme="minorHAnsi"/>
          <w:lang w:val="en-AU" w:eastAsia="en-US"/>
        </w:rPr>
        <w:t>The main causes of injury for this group are s</w:t>
      </w:r>
      <w:r w:rsidRPr="00255A62">
        <w:rPr>
          <w:rFonts w:cstheme="minorHAnsi"/>
          <w:shd w:val="clear" w:color="auto" w:fill="FFFFFF"/>
          <w:lang w:val="en-AU"/>
        </w:rPr>
        <w:t>uicide and other self-inflicted injuries, followed by road traffic injury, poisoning and falls.</w:t>
      </w:r>
      <w:r w:rsidRPr="00255A62">
        <w:rPr>
          <w:rFonts w:cstheme="minorHAnsi"/>
          <w:shd w:val="clear" w:color="auto" w:fill="FFFFFF"/>
          <w:lang w:val="en-AU"/>
        </w:rPr>
        <w:fldChar w:fldCharType="begin"/>
      </w:r>
      <w:r w:rsidR="007D2F13" w:rsidRPr="00255A62">
        <w:rPr>
          <w:rFonts w:cstheme="minorHAnsi"/>
          <w:shd w:val="clear" w:color="auto" w:fill="FFFFFF"/>
          <w:lang w:val="en-AU"/>
        </w:rPr>
        <w:instrText xml:space="preserve"> ADDIN EN.CITE &lt;EndNote&gt;&lt;Cite&gt;&lt;Author&gt;Dinh&lt;/Author&gt;&lt;Year&gt;2016&lt;/Year&gt;&lt;RecNum&gt;16&lt;/RecNum&gt;&lt;DisplayText&gt;&lt;style face="superscript"&gt;29&lt;/style&gt;&lt;/DisplayText&gt;&lt;record&gt;&lt;rec-number&gt;16&lt;/rec-number&gt;&lt;foreign-keys&gt;&lt;key app="EN" db-id="2wsw9x5wvsspa1evwxlvvergx9epfd50fs2a" timestamp="1571987685"&gt;16&lt;/key&gt;&lt;/foreign-keys&gt;&lt;ref-type name="Journal Article"&gt;17&lt;/ref-type&gt;&lt;contributors&gt;&lt;authors&gt;&lt;author&gt;Dinh, Michael M&lt;/author&gt;&lt;author&gt;Curtis, Kate&lt;/author&gt;&lt;author&gt;Mitchell, Rebecca J&lt;/author&gt;&lt;author&gt;Bein, Kendall J&lt;/author&gt;&lt;author&gt;Balogh, Zsolt J&lt;/author&gt;&lt;author&gt;Seppelt, Ian&lt;/author&gt;&lt;author&gt;Deans, Colin&lt;/author&gt;&lt;author&gt;Ivers, Rebecca&lt;/author&gt;&lt;author&gt;Berendsen Russell, Saartje&lt;/author&gt;&lt;author&gt;Rigby, Oran&lt;/author&gt;&lt;/authors&gt;&lt;/contributors&gt;&lt;titles&gt;&lt;title&gt;Major trauma mortality in rural and metropolitan NSW, 2009–2014: a retrospective analysis of trauma registry data&lt;/title&gt;&lt;secondary-title&gt;Medical journal of Australia&lt;/secondary-title&gt;&lt;/titles&gt;&lt;periodical&gt;&lt;full-title&gt;Medical journal of Australia&lt;/full-title&gt;&lt;/periodical&gt;&lt;pages&gt;403-407&lt;/pages&gt;&lt;volume&gt;205&lt;/volume&gt;&lt;number&gt;9&lt;/number&gt;&lt;dates&gt;&lt;year&gt;2016&lt;/year&gt;&lt;/dates&gt;&lt;isbn&gt;0025-729X&lt;/isbn&gt;&lt;urls&gt;&lt;/urls&gt;&lt;/record&gt;&lt;/Cite&gt;&lt;/EndNote&gt;</w:instrText>
      </w:r>
      <w:r w:rsidRPr="00255A62">
        <w:rPr>
          <w:rFonts w:cstheme="minorHAnsi"/>
          <w:shd w:val="clear" w:color="auto" w:fill="FFFFFF"/>
          <w:lang w:val="en-AU"/>
        </w:rPr>
        <w:fldChar w:fldCharType="separate"/>
      </w:r>
      <w:r w:rsidR="007D2F13" w:rsidRPr="00255A62">
        <w:rPr>
          <w:rFonts w:cstheme="minorHAnsi"/>
          <w:noProof/>
          <w:shd w:val="clear" w:color="auto" w:fill="FFFFFF"/>
          <w:vertAlign w:val="superscript"/>
          <w:lang w:val="en-AU"/>
        </w:rPr>
        <w:t>29</w:t>
      </w:r>
      <w:r w:rsidRPr="00255A62">
        <w:rPr>
          <w:rFonts w:cstheme="minorHAnsi"/>
          <w:shd w:val="clear" w:color="auto" w:fill="FFFFFF"/>
          <w:lang w:val="en-AU"/>
        </w:rPr>
        <w:fldChar w:fldCharType="end"/>
      </w:r>
      <w:r w:rsidRPr="00255A62">
        <w:rPr>
          <w:rFonts w:cstheme="minorHAnsi"/>
          <w:shd w:val="clear" w:color="auto" w:fill="FFFFFF"/>
          <w:lang w:val="en-AU"/>
        </w:rPr>
        <w:t xml:space="preserve"> </w:t>
      </w:r>
    </w:p>
    <w:p w14:paraId="11181776" w14:textId="2444ED97" w:rsidR="00C82BFF" w:rsidRPr="00255A62" w:rsidRDefault="00C82BFF" w:rsidP="007D5286">
      <w:pPr>
        <w:pStyle w:val="ListParagraph"/>
        <w:numPr>
          <w:ilvl w:val="0"/>
          <w:numId w:val="98"/>
        </w:numPr>
        <w:rPr>
          <w:lang w:val="en-AU"/>
        </w:rPr>
      </w:pPr>
      <w:r w:rsidRPr="00255A62">
        <w:rPr>
          <w:lang w:val="en-AU"/>
        </w:rPr>
        <w:t>People living in rural and remote areas were 1.4 times more likely to have experienced partner violence (from the age of 15 years) compared to those living in major cities.</w:t>
      </w:r>
      <w:r w:rsidRPr="00255A62">
        <w:rPr>
          <w:lang w:val="en-AU"/>
        </w:rPr>
        <w:fldChar w:fldCharType="begin"/>
      </w:r>
      <w:r w:rsidR="007D2F13" w:rsidRPr="00255A62">
        <w:rPr>
          <w:lang w:val="en-AU"/>
        </w:rPr>
        <w:instrText xml:space="preserve"> ADDIN EN.CITE &lt;EndNote&gt;&lt;Cite&gt;&lt;Author&gt;AIHW&lt;/Author&gt;&lt;Year&gt;2019b&lt;/Year&gt;&lt;RecNum&gt;37&lt;/RecNum&gt;&lt;DisplayText&gt;&lt;style face="superscript"&gt;30&lt;/style&gt;&lt;/DisplayText&gt;&lt;record&gt;&lt;rec-number&gt;37&lt;/rec-number&gt;&lt;foreign-keys&gt;&lt;key app="EN" db-id="2wsw9x5wvsspa1evwxlvvergx9epfd50fs2a" timestamp="1574037263"&gt;37&lt;/key&gt;&lt;/foreign-keys&gt;&lt;ref-type name="Report"&gt;27&lt;/ref-type&gt;&lt;contributors&gt;&lt;authors&gt;&lt;author&gt;AIHW,&lt;/author&gt;&lt;/authors&gt;&lt;/contributors&gt;&lt;titles&gt;&lt;title&gt;Family, domestic and sexual violence in Australia: continuing the national story&lt;/title&gt;&lt;secondary-title&gt;FDV 3&lt;/secondary-title&gt;&lt;/titles&gt;&lt;dates&gt;&lt;year&gt;2019b&lt;/year&gt;&lt;/dates&gt;&lt;pub-location&gt;Canberra&lt;/pub-location&gt;&lt;publisher&gt;AIHW&lt;/publisher&gt;&lt;isbn&gt;Citing Australian Bureau of Statistics, Personal Safety Survey, 2016, TableBuilder. ABS cat. no. 4906.0. Findings based on use of ABS TableBuilder data. Canberra: ABS.&lt;/isbn&gt;&lt;urls&gt;&lt;related-urls&gt;&lt;url&gt;https://www.aihw.gov.au/getmedia/b0037b2d-a651-4abf-9f7b-00a85e3de528/aihw-fdv3-FDSV-in-Australia-2019.pdf.aspx?inline=true&lt;/url&gt;&lt;/related-urls&gt;&lt;/urls&gt;&lt;/record&gt;&lt;/Cite&gt;&lt;/EndNote&gt;</w:instrText>
      </w:r>
      <w:r w:rsidRPr="00255A62">
        <w:rPr>
          <w:lang w:val="en-AU"/>
        </w:rPr>
        <w:fldChar w:fldCharType="separate"/>
      </w:r>
      <w:r w:rsidR="007D2F13" w:rsidRPr="00255A62">
        <w:rPr>
          <w:noProof/>
          <w:vertAlign w:val="superscript"/>
          <w:lang w:val="en-AU"/>
        </w:rPr>
        <w:t>30</w:t>
      </w:r>
      <w:r w:rsidRPr="00255A62">
        <w:rPr>
          <w:lang w:val="en-AU"/>
        </w:rPr>
        <w:fldChar w:fldCharType="end"/>
      </w:r>
      <w:r w:rsidRPr="00255A62">
        <w:rPr>
          <w:lang w:val="en-AU"/>
        </w:rPr>
        <w:t xml:space="preserve"> </w:t>
      </w:r>
    </w:p>
    <w:p w14:paraId="3C6B0CAC" w14:textId="77777777" w:rsidR="00255A62" w:rsidRDefault="00C82BFF" w:rsidP="00C82BFF">
      <w:pPr>
        <w:rPr>
          <w:rFonts w:cstheme="minorHAnsi"/>
          <w:lang w:val="en-AU" w:eastAsia="en-US"/>
        </w:rPr>
      </w:pPr>
      <w:r w:rsidRPr="00400300">
        <w:rPr>
          <w:rFonts w:cstheme="minorHAnsi"/>
          <w:lang w:val="en-AU" w:eastAsia="en-US"/>
        </w:rPr>
        <w:t xml:space="preserve">Several factors contribute to the elevated burden of injury of people living in rural and remote areas including: higher road speeds, lower levels of health literacy linked with lower education and employment levels, as well as greater distances to definitive trauma care. </w:t>
      </w:r>
    </w:p>
    <w:p w14:paraId="3BC37910" w14:textId="77777777" w:rsidR="00255A62" w:rsidRDefault="00C82BFF" w:rsidP="00B443F6">
      <w:pPr>
        <w:spacing w:before="120"/>
        <w:rPr>
          <w:rFonts w:ascii="Times New Roman" w:hAnsi="Times New Roman"/>
          <w:lang w:val="en-AU" w:eastAsia="zh-CN"/>
        </w:rPr>
      </w:pPr>
      <w:r w:rsidRPr="00400300">
        <w:rPr>
          <w:rFonts w:cstheme="minorHAnsi"/>
          <w:lang w:val="en-AU" w:eastAsia="en-US"/>
        </w:rPr>
        <w:t>In the sports context, it has also been suggested that people in rural and remote communities might also be disadvantaged through exposure to different hazards and risks, due to differences in the quality, maintenance and availability of high-quality sporting facilities.</w:t>
      </w:r>
      <w:r w:rsidRPr="00400300">
        <w:rPr>
          <w:rFonts w:cstheme="minorHAnsi"/>
          <w:lang w:val="en-AU" w:eastAsia="en-US"/>
        </w:rPr>
        <w:fldChar w:fldCharType="begin"/>
      </w:r>
      <w:r w:rsidR="007D2F13">
        <w:rPr>
          <w:rFonts w:cstheme="minorHAnsi"/>
          <w:lang w:val="en-AU" w:eastAsia="en-US"/>
        </w:rPr>
        <w:instrText xml:space="preserve"> ADDIN EN.CITE &lt;EndNote&gt;&lt;Cite&gt;&lt;Author&gt;Shee&lt;/Author&gt;&lt;Year&gt;2014&lt;/Year&gt;&lt;RecNum&gt;47&lt;/RecNum&gt;&lt;DisplayText&gt;&lt;style face="superscript"&gt;31&lt;/style&gt;&lt;/DisplayText&gt;&lt;record&gt;&lt;rec-number&gt;47&lt;/rec-number&gt;&lt;foreign-keys&gt;&lt;key app="EN" db-id="2wsw9x5wvsspa1evwxlvvergx9epfd50fs2a" timestamp="1574222828"&gt;47&lt;/key&gt;&lt;/foreign-keys&gt;&lt;ref-type name="Journal Article"&gt;17&lt;/ref-type&gt;&lt;contributors&gt;&lt;authors&gt;&lt;author&gt;Shee, A Wong&lt;/author&gt;&lt;author&gt;Clapperton, A&lt;/author&gt;&lt;author&gt;Finch, C %J Journal of Science&lt;/author&gt;&lt;author&gt;Medicine in Sport&lt;/author&gt;&lt;/authors&gt;&lt;/contributors&gt;&lt;titles&gt;&lt;title&gt;Rural vs. metro: Geographical differences in sports injury healthcare burden in Victoria&lt;/title&gt;&lt;/titles&gt;&lt;pages&gt;e118-e119&lt;/pages&gt;&lt;volume&gt;18&lt;/volume&gt;&lt;dates&gt;&lt;year&gt;2014&lt;/year&gt;&lt;/dates&gt;&lt;isbn&gt;1440-2440&lt;/isbn&gt;&lt;urls&gt;&lt;/urls&gt;&lt;/record&gt;&lt;/Cite&gt;&lt;/EndNote&gt;</w:instrText>
      </w:r>
      <w:r w:rsidRPr="00400300">
        <w:rPr>
          <w:rFonts w:cstheme="minorHAnsi"/>
          <w:lang w:val="en-AU" w:eastAsia="en-US"/>
        </w:rPr>
        <w:fldChar w:fldCharType="separate"/>
      </w:r>
      <w:r w:rsidR="007D2F13" w:rsidRPr="007D2F13">
        <w:rPr>
          <w:rFonts w:cstheme="minorHAnsi"/>
          <w:noProof/>
          <w:vertAlign w:val="superscript"/>
          <w:lang w:val="en-AU" w:eastAsia="en-US"/>
        </w:rPr>
        <w:t>31</w:t>
      </w:r>
      <w:r w:rsidRPr="00400300">
        <w:rPr>
          <w:rFonts w:cstheme="minorHAnsi"/>
          <w:lang w:val="en-AU" w:eastAsia="en-US"/>
        </w:rPr>
        <w:fldChar w:fldCharType="end"/>
      </w:r>
      <w:r w:rsidRPr="00400300">
        <w:rPr>
          <w:rFonts w:ascii="Times New Roman" w:hAnsi="Times New Roman"/>
          <w:lang w:val="en-AU" w:eastAsia="zh-CN"/>
        </w:rPr>
        <w:t xml:space="preserve"> </w:t>
      </w:r>
    </w:p>
    <w:p w14:paraId="6448C908" w14:textId="5AC0F645" w:rsidR="00C82BFF" w:rsidRPr="00400300" w:rsidRDefault="00255A62" w:rsidP="00B443F6">
      <w:pPr>
        <w:spacing w:before="120"/>
        <w:rPr>
          <w:rFonts w:cstheme="minorHAnsi"/>
          <w:szCs w:val="22"/>
          <w:lang w:val="en-AU"/>
        </w:rPr>
      </w:pPr>
      <w:r>
        <w:rPr>
          <w:iCs/>
          <w:lang w:val="en-AU"/>
        </w:rPr>
        <w:t>T</w:t>
      </w:r>
      <w:r w:rsidR="00C82BFF" w:rsidRPr="00400300">
        <w:rPr>
          <w:iCs/>
          <w:lang w:val="en-AU"/>
        </w:rPr>
        <w:t>hose living in rural and remote Australia are more vulnerable to injury from specific cause</w:t>
      </w:r>
      <w:r w:rsidR="0028258D">
        <w:rPr>
          <w:iCs/>
          <w:lang w:val="en-AU"/>
        </w:rPr>
        <w:t>s</w:t>
      </w:r>
      <w:r w:rsidR="00C82BFF" w:rsidRPr="00400300">
        <w:rPr>
          <w:iCs/>
          <w:lang w:val="en-AU"/>
        </w:rPr>
        <w:t xml:space="preserve"> such as the health impacts of extreme weather events. Injury risk is compounded when this is combined with other risk factors, such as</w:t>
      </w:r>
      <w:r w:rsidR="00C82BFF" w:rsidRPr="00400300">
        <w:rPr>
          <w:lang w:val="en-AU"/>
        </w:rPr>
        <w:t xml:space="preserve"> pre-existing health conditions, lower socio-economic status, poorer housing and the surrounding infrastructure (e.g. communications, transport, water and sanitation), increase</w:t>
      </w:r>
      <w:r w:rsidR="0028258D">
        <w:rPr>
          <w:lang w:val="en-AU"/>
        </w:rPr>
        <w:t>d</w:t>
      </w:r>
      <w:r w:rsidR="00C82BFF" w:rsidRPr="00400300">
        <w:rPr>
          <w:lang w:val="en-AU"/>
        </w:rPr>
        <w:t xml:space="preserve"> risk exposure linked with many rural livelihoods; and access to health services.</w:t>
      </w:r>
      <w:r w:rsidR="00C82BFF" w:rsidRPr="00400300">
        <w:rPr>
          <w:iCs/>
          <w:lang w:val="en-AU"/>
        </w:rPr>
        <w:fldChar w:fldCharType="begin"/>
      </w:r>
      <w:r w:rsidR="007D2F13">
        <w:rPr>
          <w:iCs/>
          <w:lang w:val="en-AU"/>
        </w:rPr>
        <w:instrText xml:space="preserve"> ADDIN EN.CITE &lt;EndNote&gt;&lt;Cite&gt;&lt;Author&gt;National Rural Health Alliance&lt;/Author&gt;&lt;Year&gt;2014&lt;/Year&gt;&lt;RecNum&gt;34&lt;/RecNum&gt;&lt;DisplayText&gt;&lt;style face="superscript"&gt;32&lt;/style&gt;&lt;/DisplayText&gt;&lt;record&gt;&lt;rec-number&gt;34&lt;/rec-number&gt;&lt;foreign-keys&gt;&lt;key app="EN" db-id="2wsw9x5wvsspa1evwxlvvergx9epfd50fs2a" timestamp="1573786425"&gt;34&lt;/key&gt;&lt;/foreign-keys&gt;&lt;ref-type name="Web Page"&gt;12&lt;/ref-type&gt;&lt;contributors&gt;&lt;authors&gt;&lt;author&gt;National Rural Health Alliance,&lt;/author&gt;&lt;/authors&gt;&lt;/contributors&gt;&lt;titles&gt;&lt;title&gt;Rural health impacts of climate change&lt;/title&gt;&lt;/titles&gt;&lt;dates&gt;&lt;year&gt;2014&lt;/year&gt;&lt;/dates&gt;&lt;urls&gt;&lt;related-urls&gt;&lt;url&gt;https://www.ruralhealth.org.au/sites/default/files/publications/nrha-factsheet-climate-change.pdf&lt;/url&gt;&lt;/related-urls&gt;&lt;/urls&gt;&lt;/record&gt;&lt;/Cite&gt;&lt;/EndNote&gt;</w:instrText>
      </w:r>
      <w:r w:rsidR="00C82BFF" w:rsidRPr="00400300">
        <w:rPr>
          <w:iCs/>
          <w:lang w:val="en-AU"/>
        </w:rPr>
        <w:fldChar w:fldCharType="separate"/>
      </w:r>
      <w:r w:rsidR="007D2F13" w:rsidRPr="007D2F13">
        <w:rPr>
          <w:iCs/>
          <w:noProof/>
          <w:vertAlign w:val="superscript"/>
          <w:lang w:val="en-AU"/>
        </w:rPr>
        <w:t>32</w:t>
      </w:r>
      <w:r w:rsidR="00C82BFF" w:rsidRPr="00400300">
        <w:rPr>
          <w:iCs/>
          <w:lang w:val="en-AU"/>
        </w:rPr>
        <w:fldChar w:fldCharType="end"/>
      </w:r>
    </w:p>
    <w:p w14:paraId="57551677" w14:textId="77777777" w:rsidR="00C82BFF" w:rsidRPr="00400300" w:rsidRDefault="00C82BFF" w:rsidP="00C82BFF">
      <w:pPr>
        <w:rPr>
          <w:rFonts w:ascii="Times New Roman" w:hAnsi="Times New Roman"/>
          <w:lang w:val="en-AU" w:eastAsia="zh-CN"/>
        </w:rPr>
      </w:pPr>
    </w:p>
    <w:p w14:paraId="764BB5E8" w14:textId="372BF2B9" w:rsidR="00C82BFF" w:rsidRPr="004F5A5B" w:rsidRDefault="00C82BFF" w:rsidP="00C82BFF">
      <w:pPr>
        <w:pStyle w:val="Caption"/>
        <w:keepNext/>
        <w:rPr>
          <w:color w:val="auto"/>
          <w:lang w:val="en-AU"/>
        </w:rPr>
      </w:pPr>
      <w:r w:rsidRPr="00400300">
        <w:rPr>
          <w:color w:val="auto"/>
          <w:lang w:val="en-AU"/>
        </w:rPr>
        <w:t xml:space="preserve">Figure </w:t>
      </w:r>
      <w:r w:rsidRPr="00400300">
        <w:rPr>
          <w:color w:val="auto"/>
          <w:lang w:val="en-AU"/>
        </w:rPr>
        <w:fldChar w:fldCharType="begin"/>
      </w:r>
      <w:r w:rsidRPr="00400300">
        <w:rPr>
          <w:color w:val="auto"/>
          <w:lang w:val="en-AU"/>
        </w:rPr>
        <w:instrText xml:space="preserve"> SEQ Figure \* ARABIC </w:instrText>
      </w:r>
      <w:r w:rsidRPr="00400300">
        <w:rPr>
          <w:color w:val="auto"/>
          <w:lang w:val="en-AU"/>
        </w:rPr>
        <w:fldChar w:fldCharType="separate"/>
      </w:r>
      <w:r w:rsidR="00E84433">
        <w:rPr>
          <w:noProof/>
          <w:color w:val="auto"/>
          <w:lang w:val="en-AU"/>
        </w:rPr>
        <w:t>4</w:t>
      </w:r>
      <w:r w:rsidRPr="00400300">
        <w:rPr>
          <w:color w:val="auto"/>
          <w:lang w:val="en-AU"/>
        </w:rPr>
        <w:fldChar w:fldCharType="end"/>
      </w:r>
      <w:r w:rsidRPr="00400300">
        <w:rPr>
          <w:color w:val="auto"/>
          <w:lang w:val="en-AU"/>
        </w:rPr>
        <w:t xml:space="preserve">. Injury DALYs </w:t>
      </w:r>
      <w:r w:rsidRPr="004F5A5B">
        <w:rPr>
          <w:color w:val="auto"/>
          <w:lang w:val="en-AU"/>
        </w:rPr>
        <w:t>per 1000 population by geographic area</w:t>
      </w:r>
    </w:p>
    <w:p w14:paraId="518E8DF3" w14:textId="77777777" w:rsidR="00C82BFF" w:rsidRPr="00400300" w:rsidRDefault="00C82BFF" w:rsidP="00C82BFF">
      <w:pPr>
        <w:keepNext/>
        <w:rPr>
          <w:rFonts w:cstheme="minorHAnsi"/>
          <w:lang w:val="en-AU" w:eastAsia="en-US"/>
        </w:rPr>
      </w:pPr>
      <w:r w:rsidRPr="00400300">
        <w:rPr>
          <w:noProof/>
          <w:lang w:val="en-AU" w:eastAsia="en-AU"/>
        </w:rPr>
        <w:drawing>
          <wp:inline distT="0" distB="0" distL="0" distR="0" wp14:anchorId="083EB487" wp14:editId="0FF837E7">
            <wp:extent cx="4316432" cy="1847850"/>
            <wp:effectExtent l="0" t="0" r="8255" b="0"/>
            <wp:docPr id="4" name="Picture 4" descr="Injury DALYs per 1000 population by geographic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318052" cy="1848544"/>
                    </a:xfrm>
                    <a:prstGeom prst="rect">
                      <a:avLst/>
                    </a:prstGeom>
                  </pic:spPr>
                </pic:pic>
              </a:graphicData>
            </a:graphic>
          </wp:inline>
        </w:drawing>
      </w:r>
      <w:r w:rsidRPr="00400300">
        <w:rPr>
          <w:noProof/>
          <w:lang w:val="en-AU"/>
        </w:rPr>
        <w:t xml:space="preserve"> </w:t>
      </w:r>
      <w:r w:rsidRPr="00400300">
        <w:rPr>
          <w:noProof/>
          <w:lang w:val="en-AU" w:eastAsia="en-AU"/>
        </w:rPr>
        <w:drawing>
          <wp:inline distT="0" distB="0" distL="0" distR="0" wp14:anchorId="6959AC2F" wp14:editId="408558AF">
            <wp:extent cx="717599" cy="790575"/>
            <wp:effectExtent l="0" t="0" r="6350" b="0"/>
            <wp:docPr id="5" name="Picture 5" descr="Key to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723584" cy="797169"/>
                    </a:xfrm>
                    <a:prstGeom prst="rect">
                      <a:avLst/>
                    </a:prstGeom>
                  </pic:spPr>
                </pic:pic>
              </a:graphicData>
            </a:graphic>
          </wp:inline>
        </w:drawing>
      </w:r>
    </w:p>
    <w:p w14:paraId="2FCDDB63" w14:textId="77777777" w:rsidR="0060583A" w:rsidRDefault="0060583A" w:rsidP="0060583A">
      <w:pPr>
        <w:rPr>
          <w:noProof/>
          <w:sz w:val="18"/>
          <w:szCs w:val="18"/>
        </w:rPr>
      </w:pPr>
      <w:r w:rsidRPr="00DA291B">
        <w:rPr>
          <w:noProof/>
          <w:sz w:val="18"/>
          <w:szCs w:val="18"/>
        </w:rPr>
        <w:t>AIHW</w:t>
      </w:r>
      <w:r>
        <w:rPr>
          <w:noProof/>
          <w:sz w:val="18"/>
          <w:szCs w:val="18"/>
        </w:rPr>
        <w:t xml:space="preserve"> 2015</w:t>
      </w:r>
      <w:r>
        <w:rPr>
          <w:noProof/>
          <w:sz w:val="18"/>
          <w:szCs w:val="18"/>
        </w:rPr>
        <w:fldChar w:fldCharType="begin"/>
      </w:r>
      <w:r>
        <w:rPr>
          <w:noProof/>
          <w:sz w:val="18"/>
          <w:szCs w:val="18"/>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Pr>
          <w:noProof/>
          <w:sz w:val="18"/>
          <w:szCs w:val="18"/>
        </w:rPr>
        <w:fldChar w:fldCharType="separate"/>
      </w:r>
      <w:r w:rsidRPr="00542B57">
        <w:rPr>
          <w:noProof/>
          <w:sz w:val="18"/>
          <w:szCs w:val="18"/>
          <w:vertAlign w:val="superscript"/>
        </w:rPr>
        <w:t>1</w:t>
      </w:r>
      <w:r>
        <w:rPr>
          <w:noProof/>
          <w:sz w:val="18"/>
          <w:szCs w:val="18"/>
        </w:rPr>
        <w:fldChar w:fldCharType="end"/>
      </w:r>
      <w:r w:rsidRPr="00DA291B">
        <w:rPr>
          <w:noProof/>
          <w:sz w:val="18"/>
          <w:szCs w:val="18"/>
        </w:rPr>
        <w:t>. Analysis of burden of disease database.</w:t>
      </w:r>
    </w:p>
    <w:p w14:paraId="64E8891A" w14:textId="77777777" w:rsidR="00C82BFF" w:rsidRPr="00400300" w:rsidRDefault="00C82BFF" w:rsidP="00C82BFF">
      <w:pPr>
        <w:rPr>
          <w:rFonts w:cstheme="minorHAnsi"/>
          <w:b/>
          <w:lang w:val="en-AU" w:eastAsia="en-US"/>
        </w:rPr>
      </w:pPr>
    </w:p>
    <w:tbl>
      <w:tblPr>
        <w:tblStyle w:val="TableGrid"/>
        <w:tblpPr w:leftFromText="180" w:rightFromText="180" w:vertAnchor="text" w:horzAnchor="margin" w:tblpY="189"/>
        <w:tblW w:w="0" w:type="auto"/>
        <w:shd w:val="clear" w:color="auto" w:fill="E7E6E6" w:themeFill="background2"/>
        <w:tblLook w:val="04A0" w:firstRow="1" w:lastRow="0" w:firstColumn="1" w:lastColumn="0" w:noHBand="0" w:noVBand="1"/>
      </w:tblPr>
      <w:tblGrid>
        <w:gridCol w:w="9016"/>
      </w:tblGrid>
      <w:tr w:rsidR="00C82BFF" w:rsidRPr="00701DBE" w14:paraId="10221DF0" w14:textId="77777777" w:rsidTr="005B5F77">
        <w:tc>
          <w:tcPr>
            <w:tcW w:w="9016" w:type="dxa"/>
            <w:shd w:val="clear" w:color="auto" w:fill="E7E6E6" w:themeFill="background2"/>
          </w:tcPr>
          <w:p w14:paraId="0CD63882" w14:textId="77777777" w:rsidR="00C82BFF" w:rsidRPr="00701DBE" w:rsidRDefault="00C82BFF" w:rsidP="00701DBE">
            <w:pPr>
              <w:spacing w:before="0"/>
              <w:rPr>
                <w:rFonts w:cstheme="minorHAnsi"/>
                <w:sz w:val="20"/>
                <w:szCs w:val="20"/>
                <w:lang w:val="en-AU" w:eastAsia="en-US"/>
              </w:rPr>
            </w:pPr>
            <w:r w:rsidRPr="00701DBE">
              <w:rPr>
                <w:rFonts w:cstheme="minorHAnsi"/>
                <w:b/>
                <w:sz w:val="20"/>
                <w:szCs w:val="20"/>
                <w:lang w:val="en-AU" w:eastAsia="en-US"/>
              </w:rPr>
              <w:t xml:space="preserve">Case study: </w:t>
            </w:r>
            <w:r w:rsidRPr="00701DBE">
              <w:rPr>
                <w:rFonts w:cstheme="minorHAnsi"/>
                <w:sz w:val="20"/>
                <w:szCs w:val="20"/>
                <w:lang w:val="en-AU" w:eastAsia="en-US"/>
              </w:rPr>
              <w:t>Rural and remote</w:t>
            </w:r>
          </w:p>
          <w:p w14:paraId="47E0A4E1" w14:textId="3E22D64C" w:rsidR="00701DBE" w:rsidRPr="00701DBE" w:rsidRDefault="00701DBE" w:rsidP="007D5286">
            <w:pPr>
              <w:pStyle w:val="ListParagraph"/>
              <w:numPr>
                <w:ilvl w:val="0"/>
                <w:numId w:val="52"/>
              </w:numPr>
              <w:spacing w:before="0"/>
              <w:rPr>
                <w:rFonts w:cstheme="minorHAnsi"/>
                <w:sz w:val="20"/>
                <w:szCs w:val="20"/>
              </w:rPr>
            </w:pPr>
            <w:r w:rsidRPr="00701DBE">
              <w:rPr>
                <w:rFonts w:cstheme="minorHAnsi"/>
                <w:sz w:val="20"/>
                <w:szCs w:val="20"/>
              </w:rPr>
              <w:t>To provide an example of a road safety program that has been effective in rural and remote areas of Australia</w:t>
            </w:r>
          </w:p>
        </w:tc>
      </w:tr>
    </w:tbl>
    <w:p w14:paraId="07E33DA2" w14:textId="77777777" w:rsidR="00C82BFF" w:rsidRPr="00400300" w:rsidRDefault="00C82BFF" w:rsidP="00C82BFF">
      <w:pPr>
        <w:rPr>
          <w:rFonts w:cstheme="minorHAnsi"/>
          <w:b/>
          <w:lang w:val="en-AU" w:eastAsia="en-US"/>
        </w:rPr>
      </w:pPr>
    </w:p>
    <w:p w14:paraId="33C0213B" w14:textId="0EF324F3" w:rsidR="00C82BFF" w:rsidRDefault="00D420DA" w:rsidP="00C82BFF">
      <w:pPr>
        <w:pStyle w:val="Heading2"/>
        <w:rPr>
          <w:lang w:val="en-AU"/>
        </w:rPr>
      </w:pPr>
      <w:bookmarkStart w:id="193" w:name="_Toc38021094"/>
      <w:r>
        <w:rPr>
          <w:lang w:val="en-AU"/>
        </w:rPr>
        <w:t>S</w:t>
      </w:r>
      <w:r w:rsidR="00C82BFF" w:rsidRPr="00400300">
        <w:rPr>
          <w:lang w:val="en-AU"/>
        </w:rPr>
        <w:t>ocio-economically disadvantaged people</w:t>
      </w:r>
      <w:bookmarkEnd w:id="193"/>
    </w:p>
    <w:p w14:paraId="41BDB8E3" w14:textId="77777777" w:rsidR="00C82BFF" w:rsidRDefault="00C82BFF" w:rsidP="00C82BFF">
      <w:pPr>
        <w:pStyle w:val="Heading3"/>
        <w:rPr>
          <w:lang w:val="en-AU" w:eastAsia="en-US"/>
        </w:rPr>
      </w:pPr>
      <w:r>
        <w:rPr>
          <w:lang w:val="en-AU" w:eastAsia="en-US"/>
        </w:rPr>
        <w:t>Background</w:t>
      </w:r>
    </w:p>
    <w:p w14:paraId="28ED3AA9" w14:textId="14199A87" w:rsidR="0028258D" w:rsidRDefault="00C82BFF" w:rsidP="00025AC3">
      <w:pPr>
        <w:spacing w:before="120"/>
        <w:rPr>
          <w:rFonts w:eastAsia="Times New Roman" w:cstheme="minorHAnsi"/>
          <w:color w:val="000000"/>
          <w:szCs w:val="22"/>
          <w:shd w:val="clear" w:color="auto" w:fill="FFFFFF"/>
        </w:rPr>
      </w:pPr>
      <w:r w:rsidRPr="00F14320">
        <w:rPr>
          <w:rFonts w:eastAsia="Times New Roman" w:cstheme="minorHAnsi"/>
          <w:color w:val="000000"/>
          <w:szCs w:val="22"/>
          <w:shd w:val="clear" w:color="auto" w:fill="FFFFFF"/>
        </w:rPr>
        <w:t>Australia is no exception when it comes to the fact that globally, people in the lower socio-economic levels of society have higher rates of illness and injury, and shorter life expectancy.</w:t>
      </w:r>
      <w:r>
        <w:rPr>
          <w:rFonts w:eastAsia="Times New Roman" w:cstheme="minorHAnsi"/>
          <w:color w:val="000000"/>
          <w:szCs w:val="22"/>
          <w:shd w:val="clear" w:color="auto" w:fill="FFFFFF"/>
        </w:rPr>
        <w:fldChar w:fldCharType="begin"/>
      </w:r>
      <w:r w:rsidR="007D2F13">
        <w:rPr>
          <w:rFonts w:eastAsia="Times New Roman" w:cstheme="minorHAnsi"/>
          <w:color w:val="000000"/>
          <w:szCs w:val="22"/>
          <w:shd w:val="clear" w:color="auto" w:fill="FFFFFF"/>
        </w:rPr>
        <w:instrText xml:space="preserve"> ADDIN EN.CITE &lt;EndNote&gt;&lt;Cite&gt;&lt;Author&gt;Stringhini&lt;/Author&gt;&lt;Year&gt;2017&lt;/Year&gt;&lt;RecNum&gt;117&lt;/RecNum&gt;&lt;DisplayText&gt;&lt;style face="superscript"&gt;33&lt;/style&gt;&lt;/DisplayText&gt;&lt;record&gt;&lt;rec-number&gt;117&lt;/rec-number&gt;&lt;foreign-keys&gt;&lt;key app="EN" db-id="2wsw9x5wvsspa1evwxlvvergx9epfd50fs2a" timestamp="1584677804"&gt;117&lt;/key&gt;&lt;/foreign-keys&gt;&lt;ref-type name="Journal Article"&gt;17&lt;/ref-type&gt;&lt;contributors&gt;&lt;authors&gt;&lt;author&gt;Stringhini, Silvia&lt;/author&gt;&lt;author&gt;Carmeli, Cristian&lt;/author&gt;&lt;author&gt;Jokela, Markus&lt;/author&gt;&lt;author&gt;Avendaño, Mauricio&lt;/author&gt;&lt;author&gt;Muennig, Peter&lt;/author&gt;&lt;author&gt;Guida, Florence&lt;/author&gt;&lt;author&gt;Ricceri, Fulvio&lt;/author&gt;&lt;author&gt;d&amp;apos;Errico, Angelo&lt;/author&gt;&lt;author&gt;Barros, Henrique&lt;/author&gt;&lt;author&gt;Bochud, Murielle %J The Lancet&lt;/author&gt;&lt;/authors&gt;&lt;/contributors&gt;&lt;titles&gt;&lt;title&gt;Socioeconomic status and the 25× 25 risk factors as determinants of premature mortality: a multicohort study and meta-analysis of 1· 7 million men and women&lt;/title&gt;&lt;/titles&gt;&lt;pages&gt;1229-1237&lt;/pages&gt;&lt;volume&gt;389&lt;/volume&gt;&lt;number&gt;10075&lt;/number&gt;&lt;dates&gt;&lt;year&gt;2017&lt;/year&gt;&lt;/dates&gt;&lt;isbn&gt;0140-6736&lt;/isbn&gt;&lt;urls&gt;&lt;/urls&gt;&lt;/record&gt;&lt;/Cite&gt;&lt;/EndNote&gt;</w:instrText>
      </w:r>
      <w:r>
        <w:rPr>
          <w:rFonts w:eastAsia="Times New Roman" w:cstheme="minorHAnsi"/>
          <w:color w:val="000000"/>
          <w:szCs w:val="22"/>
          <w:shd w:val="clear" w:color="auto" w:fill="FFFFFF"/>
        </w:rPr>
        <w:fldChar w:fldCharType="separate"/>
      </w:r>
      <w:r w:rsidR="007D2F13" w:rsidRPr="007D2F13">
        <w:rPr>
          <w:rFonts w:eastAsia="Times New Roman" w:cstheme="minorHAnsi"/>
          <w:noProof/>
          <w:color w:val="000000"/>
          <w:szCs w:val="22"/>
          <w:shd w:val="clear" w:color="auto" w:fill="FFFFFF"/>
          <w:vertAlign w:val="superscript"/>
        </w:rPr>
        <w:t>33</w:t>
      </w:r>
      <w:r>
        <w:rPr>
          <w:rFonts w:eastAsia="Times New Roman" w:cstheme="minorHAnsi"/>
          <w:color w:val="000000"/>
          <w:szCs w:val="22"/>
          <w:shd w:val="clear" w:color="auto" w:fill="FFFFFF"/>
        </w:rPr>
        <w:fldChar w:fldCharType="end"/>
      </w:r>
      <w:r w:rsidRPr="00F14320">
        <w:rPr>
          <w:rFonts w:eastAsia="Times New Roman" w:cstheme="minorHAnsi"/>
          <w:color w:val="000000"/>
          <w:szCs w:val="22"/>
          <w:shd w:val="clear" w:color="auto" w:fill="FFFFFF"/>
        </w:rPr>
        <w:t xml:space="preserve"> There are multiple factors associated with these health statistics, including reduced access to safer and healthy housing, lower levels of health literacy and associated increase in risky health behaviours such as smoking, consumption of harmful levels of alcohol, less safe environments such as older cars, and jobs that carry greater exposure to health and safety risks.</w:t>
      </w:r>
      <w:r>
        <w:rPr>
          <w:rFonts w:eastAsia="Times New Roman" w:cstheme="minorHAnsi"/>
          <w:color w:val="000000"/>
          <w:szCs w:val="22"/>
          <w:shd w:val="clear" w:color="auto" w:fill="FFFFFF"/>
        </w:rPr>
        <w:fldChar w:fldCharType="begin"/>
      </w:r>
      <w:r w:rsidR="007D2F13">
        <w:rPr>
          <w:rFonts w:eastAsia="Times New Roman" w:cstheme="minorHAnsi"/>
          <w:color w:val="000000"/>
          <w:szCs w:val="22"/>
          <w:shd w:val="clear" w:color="auto" w:fill="FFFFFF"/>
        </w:rPr>
        <w:instrText xml:space="preserve"> ADDIN EN.CITE &lt;EndNote&gt;&lt;Cite&gt;&lt;Author&gt;Stringhini&lt;/Author&gt;&lt;Year&gt;2017&lt;/Year&gt;&lt;RecNum&gt;117&lt;/RecNum&gt;&lt;DisplayText&gt;&lt;style face="superscript"&gt;33&lt;/style&gt;&lt;/DisplayText&gt;&lt;record&gt;&lt;rec-number&gt;117&lt;/rec-number&gt;&lt;foreign-keys&gt;&lt;key app="EN" db-id="2wsw9x5wvsspa1evwxlvvergx9epfd50fs2a" timestamp="1584677804"&gt;117&lt;/key&gt;&lt;/foreign-keys&gt;&lt;ref-type name="Journal Article"&gt;17&lt;/ref-type&gt;&lt;contributors&gt;&lt;authors&gt;&lt;author&gt;Stringhini, Silvia&lt;/author&gt;&lt;author&gt;Carmeli, Cristian&lt;/author&gt;&lt;author&gt;Jokela, Markus&lt;/author&gt;&lt;author&gt;Avendaño, Mauricio&lt;/author&gt;&lt;author&gt;Muennig, Peter&lt;/author&gt;&lt;author&gt;Guida, Florence&lt;/author&gt;&lt;author&gt;Ricceri, Fulvio&lt;/author&gt;&lt;author&gt;d&amp;apos;Errico, Angelo&lt;/author&gt;&lt;author&gt;Barros, Henrique&lt;/author&gt;&lt;author&gt;Bochud, Murielle %J The Lancet&lt;/author&gt;&lt;/authors&gt;&lt;/contributors&gt;&lt;titles&gt;&lt;title&gt;Socioeconomic status and the 25× 25 risk factors as determinants of premature mortality: a multicohort study and meta-analysis of 1· 7 million men and women&lt;/title&gt;&lt;/titles&gt;&lt;pages&gt;1229-1237&lt;/pages&gt;&lt;volume&gt;389&lt;/volume&gt;&lt;number&gt;10075&lt;/number&gt;&lt;dates&gt;&lt;year&gt;2017&lt;/year&gt;&lt;/dates&gt;&lt;isbn&gt;0140-6736&lt;/isbn&gt;&lt;urls&gt;&lt;/urls&gt;&lt;/record&gt;&lt;/Cite&gt;&lt;/EndNote&gt;</w:instrText>
      </w:r>
      <w:r>
        <w:rPr>
          <w:rFonts w:eastAsia="Times New Roman" w:cstheme="minorHAnsi"/>
          <w:color w:val="000000"/>
          <w:szCs w:val="22"/>
          <w:shd w:val="clear" w:color="auto" w:fill="FFFFFF"/>
        </w:rPr>
        <w:fldChar w:fldCharType="separate"/>
      </w:r>
      <w:r w:rsidR="007D2F13" w:rsidRPr="007D2F13">
        <w:rPr>
          <w:rFonts w:eastAsia="Times New Roman" w:cstheme="minorHAnsi"/>
          <w:noProof/>
          <w:color w:val="000000"/>
          <w:szCs w:val="22"/>
          <w:shd w:val="clear" w:color="auto" w:fill="FFFFFF"/>
          <w:vertAlign w:val="superscript"/>
        </w:rPr>
        <w:t>33</w:t>
      </w:r>
      <w:r>
        <w:rPr>
          <w:rFonts w:eastAsia="Times New Roman" w:cstheme="minorHAnsi"/>
          <w:color w:val="000000"/>
          <w:szCs w:val="22"/>
          <w:shd w:val="clear" w:color="auto" w:fill="FFFFFF"/>
        </w:rPr>
        <w:fldChar w:fldCharType="end"/>
      </w:r>
      <w:r w:rsidRPr="00F14320">
        <w:rPr>
          <w:rFonts w:eastAsia="Times New Roman" w:cstheme="minorHAnsi"/>
          <w:color w:val="000000"/>
          <w:szCs w:val="22"/>
          <w:shd w:val="clear" w:color="auto" w:fill="FFFFFF"/>
        </w:rPr>
        <w:t xml:space="preserve"> </w:t>
      </w:r>
    </w:p>
    <w:p w14:paraId="53A62A00" w14:textId="7D0A9537" w:rsidR="0028258D" w:rsidRDefault="00C82BFF" w:rsidP="00516245">
      <w:pPr>
        <w:spacing w:before="120"/>
        <w:rPr>
          <w:rFonts w:eastAsia="Times New Roman" w:cstheme="minorHAnsi"/>
          <w:color w:val="000000"/>
          <w:szCs w:val="22"/>
          <w:shd w:val="clear" w:color="auto" w:fill="FFFFFF"/>
        </w:rPr>
      </w:pPr>
      <w:r w:rsidRPr="00F14320">
        <w:rPr>
          <w:rFonts w:eastAsia="Times New Roman" w:cstheme="minorHAnsi"/>
          <w:color w:val="000000"/>
          <w:szCs w:val="22"/>
          <w:shd w:val="clear" w:color="auto" w:fill="FFFFFF"/>
        </w:rPr>
        <w:t xml:space="preserve">A snapshot of health in Australia in 2018 indicated that compared to people in the highest socio-economic quintile, those in the lowest </w:t>
      </w:r>
      <w:r w:rsidR="00D678D8">
        <w:rPr>
          <w:rFonts w:eastAsia="Times New Roman" w:cstheme="minorHAnsi"/>
          <w:color w:val="000000"/>
          <w:szCs w:val="22"/>
          <w:shd w:val="clear" w:color="auto" w:fill="FFFFFF"/>
        </w:rPr>
        <w:t xml:space="preserve">quintile </w:t>
      </w:r>
      <w:r w:rsidRPr="00F14320">
        <w:rPr>
          <w:rFonts w:eastAsia="Times New Roman" w:cstheme="minorHAnsi"/>
          <w:color w:val="000000"/>
          <w:szCs w:val="22"/>
          <w:shd w:val="clear" w:color="auto" w:fill="FFFFFF"/>
        </w:rPr>
        <w:t>were 2.7 times more like to smoke tobacco daily, and 1.6 times more likely to be inactive or insufficiently active</w:t>
      </w:r>
      <w:r w:rsidR="0028258D">
        <w:rPr>
          <w:rFonts w:eastAsia="Times New Roman" w:cstheme="minorHAnsi"/>
          <w:color w:val="000000"/>
          <w:szCs w:val="22"/>
          <w:shd w:val="clear" w:color="auto" w:fill="FFFFFF"/>
        </w:rPr>
        <w:t>.</w:t>
      </w:r>
      <w:r>
        <w:rPr>
          <w:rFonts w:eastAsia="Times New Roman" w:cstheme="minorHAnsi"/>
          <w:color w:val="000000"/>
          <w:szCs w:val="22"/>
          <w:shd w:val="clear" w:color="auto" w:fill="FFFFFF"/>
        </w:rPr>
        <w:fldChar w:fldCharType="begin"/>
      </w:r>
      <w:r w:rsidR="007D2F13">
        <w:rPr>
          <w:rFonts w:eastAsia="Times New Roman" w:cstheme="minorHAnsi"/>
          <w:color w:val="000000"/>
          <w:szCs w:val="22"/>
          <w:shd w:val="clear" w:color="auto" w:fill="FFFFFF"/>
        </w:rPr>
        <w:instrText xml:space="preserve"> ADDIN EN.CITE &lt;EndNote&gt;&lt;Cite&gt;&lt;Author&gt;AIHW&lt;/Author&gt;&lt;Year&gt;2018&lt;/Year&gt;&lt;RecNum&gt;12&lt;/RecNum&gt;&lt;DisplayText&gt;&lt;style face="superscript"&gt;34&lt;/style&gt;&lt;/DisplayText&gt;&lt;record&gt;&lt;rec-number&gt;12&lt;/rec-number&gt;&lt;foreign-keys&gt;&lt;key app="EN" db-id="2wsw9x5wvsspa1evwxlvvergx9epfd50fs2a" timestamp="1571987682"&gt;12&lt;/key&gt;&lt;/foreign-keys&gt;&lt;ref-type name="Report"&gt;27&lt;/ref-type&gt;&lt;contributors&gt;&lt;authors&gt;&lt;author&gt;AIHW,&lt;/author&gt;&lt;/authors&gt;&lt;/contributors&gt;&lt;titles&gt;&lt;title&gt;Australia’s health 2018: in brief&lt;/title&gt;&lt;/titles&gt;&lt;volume&gt;Cat. no. AUS 222. Canberra: AIHW.&lt;/volume&gt;&lt;dates&gt;&lt;year&gt;2018&lt;/year&gt;&lt;/dates&gt;&lt;publisher&gt;AIHW&lt;/publisher&gt;&lt;urls&gt;&lt;/urls&gt;&lt;/record&gt;&lt;/Cite&gt;&lt;/EndNote&gt;</w:instrText>
      </w:r>
      <w:r>
        <w:rPr>
          <w:rFonts w:eastAsia="Times New Roman" w:cstheme="minorHAnsi"/>
          <w:color w:val="000000"/>
          <w:szCs w:val="22"/>
          <w:shd w:val="clear" w:color="auto" w:fill="FFFFFF"/>
        </w:rPr>
        <w:fldChar w:fldCharType="separate"/>
      </w:r>
      <w:r w:rsidR="007D2F13" w:rsidRPr="007D2F13">
        <w:rPr>
          <w:rFonts w:eastAsia="Times New Roman" w:cstheme="minorHAnsi"/>
          <w:noProof/>
          <w:color w:val="000000"/>
          <w:szCs w:val="22"/>
          <w:shd w:val="clear" w:color="auto" w:fill="FFFFFF"/>
          <w:vertAlign w:val="superscript"/>
        </w:rPr>
        <w:t>34</w:t>
      </w:r>
      <w:r>
        <w:rPr>
          <w:rFonts w:eastAsia="Times New Roman" w:cstheme="minorHAnsi"/>
          <w:color w:val="000000"/>
          <w:szCs w:val="22"/>
          <w:shd w:val="clear" w:color="auto" w:fill="FFFFFF"/>
        </w:rPr>
        <w:fldChar w:fldCharType="end"/>
      </w:r>
      <w:r w:rsidRPr="00F14320">
        <w:rPr>
          <w:rFonts w:eastAsia="Times New Roman" w:cstheme="minorHAnsi"/>
          <w:color w:val="000000"/>
          <w:szCs w:val="22"/>
          <w:shd w:val="clear" w:color="auto" w:fill="FFFFFF"/>
        </w:rPr>
        <w:t xml:space="preserve"> </w:t>
      </w:r>
    </w:p>
    <w:p w14:paraId="266AC6A4" w14:textId="76FED447" w:rsidR="00C82BFF" w:rsidRPr="00F14320" w:rsidRDefault="00C82BFF" w:rsidP="00516245">
      <w:pPr>
        <w:spacing w:before="120"/>
        <w:rPr>
          <w:rFonts w:eastAsia="Times New Roman" w:cstheme="minorHAnsi"/>
          <w:color w:val="000000"/>
          <w:szCs w:val="22"/>
          <w:shd w:val="clear" w:color="auto" w:fill="FFFFFF"/>
        </w:rPr>
      </w:pPr>
      <w:r w:rsidRPr="00F14320">
        <w:rPr>
          <w:rFonts w:eastAsia="Times New Roman" w:cstheme="minorHAnsi"/>
          <w:color w:val="000000"/>
          <w:szCs w:val="22"/>
          <w:shd w:val="clear" w:color="auto" w:fill="FFFFFF"/>
        </w:rPr>
        <w:t>The association between low socio-economic means and mental health is equally strong. One in four Australians who are among the poorest SES quintile have high or very high indicators of psychological distress compared to</w:t>
      </w:r>
      <w:r>
        <w:rPr>
          <w:rFonts w:eastAsia="Times New Roman" w:cstheme="minorHAnsi"/>
          <w:color w:val="000000"/>
          <w:szCs w:val="22"/>
          <w:shd w:val="clear" w:color="auto" w:fill="FFFFFF"/>
        </w:rPr>
        <w:t xml:space="preserve"> </w:t>
      </w:r>
      <w:r w:rsidRPr="00F14320">
        <w:rPr>
          <w:rFonts w:eastAsia="Times New Roman" w:cstheme="minorHAnsi"/>
          <w:color w:val="000000"/>
          <w:szCs w:val="22"/>
          <w:shd w:val="clear" w:color="auto" w:fill="FFFFFF"/>
        </w:rPr>
        <w:t>1 in 20 people in the richest quintile.</w:t>
      </w:r>
      <w:r>
        <w:rPr>
          <w:rFonts w:eastAsia="Times New Roman" w:cstheme="minorHAnsi"/>
          <w:color w:val="000000"/>
          <w:szCs w:val="22"/>
          <w:shd w:val="clear" w:color="auto" w:fill="FFFFFF"/>
        </w:rPr>
        <w:fldChar w:fldCharType="begin"/>
      </w:r>
      <w:r w:rsidR="007D2F13">
        <w:rPr>
          <w:rFonts w:eastAsia="Times New Roman" w:cstheme="minorHAnsi"/>
          <w:color w:val="000000"/>
          <w:szCs w:val="22"/>
          <w:shd w:val="clear" w:color="auto" w:fill="FFFFFF"/>
        </w:rPr>
        <w:instrText xml:space="preserve"> ADDIN EN.CITE &lt;EndNote&gt;&lt;Cite&gt;&lt;Author&gt;Isaacs&lt;/Author&gt;&lt;Year&gt;2018&lt;/Year&gt;&lt;RecNum&gt;118&lt;/RecNum&gt;&lt;DisplayText&gt;&lt;style face="superscript"&gt;35&lt;/style&gt;&lt;/DisplayText&gt;&lt;record&gt;&lt;rec-number&gt;118&lt;/rec-number&gt;&lt;foreign-keys&gt;&lt;key app="EN" db-id="2wsw9x5wvsspa1evwxlvvergx9epfd50fs2a" timestamp="1584678004"&gt;118&lt;/key&gt;&lt;/foreign-keys&gt;&lt;ref-type name="Journal Article"&gt;17&lt;/ref-type&gt;&lt;contributors&gt;&lt;authors&gt;&lt;author&gt;Isaacs, Anton N&lt;/author&gt;&lt;author&gt;Enticott, Joanne&lt;/author&gt;&lt;author&gt;Meadows, Graham&lt;/author&gt;&lt;author&gt;Inder, Brett %J Frontiers in psychiatry&lt;/author&gt;&lt;/authors&gt;&lt;/contributors&gt;&lt;titles&gt;&lt;title&gt;Lower income levels in Australia are strongly associated with elevated psychological distress: Implications for healthcare and other policy areas&lt;/title&gt;&lt;/titles&gt;&lt;pages&gt;536&lt;/pages&gt;&lt;volume&gt;9&lt;/volume&gt;&lt;dates&gt;&lt;year&gt;2018&lt;/year&gt;&lt;/dates&gt;&lt;isbn&gt;1664-0640&lt;/isbn&gt;&lt;urls&gt;&lt;/urls&gt;&lt;/record&gt;&lt;/Cite&gt;&lt;/EndNote&gt;</w:instrText>
      </w:r>
      <w:r>
        <w:rPr>
          <w:rFonts w:eastAsia="Times New Roman" w:cstheme="minorHAnsi"/>
          <w:color w:val="000000"/>
          <w:szCs w:val="22"/>
          <w:shd w:val="clear" w:color="auto" w:fill="FFFFFF"/>
        </w:rPr>
        <w:fldChar w:fldCharType="separate"/>
      </w:r>
      <w:r w:rsidR="007D2F13" w:rsidRPr="007D2F13">
        <w:rPr>
          <w:rFonts w:eastAsia="Times New Roman" w:cstheme="minorHAnsi"/>
          <w:noProof/>
          <w:color w:val="000000"/>
          <w:szCs w:val="22"/>
          <w:shd w:val="clear" w:color="auto" w:fill="FFFFFF"/>
          <w:vertAlign w:val="superscript"/>
        </w:rPr>
        <w:t>35</w:t>
      </w:r>
      <w:r>
        <w:rPr>
          <w:rFonts w:eastAsia="Times New Roman" w:cstheme="minorHAnsi"/>
          <w:color w:val="000000"/>
          <w:szCs w:val="22"/>
          <w:shd w:val="clear" w:color="auto" w:fill="FFFFFF"/>
        </w:rPr>
        <w:fldChar w:fldCharType="end"/>
      </w:r>
      <w:r w:rsidRPr="00F14320">
        <w:rPr>
          <w:rFonts w:eastAsia="Times New Roman" w:cstheme="minorHAnsi"/>
          <w:color w:val="000000"/>
          <w:szCs w:val="22"/>
          <w:shd w:val="clear" w:color="auto" w:fill="FFFFFF"/>
        </w:rPr>
        <w:t xml:space="preserve"> Risk factors for psychological distress and mental disorders include homelessness, unemployment, violence and crime – to which people in lower SES areas are</w:t>
      </w:r>
      <w:r>
        <w:rPr>
          <w:rFonts w:eastAsia="Times New Roman" w:cstheme="minorHAnsi"/>
          <w:color w:val="000000"/>
          <w:szCs w:val="22"/>
          <w:shd w:val="clear" w:color="auto" w:fill="FFFFFF"/>
        </w:rPr>
        <w:t xml:space="preserve"> vulnerable</w:t>
      </w:r>
      <w:r w:rsidRPr="00F14320">
        <w:rPr>
          <w:rFonts w:eastAsia="Times New Roman" w:cstheme="minorHAnsi"/>
          <w:color w:val="000000"/>
          <w:szCs w:val="22"/>
          <w:shd w:val="clear" w:color="auto" w:fill="FFFFFF"/>
        </w:rPr>
        <w:t>. Poor communities also tend to have far worse consequences of mental disorders than more likely to experience or be exposed.</w:t>
      </w:r>
      <w:r>
        <w:rPr>
          <w:rFonts w:eastAsia="Times New Roman" w:cstheme="minorHAnsi"/>
          <w:color w:val="000000"/>
          <w:szCs w:val="22"/>
          <w:shd w:val="clear" w:color="auto" w:fill="FFFFFF"/>
        </w:rPr>
        <w:fldChar w:fldCharType="begin"/>
      </w:r>
      <w:r w:rsidR="007D2F13">
        <w:rPr>
          <w:rFonts w:eastAsia="Times New Roman" w:cstheme="minorHAnsi"/>
          <w:color w:val="000000"/>
          <w:szCs w:val="22"/>
          <w:shd w:val="clear" w:color="auto" w:fill="FFFFFF"/>
        </w:rPr>
        <w:instrText xml:space="preserve"> ADDIN EN.CITE &lt;EndNote&gt;&lt;Cite&gt;&lt;Author&gt;Patel&lt;/Author&gt;&lt;Year&gt;2010&lt;/Year&gt;&lt;RecNum&gt;119&lt;/RecNum&gt;&lt;DisplayText&gt;&lt;style face="superscript"&gt;36&lt;/style&gt;&lt;/DisplayText&gt;&lt;record&gt;&lt;rec-number&gt;119&lt;/rec-number&gt;&lt;foreign-keys&gt;&lt;key app="EN" db-id="2wsw9x5wvsspa1evwxlvvergx9epfd50fs2a" timestamp="1584678046"&gt;119&lt;/key&gt;&lt;/foreign-keys&gt;&lt;ref-type name="Journal Article"&gt;17&lt;/ref-type&gt;&lt;contributors&gt;&lt;authors&gt;&lt;author&gt;Patel, Vikram&lt;/author&gt;&lt;author&gt;Lund, Crick&lt;/author&gt;&lt;author&gt;Hatherill, Sean&lt;/author&gt;&lt;author&gt;Plagerson, Sophie&lt;/author&gt;&lt;author&gt;Corrigall, Joanne&lt;/author&gt;&lt;author&gt;Funk, Michelle&lt;/author&gt;&lt;author&gt;Flisher, Alan J %J Equity, social determinants&lt;/author&gt;&lt;author&gt;public health programmes&lt;/author&gt;&lt;/authors&gt;&lt;/contributors&gt;&lt;titles&gt;&lt;title&gt;Mental disorders: equity and social determinants&lt;/title&gt;&lt;/titles&gt;&lt;pages&gt;134&lt;/pages&gt;&lt;volume&gt;115&lt;/volume&gt;&lt;dates&gt;&lt;year&gt;2010&lt;/year&gt;&lt;/dates&gt;&lt;urls&gt;&lt;/urls&gt;&lt;/record&gt;&lt;/Cite&gt;&lt;/EndNote&gt;</w:instrText>
      </w:r>
      <w:r>
        <w:rPr>
          <w:rFonts w:eastAsia="Times New Roman" w:cstheme="minorHAnsi"/>
          <w:color w:val="000000"/>
          <w:szCs w:val="22"/>
          <w:shd w:val="clear" w:color="auto" w:fill="FFFFFF"/>
        </w:rPr>
        <w:fldChar w:fldCharType="separate"/>
      </w:r>
      <w:r w:rsidR="007D2F13" w:rsidRPr="007D2F13">
        <w:rPr>
          <w:rFonts w:eastAsia="Times New Roman" w:cstheme="minorHAnsi"/>
          <w:noProof/>
          <w:color w:val="000000"/>
          <w:szCs w:val="22"/>
          <w:shd w:val="clear" w:color="auto" w:fill="FFFFFF"/>
          <w:vertAlign w:val="superscript"/>
        </w:rPr>
        <w:t>36</w:t>
      </w:r>
      <w:r>
        <w:rPr>
          <w:rFonts w:eastAsia="Times New Roman" w:cstheme="minorHAnsi"/>
          <w:color w:val="000000"/>
          <w:szCs w:val="22"/>
          <w:shd w:val="clear" w:color="auto" w:fill="FFFFFF"/>
        </w:rPr>
        <w:fldChar w:fldCharType="end"/>
      </w:r>
      <w:r w:rsidRPr="00F14320">
        <w:rPr>
          <w:rFonts w:eastAsia="Times New Roman" w:cstheme="minorHAnsi"/>
          <w:color w:val="000000"/>
          <w:szCs w:val="22"/>
          <w:shd w:val="clear" w:color="auto" w:fill="FFFFFF"/>
        </w:rPr>
        <w:t xml:space="preserve"> </w:t>
      </w:r>
    </w:p>
    <w:p w14:paraId="3A5D7248" w14:textId="402F68FE" w:rsidR="00C82BFF" w:rsidRPr="00F14320" w:rsidRDefault="00C82BFF" w:rsidP="00516245">
      <w:pPr>
        <w:spacing w:before="120"/>
        <w:rPr>
          <w:rFonts w:eastAsia="Times New Roman" w:cstheme="minorHAnsi"/>
          <w:szCs w:val="22"/>
        </w:rPr>
      </w:pPr>
      <w:r w:rsidRPr="00F14320">
        <w:rPr>
          <w:rFonts w:eastAsia="Times New Roman" w:cstheme="minorHAnsi"/>
          <w:color w:val="000000"/>
          <w:szCs w:val="22"/>
          <w:shd w:val="clear" w:color="auto" w:fill="FFFFFF"/>
        </w:rPr>
        <w:t>It is vital that investmen</w:t>
      </w:r>
      <w:r w:rsidR="00716081">
        <w:rPr>
          <w:rFonts w:eastAsia="Times New Roman" w:cstheme="minorHAnsi"/>
          <w:color w:val="000000"/>
          <w:szCs w:val="22"/>
          <w:shd w:val="clear" w:color="auto" w:fill="FFFFFF"/>
        </w:rPr>
        <w:t xml:space="preserve">t in injury prevention focus on the most </w:t>
      </w:r>
      <w:r w:rsidRPr="00F14320">
        <w:rPr>
          <w:rFonts w:eastAsia="Times New Roman" w:cstheme="minorHAnsi"/>
          <w:color w:val="000000"/>
          <w:szCs w:val="22"/>
          <w:shd w:val="clear" w:color="auto" w:fill="FFFFFF"/>
        </w:rPr>
        <w:t xml:space="preserve">socio-economically disadvantaged people. </w:t>
      </w:r>
    </w:p>
    <w:p w14:paraId="5283ECD1" w14:textId="77777777" w:rsidR="00C82BFF" w:rsidRPr="00D12BA8" w:rsidRDefault="00C82BFF" w:rsidP="00C82BFF">
      <w:pPr>
        <w:pStyle w:val="Heading3"/>
        <w:rPr>
          <w:szCs w:val="22"/>
          <w:lang w:val="en-AU" w:eastAsia="en-US"/>
        </w:rPr>
      </w:pPr>
      <w:r w:rsidRPr="00D12BA8">
        <w:rPr>
          <w:szCs w:val="22"/>
          <w:lang w:val="en-AU" w:eastAsia="en-US"/>
        </w:rPr>
        <w:t>Burden</w:t>
      </w:r>
      <w:r>
        <w:rPr>
          <w:szCs w:val="22"/>
          <w:lang w:val="en-AU" w:eastAsia="en-US"/>
        </w:rPr>
        <w:t xml:space="preserve"> of injury</w:t>
      </w:r>
    </w:p>
    <w:p w14:paraId="76374A92" w14:textId="77777777" w:rsidR="0080276D" w:rsidRDefault="00C82BFF" w:rsidP="00025AC3">
      <w:pPr>
        <w:spacing w:before="120"/>
        <w:rPr>
          <w:rFonts w:cstheme="minorHAnsi"/>
          <w:szCs w:val="22"/>
          <w:lang w:val="en-AU" w:eastAsia="en-US"/>
        </w:rPr>
      </w:pPr>
      <w:r w:rsidRPr="00926ED5">
        <w:rPr>
          <w:rFonts w:cstheme="minorHAnsi"/>
          <w:szCs w:val="22"/>
          <w:lang w:val="en-AU" w:eastAsia="en-US"/>
        </w:rPr>
        <w:t>There is a strong association between socioe</w:t>
      </w:r>
      <w:r w:rsidR="0080276D">
        <w:rPr>
          <w:rFonts w:cstheme="minorHAnsi"/>
          <w:szCs w:val="22"/>
          <w:lang w:val="en-AU" w:eastAsia="en-US"/>
        </w:rPr>
        <w:t>conomic disadvantage and injury. T</w:t>
      </w:r>
      <w:r w:rsidRPr="00926ED5">
        <w:rPr>
          <w:rFonts w:cstheme="minorHAnsi"/>
          <w:szCs w:val="22"/>
          <w:lang w:val="en-AU" w:eastAsia="en-US"/>
        </w:rPr>
        <w:t xml:space="preserve">his is most evident for </w:t>
      </w:r>
      <w:r w:rsidRPr="00926ED5">
        <w:rPr>
          <w:rFonts w:cstheme="minorHAnsi"/>
          <w:szCs w:val="22"/>
        </w:rPr>
        <w:t>transport crash deaths, unintentional poisoning deaths and male suicide deaths.</w:t>
      </w:r>
      <w:r w:rsidRPr="00D12BA8">
        <w:rPr>
          <w:rFonts w:cstheme="minorHAnsi"/>
          <w:szCs w:val="22"/>
        </w:rPr>
        <w:fldChar w:fldCharType="begin"/>
      </w:r>
      <w:r w:rsidR="007D2F13">
        <w:rPr>
          <w:rFonts w:cstheme="minorHAnsi"/>
          <w:szCs w:val="22"/>
        </w:rPr>
        <w:instrText xml:space="preserve"> ADDIN EN.CITE &lt;EndNote&gt;&lt;Cite&gt;&lt;Author&gt;AIHW: Henley&lt;/Author&gt;&lt;Year&gt;2019&lt;/Year&gt;&lt;RecNum&gt;106&lt;/RecNum&gt;&lt;DisplayText&gt;&lt;style face="superscript"&gt;37&lt;/style&gt;&lt;/DisplayText&gt;&lt;record&gt;&lt;rec-number&gt;106&lt;/rec-number&gt;&lt;foreign-keys&gt;&lt;key app="EN" db-id="2wsw9x5wvsspa1evwxlvvergx9epfd50fs2a" timestamp="1583882195"&gt;106&lt;/key&gt;&lt;/foreign-keys&gt;&lt;ref-type name="Report"&gt;27&lt;/ref-type&gt;&lt;contributors&gt;&lt;authors&gt;&lt;author&gt;AIHW: Henley, G.&lt;/author&gt;&lt;author&gt;Harrison, JE.&lt;/author&gt;&lt;/authors&gt;&lt;/contributors&gt;&lt;titles&gt;&lt;title&gt;Injury mortality and socioeconomic influence in Australia, 2015–16. Injury research and statistics series no. 128. Cat. no. INJCAT 208&lt;/title&gt;&lt;/titles&gt;&lt;dates&gt;&lt;year&gt;2019&lt;/year&gt;&lt;/dates&gt;&lt;pub-location&gt;Canberra&lt;/pub-location&gt;&lt;publisher&gt;AIHW&lt;/publisher&gt;&lt;urls&gt;&lt;related-urls&gt;&lt;url&gt; https://www.aihw.gov.au/getmedia/1e03d183-8b8f-4037-b4a4-e576bb22a9b0/aihw-injcat-208.pdf.aspx?inline=true&lt;/url&gt;&lt;/related-urls&gt;&lt;/urls&gt;&lt;/record&gt;&lt;/Cite&gt;&lt;/EndNote&gt;</w:instrText>
      </w:r>
      <w:r w:rsidRPr="00D12BA8">
        <w:rPr>
          <w:rFonts w:cstheme="minorHAnsi"/>
          <w:szCs w:val="22"/>
        </w:rPr>
        <w:fldChar w:fldCharType="separate"/>
      </w:r>
      <w:r w:rsidR="007D2F13" w:rsidRPr="007D2F13">
        <w:rPr>
          <w:rFonts w:cstheme="minorHAnsi"/>
          <w:noProof/>
          <w:szCs w:val="22"/>
          <w:vertAlign w:val="superscript"/>
        </w:rPr>
        <w:t>37</w:t>
      </w:r>
      <w:r w:rsidRPr="00D12BA8">
        <w:rPr>
          <w:rFonts w:cstheme="minorHAnsi"/>
          <w:szCs w:val="22"/>
        </w:rPr>
        <w:fldChar w:fldCharType="end"/>
      </w:r>
      <w:r w:rsidRPr="00D12BA8">
        <w:rPr>
          <w:rFonts w:cstheme="minorHAnsi"/>
          <w:szCs w:val="22"/>
          <w:lang w:val="en-AU" w:eastAsia="en-US"/>
        </w:rPr>
        <w:t xml:space="preserve"> </w:t>
      </w:r>
    </w:p>
    <w:p w14:paraId="0AE186F4" w14:textId="0C447B95" w:rsidR="0080276D" w:rsidRDefault="00C82BFF" w:rsidP="00516245">
      <w:pPr>
        <w:spacing w:before="120"/>
        <w:rPr>
          <w:lang w:val="en-AU"/>
        </w:rPr>
      </w:pPr>
      <w:r w:rsidRPr="00D12BA8">
        <w:rPr>
          <w:rFonts w:cstheme="minorHAnsi"/>
          <w:szCs w:val="22"/>
          <w:lang w:val="en-AU" w:eastAsia="en-US"/>
        </w:rPr>
        <w:t xml:space="preserve">This Strategy encourages policies, programs and research to prioritise the most socio-economically disadvantaged </w:t>
      </w:r>
      <w:r w:rsidRPr="00400300">
        <w:rPr>
          <w:rFonts w:cstheme="minorHAnsi"/>
          <w:lang w:val="en-AU" w:eastAsia="en-US"/>
        </w:rPr>
        <w:t>people</w:t>
      </w:r>
      <w:r>
        <w:rPr>
          <w:rFonts w:cstheme="minorHAnsi"/>
          <w:lang w:val="en-AU" w:eastAsia="en-US"/>
        </w:rPr>
        <w:t xml:space="preserve"> t</w:t>
      </w:r>
      <w:r w:rsidRPr="00400300">
        <w:rPr>
          <w:rFonts w:cstheme="minorHAnsi"/>
          <w:lang w:val="en-AU" w:eastAsia="en-US"/>
        </w:rPr>
        <w:t>o address health inequities</w:t>
      </w:r>
      <w:r>
        <w:rPr>
          <w:rFonts w:cstheme="minorHAnsi"/>
          <w:lang w:val="en-AU" w:eastAsia="en-US"/>
        </w:rPr>
        <w:t xml:space="preserve"> that influence increased injury.</w:t>
      </w:r>
      <w:r w:rsidRPr="00400300">
        <w:rPr>
          <w:rFonts w:cstheme="minorHAnsi"/>
          <w:lang w:val="en-AU" w:eastAsia="en-US"/>
        </w:rPr>
        <w:t xml:space="preserve"> Disadvantage is associated with lower levels of education and employment, poorer housing standards and ownership of older motor vehicles.</w:t>
      </w:r>
      <w:r w:rsidRPr="00400300">
        <w:rPr>
          <w:rFonts w:cstheme="minorHAnsi"/>
          <w:lang w:val="en-AU" w:eastAsia="en-US"/>
        </w:rPr>
        <w:fldChar w:fldCharType="begin"/>
      </w:r>
      <w:r w:rsidR="007D2F13">
        <w:rPr>
          <w:rFonts w:cstheme="minorHAnsi"/>
          <w:lang w:val="en-AU" w:eastAsia="en-US"/>
        </w:rPr>
        <w:instrText xml:space="preserve"> ADDIN EN.CITE &lt;EndNote&gt;&lt;Cite&gt;&lt;Author&gt;AIHW&lt;/Author&gt;&lt;Year&gt;2017&lt;/Year&gt;&lt;RecNum&gt;17&lt;/RecNum&gt;&lt;DisplayText&gt;&lt;style face="superscript"&gt;38&lt;/style&gt;&lt;/DisplayText&gt;&lt;record&gt;&lt;rec-number&gt;17&lt;/rec-number&gt;&lt;foreign-keys&gt;&lt;key app="EN" db-id="2wsw9x5wvsspa1evwxlvvergx9epfd50fs2a" timestamp="1571987686"&gt;17&lt;/key&gt;&lt;/foreign-keys&gt;&lt;ref-type name="Web Page"&gt;12&lt;/ref-type&gt;&lt;contributors&gt;&lt;authors&gt;&lt;author&gt;AIHW,&lt;/author&gt;&lt;/authors&gt;&lt;/contributors&gt;&lt;titles&gt;&lt;title&gt;Australia&amp;apos;s welfare 2017&lt;/title&gt;&lt;/titles&gt;&lt;volume&gt;2019&lt;/volume&gt;&lt;number&gt;25 October&lt;/number&gt;&lt;dates&gt;&lt;year&gt;2017&lt;/year&gt;&lt;/dates&gt;&lt;publisher&gt;AIHW&lt;/publisher&gt;&lt;urls&gt;&lt;related-urls&gt;&lt;url&gt;https://www.aihw.gov.au/getmedia/088848dc-906d-4a8b-aa09-79df0f943984/aihw-aus-214-aw17.pdf.aspx?inline=true&lt;/url&gt;&lt;/related-urls&gt;&lt;/urls&gt;&lt;/record&gt;&lt;/Cite&gt;&lt;/EndNote&gt;</w:instrText>
      </w:r>
      <w:r w:rsidRPr="00400300">
        <w:rPr>
          <w:rFonts w:cstheme="minorHAnsi"/>
          <w:lang w:val="en-AU" w:eastAsia="en-US"/>
        </w:rPr>
        <w:fldChar w:fldCharType="separate"/>
      </w:r>
      <w:r w:rsidR="007D2F13" w:rsidRPr="007D2F13">
        <w:rPr>
          <w:rFonts w:cstheme="minorHAnsi"/>
          <w:noProof/>
          <w:vertAlign w:val="superscript"/>
          <w:lang w:val="en-AU" w:eastAsia="en-US"/>
        </w:rPr>
        <w:t>38</w:t>
      </w:r>
      <w:r w:rsidRPr="00400300">
        <w:rPr>
          <w:rFonts w:cstheme="minorHAnsi"/>
          <w:lang w:val="en-AU" w:eastAsia="en-US"/>
        </w:rPr>
        <w:fldChar w:fldCharType="end"/>
      </w:r>
      <w:r w:rsidRPr="00400300">
        <w:rPr>
          <w:rFonts w:cstheme="minorHAnsi"/>
          <w:lang w:val="en-AU" w:eastAsia="en-US"/>
        </w:rPr>
        <w:t xml:space="preserve"> These factors increase the risk of an injury event and reduce the likelihood of access to health information and health services. </w:t>
      </w:r>
      <w:r w:rsidRPr="00400300">
        <w:rPr>
          <w:lang w:val="en-AU"/>
        </w:rPr>
        <w:t>Higher rates of hospitalised i</w:t>
      </w:r>
      <w:r w:rsidR="0080276D">
        <w:rPr>
          <w:lang w:val="en-AU"/>
        </w:rPr>
        <w:t>njury were associated with the lowest SES group (most disadvantaged)</w:t>
      </w:r>
      <w:r w:rsidRPr="00400300">
        <w:rPr>
          <w:lang w:val="en-AU"/>
        </w:rPr>
        <w:t>.</w:t>
      </w:r>
      <w:r>
        <w:rPr>
          <w:lang w:val="en-AU"/>
        </w:rPr>
        <w:fldChar w:fldCharType="begin"/>
      </w:r>
      <w:r w:rsidR="007D2F13">
        <w:rPr>
          <w:lang w:val="en-AU"/>
        </w:rPr>
        <w:instrText xml:space="preserve"> ADDIN EN.CITE &lt;EndNote&gt;&lt;Cite&gt;&lt;Author&gt;AIHW: Pointer&lt;/Author&gt;&lt;Year&gt;2019&lt;/Year&gt;&lt;RecNum&gt;107&lt;/RecNum&gt;&lt;DisplayText&gt;&lt;style face="superscript"&gt;20&lt;/style&gt;&lt;/DisplayText&gt;&lt;record&gt;&lt;rec-number&gt;107&lt;/rec-number&gt;&lt;foreign-keys&gt;&lt;key app="EN" db-id="2wsw9x5wvsspa1evwxlvvergx9epfd50fs2a" timestamp="1583883019"&gt;107&lt;/key&gt;&lt;/foreign-keys&gt;&lt;ref-type name="Report"&gt;27&lt;/ref-type&gt;&lt;contributors&gt;&lt;authors&gt;&lt;author&gt;AIHW: Pointer, SC.&lt;/author&gt;&lt;/authors&gt;&lt;/contributors&gt;&lt;titles&gt;&lt;title&gt;Hospitalised injury and socioeconomic influence in Australia, 2015–16. Injury research and statistics series no. 125. Cat. no. INJCAT 205&lt;/title&gt;&lt;/titles&gt;&lt;dates&gt;&lt;year&gt;2019&lt;/year&gt;&lt;/dates&gt;&lt;pub-location&gt;Canberra&lt;/pub-location&gt;&lt;publisher&gt;AIHW&lt;/publisher&gt;&lt;urls&gt;&lt;related-urls&gt;&lt;url&gt;https://www.aihw.gov.au/getmedia/6e4f008a-f433-4add-9032-6fa9771406cf/aihw-injcat-205.pdf.aspx?inline=true&lt;/url&gt;&lt;/related-urls&gt;&lt;/urls&gt;&lt;/record&gt;&lt;/Cite&gt;&lt;/EndNote&gt;</w:instrText>
      </w:r>
      <w:r>
        <w:rPr>
          <w:lang w:val="en-AU"/>
        </w:rPr>
        <w:fldChar w:fldCharType="separate"/>
      </w:r>
      <w:r w:rsidR="007D2F13" w:rsidRPr="007D2F13">
        <w:rPr>
          <w:noProof/>
          <w:vertAlign w:val="superscript"/>
          <w:lang w:val="en-AU"/>
        </w:rPr>
        <w:t>20</w:t>
      </w:r>
      <w:r>
        <w:rPr>
          <w:lang w:val="en-AU"/>
        </w:rPr>
        <w:fldChar w:fldCharType="end"/>
      </w:r>
      <w:r w:rsidRPr="00400300">
        <w:rPr>
          <w:lang w:val="en-AU"/>
        </w:rPr>
        <w:t xml:space="preserve"> </w:t>
      </w:r>
    </w:p>
    <w:p w14:paraId="2A20FCD2" w14:textId="14869A7E" w:rsidR="00C82BFF" w:rsidRPr="00400300" w:rsidRDefault="00C82BFF" w:rsidP="00C82BFF">
      <w:pPr>
        <w:spacing w:before="0" w:after="160" w:line="259" w:lineRule="auto"/>
        <w:rPr>
          <w:rFonts w:cstheme="minorHAnsi"/>
          <w:shd w:val="clear" w:color="auto" w:fill="FFFFFF"/>
          <w:lang w:val="en-AU"/>
        </w:rPr>
      </w:pPr>
      <w:r w:rsidRPr="00400300">
        <w:rPr>
          <w:rFonts w:cstheme="minorHAnsi"/>
          <w:lang w:val="en-AU" w:eastAsia="en-US"/>
        </w:rPr>
        <w:t>Data from the AIHW indicate that in 2015, the rate of injury in the lowest socio-economic group in Austra</w:t>
      </w:r>
      <w:r w:rsidR="0080276D">
        <w:rPr>
          <w:rFonts w:cstheme="minorHAnsi"/>
          <w:lang w:val="en-AU" w:eastAsia="en-US"/>
        </w:rPr>
        <w:t xml:space="preserve">lia was 1.8 times </w:t>
      </w:r>
      <w:r w:rsidRPr="00400300">
        <w:rPr>
          <w:rFonts w:cstheme="minorHAnsi"/>
          <w:lang w:val="en-AU" w:eastAsia="en-US"/>
        </w:rPr>
        <w:t>higher than the highest socio-economic group.</w:t>
      </w:r>
      <w:r w:rsidRPr="00400300">
        <w:rPr>
          <w:rFonts w:cstheme="minorHAnsi"/>
          <w:lang w:val="en-AU" w:eastAsia="en-US"/>
        </w:rPr>
        <w:fldChar w:fldCharType="begin"/>
      </w:r>
      <w:r w:rsidR="007D2F13">
        <w:rPr>
          <w:rFonts w:cstheme="minorHAnsi"/>
          <w:lang w:val="en-AU" w:eastAsia="en-US"/>
        </w:rPr>
        <w:instrText xml:space="preserve"> ADDIN EN.CITE &lt;EndNote&gt;&lt;Cite&gt;&lt;Author&gt;AIHW&lt;/Author&gt;&lt;Year&gt;2019&lt;/Year&gt;&lt;RecNum&gt;18&lt;/RecNum&gt;&lt;DisplayText&gt;&lt;style face="superscript"&gt;39&lt;/style&gt;&lt;/DisplayText&gt;&lt;record&gt;&lt;rec-number&gt;18&lt;/rec-number&gt;&lt;foreign-keys&gt;&lt;key app="EN" db-id="2wsw9x5wvsspa1evwxlvvergx9epfd50fs2a" timestamp="1571987687"&gt;18&lt;/key&gt;&lt;/foreign-keys&gt;&lt;ref-type name="Web Page"&gt;12&lt;/ref-type&gt;&lt;contributors&gt;&lt;authors&gt;&lt;author&gt;AIHW,&lt;/author&gt;&lt;/authors&gt;&lt;/contributors&gt;&lt;titles&gt;&lt;title&gt;Australian Burden of Disease Study 2015: Interactive data on disease burden (Socioeconomic groups)&lt;/title&gt;&lt;/titles&gt;&lt;volume&gt;2019&lt;/volume&gt;&lt;number&gt;25 October&lt;/number&gt;&lt;dates&gt;&lt;year&gt;2019&lt;/year&gt;&lt;pub-dates&gt;&lt;date&gt;13 June 2019&lt;/date&gt;&lt;/pub-dates&gt;&lt;/dates&gt;&lt;pub-location&gt;Online&lt;/pub-location&gt;&lt;publisher&gt;AIHW&lt;/publisher&gt;&lt;urls&gt;&lt;related-urls&gt;&lt;url&gt;https://www.aihw.gov.au/reports/burden-of-disease/abds-2015-interactive-data-disease-burden/contents/socioeconomic-groups&lt;/url&gt;&lt;/related-urls&gt;&lt;/urls&gt;&lt;/record&gt;&lt;/Cite&gt;&lt;/EndNote&gt;</w:instrText>
      </w:r>
      <w:r w:rsidRPr="00400300">
        <w:rPr>
          <w:rFonts w:cstheme="minorHAnsi"/>
          <w:lang w:val="en-AU" w:eastAsia="en-US"/>
        </w:rPr>
        <w:fldChar w:fldCharType="separate"/>
      </w:r>
      <w:r w:rsidR="007D2F13" w:rsidRPr="007D2F13">
        <w:rPr>
          <w:rFonts w:cstheme="minorHAnsi"/>
          <w:noProof/>
          <w:vertAlign w:val="superscript"/>
          <w:lang w:val="en-AU" w:eastAsia="en-US"/>
        </w:rPr>
        <w:t>39</w:t>
      </w:r>
      <w:r w:rsidRPr="00400300">
        <w:rPr>
          <w:rFonts w:cstheme="minorHAnsi"/>
          <w:lang w:val="en-AU" w:eastAsia="en-US"/>
        </w:rPr>
        <w:fldChar w:fldCharType="end"/>
      </w:r>
      <w:r w:rsidRPr="00400300">
        <w:rPr>
          <w:rFonts w:cstheme="minorHAnsi"/>
          <w:lang w:val="en-AU" w:eastAsia="en-US"/>
        </w:rPr>
        <w:t xml:space="preserve"> The main causes of injury for this group are s</w:t>
      </w:r>
      <w:r w:rsidRPr="00400300">
        <w:rPr>
          <w:rFonts w:cstheme="minorHAnsi"/>
          <w:shd w:val="clear" w:color="auto" w:fill="FFFFFF"/>
          <w:lang w:val="en-AU"/>
        </w:rPr>
        <w:t>uicide and self-inflicted injuries, followed by poisoning, road traffic injury, and falls.</w:t>
      </w:r>
      <w:r w:rsidRPr="00400300">
        <w:rPr>
          <w:rFonts w:cstheme="minorHAnsi"/>
          <w:shd w:val="clear" w:color="auto" w:fill="FFFFFF"/>
          <w:lang w:val="en-AU"/>
        </w:rPr>
        <w:fldChar w:fldCharType="begin"/>
      </w:r>
      <w:r w:rsidR="007D2F13">
        <w:rPr>
          <w:rFonts w:cstheme="minorHAnsi"/>
          <w:shd w:val="clear" w:color="auto" w:fill="FFFFFF"/>
          <w:lang w:val="en-AU"/>
        </w:rPr>
        <w:instrText xml:space="preserve"> ADDIN EN.CITE &lt;EndNote&gt;&lt;Cite&gt;&lt;Author&gt;AIHW&lt;/Author&gt;&lt;Year&gt;2019&lt;/Year&gt;&lt;RecNum&gt;18&lt;/RecNum&gt;&lt;DisplayText&gt;&lt;style face="superscript"&gt;39&lt;/style&gt;&lt;/DisplayText&gt;&lt;record&gt;&lt;rec-number&gt;18&lt;/rec-number&gt;&lt;foreign-keys&gt;&lt;key app="EN" db-id="2wsw9x5wvsspa1evwxlvvergx9epfd50fs2a" timestamp="1571987687"&gt;18&lt;/key&gt;&lt;/foreign-keys&gt;&lt;ref-type name="Web Page"&gt;12&lt;/ref-type&gt;&lt;contributors&gt;&lt;authors&gt;&lt;author&gt;AIHW,&lt;/author&gt;&lt;/authors&gt;&lt;/contributors&gt;&lt;titles&gt;&lt;title&gt;Australian Burden of Disease Study 2015: Interactive data on disease burden (Socioeconomic groups)&lt;/title&gt;&lt;/titles&gt;&lt;volume&gt;2019&lt;/volume&gt;&lt;number&gt;25 October&lt;/number&gt;&lt;dates&gt;&lt;year&gt;2019&lt;/year&gt;&lt;pub-dates&gt;&lt;date&gt;13 June 2019&lt;/date&gt;&lt;/pub-dates&gt;&lt;/dates&gt;&lt;pub-location&gt;Online&lt;/pub-location&gt;&lt;publisher&gt;AIHW&lt;/publisher&gt;&lt;urls&gt;&lt;related-urls&gt;&lt;url&gt;https://www.aihw.gov.au/reports/burden-of-disease/abds-2015-interactive-data-disease-burden/contents/socioeconomic-groups&lt;/url&gt;&lt;/related-urls&gt;&lt;/urls&gt;&lt;/record&gt;&lt;/Cite&gt;&lt;/EndNote&gt;</w:instrText>
      </w:r>
      <w:r w:rsidRPr="00400300">
        <w:rPr>
          <w:rFonts w:cstheme="minorHAnsi"/>
          <w:shd w:val="clear" w:color="auto" w:fill="FFFFFF"/>
          <w:lang w:val="en-AU"/>
        </w:rPr>
        <w:fldChar w:fldCharType="separate"/>
      </w:r>
      <w:r w:rsidR="007D2F13" w:rsidRPr="007D2F13">
        <w:rPr>
          <w:rFonts w:cstheme="minorHAnsi"/>
          <w:noProof/>
          <w:shd w:val="clear" w:color="auto" w:fill="FFFFFF"/>
          <w:vertAlign w:val="superscript"/>
          <w:lang w:val="en-AU"/>
        </w:rPr>
        <w:t>39</w:t>
      </w:r>
      <w:r w:rsidRPr="00400300">
        <w:rPr>
          <w:rFonts w:cstheme="minorHAnsi"/>
          <w:shd w:val="clear" w:color="auto" w:fill="FFFFFF"/>
          <w:lang w:val="en-AU"/>
        </w:rPr>
        <w:fldChar w:fldCharType="end"/>
      </w:r>
      <w:r w:rsidRPr="001207FC">
        <w:rPr>
          <w:lang w:val="en-AU"/>
        </w:rPr>
        <w:t xml:space="preserve"> </w:t>
      </w:r>
      <w:r w:rsidRPr="00515C7E">
        <w:rPr>
          <w:lang w:val="en-AU"/>
        </w:rPr>
        <w:t>People from socio-economically disadvantaged areas</w:t>
      </w:r>
      <w:r w:rsidRPr="00515C7E">
        <w:rPr>
          <w:i/>
          <w:lang w:val="en-AU"/>
        </w:rPr>
        <w:t xml:space="preserve"> </w:t>
      </w:r>
      <w:r w:rsidRPr="00515C7E">
        <w:rPr>
          <w:lang w:val="en-AU"/>
        </w:rPr>
        <w:t>are 1.5 times more likely to experience partner violence compared to those living in areas with the least disadvantage.</w:t>
      </w:r>
      <w:r w:rsidRPr="00515C7E">
        <w:rPr>
          <w:lang w:val="en-AU"/>
        </w:rPr>
        <w:fldChar w:fldCharType="begin"/>
      </w:r>
      <w:r w:rsidR="007D2F13">
        <w:rPr>
          <w:lang w:val="en-AU"/>
        </w:rPr>
        <w:instrText xml:space="preserve"> ADDIN EN.CITE &lt;EndNote&gt;&lt;Cite&gt;&lt;Author&gt;AIHW&lt;/Author&gt;&lt;Year&gt;2019&lt;/Year&gt;&lt;RecNum&gt;39&lt;/RecNum&gt;&lt;DisplayText&gt;&lt;style face="superscript"&gt;40&lt;/style&gt;&lt;/DisplayText&gt;&lt;record&gt;&lt;rec-number&gt;39&lt;/rec-number&gt;&lt;foreign-keys&gt;&lt;key app="EN" db-id="2wsw9x5wvsspa1evwxlvvergx9epfd50fs2a" timestamp="1574038810"&gt;39&lt;/key&gt;&lt;/foreign-keys&gt;&lt;ref-type name="Report"&gt;27&lt;/ref-type&gt;&lt;contributors&gt;&lt;authors&gt;&lt;author&gt;AIHW,&lt;/author&gt;&lt;/authors&gt;&lt;/contributors&gt;&lt;titles&gt;&lt;title&gt;Family, domestic and sexual violence in Australia: continuing the national story, FDV 3&lt;/title&gt;&lt;/titles&gt;&lt;dates&gt;&lt;year&gt;2019&lt;/year&gt;&lt;/dates&gt;&lt;pub-location&gt;Canberra&lt;/pub-location&gt;&lt;publisher&gt;AIHW&lt;/publisher&gt;&lt;urls&gt;&lt;related-urls&gt;&lt;url&gt;https://www.aihw.gov.au/getmedia/b0037b2d-a651-4abf-9f7b-00a85e3de528/aihw-fdv3-FDSV-in-Australia-2019.pdf.aspx?inline=true&lt;/url&gt;&lt;/related-urls&gt;&lt;/urls&gt;&lt;/record&gt;&lt;/Cite&gt;&lt;/EndNote&gt;</w:instrText>
      </w:r>
      <w:r w:rsidRPr="00515C7E">
        <w:rPr>
          <w:lang w:val="en-AU"/>
        </w:rPr>
        <w:fldChar w:fldCharType="separate"/>
      </w:r>
      <w:r w:rsidR="007D2F13" w:rsidRPr="007D2F13">
        <w:rPr>
          <w:noProof/>
          <w:vertAlign w:val="superscript"/>
          <w:lang w:val="en-AU"/>
        </w:rPr>
        <w:t>40</w:t>
      </w:r>
      <w:r w:rsidRPr="00515C7E">
        <w:rPr>
          <w:lang w:val="en-AU"/>
        </w:rPr>
        <w:fldChar w:fldCharType="end"/>
      </w:r>
    </w:p>
    <w:p w14:paraId="4E8FD789" w14:textId="3B1B5E32" w:rsidR="00C82BFF" w:rsidRPr="00060F4E" w:rsidRDefault="0028258D" w:rsidP="00C82BFF">
      <w:pPr>
        <w:spacing w:before="0" w:after="160" w:line="259" w:lineRule="auto"/>
        <w:rPr>
          <w:rFonts w:cstheme="minorHAnsi"/>
          <w:i/>
          <w:shd w:val="clear" w:color="auto" w:fill="FFFFFF"/>
          <w:lang w:val="en-AU"/>
        </w:rPr>
      </w:pPr>
      <w:r>
        <w:rPr>
          <w:i/>
          <w:lang w:val="en-AU"/>
        </w:rPr>
        <w:t xml:space="preserve">Table </w:t>
      </w:r>
      <w:r w:rsidR="0060583A">
        <w:rPr>
          <w:i/>
          <w:lang w:val="en-AU"/>
        </w:rPr>
        <w:t>2.</w:t>
      </w:r>
      <w:r>
        <w:rPr>
          <w:i/>
          <w:lang w:val="en-AU"/>
        </w:rPr>
        <w:t xml:space="preserve"> </w:t>
      </w:r>
      <w:r w:rsidR="00C82BFF" w:rsidRPr="00060F4E">
        <w:rPr>
          <w:i/>
          <w:lang w:val="en-AU"/>
        </w:rPr>
        <w:t xml:space="preserve">Summary of </w:t>
      </w:r>
      <w:r w:rsidR="00C82BFF" w:rsidRPr="00400300">
        <w:rPr>
          <w:i/>
          <w:lang w:val="en-AU"/>
        </w:rPr>
        <w:t xml:space="preserve">injury mortality </w:t>
      </w:r>
      <w:r w:rsidR="00C82BFF" w:rsidRPr="00060F4E">
        <w:rPr>
          <w:i/>
          <w:lang w:val="en-AU"/>
        </w:rPr>
        <w:t>trends</w:t>
      </w:r>
      <w:r w:rsidR="00C82BFF" w:rsidRPr="00400300">
        <w:rPr>
          <w:i/>
          <w:lang w:val="en-AU"/>
        </w:rPr>
        <w:t xml:space="preserve"> (rates</w:t>
      </w:r>
      <w:r w:rsidR="00C82BFF" w:rsidRPr="00060F4E">
        <w:rPr>
          <w:i/>
          <w:lang w:val="en-AU"/>
        </w:rPr>
        <w:t xml:space="preserve"> over time for selected external causes</w:t>
      </w:r>
      <w:r w:rsidR="00C82BFF" w:rsidRPr="00400300">
        <w:rPr>
          <w:i/>
          <w:lang w:val="en-AU"/>
        </w:rPr>
        <w:t>)</w:t>
      </w:r>
      <w:r w:rsidR="00C82BFF" w:rsidRPr="00060F4E">
        <w:rPr>
          <w:i/>
          <w:lang w:val="en-AU"/>
        </w:rPr>
        <w:t>, by 2 categories of socioeconomic status of area of usual residence, Australia, 2009–10 to 2015–16</w:t>
      </w:r>
    </w:p>
    <w:tbl>
      <w:tblPr>
        <w:tblStyle w:val="TableGrid"/>
        <w:tblW w:w="0" w:type="auto"/>
        <w:tblLook w:val="04A0" w:firstRow="1" w:lastRow="0" w:firstColumn="1" w:lastColumn="0" w:noHBand="0" w:noVBand="1"/>
      </w:tblPr>
      <w:tblGrid>
        <w:gridCol w:w="3005"/>
        <w:gridCol w:w="3005"/>
        <w:gridCol w:w="3006"/>
      </w:tblGrid>
      <w:tr w:rsidR="00C82BFF" w:rsidRPr="00400300" w14:paraId="4B80C60A" w14:textId="77777777" w:rsidTr="005B5F77">
        <w:tc>
          <w:tcPr>
            <w:tcW w:w="3005" w:type="dxa"/>
          </w:tcPr>
          <w:p w14:paraId="7F4C750A" w14:textId="77777777" w:rsidR="00C82BFF" w:rsidRPr="00060F4E" w:rsidRDefault="00C82BFF" w:rsidP="005B5F77">
            <w:pPr>
              <w:spacing w:before="0" w:line="259" w:lineRule="auto"/>
              <w:rPr>
                <w:rFonts w:cstheme="minorHAnsi"/>
                <w:b/>
                <w:sz w:val="20"/>
                <w:szCs w:val="20"/>
                <w:shd w:val="clear" w:color="auto" w:fill="FFFFFF"/>
                <w:lang w:val="en-AU"/>
              </w:rPr>
            </w:pPr>
            <w:r w:rsidRPr="00060F4E">
              <w:rPr>
                <w:rFonts w:cstheme="minorHAnsi"/>
                <w:b/>
                <w:sz w:val="20"/>
                <w:szCs w:val="20"/>
                <w:shd w:val="clear" w:color="auto" w:fill="FFFFFF"/>
                <w:lang w:val="en-AU"/>
              </w:rPr>
              <w:t>Cause</w:t>
            </w:r>
          </w:p>
        </w:tc>
        <w:tc>
          <w:tcPr>
            <w:tcW w:w="3005" w:type="dxa"/>
          </w:tcPr>
          <w:p w14:paraId="3332EB68" w14:textId="77777777" w:rsidR="00C82BFF" w:rsidRPr="00060F4E" w:rsidRDefault="00C82BFF" w:rsidP="005B5F77">
            <w:pPr>
              <w:spacing w:before="0" w:line="259" w:lineRule="auto"/>
              <w:rPr>
                <w:rFonts w:cstheme="minorHAnsi"/>
                <w:b/>
                <w:sz w:val="20"/>
                <w:szCs w:val="20"/>
                <w:shd w:val="clear" w:color="auto" w:fill="FFFFFF"/>
                <w:lang w:val="en-AU"/>
              </w:rPr>
            </w:pPr>
            <w:r w:rsidRPr="00060F4E">
              <w:rPr>
                <w:rFonts w:cstheme="minorHAnsi"/>
                <w:b/>
                <w:sz w:val="20"/>
                <w:szCs w:val="20"/>
                <w:shd w:val="clear" w:color="auto" w:fill="FFFFFF"/>
                <w:lang w:val="en-AU"/>
              </w:rPr>
              <w:t>Lowest SES group (most disadvantaged)</w:t>
            </w:r>
          </w:p>
        </w:tc>
        <w:tc>
          <w:tcPr>
            <w:tcW w:w="3006" w:type="dxa"/>
          </w:tcPr>
          <w:p w14:paraId="437DC87A" w14:textId="77777777" w:rsidR="00C82BFF" w:rsidRPr="00060F4E" w:rsidRDefault="00C82BFF" w:rsidP="005B5F77">
            <w:pPr>
              <w:spacing w:before="0" w:line="259" w:lineRule="auto"/>
              <w:rPr>
                <w:rFonts w:cstheme="minorHAnsi"/>
                <w:b/>
                <w:sz w:val="20"/>
                <w:szCs w:val="20"/>
                <w:shd w:val="clear" w:color="auto" w:fill="FFFFFF"/>
                <w:lang w:val="en-AU"/>
              </w:rPr>
            </w:pPr>
            <w:r w:rsidRPr="00060F4E">
              <w:rPr>
                <w:rFonts w:cstheme="minorHAnsi"/>
                <w:b/>
                <w:sz w:val="20"/>
                <w:szCs w:val="20"/>
                <w:shd w:val="clear" w:color="auto" w:fill="FFFFFF"/>
                <w:lang w:val="en-AU"/>
              </w:rPr>
              <w:t>Highest SES group (least disadvantaged)</w:t>
            </w:r>
          </w:p>
        </w:tc>
      </w:tr>
      <w:tr w:rsidR="00C82BFF" w:rsidRPr="00400300" w14:paraId="5AE193E0" w14:textId="77777777" w:rsidTr="005B5F77">
        <w:tc>
          <w:tcPr>
            <w:tcW w:w="3005" w:type="dxa"/>
          </w:tcPr>
          <w:p w14:paraId="263A3FAE"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All injury</w:t>
            </w:r>
          </w:p>
        </w:tc>
        <w:tc>
          <w:tcPr>
            <w:tcW w:w="3005" w:type="dxa"/>
          </w:tcPr>
          <w:p w14:paraId="23A9CC15"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 xml:space="preserve">Increasing </w:t>
            </w:r>
          </w:p>
        </w:tc>
        <w:tc>
          <w:tcPr>
            <w:tcW w:w="3006" w:type="dxa"/>
          </w:tcPr>
          <w:p w14:paraId="4406FB40"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r>
      <w:tr w:rsidR="00C82BFF" w:rsidRPr="00400300" w14:paraId="17E82168" w14:textId="77777777" w:rsidTr="005B5F77">
        <w:tc>
          <w:tcPr>
            <w:tcW w:w="3005" w:type="dxa"/>
          </w:tcPr>
          <w:p w14:paraId="1AF2D91C"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Transport crash</w:t>
            </w:r>
          </w:p>
        </w:tc>
        <w:tc>
          <w:tcPr>
            <w:tcW w:w="3005" w:type="dxa"/>
          </w:tcPr>
          <w:p w14:paraId="717FCDC0"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 xml:space="preserve">Decreasing </w:t>
            </w:r>
          </w:p>
        </w:tc>
        <w:tc>
          <w:tcPr>
            <w:tcW w:w="3006" w:type="dxa"/>
          </w:tcPr>
          <w:p w14:paraId="4F0542FF"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Decreasing</w:t>
            </w:r>
          </w:p>
        </w:tc>
      </w:tr>
      <w:tr w:rsidR="00C82BFF" w:rsidRPr="00400300" w14:paraId="697D615C" w14:textId="77777777" w:rsidTr="005B5F77">
        <w:tc>
          <w:tcPr>
            <w:tcW w:w="3005" w:type="dxa"/>
          </w:tcPr>
          <w:p w14:paraId="3F56546B"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Drowning</w:t>
            </w:r>
          </w:p>
        </w:tc>
        <w:tc>
          <w:tcPr>
            <w:tcW w:w="3005" w:type="dxa"/>
          </w:tcPr>
          <w:p w14:paraId="6DF16B34"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Decreasing</w:t>
            </w:r>
          </w:p>
        </w:tc>
        <w:tc>
          <w:tcPr>
            <w:tcW w:w="3006" w:type="dxa"/>
          </w:tcPr>
          <w:p w14:paraId="61AA9E07"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r>
      <w:tr w:rsidR="00C82BFF" w:rsidRPr="00400300" w14:paraId="5686A806" w14:textId="77777777" w:rsidTr="005B5F77">
        <w:tc>
          <w:tcPr>
            <w:tcW w:w="3005" w:type="dxa"/>
          </w:tcPr>
          <w:p w14:paraId="0A0CF911"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 xml:space="preserve">Unintentional poisoning </w:t>
            </w:r>
          </w:p>
        </w:tc>
        <w:tc>
          <w:tcPr>
            <w:tcW w:w="3005" w:type="dxa"/>
          </w:tcPr>
          <w:p w14:paraId="2EBBB135"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 xml:space="preserve">Increasing </w:t>
            </w:r>
          </w:p>
        </w:tc>
        <w:tc>
          <w:tcPr>
            <w:tcW w:w="3006" w:type="dxa"/>
          </w:tcPr>
          <w:p w14:paraId="718A0249"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r>
      <w:tr w:rsidR="00C82BFF" w:rsidRPr="00400300" w14:paraId="134425A8" w14:textId="77777777" w:rsidTr="005B5F77">
        <w:tc>
          <w:tcPr>
            <w:tcW w:w="3005" w:type="dxa"/>
          </w:tcPr>
          <w:p w14:paraId="06E8D19D"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Falls</w:t>
            </w:r>
          </w:p>
        </w:tc>
        <w:tc>
          <w:tcPr>
            <w:tcW w:w="3005" w:type="dxa"/>
          </w:tcPr>
          <w:p w14:paraId="2CBE28F0"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c>
          <w:tcPr>
            <w:tcW w:w="3006" w:type="dxa"/>
          </w:tcPr>
          <w:p w14:paraId="16353BCF"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Increasing</w:t>
            </w:r>
          </w:p>
        </w:tc>
      </w:tr>
      <w:tr w:rsidR="00C82BFF" w:rsidRPr="00400300" w14:paraId="181896FA" w14:textId="77777777" w:rsidTr="005B5F77">
        <w:tc>
          <w:tcPr>
            <w:tcW w:w="3005" w:type="dxa"/>
          </w:tcPr>
          <w:p w14:paraId="38654D03"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Thermal causes</w:t>
            </w:r>
          </w:p>
        </w:tc>
        <w:tc>
          <w:tcPr>
            <w:tcW w:w="3005" w:type="dxa"/>
          </w:tcPr>
          <w:p w14:paraId="214841A9"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c>
          <w:tcPr>
            <w:tcW w:w="3006" w:type="dxa"/>
          </w:tcPr>
          <w:p w14:paraId="6C0BB481"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r>
      <w:tr w:rsidR="00C82BFF" w:rsidRPr="00400300" w14:paraId="39BA8AB0" w14:textId="77777777" w:rsidTr="005B5F77">
        <w:tc>
          <w:tcPr>
            <w:tcW w:w="3005" w:type="dxa"/>
          </w:tcPr>
          <w:p w14:paraId="0264ADB2"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 xml:space="preserve">Suicide </w:t>
            </w:r>
          </w:p>
        </w:tc>
        <w:tc>
          <w:tcPr>
            <w:tcW w:w="3005" w:type="dxa"/>
          </w:tcPr>
          <w:p w14:paraId="6B6833F8"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Increasing</w:t>
            </w:r>
            <w:r>
              <w:rPr>
                <w:rFonts w:cstheme="minorHAnsi"/>
                <w:sz w:val="20"/>
                <w:szCs w:val="20"/>
                <w:shd w:val="clear" w:color="auto" w:fill="FFFFFF"/>
                <w:lang w:val="en-AU"/>
              </w:rPr>
              <w:t>*</w:t>
            </w:r>
            <w:r w:rsidRPr="00400300">
              <w:rPr>
                <w:rFonts w:cstheme="minorHAnsi"/>
                <w:sz w:val="20"/>
                <w:szCs w:val="20"/>
                <w:shd w:val="clear" w:color="auto" w:fill="FFFFFF"/>
                <w:lang w:val="en-AU"/>
              </w:rPr>
              <w:t xml:space="preserve"> </w:t>
            </w:r>
          </w:p>
        </w:tc>
        <w:tc>
          <w:tcPr>
            <w:tcW w:w="3006" w:type="dxa"/>
          </w:tcPr>
          <w:p w14:paraId="179E94AE"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r>
      <w:tr w:rsidR="00C82BFF" w:rsidRPr="00400300" w14:paraId="7D6C5862" w14:textId="77777777" w:rsidTr="005B5F77">
        <w:tc>
          <w:tcPr>
            <w:tcW w:w="3005" w:type="dxa"/>
          </w:tcPr>
          <w:p w14:paraId="4467539C"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Homicide</w:t>
            </w:r>
          </w:p>
        </w:tc>
        <w:tc>
          <w:tcPr>
            <w:tcW w:w="3005" w:type="dxa"/>
          </w:tcPr>
          <w:p w14:paraId="4AFF6110"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c>
          <w:tcPr>
            <w:tcW w:w="3006" w:type="dxa"/>
          </w:tcPr>
          <w:p w14:paraId="423B710A" w14:textId="77777777" w:rsidR="00C82BFF" w:rsidRPr="00400300" w:rsidRDefault="00C82BFF" w:rsidP="005B5F77">
            <w:pPr>
              <w:spacing w:before="0" w:line="259" w:lineRule="auto"/>
              <w:rPr>
                <w:rFonts w:cstheme="minorHAnsi"/>
                <w:sz w:val="20"/>
                <w:szCs w:val="20"/>
                <w:shd w:val="clear" w:color="auto" w:fill="FFFFFF"/>
                <w:lang w:val="en-AU"/>
              </w:rPr>
            </w:pPr>
            <w:r w:rsidRPr="00400300">
              <w:rPr>
                <w:rFonts w:cstheme="minorHAnsi"/>
                <w:sz w:val="20"/>
                <w:szCs w:val="20"/>
                <w:shd w:val="clear" w:color="auto" w:fill="FFFFFF"/>
                <w:lang w:val="en-AU"/>
              </w:rPr>
              <w:t>Staying the same</w:t>
            </w:r>
          </w:p>
        </w:tc>
      </w:tr>
    </w:tbl>
    <w:p w14:paraId="408799F1" w14:textId="0D823A40" w:rsidR="00C82BFF" w:rsidRDefault="00C82BFF" w:rsidP="0028258D">
      <w:pPr>
        <w:spacing w:before="0" w:line="259" w:lineRule="auto"/>
        <w:rPr>
          <w:sz w:val="16"/>
          <w:szCs w:val="16"/>
          <w:lang w:val="en-AU"/>
        </w:rPr>
      </w:pPr>
      <w:r w:rsidRPr="00F14320">
        <w:rPr>
          <w:rFonts w:cstheme="minorHAnsi"/>
          <w:sz w:val="16"/>
          <w:szCs w:val="16"/>
          <w:shd w:val="clear" w:color="auto" w:fill="FFFFFF"/>
          <w:lang w:val="en-AU"/>
        </w:rPr>
        <w:t>*</w:t>
      </w:r>
      <w:r w:rsidRPr="00F14320">
        <w:rPr>
          <w:sz w:val="16"/>
          <w:szCs w:val="16"/>
          <w:lang w:val="en-AU"/>
        </w:rPr>
        <w:t>Significant increase identified in Suicide deaths rates for those aged 25–44 in the most disadvantaged group</w:t>
      </w:r>
    </w:p>
    <w:p w14:paraId="580159E1" w14:textId="79496455" w:rsidR="0028258D" w:rsidRPr="00C30AD1" w:rsidRDefault="0028258D" w:rsidP="00C30AD1">
      <w:pPr>
        <w:spacing w:before="0"/>
        <w:rPr>
          <w:sz w:val="18"/>
          <w:szCs w:val="18"/>
        </w:rPr>
      </w:pPr>
      <w:r w:rsidRPr="0028258D">
        <w:rPr>
          <w:sz w:val="18"/>
          <w:szCs w:val="18"/>
        </w:rPr>
        <w:t>AIHW 2019</w:t>
      </w:r>
      <w:r w:rsidRPr="0028258D">
        <w:rPr>
          <w:lang w:val="en-AU"/>
        </w:rPr>
        <w:fldChar w:fldCharType="begin"/>
      </w:r>
      <w:r w:rsidRPr="0028258D">
        <w:rPr>
          <w:lang w:val="en-AU"/>
        </w:rPr>
        <w:instrText xml:space="preserve"> ADDIN EN.CITE &lt;EndNote&gt;&lt;Cite&gt;&lt;Author&gt;AIHW: Henley&lt;/Author&gt;&lt;Year&gt;2019&lt;/Year&gt;&lt;RecNum&gt;106&lt;/RecNum&gt;&lt;DisplayText&gt;&lt;style face="superscript"&gt;37&lt;/style&gt;&lt;/DisplayText&gt;&lt;record&gt;&lt;rec-number&gt;106&lt;/rec-number&gt;&lt;foreign-keys&gt;&lt;key app="EN" db-id="2wsw9x5wvsspa1evwxlvvergx9epfd50fs2a" timestamp="1583882195"&gt;106&lt;/key&gt;&lt;/foreign-keys&gt;&lt;ref-type name="Report"&gt;27&lt;/ref-type&gt;&lt;contributors&gt;&lt;authors&gt;&lt;author&gt;AIHW: Henley, G.&lt;/author&gt;&lt;author&gt;Harrison, JE.&lt;/author&gt;&lt;/authors&gt;&lt;/contributors&gt;&lt;titles&gt;&lt;title&gt;Injury mortality and socioeconomic influence in Australia, 2015–16. Injury research and statistics series no. 128. Cat. no. INJCAT 208&lt;/title&gt;&lt;/titles&gt;&lt;dates&gt;&lt;year&gt;2019&lt;/year&gt;&lt;/dates&gt;&lt;pub-location&gt;Canberra&lt;/pub-location&gt;&lt;publisher&gt;AIHW&lt;/publisher&gt;&lt;urls&gt;&lt;related-urls&gt;&lt;url&gt; https://www.aihw.gov.au/getmedia/1e03d183-8b8f-4037-b4a4-e576bb22a9b0/aihw-injcat-208.pdf.aspx?inline=true&lt;/url&gt;&lt;/related-urls&gt;&lt;/urls&gt;&lt;/record&gt;&lt;/Cite&gt;&lt;/EndNote&gt;</w:instrText>
      </w:r>
      <w:r w:rsidRPr="0028258D">
        <w:rPr>
          <w:lang w:val="en-AU"/>
        </w:rPr>
        <w:fldChar w:fldCharType="separate"/>
      </w:r>
      <w:r w:rsidRPr="00C30AD1">
        <w:rPr>
          <w:noProof/>
          <w:vertAlign w:val="superscript"/>
          <w:lang w:val="en-AU"/>
        </w:rPr>
        <w:t>37</w:t>
      </w:r>
      <w:r w:rsidRPr="0028258D">
        <w:rPr>
          <w:lang w:val="en-AU"/>
        </w:rPr>
        <w:fldChar w:fldCharType="end"/>
      </w:r>
      <w:r w:rsidRPr="0028258D">
        <w:rPr>
          <w:sz w:val="18"/>
          <w:szCs w:val="18"/>
        </w:rPr>
        <w:t>. Table S1, pg v</w:t>
      </w:r>
    </w:p>
    <w:p w14:paraId="78A05668" w14:textId="77777777" w:rsidR="00701DBE" w:rsidRDefault="00701DBE" w:rsidP="0060376E">
      <w:pPr>
        <w:rPr>
          <w:lang w:val="en-AU"/>
        </w:rPr>
      </w:pPr>
    </w:p>
    <w:p w14:paraId="703DDE7F" w14:textId="109755D6" w:rsidR="003E5832" w:rsidRDefault="003E5832" w:rsidP="003E5832">
      <w:pPr>
        <w:pStyle w:val="Heading2"/>
        <w:rPr>
          <w:lang w:val="en-AU"/>
        </w:rPr>
      </w:pPr>
      <w:bookmarkStart w:id="194" w:name="_Toc38021095"/>
      <w:r>
        <w:rPr>
          <w:lang w:val="en-AU"/>
        </w:rPr>
        <w:t>Priority areas for action across the priority population groups</w:t>
      </w:r>
      <w:bookmarkEnd w:id="194"/>
    </w:p>
    <w:p w14:paraId="477B9610" w14:textId="3888F2EC" w:rsidR="0060376E" w:rsidRPr="0060376E" w:rsidRDefault="003E5832" w:rsidP="0060376E">
      <w:pPr>
        <w:spacing w:line="256" w:lineRule="auto"/>
        <w:rPr>
          <w:color w:val="000000" w:themeColor="text1"/>
        </w:rPr>
        <w:sectPr w:rsidR="0060376E" w:rsidRPr="0060376E">
          <w:headerReference w:type="even"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pPr>
      <w:r>
        <w:rPr>
          <w:color w:val="000000" w:themeColor="text1"/>
        </w:rPr>
        <w:t xml:space="preserve">While acknowledging that all </w:t>
      </w:r>
      <w:r w:rsidR="008D184F">
        <w:rPr>
          <w:color w:val="000000" w:themeColor="text1"/>
        </w:rPr>
        <w:t>p</w:t>
      </w:r>
      <w:r>
        <w:rPr>
          <w:color w:val="000000" w:themeColor="text1"/>
        </w:rPr>
        <w:t xml:space="preserve">riority </w:t>
      </w:r>
      <w:r w:rsidR="008D184F">
        <w:rPr>
          <w:color w:val="000000" w:themeColor="text1"/>
        </w:rPr>
        <w:t>a</w:t>
      </w:r>
      <w:r>
        <w:rPr>
          <w:color w:val="000000" w:themeColor="text1"/>
        </w:rPr>
        <w:t xml:space="preserve">ctions across the life stages are relevant for each of the priority populations, the following table </w:t>
      </w:r>
      <w:r w:rsidR="0080276D">
        <w:rPr>
          <w:color w:val="000000" w:themeColor="text1"/>
        </w:rPr>
        <w:t xml:space="preserve">(page 17) </w:t>
      </w:r>
      <w:r>
        <w:rPr>
          <w:color w:val="000000" w:themeColor="text1"/>
        </w:rPr>
        <w:t xml:space="preserve">lists those Priorities that specifically target these population groups and reflect either where the burden is </w:t>
      </w:r>
      <w:proofErr w:type="gramStart"/>
      <w:r>
        <w:rPr>
          <w:color w:val="000000" w:themeColor="text1"/>
        </w:rPr>
        <w:t>greatest</w:t>
      </w:r>
      <w:proofErr w:type="gramEnd"/>
      <w:r>
        <w:rPr>
          <w:color w:val="000000" w:themeColor="text1"/>
        </w:rPr>
        <w:t xml:space="preserve"> or the strongest evidence of effective prevention strategies exist.</w:t>
      </w:r>
    </w:p>
    <w:p w14:paraId="518CEBC3" w14:textId="7C963A8E" w:rsidR="00C82BFF" w:rsidRPr="00C30AD1" w:rsidRDefault="0028258D" w:rsidP="0060583A">
      <w:pPr>
        <w:rPr>
          <w:i/>
          <w:sz w:val="21"/>
          <w:lang w:val="en-AU"/>
        </w:rPr>
      </w:pPr>
      <w:r w:rsidRPr="00C30AD1">
        <w:rPr>
          <w:i/>
          <w:sz w:val="21"/>
        </w:rPr>
        <w:t xml:space="preserve">Table </w:t>
      </w:r>
      <w:r w:rsidR="0060583A" w:rsidRPr="00C30AD1">
        <w:rPr>
          <w:i/>
          <w:sz w:val="21"/>
        </w:rPr>
        <w:t xml:space="preserve">3 </w:t>
      </w:r>
      <w:r w:rsidR="0060583A" w:rsidRPr="00C30AD1">
        <w:rPr>
          <w:i/>
          <w:sz w:val="21"/>
          <w:lang w:val="en-AU"/>
        </w:rPr>
        <w:t>Priority areas for action across the priority population groups</w:t>
      </w:r>
    </w:p>
    <w:p w14:paraId="1512D106" w14:textId="77777777" w:rsidR="0028258D" w:rsidRPr="0060376E" w:rsidRDefault="0028258D" w:rsidP="00C82BFF">
      <w:pPr>
        <w:spacing w:line="256" w:lineRule="auto"/>
        <w:rPr>
          <w:color w:val="000000" w:themeColor="text1"/>
          <w:sz w:val="2"/>
          <w:szCs w:val="2"/>
        </w:rPr>
      </w:pPr>
    </w:p>
    <w:tbl>
      <w:tblPr>
        <w:tblStyle w:val="TableGrid"/>
        <w:tblpPr w:leftFromText="181" w:rightFromText="181" w:vertAnchor="text" w:horzAnchor="margin" w:tblpY="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479"/>
        <w:gridCol w:w="947"/>
        <w:gridCol w:w="8990"/>
        <w:gridCol w:w="986"/>
        <w:gridCol w:w="1490"/>
        <w:gridCol w:w="1496"/>
      </w:tblGrid>
      <w:tr w:rsidR="003F4BE5" w:rsidRPr="003F4BE5" w14:paraId="707BEF24" w14:textId="77777777" w:rsidTr="00E002A3">
        <w:trPr>
          <w:trHeight w:val="20"/>
          <w:tblHeader/>
        </w:trPr>
        <w:tc>
          <w:tcPr>
            <w:tcW w:w="481" w:type="pct"/>
            <w:vMerge w:val="restart"/>
            <w:shd w:val="clear" w:color="auto" w:fill="BFBFBF" w:themeFill="background1" w:themeFillShade="BF"/>
          </w:tcPr>
          <w:p w14:paraId="263D749A" w14:textId="7015781F" w:rsidR="00C82BFF" w:rsidRPr="0060376E" w:rsidRDefault="0028258D" w:rsidP="00C17651">
            <w:pPr>
              <w:pStyle w:val="Numberedtable"/>
              <w:numPr>
                <w:ilvl w:val="0"/>
                <w:numId w:val="0"/>
              </w:numPr>
              <w:rPr>
                <w:rFonts w:asciiTheme="minorHAnsi" w:hAnsiTheme="minorHAnsi" w:cstheme="minorHAnsi"/>
                <w:sz w:val="18"/>
                <w:szCs w:val="16"/>
              </w:rPr>
            </w:pPr>
            <w:proofErr w:type="gramStart"/>
            <w:r w:rsidRPr="007C5CFB">
              <w:rPr>
                <w:rFonts w:asciiTheme="minorHAnsi" w:hAnsiTheme="minorHAnsi" w:cstheme="minorHAnsi"/>
                <w:sz w:val="18"/>
                <w:szCs w:val="16"/>
              </w:rPr>
              <w:t xml:space="preserve">Injury </w:t>
            </w:r>
            <w:r w:rsidR="00C82BFF" w:rsidRPr="0060376E">
              <w:rPr>
                <w:rFonts w:asciiTheme="minorHAnsi" w:hAnsiTheme="minorHAnsi" w:cstheme="minorHAnsi"/>
                <w:sz w:val="18"/>
                <w:szCs w:val="16"/>
              </w:rPr>
              <w:t xml:space="preserve"> type</w:t>
            </w:r>
            <w:proofErr w:type="gramEnd"/>
          </w:p>
          <w:p w14:paraId="1EAF0CD7"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Life stage(s)</w:t>
            </w:r>
          </w:p>
        </w:tc>
        <w:tc>
          <w:tcPr>
            <w:tcW w:w="3229" w:type="pct"/>
            <w:gridSpan w:val="2"/>
            <w:vMerge w:val="restart"/>
            <w:tcBorders>
              <w:right w:val="single" w:sz="4" w:space="0" w:color="BFBFBF" w:themeColor="background1" w:themeShade="BF"/>
            </w:tcBorders>
            <w:shd w:val="clear" w:color="auto" w:fill="BFBFBF" w:themeFill="background1" w:themeFillShade="BF"/>
          </w:tcPr>
          <w:p w14:paraId="3C8C663A"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sz w:val="18"/>
                <w:szCs w:val="16"/>
              </w:rPr>
              <w:t>Objectives</w:t>
            </w:r>
          </w:p>
        </w:tc>
        <w:tc>
          <w:tcPr>
            <w:tcW w:w="1291" w:type="pct"/>
            <w:gridSpan w:val="3"/>
            <w:tcBorders>
              <w:top w:val="single" w:sz="4" w:space="0" w:color="BFBFBF" w:themeColor="background1" w:themeShade="BF"/>
              <w:left w:val="single" w:sz="4" w:space="0" w:color="BFBFBF" w:themeColor="background1" w:themeShade="BF"/>
            </w:tcBorders>
            <w:shd w:val="clear" w:color="auto" w:fill="BFBFBF" w:themeFill="background1" w:themeFillShade="BF"/>
          </w:tcPr>
          <w:p w14:paraId="713A9BE7" w14:textId="28C012E7" w:rsidR="00C82BFF" w:rsidRPr="0060376E" w:rsidRDefault="00C82BFF" w:rsidP="00C17651">
            <w:pPr>
              <w:pStyle w:val="Numberedtable"/>
              <w:numPr>
                <w:ilvl w:val="0"/>
                <w:numId w:val="0"/>
              </w:numPr>
              <w:jc w:val="center"/>
              <w:rPr>
                <w:rFonts w:asciiTheme="minorHAnsi" w:hAnsiTheme="minorHAnsi" w:cstheme="minorHAnsi"/>
                <w:b w:val="0"/>
                <w:sz w:val="18"/>
                <w:szCs w:val="16"/>
                <w:lang w:val="en-AU"/>
              </w:rPr>
            </w:pPr>
            <w:r w:rsidRPr="0060376E">
              <w:rPr>
                <w:rFonts w:asciiTheme="minorHAnsi" w:hAnsiTheme="minorHAnsi" w:cstheme="minorHAnsi"/>
                <w:sz w:val="18"/>
                <w:szCs w:val="16"/>
              </w:rPr>
              <w:t>Priority populations</w:t>
            </w:r>
            <w:r w:rsidR="007600E8">
              <w:rPr>
                <w:rFonts w:asciiTheme="minorHAnsi" w:hAnsiTheme="minorHAnsi" w:cstheme="minorHAnsi"/>
                <w:sz w:val="18"/>
                <w:szCs w:val="16"/>
              </w:rPr>
              <w:t>’ specific partner agencies</w:t>
            </w:r>
          </w:p>
        </w:tc>
      </w:tr>
      <w:tr w:rsidR="003F4BE5" w:rsidRPr="003F4BE5" w14:paraId="5C5897FC" w14:textId="77777777" w:rsidTr="00E002A3">
        <w:trPr>
          <w:trHeight w:val="20"/>
          <w:tblHeader/>
        </w:trPr>
        <w:tc>
          <w:tcPr>
            <w:tcW w:w="481" w:type="pct"/>
            <w:vMerge/>
            <w:tcBorders>
              <w:bottom w:val="single" w:sz="4" w:space="0" w:color="BFBFBF" w:themeColor="background1" w:themeShade="BF"/>
            </w:tcBorders>
            <w:shd w:val="clear" w:color="auto" w:fill="BFBFBF" w:themeFill="background1" w:themeFillShade="BF"/>
          </w:tcPr>
          <w:p w14:paraId="5D922C97" w14:textId="77777777" w:rsidR="00C82BFF" w:rsidRPr="0060376E" w:rsidRDefault="00C82BFF" w:rsidP="00C17651">
            <w:pPr>
              <w:pStyle w:val="Numberedtable"/>
              <w:numPr>
                <w:ilvl w:val="0"/>
                <w:numId w:val="0"/>
              </w:numPr>
              <w:rPr>
                <w:rFonts w:asciiTheme="minorHAnsi" w:hAnsiTheme="minorHAnsi" w:cstheme="minorHAnsi"/>
                <w:b w:val="0"/>
                <w:sz w:val="18"/>
                <w:szCs w:val="16"/>
              </w:rPr>
            </w:pPr>
          </w:p>
        </w:tc>
        <w:tc>
          <w:tcPr>
            <w:tcW w:w="3229" w:type="pct"/>
            <w:gridSpan w:val="2"/>
            <w:vMerge/>
            <w:tcBorders>
              <w:bottom w:val="single" w:sz="4" w:space="0" w:color="BFBFBF" w:themeColor="background1" w:themeShade="BF"/>
              <w:right w:val="single" w:sz="4" w:space="0" w:color="BFBFBF" w:themeColor="background1" w:themeShade="BF"/>
            </w:tcBorders>
            <w:shd w:val="clear" w:color="auto" w:fill="BFBFBF" w:themeFill="background1" w:themeFillShade="BF"/>
          </w:tcPr>
          <w:p w14:paraId="4BC58814" w14:textId="77777777" w:rsidR="00C82BFF" w:rsidRPr="0060376E" w:rsidRDefault="00C82BFF" w:rsidP="00C17651">
            <w:pPr>
              <w:pStyle w:val="Numberedtable"/>
              <w:numPr>
                <w:ilvl w:val="0"/>
                <w:numId w:val="0"/>
              </w:numPr>
              <w:rPr>
                <w:rFonts w:asciiTheme="minorHAnsi" w:hAnsiTheme="minorHAnsi" w:cstheme="minorHAnsi"/>
                <w:sz w:val="18"/>
                <w:szCs w:val="16"/>
              </w:rPr>
            </w:pPr>
          </w:p>
        </w:tc>
        <w:tc>
          <w:tcPr>
            <w:tcW w:w="320" w:type="pct"/>
            <w:tcBorders>
              <w:left w:val="single" w:sz="4" w:space="0" w:color="BFBFBF" w:themeColor="background1" w:themeShade="BF"/>
              <w:bottom w:val="single" w:sz="4" w:space="0" w:color="BFBFBF" w:themeColor="background1" w:themeShade="BF"/>
            </w:tcBorders>
            <w:shd w:val="clear" w:color="auto" w:fill="BFBFBF" w:themeFill="background1" w:themeFillShade="BF"/>
          </w:tcPr>
          <w:p w14:paraId="74023E54"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t xml:space="preserve">Aboriginal </w:t>
            </w:r>
          </w:p>
        </w:tc>
        <w:tc>
          <w:tcPr>
            <w:tcW w:w="484" w:type="pct"/>
            <w:tcBorders>
              <w:bottom w:val="single" w:sz="4" w:space="0" w:color="BFBFBF" w:themeColor="background1" w:themeShade="BF"/>
            </w:tcBorders>
            <w:shd w:val="clear" w:color="auto" w:fill="BFBFBF" w:themeFill="background1" w:themeFillShade="BF"/>
          </w:tcPr>
          <w:p w14:paraId="151E1F45"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t>Rural + remote</w:t>
            </w:r>
          </w:p>
        </w:tc>
        <w:tc>
          <w:tcPr>
            <w:tcW w:w="486" w:type="pct"/>
            <w:tcBorders>
              <w:bottom w:val="single" w:sz="4" w:space="0" w:color="BFBFBF" w:themeColor="background1" w:themeShade="BF"/>
            </w:tcBorders>
            <w:shd w:val="clear" w:color="auto" w:fill="BFBFBF" w:themeFill="background1" w:themeFillShade="BF"/>
          </w:tcPr>
          <w:p w14:paraId="3FA24C32"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t>Low SES</w:t>
            </w:r>
          </w:p>
        </w:tc>
      </w:tr>
      <w:tr w:rsidR="003E5832" w:rsidRPr="003F4BE5" w14:paraId="2147AD66" w14:textId="77777777" w:rsidTr="00E002A3">
        <w:trPr>
          <w:trHeight w:val="20"/>
        </w:trPr>
        <w:tc>
          <w:tcPr>
            <w:tcW w:w="481" w:type="pct"/>
            <w:vMerge w:val="restart"/>
            <w:tcBorders>
              <w:top w:val="single" w:sz="4" w:space="0" w:color="BFBFBF" w:themeColor="background1" w:themeShade="BF"/>
            </w:tcBorders>
            <w:shd w:val="clear" w:color="auto" w:fill="1F3864" w:themeFill="accent5" w:themeFillShade="80"/>
          </w:tcPr>
          <w:p w14:paraId="70449BFA" w14:textId="75DA2E42" w:rsidR="00C82BFF" w:rsidRPr="0060376E" w:rsidRDefault="00E622C4" w:rsidP="00C17651">
            <w:pPr>
              <w:pStyle w:val="Numberedtable"/>
              <w:numPr>
                <w:ilvl w:val="0"/>
                <w:numId w:val="0"/>
              </w:numPr>
              <w:rPr>
                <w:rFonts w:asciiTheme="minorHAnsi" w:hAnsiTheme="minorHAnsi" w:cstheme="minorHAnsi"/>
                <w:sz w:val="18"/>
                <w:szCs w:val="16"/>
              </w:rPr>
            </w:pPr>
            <w:r>
              <w:rPr>
                <w:rFonts w:asciiTheme="minorHAnsi" w:hAnsiTheme="minorHAnsi" w:cstheme="minorHAnsi"/>
                <w:color w:val="FFFFFF" w:themeColor="background1"/>
                <w:sz w:val="18"/>
                <w:szCs w:val="16"/>
              </w:rPr>
              <w:t xml:space="preserve">Intentional </w:t>
            </w:r>
            <w:r w:rsidR="00C82BFF" w:rsidRPr="002F4B2C">
              <w:rPr>
                <w:rFonts w:asciiTheme="minorHAnsi" w:hAnsiTheme="minorHAnsi" w:cstheme="minorHAnsi"/>
                <w:color w:val="FFFFFF" w:themeColor="background1"/>
                <w:sz w:val="18"/>
                <w:szCs w:val="16"/>
              </w:rPr>
              <w:t>self-harm</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1320B3AB"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lang w:val="en-AU"/>
              </w:rPr>
              <w:t xml:space="preserve">1. Reduce the rate of intentional self-harm </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689965AF"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4" w:type="pct"/>
            <w:tcBorders>
              <w:top w:val="single" w:sz="4" w:space="0" w:color="BFBFBF" w:themeColor="background1" w:themeShade="BF"/>
              <w:bottom w:val="nil"/>
            </w:tcBorders>
            <w:shd w:val="clear" w:color="auto" w:fill="E7E6E6" w:themeFill="background2"/>
            <w:vAlign w:val="center"/>
          </w:tcPr>
          <w:p w14:paraId="5FDEDE1D" w14:textId="16A9AE5D"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6" w:type="pct"/>
            <w:tcBorders>
              <w:top w:val="single" w:sz="4" w:space="0" w:color="BFBFBF" w:themeColor="background1" w:themeShade="BF"/>
              <w:bottom w:val="nil"/>
            </w:tcBorders>
            <w:shd w:val="clear" w:color="auto" w:fill="E7E6E6" w:themeFill="background2"/>
            <w:vAlign w:val="center"/>
          </w:tcPr>
          <w:p w14:paraId="03FBDBD3" w14:textId="2D15353D"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r>
      <w:tr w:rsidR="003E5832" w:rsidRPr="003F4BE5" w14:paraId="38D1A653" w14:textId="77777777" w:rsidTr="00E002A3">
        <w:trPr>
          <w:trHeight w:val="20"/>
        </w:trPr>
        <w:tc>
          <w:tcPr>
            <w:tcW w:w="481" w:type="pct"/>
            <w:vMerge/>
            <w:tcBorders>
              <w:bottom w:val="nil"/>
            </w:tcBorders>
            <w:shd w:val="clear" w:color="auto" w:fill="1F3864" w:themeFill="accent5" w:themeFillShade="80"/>
          </w:tcPr>
          <w:p w14:paraId="05975739" w14:textId="77777777" w:rsidR="00C82BFF" w:rsidRPr="0060376E" w:rsidRDefault="00C82BFF" w:rsidP="00C17651">
            <w:pPr>
              <w:pStyle w:val="Numberedtable"/>
              <w:numPr>
                <w:ilvl w:val="0"/>
                <w:numId w:val="0"/>
              </w:numPr>
              <w:rPr>
                <w:rFonts w:asciiTheme="minorHAnsi" w:hAnsiTheme="minorHAnsi" w:cstheme="minorHAnsi"/>
                <w:sz w:val="18"/>
                <w:szCs w:val="16"/>
              </w:rPr>
            </w:pPr>
          </w:p>
        </w:tc>
        <w:tc>
          <w:tcPr>
            <w:tcW w:w="3229" w:type="pct"/>
            <w:gridSpan w:val="2"/>
            <w:tcBorders>
              <w:top w:val="nil"/>
              <w:bottom w:val="nil"/>
              <w:right w:val="single" w:sz="4" w:space="0" w:color="BFBFBF" w:themeColor="background1" w:themeShade="BF"/>
            </w:tcBorders>
            <w:shd w:val="clear" w:color="auto" w:fill="E7E6E6" w:themeFill="background2"/>
          </w:tcPr>
          <w:p w14:paraId="19F9DEE1"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rPr>
              <w:t>2. Reduce the rate of intentional self-harm among Aboriginal and Torres Strait Islander people</w:t>
            </w:r>
          </w:p>
        </w:tc>
        <w:tc>
          <w:tcPr>
            <w:tcW w:w="320" w:type="pct"/>
            <w:tcBorders>
              <w:top w:val="nil"/>
              <w:left w:val="single" w:sz="4" w:space="0" w:color="BFBFBF" w:themeColor="background1" w:themeShade="BF"/>
              <w:bottom w:val="nil"/>
            </w:tcBorders>
            <w:shd w:val="clear" w:color="auto" w:fill="E7E6E6" w:themeFill="background2"/>
            <w:vAlign w:val="center"/>
          </w:tcPr>
          <w:p w14:paraId="21E827EB" w14:textId="6EBCEF51" w:rsidR="00C82BFF" w:rsidRPr="0060376E" w:rsidRDefault="00C82BFF"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nil"/>
              <w:bottom w:val="nil"/>
            </w:tcBorders>
            <w:shd w:val="clear" w:color="auto" w:fill="E7E6E6" w:themeFill="background2"/>
            <w:vAlign w:val="center"/>
          </w:tcPr>
          <w:p w14:paraId="62503577"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6" w:type="pct"/>
            <w:tcBorders>
              <w:top w:val="nil"/>
              <w:bottom w:val="nil"/>
            </w:tcBorders>
            <w:shd w:val="clear" w:color="auto" w:fill="E7E6E6" w:themeFill="background2"/>
            <w:vAlign w:val="center"/>
          </w:tcPr>
          <w:p w14:paraId="3A2000EE"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r>
      <w:tr w:rsidR="003E5832" w:rsidRPr="003F4BE5" w14:paraId="5C748F11" w14:textId="77777777" w:rsidTr="00E002A3">
        <w:trPr>
          <w:trHeight w:val="20"/>
        </w:trPr>
        <w:tc>
          <w:tcPr>
            <w:tcW w:w="481" w:type="pct"/>
            <w:tcBorders>
              <w:top w:val="nil"/>
              <w:bottom w:val="single" w:sz="4" w:space="0" w:color="BFBFBF" w:themeColor="background1" w:themeShade="BF"/>
            </w:tcBorders>
          </w:tcPr>
          <w:p w14:paraId="70766667"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Youth</w:t>
            </w:r>
          </w:p>
          <w:p w14:paraId="094379BA"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Adult</w:t>
            </w:r>
          </w:p>
          <w:p w14:paraId="7CA1953B"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b w:val="0"/>
                <w:sz w:val="18"/>
                <w:szCs w:val="16"/>
              </w:rPr>
              <w:t>Older adults</w:t>
            </w:r>
          </w:p>
        </w:tc>
        <w:tc>
          <w:tcPr>
            <w:tcW w:w="308" w:type="pct"/>
            <w:tcBorders>
              <w:top w:val="nil"/>
              <w:bottom w:val="single" w:sz="4" w:space="0" w:color="BFBFBF" w:themeColor="background1" w:themeShade="BF"/>
            </w:tcBorders>
          </w:tcPr>
          <w:p w14:paraId="5DE6EF45"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7F760733" w14:textId="77777777" w:rsidR="00C82BFF" w:rsidRPr="0060376E" w:rsidRDefault="00C82BFF" w:rsidP="00C17651">
            <w:pPr>
              <w:rPr>
                <w:rFonts w:cstheme="minorHAnsi"/>
                <w:sz w:val="18"/>
                <w:szCs w:val="14"/>
                <w:lang w:eastAsia="en-AU"/>
              </w:rPr>
            </w:pPr>
            <w:r w:rsidRPr="0060376E">
              <w:rPr>
                <w:rFonts w:cstheme="minorHAnsi"/>
                <w:sz w:val="18"/>
                <w:szCs w:val="14"/>
                <w:lang w:eastAsia="en-AU"/>
              </w:rPr>
              <w:t xml:space="preserve">National, state and territory departments of health (mental health services), Justice and youth affairs, </w:t>
            </w:r>
            <w:r w:rsidRPr="0060376E">
              <w:rPr>
                <w:rFonts w:cstheme="minorHAnsi"/>
                <w:sz w:val="18"/>
                <w:szCs w:val="14"/>
              </w:rPr>
              <w:t xml:space="preserve">Department of Veterans’ Affairs </w:t>
            </w:r>
            <w:r w:rsidRPr="0060376E">
              <w:rPr>
                <w:rFonts w:cstheme="minorHAnsi"/>
                <w:sz w:val="18"/>
                <w:szCs w:val="14"/>
                <w:lang w:eastAsia="en-AU"/>
              </w:rPr>
              <w:t>(State and territory departments of Education, National Mental Health Commission, local government, AOD council of Australia, AOD information and treatment services, Family Mental Health Support Service, youth focused not-for-profit organisations, local health districts, Australian Government Office for Youth, NGOs with a core focus on older people, schools and tertiary education providers, community mental health providers</w:t>
            </w:r>
            <w:r w:rsidRPr="0060376E">
              <w:rPr>
                <w:rFonts w:eastAsia="Times New Roman" w:cstheme="minorHAnsi"/>
                <w:sz w:val="18"/>
                <w:szCs w:val="14"/>
                <w:lang w:eastAsia="en-AU"/>
              </w:rPr>
              <w:t>, peer workers,</w:t>
            </w:r>
            <w:r w:rsidRPr="0060376E">
              <w:rPr>
                <w:rFonts w:cstheme="minorHAnsi"/>
                <w:sz w:val="18"/>
                <w:szCs w:val="14"/>
                <w:lang w:eastAsia="en-AU"/>
              </w:rPr>
              <w:t xml:space="preserve"> Royal Australasian College of General Practitioners)</w:t>
            </w:r>
          </w:p>
        </w:tc>
        <w:tc>
          <w:tcPr>
            <w:tcW w:w="320" w:type="pct"/>
            <w:tcBorders>
              <w:top w:val="nil"/>
              <w:left w:val="single" w:sz="4" w:space="0" w:color="BFBFBF" w:themeColor="background1" w:themeShade="BF"/>
              <w:bottom w:val="single" w:sz="4" w:space="0" w:color="BFBFBF" w:themeColor="background1" w:themeShade="BF"/>
            </w:tcBorders>
          </w:tcPr>
          <w:p w14:paraId="6DFF2743" w14:textId="64F02CBE" w:rsidR="00C82BFF" w:rsidRPr="0060376E" w:rsidRDefault="00C82BFF" w:rsidP="00C17651">
            <w:pPr>
              <w:pStyle w:val="Numberedtable"/>
              <w:numPr>
                <w:ilvl w:val="0"/>
                <w:numId w:val="0"/>
              </w:numPr>
              <w:jc w:val="center"/>
              <w:rPr>
                <w:rFonts w:asciiTheme="minorHAnsi" w:hAnsiTheme="minorHAnsi" w:cstheme="minorHAnsi"/>
                <w:b w:val="0"/>
                <w:sz w:val="18"/>
                <w:szCs w:val="16"/>
              </w:rPr>
            </w:pPr>
            <w:r w:rsidRPr="0060376E">
              <w:rPr>
                <w:rFonts w:asciiTheme="minorHAnsi" w:hAnsiTheme="minorHAnsi" w:cstheme="minorHAnsi"/>
                <w:b w:val="0"/>
                <w:sz w:val="18"/>
                <w:szCs w:val="20"/>
                <w:lang w:eastAsia="en-AU"/>
              </w:rPr>
              <w:t>ACCOs, ACCHOs,</w:t>
            </w:r>
            <w:r w:rsidRPr="0060376E">
              <w:rPr>
                <w:rFonts w:asciiTheme="minorHAnsi" w:hAnsiTheme="minorHAnsi" w:cstheme="minorHAnsi"/>
                <w:sz w:val="18"/>
                <w:szCs w:val="14"/>
                <w:lang w:eastAsia="en-AU"/>
              </w:rPr>
              <w:t xml:space="preserve"> </w:t>
            </w:r>
            <w:r w:rsidR="003E5832" w:rsidRPr="0060376E">
              <w:rPr>
                <w:rFonts w:asciiTheme="minorHAnsi" w:hAnsiTheme="minorHAnsi" w:cstheme="minorHAnsi"/>
                <w:b w:val="0"/>
                <w:sz w:val="18"/>
                <w:szCs w:val="14"/>
              </w:rPr>
              <w:t>NIAA</w:t>
            </w:r>
          </w:p>
        </w:tc>
        <w:tc>
          <w:tcPr>
            <w:tcW w:w="484" w:type="pct"/>
            <w:tcBorders>
              <w:top w:val="nil"/>
              <w:bottom w:val="single" w:sz="4" w:space="0" w:color="BFBFBF" w:themeColor="background1" w:themeShade="BF"/>
            </w:tcBorders>
          </w:tcPr>
          <w:p w14:paraId="7092195E" w14:textId="014E5B80" w:rsidR="00C82BFF" w:rsidRPr="0060376E" w:rsidRDefault="00C82BFF" w:rsidP="00C17651">
            <w:pPr>
              <w:pStyle w:val="Numberedtable"/>
              <w:numPr>
                <w:ilvl w:val="0"/>
                <w:numId w:val="0"/>
              </w:numPr>
              <w:jc w:val="center"/>
              <w:rPr>
                <w:rFonts w:asciiTheme="minorHAnsi" w:hAnsiTheme="minorHAnsi" w:cstheme="minorHAnsi"/>
                <w:b w:val="0"/>
                <w:sz w:val="18"/>
                <w:szCs w:val="16"/>
              </w:rPr>
            </w:pPr>
            <w:r w:rsidRPr="0060376E">
              <w:rPr>
                <w:rFonts w:asciiTheme="minorHAnsi" w:hAnsiTheme="minorHAnsi" w:cstheme="minorHAnsi"/>
                <w:b w:val="0"/>
                <w:sz w:val="18"/>
                <w:szCs w:val="14"/>
                <w:lang w:eastAsia="en-AU"/>
              </w:rPr>
              <w:t>PHNs, rural mental health primary healthcare, education providers</w:t>
            </w:r>
          </w:p>
        </w:tc>
        <w:tc>
          <w:tcPr>
            <w:tcW w:w="486" w:type="pct"/>
            <w:tcBorders>
              <w:top w:val="nil"/>
              <w:bottom w:val="single" w:sz="4" w:space="0" w:color="BFBFBF" w:themeColor="background1" w:themeShade="BF"/>
            </w:tcBorders>
          </w:tcPr>
          <w:p w14:paraId="2FE417DF" w14:textId="23428A22" w:rsidR="00C82BFF" w:rsidRPr="0060376E" w:rsidRDefault="00C82BFF" w:rsidP="00C17651">
            <w:pPr>
              <w:pStyle w:val="Numberedtable"/>
              <w:numPr>
                <w:ilvl w:val="0"/>
                <w:numId w:val="0"/>
              </w:numPr>
              <w:jc w:val="center"/>
              <w:rPr>
                <w:rFonts w:asciiTheme="minorHAnsi" w:hAnsiTheme="minorHAnsi" w:cstheme="minorHAnsi"/>
                <w:b w:val="0"/>
                <w:sz w:val="18"/>
                <w:szCs w:val="16"/>
              </w:rPr>
            </w:pPr>
            <w:r w:rsidRPr="0060376E">
              <w:rPr>
                <w:rFonts w:asciiTheme="minorHAnsi" w:hAnsiTheme="minorHAnsi" w:cstheme="minorHAnsi"/>
                <w:b w:val="0"/>
                <w:sz w:val="18"/>
                <w:szCs w:val="14"/>
                <w:lang w:eastAsia="en-AU"/>
              </w:rPr>
              <w:t>mental health primary healthcare, mental health NGOs, education providers</w:t>
            </w:r>
          </w:p>
        </w:tc>
      </w:tr>
      <w:tr w:rsidR="003E5832" w:rsidRPr="003F4BE5" w14:paraId="28AC9FD6" w14:textId="77777777" w:rsidTr="00E002A3">
        <w:trPr>
          <w:trHeight w:val="20"/>
        </w:trPr>
        <w:tc>
          <w:tcPr>
            <w:tcW w:w="481" w:type="pct"/>
            <w:tcBorders>
              <w:top w:val="single" w:sz="4" w:space="0" w:color="BFBFBF" w:themeColor="background1" w:themeShade="BF"/>
              <w:bottom w:val="nil"/>
            </w:tcBorders>
            <w:shd w:val="clear" w:color="auto" w:fill="660066"/>
          </w:tcPr>
          <w:p w14:paraId="7EA15CD5"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2F4B2C">
              <w:rPr>
                <w:rFonts w:asciiTheme="minorHAnsi" w:hAnsiTheme="minorHAnsi" w:cstheme="minorHAnsi"/>
                <w:color w:val="FFFFFF" w:themeColor="background1"/>
                <w:sz w:val="18"/>
                <w:szCs w:val="16"/>
              </w:rPr>
              <w:t xml:space="preserve">Falls </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0F735988" w14:textId="409614B0" w:rsidR="00C82BFF" w:rsidRPr="0060376E" w:rsidRDefault="00C82BFF" w:rsidP="0080276D">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rPr>
              <w:t xml:space="preserve">3. Reduce </w:t>
            </w:r>
            <w:r w:rsidR="0028258D">
              <w:rPr>
                <w:rFonts w:asciiTheme="minorHAnsi" w:hAnsiTheme="minorHAnsi" w:cstheme="minorHAnsi"/>
                <w:sz w:val="18"/>
                <w:szCs w:val="16"/>
              </w:rPr>
              <w:t>the rate</w:t>
            </w:r>
            <w:r w:rsidR="0028258D" w:rsidRPr="0060376E">
              <w:rPr>
                <w:rFonts w:asciiTheme="minorHAnsi" w:hAnsiTheme="minorHAnsi" w:cstheme="minorHAnsi"/>
                <w:sz w:val="18"/>
                <w:szCs w:val="16"/>
              </w:rPr>
              <w:t xml:space="preserve"> </w:t>
            </w:r>
            <w:r w:rsidRPr="0060376E">
              <w:rPr>
                <w:rFonts w:asciiTheme="minorHAnsi" w:hAnsiTheme="minorHAnsi" w:cstheme="minorHAnsi"/>
                <w:sz w:val="18"/>
                <w:szCs w:val="16"/>
              </w:rPr>
              <w:t xml:space="preserve">of falls </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573E7D83" w14:textId="14CF7911"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4" w:type="pct"/>
            <w:tcBorders>
              <w:top w:val="single" w:sz="4" w:space="0" w:color="BFBFBF" w:themeColor="background1" w:themeShade="BF"/>
              <w:bottom w:val="nil"/>
            </w:tcBorders>
            <w:shd w:val="clear" w:color="auto" w:fill="E7E6E6" w:themeFill="background2"/>
            <w:vAlign w:val="center"/>
          </w:tcPr>
          <w:p w14:paraId="1361F2E5" w14:textId="77777777"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6" w:type="pct"/>
            <w:tcBorders>
              <w:top w:val="single" w:sz="4" w:space="0" w:color="BFBFBF" w:themeColor="background1" w:themeShade="BF"/>
              <w:bottom w:val="nil"/>
            </w:tcBorders>
            <w:shd w:val="clear" w:color="auto" w:fill="E7E6E6" w:themeFill="background2"/>
            <w:vAlign w:val="center"/>
          </w:tcPr>
          <w:p w14:paraId="2FAFE8AD" w14:textId="77777777"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r>
      <w:tr w:rsidR="003E5832" w:rsidRPr="003F4BE5" w14:paraId="133D208C" w14:textId="77777777" w:rsidTr="00E002A3">
        <w:trPr>
          <w:trHeight w:val="20"/>
        </w:trPr>
        <w:tc>
          <w:tcPr>
            <w:tcW w:w="481" w:type="pct"/>
            <w:tcBorders>
              <w:top w:val="nil"/>
              <w:bottom w:val="single" w:sz="4" w:space="0" w:color="BFBFBF" w:themeColor="background1" w:themeShade="BF"/>
            </w:tcBorders>
          </w:tcPr>
          <w:p w14:paraId="1CBF18E3" w14:textId="28477B18" w:rsidR="00C82BFF" w:rsidRPr="0060376E" w:rsidRDefault="00C82BFF" w:rsidP="00C17651">
            <w:pPr>
              <w:pStyle w:val="Numberedtable"/>
              <w:numPr>
                <w:ilvl w:val="0"/>
                <w:numId w:val="0"/>
              </w:numPr>
              <w:rPr>
                <w:rFonts w:asciiTheme="minorHAnsi" w:hAnsiTheme="minorHAnsi" w:cstheme="minorHAnsi"/>
                <w:b w:val="0"/>
                <w:sz w:val="18"/>
                <w:szCs w:val="16"/>
              </w:rPr>
            </w:pPr>
            <w:proofErr w:type="spellStart"/>
            <w:r w:rsidRPr="0060376E">
              <w:rPr>
                <w:rFonts w:asciiTheme="minorHAnsi" w:hAnsiTheme="minorHAnsi" w:cstheme="minorHAnsi"/>
                <w:b w:val="0"/>
                <w:sz w:val="18"/>
                <w:szCs w:val="16"/>
              </w:rPr>
              <w:t>Babies</w:t>
            </w:r>
            <w:r w:rsidR="003E5832" w:rsidRPr="003F4BE5">
              <w:rPr>
                <w:rFonts w:asciiTheme="minorHAnsi" w:hAnsiTheme="minorHAnsi" w:cstheme="minorHAnsi"/>
                <w:b w:val="0"/>
                <w:sz w:val="18"/>
                <w:szCs w:val="16"/>
              </w:rPr>
              <w:t>+c</w:t>
            </w:r>
            <w:r w:rsidRPr="0060376E">
              <w:rPr>
                <w:rFonts w:asciiTheme="minorHAnsi" w:hAnsiTheme="minorHAnsi" w:cstheme="minorHAnsi"/>
                <w:b w:val="0"/>
                <w:sz w:val="18"/>
                <w:szCs w:val="16"/>
              </w:rPr>
              <w:t>hildren</w:t>
            </w:r>
            <w:proofErr w:type="spellEnd"/>
          </w:p>
          <w:p w14:paraId="6A2A6CB7"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b w:val="0"/>
                <w:sz w:val="18"/>
                <w:szCs w:val="16"/>
              </w:rPr>
              <w:t>Older adults</w:t>
            </w:r>
          </w:p>
        </w:tc>
        <w:tc>
          <w:tcPr>
            <w:tcW w:w="308" w:type="pct"/>
            <w:tcBorders>
              <w:top w:val="nil"/>
              <w:bottom w:val="single" w:sz="4" w:space="0" w:color="BFBFBF" w:themeColor="background1" w:themeShade="BF"/>
            </w:tcBorders>
          </w:tcPr>
          <w:p w14:paraId="7899A7C8" w14:textId="77777777" w:rsidR="00C82BFF" w:rsidRPr="0060376E" w:rsidRDefault="00C82BFF" w:rsidP="00C17651">
            <w:pPr>
              <w:pStyle w:val="Numberedtable"/>
              <w:numPr>
                <w:ilvl w:val="0"/>
                <w:numId w:val="0"/>
              </w:numPr>
              <w:rPr>
                <w:rFonts w:asciiTheme="minorHAnsi" w:hAnsiTheme="minorHAnsi" w:cstheme="minorHAnsi"/>
                <w:b w:val="0"/>
                <w:sz w:val="18"/>
                <w:szCs w:val="14"/>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39C694CC" w14:textId="77777777" w:rsidR="00C82BFF" w:rsidRPr="0060376E" w:rsidRDefault="00C82BFF" w:rsidP="00C17651">
            <w:pPr>
              <w:rPr>
                <w:rFonts w:cstheme="minorHAnsi"/>
                <w:sz w:val="18"/>
                <w:szCs w:val="14"/>
                <w:lang w:eastAsia="en-AU"/>
              </w:rPr>
            </w:pPr>
            <w:r w:rsidRPr="0060376E">
              <w:rPr>
                <w:rFonts w:cstheme="minorHAnsi"/>
                <w:sz w:val="18"/>
                <w:szCs w:val="14"/>
                <w:lang w:eastAsia="en-AU"/>
              </w:rPr>
              <w:t xml:space="preserve">Department of Health, State and territory departments of health, state and territory departments of infrastructure and planning, </w:t>
            </w:r>
            <w:r w:rsidRPr="0060376E">
              <w:rPr>
                <w:rFonts w:cstheme="minorHAnsi"/>
                <w:sz w:val="18"/>
                <w:szCs w:val="14"/>
              </w:rPr>
              <w:t>Department of Veterans’ affairs</w:t>
            </w:r>
            <w:r w:rsidRPr="0060376E">
              <w:rPr>
                <w:rFonts w:cstheme="minorHAnsi"/>
                <w:sz w:val="18"/>
                <w:szCs w:val="14"/>
                <w:lang w:eastAsia="en-AU"/>
              </w:rPr>
              <w:t xml:space="preserve"> (Local government, strata management bodies, Kidsafe, housing provider services, aged care services, Commission on Safety and Quality in Health Care, NGOs with a core focus on children or older people)</w:t>
            </w:r>
          </w:p>
        </w:tc>
        <w:tc>
          <w:tcPr>
            <w:tcW w:w="320" w:type="pct"/>
            <w:tcBorders>
              <w:top w:val="nil"/>
              <w:left w:val="single" w:sz="4" w:space="0" w:color="BFBFBF" w:themeColor="background1" w:themeShade="BF"/>
              <w:bottom w:val="single" w:sz="4" w:space="0" w:color="BFBFBF" w:themeColor="background1" w:themeShade="BF"/>
            </w:tcBorders>
          </w:tcPr>
          <w:p w14:paraId="12473ABE" w14:textId="77777777" w:rsidR="00C82BFF" w:rsidRPr="0060376E" w:rsidRDefault="00C82BFF" w:rsidP="00C17651">
            <w:pPr>
              <w:jc w:val="center"/>
              <w:rPr>
                <w:rFonts w:cstheme="minorHAnsi"/>
                <w:b/>
                <w:sz w:val="18"/>
                <w:szCs w:val="16"/>
              </w:rPr>
            </w:pPr>
            <w:r w:rsidRPr="0060376E">
              <w:rPr>
                <w:rFonts w:cstheme="minorHAnsi"/>
                <w:sz w:val="18"/>
                <w:szCs w:val="20"/>
                <w:lang w:eastAsia="en-AU"/>
              </w:rPr>
              <w:t>ACCOs, ACCHOs</w:t>
            </w:r>
          </w:p>
        </w:tc>
        <w:tc>
          <w:tcPr>
            <w:tcW w:w="484" w:type="pct"/>
            <w:tcBorders>
              <w:top w:val="nil"/>
              <w:bottom w:val="single" w:sz="4" w:space="0" w:color="BFBFBF" w:themeColor="background1" w:themeShade="BF"/>
            </w:tcBorders>
          </w:tcPr>
          <w:p w14:paraId="51A53C53" w14:textId="77777777" w:rsidR="00C82BFF" w:rsidRPr="0060376E" w:rsidRDefault="00C82BFF" w:rsidP="00C17651">
            <w:pPr>
              <w:jc w:val="center"/>
              <w:rPr>
                <w:rFonts w:cstheme="minorHAnsi"/>
                <w:b/>
                <w:sz w:val="18"/>
                <w:szCs w:val="16"/>
              </w:rPr>
            </w:pPr>
            <w:r w:rsidRPr="0060376E">
              <w:rPr>
                <w:rFonts w:cstheme="minorHAnsi"/>
                <w:sz w:val="18"/>
                <w:szCs w:val="14"/>
                <w:lang w:eastAsia="en-AU"/>
              </w:rPr>
              <w:t>Local gov, rural primary healthcare workforce</w:t>
            </w:r>
          </w:p>
        </w:tc>
        <w:tc>
          <w:tcPr>
            <w:tcW w:w="486" w:type="pct"/>
            <w:tcBorders>
              <w:top w:val="nil"/>
              <w:bottom w:val="single" w:sz="4" w:space="0" w:color="BFBFBF" w:themeColor="background1" w:themeShade="BF"/>
            </w:tcBorders>
          </w:tcPr>
          <w:p w14:paraId="4B0829EC" w14:textId="77777777" w:rsidR="00C82BFF" w:rsidRPr="0060376E" w:rsidRDefault="00C82BFF" w:rsidP="00C17651">
            <w:pPr>
              <w:jc w:val="center"/>
              <w:rPr>
                <w:rFonts w:cstheme="minorHAnsi"/>
                <w:b/>
                <w:sz w:val="18"/>
                <w:szCs w:val="16"/>
              </w:rPr>
            </w:pPr>
            <w:r w:rsidRPr="0060376E">
              <w:rPr>
                <w:rFonts w:cstheme="minorHAnsi"/>
                <w:sz w:val="18"/>
                <w:szCs w:val="14"/>
                <w:lang w:eastAsia="en-AU"/>
              </w:rPr>
              <w:t>Primary healthcare workforce</w:t>
            </w:r>
          </w:p>
        </w:tc>
      </w:tr>
      <w:tr w:rsidR="003E5832" w:rsidRPr="003F4BE5" w14:paraId="6FC9CEED" w14:textId="77777777" w:rsidTr="00E002A3">
        <w:trPr>
          <w:trHeight w:val="20"/>
        </w:trPr>
        <w:tc>
          <w:tcPr>
            <w:tcW w:w="481" w:type="pct"/>
            <w:tcBorders>
              <w:top w:val="single" w:sz="4" w:space="0" w:color="BFBFBF" w:themeColor="background1" w:themeShade="BF"/>
              <w:bottom w:val="nil"/>
            </w:tcBorders>
            <w:shd w:val="clear" w:color="auto" w:fill="69D8FF"/>
          </w:tcPr>
          <w:p w14:paraId="2B165E39" w14:textId="77777777" w:rsidR="00C82BFF" w:rsidRPr="0060376E" w:rsidRDefault="00C82BFF" w:rsidP="00C17651">
            <w:pPr>
              <w:pStyle w:val="Numberedtable"/>
              <w:numPr>
                <w:ilvl w:val="0"/>
                <w:numId w:val="0"/>
              </w:numPr>
              <w:rPr>
                <w:rFonts w:asciiTheme="minorHAnsi" w:hAnsiTheme="minorHAnsi" w:cstheme="minorHAnsi"/>
                <w:b w:val="0"/>
                <w:i/>
                <w:sz w:val="18"/>
                <w:szCs w:val="16"/>
              </w:rPr>
            </w:pPr>
            <w:r w:rsidRPr="0060376E">
              <w:rPr>
                <w:rFonts w:asciiTheme="minorHAnsi" w:hAnsiTheme="minorHAnsi" w:cstheme="minorHAnsi"/>
                <w:sz w:val="18"/>
                <w:szCs w:val="16"/>
              </w:rPr>
              <w:t xml:space="preserve">Poisoning </w:t>
            </w:r>
            <w:r w:rsidRPr="0060376E">
              <w:rPr>
                <w:rFonts w:asciiTheme="minorHAnsi" w:hAnsiTheme="minorHAnsi" w:cstheme="minorHAnsi"/>
                <w:b w:val="0"/>
                <w:i/>
                <w:sz w:val="18"/>
                <w:szCs w:val="16"/>
              </w:rPr>
              <w:t xml:space="preserve"> </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14296F80"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lang w:val="en-AU"/>
              </w:rPr>
              <w:t>5. Reduce the rate of drug-related poisoning</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14A73D39"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4" w:type="pct"/>
            <w:tcBorders>
              <w:top w:val="single" w:sz="4" w:space="0" w:color="BFBFBF" w:themeColor="background1" w:themeShade="BF"/>
              <w:bottom w:val="nil"/>
            </w:tcBorders>
            <w:shd w:val="clear" w:color="auto" w:fill="E7E6E6" w:themeFill="background2"/>
            <w:vAlign w:val="center"/>
          </w:tcPr>
          <w:p w14:paraId="6EE45E44" w14:textId="77777777"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6" w:type="pct"/>
            <w:tcBorders>
              <w:top w:val="single" w:sz="4" w:space="0" w:color="BFBFBF" w:themeColor="background1" w:themeShade="BF"/>
              <w:bottom w:val="nil"/>
            </w:tcBorders>
            <w:shd w:val="clear" w:color="auto" w:fill="E7E6E6" w:themeFill="background2"/>
            <w:vAlign w:val="center"/>
          </w:tcPr>
          <w:p w14:paraId="4A013723" w14:textId="77777777"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r>
      <w:tr w:rsidR="003E5832" w:rsidRPr="003F4BE5" w14:paraId="5A16FECA" w14:textId="77777777" w:rsidTr="00E002A3">
        <w:trPr>
          <w:trHeight w:val="20"/>
        </w:trPr>
        <w:tc>
          <w:tcPr>
            <w:tcW w:w="481" w:type="pct"/>
            <w:tcBorders>
              <w:top w:val="nil"/>
              <w:bottom w:val="single" w:sz="4" w:space="0" w:color="BFBFBF" w:themeColor="background1" w:themeShade="BF"/>
            </w:tcBorders>
          </w:tcPr>
          <w:p w14:paraId="28868F43"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b w:val="0"/>
                <w:sz w:val="18"/>
                <w:szCs w:val="16"/>
              </w:rPr>
              <w:t>Adults</w:t>
            </w:r>
          </w:p>
        </w:tc>
        <w:tc>
          <w:tcPr>
            <w:tcW w:w="308" w:type="pct"/>
            <w:tcBorders>
              <w:top w:val="nil"/>
              <w:bottom w:val="single" w:sz="4" w:space="0" w:color="BFBFBF" w:themeColor="background1" w:themeShade="BF"/>
            </w:tcBorders>
          </w:tcPr>
          <w:p w14:paraId="4D32C20C"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2F4B35DB" w14:textId="77777777" w:rsidR="00C82BFF" w:rsidRPr="0060376E" w:rsidRDefault="00C82BFF" w:rsidP="00C17651">
            <w:pPr>
              <w:pStyle w:val="Numberedtable"/>
              <w:numPr>
                <w:ilvl w:val="0"/>
                <w:numId w:val="0"/>
              </w:numPr>
              <w:rPr>
                <w:rFonts w:asciiTheme="minorHAnsi" w:hAnsiTheme="minorHAnsi" w:cstheme="minorHAnsi"/>
                <w:b w:val="0"/>
                <w:sz w:val="18"/>
                <w:szCs w:val="16"/>
                <w:lang w:val="en-AU"/>
              </w:rPr>
            </w:pPr>
            <w:r w:rsidRPr="0060376E">
              <w:rPr>
                <w:rFonts w:asciiTheme="minorHAnsi" w:eastAsia="Times New Roman" w:hAnsiTheme="minorHAnsi" w:cstheme="minorHAnsi"/>
                <w:b w:val="0"/>
                <w:color w:val="auto"/>
                <w:sz w:val="18"/>
                <w:szCs w:val="20"/>
                <w:lang w:val="en-AU" w:eastAsia="en-AU"/>
              </w:rPr>
              <w:t>Department of Health (State and territory departments of health, PHNs, mental health service providers, NGOs, alcohol and other drug services, general practitioners, Aboriginal Community Controlled Organisations)</w:t>
            </w:r>
          </w:p>
        </w:tc>
        <w:tc>
          <w:tcPr>
            <w:tcW w:w="320" w:type="pct"/>
            <w:tcBorders>
              <w:top w:val="nil"/>
              <w:left w:val="single" w:sz="4" w:space="0" w:color="BFBFBF" w:themeColor="background1" w:themeShade="BF"/>
              <w:bottom w:val="single" w:sz="4" w:space="0" w:color="BFBFBF" w:themeColor="background1" w:themeShade="BF"/>
            </w:tcBorders>
          </w:tcPr>
          <w:p w14:paraId="735DD0D2"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4" w:type="pct"/>
            <w:tcBorders>
              <w:top w:val="nil"/>
              <w:bottom w:val="single" w:sz="4" w:space="0" w:color="BFBFBF" w:themeColor="background1" w:themeShade="BF"/>
            </w:tcBorders>
          </w:tcPr>
          <w:p w14:paraId="71210651" w14:textId="77777777" w:rsidR="00C82BFF" w:rsidRPr="0060376E" w:rsidRDefault="00C82BFF" w:rsidP="00C17651">
            <w:pPr>
              <w:jc w:val="center"/>
              <w:rPr>
                <w:rFonts w:cstheme="minorHAnsi"/>
                <w:b/>
                <w:sz w:val="18"/>
                <w:szCs w:val="16"/>
              </w:rPr>
            </w:pPr>
            <w:r w:rsidRPr="0060376E">
              <w:rPr>
                <w:rFonts w:eastAsia="Times New Roman" w:cstheme="minorHAnsi"/>
                <w:sz w:val="18"/>
                <w:szCs w:val="20"/>
                <w:lang w:eastAsia="en-AU"/>
              </w:rPr>
              <w:t>Mental health service providers</w:t>
            </w:r>
          </w:p>
        </w:tc>
        <w:tc>
          <w:tcPr>
            <w:tcW w:w="486" w:type="pct"/>
            <w:tcBorders>
              <w:top w:val="nil"/>
              <w:bottom w:val="single" w:sz="4" w:space="0" w:color="BFBFBF" w:themeColor="background1" w:themeShade="BF"/>
            </w:tcBorders>
          </w:tcPr>
          <w:p w14:paraId="1AFC3F59" w14:textId="77777777" w:rsidR="00C82BFF" w:rsidRPr="0060376E" w:rsidRDefault="00C82BFF" w:rsidP="00C17651">
            <w:pPr>
              <w:jc w:val="center"/>
              <w:rPr>
                <w:rFonts w:eastAsia="Times New Roman" w:cstheme="minorHAnsi"/>
                <w:sz w:val="18"/>
                <w:szCs w:val="20"/>
                <w:lang w:eastAsia="en-AU"/>
              </w:rPr>
            </w:pPr>
            <w:r w:rsidRPr="0060376E">
              <w:rPr>
                <w:rFonts w:eastAsia="Times New Roman" w:cstheme="minorHAnsi"/>
                <w:sz w:val="18"/>
                <w:szCs w:val="20"/>
                <w:lang w:eastAsia="en-AU"/>
              </w:rPr>
              <w:t>AOD services</w:t>
            </w:r>
          </w:p>
        </w:tc>
      </w:tr>
      <w:tr w:rsidR="003E5832" w:rsidRPr="003F4BE5" w14:paraId="4680495B" w14:textId="77777777" w:rsidTr="00E002A3">
        <w:trPr>
          <w:trHeight w:val="20"/>
        </w:trPr>
        <w:tc>
          <w:tcPr>
            <w:tcW w:w="481" w:type="pct"/>
            <w:vMerge w:val="restart"/>
            <w:tcBorders>
              <w:top w:val="single" w:sz="4" w:space="0" w:color="BFBFBF" w:themeColor="background1" w:themeShade="BF"/>
            </w:tcBorders>
            <w:shd w:val="clear" w:color="auto" w:fill="7999FF"/>
          </w:tcPr>
          <w:p w14:paraId="3F3973D5" w14:textId="77777777" w:rsidR="00C82BFF" w:rsidRPr="0060376E" w:rsidRDefault="00C82BFF" w:rsidP="00C17651">
            <w:pPr>
              <w:pStyle w:val="Numberedtable"/>
              <w:numPr>
                <w:ilvl w:val="0"/>
                <w:numId w:val="0"/>
              </w:numPr>
              <w:rPr>
                <w:rFonts w:asciiTheme="minorHAnsi" w:hAnsiTheme="minorHAnsi" w:cstheme="minorHAnsi"/>
                <w:b w:val="0"/>
                <w:i/>
                <w:sz w:val="18"/>
                <w:szCs w:val="16"/>
              </w:rPr>
            </w:pPr>
            <w:r w:rsidRPr="0060376E">
              <w:rPr>
                <w:rFonts w:asciiTheme="minorHAnsi" w:hAnsiTheme="minorHAnsi" w:cstheme="minorHAnsi"/>
                <w:sz w:val="18"/>
                <w:szCs w:val="16"/>
              </w:rPr>
              <w:t>Road + land transport</w:t>
            </w:r>
            <w:r w:rsidRPr="0060376E">
              <w:rPr>
                <w:rFonts w:asciiTheme="minorHAnsi" w:hAnsiTheme="minorHAnsi" w:cstheme="minorHAnsi"/>
                <w:b w:val="0"/>
                <w:i/>
                <w:sz w:val="18"/>
                <w:szCs w:val="16"/>
              </w:rPr>
              <w:t xml:space="preserve"> </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1A1D942A"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lang w:val="en-AU"/>
              </w:rPr>
              <w:t xml:space="preserve">6. Reduce road-related injury </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7BC9C44E" w14:textId="4D29263A"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4" w:type="pct"/>
            <w:tcBorders>
              <w:top w:val="single" w:sz="4" w:space="0" w:color="BFBFBF" w:themeColor="background1" w:themeShade="BF"/>
              <w:bottom w:val="nil"/>
            </w:tcBorders>
            <w:shd w:val="clear" w:color="auto" w:fill="E7E6E6" w:themeFill="background2"/>
            <w:vAlign w:val="center"/>
          </w:tcPr>
          <w:p w14:paraId="067CD542" w14:textId="04305492"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6" w:type="pct"/>
            <w:tcBorders>
              <w:top w:val="single" w:sz="4" w:space="0" w:color="BFBFBF" w:themeColor="background1" w:themeShade="BF"/>
              <w:bottom w:val="nil"/>
            </w:tcBorders>
            <w:shd w:val="clear" w:color="auto" w:fill="E7E6E6" w:themeFill="background2"/>
            <w:vAlign w:val="center"/>
          </w:tcPr>
          <w:p w14:paraId="7E0DEE42" w14:textId="0737D699"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r>
      <w:tr w:rsidR="003E5832" w:rsidRPr="003F4BE5" w14:paraId="062BE1D8" w14:textId="77777777" w:rsidTr="00E002A3">
        <w:trPr>
          <w:trHeight w:val="20"/>
        </w:trPr>
        <w:tc>
          <w:tcPr>
            <w:tcW w:w="481" w:type="pct"/>
            <w:vMerge/>
            <w:shd w:val="clear" w:color="auto" w:fill="7999FF"/>
          </w:tcPr>
          <w:p w14:paraId="2C5E02F9" w14:textId="77777777" w:rsidR="00C82BFF" w:rsidRPr="0060376E" w:rsidRDefault="00C82BFF" w:rsidP="00C17651">
            <w:pPr>
              <w:pStyle w:val="Numberedtable"/>
              <w:numPr>
                <w:ilvl w:val="0"/>
                <w:numId w:val="0"/>
              </w:numPr>
              <w:rPr>
                <w:rFonts w:asciiTheme="minorHAnsi" w:hAnsiTheme="minorHAnsi" w:cstheme="minorHAnsi"/>
                <w:sz w:val="18"/>
                <w:szCs w:val="16"/>
              </w:rPr>
            </w:pPr>
          </w:p>
        </w:tc>
        <w:tc>
          <w:tcPr>
            <w:tcW w:w="3229" w:type="pct"/>
            <w:gridSpan w:val="2"/>
            <w:tcBorders>
              <w:top w:val="nil"/>
              <w:bottom w:val="nil"/>
              <w:right w:val="single" w:sz="4" w:space="0" w:color="BFBFBF" w:themeColor="background1" w:themeShade="BF"/>
            </w:tcBorders>
            <w:shd w:val="clear" w:color="auto" w:fill="E7E6E6" w:themeFill="background2"/>
          </w:tcPr>
          <w:p w14:paraId="2DA4DA1B"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rPr>
              <w:t>7. Increase child pedestrian safety</w:t>
            </w:r>
          </w:p>
        </w:tc>
        <w:tc>
          <w:tcPr>
            <w:tcW w:w="320" w:type="pct"/>
            <w:tcBorders>
              <w:top w:val="nil"/>
              <w:left w:val="single" w:sz="4" w:space="0" w:color="BFBFBF" w:themeColor="background1" w:themeShade="BF"/>
              <w:bottom w:val="nil"/>
            </w:tcBorders>
            <w:shd w:val="clear" w:color="auto" w:fill="E7E6E6" w:themeFill="background2"/>
            <w:vAlign w:val="center"/>
          </w:tcPr>
          <w:p w14:paraId="28501ADF"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4" w:type="pct"/>
            <w:tcBorders>
              <w:top w:val="nil"/>
              <w:bottom w:val="nil"/>
            </w:tcBorders>
            <w:shd w:val="clear" w:color="auto" w:fill="E7E6E6" w:themeFill="background2"/>
            <w:vAlign w:val="center"/>
          </w:tcPr>
          <w:p w14:paraId="2423A76B" w14:textId="7503F281"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6" w:type="pct"/>
            <w:tcBorders>
              <w:top w:val="nil"/>
              <w:bottom w:val="nil"/>
            </w:tcBorders>
            <w:shd w:val="clear" w:color="auto" w:fill="E7E6E6" w:themeFill="background2"/>
            <w:vAlign w:val="center"/>
          </w:tcPr>
          <w:p w14:paraId="06DA7583" w14:textId="3EAC59F5"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r>
      <w:tr w:rsidR="003E5832" w:rsidRPr="003F4BE5" w14:paraId="11615CEA" w14:textId="77777777" w:rsidTr="00E002A3">
        <w:trPr>
          <w:trHeight w:val="20"/>
        </w:trPr>
        <w:tc>
          <w:tcPr>
            <w:tcW w:w="481" w:type="pct"/>
            <w:vMerge/>
            <w:tcBorders>
              <w:bottom w:val="nil"/>
            </w:tcBorders>
            <w:shd w:val="clear" w:color="auto" w:fill="7999FF"/>
          </w:tcPr>
          <w:p w14:paraId="37FF9417" w14:textId="77777777" w:rsidR="00C82BFF" w:rsidRPr="0060376E" w:rsidRDefault="00C82BFF" w:rsidP="00C17651">
            <w:pPr>
              <w:pStyle w:val="Numberedtable"/>
              <w:numPr>
                <w:ilvl w:val="0"/>
                <w:numId w:val="0"/>
              </w:numPr>
              <w:rPr>
                <w:rFonts w:asciiTheme="minorHAnsi" w:hAnsiTheme="minorHAnsi" w:cstheme="minorHAnsi"/>
                <w:sz w:val="18"/>
                <w:szCs w:val="16"/>
              </w:rPr>
            </w:pPr>
          </w:p>
        </w:tc>
        <w:tc>
          <w:tcPr>
            <w:tcW w:w="3229" w:type="pct"/>
            <w:gridSpan w:val="2"/>
            <w:tcBorders>
              <w:top w:val="nil"/>
              <w:bottom w:val="nil"/>
              <w:right w:val="single" w:sz="4" w:space="0" w:color="BFBFBF" w:themeColor="background1" w:themeShade="BF"/>
            </w:tcBorders>
            <w:shd w:val="clear" w:color="auto" w:fill="E7E6E6" w:themeFill="background2"/>
          </w:tcPr>
          <w:p w14:paraId="62E0FEA9"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rPr>
              <w:t>8. Promote the correct use of appropriate child car seats</w:t>
            </w:r>
          </w:p>
        </w:tc>
        <w:tc>
          <w:tcPr>
            <w:tcW w:w="320" w:type="pct"/>
            <w:tcBorders>
              <w:top w:val="nil"/>
              <w:left w:val="single" w:sz="4" w:space="0" w:color="BFBFBF" w:themeColor="background1" w:themeShade="BF"/>
              <w:bottom w:val="nil"/>
            </w:tcBorders>
            <w:shd w:val="clear" w:color="auto" w:fill="E7E6E6" w:themeFill="background2"/>
            <w:vAlign w:val="center"/>
          </w:tcPr>
          <w:p w14:paraId="6C967E19" w14:textId="693D4AF4"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4" w:type="pct"/>
            <w:tcBorders>
              <w:top w:val="nil"/>
              <w:bottom w:val="nil"/>
            </w:tcBorders>
            <w:shd w:val="clear" w:color="auto" w:fill="E7E6E6" w:themeFill="background2"/>
            <w:vAlign w:val="center"/>
          </w:tcPr>
          <w:p w14:paraId="647063B7" w14:textId="17386311"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c>
          <w:tcPr>
            <w:tcW w:w="486" w:type="pct"/>
            <w:tcBorders>
              <w:top w:val="nil"/>
              <w:bottom w:val="nil"/>
            </w:tcBorders>
            <w:shd w:val="clear" w:color="auto" w:fill="E7E6E6" w:themeFill="background2"/>
            <w:vAlign w:val="center"/>
          </w:tcPr>
          <w:p w14:paraId="46AE4D34" w14:textId="337B2B49" w:rsidR="00C82BFF" w:rsidRPr="0060376E" w:rsidRDefault="00C82BFF" w:rsidP="00C17651">
            <w:pPr>
              <w:jc w:val="center"/>
              <w:rPr>
                <w:rFonts w:cstheme="minorHAnsi"/>
                <w:b/>
                <w:sz w:val="18"/>
                <w:szCs w:val="16"/>
              </w:rPr>
            </w:pPr>
            <w:r w:rsidRPr="0060376E">
              <w:rPr>
                <w:rFonts w:cstheme="minorHAnsi"/>
                <w:b/>
                <w:sz w:val="18"/>
                <w:szCs w:val="16"/>
              </w:rPr>
              <w:sym w:font="Wingdings" w:char="F0FC"/>
            </w:r>
          </w:p>
        </w:tc>
      </w:tr>
      <w:tr w:rsidR="003E5832" w:rsidRPr="003F4BE5" w14:paraId="0A8C170D" w14:textId="77777777" w:rsidTr="00E002A3">
        <w:trPr>
          <w:trHeight w:val="20"/>
        </w:trPr>
        <w:tc>
          <w:tcPr>
            <w:tcW w:w="481" w:type="pct"/>
            <w:tcBorders>
              <w:top w:val="nil"/>
              <w:bottom w:val="single" w:sz="4" w:space="0" w:color="BFBFBF" w:themeColor="background1" w:themeShade="BF"/>
            </w:tcBorders>
          </w:tcPr>
          <w:p w14:paraId="1C6C46B7" w14:textId="77777777" w:rsidR="003E5832" w:rsidRPr="003F4BE5" w:rsidRDefault="003E5832" w:rsidP="00C17651">
            <w:pPr>
              <w:pStyle w:val="Numberedtable"/>
              <w:numPr>
                <w:ilvl w:val="0"/>
                <w:numId w:val="0"/>
              </w:numPr>
              <w:rPr>
                <w:rFonts w:asciiTheme="minorHAnsi" w:hAnsiTheme="minorHAnsi" w:cstheme="minorHAnsi"/>
                <w:b w:val="0"/>
                <w:sz w:val="18"/>
                <w:szCs w:val="16"/>
              </w:rPr>
            </w:pPr>
            <w:proofErr w:type="spellStart"/>
            <w:r w:rsidRPr="003F4BE5">
              <w:rPr>
                <w:rFonts w:asciiTheme="minorHAnsi" w:hAnsiTheme="minorHAnsi" w:cstheme="minorHAnsi"/>
                <w:b w:val="0"/>
                <w:sz w:val="18"/>
                <w:szCs w:val="16"/>
              </w:rPr>
              <w:t>Babies+children</w:t>
            </w:r>
            <w:proofErr w:type="spellEnd"/>
          </w:p>
          <w:p w14:paraId="2465ED14" w14:textId="5F167324"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Youth</w:t>
            </w:r>
          </w:p>
          <w:p w14:paraId="7544E92F"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 xml:space="preserve">Adults </w:t>
            </w:r>
          </w:p>
          <w:p w14:paraId="6FB2B6DE"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b w:val="0"/>
                <w:sz w:val="18"/>
                <w:szCs w:val="16"/>
              </w:rPr>
              <w:t>Older adults</w:t>
            </w:r>
          </w:p>
        </w:tc>
        <w:tc>
          <w:tcPr>
            <w:tcW w:w="308" w:type="pct"/>
            <w:tcBorders>
              <w:top w:val="nil"/>
              <w:bottom w:val="single" w:sz="4" w:space="0" w:color="BFBFBF" w:themeColor="background1" w:themeShade="BF"/>
            </w:tcBorders>
          </w:tcPr>
          <w:p w14:paraId="361E5A29"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4575A5F2" w14:textId="77777777" w:rsidR="00C82BFF" w:rsidRPr="0060376E" w:rsidRDefault="00C82BFF" w:rsidP="00C17651">
            <w:pPr>
              <w:rPr>
                <w:rFonts w:eastAsia="Times New Roman" w:cstheme="minorHAnsi"/>
                <w:sz w:val="18"/>
                <w:szCs w:val="20"/>
                <w:lang w:eastAsia="en-AU"/>
              </w:rPr>
            </w:pPr>
            <w:r w:rsidRPr="0060376E">
              <w:rPr>
                <w:rFonts w:cstheme="minorHAnsi"/>
                <w:sz w:val="18"/>
                <w:szCs w:val="20"/>
                <w:lang w:eastAsia="en-AU"/>
              </w:rPr>
              <w:t>State and territory departments of transport and roads (</w:t>
            </w:r>
            <w:r w:rsidRPr="0060376E">
              <w:rPr>
                <w:rFonts w:eastAsia="Times New Roman" w:cstheme="minorHAnsi"/>
                <w:sz w:val="18"/>
                <w:szCs w:val="20"/>
                <w:lang w:eastAsia="en-AU"/>
              </w:rPr>
              <w:t>State and territory departments of infrastructure, cities and regional development and health</w:t>
            </w:r>
            <w:r w:rsidRPr="0060376E">
              <w:rPr>
                <w:rFonts w:cstheme="minorHAnsi"/>
                <w:sz w:val="18"/>
                <w:szCs w:val="20"/>
                <w:lang w:eastAsia="en-AU"/>
              </w:rPr>
              <w:t>,</w:t>
            </w:r>
            <w:r w:rsidRPr="0060376E">
              <w:rPr>
                <w:rFonts w:eastAsia="Times New Roman" w:cstheme="minorHAnsi"/>
                <w:sz w:val="18"/>
                <w:szCs w:val="20"/>
                <w:lang w:eastAsia="en-AU"/>
              </w:rPr>
              <w:t xml:space="preserve"> Police, NGOs with a core focus on young people, </w:t>
            </w:r>
            <w:r w:rsidRPr="0060376E">
              <w:rPr>
                <w:rFonts w:cstheme="minorHAnsi"/>
                <w:sz w:val="18"/>
                <w:szCs w:val="20"/>
                <w:lang w:eastAsia="en-AU"/>
              </w:rPr>
              <w:t xml:space="preserve">alcohol and other drug council of Australia, AOD information and treatment services, youth focused not-for-profit organisations, </w:t>
            </w:r>
            <w:r w:rsidRPr="0060376E">
              <w:rPr>
                <w:rFonts w:cstheme="minorHAnsi"/>
                <w:sz w:val="18"/>
                <w:szCs w:val="20"/>
              </w:rPr>
              <w:t>National Drug Driving Working Group</w:t>
            </w:r>
            <w:r w:rsidRPr="0060376E">
              <w:rPr>
                <w:rStyle w:val="Hyperlink"/>
                <w:rFonts w:cstheme="minorHAnsi"/>
                <w:sz w:val="18"/>
                <w:szCs w:val="20"/>
              </w:rPr>
              <w:t xml:space="preserve">, </w:t>
            </w:r>
            <w:r w:rsidRPr="0060376E">
              <w:rPr>
                <w:rFonts w:cstheme="minorHAnsi"/>
                <w:sz w:val="18"/>
                <w:szCs w:val="20"/>
                <w:lang w:eastAsia="en-AU"/>
              </w:rPr>
              <w:t>PHNs)</w:t>
            </w:r>
          </w:p>
        </w:tc>
        <w:tc>
          <w:tcPr>
            <w:tcW w:w="320" w:type="pct"/>
            <w:tcBorders>
              <w:top w:val="nil"/>
              <w:left w:val="single" w:sz="4" w:space="0" w:color="BFBFBF" w:themeColor="background1" w:themeShade="BF"/>
              <w:bottom w:val="single" w:sz="4" w:space="0" w:color="BFBFBF" w:themeColor="background1" w:themeShade="BF"/>
            </w:tcBorders>
          </w:tcPr>
          <w:p w14:paraId="4D6C0097" w14:textId="77777777" w:rsidR="00C82BFF" w:rsidRPr="0060376E" w:rsidRDefault="00C82BFF" w:rsidP="00C17651">
            <w:pPr>
              <w:jc w:val="center"/>
              <w:rPr>
                <w:rFonts w:cstheme="minorHAnsi"/>
                <w:sz w:val="18"/>
                <w:szCs w:val="20"/>
                <w:lang w:eastAsia="en-AU"/>
              </w:rPr>
            </w:pPr>
            <w:r w:rsidRPr="0060376E">
              <w:rPr>
                <w:rFonts w:cstheme="minorHAnsi"/>
                <w:sz w:val="18"/>
                <w:szCs w:val="20"/>
                <w:lang w:eastAsia="en-AU"/>
              </w:rPr>
              <w:t>ACCOs, ACCHOs</w:t>
            </w:r>
          </w:p>
        </w:tc>
        <w:tc>
          <w:tcPr>
            <w:tcW w:w="484" w:type="pct"/>
            <w:tcBorders>
              <w:top w:val="nil"/>
              <w:bottom w:val="single" w:sz="4" w:space="0" w:color="BFBFBF" w:themeColor="background1" w:themeShade="BF"/>
            </w:tcBorders>
          </w:tcPr>
          <w:p w14:paraId="435F8C3A" w14:textId="77777777" w:rsidR="00C82BFF" w:rsidRPr="0060376E" w:rsidRDefault="00C82BFF" w:rsidP="00C17651">
            <w:pPr>
              <w:jc w:val="center"/>
              <w:rPr>
                <w:rFonts w:cstheme="minorHAnsi"/>
                <w:sz w:val="18"/>
                <w:szCs w:val="20"/>
                <w:lang w:eastAsia="en-AU"/>
              </w:rPr>
            </w:pPr>
            <w:r w:rsidRPr="0060376E">
              <w:rPr>
                <w:rFonts w:cstheme="minorHAnsi"/>
                <w:sz w:val="18"/>
                <w:szCs w:val="20"/>
                <w:lang w:eastAsia="en-AU"/>
              </w:rPr>
              <w:t>Rural Health Services</w:t>
            </w:r>
          </w:p>
        </w:tc>
        <w:tc>
          <w:tcPr>
            <w:tcW w:w="486" w:type="pct"/>
            <w:tcBorders>
              <w:top w:val="nil"/>
              <w:bottom w:val="single" w:sz="4" w:space="0" w:color="BFBFBF" w:themeColor="background1" w:themeShade="BF"/>
            </w:tcBorders>
          </w:tcPr>
          <w:p w14:paraId="43937213" w14:textId="77777777" w:rsidR="00C82BFF" w:rsidRPr="0060376E" w:rsidRDefault="00C82BFF" w:rsidP="00C17651">
            <w:pPr>
              <w:jc w:val="center"/>
              <w:rPr>
                <w:rFonts w:cstheme="minorHAnsi"/>
                <w:sz w:val="18"/>
                <w:szCs w:val="20"/>
                <w:lang w:eastAsia="en-AU"/>
              </w:rPr>
            </w:pPr>
            <w:r w:rsidRPr="0060376E">
              <w:rPr>
                <w:rFonts w:cstheme="minorHAnsi"/>
                <w:sz w:val="18"/>
                <w:szCs w:val="20"/>
                <w:lang w:eastAsia="en-AU"/>
              </w:rPr>
              <w:t>Social services</w:t>
            </w:r>
          </w:p>
        </w:tc>
      </w:tr>
      <w:tr w:rsidR="00C17651" w:rsidRPr="003F4BE5" w14:paraId="4F8B89FA" w14:textId="77777777" w:rsidTr="00E002A3">
        <w:trPr>
          <w:trHeight w:val="20"/>
        </w:trPr>
        <w:tc>
          <w:tcPr>
            <w:tcW w:w="481" w:type="pct"/>
            <w:vMerge w:val="restart"/>
            <w:tcBorders>
              <w:top w:val="single" w:sz="4" w:space="0" w:color="BFBFBF" w:themeColor="background1" w:themeShade="BF"/>
            </w:tcBorders>
            <w:shd w:val="clear" w:color="auto" w:fill="28659C"/>
          </w:tcPr>
          <w:p w14:paraId="3B5D0086" w14:textId="77777777" w:rsidR="00C17651" w:rsidRPr="0060376E" w:rsidRDefault="00C17651" w:rsidP="00C17651">
            <w:pPr>
              <w:pStyle w:val="Numberedtable"/>
              <w:numPr>
                <w:ilvl w:val="0"/>
                <w:numId w:val="0"/>
              </w:numPr>
              <w:rPr>
                <w:rFonts w:asciiTheme="minorHAnsi" w:hAnsiTheme="minorHAnsi" w:cstheme="minorHAnsi"/>
                <w:b w:val="0"/>
                <w:i/>
                <w:sz w:val="18"/>
                <w:szCs w:val="16"/>
              </w:rPr>
            </w:pPr>
            <w:r w:rsidRPr="002F4B2C">
              <w:rPr>
                <w:rFonts w:asciiTheme="minorHAnsi" w:hAnsiTheme="minorHAnsi" w:cstheme="minorHAnsi"/>
                <w:color w:val="FFFFFF" w:themeColor="background1"/>
                <w:sz w:val="18"/>
                <w:szCs w:val="16"/>
              </w:rPr>
              <w:t xml:space="preserve">Homicide and violence </w:t>
            </w:r>
            <w:r w:rsidRPr="002F4B2C">
              <w:rPr>
                <w:rFonts w:asciiTheme="minorHAnsi" w:hAnsiTheme="minorHAnsi" w:cstheme="minorHAnsi"/>
                <w:b w:val="0"/>
                <w:i/>
                <w:color w:val="FFFFFF" w:themeColor="background1"/>
                <w:sz w:val="18"/>
                <w:szCs w:val="16"/>
              </w:rPr>
              <w:t xml:space="preserve"> </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79E9F45C" w14:textId="4B99DAA6" w:rsidR="00C17651" w:rsidRPr="0060376E" w:rsidRDefault="00C17651"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rPr>
              <w:t>10. Increase primary prevention of violence and equitable access to timely, appropriate and affordable care</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1F506BE7" w14:textId="3F1D5DCC" w:rsidR="00C17651" w:rsidRPr="0060376E" w:rsidRDefault="00C17651"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single" w:sz="4" w:space="0" w:color="BFBFBF" w:themeColor="background1" w:themeShade="BF"/>
              <w:bottom w:val="nil"/>
            </w:tcBorders>
            <w:shd w:val="clear" w:color="auto" w:fill="E7E6E6" w:themeFill="background2"/>
            <w:vAlign w:val="center"/>
          </w:tcPr>
          <w:p w14:paraId="6B4847C5" w14:textId="77777777" w:rsidR="00C17651" w:rsidRPr="0060376E" w:rsidRDefault="00C17651" w:rsidP="00C17651">
            <w:pPr>
              <w:pStyle w:val="Numberedtable"/>
              <w:numPr>
                <w:ilvl w:val="0"/>
                <w:numId w:val="0"/>
              </w:numPr>
              <w:jc w:val="center"/>
              <w:rPr>
                <w:rFonts w:asciiTheme="minorHAnsi" w:hAnsiTheme="minorHAnsi" w:cstheme="minorHAnsi"/>
                <w:sz w:val="18"/>
                <w:szCs w:val="16"/>
              </w:rPr>
            </w:pPr>
          </w:p>
        </w:tc>
        <w:tc>
          <w:tcPr>
            <w:tcW w:w="486" w:type="pct"/>
            <w:tcBorders>
              <w:top w:val="single" w:sz="4" w:space="0" w:color="BFBFBF" w:themeColor="background1" w:themeShade="BF"/>
              <w:bottom w:val="nil"/>
            </w:tcBorders>
            <w:shd w:val="clear" w:color="auto" w:fill="E7E6E6" w:themeFill="background2"/>
            <w:vAlign w:val="center"/>
          </w:tcPr>
          <w:p w14:paraId="4EF63C03" w14:textId="77777777" w:rsidR="00C17651" w:rsidRPr="0060376E" w:rsidRDefault="00C17651" w:rsidP="00C17651">
            <w:pPr>
              <w:pStyle w:val="Numberedtable"/>
              <w:numPr>
                <w:ilvl w:val="0"/>
                <w:numId w:val="0"/>
              </w:numPr>
              <w:jc w:val="center"/>
              <w:rPr>
                <w:rFonts w:asciiTheme="minorHAnsi" w:hAnsiTheme="minorHAnsi" w:cstheme="minorHAnsi"/>
                <w:sz w:val="18"/>
                <w:szCs w:val="16"/>
              </w:rPr>
            </w:pPr>
          </w:p>
        </w:tc>
      </w:tr>
      <w:tr w:rsidR="00C17651" w:rsidRPr="003F4BE5" w14:paraId="56F729A7" w14:textId="77777777" w:rsidTr="00E002A3">
        <w:trPr>
          <w:trHeight w:val="20"/>
        </w:trPr>
        <w:tc>
          <w:tcPr>
            <w:tcW w:w="481" w:type="pct"/>
            <w:vMerge/>
            <w:tcBorders>
              <w:bottom w:val="nil"/>
            </w:tcBorders>
            <w:shd w:val="clear" w:color="auto" w:fill="28659C"/>
          </w:tcPr>
          <w:p w14:paraId="78AB9493" w14:textId="77777777" w:rsidR="00C17651" w:rsidRPr="0060376E" w:rsidRDefault="00C17651" w:rsidP="00C17651">
            <w:pPr>
              <w:pStyle w:val="Numberedtable"/>
              <w:numPr>
                <w:ilvl w:val="0"/>
                <w:numId w:val="0"/>
              </w:numPr>
              <w:rPr>
                <w:rFonts w:asciiTheme="minorHAnsi" w:hAnsiTheme="minorHAnsi" w:cstheme="minorHAnsi"/>
                <w:sz w:val="18"/>
                <w:szCs w:val="16"/>
              </w:rPr>
            </w:pPr>
          </w:p>
        </w:tc>
        <w:tc>
          <w:tcPr>
            <w:tcW w:w="3229" w:type="pct"/>
            <w:gridSpan w:val="2"/>
            <w:tcBorders>
              <w:top w:val="nil"/>
              <w:bottom w:val="nil"/>
              <w:right w:val="single" w:sz="4" w:space="0" w:color="BFBFBF" w:themeColor="background1" w:themeShade="BF"/>
            </w:tcBorders>
            <w:shd w:val="clear" w:color="auto" w:fill="E7E6E6" w:themeFill="background2"/>
          </w:tcPr>
          <w:p w14:paraId="696FC310" w14:textId="705455DA" w:rsidR="00C17651" w:rsidRPr="0060376E" w:rsidRDefault="00C17651"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rPr>
              <w:t xml:space="preserve">11. Reduced the prevalence and impact of violence </w:t>
            </w:r>
          </w:p>
        </w:tc>
        <w:tc>
          <w:tcPr>
            <w:tcW w:w="320" w:type="pct"/>
            <w:tcBorders>
              <w:top w:val="nil"/>
              <w:left w:val="single" w:sz="4" w:space="0" w:color="BFBFBF" w:themeColor="background1" w:themeShade="BF"/>
              <w:bottom w:val="nil"/>
            </w:tcBorders>
            <w:shd w:val="clear" w:color="auto" w:fill="E7E6E6" w:themeFill="background2"/>
            <w:vAlign w:val="center"/>
          </w:tcPr>
          <w:p w14:paraId="7F9B19CC" w14:textId="64A428A9" w:rsidR="00C17651" w:rsidRPr="0060376E" w:rsidRDefault="00C17651"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nil"/>
              <w:bottom w:val="nil"/>
            </w:tcBorders>
            <w:shd w:val="clear" w:color="auto" w:fill="E7E6E6" w:themeFill="background2"/>
            <w:vAlign w:val="center"/>
          </w:tcPr>
          <w:p w14:paraId="7C3990E8" w14:textId="77777777" w:rsidR="00C17651" w:rsidRPr="0060376E" w:rsidRDefault="00C17651" w:rsidP="00C17651">
            <w:pPr>
              <w:pStyle w:val="Numberedtable"/>
              <w:numPr>
                <w:ilvl w:val="0"/>
                <w:numId w:val="0"/>
              </w:numPr>
              <w:jc w:val="center"/>
              <w:rPr>
                <w:rFonts w:asciiTheme="minorHAnsi" w:hAnsiTheme="minorHAnsi" w:cstheme="minorHAnsi"/>
                <w:sz w:val="18"/>
                <w:szCs w:val="16"/>
              </w:rPr>
            </w:pPr>
          </w:p>
        </w:tc>
        <w:tc>
          <w:tcPr>
            <w:tcW w:w="486" w:type="pct"/>
            <w:tcBorders>
              <w:top w:val="nil"/>
              <w:bottom w:val="nil"/>
            </w:tcBorders>
            <w:shd w:val="clear" w:color="auto" w:fill="E7E6E6" w:themeFill="background2"/>
            <w:vAlign w:val="center"/>
          </w:tcPr>
          <w:p w14:paraId="47790067" w14:textId="77777777" w:rsidR="00C17651" w:rsidRPr="0060376E" w:rsidRDefault="00C17651" w:rsidP="00C17651">
            <w:pPr>
              <w:pStyle w:val="Numberedtable"/>
              <w:numPr>
                <w:ilvl w:val="0"/>
                <w:numId w:val="0"/>
              </w:numPr>
              <w:jc w:val="center"/>
              <w:rPr>
                <w:rFonts w:asciiTheme="minorHAnsi" w:hAnsiTheme="minorHAnsi" w:cstheme="minorHAnsi"/>
                <w:sz w:val="18"/>
                <w:szCs w:val="16"/>
              </w:rPr>
            </w:pPr>
          </w:p>
        </w:tc>
      </w:tr>
      <w:tr w:rsidR="003E5832" w:rsidRPr="003F4BE5" w14:paraId="7C1A8B5F" w14:textId="77777777" w:rsidTr="00E002A3">
        <w:trPr>
          <w:trHeight w:val="20"/>
        </w:trPr>
        <w:tc>
          <w:tcPr>
            <w:tcW w:w="481" w:type="pct"/>
            <w:tcBorders>
              <w:top w:val="nil"/>
              <w:bottom w:val="single" w:sz="4" w:space="0" w:color="BFBFBF" w:themeColor="background1" w:themeShade="BF"/>
            </w:tcBorders>
          </w:tcPr>
          <w:p w14:paraId="2C1ED238" w14:textId="77777777" w:rsidR="003E5832" w:rsidRPr="003F4BE5" w:rsidRDefault="003E5832" w:rsidP="00C17651">
            <w:pPr>
              <w:pStyle w:val="Numberedtable"/>
              <w:numPr>
                <w:ilvl w:val="0"/>
                <w:numId w:val="0"/>
              </w:numPr>
              <w:rPr>
                <w:rFonts w:asciiTheme="minorHAnsi" w:hAnsiTheme="minorHAnsi" w:cstheme="minorHAnsi"/>
                <w:b w:val="0"/>
                <w:sz w:val="18"/>
                <w:szCs w:val="16"/>
              </w:rPr>
            </w:pPr>
            <w:proofErr w:type="spellStart"/>
            <w:r w:rsidRPr="003F4BE5">
              <w:rPr>
                <w:rFonts w:asciiTheme="minorHAnsi" w:hAnsiTheme="minorHAnsi" w:cstheme="minorHAnsi"/>
                <w:b w:val="0"/>
                <w:sz w:val="18"/>
                <w:szCs w:val="16"/>
              </w:rPr>
              <w:t>Babies+children</w:t>
            </w:r>
            <w:proofErr w:type="spellEnd"/>
          </w:p>
          <w:p w14:paraId="0021F593"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 xml:space="preserve">Adults </w:t>
            </w:r>
          </w:p>
          <w:p w14:paraId="31D6C53F"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b w:val="0"/>
                <w:sz w:val="18"/>
                <w:szCs w:val="16"/>
              </w:rPr>
              <w:t>Older adults</w:t>
            </w:r>
          </w:p>
        </w:tc>
        <w:tc>
          <w:tcPr>
            <w:tcW w:w="308" w:type="pct"/>
            <w:tcBorders>
              <w:top w:val="nil"/>
              <w:bottom w:val="single" w:sz="4" w:space="0" w:color="BFBFBF" w:themeColor="background1" w:themeShade="BF"/>
            </w:tcBorders>
          </w:tcPr>
          <w:p w14:paraId="1759C840"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6A63F040" w14:textId="2D1E775B" w:rsidR="00C82BFF" w:rsidRPr="0060376E" w:rsidRDefault="00C82BFF" w:rsidP="00C17651">
            <w:pPr>
              <w:rPr>
                <w:rFonts w:eastAsia="Times New Roman" w:cstheme="minorHAnsi"/>
                <w:sz w:val="18"/>
                <w:szCs w:val="14"/>
                <w:lang w:eastAsia="en-AU"/>
              </w:rPr>
            </w:pPr>
            <w:r w:rsidRPr="0060376E">
              <w:rPr>
                <w:rFonts w:eastAsia="Times New Roman" w:cstheme="minorHAnsi"/>
                <w:sz w:val="18"/>
                <w:szCs w:val="14"/>
                <w:lang w:eastAsia="en-AU"/>
              </w:rPr>
              <w:t>State and territory departments of health (State and territory Departments of Education, primary healthcare, schools, Department of Social Services, Local government, Kidsafe</w:t>
            </w:r>
            <w:r w:rsidR="005F0EB6">
              <w:rPr>
                <w:rFonts w:eastAsia="Times New Roman" w:cstheme="minorHAnsi"/>
                <w:sz w:val="18"/>
                <w:szCs w:val="14"/>
                <w:lang w:eastAsia="en-AU"/>
              </w:rPr>
              <w:t>,</w:t>
            </w:r>
            <w:r w:rsidRPr="0060376E">
              <w:rPr>
                <w:rFonts w:eastAsia="Times New Roman" w:cstheme="minorHAnsi"/>
                <w:sz w:val="18"/>
                <w:szCs w:val="14"/>
                <w:lang w:eastAsia="en-AU"/>
              </w:rPr>
              <w:t xml:space="preserve"> ECHC, </w:t>
            </w:r>
            <w:r w:rsidRPr="0060376E">
              <w:rPr>
                <w:rFonts w:cstheme="minorHAnsi"/>
                <w:sz w:val="18"/>
                <w:szCs w:val="14"/>
                <w:lang w:eastAsia="en-AU"/>
              </w:rPr>
              <w:t>primary healthcare, NGOs with a focus on women’s health and safety, antenatal educators, police, residential care facilities</w:t>
            </w:r>
            <w:r w:rsidRPr="0060376E">
              <w:rPr>
                <w:rFonts w:eastAsia="Times New Roman" w:cstheme="minorHAnsi"/>
                <w:sz w:val="18"/>
                <w:szCs w:val="14"/>
                <w:lang w:eastAsia="en-AU"/>
              </w:rPr>
              <w:t>)</w:t>
            </w:r>
          </w:p>
        </w:tc>
        <w:tc>
          <w:tcPr>
            <w:tcW w:w="320" w:type="pct"/>
            <w:tcBorders>
              <w:top w:val="nil"/>
              <w:left w:val="single" w:sz="4" w:space="0" w:color="BFBFBF" w:themeColor="background1" w:themeShade="BF"/>
              <w:bottom w:val="single" w:sz="4" w:space="0" w:color="BFBFBF" w:themeColor="background1" w:themeShade="BF"/>
            </w:tcBorders>
          </w:tcPr>
          <w:p w14:paraId="1704BF83" w14:textId="77777777" w:rsidR="00C82BFF" w:rsidRPr="0060376E" w:rsidRDefault="00C82BFF" w:rsidP="00C17651">
            <w:pPr>
              <w:pStyle w:val="Numberedtable"/>
              <w:numPr>
                <w:ilvl w:val="0"/>
                <w:numId w:val="0"/>
              </w:numPr>
              <w:jc w:val="center"/>
              <w:rPr>
                <w:rFonts w:asciiTheme="minorHAnsi" w:hAnsiTheme="minorHAnsi" w:cstheme="minorHAnsi"/>
                <w:b w:val="0"/>
                <w:sz w:val="18"/>
                <w:szCs w:val="16"/>
              </w:rPr>
            </w:pPr>
            <w:r w:rsidRPr="0060376E">
              <w:rPr>
                <w:rFonts w:asciiTheme="minorHAnsi" w:hAnsiTheme="minorHAnsi" w:cstheme="minorHAnsi"/>
                <w:b w:val="0"/>
                <w:sz w:val="18"/>
                <w:szCs w:val="20"/>
                <w:lang w:eastAsia="en-AU"/>
              </w:rPr>
              <w:t>ACCOs, ACCHOs</w:t>
            </w:r>
          </w:p>
        </w:tc>
        <w:tc>
          <w:tcPr>
            <w:tcW w:w="484" w:type="pct"/>
            <w:tcBorders>
              <w:top w:val="nil"/>
              <w:bottom w:val="single" w:sz="4" w:space="0" w:color="BFBFBF" w:themeColor="background1" w:themeShade="BF"/>
            </w:tcBorders>
          </w:tcPr>
          <w:p w14:paraId="2C33CC86" w14:textId="77777777" w:rsidR="00C82BFF" w:rsidRPr="0060376E" w:rsidRDefault="00C82BFF" w:rsidP="00C17651">
            <w:pPr>
              <w:pStyle w:val="Numberedtable"/>
              <w:numPr>
                <w:ilvl w:val="0"/>
                <w:numId w:val="0"/>
              </w:numPr>
              <w:jc w:val="center"/>
              <w:rPr>
                <w:rFonts w:asciiTheme="minorHAnsi" w:hAnsiTheme="minorHAnsi" w:cstheme="minorHAnsi"/>
                <w:b w:val="0"/>
                <w:sz w:val="18"/>
                <w:szCs w:val="16"/>
              </w:rPr>
            </w:pPr>
          </w:p>
        </w:tc>
        <w:tc>
          <w:tcPr>
            <w:tcW w:w="486" w:type="pct"/>
            <w:tcBorders>
              <w:top w:val="nil"/>
              <w:bottom w:val="single" w:sz="4" w:space="0" w:color="BFBFBF" w:themeColor="background1" w:themeShade="BF"/>
            </w:tcBorders>
          </w:tcPr>
          <w:p w14:paraId="5A39F28A" w14:textId="77777777" w:rsidR="00C82BFF" w:rsidRPr="0060376E" w:rsidRDefault="00C82BFF" w:rsidP="00C17651">
            <w:pPr>
              <w:pStyle w:val="Numberedtable"/>
              <w:numPr>
                <w:ilvl w:val="0"/>
                <w:numId w:val="0"/>
              </w:numPr>
              <w:jc w:val="center"/>
              <w:rPr>
                <w:rFonts w:asciiTheme="minorHAnsi" w:hAnsiTheme="minorHAnsi" w:cstheme="minorHAnsi"/>
                <w:b w:val="0"/>
                <w:sz w:val="18"/>
                <w:szCs w:val="16"/>
              </w:rPr>
            </w:pPr>
          </w:p>
        </w:tc>
      </w:tr>
      <w:tr w:rsidR="003E5832" w:rsidRPr="003F4BE5" w14:paraId="0954765B" w14:textId="77777777" w:rsidTr="00E002A3">
        <w:trPr>
          <w:trHeight w:val="20"/>
        </w:trPr>
        <w:tc>
          <w:tcPr>
            <w:tcW w:w="481" w:type="pct"/>
            <w:tcBorders>
              <w:top w:val="single" w:sz="4" w:space="0" w:color="BFBFBF" w:themeColor="background1" w:themeShade="BF"/>
              <w:bottom w:val="nil"/>
            </w:tcBorders>
            <w:shd w:val="clear" w:color="auto" w:fill="FF9FE6"/>
          </w:tcPr>
          <w:p w14:paraId="2161A34A" w14:textId="77777777" w:rsidR="00C82BFF" w:rsidRPr="0060376E" w:rsidRDefault="00C82BFF" w:rsidP="00C17651">
            <w:pPr>
              <w:pStyle w:val="Numberedtable"/>
              <w:numPr>
                <w:ilvl w:val="0"/>
                <w:numId w:val="0"/>
              </w:numPr>
              <w:rPr>
                <w:rFonts w:asciiTheme="minorHAnsi" w:hAnsiTheme="minorHAnsi" w:cstheme="minorHAnsi"/>
                <w:b w:val="0"/>
                <w:i/>
                <w:sz w:val="18"/>
                <w:szCs w:val="16"/>
              </w:rPr>
            </w:pPr>
            <w:r w:rsidRPr="0060376E">
              <w:rPr>
                <w:rFonts w:asciiTheme="minorHAnsi" w:hAnsiTheme="minorHAnsi" w:cstheme="minorHAnsi"/>
                <w:sz w:val="18"/>
                <w:szCs w:val="16"/>
              </w:rPr>
              <w:t xml:space="preserve">Drowning </w:t>
            </w:r>
            <w:r w:rsidRPr="0060376E">
              <w:rPr>
                <w:rFonts w:asciiTheme="minorHAnsi" w:hAnsiTheme="minorHAnsi" w:cstheme="minorHAnsi"/>
                <w:b w:val="0"/>
                <w:i/>
                <w:sz w:val="18"/>
                <w:szCs w:val="16"/>
              </w:rPr>
              <w:t xml:space="preserve"> </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39C21763"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rPr>
              <w:t xml:space="preserve">13. Reduce drowning and near-drowning events </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66081212"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single" w:sz="4" w:space="0" w:color="BFBFBF" w:themeColor="background1" w:themeShade="BF"/>
              <w:bottom w:val="nil"/>
            </w:tcBorders>
            <w:shd w:val="clear" w:color="auto" w:fill="E7E6E6" w:themeFill="background2"/>
            <w:vAlign w:val="center"/>
          </w:tcPr>
          <w:p w14:paraId="5EAA25F6"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6" w:type="pct"/>
            <w:tcBorders>
              <w:top w:val="single" w:sz="4" w:space="0" w:color="BFBFBF" w:themeColor="background1" w:themeShade="BF"/>
              <w:bottom w:val="nil"/>
            </w:tcBorders>
            <w:shd w:val="clear" w:color="auto" w:fill="E7E6E6" w:themeFill="background2"/>
            <w:vAlign w:val="center"/>
          </w:tcPr>
          <w:p w14:paraId="407F3E03"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r>
      <w:tr w:rsidR="003E5832" w:rsidRPr="003F4BE5" w14:paraId="5EF5FCEC" w14:textId="77777777" w:rsidTr="00E002A3">
        <w:trPr>
          <w:trHeight w:val="20"/>
        </w:trPr>
        <w:tc>
          <w:tcPr>
            <w:tcW w:w="481" w:type="pct"/>
            <w:tcBorders>
              <w:top w:val="nil"/>
              <w:bottom w:val="single" w:sz="4" w:space="0" w:color="BFBFBF" w:themeColor="background1" w:themeShade="BF"/>
            </w:tcBorders>
          </w:tcPr>
          <w:p w14:paraId="3CEF9DAC" w14:textId="77777777" w:rsidR="00C82BFF" w:rsidRPr="0060376E" w:rsidRDefault="00C82BFF" w:rsidP="00C17651">
            <w:pPr>
              <w:pStyle w:val="Numberedtable"/>
              <w:numPr>
                <w:ilvl w:val="0"/>
                <w:numId w:val="0"/>
              </w:numPr>
              <w:rPr>
                <w:rFonts w:asciiTheme="minorHAnsi" w:hAnsiTheme="minorHAnsi" w:cstheme="minorHAnsi"/>
                <w:sz w:val="18"/>
                <w:szCs w:val="16"/>
              </w:rPr>
            </w:pPr>
            <w:proofErr w:type="spellStart"/>
            <w:r w:rsidRPr="0060376E">
              <w:rPr>
                <w:rFonts w:asciiTheme="minorHAnsi" w:hAnsiTheme="minorHAnsi" w:cstheme="minorHAnsi"/>
                <w:b w:val="0"/>
                <w:i/>
                <w:sz w:val="18"/>
                <w:szCs w:val="16"/>
              </w:rPr>
              <w:t>Babies+children</w:t>
            </w:r>
            <w:proofErr w:type="spellEnd"/>
            <w:r w:rsidRPr="0060376E">
              <w:rPr>
                <w:rFonts w:asciiTheme="minorHAnsi" w:hAnsiTheme="minorHAnsi" w:cstheme="minorHAnsi"/>
                <w:b w:val="0"/>
                <w:i/>
                <w:sz w:val="18"/>
                <w:szCs w:val="16"/>
              </w:rPr>
              <w:t xml:space="preserve"> Across the population</w:t>
            </w:r>
          </w:p>
        </w:tc>
        <w:tc>
          <w:tcPr>
            <w:tcW w:w="308" w:type="pct"/>
            <w:tcBorders>
              <w:top w:val="nil"/>
              <w:bottom w:val="single" w:sz="4" w:space="0" w:color="BFBFBF" w:themeColor="background1" w:themeShade="BF"/>
            </w:tcBorders>
          </w:tcPr>
          <w:p w14:paraId="4F8097A4"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387B7063" w14:textId="0CBA0F83" w:rsidR="003F4BE5" w:rsidRDefault="00C82BFF" w:rsidP="00C17651">
            <w:pPr>
              <w:rPr>
                <w:rFonts w:eastAsia="Times New Roman" w:cstheme="minorHAnsi"/>
                <w:sz w:val="18"/>
                <w:szCs w:val="14"/>
                <w:lang w:eastAsia="en-AU"/>
              </w:rPr>
            </w:pPr>
            <w:r w:rsidRPr="0060376E">
              <w:rPr>
                <w:rFonts w:eastAsia="Times New Roman" w:cstheme="minorHAnsi"/>
                <w:sz w:val="18"/>
                <w:szCs w:val="14"/>
                <w:lang w:eastAsia="en-AU"/>
              </w:rPr>
              <w:t xml:space="preserve">State and territory departments of health and </w:t>
            </w:r>
            <w:r w:rsidRPr="0060376E">
              <w:rPr>
                <w:rFonts w:cstheme="minorHAnsi"/>
                <w:sz w:val="18"/>
                <w:szCs w:val="14"/>
                <w:lang w:eastAsia="en-AU"/>
              </w:rPr>
              <w:t>road and marine departments</w:t>
            </w:r>
            <w:r w:rsidRPr="0060376E">
              <w:rPr>
                <w:rFonts w:eastAsia="Times New Roman" w:cstheme="minorHAnsi"/>
                <w:sz w:val="18"/>
                <w:szCs w:val="14"/>
                <w:lang w:eastAsia="en-AU"/>
              </w:rPr>
              <w:t xml:space="preserve"> (Local government, state and territory departments of sport and recreation, Kidsafe, </w:t>
            </w:r>
            <w:r w:rsidRPr="0060376E">
              <w:rPr>
                <w:rFonts w:cstheme="minorHAnsi"/>
                <w:color w:val="000000" w:themeColor="text1"/>
                <w:sz w:val="18"/>
                <w:szCs w:val="14"/>
              </w:rPr>
              <w:t>Royal Life Saving, Australian Water Safety Council, and education departments</w:t>
            </w:r>
            <w:r w:rsidRPr="0060376E">
              <w:rPr>
                <w:rFonts w:eastAsia="Times New Roman" w:cstheme="minorHAnsi"/>
                <w:sz w:val="18"/>
                <w:szCs w:val="14"/>
                <w:lang w:eastAsia="en-AU"/>
              </w:rPr>
              <w:t xml:space="preserve"> </w:t>
            </w:r>
            <w:proofErr w:type="spellStart"/>
            <w:r w:rsidRPr="0060376E">
              <w:rPr>
                <w:rFonts w:eastAsia="Times New Roman" w:cstheme="minorHAnsi"/>
                <w:sz w:val="18"/>
                <w:szCs w:val="14"/>
                <w:lang w:eastAsia="en-AU"/>
              </w:rPr>
              <w:t>FarmSafe</w:t>
            </w:r>
            <w:proofErr w:type="spellEnd"/>
            <w:r w:rsidRPr="0060376E">
              <w:rPr>
                <w:rFonts w:eastAsia="Times New Roman" w:cstheme="minorHAnsi"/>
                <w:sz w:val="18"/>
                <w:szCs w:val="14"/>
                <w:lang w:eastAsia="en-AU"/>
              </w:rPr>
              <w:t>, rural health services, police)</w:t>
            </w:r>
          </w:p>
          <w:p w14:paraId="58F1DD92" w14:textId="77777777" w:rsidR="003F4BE5" w:rsidRDefault="003F4BE5" w:rsidP="00C17651">
            <w:pPr>
              <w:rPr>
                <w:rFonts w:eastAsia="Times New Roman" w:cstheme="minorHAnsi"/>
                <w:sz w:val="18"/>
                <w:szCs w:val="14"/>
                <w:lang w:eastAsia="en-AU"/>
              </w:rPr>
            </w:pPr>
          </w:p>
          <w:p w14:paraId="13464559" w14:textId="6736B2EF" w:rsidR="003F4BE5" w:rsidRPr="0060376E" w:rsidRDefault="003F4BE5" w:rsidP="00C17651">
            <w:pPr>
              <w:rPr>
                <w:rFonts w:eastAsia="Times New Roman" w:cstheme="minorHAnsi"/>
                <w:sz w:val="18"/>
                <w:szCs w:val="14"/>
                <w:lang w:eastAsia="en-AU"/>
              </w:rPr>
            </w:pPr>
          </w:p>
        </w:tc>
        <w:tc>
          <w:tcPr>
            <w:tcW w:w="320" w:type="pct"/>
            <w:tcBorders>
              <w:top w:val="nil"/>
              <w:left w:val="single" w:sz="4" w:space="0" w:color="BFBFBF" w:themeColor="background1" w:themeShade="BF"/>
              <w:bottom w:val="single" w:sz="4" w:space="0" w:color="BFBFBF" w:themeColor="background1" w:themeShade="BF"/>
            </w:tcBorders>
          </w:tcPr>
          <w:p w14:paraId="09DF27D9" w14:textId="77777777" w:rsidR="00C82BFF" w:rsidRPr="0060376E" w:rsidRDefault="00C82BFF" w:rsidP="00C17651">
            <w:pPr>
              <w:pStyle w:val="Numberedtable"/>
              <w:numPr>
                <w:ilvl w:val="0"/>
                <w:numId w:val="0"/>
              </w:numPr>
              <w:jc w:val="center"/>
              <w:rPr>
                <w:rFonts w:asciiTheme="minorHAnsi" w:hAnsiTheme="minorHAnsi" w:cstheme="minorHAnsi"/>
                <w:b w:val="0"/>
                <w:sz w:val="18"/>
                <w:szCs w:val="16"/>
              </w:rPr>
            </w:pPr>
            <w:r w:rsidRPr="0060376E">
              <w:rPr>
                <w:rFonts w:asciiTheme="minorHAnsi" w:hAnsiTheme="minorHAnsi" w:cstheme="minorHAnsi"/>
                <w:b w:val="0"/>
                <w:sz w:val="18"/>
                <w:szCs w:val="20"/>
                <w:lang w:eastAsia="en-AU"/>
              </w:rPr>
              <w:t>ACCOs, ACCHOs</w:t>
            </w:r>
          </w:p>
        </w:tc>
        <w:tc>
          <w:tcPr>
            <w:tcW w:w="484" w:type="pct"/>
            <w:tcBorders>
              <w:top w:val="nil"/>
              <w:bottom w:val="single" w:sz="4" w:space="0" w:color="BFBFBF" w:themeColor="background1" w:themeShade="BF"/>
            </w:tcBorders>
          </w:tcPr>
          <w:p w14:paraId="5108725E" w14:textId="77777777" w:rsidR="00C82BFF" w:rsidRPr="0060376E" w:rsidRDefault="00C82BFF" w:rsidP="00C17651">
            <w:pPr>
              <w:pStyle w:val="Numberedtable"/>
              <w:numPr>
                <w:ilvl w:val="0"/>
                <w:numId w:val="0"/>
              </w:numPr>
              <w:jc w:val="center"/>
              <w:rPr>
                <w:rFonts w:asciiTheme="minorHAnsi" w:hAnsiTheme="minorHAnsi" w:cstheme="minorHAnsi"/>
                <w:b w:val="0"/>
                <w:sz w:val="18"/>
                <w:szCs w:val="16"/>
              </w:rPr>
            </w:pPr>
          </w:p>
        </w:tc>
        <w:tc>
          <w:tcPr>
            <w:tcW w:w="486" w:type="pct"/>
            <w:tcBorders>
              <w:top w:val="nil"/>
              <w:bottom w:val="single" w:sz="4" w:space="0" w:color="BFBFBF" w:themeColor="background1" w:themeShade="BF"/>
            </w:tcBorders>
          </w:tcPr>
          <w:p w14:paraId="4C186560" w14:textId="77777777" w:rsidR="00C82BFF" w:rsidRPr="0060376E" w:rsidRDefault="00C82BFF" w:rsidP="00C17651">
            <w:pPr>
              <w:pStyle w:val="Numberedtable"/>
              <w:numPr>
                <w:ilvl w:val="0"/>
                <w:numId w:val="0"/>
              </w:numPr>
              <w:jc w:val="center"/>
              <w:rPr>
                <w:rFonts w:asciiTheme="minorHAnsi" w:hAnsiTheme="minorHAnsi" w:cstheme="minorHAnsi"/>
                <w:b w:val="0"/>
                <w:sz w:val="18"/>
                <w:szCs w:val="16"/>
              </w:rPr>
            </w:pPr>
          </w:p>
        </w:tc>
      </w:tr>
      <w:tr w:rsidR="003E5832" w:rsidRPr="003F4BE5" w14:paraId="3E8D3F43" w14:textId="77777777" w:rsidTr="00E002A3">
        <w:trPr>
          <w:trHeight w:val="20"/>
        </w:trPr>
        <w:tc>
          <w:tcPr>
            <w:tcW w:w="481" w:type="pct"/>
            <w:tcBorders>
              <w:top w:val="single" w:sz="4" w:space="0" w:color="BFBFBF" w:themeColor="background1" w:themeShade="BF"/>
              <w:bottom w:val="nil"/>
            </w:tcBorders>
            <w:shd w:val="clear" w:color="auto" w:fill="C5E0B3" w:themeFill="accent6" w:themeFillTint="66"/>
          </w:tcPr>
          <w:p w14:paraId="1DF4DCE7" w14:textId="77777777" w:rsidR="00C82BFF" w:rsidRPr="0060376E" w:rsidRDefault="00C82BFF" w:rsidP="00C17651">
            <w:pPr>
              <w:pStyle w:val="Numberedtable"/>
              <w:numPr>
                <w:ilvl w:val="0"/>
                <w:numId w:val="0"/>
              </w:numPr>
              <w:rPr>
                <w:rFonts w:asciiTheme="minorHAnsi" w:hAnsiTheme="minorHAnsi" w:cstheme="minorHAnsi"/>
                <w:b w:val="0"/>
                <w:i/>
                <w:sz w:val="18"/>
                <w:szCs w:val="16"/>
              </w:rPr>
            </w:pPr>
            <w:r w:rsidRPr="0060376E">
              <w:rPr>
                <w:rFonts w:asciiTheme="minorHAnsi" w:hAnsiTheme="minorHAnsi" w:cstheme="minorHAnsi"/>
                <w:sz w:val="18"/>
                <w:szCs w:val="16"/>
              </w:rPr>
              <w:t xml:space="preserve">Sport </w:t>
            </w:r>
            <w:r w:rsidRPr="0060376E">
              <w:rPr>
                <w:rFonts w:asciiTheme="minorHAnsi" w:hAnsiTheme="minorHAnsi" w:cstheme="minorHAnsi"/>
                <w:b w:val="0"/>
                <w:i/>
                <w:sz w:val="18"/>
                <w:szCs w:val="16"/>
              </w:rPr>
              <w:t xml:space="preserve"> </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55CB445C" w14:textId="77777777" w:rsidR="00C82BFF" w:rsidRPr="0060376E" w:rsidRDefault="00C82BFF" w:rsidP="00C17651">
            <w:pPr>
              <w:pStyle w:val="Numberedtable"/>
              <w:numPr>
                <w:ilvl w:val="0"/>
                <w:numId w:val="0"/>
              </w:numPr>
              <w:rPr>
                <w:rFonts w:asciiTheme="minorHAnsi" w:hAnsiTheme="minorHAnsi" w:cstheme="minorHAnsi"/>
                <w:sz w:val="18"/>
                <w:szCs w:val="16"/>
                <w:lang w:val="en-AU"/>
              </w:rPr>
            </w:pPr>
            <w:r w:rsidRPr="0060376E">
              <w:rPr>
                <w:rFonts w:asciiTheme="minorHAnsi" w:hAnsiTheme="minorHAnsi" w:cstheme="minorHAnsi"/>
                <w:sz w:val="18"/>
                <w:szCs w:val="16"/>
              </w:rPr>
              <w:t xml:space="preserve">16. Reduce the rate and impact of sports injuries </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720A7155"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single" w:sz="4" w:space="0" w:color="BFBFBF" w:themeColor="background1" w:themeShade="BF"/>
              <w:bottom w:val="nil"/>
            </w:tcBorders>
            <w:shd w:val="clear" w:color="auto" w:fill="E7E6E6" w:themeFill="background2"/>
            <w:vAlign w:val="center"/>
          </w:tcPr>
          <w:p w14:paraId="15AACA02"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6" w:type="pct"/>
            <w:tcBorders>
              <w:top w:val="single" w:sz="4" w:space="0" w:color="BFBFBF" w:themeColor="background1" w:themeShade="BF"/>
              <w:bottom w:val="nil"/>
            </w:tcBorders>
            <w:shd w:val="clear" w:color="auto" w:fill="E7E6E6" w:themeFill="background2"/>
            <w:vAlign w:val="center"/>
          </w:tcPr>
          <w:p w14:paraId="54147994"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r>
      <w:tr w:rsidR="003E5832" w:rsidRPr="003F4BE5" w14:paraId="2304780D" w14:textId="77777777" w:rsidTr="00E002A3">
        <w:trPr>
          <w:trHeight w:val="20"/>
        </w:trPr>
        <w:tc>
          <w:tcPr>
            <w:tcW w:w="481" w:type="pct"/>
            <w:tcBorders>
              <w:top w:val="nil"/>
              <w:bottom w:val="single" w:sz="4" w:space="0" w:color="BFBFBF" w:themeColor="background1" w:themeShade="BF"/>
            </w:tcBorders>
          </w:tcPr>
          <w:p w14:paraId="14F31998" w14:textId="77777777" w:rsidR="00C82BFF" w:rsidRPr="0060376E" w:rsidRDefault="00C82BFF" w:rsidP="00C17651">
            <w:pPr>
              <w:pStyle w:val="Numberedtable"/>
              <w:numPr>
                <w:ilvl w:val="0"/>
                <w:numId w:val="0"/>
              </w:numPr>
              <w:rPr>
                <w:rFonts w:asciiTheme="minorHAnsi" w:hAnsiTheme="minorHAnsi" w:cstheme="minorHAnsi"/>
                <w:sz w:val="18"/>
                <w:szCs w:val="16"/>
              </w:rPr>
            </w:pPr>
            <w:proofErr w:type="spellStart"/>
            <w:r w:rsidRPr="0060376E">
              <w:rPr>
                <w:rFonts w:asciiTheme="minorHAnsi" w:hAnsiTheme="minorHAnsi" w:cstheme="minorHAnsi"/>
                <w:b w:val="0"/>
                <w:i/>
                <w:sz w:val="18"/>
                <w:szCs w:val="16"/>
              </w:rPr>
              <w:t>Babies+children</w:t>
            </w:r>
            <w:proofErr w:type="spellEnd"/>
            <w:r w:rsidRPr="0060376E">
              <w:rPr>
                <w:rFonts w:asciiTheme="minorHAnsi" w:hAnsiTheme="minorHAnsi" w:cstheme="minorHAnsi"/>
                <w:b w:val="0"/>
                <w:i/>
                <w:sz w:val="18"/>
                <w:szCs w:val="16"/>
              </w:rPr>
              <w:t xml:space="preserve"> Youth</w:t>
            </w:r>
          </w:p>
        </w:tc>
        <w:tc>
          <w:tcPr>
            <w:tcW w:w="308" w:type="pct"/>
            <w:tcBorders>
              <w:top w:val="nil"/>
              <w:bottom w:val="single" w:sz="4" w:space="0" w:color="BFBFBF" w:themeColor="background1" w:themeShade="BF"/>
            </w:tcBorders>
          </w:tcPr>
          <w:p w14:paraId="4D2985E1"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4D01E247" w14:textId="77777777" w:rsidR="00C82BFF" w:rsidRPr="0060376E" w:rsidRDefault="00C82BFF" w:rsidP="00C17651">
            <w:pPr>
              <w:rPr>
                <w:rFonts w:cstheme="minorHAnsi"/>
                <w:sz w:val="18"/>
                <w:szCs w:val="14"/>
              </w:rPr>
            </w:pPr>
            <w:r w:rsidRPr="0060376E">
              <w:rPr>
                <w:rFonts w:cstheme="minorHAnsi"/>
                <w:sz w:val="18"/>
                <w:szCs w:val="14"/>
                <w:lang w:eastAsia="en-AU"/>
              </w:rPr>
              <w:t xml:space="preserve">Sports Australia and peak sports bodies (Sporting associations, brain injury NGOs, Australian Institute of Sport, medical practitioners, coaching groups, local government, Sport and Recreation and Education state and territory departments, </w:t>
            </w:r>
            <w:r w:rsidRPr="0060376E">
              <w:rPr>
                <w:rFonts w:cstheme="minorHAnsi"/>
                <w:sz w:val="18"/>
                <w:szCs w:val="14"/>
              </w:rPr>
              <w:t xml:space="preserve">Department of Defence, </w:t>
            </w:r>
            <w:r w:rsidRPr="0060376E">
              <w:rPr>
                <w:rFonts w:cstheme="minorHAnsi"/>
                <w:sz w:val="18"/>
                <w:szCs w:val="14"/>
                <w:lang w:eastAsia="en-AU"/>
              </w:rPr>
              <w:t>peak sports bodies and sports medicine authorities, sporting associations, schools)</w:t>
            </w:r>
          </w:p>
        </w:tc>
        <w:tc>
          <w:tcPr>
            <w:tcW w:w="320" w:type="pct"/>
            <w:tcBorders>
              <w:top w:val="nil"/>
              <w:left w:val="single" w:sz="4" w:space="0" w:color="BFBFBF" w:themeColor="background1" w:themeShade="BF"/>
              <w:bottom w:val="single" w:sz="4" w:space="0" w:color="BFBFBF" w:themeColor="background1" w:themeShade="BF"/>
            </w:tcBorders>
          </w:tcPr>
          <w:p w14:paraId="5C5299F4" w14:textId="77777777" w:rsidR="00C82BFF" w:rsidRPr="0060376E" w:rsidRDefault="00C82BFF" w:rsidP="00C17651">
            <w:pPr>
              <w:pStyle w:val="Numberedtable"/>
              <w:numPr>
                <w:ilvl w:val="0"/>
                <w:numId w:val="0"/>
              </w:numPr>
              <w:jc w:val="center"/>
              <w:rPr>
                <w:rFonts w:asciiTheme="minorHAnsi" w:hAnsiTheme="minorHAnsi" w:cstheme="minorHAnsi"/>
                <w:b w:val="0"/>
                <w:sz w:val="18"/>
                <w:szCs w:val="16"/>
              </w:rPr>
            </w:pPr>
            <w:r w:rsidRPr="0060376E">
              <w:rPr>
                <w:rFonts w:asciiTheme="minorHAnsi" w:hAnsiTheme="minorHAnsi" w:cstheme="minorHAnsi"/>
                <w:b w:val="0"/>
                <w:sz w:val="18"/>
                <w:szCs w:val="16"/>
              </w:rPr>
              <w:t>ACCOs</w:t>
            </w:r>
          </w:p>
        </w:tc>
        <w:tc>
          <w:tcPr>
            <w:tcW w:w="484" w:type="pct"/>
            <w:tcBorders>
              <w:top w:val="nil"/>
              <w:bottom w:val="single" w:sz="4" w:space="0" w:color="BFBFBF" w:themeColor="background1" w:themeShade="BF"/>
            </w:tcBorders>
          </w:tcPr>
          <w:p w14:paraId="67E90F83"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6" w:type="pct"/>
            <w:tcBorders>
              <w:top w:val="nil"/>
              <w:bottom w:val="single" w:sz="4" w:space="0" w:color="BFBFBF" w:themeColor="background1" w:themeShade="BF"/>
            </w:tcBorders>
            <w:vAlign w:val="center"/>
          </w:tcPr>
          <w:p w14:paraId="730507AD"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r>
      <w:tr w:rsidR="002F4B2C" w:rsidRPr="003F4BE5" w14:paraId="6E344099" w14:textId="77777777" w:rsidTr="00E002A3">
        <w:trPr>
          <w:trHeight w:val="20"/>
        </w:trPr>
        <w:tc>
          <w:tcPr>
            <w:tcW w:w="481" w:type="pct"/>
            <w:vMerge w:val="restart"/>
            <w:tcBorders>
              <w:top w:val="single" w:sz="4" w:space="0" w:color="BFBFBF" w:themeColor="background1" w:themeShade="BF"/>
            </w:tcBorders>
            <w:shd w:val="clear" w:color="auto" w:fill="FFE599" w:themeFill="accent4" w:themeFillTint="66"/>
          </w:tcPr>
          <w:p w14:paraId="7D7E5C77" w14:textId="77777777" w:rsidR="002F4B2C" w:rsidRPr="0060376E" w:rsidRDefault="002F4B2C" w:rsidP="00C17651">
            <w:pPr>
              <w:pStyle w:val="Numberedtable"/>
              <w:numPr>
                <w:ilvl w:val="0"/>
                <w:numId w:val="0"/>
              </w:numPr>
              <w:rPr>
                <w:rFonts w:asciiTheme="minorHAnsi" w:hAnsiTheme="minorHAnsi" w:cstheme="minorHAnsi"/>
                <w:b w:val="0"/>
                <w:i/>
                <w:sz w:val="18"/>
                <w:szCs w:val="16"/>
              </w:rPr>
            </w:pPr>
            <w:r w:rsidRPr="0060376E">
              <w:rPr>
                <w:rFonts w:asciiTheme="minorHAnsi" w:hAnsiTheme="minorHAnsi" w:cstheme="minorHAnsi"/>
                <w:sz w:val="18"/>
                <w:szCs w:val="16"/>
              </w:rPr>
              <w:t>Determinants of injury</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73AE47F3" w14:textId="77777777" w:rsidR="002F4B2C" w:rsidRPr="0060376E" w:rsidRDefault="002F4B2C" w:rsidP="00C17651">
            <w:pPr>
              <w:pStyle w:val="Numberedtable"/>
              <w:numPr>
                <w:ilvl w:val="0"/>
                <w:numId w:val="0"/>
              </w:numPr>
              <w:rPr>
                <w:rFonts w:asciiTheme="minorHAnsi" w:hAnsiTheme="minorHAnsi" w:cstheme="minorHAnsi"/>
                <w:sz w:val="18"/>
                <w:szCs w:val="16"/>
                <w:lang w:val="en-AU"/>
              </w:rPr>
            </w:pPr>
            <w:r w:rsidRPr="0060376E">
              <w:rPr>
                <w:rFonts w:asciiTheme="minorHAnsi" w:hAnsiTheme="minorHAnsi" w:cstheme="minorHAnsi"/>
                <w:sz w:val="18"/>
                <w:szCs w:val="16"/>
              </w:rPr>
              <w:t xml:space="preserve">17. Increase the proportion of families accessing services relevant to the first 2000 days of life. </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000B25E6" w14:textId="53CD904E" w:rsidR="002F4B2C" w:rsidRPr="0060376E" w:rsidRDefault="002F4B2C"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single" w:sz="4" w:space="0" w:color="BFBFBF" w:themeColor="background1" w:themeShade="BF"/>
              <w:bottom w:val="nil"/>
            </w:tcBorders>
            <w:shd w:val="clear" w:color="auto" w:fill="E7E6E6" w:themeFill="background2"/>
            <w:vAlign w:val="center"/>
          </w:tcPr>
          <w:p w14:paraId="46B99C54" w14:textId="77777777" w:rsidR="002F4B2C" w:rsidRPr="0060376E" w:rsidRDefault="002F4B2C" w:rsidP="00C17651">
            <w:pPr>
              <w:pStyle w:val="Numberedtable"/>
              <w:numPr>
                <w:ilvl w:val="0"/>
                <w:numId w:val="0"/>
              </w:numPr>
              <w:jc w:val="center"/>
              <w:rPr>
                <w:rFonts w:asciiTheme="minorHAnsi" w:hAnsiTheme="minorHAnsi" w:cstheme="minorHAnsi"/>
                <w:sz w:val="18"/>
                <w:szCs w:val="16"/>
              </w:rPr>
            </w:pPr>
          </w:p>
        </w:tc>
        <w:tc>
          <w:tcPr>
            <w:tcW w:w="486" w:type="pct"/>
            <w:tcBorders>
              <w:top w:val="single" w:sz="4" w:space="0" w:color="BFBFBF" w:themeColor="background1" w:themeShade="BF"/>
              <w:bottom w:val="nil"/>
            </w:tcBorders>
            <w:shd w:val="clear" w:color="auto" w:fill="E7E6E6" w:themeFill="background2"/>
            <w:vAlign w:val="center"/>
          </w:tcPr>
          <w:p w14:paraId="59AF3010" w14:textId="77777777" w:rsidR="002F4B2C" w:rsidRPr="0060376E" w:rsidRDefault="002F4B2C" w:rsidP="00C17651">
            <w:pPr>
              <w:pStyle w:val="Numberedtable"/>
              <w:numPr>
                <w:ilvl w:val="0"/>
                <w:numId w:val="0"/>
              </w:numPr>
              <w:jc w:val="center"/>
              <w:rPr>
                <w:rFonts w:asciiTheme="minorHAnsi" w:hAnsiTheme="minorHAnsi" w:cstheme="minorHAnsi"/>
                <w:sz w:val="18"/>
                <w:szCs w:val="16"/>
              </w:rPr>
            </w:pPr>
          </w:p>
        </w:tc>
      </w:tr>
      <w:tr w:rsidR="002F4B2C" w:rsidRPr="003F4BE5" w14:paraId="1D68D8E9" w14:textId="77777777" w:rsidTr="00E002A3">
        <w:trPr>
          <w:trHeight w:val="20"/>
        </w:trPr>
        <w:tc>
          <w:tcPr>
            <w:tcW w:w="481" w:type="pct"/>
            <w:vMerge/>
            <w:shd w:val="clear" w:color="auto" w:fill="FFE599" w:themeFill="accent4" w:themeFillTint="66"/>
          </w:tcPr>
          <w:p w14:paraId="4387F108" w14:textId="77777777" w:rsidR="002F4B2C" w:rsidRPr="0060376E" w:rsidRDefault="002F4B2C" w:rsidP="00C17651">
            <w:pPr>
              <w:pStyle w:val="Numberedtable"/>
              <w:numPr>
                <w:ilvl w:val="0"/>
                <w:numId w:val="0"/>
              </w:numPr>
              <w:rPr>
                <w:rFonts w:asciiTheme="minorHAnsi" w:hAnsiTheme="minorHAnsi" w:cstheme="minorHAnsi"/>
                <w:sz w:val="18"/>
                <w:szCs w:val="16"/>
              </w:rPr>
            </w:pPr>
          </w:p>
        </w:tc>
        <w:tc>
          <w:tcPr>
            <w:tcW w:w="3229" w:type="pct"/>
            <w:gridSpan w:val="2"/>
            <w:tcBorders>
              <w:top w:val="nil"/>
              <w:bottom w:val="nil"/>
              <w:right w:val="single" w:sz="4" w:space="0" w:color="BFBFBF" w:themeColor="background1" w:themeShade="BF"/>
            </w:tcBorders>
            <w:shd w:val="clear" w:color="auto" w:fill="E7E6E6" w:themeFill="background2"/>
          </w:tcPr>
          <w:p w14:paraId="51368ECE" w14:textId="77777777" w:rsidR="002F4B2C" w:rsidRPr="0060376E" w:rsidRDefault="002F4B2C"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rPr>
              <w:t>18. Increase proportion of children living in supportive home environments</w:t>
            </w:r>
          </w:p>
        </w:tc>
        <w:tc>
          <w:tcPr>
            <w:tcW w:w="320" w:type="pct"/>
            <w:tcBorders>
              <w:top w:val="nil"/>
              <w:left w:val="single" w:sz="4" w:space="0" w:color="BFBFBF" w:themeColor="background1" w:themeShade="BF"/>
              <w:bottom w:val="nil"/>
            </w:tcBorders>
            <w:shd w:val="clear" w:color="auto" w:fill="E7E6E6" w:themeFill="background2"/>
            <w:vAlign w:val="center"/>
          </w:tcPr>
          <w:p w14:paraId="351158F1" w14:textId="1025E378" w:rsidR="002F4B2C" w:rsidRPr="0060376E" w:rsidRDefault="002F4B2C"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nil"/>
              <w:bottom w:val="nil"/>
            </w:tcBorders>
            <w:shd w:val="clear" w:color="auto" w:fill="E7E6E6" w:themeFill="background2"/>
            <w:vAlign w:val="center"/>
          </w:tcPr>
          <w:p w14:paraId="758DE2CD" w14:textId="77777777" w:rsidR="002F4B2C" w:rsidRPr="0060376E" w:rsidRDefault="002F4B2C" w:rsidP="00C17651">
            <w:pPr>
              <w:pStyle w:val="Numberedtable"/>
              <w:numPr>
                <w:ilvl w:val="0"/>
                <w:numId w:val="0"/>
              </w:numPr>
              <w:jc w:val="center"/>
              <w:rPr>
                <w:rFonts w:asciiTheme="minorHAnsi" w:hAnsiTheme="minorHAnsi" w:cstheme="minorHAnsi"/>
                <w:sz w:val="18"/>
                <w:szCs w:val="16"/>
              </w:rPr>
            </w:pPr>
          </w:p>
        </w:tc>
        <w:tc>
          <w:tcPr>
            <w:tcW w:w="486" w:type="pct"/>
            <w:tcBorders>
              <w:top w:val="nil"/>
              <w:bottom w:val="nil"/>
            </w:tcBorders>
            <w:shd w:val="clear" w:color="auto" w:fill="E7E6E6" w:themeFill="background2"/>
            <w:vAlign w:val="center"/>
          </w:tcPr>
          <w:p w14:paraId="5F42B6BA" w14:textId="77777777" w:rsidR="002F4B2C" w:rsidRPr="0060376E" w:rsidRDefault="002F4B2C" w:rsidP="00C17651">
            <w:pPr>
              <w:pStyle w:val="Numberedtable"/>
              <w:numPr>
                <w:ilvl w:val="0"/>
                <w:numId w:val="0"/>
              </w:numPr>
              <w:jc w:val="center"/>
              <w:rPr>
                <w:rFonts w:asciiTheme="minorHAnsi" w:hAnsiTheme="minorHAnsi" w:cstheme="minorHAnsi"/>
                <w:sz w:val="18"/>
                <w:szCs w:val="16"/>
              </w:rPr>
            </w:pPr>
          </w:p>
        </w:tc>
      </w:tr>
      <w:tr w:rsidR="002F4B2C" w:rsidRPr="003F4BE5" w14:paraId="6D416496" w14:textId="77777777" w:rsidTr="00E002A3">
        <w:trPr>
          <w:trHeight w:val="20"/>
        </w:trPr>
        <w:tc>
          <w:tcPr>
            <w:tcW w:w="481" w:type="pct"/>
            <w:vMerge/>
            <w:shd w:val="clear" w:color="auto" w:fill="E7E6E6" w:themeFill="background2"/>
          </w:tcPr>
          <w:p w14:paraId="5A56263B" w14:textId="77777777" w:rsidR="002F4B2C" w:rsidRPr="0060376E" w:rsidRDefault="002F4B2C" w:rsidP="00C17651">
            <w:pPr>
              <w:pStyle w:val="Numberedtable"/>
              <w:numPr>
                <w:ilvl w:val="0"/>
                <w:numId w:val="0"/>
              </w:numPr>
              <w:rPr>
                <w:rFonts w:asciiTheme="minorHAnsi" w:hAnsiTheme="minorHAnsi" w:cstheme="minorHAnsi"/>
                <w:sz w:val="18"/>
                <w:szCs w:val="16"/>
              </w:rPr>
            </w:pPr>
          </w:p>
        </w:tc>
        <w:tc>
          <w:tcPr>
            <w:tcW w:w="3229" w:type="pct"/>
            <w:gridSpan w:val="2"/>
            <w:tcBorders>
              <w:top w:val="nil"/>
              <w:bottom w:val="nil"/>
              <w:right w:val="single" w:sz="4" w:space="0" w:color="BFBFBF" w:themeColor="background1" w:themeShade="BF"/>
            </w:tcBorders>
            <w:shd w:val="clear" w:color="auto" w:fill="E7E6E6" w:themeFill="background2"/>
          </w:tcPr>
          <w:p w14:paraId="36057921" w14:textId="77777777" w:rsidR="002F4B2C" w:rsidRPr="0060376E" w:rsidRDefault="002F4B2C"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lang w:val="en-AU"/>
              </w:rPr>
              <w:t>19. Prioritise the availability of and access to culturally appropriate programs and services</w:t>
            </w:r>
          </w:p>
        </w:tc>
        <w:tc>
          <w:tcPr>
            <w:tcW w:w="320" w:type="pct"/>
            <w:tcBorders>
              <w:top w:val="nil"/>
              <w:left w:val="single" w:sz="4" w:space="0" w:color="BFBFBF" w:themeColor="background1" w:themeShade="BF"/>
              <w:bottom w:val="nil"/>
            </w:tcBorders>
            <w:shd w:val="clear" w:color="auto" w:fill="E7E6E6" w:themeFill="background2"/>
            <w:vAlign w:val="center"/>
          </w:tcPr>
          <w:p w14:paraId="0B04BCB6" w14:textId="189431FC" w:rsidR="002F4B2C" w:rsidRPr="0060376E" w:rsidRDefault="002F4B2C"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nil"/>
              <w:bottom w:val="nil"/>
            </w:tcBorders>
            <w:shd w:val="clear" w:color="auto" w:fill="E7E6E6" w:themeFill="background2"/>
            <w:vAlign w:val="center"/>
          </w:tcPr>
          <w:p w14:paraId="4FC83DCD" w14:textId="77777777" w:rsidR="002F4B2C" w:rsidRPr="0060376E" w:rsidRDefault="002F4B2C" w:rsidP="00C17651">
            <w:pPr>
              <w:pStyle w:val="Numberedtable"/>
              <w:numPr>
                <w:ilvl w:val="0"/>
                <w:numId w:val="0"/>
              </w:numPr>
              <w:jc w:val="center"/>
              <w:rPr>
                <w:rFonts w:asciiTheme="minorHAnsi" w:hAnsiTheme="minorHAnsi" w:cstheme="minorHAnsi"/>
                <w:sz w:val="18"/>
                <w:szCs w:val="16"/>
              </w:rPr>
            </w:pPr>
          </w:p>
        </w:tc>
        <w:tc>
          <w:tcPr>
            <w:tcW w:w="486" w:type="pct"/>
            <w:tcBorders>
              <w:top w:val="nil"/>
              <w:bottom w:val="nil"/>
            </w:tcBorders>
            <w:shd w:val="clear" w:color="auto" w:fill="E7E6E6" w:themeFill="background2"/>
            <w:vAlign w:val="center"/>
          </w:tcPr>
          <w:p w14:paraId="4FF7B757" w14:textId="77777777" w:rsidR="002F4B2C" w:rsidRPr="0060376E" w:rsidRDefault="002F4B2C" w:rsidP="00C17651">
            <w:pPr>
              <w:pStyle w:val="Numberedtable"/>
              <w:numPr>
                <w:ilvl w:val="0"/>
                <w:numId w:val="0"/>
              </w:numPr>
              <w:jc w:val="center"/>
              <w:rPr>
                <w:rFonts w:asciiTheme="minorHAnsi" w:hAnsiTheme="minorHAnsi" w:cstheme="minorHAnsi"/>
                <w:sz w:val="18"/>
                <w:szCs w:val="16"/>
              </w:rPr>
            </w:pPr>
          </w:p>
        </w:tc>
      </w:tr>
      <w:tr w:rsidR="002F4B2C" w:rsidRPr="003F4BE5" w14:paraId="31E6B764" w14:textId="77777777" w:rsidTr="00E002A3">
        <w:trPr>
          <w:trHeight w:val="20"/>
        </w:trPr>
        <w:tc>
          <w:tcPr>
            <w:tcW w:w="481" w:type="pct"/>
            <w:vMerge/>
            <w:tcBorders>
              <w:bottom w:val="nil"/>
            </w:tcBorders>
            <w:shd w:val="clear" w:color="auto" w:fill="E7E6E6" w:themeFill="background2"/>
          </w:tcPr>
          <w:p w14:paraId="00BCC27C" w14:textId="77777777" w:rsidR="002F4B2C" w:rsidRPr="0060376E" w:rsidRDefault="002F4B2C" w:rsidP="00C17651">
            <w:pPr>
              <w:pStyle w:val="Numberedtable"/>
              <w:numPr>
                <w:ilvl w:val="0"/>
                <w:numId w:val="0"/>
              </w:numPr>
              <w:rPr>
                <w:rFonts w:asciiTheme="minorHAnsi" w:hAnsiTheme="minorHAnsi" w:cstheme="minorHAnsi"/>
                <w:sz w:val="18"/>
                <w:szCs w:val="16"/>
              </w:rPr>
            </w:pPr>
          </w:p>
        </w:tc>
        <w:tc>
          <w:tcPr>
            <w:tcW w:w="3229" w:type="pct"/>
            <w:gridSpan w:val="2"/>
            <w:tcBorders>
              <w:top w:val="nil"/>
              <w:bottom w:val="nil"/>
              <w:right w:val="single" w:sz="4" w:space="0" w:color="BFBFBF" w:themeColor="background1" w:themeShade="BF"/>
            </w:tcBorders>
            <w:shd w:val="clear" w:color="auto" w:fill="E7E6E6" w:themeFill="background2"/>
          </w:tcPr>
          <w:p w14:paraId="647DC96A" w14:textId="77777777" w:rsidR="002F4B2C" w:rsidRPr="0060376E" w:rsidRDefault="002F4B2C" w:rsidP="00C17651">
            <w:pPr>
              <w:pStyle w:val="Numberedtable"/>
              <w:numPr>
                <w:ilvl w:val="0"/>
                <w:numId w:val="0"/>
              </w:numPr>
              <w:rPr>
                <w:rFonts w:asciiTheme="minorHAnsi" w:hAnsiTheme="minorHAnsi" w:cstheme="minorHAnsi"/>
                <w:sz w:val="18"/>
                <w:szCs w:val="16"/>
                <w:lang w:val="en-AU"/>
              </w:rPr>
            </w:pPr>
            <w:r w:rsidRPr="0060376E">
              <w:rPr>
                <w:rFonts w:asciiTheme="minorHAnsi" w:hAnsiTheme="minorHAnsi" w:cstheme="minorHAnsi"/>
                <w:sz w:val="18"/>
                <w:szCs w:val="16"/>
                <w:lang w:val="en-AU"/>
              </w:rPr>
              <w:t xml:space="preserve">20. Reduce the use of alcohol, and related harms of alcohol, during pregnancy </w:t>
            </w:r>
          </w:p>
        </w:tc>
        <w:tc>
          <w:tcPr>
            <w:tcW w:w="320" w:type="pct"/>
            <w:tcBorders>
              <w:top w:val="nil"/>
              <w:left w:val="single" w:sz="4" w:space="0" w:color="BFBFBF" w:themeColor="background1" w:themeShade="BF"/>
              <w:bottom w:val="nil"/>
            </w:tcBorders>
            <w:shd w:val="clear" w:color="auto" w:fill="E7E6E6" w:themeFill="background2"/>
            <w:vAlign w:val="center"/>
          </w:tcPr>
          <w:p w14:paraId="48A4D474" w14:textId="084E5DA7" w:rsidR="002F4B2C" w:rsidRPr="0060376E" w:rsidRDefault="002F4B2C"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nil"/>
              <w:bottom w:val="nil"/>
            </w:tcBorders>
            <w:shd w:val="clear" w:color="auto" w:fill="E7E6E6" w:themeFill="background2"/>
            <w:vAlign w:val="center"/>
          </w:tcPr>
          <w:p w14:paraId="76774F7D" w14:textId="77777777" w:rsidR="002F4B2C" w:rsidRPr="0060376E" w:rsidRDefault="002F4B2C" w:rsidP="00C17651">
            <w:pPr>
              <w:pStyle w:val="Numberedtable"/>
              <w:numPr>
                <w:ilvl w:val="0"/>
                <w:numId w:val="0"/>
              </w:numPr>
              <w:jc w:val="center"/>
              <w:rPr>
                <w:rFonts w:asciiTheme="minorHAnsi" w:hAnsiTheme="minorHAnsi" w:cstheme="minorHAnsi"/>
                <w:sz w:val="18"/>
                <w:szCs w:val="16"/>
              </w:rPr>
            </w:pPr>
          </w:p>
        </w:tc>
        <w:tc>
          <w:tcPr>
            <w:tcW w:w="486" w:type="pct"/>
            <w:tcBorders>
              <w:top w:val="nil"/>
              <w:bottom w:val="nil"/>
            </w:tcBorders>
            <w:shd w:val="clear" w:color="auto" w:fill="E7E6E6" w:themeFill="background2"/>
            <w:vAlign w:val="center"/>
          </w:tcPr>
          <w:p w14:paraId="5A315715" w14:textId="77777777" w:rsidR="002F4B2C" w:rsidRPr="0060376E" w:rsidRDefault="002F4B2C" w:rsidP="00C17651">
            <w:pPr>
              <w:pStyle w:val="Numberedtable"/>
              <w:numPr>
                <w:ilvl w:val="0"/>
                <w:numId w:val="0"/>
              </w:numPr>
              <w:jc w:val="center"/>
              <w:rPr>
                <w:rFonts w:asciiTheme="minorHAnsi" w:hAnsiTheme="minorHAnsi" w:cstheme="minorHAnsi"/>
                <w:sz w:val="18"/>
                <w:szCs w:val="16"/>
              </w:rPr>
            </w:pPr>
          </w:p>
        </w:tc>
      </w:tr>
      <w:tr w:rsidR="003E5832" w:rsidRPr="003F4BE5" w14:paraId="0E87AB3D" w14:textId="77777777" w:rsidTr="00E002A3">
        <w:trPr>
          <w:trHeight w:val="20"/>
        </w:trPr>
        <w:tc>
          <w:tcPr>
            <w:tcW w:w="481" w:type="pct"/>
            <w:tcBorders>
              <w:top w:val="nil"/>
              <w:bottom w:val="single" w:sz="4" w:space="0" w:color="BFBFBF" w:themeColor="background1" w:themeShade="BF"/>
            </w:tcBorders>
          </w:tcPr>
          <w:p w14:paraId="7B164D58" w14:textId="77777777" w:rsidR="00C82BFF" w:rsidRPr="0060376E" w:rsidRDefault="00C82BFF" w:rsidP="00C17651">
            <w:pPr>
              <w:pStyle w:val="Numberedtable"/>
              <w:numPr>
                <w:ilvl w:val="0"/>
                <w:numId w:val="0"/>
              </w:numPr>
              <w:rPr>
                <w:rFonts w:asciiTheme="minorHAnsi" w:hAnsiTheme="minorHAnsi" w:cstheme="minorHAnsi"/>
                <w:b w:val="0"/>
                <w:sz w:val="18"/>
                <w:szCs w:val="16"/>
              </w:rPr>
            </w:pPr>
            <w:proofErr w:type="spellStart"/>
            <w:r w:rsidRPr="0060376E">
              <w:rPr>
                <w:rFonts w:asciiTheme="minorHAnsi" w:hAnsiTheme="minorHAnsi" w:cstheme="minorHAnsi"/>
                <w:b w:val="0"/>
                <w:sz w:val="18"/>
                <w:szCs w:val="16"/>
              </w:rPr>
              <w:t>Babies+children</w:t>
            </w:r>
            <w:proofErr w:type="spellEnd"/>
          </w:p>
          <w:p w14:paraId="21A216E4"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Youth</w:t>
            </w:r>
          </w:p>
          <w:p w14:paraId="6254EE49"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 xml:space="preserve">Adults </w:t>
            </w:r>
          </w:p>
          <w:p w14:paraId="6F464EF8"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Older adults</w:t>
            </w:r>
          </w:p>
          <w:p w14:paraId="775061DF"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b w:val="0"/>
                <w:sz w:val="18"/>
                <w:szCs w:val="16"/>
              </w:rPr>
              <w:t>Across the population</w:t>
            </w:r>
          </w:p>
        </w:tc>
        <w:tc>
          <w:tcPr>
            <w:tcW w:w="308" w:type="pct"/>
            <w:tcBorders>
              <w:top w:val="nil"/>
              <w:bottom w:val="single" w:sz="4" w:space="0" w:color="BFBFBF" w:themeColor="background1" w:themeShade="BF"/>
            </w:tcBorders>
          </w:tcPr>
          <w:p w14:paraId="61C7A9DC"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43CC54E2" w14:textId="77777777" w:rsidR="00C82BFF" w:rsidRPr="0060376E" w:rsidRDefault="00C82BFF" w:rsidP="00C17651">
            <w:pPr>
              <w:rPr>
                <w:rFonts w:eastAsia="Times New Roman" w:cstheme="minorHAnsi"/>
                <w:sz w:val="18"/>
                <w:szCs w:val="14"/>
                <w:lang w:eastAsia="en-AU"/>
              </w:rPr>
            </w:pPr>
            <w:r w:rsidRPr="0060376E">
              <w:rPr>
                <w:rFonts w:cstheme="minorHAnsi"/>
                <w:sz w:val="18"/>
                <w:szCs w:val="14"/>
              </w:rPr>
              <w:t xml:space="preserve">National, state and territory departments of departments of health, social services, and education (Health, Education, </w:t>
            </w:r>
            <w:r w:rsidRPr="0060376E">
              <w:rPr>
                <w:rFonts w:eastAsia="Times New Roman" w:cstheme="minorHAnsi"/>
                <w:sz w:val="18"/>
                <w:szCs w:val="14"/>
                <w:lang w:eastAsia="en-AU"/>
              </w:rPr>
              <w:t>National Mental Health Commission,</w:t>
            </w:r>
            <w:r w:rsidRPr="0060376E">
              <w:rPr>
                <w:rFonts w:cstheme="minorHAnsi"/>
                <w:sz w:val="18"/>
                <w:szCs w:val="14"/>
              </w:rPr>
              <w:t xml:space="preserve"> Family and Community Services, Housing, PHNs, local health districts, Early Childhood Education and Care Centres, Primary Health Care Services, Health Organisations,</w:t>
            </w:r>
            <w:r w:rsidRPr="0060376E">
              <w:rPr>
                <w:rFonts w:cstheme="minorHAnsi"/>
                <w:sz w:val="18"/>
                <w:szCs w:val="14"/>
                <w:lang w:eastAsia="en-AU"/>
              </w:rPr>
              <w:t xml:space="preserve"> NOFASD, FASD Hub, FASD Diagnostic Services</w:t>
            </w:r>
            <w:r w:rsidRPr="0060376E">
              <w:rPr>
                <w:rFonts w:cstheme="minorHAnsi"/>
                <w:sz w:val="18"/>
                <w:szCs w:val="14"/>
              </w:rPr>
              <w:t>)</w:t>
            </w:r>
            <w:r w:rsidRPr="0060376E">
              <w:rPr>
                <w:rFonts w:eastAsia="Times New Roman" w:cstheme="minorHAnsi"/>
                <w:sz w:val="18"/>
                <w:szCs w:val="14"/>
                <w:lang w:eastAsia="en-AU"/>
              </w:rPr>
              <w:t xml:space="preserve"> </w:t>
            </w:r>
          </w:p>
        </w:tc>
        <w:tc>
          <w:tcPr>
            <w:tcW w:w="320" w:type="pct"/>
            <w:tcBorders>
              <w:top w:val="nil"/>
              <w:left w:val="single" w:sz="4" w:space="0" w:color="BFBFBF" w:themeColor="background1" w:themeShade="BF"/>
              <w:bottom w:val="single" w:sz="4" w:space="0" w:color="BFBFBF" w:themeColor="background1" w:themeShade="BF"/>
            </w:tcBorders>
          </w:tcPr>
          <w:p w14:paraId="10E13487" w14:textId="7829F4FB" w:rsidR="00C82BFF" w:rsidRPr="0060376E" w:rsidRDefault="00C82BFF"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b w:val="0"/>
                <w:sz w:val="18"/>
                <w:szCs w:val="20"/>
                <w:lang w:eastAsia="en-AU"/>
              </w:rPr>
              <w:t>ACCOs, ACCHOs,</w:t>
            </w:r>
            <w:r w:rsidRPr="0060376E">
              <w:rPr>
                <w:rFonts w:asciiTheme="minorHAnsi" w:hAnsiTheme="minorHAnsi" w:cstheme="minorHAnsi"/>
                <w:sz w:val="18"/>
                <w:szCs w:val="14"/>
                <w:lang w:eastAsia="en-AU"/>
              </w:rPr>
              <w:t xml:space="preserve"> </w:t>
            </w:r>
            <w:r w:rsidR="003E5832" w:rsidRPr="003F4BE5">
              <w:rPr>
                <w:rFonts w:asciiTheme="minorHAnsi" w:hAnsiTheme="minorHAnsi" w:cstheme="minorHAnsi"/>
                <w:b w:val="0"/>
                <w:sz w:val="18"/>
                <w:szCs w:val="14"/>
              </w:rPr>
              <w:t>NIAA</w:t>
            </w:r>
          </w:p>
        </w:tc>
        <w:tc>
          <w:tcPr>
            <w:tcW w:w="484" w:type="pct"/>
            <w:tcBorders>
              <w:top w:val="nil"/>
              <w:bottom w:val="single" w:sz="4" w:space="0" w:color="BFBFBF" w:themeColor="background1" w:themeShade="BF"/>
            </w:tcBorders>
          </w:tcPr>
          <w:p w14:paraId="2AA8CB07"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6" w:type="pct"/>
            <w:tcBorders>
              <w:top w:val="nil"/>
              <w:bottom w:val="single" w:sz="4" w:space="0" w:color="BFBFBF" w:themeColor="background1" w:themeShade="BF"/>
            </w:tcBorders>
          </w:tcPr>
          <w:p w14:paraId="288196EC"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r>
      <w:tr w:rsidR="003E5832" w:rsidRPr="003F4BE5" w14:paraId="7ACA9E48" w14:textId="77777777" w:rsidTr="00E002A3">
        <w:trPr>
          <w:trHeight w:val="20"/>
        </w:trPr>
        <w:tc>
          <w:tcPr>
            <w:tcW w:w="481" w:type="pct"/>
            <w:tcBorders>
              <w:top w:val="single" w:sz="4" w:space="0" w:color="BFBFBF" w:themeColor="background1" w:themeShade="BF"/>
              <w:left w:val="single" w:sz="4" w:space="0" w:color="BFBFBF" w:themeColor="background1" w:themeShade="BF"/>
              <w:bottom w:val="nil"/>
            </w:tcBorders>
            <w:shd w:val="clear" w:color="auto" w:fill="C00000"/>
          </w:tcPr>
          <w:p w14:paraId="05C0EBED"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2F4B2C">
              <w:rPr>
                <w:rFonts w:asciiTheme="minorHAnsi" w:hAnsiTheme="minorHAnsi" w:cstheme="minorHAnsi"/>
                <w:color w:val="FFFFFF" w:themeColor="background1"/>
                <w:sz w:val="18"/>
                <w:szCs w:val="16"/>
              </w:rPr>
              <w:t>Alcohol</w:t>
            </w:r>
          </w:p>
        </w:tc>
        <w:tc>
          <w:tcPr>
            <w:tcW w:w="3229" w:type="pct"/>
            <w:gridSpan w:val="2"/>
            <w:tcBorders>
              <w:top w:val="single" w:sz="4" w:space="0" w:color="BFBFBF" w:themeColor="background1" w:themeShade="BF"/>
              <w:bottom w:val="nil"/>
              <w:right w:val="single" w:sz="4" w:space="0" w:color="BFBFBF" w:themeColor="background1" w:themeShade="BF"/>
            </w:tcBorders>
            <w:shd w:val="clear" w:color="auto" w:fill="E7E6E6" w:themeFill="background2"/>
          </w:tcPr>
          <w:p w14:paraId="55278F61"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sz w:val="18"/>
                <w:szCs w:val="16"/>
                <w:lang w:val="en-AU"/>
              </w:rPr>
              <w:t>22. Reduce alcohol-related harm</w:t>
            </w:r>
          </w:p>
        </w:tc>
        <w:tc>
          <w:tcPr>
            <w:tcW w:w="320" w:type="pct"/>
            <w:tcBorders>
              <w:top w:val="single" w:sz="4" w:space="0" w:color="BFBFBF" w:themeColor="background1" w:themeShade="BF"/>
              <w:left w:val="single" w:sz="4" w:space="0" w:color="BFBFBF" w:themeColor="background1" w:themeShade="BF"/>
              <w:bottom w:val="nil"/>
            </w:tcBorders>
            <w:shd w:val="clear" w:color="auto" w:fill="E7E6E6" w:themeFill="background2"/>
            <w:vAlign w:val="center"/>
          </w:tcPr>
          <w:p w14:paraId="69B4637D"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r w:rsidRPr="0060376E">
              <w:rPr>
                <w:rFonts w:asciiTheme="minorHAnsi" w:hAnsiTheme="minorHAnsi" w:cstheme="minorHAnsi"/>
                <w:sz w:val="18"/>
                <w:szCs w:val="16"/>
              </w:rPr>
              <w:sym w:font="Wingdings" w:char="F0FC"/>
            </w:r>
          </w:p>
        </w:tc>
        <w:tc>
          <w:tcPr>
            <w:tcW w:w="484" w:type="pct"/>
            <w:tcBorders>
              <w:top w:val="single" w:sz="4" w:space="0" w:color="BFBFBF" w:themeColor="background1" w:themeShade="BF"/>
              <w:bottom w:val="nil"/>
            </w:tcBorders>
            <w:shd w:val="clear" w:color="auto" w:fill="E7E6E6" w:themeFill="background2"/>
            <w:vAlign w:val="center"/>
          </w:tcPr>
          <w:p w14:paraId="485997CA"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6" w:type="pct"/>
            <w:tcBorders>
              <w:top w:val="single" w:sz="4" w:space="0" w:color="BFBFBF" w:themeColor="background1" w:themeShade="BF"/>
              <w:bottom w:val="nil"/>
              <w:right w:val="single" w:sz="4" w:space="0" w:color="BFBFBF" w:themeColor="background1" w:themeShade="BF"/>
            </w:tcBorders>
            <w:shd w:val="clear" w:color="auto" w:fill="E7E6E6" w:themeFill="background2"/>
            <w:vAlign w:val="center"/>
          </w:tcPr>
          <w:p w14:paraId="3020F102"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r>
      <w:tr w:rsidR="003E5832" w:rsidRPr="003F4BE5" w14:paraId="46E35707" w14:textId="77777777" w:rsidTr="00E002A3">
        <w:trPr>
          <w:trHeight w:val="20"/>
        </w:trPr>
        <w:tc>
          <w:tcPr>
            <w:tcW w:w="481" w:type="pct"/>
            <w:tcBorders>
              <w:top w:val="nil"/>
              <w:left w:val="single" w:sz="4" w:space="0" w:color="BFBFBF" w:themeColor="background1" w:themeShade="BF"/>
              <w:bottom w:val="single" w:sz="4" w:space="0" w:color="BFBFBF" w:themeColor="background1" w:themeShade="BF"/>
            </w:tcBorders>
          </w:tcPr>
          <w:p w14:paraId="4A273813" w14:textId="77777777" w:rsidR="00C82BFF" w:rsidRPr="0060376E" w:rsidRDefault="00C82BFF" w:rsidP="00C17651">
            <w:pPr>
              <w:pStyle w:val="Numberedtable"/>
              <w:numPr>
                <w:ilvl w:val="0"/>
                <w:numId w:val="0"/>
              </w:numPr>
              <w:rPr>
                <w:rFonts w:asciiTheme="minorHAnsi" w:hAnsiTheme="minorHAnsi" w:cstheme="minorHAnsi"/>
                <w:sz w:val="18"/>
                <w:szCs w:val="16"/>
              </w:rPr>
            </w:pPr>
            <w:r w:rsidRPr="0060376E">
              <w:rPr>
                <w:rFonts w:asciiTheme="minorHAnsi" w:hAnsiTheme="minorHAnsi" w:cstheme="minorHAnsi"/>
                <w:b w:val="0"/>
                <w:sz w:val="18"/>
                <w:szCs w:val="16"/>
              </w:rPr>
              <w:t>Across the population</w:t>
            </w:r>
          </w:p>
        </w:tc>
        <w:tc>
          <w:tcPr>
            <w:tcW w:w="308" w:type="pct"/>
            <w:tcBorders>
              <w:top w:val="nil"/>
              <w:bottom w:val="single" w:sz="4" w:space="0" w:color="BFBFBF" w:themeColor="background1" w:themeShade="BF"/>
            </w:tcBorders>
          </w:tcPr>
          <w:p w14:paraId="5D9F1DEC" w14:textId="77777777" w:rsidR="00C82BFF" w:rsidRPr="0060376E" w:rsidRDefault="00C82BFF" w:rsidP="00C17651">
            <w:pPr>
              <w:pStyle w:val="Numberedtable"/>
              <w:numPr>
                <w:ilvl w:val="0"/>
                <w:numId w:val="0"/>
              </w:numPr>
              <w:rPr>
                <w:rFonts w:asciiTheme="minorHAnsi" w:hAnsiTheme="minorHAnsi" w:cstheme="minorHAnsi"/>
                <w:b w:val="0"/>
                <w:sz w:val="18"/>
                <w:szCs w:val="16"/>
              </w:rPr>
            </w:pPr>
            <w:r w:rsidRPr="0060376E">
              <w:rPr>
                <w:rFonts w:asciiTheme="minorHAnsi" w:hAnsiTheme="minorHAnsi" w:cstheme="minorHAnsi"/>
                <w:b w:val="0"/>
                <w:sz w:val="18"/>
                <w:szCs w:val="16"/>
              </w:rPr>
              <w:t>Lead agency (partners)</w:t>
            </w:r>
          </w:p>
        </w:tc>
        <w:tc>
          <w:tcPr>
            <w:tcW w:w="2921" w:type="pct"/>
            <w:tcBorders>
              <w:top w:val="nil"/>
              <w:bottom w:val="single" w:sz="4" w:space="0" w:color="BFBFBF" w:themeColor="background1" w:themeShade="BF"/>
              <w:right w:val="single" w:sz="4" w:space="0" w:color="BFBFBF" w:themeColor="background1" w:themeShade="BF"/>
            </w:tcBorders>
          </w:tcPr>
          <w:p w14:paraId="3C4BCB97" w14:textId="77777777" w:rsidR="00C82BFF" w:rsidRPr="0060376E" w:rsidRDefault="00C82BFF" w:rsidP="00C17651">
            <w:pPr>
              <w:rPr>
                <w:rFonts w:cstheme="minorHAnsi"/>
                <w:sz w:val="18"/>
                <w:szCs w:val="14"/>
                <w:lang w:eastAsia="en-AU"/>
              </w:rPr>
            </w:pPr>
            <w:r w:rsidRPr="0060376E">
              <w:rPr>
                <w:rFonts w:cstheme="minorHAnsi"/>
                <w:sz w:val="18"/>
                <w:szCs w:val="14"/>
                <w:lang w:eastAsia="en-AU"/>
              </w:rPr>
              <w:t>State and territory departments of health (State and territory departments of education, police, community organisations, PHNs, health districts, AOD information and treatment services, sporting peak organisation and bodies)</w:t>
            </w:r>
          </w:p>
        </w:tc>
        <w:tc>
          <w:tcPr>
            <w:tcW w:w="320" w:type="pct"/>
            <w:tcBorders>
              <w:top w:val="nil"/>
              <w:left w:val="single" w:sz="4" w:space="0" w:color="BFBFBF" w:themeColor="background1" w:themeShade="BF"/>
              <w:bottom w:val="single" w:sz="4" w:space="0" w:color="BFBFBF" w:themeColor="background1" w:themeShade="BF"/>
            </w:tcBorders>
          </w:tcPr>
          <w:p w14:paraId="42CE2610" w14:textId="77777777" w:rsidR="00C82BFF" w:rsidRPr="0060376E" w:rsidRDefault="00C82BFF" w:rsidP="00C17651">
            <w:pPr>
              <w:pStyle w:val="Numberedtable"/>
              <w:numPr>
                <w:ilvl w:val="0"/>
                <w:numId w:val="0"/>
              </w:numPr>
              <w:jc w:val="center"/>
              <w:rPr>
                <w:rFonts w:asciiTheme="minorHAnsi" w:hAnsiTheme="minorHAnsi" w:cstheme="minorHAnsi"/>
                <w:b w:val="0"/>
                <w:sz w:val="18"/>
                <w:szCs w:val="16"/>
              </w:rPr>
            </w:pPr>
            <w:r w:rsidRPr="0060376E">
              <w:rPr>
                <w:rFonts w:asciiTheme="minorHAnsi" w:hAnsiTheme="minorHAnsi" w:cstheme="minorHAnsi"/>
                <w:b w:val="0"/>
                <w:sz w:val="18"/>
                <w:szCs w:val="20"/>
                <w:lang w:eastAsia="en-AU"/>
              </w:rPr>
              <w:t>ACCOs, ACCHOs</w:t>
            </w:r>
          </w:p>
        </w:tc>
        <w:tc>
          <w:tcPr>
            <w:tcW w:w="484" w:type="pct"/>
            <w:tcBorders>
              <w:top w:val="nil"/>
              <w:bottom w:val="single" w:sz="4" w:space="0" w:color="BFBFBF" w:themeColor="background1" w:themeShade="BF"/>
            </w:tcBorders>
          </w:tcPr>
          <w:p w14:paraId="79971537"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c>
          <w:tcPr>
            <w:tcW w:w="486" w:type="pct"/>
            <w:tcBorders>
              <w:top w:val="nil"/>
              <w:bottom w:val="single" w:sz="4" w:space="0" w:color="BFBFBF" w:themeColor="background1" w:themeShade="BF"/>
              <w:right w:val="single" w:sz="4" w:space="0" w:color="BFBFBF" w:themeColor="background1" w:themeShade="BF"/>
            </w:tcBorders>
          </w:tcPr>
          <w:p w14:paraId="3415E447" w14:textId="77777777" w:rsidR="00C82BFF" w:rsidRPr="0060376E" w:rsidRDefault="00C82BFF" w:rsidP="00C17651">
            <w:pPr>
              <w:pStyle w:val="Numberedtable"/>
              <w:numPr>
                <w:ilvl w:val="0"/>
                <w:numId w:val="0"/>
              </w:numPr>
              <w:jc w:val="center"/>
              <w:rPr>
                <w:rFonts w:asciiTheme="minorHAnsi" w:hAnsiTheme="minorHAnsi" w:cstheme="minorHAnsi"/>
                <w:sz w:val="18"/>
                <w:szCs w:val="16"/>
              </w:rPr>
            </w:pPr>
          </w:p>
        </w:tc>
      </w:tr>
    </w:tbl>
    <w:p w14:paraId="77AEF28A" w14:textId="77777777" w:rsidR="00C82BFF" w:rsidRDefault="00C82BFF" w:rsidP="00C82BFF">
      <w:pPr>
        <w:rPr>
          <w:color w:val="000000" w:themeColor="text1"/>
        </w:rPr>
      </w:pPr>
    </w:p>
    <w:p w14:paraId="7EADF33F" w14:textId="77777777" w:rsidR="003E5832" w:rsidRDefault="003E5832" w:rsidP="00C82BFF">
      <w:pPr>
        <w:rPr>
          <w:color w:val="000000" w:themeColor="text1"/>
        </w:rPr>
      </w:pPr>
    </w:p>
    <w:p w14:paraId="6A03B901" w14:textId="77777777" w:rsidR="00F05BA8" w:rsidRPr="00F05BA8" w:rsidRDefault="00F05BA8" w:rsidP="00F05BA8"/>
    <w:p w14:paraId="61E9EB11" w14:textId="77777777" w:rsidR="00F05BA8" w:rsidRPr="00F05BA8" w:rsidRDefault="00F05BA8" w:rsidP="00F05BA8"/>
    <w:p w14:paraId="248CB29D" w14:textId="77777777" w:rsidR="00F05BA8" w:rsidRPr="00F05BA8" w:rsidRDefault="00F05BA8" w:rsidP="00F05BA8"/>
    <w:p w14:paraId="3AAFC5C4" w14:textId="77777777" w:rsidR="00F05BA8" w:rsidRPr="00F05BA8" w:rsidRDefault="00F05BA8" w:rsidP="00F05BA8"/>
    <w:p w14:paraId="12422EAE" w14:textId="77777777" w:rsidR="00F05BA8" w:rsidRPr="00F05BA8" w:rsidRDefault="00F05BA8" w:rsidP="00F05BA8"/>
    <w:p w14:paraId="3CBB670D" w14:textId="77777777" w:rsidR="00F05BA8" w:rsidRPr="00F05BA8" w:rsidRDefault="00F05BA8" w:rsidP="00F05BA8"/>
    <w:p w14:paraId="03FF4C3D" w14:textId="77777777" w:rsidR="00F05BA8" w:rsidRPr="00F05BA8" w:rsidRDefault="00F05BA8" w:rsidP="00F05BA8"/>
    <w:p w14:paraId="047B6FA6" w14:textId="77777777" w:rsidR="00F05BA8" w:rsidRPr="00F05BA8" w:rsidRDefault="00F05BA8" w:rsidP="00F05BA8"/>
    <w:p w14:paraId="7FB77866" w14:textId="77777777" w:rsidR="00F05BA8" w:rsidRPr="00F05BA8" w:rsidRDefault="00F05BA8" w:rsidP="00F05BA8"/>
    <w:p w14:paraId="67B64B4B" w14:textId="77777777" w:rsidR="00F05BA8" w:rsidRPr="00F05BA8" w:rsidRDefault="00F05BA8" w:rsidP="00F05BA8"/>
    <w:p w14:paraId="02101542" w14:textId="77777777" w:rsidR="00F05BA8" w:rsidRPr="00F05BA8" w:rsidRDefault="00F05BA8" w:rsidP="00F05BA8"/>
    <w:p w14:paraId="765A2640" w14:textId="77777777" w:rsidR="00F05BA8" w:rsidRPr="00F05BA8" w:rsidRDefault="00F05BA8" w:rsidP="00F05BA8"/>
    <w:p w14:paraId="2164E6F5" w14:textId="77777777" w:rsidR="00F05BA8" w:rsidRDefault="00F05BA8" w:rsidP="00F05BA8">
      <w:pPr>
        <w:rPr>
          <w:color w:val="000000" w:themeColor="text1"/>
        </w:rPr>
      </w:pPr>
    </w:p>
    <w:p w14:paraId="3FC17499" w14:textId="7B7A6440" w:rsidR="00F05BA8" w:rsidRPr="00F05BA8" w:rsidRDefault="00F05BA8" w:rsidP="00F05BA8">
      <w:pPr>
        <w:sectPr w:rsidR="00F05BA8" w:rsidRPr="00F05BA8" w:rsidSect="0060376E">
          <w:headerReference w:type="default" r:id="rId46"/>
          <w:footerReference w:type="default" r:id="rId47"/>
          <w:pgSz w:w="16838" w:h="11906" w:orient="landscape"/>
          <w:pgMar w:top="720" w:right="720" w:bottom="720" w:left="720" w:header="708" w:footer="708" w:gutter="0"/>
          <w:cols w:space="708"/>
          <w:docGrid w:linePitch="360"/>
        </w:sectPr>
      </w:pPr>
    </w:p>
    <w:p w14:paraId="2E487C4C" w14:textId="22054747" w:rsidR="001225E1" w:rsidRPr="00400300" w:rsidRDefault="00A5389B" w:rsidP="00653893">
      <w:pPr>
        <w:pStyle w:val="Heading1"/>
        <w:rPr>
          <w:lang w:val="en-AU"/>
        </w:rPr>
      </w:pPr>
      <w:bookmarkStart w:id="195" w:name="_Toc35859150"/>
      <w:bookmarkStart w:id="196" w:name="_Toc34225087"/>
      <w:bookmarkStart w:id="197" w:name="_Toc25317365"/>
      <w:bookmarkStart w:id="198" w:name="_Toc25317366"/>
      <w:bookmarkStart w:id="199" w:name="_Toc25317367"/>
      <w:bookmarkStart w:id="200" w:name="_Toc25317368"/>
      <w:bookmarkStart w:id="201" w:name="_Toc25317369"/>
      <w:bookmarkStart w:id="202" w:name="_Toc29473007"/>
      <w:bookmarkStart w:id="203" w:name="_Toc30077739"/>
      <w:bookmarkStart w:id="204" w:name="_Toc31128316"/>
      <w:bookmarkStart w:id="205" w:name="_Toc32584894"/>
      <w:bookmarkStart w:id="206" w:name="_Toc38021096"/>
      <w:bookmarkEnd w:id="185"/>
      <w:bookmarkEnd w:id="195"/>
      <w:bookmarkEnd w:id="196"/>
      <w:bookmarkEnd w:id="197"/>
      <w:bookmarkEnd w:id="198"/>
      <w:bookmarkEnd w:id="199"/>
      <w:bookmarkEnd w:id="200"/>
      <w:bookmarkEnd w:id="201"/>
      <w:r w:rsidRPr="00400300">
        <w:rPr>
          <w:lang w:val="en-AU"/>
        </w:rPr>
        <w:t>Babies and c</w:t>
      </w:r>
      <w:r w:rsidR="001225E1" w:rsidRPr="00400300">
        <w:rPr>
          <w:lang w:val="en-AU"/>
        </w:rPr>
        <w:t xml:space="preserve">hildren </w:t>
      </w:r>
      <w:r w:rsidR="00035C01" w:rsidRPr="00400300">
        <w:rPr>
          <w:lang w:val="en-AU"/>
        </w:rPr>
        <w:t>(0-14</w:t>
      </w:r>
      <w:r w:rsidR="00F60B77" w:rsidRPr="00400300">
        <w:rPr>
          <w:lang w:val="en-AU"/>
        </w:rPr>
        <w:t xml:space="preserve"> </w:t>
      </w:r>
      <w:r w:rsidR="001225E1" w:rsidRPr="00400300">
        <w:rPr>
          <w:lang w:val="en-AU"/>
        </w:rPr>
        <w:t>years</w:t>
      </w:r>
      <w:r w:rsidR="00035C01" w:rsidRPr="00400300">
        <w:rPr>
          <w:lang w:val="en-AU"/>
        </w:rPr>
        <w:t>)</w:t>
      </w:r>
      <w:bookmarkEnd w:id="202"/>
      <w:bookmarkEnd w:id="203"/>
      <w:bookmarkEnd w:id="204"/>
      <w:bookmarkEnd w:id="205"/>
      <w:bookmarkEnd w:id="206"/>
    </w:p>
    <w:p w14:paraId="353CABD2" w14:textId="7B6FF6C7" w:rsidR="000F7D86" w:rsidRDefault="000F7D86" w:rsidP="000F7D86">
      <w:pPr>
        <w:rPr>
          <w:rFonts w:cstheme="minorHAnsi"/>
          <w:lang w:val="en-AU"/>
        </w:rPr>
      </w:pPr>
      <w:r w:rsidRPr="00400300">
        <w:rPr>
          <w:rFonts w:cstheme="minorHAnsi"/>
          <w:lang w:val="en-AU"/>
        </w:rPr>
        <w:t>Injuries are the leading cause of death, disability and hospitalisation among babies and children.</w:t>
      </w:r>
      <w:r w:rsidRPr="00400300">
        <w:rPr>
          <w:rFonts w:cstheme="minorHAnsi"/>
          <w:lang w:val="en-AU"/>
        </w:rPr>
        <w:fldChar w:fldCharType="begin"/>
      </w:r>
      <w:r w:rsidR="007D2F13">
        <w:rPr>
          <w:rFonts w:cstheme="minorHAnsi"/>
          <w:lang w:val="en-AU"/>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400300">
        <w:rPr>
          <w:rFonts w:cstheme="minorHAnsi"/>
          <w:lang w:val="en-AU"/>
        </w:rPr>
        <w:fldChar w:fldCharType="separate"/>
      </w:r>
      <w:r w:rsidR="007D2F13" w:rsidRPr="007D2F13">
        <w:rPr>
          <w:rFonts w:cstheme="minorHAnsi"/>
          <w:noProof/>
          <w:vertAlign w:val="superscript"/>
          <w:lang w:val="en-AU"/>
        </w:rPr>
        <w:t>11</w:t>
      </w:r>
      <w:r w:rsidRPr="00400300">
        <w:rPr>
          <w:rFonts w:cstheme="minorHAnsi"/>
          <w:lang w:val="en-AU"/>
        </w:rPr>
        <w:fldChar w:fldCharType="end"/>
      </w:r>
      <w:r w:rsidRPr="00400300">
        <w:rPr>
          <w:rFonts w:cstheme="minorHAnsi"/>
          <w:lang w:val="en-AU"/>
        </w:rPr>
        <w:t xml:space="preserve"> The burden of injury increases as children age, except for children aged 5-9 years (see Table 2). From 2001-2012, child injury hospitalisation rates did not change, with the annual cost of child injury hospitalisations estimated at $212 million over that period.</w:t>
      </w:r>
      <w:r w:rsidRPr="00400300">
        <w:rPr>
          <w:rFonts w:cstheme="minorHAnsi"/>
          <w:lang w:val="en-AU"/>
        </w:rPr>
        <w:fldChar w:fldCharType="begin"/>
      </w:r>
      <w:r w:rsidR="007D2F13">
        <w:rPr>
          <w:rFonts w:cstheme="minorHAnsi"/>
          <w:lang w:val="en-AU"/>
        </w:rPr>
        <w:instrText xml:space="preserve"> ADDIN EN.CITE &lt;EndNote&gt;&lt;Cite&gt;&lt;Author&gt;Mitchell&lt;/Author&gt;&lt;Year&gt;2017&lt;/Year&gt;&lt;RecNum&gt;23&lt;/RecNum&gt;&lt;DisplayText&gt;&lt;style face="superscript"&gt;13&lt;/style&gt;&lt;/DisplayText&gt;&lt;record&gt;&lt;rec-number&gt;23&lt;/rec-number&gt;&lt;foreign-keys&gt;&lt;key app="EN" db-id="2wsw9x5wvsspa1evwxlvvergx9epfd50fs2a" timestamp="1571987690"&gt;23&lt;/key&gt;&lt;/foreign-keys&gt;&lt;ref-type name="Journal Article"&gt;17&lt;/ref-type&gt;&lt;contributors&gt;&lt;authors&gt;&lt;author&gt;Mitchell, R.&lt;/author&gt;&lt;author&gt;Curtis, K.&lt;/author&gt;&lt;author&gt;Foster, K.&lt;/author&gt;&lt;/authors&gt;&lt;/contributors&gt;&lt;titles&gt;&lt;title&gt;A 10-year review of child injury hospitalisations, health outcomes and treatment costs in Australia&lt;/title&gt;&lt;secondary-title&gt;Injury Prevention&lt;/secondary-title&gt;&lt;alt-title&gt;Injury Prevention&lt;/alt-title&gt;&lt;/titles&gt;&lt;periodical&gt;&lt;full-title&gt;Injury Prevention&lt;/full-title&gt;&lt;/periodical&gt;&lt;alt-periodical&gt;&lt;full-title&gt;Injury Prevention&lt;/full-title&gt;&lt;/alt-periodical&gt;&lt;pages&gt;344-350&lt;/pages&gt;&lt;volume&gt;24&lt;/volume&gt;&lt;number&gt;5&lt;/number&gt;&lt;dates&gt;&lt;year&gt;2017&lt;/year&gt;&lt;/dates&gt;&lt;urls&gt;&lt;/urls&gt;&lt;electronic-resource-num&gt;10.1136/injuryprev-2017-042451&lt;/electronic-resource-num&gt;&lt;/record&gt;&lt;/Cite&gt;&lt;/EndNote&gt;</w:instrText>
      </w:r>
      <w:r w:rsidRPr="00400300">
        <w:rPr>
          <w:rFonts w:cstheme="minorHAnsi"/>
          <w:lang w:val="en-AU"/>
        </w:rPr>
        <w:fldChar w:fldCharType="separate"/>
      </w:r>
      <w:r w:rsidR="007D2F13" w:rsidRPr="007D2F13">
        <w:rPr>
          <w:rFonts w:cstheme="minorHAnsi"/>
          <w:noProof/>
          <w:vertAlign w:val="superscript"/>
          <w:lang w:val="en-AU"/>
        </w:rPr>
        <w:t>13</w:t>
      </w:r>
      <w:r w:rsidRPr="00400300">
        <w:rPr>
          <w:rFonts w:cstheme="minorHAnsi"/>
          <w:lang w:val="en-AU"/>
        </w:rPr>
        <w:fldChar w:fldCharType="end"/>
      </w:r>
      <w:r w:rsidRPr="00400300">
        <w:rPr>
          <w:rFonts w:cstheme="minorHAnsi"/>
          <w:lang w:val="en-AU"/>
        </w:rPr>
        <w:t xml:space="preserve"> Further, for every child hospitalised with a serious injury, another 13 children are hospitalised with minor injuries.</w:t>
      </w:r>
      <w:r w:rsidRPr="00400300">
        <w:rPr>
          <w:rFonts w:cstheme="minorHAnsi"/>
          <w:lang w:val="en-AU"/>
        </w:rPr>
        <w:fldChar w:fldCharType="begin"/>
      </w:r>
      <w:r w:rsidR="007D2F13">
        <w:rPr>
          <w:rFonts w:cstheme="minorHAnsi"/>
          <w:lang w:val="en-AU"/>
        </w:rPr>
        <w:instrText xml:space="preserve"> ADDIN EN.CITE &lt;EndNote&gt;&lt;Cite&gt;&lt;Author&gt;Mitchell&lt;/Author&gt;&lt;Year&gt;2017&lt;/Year&gt;&lt;RecNum&gt;23&lt;/RecNum&gt;&lt;DisplayText&gt;&lt;style face="superscript"&gt;13&lt;/style&gt;&lt;/DisplayText&gt;&lt;record&gt;&lt;rec-number&gt;23&lt;/rec-number&gt;&lt;foreign-keys&gt;&lt;key app="EN" db-id="2wsw9x5wvsspa1evwxlvvergx9epfd50fs2a" timestamp="1571987690"&gt;23&lt;/key&gt;&lt;/foreign-keys&gt;&lt;ref-type name="Journal Article"&gt;17&lt;/ref-type&gt;&lt;contributors&gt;&lt;authors&gt;&lt;author&gt;Mitchell, R.&lt;/author&gt;&lt;author&gt;Curtis, K.&lt;/author&gt;&lt;author&gt;Foster, K.&lt;/author&gt;&lt;/authors&gt;&lt;/contributors&gt;&lt;titles&gt;&lt;title&gt;A 10-year review of child injury hospitalisations, health outcomes and treatment costs in Australia&lt;/title&gt;&lt;secondary-title&gt;Injury Prevention&lt;/secondary-title&gt;&lt;alt-title&gt;Injury Prevention&lt;/alt-title&gt;&lt;/titles&gt;&lt;periodical&gt;&lt;full-title&gt;Injury Prevention&lt;/full-title&gt;&lt;/periodical&gt;&lt;alt-periodical&gt;&lt;full-title&gt;Injury Prevention&lt;/full-title&gt;&lt;/alt-periodical&gt;&lt;pages&gt;344-350&lt;/pages&gt;&lt;volume&gt;24&lt;/volume&gt;&lt;number&gt;5&lt;/number&gt;&lt;dates&gt;&lt;year&gt;2017&lt;/year&gt;&lt;/dates&gt;&lt;urls&gt;&lt;/urls&gt;&lt;electronic-resource-num&gt;10.1136/injuryprev-2017-042451&lt;/electronic-resource-num&gt;&lt;/record&gt;&lt;/Cite&gt;&lt;/EndNote&gt;</w:instrText>
      </w:r>
      <w:r w:rsidRPr="00400300">
        <w:rPr>
          <w:rFonts w:cstheme="minorHAnsi"/>
          <w:lang w:val="en-AU"/>
        </w:rPr>
        <w:fldChar w:fldCharType="separate"/>
      </w:r>
      <w:r w:rsidR="007D2F13" w:rsidRPr="007D2F13">
        <w:rPr>
          <w:rFonts w:cstheme="minorHAnsi"/>
          <w:noProof/>
          <w:vertAlign w:val="superscript"/>
          <w:lang w:val="en-AU"/>
        </w:rPr>
        <w:t>13</w:t>
      </w:r>
      <w:r w:rsidRPr="00400300">
        <w:rPr>
          <w:rFonts w:cstheme="minorHAnsi"/>
          <w:lang w:val="en-AU"/>
        </w:rPr>
        <w:fldChar w:fldCharType="end"/>
      </w:r>
      <w:r w:rsidRPr="00400300" w:rsidDel="00F61A86">
        <w:rPr>
          <w:rFonts w:cstheme="minorHAnsi"/>
          <w:lang w:val="en-AU"/>
        </w:rPr>
        <w:t xml:space="preserve"> </w:t>
      </w:r>
    </w:p>
    <w:p w14:paraId="20791946" w14:textId="77777777" w:rsidR="00476AA4" w:rsidRDefault="00242163" w:rsidP="00D91CC6">
      <w:pPr>
        <w:rPr>
          <w:rFonts w:cstheme="minorHAnsi"/>
          <w:lang w:val="en-AU" w:eastAsia="en-US"/>
        </w:rPr>
      </w:pPr>
      <w:r>
        <w:rPr>
          <w:rFonts w:cstheme="minorHAnsi"/>
          <w:lang w:val="en-AU"/>
        </w:rPr>
        <w:t>E</w:t>
      </w:r>
      <w:r w:rsidR="000F7D86" w:rsidRPr="00400300">
        <w:rPr>
          <w:rFonts w:cstheme="minorHAnsi"/>
          <w:lang w:val="en-AU"/>
        </w:rPr>
        <w:t xml:space="preserve">arly </w:t>
      </w:r>
      <w:r>
        <w:rPr>
          <w:rFonts w:cstheme="minorHAnsi"/>
          <w:lang w:val="en-AU"/>
        </w:rPr>
        <w:t xml:space="preserve">life </w:t>
      </w:r>
      <w:r w:rsidR="000F7D86" w:rsidRPr="00400300">
        <w:rPr>
          <w:rFonts w:cstheme="minorHAnsi"/>
          <w:lang w:val="en-AU"/>
        </w:rPr>
        <w:t>experiences play an important role in the development of physical, cognitive, social and emotional health.</w:t>
      </w:r>
      <w:r w:rsidR="000F7D86" w:rsidRPr="00400300">
        <w:rPr>
          <w:rFonts w:cstheme="minorHAnsi"/>
          <w:lang w:val="en-AU"/>
        </w:rPr>
        <w:fldChar w:fldCharType="begin"/>
      </w:r>
      <w:r w:rsidR="007D2F13">
        <w:rPr>
          <w:rFonts w:cstheme="minorHAnsi"/>
          <w:lang w:val="en-AU"/>
        </w:rPr>
        <w:instrText xml:space="preserve"> ADDIN EN.CITE &lt;EndNote&gt;&lt;Cite&gt;&lt;Author&gt;Health&lt;/Author&gt;&lt;Year&gt;2019&lt;/Year&gt;&lt;RecNum&gt;32&lt;/RecNum&gt;&lt;DisplayText&gt;&lt;style face="superscript"&gt;41, 42&lt;/style&gt;&lt;/DisplayText&gt;&lt;record&gt;&lt;rec-number&gt;32&lt;/rec-number&gt;&lt;foreign-keys&gt;&lt;key app="EN" db-id="2wsw9x5wvsspa1evwxlvvergx9epfd50fs2a" timestamp="1573781403"&gt;32&lt;/key&gt;&lt;/foreign-keys&gt;&lt;ref-type name="Report"&gt;27&lt;/ref-type&gt;&lt;contributors&gt;&lt;authors&gt;&lt;author&gt;NSW Health,&lt;/author&gt;&lt;/authors&gt;&lt;/contributors&gt;&lt;titles&gt;&lt;title&gt;The First 2000 Days Framework&lt;/title&gt;&lt;/titles&gt;&lt;dates&gt;&lt;year&gt;2019&lt;/year&gt;&lt;/dates&gt;&lt;urls&gt;&lt;related-urls&gt;&lt;url&gt;https://www1.health.nsw.gov.au/pds/ActivePDSDocuments/PD2019_008.pdf&lt;/url&gt;&lt;/related-urls&gt;&lt;/urls&gt;&lt;/record&gt;&lt;/Cite&gt;&lt;Cite&gt;&lt;Author&gt;COAG Health Council&lt;/Author&gt;&lt;Year&gt;2015&lt;/Year&gt;&lt;RecNum&gt;19&lt;/RecNum&gt;&lt;record&gt;&lt;rec-number&gt;19&lt;/rec-number&gt;&lt;foreign-keys&gt;&lt;key app="EN" db-id="2wsw9x5wvsspa1evwxlvvergx9epfd50fs2a" timestamp="1571987687"&gt;19&lt;/key&gt;&lt;/foreign-keys&gt;&lt;ref-type name="Report"&gt;27&lt;/ref-type&gt;&lt;contributors&gt;&lt;authors&gt;&lt;author&gt;COAG Health Council,&lt;/author&gt;&lt;/authors&gt;&lt;/contributors&gt;&lt;titles&gt;&lt;title&gt;Healthy, Safe and Thriving: National Strategic Framework for Child and Youth Health&lt;/title&gt;&lt;/titles&gt;&lt;dates&gt;&lt;year&gt;2015&lt;/year&gt;&lt;/dates&gt;&lt;publisher&gt;Australian Health Ministers’ Advisory Council&lt;/publisher&gt;&lt;urls&gt;&lt;related-urls&gt;&lt;url&gt;http://www.coaghealthcouncil.gov.au/Portals/0/Healthy%20Safe%20and%20Thriving%20-%20National%20Strategic%20Framework%20for%20Child%20and%20Youth%20Health.pdf&lt;/url&gt;&lt;/related-urls&gt;&lt;/urls&gt;&lt;/record&gt;&lt;/Cite&gt;&lt;/EndNote&gt;</w:instrText>
      </w:r>
      <w:r w:rsidR="000F7D86" w:rsidRPr="00400300">
        <w:rPr>
          <w:rFonts w:cstheme="minorHAnsi"/>
          <w:lang w:val="en-AU"/>
        </w:rPr>
        <w:fldChar w:fldCharType="separate"/>
      </w:r>
      <w:r w:rsidR="007D2F13" w:rsidRPr="007D2F13">
        <w:rPr>
          <w:rFonts w:cstheme="minorHAnsi"/>
          <w:noProof/>
          <w:vertAlign w:val="superscript"/>
          <w:lang w:val="en-AU"/>
        </w:rPr>
        <w:t>41, 42</w:t>
      </w:r>
      <w:r w:rsidR="000F7D86" w:rsidRPr="00400300">
        <w:rPr>
          <w:rFonts w:cstheme="minorHAnsi"/>
          <w:lang w:val="en-AU"/>
        </w:rPr>
        <w:fldChar w:fldCharType="end"/>
      </w:r>
      <w:r w:rsidR="000F7D86" w:rsidRPr="00400300">
        <w:rPr>
          <w:rFonts w:cstheme="minorHAnsi"/>
          <w:lang w:val="en-AU"/>
        </w:rPr>
        <w:t xml:space="preserve"> </w:t>
      </w:r>
      <w:r w:rsidR="00D91CC6" w:rsidRPr="00400300">
        <w:rPr>
          <w:rFonts w:cstheme="minorHAnsi"/>
          <w:lang w:val="en-AU" w:eastAsia="en-US"/>
        </w:rPr>
        <w:t xml:space="preserve">Factors such as, pre-natal exposure to alcohol and the physical and socio-cultural environment the child is born into can influence the child’s later risk of intentional and unintentional injuries. </w:t>
      </w:r>
      <w:r>
        <w:rPr>
          <w:lang w:val="en-AU"/>
        </w:rPr>
        <w:t>Consequently, it is important to reduce</w:t>
      </w:r>
      <w:r w:rsidR="00D91CC6" w:rsidRPr="00400300">
        <w:rPr>
          <w:lang w:val="en-AU"/>
        </w:rPr>
        <w:t xml:space="preserve"> exposure to the risk factors for injury that are set in motion in early childhood such as neglect, abuse, and stress.</w:t>
      </w:r>
      <w:r w:rsidR="000F7D86">
        <w:rPr>
          <w:rFonts w:cstheme="minorHAnsi"/>
          <w:lang w:val="en-AU" w:eastAsia="en-US"/>
        </w:rPr>
        <w:t xml:space="preserve">  </w:t>
      </w:r>
    </w:p>
    <w:p w14:paraId="7E524749" w14:textId="2048B5F4" w:rsidR="00D91CC6" w:rsidRPr="00400300" w:rsidRDefault="00D91CC6" w:rsidP="00D91CC6">
      <w:pPr>
        <w:rPr>
          <w:lang w:val="en-AU"/>
        </w:rPr>
      </w:pPr>
      <w:r w:rsidRPr="00400300">
        <w:rPr>
          <w:lang w:val="en-AU"/>
        </w:rPr>
        <w:t xml:space="preserve">Policy makers and community planners are encouraged to prioritise </w:t>
      </w:r>
      <w:r w:rsidR="00242163">
        <w:rPr>
          <w:lang w:val="en-AU"/>
        </w:rPr>
        <w:t xml:space="preserve">programs which reduce these risk factors in early childhood. </w:t>
      </w:r>
      <w:r w:rsidRPr="00400300">
        <w:rPr>
          <w:rFonts w:cstheme="minorHAnsi"/>
          <w:lang w:val="en-AU"/>
        </w:rPr>
        <w:t>Frameworks such as the ‘First 1000 days</w:t>
      </w:r>
      <w:r w:rsidRPr="00400300">
        <w:rPr>
          <w:rFonts w:cstheme="minorHAnsi"/>
          <w:lang w:val="en-AU"/>
        </w:rPr>
        <w:fldChar w:fldCharType="begin"/>
      </w:r>
      <w:r w:rsidR="007D2F13">
        <w:rPr>
          <w:rFonts w:cstheme="minorHAnsi"/>
          <w:lang w:val="en-AU"/>
        </w:rPr>
        <w:instrText xml:space="preserve"> ADDIN EN.CITE &lt;EndNote&gt;&lt;Cite&gt;&lt;Author&gt;T&lt;/Author&gt;&lt;Year&gt;2017&lt;/Year&gt;&lt;RecNum&gt;33&lt;/RecNum&gt;&lt;DisplayText&gt;&lt;style face="superscript"&gt;43&lt;/style&gt;&lt;/DisplayText&gt;&lt;record&gt;&lt;rec-number&gt;33&lt;/rec-number&gt;&lt;foreign-keys&gt;&lt;key app="EN" db-id="2wsw9x5wvsspa1evwxlvvergx9epfd50fs2a" timestamp="1573784378"&gt;33&lt;/key&gt;&lt;/foreign-keys&gt;&lt;ref-type name="Report"&gt;27&lt;/ref-type&gt;&lt;contributors&gt;&lt;authors&gt;&lt;author&gt;Moore, T.&lt;/author&gt;&lt;author&gt;Arefadib, N.&lt;/author&gt;&lt;author&gt;Deery, A.&lt;/author&gt;&lt;author&gt;West, S.&lt;/author&gt;&lt;/authors&gt;&lt;/contributors&gt;&lt;titles&gt;&lt;title&gt;The First Thousand Days: An Evidence Paper&lt;/title&gt;&lt;/titles&gt;&lt;dates&gt;&lt;year&gt;2017&lt;/year&gt;&lt;/dates&gt;&lt;pub-location&gt;Parkville, Victoria&lt;/pub-location&gt;&lt;publisher&gt;Centre for Community Child Health, Murdoch Children’s Research Institute&lt;/publisher&gt;&lt;urls&gt;&lt;related-urls&gt;&lt;url&gt;https://static1.squarespace.com/static/5d1563ccaaafe00001ca3d2c/t/5d33fa4550f69e0001f6cbc3/1563687515548/First1000DaysAustralia_CCCH-TheFirstThousandDaysAnEvidencePaper.pdf&lt;/url&gt;&lt;/related-urls&gt;&lt;/urls&gt;&lt;/record&gt;&lt;/Cite&gt;&lt;/EndNote&gt;</w:instrText>
      </w:r>
      <w:r w:rsidRPr="00400300">
        <w:rPr>
          <w:rFonts w:cstheme="minorHAnsi"/>
          <w:lang w:val="en-AU"/>
        </w:rPr>
        <w:fldChar w:fldCharType="separate"/>
      </w:r>
      <w:r w:rsidR="007D2F13" w:rsidRPr="007D2F13">
        <w:rPr>
          <w:rFonts w:cstheme="minorHAnsi"/>
          <w:noProof/>
          <w:vertAlign w:val="superscript"/>
          <w:lang w:val="en-AU"/>
        </w:rPr>
        <w:t>43</w:t>
      </w:r>
      <w:r w:rsidRPr="00400300">
        <w:rPr>
          <w:rFonts w:cstheme="minorHAnsi"/>
          <w:lang w:val="en-AU"/>
        </w:rPr>
        <w:fldChar w:fldCharType="end"/>
      </w:r>
      <w:r w:rsidRPr="00400300">
        <w:rPr>
          <w:rFonts w:cstheme="minorHAnsi"/>
          <w:lang w:val="en-AU"/>
        </w:rPr>
        <w:t xml:space="preserve"> and the First 2000 days’</w:t>
      </w:r>
      <w:r w:rsidRPr="00400300">
        <w:rPr>
          <w:rFonts w:cstheme="minorHAnsi"/>
          <w:lang w:val="en-AU"/>
        </w:rPr>
        <w:fldChar w:fldCharType="begin"/>
      </w:r>
      <w:r w:rsidR="007D2F13">
        <w:rPr>
          <w:rFonts w:cstheme="minorHAnsi"/>
          <w:lang w:val="en-AU"/>
        </w:rPr>
        <w:instrText xml:space="preserve"> ADDIN EN.CITE &lt;EndNote&gt;&lt;Cite&gt;&lt;Author&gt;NSW Health&lt;/Author&gt;&lt;Year&gt;2019&lt;/Year&gt;&lt;RecNum&gt;32&lt;/RecNum&gt;&lt;DisplayText&gt;&lt;style face="superscript"&gt;41&lt;/style&gt;&lt;/DisplayText&gt;&lt;record&gt;&lt;rec-number&gt;32&lt;/rec-number&gt;&lt;foreign-keys&gt;&lt;key app="EN" db-id="2wsw9x5wvsspa1evwxlvvergx9epfd50fs2a" timestamp="1573781403"&gt;32&lt;/key&gt;&lt;/foreign-keys&gt;&lt;ref-type name="Report"&gt;27&lt;/ref-type&gt;&lt;contributors&gt;&lt;authors&gt;&lt;author&gt;NSW Health,&lt;/author&gt;&lt;/authors&gt;&lt;/contributors&gt;&lt;titles&gt;&lt;title&gt;The First 2000 Days Framework&lt;/title&gt;&lt;/titles&gt;&lt;dates&gt;&lt;year&gt;2019&lt;/year&gt;&lt;/dates&gt;&lt;urls&gt;&lt;related-urls&gt;&lt;url&gt;https://www1.health.nsw.gov.au/pds/ActivePDSDocuments/PD2019_008.pdf&lt;/url&gt;&lt;/related-urls&gt;&lt;/urls&gt;&lt;/record&gt;&lt;/Cite&gt;&lt;/EndNote&gt;</w:instrText>
      </w:r>
      <w:r w:rsidRPr="00400300">
        <w:rPr>
          <w:rFonts w:cstheme="minorHAnsi"/>
          <w:lang w:val="en-AU"/>
        </w:rPr>
        <w:fldChar w:fldCharType="separate"/>
      </w:r>
      <w:r w:rsidR="007D2F13" w:rsidRPr="007D2F13">
        <w:rPr>
          <w:rFonts w:cstheme="minorHAnsi"/>
          <w:noProof/>
          <w:vertAlign w:val="superscript"/>
          <w:lang w:val="en-AU"/>
        </w:rPr>
        <w:t>41</w:t>
      </w:r>
      <w:r w:rsidRPr="00400300">
        <w:rPr>
          <w:rFonts w:cstheme="minorHAnsi"/>
          <w:lang w:val="en-AU"/>
        </w:rPr>
        <w:fldChar w:fldCharType="end"/>
      </w:r>
      <w:r w:rsidRPr="00400300">
        <w:rPr>
          <w:rFonts w:cstheme="minorHAnsi"/>
          <w:lang w:val="en-AU"/>
        </w:rPr>
        <w:t xml:space="preserve"> highlight the role of positive early life (beginning from conception) and its role in shaping </w:t>
      </w:r>
      <w:r w:rsidRPr="00400300">
        <w:rPr>
          <w:lang w:val="en-AU"/>
        </w:rPr>
        <w:t>health and wellbeing over the lifespan.</w:t>
      </w:r>
    </w:p>
    <w:p w14:paraId="45754A6A" w14:textId="77777777" w:rsidR="00D91CC6" w:rsidRPr="00400300" w:rsidRDefault="00D91CC6" w:rsidP="00D91CC6">
      <w:pPr>
        <w:rPr>
          <w:rFonts w:cstheme="minorHAnsi"/>
          <w:color w:val="FF0000"/>
          <w:lang w:val="en-AU"/>
        </w:rPr>
      </w:pPr>
    </w:p>
    <w:p w14:paraId="3FB4997A" w14:textId="0AD0534A" w:rsidR="00D91CC6" w:rsidRPr="00400300" w:rsidRDefault="00D91CC6" w:rsidP="00D91CC6">
      <w:pPr>
        <w:pStyle w:val="Caption"/>
        <w:rPr>
          <w:rFonts w:cstheme="minorHAnsi"/>
          <w:color w:val="auto"/>
          <w:lang w:val="en-AU"/>
        </w:rPr>
      </w:pPr>
      <w:bookmarkStart w:id="207" w:name="_Toc30077707"/>
      <w:bookmarkStart w:id="208" w:name="_Toc33447103"/>
      <w:r w:rsidRPr="00400300">
        <w:rPr>
          <w:rFonts w:cstheme="minorHAnsi"/>
          <w:color w:val="auto"/>
          <w:lang w:val="en-AU"/>
        </w:rPr>
        <w:t xml:space="preserve">Table </w:t>
      </w:r>
      <w:r w:rsidRPr="00400300">
        <w:rPr>
          <w:rFonts w:cstheme="minorHAnsi"/>
          <w:color w:val="auto"/>
          <w:lang w:val="en-AU"/>
        </w:rPr>
        <w:fldChar w:fldCharType="begin"/>
      </w:r>
      <w:r w:rsidRPr="00400300">
        <w:rPr>
          <w:rFonts w:cstheme="minorHAnsi"/>
          <w:color w:val="auto"/>
          <w:lang w:val="en-AU"/>
        </w:rPr>
        <w:instrText xml:space="preserve"> SEQ Table \* ARABIC </w:instrText>
      </w:r>
      <w:r w:rsidRPr="00400300">
        <w:rPr>
          <w:rFonts w:cstheme="minorHAnsi"/>
          <w:color w:val="auto"/>
          <w:lang w:val="en-AU"/>
        </w:rPr>
        <w:fldChar w:fldCharType="separate"/>
      </w:r>
      <w:r w:rsidR="00E84433">
        <w:rPr>
          <w:rFonts w:cstheme="minorHAnsi"/>
          <w:noProof/>
          <w:color w:val="auto"/>
          <w:lang w:val="en-AU"/>
        </w:rPr>
        <w:t>2</w:t>
      </w:r>
      <w:r w:rsidRPr="00400300">
        <w:rPr>
          <w:rFonts w:cstheme="minorHAnsi"/>
          <w:color w:val="auto"/>
          <w:lang w:val="en-AU"/>
        </w:rPr>
        <w:fldChar w:fldCharType="end"/>
      </w:r>
      <w:r w:rsidRPr="00400300">
        <w:rPr>
          <w:rFonts w:cstheme="minorHAnsi"/>
          <w:color w:val="auto"/>
          <w:lang w:val="en-AU"/>
        </w:rPr>
        <w:t xml:space="preserve">. Burden of injury </w:t>
      </w:r>
      <w:r w:rsidRPr="00400300">
        <w:rPr>
          <w:rFonts w:cstheme="minorHAnsi"/>
          <w:color w:val="auto"/>
          <w:vertAlign w:val="superscript"/>
          <w:lang w:val="en-AU"/>
        </w:rPr>
        <w:t>[</w:t>
      </w:r>
      <w:r w:rsidRPr="00400300">
        <w:rPr>
          <w:rStyle w:val="FootnoteReference"/>
          <w:rFonts w:cstheme="minorHAnsi"/>
          <w:color w:val="auto"/>
          <w:lang w:val="en-AU"/>
        </w:rPr>
        <w:footnoteReference w:id="5"/>
      </w:r>
      <w:r w:rsidRPr="00400300">
        <w:rPr>
          <w:rFonts w:cstheme="minorHAnsi"/>
          <w:color w:val="auto"/>
          <w:vertAlign w:val="superscript"/>
          <w:lang w:val="en-AU"/>
        </w:rPr>
        <w:t>]</w:t>
      </w:r>
      <w:r w:rsidRPr="00400300">
        <w:rPr>
          <w:rFonts w:cstheme="minorHAnsi"/>
          <w:color w:val="auto"/>
          <w:lang w:val="en-AU"/>
        </w:rPr>
        <w:t xml:space="preserve"> (DALYs) for children and young people aged up to 14 years</w:t>
      </w:r>
      <w:bookmarkEnd w:id="207"/>
      <w:bookmarkEnd w:id="208"/>
    </w:p>
    <w:tbl>
      <w:tblPr>
        <w:tblStyle w:val="TableGrid"/>
        <w:tblW w:w="0" w:type="auto"/>
        <w:tblLook w:val="04A0" w:firstRow="1" w:lastRow="0" w:firstColumn="1" w:lastColumn="0" w:noHBand="0" w:noVBand="1"/>
      </w:tblPr>
      <w:tblGrid>
        <w:gridCol w:w="704"/>
        <w:gridCol w:w="2054"/>
        <w:gridCol w:w="2054"/>
        <w:gridCol w:w="2054"/>
        <w:gridCol w:w="2054"/>
      </w:tblGrid>
      <w:tr w:rsidR="00D91CC6" w:rsidRPr="00400300" w14:paraId="151704FA" w14:textId="77777777" w:rsidTr="00413B22">
        <w:trPr>
          <w:trHeight w:val="283"/>
        </w:trPr>
        <w:tc>
          <w:tcPr>
            <w:tcW w:w="704" w:type="dxa"/>
            <w:shd w:val="clear" w:color="auto" w:fill="auto"/>
            <w:vAlign w:val="center"/>
          </w:tcPr>
          <w:p w14:paraId="0E70B66A" w14:textId="6D0771D3" w:rsidR="00D91CC6" w:rsidRPr="00413B22" w:rsidRDefault="003E5011" w:rsidP="00D91CC6">
            <w:pPr>
              <w:spacing w:before="0"/>
              <w:rPr>
                <w:rFonts w:cstheme="minorHAnsi"/>
                <w:b/>
                <w:sz w:val="20"/>
                <w:szCs w:val="20"/>
                <w:lang w:val="en-AU"/>
              </w:rPr>
            </w:pPr>
            <w:r w:rsidRPr="00413B22">
              <w:rPr>
                <w:rFonts w:cstheme="minorHAnsi"/>
                <w:b/>
                <w:sz w:val="20"/>
                <w:szCs w:val="20"/>
                <w:lang w:val="en-AU"/>
              </w:rPr>
              <w:t>Rank</w:t>
            </w:r>
          </w:p>
        </w:tc>
        <w:tc>
          <w:tcPr>
            <w:tcW w:w="2054" w:type="dxa"/>
            <w:shd w:val="clear" w:color="auto" w:fill="auto"/>
            <w:vAlign w:val="center"/>
          </w:tcPr>
          <w:p w14:paraId="1512B2DD" w14:textId="77777777" w:rsidR="00D91CC6" w:rsidRPr="00400300" w:rsidRDefault="00D91CC6" w:rsidP="00D91CC6">
            <w:pPr>
              <w:spacing w:before="0"/>
              <w:rPr>
                <w:rFonts w:cstheme="minorHAnsi"/>
                <w:b/>
                <w:sz w:val="20"/>
                <w:szCs w:val="20"/>
                <w:lang w:val="en-AU"/>
              </w:rPr>
            </w:pPr>
            <w:r w:rsidRPr="00400300">
              <w:rPr>
                <w:rFonts w:cstheme="minorHAnsi"/>
                <w:b/>
                <w:sz w:val="20"/>
                <w:szCs w:val="20"/>
                <w:lang w:val="en-AU"/>
              </w:rPr>
              <w:t>&lt;1 year</w:t>
            </w:r>
          </w:p>
        </w:tc>
        <w:tc>
          <w:tcPr>
            <w:tcW w:w="2054" w:type="dxa"/>
            <w:shd w:val="clear" w:color="auto" w:fill="auto"/>
            <w:vAlign w:val="center"/>
          </w:tcPr>
          <w:p w14:paraId="09647E2A" w14:textId="77777777" w:rsidR="00D91CC6" w:rsidRPr="00400300" w:rsidRDefault="00D91CC6" w:rsidP="00D91CC6">
            <w:pPr>
              <w:spacing w:before="0"/>
              <w:rPr>
                <w:rFonts w:cstheme="minorHAnsi"/>
                <w:b/>
                <w:sz w:val="20"/>
                <w:szCs w:val="20"/>
                <w:lang w:val="en-AU"/>
              </w:rPr>
            </w:pPr>
            <w:r w:rsidRPr="00400300">
              <w:rPr>
                <w:rFonts w:cstheme="minorHAnsi"/>
                <w:b/>
                <w:sz w:val="20"/>
                <w:szCs w:val="20"/>
                <w:lang w:val="en-AU"/>
              </w:rPr>
              <w:t>1-4 years</w:t>
            </w:r>
          </w:p>
        </w:tc>
        <w:tc>
          <w:tcPr>
            <w:tcW w:w="2054" w:type="dxa"/>
            <w:shd w:val="clear" w:color="auto" w:fill="auto"/>
            <w:vAlign w:val="center"/>
          </w:tcPr>
          <w:p w14:paraId="6F48B55F" w14:textId="77777777" w:rsidR="00D91CC6" w:rsidRPr="00400300" w:rsidRDefault="00D91CC6" w:rsidP="00D91CC6">
            <w:pPr>
              <w:spacing w:before="0"/>
              <w:rPr>
                <w:rFonts w:cstheme="minorHAnsi"/>
                <w:b/>
                <w:sz w:val="20"/>
                <w:szCs w:val="20"/>
                <w:lang w:val="en-AU"/>
              </w:rPr>
            </w:pPr>
            <w:r w:rsidRPr="00400300">
              <w:rPr>
                <w:rFonts w:cstheme="minorHAnsi"/>
                <w:b/>
                <w:sz w:val="20"/>
                <w:szCs w:val="20"/>
                <w:lang w:val="en-AU"/>
              </w:rPr>
              <w:t>5-9 years</w:t>
            </w:r>
          </w:p>
        </w:tc>
        <w:tc>
          <w:tcPr>
            <w:tcW w:w="2054" w:type="dxa"/>
            <w:shd w:val="clear" w:color="auto" w:fill="auto"/>
            <w:vAlign w:val="center"/>
          </w:tcPr>
          <w:p w14:paraId="5362EC7B" w14:textId="77777777" w:rsidR="00D91CC6" w:rsidRPr="00400300" w:rsidRDefault="00D91CC6" w:rsidP="00D91CC6">
            <w:pPr>
              <w:spacing w:before="0"/>
              <w:rPr>
                <w:rFonts w:cstheme="minorHAnsi"/>
                <w:b/>
                <w:sz w:val="20"/>
                <w:szCs w:val="20"/>
                <w:lang w:val="en-AU"/>
              </w:rPr>
            </w:pPr>
            <w:r w:rsidRPr="00400300">
              <w:rPr>
                <w:rFonts w:cstheme="minorHAnsi"/>
                <w:b/>
                <w:sz w:val="20"/>
                <w:szCs w:val="20"/>
                <w:lang w:val="en-AU"/>
              </w:rPr>
              <w:t>10-14 years</w:t>
            </w:r>
          </w:p>
        </w:tc>
      </w:tr>
      <w:tr w:rsidR="00D91CC6" w:rsidRPr="00400300" w14:paraId="095ABE3A" w14:textId="77777777" w:rsidTr="00413B22">
        <w:trPr>
          <w:trHeight w:val="283"/>
        </w:trPr>
        <w:tc>
          <w:tcPr>
            <w:tcW w:w="704" w:type="dxa"/>
            <w:shd w:val="clear" w:color="auto" w:fill="auto"/>
            <w:vAlign w:val="center"/>
          </w:tcPr>
          <w:p w14:paraId="5164E36F"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1</w:t>
            </w:r>
          </w:p>
        </w:tc>
        <w:tc>
          <w:tcPr>
            <w:tcW w:w="2054" w:type="dxa"/>
            <w:shd w:val="clear" w:color="auto" w:fill="DEEAF6" w:themeFill="accent1" w:themeFillTint="33"/>
            <w:vAlign w:val="center"/>
          </w:tcPr>
          <w:p w14:paraId="2675F676"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Other unintentional injuries</w:t>
            </w:r>
          </w:p>
        </w:tc>
        <w:tc>
          <w:tcPr>
            <w:tcW w:w="2054" w:type="dxa"/>
            <w:shd w:val="clear" w:color="auto" w:fill="FF9FE6"/>
            <w:vAlign w:val="center"/>
          </w:tcPr>
          <w:p w14:paraId="167CDE3E"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Drowning</w:t>
            </w:r>
          </w:p>
        </w:tc>
        <w:tc>
          <w:tcPr>
            <w:tcW w:w="2054" w:type="dxa"/>
            <w:shd w:val="clear" w:color="auto" w:fill="660066"/>
            <w:vAlign w:val="center"/>
          </w:tcPr>
          <w:p w14:paraId="4F66AE0A" w14:textId="77777777" w:rsidR="00D91CC6" w:rsidRPr="003E5011" w:rsidRDefault="00D91CC6" w:rsidP="00D91CC6">
            <w:pPr>
              <w:spacing w:before="0"/>
              <w:rPr>
                <w:rFonts w:cstheme="minorHAnsi"/>
                <w:color w:val="FFFFFF" w:themeColor="background1"/>
                <w:sz w:val="20"/>
                <w:szCs w:val="20"/>
                <w:lang w:val="en-AU"/>
              </w:rPr>
            </w:pPr>
            <w:r w:rsidRPr="003E5011">
              <w:rPr>
                <w:rFonts w:cstheme="minorHAnsi"/>
                <w:color w:val="FFFFFF" w:themeColor="background1"/>
                <w:sz w:val="20"/>
                <w:szCs w:val="20"/>
                <w:lang w:val="en-AU"/>
              </w:rPr>
              <w:t>Falls</w:t>
            </w:r>
          </w:p>
        </w:tc>
        <w:tc>
          <w:tcPr>
            <w:tcW w:w="2054" w:type="dxa"/>
            <w:shd w:val="clear" w:color="auto" w:fill="1F3864" w:themeFill="accent5" w:themeFillShade="80"/>
            <w:vAlign w:val="center"/>
          </w:tcPr>
          <w:p w14:paraId="312F9458" w14:textId="77777777" w:rsidR="00D91CC6" w:rsidRPr="003E5011" w:rsidRDefault="00D91CC6" w:rsidP="00D91CC6">
            <w:pPr>
              <w:spacing w:before="0"/>
              <w:rPr>
                <w:rFonts w:cstheme="minorHAnsi"/>
                <w:color w:val="FFFFFF" w:themeColor="background1"/>
                <w:sz w:val="20"/>
                <w:szCs w:val="20"/>
                <w:lang w:val="en-AU"/>
              </w:rPr>
            </w:pPr>
            <w:r w:rsidRPr="003E5011">
              <w:rPr>
                <w:rFonts w:cstheme="minorHAnsi"/>
                <w:color w:val="FFFFFF" w:themeColor="background1"/>
                <w:sz w:val="20"/>
                <w:szCs w:val="20"/>
                <w:lang w:val="en-AU"/>
              </w:rPr>
              <w:t>Suicide and self-inflicted injuries</w:t>
            </w:r>
          </w:p>
        </w:tc>
      </w:tr>
      <w:tr w:rsidR="00D91CC6" w:rsidRPr="00400300" w14:paraId="3FE4819D" w14:textId="77777777" w:rsidTr="00413B22">
        <w:trPr>
          <w:trHeight w:val="283"/>
        </w:trPr>
        <w:tc>
          <w:tcPr>
            <w:tcW w:w="704" w:type="dxa"/>
            <w:shd w:val="clear" w:color="auto" w:fill="auto"/>
            <w:vAlign w:val="center"/>
          </w:tcPr>
          <w:p w14:paraId="79406AC5"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2</w:t>
            </w:r>
          </w:p>
        </w:tc>
        <w:tc>
          <w:tcPr>
            <w:tcW w:w="2054" w:type="dxa"/>
            <w:shd w:val="clear" w:color="auto" w:fill="28659C"/>
            <w:vAlign w:val="center"/>
          </w:tcPr>
          <w:p w14:paraId="374CEE25" w14:textId="77777777" w:rsidR="00D91CC6" w:rsidRPr="00400300" w:rsidRDefault="00D91CC6" w:rsidP="00D91CC6">
            <w:pPr>
              <w:spacing w:before="0"/>
              <w:rPr>
                <w:rFonts w:cstheme="minorHAnsi"/>
                <w:sz w:val="20"/>
                <w:szCs w:val="20"/>
                <w:lang w:val="en-AU"/>
              </w:rPr>
            </w:pPr>
            <w:r w:rsidRPr="003E5011">
              <w:rPr>
                <w:rFonts w:cstheme="minorHAnsi"/>
                <w:color w:val="FFFFFF" w:themeColor="background1"/>
                <w:sz w:val="20"/>
                <w:szCs w:val="20"/>
                <w:lang w:val="en-AU"/>
              </w:rPr>
              <w:t>Homicide and violence</w:t>
            </w:r>
          </w:p>
        </w:tc>
        <w:tc>
          <w:tcPr>
            <w:tcW w:w="2054" w:type="dxa"/>
            <w:shd w:val="clear" w:color="auto" w:fill="DEEAF6" w:themeFill="accent1" w:themeFillTint="33"/>
            <w:vAlign w:val="center"/>
          </w:tcPr>
          <w:p w14:paraId="1D58CE8C"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Other unintentional injuries</w:t>
            </w:r>
          </w:p>
        </w:tc>
        <w:tc>
          <w:tcPr>
            <w:tcW w:w="2054" w:type="dxa"/>
            <w:shd w:val="clear" w:color="auto" w:fill="DEEAF6" w:themeFill="accent1" w:themeFillTint="33"/>
            <w:vAlign w:val="center"/>
          </w:tcPr>
          <w:p w14:paraId="72F880D0"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Other unintentional injuries</w:t>
            </w:r>
          </w:p>
        </w:tc>
        <w:tc>
          <w:tcPr>
            <w:tcW w:w="2054" w:type="dxa"/>
            <w:shd w:val="clear" w:color="auto" w:fill="660066"/>
            <w:vAlign w:val="center"/>
          </w:tcPr>
          <w:p w14:paraId="42728EFE" w14:textId="77777777" w:rsidR="00D91CC6" w:rsidRPr="003E5011" w:rsidRDefault="00D91CC6" w:rsidP="00D91CC6">
            <w:pPr>
              <w:spacing w:before="0"/>
              <w:rPr>
                <w:rFonts w:cstheme="minorHAnsi"/>
                <w:color w:val="FFFFFF" w:themeColor="background1"/>
                <w:sz w:val="20"/>
                <w:szCs w:val="20"/>
                <w:lang w:val="en-AU"/>
              </w:rPr>
            </w:pPr>
            <w:r w:rsidRPr="003E5011">
              <w:rPr>
                <w:rFonts w:cstheme="minorHAnsi"/>
                <w:color w:val="FFFFFF" w:themeColor="background1"/>
                <w:sz w:val="20"/>
                <w:szCs w:val="20"/>
                <w:lang w:val="en-AU"/>
              </w:rPr>
              <w:t>Falls</w:t>
            </w:r>
          </w:p>
        </w:tc>
      </w:tr>
      <w:tr w:rsidR="00D91CC6" w:rsidRPr="00400300" w14:paraId="59EB1E2A" w14:textId="77777777" w:rsidTr="00413B22">
        <w:trPr>
          <w:trHeight w:val="283"/>
        </w:trPr>
        <w:tc>
          <w:tcPr>
            <w:tcW w:w="704" w:type="dxa"/>
            <w:shd w:val="clear" w:color="auto" w:fill="auto"/>
            <w:vAlign w:val="center"/>
          </w:tcPr>
          <w:p w14:paraId="3C4D279F"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3</w:t>
            </w:r>
          </w:p>
        </w:tc>
        <w:tc>
          <w:tcPr>
            <w:tcW w:w="2054" w:type="dxa"/>
            <w:shd w:val="clear" w:color="auto" w:fill="7999FF"/>
            <w:vAlign w:val="center"/>
          </w:tcPr>
          <w:p w14:paraId="76F5D274"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Road transport injury</w:t>
            </w:r>
          </w:p>
        </w:tc>
        <w:tc>
          <w:tcPr>
            <w:tcW w:w="2054" w:type="dxa"/>
            <w:shd w:val="clear" w:color="auto" w:fill="28659C"/>
            <w:vAlign w:val="center"/>
          </w:tcPr>
          <w:p w14:paraId="4F97A839" w14:textId="77777777" w:rsidR="00D91CC6" w:rsidRPr="00400300" w:rsidRDefault="00D91CC6" w:rsidP="00D91CC6">
            <w:pPr>
              <w:spacing w:before="0"/>
              <w:rPr>
                <w:rFonts w:cstheme="minorHAnsi"/>
                <w:sz w:val="20"/>
                <w:szCs w:val="20"/>
                <w:lang w:val="en-AU"/>
              </w:rPr>
            </w:pPr>
            <w:r w:rsidRPr="003E5011">
              <w:rPr>
                <w:rFonts w:cstheme="minorHAnsi"/>
                <w:color w:val="FFFFFF" w:themeColor="background1"/>
                <w:sz w:val="20"/>
                <w:szCs w:val="20"/>
                <w:lang w:val="en-AU"/>
              </w:rPr>
              <w:t>Homicide and violence</w:t>
            </w:r>
          </w:p>
        </w:tc>
        <w:tc>
          <w:tcPr>
            <w:tcW w:w="2054" w:type="dxa"/>
            <w:shd w:val="clear" w:color="auto" w:fill="7999FF"/>
            <w:vAlign w:val="center"/>
          </w:tcPr>
          <w:p w14:paraId="081D64C2"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Road transport injury</w:t>
            </w:r>
          </w:p>
        </w:tc>
        <w:tc>
          <w:tcPr>
            <w:tcW w:w="2054" w:type="dxa"/>
            <w:shd w:val="clear" w:color="auto" w:fill="7999FF"/>
            <w:vAlign w:val="center"/>
          </w:tcPr>
          <w:p w14:paraId="6AAF15FB"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Road transport injury</w:t>
            </w:r>
          </w:p>
        </w:tc>
      </w:tr>
      <w:tr w:rsidR="00D91CC6" w:rsidRPr="00400300" w14:paraId="2710CD80" w14:textId="77777777" w:rsidTr="00413B22">
        <w:trPr>
          <w:trHeight w:val="283"/>
        </w:trPr>
        <w:tc>
          <w:tcPr>
            <w:tcW w:w="704" w:type="dxa"/>
            <w:shd w:val="clear" w:color="auto" w:fill="auto"/>
            <w:vAlign w:val="center"/>
          </w:tcPr>
          <w:p w14:paraId="2BF12540"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4</w:t>
            </w:r>
          </w:p>
        </w:tc>
        <w:tc>
          <w:tcPr>
            <w:tcW w:w="2054" w:type="dxa"/>
            <w:shd w:val="clear" w:color="auto" w:fill="FF9FE6"/>
            <w:vAlign w:val="center"/>
          </w:tcPr>
          <w:p w14:paraId="5D2EC29E"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Drowning</w:t>
            </w:r>
          </w:p>
        </w:tc>
        <w:tc>
          <w:tcPr>
            <w:tcW w:w="2054" w:type="dxa"/>
            <w:shd w:val="clear" w:color="auto" w:fill="7999FF"/>
            <w:vAlign w:val="center"/>
          </w:tcPr>
          <w:p w14:paraId="65ED1458"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Road transport injury</w:t>
            </w:r>
          </w:p>
        </w:tc>
        <w:tc>
          <w:tcPr>
            <w:tcW w:w="2054" w:type="dxa"/>
            <w:shd w:val="clear" w:color="auto" w:fill="FF9FE6"/>
            <w:vAlign w:val="center"/>
          </w:tcPr>
          <w:p w14:paraId="533251DA"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Drowning</w:t>
            </w:r>
          </w:p>
        </w:tc>
        <w:tc>
          <w:tcPr>
            <w:tcW w:w="2054" w:type="dxa"/>
            <w:shd w:val="clear" w:color="auto" w:fill="DEEAF6" w:themeFill="accent1" w:themeFillTint="33"/>
            <w:vAlign w:val="center"/>
          </w:tcPr>
          <w:p w14:paraId="4C7B08E3"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Other unintentional injuries</w:t>
            </w:r>
          </w:p>
        </w:tc>
      </w:tr>
      <w:tr w:rsidR="00D91CC6" w:rsidRPr="00400300" w14:paraId="73E3D4B1" w14:textId="77777777" w:rsidTr="00413B22">
        <w:trPr>
          <w:trHeight w:val="283"/>
        </w:trPr>
        <w:tc>
          <w:tcPr>
            <w:tcW w:w="704" w:type="dxa"/>
            <w:shd w:val="clear" w:color="auto" w:fill="auto"/>
            <w:vAlign w:val="center"/>
          </w:tcPr>
          <w:p w14:paraId="4AA86398"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5</w:t>
            </w:r>
          </w:p>
        </w:tc>
        <w:tc>
          <w:tcPr>
            <w:tcW w:w="2054" w:type="dxa"/>
            <w:shd w:val="clear" w:color="auto" w:fill="660066"/>
            <w:vAlign w:val="center"/>
          </w:tcPr>
          <w:p w14:paraId="39018B9F" w14:textId="77777777" w:rsidR="00D91CC6" w:rsidRPr="00400300" w:rsidRDefault="00D91CC6" w:rsidP="00D91CC6">
            <w:pPr>
              <w:spacing w:before="0"/>
              <w:rPr>
                <w:rFonts w:cstheme="minorHAnsi"/>
                <w:sz w:val="20"/>
                <w:szCs w:val="20"/>
                <w:lang w:val="en-AU"/>
              </w:rPr>
            </w:pPr>
            <w:r w:rsidRPr="003E5011">
              <w:rPr>
                <w:rFonts w:cstheme="minorHAnsi"/>
                <w:color w:val="FFFFFF" w:themeColor="background1"/>
                <w:sz w:val="20"/>
                <w:szCs w:val="20"/>
                <w:lang w:val="en-AU"/>
              </w:rPr>
              <w:t>Falls</w:t>
            </w:r>
          </w:p>
        </w:tc>
        <w:tc>
          <w:tcPr>
            <w:tcW w:w="2054" w:type="dxa"/>
            <w:shd w:val="clear" w:color="auto" w:fill="990099"/>
            <w:vAlign w:val="center"/>
          </w:tcPr>
          <w:p w14:paraId="0B561E98" w14:textId="77777777" w:rsidR="00D91CC6" w:rsidRPr="00413B22" w:rsidRDefault="00D91CC6" w:rsidP="00D91CC6">
            <w:pPr>
              <w:spacing w:before="0"/>
              <w:rPr>
                <w:rFonts w:cstheme="minorHAnsi"/>
                <w:color w:val="FFFFFF" w:themeColor="background1"/>
                <w:sz w:val="20"/>
                <w:szCs w:val="20"/>
                <w:lang w:val="en-AU"/>
              </w:rPr>
            </w:pPr>
            <w:r w:rsidRPr="00413B22">
              <w:rPr>
                <w:rFonts w:cstheme="minorHAnsi"/>
                <w:color w:val="FFFFFF" w:themeColor="background1"/>
                <w:sz w:val="20"/>
                <w:szCs w:val="20"/>
                <w:lang w:val="en-AU"/>
              </w:rPr>
              <w:t>Other land transport injuries</w:t>
            </w:r>
          </w:p>
        </w:tc>
        <w:tc>
          <w:tcPr>
            <w:tcW w:w="2054" w:type="dxa"/>
            <w:shd w:val="clear" w:color="auto" w:fill="990099"/>
            <w:vAlign w:val="center"/>
          </w:tcPr>
          <w:p w14:paraId="01E059CE" w14:textId="77777777" w:rsidR="00D91CC6" w:rsidRPr="00413B22" w:rsidRDefault="00D91CC6" w:rsidP="00D91CC6">
            <w:pPr>
              <w:spacing w:before="0"/>
              <w:rPr>
                <w:rFonts w:cstheme="minorHAnsi"/>
                <w:color w:val="FFFFFF" w:themeColor="background1"/>
                <w:sz w:val="20"/>
                <w:szCs w:val="20"/>
                <w:lang w:val="en-AU"/>
              </w:rPr>
            </w:pPr>
            <w:r w:rsidRPr="00413B22">
              <w:rPr>
                <w:rFonts w:cstheme="minorHAnsi"/>
                <w:color w:val="FFFFFF" w:themeColor="background1"/>
                <w:sz w:val="20"/>
                <w:szCs w:val="20"/>
                <w:lang w:val="en-AU"/>
              </w:rPr>
              <w:t>Other land transport injuries</w:t>
            </w:r>
          </w:p>
        </w:tc>
        <w:tc>
          <w:tcPr>
            <w:tcW w:w="2054" w:type="dxa"/>
            <w:shd w:val="clear" w:color="auto" w:fill="990099"/>
            <w:vAlign w:val="center"/>
          </w:tcPr>
          <w:p w14:paraId="16E1EA3D" w14:textId="77777777" w:rsidR="00D91CC6" w:rsidRPr="00413B22" w:rsidRDefault="00D91CC6" w:rsidP="00D91CC6">
            <w:pPr>
              <w:spacing w:before="0"/>
              <w:rPr>
                <w:rFonts w:cstheme="minorHAnsi"/>
                <w:color w:val="FFFFFF" w:themeColor="background1"/>
                <w:sz w:val="20"/>
                <w:szCs w:val="20"/>
                <w:lang w:val="en-AU"/>
              </w:rPr>
            </w:pPr>
            <w:r w:rsidRPr="00413B22">
              <w:rPr>
                <w:rFonts w:cstheme="minorHAnsi"/>
                <w:color w:val="FFFFFF" w:themeColor="background1"/>
                <w:sz w:val="20"/>
                <w:szCs w:val="20"/>
                <w:lang w:val="en-AU"/>
              </w:rPr>
              <w:t>Other land transport injuries</w:t>
            </w:r>
          </w:p>
        </w:tc>
      </w:tr>
      <w:tr w:rsidR="00D91CC6" w:rsidRPr="00400300" w14:paraId="3180429E" w14:textId="77777777" w:rsidTr="00413B22">
        <w:trPr>
          <w:trHeight w:val="283"/>
        </w:trPr>
        <w:tc>
          <w:tcPr>
            <w:tcW w:w="704" w:type="dxa"/>
            <w:shd w:val="clear" w:color="auto" w:fill="auto"/>
            <w:vAlign w:val="center"/>
          </w:tcPr>
          <w:p w14:paraId="0663736E"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6</w:t>
            </w:r>
          </w:p>
        </w:tc>
        <w:tc>
          <w:tcPr>
            <w:tcW w:w="2054" w:type="dxa"/>
            <w:shd w:val="clear" w:color="auto" w:fill="990099"/>
            <w:vAlign w:val="center"/>
          </w:tcPr>
          <w:p w14:paraId="304FF072" w14:textId="77777777" w:rsidR="00D91CC6" w:rsidRPr="00413B22" w:rsidRDefault="00D91CC6" w:rsidP="00D91CC6">
            <w:pPr>
              <w:spacing w:before="0"/>
              <w:rPr>
                <w:rFonts w:cstheme="minorHAnsi"/>
                <w:color w:val="FFFFFF" w:themeColor="background1"/>
                <w:sz w:val="20"/>
                <w:szCs w:val="20"/>
                <w:lang w:val="en-AU"/>
              </w:rPr>
            </w:pPr>
            <w:r w:rsidRPr="00413B22">
              <w:rPr>
                <w:rFonts w:cstheme="minorHAnsi"/>
                <w:color w:val="FFFFFF" w:themeColor="background1"/>
                <w:sz w:val="20"/>
                <w:szCs w:val="20"/>
                <w:lang w:val="en-AU"/>
              </w:rPr>
              <w:t>Other land transport injuries</w:t>
            </w:r>
          </w:p>
        </w:tc>
        <w:tc>
          <w:tcPr>
            <w:tcW w:w="2054" w:type="dxa"/>
            <w:shd w:val="clear" w:color="auto" w:fill="660066"/>
            <w:vAlign w:val="center"/>
          </w:tcPr>
          <w:p w14:paraId="05C802B6" w14:textId="77777777" w:rsidR="00D91CC6" w:rsidRPr="00400300" w:rsidRDefault="00D91CC6" w:rsidP="00D91CC6">
            <w:pPr>
              <w:spacing w:before="0"/>
              <w:rPr>
                <w:rFonts w:cstheme="minorHAnsi"/>
                <w:sz w:val="20"/>
                <w:szCs w:val="20"/>
                <w:lang w:val="en-AU"/>
              </w:rPr>
            </w:pPr>
            <w:r w:rsidRPr="003E5011">
              <w:rPr>
                <w:rFonts w:cstheme="minorHAnsi"/>
                <w:color w:val="FFFFFF" w:themeColor="background1"/>
                <w:sz w:val="20"/>
                <w:szCs w:val="20"/>
                <w:lang w:val="en-AU"/>
              </w:rPr>
              <w:t>Falls</w:t>
            </w:r>
          </w:p>
        </w:tc>
        <w:tc>
          <w:tcPr>
            <w:tcW w:w="2054" w:type="dxa"/>
            <w:shd w:val="clear" w:color="auto" w:fill="28659C"/>
            <w:vAlign w:val="center"/>
          </w:tcPr>
          <w:p w14:paraId="651CA38E" w14:textId="77777777" w:rsidR="00D91CC6" w:rsidRPr="003E5011" w:rsidRDefault="00D91CC6" w:rsidP="00D91CC6">
            <w:pPr>
              <w:spacing w:before="0"/>
              <w:rPr>
                <w:rFonts w:cstheme="minorHAnsi"/>
                <w:color w:val="FFFFFF" w:themeColor="background1"/>
                <w:sz w:val="20"/>
                <w:szCs w:val="20"/>
                <w:lang w:val="en-AU"/>
              </w:rPr>
            </w:pPr>
            <w:r w:rsidRPr="003E5011">
              <w:rPr>
                <w:rFonts w:cstheme="minorHAnsi"/>
                <w:color w:val="FFFFFF" w:themeColor="background1"/>
                <w:sz w:val="20"/>
                <w:szCs w:val="20"/>
                <w:lang w:val="en-AU"/>
              </w:rPr>
              <w:t>Homicide and violence</w:t>
            </w:r>
          </w:p>
        </w:tc>
        <w:tc>
          <w:tcPr>
            <w:tcW w:w="2054" w:type="dxa"/>
            <w:shd w:val="clear" w:color="auto" w:fill="28659C"/>
            <w:vAlign w:val="center"/>
          </w:tcPr>
          <w:p w14:paraId="16BB7B92" w14:textId="77777777" w:rsidR="00D91CC6" w:rsidRPr="003E5011" w:rsidRDefault="00D91CC6" w:rsidP="00D91CC6">
            <w:pPr>
              <w:spacing w:before="0"/>
              <w:rPr>
                <w:rFonts w:cstheme="minorHAnsi"/>
                <w:color w:val="FFFFFF" w:themeColor="background1"/>
                <w:sz w:val="20"/>
                <w:szCs w:val="20"/>
                <w:lang w:val="en-AU"/>
              </w:rPr>
            </w:pPr>
            <w:r w:rsidRPr="003E5011">
              <w:rPr>
                <w:rFonts w:cstheme="minorHAnsi"/>
                <w:color w:val="FFFFFF" w:themeColor="background1"/>
                <w:sz w:val="20"/>
                <w:szCs w:val="20"/>
                <w:lang w:val="en-AU"/>
              </w:rPr>
              <w:t>Homicide and violence</w:t>
            </w:r>
          </w:p>
        </w:tc>
      </w:tr>
      <w:tr w:rsidR="00D91CC6" w:rsidRPr="00400300" w14:paraId="36CFDE49" w14:textId="77777777" w:rsidTr="00413B22">
        <w:trPr>
          <w:trHeight w:val="283"/>
        </w:trPr>
        <w:tc>
          <w:tcPr>
            <w:tcW w:w="704" w:type="dxa"/>
            <w:shd w:val="clear" w:color="auto" w:fill="auto"/>
            <w:vAlign w:val="center"/>
          </w:tcPr>
          <w:p w14:paraId="2088722E"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7</w:t>
            </w:r>
          </w:p>
        </w:tc>
        <w:tc>
          <w:tcPr>
            <w:tcW w:w="2054" w:type="dxa"/>
            <w:shd w:val="clear" w:color="auto" w:fill="ED7D31" w:themeFill="accent2"/>
            <w:vAlign w:val="center"/>
          </w:tcPr>
          <w:p w14:paraId="2D910CD4"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Fire, burns and scalds</w:t>
            </w:r>
          </w:p>
        </w:tc>
        <w:tc>
          <w:tcPr>
            <w:tcW w:w="2054" w:type="dxa"/>
            <w:shd w:val="clear" w:color="auto" w:fill="ED7D31" w:themeFill="accent2"/>
            <w:vAlign w:val="center"/>
          </w:tcPr>
          <w:p w14:paraId="30A5EABF"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Fire, burns and scalds</w:t>
            </w:r>
          </w:p>
        </w:tc>
        <w:tc>
          <w:tcPr>
            <w:tcW w:w="2054" w:type="dxa"/>
            <w:shd w:val="clear" w:color="auto" w:fill="ED7D31" w:themeFill="accent2"/>
            <w:vAlign w:val="center"/>
          </w:tcPr>
          <w:p w14:paraId="682B7109"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Fire, burns and scalds</w:t>
            </w:r>
          </w:p>
        </w:tc>
        <w:tc>
          <w:tcPr>
            <w:tcW w:w="2054" w:type="dxa"/>
            <w:shd w:val="clear" w:color="auto" w:fill="69D8FF"/>
            <w:vAlign w:val="center"/>
          </w:tcPr>
          <w:p w14:paraId="659C4354"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Poisoning</w:t>
            </w:r>
          </w:p>
        </w:tc>
      </w:tr>
      <w:tr w:rsidR="00D91CC6" w:rsidRPr="00400300" w14:paraId="0D2C1F66" w14:textId="77777777" w:rsidTr="00413B22">
        <w:trPr>
          <w:trHeight w:val="283"/>
        </w:trPr>
        <w:tc>
          <w:tcPr>
            <w:tcW w:w="704" w:type="dxa"/>
            <w:shd w:val="clear" w:color="auto" w:fill="auto"/>
            <w:vAlign w:val="center"/>
          </w:tcPr>
          <w:p w14:paraId="5F8F5828"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8</w:t>
            </w:r>
          </w:p>
        </w:tc>
        <w:tc>
          <w:tcPr>
            <w:tcW w:w="2054" w:type="dxa"/>
            <w:shd w:val="clear" w:color="auto" w:fill="69D8FF"/>
            <w:vAlign w:val="center"/>
          </w:tcPr>
          <w:p w14:paraId="1935D4DE"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Poisoning</w:t>
            </w:r>
          </w:p>
        </w:tc>
        <w:tc>
          <w:tcPr>
            <w:tcW w:w="2054" w:type="dxa"/>
            <w:shd w:val="clear" w:color="auto" w:fill="69D8FF"/>
            <w:vAlign w:val="center"/>
          </w:tcPr>
          <w:p w14:paraId="4134166D"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Poisoning</w:t>
            </w:r>
          </w:p>
        </w:tc>
        <w:tc>
          <w:tcPr>
            <w:tcW w:w="2054" w:type="dxa"/>
            <w:shd w:val="clear" w:color="auto" w:fill="69D8FF"/>
            <w:vAlign w:val="center"/>
          </w:tcPr>
          <w:p w14:paraId="064D1BE8"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Poisoning</w:t>
            </w:r>
          </w:p>
        </w:tc>
        <w:tc>
          <w:tcPr>
            <w:tcW w:w="2054" w:type="dxa"/>
            <w:shd w:val="clear" w:color="auto" w:fill="ED7D31" w:themeFill="accent2"/>
            <w:vAlign w:val="center"/>
          </w:tcPr>
          <w:p w14:paraId="5734519F"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Fire, burns and scalds</w:t>
            </w:r>
          </w:p>
        </w:tc>
      </w:tr>
      <w:tr w:rsidR="00D91CC6" w:rsidRPr="00400300" w14:paraId="1D3D1B60" w14:textId="77777777" w:rsidTr="00413B22">
        <w:trPr>
          <w:trHeight w:val="283"/>
        </w:trPr>
        <w:tc>
          <w:tcPr>
            <w:tcW w:w="704" w:type="dxa"/>
            <w:shd w:val="clear" w:color="auto" w:fill="auto"/>
            <w:vAlign w:val="center"/>
          </w:tcPr>
          <w:p w14:paraId="70BD4F56"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9</w:t>
            </w:r>
          </w:p>
        </w:tc>
        <w:tc>
          <w:tcPr>
            <w:tcW w:w="2054" w:type="dxa"/>
            <w:shd w:val="clear" w:color="auto" w:fill="DBDBDB" w:themeFill="accent3" w:themeFillTint="66"/>
            <w:vAlign w:val="center"/>
          </w:tcPr>
          <w:p w14:paraId="29999ACB"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All other external causes of injury</w:t>
            </w:r>
          </w:p>
        </w:tc>
        <w:tc>
          <w:tcPr>
            <w:tcW w:w="2054" w:type="dxa"/>
            <w:shd w:val="clear" w:color="auto" w:fill="DBDBDB" w:themeFill="accent3" w:themeFillTint="66"/>
            <w:vAlign w:val="center"/>
          </w:tcPr>
          <w:p w14:paraId="04D41DAA"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All other external causes of injury</w:t>
            </w:r>
          </w:p>
        </w:tc>
        <w:tc>
          <w:tcPr>
            <w:tcW w:w="2054" w:type="dxa"/>
            <w:shd w:val="clear" w:color="auto" w:fill="DBDBDB" w:themeFill="accent3" w:themeFillTint="66"/>
            <w:vAlign w:val="center"/>
          </w:tcPr>
          <w:p w14:paraId="5882B3E9"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All other external causes of injury</w:t>
            </w:r>
          </w:p>
        </w:tc>
        <w:tc>
          <w:tcPr>
            <w:tcW w:w="2054" w:type="dxa"/>
            <w:shd w:val="clear" w:color="auto" w:fill="DBDBDB" w:themeFill="accent3" w:themeFillTint="66"/>
            <w:vAlign w:val="center"/>
          </w:tcPr>
          <w:p w14:paraId="293CD17B"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All other external causes of injury</w:t>
            </w:r>
          </w:p>
        </w:tc>
      </w:tr>
      <w:tr w:rsidR="00D91CC6" w:rsidRPr="00400300" w14:paraId="0D9E2C6E" w14:textId="77777777" w:rsidTr="00413B22">
        <w:trPr>
          <w:trHeight w:val="283"/>
        </w:trPr>
        <w:tc>
          <w:tcPr>
            <w:tcW w:w="704" w:type="dxa"/>
            <w:shd w:val="clear" w:color="auto" w:fill="auto"/>
            <w:vAlign w:val="center"/>
          </w:tcPr>
          <w:p w14:paraId="4C4FF47C" w14:textId="77777777" w:rsidR="00D91CC6" w:rsidRPr="00413B22" w:rsidRDefault="00D91CC6" w:rsidP="003E5011">
            <w:pPr>
              <w:spacing w:before="0"/>
              <w:jc w:val="center"/>
              <w:rPr>
                <w:rFonts w:cstheme="minorHAnsi"/>
                <w:b/>
                <w:sz w:val="20"/>
                <w:szCs w:val="20"/>
                <w:lang w:val="en-AU"/>
              </w:rPr>
            </w:pPr>
            <w:r w:rsidRPr="00413B22">
              <w:rPr>
                <w:rFonts w:cstheme="minorHAnsi"/>
                <w:b/>
                <w:sz w:val="20"/>
                <w:szCs w:val="20"/>
                <w:lang w:val="en-AU"/>
              </w:rPr>
              <w:t>10</w:t>
            </w:r>
          </w:p>
        </w:tc>
        <w:tc>
          <w:tcPr>
            <w:tcW w:w="2054" w:type="dxa"/>
            <w:vAlign w:val="center"/>
          </w:tcPr>
          <w:p w14:paraId="3263253F" w14:textId="570D3BD2" w:rsidR="00D91CC6" w:rsidRPr="00400300" w:rsidRDefault="00C61B0E" w:rsidP="00D91CC6">
            <w:pPr>
              <w:spacing w:before="0"/>
              <w:rPr>
                <w:rFonts w:cstheme="minorHAnsi"/>
                <w:sz w:val="20"/>
                <w:szCs w:val="20"/>
                <w:lang w:val="en-AU"/>
              </w:rPr>
            </w:pPr>
            <w:r>
              <w:rPr>
                <w:rFonts w:cstheme="minorHAnsi"/>
                <w:color w:val="000000"/>
                <w:sz w:val="20"/>
                <w:szCs w:val="20"/>
                <w:lang w:val="en-AU"/>
              </w:rPr>
              <w:t>-</w:t>
            </w:r>
          </w:p>
        </w:tc>
        <w:tc>
          <w:tcPr>
            <w:tcW w:w="2054" w:type="dxa"/>
            <w:vAlign w:val="center"/>
          </w:tcPr>
          <w:p w14:paraId="2098A074" w14:textId="31BCD9C8" w:rsidR="00D91CC6" w:rsidRPr="00400300" w:rsidRDefault="00C61B0E" w:rsidP="00D91CC6">
            <w:pPr>
              <w:spacing w:before="0"/>
              <w:rPr>
                <w:rFonts w:cstheme="minorHAnsi"/>
                <w:sz w:val="20"/>
                <w:szCs w:val="20"/>
                <w:lang w:val="en-AU"/>
              </w:rPr>
            </w:pPr>
            <w:r>
              <w:rPr>
                <w:rFonts w:cstheme="minorHAnsi"/>
                <w:color w:val="000000"/>
                <w:sz w:val="20"/>
                <w:szCs w:val="20"/>
                <w:lang w:val="en-AU"/>
              </w:rPr>
              <w:t>-</w:t>
            </w:r>
          </w:p>
        </w:tc>
        <w:tc>
          <w:tcPr>
            <w:tcW w:w="2054" w:type="dxa"/>
            <w:vAlign w:val="center"/>
          </w:tcPr>
          <w:p w14:paraId="1A504F52" w14:textId="34FB961D" w:rsidR="00D91CC6" w:rsidRPr="00400300" w:rsidRDefault="00C61B0E" w:rsidP="00D91CC6">
            <w:pPr>
              <w:spacing w:before="0"/>
              <w:rPr>
                <w:rFonts w:cstheme="minorHAnsi"/>
                <w:sz w:val="20"/>
                <w:szCs w:val="20"/>
                <w:lang w:val="en-AU"/>
              </w:rPr>
            </w:pPr>
            <w:r>
              <w:rPr>
                <w:rFonts w:cstheme="minorHAnsi"/>
                <w:color w:val="000000"/>
                <w:sz w:val="20"/>
                <w:szCs w:val="20"/>
                <w:lang w:val="en-AU"/>
              </w:rPr>
              <w:t>-</w:t>
            </w:r>
          </w:p>
        </w:tc>
        <w:tc>
          <w:tcPr>
            <w:tcW w:w="2054" w:type="dxa"/>
            <w:shd w:val="clear" w:color="auto" w:fill="FF9FE6"/>
            <w:vAlign w:val="center"/>
          </w:tcPr>
          <w:p w14:paraId="15FFB3B7" w14:textId="77777777" w:rsidR="00D91CC6" w:rsidRPr="00400300" w:rsidRDefault="00D91CC6" w:rsidP="00D91CC6">
            <w:pPr>
              <w:spacing w:before="0"/>
              <w:rPr>
                <w:rFonts w:cstheme="minorHAnsi"/>
                <w:sz w:val="20"/>
                <w:szCs w:val="20"/>
                <w:lang w:val="en-AU"/>
              </w:rPr>
            </w:pPr>
            <w:r w:rsidRPr="00400300">
              <w:rPr>
                <w:rFonts w:cstheme="minorHAnsi"/>
                <w:color w:val="000000"/>
                <w:sz w:val="20"/>
                <w:szCs w:val="20"/>
                <w:lang w:val="en-AU"/>
              </w:rPr>
              <w:t>Drowning</w:t>
            </w:r>
          </w:p>
        </w:tc>
      </w:tr>
      <w:tr w:rsidR="00D91CC6" w:rsidRPr="00400300" w14:paraId="15A33642" w14:textId="77777777" w:rsidTr="00413B22">
        <w:trPr>
          <w:trHeight w:val="283"/>
        </w:trPr>
        <w:tc>
          <w:tcPr>
            <w:tcW w:w="8920" w:type="dxa"/>
            <w:gridSpan w:val="5"/>
            <w:shd w:val="clear" w:color="auto" w:fill="auto"/>
            <w:vAlign w:val="center"/>
          </w:tcPr>
          <w:p w14:paraId="081B2D3D" w14:textId="77777777" w:rsidR="00D91CC6" w:rsidRPr="00413B22" w:rsidRDefault="00D91CC6" w:rsidP="00D91CC6">
            <w:pPr>
              <w:spacing w:before="0"/>
              <w:rPr>
                <w:rFonts w:cstheme="minorHAnsi"/>
                <w:b/>
                <w:sz w:val="20"/>
                <w:szCs w:val="20"/>
                <w:lang w:val="en-AU"/>
              </w:rPr>
            </w:pPr>
            <w:r w:rsidRPr="00413B22">
              <w:rPr>
                <w:rFonts w:cstheme="minorHAnsi"/>
                <w:b/>
                <w:sz w:val="20"/>
                <w:szCs w:val="20"/>
                <w:lang w:val="en-AU"/>
              </w:rPr>
              <w:t>Total Disability Adjusted Life Years</w:t>
            </w:r>
          </w:p>
        </w:tc>
      </w:tr>
      <w:tr w:rsidR="00D91CC6" w:rsidRPr="00400300" w14:paraId="1810437E" w14:textId="77777777" w:rsidTr="00413B22">
        <w:trPr>
          <w:trHeight w:val="283"/>
        </w:trPr>
        <w:tc>
          <w:tcPr>
            <w:tcW w:w="704" w:type="dxa"/>
            <w:shd w:val="clear" w:color="auto" w:fill="auto"/>
            <w:vAlign w:val="center"/>
          </w:tcPr>
          <w:p w14:paraId="31654530" w14:textId="77777777" w:rsidR="00D91CC6" w:rsidRPr="00413B22" w:rsidRDefault="00D91CC6" w:rsidP="00D91CC6">
            <w:pPr>
              <w:spacing w:before="0"/>
              <w:rPr>
                <w:rFonts w:cstheme="minorHAnsi"/>
                <w:sz w:val="20"/>
                <w:szCs w:val="20"/>
                <w:lang w:val="en-AU"/>
              </w:rPr>
            </w:pPr>
          </w:p>
        </w:tc>
        <w:tc>
          <w:tcPr>
            <w:tcW w:w="2054" w:type="dxa"/>
            <w:vAlign w:val="center"/>
          </w:tcPr>
          <w:p w14:paraId="151C19A8" w14:textId="77777777" w:rsidR="00D91CC6" w:rsidRPr="00400300" w:rsidRDefault="00D91CC6" w:rsidP="00D91CC6">
            <w:pPr>
              <w:spacing w:before="0"/>
              <w:rPr>
                <w:rFonts w:cstheme="minorHAnsi"/>
                <w:color w:val="000000"/>
                <w:sz w:val="20"/>
                <w:szCs w:val="20"/>
                <w:lang w:val="en-AU"/>
              </w:rPr>
            </w:pPr>
            <w:r w:rsidRPr="00400300">
              <w:rPr>
                <w:rFonts w:cstheme="minorHAnsi"/>
                <w:color w:val="000000"/>
                <w:sz w:val="20"/>
                <w:szCs w:val="20"/>
                <w:lang w:val="en-AU"/>
              </w:rPr>
              <w:t>2509</w:t>
            </w:r>
          </w:p>
        </w:tc>
        <w:tc>
          <w:tcPr>
            <w:tcW w:w="2054" w:type="dxa"/>
            <w:vAlign w:val="center"/>
          </w:tcPr>
          <w:p w14:paraId="721105FD" w14:textId="77777777" w:rsidR="00D91CC6" w:rsidRPr="00400300" w:rsidRDefault="00D91CC6" w:rsidP="00D91CC6">
            <w:pPr>
              <w:spacing w:before="0"/>
              <w:rPr>
                <w:rFonts w:cstheme="minorHAnsi"/>
                <w:color w:val="000000"/>
                <w:sz w:val="20"/>
                <w:szCs w:val="20"/>
                <w:lang w:val="en-AU"/>
              </w:rPr>
            </w:pPr>
            <w:r w:rsidRPr="00400300">
              <w:rPr>
                <w:rFonts w:cstheme="minorHAnsi"/>
                <w:color w:val="000000"/>
                <w:sz w:val="20"/>
                <w:szCs w:val="20"/>
                <w:lang w:val="en-AU"/>
              </w:rPr>
              <w:t>6904</w:t>
            </w:r>
          </w:p>
        </w:tc>
        <w:tc>
          <w:tcPr>
            <w:tcW w:w="2054" w:type="dxa"/>
            <w:vAlign w:val="center"/>
          </w:tcPr>
          <w:p w14:paraId="121FB173" w14:textId="77777777" w:rsidR="00D91CC6" w:rsidRPr="00400300" w:rsidRDefault="00D91CC6" w:rsidP="00D91CC6">
            <w:pPr>
              <w:spacing w:before="0"/>
              <w:rPr>
                <w:rFonts w:cstheme="minorHAnsi"/>
                <w:color w:val="000000"/>
                <w:sz w:val="20"/>
                <w:szCs w:val="20"/>
                <w:lang w:val="en-AU"/>
              </w:rPr>
            </w:pPr>
            <w:r w:rsidRPr="00400300">
              <w:rPr>
                <w:rFonts w:cstheme="minorHAnsi"/>
                <w:color w:val="000000"/>
                <w:sz w:val="20"/>
                <w:szCs w:val="20"/>
                <w:lang w:val="en-AU"/>
              </w:rPr>
              <w:t>4825</w:t>
            </w:r>
          </w:p>
        </w:tc>
        <w:tc>
          <w:tcPr>
            <w:tcW w:w="2054" w:type="dxa"/>
            <w:vAlign w:val="center"/>
          </w:tcPr>
          <w:p w14:paraId="64E74A0A" w14:textId="77777777" w:rsidR="00D91CC6" w:rsidRPr="00400300" w:rsidRDefault="00D91CC6" w:rsidP="00D91CC6">
            <w:pPr>
              <w:spacing w:before="0"/>
              <w:rPr>
                <w:rFonts w:cstheme="minorHAnsi"/>
                <w:color w:val="000000"/>
                <w:sz w:val="20"/>
                <w:szCs w:val="20"/>
                <w:lang w:val="en-AU"/>
              </w:rPr>
            </w:pPr>
            <w:r w:rsidRPr="00400300">
              <w:rPr>
                <w:rFonts w:cstheme="minorHAnsi"/>
                <w:color w:val="000000"/>
                <w:sz w:val="20"/>
                <w:szCs w:val="20"/>
                <w:lang w:val="en-AU"/>
              </w:rPr>
              <w:t>7014</w:t>
            </w:r>
          </w:p>
        </w:tc>
      </w:tr>
    </w:tbl>
    <w:p w14:paraId="42F9F4CB" w14:textId="0377C582" w:rsidR="00D91CC6" w:rsidRPr="0060376E" w:rsidRDefault="003F4BE5" w:rsidP="00D91CC6">
      <w:pPr>
        <w:rPr>
          <w:rFonts w:cstheme="minorHAnsi"/>
          <w:sz w:val="18"/>
          <w:szCs w:val="18"/>
          <w:lang w:val="en-AU"/>
        </w:rPr>
      </w:pPr>
      <w:r w:rsidRPr="0060376E">
        <w:rPr>
          <w:noProof/>
          <w:sz w:val="18"/>
          <w:szCs w:val="18"/>
        </w:rPr>
        <w:t>AIHW</w:t>
      </w:r>
      <w:r w:rsidR="00701DBE">
        <w:rPr>
          <w:noProof/>
          <w:sz w:val="18"/>
          <w:szCs w:val="18"/>
        </w:rPr>
        <w:t xml:space="preserve"> 2015</w:t>
      </w:r>
      <w:r w:rsidR="00701DBE">
        <w:rPr>
          <w:noProof/>
          <w:sz w:val="18"/>
          <w:szCs w:val="18"/>
        </w:rPr>
        <w:fldChar w:fldCharType="begin"/>
      </w:r>
      <w:r w:rsidR="00701DBE">
        <w:rPr>
          <w:noProof/>
          <w:sz w:val="18"/>
          <w:szCs w:val="18"/>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00701DBE">
        <w:rPr>
          <w:noProof/>
          <w:sz w:val="18"/>
          <w:szCs w:val="18"/>
        </w:rPr>
        <w:fldChar w:fldCharType="separate"/>
      </w:r>
      <w:r w:rsidR="00701DBE" w:rsidRPr="00542B57">
        <w:rPr>
          <w:noProof/>
          <w:sz w:val="18"/>
          <w:szCs w:val="18"/>
          <w:vertAlign w:val="superscript"/>
        </w:rPr>
        <w:t>1</w:t>
      </w:r>
      <w:r w:rsidR="00701DBE">
        <w:rPr>
          <w:noProof/>
          <w:sz w:val="18"/>
          <w:szCs w:val="18"/>
        </w:rPr>
        <w:fldChar w:fldCharType="end"/>
      </w:r>
      <w:r w:rsidRPr="0060376E">
        <w:rPr>
          <w:noProof/>
          <w:sz w:val="18"/>
          <w:szCs w:val="18"/>
        </w:rPr>
        <w:t>. Analysis of burden of disease database</w:t>
      </w:r>
      <w:r w:rsidR="00701DBE">
        <w:rPr>
          <w:noProof/>
          <w:sz w:val="18"/>
          <w:szCs w:val="18"/>
        </w:rPr>
        <w:t>.</w:t>
      </w:r>
    </w:p>
    <w:p w14:paraId="0A30D62F" w14:textId="3C35FBBD" w:rsidR="00D91CC6" w:rsidRPr="00400300" w:rsidRDefault="00D91CC6" w:rsidP="00D91CC6">
      <w:pPr>
        <w:pStyle w:val="TableHeader"/>
        <w:rPr>
          <w:b w:val="0"/>
          <w:color w:val="auto"/>
          <w:lang w:val="en-AU"/>
        </w:rPr>
      </w:pPr>
      <w:r w:rsidRPr="00400300">
        <w:rPr>
          <w:rFonts w:asciiTheme="minorHAnsi" w:hAnsiTheme="minorHAnsi" w:cstheme="minorHAnsi"/>
          <w:b w:val="0"/>
          <w:color w:val="auto"/>
          <w:lang w:val="en-AU"/>
        </w:rPr>
        <w:t xml:space="preserve">There is a gap in data relevant to the burden of injury during the antenatal period. However, in the absence of such data, key areas and their </w:t>
      </w:r>
      <w:r w:rsidRPr="009F0E6D">
        <w:rPr>
          <w:rFonts w:asciiTheme="minorHAnsi" w:hAnsiTheme="minorHAnsi" w:cstheme="minorHAnsi"/>
          <w:b w:val="0"/>
          <w:color w:val="auto"/>
          <w:lang w:val="en-AU"/>
        </w:rPr>
        <w:t xml:space="preserve">potential long-term impact should nevertheless be considered </w:t>
      </w:r>
      <w:r w:rsidRPr="005F0EB6">
        <w:rPr>
          <w:rFonts w:asciiTheme="minorHAnsi" w:hAnsiTheme="minorHAnsi" w:cstheme="minorHAnsi"/>
          <w:b w:val="0"/>
          <w:color w:val="auto"/>
          <w:lang w:val="en-AU"/>
        </w:rPr>
        <w:t xml:space="preserve">in the prevention of lifetime injury. As a child with </w:t>
      </w:r>
      <w:proofErr w:type="spellStart"/>
      <w:r w:rsidR="005F0EB6" w:rsidRPr="005F0EB6">
        <w:rPr>
          <w:rFonts w:asciiTheme="minorHAnsi" w:hAnsiTheme="minorHAnsi" w:cstheme="minorHAnsi"/>
          <w:b w:val="0"/>
          <w:color w:val="auto"/>
          <w:lang w:val="en-AU"/>
        </w:rPr>
        <w:t>Fetal</w:t>
      </w:r>
      <w:proofErr w:type="spellEnd"/>
      <w:r w:rsidR="005F0EB6" w:rsidRPr="005F0EB6">
        <w:rPr>
          <w:rFonts w:asciiTheme="minorHAnsi" w:hAnsiTheme="minorHAnsi" w:cstheme="minorHAnsi"/>
          <w:b w:val="0"/>
          <w:color w:val="auto"/>
          <w:lang w:val="en-AU"/>
        </w:rPr>
        <w:t xml:space="preserve"> Alcohol Spectrum Disorder (FASD)</w:t>
      </w:r>
      <w:r w:rsidRPr="009F0E6D">
        <w:rPr>
          <w:rFonts w:asciiTheme="minorHAnsi" w:hAnsiTheme="minorHAnsi" w:cstheme="minorHAnsi"/>
          <w:b w:val="0"/>
          <w:color w:val="auto"/>
          <w:lang w:val="en-AU"/>
        </w:rPr>
        <w:t xml:space="preserve"> is more likely to experience risk factors associated with increased risk of injury throughout their life, it is important to prevent the occurrence of FASD and if present, minimise its impact. FASD affects many communities – it is not isolated to a specific region or population group. </w:t>
      </w:r>
      <w:r w:rsidRPr="009F0E6D">
        <w:rPr>
          <w:rFonts w:asciiTheme="minorHAnsi" w:hAnsiTheme="minorHAnsi" w:cstheme="minorHAnsi"/>
          <w:b w:val="0"/>
          <w:color w:val="auto"/>
          <w:szCs w:val="22"/>
          <w:lang w:val="en-AU"/>
        </w:rPr>
        <w:t>Aboriginal and Torres Strait Islander communities, while experiencing high rates of FASD (ranging from 1.87 to 4.7 per 1000 births),</w:t>
      </w:r>
      <w:r w:rsidRPr="009F0E6D">
        <w:rPr>
          <w:rFonts w:asciiTheme="minorHAnsi" w:hAnsiTheme="minorHAnsi" w:cstheme="minorHAnsi"/>
          <w:b w:val="0"/>
          <w:color w:val="auto"/>
          <w:szCs w:val="22"/>
          <w:lang w:val="en-AU"/>
        </w:rPr>
        <w:fldChar w:fldCharType="begin"/>
      </w:r>
      <w:r w:rsidR="00542B57" w:rsidRPr="009F0E6D">
        <w:rPr>
          <w:rFonts w:asciiTheme="minorHAnsi" w:hAnsiTheme="minorHAnsi" w:cstheme="minorHAnsi"/>
          <w:b w:val="0"/>
          <w:color w:val="auto"/>
          <w:szCs w:val="22"/>
          <w:lang w:val="en-AU"/>
        </w:rPr>
        <w:instrText xml:space="preserve"> ADDIN EN.CITE &lt;EndNote&gt;&lt;Cite&gt;&lt;Author&gt;Department of Health&lt;/Author&gt;&lt;Year&gt;2019&lt;/Year&gt;&lt;RecNum&gt;20&lt;/RecNum&gt;&lt;DisplayText&gt;&lt;style face="superscript"&gt;45&lt;/style&gt;&lt;/DisplayText&gt;&lt;record&gt;&lt;rec-number&gt;20&lt;/rec-number&gt;&lt;foreign-keys&gt;&lt;key app="EN" db-id="2wsw9x5wvsspa1evwxlvvergx9epfd50fs2a" timestamp="1571987688"&gt;20&lt;/key&gt;&lt;/foreign-keys&gt;&lt;ref-type name="Web Page"&gt;12&lt;/ref-type&gt;&lt;contributors&gt;&lt;authors&gt;&lt;author&gt;Department of Health,&lt;/author&gt;&lt;/authors&gt;&lt;/contributors&gt;&lt;titles&gt;&lt;title&gt;National Fetal Alcohol Spectrum Disorder (FASD) Strategic Action Plan 2018–2028&lt;/title&gt;&lt;/titles&gt;&lt;dates&gt;&lt;year&gt;2019&lt;/year&gt;&lt;/dates&gt;&lt;urls&gt;&lt;related-urls&gt;&lt;url&gt;https://www.health.gov.au/resources/publications/national-fetal-alcohol-spectrum-disorder-fasd-strategic-action-plan-2018-2028&lt;/url&gt;&lt;/related-urls&gt;&lt;/urls&gt;&lt;/record&gt;&lt;/Cite&gt;&lt;/EndNote&gt;</w:instrText>
      </w:r>
      <w:r w:rsidRPr="009F0E6D">
        <w:rPr>
          <w:rFonts w:asciiTheme="minorHAnsi" w:hAnsiTheme="minorHAnsi" w:cstheme="minorHAnsi"/>
          <w:b w:val="0"/>
          <w:color w:val="auto"/>
          <w:szCs w:val="22"/>
          <w:lang w:val="en-AU"/>
        </w:rPr>
        <w:fldChar w:fldCharType="separate"/>
      </w:r>
      <w:r w:rsidR="00542B57" w:rsidRPr="009F0E6D">
        <w:rPr>
          <w:rFonts w:asciiTheme="minorHAnsi" w:hAnsiTheme="minorHAnsi" w:cstheme="minorHAnsi"/>
          <w:b w:val="0"/>
          <w:noProof/>
          <w:color w:val="auto"/>
          <w:szCs w:val="22"/>
          <w:vertAlign w:val="superscript"/>
          <w:lang w:val="en-AU"/>
        </w:rPr>
        <w:t>45</w:t>
      </w:r>
      <w:r w:rsidRPr="009F0E6D">
        <w:rPr>
          <w:rFonts w:asciiTheme="minorHAnsi" w:hAnsiTheme="minorHAnsi" w:cstheme="minorHAnsi"/>
          <w:b w:val="0"/>
          <w:color w:val="auto"/>
          <w:szCs w:val="22"/>
          <w:lang w:val="en-AU"/>
        </w:rPr>
        <w:fldChar w:fldCharType="end"/>
      </w:r>
      <w:r w:rsidRPr="009F0E6D">
        <w:rPr>
          <w:rFonts w:asciiTheme="minorHAnsi" w:hAnsiTheme="minorHAnsi" w:cstheme="minorHAnsi"/>
          <w:b w:val="0"/>
          <w:color w:val="auto"/>
          <w:szCs w:val="22"/>
          <w:lang w:val="en-AU"/>
        </w:rPr>
        <w:t xml:space="preserve"> have shown leadership in addressing this issue.</w:t>
      </w:r>
      <w:r w:rsidRPr="009F0E6D">
        <w:rPr>
          <w:rFonts w:asciiTheme="minorHAnsi" w:hAnsiTheme="minorHAnsi" w:cstheme="minorHAnsi"/>
          <w:b w:val="0"/>
          <w:color w:val="auto"/>
          <w:szCs w:val="22"/>
          <w:lang w:val="en-AU"/>
        </w:rPr>
        <w:fldChar w:fldCharType="begin"/>
      </w:r>
      <w:r w:rsidR="00542B57" w:rsidRPr="009F0E6D">
        <w:rPr>
          <w:rFonts w:asciiTheme="minorHAnsi" w:hAnsiTheme="minorHAnsi" w:cstheme="minorHAnsi"/>
          <w:b w:val="0"/>
          <w:color w:val="auto"/>
          <w:szCs w:val="22"/>
          <w:lang w:val="en-AU"/>
        </w:rPr>
        <w:instrText xml:space="preserve"> ADDIN EN.CITE &lt;EndNote&gt;&lt;Cite&gt;&lt;Author&gt;Fitzpatrick&lt;/Author&gt;&lt;Year&gt;2017&lt;/Year&gt;&lt;RecNum&gt;67&lt;/RecNum&gt;&lt;DisplayText&gt;&lt;style face="superscript"&gt;46&lt;/style&gt;&lt;/DisplayText&gt;&lt;record&gt;&lt;rec-number&gt;67&lt;/rec-number&gt;&lt;foreign-keys&gt;&lt;key app="EN" db-id="2wsw9x5wvsspa1evwxlvvergx9epfd50fs2a" timestamp="1575010025"&gt;67&lt;/key&gt;&lt;/foreign-keys&gt;&lt;ref-type name="Journal Article"&gt;17&lt;/ref-type&gt;&lt;contributors&gt;&lt;authors&gt;&lt;author&gt;Fitzpatrick, James P&lt;/author&gt;&lt;author&gt;Oscar, June&lt;/author&gt;&lt;author&gt;Carter, Maureen&lt;/author&gt;&lt;author&gt;Elliott, Elizabeth J&lt;/author&gt;&lt;author&gt;Latimer, Jane&lt;/author&gt;&lt;author&gt;Wright, Edie&lt;/author&gt;&lt;author&gt;Boulton, John &lt;/author&gt;&lt;/authors&gt;&lt;/contributors&gt;&lt;titles&gt;&lt;title&gt;The Marulu Strategy 2008–2012: overcoming fetal alcohol spectrum disorder (FASD) in the Fitzroy Valley&lt;/title&gt;&lt;secondary-title&gt;Australian and New Zealand Journal of Public Health&lt;/secondary-title&gt;&lt;/titles&gt;&lt;periodical&gt;&lt;full-title&gt;Australian and New Zealand Journal of Public Health&lt;/full-title&gt;&lt;/periodical&gt;&lt;pages&gt;467-473&lt;/pages&gt;&lt;volume&gt;41&lt;/volume&gt;&lt;number&gt;5&lt;/number&gt;&lt;dates&gt;&lt;year&gt;2017&lt;/year&gt;&lt;/dates&gt;&lt;isbn&gt;1326-0200&lt;/isbn&gt;&lt;urls&gt;&lt;/urls&gt;&lt;/record&gt;&lt;/Cite&gt;&lt;/EndNote&gt;</w:instrText>
      </w:r>
      <w:r w:rsidRPr="009F0E6D">
        <w:rPr>
          <w:rFonts w:asciiTheme="minorHAnsi" w:hAnsiTheme="minorHAnsi" w:cstheme="minorHAnsi"/>
          <w:b w:val="0"/>
          <w:color w:val="auto"/>
          <w:szCs w:val="22"/>
          <w:lang w:val="en-AU"/>
        </w:rPr>
        <w:fldChar w:fldCharType="separate"/>
      </w:r>
      <w:r w:rsidR="00542B57" w:rsidRPr="009F0E6D">
        <w:rPr>
          <w:rFonts w:asciiTheme="minorHAnsi" w:hAnsiTheme="minorHAnsi" w:cstheme="minorHAnsi"/>
          <w:b w:val="0"/>
          <w:noProof/>
          <w:color w:val="auto"/>
          <w:szCs w:val="22"/>
          <w:vertAlign w:val="superscript"/>
          <w:lang w:val="en-AU"/>
        </w:rPr>
        <w:t>46</w:t>
      </w:r>
      <w:r w:rsidRPr="009F0E6D">
        <w:rPr>
          <w:rFonts w:asciiTheme="minorHAnsi" w:hAnsiTheme="minorHAnsi" w:cstheme="minorHAnsi"/>
          <w:b w:val="0"/>
          <w:color w:val="auto"/>
          <w:szCs w:val="22"/>
          <w:lang w:val="en-AU"/>
        </w:rPr>
        <w:fldChar w:fldCharType="end"/>
      </w:r>
      <w:r w:rsidRPr="009F0E6D">
        <w:rPr>
          <w:rFonts w:asciiTheme="minorHAnsi" w:hAnsiTheme="minorHAnsi" w:cstheme="minorHAnsi"/>
          <w:b w:val="0"/>
          <w:color w:val="auto"/>
          <w:szCs w:val="22"/>
          <w:lang w:val="en-AU"/>
        </w:rPr>
        <w:t xml:space="preserve"> The Minister for Health has also supported work to address FASD, with priority funding associated with the National FASD Strategic Action Plan.</w:t>
      </w:r>
      <w:r w:rsidRPr="009F0E6D">
        <w:rPr>
          <w:rFonts w:asciiTheme="minorHAnsi" w:hAnsiTheme="minorHAnsi" w:cstheme="minorHAnsi"/>
          <w:b w:val="0"/>
          <w:color w:val="auto"/>
          <w:szCs w:val="22"/>
          <w:lang w:val="en-AU"/>
        </w:rPr>
        <w:fldChar w:fldCharType="begin"/>
      </w:r>
      <w:r w:rsidR="00542B57" w:rsidRPr="009F0E6D">
        <w:rPr>
          <w:rFonts w:asciiTheme="minorHAnsi" w:hAnsiTheme="minorHAnsi" w:cstheme="minorHAnsi"/>
          <w:b w:val="0"/>
          <w:color w:val="auto"/>
          <w:szCs w:val="22"/>
          <w:lang w:val="en-AU"/>
        </w:rPr>
        <w:instrText xml:space="preserve"> ADDIN EN.CITE &lt;EndNote&gt;&lt;Cite&gt;&lt;Author&gt;Department of Health&lt;/Author&gt;&lt;Year&gt;2019&lt;/Year&gt;&lt;RecNum&gt;20&lt;/RecNum&gt;&lt;DisplayText&gt;&lt;style face="superscript"&gt;45&lt;/style&gt;&lt;/DisplayText&gt;&lt;record&gt;&lt;rec-number&gt;20&lt;/rec-number&gt;&lt;foreign-keys&gt;&lt;key app="EN" db-id="2wsw9x5wvsspa1evwxlvvergx9epfd50fs2a" timestamp="1571987688"&gt;20&lt;/key&gt;&lt;/foreign-keys&gt;&lt;ref-type name="Web Page"&gt;12&lt;/ref-type&gt;&lt;contributors&gt;&lt;authors&gt;&lt;author&gt;Department of Health,&lt;/author&gt;&lt;/authors&gt;&lt;/contributors&gt;&lt;titles&gt;&lt;title&gt;National Fetal Alcohol Spectrum Disorder (FASD) Strategic Action Plan 2018–2028&lt;/title&gt;&lt;/titles&gt;&lt;dates&gt;&lt;year&gt;2019&lt;/year&gt;&lt;/dates&gt;&lt;urls&gt;&lt;related-urls&gt;&lt;url&gt;https://www.health.gov.au/resources/publications/national-fetal-alcohol-spectrum-disorder-fasd-strategic-action-plan-2018-2028&lt;/url&gt;&lt;/related-urls&gt;&lt;/urls&gt;&lt;/record&gt;&lt;/Cite&gt;&lt;/EndNote&gt;</w:instrText>
      </w:r>
      <w:r w:rsidRPr="009F0E6D">
        <w:rPr>
          <w:rFonts w:asciiTheme="minorHAnsi" w:hAnsiTheme="minorHAnsi" w:cstheme="minorHAnsi"/>
          <w:b w:val="0"/>
          <w:color w:val="auto"/>
          <w:szCs w:val="22"/>
          <w:lang w:val="en-AU"/>
        </w:rPr>
        <w:fldChar w:fldCharType="separate"/>
      </w:r>
      <w:r w:rsidR="00542B57" w:rsidRPr="009F0E6D">
        <w:rPr>
          <w:rFonts w:asciiTheme="minorHAnsi" w:hAnsiTheme="minorHAnsi" w:cstheme="minorHAnsi"/>
          <w:b w:val="0"/>
          <w:noProof/>
          <w:color w:val="auto"/>
          <w:szCs w:val="22"/>
          <w:vertAlign w:val="superscript"/>
          <w:lang w:val="en-AU"/>
        </w:rPr>
        <w:t>45</w:t>
      </w:r>
      <w:r w:rsidRPr="009F0E6D">
        <w:rPr>
          <w:rFonts w:asciiTheme="minorHAnsi" w:hAnsiTheme="minorHAnsi" w:cstheme="minorHAnsi"/>
          <w:b w:val="0"/>
          <w:color w:val="auto"/>
          <w:szCs w:val="22"/>
          <w:lang w:val="en-AU"/>
        </w:rPr>
        <w:fldChar w:fldCharType="end"/>
      </w:r>
      <w:r w:rsidR="00DC3061" w:rsidRPr="00400300">
        <w:rPr>
          <w:b w:val="0"/>
          <w:color w:val="auto"/>
          <w:lang w:val="en-AU"/>
        </w:rPr>
        <w:t xml:space="preserve"> </w:t>
      </w:r>
    </w:p>
    <w:p w14:paraId="747B1B5E" w14:textId="142B4DE3" w:rsidR="0022326A" w:rsidRDefault="0022326A" w:rsidP="0022326A">
      <w:pPr>
        <w:pStyle w:val="Heading2"/>
        <w:rPr>
          <w:lang w:val="en-AU"/>
        </w:rPr>
      </w:pPr>
      <w:bookmarkStart w:id="209" w:name="_Toc32584895"/>
      <w:bookmarkStart w:id="210" w:name="_Toc38021097"/>
      <w:bookmarkStart w:id="211" w:name="_Toc29473009"/>
      <w:bookmarkStart w:id="212" w:name="_Toc30077741"/>
      <w:r w:rsidRPr="00400300">
        <w:rPr>
          <w:lang w:val="en-AU"/>
        </w:rPr>
        <w:t>Priority areas for action</w:t>
      </w:r>
      <w:bookmarkEnd w:id="209"/>
      <w:bookmarkEnd w:id="210"/>
    </w:p>
    <w:p w14:paraId="5C57A746" w14:textId="77777777" w:rsidR="008C12FB" w:rsidRPr="0060376E" w:rsidRDefault="008C12FB" w:rsidP="0060376E">
      <w:pPr>
        <w:rPr>
          <w:lang w:val="en-AU"/>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12"/>
        <w:gridCol w:w="7319"/>
      </w:tblGrid>
      <w:tr w:rsidR="008C12FB" w:rsidRPr="00817E68" w14:paraId="28253DA2" w14:textId="77777777" w:rsidTr="00C30AD1">
        <w:trPr>
          <w:trHeight w:val="20"/>
        </w:trPr>
        <w:tc>
          <w:tcPr>
            <w:tcW w:w="269" w:type="pct"/>
            <w:vMerge w:val="restart"/>
            <w:tcBorders>
              <w:top w:val="single" w:sz="4" w:space="0" w:color="BFBFBF" w:themeColor="background1" w:themeShade="BF"/>
              <w:left w:val="single" w:sz="4" w:space="0" w:color="BFBFBF" w:themeColor="background1" w:themeShade="BF"/>
            </w:tcBorders>
            <w:shd w:val="clear" w:color="auto" w:fill="ED7D31" w:themeFill="accent2"/>
            <w:textDirection w:val="btLr"/>
          </w:tcPr>
          <w:p w14:paraId="3F5CA0D2" w14:textId="77777777" w:rsidR="008C12FB" w:rsidRPr="000A0BD4" w:rsidRDefault="008C12FB" w:rsidP="00542B57">
            <w:pPr>
              <w:spacing w:before="0"/>
              <w:ind w:left="113" w:right="113"/>
              <w:contextualSpacing/>
              <w:jc w:val="center"/>
              <w:rPr>
                <w:rFonts w:cstheme="minorHAnsi"/>
                <w:b/>
                <w:sz w:val="21"/>
                <w:szCs w:val="20"/>
                <w:lang w:val="en-AU"/>
              </w:rPr>
            </w:pPr>
            <w:bookmarkStart w:id="213" w:name="_Hlk36125879"/>
            <w:r w:rsidRPr="000A0BD4">
              <w:rPr>
                <w:rFonts w:cstheme="minorHAnsi"/>
                <w:b/>
                <w:sz w:val="21"/>
                <w:szCs w:val="20"/>
                <w:lang w:val="en-AU"/>
              </w:rPr>
              <w:t>Burns</w:t>
            </w:r>
          </w:p>
        </w:tc>
        <w:tc>
          <w:tcPr>
            <w:tcW w:w="672" w:type="pct"/>
            <w:tcBorders>
              <w:top w:val="single" w:sz="4" w:space="0" w:color="BFBFBF" w:themeColor="background1" w:themeShade="BF"/>
            </w:tcBorders>
            <w:shd w:val="clear" w:color="auto" w:fill="auto"/>
          </w:tcPr>
          <w:p w14:paraId="5F9274F9" w14:textId="77777777" w:rsidR="008C12FB" w:rsidRPr="0038126F" w:rsidRDefault="008C12FB" w:rsidP="00542B57">
            <w:pPr>
              <w:spacing w:before="0"/>
              <w:rPr>
                <w:rFonts w:cstheme="minorHAnsi"/>
                <w:b/>
                <w:i/>
                <w:color w:val="000000" w:themeColor="text1"/>
                <w:sz w:val="18"/>
                <w:szCs w:val="18"/>
                <w:lang w:val="en-AU"/>
              </w:rPr>
            </w:pPr>
            <w:r w:rsidRPr="0038126F">
              <w:rPr>
                <w:rFonts w:cstheme="minorHAnsi"/>
                <w:b/>
                <w:i/>
                <w:sz w:val="18"/>
                <w:szCs w:val="18"/>
                <w:lang w:val="en-AU"/>
              </w:rPr>
              <w:t>Objective 14</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109E68C0" w14:textId="77777777" w:rsidR="008C12FB" w:rsidRPr="00817E68" w:rsidRDefault="008C12FB" w:rsidP="00542B57">
            <w:pPr>
              <w:pStyle w:val="Numberedtable"/>
              <w:numPr>
                <w:ilvl w:val="0"/>
                <w:numId w:val="0"/>
              </w:numPr>
              <w:rPr>
                <w:rFonts w:asciiTheme="minorHAnsi" w:hAnsiTheme="minorHAnsi" w:cstheme="minorHAnsi"/>
                <w:sz w:val="21"/>
                <w:szCs w:val="20"/>
                <w:lang w:val="en-AU"/>
              </w:rPr>
            </w:pPr>
            <w:r w:rsidRPr="00817E68">
              <w:rPr>
                <w:rFonts w:asciiTheme="minorHAnsi" w:hAnsiTheme="minorHAnsi" w:cstheme="minorHAnsi"/>
                <w:sz w:val="21"/>
                <w:szCs w:val="20"/>
                <w:lang w:val="en-AU"/>
              </w:rPr>
              <w:t>Reduce the rate of scalds and burns to infants and toddlers</w:t>
            </w:r>
          </w:p>
        </w:tc>
      </w:tr>
      <w:tr w:rsidR="008C12FB" w:rsidRPr="00817E68" w14:paraId="63B37F7E" w14:textId="77777777" w:rsidTr="00C30AD1">
        <w:trPr>
          <w:trHeight w:val="20"/>
        </w:trPr>
        <w:tc>
          <w:tcPr>
            <w:tcW w:w="269" w:type="pct"/>
            <w:vMerge/>
            <w:tcBorders>
              <w:left w:val="single" w:sz="4" w:space="0" w:color="BFBFBF" w:themeColor="background1" w:themeShade="BF"/>
            </w:tcBorders>
            <w:shd w:val="clear" w:color="auto" w:fill="ED7D31" w:themeFill="accent2"/>
            <w:textDirection w:val="btLr"/>
          </w:tcPr>
          <w:p w14:paraId="37BA25F3"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Pr>
          <w:p w14:paraId="7B4EBAA8"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165BC801" w14:textId="77777777" w:rsidR="008C12FB" w:rsidRPr="00817E68" w:rsidRDefault="008C12FB" w:rsidP="00542B57">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5A148356" w14:textId="45DB516D" w:rsidR="008C12FB" w:rsidRPr="00817E68" w:rsidRDefault="00242163" w:rsidP="007D5286">
            <w:pPr>
              <w:pStyle w:val="TableNBullet"/>
              <w:numPr>
                <w:ilvl w:val="0"/>
                <w:numId w:val="35"/>
              </w:numPr>
              <w:rPr>
                <w:rFonts w:cstheme="minorHAnsi"/>
                <w:szCs w:val="20"/>
                <w:lang w:val="en-AU"/>
              </w:rPr>
            </w:pPr>
            <w:r>
              <w:rPr>
                <w:rFonts w:cstheme="minorHAnsi"/>
                <w:szCs w:val="20"/>
                <w:lang w:val="en-AU"/>
              </w:rPr>
              <w:t xml:space="preserve">Support programs that provide </w:t>
            </w:r>
            <w:r w:rsidR="008C12FB" w:rsidRPr="00817E68">
              <w:rPr>
                <w:rFonts w:cstheme="minorHAnsi"/>
                <w:szCs w:val="20"/>
                <w:lang w:val="en-AU"/>
              </w:rPr>
              <w:t xml:space="preserve">subsidised safety equipment (such as thermostatic mixing valves, stove guards, smoke detectors) to socio-economically disadvantaged groups. </w:t>
            </w:r>
          </w:p>
          <w:p w14:paraId="5FFF6430" w14:textId="77777777" w:rsidR="008C12FB" w:rsidRPr="00817E68" w:rsidRDefault="008C12FB" w:rsidP="007D5286">
            <w:pPr>
              <w:pStyle w:val="TableNBullet"/>
              <w:numPr>
                <w:ilvl w:val="0"/>
                <w:numId w:val="35"/>
              </w:numPr>
              <w:rPr>
                <w:rFonts w:cstheme="minorHAnsi"/>
                <w:szCs w:val="20"/>
                <w:lang w:val="en-AU"/>
              </w:rPr>
            </w:pPr>
            <w:r w:rsidRPr="00817E68">
              <w:rPr>
                <w:rFonts w:cstheme="minorHAnsi"/>
                <w:szCs w:val="20"/>
                <w:lang w:val="en-AU"/>
              </w:rPr>
              <w:t xml:space="preserve">Raise awareness of key burns and scalds hazards in the homes, prevention measures and first aid treatment. </w:t>
            </w:r>
          </w:p>
        </w:tc>
      </w:tr>
      <w:tr w:rsidR="008C12FB" w:rsidRPr="00817E68" w14:paraId="07A74935" w14:textId="77777777" w:rsidTr="00C30AD1">
        <w:trPr>
          <w:trHeight w:val="20"/>
        </w:trPr>
        <w:tc>
          <w:tcPr>
            <w:tcW w:w="269" w:type="pct"/>
            <w:vMerge/>
            <w:tcBorders>
              <w:left w:val="single" w:sz="4" w:space="0" w:color="BFBFBF" w:themeColor="background1" w:themeShade="BF"/>
              <w:bottom w:val="single" w:sz="4" w:space="0" w:color="BFBFBF" w:themeColor="background1" w:themeShade="BF"/>
            </w:tcBorders>
            <w:shd w:val="clear" w:color="auto" w:fill="ED7D31" w:themeFill="accent2"/>
            <w:textDirection w:val="btLr"/>
          </w:tcPr>
          <w:p w14:paraId="782F00DA"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3E40A39B"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50D14740" w14:textId="77777777" w:rsidR="008C12FB" w:rsidRPr="00817E68" w:rsidRDefault="008C12FB" w:rsidP="00542B57">
            <w:pPr>
              <w:spacing w:before="0"/>
              <w:rPr>
                <w:rFonts w:cstheme="minorHAnsi"/>
                <w:i/>
                <w:sz w:val="21"/>
                <w:szCs w:val="20"/>
                <w:lang w:val="en-AU"/>
              </w:rPr>
            </w:pPr>
            <w:r w:rsidRPr="00817E68">
              <w:rPr>
                <w:rFonts w:eastAsia="Times New Roman" w:cstheme="minorHAnsi"/>
                <w:i/>
                <w:sz w:val="21"/>
                <w:szCs w:val="20"/>
                <w:lang w:val="en-AU" w:eastAsia="en-AU"/>
              </w:rPr>
              <w:t>State and territory departments of health (Local government, preschools, Kidsafe, Australia &amp; New Zealand Burn Association, plumbers, electricians, retailers of safety equipment)</w:t>
            </w:r>
          </w:p>
        </w:tc>
      </w:tr>
      <w:tr w:rsidR="008C12FB" w:rsidRPr="00817E68" w14:paraId="675CD81F" w14:textId="77777777" w:rsidTr="00C30AD1">
        <w:trPr>
          <w:trHeight w:val="20"/>
        </w:trPr>
        <w:tc>
          <w:tcPr>
            <w:tcW w:w="269" w:type="pct"/>
            <w:vMerge w:val="restart"/>
            <w:tcBorders>
              <w:top w:val="single" w:sz="4" w:space="0" w:color="BFBFBF" w:themeColor="background1" w:themeShade="BF"/>
              <w:left w:val="single" w:sz="4" w:space="0" w:color="BFBFBF" w:themeColor="background1" w:themeShade="BF"/>
            </w:tcBorders>
            <w:shd w:val="clear" w:color="auto" w:fill="FF9FE6"/>
            <w:textDirection w:val="btLr"/>
          </w:tcPr>
          <w:p w14:paraId="37B01965" w14:textId="77777777" w:rsidR="008C12FB" w:rsidRPr="000A0BD4" w:rsidRDefault="008C12FB" w:rsidP="00542B57">
            <w:pPr>
              <w:spacing w:before="0"/>
              <w:ind w:left="113" w:right="113"/>
              <w:contextualSpacing/>
              <w:jc w:val="center"/>
              <w:rPr>
                <w:rFonts w:cstheme="minorHAnsi"/>
                <w:b/>
                <w:sz w:val="21"/>
                <w:szCs w:val="20"/>
                <w:lang w:val="en-AU"/>
              </w:rPr>
            </w:pPr>
            <w:r w:rsidRPr="000A0BD4">
              <w:rPr>
                <w:rFonts w:cstheme="minorHAnsi"/>
                <w:b/>
                <w:sz w:val="21"/>
                <w:szCs w:val="20"/>
                <w:lang w:val="en-AU"/>
              </w:rPr>
              <w:t>Drowning</w:t>
            </w:r>
          </w:p>
        </w:tc>
        <w:tc>
          <w:tcPr>
            <w:tcW w:w="672" w:type="pct"/>
            <w:tcBorders>
              <w:top w:val="single" w:sz="4" w:space="0" w:color="BFBFBF" w:themeColor="background1" w:themeShade="BF"/>
            </w:tcBorders>
            <w:shd w:val="clear" w:color="auto" w:fill="auto"/>
          </w:tcPr>
          <w:p w14:paraId="79CB18CC" w14:textId="77777777" w:rsidR="008C12FB" w:rsidRPr="0038126F" w:rsidRDefault="008C12FB" w:rsidP="00542B57">
            <w:pPr>
              <w:spacing w:before="0"/>
              <w:rPr>
                <w:rFonts w:cstheme="minorHAnsi"/>
                <w:b/>
                <w:i/>
                <w:sz w:val="18"/>
                <w:szCs w:val="18"/>
                <w:lang w:val="en-AU"/>
              </w:rPr>
            </w:pPr>
            <w:r w:rsidRPr="0038126F">
              <w:rPr>
                <w:rFonts w:cstheme="minorHAnsi"/>
                <w:b/>
                <w:i/>
                <w:sz w:val="18"/>
                <w:szCs w:val="18"/>
                <w:lang w:val="en-AU"/>
              </w:rPr>
              <w:t>Objective 13</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7F833388" w14:textId="77777777" w:rsidR="008C12FB" w:rsidRPr="00817E68" w:rsidRDefault="008C12FB" w:rsidP="00542B57">
            <w:pPr>
              <w:pStyle w:val="Numberedtable"/>
              <w:numPr>
                <w:ilvl w:val="0"/>
                <w:numId w:val="0"/>
              </w:numPr>
              <w:rPr>
                <w:rFonts w:asciiTheme="minorHAnsi" w:hAnsiTheme="minorHAnsi" w:cstheme="minorHAnsi"/>
                <w:sz w:val="21"/>
                <w:szCs w:val="20"/>
                <w:lang w:val="en-AU"/>
              </w:rPr>
            </w:pPr>
            <w:r w:rsidRPr="00817E68">
              <w:rPr>
                <w:rFonts w:asciiTheme="minorHAnsi" w:hAnsiTheme="minorHAnsi" w:cstheme="minorHAnsi"/>
                <w:sz w:val="21"/>
                <w:szCs w:val="20"/>
                <w:lang w:val="en-AU"/>
              </w:rPr>
              <w:t>Reduce drowning and near-drowning events among children</w:t>
            </w:r>
          </w:p>
        </w:tc>
      </w:tr>
      <w:tr w:rsidR="008C12FB" w:rsidRPr="00817E68" w14:paraId="01FF65D4" w14:textId="77777777" w:rsidTr="00C30AD1">
        <w:trPr>
          <w:trHeight w:val="20"/>
        </w:trPr>
        <w:tc>
          <w:tcPr>
            <w:tcW w:w="269" w:type="pct"/>
            <w:vMerge/>
            <w:tcBorders>
              <w:left w:val="single" w:sz="4" w:space="0" w:color="BFBFBF" w:themeColor="background1" w:themeShade="BF"/>
            </w:tcBorders>
            <w:shd w:val="clear" w:color="auto" w:fill="FF9FE6"/>
            <w:textDirection w:val="btLr"/>
          </w:tcPr>
          <w:p w14:paraId="6FDC16DE"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Pr>
          <w:p w14:paraId="69663B48"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11FD2415" w14:textId="77777777" w:rsidR="008C12FB" w:rsidRPr="00817E68" w:rsidRDefault="008C12FB" w:rsidP="00542B57">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375DF4D3" w14:textId="5A5FA0D9" w:rsidR="008C12FB" w:rsidRPr="00817E68" w:rsidRDefault="00242163" w:rsidP="007D5286">
            <w:pPr>
              <w:pStyle w:val="TableNBullet"/>
              <w:numPr>
                <w:ilvl w:val="0"/>
                <w:numId w:val="29"/>
              </w:numPr>
              <w:rPr>
                <w:rFonts w:cstheme="minorHAnsi"/>
                <w:szCs w:val="20"/>
                <w:lang w:val="en-AU"/>
              </w:rPr>
            </w:pPr>
            <w:r>
              <w:rPr>
                <w:rFonts w:cstheme="minorHAnsi"/>
                <w:szCs w:val="20"/>
                <w:lang w:val="en-AU"/>
              </w:rPr>
              <w:t>Promote water safety skills programs for</w:t>
            </w:r>
            <w:r w:rsidR="008C12FB" w:rsidRPr="00817E68">
              <w:rPr>
                <w:rFonts w:cstheme="minorHAnsi"/>
                <w:szCs w:val="20"/>
                <w:lang w:val="en-AU"/>
              </w:rPr>
              <w:t xml:space="preserve"> children under 5 years of age, and, provision of water safety education </w:t>
            </w:r>
            <w:r>
              <w:rPr>
                <w:rFonts w:cstheme="minorHAnsi"/>
                <w:szCs w:val="20"/>
                <w:lang w:val="en-AU"/>
              </w:rPr>
              <w:t xml:space="preserve">for </w:t>
            </w:r>
            <w:r w:rsidR="008C12FB" w:rsidRPr="00817E68">
              <w:rPr>
                <w:rFonts w:cstheme="minorHAnsi"/>
                <w:szCs w:val="20"/>
                <w:lang w:val="en-AU"/>
              </w:rPr>
              <w:t>children 5-14 years.</w:t>
            </w:r>
          </w:p>
          <w:p w14:paraId="2A860929" w14:textId="77777777" w:rsidR="008C12FB" w:rsidRPr="00817E68" w:rsidRDefault="008C12FB" w:rsidP="007D5286">
            <w:pPr>
              <w:pStyle w:val="TableNBullet"/>
              <w:numPr>
                <w:ilvl w:val="0"/>
                <w:numId w:val="29"/>
              </w:numPr>
            </w:pPr>
            <w:r w:rsidRPr="00817E68">
              <w:rPr>
                <w:rFonts w:cstheme="minorHAnsi"/>
                <w:szCs w:val="20"/>
                <w:lang w:val="en-AU"/>
              </w:rPr>
              <w:t xml:space="preserve">Increase access to water safety programs for all children living in </w:t>
            </w:r>
            <w:r w:rsidRPr="00817E68">
              <w:t xml:space="preserve">rural and remote areas. </w:t>
            </w:r>
          </w:p>
          <w:p w14:paraId="731A40CF" w14:textId="7C96A096" w:rsidR="008C12FB" w:rsidRPr="00817E68" w:rsidRDefault="00242163" w:rsidP="007D5286">
            <w:pPr>
              <w:pStyle w:val="TableNBullet"/>
              <w:numPr>
                <w:ilvl w:val="0"/>
                <w:numId w:val="29"/>
              </w:numPr>
              <w:rPr>
                <w:rFonts w:cstheme="minorHAnsi"/>
                <w:szCs w:val="20"/>
                <w:lang w:val="en-AU"/>
              </w:rPr>
            </w:pPr>
            <w:r>
              <w:rPr>
                <w:rFonts w:cstheme="minorHAnsi"/>
                <w:szCs w:val="20"/>
                <w:lang w:val="en-AU"/>
              </w:rPr>
              <w:t>Strengthen</w:t>
            </w:r>
            <w:r w:rsidRPr="00817E68">
              <w:rPr>
                <w:rFonts w:cstheme="minorHAnsi"/>
                <w:szCs w:val="20"/>
                <w:lang w:val="en-AU"/>
              </w:rPr>
              <w:t xml:space="preserve"> </w:t>
            </w:r>
            <w:r w:rsidR="008C12FB" w:rsidRPr="00817E68">
              <w:rPr>
                <w:rFonts w:cstheme="minorHAnsi"/>
                <w:szCs w:val="20"/>
                <w:lang w:val="en-AU"/>
              </w:rPr>
              <w:t>compliance with pool fencing safety regulations by local government.</w:t>
            </w:r>
          </w:p>
          <w:p w14:paraId="51353A03" w14:textId="77777777" w:rsidR="008C12FB" w:rsidRPr="00817E68" w:rsidRDefault="008C12FB" w:rsidP="007D5286">
            <w:pPr>
              <w:pStyle w:val="TableNBullet"/>
              <w:numPr>
                <w:ilvl w:val="0"/>
                <w:numId w:val="29"/>
              </w:numPr>
              <w:rPr>
                <w:rFonts w:cstheme="minorHAnsi"/>
                <w:szCs w:val="20"/>
                <w:lang w:val="en-AU"/>
              </w:rPr>
            </w:pPr>
            <w:r w:rsidRPr="00817E68">
              <w:rPr>
                <w:rFonts w:cstheme="minorHAnsi"/>
                <w:szCs w:val="20"/>
                <w:lang w:val="en-AU"/>
              </w:rPr>
              <w:t>Raise awareness among families living in rural and remote areas of the proven value of installing child proof fences around gardens and play areas that are within ‘wandering distance’ of creeks and dams.</w:t>
            </w:r>
          </w:p>
        </w:tc>
      </w:tr>
      <w:tr w:rsidR="008C12FB" w:rsidRPr="00817E68" w14:paraId="0B026F40" w14:textId="77777777" w:rsidTr="00C30AD1">
        <w:trPr>
          <w:trHeight w:val="20"/>
        </w:trPr>
        <w:tc>
          <w:tcPr>
            <w:tcW w:w="269" w:type="pct"/>
            <w:vMerge/>
            <w:tcBorders>
              <w:left w:val="single" w:sz="4" w:space="0" w:color="BFBFBF" w:themeColor="background1" w:themeShade="BF"/>
              <w:bottom w:val="single" w:sz="4" w:space="0" w:color="BFBFBF" w:themeColor="background1" w:themeShade="BF"/>
            </w:tcBorders>
            <w:shd w:val="clear" w:color="auto" w:fill="FF9FE6"/>
            <w:textDirection w:val="btLr"/>
          </w:tcPr>
          <w:p w14:paraId="3DF2163C"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0B4BD9B0" w14:textId="77777777" w:rsidR="008C12FB" w:rsidRPr="00817E68" w:rsidRDefault="008C12FB" w:rsidP="00542B57">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77EAEFE7" w14:textId="77777777" w:rsidR="008C12FB" w:rsidRPr="00817E68" w:rsidRDefault="008C12FB" w:rsidP="00542B57">
            <w:pPr>
              <w:spacing w:before="0"/>
              <w:rPr>
                <w:rFonts w:cstheme="minorHAnsi"/>
                <w:i/>
                <w:sz w:val="21"/>
                <w:szCs w:val="20"/>
                <w:lang w:val="en-AU"/>
              </w:rPr>
            </w:pPr>
            <w:r w:rsidRPr="00817E68">
              <w:rPr>
                <w:rFonts w:eastAsia="Times New Roman" w:cstheme="minorHAnsi"/>
                <w:i/>
                <w:sz w:val="21"/>
                <w:szCs w:val="20"/>
                <w:lang w:val="en-AU" w:eastAsia="en-AU"/>
              </w:rPr>
              <w:t xml:space="preserve">State and territory departments of health (Local government, state and territory departments of sport and recreation, Kidsafe, </w:t>
            </w:r>
            <w:r w:rsidRPr="00817E68">
              <w:rPr>
                <w:rFonts w:cstheme="minorHAnsi"/>
                <w:i/>
                <w:color w:val="000000" w:themeColor="text1"/>
                <w:sz w:val="21"/>
                <w:szCs w:val="20"/>
                <w:lang w:val="en-AU"/>
              </w:rPr>
              <w:t>Royal Life Saving, Australian Water Safety Council, and education departments</w:t>
            </w:r>
            <w:r w:rsidRPr="00817E68">
              <w:rPr>
                <w:rFonts w:eastAsia="Times New Roman" w:cstheme="minorHAnsi"/>
                <w:i/>
                <w:sz w:val="21"/>
                <w:szCs w:val="20"/>
                <w:lang w:val="en-AU" w:eastAsia="en-AU"/>
              </w:rPr>
              <w:t xml:space="preserve"> Aboriginal Community Controlled Organisations, </w:t>
            </w:r>
            <w:proofErr w:type="spellStart"/>
            <w:r w:rsidRPr="00817E68">
              <w:rPr>
                <w:rFonts w:eastAsia="Times New Roman" w:cstheme="minorHAnsi"/>
                <w:i/>
                <w:sz w:val="21"/>
                <w:szCs w:val="20"/>
                <w:lang w:val="en-AU" w:eastAsia="en-AU"/>
              </w:rPr>
              <w:t>FarmSafe</w:t>
            </w:r>
            <w:proofErr w:type="spellEnd"/>
            <w:r w:rsidRPr="00817E68">
              <w:rPr>
                <w:rFonts w:eastAsia="Times New Roman" w:cstheme="minorHAnsi"/>
                <w:i/>
                <w:sz w:val="21"/>
                <w:szCs w:val="20"/>
                <w:lang w:val="en-AU" w:eastAsia="en-AU"/>
              </w:rPr>
              <w:t>, rural health services)</w:t>
            </w:r>
          </w:p>
        </w:tc>
      </w:tr>
      <w:tr w:rsidR="008C12FB" w:rsidRPr="00817E68" w14:paraId="151F79EE" w14:textId="77777777" w:rsidTr="00C30AD1">
        <w:trPr>
          <w:trHeight w:val="20"/>
        </w:trPr>
        <w:tc>
          <w:tcPr>
            <w:tcW w:w="269" w:type="pct"/>
            <w:vMerge w:val="restart"/>
            <w:tcBorders>
              <w:top w:val="single" w:sz="4" w:space="0" w:color="BFBFBF" w:themeColor="background1" w:themeShade="BF"/>
              <w:left w:val="single" w:sz="4" w:space="0" w:color="BFBFBF" w:themeColor="background1" w:themeShade="BF"/>
            </w:tcBorders>
            <w:shd w:val="clear" w:color="auto" w:fill="660066"/>
            <w:textDirection w:val="btLr"/>
          </w:tcPr>
          <w:p w14:paraId="7772A750" w14:textId="77777777" w:rsidR="008C12FB" w:rsidRPr="000A0BD4" w:rsidRDefault="008C12FB" w:rsidP="00542B57">
            <w:pPr>
              <w:spacing w:before="0"/>
              <w:ind w:left="113" w:right="113"/>
              <w:contextualSpacing/>
              <w:jc w:val="center"/>
              <w:rPr>
                <w:rFonts w:cstheme="minorHAnsi"/>
                <w:b/>
                <w:sz w:val="21"/>
                <w:szCs w:val="20"/>
                <w:lang w:val="en-AU"/>
              </w:rPr>
            </w:pPr>
            <w:r w:rsidRPr="000A0BD4">
              <w:rPr>
                <w:rFonts w:cstheme="minorHAnsi"/>
                <w:b/>
                <w:sz w:val="21"/>
                <w:szCs w:val="20"/>
                <w:lang w:val="en-AU"/>
              </w:rPr>
              <w:t>Falls</w:t>
            </w:r>
          </w:p>
        </w:tc>
        <w:tc>
          <w:tcPr>
            <w:tcW w:w="672" w:type="pct"/>
            <w:tcBorders>
              <w:top w:val="single" w:sz="4" w:space="0" w:color="BFBFBF" w:themeColor="background1" w:themeShade="BF"/>
            </w:tcBorders>
            <w:shd w:val="clear" w:color="auto" w:fill="auto"/>
          </w:tcPr>
          <w:p w14:paraId="0489A9B1" w14:textId="77777777" w:rsidR="008C12FB" w:rsidRPr="00C30AD1" w:rsidRDefault="008C12FB" w:rsidP="00542B57">
            <w:pPr>
              <w:spacing w:before="0"/>
              <w:rPr>
                <w:rFonts w:cstheme="minorHAnsi"/>
                <w:b/>
                <w:i/>
                <w:sz w:val="18"/>
                <w:szCs w:val="18"/>
                <w:lang w:val="en-AU"/>
              </w:rPr>
            </w:pPr>
            <w:r w:rsidRPr="00C30AD1">
              <w:rPr>
                <w:rFonts w:cstheme="minorHAnsi"/>
                <w:b/>
                <w:i/>
                <w:sz w:val="18"/>
                <w:szCs w:val="18"/>
                <w:lang w:val="en-AU"/>
              </w:rPr>
              <w:t>Objective 3</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303FA812" w14:textId="2E6E211B" w:rsidR="008C12FB" w:rsidRPr="00C30AD1" w:rsidRDefault="008C12FB" w:rsidP="006E6EE2">
            <w:pPr>
              <w:pStyle w:val="Numberedtable"/>
              <w:numPr>
                <w:ilvl w:val="0"/>
                <w:numId w:val="0"/>
              </w:numPr>
              <w:rPr>
                <w:color w:val="auto"/>
                <w:lang w:val="en-AU"/>
              </w:rPr>
            </w:pPr>
            <w:r w:rsidRPr="00C30AD1">
              <w:rPr>
                <w:rFonts w:asciiTheme="minorHAnsi" w:hAnsiTheme="minorHAnsi" w:cstheme="minorHAnsi"/>
                <w:color w:val="auto"/>
                <w:sz w:val="21"/>
                <w:szCs w:val="20"/>
                <w:lang w:val="en-AU"/>
              </w:rPr>
              <w:t xml:space="preserve">Reduce </w:t>
            </w:r>
            <w:r w:rsidR="00242163" w:rsidRPr="00C30AD1">
              <w:rPr>
                <w:rFonts w:asciiTheme="minorHAnsi" w:hAnsiTheme="minorHAnsi" w:cstheme="minorHAnsi"/>
                <w:color w:val="auto"/>
                <w:sz w:val="21"/>
                <w:szCs w:val="20"/>
                <w:lang w:val="en-AU"/>
              </w:rPr>
              <w:t xml:space="preserve">the </w:t>
            </w:r>
            <w:r w:rsidR="006E6EE2">
              <w:rPr>
                <w:rFonts w:asciiTheme="minorHAnsi" w:hAnsiTheme="minorHAnsi" w:cstheme="minorHAnsi"/>
                <w:color w:val="auto"/>
                <w:sz w:val="21"/>
                <w:szCs w:val="20"/>
                <w:lang w:val="en-AU"/>
              </w:rPr>
              <w:t>rate</w:t>
            </w:r>
            <w:r w:rsidR="00242163" w:rsidRPr="00C30AD1">
              <w:rPr>
                <w:rFonts w:asciiTheme="minorHAnsi" w:hAnsiTheme="minorHAnsi" w:cstheme="minorHAnsi"/>
                <w:color w:val="auto"/>
                <w:sz w:val="21"/>
                <w:szCs w:val="20"/>
                <w:lang w:val="en-AU"/>
              </w:rPr>
              <w:t xml:space="preserve"> of falls</w:t>
            </w:r>
          </w:p>
        </w:tc>
      </w:tr>
      <w:tr w:rsidR="008C12FB" w:rsidRPr="00817E68" w14:paraId="0D33D683" w14:textId="77777777" w:rsidTr="00C30AD1">
        <w:trPr>
          <w:trHeight w:val="20"/>
        </w:trPr>
        <w:tc>
          <w:tcPr>
            <w:tcW w:w="269" w:type="pct"/>
            <w:vMerge/>
            <w:tcBorders>
              <w:left w:val="single" w:sz="4" w:space="0" w:color="BFBFBF" w:themeColor="background1" w:themeShade="BF"/>
            </w:tcBorders>
            <w:shd w:val="clear" w:color="auto" w:fill="660066"/>
            <w:textDirection w:val="btLr"/>
          </w:tcPr>
          <w:p w14:paraId="73956C8F"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Pr>
          <w:p w14:paraId="4672A6A1"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376F51EB" w14:textId="77777777" w:rsidR="008C12FB" w:rsidRPr="00817E68" w:rsidRDefault="008C12FB" w:rsidP="00542B57">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44A67FA2" w14:textId="77777777" w:rsidR="008C12FB" w:rsidRPr="00817E68" w:rsidRDefault="008C12FB" w:rsidP="007D5286">
            <w:pPr>
              <w:pStyle w:val="TableNBullet"/>
              <w:numPr>
                <w:ilvl w:val="0"/>
                <w:numId w:val="28"/>
              </w:numPr>
              <w:rPr>
                <w:rFonts w:cstheme="minorHAnsi"/>
                <w:szCs w:val="20"/>
                <w:lang w:val="en-AU"/>
              </w:rPr>
            </w:pPr>
            <w:r w:rsidRPr="00817E68">
              <w:rPr>
                <w:rFonts w:cstheme="minorHAnsi"/>
                <w:szCs w:val="20"/>
                <w:lang w:val="en-AU"/>
              </w:rPr>
              <w:t>Provide home safety education (parent education and training/counselling during health and wellness home visits, hazard checklists) with subsidised access to stair guards, table corner coverings for socio-economically disadvantaged groups.</w:t>
            </w:r>
          </w:p>
          <w:p w14:paraId="427B4CD5" w14:textId="3E45A34D" w:rsidR="008C12FB" w:rsidRPr="00817E68" w:rsidRDefault="00242163" w:rsidP="007D5286">
            <w:pPr>
              <w:pStyle w:val="TableNBullet"/>
              <w:numPr>
                <w:ilvl w:val="0"/>
                <w:numId w:val="28"/>
              </w:numPr>
              <w:rPr>
                <w:rFonts w:cstheme="minorHAnsi"/>
                <w:szCs w:val="20"/>
                <w:lang w:val="en-AU"/>
              </w:rPr>
            </w:pPr>
            <w:r>
              <w:rPr>
                <w:rFonts w:cstheme="minorHAnsi"/>
                <w:szCs w:val="20"/>
                <w:lang w:val="en-AU"/>
              </w:rPr>
              <w:t xml:space="preserve">Support multi-strategic programs for </w:t>
            </w:r>
            <w:r w:rsidR="008C12FB" w:rsidRPr="00817E68">
              <w:rPr>
                <w:rFonts w:cstheme="minorHAnsi"/>
                <w:szCs w:val="20"/>
                <w:lang w:val="en-AU"/>
              </w:rPr>
              <w:t xml:space="preserve">families </w:t>
            </w:r>
            <w:r w:rsidR="008C12FB" w:rsidRPr="00817E68">
              <w:t>from rural and remote areas</w:t>
            </w:r>
            <w:r w:rsidR="008C12FB" w:rsidRPr="00817E68">
              <w:rPr>
                <w:rFonts w:cstheme="minorHAnsi"/>
                <w:szCs w:val="20"/>
                <w:lang w:val="en-AU"/>
              </w:rPr>
              <w:t xml:space="preserve"> that include subsidi</w:t>
            </w:r>
            <w:r w:rsidR="00F42107">
              <w:rPr>
                <w:rFonts w:cstheme="minorHAnsi"/>
                <w:szCs w:val="20"/>
                <w:lang w:val="en-AU"/>
              </w:rPr>
              <w:t>s</w:t>
            </w:r>
            <w:r w:rsidR="008C12FB" w:rsidRPr="00817E68">
              <w:rPr>
                <w:rFonts w:cstheme="minorHAnsi"/>
                <w:szCs w:val="20"/>
                <w:lang w:val="en-AU"/>
              </w:rPr>
              <w:t>ed</w:t>
            </w:r>
            <w:r>
              <w:rPr>
                <w:rFonts w:cstheme="minorHAnsi"/>
                <w:szCs w:val="20"/>
                <w:lang w:val="en-AU"/>
              </w:rPr>
              <w:t xml:space="preserve"> home</w:t>
            </w:r>
            <w:r w:rsidR="008C12FB" w:rsidRPr="00817E68">
              <w:rPr>
                <w:rFonts w:cstheme="minorHAnsi"/>
                <w:szCs w:val="20"/>
                <w:lang w:val="en-AU"/>
              </w:rPr>
              <w:t xml:space="preserve"> safety equipment to prevent falls.</w:t>
            </w:r>
          </w:p>
          <w:p w14:paraId="0F3F5F33" w14:textId="446ABA03" w:rsidR="008C12FB" w:rsidRPr="00817E68" w:rsidRDefault="008C12FB" w:rsidP="007D5286">
            <w:pPr>
              <w:pStyle w:val="TableNBullet"/>
              <w:numPr>
                <w:ilvl w:val="0"/>
                <w:numId w:val="28"/>
              </w:numPr>
              <w:rPr>
                <w:rFonts w:cstheme="minorHAnsi"/>
                <w:szCs w:val="20"/>
                <w:lang w:val="en-AU"/>
              </w:rPr>
            </w:pPr>
            <w:r w:rsidRPr="00817E68">
              <w:rPr>
                <w:rFonts w:cstheme="minorHAnsi"/>
                <w:szCs w:val="20"/>
                <w:lang w:val="en-AU"/>
              </w:rPr>
              <w:t xml:space="preserve">All states and territories to adopt window safety legislation for tenanted buildings. </w:t>
            </w:r>
            <w:r w:rsidR="00242163">
              <w:rPr>
                <w:rFonts w:cstheme="minorHAnsi"/>
                <w:szCs w:val="20"/>
                <w:lang w:val="en-AU"/>
              </w:rPr>
              <w:t>Ensure</w:t>
            </w:r>
            <w:r w:rsidR="007617C8">
              <w:rPr>
                <w:rFonts w:cstheme="minorHAnsi"/>
                <w:szCs w:val="20"/>
                <w:lang w:val="en-AU"/>
              </w:rPr>
              <w:t xml:space="preserve"> </w:t>
            </w:r>
            <w:r w:rsidRPr="00817E68">
              <w:rPr>
                <w:rFonts w:cstheme="minorHAnsi"/>
                <w:szCs w:val="20"/>
                <w:lang w:val="en-AU"/>
              </w:rPr>
              <w:t xml:space="preserve">compliance with this legislation. </w:t>
            </w:r>
          </w:p>
        </w:tc>
      </w:tr>
      <w:tr w:rsidR="008C12FB" w:rsidRPr="00817E68" w14:paraId="2FB50760" w14:textId="77777777" w:rsidTr="00C30AD1">
        <w:trPr>
          <w:trHeight w:val="20"/>
        </w:trPr>
        <w:tc>
          <w:tcPr>
            <w:tcW w:w="269" w:type="pct"/>
            <w:vMerge/>
            <w:tcBorders>
              <w:left w:val="single" w:sz="4" w:space="0" w:color="BFBFBF" w:themeColor="background1" w:themeShade="BF"/>
              <w:bottom w:val="single" w:sz="4" w:space="0" w:color="BFBFBF" w:themeColor="background1" w:themeShade="BF"/>
            </w:tcBorders>
            <w:shd w:val="clear" w:color="auto" w:fill="660066"/>
            <w:textDirection w:val="btLr"/>
          </w:tcPr>
          <w:p w14:paraId="18B90ECC"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0E796C39" w14:textId="77777777" w:rsidR="008C12FB" w:rsidRPr="00817E68" w:rsidRDefault="008C12FB" w:rsidP="00542B57">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63397E74" w14:textId="332D4681" w:rsidR="008C12FB" w:rsidRPr="00817E68" w:rsidRDefault="008C12FB" w:rsidP="00542B57">
            <w:pPr>
              <w:spacing w:before="0"/>
              <w:rPr>
                <w:rFonts w:eastAsia="Times New Roman" w:cstheme="minorHAnsi"/>
                <w:i/>
                <w:sz w:val="21"/>
                <w:szCs w:val="20"/>
                <w:lang w:val="en-AU" w:eastAsia="en-AU"/>
              </w:rPr>
            </w:pPr>
            <w:r w:rsidRPr="00817E68">
              <w:rPr>
                <w:rFonts w:eastAsia="Times New Roman" w:cstheme="minorHAnsi"/>
                <w:i/>
                <w:sz w:val="21"/>
                <w:szCs w:val="20"/>
                <w:lang w:val="en-AU" w:eastAsia="en-AU"/>
              </w:rPr>
              <w:t>State and territory departments of health, state and territory departments of infrastructure and planning (Local government, strata management bodies, Kidsafe, housing provider services, Aboriginal Community Controlled Health Organisations)</w:t>
            </w:r>
          </w:p>
        </w:tc>
      </w:tr>
      <w:tr w:rsidR="008C12FB" w:rsidRPr="00817E68" w14:paraId="09037C30" w14:textId="77777777" w:rsidTr="00C30AD1">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7999FF"/>
            <w:textDirection w:val="btLr"/>
          </w:tcPr>
          <w:p w14:paraId="4EE8C28B" w14:textId="77777777" w:rsidR="008C12FB" w:rsidRPr="000A0BD4" w:rsidRDefault="008C12FB" w:rsidP="00542B57">
            <w:pPr>
              <w:spacing w:before="0"/>
              <w:ind w:left="113" w:right="113"/>
              <w:contextualSpacing/>
              <w:jc w:val="center"/>
              <w:rPr>
                <w:rFonts w:cstheme="minorHAnsi"/>
                <w:b/>
                <w:sz w:val="21"/>
                <w:szCs w:val="20"/>
                <w:lang w:val="en-AU"/>
              </w:rPr>
            </w:pPr>
            <w:bookmarkStart w:id="214" w:name="_Hlk30765075"/>
            <w:r w:rsidRPr="000A0BD4">
              <w:rPr>
                <w:rFonts w:cstheme="minorHAnsi"/>
                <w:b/>
                <w:sz w:val="21"/>
                <w:szCs w:val="20"/>
                <w:lang w:val="en-AU"/>
              </w:rPr>
              <w:t>Road</w:t>
            </w:r>
            <w:r>
              <w:rPr>
                <w:rFonts w:cstheme="minorHAnsi"/>
                <w:b/>
                <w:sz w:val="21"/>
                <w:szCs w:val="20"/>
                <w:lang w:val="en-AU"/>
              </w:rPr>
              <w:t xml:space="preserve"> + land transport</w:t>
            </w:r>
          </w:p>
        </w:tc>
        <w:tc>
          <w:tcPr>
            <w:tcW w:w="672" w:type="pct"/>
            <w:tcBorders>
              <w:top w:val="single" w:sz="4" w:space="0" w:color="BFBFBF" w:themeColor="background1" w:themeShade="BF"/>
              <w:left w:val="single" w:sz="4" w:space="0" w:color="BFBFBF" w:themeColor="background1" w:themeShade="BF"/>
            </w:tcBorders>
            <w:shd w:val="clear" w:color="auto" w:fill="auto"/>
          </w:tcPr>
          <w:p w14:paraId="527C3213" w14:textId="77777777" w:rsidR="008C12FB" w:rsidRPr="0038126F" w:rsidRDefault="008C12FB" w:rsidP="00542B57">
            <w:pPr>
              <w:spacing w:before="0"/>
              <w:rPr>
                <w:rFonts w:cstheme="minorHAnsi"/>
                <w:b/>
                <w:i/>
                <w:sz w:val="18"/>
                <w:szCs w:val="18"/>
                <w:lang w:val="en-AU"/>
              </w:rPr>
            </w:pPr>
            <w:r w:rsidRPr="0038126F">
              <w:rPr>
                <w:rFonts w:cstheme="minorHAnsi"/>
                <w:b/>
                <w:i/>
                <w:sz w:val="18"/>
                <w:szCs w:val="18"/>
                <w:lang w:val="en-AU"/>
              </w:rPr>
              <w:t>Objective 7</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0199EC1B" w14:textId="77777777" w:rsidR="008C12FB" w:rsidRPr="00817E68" w:rsidRDefault="008C12FB" w:rsidP="00542B57">
            <w:pPr>
              <w:pStyle w:val="Numberedtable"/>
              <w:numPr>
                <w:ilvl w:val="0"/>
                <w:numId w:val="0"/>
              </w:numPr>
              <w:rPr>
                <w:rFonts w:asciiTheme="minorHAnsi" w:hAnsiTheme="minorHAnsi" w:cstheme="minorHAnsi"/>
                <w:sz w:val="21"/>
                <w:szCs w:val="20"/>
                <w:lang w:val="en-AU"/>
              </w:rPr>
            </w:pPr>
            <w:r>
              <w:rPr>
                <w:rFonts w:asciiTheme="minorHAnsi" w:hAnsiTheme="minorHAnsi" w:cstheme="minorHAnsi"/>
                <w:sz w:val="21"/>
                <w:szCs w:val="20"/>
                <w:lang w:val="en-AU"/>
              </w:rPr>
              <w:t>I</w:t>
            </w:r>
            <w:r w:rsidRPr="00817E68">
              <w:rPr>
                <w:rFonts w:asciiTheme="minorHAnsi" w:hAnsiTheme="minorHAnsi" w:cstheme="minorHAnsi"/>
                <w:sz w:val="21"/>
                <w:szCs w:val="20"/>
                <w:lang w:val="en-AU"/>
              </w:rPr>
              <w:t>ncrease child pedestrian safety</w:t>
            </w:r>
          </w:p>
        </w:tc>
      </w:tr>
      <w:tr w:rsidR="008C12FB" w:rsidRPr="00817E68" w14:paraId="6EED229B"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7999FF"/>
            <w:textDirection w:val="btLr"/>
          </w:tcPr>
          <w:p w14:paraId="65BFEFA3"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shd w:val="clear" w:color="auto" w:fill="auto"/>
          </w:tcPr>
          <w:p w14:paraId="0F594062"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6E07AAA4" w14:textId="77777777" w:rsidR="008C12FB" w:rsidRPr="00817E68" w:rsidRDefault="008C12FB" w:rsidP="00542B57">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shd w:val="clear" w:color="auto" w:fill="auto"/>
          </w:tcPr>
          <w:p w14:paraId="372A5AE0" w14:textId="77777777" w:rsidR="008C12FB" w:rsidRPr="00817E68" w:rsidRDefault="008C12FB" w:rsidP="007D5286">
            <w:pPr>
              <w:pStyle w:val="TableNBullet"/>
              <w:numPr>
                <w:ilvl w:val="0"/>
                <w:numId w:val="72"/>
              </w:numPr>
              <w:rPr>
                <w:rFonts w:cstheme="minorHAnsi"/>
                <w:szCs w:val="20"/>
                <w:lang w:val="en-AU" w:eastAsia="en-US"/>
              </w:rPr>
            </w:pPr>
            <w:r w:rsidRPr="00817E68">
              <w:rPr>
                <w:rFonts w:cstheme="minorHAnsi"/>
                <w:szCs w:val="20"/>
                <w:lang w:val="en-AU"/>
              </w:rPr>
              <w:t xml:space="preserve">Improve the overall compliance with speed limits, particularly on high-traffic and/or high-risk sections of the road network across </w:t>
            </w:r>
            <w:r w:rsidRPr="00817E68" w:rsidDel="009D78E6">
              <w:rPr>
                <w:rFonts w:cstheme="minorHAnsi"/>
                <w:szCs w:val="20"/>
                <w:lang w:val="en-AU"/>
              </w:rPr>
              <w:t>all</w:t>
            </w:r>
            <w:r w:rsidRPr="00817E68">
              <w:rPr>
                <w:rFonts w:cstheme="minorHAnsi"/>
                <w:szCs w:val="20"/>
                <w:lang w:val="en-AU"/>
              </w:rPr>
              <w:t xml:space="preserve"> states and territories, including 40 km/hr school zones.</w:t>
            </w:r>
          </w:p>
        </w:tc>
      </w:tr>
      <w:tr w:rsidR="008C12FB" w:rsidRPr="00817E68" w14:paraId="3AD3AFF3"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7999FF"/>
            <w:textDirection w:val="btLr"/>
          </w:tcPr>
          <w:p w14:paraId="1A558F58"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shd w:val="clear" w:color="auto" w:fill="auto"/>
          </w:tcPr>
          <w:p w14:paraId="5F68E055" w14:textId="77777777" w:rsidR="008C12FB" w:rsidRPr="00817E68" w:rsidRDefault="008C12FB" w:rsidP="00542B57">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shd w:val="clear" w:color="auto" w:fill="auto"/>
          </w:tcPr>
          <w:p w14:paraId="55731404" w14:textId="77777777" w:rsidR="008C12FB" w:rsidRPr="00817E68" w:rsidRDefault="008C12FB" w:rsidP="00542B57">
            <w:pPr>
              <w:pStyle w:val="TableNBullet"/>
              <w:numPr>
                <w:ilvl w:val="0"/>
                <w:numId w:val="0"/>
              </w:numPr>
              <w:rPr>
                <w:rFonts w:cstheme="minorHAnsi"/>
                <w:szCs w:val="20"/>
                <w:lang w:val="en-AU"/>
              </w:rPr>
            </w:pPr>
            <w:r w:rsidRPr="00817E68">
              <w:rPr>
                <w:rFonts w:cstheme="minorHAnsi"/>
                <w:i/>
                <w:szCs w:val="20"/>
                <w:lang w:val="en-AU"/>
              </w:rPr>
              <w:t>State and territory departments of roads and transport (Schools, Parents &amp; Citizens Associations)</w:t>
            </w:r>
          </w:p>
        </w:tc>
      </w:tr>
      <w:tr w:rsidR="008C12FB" w:rsidRPr="00817E68" w14:paraId="6339ADC4" w14:textId="77777777" w:rsidTr="00C30AD1">
        <w:trPr>
          <w:trHeight w:val="20"/>
        </w:trPr>
        <w:tc>
          <w:tcPr>
            <w:tcW w:w="269" w:type="pct"/>
            <w:vMerge/>
            <w:tcBorders>
              <w:left w:val="single" w:sz="4" w:space="0" w:color="BFBFBF" w:themeColor="background1" w:themeShade="BF"/>
            </w:tcBorders>
            <w:shd w:val="clear" w:color="auto" w:fill="7999FF"/>
            <w:textDirection w:val="btLr"/>
          </w:tcPr>
          <w:p w14:paraId="6611D697"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top w:val="single" w:sz="4" w:space="0" w:color="BFBFBF" w:themeColor="background1" w:themeShade="BF"/>
            </w:tcBorders>
            <w:shd w:val="clear" w:color="auto" w:fill="auto"/>
          </w:tcPr>
          <w:p w14:paraId="55624C79" w14:textId="77777777" w:rsidR="008C12FB" w:rsidRPr="00817E68" w:rsidRDefault="008C12FB" w:rsidP="00542B57">
            <w:pPr>
              <w:spacing w:before="0"/>
              <w:rPr>
                <w:rFonts w:cstheme="minorHAnsi"/>
                <w:b/>
                <w:i/>
                <w:color w:val="000000" w:themeColor="text1"/>
                <w:sz w:val="18"/>
                <w:szCs w:val="18"/>
                <w:lang w:val="en-AU"/>
              </w:rPr>
            </w:pPr>
            <w:r w:rsidRPr="0038126F">
              <w:rPr>
                <w:rFonts w:cstheme="minorHAnsi"/>
                <w:b/>
                <w:i/>
                <w:sz w:val="18"/>
                <w:szCs w:val="18"/>
                <w:lang w:val="en-AU"/>
              </w:rPr>
              <w:t>Objective 8</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371CB432" w14:textId="77777777" w:rsidR="008C12FB" w:rsidRPr="00817E68" w:rsidRDefault="008C12FB" w:rsidP="00542B57">
            <w:pPr>
              <w:pStyle w:val="Numberedtable"/>
              <w:numPr>
                <w:ilvl w:val="0"/>
                <w:numId w:val="0"/>
              </w:numPr>
              <w:rPr>
                <w:rFonts w:asciiTheme="minorHAnsi" w:hAnsiTheme="minorHAnsi" w:cstheme="minorHAnsi"/>
                <w:sz w:val="21"/>
                <w:szCs w:val="20"/>
                <w:lang w:val="en-AU"/>
              </w:rPr>
            </w:pPr>
            <w:r w:rsidRPr="00817E68">
              <w:rPr>
                <w:rFonts w:asciiTheme="minorHAnsi" w:hAnsiTheme="minorHAnsi" w:cstheme="minorHAnsi"/>
                <w:sz w:val="21"/>
                <w:szCs w:val="20"/>
                <w:lang w:val="en-AU"/>
              </w:rPr>
              <w:t>Promote the correct use of appropriate child car seats</w:t>
            </w:r>
          </w:p>
        </w:tc>
      </w:tr>
      <w:tr w:rsidR="008C12FB" w:rsidRPr="00817E68" w14:paraId="30D4FAFD" w14:textId="77777777" w:rsidTr="00C30AD1">
        <w:trPr>
          <w:trHeight w:val="20"/>
        </w:trPr>
        <w:tc>
          <w:tcPr>
            <w:tcW w:w="269" w:type="pct"/>
            <w:vMerge/>
            <w:tcBorders>
              <w:left w:val="single" w:sz="4" w:space="0" w:color="BFBFBF" w:themeColor="background1" w:themeShade="BF"/>
            </w:tcBorders>
            <w:shd w:val="clear" w:color="auto" w:fill="7999FF"/>
            <w:textDirection w:val="btLr"/>
          </w:tcPr>
          <w:p w14:paraId="36CC1C9C"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Pr>
          <w:p w14:paraId="4F724F6F"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6F5E2917" w14:textId="77777777" w:rsidR="008C12FB" w:rsidRPr="00817E68" w:rsidRDefault="008C12FB" w:rsidP="00542B57">
            <w:pPr>
              <w:spacing w:before="0"/>
              <w:rPr>
                <w:rFonts w:cstheme="minorHAnsi"/>
                <w:i/>
                <w:sz w:val="18"/>
                <w:szCs w:val="18"/>
                <w:lang w:val="en-AU"/>
              </w:rPr>
            </w:pPr>
          </w:p>
        </w:tc>
        <w:tc>
          <w:tcPr>
            <w:tcW w:w="4059" w:type="pct"/>
            <w:tcBorders>
              <w:right w:val="single" w:sz="4" w:space="0" w:color="BFBFBF" w:themeColor="background1" w:themeShade="BF"/>
            </w:tcBorders>
          </w:tcPr>
          <w:p w14:paraId="0A5B5A69" w14:textId="18AA47D5" w:rsidR="008C12FB" w:rsidRPr="00817E68" w:rsidRDefault="00242163" w:rsidP="007D5286">
            <w:pPr>
              <w:pStyle w:val="TableNBullet"/>
              <w:numPr>
                <w:ilvl w:val="0"/>
                <w:numId w:val="32"/>
              </w:numPr>
              <w:rPr>
                <w:rFonts w:cstheme="minorHAnsi"/>
                <w:szCs w:val="20"/>
                <w:lang w:val="en-AU"/>
              </w:rPr>
            </w:pPr>
            <w:r>
              <w:rPr>
                <w:rFonts w:cstheme="minorHAnsi"/>
                <w:szCs w:val="20"/>
                <w:lang w:val="en-AU"/>
              </w:rPr>
              <w:t>Support</w:t>
            </w:r>
            <w:r w:rsidRPr="00817E68">
              <w:rPr>
                <w:rFonts w:cstheme="minorHAnsi"/>
                <w:szCs w:val="20"/>
                <w:lang w:val="en-AU"/>
              </w:rPr>
              <w:t xml:space="preserve"> </w:t>
            </w:r>
            <w:r w:rsidR="006E6EE2">
              <w:rPr>
                <w:rFonts w:cstheme="minorHAnsi"/>
                <w:szCs w:val="20"/>
                <w:lang w:val="en-AU"/>
              </w:rPr>
              <w:t>i</w:t>
            </w:r>
            <w:r w:rsidR="005B37B3">
              <w:rPr>
                <w:rFonts w:cstheme="minorHAnsi"/>
                <w:szCs w:val="20"/>
                <w:lang w:val="en-AU"/>
              </w:rPr>
              <w:t>ncrease</w:t>
            </w:r>
            <w:r w:rsidR="006E6EE2">
              <w:rPr>
                <w:rFonts w:cstheme="minorHAnsi"/>
                <w:szCs w:val="20"/>
                <w:lang w:val="en-AU"/>
              </w:rPr>
              <w:t>d</w:t>
            </w:r>
            <w:r w:rsidR="005B37B3">
              <w:rPr>
                <w:rFonts w:cstheme="minorHAnsi"/>
                <w:szCs w:val="20"/>
                <w:lang w:val="en-AU"/>
              </w:rPr>
              <w:t xml:space="preserve"> community-based education </w:t>
            </w:r>
            <w:r>
              <w:rPr>
                <w:rFonts w:cstheme="minorHAnsi"/>
                <w:szCs w:val="20"/>
                <w:lang w:val="en-AU"/>
              </w:rPr>
              <w:t xml:space="preserve">on </w:t>
            </w:r>
            <w:r w:rsidR="008C12FB" w:rsidRPr="00817E68">
              <w:rPr>
                <w:rFonts w:cstheme="minorHAnsi"/>
                <w:szCs w:val="20"/>
                <w:lang w:val="en-AU"/>
              </w:rPr>
              <w:t xml:space="preserve">the correct use of appropriate child car seats. </w:t>
            </w:r>
          </w:p>
          <w:p w14:paraId="6DA815C7" w14:textId="1FBC4E46" w:rsidR="008C12FB" w:rsidRPr="00817E68" w:rsidRDefault="00242163" w:rsidP="007D5286">
            <w:pPr>
              <w:pStyle w:val="TableNBullet"/>
              <w:numPr>
                <w:ilvl w:val="0"/>
                <w:numId w:val="32"/>
              </w:numPr>
              <w:rPr>
                <w:rFonts w:cstheme="minorHAnsi"/>
              </w:rPr>
            </w:pPr>
            <w:r>
              <w:rPr>
                <w:rFonts w:cstheme="minorHAnsi"/>
                <w:szCs w:val="20"/>
                <w:lang w:val="en-AU"/>
              </w:rPr>
              <w:t xml:space="preserve">Provide </w:t>
            </w:r>
            <w:r w:rsidR="008C12FB" w:rsidRPr="00817E68">
              <w:rPr>
                <w:rFonts w:cstheme="minorHAnsi"/>
                <w:szCs w:val="20"/>
                <w:lang w:val="en-AU"/>
              </w:rPr>
              <w:t xml:space="preserve">subsidised access to restraint fitting services for children from rural and remote areas, socio-economically disadvantaged areas and </w:t>
            </w:r>
            <w:r w:rsidR="008C12FB" w:rsidRPr="00817E68">
              <w:rPr>
                <w:rFonts w:cstheme="minorHAnsi"/>
                <w:szCs w:val="21"/>
              </w:rPr>
              <w:t>Aboriginal and Torres Strait Islander families.</w:t>
            </w:r>
          </w:p>
          <w:p w14:paraId="645876DD" w14:textId="7139744B" w:rsidR="008C12FB" w:rsidRPr="00817E68" w:rsidRDefault="00242163" w:rsidP="007D5286">
            <w:pPr>
              <w:pStyle w:val="TableNBullet"/>
              <w:numPr>
                <w:ilvl w:val="0"/>
                <w:numId w:val="32"/>
              </w:numPr>
              <w:rPr>
                <w:rFonts w:cstheme="minorHAnsi"/>
                <w:szCs w:val="20"/>
                <w:lang w:val="en-AU"/>
              </w:rPr>
            </w:pPr>
            <w:r>
              <w:rPr>
                <w:rFonts w:cstheme="minorHAnsi"/>
                <w:szCs w:val="20"/>
                <w:lang w:val="en-AU"/>
              </w:rPr>
              <w:t xml:space="preserve">Strengthen </w:t>
            </w:r>
            <w:r w:rsidR="008C12FB" w:rsidRPr="00817E68">
              <w:rPr>
                <w:rFonts w:cstheme="minorHAnsi"/>
                <w:szCs w:val="20"/>
                <w:lang w:val="en-AU"/>
              </w:rPr>
              <w:t>compliance with child restraint legislation in all states and territories.</w:t>
            </w:r>
          </w:p>
        </w:tc>
      </w:tr>
      <w:tr w:rsidR="008C12FB" w:rsidRPr="00817E68" w14:paraId="315EC83E" w14:textId="77777777" w:rsidTr="00C30AD1">
        <w:trPr>
          <w:trHeight w:val="20"/>
        </w:trPr>
        <w:tc>
          <w:tcPr>
            <w:tcW w:w="269" w:type="pct"/>
            <w:vMerge/>
            <w:tcBorders>
              <w:left w:val="single" w:sz="4" w:space="0" w:color="BFBFBF" w:themeColor="background1" w:themeShade="BF"/>
              <w:bottom w:val="single" w:sz="4" w:space="0" w:color="BFBFBF" w:themeColor="background1" w:themeShade="BF"/>
            </w:tcBorders>
            <w:shd w:val="clear" w:color="auto" w:fill="7999FF"/>
            <w:textDirection w:val="btLr"/>
          </w:tcPr>
          <w:p w14:paraId="75AD9BAA"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2039CE35"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64A88E0F" w14:textId="77777777" w:rsidR="008C12FB" w:rsidRPr="00817E68" w:rsidRDefault="008C12FB" w:rsidP="00542B57">
            <w:pPr>
              <w:spacing w:before="0"/>
              <w:rPr>
                <w:rFonts w:cstheme="minorHAnsi"/>
                <w:sz w:val="21"/>
                <w:szCs w:val="20"/>
                <w:lang w:val="en-AU"/>
              </w:rPr>
            </w:pPr>
            <w:r w:rsidRPr="00817E68">
              <w:rPr>
                <w:rFonts w:eastAsia="Times New Roman" w:cstheme="minorHAnsi"/>
                <w:i/>
                <w:sz w:val="21"/>
                <w:szCs w:val="20"/>
                <w:lang w:val="en-AU" w:eastAsia="en-AU"/>
              </w:rPr>
              <w:t>State and territory departments of transport (Local government, restraint fitters, Kidsafe, Pre-schools, Early Childhood Health Centres, Aboriginal Community Controlled Organisations, educators, police, Child Restraint Evaluation Program)</w:t>
            </w:r>
          </w:p>
        </w:tc>
      </w:tr>
      <w:tr w:rsidR="008C12FB" w:rsidRPr="00817E68" w14:paraId="24A055FD" w14:textId="77777777" w:rsidTr="00C30AD1">
        <w:trPr>
          <w:trHeight w:val="20"/>
        </w:trPr>
        <w:tc>
          <w:tcPr>
            <w:tcW w:w="269" w:type="pct"/>
            <w:vMerge w:val="restart"/>
            <w:tcBorders>
              <w:left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1C34B07E" w14:textId="77777777" w:rsidR="008C12FB" w:rsidRPr="000A0BD4" w:rsidRDefault="008C12FB" w:rsidP="00542B57">
            <w:pPr>
              <w:spacing w:before="0"/>
              <w:ind w:left="113" w:right="113"/>
              <w:contextualSpacing/>
              <w:jc w:val="center"/>
              <w:rPr>
                <w:rFonts w:cstheme="minorHAnsi"/>
                <w:b/>
                <w:sz w:val="21"/>
                <w:szCs w:val="20"/>
                <w:lang w:val="en-AU"/>
              </w:rPr>
            </w:pPr>
            <w:r w:rsidRPr="000A0BD4">
              <w:rPr>
                <w:rFonts w:cstheme="minorHAnsi"/>
                <w:b/>
                <w:sz w:val="21"/>
                <w:szCs w:val="20"/>
                <w:lang w:val="en-AU"/>
              </w:rPr>
              <w:t>Sports</w:t>
            </w:r>
          </w:p>
        </w:tc>
        <w:tc>
          <w:tcPr>
            <w:tcW w:w="672" w:type="pct"/>
            <w:tcBorders>
              <w:top w:val="single" w:sz="4" w:space="0" w:color="BFBFBF" w:themeColor="background1" w:themeShade="BF"/>
              <w:left w:val="single" w:sz="4" w:space="0" w:color="BFBFBF" w:themeColor="background1" w:themeShade="BF"/>
            </w:tcBorders>
            <w:shd w:val="clear" w:color="auto" w:fill="auto"/>
          </w:tcPr>
          <w:p w14:paraId="2C638D91" w14:textId="77777777" w:rsidR="008C12FB" w:rsidRPr="00BF67AD" w:rsidRDefault="008C12FB" w:rsidP="00542B57">
            <w:pPr>
              <w:spacing w:before="0"/>
              <w:rPr>
                <w:rFonts w:cstheme="minorHAnsi"/>
                <w:b/>
                <w:i/>
                <w:color w:val="000000" w:themeColor="text1"/>
                <w:sz w:val="18"/>
                <w:szCs w:val="18"/>
                <w:lang w:val="en-AU"/>
              </w:rPr>
            </w:pPr>
            <w:r w:rsidRPr="00BF67AD">
              <w:rPr>
                <w:rFonts w:cstheme="minorHAnsi"/>
                <w:b/>
                <w:i/>
                <w:sz w:val="18"/>
                <w:szCs w:val="18"/>
                <w:lang w:val="en-AU"/>
              </w:rPr>
              <w:t>Objective 16</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023ACB92" w14:textId="77777777" w:rsidR="008C12FB" w:rsidRPr="00817E68" w:rsidRDefault="008C12FB" w:rsidP="00542B57">
            <w:pPr>
              <w:pStyle w:val="Numberedtable"/>
              <w:numPr>
                <w:ilvl w:val="0"/>
                <w:numId w:val="0"/>
              </w:numPr>
              <w:rPr>
                <w:rFonts w:asciiTheme="minorHAnsi" w:hAnsiTheme="minorHAnsi" w:cstheme="minorHAnsi"/>
                <w:sz w:val="21"/>
                <w:szCs w:val="20"/>
                <w:lang w:val="en-AU"/>
              </w:rPr>
            </w:pPr>
            <w:r w:rsidRPr="00817E68">
              <w:rPr>
                <w:rFonts w:asciiTheme="minorHAnsi" w:hAnsiTheme="minorHAnsi" w:cstheme="minorHAnsi"/>
                <w:sz w:val="21"/>
                <w:szCs w:val="20"/>
                <w:lang w:val="en-AU"/>
              </w:rPr>
              <w:t>Reduce the rate and impact of sports injuries</w:t>
            </w:r>
          </w:p>
        </w:tc>
      </w:tr>
      <w:tr w:rsidR="008C12FB" w:rsidRPr="00817E68" w14:paraId="67797B83"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360F9C5C"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0FEE50EA"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44A2CC2B" w14:textId="77777777" w:rsidR="008C12FB" w:rsidRPr="00817E68" w:rsidRDefault="008C12FB" w:rsidP="00542B57">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347F5913" w14:textId="57F9A8BD" w:rsidR="008C12FB" w:rsidRPr="00817E68" w:rsidRDefault="007D79AB" w:rsidP="007D5286">
            <w:pPr>
              <w:pStyle w:val="TableNBullet"/>
              <w:numPr>
                <w:ilvl w:val="0"/>
                <w:numId w:val="36"/>
              </w:numPr>
              <w:rPr>
                <w:rFonts w:cstheme="minorHAnsi"/>
                <w:szCs w:val="20"/>
                <w:lang w:val="en-AU"/>
              </w:rPr>
            </w:pPr>
            <w:r>
              <w:rPr>
                <w:rFonts w:cstheme="minorHAnsi"/>
                <w:szCs w:val="20"/>
                <w:lang w:val="en-AU"/>
              </w:rPr>
              <w:t>S</w:t>
            </w:r>
            <w:r w:rsidR="008C12FB" w:rsidRPr="00817E68">
              <w:rPr>
                <w:rFonts w:cstheme="minorHAnsi"/>
                <w:szCs w:val="20"/>
                <w:lang w:val="en-AU"/>
              </w:rPr>
              <w:t>upport sports clubs and schools to develop, implement and enforce safety policies and practices covering education of players and parents, compulsory use of relevant protective equipment, use of relevant modified equipment and fixtures, maintenance of sporting fields, exercise-training programs, refereeing and rules for safe play, and accreditation of coaches and coaching standards.</w:t>
            </w:r>
          </w:p>
          <w:p w14:paraId="1489045F" w14:textId="13561B1D" w:rsidR="008C12FB" w:rsidRPr="00817E68" w:rsidRDefault="007D79AB" w:rsidP="007D5286">
            <w:pPr>
              <w:pStyle w:val="TableNBullet"/>
              <w:numPr>
                <w:ilvl w:val="0"/>
                <w:numId w:val="36"/>
              </w:numPr>
              <w:rPr>
                <w:rFonts w:cstheme="minorHAnsi"/>
                <w:szCs w:val="20"/>
                <w:lang w:val="en-AU"/>
              </w:rPr>
            </w:pPr>
            <w:r>
              <w:rPr>
                <w:rFonts w:cstheme="minorHAnsi"/>
                <w:szCs w:val="20"/>
                <w:lang w:val="en-AU"/>
              </w:rPr>
              <w:t>P</w:t>
            </w:r>
            <w:r w:rsidR="008C12FB" w:rsidRPr="00817E68">
              <w:rPr>
                <w:rFonts w:cstheme="minorHAnsi"/>
                <w:szCs w:val="20"/>
                <w:lang w:val="en-AU"/>
              </w:rPr>
              <w:t>romote head injury awareness, including concussion management and policies, particularly in contact sports and the promotion of appropriate headgear use, e.g. horse riding, skiing and other sports with standards approved headgear such as cricket and football codes.</w:t>
            </w:r>
          </w:p>
        </w:tc>
      </w:tr>
      <w:tr w:rsidR="008C12FB" w:rsidRPr="00817E68" w14:paraId="4911E51D" w14:textId="77777777" w:rsidTr="00C30AD1">
        <w:trPr>
          <w:trHeight w:val="20"/>
        </w:trPr>
        <w:tc>
          <w:tcPr>
            <w:tcW w:w="269"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3A8449F9" w14:textId="77777777" w:rsidR="008C12FB" w:rsidRPr="000A0BD4" w:rsidRDefault="008C12FB" w:rsidP="00542B57">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0016B931"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02CB3737" w14:textId="77777777" w:rsidR="008C12FB" w:rsidRPr="00817E68" w:rsidRDefault="008C12FB" w:rsidP="00542B57">
            <w:pPr>
              <w:spacing w:before="0"/>
              <w:rPr>
                <w:rFonts w:cstheme="minorHAnsi"/>
                <w:i/>
                <w:sz w:val="21"/>
                <w:szCs w:val="20"/>
                <w:lang w:val="en-AU"/>
              </w:rPr>
            </w:pPr>
            <w:r w:rsidRPr="00817E68">
              <w:rPr>
                <w:rFonts w:eastAsia="Times New Roman" w:cstheme="minorHAnsi"/>
                <w:i/>
                <w:sz w:val="21"/>
                <w:szCs w:val="20"/>
                <w:lang w:val="en-AU" w:eastAsia="en-AU"/>
              </w:rPr>
              <w:t>State and territory departments of sport and recreation and education (Local government, peak sports bodies and sports medicine authorities, sporting associations, Education Departments, schools, Aboriginal Community Controlled Organisations)</w:t>
            </w:r>
          </w:p>
        </w:tc>
      </w:tr>
      <w:tr w:rsidR="008C12FB" w:rsidRPr="00817E68" w14:paraId="1329799E" w14:textId="77777777" w:rsidTr="00C30AD1">
        <w:trPr>
          <w:trHeight w:val="43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28659C"/>
            <w:textDirection w:val="btLr"/>
          </w:tcPr>
          <w:p w14:paraId="4E8F7081" w14:textId="42590D49" w:rsidR="008C12FB" w:rsidRPr="00EA3053" w:rsidRDefault="0060583A" w:rsidP="00542B57">
            <w:pPr>
              <w:spacing w:before="0"/>
              <w:ind w:left="113" w:right="113"/>
              <w:contextualSpacing/>
              <w:jc w:val="center"/>
              <w:rPr>
                <w:rFonts w:cstheme="minorHAnsi"/>
                <w:b/>
                <w:sz w:val="21"/>
                <w:szCs w:val="20"/>
                <w:lang w:val="en-AU"/>
              </w:rPr>
            </w:pPr>
            <w:r w:rsidRPr="00935AD5">
              <w:rPr>
                <w:rFonts w:cstheme="minorHAnsi"/>
                <w:b/>
                <w:color w:val="FFFFFF" w:themeColor="background1"/>
                <w:sz w:val="21"/>
                <w:szCs w:val="20"/>
                <w:lang w:val="en-AU"/>
              </w:rPr>
              <w:t xml:space="preserve">Homicide and </w:t>
            </w:r>
            <w:r w:rsidR="008C12FB" w:rsidRPr="00C30AD1">
              <w:rPr>
                <w:rFonts w:cstheme="minorHAnsi"/>
                <w:b/>
                <w:color w:val="FFFFFF" w:themeColor="background1"/>
                <w:sz w:val="21"/>
                <w:szCs w:val="20"/>
                <w:lang w:val="en-AU"/>
              </w:rPr>
              <w:t>Violence</w:t>
            </w:r>
          </w:p>
        </w:tc>
        <w:tc>
          <w:tcPr>
            <w:tcW w:w="672" w:type="pct"/>
            <w:tcBorders>
              <w:top w:val="single" w:sz="4" w:space="0" w:color="BFBFBF" w:themeColor="background1" w:themeShade="BF"/>
              <w:left w:val="single" w:sz="4" w:space="0" w:color="BFBFBF" w:themeColor="background1" w:themeShade="BF"/>
            </w:tcBorders>
            <w:shd w:val="clear" w:color="auto" w:fill="auto"/>
          </w:tcPr>
          <w:p w14:paraId="6FDBECDC" w14:textId="77777777" w:rsidR="008C12FB" w:rsidRPr="00C30AD1" w:rsidRDefault="008C12FB" w:rsidP="00542B57">
            <w:pPr>
              <w:spacing w:before="0"/>
              <w:rPr>
                <w:rFonts w:cstheme="minorHAnsi"/>
                <w:b/>
                <w:i/>
                <w:sz w:val="18"/>
                <w:szCs w:val="18"/>
                <w:lang w:val="en-AU"/>
              </w:rPr>
            </w:pPr>
            <w:r w:rsidRPr="00C30AD1">
              <w:rPr>
                <w:rFonts w:cstheme="minorHAnsi"/>
                <w:b/>
                <w:i/>
                <w:sz w:val="18"/>
                <w:szCs w:val="18"/>
                <w:lang w:val="en-AU"/>
              </w:rPr>
              <w:t>Objective 10</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631AB89E" w14:textId="02C1376E" w:rsidR="008C12FB" w:rsidRPr="00C30AD1" w:rsidRDefault="008C12FB" w:rsidP="00542B57">
            <w:pPr>
              <w:pStyle w:val="Numberedtable"/>
              <w:numPr>
                <w:ilvl w:val="0"/>
                <w:numId w:val="0"/>
              </w:numPr>
              <w:rPr>
                <w:rFonts w:asciiTheme="minorHAnsi" w:hAnsiTheme="minorHAnsi" w:cstheme="minorHAnsi"/>
                <w:color w:val="auto"/>
                <w:sz w:val="21"/>
                <w:szCs w:val="20"/>
                <w:lang w:val="en-AU"/>
              </w:rPr>
            </w:pPr>
            <w:r w:rsidRPr="00C30AD1">
              <w:rPr>
                <w:rFonts w:asciiTheme="minorHAnsi" w:hAnsiTheme="minorHAnsi" w:cstheme="minorHAnsi"/>
                <w:color w:val="auto"/>
                <w:sz w:val="21"/>
                <w:szCs w:val="20"/>
                <w:lang w:val="en-AU"/>
              </w:rPr>
              <w:t xml:space="preserve">Increase primary prevention of </w:t>
            </w:r>
            <w:r w:rsidR="007D79AB" w:rsidRPr="00C30AD1">
              <w:rPr>
                <w:rFonts w:asciiTheme="minorHAnsi" w:hAnsiTheme="minorHAnsi" w:cstheme="minorHAnsi"/>
                <w:color w:val="auto"/>
                <w:sz w:val="21"/>
                <w:szCs w:val="20"/>
                <w:lang w:val="en-AU"/>
              </w:rPr>
              <w:t xml:space="preserve">violence and </w:t>
            </w:r>
            <w:r w:rsidRPr="00C30AD1">
              <w:rPr>
                <w:rFonts w:asciiTheme="minorHAnsi" w:hAnsiTheme="minorHAnsi" w:cstheme="minorHAnsi"/>
                <w:color w:val="auto"/>
                <w:sz w:val="21"/>
                <w:szCs w:val="20"/>
                <w:lang w:val="en-AU"/>
              </w:rPr>
              <w:t>equitable access to timely, appropriate and affordable care</w:t>
            </w:r>
          </w:p>
        </w:tc>
      </w:tr>
      <w:tr w:rsidR="008C12FB" w:rsidRPr="00817E68" w14:paraId="65A86AE6"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28659C"/>
            <w:textDirection w:val="btLr"/>
          </w:tcPr>
          <w:p w14:paraId="392B4B4F" w14:textId="77777777" w:rsidR="008C12FB" w:rsidRPr="00BF67AD" w:rsidRDefault="008C12FB" w:rsidP="00542B57">
            <w:pPr>
              <w:spacing w:before="0"/>
              <w:ind w:left="113" w:right="113"/>
              <w:contextualSpacing/>
              <w:jc w:val="center"/>
              <w:rPr>
                <w:rFonts w:cstheme="minorHAnsi"/>
                <w:sz w:val="21"/>
                <w:szCs w:val="20"/>
                <w:lang w:val="en-AU"/>
              </w:rPr>
            </w:pPr>
          </w:p>
        </w:tc>
        <w:tc>
          <w:tcPr>
            <w:tcW w:w="672" w:type="pct"/>
            <w:tcBorders>
              <w:left w:val="single" w:sz="4" w:space="0" w:color="BFBFBF" w:themeColor="background1" w:themeShade="BF"/>
            </w:tcBorders>
            <w:shd w:val="clear" w:color="auto" w:fill="auto"/>
          </w:tcPr>
          <w:p w14:paraId="4CF4F648" w14:textId="77777777" w:rsidR="008C12FB" w:rsidRPr="00C30AD1" w:rsidRDefault="008C12FB" w:rsidP="00542B57">
            <w:pPr>
              <w:spacing w:before="0"/>
              <w:rPr>
                <w:rFonts w:cstheme="minorHAnsi"/>
                <w:i/>
                <w:sz w:val="18"/>
                <w:szCs w:val="18"/>
                <w:lang w:val="en-AU"/>
              </w:rPr>
            </w:pPr>
            <w:r w:rsidRPr="0060583A">
              <w:rPr>
                <w:rFonts w:cstheme="minorHAnsi"/>
                <w:i/>
                <w:sz w:val="18"/>
                <w:szCs w:val="18"/>
                <w:lang w:val="en-AU"/>
              </w:rPr>
              <w:t>Actions</w:t>
            </w:r>
          </w:p>
          <w:p w14:paraId="6C99072A" w14:textId="77777777" w:rsidR="008C12FB" w:rsidRPr="00C30AD1" w:rsidRDefault="008C12FB" w:rsidP="00542B57">
            <w:pPr>
              <w:spacing w:before="0"/>
              <w:rPr>
                <w:rFonts w:cstheme="minorHAnsi"/>
                <w:i/>
                <w:sz w:val="18"/>
                <w:szCs w:val="18"/>
                <w:lang w:val="en-AU"/>
              </w:rPr>
            </w:pPr>
          </w:p>
        </w:tc>
        <w:tc>
          <w:tcPr>
            <w:tcW w:w="4059" w:type="pct"/>
            <w:tcBorders>
              <w:right w:val="single" w:sz="4" w:space="0" w:color="BFBFBF" w:themeColor="background1" w:themeShade="BF"/>
            </w:tcBorders>
            <w:shd w:val="clear" w:color="auto" w:fill="auto"/>
          </w:tcPr>
          <w:p w14:paraId="45B4BC63" w14:textId="4F85EB0E" w:rsidR="008C12FB" w:rsidRPr="00C30AD1" w:rsidRDefault="008C12FB" w:rsidP="007D5286">
            <w:pPr>
              <w:pStyle w:val="TableNBullet"/>
              <w:numPr>
                <w:ilvl w:val="0"/>
                <w:numId w:val="34"/>
              </w:numPr>
              <w:rPr>
                <w:rFonts w:cstheme="minorHAnsi"/>
                <w:szCs w:val="20"/>
                <w:lang w:val="en-AU"/>
              </w:rPr>
            </w:pPr>
            <w:r w:rsidRPr="00C30AD1">
              <w:rPr>
                <w:rFonts w:cstheme="minorHAnsi"/>
                <w:szCs w:val="20"/>
                <w:lang w:val="en-AU"/>
              </w:rPr>
              <w:t xml:space="preserve">Increase </w:t>
            </w:r>
            <w:r w:rsidR="007D79AB" w:rsidRPr="00C30AD1">
              <w:rPr>
                <w:rFonts w:cstheme="minorHAnsi"/>
                <w:szCs w:val="20"/>
                <w:lang w:val="en-AU"/>
              </w:rPr>
              <w:t xml:space="preserve">access to </w:t>
            </w:r>
            <w:r w:rsidRPr="00C30AD1">
              <w:rPr>
                <w:rFonts w:cstheme="minorHAnsi"/>
                <w:szCs w:val="20"/>
                <w:lang w:val="en-AU"/>
              </w:rPr>
              <w:t xml:space="preserve">primary prevention </w:t>
            </w:r>
            <w:r w:rsidR="007D79AB" w:rsidRPr="00C30AD1">
              <w:rPr>
                <w:rFonts w:cstheme="minorHAnsi"/>
                <w:szCs w:val="20"/>
                <w:lang w:val="en-AU"/>
              </w:rPr>
              <w:t xml:space="preserve">through school and community-based programs. </w:t>
            </w:r>
          </w:p>
          <w:p w14:paraId="41ABEB9F" w14:textId="77777777" w:rsidR="008C12FB" w:rsidRPr="0060583A" w:rsidRDefault="008C12FB" w:rsidP="007D5286">
            <w:pPr>
              <w:pStyle w:val="TableNBullet"/>
              <w:numPr>
                <w:ilvl w:val="0"/>
                <w:numId w:val="34"/>
              </w:numPr>
              <w:rPr>
                <w:rFonts w:cstheme="minorHAnsi"/>
                <w:szCs w:val="20"/>
                <w:lang w:val="en-AU"/>
              </w:rPr>
            </w:pPr>
            <w:r w:rsidRPr="0060583A">
              <w:rPr>
                <w:rFonts w:cstheme="minorHAnsi"/>
                <w:szCs w:val="20"/>
                <w:lang w:val="en-AU"/>
              </w:rPr>
              <w:t xml:space="preserve">Provide culturally relevant services so that Aboriginal and Torres Strait Islander families experience culturally safe antenatal care. </w:t>
            </w:r>
          </w:p>
          <w:p w14:paraId="7B7AFB70" w14:textId="0ABE9EB9" w:rsidR="008C12FB" w:rsidRPr="00C30AD1" w:rsidRDefault="008C12FB" w:rsidP="007D5286">
            <w:pPr>
              <w:pStyle w:val="TableNBullet"/>
              <w:numPr>
                <w:ilvl w:val="0"/>
                <w:numId w:val="34"/>
              </w:numPr>
              <w:rPr>
                <w:rFonts w:cstheme="minorHAnsi"/>
                <w:szCs w:val="20"/>
                <w:lang w:val="en-AU"/>
              </w:rPr>
            </w:pPr>
            <w:r w:rsidRPr="00C30AD1">
              <w:rPr>
                <w:rFonts w:cstheme="minorHAnsi"/>
                <w:szCs w:val="20"/>
                <w:lang w:val="en-AU"/>
              </w:rPr>
              <w:t>Deliver culturally competent programs to provide expectant parents with greater support and competencies</w:t>
            </w:r>
            <w:r w:rsidRPr="00C30AD1">
              <w:rPr>
                <w:rFonts w:cstheme="minorHAnsi"/>
                <w:szCs w:val="20"/>
                <w:lang w:val="en-AU"/>
              </w:rPr>
              <w:fldChar w:fldCharType="begin"/>
            </w:r>
            <w:r w:rsidR="00542B57" w:rsidRPr="00C30AD1">
              <w:rPr>
                <w:rFonts w:cstheme="minorHAnsi"/>
                <w:szCs w:val="20"/>
                <w:lang w:val="en-AU"/>
              </w:rPr>
              <w:instrText xml:space="preserve"> ADDIN EN.CITE &lt;EndNote&gt;&lt;Cite&gt;&lt;Author&gt;Fletcher&lt;/Author&gt;&lt;Year&gt;2014&lt;/Year&gt;&lt;RecNum&gt;22&lt;/RecNum&gt;&lt;DisplayText&gt;&lt;style face="superscript"&gt;47&lt;/style&gt;&lt;/DisplayText&gt;&lt;record&gt;&lt;rec-number&gt;22&lt;/rec-number&gt;&lt;foreign-keys&gt;&lt;key app="EN" db-id="2wsw9x5wvsspa1evwxlvvergx9epfd50fs2a" timestamp="1571987689"&gt;22&lt;/key&gt;&lt;/foreign-keys&gt;&lt;ref-type name="Report"&gt;27&lt;/ref-type&gt;&lt;contributors&gt;&lt;authors&gt;&lt;author&gt;Fletcher, R&lt;/author&gt;&lt;author&gt;May, C&lt;/author&gt;&lt;author&gt;St George, J&lt;/author&gt;&lt;author&gt;Stoker, L&lt;/author&gt;&lt;author&gt;Oshan, M &lt;/author&gt;&lt;/authors&gt;&lt;/contributors&gt;&lt;titles&gt;&lt;title&gt;Engaging fathers: Evidence review&lt;/title&gt;&lt;/titles&gt;&lt;dates&gt;&lt;year&gt;2014&lt;/year&gt;&lt;/dates&gt;&lt;pub-location&gt;Canberra&lt;/pub-location&gt;&lt;publisher&gt;Australian Research Alliance for Children Youth&lt;/publisher&gt;&lt;urls&gt;&lt;related-urls&gt;&lt;url&gt;https://www.aracy.org.au/publications-resources/command/download_file/id/268/filename/Engaging-Fathers-Evidence-Review--web.pdf&lt;/url&gt;&lt;/related-urls&gt;&lt;/urls&gt;&lt;/record&gt;&lt;/Cite&gt;&lt;/EndNote&gt;</w:instrText>
            </w:r>
            <w:r w:rsidRPr="00C30AD1">
              <w:rPr>
                <w:rFonts w:cstheme="minorHAnsi"/>
                <w:szCs w:val="20"/>
                <w:lang w:val="en-AU"/>
              </w:rPr>
              <w:fldChar w:fldCharType="separate"/>
            </w:r>
            <w:r w:rsidR="00542B57" w:rsidRPr="00C30AD1">
              <w:rPr>
                <w:rFonts w:cstheme="minorHAnsi"/>
                <w:noProof/>
                <w:szCs w:val="20"/>
                <w:vertAlign w:val="superscript"/>
                <w:lang w:val="en-AU"/>
              </w:rPr>
              <w:t>47</w:t>
            </w:r>
            <w:r w:rsidRPr="00C30AD1">
              <w:rPr>
                <w:rFonts w:cstheme="minorHAnsi"/>
                <w:szCs w:val="20"/>
                <w:lang w:val="en-AU"/>
              </w:rPr>
              <w:fldChar w:fldCharType="end"/>
            </w:r>
            <w:r w:rsidRPr="00C30AD1">
              <w:rPr>
                <w:rFonts w:cstheme="minorHAnsi"/>
                <w:szCs w:val="20"/>
                <w:lang w:val="en-AU"/>
              </w:rPr>
              <w:t xml:space="preserve"> and ensure safe perinatal care. </w:t>
            </w:r>
          </w:p>
          <w:p w14:paraId="380CFF3C" w14:textId="4CFD2F6C" w:rsidR="008C12FB" w:rsidRPr="00C30AD1" w:rsidRDefault="008C12FB" w:rsidP="007D5286">
            <w:pPr>
              <w:pStyle w:val="TableNBullet"/>
              <w:numPr>
                <w:ilvl w:val="0"/>
                <w:numId w:val="34"/>
              </w:numPr>
              <w:rPr>
                <w:rFonts w:cstheme="minorHAnsi"/>
                <w:szCs w:val="20"/>
                <w:lang w:val="en-AU"/>
              </w:rPr>
            </w:pPr>
            <w:r w:rsidRPr="00C30AD1">
              <w:rPr>
                <w:rFonts w:cstheme="minorHAnsi"/>
                <w:iCs/>
                <w:szCs w:val="20"/>
                <w:lang w:val="en-AU"/>
              </w:rPr>
              <w:t>Address the inequities that drive determinants of violence and embed actions to address these</w:t>
            </w:r>
            <w:r w:rsidR="007D79AB" w:rsidRPr="00C30AD1">
              <w:rPr>
                <w:rFonts w:cstheme="minorHAnsi"/>
                <w:iCs/>
                <w:szCs w:val="20"/>
                <w:lang w:val="en-AU"/>
              </w:rPr>
              <w:t>.</w:t>
            </w:r>
          </w:p>
        </w:tc>
      </w:tr>
      <w:tr w:rsidR="008C12FB" w:rsidRPr="00817E68" w14:paraId="66275748"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28659C"/>
            <w:textDirection w:val="btLr"/>
          </w:tcPr>
          <w:p w14:paraId="0919EC0C" w14:textId="77777777" w:rsidR="008C12FB" w:rsidRPr="00BF67AD" w:rsidRDefault="008C12FB" w:rsidP="00542B57">
            <w:pPr>
              <w:spacing w:before="0"/>
              <w:ind w:left="113" w:right="113"/>
              <w:contextualSpacing/>
              <w:jc w:val="center"/>
              <w:rPr>
                <w:rFonts w:cstheme="minorHAnsi"/>
                <w:sz w:val="21"/>
                <w:szCs w:val="20"/>
                <w:lang w:val="en-AU"/>
              </w:rPr>
            </w:pPr>
          </w:p>
        </w:tc>
        <w:tc>
          <w:tcPr>
            <w:tcW w:w="672" w:type="pct"/>
            <w:tcBorders>
              <w:left w:val="single" w:sz="4" w:space="0" w:color="BFBFBF" w:themeColor="background1" w:themeShade="BF"/>
              <w:bottom w:val="single" w:sz="4" w:space="0" w:color="BFBFBF" w:themeColor="background1" w:themeShade="BF"/>
            </w:tcBorders>
            <w:shd w:val="clear" w:color="auto" w:fill="auto"/>
          </w:tcPr>
          <w:p w14:paraId="428150D1" w14:textId="77777777" w:rsidR="008C12FB" w:rsidRPr="00C30AD1" w:rsidRDefault="008C12FB" w:rsidP="00542B57">
            <w:pPr>
              <w:spacing w:before="0"/>
              <w:rPr>
                <w:rFonts w:cstheme="minorHAnsi"/>
                <w:i/>
                <w:sz w:val="18"/>
                <w:szCs w:val="18"/>
                <w:lang w:val="en-AU"/>
              </w:rPr>
            </w:pPr>
            <w:r w:rsidRPr="0060583A">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shd w:val="clear" w:color="auto" w:fill="auto"/>
          </w:tcPr>
          <w:p w14:paraId="76062E33" w14:textId="77777777" w:rsidR="008C12FB" w:rsidRPr="00C30AD1" w:rsidRDefault="008C12FB" w:rsidP="00542B57">
            <w:pPr>
              <w:spacing w:before="0"/>
              <w:rPr>
                <w:rFonts w:cstheme="minorHAnsi"/>
                <w:i/>
                <w:sz w:val="21"/>
                <w:szCs w:val="20"/>
                <w:lang w:val="en-AU"/>
              </w:rPr>
            </w:pPr>
            <w:r w:rsidRPr="0060583A">
              <w:rPr>
                <w:rFonts w:eastAsia="Times New Roman" w:cstheme="minorHAnsi"/>
                <w:i/>
                <w:sz w:val="21"/>
                <w:szCs w:val="20"/>
                <w:lang w:val="en-AU" w:eastAsia="en-AU"/>
              </w:rPr>
              <w:t>State and territory departments of health (Department of Social Services, Local government, Kidsafe, Preschools, ECHC, Aboriginal Community Controlled Organisations, antenatal educators, police)</w:t>
            </w:r>
          </w:p>
        </w:tc>
      </w:tr>
      <w:tr w:rsidR="008C12FB" w:rsidRPr="00817E68" w14:paraId="6B3C3B98" w14:textId="77777777" w:rsidTr="00C30AD1">
        <w:trPr>
          <w:trHeight w:val="20"/>
        </w:trPr>
        <w:tc>
          <w:tcPr>
            <w:tcW w:w="269" w:type="pct"/>
            <w:vMerge/>
            <w:tcBorders>
              <w:left w:val="single" w:sz="4" w:space="0" w:color="BFBFBF" w:themeColor="background1" w:themeShade="BF"/>
            </w:tcBorders>
            <w:shd w:val="clear" w:color="auto" w:fill="28659C"/>
            <w:textDirection w:val="btLr"/>
          </w:tcPr>
          <w:p w14:paraId="0E4C4FA2" w14:textId="77777777" w:rsidR="008C12FB" w:rsidRPr="00BF67AD" w:rsidDel="00A43E40" w:rsidRDefault="008C12FB" w:rsidP="00542B57">
            <w:pPr>
              <w:spacing w:before="0"/>
              <w:ind w:left="113" w:right="113"/>
              <w:contextualSpacing/>
              <w:jc w:val="center"/>
              <w:rPr>
                <w:rFonts w:cstheme="minorHAnsi"/>
                <w:sz w:val="21"/>
                <w:szCs w:val="20"/>
                <w:lang w:val="en-AU"/>
              </w:rPr>
            </w:pPr>
          </w:p>
        </w:tc>
        <w:tc>
          <w:tcPr>
            <w:tcW w:w="672" w:type="pct"/>
            <w:tcBorders>
              <w:top w:val="single" w:sz="4" w:space="0" w:color="BFBFBF" w:themeColor="background1" w:themeShade="BF"/>
            </w:tcBorders>
            <w:shd w:val="clear" w:color="auto" w:fill="auto"/>
          </w:tcPr>
          <w:p w14:paraId="2097B19A" w14:textId="77777777" w:rsidR="008C12FB" w:rsidRPr="00C30AD1" w:rsidRDefault="008C12FB" w:rsidP="00542B57">
            <w:pPr>
              <w:spacing w:before="0"/>
              <w:rPr>
                <w:rFonts w:cstheme="minorHAnsi"/>
                <w:b/>
                <w:i/>
                <w:sz w:val="18"/>
                <w:szCs w:val="18"/>
                <w:lang w:val="en-AU"/>
              </w:rPr>
            </w:pPr>
            <w:r w:rsidRPr="00C30AD1">
              <w:rPr>
                <w:rFonts w:cstheme="minorHAnsi"/>
                <w:b/>
                <w:i/>
                <w:sz w:val="18"/>
                <w:szCs w:val="18"/>
                <w:lang w:val="en-AU"/>
              </w:rPr>
              <w:t>Objective 11</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768519D0" w14:textId="5696BCA8" w:rsidR="008C12FB" w:rsidRPr="00C30AD1" w:rsidRDefault="008C12FB" w:rsidP="00542B57">
            <w:pPr>
              <w:pStyle w:val="Numberedtable"/>
              <w:numPr>
                <w:ilvl w:val="0"/>
                <w:numId w:val="0"/>
              </w:numPr>
              <w:rPr>
                <w:rFonts w:asciiTheme="minorHAnsi" w:hAnsiTheme="minorHAnsi" w:cstheme="minorHAnsi"/>
                <w:b w:val="0"/>
                <w:color w:val="auto"/>
                <w:sz w:val="19"/>
                <w:szCs w:val="19"/>
              </w:rPr>
            </w:pPr>
            <w:r w:rsidRPr="00C30AD1">
              <w:rPr>
                <w:rFonts w:asciiTheme="minorHAnsi" w:hAnsiTheme="minorHAnsi" w:cstheme="minorHAnsi"/>
                <w:color w:val="auto"/>
                <w:sz w:val="21"/>
                <w:szCs w:val="20"/>
                <w:lang w:val="en-AU"/>
              </w:rPr>
              <w:t>Reduce the prevalence and impact of violence</w:t>
            </w:r>
            <w:r w:rsidRPr="00C30AD1">
              <w:rPr>
                <w:rFonts w:asciiTheme="minorHAnsi" w:hAnsiTheme="minorHAnsi" w:cstheme="minorHAnsi"/>
                <w:b w:val="0"/>
                <w:color w:val="auto"/>
                <w:sz w:val="19"/>
                <w:szCs w:val="19"/>
              </w:rPr>
              <w:t xml:space="preserve"> </w:t>
            </w:r>
          </w:p>
        </w:tc>
      </w:tr>
      <w:tr w:rsidR="008C12FB" w:rsidRPr="00817E68" w14:paraId="3059E139" w14:textId="77777777" w:rsidTr="00C30AD1">
        <w:trPr>
          <w:trHeight w:val="20"/>
        </w:trPr>
        <w:tc>
          <w:tcPr>
            <w:tcW w:w="269" w:type="pct"/>
            <w:vMerge/>
            <w:tcBorders>
              <w:left w:val="single" w:sz="4" w:space="0" w:color="BFBFBF" w:themeColor="background1" w:themeShade="BF"/>
            </w:tcBorders>
            <w:shd w:val="clear" w:color="auto" w:fill="28659C"/>
            <w:textDirection w:val="btLr"/>
          </w:tcPr>
          <w:p w14:paraId="00C719F4" w14:textId="77777777" w:rsidR="008C12FB" w:rsidRPr="000A0BD4" w:rsidDel="00A43E40" w:rsidRDefault="008C12FB" w:rsidP="00542B57">
            <w:pPr>
              <w:spacing w:before="0"/>
              <w:ind w:left="113" w:right="113"/>
              <w:contextualSpacing/>
              <w:jc w:val="center"/>
              <w:rPr>
                <w:rFonts w:cstheme="minorHAnsi"/>
                <w:b/>
                <w:sz w:val="21"/>
                <w:szCs w:val="20"/>
                <w:lang w:val="en-AU"/>
              </w:rPr>
            </w:pPr>
          </w:p>
        </w:tc>
        <w:tc>
          <w:tcPr>
            <w:tcW w:w="672" w:type="pct"/>
          </w:tcPr>
          <w:p w14:paraId="713B501F"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0B7DB518" w14:textId="77777777" w:rsidR="008C12FB" w:rsidRPr="00817E68" w:rsidRDefault="008C12FB" w:rsidP="00542B57">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70991416" w14:textId="381CCDC8" w:rsidR="008C12FB" w:rsidRPr="00817E68" w:rsidRDefault="008C12FB" w:rsidP="007D5286">
            <w:pPr>
              <w:pStyle w:val="TableNBullet"/>
              <w:numPr>
                <w:ilvl w:val="0"/>
                <w:numId w:val="30"/>
              </w:numPr>
              <w:rPr>
                <w:rFonts w:cstheme="minorHAnsi"/>
                <w:szCs w:val="20"/>
                <w:lang w:val="en-AU"/>
              </w:rPr>
            </w:pPr>
            <w:r w:rsidRPr="00817E68">
              <w:rPr>
                <w:rFonts w:cstheme="minorHAnsi"/>
                <w:color w:val="000000" w:themeColor="text1"/>
                <w:szCs w:val="20"/>
                <w:lang w:val="en-AU"/>
              </w:rPr>
              <w:t>Promote healthy and safe relationships and build gender equitable values through initiatives for children and young people.</w:t>
            </w:r>
            <w:r w:rsidRPr="00817E68">
              <w:rPr>
                <w:rFonts w:cstheme="minorHAnsi"/>
                <w:color w:val="000000" w:themeColor="text1"/>
                <w:szCs w:val="20"/>
                <w:lang w:val="en-AU"/>
              </w:rPr>
              <w:fldChar w:fldCharType="begin"/>
            </w:r>
            <w:r w:rsidR="00542B57">
              <w:rPr>
                <w:rFonts w:cstheme="minorHAnsi"/>
                <w:color w:val="000000" w:themeColor="text1"/>
                <w:szCs w:val="20"/>
                <w:lang w:val="en-AU"/>
              </w:rPr>
              <w:instrText xml:space="preserve"> ADDIN EN.CITE &lt;EndNote&gt;&lt;Cite&gt;&lt;Author&gt;The Council of Australian Governments&lt;/Author&gt;&lt;Year&gt;2019&lt;/Year&gt;&lt;RecNum&gt;52&lt;/RecNum&gt;&lt;DisplayText&gt;&lt;style face="superscript"&gt;48&lt;/style&gt;&lt;/DisplayText&gt;&lt;record&gt;&lt;rec-number&gt;52&lt;/rec-number&gt;&lt;foreign-keys&gt;&lt;key app="EN" db-id="2wsw9x5wvsspa1evwxlvvergx9epfd50fs2a" timestamp="1574392782"&gt;52&lt;/key&gt;&lt;/foreign-keys&gt;&lt;ref-type name="Report"&gt;27&lt;/ref-type&gt;&lt;contributors&gt;&lt;authors&gt;&lt;author&gt;The Council of Australian Governments,&lt;/author&gt;&lt;/authors&gt;&lt;/contributors&gt;&lt;titles&gt;&lt;title&gt;Fourth Action Plan of the National Plan to Reduce Violence against Women and their Children 2010-2022&lt;/title&gt;&lt;/titles&gt;&lt;dates&gt;&lt;year&gt;2019&lt;/year&gt;&lt;/dates&gt;&lt;urls&gt;&lt;related-urls&gt;&lt;url&gt;https://www.dss.gov.au/sites/default/files/documents/08_2019/fourth_action-plan.pdf&lt;/url&gt;&lt;/related-urls&gt;&lt;/urls&gt;&lt;/record&gt;&lt;/Cite&gt;&lt;/EndNote&gt;</w:instrText>
            </w:r>
            <w:r w:rsidRPr="00817E68">
              <w:rPr>
                <w:rFonts w:cstheme="minorHAnsi"/>
                <w:color w:val="000000" w:themeColor="text1"/>
                <w:szCs w:val="20"/>
                <w:lang w:val="en-AU"/>
              </w:rPr>
              <w:fldChar w:fldCharType="separate"/>
            </w:r>
            <w:r w:rsidR="00542B57" w:rsidRPr="00542B57">
              <w:rPr>
                <w:rFonts w:cstheme="minorHAnsi"/>
                <w:noProof/>
                <w:color w:val="000000" w:themeColor="text1"/>
                <w:szCs w:val="20"/>
                <w:vertAlign w:val="superscript"/>
                <w:lang w:val="en-AU"/>
              </w:rPr>
              <w:t>48</w:t>
            </w:r>
            <w:r w:rsidRPr="00817E68">
              <w:rPr>
                <w:rFonts w:cstheme="minorHAnsi"/>
                <w:color w:val="000000" w:themeColor="text1"/>
                <w:szCs w:val="20"/>
                <w:lang w:val="en-AU"/>
              </w:rPr>
              <w:fldChar w:fldCharType="end"/>
            </w:r>
          </w:p>
          <w:p w14:paraId="3BA47CF0" w14:textId="77777777" w:rsidR="008C12FB" w:rsidRPr="00817E68" w:rsidRDefault="008C12FB" w:rsidP="007D5286">
            <w:pPr>
              <w:pStyle w:val="TableNBullet"/>
              <w:numPr>
                <w:ilvl w:val="0"/>
                <w:numId w:val="30"/>
              </w:numPr>
              <w:rPr>
                <w:rFonts w:cstheme="minorHAnsi"/>
                <w:szCs w:val="20"/>
                <w:lang w:val="en-AU"/>
              </w:rPr>
            </w:pPr>
            <w:r w:rsidRPr="00817E68">
              <w:rPr>
                <w:rFonts w:cstheme="minorHAnsi"/>
                <w:color w:val="000000" w:themeColor="text1"/>
                <w:szCs w:val="20"/>
                <w:lang w:val="en-AU"/>
              </w:rPr>
              <w:t>Provide support services for young people witnessing or experiencing (or who are at risk of) violence using a child-centred approach.</w:t>
            </w:r>
          </w:p>
        </w:tc>
      </w:tr>
      <w:tr w:rsidR="008C12FB" w:rsidRPr="00817E68" w14:paraId="012EC615" w14:textId="77777777" w:rsidTr="00C30AD1">
        <w:trPr>
          <w:trHeight w:val="20"/>
        </w:trPr>
        <w:tc>
          <w:tcPr>
            <w:tcW w:w="269" w:type="pct"/>
            <w:vMerge/>
            <w:tcBorders>
              <w:left w:val="single" w:sz="4" w:space="0" w:color="BFBFBF" w:themeColor="background1" w:themeShade="BF"/>
              <w:bottom w:val="single" w:sz="4" w:space="0" w:color="BFBFBF" w:themeColor="background1" w:themeShade="BF"/>
            </w:tcBorders>
            <w:shd w:val="clear" w:color="auto" w:fill="28659C"/>
            <w:textDirection w:val="btLr"/>
          </w:tcPr>
          <w:p w14:paraId="03221FFA" w14:textId="77777777" w:rsidR="008C12FB" w:rsidRPr="000A0BD4" w:rsidDel="00A43E40" w:rsidRDefault="008C12FB" w:rsidP="00542B57">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4F316C3F" w14:textId="77777777" w:rsidR="008C12FB" w:rsidRPr="00817E68" w:rsidRDefault="008C12FB" w:rsidP="00542B57">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36129018" w14:textId="77777777" w:rsidR="008C12FB" w:rsidRPr="00817E68" w:rsidRDefault="008C12FB" w:rsidP="00542B57">
            <w:pPr>
              <w:spacing w:before="0"/>
              <w:rPr>
                <w:rFonts w:cstheme="minorHAnsi"/>
                <w:i/>
                <w:color w:val="000000" w:themeColor="text1"/>
                <w:sz w:val="21"/>
                <w:szCs w:val="20"/>
                <w:lang w:val="en-AU"/>
              </w:rPr>
            </w:pPr>
            <w:r w:rsidRPr="00817E68">
              <w:rPr>
                <w:rFonts w:eastAsia="Times New Roman" w:cstheme="minorHAnsi"/>
                <w:i/>
                <w:sz w:val="21"/>
                <w:szCs w:val="20"/>
                <w:lang w:val="en-AU" w:eastAsia="en-AU"/>
              </w:rPr>
              <w:t>State and territory departments of health (State and territory Departments of Education, primary healthcare, schools, Aboriginal Community Controlled Organisations)</w:t>
            </w:r>
          </w:p>
        </w:tc>
      </w:tr>
      <w:tr w:rsidR="00E923DE" w:rsidRPr="00817E68" w14:paraId="226AE4F3" w14:textId="77777777" w:rsidTr="00C30AD1">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7A71D38A" w14:textId="77777777" w:rsidR="00E923DE" w:rsidRPr="000A0BD4" w:rsidRDefault="00E923DE" w:rsidP="00542B57">
            <w:pPr>
              <w:spacing w:before="0"/>
              <w:ind w:left="113" w:right="113"/>
              <w:contextualSpacing/>
              <w:jc w:val="center"/>
              <w:rPr>
                <w:rFonts w:cstheme="minorHAnsi"/>
                <w:b/>
                <w:sz w:val="21"/>
                <w:szCs w:val="20"/>
                <w:lang w:val="en-AU"/>
              </w:rPr>
            </w:pPr>
            <w:r w:rsidRPr="000A0BD4">
              <w:rPr>
                <w:rFonts w:cstheme="minorHAnsi"/>
                <w:b/>
                <w:sz w:val="21"/>
                <w:szCs w:val="20"/>
                <w:lang w:val="en-AU"/>
              </w:rPr>
              <w:t>Determinants</w:t>
            </w:r>
            <w:r>
              <w:rPr>
                <w:rFonts w:cstheme="minorHAnsi"/>
                <w:b/>
                <w:sz w:val="21"/>
                <w:szCs w:val="20"/>
                <w:lang w:val="en-AU"/>
              </w:rPr>
              <w:t xml:space="preserve"> of injury</w:t>
            </w:r>
          </w:p>
        </w:tc>
        <w:tc>
          <w:tcPr>
            <w:tcW w:w="672" w:type="pct"/>
            <w:tcBorders>
              <w:top w:val="single" w:sz="4" w:space="0" w:color="BFBFBF" w:themeColor="background1" w:themeShade="BF"/>
              <w:left w:val="single" w:sz="4" w:space="0" w:color="BFBFBF" w:themeColor="background1" w:themeShade="BF"/>
            </w:tcBorders>
            <w:shd w:val="clear" w:color="auto" w:fill="auto"/>
          </w:tcPr>
          <w:p w14:paraId="7BCD5303" w14:textId="77777777" w:rsidR="00E923DE" w:rsidRPr="00BF67AD" w:rsidRDefault="00E923DE" w:rsidP="00542B57">
            <w:pPr>
              <w:spacing w:before="0"/>
              <w:rPr>
                <w:rFonts w:cstheme="minorHAnsi"/>
                <w:b/>
                <w:i/>
                <w:sz w:val="18"/>
                <w:szCs w:val="18"/>
                <w:lang w:val="en-AU"/>
              </w:rPr>
            </w:pPr>
            <w:r w:rsidRPr="00BF67AD">
              <w:rPr>
                <w:rFonts w:cstheme="minorHAnsi"/>
                <w:b/>
                <w:i/>
                <w:sz w:val="18"/>
                <w:szCs w:val="18"/>
                <w:lang w:val="en-AU"/>
              </w:rPr>
              <w:t>Objective 17</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0EF68577" w14:textId="77777777" w:rsidR="00E923DE" w:rsidRPr="00817E68" w:rsidRDefault="00E923DE" w:rsidP="00542B57">
            <w:pPr>
              <w:spacing w:before="0"/>
              <w:rPr>
                <w:lang w:val="en-AU"/>
              </w:rPr>
            </w:pPr>
            <w:r w:rsidRPr="00BF67AD">
              <w:rPr>
                <w:rFonts w:cstheme="minorHAnsi"/>
                <w:b/>
                <w:color w:val="000000" w:themeColor="text1"/>
                <w:sz w:val="21"/>
                <w:szCs w:val="20"/>
                <w:lang w:val="en-AU"/>
              </w:rPr>
              <w:t>Increase the proportion</w:t>
            </w:r>
            <w:r w:rsidRPr="00817E68">
              <w:rPr>
                <w:lang w:val="en-AU"/>
              </w:rPr>
              <w:t xml:space="preserve"> </w:t>
            </w:r>
            <w:r w:rsidRPr="00BF67AD">
              <w:rPr>
                <w:rFonts w:cstheme="minorHAnsi"/>
                <w:b/>
                <w:color w:val="000000" w:themeColor="text1"/>
                <w:sz w:val="21"/>
                <w:szCs w:val="20"/>
                <w:lang w:val="en-AU"/>
              </w:rPr>
              <w:t>of families accessing services relevant to the first 2000 days of life.</w:t>
            </w:r>
            <w:r w:rsidRPr="00817E68">
              <w:rPr>
                <w:lang w:val="en-AU"/>
              </w:rPr>
              <w:t xml:space="preserve"> </w:t>
            </w:r>
          </w:p>
        </w:tc>
      </w:tr>
      <w:tr w:rsidR="00E923DE" w:rsidRPr="00817E68" w14:paraId="7F330E16"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79DDF306" w14:textId="77777777" w:rsidR="00E923DE" w:rsidRPr="000A0BD4" w:rsidRDefault="00E923DE" w:rsidP="00542B57">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52C12896" w14:textId="77777777" w:rsidR="00E923DE" w:rsidRPr="00817E68" w:rsidRDefault="00E923DE"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573EE2A0" w14:textId="77777777" w:rsidR="00E923DE" w:rsidRPr="00817E68" w:rsidRDefault="00E923DE" w:rsidP="00542B57">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2288EFB1" w14:textId="77777777" w:rsidR="00E923DE" w:rsidRPr="00817E68" w:rsidRDefault="00E923DE" w:rsidP="007D5286">
            <w:pPr>
              <w:pStyle w:val="TableNBullet"/>
              <w:numPr>
                <w:ilvl w:val="0"/>
                <w:numId w:val="27"/>
              </w:numPr>
              <w:rPr>
                <w:rFonts w:cstheme="minorHAnsi"/>
                <w:szCs w:val="20"/>
                <w:lang w:val="en-AU"/>
              </w:rPr>
            </w:pPr>
            <w:r w:rsidRPr="00817E68">
              <w:rPr>
                <w:rFonts w:cstheme="minorHAnsi"/>
                <w:szCs w:val="20"/>
                <w:lang w:val="en-AU" w:eastAsia="en-US"/>
              </w:rPr>
              <w:t>Increase support and care for expectant parents such that their child is given the best opportunity to develop and thrive to reduce the risk of injury and its long-term impact.</w:t>
            </w:r>
          </w:p>
          <w:p w14:paraId="7A600B6D" w14:textId="77777777" w:rsidR="00E923DE" w:rsidRPr="00817E68" w:rsidRDefault="00E923DE" w:rsidP="007D5286">
            <w:pPr>
              <w:pStyle w:val="TableNBullet"/>
              <w:numPr>
                <w:ilvl w:val="0"/>
                <w:numId w:val="27"/>
              </w:numPr>
              <w:rPr>
                <w:rFonts w:cstheme="minorHAnsi"/>
                <w:szCs w:val="20"/>
                <w:lang w:val="en-AU"/>
              </w:rPr>
            </w:pPr>
            <w:r w:rsidRPr="00817E68">
              <w:rPr>
                <w:rFonts w:cstheme="minorHAnsi"/>
                <w:szCs w:val="20"/>
                <w:lang w:val="en-AU" w:eastAsia="en-US"/>
              </w:rPr>
              <w:t xml:space="preserve">Increase primary prevention for pregnant women who are at increased risk of family or domestic violence. </w:t>
            </w:r>
          </w:p>
          <w:p w14:paraId="51A3424B" w14:textId="77777777" w:rsidR="00E923DE" w:rsidRPr="00817E68" w:rsidRDefault="00E923DE" w:rsidP="007D5286">
            <w:pPr>
              <w:pStyle w:val="TableNBullet"/>
              <w:numPr>
                <w:ilvl w:val="0"/>
                <w:numId w:val="27"/>
              </w:numPr>
              <w:rPr>
                <w:rFonts w:cstheme="minorHAnsi"/>
                <w:szCs w:val="20"/>
                <w:lang w:val="en-AU"/>
              </w:rPr>
            </w:pPr>
            <w:r w:rsidRPr="00817E68">
              <w:rPr>
                <w:rFonts w:cstheme="minorHAnsi"/>
                <w:szCs w:val="20"/>
                <w:lang w:val="en-AU"/>
              </w:rPr>
              <w:t>Increase safety promotion, education, and practical guidance for parents through early childhood service settings and community touchpoints.</w:t>
            </w:r>
          </w:p>
        </w:tc>
      </w:tr>
      <w:tr w:rsidR="00E923DE" w:rsidRPr="00817E68" w14:paraId="161048AF"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64B04FD6" w14:textId="77777777" w:rsidR="00E923DE" w:rsidRPr="000A0BD4" w:rsidRDefault="00E923DE" w:rsidP="00542B57">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5AF3A9AB" w14:textId="77777777" w:rsidR="00E923DE" w:rsidRPr="00817E68" w:rsidRDefault="00E923DE" w:rsidP="00542B57">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50C0F8A9" w14:textId="77777777" w:rsidR="00E923DE" w:rsidRPr="00817E68" w:rsidRDefault="00E923DE" w:rsidP="00542B57">
            <w:pPr>
              <w:pStyle w:val="TableNBullet"/>
              <w:numPr>
                <w:ilvl w:val="0"/>
                <w:numId w:val="0"/>
              </w:numPr>
              <w:rPr>
                <w:rFonts w:cstheme="minorHAnsi"/>
                <w:szCs w:val="20"/>
                <w:lang w:val="en-AU" w:eastAsia="en-US"/>
              </w:rPr>
            </w:pPr>
            <w:r w:rsidRPr="00817E68">
              <w:rPr>
                <w:rFonts w:cstheme="minorHAnsi"/>
                <w:i/>
                <w:szCs w:val="20"/>
                <w:lang w:val="en-AU"/>
              </w:rPr>
              <w:t>National, state and territory departments of departments of health, social services, and education (Health, Education, Family and Community Services, Housing, PHNs, Early Childhood Education and Care Centres, Primary Health Care Services, Aboriginal Community Controlled Health Organisations)</w:t>
            </w:r>
          </w:p>
        </w:tc>
      </w:tr>
      <w:tr w:rsidR="00E923DE" w:rsidRPr="00817E68" w14:paraId="45DEABA8"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09C11A86" w14:textId="77777777" w:rsidR="00E923DE" w:rsidRPr="000A0BD4" w:rsidRDefault="00E923DE" w:rsidP="00542B57">
            <w:pPr>
              <w:spacing w:before="0"/>
              <w:ind w:left="113" w:right="113"/>
              <w:contextualSpacing/>
              <w:jc w:val="center"/>
              <w:rPr>
                <w:rFonts w:cstheme="minorHAnsi"/>
                <w:b/>
                <w:sz w:val="21"/>
                <w:szCs w:val="20"/>
                <w:lang w:val="en-AU"/>
              </w:rPr>
            </w:pPr>
          </w:p>
        </w:tc>
        <w:tc>
          <w:tcPr>
            <w:tcW w:w="672" w:type="pct"/>
            <w:tcBorders>
              <w:top w:val="single" w:sz="4" w:space="0" w:color="BFBFBF" w:themeColor="background1" w:themeShade="BF"/>
              <w:left w:val="single" w:sz="4" w:space="0" w:color="BFBFBF" w:themeColor="background1" w:themeShade="BF"/>
            </w:tcBorders>
            <w:shd w:val="clear" w:color="auto" w:fill="auto"/>
          </w:tcPr>
          <w:p w14:paraId="50233BF4" w14:textId="77777777" w:rsidR="00E923DE" w:rsidRPr="0038126F" w:rsidRDefault="00E923DE" w:rsidP="00542B57">
            <w:pPr>
              <w:spacing w:before="0"/>
              <w:rPr>
                <w:rFonts w:cstheme="minorHAnsi"/>
                <w:b/>
                <w:i/>
                <w:color w:val="000000" w:themeColor="text1"/>
                <w:sz w:val="18"/>
                <w:szCs w:val="18"/>
                <w:lang w:val="en-AU"/>
              </w:rPr>
            </w:pPr>
            <w:r w:rsidRPr="0038126F">
              <w:rPr>
                <w:rFonts w:cstheme="minorHAnsi"/>
                <w:b/>
                <w:i/>
                <w:sz w:val="18"/>
                <w:szCs w:val="18"/>
                <w:lang w:val="en-AU"/>
              </w:rPr>
              <w:t xml:space="preserve">Objective </w:t>
            </w:r>
            <w:r>
              <w:rPr>
                <w:rFonts w:cstheme="minorHAnsi"/>
                <w:b/>
                <w:i/>
                <w:sz w:val="18"/>
                <w:szCs w:val="18"/>
                <w:lang w:val="en-AU"/>
              </w:rPr>
              <w:t>1</w:t>
            </w:r>
            <w:r w:rsidRPr="0038126F">
              <w:rPr>
                <w:rFonts w:cstheme="minorHAnsi"/>
                <w:b/>
                <w:i/>
                <w:sz w:val="18"/>
                <w:szCs w:val="18"/>
                <w:lang w:val="en-AU"/>
              </w:rPr>
              <w:t>8</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72BFDF19" w14:textId="77777777" w:rsidR="00E923DE" w:rsidRPr="00817E68" w:rsidRDefault="00E923DE" w:rsidP="00542B57">
            <w:pPr>
              <w:pStyle w:val="Numberedtable"/>
              <w:numPr>
                <w:ilvl w:val="0"/>
                <w:numId w:val="0"/>
              </w:numPr>
              <w:rPr>
                <w:rFonts w:asciiTheme="minorHAnsi" w:hAnsiTheme="minorHAnsi" w:cstheme="minorHAnsi"/>
                <w:sz w:val="21"/>
                <w:szCs w:val="20"/>
                <w:lang w:val="en-AU"/>
              </w:rPr>
            </w:pPr>
            <w:r w:rsidRPr="00817E68">
              <w:rPr>
                <w:rFonts w:asciiTheme="minorHAnsi" w:hAnsiTheme="minorHAnsi" w:cstheme="minorHAnsi"/>
                <w:sz w:val="21"/>
                <w:szCs w:val="20"/>
                <w:lang w:val="en-AU"/>
              </w:rPr>
              <w:t>Increase proportion of children living in supportive home environments</w:t>
            </w:r>
          </w:p>
        </w:tc>
      </w:tr>
      <w:tr w:rsidR="00E923DE" w:rsidRPr="00817E68" w14:paraId="1C8E4F87"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0A6C2354" w14:textId="77777777" w:rsidR="00E923DE" w:rsidRPr="000A0BD4" w:rsidRDefault="00E923DE" w:rsidP="00542B57">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shd w:val="clear" w:color="auto" w:fill="auto"/>
          </w:tcPr>
          <w:p w14:paraId="7193F214" w14:textId="77777777" w:rsidR="00E923DE" w:rsidRPr="00817E68" w:rsidRDefault="00E923DE" w:rsidP="00542B57">
            <w:pPr>
              <w:spacing w:before="0"/>
              <w:rPr>
                <w:rFonts w:cstheme="minorHAnsi"/>
                <w:i/>
                <w:color w:val="000000" w:themeColor="text1"/>
                <w:sz w:val="18"/>
                <w:szCs w:val="18"/>
                <w:lang w:val="en-AU"/>
              </w:rPr>
            </w:pPr>
            <w:r w:rsidRPr="00817E68">
              <w:rPr>
                <w:rFonts w:cstheme="minorHAnsi"/>
                <w:i/>
                <w:sz w:val="18"/>
                <w:szCs w:val="18"/>
                <w:lang w:val="en-AU"/>
              </w:rPr>
              <w:t>Actions</w:t>
            </w:r>
          </w:p>
          <w:p w14:paraId="53BADBAE" w14:textId="77777777" w:rsidR="00E923DE" w:rsidRPr="00817E68" w:rsidRDefault="00E923DE" w:rsidP="00542B57">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shd w:val="clear" w:color="auto" w:fill="auto"/>
          </w:tcPr>
          <w:p w14:paraId="57E23815" w14:textId="0F54CDAF" w:rsidR="00E923DE" w:rsidRPr="005D7BE2" w:rsidRDefault="007D79AB" w:rsidP="007D5286">
            <w:pPr>
              <w:pStyle w:val="TableNBullet"/>
              <w:numPr>
                <w:ilvl w:val="0"/>
                <w:numId w:val="33"/>
              </w:numPr>
              <w:rPr>
                <w:rFonts w:cstheme="minorHAnsi"/>
                <w:szCs w:val="20"/>
                <w:lang w:val="en-AU"/>
              </w:rPr>
            </w:pPr>
            <w:r>
              <w:rPr>
                <w:rFonts w:cstheme="minorHAnsi"/>
                <w:szCs w:val="20"/>
                <w:lang w:val="en-AU"/>
              </w:rPr>
              <w:t xml:space="preserve">Promote the </w:t>
            </w:r>
            <w:r w:rsidR="00E923DE" w:rsidRPr="00817E68">
              <w:rPr>
                <w:rFonts w:cstheme="minorHAnsi"/>
                <w:szCs w:val="20"/>
                <w:lang w:val="en-AU"/>
              </w:rPr>
              <w:t xml:space="preserve">delivery of strengths-based, family-centred approaches to </w:t>
            </w:r>
            <w:r>
              <w:rPr>
                <w:rFonts w:cstheme="minorHAnsi"/>
                <w:szCs w:val="20"/>
                <w:lang w:val="en-AU"/>
              </w:rPr>
              <w:t>provide</w:t>
            </w:r>
            <w:r w:rsidR="00E923DE" w:rsidRPr="00817E68">
              <w:rPr>
                <w:rFonts w:cstheme="minorHAnsi"/>
                <w:szCs w:val="20"/>
                <w:lang w:val="en-AU"/>
              </w:rPr>
              <w:t xml:space="preserve"> a culturally-safe and supportive environment for </w:t>
            </w:r>
            <w:r>
              <w:rPr>
                <w:rFonts w:cstheme="minorHAnsi"/>
                <w:szCs w:val="20"/>
                <w:lang w:val="en-AU"/>
              </w:rPr>
              <w:t xml:space="preserve">families and </w:t>
            </w:r>
            <w:r w:rsidR="00E923DE" w:rsidRPr="00817E68">
              <w:rPr>
                <w:rFonts w:cstheme="minorHAnsi"/>
                <w:szCs w:val="20"/>
                <w:lang w:val="en-AU"/>
              </w:rPr>
              <w:t>children, including Aboriginal and Torres Strait Islander children and children from low-socio-economic areas.</w:t>
            </w:r>
          </w:p>
        </w:tc>
      </w:tr>
      <w:tr w:rsidR="00E923DE" w:rsidRPr="00817E68" w14:paraId="6221D28D"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1A8DB5FA" w14:textId="77777777" w:rsidR="00E923DE" w:rsidRPr="000A0BD4" w:rsidRDefault="00E923DE" w:rsidP="00542B57">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shd w:val="clear" w:color="auto" w:fill="auto"/>
          </w:tcPr>
          <w:p w14:paraId="498AF9AF" w14:textId="77777777" w:rsidR="00E923DE" w:rsidRPr="00817E68" w:rsidRDefault="00E923DE" w:rsidP="00542B57">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shd w:val="clear" w:color="auto" w:fill="auto"/>
          </w:tcPr>
          <w:p w14:paraId="73997B73" w14:textId="77777777" w:rsidR="00E923DE" w:rsidRPr="00C30AD1" w:rsidRDefault="00E923DE" w:rsidP="00C30AD1">
            <w:pPr>
              <w:spacing w:before="0"/>
              <w:rPr>
                <w:rFonts w:cstheme="minorHAnsi"/>
                <w:i/>
                <w:sz w:val="21"/>
                <w:szCs w:val="20"/>
                <w:lang w:val="en-AU"/>
              </w:rPr>
            </w:pPr>
            <w:r w:rsidRPr="00C30AD1">
              <w:rPr>
                <w:rFonts w:eastAsia="Times New Roman" w:cstheme="minorHAnsi"/>
                <w:i/>
                <w:sz w:val="21"/>
                <w:szCs w:val="20"/>
                <w:lang w:val="en-AU" w:eastAsia="en-AU"/>
              </w:rPr>
              <w:t>National, state and territory departments of child and family services and social services (Health, Education; PHNs, child and young people advocacy groups; Australian Institute of Family Services, Aboriginal Community Controlled Organisations, National Mental Health Commission)</w:t>
            </w:r>
          </w:p>
        </w:tc>
      </w:tr>
      <w:tr w:rsidR="00E923DE" w:rsidRPr="00817E68" w14:paraId="0B6270A2"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46FE492F" w14:textId="04D64D98" w:rsidR="00E923DE" w:rsidRPr="000A0BD4" w:rsidRDefault="00E923DE" w:rsidP="00C17651">
            <w:pPr>
              <w:spacing w:before="0"/>
              <w:ind w:left="113" w:right="113"/>
              <w:contextualSpacing/>
              <w:jc w:val="center"/>
              <w:rPr>
                <w:rFonts w:cstheme="minorHAnsi"/>
                <w:b/>
                <w:sz w:val="21"/>
                <w:szCs w:val="20"/>
                <w:lang w:val="en-AU"/>
              </w:rPr>
            </w:pPr>
          </w:p>
        </w:tc>
        <w:tc>
          <w:tcPr>
            <w:tcW w:w="672" w:type="pct"/>
            <w:tcBorders>
              <w:top w:val="single" w:sz="4" w:space="0" w:color="BFBFBF" w:themeColor="background1" w:themeShade="BF"/>
              <w:left w:val="single" w:sz="4" w:space="0" w:color="BFBFBF" w:themeColor="background1" w:themeShade="BF"/>
            </w:tcBorders>
            <w:shd w:val="clear" w:color="auto" w:fill="auto"/>
          </w:tcPr>
          <w:p w14:paraId="244A6678" w14:textId="44672E8D" w:rsidR="00E923DE" w:rsidRPr="00817E68" w:rsidRDefault="00E923DE" w:rsidP="00C17651">
            <w:pPr>
              <w:spacing w:before="0"/>
              <w:rPr>
                <w:rFonts w:cstheme="minorHAnsi"/>
                <w:i/>
                <w:sz w:val="18"/>
                <w:szCs w:val="18"/>
                <w:lang w:val="en-AU"/>
              </w:rPr>
            </w:pPr>
            <w:r w:rsidRPr="00BF67AD">
              <w:rPr>
                <w:rFonts w:cstheme="minorHAnsi"/>
                <w:b/>
                <w:i/>
                <w:sz w:val="18"/>
                <w:szCs w:val="18"/>
                <w:lang w:val="en-AU"/>
              </w:rPr>
              <w:t xml:space="preserve">Objective </w:t>
            </w:r>
            <w:r>
              <w:rPr>
                <w:rFonts w:cstheme="minorHAnsi"/>
                <w:b/>
                <w:i/>
                <w:sz w:val="18"/>
                <w:szCs w:val="18"/>
                <w:lang w:val="en-AU"/>
              </w:rPr>
              <w:t>19</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5549CDA1" w14:textId="4571AF30" w:rsidR="00E923DE" w:rsidRPr="00817E68" w:rsidRDefault="00E923DE" w:rsidP="00C17651">
            <w:pPr>
              <w:pStyle w:val="ListParagraph"/>
              <w:spacing w:before="0"/>
              <w:ind w:left="72"/>
              <w:rPr>
                <w:rFonts w:eastAsia="Times New Roman" w:cstheme="minorHAnsi"/>
                <w:i/>
                <w:sz w:val="21"/>
                <w:szCs w:val="20"/>
                <w:lang w:val="en-AU" w:eastAsia="en-AU"/>
              </w:rPr>
            </w:pPr>
            <w:r w:rsidRPr="00247DD5">
              <w:rPr>
                <w:rFonts w:cstheme="minorHAnsi"/>
                <w:b/>
                <w:sz w:val="21"/>
                <w:szCs w:val="21"/>
                <w:lang w:val="en-AU"/>
              </w:rPr>
              <w:t>Prioritise the availability of and access to culturally appropriate programs and services</w:t>
            </w:r>
          </w:p>
        </w:tc>
      </w:tr>
      <w:tr w:rsidR="00E923DE" w:rsidRPr="00817E68" w14:paraId="3C1F7A40"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0DFCF8FF" w14:textId="77777777" w:rsidR="00E923DE" w:rsidRPr="000A0BD4" w:rsidRDefault="00E923DE" w:rsidP="00C17651">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shd w:val="clear" w:color="auto" w:fill="auto"/>
          </w:tcPr>
          <w:p w14:paraId="355AA7B8" w14:textId="77777777" w:rsidR="00E923DE" w:rsidRPr="00817E68" w:rsidRDefault="00E923DE" w:rsidP="00C17651">
            <w:pPr>
              <w:spacing w:before="0"/>
              <w:rPr>
                <w:rFonts w:cstheme="minorHAnsi"/>
                <w:i/>
                <w:color w:val="000000" w:themeColor="text1"/>
                <w:sz w:val="18"/>
                <w:szCs w:val="18"/>
                <w:lang w:val="en-AU"/>
              </w:rPr>
            </w:pPr>
            <w:r w:rsidRPr="00817E68">
              <w:rPr>
                <w:rFonts w:cstheme="minorHAnsi"/>
                <w:i/>
                <w:sz w:val="18"/>
                <w:szCs w:val="18"/>
                <w:lang w:val="en-AU"/>
              </w:rPr>
              <w:t>Actions</w:t>
            </w:r>
          </w:p>
          <w:p w14:paraId="3CE90124" w14:textId="77777777" w:rsidR="00E923DE" w:rsidRPr="00817E68" w:rsidRDefault="00E923DE" w:rsidP="00C17651">
            <w:pPr>
              <w:spacing w:before="0"/>
              <w:rPr>
                <w:rFonts w:cstheme="minorHAnsi"/>
                <w:i/>
                <w:sz w:val="18"/>
                <w:szCs w:val="18"/>
                <w:lang w:val="en-AU"/>
              </w:rPr>
            </w:pPr>
          </w:p>
        </w:tc>
        <w:tc>
          <w:tcPr>
            <w:tcW w:w="4059" w:type="pct"/>
            <w:tcBorders>
              <w:right w:val="single" w:sz="4" w:space="0" w:color="BFBFBF" w:themeColor="background1" w:themeShade="BF"/>
            </w:tcBorders>
            <w:shd w:val="clear" w:color="auto" w:fill="auto"/>
          </w:tcPr>
          <w:p w14:paraId="71E10B2B" w14:textId="3B98F173" w:rsidR="00E923DE" w:rsidRDefault="00E923DE" w:rsidP="007D5286">
            <w:pPr>
              <w:pStyle w:val="TableNBullet"/>
              <w:numPr>
                <w:ilvl w:val="0"/>
                <w:numId w:val="65"/>
              </w:numPr>
              <w:rPr>
                <w:rFonts w:cstheme="minorHAnsi"/>
                <w:szCs w:val="20"/>
                <w:lang w:val="en-AU" w:eastAsia="ja-JP"/>
              </w:rPr>
            </w:pPr>
            <w:r w:rsidRPr="00701DBE">
              <w:rPr>
                <w:rFonts w:cstheme="minorHAnsi"/>
                <w:szCs w:val="20"/>
                <w:lang w:val="en-AU"/>
              </w:rPr>
              <w:t>Support programs aimed at connection to Country and community for Aboriginal and Torres Strait Islander young people.</w:t>
            </w:r>
            <w:r w:rsidRPr="00701DBE">
              <w:rPr>
                <w:rFonts w:cstheme="minorHAnsi"/>
                <w:szCs w:val="20"/>
                <w:lang w:val="en-AU" w:eastAsia="ja-JP"/>
              </w:rPr>
              <w:t xml:space="preserve"> </w:t>
            </w:r>
          </w:p>
          <w:p w14:paraId="51DD9164" w14:textId="61765BD7" w:rsidR="00E923DE" w:rsidRPr="007D79AB" w:rsidRDefault="00E923DE" w:rsidP="007D5286">
            <w:pPr>
              <w:pStyle w:val="TableNBullet"/>
              <w:numPr>
                <w:ilvl w:val="0"/>
                <w:numId w:val="65"/>
              </w:numPr>
              <w:rPr>
                <w:rFonts w:cstheme="minorHAnsi"/>
                <w:i/>
                <w:szCs w:val="20"/>
                <w:lang w:val="en-AU"/>
              </w:rPr>
            </w:pPr>
            <w:r w:rsidRPr="007D79AB">
              <w:rPr>
                <w:rFonts w:cstheme="minorHAnsi"/>
                <w:szCs w:val="20"/>
                <w:lang w:val="en-AU"/>
              </w:rPr>
              <w:t>Ensure health, justice and education systems and services are culturally respectful, non-discriminatory and use a strengths-based approach.</w:t>
            </w:r>
          </w:p>
        </w:tc>
      </w:tr>
      <w:tr w:rsidR="00E923DE" w:rsidRPr="00817E68" w14:paraId="1636D316"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51F094E4" w14:textId="77777777" w:rsidR="00E923DE" w:rsidRPr="000A0BD4" w:rsidRDefault="00E923DE" w:rsidP="00C17651">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shd w:val="clear" w:color="auto" w:fill="auto"/>
          </w:tcPr>
          <w:p w14:paraId="158CDDF3" w14:textId="14AE449D" w:rsidR="00E923DE" w:rsidRPr="00817E68" w:rsidRDefault="00E923DE" w:rsidP="00C17651">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shd w:val="clear" w:color="auto" w:fill="auto"/>
          </w:tcPr>
          <w:p w14:paraId="582B7510" w14:textId="7C8AF806" w:rsidR="00E923DE" w:rsidRPr="00817E68" w:rsidRDefault="00E923DE" w:rsidP="00C17651">
            <w:pPr>
              <w:pStyle w:val="ListParagraph"/>
              <w:spacing w:before="0"/>
              <w:ind w:left="72"/>
              <w:rPr>
                <w:rFonts w:eastAsia="Times New Roman" w:cstheme="minorHAnsi"/>
                <w:i/>
                <w:sz w:val="21"/>
                <w:szCs w:val="20"/>
                <w:lang w:val="en-AU" w:eastAsia="en-AU"/>
              </w:rPr>
            </w:pPr>
            <w:r w:rsidRPr="00701DBE">
              <w:rPr>
                <w:rFonts w:cstheme="minorHAnsi"/>
                <w:sz w:val="21"/>
                <w:szCs w:val="20"/>
                <w:lang w:val="en-AU"/>
              </w:rPr>
              <w:t>National department of health</w:t>
            </w:r>
            <w:r w:rsidRPr="00701DBE">
              <w:rPr>
                <w:rFonts w:cstheme="minorHAnsi"/>
                <w:sz w:val="21"/>
                <w:szCs w:val="20"/>
                <w:lang w:val="en-AU" w:eastAsia="en-AU"/>
              </w:rPr>
              <w:t xml:space="preserve"> (</w:t>
            </w:r>
            <w:r w:rsidRPr="00701DBE">
              <w:rPr>
                <w:rFonts w:cstheme="minorHAnsi"/>
                <w:sz w:val="21"/>
                <w:szCs w:val="20"/>
                <w:lang w:val="en-AU"/>
              </w:rPr>
              <w:t xml:space="preserve">National Indigenous Australians Agency, </w:t>
            </w:r>
            <w:r w:rsidRPr="00701DBE">
              <w:rPr>
                <w:rFonts w:cstheme="minorHAnsi"/>
                <w:sz w:val="21"/>
                <w:szCs w:val="20"/>
                <w:lang w:val="en-AU" w:eastAsia="en-AU"/>
              </w:rPr>
              <w:t>all national and state departments, Aboriginal Community Controlled Organisations and Health Services)</w:t>
            </w:r>
          </w:p>
        </w:tc>
      </w:tr>
      <w:tr w:rsidR="00E923DE" w:rsidRPr="00817E68" w14:paraId="5AEA3086"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46975B17" w14:textId="3C684AF8" w:rsidR="00E923DE" w:rsidRPr="000A0BD4" w:rsidRDefault="00E923DE" w:rsidP="00C17651">
            <w:pPr>
              <w:spacing w:before="0"/>
              <w:ind w:left="113" w:right="113"/>
              <w:contextualSpacing/>
              <w:jc w:val="center"/>
              <w:rPr>
                <w:rFonts w:cstheme="minorHAnsi"/>
                <w:b/>
                <w:sz w:val="21"/>
                <w:szCs w:val="20"/>
                <w:lang w:val="en-AU"/>
              </w:rPr>
            </w:pPr>
          </w:p>
        </w:tc>
        <w:tc>
          <w:tcPr>
            <w:tcW w:w="672" w:type="pct"/>
            <w:tcBorders>
              <w:top w:val="single" w:sz="4" w:space="0" w:color="BFBFBF" w:themeColor="background1" w:themeShade="BF"/>
              <w:left w:val="single" w:sz="4" w:space="0" w:color="BFBFBF" w:themeColor="background1" w:themeShade="BF"/>
            </w:tcBorders>
            <w:shd w:val="clear" w:color="auto" w:fill="auto"/>
          </w:tcPr>
          <w:p w14:paraId="378E6277" w14:textId="77777777" w:rsidR="00E923DE" w:rsidRPr="00EA3053" w:rsidRDefault="00E923DE" w:rsidP="00C17651">
            <w:pPr>
              <w:spacing w:before="0"/>
              <w:rPr>
                <w:rFonts w:cstheme="minorHAnsi"/>
                <w:b/>
                <w:i/>
                <w:color w:val="000000" w:themeColor="text1"/>
                <w:sz w:val="18"/>
                <w:szCs w:val="18"/>
                <w:lang w:val="en-AU"/>
              </w:rPr>
            </w:pPr>
            <w:r w:rsidRPr="00EA3053">
              <w:rPr>
                <w:rFonts w:cstheme="minorHAnsi"/>
                <w:b/>
                <w:i/>
                <w:sz w:val="18"/>
                <w:szCs w:val="18"/>
                <w:lang w:val="en-AU"/>
              </w:rPr>
              <w:t>Objective 20</w:t>
            </w:r>
          </w:p>
        </w:tc>
        <w:tc>
          <w:tcPr>
            <w:tcW w:w="4059" w:type="pct"/>
            <w:tcBorders>
              <w:top w:val="single" w:sz="4" w:space="0" w:color="BFBFBF" w:themeColor="background1" w:themeShade="BF"/>
              <w:right w:val="single" w:sz="4" w:space="0" w:color="BFBFBF" w:themeColor="background1" w:themeShade="BF"/>
            </w:tcBorders>
            <w:shd w:val="clear" w:color="auto" w:fill="auto"/>
          </w:tcPr>
          <w:p w14:paraId="6C64324A" w14:textId="77777777" w:rsidR="00E923DE" w:rsidRPr="00817E68" w:rsidRDefault="00E923DE" w:rsidP="00C17651">
            <w:pPr>
              <w:pStyle w:val="Numberedtable"/>
              <w:numPr>
                <w:ilvl w:val="0"/>
                <w:numId w:val="0"/>
              </w:numPr>
              <w:rPr>
                <w:rFonts w:asciiTheme="minorHAnsi" w:hAnsiTheme="minorHAnsi" w:cstheme="minorHAnsi"/>
                <w:sz w:val="21"/>
                <w:szCs w:val="20"/>
                <w:lang w:val="en-AU"/>
              </w:rPr>
            </w:pPr>
            <w:r w:rsidRPr="00EA3053">
              <w:rPr>
                <w:rFonts w:asciiTheme="minorHAnsi" w:hAnsiTheme="minorHAnsi" w:cstheme="minorHAnsi"/>
                <w:sz w:val="21"/>
                <w:szCs w:val="20"/>
                <w:lang w:val="en-AU"/>
              </w:rPr>
              <w:t>Reduce the use of alcohol, and related harms of alcohol, during pregnancy</w:t>
            </w:r>
          </w:p>
        </w:tc>
      </w:tr>
      <w:tr w:rsidR="00E923DE" w:rsidRPr="00817E68" w14:paraId="1E40FF9E"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65547765" w14:textId="77777777" w:rsidR="00E923DE" w:rsidRPr="000A0BD4" w:rsidRDefault="00E923DE" w:rsidP="00C17651">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shd w:val="clear" w:color="auto" w:fill="auto"/>
          </w:tcPr>
          <w:p w14:paraId="74753B0D" w14:textId="77777777" w:rsidR="00E923DE" w:rsidRPr="00817E68" w:rsidRDefault="00E923DE" w:rsidP="00C17651">
            <w:pPr>
              <w:spacing w:before="0"/>
              <w:rPr>
                <w:rFonts w:cstheme="minorHAnsi"/>
                <w:i/>
                <w:color w:val="000000" w:themeColor="text1"/>
                <w:sz w:val="18"/>
                <w:szCs w:val="18"/>
                <w:lang w:val="en-AU"/>
              </w:rPr>
            </w:pPr>
            <w:r w:rsidRPr="00817E68">
              <w:rPr>
                <w:rFonts w:cstheme="minorHAnsi"/>
                <w:i/>
                <w:sz w:val="18"/>
                <w:szCs w:val="18"/>
                <w:lang w:val="en-AU"/>
              </w:rPr>
              <w:t>Actions</w:t>
            </w:r>
          </w:p>
          <w:p w14:paraId="50674800" w14:textId="77777777" w:rsidR="00E923DE" w:rsidRPr="00817E68" w:rsidRDefault="00E923DE" w:rsidP="00C17651">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shd w:val="clear" w:color="auto" w:fill="auto"/>
          </w:tcPr>
          <w:p w14:paraId="2541FF98" w14:textId="0EC8C039" w:rsidR="00E923DE" w:rsidRDefault="00E923DE" w:rsidP="007D5286">
            <w:pPr>
              <w:pStyle w:val="TableNBullet"/>
              <w:numPr>
                <w:ilvl w:val="0"/>
                <w:numId w:val="37"/>
              </w:numPr>
              <w:rPr>
                <w:rFonts w:cstheme="minorHAnsi"/>
                <w:szCs w:val="20"/>
                <w:lang w:val="en-AU"/>
              </w:rPr>
            </w:pPr>
            <w:r w:rsidRPr="00817E68">
              <w:rPr>
                <w:rFonts w:cstheme="minorHAnsi"/>
                <w:szCs w:val="20"/>
                <w:lang w:val="en-AU"/>
              </w:rPr>
              <w:t xml:space="preserve">Increase </w:t>
            </w:r>
            <w:r w:rsidR="007D79AB">
              <w:rPr>
                <w:rFonts w:cstheme="minorHAnsi"/>
                <w:szCs w:val="20"/>
                <w:lang w:val="en-AU"/>
              </w:rPr>
              <w:t xml:space="preserve">access to FASD </w:t>
            </w:r>
            <w:r w:rsidRPr="00817E68">
              <w:rPr>
                <w:rFonts w:cstheme="minorHAnsi"/>
                <w:szCs w:val="20"/>
                <w:lang w:val="en-AU"/>
              </w:rPr>
              <w:t xml:space="preserve">screening and services for children and </w:t>
            </w:r>
            <w:r w:rsidR="007D79AB">
              <w:rPr>
                <w:rFonts w:cstheme="minorHAnsi"/>
                <w:szCs w:val="20"/>
                <w:lang w:val="en-AU"/>
              </w:rPr>
              <w:t xml:space="preserve">families. </w:t>
            </w:r>
          </w:p>
          <w:p w14:paraId="6FF72AA8" w14:textId="77777777" w:rsidR="00E923DE" w:rsidRPr="00817E68" w:rsidRDefault="00E923DE" w:rsidP="007D5286">
            <w:pPr>
              <w:pStyle w:val="TableNBullet"/>
              <w:numPr>
                <w:ilvl w:val="0"/>
                <w:numId w:val="37"/>
              </w:numPr>
              <w:rPr>
                <w:rFonts w:cstheme="minorHAnsi"/>
                <w:szCs w:val="20"/>
                <w:lang w:val="en-AU"/>
              </w:rPr>
            </w:pPr>
            <w:r w:rsidRPr="00817E68">
              <w:rPr>
                <w:rFonts w:cstheme="minorHAnsi"/>
                <w:szCs w:val="20"/>
                <w:lang w:val="en-AU"/>
              </w:rPr>
              <w:t>Improve the availability of, and access to, locally tailored and specialist FASD diagnostic services.</w:t>
            </w:r>
          </w:p>
          <w:p w14:paraId="782C50F6" w14:textId="56EA5394" w:rsidR="00E923DE" w:rsidRPr="00817E68" w:rsidRDefault="007D79AB" w:rsidP="007D5286">
            <w:pPr>
              <w:pStyle w:val="TableNBullet"/>
              <w:numPr>
                <w:ilvl w:val="0"/>
                <w:numId w:val="37"/>
              </w:numPr>
              <w:rPr>
                <w:rFonts w:cstheme="minorHAnsi"/>
                <w:szCs w:val="20"/>
                <w:lang w:val="en-AU"/>
              </w:rPr>
            </w:pPr>
            <w:r>
              <w:rPr>
                <w:rFonts w:cstheme="minorHAnsi"/>
                <w:szCs w:val="20"/>
                <w:lang w:val="en-AU"/>
              </w:rPr>
              <w:t>Encourage</w:t>
            </w:r>
            <w:r w:rsidR="00E923DE" w:rsidRPr="00817E68">
              <w:rPr>
                <w:rFonts w:cstheme="minorHAnsi"/>
                <w:szCs w:val="20"/>
                <w:lang w:val="en-AU"/>
              </w:rPr>
              <w:t xml:space="preserve"> paediatricians and other health professionals to</w:t>
            </w:r>
            <w:r>
              <w:rPr>
                <w:rFonts w:cstheme="minorHAnsi"/>
                <w:szCs w:val="20"/>
                <w:lang w:val="en-AU"/>
              </w:rPr>
              <w:t xml:space="preserve"> provide</w:t>
            </w:r>
            <w:r w:rsidR="00E923DE" w:rsidRPr="00817E68">
              <w:rPr>
                <w:rFonts w:cstheme="minorHAnsi"/>
                <w:szCs w:val="20"/>
                <w:lang w:val="en-AU"/>
              </w:rPr>
              <w:t xml:space="preserve"> diagno</w:t>
            </w:r>
            <w:r>
              <w:rPr>
                <w:rFonts w:cstheme="minorHAnsi"/>
                <w:szCs w:val="20"/>
                <w:lang w:val="en-AU"/>
              </w:rPr>
              <w:t>stic</w:t>
            </w:r>
            <w:r w:rsidR="00E923DE" w:rsidRPr="00817E68">
              <w:rPr>
                <w:rFonts w:cstheme="minorHAnsi"/>
                <w:szCs w:val="20"/>
                <w:lang w:val="en-AU"/>
              </w:rPr>
              <w:t xml:space="preserve"> and coordinate</w:t>
            </w:r>
            <w:r>
              <w:rPr>
                <w:rFonts w:cstheme="minorHAnsi"/>
                <w:szCs w:val="20"/>
                <w:lang w:val="en-AU"/>
              </w:rPr>
              <w:t>d</w:t>
            </w:r>
            <w:r w:rsidR="00E923DE" w:rsidRPr="00817E68">
              <w:rPr>
                <w:rFonts w:cstheme="minorHAnsi"/>
                <w:szCs w:val="20"/>
                <w:lang w:val="en-AU"/>
              </w:rPr>
              <w:t xml:space="preserve"> care</w:t>
            </w:r>
            <w:r>
              <w:rPr>
                <w:rFonts w:cstheme="minorHAnsi"/>
                <w:szCs w:val="20"/>
                <w:lang w:val="en-AU"/>
              </w:rPr>
              <w:t xml:space="preserve"> services</w:t>
            </w:r>
            <w:r w:rsidR="00E923DE" w:rsidRPr="00817E68">
              <w:rPr>
                <w:rFonts w:cstheme="minorHAnsi"/>
                <w:szCs w:val="20"/>
                <w:lang w:val="en-AU"/>
              </w:rPr>
              <w:t xml:space="preserve"> for children with FASD.</w:t>
            </w:r>
          </w:p>
          <w:p w14:paraId="572AD6CA" w14:textId="2307BED0" w:rsidR="00E923DE" w:rsidRPr="00817E68" w:rsidRDefault="007D79AB" w:rsidP="007D5286">
            <w:pPr>
              <w:pStyle w:val="TableNBullet"/>
              <w:numPr>
                <w:ilvl w:val="0"/>
                <w:numId w:val="37"/>
              </w:numPr>
              <w:rPr>
                <w:rFonts w:cstheme="minorHAnsi"/>
                <w:szCs w:val="20"/>
                <w:lang w:val="en-AU"/>
              </w:rPr>
            </w:pPr>
            <w:r>
              <w:rPr>
                <w:rFonts w:cstheme="minorHAnsi"/>
                <w:szCs w:val="20"/>
                <w:lang w:val="en-AU"/>
              </w:rPr>
              <w:t>Raise</w:t>
            </w:r>
            <w:r w:rsidRPr="00817E68">
              <w:rPr>
                <w:rFonts w:cstheme="minorHAnsi"/>
                <w:szCs w:val="20"/>
                <w:lang w:val="en-AU"/>
              </w:rPr>
              <w:t xml:space="preserve"> </w:t>
            </w:r>
            <w:r w:rsidR="00E923DE" w:rsidRPr="00817E68">
              <w:rPr>
                <w:rFonts w:cstheme="minorHAnsi"/>
                <w:szCs w:val="20"/>
                <w:lang w:val="en-AU"/>
              </w:rPr>
              <w:t>awareness of FASD among parents, carers and communities, particularly around behaviours associated with FASD and how these relate to increased risk of injury</w:t>
            </w:r>
            <w:r w:rsidR="004637EB">
              <w:rPr>
                <w:rFonts w:cstheme="minorHAnsi"/>
                <w:szCs w:val="20"/>
                <w:lang w:val="en-AU"/>
              </w:rPr>
              <w:t>.</w:t>
            </w:r>
          </w:p>
          <w:p w14:paraId="217EF31A" w14:textId="1B069FC3" w:rsidR="00E923DE" w:rsidRPr="00817E68" w:rsidRDefault="00E923DE" w:rsidP="007D5286">
            <w:pPr>
              <w:pStyle w:val="TableNBullet"/>
              <w:numPr>
                <w:ilvl w:val="0"/>
                <w:numId w:val="37"/>
              </w:numPr>
              <w:rPr>
                <w:rFonts w:cstheme="minorHAnsi"/>
                <w:color w:val="000000" w:themeColor="text1"/>
                <w:szCs w:val="20"/>
                <w:lang w:val="en-AU"/>
              </w:rPr>
            </w:pPr>
            <w:r w:rsidRPr="00817E68">
              <w:rPr>
                <w:rFonts w:cstheme="minorHAnsi"/>
                <w:szCs w:val="20"/>
                <w:lang w:val="en-AU"/>
              </w:rPr>
              <w:t xml:space="preserve">Provide culturally appropriate, tailored </w:t>
            </w:r>
            <w:r w:rsidR="004637EB">
              <w:rPr>
                <w:rFonts w:cstheme="minorHAnsi"/>
                <w:szCs w:val="20"/>
                <w:lang w:val="en-AU"/>
              </w:rPr>
              <w:t xml:space="preserve">injury prevention </w:t>
            </w:r>
            <w:r w:rsidRPr="00817E68">
              <w:rPr>
                <w:rFonts w:cstheme="minorHAnsi"/>
                <w:szCs w:val="20"/>
                <w:lang w:val="en-AU"/>
              </w:rPr>
              <w:t xml:space="preserve">programs for children with FASD. </w:t>
            </w:r>
          </w:p>
        </w:tc>
      </w:tr>
      <w:tr w:rsidR="00E923DE" w:rsidRPr="00400300" w14:paraId="74A6EF74" w14:textId="77777777" w:rsidTr="00C30AD1">
        <w:trPr>
          <w:trHeight w:val="20"/>
        </w:trPr>
        <w:tc>
          <w:tcPr>
            <w:tcW w:w="269"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3E9B1BB4" w14:textId="77777777" w:rsidR="00E923DE" w:rsidRPr="000A0BD4" w:rsidRDefault="00E923DE" w:rsidP="00C17651">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5F8290EB" w14:textId="77777777" w:rsidR="00E923DE" w:rsidRPr="00817E68" w:rsidRDefault="00E923DE" w:rsidP="00C17651">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2EFE80FB" w14:textId="77777777" w:rsidR="00E923DE" w:rsidRPr="00400300" w:rsidRDefault="00E923DE" w:rsidP="00C17651">
            <w:pPr>
              <w:spacing w:before="0"/>
              <w:rPr>
                <w:rFonts w:cstheme="minorHAnsi"/>
                <w:i/>
                <w:sz w:val="21"/>
                <w:szCs w:val="20"/>
                <w:lang w:val="en-AU"/>
              </w:rPr>
            </w:pPr>
            <w:r w:rsidRPr="00817E68">
              <w:rPr>
                <w:rFonts w:eastAsia="Times New Roman" w:cstheme="minorHAnsi"/>
                <w:i/>
                <w:sz w:val="21"/>
                <w:szCs w:val="20"/>
                <w:lang w:val="en-AU" w:eastAsia="en-AU"/>
              </w:rPr>
              <w:t>National, state and territory departments of health (Health, Education, Family and Community Services, Housing, PHNs, Early Childhood Education and Care Centres, Primary Health Care Services, Aboriginal Community Controlled Health Organisations)</w:t>
            </w:r>
          </w:p>
        </w:tc>
      </w:tr>
      <w:bookmarkEnd w:id="213"/>
      <w:bookmarkEnd w:id="214"/>
    </w:tbl>
    <w:p w14:paraId="58E699C0" w14:textId="77777777" w:rsidR="009F0E6D" w:rsidRPr="00400300" w:rsidRDefault="009F0E6D" w:rsidP="00D91CC6">
      <w:pPr>
        <w:rPr>
          <w:lang w:val="en-AU" w:eastAsia="en-US"/>
        </w:rPr>
      </w:pPr>
    </w:p>
    <w:tbl>
      <w:tblPr>
        <w:tblStyle w:val="TableGrid"/>
        <w:tblW w:w="8930" w:type="dxa"/>
        <w:tblInd w:w="-5" w:type="dxa"/>
        <w:tblLook w:val="04A0" w:firstRow="1" w:lastRow="0" w:firstColumn="1" w:lastColumn="0" w:noHBand="0" w:noVBand="1"/>
      </w:tblPr>
      <w:tblGrid>
        <w:gridCol w:w="8930"/>
      </w:tblGrid>
      <w:tr w:rsidR="00D91CC6" w:rsidRPr="00701DBE" w14:paraId="547F6802" w14:textId="77777777" w:rsidTr="00D91CC6">
        <w:trPr>
          <w:trHeight w:val="213"/>
        </w:trPr>
        <w:tc>
          <w:tcPr>
            <w:tcW w:w="8930" w:type="dxa"/>
            <w:shd w:val="clear" w:color="auto" w:fill="E7E6E6" w:themeFill="background2"/>
          </w:tcPr>
          <w:bookmarkEnd w:id="211"/>
          <w:bookmarkEnd w:id="212"/>
          <w:p w14:paraId="50EC3865" w14:textId="77777777" w:rsidR="00D91CC6" w:rsidRPr="00701DBE" w:rsidRDefault="00D91CC6" w:rsidP="00701DBE">
            <w:pPr>
              <w:spacing w:before="0"/>
              <w:rPr>
                <w:rFonts w:cstheme="minorHAnsi"/>
                <w:szCs w:val="22"/>
              </w:rPr>
            </w:pPr>
            <w:r w:rsidRPr="00701DBE">
              <w:rPr>
                <w:rFonts w:cstheme="minorHAnsi"/>
                <w:b/>
                <w:szCs w:val="22"/>
                <w:lang w:val="en-AU"/>
              </w:rPr>
              <w:t>Case study:</w:t>
            </w:r>
            <w:r w:rsidRPr="00701DBE">
              <w:rPr>
                <w:rFonts w:cstheme="minorHAnsi"/>
                <w:szCs w:val="22"/>
                <w:lang w:val="en-AU"/>
              </w:rPr>
              <w:t xml:space="preserve"> </w:t>
            </w:r>
            <w:r w:rsidR="00701DBE" w:rsidRPr="00701DBE">
              <w:rPr>
                <w:rFonts w:cstheme="minorHAnsi"/>
                <w:szCs w:val="22"/>
              </w:rPr>
              <w:t>Violence prevention</w:t>
            </w:r>
          </w:p>
          <w:p w14:paraId="360E0FC2" w14:textId="010C7E26" w:rsidR="00701DBE" w:rsidRPr="00701DBE" w:rsidRDefault="00701DBE" w:rsidP="007D5286">
            <w:pPr>
              <w:pStyle w:val="ListParagraph"/>
              <w:numPr>
                <w:ilvl w:val="0"/>
                <w:numId w:val="52"/>
              </w:numPr>
              <w:spacing w:before="0"/>
              <w:rPr>
                <w:rFonts w:cstheme="minorHAnsi"/>
                <w:szCs w:val="22"/>
                <w:lang w:val="en-AU"/>
              </w:rPr>
            </w:pPr>
            <w:r w:rsidRPr="00701DBE">
              <w:rPr>
                <w:rFonts w:cstheme="minorHAnsi"/>
                <w:szCs w:val="22"/>
              </w:rPr>
              <w:t>To describe the cycle of domestic violence and need for early intervention, providing an example of an effective intervention relating to families to stop the trajectory of violence and future injury</w:t>
            </w:r>
          </w:p>
        </w:tc>
      </w:tr>
    </w:tbl>
    <w:p w14:paraId="36C5E919" w14:textId="77777777" w:rsidR="00D91CC6" w:rsidRPr="00701DBE" w:rsidRDefault="00D91CC6" w:rsidP="00D91CC6">
      <w:pPr>
        <w:rPr>
          <w:szCs w:val="22"/>
          <w:lang w:val="en-AU"/>
        </w:rPr>
      </w:pPr>
    </w:p>
    <w:tbl>
      <w:tblPr>
        <w:tblStyle w:val="TableGrid"/>
        <w:tblW w:w="0" w:type="auto"/>
        <w:tblLook w:val="04A0" w:firstRow="1" w:lastRow="0" w:firstColumn="1" w:lastColumn="0" w:noHBand="0" w:noVBand="1"/>
      </w:tblPr>
      <w:tblGrid>
        <w:gridCol w:w="9016"/>
      </w:tblGrid>
      <w:tr w:rsidR="00D91CC6" w:rsidRPr="00701DBE" w14:paraId="5978B7B4" w14:textId="77777777" w:rsidTr="00D91CC6">
        <w:tc>
          <w:tcPr>
            <w:tcW w:w="9016" w:type="dxa"/>
            <w:shd w:val="clear" w:color="auto" w:fill="E7E6E6" w:themeFill="background2"/>
          </w:tcPr>
          <w:p w14:paraId="4D074AD9" w14:textId="77777777" w:rsidR="00D91CC6" w:rsidRPr="00701DBE" w:rsidRDefault="00D91CC6" w:rsidP="00701DBE">
            <w:pPr>
              <w:spacing w:before="0"/>
              <w:rPr>
                <w:rFonts w:cstheme="minorHAnsi"/>
                <w:color w:val="000000" w:themeColor="text1"/>
                <w:szCs w:val="22"/>
              </w:rPr>
            </w:pPr>
            <w:r w:rsidRPr="00701DBE">
              <w:rPr>
                <w:rFonts w:cstheme="minorHAnsi"/>
                <w:b/>
                <w:szCs w:val="22"/>
                <w:lang w:val="en-AU"/>
              </w:rPr>
              <w:t xml:space="preserve">Case study: </w:t>
            </w:r>
            <w:r w:rsidR="00701DBE" w:rsidRPr="00701DBE">
              <w:rPr>
                <w:rFonts w:cstheme="minorHAnsi"/>
                <w:color w:val="000000" w:themeColor="text1"/>
                <w:szCs w:val="22"/>
              </w:rPr>
              <w:t>Antenatal program</w:t>
            </w:r>
          </w:p>
          <w:p w14:paraId="618C2BC9" w14:textId="16402F7D" w:rsidR="00701DBE" w:rsidRPr="00701DBE" w:rsidRDefault="00701DBE" w:rsidP="007D5286">
            <w:pPr>
              <w:pStyle w:val="ListParagraph"/>
              <w:numPr>
                <w:ilvl w:val="0"/>
                <w:numId w:val="52"/>
              </w:numPr>
              <w:spacing w:before="0"/>
              <w:rPr>
                <w:rFonts w:cstheme="minorHAnsi"/>
                <w:szCs w:val="22"/>
                <w:lang w:val="en-AU"/>
              </w:rPr>
            </w:pPr>
            <w:r w:rsidRPr="00701DBE">
              <w:rPr>
                <w:rFonts w:cstheme="minorHAnsi"/>
                <w:szCs w:val="22"/>
              </w:rPr>
              <w:t>Describe the community project-</w:t>
            </w:r>
            <w:r w:rsidRPr="00701DBE">
              <w:rPr>
                <w:rFonts w:eastAsia="Times New Roman" w:cstheme="minorHAnsi"/>
                <w:szCs w:val="22"/>
              </w:rPr>
              <w:t>multiagency partnership, community program</w:t>
            </w:r>
          </w:p>
        </w:tc>
      </w:tr>
    </w:tbl>
    <w:p w14:paraId="2AD273CA" w14:textId="77777777" w:rsidR="008462F1" w:rsidRPr="00400300" w:rsidRDefault="008462F1">
      <w:pPr>
        <w:spacing w:before="0" w:after="160" w:line="259" w:lineRule="auto"/>
        <w:rPr>
          <w:rFonts w:eastAsiaTheme="majorEastAsia" w:cstheme="minorHAnsi"/>
          <w:b/>
          <w:color w:val="2E74B5" w:themeColor="accent1" w:themeShade="BF"/>
          <w:sz w:val="36"/>
          <w:szCs w:val="36"/>
          <w:lang w:val="en-AU" w:eastAsia="en-US"/>
        </w:rPr>
      </w:pPr>
      <w:bookmarkStart w:id="215" w:name="_Toc29473010"/>
      <w:bookmarkStart w:id="216" w:name="_Toc30077742"/>
      <w:bookmarkStart w:id="217" w:name="_Toc31128318"/>
      <w:bookmarkStart w:id="218" w:name="_Toc32584896"/>
      <w:bookmarkStart w:id="219" w:name="_Hlk29895951"/>
      <w:r w:rsidRPr="00400300">
        <w:rPr>
          <w:lang w:val="en-AU"/>
        </w:rPr>
        <w:br w:type="page"/>
      </w:r>
    </w:p>
    <w:p w14:paraId="7A7365F4" w14:textId="50B42A95" w:rsidR="00CA1B9C" w:rsidRPr="00400300" w:rsidRDefault="00A041A6" w:rsidP="00CC1E21">
      <w:pPr>
        <w:pStyle w:val="Heading1"/>
        <w:rPr>
          <w:lang w:val="en-AU"/>
        </w:rPr>
      </w:pPr>
      <w:bookmarkStart w:id="220" w:name="_Toc38021098"/>
      <w:r w:rsidRPr="00400300">
        <w:rPr>
          <w:lang w:val="en-AU"/>
        </w:rPr>
        <w:t>Youth</w:t>
      </w:r>
      <w:r w:rsidR="00CA1B9C" w:rsidRPr="00400300">
        <w:rPr>
          <w:lang w:val="en-AU"/>
        </w:rPr>
        <w:t xml:space="preserve"> </w:t>
      </w:r>
      <w:r w:rsidR="005D10CC" w:rsidRPr="00400300">
        <w:rPr>
          <w:lang w:val="en-AU"/>
        </w:rPr>
        <w:t>(</w:t>
      </w:r>
      <w:r w:rsidR="009928FD" w:rsidRPr="00400300">
        <w:rPr>
          <w:lang w:val="en-AU"/>
        </w:rPr>
        <w:t>15-24</w:t>
      </w:r>
      <w:r w:rsidR="00CA1B9C" w:rsidRPr="00400300">
        <w:rPr>
          <w:lang w:val="en-AU"/>
        </w:rPr>
        <w:t xml:space="preserve"> years</w:t>
      </w:r>
      <w:r w:rsidR="005D10CC" w:rsidRPr="00400300">
        <w:rPr>
          <w:lang w:val="en-AU"/>
        </w:rPr>
        <w:t>)</w:t>
      </w:r>
      <w:bookmarkEnd w:id="215"/>
      <w:bookmarkEnd w:id="216"/>
      <w:bookmarkEnd w:id="217"/>
      <w:bookmarkEnd w:id="218"/>
      <w:bookmarkEnd w:id="220"/>
    </w:p>
    <w:p w14:paraId="64DF2D8C" w14:textId="11AECDF4" w:rsidR="007617C8" w:rsidRDefault="00D91CC6" w:rsidP="00A94CDF">
      <w:pPr>
        <w:spacing w:after="240"/>
        <w:rPr>
          <w:rFonts w:cstheme="minorHAnsi"/>
          <w:lang w:val="en-AU" w:eastAsia="en-US"/>
        </w:rPr>
      </w:pPr>
      <w:bookmarkStart w:id="221" w:name="_Toc25237324"/>
      <w:bookmarkStart w:id="222" w:name="_Toc29473012"/>
      <w:bookmarkStart w:id="223" w:name="_Toc30077744"/>
      <w:bookmarkStart w:id="224" w:name="_Toc31128319"/>
      <w:bookmarkStart w:id="225" w:name="_Toc32584897"/>
      <w:bookmarkEnd w:id="219"/>
      <w:r w:rsidRPr="00400300">
        <w:rPr>
          <w:rFonts w:cstheme="minorHAnsi"/>
          <w:lang w:val="en-AU" w:eastAsia="en-US"/>
        </w:rPr>
        <w:t>The development of independence carries with it new and complex roles for young people including driving, employment, independent leisure time with peers, often greater participation in competitive sport and</w:t>
      </w:r>
      <w:r w:rsidR="004637EB">
        <w:rPr>
          <w:rFonts w:cstheme="minorHAnsi"/>
          <w:lang w:val="en-AU" w:eastAsia="en-US"/>
        </w:rPr>
        <w:t>,</w:t>
      </w:r>
      <w:r w:rsidRPr="00400300">
        <w:rPr>
          <w:rFonts w:cstheme="minorHAnsi"/>
          <w:lang w:val="en-AU" w:eastAsia="en-US"/>
        </w:rPr>
        <w:t xml:space="preserve"> in some cases</w:t>
      </w:r>
      <w:r w:rsidR="004637EB">
        <w:rPr>
          <w:rFonts w:cstheme="minorHAnsi"/>
          <w:lang w:val="en-AU" w:eastAsia="en-US"/>
        </w:rPr>
        <w:t>,</w:t>
      </w:r>
      <w:r w:rsidRPr="00400300">
        <w:rPr>
          <w:rFonts w:cstheme="minorHAnsi"/>
          <w:lang w:val="en-AU" w:eastAsia="en-US"/>
        </w:rPr>
        <w:t xml:space="preserve"> becoming parents themselves. The still developing brain of the young person, alongside these new challenges and environments, puts this group at elevated risk of both in unintentional injuries as well as intentional injuries (self-harm and violence). </w:t>
      </w:r>
    </w:p>
    <w:tbl>
      <w:tblPr>
        <w:tblStyle w:val="PlainTable2"/>
        <w:tblW w:w="0" w:type="auto"/>
        <w:tblLook w:val="04A0" w:firstRow="1" w:lastRow="0" w:firstColumn="1" w:lastColumn="0" w:noHBand="0" w:noVBand="1"/>
      </w:tblPr>
      <w:tblGrid>
        <w:gridCol w:w="4508"/>
        <w:gridCol w:w="4508"/>
      </w:tblGrid>
      <w:tr w:rsidR="007617C8" w:rsidRPr="007617C8" w14:paraId="02F92EC9" w14:textId="77777777" w:rsidTr="007617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6" w:type="dxa"/>
            <w:gridSpan w:val="2"/>
          </w:tcPr>
          <w:p w14:paraId="7AA765CC" w14:textId="0BF3734A" w:rsidR="007617C8" w:rsidRPr="007617C8" w:rsidRDefault="007617C8" w:rsidP="00A94CDF">
            <w:pPr>
              <w:spacing w:after="240"/>
              <w:jc w:val="center"/>
              <w:rPr>
                <w:szCs w:val="22"/>
                <w:lang w:val="en-AU"/>
              </w:rPr>
            </w:pPr>
            <w:r w:rsidRPr="007617C8">
              <w:rPr>
                <w:color w:val="1F4E79" w:themeColor="accent1" w:themeShade="80"/>
                <w:szCs w:val="22"/>
                <w:lang w:val="en-AU"/>
              </w:rPr>
              <w:t>Injur</w:t>
            </w:r>
            <w:r w:rsidR="00A6456F">
              <w:rPr>
                <w:color w:val="1F4E79" w:themeColor="accent1" w:themeShade="80"/>
                <w:szCs w:val="22"/>
                <w:lang w:val="en-AU"/>
              </w:rPr>
              <w:t>ies are</w:t>
            </w:r>
            <w:r w:rsidRPr="007617C8">
              <w:rPr>
                <w:color w:val="1F4E79" w:themeColor="accent1" w:themeShade="80"/>
                <w:szCs w:val="22"/>
                <w:lang w:val="en-AU"/>
              </w:rPr>
              <w:t xml:space="preserve"> the leading cause of death and hospitalisation of youth in Australia.</w:t>
            </w:r>
          </w:p>
        </w:tc>
      </w:tr>
      <w:tr w:rsidR="007617C8" w:rsidRPr="007617C8" w14:paraId="432AB580" w14:textId="77777777" w:rsidTr="007617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8" w:type="dxa"/>
          </w:tcPr>
          <w:p w14:paraId="76BF901F" w14:textId="77777777" w:rsidR="007617C8" w:rsidRPr="007617C8" w:rsidRDefault="007617C8" w:rsidP="007617C8">
            <w:pPr>
              <w:spacing w:before="0"/>
              <w:rPr>
                <w:sz w:val="20"/>
                <w:szCs w:val="20"/>
                <w:lang w:val="en-AU"/>
              </w:rPr>
            </w:pPr>
            <w:r w:rsidRPr="007617C8">
              <w:rPr>
                <w:sz w:val="20"/>
                <w:szCs w:val="20"/>
                <w:lang w:val="en-AU"/>
              </w:rPr>
              <w:t>Suicide or self-inflicted injury</w:t>
            </w:r>
          </w:p>
          <w:p w14:paraId="096DA79E" w14:textId="34D255DE" w:rsidR="007617C8" w:rsidRPr="007617C8" w:rsidRDefault="007617C8" w:rsidP="007D5286">
            <w:pPr>
              <w:pStyle w:val="ListParagraph"/>
              <w:numPr>
                <w:ilvl w:val="0"/>
                <w:numId w:val="52"/>
              </w:numPr>
              <w:spacing w:before="0"/>
              <w:ind w:left="317" w:hanging="284"/>
              <w:rPr>
                <w:b w:val="0"/>
                <w:sz w:val="20"/>
                <w:szCs w:val="20"/>
                <w:lang w:val="en-AU"/>
              </w:rPr>
            </w:pPr>
            <w:r w:rsidRPr="007617C8">
              <w:rPr>
                <w:b w:val="0"/>
                <w:sz w:val="20"/>
                <w:szCs w:val="20"/>
                <w:lang w:val="en-AU"/>
              </w:rPr>
              <w:t>1</w:t>
            </w:r>
            <w:r w:rsidRPr="007617C8">
              <w:rPr>
                <w:b w:val="0"/>
                <w:sz w:val="20"/>
                <w:szCs w:val="20"/>
                <w:vertAlign w:val="superscript"/>
                <w:lang w:val="en-AU"/>
              </w:rPr>
              <w:t>st</w:t>
            </w:r>
            <w:r w:rsidRPr="007617C8">
              <w:rPr>
                <w:b w:val="0"/>
                <w:sz w:val="20"/>
                <w:szCs w:val="20"/>
                <w:lang w:val="en-AU"/>
              </w:rPr>
              <w:t xml:space="preserve"> for total disease burden for males 15 to 24 years,</w:t>
            </w:r>
          </w:p>
          <w:p w14:paraId="2C84893F" w14:textId="4DDF452D" w:rsidR="007617C8" w:rsidRPr="007617C8" w:rsidRDefault="007617C8" w:rsidP="007D5286">
            <w:pPr>
              <w:pStyle w:val="ListParagraph"/>
              <w:numPr>
                <w:ilvl w:val="0"/>
                <w:numId w:val="52"/>
              </w:numPr>
              <w:spacing w:before="0"/>
              <w:ind w:left="317" w:hanging="284"/>
              <w:rPr>
                <w:b w:val="0"/>
                <w:sz w:val="20"/>
                <w:szCs w:val="20"/>
                <w:lang w:val="en-AU"/>
              </w:rPr>
            </w:pPr>
            <w:r w:rsidRPr="007617C8">
              <w:rPr>
                <w:b w:val="0"/>
                <w:sz w:val="20"/>
                <w:szCs w:val="20"/>
                <w:lang w:val="en-AU"/>
              </w:rPr>
              <w:t xml:space="preserve"> 5</w:t>
            </w:r>
            <w:r w:rsidRPr="007617C8">
              <w:rPr>
                <w:b w:val="0"/>
                <w:sz w:val="20"/>
                <w:szCs w:val="20"/>
                <w:vertAlign w:val="superscript"/>
                <w:lang w:val="en-AU"/>
              </w:rPr>
              <w:t>th</w:t>
            </w:r>
            <w:r w:rsidRPr="007617C8">
              <w:rPr>
                <w:b w:val="0"/>
                <w:sz w:val="20"/>
                <w:szCs w:val="20"/>
                <w:lang w:val="en-AU"/>
              </w:rPr>
              <w:t xml:space="preserve"> for females 15-24 years, accounting for 44% of the injury burden in this age group</w:t>
            </w:r>
          </w:p>
        </w:tc>
        <w:tc>
          <w:tcPr>
            <w:tcW w:w="4508" w:type="dxa"/>
          </w:tcPr>
          <w:p w14:paraId="5E5D5968" w14:textId="77777777" w:rsidR="007617C8" w:rsidRPr="007617C8" w:rsidRDefault="007617C8" w:rsidP="007617C8">
            <w:pPr>
              <w:spacing w:before="0"/>
              <w:cnfStyle w:val="000000100000" w:firstRow="0" w:lastRow="0" w:firstColumn="0" w:lastColumn="0" w:oddVBand="0" w:evenVBand="0" w:oddHBand="1" w:evenHBand="0" w:firstRowFirstColumn="0" w:firstRowLastColumn="0" w:lastRowFirstColumn="0" w:lastRowLastColumn="0"/>
              <w:rPr>
                <w:b/>
                <w:sz w:val="20"/>
                <w:szCs w:val="20"/>
                <w:lang w:val="en-AU"/>
              </w:rPr>
            </w:pPr>
            <w:r w:rsidRPr="007617C8">
              <w:rPr>
                <w:b/>
                <w:sz w:val="20"/>
                <w:szCs w:val="20"/>
                <w:lang w:val="en-AU"/>
              </w:rPr>
              <w:t>Road traffic injuries – motor vehicle occupant</w:t>
            </w:r>
          </w:p>
          <w:p w14:paraId="1594F42D" w14:textId="48E28342" w:rsidR="007617C8" w:rsidRPr="007617C8" w:rsidRDefault="007617C8" w:rsidP="007D5286">
            <w:pPr>
              <w:pStyle w:val="ListParagraph"/>
              <w:numPr>
                <w:ilvl w:val="0"/>
                <w:numId w:val="90"/>
              </w:numPr>
              <w:spacing w:before="0"/>
              <w:ind w:left="338" w:hanging="28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AU" w:eastAsia="zh-CN"/>
              </w:rPr>
            </w:pPr>
            <w:r w:rsidRPr="007617C8">
              <w:rPr>
                <w:sz w:val="20"/>
                <w:szCs w:val="20"/>
                <w:lang w:val="en-AU"/>
              </w:rPr>
              <w:t>3</w:t>
            </w:r>
            <w:r w:rsidRPr="007617C8">
              <w:rPr>
                <w:sz w:val="20"/>
                <w:szCs w:val="20"/>
                <w:vertAlign w:val="superscript"/>
                <w:lang w:val="en-AU"/>
              </w:rPr>
              <w:t>rd</w:t>
            </w:r>
            <w:r w:rsidRPr="007617C8">
              <w:rPr>
                <w:sz w:val="20"/>
                <w:szCs w:val="20"/>
                <w:lang w:val="en-AU"/>
              </w:rPr>
              <w:t xml:space="preserve"> leading cause for males in the 15-24 age group,</w:t>
            </w:r>
          </w:p>
          <w:p w14:paraId="73920084" w14:textId="6D8B7699" w:rsidR="007617C8" w:rsidRPr="007617C8" w:rsidRDefault="007617C8" w:rsidP="007D5286">
            <w:pPr>
              <w:pStyle w:val="ListParagraph"/>
              <w:numPr>
                <w:ilvl w:val="0"/>
                <w:numId w:val="90"/>
              </w:numPr>
              <w:spacing w:before="0"/>
              <w:ind w:left="338" w:hanging="28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AU" w:eastAsia="zh-CN"/>
              </w:rPr>
            </w:pPr>
            <w:r w:rsidRPr="007617C8">
              <w:rPr>
                <w:sz w:val="20"/>
                <w:szCs w:val="20"/>
                <w:lang w:val="en-AU"/>
              </w:rPr>
              <w:t>9</w:t>
            </w:r>
            <w:r w:rsidRPr="007617C8">
              <w:rPr>
                <w:sz w:val="20"/>
                <w:szCs w:val="20"/>
                <w:vertAlign w:val="superscript"/>
                <w:lang w:val="en-AU"/>
              </w:rPr>
              <w:t>th</w:t>
            </w:r>
            <w:r w:rsidRPr="007617C8">
              <w:rPr>
                <w:sz w:val="20"/>
                <w:szCs w:val="20"/>
                <w:lang w:val="en-AU"/>
              </w:rPr>
              <w:t xml:space="preserve"> leading cause for females 15-24 years, accounting for 27% of the injury burden in this age group.</w:t>
            </w:r>
            <w:r w:rsidRPr="007617C8">
              <w:rPr>
                <w:sz w:val="20"/>
                <w:szCs w:val="20"/>
                <w:lang w:val="en-AU"/>
              </w:rPr>
              <w:fldChar w:fldCharType="begin"/>
            </w:r>
            <w:r w:rsidRPr="007617C8">
              <w:rPr>
                <w:sz w:val="20"/>
                <w:szCs w:val="20"/>
                <w:lang w:val="en-AU"/>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7617C8">
              <w:rPr>
                <w:sz w:val="20"/>
                <w:szCs w:val="20"/>
                <w:lang w:val="en-AU"/>
              </w:rPr>
              <w:fldChar w:fldCharType="separate"/>
            </w:r>
            <w:r w:rsidRPr="007617C8">
              <w:rPr>
                <w:noProof/>
                <w:sz w:val="20"/>
                <w:szCs w:val="20"/>
                <w:vertAlign w:val="superscript"/>
                <w:lang w:val="en-AU"/>
              </w:rPr>
              <w:t>11</w:t>
            </w:r>
            <w:r w:rsidRPr="007617C8">
              <w:rPr>
                <w:sz w:val="20"/>
                <w:szCs w:val="20"/>
                <w:lang w:val="en-AU"/>
              </w:rPr>
              <w:fldChar w:fldCharType="end"/>
            </w:r>
            <w:r w:rsidRPr="007617C8">
              <w:rPr>
                <w:sz w:val="20"/>
                <w:szCs w:val="20"/>
                <w:lang w:val="en-AU"/>
              </w:rPr>
              <w:t xml:space="preserve"> </w:t>
            </w:r>
          </w:p>
        </w:tc>
      </w:tr>
      <w:tr w:rsidR="007617C8" w:rsidRPr="007617C8" w14:paraId="12AD35AD" w14:textId="77777777" w:rsidTr="007617C8">
        <w:trPr>
          <w:trHeight w:val="20"/>
        </w:trPr>
        <w:tc>
          <w:tcPr>
            <w:cnfStyle w:val="001000000000" w:firstRow="0" w:lastRow="0" w:firstColumn="1" w:lastColumn="0" w:oddVBand="0" w:evenVBand="0" w:oddHBand="0" w:evenHBand="0" w:firstRowFirstColumn="0" w:firstRowLastColumn="0" w:lastRowFirstColumn="0" w:lastRowLastColumn="0"/>
            <w:tcW w:w="9016" w:type="dxa"/>
            <w:gridSpan w:val="2"/>
          </w:tcPr>
          <w:p w14:paraId="4BA98751" w14:textId="77777777" w:rsidR="007617C8" w:rsidRPr="007617C8" w:rsidRDefault="007617C8" w:rsidP="007617C8">
            <w:pPr>
              <w:rPr>
                <w:bCs w:val="0"/>
                <w:sz w:val="20"/>
                <w:szCs w:val="20"/>
                <w:lang w:val="en-AU" w:eastAsia="en-US"/>
              </w:rPr>
            </w:pPr>
            <w:r w:rsidRPr="00C30AD1">
              <w:rPr>
                <w:sz w:val="20"/>
                <w:szCs w:val="20"/>
                <w:lang w:val="en-AU" w:eastAsia="en-US"/>
              </w:rPr>
              <w:t xml:space="preserve">Violence </w:t>
            </w:r>
            <w:r w:rsidRPr="007617C8">
              <w:rPr>
                <w:b w:val="0"/>
                <w:sz w:val="20"/>
                <w:szCs w:val="20"/>
                <w:lang w:val="en-AU" w:eastAsia="en-US"/>
              </w:rPr>
              <w:t>includes family, domestic, sexual and physical violence, as well as psychological or emotional abuse.</w:t>
            </w:r>
            <w:r w:rsidRPr="007617C8">
              <w:rPr>
                <w:sz w:val="20"/>
                <w:szCs w:val="20"/>
                <w:lang w:val="en-AU" w:eastAsia="en-US"/>
              </w:rPr>
              <w:fldChar w:fldCharType="begin"/>
            </w:r>
            <w:r w:rsidRPr="007617C8">
              <w:rPr>
                <w:b w:val="0"/>
                <w:sz w:val="20"/>
                <w:szCs w:val="20"/>
                <w:lang w:val="en-AU" w:eastAsia="en-US"/>
              </w:rPr>
              <w:instrText xml:space="preserve"> ADDIN EN.CITE &lt;EndNote&gt;&lt;Cite&gt;&lt;Author&gt;AIHW&lt;/Author&gt;&lt;Year&gt;2019b&lt;/Year&gt;&lt;RecNum&gt;37&lt;/RecNum&gt;&lt;DisplayText&gt;&lt;style face="superscript"&gt;30&lt;/style&gt;&lt;/DisplayText&gt;&lt;record&gt;&lt;rec-number&gt;37&lt;/rec-number&gt;&lt;foreign-keys&gt;&lt;key app="EN" db-id="2wsw9x5wvsspa1evwxlvvergx9epfd50fs2a" timestamp="1574037263"&gt;37&lt;/key&gt;&lt;/foreign-keys&gt;&lt;ref-type name="Report"&gt;27&lt;/ref-type&gt;&lt;contributors&gt;&lt;authors&gt;&lt;author&gt;AIHW,&lt;/author&gt;&lt;/authors&gt;&lt;/contributors&gt;&lt;titles&gt;&lt;title&gt;Family, domestic and sexual violence in Australia: continuing the national story&lt;/title&gt;&lt;secondary-title&gt;FDV 3&lt;/secondary-title&gt;&lt;/titles&gt;&lt;dates&gt;&lt;year&gt;2019b&lt;/year&gt;&lt;/dates&gt;&lt;pub-location&gt;Canberra&lt;/pub-location&gt;&lt;publisher&gt;AIHW&lt;/publisher&gt;&lt;isbn&gt;Citing Australian Bureau of Statistics, Personal Safety Survey, 2016, TableBuilder. ABS cat. no. 4906.0. Findings based on use of ABS TableBuilder data. Canberra: ABS.&lt;/isbn&gt;&lt;urls&gt;&lt;related-urls&gt;&lt;url&gt;https://www.aihw.gov.au/getmedia/b0037b2d-a651-4abf-9f7b-00a85e3de528/aihw-fdv3-FDSV-in-Australia-2019.pdf.aspx?inline=true&lt;/url&gt;&lt;/related-urls&gt;&lt;/urls&gt;&lt;/record&gt;&lt;/Cite&gt;&lt;/EndNote&gt;</w:instrText>
            </w:r>
            <w:r w:rsidRPr="007617C8">
              <w:rPr>
                <w:sz w:val="20"/>
                <w:szCs w:val="20"/>
                <w:lang w:val="en-AU" w:eastAsia="en-US"/>
              </w:rPr>
              <w:fldChar w:fldCharType="separate"/>
            </w:r>
            <w:r w:rsidRPr="007617C8">
              <w:rPr>
                <w:b w:val="0"/>
                <w:noProof/>
                <w:sz w:val="20"/>
                <w:szCs w:val="20"/>
                <w:vertAlign w:val="superscript"/>
                <w:lang w:val="en-AU" w:eastAsia="en-US"/>
              </w:rPr>
              <w:t>30</w:t>
            </w:r>
            <w:r w:rsidRPr="007617C8">
              <w:rPr>
                <w:sz w:val="20"/>
                <w:szCs w:val="20"/>
                <w:lang w:val="en-AU" w:eastAsia="en-US"/>
              </w:rPr>
              <w:fldChar w:fldCharType="end"/>
            </w:r>
          </w:p>
          <w:p w14:paraId="272A68B6" w14:textId="77777777" w:rsidR="007617C8" w:rsidRPr="007617C8" w:rsidRDefault="007617C8" w:rsidP="007617C8">
            <w:pPr>
              <w:spacing w:before="0"/>
              <w:rPr>
                <w:b w:val="0"/>
                <w:sz w:val="20"/>
                <w:szCs w:val="20"/>
                <w:lang w:val="en-AU"/>
              </w:rPr>
            </w:pPr>
            <w:r w:rsidRPr="007617C8">
              <w:rPr>
                <w:b w:val="0"/>
                <w:sz w:val="20"/>
                <w:szCs w:val="20"/>
                <w:lang w:val="en-AU"/>
              </w:rPr>
              <w:t xml:space="preserve">Some groups are more vulnerable to violence, these include: </w:t>
            </w:r>
          </w:p>
          <w:p w14:paraId="20FFE290" w14:textId="77777777" w:rsidR="007617C8" w:rsidRPr="007617C8" w:rsidRDefault="007617C8" w:rsidP="007D5286">
            <w:pPr>
              <w:pStyle w:val="TableHeader"/>
              <w:numPr>
                <w:ilvl w:val="0"/>
                <w:numId w:val="6"/>
              </w:numPr>
              <w:spacing w:before="0" w:after="0"/>
              <w:ind w:left="338" w:hanging="284"/>
              <w:rPr>
                <w:rFonts w:asciiTheme="minorHAnsi" w:hAnsiTheme="minorHAnsi" w:cstheme="minorHAnsi"/>
                <w:color w:val="auto"/>
                <w:sz w:val="20"/>
                <w:szCs w:val="20"/>
                <w:lang w:val="en-AU"/>
              </w:rPr>
            </w:pPr>
            <w:r w:rsidRPr="007617C8">
              <w:rPr>
                <w:rFonts w:asciiTheme="minorHAnsi" w:hAnsiTheme="minorHAnsi" w:cstheme="minorHAnsi"/>
                <w:color w:val="auto"/>
                <w:sz w:val="20"/>
                <w:szCs w:val="20"/>
                <w:lang w:val="en-AU"/>
              </w:rPr>
              <w:t>Young women (18-34 years): 2.7 times more likely than women aged 35 or older to have experienced intimate partner violence in the 12 months prior to 2016;</w:t>
            </w:r>
            <w:r w:rsidRPr="007617C8">
              <w:rPr>
                <w:rFonts w:asciiTheme="minorHAnsi" w:hAnsiTheme="minorHAnsi" w:cstheme="minorHAnsi"/>
                <w:color w:val="auto"/>
                <w:sz w:val="20"/>
                <w:szCs w:val="20"/>
                <w:lang w:val="en-AU"/>
              </w:rPr>
              <w:fldChar w:fldCharType="begin"/>
            </w:r>
            <w:r w:rsidRPr="007617C8">
              <w:rPr>
                <w:rFonts w:asciiTheme="minorHAnsi" w:hAnsiTheme="minorHAnsi" w:cstheme="minorHAnsi"/>
                <w:color w:val="auto"/>
                <w:sz w:val="20"/>
                <w:szCs w:val="20"/>
                <w:lang w:val="en-AU"/>
              </w:rPr>
              <w:instrText xml:space="preserve"> ADDIN EN.CITE &lt;EndNote&gt;&lt;Cite&gt;&lt;Author&gt;AIHW&lt;/Author&gt;&lt;Year&gt;2019b&lt;/Year&gt;&lt;RecNum&gt;37&lt;/RecNum&gt;&lt;DisplayText&gt;&lt;style face="superscript"&gt;30&lt;/style&gt;&lt;/DisplayText&gt;&lt;record&gt;&lt;rec-number&gt;37&lt;/rec-number&gt;&lt;foreign-keys&gt;&lt;key app="EN" db-id="2wsw9x5wvsspa1evwxlvvergx9epfd50fs2a" timestamp="1574037263"&gt;37&lt;/key&gt;&lt;/foreign-keys&gt;&lt;ref-type name="Report"&gt;27&lt;/ref-type&gt;&lt;contributors&gt;&lt;authors&gt;&lt;author&gt;AIHW,&lt;/author&gt;&lt;/authors&gt;&lt;/contributors&gt;&lt;titles&gt;&lt;title&gt;Family, domestic and sexual violence in Australia: continuing the national story&lt;/title&gt;&lt;secondary-title&gt;FDV 3&lt;/secondary-title&gt;&lt;/titles&gt;&lt;dates&gt;&lt;year&gt;2019b&lt;/year&gt;&lt;/dates&gt;&lt;pub-location&gt;Canberra&lt;/pub-location&gt;&lt;publisher&gt;AIHW&lt;/publisher&gt;&lt;isbn&gt;Citing Australian Bureau of Statistics, Personal Safety Survey, 2016, TableBuilder. ABS cat. no. 4906.0. Findings based on use of ABS TableBuilder data. Canberra: ABS.&lt;/isbn&gt;&lt;urls&gt;&lt;related-urls&gt;&lt;url&gt;https://www.aihw.gov.au/getmedia/b0037b2d-a651-4abf-9f7b-00a85e3de528/aihw-fdv3-FDSV-in-Australia-2019.pdf.aspx?inline=true&lt;/url&gt;&lt;/related-urls&gt;&lt;/urls&gt;&lt;/record&gt;&lt;/Cite&gt;&lt;Cite&gt;&lt;Author&gt;AIHW&lt;/Author&gt;&lt;Year&gt;2019b&lt;/Year&gt;&lt;RecNum&gt;37&lt;/RecNum&gt;&lt;record&gt;&lt;rec-number&gt;37&lt;/rec-number&gt;&lt;foreign-keys&gt;&lt;key app="EN" db-id="2wsw9x5wvsspa1evwxlvvergx9epfd50fs2a" timestamp="1574037263"&gt;37&lt;/key&gt;&lt;/foreign-keys&gt;&lt;ref-type name="Report"&gt;27&lt;/ref-type&gt;&lt;contributors&gt;&lt;authors&gt;&lt;author&gt;AIHW,&lt;/author&gt;&lt;/authors&gt;&lt;/contributors&gt;&lt;titles&gt;&lt;title&gt;Family, domestic and sexual violence in Australia: continuing the national story&lt;/title&gt;&lt;secondary-title&gt;FDV 3&lt;/secondary-title&gt;&lt;/titles&gt;&lt;dates&gt;&lt;year&gt;2019b&lt;/year&gt;&lt;/dates&gt;&lt;pub-location&gt;Canberra&lt;/pub-location&gt;&lt;publisher&gt;AIHW&lt;/publisher&gt;&lt;isbn&gt;Citing Australian Bureau of Statistics, Personal Safety Survey, 2016, TableBuilder. ABS cat. no. 4906.0. Findings based on use of ABS TableBuilder data. Canberra: ABS.&lt;/isbn&gt;&lt;urls&gt;&lt;related-urls&gt;&lt;url&gt;https://www.aihw.gov.au/getmedia/b0037b2d-a651-4abf-9f7b-00a85e3de528/aihw-fdv3-FDSV-in-Australia-2019.pdf.aspx?inline=true&lt;/url&gt;&lt;/related-urls&gt;&lt;/urls&gt;&lt;/record&gt;&lt;/Cite&gt;&lt;/EndNote&gt;</w:instrText>
            </w:r>
            <w:r w:rsidRPr="007617C8">
              <w:rPr>
                <w:rFonts w:asciiTheme="minorHAnsi" w:hAnsiTheme="minorHAnsi" w:cstheme="minorHAnsi"/>
                <w:color w:val="auto"/>
                <w:sz w:val="20"/>
                <w:szCs w:val="20"/>
                <w:lang w:val="en-AU"/>
              </w:rPr>
              <w:fldChar w:fldCharType="separate"/>
            </w:r>
            <w:r w:rsidRPr="007617C8">
              <w:rPr>
                <w:rFonts w:asciiTheme="minorHAnsi" w:hAnsiTheme="minorHAnsi" w:cstheme="minorHAnsi"/>
                <w:noProof/>
                <w:color w:val="auto"/>
                <w:sz w:val="20"/>
                <w:szCs w:val="20"/>
                <w:vertAlign w:val="superscript"/>
                <w:lang w:val="en-AU"/>
              </w:rPr>
              <w:t>30</w:t>
            </w:r>
            <w:r w:rsidRPr="007617C8">
              <w:rPr>
                <w:rFonts w:asciiTheme="minorHAnsi" w:hAnsiTheme="minorHAnsi" w:cstheme="minorHAnsi"/>
                <w:color w:val="auto"/>
                <w:sz w:val="20"/>
                <w:szCs w:val="20"/>
                <w:lang w:val="en-AU"/>
              </w:rPr>
              <w:fldChar w:fldCharType="end"/>
            </w:r>
            <w:r w:rsidRPr="007617C8">
              <w:rPr>
                <w:rFonts w:asciiTheme="minorHAnsi" w:hAnsiTheme="minorHAnsi" w:cstheme="minorHAnsi"/>
                <w:color w:val="auto"/>
                <w:sz w:val="20"/>
                <w:szCs w:val="20"/>
                <w:lang w:val="en-AU"/>
              </w:rPr>
              <w:t xml:space="preserve"> </w:t>
            </w:r>
          </w:p>
          <w:p w14:paraId="752D2C58" w14:textId="77777777" w:rsidR="007617C8" w:rsidRPr="007617C8" w:rsidRDefault="007617C8" w:rsidP="007D5286">
            <w:pPr>
              <w:pStyle w:val="TableHeader"/>
              <w:numPr>
                <w:ilvl w:val="0"/>
                <w:numId w:val="6"/>
              </w:numPr>
              <w:spacing w:before="0" w:after="0"/>
              <w:ind w:left="338" w:hanging="284"/>
              <w:rPr>
                <w:rFonts w:cstheme="minorHAnsi"/>
                <w:b/>
                <w:sz w:val="20"/>
                <w:szCs w:val="20"/>
                <w:lang w:val="en-AU"/>
              </w:rPr>
            </w:pPr>
            <w:r w:rsidRPr="007617C8">
              <w:rPr>
                <w:rFonts w:asciiTheme="minorHAnsi" w:hAnsiTheme="minorHAnsi" w:cstheme="minorHAnsi"/>
                <w:color w:val="auto"/>
                <w:sz w:val="20"/>
                <w:szCs w:val="20"/>
                <w:lang w:val="en-AU"/>
              </w:rPr>
              <w:t>Pregnant women: 1 in 12 of the women hospitalised due to spouse or domestic partner violence were pregnant (2014-15);</w:t>
            </w:r>
            <w:r w:rsidRPr="007617C8">
              <w:rPr>
                <w:rFonts w:asciiTheme="minorHAnsi" w:hAnsiTheme="minorHAnsi" w:cstheme="minorHAnsi"/>
                <w:color w:val="auto"/>
                <w:sz w:val="20"/>
                <w:szCs w:val="20"/>
                <w:lang w:val="en-AU"/>
              </w:rPr>
              <w:fldChar w:fldCharType="begin"/>
            </w:r>
            <w:r w:rsidRPr="007617C8">
              <w:rPr>
                <w:rFonts w:asciiTheme="minorHAnsi" w:hAnsiTheme="minorHAnsi" w:cstheme="minorHAnsi"/>
                <w:color w:val="auto"/>
                <w:sz w:val="20"/>
                <w:szCs w:val="20"/>
                <w:lang w:val="en-AU"/>
              </w:rPr>
              <w:instrText xml:space="preserve"> ADDIN EN.CITE &lt;EndNote&gt;&lt;Cite&gt;&lt;Author&gt;AIHW&lt;/Author&gt;&lt;Year&gt;2018&lt;/Year&gt;&lt;RecNum&gt;21&lt;/RecNum&gt;&lt;DisplayText&gt;&lt;style face="superscript"&gt;49&lt;/style&gt;&lt;/DisplayText&gt;&lt;record&gt;&lt;rec-number&gt;21&lt;/rec-number&gt;&lt;foreign-keys&gt;&lt;key app="EN" db-id="2wsw9x5wvsspa1evwxlvvergx9epfd50fs2a" timestamp="1571987688"&gt;21&lt;/key&gt;&lt;/foreign-keys&gt;&lt;ref-type name="Report"&gt;27&lt;/ref-type&gt;&lt;contributors&gt;&lt;authors&gt;&lt;author&gt;AIHW,&lt;/author&gt;&lt;/authors&gt;&lt;/contributors&gt;&lt;titles&gt;&lt;title&gt;Family, domestic and sexual violence in Australia 2018, Cat. no. FDV 2&lt;/title&gt;&lt;/titles&gt;&lt;dates&gt;&lt;year&gt;2018&lt;/year&gt;&lt;/dates&gt;&lt;pub-location&gt;Canberra&lt;/pub-location&gt;&lt;publisher&gt;AIHW&lt;/publisher&gt;&lt;urls&gt;&lt;/urls&gt;&lt;/record&gt;&lt;/Cite&gt;&lt;/EndNote&gt;</w:instrText>
            </w:r>
            <w:r w:rsidRPr="007617C8">
              <w:rPr>
                <w:rFonts w:asciiTheme="minorHAnsi" w:hAnsiTheme="minorHAnsi" w:cstheme="minorHAnsi"/>
                <w:color w:val="auto"/>
                <w:sz w:val="20"/>
                <w:szCs w:val="20"/>
                <w:lang w:val="en-AU"/>
              </w:rPr>
              <w:fldChar w:fldCharType="separate"/>
            </w:r>
            <w:r w:rsidRPr="007617C8">
              <w:rPr>
                <w:rFonts w:asciiTheme="minorHAnsi" w:hAnsiTheme="minorHAnsi" w:cstheme="minorHAnsi"/>
                <w:noProof/>
                <w:color w:val="auto"/>
                <w:sz w:val="20"/>
                <w:szCs w:val="20"/>
                <w:vertAlign w:val="superscript"/>
                <w:lang w:val="en-AU"/>
              </w:rPr>
              <w:t>49</w:t>
            </w:r>
            <w:r w:rsidRPr="007617C8">
              <w:rPr>
                <w:rFonts w:asciiTheme="minorHAnsi" w:hAnsiTheme="minorHAnsi" w:cstheme="minorHAnsi"/>
                <w:color w:val="auto"/>
                <w:sz w:val="20"/>
                <w:szCs w:val="20"/>
                <w:lang w:val="en-AU"/>
              </w:rPr>
              <w:fldChar w:fldCharType="end"/>
            </w:r>
          </w:p>
          <w:p w14:paraId="0391FD40" w14:textId="5960E48F" w:rsidR="007617C8" w:rsidRPr="007617C8" w:rsidRDefault="007617C8" w:rsidP="007405BA">
            <w:pPr>
              <w:pStyle w:val="TableHeader"/>
              <w:numPr>
                <w:ilvl w:val="0"/>
                <w:numId w:val="6"/>
              </w:numPr>
              <w:spacing w:before="0"/>
              <w:ind w:left="338" w:hanging="284"/>
              <w:rPr>
                <w:rFonts w:cstheme="minorHAnsi"/>
                <w:sz w:val="20"/>
                <w:szCs w:val="20"/>
                <w:lang w:val="en-AU"/>
              </w:rPr>
            </w:pPr>
            <w:r w:rsidRPr="007617C8">
              <w:rPr>
                <w:rFonts w:asciiTheme="minorHAnsi" w:hAnsiTheme="minorHAnsi" w:cstheme="minorHAnsi"/>
                <w:color w:val="auto"/>
                <w:sz w:val="20"/>
                <w:szCs w:val="20"/>
                <w:lang w:val="en-AU"/>
              </w:rPr>
              <w:t>Young males (20-24 years): Highest rates of hospitalisation from assaults (250 per 100,000 people).</w:t>
            </w:r>
            <w:r w:rsidRPr="007617C8">
              <w:rPr>
                <w:rFonts w:asciiTheme="minorHAnsi" w:hAnsiTheme="minorHAnsi" w:cstheme="minorHAnsi"/>
                <w:color w:val="auto"/>
                <w:sz w:val="20"/>
                <w:szCs w:val="20"/>
                <w:lang w:val="en-AU"/>
              </w:rPr>
              <w:fldChar w:fldCharType="begin"/>
            </w:r>
            <w:r w:rsidRPr="007617C8">
              <w:rPr>
                <w:rFonts w:asciiTheme="minorHAnsi" w:hAnsiTheme="minorHAnsi" w:cstheme="minorHAnsi"/>
                <w:color w:val="auto"/>
                <w:sz w:val="20"/>
                <w:szCs w:val="20"/>
                <w:lang w:val="en-AU"/>
              </w:rPr>
              <w:instrText xml:space="preserve"> ADDIN EN.CITE &lt;EndNote&gt;&lt;Cite&gt;&lt;Author&gt;AIHW&lt;/Author&gt;&lt;Year&gt;2019&lt;/Year&gt;&lt;RecNum&gt;69&lt;/RecNum&gt;&lt;DisplayText&gt;&lt;style face="superscript"&gt;5&lt;/style&gt;&lt;/DisplayText&gt;&lt;record&gt;&lt;rec-number&gt;69&lt;/rec-number&gt;&lt;foreign-keys&gt;&lt;key app="EN" db-id="2wsw9x5wvsspa1evwxlvvergx9epfd50fs2a" timestamp="1575011887"&gt;69&lt;/key&gt;&lt;/foreign-keys&gt;&lt;ref-type name="Government Document"&gt;46&lt;/ref-type&gt;&lt;contributors&gt;&lt;authors&gt;&lt;author&gt;AIHW: Pointer SC,&lt;/author&gt;&lt;/authors&gt;&lt;/contributors&gt;&lt;titles&gt;&lt;title&gt;Trends in hospitalised injury, Australia 2007–08 to 2016–17. Cat. no. INJCAT 204.&lt;/title&gt;&lt;/titles&gt;&lt;dates&gt;&lt;year&gt;2019&lt;/year&gt;&lt;/dates&gt;&lt;pub-location&gt;Canberra&lt;/pub-location&gt;&lt;publisher&gt;AIHW&lt;/publisher&gt;&lt;urls&gt;&lt;/urls&gt;&lt;/record&gt;&lt;/Cite&gt;&lt;/EndNote&gt;</w:instrText>
            </w:r>
            <w:r w:rsidRPr="007617C8">
              <w:rPr>
                <w:rFonts w:asciiTheme="minorHAnsi" w:hAnsiTheme="minorHAnsi" w:cstheme="minorHAnsi"/>
                <w:color w:val="auto"/>
                <w:sz w:val="20"/>
                <w:szCs w:val="20"/>
                <w:lang w:val="en-AU"/>
              </w:rPr>
              <w:fldChar w:fldCharType="separate"/>
            </w:r>
            <w:r w:rsidRPr="007617C8">
              <w:rPr>
                <w:rFonts w:asciiTheme="minorHAnsi" w:hAnsiTheme="minorHAnsi" w:cstheme="minorHAnsi"/>
                <w:noProof/>
                <w:color w:val="auto"/>
                <w:sz w:val="20"/>
                <w:szCs w:val="20"/>
                <w:vertAlign w:val="superscript"/>
                <w:lang w:val="en-AU"/>
              </w:rPr>
              <w:t>5</w:t>
            </w:r>
            <w:r w:rsidRPr="007617C8">
              <w:rPr>
                <w:rFonts w:asciiTheme="minorHAnsi" w:hAnsiTheme="minorHAnsi" w:cstheme="minorHAnsi"/>
                <w:color w:val="auto"/>
                <w:sz w:val="20"/>
                <w:szCs w:val="20"/>
                <w:lang w:val="en-AU"/>
              </w:rPr>
              <w:fldChar w:fldCharType="end"/>
            </w:r>
          </w:p>
        </w:tc>
      </w:tr>
      <w:tr w:rsidR="007617C8" w:rsidRPr="007617C8" w14:paraId="4543C0D5" w14:textId="77777777" w:rsidTr="007617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6" w:type="dxa"/>
            <w:gridSpan w:val="2"/>
          </w:tcPr>
          <w:p w14:paraId="2709FD36" w14:textId="4B3D1CA2" w:rsidR="007617C8" w:rsidRPr="007617C8" w:rsidRDefault="007617C8" w:rsidP="007405BA">
            <w:pPr>
              <w:spacing w:after="240"/>
              <w:rPr>
                <w:rFonts w:ascii="Times New Roman" w:hAnsi="Times New Roman"/>
                <w:b w:val="0"/>
                <w:sz w:val="20"/>
                <w:szCs w:val="20"/>
                <w:lang w:val="en-AU" w:eastAsia="zh-CN"/>
              </w:rPr>
            </w:pPr>
            <w:r w:rsidRPr="00C30AD1">
              <w:rPr>
                <w:rFonts w:cstheme="minorHAnsi"/>
                <w:sz w:val="20"/>
                <w:szCs w:val="20"/>
                <w:lang w:val="en-AU" w:eastAsia="en-US"/>
              </w:rPr>
              <w:t>Musculoskeletal injury</w:t>
            </w:r>
            <w:r w:rsidRPr="007617C8">
              <w:rPr>
                <w:rFonts w:cstheme="minorHAnsi"/>
                <w:b w:val="0"/>
                <w:sz w:val="20"/>
                <w:szCs w:val="20"/>
                <w:vertAlign w:val="superscript"/>
                <w:lang w:val="en-AU" w:eastAsia="en-US"/>
              </w:rPr>
              <w:t>[</w:t>
            </w:r>
            <w:r w:rsidRPr="007617C8">
              <w:rPr>
                <w:rStyle w:val="FootnoteReference"/>
                <w:rFonts w:cstheme="minorHAnsi"/>
                <w:b w:val="0"/>
                <w:sz w:val="20"/>
                <w:szCs w:val="20"/>
                <w:lang w:val="en-AU" w:eastAsia="en-US"/>
              </w:rPr>
              <w:footnoteReference w:id="6"/>
            </w:r>
            <w:r w:rsidRPr="007617C8">
              <w:rPr>
                <w:rFonts w:cstheme="minorHAnsi"/>
                <w:b w:val="0"/>
                <w:sz w:val="20"/>
                <w:szCs w:val="20"/>
                <w:vertAlign w:val="superscript"/>
                <w:lang w:val="en-AU" w:eastAsia="en-US"/>
              </w:rPr>
              <w:t>]</w:t>
            </w:r>
            <w:r w:rsidRPr="007617C8">
              <w:rPr>
                <w:rFonts w:cstheme="minorHAnsi"/>
                <w:b w:val="0"/>
                <w:sz w:val="20"/>
                <w:szCs w:val="20"/>
                <w:lang w:val="en-AU" w:eastAsia="en-US"/>
              </w:rPr>
              <w:t xml:space="preserve"> associated with both participation in sport and active recreational pursuits, as well as certain occupations, is also common, though not often treated in hospital settings.</w:t>
            </w:r>
            <w:r w:rsidRPr="007617C8">
              <w:rPr>
                <w:rFonts w:cstheme="minorHAnsi"/>
                <w:sz w:val="20"/>
                <w:szCs w:val="20"/>
                <w:lang w:val="en-AU" w:eastAsia="en-US"/>
              </w:rPr>
              <w:fldChar w:fldCharType="begin"/>
            </w:r>
            <w:r w:rsidRPr="007617C8">
              <w:rPr>
                <w:rFonts w:cstheme="minorHAnsi"/>
                <w:b w:val="0"/>
                <w:sz w:val="20"/>
                <w:szCs w:val="20"/>
                <w:lang w:val="en-AU" w:eastAsia="en-US"/>
              </w:rPr>
              <w:instrText xml:space="preserve"> ADDIN EN.CITE &lt;EndNote&gt;&lt;Cite&gt;&lt;Author&gt;Schneuer&lt;/Author&gt;&lt;Year&gt;2018&lt;/Year&gt;&lt;RecNum&gt;43&lt;/RecNum&gt;&lt;DisplayText&gt;&lt;style face="superscript"&gt;44&lt;/style&gt;&lt;/DisplayText&gt;&lt;record&gt;&lt;rec-number&gt;43&lt;/rec-number&gt;&lt;foreign-keys&gt;&lt;key app="EN" db-id="2wsw9x5wvsspa1evwxlvvergx9epfd50fs2a" timestamp="1574117136"&gt;43&lt;/key&gt;&lt;/foreign-keys&gt;&lt;ref-type name="Journal Article"&gt;17&lt;/ref-type&gt;&lt;contributors&gt;&lt;authors&gt;&lt;author&gt;Schneuer, Francisco J&lt;/author&gt;&lt;author&gt;Bell, Jane C&lt;/author&gt;&lt;author&gt;Adams, Susan E&lt;/author&gt;&lt;author&gt;Brown, Julie&lt;/author&gt;&lt;author&gt;Finch, Caroline&lt;/author&gt;&lt;author&gt;Nassar, Natasha&lt;/author&gt;&lt;/authors&gt;&lt;/contributors&gt;&lt;titles&gt;&lt;title&gt;The burden of hospitalized sports-related injuries in children: an Australian population-based study, 2005–2013&lt;/title&gt;&lt;secondary-title&gt;Injury epidemiology&lt;/secondary-title&gt;&lt;/titles&gt;&lt;periodical&gt;&lt;full-title&gt;Injury epidemiology&lt;/full-title&gt;&lt;/periodical&gt;&lt;pages&gt;45&lt;/pages&gt;&lt;volume&gt;5&lt;/volume&gt;&lt;number&gt;1&lt;/number&gt;&lt;dates&gt;&lt;year&gt;2018&lt;/year&gt;&lt;/dates&gt;&lt;isbn&gt;2197-1714&lt;/isbn&gt;&lt;urls&gt;&lt;/urls&gt;&lt;/record&gt;&lt;/Cite&gt;&lt;/EndNote&gt;</w:instrText>
            </w:r>
            <w:r w:rsidRPr="007617C8">
              <w:rPr>
                <w:rFonts w:cstheme="minorHAnsi"/>
                <w:sz w:val="20"/>
                <w:szCs w:val="20"/>
                <w:lang w:val="en-AU" w:eastAsia="en-US"/>
              </w:rPr>
              <w:fldChar w:fldCharType="separate"/>
            </w:r>
            <w:r w:rsidRPr="007617C8">
              <w:rPr>
                <w:rFonts w:cstheme="minorHAnsi"/>
                <w:b w:val="0"/>
                <w:noProof/>
                <w:sz w:val="20"/>
                <w:szCs w:val="20"/>
                <w:vertAlign w:val="superscript"/>
                <w:lang w:val="en-AU" w:eastAsia="en-US"/>
              </w:rPr>
              <w:t>44</w:t>
            </w:r>
            <w:r w:rsidRPr="007617C8">
              <w:rPr>
                <w:rFonts w:cstheme="minorHAnsi"/>
                <w:sz w:val="20"/>
                <w:szCs w:val="20"/>
                <w:lang w:val="en-AU" w:eastAsia="en-US"/>
              </w:rPr>
              <w:fldChar w:fldCharType="end"/>
            </w:r>
          </w:p>
        </w:tc>
      </w:tr>
    </w:tbl>
    <w:p w14:paraId="39634017" w14:textId="5BBB1F61" w:rsidR="00D91CC6" w:rsidRPr="00400300" w:rsidRDefault="00D91CC6" w:rsidP="00D91CC6">
      <w:pPr>
        <w:pStyle w:val="ListParagraph"/>
        <w:tabs>
          <w:tab w:val="left" w:pos="2617"/>
        </w:tabs>
        <w:rPr>
          <w:rFonts w:ascii="Times New Roman" w:hAnsi="Times New Roman"/>
          <w:lang w:val="en-AU" w:eastAsia="zh-CN"/>
        </w:rPr>
      </w:pPr>
    </w:p>
    <w:p w14:paraId="3605E699" w14:textId="2E55B128" w:rsidR="00855F7D" w:rsidRPr="00400300" w:rsidRDefault="0022326A" w:rsidP="0022326A">
      <w:pPr>
        <w:pStyle w:val="Heading2"/>
        <w:rPr>
          <w:lang w:val="en-AU"/>
        </w:rPr>
      </w:pPr>
      <w:bookmarkStart w:id="226" w:name="_Toc38021099"/>
      <w:r w:rsidRPr="00400300">
        <w:rPr>
          <w:lang w:val="en-AU"/>
        </w:rPr>
        <w:t>Priority areas for action</w:t>
      </w:r>
      <w:bookmarkEnd w:id="221"/>
      <w:bookmarkEnd w:id="222"/>
      <w:bookmarkEnd w:id="223"/>
      <w:bookmarkEnd w:id="224"/>
      <w:bookmarkEnd w:id="225"/>
      <w:bookmarkEnd w:id="226"/>
    </w:p>
    <w:p w14:paraId="3D75B483" w14:textId="77777777" w:rsidR="00D91CC6" w:rsidRPr="00400300" w:rsidRDefault="00D91CC6" w:rsidP="00D91CC6">
      <w:pPr>
        <w:rPr>
          <w:lang w:val="en-AU"/>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12"/>
        <w:gridCol w:w="7319"/>
      </w:tblGrid>
      <w:tr w:rsidR="00ED32D6" w:rsidRPr="00817E68" w14:paraId="352731BD" w14:textId="77777777" w:rsidTr="00EA12A7">
        <w:trPr>
          <w:trHeight w:val="20"/>
        </w:trPr>
        <w:tc>
          <w:tcPr>
            <w:tcW w:w="269" w:type="pct"/>
            <w:vMerge w:val="restart"/>
            <w:tcBorders>
              <w:top w:val="single" w:sz="4" w:space="0" w:color="BFBFBF" w:themeColor="background1" w:themeShade="BF"/>
              <w:left w:val="single" w:sz="4" w:space="0" w:color="BFBFBF" w:themeColor="background1" w:themeShade="BF"/>
            </w:tcBorders>
            <w:shd w:val="clear" w:color="auto" w:fill="1F3864" w:themeFill="accent5" w:themeFillShade="80"/>
            <w:textDirection w:val="btLr"/>
          </w:tcPr>
          <w:p w14:paraId="3DA50B23" w14:textId="77777777" w:rsidR="00ED32D6" w:rsidRPr="000A0BD4" w:rsidRDefault="00ED32D6" w:rsidP="00252376">
            <w:pPr>
              <w:spacing w:before="0"/>
              <w:ind w:left="113" w:right="113"/>
              <w:contextualSpacing/>
              <w:jc w:val="center"/>
              <w:rPr>
                <w:rFonts w:cstheme="minorHAnsi"/>
                <w:b/>
                <w:sz w:val="21"/>
                <w:szCs w:val="20"/>
                <w:lang w:val="en-AU"/>
              </w:rPr>
            </w:pPr>
            <w:r>
              <w:rPr>
                <w:rFonts w:cstheme="minorHAnsi"/>
                <w:b/>
                <w:sz w:val="21"/>
                <w:szCs w:val="20"/>
                <w:lang w:val="en-AU"/>
              </w:rPr>
              <w:t>Intentional self-harm</w:t>
            </w:r>
          </w:p>
        </w:tc>
        <w:tc>
          <w:tcPr>
            <w:tcW w:w="672" w:type="pct"/>
            <w:tcBorders>
              <w:top w:val="single" w:sz="4" w:space="0" w:color="BFBFBF" w:themeColor="background1" w:themeShade="BF"/>
            </w:tcBorders>
          </w:tcPr>
          <w:p w14:paraId="7FA915FA" w14:textId="77777777" w:rsidR="00ED32D6" w:rsidRPr="0038126F" w:rsidRDefault="00ED32D6"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1</w:t>
            </w:r>
          </w:p>
        </w:tc>
        <w:tc>
          <w:tcPr>
            <w:tcW w:w="4059" w:type="pct"/>
            <w:tcBorders>
              <w:top w:val="single" w:sz="4" w:space="0" w:color="BFBFBF" w:themeColor="background1" w:themeShade="BF"/>
              <w:right w:val="single" w:sz="4" w:space="0" w:color="BFBFBF" w:themeColor="background1" w:themeShade="BF"/>
            </w:tcBorders>
          </w:tcPr>
          <w:p w14:paraId="14BD16FA" w14:textId="77777777" w:rsidR="00ED32D6" w:rsidRPr="00817E68" w:rsidRDefault="00ED32D6" w:rsidP="00252376">
            <w:pPr>
              <w:pStyle w:val="Numberedtable"/>
              <w:numPr>
                <w:ilvl w:val="0"/>
                <w:numId w:val="0"/>
              </w:numPr>
              <w:rPr>
                <w:lang w:val="en-AU"/>
              </w:rPr>
            </w:pPr>
            <w:r w:rsidRPr="00247DD5">
              <w:rPr>
                <w:rFonts w:asciiTheme="minorHAnsi" w:hAnsiTheme="minorHAnsi" w:cstheme="minorHAnsi"/>
                <w:sz w:val="21"/>
                <w:szCs w:val="20"/>
                <w:lang w:val="en-AU"/>
              </w:rPr>
              <w:t>Reduce the rate of intentional self-harm</w:t>
            </w:r>
          </w:p>
        </w:tc>
      </w:tr>
      <w:tr w:rsidR="00ED32D6" w:rsidRPr="00817E68" w14:paraId="19D056C0" w14:textId="77777777" w:rsidTr="00EA12A7">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3BABECFD"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Pr>
          <w:p w14:paraId="4DAF6AC5" w14:textId="77777777" w:rsidR="00ED32D6" w:rsidRPr="00817E68" w:rsidRDefault="00ED32D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5D9FDEA2" w14:textId="77777777" w:rsidR="00ED32D6" w:rsidRPr="00817E68" w:rsidRDefault="00ED32D6"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592CC93D" w14:textId="4825F8A2" w:rsidR="00ED32D6" w:rsidRPr="00701DBE" w:rsidRDefault="00ED32D6" w:rsidP="007D5286">
            <w:pPr>
              <w:pStyle w:val="TableNBullet"/>
              <w:numPr>
                <w:ilvl w:val="0"/>
                <w:numId w:val="66"/>
              </w:numPr>
              <w:rPr>
                <w:rFonts w:cstheme="minorHAnsi"/>
                <w:szCs w:val="20"/>
                <w:lang w:val="en-AU"/>
              </w:rPr>
            </w:pPr>
            <w:r w:rsidRPr="00701DBE">
              <w:rPr>
                <w:rFonts w:eastAsiaTheme="minorEastAsia" w:cstheme="minorHAnsi"/>
                <w:color w:val="000000" w:themeColor="text1"/>
                <w:szCs w:val="20"/>
                <w:lang w:val="en-AU" w:eastAsia="ja-JP"/>
              </w:rPr>
              <w:t>Increase screening for suicide risk and promot</w:t>
            </w:r>
            <w:r w:rsidR="004637EB">
              <w:rPr>
                <w:rFonts w:eastAsiaTheme="minorEastAsia" w:cstheme="minorHAnsi"/>
                <w:color w:val="000000" w:themeColor="text1"/>
                <w:szCs w:val="20"/>
                <w:lang w:val="en-AU" w:eastAsia="ja-JP"/>
              </w:rPr>
              <w:t>e</w:t>
            </w:r>
            <w:r w:rsidRPr="00701DBE">
              <w:rPr>
                <w:rFonts w:eastAsiaTheme="minorEastAsia" w:cstheme="minorHAnsi"/>
                <w:color w:val="000000" w:themeColor="text1"/>
                <w:szCs w:val="20"/>
                <w:lang w:val="en-AU" w:eastAsia="ja-JP"/>
              </w:rPr>
              <w:t xml:space="preserve"> help-seeking behaviour</w:t>
            </w:r>
            <w:r w:rsidR="004637EB">
              <w:rPr>
                <w:rFonts w:eastAsiaTheme="minorEastAsia" w:cstheme="minorHAnsi"/>
                <w:color w:val="000000" w:themeColor="text1"/>
                <w:szCs w:val="20"/>
                <w:lang w:val="en-AU" w:eastAsia="ja-JP"/>
              </w:rPr>
              <w:t>s among</w:t>
            </w:r>
            <w:r w:rsidRPr="00701DBE">
              <w:rPr>
                <w:rFonts w:eastAsiaTheme="minorEastAsia" w:cstheme="minorHAnsi"/>
                <w:color w:val="000000" w:themeColor="text1"/>
                <w:szCs w:val="20"/>
                <w:lang w:val="en-AU" w:eastAsia="ja-JP"/>
              </w:rPr>
              <w:t xml:space="preserve"> young people target</w:t>
            </w:r>
            <w:r w:rsidR="004637EB">
              <w:rPr>
                <w:rFonts w:eastAsiaTheme="minorEastAsia" w:cstheme="minorHAnsi"/>
                <w:color w:val="000000" w:themeColor="text1"/>
                <w:szCs w:val="20"/>
                <w:lang w:val="en-AU" w:eastAsia="ja-JP"/>
              </w:rPr>
              <w:t>ing</w:t>
            </w:r>
            <w:r w:rsidRPr="00701DBE">
              <w:rPr>
                <w:rFonts w:eastAsiaTheme="minorEastAsia" w:cstheme="minorHAnsi"/>
                <w:color w:val="000000" w:themeColor="text1"/>
                <w:szCs w:val="20"/>
                <w:lang w:val="en-AU" w:eastAsia="ja-JP"/>
              </w:rPr>
              <w:t xml:space="preserve"> priority</w:t>
            </w:r>
            <w:r w:rsidR="004637EB">
              <w:rPr>
                <w:rFonts w:eastAsiaTheme="minorEastAsia" w:cstheme="minorHAnsi"/>
                <w:color w:val="000000" w:themeColor="text1"/>
                <w:szCs w:val="20"/>
                <w:lang w:val="en-AU" w:eastAsia="ja-JP"/>
              </w:rPr>
              <w:t xml:space="preserve"> and </w:t>
            </w:r>
            <w:proofErr w:type="gramStart"/>
            <w:r w:rsidR="004637EB">
              <w:rPr>
                <w:rFonts w:eastAsiaTheme="minorEastAsia" w:cstheme="minorHAnsi"/>
                <w:color w:val="000000" w:themeColor="text1"/>
                <w:szCs w:val="20"/>
                <w:lang w:val="en-AU" w:eastAsia="ja-JP"/>
              </w:rPr>
              <w:t>high risk</w:t>
            </w:r>
            <w:proofErr w:type="gramEnd"/>
            <w:r w:rsidRPr="00701DBE">
              <w:rPr>
                <w:rFonts w:eastAsiaTheme="minorEastAsia" w:cstheme="minorHAnsi"/>
                <w:color w:val="000000" w:themeColor="text1"/>
                <w:szCs w:val="20"/>
                <w:lang w:val="en-AU" w:eastAsia="ja-JP"/>
              </w:rPr>
              <w:t xml:space="preserve"> groups including young males, and incarcerated young males where burden is highest.</w:t>
            </w:r>
            <w:r w:rsidRPr="00701DBE">
              <w:rPr>
                <w:rFonts w:cstheme="minorHAnsi"/>
                <w:szCs w:val="20"/>
                <w:lang w:val="en-AU"/>
              </w:rPr>
              <w:t xml:space="preserve"> </w:t>
            </w:r>
          </w:p>
          <w:p w14:paraId="26310194" w14:textId="69D77458" w:rsidR="00ED32D6" w:rsidRPr="00701DBE" w:rsidRDefault="004637EB" w:rsidP="007D5286">
            <w:pPr>
              <w:pStyle w:val="TableNBullet"/>
              <w:numPr>
                <w:ilvl w:val="0"/>
                <w:numId w:val="66"/>
              </w:numPr>
              <w:rPr>
                <w:rFonts w:cstheme="minorHAnsi"/>
                <w:szCs w:val="20"/>
                <w:lang w:val="en-AU"/>
              </w:rPr>
            </w:pPr>
            <w:r>
              <w:rPr>
                <w:rFonts w:eastAsiaTheme="minorEastAsia" w:cstheme="minorHAnsi"/>
                <w:color w:val="000000" w:themeColor="text1"/>
                <w:szCs w:val="20"/>
                <w:lang w:val="en-AU" w:eastAsia="ja-JP"/>
              </w:rPr>
              <w:t>Support</w:t>
            </w:r>
            <w:r w:rsidR="00ED32D6" w:rsidRPr="00701DBE">
              <w:rPr>
                <w:rFonts w:eastAsiaTheme="minorEastAsia" w:cstheme="minorHAnsi"/>
                <w:color w:val="000000" w:themeColor="text1"/>
                <w:szCs w:val="20"/>
                <w:lang w:val="en-AU" w:eastAsia="ja-JP"/>
              </w:rPr>
              <w:t xml:space="preserve"> Primary Health Networks and Local Health Networks to develop integrated, whole-of-community approaches to suicide prevention and </w:t>
            </w:r>
            <w:r w:rsidR="00ED32D6" w:rsidRPr="00701DBE">
              <w:rPr>
                <w:rFonts w:cstheme="minorHAnsi"/>
                <w:szCs w:val="20"/>
                <w:lang w:val="en-AU"/>
              </w:rPr>
              <w:t>joint regional mental health and suicide prevention plans.</w:t>
            </w:r>
            <w:r w:rsidR="00ED32D6" w:rsidRPr="00701DBE">
              <w:rPr>
                <w:rFonts w:eastAsiaTheme="minorEastAsia" w:cstheme="minorHAnsi"/>
                <w:color w:val="000000" w:themeColor="text1"/>
                <w:szCs w:val="20"/>
                <w:lang w:val="en-AU" w:eastAsia="ja-JP"/>
              </w:rPr>
              <w:t xml:space="preserve"> </w:t>
            </w:r>
          </w:p>
          <w:p w14:paraId="41164B21" w14:textId="585BC05F" w:rsidR="00ED32D6" w:rsidRPr="00701DBE" w:rsidRDefault="00ED32D6" w:rsidP="007D5286">
            <w:pPr>
              <w:pStyle w:val="TableNBullet"/>
              <w:numPr>
                <w:ilvl w:val="0"/>
                <w:numId w:val="66"/>
              </w:numPr>
              <w:rPr>
                <w:rFonts w:cstheme="minorHAnsi"/>
                <w:szCs w:val="20"/>
                <w:lang w:val="en-AU"/>
              </w:rPr>
            </w:pPr>
            <w:r w:rsidRPr="00701DBE">
              <w:rPr>
                <w:rFonts w:eastAsiaTheme="minorEastAsia" w:cstheme="minorHAnsi"/>
                <w:color w:val="000000" w:themeColor="text1"/>
                <w:szCs w:val="20"/>
                <w:lang w:val="en-AU" w:eastAsia="ja-JP"/>
              </w:rPr>
              <w:t xml:space="preserve">Support evidence-based primary prevention programs to support youth mental health and emotional wellbeing, particularly in high risk groups such as young females where burden is highest. </w:t>
            </w:r>
          </w:p>
          <w:p w14:paraId="0F4D0BF4" w14:textId="3BB985EE" w:rsidR="00ED32D6" w:rsidRPr="00817E68" w:rsidRDefault="004637EB" w:rsidP="007D5286">
            <w:pPr>
              <w:pStyle w:val="TableNBullet"/>
              <w:numPr>
                <w:ilvl w:val="0"/>
                <w:numId w:val="66"/>
              </w:numPr>
              <w:rPr>
                <w:rFonts w:cstheme="minorHAnsi"/>
                <w:szCs w:val="20"/>
                <w:lang w:val="en-AU"/>
              </w:rPr>
            </w:pPr>
            <w:r w:rsidRPr="00400300">
              <w:rPr>
                <w:rFonts w:cstheme="minorHAnsi"/>
                <w:szCs w:val="20"/>
                <w:lang w:val="en-AU"/>
              </w:rPr>
              <w:t>Increase access to mental health services</w:t>
            </w:r>
            <w:r w:rsidR="005B37B3">
              <w:rPr>
                <w:rFonts w:cstheme="minorHAnsi"/>
                <w:szCs w:val="20"/>
                <w:lang w:val="en-AU"/>
              </w:rPr>
              <w:t>, particularly among the priority populations</w:t>
            </w:r>
            <w:r w:rsidRPr="00400300">
              <w:rPr>
                <w:rFonts w:cstheme="minorHAnsi"/>
                <w:szCs w:val="20"/>
                <w:lang w:val="en-AU"/>
              </w:rPr>
              <w:t>.</w:t>
            </w:r>
          </w:p>
        </w:tc>
      </w:tr>
      <w:tr w:rsidR="00ED32D6" w:rsidRPr="00817E68" w14:paraId="09B896DF" w14:textId="77777777" w:rsidTr="00EA12A7">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689CC5AF"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6158C4C8" w14:textId="77777777" w:rsidR="00ED32D6" w:rsidRPr="00817E68" w:rsidRDefault="00ED32D6"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25821050" w14:textId="77777777" w:rsidR="00ED32D6" w:rsidRPr="00247DD5" w:rsidRDefault="00ED32D6" w:rsidP="00252376">
            <w:pPr>
              <w:spacing w:before="0"/>
              <w:rPr>
                <w:rFonts w:eastAsia="Times New Roman" w:cstheme="minorHAnsi"/>
                <w:i/>
                <w:sz w:val="21"/>
                <w:szCs w:val="20"/>
                <w:lang w:val="en-AU" w:eastAsia="en-AU"/>
              </w:rPr>
            </w:pPr>
            <w:r w:rsidRPr="00247DD5">
              <w:rPr>
                <w:rFonts w:cstheme="minorHAnsi"/>
                <w:i/>
                <w:sz w:val="21"/>
                <w:szCs w:val="20"/>
                <w:lang w:val="en-AU" w:eastAsia="en-AU"/>
              </w:rPr>
              <w:t>National, state and territory departments of health (mental health services), Justice and youth affairs (</w:t>
            </w:r>
            <w:r w:rsidRPr="00247DD5">
              <w:rPr>
                <w:rFonts w:cstheme="minorHAnsi"/>
                <w:i/>
                <w:sz w:val="21"/>
                <w:szCs w:val="20"/>
                <w:lang w:val="en-AU"/>
              </w:rPr>
              <w:t xml:space="preserve">National Indigenous Australians Agency, </w:t>
            </w:r>
            <w:r w:rsidRPr="00247DD5">
              <w:rPr>
                <w:rFonts w:cstheme="minorHAnsi"/>
                <w:i/>
                <w:sz w:val="21"/>
                <w:szCs w:val="20"/>
                <w:lang w:val="en-AU" w:eastAsia="en-AU"/>
              </w:rPr>
              <w:t>State and territory departments of Education, PHNs, mental health primary healthcare, National Mental Health Commission, local government, alcohol and other drug council of Australia, AOD information and treatment services, state justice sectors, youth focused not-for-profit organisations, Aboriginal Community Controlled Health Organisations)</w:t>
            </w:r>
          </w:p>
        </w:tc>
      </w:tr>
      <w:tr w:rsidR="00ED32D6" w:rsidRPr="00817E68" w14:paraId="49277953" w14:textId="77777777" w:rsidTr="00EA12A7">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09809945"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top w:val="single" w:sz="4" w:space="0" w:color="BFBFBF" w:themeColor="background1" w:themeShade="BF"/>
            </w:tcBorders>
          </w:tcPr>
          <w:p w14:paraId="25849EA5" w14:textId="77777777" w:rsidR="00ED32D6" w:rsidRPr="0038126F" w:rsidRDefault="00ED32D6"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2</w:t>
            </w:r>
          </w:p>
        </w:tc>
        <w:tc>
          <w:tcPr>
            <w:tcW w:w="4059" w:type="pct"/>
            <w:tcBorders>
              <w:top w:val="single" w:sz="4" w:space="0" w:color="BFBFBF" w:themeColor="background1" w:themeShade="BF"/>
              <w:right w:val="single" w:sz="4" w:space="0" w:color="BFBFBF" w:themeColor="background1" w:themeShade="BF"/>
            </w:tcBorders>
          </w:tcPr>
          <w:p w14:paraId="6BC6EAB8" w14:textId="77777777" w:rsidR="00ED32D6" w:rsidRPr="00817E68" w:rsidRDefault="00ED32D6" w:rsidP="00252376">
            <w:pPr>
              <w:pStyle w:val="Numberedtable"/>
              <w:numPr>
                <w:ilvl w:val="0"/>
                <w:numId w:val="0"/>
              </w:numPr>
              <w:rPr>
                <w:lang w:val="en-AU"/>
              </w:rPr>
            </w:pPr>
            <w:r w:rsidRPr="00701DBE">
              <w:rPr>
                <w:rFonts w:asciiTheme="minorHAnsi" w:hAnsiTheme="minorHAnsi" w:cstheme="minorHAnsi"/>
                <w:sz w:val="21"/>
                <w:szCs w:val="20"/>
                <w:lang w:val="en-AU"/>
              </w:rPr>
              <w:t>Reduce the rate of intentional self-harm among Aboriginal and Torres Strait Islander young people</w:t>
            </w:r>
          </w:p>
        </w:tc>
      </w:tr>
      <w:tr w:rsidR="00ED32D6" w:rsidRPr="00817E68" w14:paraId="019DCDDF" w14:textId="77777777" w:rsidTr="00EA12A7">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0A662EF6"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Pr>
          <w:p w14:paraId="0D2443A0" w14:textId="77777777" w:rsidR="00ED32D6" w:rsidRPr="00817E68" w:rsidRDefault="00ED32D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434303B4" w14:textId="77777777" w:rsidR="00ED32D6" w:rsidRPr="00817E68" w:rsidRDefault="00ED32D6"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7CF1DB2A" w14:textId="66135B23" w:rsidR="00ED32D6" w:rsidRPr="00701DBE" w:rsidRDefault="00ED32D6" w:rsidP="007D5286">
            <w:pPr>
              <w:pStyle w:val="TableNBullet"/>
              <w:numPr>
                <w:ilvl w:val="0"/>
                <w:numId w:val="54"/>
              </w:numPr>
              <w:rPr>
                <w:rFonts w:eastAsiaTheme="minorEastAsia" w:cstheme="minorHAnsi"/>
                <w:color w:val="000000" w:themeColor="text1"/>
                <w:szCs w:val="20"/>
                <w:lang w:val="en-AU" w:eastAsia="ja-JP"/>
              </w:rPr>
            </w:pPr>
            <w:r w:rsidRPr="00701DBE">
              <w:rPr>
                <w:rFonts w:eastAsiaTheme="minorEastAsia" w:cstheme="minorHAnsi"/>
                <w:color w:val="000000" w:themeColor="text1"/>
                <w:szCs w:val="20"/>
                <w:lang w:val="en-AU" w:eastAsia="ja-JP"/>
              </w:rPr>
              <w:t>Increase the capacity of health and mental health services to conduct culturally appropriate screening for individuals at risk for depression, suicide and family violence.</w:t>
            </w:r>
          </w:p>
          <w:p w14:paraId="6571E519" w14:textId="77777777" w:rsidR="00ED32D6" w:rsidRPr="00701DBE" w:rsidRDefault="00ED32D6" w:rsidP="007D5286">
            <w:pPr>
              <w:pStyle w:val="TableNBullet"/>
              <w:numPr>
                <w:ilvl w:val="0"/>
                <w:numId w:val="54"/>
              </w:numPr>
              <w:rPr>
                <w:rFonts w:eastAsiaTheme="minorEastAsia" w:cstheme="minorHAnsi"/>
                <w:color w:val="000000" w:themeColor="text1"/>
                <w:szCs w:val="20"/>
                <w:lang w:val="en-AU" w:eastAsia="ja-JP"/>
              </w:rPr>
            </w:pPr>
            <w:r w:rsidRPr="00701DBE">
              <w:rPr>
                <w:rFonts w:eastAsiaTheme="minorEastAsia" w:cstheme="minorHAnsi"/>
                <w:color w:val="000000" w:themeColor="text1"/>
                <w:szCs w:val="20"/>
                <w:lang w:val="en-AU" w:eastAsia="ja-JP"/>
              </w:rPr>
              <w:t>Strengthen culturally specific, targeted interventions showing promising outcomes</w:t>
            </w:r>
            <w:r w:rsidRPr="00701DBE">
              <w:rPr>
                <w:rFonts w:cstheme="minorHAnsi"/>
                <w:szCs w:val="20"/>
                <w:lang w:val="en-AU"/>
              </w:rPr>
              <w:t xml:space="preserve"> for suicide and self-harm </w:t>
            </w:r>
            <w:r w:rsidRPr="00701DBE">
              <w:rPr>
                <w:rFonts w:eastAsiaTheme="minorEastAsia" w:cstheme="minorHAnsi"/>
                <w:color w:val="000000" w:themeColor="text1"/>
                <w:szCs w:val="20"/>
                <w:lang w:val="en-AU" w:eastAsia="ja-JP"/>
              </w:rPr>
              <w:t>working towards zero suicide</w:t>
            </w:r>
            <w:r w:rsidRPr="00701DBE">
              <w:rPr>
                <w:rFonts w:cstheme="minorHAnsi"/>
                <w:szCs w:val="20"/>
                <w:lang w:val="en-AU"/>
              </w:rPr>
              <w:t>.</w:t>
            </w:r>
          </w:p>
          <w:p w14:paraId="5D6EE040" w14:textId="77777777" w:rsidR="00ED32D6" w:rsidRPr="00817E68" w:rsidRDefault="00ED32D6" w:rsidP="007D5286">
            <w:pPr>
              <w:pStyle w:val="TableNBullet"/>
              <w:numPr>
                <w:ilvl w:val="0"/>
                <w:numId w:val="54"/>
              </w:numPr>
              <w:rPr>
                <w:rFonts w:cstheme="minorHAnsi"/>
                <w:szCs w:val="20"/>
                <w:lang w:val="en-AU"/>
              </w:rPr>
            </w:pPr>
            <w:r w:rsidRPr="00701DBE">
              <w:rPr>
                <w:rFonts w:eastAsiaTheme="minorEastAsia" w:cstheme="minorHAnsi"/>
                <w:color w:val="000000" w:themeColor="text1"/>
                <w:szCs w:val="20"/>
                <w:lang w:val="en-AU" w:eastAsia="ja-JP"/>
              </w:rPr>
              <w:t>Improve Aboriginal and Torres Strait Islander access to, and experience with, mental health and wellbeing services in collaboration with</w:t>
            </w:r>
            <w:r w:rsidRPr="00701DBE">
              <w:rPr>
                <w:rFonts w:cstheme="minorHAnsi"/>
                <w:szCs w:val="20"/>
                <w:lang w:val="en-AU"/>
              </w:rPr>
              <w:t xml:space="preserve"> Aboriginal Community Controlled Health Organisations</w:t>
            </w:r>
            <w:r w:rsidRPr="00701DBE">
              <w:rPr>
                <w:rFonts w:eastAsiaTheme="minorEastAsia" w:cstheme="minorHAnsi"/>
                <w:color w:val="000000" w:themeColor="text1"/>
                <w:szCs w:val="20"/>
                <w:lang w:val="en-AU" w:eastAsia="ja-JP"/>
              </w:rPr>
              <w:t xml:space="preserve"> and other service providers</w:t>
            </w:r>
          </w:p>
        </w:tc>
      </w:tr>
      <w:tr w:rsidR="00ED32D6" w:rsidRPr="00817E68" w14:paraId="2C6152C2" w14:textId="77777777" w:rsidTr="00EA12A7">
        <w:trPr>
          <w:trHeight w:val="20"/>
        </w:trPr>
        <w:tc>
          <w:tcPr>
            <w:tcW w:w="269" w:type="pct"/>
            <w:vMerge/>
            <w:tcBorders>
              <w:left w:val="single" w:sz="4" w:space="0" w:color="BFBFBF" w:themeColor="background1" w:themeShade="BF"/>
              <w:bottom w:val="single" w:sz="4" w:space="0" w:color="BFBFBF" w:themeColor="background1" w:themeShade="BF"/>
            </w:tcBorders>
            <w:shd w:val="clear" w:color="auto" w:fill="1F3864" w:themeFill="accent5" w:themeFillShade="80"/>
            <w:textDirection w:val="btLr"/>
          </w:tcPr>
          <w:p w14:paraId="1DEF9697"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0B70E9A3" w14:textId="77777777" w:rsidR="00ED32D6" w:rsidRPr="00817E68" w:rsidRDefault="00ED32D6"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05BFDBD6" w14:textId="77777777" w:rsidR="00ED32D6" w:rsidRPr="00247DD5" w:rsidRDefault="00ED32D6" w:rsidP="00252376">
            <w:pPr>
              <w:spacing w:before="0"/>
              <w:rPr>
                <w:rFonts w:eastAsia="Times New Roman" w:cstheme="minorHAnsi"/>
                <w:i/>
                <w:sz w:val="21"/>
                <w:szCs w:val="20"/>
                <w:lang w:val="en-AU" w:eastAsia="en-AU"/>
              </w:rPr>
            </w:pPr>
            <w:r w:rsidRPr="00247DD5">
              <w:rPr>
                <w:i/>
                <w:szCs w:val="20"/>
                <w:lang w:val="en-AU" w:eastAsia="en-AU"/>
              </w:rPr>
              <w:t>National, s</w:t>
            </w:r>
            <w:r w:rsidRPr="00247DD5">
              <w:rPr>
                <w:rFonts w:cstheme="minorHAnsi"/>
                <w:i/>
                <w:sz w:val="21"/>
                <w:szCs w:val="20"/>
                <w:lang w:val="en-AU" w:eastAsia="en-AU"/>
              </w:rPr>
              <w:t>tate and territory departments of health (mental health services), Justice and youth affairs (</w:t>
            </w:r>
            <w:r w:rsidRPr="00247DD5">
              <w:rPr>
                <w:rFonts w:cstheme="minorHAnsi"/>
                <w:i/>
                <w:sz w:val="21"/>
                <w:szCs w:val="20"/>
                <w:lang w:val="en-AU"/>
              </w:rPr>
              <w:t xml:space="preserve">National Indigenous Australians Agency, </w:t>
            </w:r>
            <w:r w:rsidRPr="00247DD5">
              <w:rPr>
                <w:rFonts w:cstheme="minorHAnsi"/>
                <w:i/>
                <w:sz w:val="21"/>
                <w:szCs w:val="20"/>
                <w:lang w:val="en-AU" w:eastAsia="en-AU"/>
              </w:rPr>
              <w:t xml:space="preserve">Aboriginal Community Controlled Health Organisations, </w:t>
            </w:r>
            <w:r w:rsidRPr="00247DD5">
              <w:rPr>
                <w:rFonts w:cstheme="minorHAnsi"/>
                <w:i/>
                <w:sz w:val="21"/>
                <w:szCs w:val="20"/>
                <w:lang w:val="en-AU"/>
              </w:rPr>
              <w:t xml:space="preserve">National Indigenous Australians Agency, </w:t>
            </w:r>
            <w:r w:rsidRPr="00247DD5">
              <w:rPr>
                <w:rFonts w:cstheme="minorHAnsi"/>
                <w:i/>
                <w:sz w:val="21"/>
                <w:szCs w:val="20"/>
                <w:lang w:val="en-AU" w:eastAsia="en-AU"/>
              </w:rPr>
              <w:t>National Mental Health Commission,</w:t>
            </w:r>
            <w:r w:rsidRPr="00247DD5">
              <w:rPr>
                <w:rFonts w:cstheme="minorHAnsi"/>
                <w:i/>
                <w:sz w:val="21"/>
                <w:szCs w:val="20"/>
                <w:lang w:val="en-AU"/>
              </w:rPr>
              <w:t xml:space="preserve"> </w:t>
            </w:r>
            <w:r w:rsidRPr="00247DD5">
              <w:rPr>
                <w:rFonts w:cstheme="minorHAnsi"/>
                <w:i/>
                <w:sz w:val="21"/>
                <w:szCs w:val="20"/>
                <w:lang w:val="en-AU" w:eastAsia="en-AU"/>
              </w:rPr>
              <w:t>Family Mental Health Support Service, Australian Government Office for Youth, state and territory health authorities, PHNs, local health districts, mental health NGOs, schools and tertiary education providers, community mental health providers, Justice departments)</w:t>
            </w:r>
          </w:p>
        </w:tc>
      </w:tr>
      <w:tr w:rsidR="00ED32D6" w:rsidRPr="00817E68" w14:paraId="666C30B8" w14:textId="77777777" w:rsidTr="00EA12A7">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7999FF"/>
            <w:textDirection w:val="btLr"/>
          </w:tcPr>
          <w:p w14:paraId="2CB0AC8A" w14:textId="77777777" w:rsidR="00ED32D6" w:rsidRPr="000A0BD4" w:rsidRDefault="00ED32D6" w:rsidP="00252376">
            <w:pPr>
              <w:spacing w:before="0"/>
              <w:ind w:left="113" w:right="113"/>
              <w:contextualSpacing/>
              <w:jc w:val="center"/>
              <w:rPr>
                <w:rFonts w:cstheme="minorHAnsi"/>
                <w:b/>
                <w:sz w:val="21"/>
                <w:szCs w:val="20"/>
                <w:lang w:val="en-AU"/>
              </w:rPr>
            </w:pPr>
            <w:r w:rsidRPr="000A0BD4">
              <w:rPr>
                <w:rFonts w:cstheme="minorHAnsi"/>
                <w:b/>
                <w:sz w:val="21"/>
                <w:szCs w:val="20"/>
                <w:lang w:val="en-AU"/>
              </w:rPr>
              <w:t>Road</w:t>
            </w:r>
            <w:r>
              <w:rPr>
                <w:rFonts w:cstheme="minorHAnsi"/>
                <w:b/>
                <w:sz w:val="21"/>
                <w:szCs w:val="20"/>
                <w:lang w:val="en-AU"/>
              </w:rPr>
              <w:t xml:space="preserve"> + land transport</w:t>
            </w:r>
          </w:p>
        </w:tc>
        <w:tc>
          <w:tcPr>
            <w:tcW w:w="672" w:type="pct"/>
            <w:tcBorders>
              <w:top w:val="single" w:sz="4" w:space="0" w:color="BFBFBF" w:themeColor="background1" w:themeShade="BF"/>
              <w:left w:val="single" w:sz="4" w:space="0" w:color="BFBFBF" w:themeColor="background1" w:themeShade="BF"/>
            </w:tcBorders>
          </w:tcPr>
          <w:p w14:paraId="10D7F3FA" w14:textId="77777777" w:rsidR="00ED32D6" w:rsidRPr="0038126F" w:rsidRDefault="00ED32D6"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6</w:t>
            </w:r>
          </w:p>
        </w:tc>
        <w:tc>
          <w:tcPr>
            <w:tcW w:w="4059" w:type="pct"/>
            <w:tcBorders>
              <w:top w:val="single" w:sz="4" w:space="0" w:color="BFBFBF" w:themeColor="background1" w:themeShade="BF"/>
              <w:right w:val="single" w:sz="4" w:space="0" w:color="BFBFBF" w:themeColor="background1" w:themeShade="BF"/>
            </w:tcBorders>
          </w:tcPr>
          <w:p w14:paraId="47B784BD" w14:textId="77777777" w:rsidR="00ED32D6" w:rsidRPr="00817E68" w:rsidRDefault="00ED32D6" w:rsidP="00252376">
            <w:pPr>
              <w:pStyle w:val="Numberedtable"/>
              <w:numPr>
                <w:ilvl w:val="0"/>
                <w:numId w:val="0"/>
              </w:numPr>
              <w:rPr>
                <w:rFonts w:asciiTheme="minorHAnsi" w:hAnsiTheme="minorHAnsi" w:cstheme="minorHAnsi"/>
                <w:sz w:val="21"/>
                <w:szCs w:val="20"/>
                <w:lang w:val="en-AU"/>
              </w:rPr>
            </w:pPr>
            <w:r w:rsidRPr="00247DD5">
              <w:rPr>
                <w:rFonts w:asciiTheme="minorHAnsi" w:hAnsiTheme="minorHAnsi" w:cstheme="minorHAnsi"/>
                <w:sz w:val="21"/>
                <w:szCs w:val="20"/>
                <w:lang w:val="en-AU"/>
              </w:rPr>
              <w:t>Reduce road-related injury</w:t>
            </w:r>
          </w:p>
        </w:tc>
      </w:tr>
      <w:tr w:rsidR="00ED32D6" w:rsidRPr="00817E68" w14:paraId="5C26749A" w14:textId="77777777" w:rsidTr="00EA12A7">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7999FF"/>
            <w:textDirection w:val="btLr"/>
          </w:tcPr>
          <w:p w14:paraId="5F95F422"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16C3AEC5" w14:textId="77777777" w:rsidR="00ED32D6" w:rsidRPr="00817E68" w:rsidRDefault="00ED32D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6C147D0D" w14:textId="77777777" w:rsidR="00ED32D6" w:rsidRPr="00817E68" w:rsidRDefault="00ED32D6"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690E527B" w14:textId="77777777" w:rsidR="00ED32D6" w:rsidRPr="00701DBE" w:rsidRDefault="00ED32D6" w:rsidP="007D5286">
            <w:pPr>
              <w:pStyle w:val="TableNBullet"/>
              <w:numPr>
                <w:ilvl w:val="0"/>
                <w:numId w:val="67"/>
              </w:numPr>
              <w:rPr>
                <w:rFonts w:eastAsiaTheme="minorEastAsia" w:cstheme="minorHAnsi"/>
                <w:color w:val="000000" w:themeColor="text1"/>
                <w:szCs w:val="20"/>
                <w:lang w:val="en-AU" w:eastAsia="ja-JP"/>
              </w:rPr>
            </w:pPr>
            <w:r w:rsidRPr="00701DBE">
              <w:rPr>
                <w:rFonts w:eastAsiaTheme="minorEastAsia" w:cstheme="minorHAnsi"/>
                <w:color w:val="000000" w:themeColor="text1"/>
                <w:szCs w:val="20"/>
                <w:lang w:val="en-AU" w:eastAsia="ja-JP"/>
              </w:rPr>
              <w:t>Strengthen graduated licensing systems (GLS) to reduce overrepresentation of young people in road crashes.</w:t>
            </w:r>
            <w:r w:rsidRPr="00701DBE" w:rsidDel="001C465B">
              <w:rPr>
                <w:rFonts w:eastAsiaTheme="minorEastAsia" w:cstheme="minorHAnsi"/>
                <w:color w:val="000000" w:themeColor="text1"/>
                <w:szCs w:val="20"/>
                <w:lang w:val="en-AU" w:eastAsia="ja-JP"/>
              </w:rPr>
              <w:t xml:space="preserve"> </w:t>
            </w:r>
          </w:p>
          <w:p w14:paraId="657F3523" w14:textId="20084EDC" w:rsidR="00ED32D6" w:rsidRPr="00817E68" w:rsidRDefault="00ED32D6" w:rsidP="007D5286">
            <w:pPr>
              <w:pStyle w:val="TableNBullet"/>
              <w:numPr>
                <w:ilvl w:val="0"/>
                <w:numId w:val="67"/>
              </w:numPr>
              <w:rPr>
                <w:rFonts w:cstheme="minorHAnsi"/>
                <w:szCs w:val="20"/>
                <w:lang w:val="en-AU" w:eastAsia="en-US"/>
              </w:rPr>
            </w:pPr>
            <w:r w:rsidRPr="00701DBE">
              <w:rPr>
                <w:rFonts w:eastAsiaTheme="minorEastAsia" w:cstheme="minorHAnsi"/>
                <w:color w:val="000000" w:themeColor="text1"/>
                <w:szCs w:val="20"/>
                <w:lang w:val="en-AU" w:eastAsia="ja-JP"/>
              </w:rPr>
              <w:t>Support driver licencing programs for Aboriginal and Torres Strait Islander people, people experiencing socio-economic disadvantage and those living in rural and remote</w:t>
            </w:r>
            <w:r w:rsidR="004637EB">
              <w:rPr>
                <w:rFonts w:eastAsiaTheme="minorEastAsia" w:cstheme="minorHAnsi"/>
                <w:color w:val="000000" w:themeColor="text1"/>
                <w:szCs w:val="20"/>
                <w:lang w:val="en-AU" w:eastAsia="ja-JP"/>
              </w:rPr>
              <w:t xml:space="preserve"> areas</w:t>
            </w:r>
            <w:r w:rsidRPr="00701DBE">
              <w:rPr>
                <w:rFonts w:eastAsiaTheme="minorEastAsia" w:cstheme="minorHAnsi"/>
                <w:color w:val="000000" w:themeColor="text1"/>
                <w:szCs w:val="20"/>
                <w:lang w:val="en-AU" w:eastAsia="ja-JP"/>
              </w:rPr>
              <w:t>.</w:t>
            </w:r>
          </w:p>
        </w:tc>
      </w:tr>
      <w:tr w:rsidR="00ED32D6" w:rsidRPr="00817E68" w14:paraId="6B3B41D5" w14:textId="77777777" w:rsidTr="00EA12A7">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7999FF"/>
            <w:textDirection w:val="btLr"/>
          </w:tcPr>
          <w:p w14:paraId="4A541F92"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184C05E6" w14:textId="77777777" w:rsidR="00ED32D6" w:rsidRPr="00817E68" w:rsidRDefault="00ED32D6"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3DC86C0A" w14:textId="77777777" w:rsidR="00B8076F" w:rsidRDefault="00ED32D6" w:rsidP="00252376">
            <w:pPr>
              <w:pStyle w:val="TableNBullet"/>
              <w:numPr>
                <w:ilvl w:val="0"/>
                <w:numId w:val="0"/>
              </w:numPr>
              <w:rPr>
                <w:rFonts w:cstheme="minorHAnsi"/>
                <w:i/>
                <w:szCs w:val="20"/>
                <w:lang w:val="en-AU"/>
              </w:rPr>
            </w:pPr>
            <w:r w:rsidRPr="00817E68">
              <w:rPr>
                <w:rFonts w:cstheme="minorHAnsi"/>
                <w:i/>
                <w:szCs w:val="20"/>
                <w:lang w:val="en-AU"/>
              </w:rPr>
              <w:t>State and territory departments of roads and transport (Schools, Parents &amp; Citizens Associations)</w:t>
            </w:r>
          </w:p>
          <w:p w14:paraId="378B0493" w14:textId="164059F9" w:rsidR="00EA12A7" w:rsidRPr="00817E68" w:rsidRDefault="00EA12A7" w:rsidP="00252376">
            <w:pPr>
              <w:pStyle w:val="TableNBullet"/>
              <w:numPr>
                <w:ilvl w:val="0"/>
                <w:numId w:val="0"/>
              </w:numPr>
              <w:rPr>
                <w:rFonts w:cstheme="minorHAnsi"/>
                <w:szCs w:val="20"/>
                <w:lang w:val="en-AU"/>
              </w:rPr>
            </w:pPr>
          </w:p>
        </w:tc>
      </w:tr>
      <w:tr w:rsidR="00ED32D6" w:rsidRPr="00817E68" w14:paraId="3193CA90" w14:textId="77777777" w:rsidTr="00EA12A7">
        <w:trPr>
          <w:trHeight w:val="311"/>
        </w:trPr>
        <w:tc>
          <w:tcPr>
            <w:tcW w:w="269" w:type="pct"/>
            <w:vMerge w:val="restart"/>
            <w:tcBorders>
              <w:left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7C0D5D38" w14:textId="3AAF917D" w:rsidR="00ED32D6" w:rsidRPr="000A0BD4" w:rsidRDefault="00ED32D6" w:rsidP="00252376">
            <w:pPr>
              <w:spacing w:before="0"/>
              <w:ind w:left="113" w:right="113"/>
              <w:contextualSpacing/>
              <w:jc w:val="center"/>
              <w:rPr>
                <w:rFonts w:cstheme="minorHAnsi"/>
                <w:b/>
                <w:sz w:val="21"/>
                <w:szCs w:val="20"/>
                <w:lang w:val="en-AU"/>
              </w:rPr>
            </w:pPr>
            <w:r w:rsidRPr="000A0BD4">
              <w:rPr>
                <w:rFonts w:cstheme="minorHAnsi"/>
                <w:b/>
                <w:sz w:val="21"/>
                <w:szCs w:val="20"/>
                <w:lang w:val="en-AU"/>
              </w:rPr>
              <w:t>Sport</w:t>
            </w:r>
          </w:p>
        </w:tc>
        <w:tc>
          <w:tcPr>
            <w:tcW w:w="672" w:type="pct"/>
            <w:tcBorders>
              <w:top w:val="single" w:sz="4" w:space="0" w:color="BFBFBF" w:themeColor="background1" w:themeShade="BF"/>
              <w:left w:val="single" w:sz="4" w:space="0" w:color="BFBFBF" w:themeColor="background1" w:themeShade="BF"/>
            </w:tcBorders>
          </w:tcPr>
          <w:p w14:paraId="27BE1B1E" w14:textId="77777777" w:rsidR="00ED32D6" w:rsidRPr="00BF67AD" w:rsidRDefault="00ED32D6" w:rsidP="00252376">
            <w:pPr>
              <w:spacing w:before="0"/>
              <w:rPr>
                <w:rFonts w:cstheme="minorHAnsi"/>
                <w:b/>
                <w:i/>
                <w:color w:val="000000" w:themeColor="text1"/>
                <w:sz w:val="18"/>
                <w:szCs w:val="18"/>
                <w:lang w:val="en-AU"/>
              </w:rPr>
            </w:pPr>
            <w:r w:rsidRPr="00BF67AD">
              <w:rPr>
                <w:rFonts w:cstheme="minorHAnsi"/>
                <w:b/>
                <w:i/>
                <w:sz w:val="18"/>
                <w:szCs w:val="18"/>
                <w:lang w:val="en-AU"/>
              </w:rPr>
              <w:t>Objective 16</w:t>
            </w:r>
          </w:p>
        </w:tc>
        <w:tc>
          <w:tcPr>
            <w:tcW w:w="4059" w:type="pct"/>
            <w:tcBorders>
              <w:top w:val="single" w:sz="4" w:space="0" w:color="BFBFBF" w:themeColor="background1" w:themeShade="BF"/>
              <w:right w:val="single" w:sz="4" w:space="0" w:color="BFBFBF" w:themeColor="background1" w:themeShade="BF"/>
            </w:tcBorders>
          </w:tcPr>
          <w:p w14:paraId="4323056C" w14:textId="77777777" w:rsidR="00ED32D6" w:rsidRPr="00817E68" w:rsidRDefault="00ED32D6" w:rsidP="00252376">
            <w:pPr>
              <w:pStyle w:val="Numberedtable"/>
              <w:numPr>
                <w:ilvl w:val="0"/>
                <w:numId w:val="0"/>
              </w:numPr>
              <w:rPr>
                <w:rFonts w:asciiTheme="minorHAnsi" w:hAnsiTheme="minorHAnsi" w:cstheme="minorHAnsi"/>
                <w:sz w:val="21"/>
                <w:szCs w:val="20"/>
                <w:lang w:val="en-AU"/>
              </w:rPr>
            </w:pPr>
            <w:r w:rsidRPr="00817E68">
              <w:rPr>
                <w:rFonts w:asciiTheme="minorHAnsi" w:hAnsiTheme="minorHAnsi" w:cstheme="minorHAnsi"/>
                <w:sz w:val="21"/>
                <w:szCs w:val="20"/>
                <w:lang w:val="en-AU"/>
              </w:rPr>
              <w:t>Reduce the rate and impact of sports injuries</w:t>
            </w:r>
          </w:p>
        </w:tc>
      </w:tr>
      <w:tr w:rsidR="00ED32D6" w:rsidRPr="00817E68" w14:paraId="0E8A6422" w14:textId="77777777" w:rsidTr="00EA12A7">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0DCED759"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53282D6C" w14:textId="77777777" w:rsidR="00ED32D6" w:rsidRPr="00817E68" w:rsidRDefault="00ED32D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47637C00" w14:textId="77777777" w:rsidR="00ED32D6" w:rsidRPr="00817E68" w:rsidRDefault="00ED32D6"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4E98D7D4" w14:textId="77777777" w:rsidR="00ED32D6" w:rsidRPr="00400300" w:rsidRDefault="00ED32D6" w:rsidP="007D5286">
            <w:pPr>
              <w:pStyle w:val="TableNBullet"/>
              <w:numPr>
                <w:ilvl w:val="0"/>
                <w:numId w:val="68"/>
              </w:numPr>
              <w:rPr>
                <w:rFonts w:cstheme="minorHAnsi"/>
                <w:szCs w:val="20"/>
                <w:lang w:val="en-AU"/>
              </w:rPr>
            </w:pPr>
            <w:r w:rsidRPr="00400300">
              <w:rPr>
                <w:rFonts w:cstheme="minorHAnsi"/>
                <w:szCs w:val="20"/>
                <w:lang w:val="en-AU"/>
              </w:rPr>
              <w:t>Support sports clubs and schools to develop, implement and enforce safety policies and practices covering education of players and parents, compulsory use of relevant protective equipment, use of relevant modified equipment and fixtures, maintenance of sporting fields, exercise-training programs, refereeing and rules for safe play, and accreditation of coaches and coaching standards.</w:t>
            </w:r>
          </w:p>
          <w:p w14:paraId="589CB2F6" w14:textId="7FFA02ED" w:rsidR="00ED32D6" w:rsidRPr="00817E68" w:rsidRDefault="004637EB" w:rsidP="007D5286">
            <w:pPr>
              <w:pStyle w:val="TableNBullet"/>
              <w:numPr>
                <w:ilvl w:val="0"/>
                <w:numId w:val="68"/>
              </w:numPr>
              <w:rPr>
                <w:rFonts w:cstheme="minorHAnsi"/>
                <w:szCs w:val="20"/>
                <w:lang w:val="en-AU"/>
              </w:rPr>
            </w:pPr>
            <w:r>
              <w:rPr>
                <w:rFonts w:cstheme="minorHAnsi"/>
                <w:szCs w:val="20"/>
                <w:lang w:val="en-AU"/>
              </w:rPr>
              <w:t>P</w:t>
            </w:r>
            <w:r w:rsidR="00ED32D6" w:rsidRPr="00400300">
              <w:rPr>
                <w:rFonts w:cstheme="minorHAnsi"/>
                <w:szCs w:val="20"/>
                <w:lang w:val="en-AU"/>
              </w:rPr>
              <w:t>romote h</w:t>
            </w:r>
            <w:r w:rsidR="00F857FC">
              <w:rPr>
                <w:rFonts w:cstheme="minorHAnsi"/>
                <w:szCs w:val="20"/>
                <w:lang w:val="en-AU"/>
              </w:rPr>
              <w:t>ead injury</w:t>
            </w:r>
            <w:r w:rsidR="00ED32D6" w:rsidRPr="00400300">
              <w:rPr>
                <w:rFonts w:cstheme="minorHAnsi"/>
                <w:szCs w:val="20"/>
                <w:lang w:val="en-AU"/>
              </w:rPr>
              <w:t xml:space="preserve"> awareness, management and policies, particularly in contact sports and the promotion of appropriate headgear use e.g. horse riding, skiing and other sports with standards approved headgear such as cricket and some football codes.</w:t>
            </w:r>
          </w:p>
        </w:tc>
      </w:tr>
      <w:tr w:rsidR="00ED32D6" w:rsidRPr="00817E68" w14:paraId="680ACD5B" w14:textId="77777777" w:rsidTr="00EA12A7">
        <w:trPr>
          <w:trHeight w:val="20"/>
        </w:trPr>
        <w:tc>
          <w:tcPr>
            <w:tcW w:w="269"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6E301AE1"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46842239" w14:textId="77777777" w:rsidR="00ED32D6" w:rsidRPr="00817E68" w:rsidRDefault="00ED32D6" w:rsidP="00252376">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5621C18B" w14:textId="5135FCDB" w:rsidR="00EA12A7" w:rsidRPr="00247DD5" w:rsidRDefault="00ED32D6" w:rsidP="00252376">
            <w:pPr>
              <w:spacing w:before="0"/>
              <w:rPr>
                <w:rFonts w:cstheme="minorHAnsi"/>
                <w:i/>
                <w:sz w:val="21"/>
                <w:szCs w:val="20"/>
                <w:lang w:val="en-AU"/>
              </w:rPr>
            </w:pPr>
            <w:r w:rsidRPr="00247DD5">
              <w:rPr>
                <w:rFonts w:cstheme="minorHAnsi"/>
                <w:i/>
                <w:sz w:val="21"/>
                <w:szCs w:val="20"/>
                <w:lang w:val="en-AU" w:eastAsia="en-AU"/>
              </w:rPr>
              <w:t xml:space="preserve">Sports Australia and peak sports bodies (Sporting associations, brain injury NGOs, Australian Institute of Sport, medical practitioners, coaching groups, local government, Sport and Recreation and Education state and territory departments, </w:t>
            </w:r>
            <w:r w:rsidRPr="00247DD5">
              <w:rPr>
                <w:rFonts w:cstheme="minorHAnsi"/>
                <w:i/>
                <w:sz w:val="21"/>
                <w:szCs w:val="20"/>
                <w:lang w:val="en-AU"/>
              </w:rPr>
              <w:t xml:space="preserve">Department of Defence, </w:t>
            </w:r>
            <w:r w:rsidRPr="00247DD5">
              <w:rPr>
                <w:rFonts w:cstheme="minorHAnsi"/>
                <w:i/>
                <w:sz w:val="21"/>
                <w:szCs w:val="20"/>
                <w:lang w:val="en-AU" w:eastAsia="en-AU"/>
              </w:rPr>
              <w:t>peak sports bodies and sports medicine authorities, sporting associations, schools, Aboriginal Community Controlled Organisations)</w:t>
            </w:r>
          </w:p>
        </w:tc>
      </w:tr>
      <w:tr w:rsidR="00ED32D6" w:rsidRPr="00817E68" w14:paraId="41AAAC5F" w14:textId="77777777" w:rsidTr="00C30AD1">
        <w:trPr>
          <w:cantSplit/>
          <w:trHeight w:val="17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538135" w:themeFill="accent6" w:themeFillShade="BF"/>
            <w:textDirection w:val="btLr"/>
          </w:tcPr>
          <w:p w14:paraId="0175106D" w14:textId="77777777" w:rsidR="00ED32D6" w:rsidRPr="00EA3053" w:rsidRDefault="00ED32D6" w:rsidP="00252376">
            <w:pPr>
              <w:spacing w:before="0"/>
              <w:ind w:left="113" w:right="113"/>
              <w:contextualSpacing/>
              <w:jc w:val="center"/>
              <w:rPr>
                <w:rFonts w:cstheme="minorHAnsi"/>
                <w:b/>
                <w:sz w:val="21"/>
                <w:szCs w:val="20"/>
                <w:lang w:val="en-AU"/>
              </w:rPr>
            </w:pPr>
            <w:r>
              <w:rPr>
                <w:rFonts w:cstheme="minorHAnsi"/>
                <w:b/>
                <w:sz w:val="21"/>
                <w:szCs w:val="20"/>
                <w:lang w:val="en-AU"/>
              </w:rPr>
              <w:t>Workplace</w:t>
            </w:r>
          </w:p>
        </w:tc>
        <w:tc>
          <w:tcPr>
            <w:tcW w:w="672" w:type="pct"/>
            <w:tcBorders>
              <w:top w:val="single" w:sz="4" w:space="0" w:color="BFBFBF" w:themeColor="background1" w:themeShade="BF"/>
              <w:left w:val="single" w:sz="4" w:space="0" w:color="BFBFBF" w:themeColor="background1" w:themeShade="BF"/>
            </w:tcBorders>
          </w:tcPr>
          <w:p w14:paraId="0303DC73" w14:textId="77777777" w:rsidR="00ED32D6" w:rsidRPr="00BF67AD" w:rsidRDefault="00ED32D6" w:rsidP="00252376">
            <w:pPr>
              <w:spacing w:before="0"/>
              <w:rPr>
                <w:rFonts w:cstheme="minorHAnsi"/>
                <w:b/>
                <w:i/>
                <w:color w:val="000000" w:themeColor="text1"/>
                <w:sz w:val="18"/>
                <w:szCs w:val="18"/>
                <w:lang w:val="en-AU"/>
              </w:rPr>
            </w:pPr>
            <w:r w:rsidRPr="00BF67AD">
              <w:rPr>
                <w:rFonts w:cstheme="minorHAnsi"/>
                <w:b/>
                <w:i/>
                <w:sz w:val="18"/>
                <w:szCs w:val="18"/>
                <w:lang w:val="en-AU"/>
              </w:rPr>
              <w:t>Objective 1</w:t>
            </w:r>
            <w:r>
              <w:rPr>
                <w:rFonts w:cstheme="minorHAnsi"/>
                <w:b/>
                <w:i/>
                <w:sz w:val="18"/>
                <w:szCs w:val="18"/>
                <w:lang w:val="en-AU"/>
              </w:rPr>
              <w:t>5</w:t>
            </w:r>
          </w:p>
        </w:tc>
        <w:tc>
          <w:tcPr>
            <w:tcW w:w="4059" w:type="pct"/>
            <w:tcBorders>
              <w:top w:val="single" w:sz="4" w:space="0" w:color="BFBFBF" w:themeColor="background1" w:themeShade="BF"/>
              <w:right w:val="single" w:sz="4" w:space="0" w:color="BFBFBF" w:themeColor="background1" w:themeShade="BF"/>
            </w:tcBorders>
          </w:tcPr>
          <w:p w14:paraId="462CD9C1" w14:textId="77777777" w:rsidR="00ED32D6" w:rsidRPr="00817E68" w:rsidRDefault="00ED32D6" w:rsidP="00252376">
            <w:pPr>
              <w:pStyle w:val="Numberedtable"/>
              <w:numPr>
                <w:ilvl w:val="0"/>
                <w:numId w:val="0"/>
              </w:numPr>
              <w:rPr>
                <w:rFonts w:asciiTheme="minorHAnsi" w:hAnsiTheme="minorHAnsi" w:cstheme="minorHAnsi"/>
                <w:sz w:val="21"/>
                <w:szCs w:val="20"/>
                <w:lang w:val="en-AU"/>
              </w:rPr>
            </w:pPr>
            <w:r w:rsidRPr="00247DD5">
              <w:rPr>
                <w:rFonts w:asciiTheme="minorHAnsi" w:hAnsiTheme="minorHAnsi" w:cstheme="minorHAnsi"/>
                <w:sz w:val="21"/>
                <w:szCs w:val="20"/>
                <w:lang w:val="en-AU"/>
              </w:rPr>
              <w:t>Reduce the rate of workplace injuries</w:t>
            </w:r>
          </w:p>
        </w:tc>
      </w:tr>
      <w:tr w:rsidR="00ED32D6" w:rsidRPr="00817E68" w14:paraId="093E820D"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538135" w:themeFill="accent6" w:themeFillShade="BF"/>
            <w:textDirection w:val="btLr"/>
          </w:tcPr>
          <w:p w14:paraId="4BA38F47" w14:textId="77777777" w:rsidR="00ED32D6" w:rsidRPr="00BF67AD" w:rsidRDefault="00ED32D6" w:rsidP="00252376">
            <w:pPr>
              <w:spacing w:before="0"/>
              <w:ind w:left="113" w:right="113"/>
              <w:contextualSpacing/>
              <w:jc w:val="center"/>
              <w:rPr>
                <w:rFonts w:cstheme="minorHAnsi"/>
                <w:sz w:val="21"/>
                <w:szCs w:val="20"/>
                <w:lang w:val="en-AU"/>
              </w:rPr>
            </w:pPr>
          </w:p>
        </w:tc>
        <w:tc>
          <w:tcPr>
            <w:tcW w:w="672" w:type="pct"/>
            <w:tcBorders>
              <w:left w:val="single" w:sz="4" w:space="0" w:color="BFBFBF" w:themeColor="background1" w:themeShade="BF"/>
            </w:tcBorders>
          </w:tcPr>
          <w:p w14:paraId="5CBC7DAB" w14:textId="77777777" w:rsidR="00ED32D6" w:rsidRPr="00BF67AD" w:rsidRDefault="00ED32D6" w:rsidP="00252376">
            <w:pPr>
              <w:spacing w:before="0"/>
              <w:rPr>
                <w:rFonts w:cstheme="minorHAnsi"/>
                <w:i/>
                <w:color w:val="000000" w:themeColor="text1"/>
                <w:sz w:val="18"/>
                <w:szCs w:val="18"/>
                <w:lang w:val="en-AU"/>
              </w:rPr>
            </w:pPr>
            <w:r w:rsidRPr="00BF67AD">
              <w:rPr>
                <w:rFonts w:cstheme="minorHAnsi"/>
                <w:i/>
                <w:sz w:val="18"/>
                <w:szCs w:val="18"/>
                <w:lang w:val="en-AU"/>
              </w:rPr>
              <w:t>Actions</w:t>
            </w:r>
          </w:p>
          <w:p w14:paraId="462DF205" w14:textId="77777777" w:rsidR="00ED32D6" w:rsidRPr="00BF67AD" w:rsidRDefault="00ED32D6"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088D706E" w14:textId="367868BF" w:rsidR="004637EB" w:rsidRPr="00C30AD1" w:rsidRDefault="004637EB" w:rsidP="007D5286">
            <w:pPr>
              <w:pStyle w:val="TableNBullet"/>
              <w:numPr>
                <w:ilvl w:val="0"/>
                <w:numId w:val="69"/>
              </w:numPr>
              <w:rPr>
                <w:rFonts w:cstheme="minorHAnsi"/>
                <w:color w:val="000000" w:themeColor="text1"/>
                <w:szCs w:val="20"/>
                <w:lang w:val="en-AU"/>
              </w:rPr>
            </w:pPr>
            <w:r>
              <w:rPr>
                <w:rFonts w:eastAsiaTheme="minorEastAsia" w:cstheme="minorHAnsi"/>
                <w:szCs w:val="20"/>
                <w:lang w:val="en-AU"/>
              </w:rPr>
              <w:t>Strengthen</w:t>
            </w:r>
            <w:r w:rsidRPr="00400300">
              <w:rPr>
                <w:rFonts w:eastAsiaTheme="minorEastAsia" w:cstheme="minorHAnsi"/>
                <w:szCs w:val="20"/>
                <w:lang w:val="en-AU"/>
              </w:rPr>
              <w:t xml:space="preserve"> </w:t>
            </w:r>
            <w:r w:rsidR="00ED32D6" w:rsidRPr="00400300">
              <w:rPr>
                <w:rFonts w:eastAsiaTheme="minorEastAsia" w:cstheme="minorHAnsi"/>
                <w:szCs w:val="20"/>
                <w:lang w:val="en-AU"/>
              </w:rPr>
              <w:t xml:space="preserve">safety training of young workers particularly those in construction, agriculture, health and hospitality services through multifaceted programs, </w:t>
            </w:r>
          </w:p>
          <w:p w14:paraId="6BAA8F0B" w14:textId="75E969FE" w:rsidR="00ED32D6" w:rsidRPr="00817E68" w:rsidRDefault="004637EB" w:rsidP="007D5286">
            <w:pPr>
              <w:pStyle w:val="TableNBullet"/>
              <w:numPr>
                <w:ilvl w:val="0"/>
                <w:numId w:val="69"/>
              </w:numPr>
              <w:rPr>
                <w:rFonts w:cstheme="minorHAnsi"/>
                <w:color w:val="000000" w:themeColor="text1"/>
                <w:szCs w:val="20"/>
                <w:lang w:val="en-AU"/>
              </w:rPr>
            </w:pPr>
            <w:r>
              <w:rPr>
                <w:rFonts w:eastAsiaTheme="minorEastAsia" w:cstheme="minorHAnsi"/>
                <w:szCs w:val="20"/>
                <w:lang w:val="en-AU"/>
              </w:rPr>
              <w:t>E</w:t>
            </w:r>
            <w:r w:rsidR="00ED32D6" w:rsidRPr="00400300">
              <w:rPr>
                <w:rFonts w:eastAsiaTheme="minorEastAsia" w:cstheme="minorHAnsi"/>
                <w:szCs w:val="20"/>
                <w:lang w:val="en-AU"/>
              </w:rPr>
              <w:t>stablish safety performance targets to lower the rate of falls, slips, heat exposure and burns, manual handling injuries and exposure to high decibel noise levels.</w:t>
            </w:r>
          </w:p>
        </w:tc>
      </w:tr>
      <w:tr w:rsidR="00ED32D6" w:rsidRPr="00817E68" w14:paraId="6A6791B8"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538135" w:themeFill="accent6" w:themeFillShade="BF"/>
            <w:textDirection w:val="btLr"/>
          </w:tcPr>
          <w:p w14:paraId="3E0FD350" w14:textId="77777777" w:rsidR="00ED32D6" w:rsidRPr="00BF67AD" w:rsidRDefault="00ED32D6" w:rsidP="00252376">
            <w:pPr>
              <w:spacing w:before="0"/>
              <w:ind w:left="113" w:right="113"/>
              <w:contextualSpacing/>
              <w:jc w:val="center"/>
              <w:rPr>
                <w:rFonts w:cstheme="minorHAnsi"/>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002A6C73" w14:textId="77777777" w:rsidR="00ED32D6" w:rsidRPr="00BF67AD" w:rsidRDefault="00ED32D6" w:rsidP="00252376">
            <w:pPr>
              <w:spacing w:before="0"/>
              <w:rPr>
                <w:rFonts w:cstheme="minorHAnsi"/>
                <w:i/>
                <w:color w:val="000000" w:themeColor="text1"/>
                <w:sz w:val="18"/>
                <w:szCs w:val="18"/>
                <w:lang w:val="en-AU"/>
              </w:rPr>
            </w:pPr>
            <w:r w:rsidRPr="00BF67AD">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768F16B8" w14:textId="77777777" w:rsidR="00ED32D6" w:rsidRPr="00247DD5" w:rsidRDefault="00ED32D6" w:rsidP="00252376">
            <w:pPr>
              <w:spacing w:before="0"/>
              <w:rPr>
                <w:rFonts w:cstheme="minorHAnsi"/>
                <w:i/>
                <w:color w:val="000000" w:themeColor="text1"/>
                <w:sz w:val="21"/>
                <w:szCs w:val="20"/>
                <w:lang w:val="en-AU"/>
              </w:rPr>
            </w:pPr>
            <w:r w:rsidRPr="00247DD5">
              <w:rPr>
                <w:rFonts w:cstheme="minorHAnsi"/>
                <w:i/>
                <w:sz w:val="21"/>
                <w:szCs w:val="20"/>
                <w:lang w:val="en-AU"/>
              </w:rPr>
              <w:t>State and territory Work Health and Safety Regulators; Safe Work Australia</w:t>
            </w:r>
            <w:r w:rsidRPr="00247DD5" w:rsidDel="00633BF1">
              <w:rPr>
                <w:rFonts w:cstheme="minorHAnsi"/>
                <w:i/>
                <w:sz w:val="21"/>
                <w:szCs w:val="20"/>
                <w:lang w:val="en-AU" w:eastAsia="en-AU"/>
              </w:rPr>
              <w:t xml:space="preserve"> </w:t>
            </w:r>
            <w:r w:rsidRPr="00247DD5">
              <w:rPr>
                <w:rFonts w:cstheme="minorHAnsi"/>
                <w:i/>
                <w:sz w:val="21"/>
                <w:szCs w:val="20"/>
                <w:lang w:val="en-AU" w:eastAsia="en-AU"/>
              </w:rPr>
              <w:t>(The Department of Defence, NGOs with a focus on young people and on brain and spinal cord injuries, TAFE, unions, employer associations)</w:t>
            </w:r>
          </w:p>
        </w:tc>
      </w:tr>
      <w:tr w:rsidR="00ED32D6" w:rsidRPr="00817E68" w14:paraId="26A146C0" w14:textId="77777777" w:rsidTr="00C30AD1">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224E3841" w14:textId="77777777" w:rsidR="00ED32D6" w:rsidRPr="000A0BD4" w:rsidRDefault="00ED32D6" w:rsidP="00252376">
            <w:pPr>
              <w:spacing w:before="0"/>
              <w:ind w:left="113" w:right="113"/>
              <w:contextualSpacing/>
              <w:jc w:val="center"/>
              <w:rPr>
                <w:rFonts w:cstheme="minorHAnsi"/>
                <w:b/>
                <w:sz w:val="21"/>
                <w:szCs w:val="20"/>
                <w:lang w:val="en-AU"/>
              </w:rPr>
            </w:pPr>
            <w:r w:rsidRPr="000A0BD4">
              <w:rPr>
                <w:rFonts w:cstheme="minorHAnsi"/>
                <w:b/>
                <w:sz w:val="21"/>
                <w:szCs w:val="20"/>
                <w:lang w:val="en-AU"/>
              </w:rPr>
              <w:t>Determinants</w:t>
            </w:r>
            <w:r>
              <w:rPr>
                <w:rFonts w:cstheme="minorHAnsi"/>
                <w:b/>
                <w:sz w:val="21"/>
                <w:szCs w:val="20"/>
                <w:lang w:val="en-AU"/>
              </w:rPr>
              <w:t xml:space="preserve"> of injury</w:t>
            </w:r>
          </w:p>
        </w:tc>
        <w:tc>
          <w:tcPr>
            <w:tcW w:w="672" w:type="pct"/>
            <w:tcBorders>
              <w:top w:val="single" w:sz="4" w:space="0" w:color="BFBFBF" w:themeColor="background1" w:themeShade="BF"/>
              <w:left w:val="single" w:sz="4" w:space="0" w:color="BFBFBF" w:themeColor="background1" w:themeShade="BF"/>
            </w:tcBorders>
          </w:tcPr>
          <w:p w14:paraId="2DD0EB7C" w14:textId="77777777" w:rsidR="00ED32D6" w:rsidRPr="00BF67AD" w:rsidRDefault="00ED32D6" w:rsidP="00252376">
            <w:pPr>
              <w:spacing w:before="0"/>
              <w:rPr>
                <w:rFonts w:cstheme="minorHAnsi"/>
                <w:b/>
                <w:i/>
                <w:sz w:val="18"/>
                <w:szCs w:val="18"/>
                <w:lang w:val="en-AU"/>
              </w:rPr>
            </w:pPr>
            <w:r w:rsidRPr="00BF67AD">
              <w:rPr>
                <w:rFonts w:cstheme="minorHAnsi"/>
                <w:b/>
                <w:i/>
                <w:sz w:val="18"/>
                <w:szCs w:val="18"/>
                <w:lang w:val="en-AU"/>
              </w:rPr>
              <w:t xml:space="preserve">Objective </w:t>
            </w:r>
            <w:r>
              <w:rPr>
                <w:rFonts w:cstheme="minorHAnsi"/>
                <w:b/>
                <w:i/>
                <w:sz w:val="18"/>
                <w:szCs w:val="18"/>
                <w:lang w:val="en-AU"/>
              </w:rPr>
              <w:t>19</w:t>
            </w:r>
          </w:p>
        </w:tc>
        <w:tc>
          <w:tcPr>
            <w:tcW w:w="4059" w:type="pct"/>
            <w:tcBorders>
              <w:top w:val="single" w:sz="4" w:space="0" w:color="BFBFBF" w:themeColor="background1" w:themeShade="BF"/>
              <w:right w:val="single" w:sz="4" w:space="0" w:color="BFBFBF" w:themeColor="background1" w:themeShade="BF"/>
            </w:tcBorders>
          </w:tcPr>
          <w:p w14:paraId="42E6ADAB" w14:textId="29F4E933" w:rsidR="00ED32D6" w:rsidRPr="00247DD5" w:rsidRDefault="00ED32D6" w:rsidP="00252376">
            <w:pPr>
              <w:spacing w:before="0"/>
              <w:rPr>
                <w:sz w:val="21"/>
                <w:szCs w:val="21"/>
                <w:lang w:val="en-AU"/>
              </w:rPr>
            </w:pPr>
            <w:r w:rsidRPr="00247DD5">
              <w:rPr>
                <w:rFonts w:cstheme="minorHAnsi"/>
                <w:b/>
                <w:sz w:val="21"/>
                <w:szCs w:val="21"/>
                <w:lang w:val="en-AU"/>
              </w:rPr>
              <w:t>Prioritise the availability of and access to culturally appropriate programs and services</w:t>
            </w:r>
          </w:p>
        </w:tc>
      </w:tr>
      <w:tr w:rsidR="00ED32D6" w:rsidRPr="00817E68" w14:paraId="4893A918"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1423EE1F"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4172E1D8" w14:textId="77777777" w:rsidR="00ED32D6" w:rsidRPr="00817E68" w:rsidRDefault="00ED32D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6F4EF95A" w14:textId="77777777" w:rsidR="00ED32D6" w:rsidRPr="00817E68" w:rsidRDefault="00ED32D6"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43C0E263" w14:textId="77777777" w:rsidR="00ED32D6" w:rsidRPr="00701DBE" w:rsidRDefault="00ED32D6" w:rsidP="007D5286">
            <w:pPr>
              <w:pStyle w:val="TableNBullet"/>
              <w:numPr>
                <w:ilvl w:val="0"/>
                <w:numId w:val="70"/>
              </w:numPr>
              <w:rPr>
                <w:rFonts w:cstheme="minorHAnsi"/>
                <w:szCs w:val="20"/>
                <w:lang w:val="en-AU" w:eastAsia="ja-JP"/>
              </w:rPr>
            </w:pPr>
            <w:r w:rsidRPr="00701DBE">
              <w:rPr>
                <w:rFonts w:cstheme="minorHAnsi"/>
                <w:szCs w:val="20"/>
                <w:lang w:val="en-AU"/>
              </w:rPr>
              <w:t>Support programs aimed at connection to Country and community for Aboriginal and Torres Strait Islander young people.</w:t>
            </w:r>
            <w:r w:rsidRPr="00701DBE">
              <w:rPr>
                <w:rFonts w:cstheme="minorHAnsi"/>
                <w:szCs w:val="20"/>
                <w:lang w:val="en-AU" w:eastAsia="ja-JP"/>
              </w:rPr>
              <w:t xml:space="preserve"> </w:t>
            </w:r>
          </w:p>
          <w:p w14:paraId="59B9D0FF" w14:textId="77777777" w:rsidR="00ED32D6" w:rsidRPr="00817E68" w:rsidRDefault="00ED32D6" w:rsidP="007D5286">
            <w:pPr>
              <w:pStyle w:val="TableNBullet"/>
              <w:numPr>
                <w:ilvl w:val="0"/>
                <w:numId w:val="70"/>
              </w:numPr>
              <w:rPr>
                <w:rFonts w:cstheme="minorHAnsi"/>
                <w:szCs w:val="20"/>
                <w:lang w:val="en-AU"/>
              </w:rPr>
            </w:pPr>
            <w:r w:rsidRPr="00701DBE">
              <w:rPr>
                <w:rFonts w:cstheme="minorHAnsi"/>
                <w:szCs w:val="20"/>
                <w:lang w:val="en-AU"/>
              </w:rPr>
              <w:t>Ensure health, justice and education systems and services are culturally respectful, non-discriminatory and use a strengths-based approach.</w:t>
            </w:r>
          </w:p>
        </w:tc>
      </w:tr>
      <w:tr w:rsidR="00ED32D6" w:rsidRPr="00817E68" w14:paraId="7CEC27CE" w14:textId="77777777" w:rsidTr="00C30AD1">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FFE599" w:themeFill="accent4" w:themeFillTint="66"/>
            <w:textDirection w:val="btLr"/>
          </w:tcPr>
          <w:p w14:paraId="63CACB1E" w14:textId="77777777" w:rsidR="00ED32D6" w:rsidRPr="000A0BD4" w:rsidRDefault="00ED32D6"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75DF3016" w14:textId="77777777" w:rsidR="00ED32D6" w:rsidRPr="00817E68" w:rsidRDefault="00ED32D6"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0E44B54E" w14:textId="77777777" w:rsidR="00ED32D6" w:rsidRPr="00701DBE" w:rsidRDefault="00ED32D6" w:rsidP="00252376">
            <w:pPr>
              <w:pStyle w:val="Tablepartner"/>
              <w:rPr>
                <w:rFonts w:asciiTheme="minorHAnsi" w:hAnsiTheme="minorHAnsi" w:cstheme="minorHAnsi"/>
                <w:sz w:val="21"/>
                <w:szCs w:val="20"/>
                <w:lang w:val="en-AU"/>
              </w:rPr>
            </w:pPr>
            <w:r w:rsidRPr="00701DBE">
              <w:rPr>
                <w:rFonts w:asciiTheme="minorHAnsi" w:hAnsiTheme="minorHAnsi" w:cstheme="minorHAnsi"/>
                <w:sz w:val="21"/>
                <w:szCs w:val="20"/>
                <w:lang w:val="en-AU"/>
              </w:rPr>
              <w:t>National department of health</w:t>
            </w:r>
            <w:r w:rsidRPr="00701DBE">
              <w:rPr>
                <w:rFonts w:asciiTheme="minorHAnsi" w:hAnsiTheme="minorHAnsi" w:cstheme="minorHAnsi"/>
                <w:sz w:val="21"/>
                <w:szCs w:val="20"/>
                <w:lang w:val="en-AU" w:eastAsia="en-AU"/>
              </w:rPr>
              <w:t xml:space="preserve"> (</w:t>
            </w:r>
            <w:r w:rsidRPr="00701DBE">
              <w:rPr>
                <w:rFonts w:asciiTheme="minorHAnsi" w:hAnsiTheme="minorHAnsi" w:cstheme="minorHAnsi"/>
                <w:sz w:val="21"/>
                <w:szCs w:val="20"/>
                <w:lang w:val="en-AU"/>
              </w:rPr>
              <w:t xml:space="preserve">National Indigenous Australians Agency, </w:t>
            </w:r>
            <w:r w:rsidRPr="00701DBE">
              <w:rPr>
                <w:rFonts w:asciiTheme="minorHAnsi" w:hAnsiTheme="minorHAnsi" w:cstheme="minorHAnsi"/>
                <w:sz w:val="21"/>
                <w:szCs w:val="20"/>
                <w:lang w:val="en-AU" w:eastAsia="en-AU"/>
              </w:rPr>
              <w:t>all national and state departments, Aboriginal Community Controlled Organisations and Health Services)</w:t>
            </w:r>
          </w:p>
        </w:tc>
      </w:tr>
    </w:tbl>
    <w:p w14:paraId="6E198C36" w14:textId="77777777" w:rsidR="00D91CC6" w:rsidRPr="00400300" w:rsidRDefault="00D91CC6" w:rsidP="00D91CC6">
      <w:pPr>
        <w:spacing w:after="120"/>
        <w:rPr>
          <w:rFonts w:eastAsia="Times New Roman" w:cstheme="minorHAnsi"/>
          <w:lang w:val="en-AU"/>
        </w:rPr>
      </w:pPr>
    </w:p>
    <w:tbl>
      <w:tblPr>
        <w:tblStyle w:val="TableGrid"/>
        <w:tblW w:w="0" w:type="auto"/>
        <w:tblLook w:val="04A0" w:firstRow="1" w:lastRow="0" w:firstColumn="1" w:lastColumn="0" w:noHBand="0" w:noVBand="1"/>
      </w:tblPr>
      <w:tblGrid>
        <w:gridCol w:w="9016"/>
      </w:tblGrid>
      <w:tr w:rsidR="00D91CC6" w:rsidRPr="00400300" w14:paraId="54B7AC00" w14:textId="77777777" w:rsidTr="00D91CC6">
        <w:tc>
          <w:tcPr>
            <w:tcW w:w="9016" w:type="dxa"/>
            <w:shd w:val="clear" w:color="auto" w:fill="D0CECE" w:themeFill="background2" w:themeFillShade="E6"/>
          </w:tcPr>
          <w:p w14:paraId="31096F8E" w14:textId="77777777" w:rsidR="00D91CC6" w:rsidRDefault="00D91CC6" w:rsidP="00701DBE">
            <w:pPr>
              <w:spacing w:before="0"/>
              <w:rPr>
                <w:rFonts w:eastAsia="Times New Roman" w:cstheme="minorHAnsi"/>
                <w:lang w:val="en-AU"/>
              </w:rPr>
            </w:pPr>
            <w:r w:rsidRPr="00400300">
              <w:rPr>
                <w:rFonts w:eastAsia="Times New Roman" w:cstheme="minorHAnsi"/>
                <w:b/>
                <w:lang w:val="en-AU"/>
              </w:rPr>
              <w:t>Case study:</w:t>
            </w:r>
            <w:r w:rsidRPr="00400300">
              <w:rPr>
                <w:rFonts w:eastAsia="Times New Roman" w:cstheme="minorHAnsi"/>
                <w:lang w:val="en-AU"/>
              </w:rPr>
              <w:t xml:space="preserve"> Lived experience of youth injury</w:t>
            </w:r>
          </w:p>
          <w:p w14:paraId="6524ED7C" w14:textId="52096763" w:rsidR="00701DBE" w:rsidRPr="00701DBE" w:rsidRDefault="00701DBE" w:rsidP="007D5286">
            <w:pPr>
              <w:pStyle w:val="ListParagraph"/>
              <w:numPr>
                <w:ilvl w:val="0"/>
                <w:numId w:val="53"/>
              </w:numPr>
              <w:spacing w:before="0"/>
              <w:rPr>
                <w:rFonts w:eastAsia="Times New Roman" w:cstheme="minorHAnsi"/>
                <w:lang w:val="en-AU"/>
              </w:rPr>
            </w:pPr>
            <w:r w:rsidRPr="00701DBE">
              <w:rPr>
                <w:rFonts w:cstheme="minorHAnsi"/>
              </w:rPr>
              <w:t>To describe the circumstances of how injury occurred and impact on current life-many talk about what they have achieved since their injury (first person story).</w:t>
            </w:r>
          </w:p>
        </w:tc>
      </w:tr>
    </w:tbl>
    <w:p w14:paraId="2BC7A705" w14:textId="2FCBFD2B" w:rsidR="008462F1" w:rsidRPr="00400300" w:rsidRDefault="008462F1" w:rsidP="008462F1">
      <w:pPr>
        <w:rPr>
          <w:lang w:val="en-AU"/>
        </w:rPr>
      </w:pPr>
      <w:bookmarkStart w:id="227" w:name="_Toc29473013"/>
      <w:bookmarkStart w:id="228" w:name="_Toc30077745"/>
      <w:bookmarkStart w:id="229" w:name="_Toc31128320"/>
      <w:bookmarkStart w:id="230" w:name="_Toc32584898"/>
      <w:bookmarkStart w:id="231" w:name="_Hlk29895984"/>
    </w:p>
    <w:p w14:paraId="3FBC1A9C" w14:textId="77777777" w:rsidR="008462F1" w:rsidRPr="00400300" w:rsidRDefault="008462F1">
      <w:pPr>
        <w:spacing w:before="0" w:after="160" w:line="259" w:lineRule="auto"/>
        <w:rPr>
          <w:lang w:val="en-AU"/>
        </w:rPr>
      </w:pPr>
      <w:r w:rsidRPr="00400300">
        <w:rPr>
          <w:lang w:val="en-AU"/>
        </w:rPr>
        <w:br w:type="page"/>
      </w:r>
    </w:p>
    <w:p w14:paraId="2BDD2D14" w14:textId="66B0E82B" w:rsidR="009928FD" w:rsidRPr="00400300" w:rsidRDefault="000A05E2" w:rsidP="00653893">
      <w:pPr>
        <w:pStyle w:val="Heading1"/>
        <w:rPr>
          <w:lang w:val="en-AU"/>
        </w:rPr>
      </w:pPr>
      <w:bookmarkStart w:id="232" w:name="_Toc38021100"/>
      <w:r w:rsidRPr="00400300">
        <w:rPr>
          <w:lang w:val="en-AU"/>
        </w:rPr>
        <w:t>A</w:t>
      </w:r>
      <w:r w:rsidR="009928FD" w:rsidRPr="00400300">
        <w:rPr>
          <w:lang w:val="en-AU"/>
        </w:rPr>
        <w:t xml:space="preserve">dults </w:t>
      </w:r>
      <w:r w:rsidR="005D10CC" w:rsidRPr="00400300">
        <w:rPr>
          <w:lang w:val="en-AU"/>
        </w:rPr>
        <w:t>(2</w:t>
      </w:r>
      <w:r w:rsidR="009928FD" w:rsidRPr="00400300">
        <w:rPr>
          <w:lang w:val="en-AU"/>
        </w:rPr>
        <w:t>5</w:t>
      </w:r>
      <w:r w:rsidR="005929FF" w:rsidRPr="00400300">
        <w:rPr>
          <w:lang w:val="en-AU"/>
        </w:rPr>
        <w:t>-</w:t>
      </w:r>
      <w:r w:rsidR="009928FD" w:rsidRPr="00400300">
        <w:rPr>
          <w:lang w:val="en-AU"/>
        </w:rPr>
        <w:t>64 years</w:t>
      </w:r>
      <w:r w:rsidR="005D10CC" w:rsidRPr="00400300">
        <w:rPr>
          <w:lang w:val="en-AU"/>
        </w:rPr>
        <w:t>)</w:t>
      </w:r>
      <w:bookmarkEnd w:id="227"/>
      <w:bookmarkEnd w:id="228"/>
      <w:bookmarkEnd w:id="229"/>
      <w:bookmarkEnd w:id="230"/>
      <w:bookmarkEnd w:id="232"/>
    </w:p>
    <w:p w14:paraId="2D3651AC" w14:textId="5F646ACF" w:rsidR="00D91CC6" w:rsidRDefault="00D91CC6" w:rsidP="00D91CC6">
      <w:pPr>
        <w:spacing w:after="120"/>
        <w:rPr>
          <w:rFonts w:cstheme="minorHAnsi"/>
          <w:lang w:val="en-AU" w:eastAsia="en-US"/>
        </w:rPr>
      </w:pPr>
      <w:bookmarkStart w:id="233" w:name="_Toc22922815"/>
      <w:bookmarkStart w:id="234" w:name="_Toc22922995"/>
      <w:bookmarkEnd w:id="231"/>
      <w:r w:rsidRPr="00400300">
        <w:rPr>
          <w:rFonts w:cstheme="minorHAnsi"/>
          <w:lang w:val="en-AU" w:eastAsia="en-US"/>
        </w:rPr>
        <w:t>The social and financial pressures on adults change the patterns of injury experienced by this age group.</w:t>
      </w:r>
      <w:r w:rsidR="00DC3061" w:rsidRPr="00400300">
        <w:rPr>
          <w:rFonts w:cstheme="minorHAnsi"/>
          <w:lang w:val="en-AU" w:eastAsia="en-US"/>
        </w:rPr>
        <w:t xml:space="preserve"> </w:t>
      </w:r>
      <w:r w:rsidRPr="00400300">
        <w:rPr>
          <w:rFonts w:cstheme="minorHAnsi"/>
          <w:lang w:val="en-AU" w:eastAsia="en-US"/>
        </w:rPr>
        <w:t xml:space="preserve">The environments, including the socio-economic environment, in which </w:t>
      </w:r>
      <w:r w:rsidR="00A6456F">
        <w:rPr>
          <w:rFonts w:cstheme="minorHAnsi"/>
          <w:lang w:val="en-AU" w:eastAsia="en-US"/>
        </w:rPr>
        <w:t xml:space="preserve">adults </w:t>
      </w:r>
      <w:r w:rsidRPr="00400300">
        <w:rPr>
          <w:rFonts w:cstheme="minorHAnsi"/>
          <w:lang w:val="en-AU" w:eastAsia="en-US"/>
        </w:rPr>
        <w:t xml:space="preserve">live and work, can </w:t>
      </w:r>
      <w:r w:rsidR="00A6456F">
        <w:rPr>
          <w:rFonts w:cstheme="minorHAnsi"/>
          <w:lang w:val="en-AU" w:eastAsia="en-US"/>
        </w:rPr>
        <w:t xml:space="preserve">impact the </w:t>
      </w:r>
      <w:r w:rsidRPr="00400300">
        <w:rPr>
          <w:rFonts w:cstheme="minorHAnsi"/>
          <w:lang w:val="en-AU" w:eastAsia="en-US"/>
        </w:rPr>
        <w:t xml:space="preserve">risk of self-harm, poisoning and overdose injuries, work-related injuries and transport-related injuries for this age group. </w:t>
      </w:r>
    </w:p>
    <w:p w14:paraId="0F1C3333" w14:textId="501DD477" w:rsidR="007617C8" w:rsidRDefault="007617C8" w:rsidP="00D91CC6">
      <w:pPr>
        <w:spacing w:after="120"/>
        <w:rPr>
          <w:rFonts w:cstheme="minorHAnsi"/>
          <w:lang w:val="en-AU" w:eastAsia="en-US"/>
        </w:rPr>
      </w:pPr>
    </w:p>
    <w:tbl>
      <w:tblPr>
        <w:tblStyle w:val="PlainTable2"/>
        <w:tblW w:w="0" w:type="auto"/>
        <w:tblLook w:val="04A0" w:firstRow="1" w:lastRow="0" w:firstColumn="1" w:lastColumn="0" w:noHBand="0" w:noVBand="1"/>
      </w:tblPr>
      <w:tblGrid>
        <w:gridCol w:w="3005"/>
        <w:gridCol w:w="397"/>
        <w:gridCol w:w="1106"/>
        <w:gridCol w:w="874"/>
        <w:gridCol w:w="628"/>
        <w:gridCol w:w="3006"/>
      </w:tblGrid>
      <w:tr w:rsidR="009E4DA8" w:rsidRPr="007E6D38" w14:paraId="6EC62DD3" w14:textId="77777777" w:rsidTr="00E83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5AE127E" w14:textId="322220C8" w:rsidR="009E4DA8" w:rsidRPr="007E6D38" w:rsidRDefault="009E4DA8" w:rsidP="00A94CDF">
            <w:pPr>
              <w:rPr>
                <w:rFonts w:cstheme="minorHAnsi"/>
                <w:b w:val="0"/>
                <w:sz w:val="20"/>
                <w:szCs w:val="20"/>
                <w:lang w:val="en-AU" w:eastAsia="en-US"/>
              </w:rPr>
            </w:pPr>
            <w:r w:rsidRPr="00B419FA">
              <w:rPr>
                <w:i/>
                <w:sz w:val="20"/>
                <w:szCs w:val="20"/>
                <w:lang w:val="en-AU"/>
              </w:rPr>
              <w:t>Leading causes of injury</w:t>
            </w:r>
            <w:r w:rsidRPr="007E6D38">
              <w:rPr>
                <w:b w:val="0"/>
                <w:sz w:val="20"/>
                <w:szCs w:val="20"/>
                <w:lang w:val="en-AU"/>
              </w:rPr>
              <w:t xml:space="preserve"> </w:t>
            </w:r>
            <w:r w:rsidR="00676114">
              <w:rPr>
                <w:b w:val="0"/>
                <w:sz w:val="20"/>
                <w:szCs w:val="20"/>
                <w:lang w:val="en-AU"/>
              </w:rPr>
              <w:t>(DALY)</w:t>
            </w:r>
            <w:r w:rsidR="00E83213" w:rsidRPr="007E6D38">
              <w:rPr>
                <w:sz w:val="20"/>
                <w:szCs w:val="20"/>
                <w:lang w:val="en-AU"/>
              </w:rPr>
              <w:fldChar w:fldCharType="begin"/>
            </w:r>
            <w:r w:rsidR="00E83213" w:rsidRPr="007E6D38">
              <w:rPr>
                <w:b w:val="0"/>
                <w:sz w:val="20"/>
                <w:szCs w:val="20"/>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00E83213" w:rsidRPr="007E6D38">
              <w:rPr>
                <w:sz w:val="20"/>
                <w:szCs w:val="20"/>
                <w:lang w:val="en-AU"/>
              </w:rPr>
              <w:fldChar w:fldCharType="separate"/>
            </w:r>
            <w:r w:rsidR="00E83213" w:rsidRPr="007E6D38">
              <w:rPr>
                <w:b w:val="0"/>
                <w:noProof/>
                <w:sz w:val="20"/>
                <w:szCs w:val="20"/>
                <w:vertAlign w:val="superscript"/>
                <w:lang w:val="en-AU"/>
              </w:rPr>
              <w:t>1</w:t>
            </w:r>
            <w:r w:rsidR="00E83213" w:rsidRPr="007E6D38">
              <w:rPr>
                <w:sz w:val="20"/>
                <w:szCs w:val="20"/>
                <w:lang w:val="en-AU"/>
              </w:rPr>
              <w:fldChar w:fldCharType="end"/>
            </w:r>
            <w:r w:rsidR="00E83213">
              <w:rPr>
                <w:sz w:val="20"/>
                <w:szCs w:val="20"/>
                <w:lang w:val="en-AU"/>
              </w:rPr>
              <w:t xml:space="preserve"> </w:t>
            </w:r>
            <w:r w:rsidRPr="007E6D38">
              <w:rPr>
                <w:b w:val="0"/>
                <w:sz w:val="20"/>
                <w:szCs w:val="20"/>
                <w:lang w:val="en-AU"/>
              </w:rPr>
              <w:t>in adults aged 25-64 years:</w:t>
            </w:r>
          </w:p>
        </w:tc>
        <w:tc>
          <w:tcPr>
            <w:tcW w:w="3005" w:type="dxa"/>
            <w:gridSpan w:val="4"/>
          </w:tcPr>
          <w:p w14:paraId="620867B5" w14:textId="77777777" w:rsidR="009E4DA8" w:rsidRPr="007E6D38" w:rsidRDefault="009E4DA8" w:rsidP="00A94CDF">
            <w:pPr>
              <w:pStyle w:val="ListParagraph"/>
              <w:numPr>
                <w:ilvl w:val="0"/>
                <w:numId w:val="91"/>
              </w:numPr>
              <w:ind w:left="348"/>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AU" w:eastAsia="en-US"/>
              </w:rPr>
            </w:pPr>
            <w:r w:rsidRPr="007E6D38">
              <w:rPr>
                <w:sz w:val="20"/>
                <w:szCs w:val="20"/>
                <w:lang w:val="en-AU"/>
              </w:rPr>
              <w:t>Suicide and self-inflicted</w:t>
            </w:r>
          </w:p>
          <w:p w14:paraId="777F65DD" w14:textId="77777777" w:rsidR="009E4DA8" w:rsidRPr="007E6D38" w:rsidRDefault="009E4DA8" w:rsidP="00E83213">
            <w:pPr>
              <w:spacing w:before="0"/>
              <w:ind w:left="-12"/>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AU" w:eastAsia="en-US"/>
              </w:rPr>
            </w:pPr>
            <w:r w:rsidRPr="007E6D38">
              <w:rPr>
                <w:b w:val="0"/>
                <w:sz w:val="20"/>
                <w:szCs w:val="20"/>
                <w:lang w:val="en-AU"/>
              </w:rPr>
              <w:t>(39% of the injury burden)</w:t>
            </w:r>
          </w:p>
        </w:tc>
        <w:tc>
          <w:tcPr>
            <w:tcW w:w="3006" w:type="dxa"/>
          </w:tcPr>
          <w:p w14:paraId="6D73CAB1" w14:textId="77777777" w:rsidR="009E4DA8" w:rsidRPr="007E6D38" w:rsidRDefault="009E4DA8" w:rsidP="00A94CDF">
            <w:pPr>
              <w:pStyle w:val="ListParagraph"/>
              <w:numPr>
                <w:ilvl w:val="0"/>
                <w:numId w:val="91"/>
              </w:numPr>
              <w:ind w:left="402"/>
              <w:cnfStyle w:val="100000000000" w:firstRow="1" w:lastRow="0" w:firstColumn="0" w:lastColumn="0" w:oddVBand="0" w:evenVBand="0" w:oddHBand="0" w:evenHBand="0" w:firstRowFirstColumn="0" w:firstRowLastColumn="0" w:lastRowFirstColumn="0" w:lastRowLastColumn="0"/>
              <w:rPr>
                <w:b w:val="0"/>
                <w:sz w:val="20"/>
                <w:szCs w:val="20"/>
                <w:lang w:val="en-AU"/>
              </w:rPr>
            </w:pPr>
            <w:r w:rsidRPr="007E6D38">
              <w:rPr>
                <w:b w:val="0"/>
                <w:sz w:val="20"/>
                <w:szCs w:val="20"/>
                <w:lang w:val="en-AU"/>
              </w:rPr>
              <w:t>Poisoning</w:t>
            </w:r>
          </w:p>
          <w:p w14:paraId="0E33C870" w14:textId="77777777" w:rsidR="009E4DA8" w:rsidRPr="007E6D38" w:rsidRDefault="009E4DA8" w:rsidP="007D5286">
            <w:pPr>
              <w:pStyle w:val="ListParagraph"/>
              <w:numPr>
                <w:ilvl w:val="0"/>
                <w:numId w:val="91"/>
              </w:numPr>
              <w:spacing w:before="0"/>
              <w:ind w:left="402"/>
              <w:cnfStyle w:val="100000000000" w:firstRow="1" w:lastRow="0" w:firstColumn="0" w:lastColumn="0" w:oddVBand="0" w:evenVBand="0" w:oddHBand="0" w:evenHBand="0" w:firstRowFirstColumn="0" w:firstRowLastColumn="0" w:lastRowFirstColumn="0" w:lastRowLastColumn="0"/>
              <w:rPr>
                <w:b w:val="0"/>
                <w:sz w:val="20"/>
                <w:szCs w:val="20"/>
                <w:lang w:val="en-AU"/>
              </w:rPr>
            </w:pPr>
            <w:r w:rsidRPr="007E6D38">
              <w:rPr>
                <w:b w:val="0"/>
                <w:sz w:val="20"/>
                <w:szCs w:val="20"/>
                <w:lang w:val="en-AU"/>
              </w:rPr>
              <w:t>Road transport injury and</w:t>
            </w:r>
          </w:p>
          <w:p w14:paraId="739D25F5" w14:textId="026E0012" w:rsidR="00676114" w:rsidRPr="00676114" w:rsidRDefault="009E4DA8" w:rsidP="007D5286">
            <w:pPr>
              <w:pStyle w:val="ListParagraph"/>
              <w:numPr>
                <w:ilvl w:val="0"/>
                <w:numId w:val="91"/>
              </w:numPr>
              <w:spacing w:before="0"/>
              <w:ind w:left="402"/>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AU" w:eastAsia="en-US"/>
              </w:rPr>
            </w:pPr>
            <w:r w:rsidRPr="007E6D38">
              <w:rPr>
                <w:b w:val="0"/>
                <w:sz w:val="20"/>
                <w:szCs w:val="20"/>
                <w:lang w:val="en-AU"/>
              </w:rPr>
              <w:t>Falls</w:t>
            </w:r>
            <w:r w:rsidR="00E83213">
              <w:rPr>
                <w:b w:val="0"/>
                <w:sz w:val="20"/>
                <w:szCs w:val="20"/>
                <w:lang w:val="en-AU"/>
              </w:rPr>
              <w:t xml:space="preserve"> </w:t>
            </w:r>
            <w:r w:rsidR="00E83213" w:rsidRPr="00676114">
              <w:rPr>
                <w:rFonts w:cstheme="minorHAnsi"/>
                <w:b w:val="0"/>
                <w:sz w:val="18"/>
                <w:szCs w:val="14"/>
                <w:vertAlign w:val="superscript"/>
                <w:lang w:val="en-AU" w:eastAsia="en-US"/>
              </w:rPr>
              <w:t>(Appendix B)</w:t>
            </w:r>
          </w:p>
        </w:tc>
      </w:tr>
      <w:tr w:rsidR="009E4DA8" w:rsidRPr="007E6D38" w14:paraId="7C217A5E" w14:textId="77777777" w:rsidTr="00C3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3"/>
            <w:tcBorders>
              <w:bottom w:val="single" w:sz="4" w:space="0" w:color="1F4E79" w:themeColor="accent1" w:themeShade="80"/>
            </w:tcBorders>
            <w:vAlign w:val="center"/>
          </w:tcPr>
          <w:p w14:paraId="43D8E160" w14:textId="77777777" w:rsidR="009E4DA8" w:rsidRPr="00CB30A8" w:rsidRDefault="009E4DA8" w:rsidP="00A94CDF">
            <w:pPr>
              <w:jc w:val="center"/>
              <w:rPr>
                <w:rFonts w:cstheme="minorHAnsi"/>
                <w:bCs w:val="0"/>
                <w:sz w:val="20"/>
                <w:szCs w:val="20"/>
                <w:lang w:val="en-AU" w:eastAsia="en-US"/>
              </w:rPr>
            </w:pPr>
            <w:r w:rsidRPr="00CB30A8">
              <w:rPr>
                <w:rFonts w:cstheme="minorHAnsi"/>
                <w:sz w:val="20"/>
                <w:szCs w:val="20"/>
                <w:lang w:val="en-AU" w:eastAsia="en-US"/>
              </w:rPr>
              <w:t>Musculoskeletal injuries</w:t>
            </w:r>
          </w:p>
          <w:p w14:paraId="724B051A" w14:textId="77777777" w:rsidR="009E4DA8" w:rsidRPr="00CB30A8" w:rsidRDefault="009E4DA8" w:rsidP="00C30AD1">
            <w:pPr>
              <w:jc w:val="center"/>
              <w:rPr>
                <w:sz w:val="20"/>
                <w:szCs w:val="20"/>
                <w:lang w:val="en-AU"/>
              </w:rPr>
            </w:pPr>
            <w:r w:rsidRPr="00CB30A8">
              <w:rPr>
                <w:rFonts w:cstheme="minorHAnsi"/>
                <w:b w:val="0"/>
                <w:sz w:val="20"/>
                <w:szCs w:val="20"/>
                <w:lang w:val="en-AU" w:eastAsia="en-US"/>
              </w:rPr>
              <w:t>Remain an issue and it is in this age-range that adverse long-term consequences of such injuries (e.g. osteoarthritis) start to appear and impact on quality of life.</w:t>
            </w:r>
            <w:r w:rsidRPr="00CB30A8">
              <w:rPr>
                <w:rFonts w:cstheme="minorHAnsi"/>
                <w:sz w:val="20"/>
                <w:szCs w:val="20"/>
                <w:lang w:val="en-AU" w:eastAsia="en-US"/>
              </w:rPr>
              <w:fldChar w:fldCharType="begin"/>
            </w:r>
            <w:r w:rsidRPr="00CB30A8">
              <w:rPr>
                <w:rFonts w:cstheme="minorHAnsi"/>
                <w:b w:val="0"/>
                <w:sz w:val="20"/>
                <w:szCs w:val="20"/>
                <w:lang w:val="en-AU" w:eastAsia="en-US"/>
              </w:rPr>
              <w:instrText xml:space="preserve"> ADDIN EN.CITE &lt;EndNote&gt;&lt;Cite&gt;&lt;Author&gt;Finch&lt;/Author&gt;&lt;Year&gt;2015&lt;/Year&gt;&lt;RecNum&gt;48&lt;/RecNum&gt;&lt;DisplayText&gt;&lt;style face="superscript"&gt;53&lt;/style&gt;&lt;/DisplayText&gt;&lt;record&gt;&lt;rec-number&gt;48&lt;/rec-number&gt;&lt;foreign-keys&gt;&lt;key app="EN" db-id="2wsw9x5wvsspa1evwxlvvergx9epfd50fs2a" timestamp="1574384458"&gt;48&lt;/key&gt;&lt;/foreign-keys&gt;&lt;ref-type name="Journal Article"&gt;17&lt;/ref-type&gt;&lt;contributors&gt;&lt;authors&gt;&lt;author&gt;Finch, Caroline F&lt;/author&gt;&lt;author&gt;Kemp, Joanne L&lt;/author&gt;&lt;author&gt;Clapperton, Angela&lt;/author&gt;&lt;/authors&gt;&lt;/contributors&gt;&lt;titles&gt;&lt;title&gt;The incidence and burden of hospital-treated sports-related injury in people aged 15+ years in Victoria, Australia, 2004–2010: a future epidemic of osteoarthritis?&lt;/title&gt;&lt;secondary-title&gt;Osteoarthritis cartilage&lt;/secondary-title&gt;&lt;/titles&gt;&lt;periodical&gt;&lt;full-title&gt;Osteoarthritis cartilage&lt;/full-title&gt;&lt;/periodical&gt;&lt;pages&gt;1138-1143&lt;/pages&gt;&lt;volume&gt;23&lt;/volume&gt;&lt;number&gt;7&lt;/number&gt;&lt;dates&gt;&lt;year&gt;2015&lt;/year&gt;&lt;/dates&gt;&lt;isbn&gt;1063-4584&lt;/isbn&gt;&lt;urls&gt;&lt;/urls&gt;&lt;/record&gt;&lt;/Cite&gt;&lt;/EndNote&gt;</w:instrText>
            </w:r>
            <w:r w:rsidRPr="00CB30A8">
              <w:rPr>
                <w:rFonts w:cstheme="minorHAnsi"/>
                <w:sz w:val="20"/>
                <w:szCs w:val="20"/>
                <w:lang w:val="en-AU" w:eastAsia="en-US"/>
              </w:rPr>
              <w:fldChar w:fldCharType="separate"/>
            </w:r>
            <w:r w:rsidRPr="00CB30A8">
              <w:rPr>
                <w:rFonts w:cstheme="minorHAnsi"/>
                <w:b w:val="0"/>
                <w:noProof/>
                <w:sz w:val="20"/>
                <w:szCs w:val="20"/>
                <w:vertAlign w:val="superscript"/>
                <w:lang w:val="en-AU" w:eastAsia="en-US"/>
              </w:rPr>
              <w:t>53</w:t>
            </w:r>
            <w:r w:rsidRPr="00CB30A8">
              <w:rPr>
                <w:rFonts w:cstheme="minorHAnsi"/>
                <w:sz w:val="20"/>
                <w:szCs w:val="20"/>
                <w:lang w:val="en-AU" w:eastAsia="en-US"/>
              </w:rPr>
              <w:fldChar w:fldCharType="end"/>
            </w:r>
          </w:p>
        </w:tc>
        <w:tc>
          <w:tcPr>
            <w:tcW w:w="4508" w:type="dxa"/>
            <w:gridSpan w:val="3"/>
            <w:tcBorders>
              <w:bottom w:val="single" w:sz="4" w:space="0" w:color="auto"/>
              <w:right w:val="nil"/>
            </w:tcBorders>
            <w:vAlign w:val="center"/>
          </w:tcPr>
          <w:p w14:paraId="430F9F7F" w14:textId="5E5B73EC" w:rsidR="009E4DA8" w:rsidRDefault="009E4DA8" w:rsidP="00C30AD1">
            <w:pPr>
              <w:spacing w:before="0"/>
              <w:cnfStyle w:val="000000100000" w:firstRow="0" w:lastRow="0" w:firstColumn="0" w:lastColumn="0" w:oddVBand="0" w:evenVBand="0" w:oddHBand="1" w:evenHBand="0" w:firstRowFirstColumn="0" w:firstRowLastColumn="0" w:lastRowFirstColumn="0" w:lastRowLastColumn="0"/>
              <w:rPr>
                <w:rFonts w:cstheme="minorHAnsi"/>
                <w:b/>
                <w:sz w:val="20"/>
                <w:szCs w:val="20"/>
                <w:lang w:val="en-AU" w:eastAsia="en-US"/>
              </w:rPr>
            </w:pPr>
            <w:r w:rsidRPr="00CB30A8">
              <w:rPr>
                <w:b/>
                <w:sz w:val="20"/>
                <w:szCs w:val="20"/>
                <w:lang w:val="en-AU"/>
              </w:rPr>
              <w:t>Poisoning</w:t>
            </w:r>
            <w:r w:rsidRPr="00CB30A8">
              <w:rPr>
                <w:rFonts w:cstheme="minorHAnsi"/>
                <w:b/>
                <w:sz w:val="20"/>
                <w:szCs w:val="20"/>
                <w:lang w:val="en-AU" w:eastAsia="en-US"/>
              </w:rPr>
              <w:t xml:space="preserve"> </w:t>
            </w:r>
          </w:p>
          <w:p w14:paraId="757B1DBE" w14:textId="6C3C6A2F" w:rsidR="00E83213" w:rsidRPr="00E83213" w:rsidRDefault="00E83213" w:rsidP="007D5286">
            <w:pPr>
              <w:pStyle w:val="ListParagraph"/>
              <w:numPr>
                <w:ilvl w:val="0"/>
                <w:numId w:val="53"/>
              </w:numPr>
              <w:spacing w:before="0"/>
              <w:ind w:left="342" w:hanging="342"/>
              <w:cnfStyle w:val="000000100000" w:firstRow="0" w:lastRow="0" w:firstColumn="0" w:lastColumn="0" w:oddVBand="0" w:evenVBand="0" w:oddHBand="1" w:evenHBand="0" w:firstRowFirstColumn="0" w:firstRowLastColumn="0" w:lastRowFirstColumn="0" w:lastRowLastColumn="0"/>
              <w:rPr>
                <w:rFonts w:cstheme="minorHAnsi"/>
                <w:b/>
                <w:sz w:val="20"/>
                <w:szCs w:val="20"/>
                <w:lang w:val="en-AU" w:eastAsia="en-US"/>
              </w:rPr>
            </w:pPr>
            <w:r>
              <w:rPr>
                <w:rFonts w:cstheme="minorHAnsi"/>
                <w:sz w:val="20"/>
                <w:szCs w:val="20"/>
                <w:lang w:val="en-AU" w:eastAsia="en-US"/>
              </w:rPr>
              <w:t xml:space="preserve">#1 cause of injury for men aged 25-44 and </w:t>
            </w:r>
            <w:r w:rsidRPr="00E83213">
              <w:rPr>
                <w:rFonts w:cstheme="minorHAnsi"/>
                <w:sz w:val="20"/>
                <w:szCs w:val="20"/>
                <w:lang w:val="en-AU" w:eastAsia="en-US"/>
              </w:rPr>
              <w:t>4</w:t>
            </w:r>
            <w:r w:rsidRPr="00E83213">
              <w:rPr>
                <w:rFonts w:cstheme="minorHAnsi"/>
                <w:sz w:val="20"/>
                <w:szCs w:val="20"/>
                <w:vertAlign w:val="superscript"/>
                <w:lang w:val="en-AU" w:eastAsia="en-US"/>
              </w:rPr>
              <w:t>th</w:t>
            </w:r>
            <w:r>
              <w:rPr>
                <w:rFonts w:cstheme="minorHAnsi"/>
                <w:sz w:val="20"/>
                <w:szCs w:val="20"/>
                <w:lang w:val="en-AU" w:eastAsia="en-US"/>
              </w:rPr>
              <w:t xml:space="preserve"> </w:t>
            </w:r>
            <w:r w:rsidRPr="00E83213">
              <w:rPr>
                <w:rFonts w:cstheme="minorHAnsi"/>
                <w:sz w:val="20"/>
                <w:szCs w:val="20"/>
                <w:lang w:val="en-AU" w:eastAsia="en-US"/>
              </w:rPr>
              <w:t>leading cause of disease burden</w:t>
            </w:r>
            <w:r>
              <w:rPr>
                <w:rFonts w:cstheme="minorHAnsi"/>
                <w:sz w:val="20"/>
                <w:szCs w:val="20"/>
                <w:lang w:val="en-AU" w:eastAsia="en-US"/>
              </w:rPr>
              <w:t>;</w:t>
            </w:r>
          </w:p>
          <w:p w14:paraId="1807BE70" w14:textId="4D3F1682" w:rsidR="009E4DA8" w:rsidRPr="00E83213" w:rsidRDefault="00E83213" w:rsidP="007D5286">
            <w:pPr>
              <w:pStyle w:val="ListParagraph"/>
              <w:numPr>
                <w:ilvl w:val="0"/>
                <w:numId w:val="53"/>
              </w:numPr>
              <w:spacing w:before="0"/>
              <w:ind w:left="342" w:hanging="342"/>
              <w:cnfStyle w:val="000000100000" w:firstRow="0" w:lastRow="0" w:firstColumn="0" w:lastColumn="0" w:oddVBand="0" w:evenVBand="0" w:oddHBand="1" w:evenHBand="0" w:firstRowFirstColumn="0" w:firstRowLastColumn="0" w:lastRowFirstColumn="0" w:lastRowLastColumn="0"/>
              <w:rPr>
                <w:rFonts w:cstheme="minorHAnsi"/>
                <w:b/>
                <w:sz w:val="20"/>
                <w:szCs w:val="20"/>
                <w:lang w:val="en-AU" w:eastAsia="en-US"/>
              </w:rPr>
            </w:pPr>
            <w:r w:rsidRPr="00E83213">
              <w:rPr>
                <w:sz w:val="20"/>
                <w:szCs w:val="20"/>
              </w:rPr>
              <w:t>2</w:t>
            </w:r>
            <w:r w:rsidRPr="00E83213">
              <w:rPr>
                <w:sz w:val="20"/>
                <w:szCs w:val="20"/>
                <w:vertAlign w:val="superscript"/>
              </w:rPr>
              <w:t>nd</w:t>
            </w:r>
            <w:r w:rsidRPr="00E83213">
              <w:rPr>
                <w:sz w:val="20"/>
                <w:szCs w:val="20"/>
              </w:rPr>
              <w:t xml:space="preserve"> leading cause of injury burden for females 25-44 years</w:t>
            </w:r>
            <w:r w:rsidR="009E4DA8" w:rsidRPr="00E83213">
              <w:rPr>
                <w:sz w:val="20"/>
                <w:szCs w:val="20"/>
                <w:lang w:val="en-AU"/>
              </w:rPr>
              <w:t>.</w:t>
            </w:r>
            <w:r w:rsidR="009E4DA8" w:rsidRPr="00E83213">
              <w:rPr>
                <w:sz w:val="20"/>
                <w:szCs w:val="20"/>
                <w:lang w:val="en-AU"/>
              </w:rPr>
              <w:fldChar w:fldCharType="begin"/>
            </w:r>
            <w:r w:rsidR="009E4DA8" w:rsidRPr="00E83213">
              <w:rPr>
                <w:sz w:val="20"/>
                <w:szCs w:val="20"/>
                <w:lang w:val="en-AU"/>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009E4DA8" w:rsidRPr="00E83213">
              <w:rPr>
                <w:sz w:val="20"/>
                <w:szCs w:val="20"/>
                <w:lang w:val="en-AU"/>
              </w:rPr>
              <w:fldChar w:fldCharType="separate"/>
            </w:r>
            <w:r w:rsidR="009E4DA8" w:rsidRPr="00E83213">
              <w:rPr>
                <w:noProof/>
                <w:sz w:val="20"/>
                <w:szCs w:val="20"/>
                <w:vertAlign w:val="superscript"/>
                <w:lang w:val="en-AU"/>
              </w:rPr>
              <w:t>11</w:t>
            </w:r>
            <w:r w:rsidR="009E4DA8" w:rsidRPr="00E83213">
              <w:rPr>
                <w:sz w:val="20"/>
                <w:szCs w:val="20"/>
                <w:lang w:val="en-AU"/>
              </w:rPr>
              <w:fldChar w:fldCharType="end"/>
            </w:r>
          </w:p>
        </w:tc>
      </w:tr>
      <w:tr w:rsidR="009E4DA8" w:rsidRPr="007E6D38" w14:paraId="2BF7BD5F" w14:textId="77777777" w:rsidTr="00C30AD1">
        <w:trPr>
          <w:trHeight w:val="517"/>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bottom w:val="nil"/>
            </w:tcBorders>
            <w:vAlign w:val="center"/>
          </w:tcPr>
          <w:p w14:paraId="2B606462" w14:textId="77777777" w:rsidR="009E4DA8" w:rsidRPr="00CB30A8" w:rsidRDefault="009E4DA8" w:rsidP="00C30AD1">
            <w:pPr>
              <w:spacing w:before="0"/>
              <w:jc w:val="center"/>
              <w:rPr>
                <w:b w:val="0"/>
                <w:bCs w:val="0"/>
                <w:color w:val="1F4E79" w:themeColor="accent1" w:themeShade="80"/>
                <w:sz w:val="20"/>
                <w:szCs w:val="20"/>
                <w:lang w:val="en-AU"/>
              </w:rPr>
            </w:pPr>
            <w:r w:rsidRPr="007E6D38">
              <w:rPr>
                <w:color w:val="1F4E79" w:themeColor="accent1" w:themeShade="80"/>
                <w:sz w:val="20"/>
                <w:szCs w:val="20"/>
                <w:lang w:val="en-AU"/>
              </w:rPr>
              <w:t>Work-related injury and disease cost Australia $6.8 billion in 2012-2013.</w:t>
            </w:r>
            <w:r w:rsidRPr="007E6D38">
              <w:rPr>
                <w:color w:val="1F4E79" w:themeColor="accent1" w:themeShade="80"/>
                <w:sz w:val="20"/>
                <w:szCs w:val="20"/>
                <w:lang w:val="en-AU"/>
              </w:rPr>
              <w:fldChar w:fldCharType="begin"/>
            </w:r>
            <w:r w:rsidRPr="007E6D38">
              <w:rPr>
                <w:color w:val="1F4E79" w:themeColor="accent1" w:themeShade="80"/>
                <w:sz w:val="20"/>
                <w:szCs w:val="20"/>
                <w:lang w:val="en-AU"/>
              </w:rPr>
              <w:instrText xml:space="preserve"> ADDIN EN.CITE &lt;EndNote&gt;&lt;Cite&gt;&lt;Author&gt;Safe Work Australia&lt;/Author&gt;&lt;Year&gt;2018&lt;/Year&gt;&lt;RecNum&gt;24&lt;/RecNum&gt;&lt;DisplayText&gt;&lt;style face="superscript"&gt;51&lt;/style&gt;&lt;/DisplayText&gt;&lt;record&gt;&lt;rec-number&gt;24&lt;/rec-number&gt;&lt;foreign-keys&gt;&lt;key app="EN" db-id="2wsw9x5wvsspa1evwxlvvergx9epfd50fs2a" timestamp="1571987691"&gt;24&lt;/key&gt;&lt;/foreign-keys&gt;&lt;ref-type name="Web Page"&gt;12&lt;/ref-type&gt;&lt;contributors&gt;&lt;authors&gt;&lt;author&gt;Safe Work Australia,&lt;/author&gt;&lt;/authors&gt;&lt;secondary-authors&gt;&lt;author&gt;Safe Work Australia&lt;/author&gt;&lt;/secondary-authors&gt;&lt;/contributors&gt;&lt;titles&gt;&lt;title&gt;Statistics&lt;/title&gt;&lt;/titles&gt;&lt;volume&gt;2019&lt;/volume&gt;&lt;number&gt;15 July&lt;/number&gt;&lt;dates&gt;&lt;year&gt;2018&lt;/year&gt;&lt;/dates&gt;&lt;publisher&gt;Safe Work Australia&lt;/publisher&gt;&lt;urls&gt;&lt;related-urls&gt;&lt;url&gt;https://www.safeworkaustralia.gov.au/statistics-and-research/statistics&lt;/url&gt;&lt;/related-urls&gt;&lt;/urls&gt;&lt;/record&gt;&lt;/Cite&gt;&lt;/EndNote&gt;</w:instrText>
            </w:r>
            <w:r w:rsidRPr="007E6D38">
              <w:rPr>
                <w:color w:val="1F4E79" w:themeColor="accent1" w:themeShade="80"/>
                <w:sz w:val="20"/>
                <w:szCs w:val="20"/>
                <w:lang w:val="en-AU"/>
              </w:rPr>
              <w:fldChar w:fldCharType="separate"/>
            </w:r>
            <w:r w:rsidRPr="007E6D38">
              <w:rPr>
                <w:noProof/>
                <w:color w:val="1F4E79" w:themeColor="accent1" w:themeShade="80"/>
                <w:sz w:val="20"/>
                <w:szCs w:val="20"/>
                <w:vertAlign w:val="superscript"/>
                <w:lang w:val="en-AU"/>
              </w:rPr>
              <w:t>51</w:t>
            </w:r>
            <w:r w:rsidRPr="007E6D38">
              <w:rPr>
                <w:color w:val="1F4E79" w:themeColor="accent1" w:themeShade="80"/>
                <w:sz w:val="20"/>
                <w:szCs w:val="20"/>
                <w:lang w:val="en-AU"/>
              </w:rPr>
              <w:fldChar w:fldCharType="end"/>
            </w:r>
          </w:p>
        </w:tc>
      </w:tr>
      <w:tr w:rsidR="009E4DA8" w:rsidRPr="007E6D38" w14:paraId="1FC1B161" w14:textId="77777777" w:rsidTr="00C3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gridSpan w:val="2"/>
            <w:tcBorders>
              <w:top w:val="nil"/>
            </w:tcBorders>
          </w:tcPr>
          <w:p w14:paraId="5A28C113" w14:textId="77777777" w:rsidR="009E4DA8" w:rsidRPr="007E6D38" w:rsidRDefault="009E4DA8" w:rsidP="00C30AD1">
            <w:pPr>
              <w:spacing w:before="0"/>
              <w:rPr>
                <w:b w:val="0"/>
                <w:sz w:val="20"/>
                <w:szCs w:val="20"/>
                <w:lang w:val="en-AU"/>
              </w:rPr>
            </w:pPr>
            <w:r w:rsidRPr="007E6D38">
              <w:rPr>
                <w:b w:val="0"/>
                <w:sz w:val="20"/>
                <w:szCs w:val="20"/>
                <w:lang w:val="en-AU"/>
              </w:rPr>
              <w:t xml:space="preserve">In 2016 </w:t>
            </w:r>
            <w:r w:rsidRPr="007E6D38">
              <w:rPr>
                <w:b w:val="0"/>
                <w:color w:val="000000" w:themeColor="text1"/>
                <w:sz w:val="20"/>
                <w:szCs w:val="20"/>
                <w:lang w:val="en-AU"/>
              </w:rPr>
              <w:t xml:space="preserve">workplace fatalities </w:t>
            </w:r>
            <w:r w:rsidRPr="007E6D38">
              <w:rPr>
                <w:b w:val="0"/>
                <w:sz w:val="20"/>
                <w:szCs w:val="20"/>
                <w:lang w:val="en-AU"/>
              </w:rPr>
              <w:t>were highest in:</w:t>
            </w:r>
          </w:p>
          <w:p w14:paraId="6883CE64" w14:textId="77777777" w:rsidR="009E4DA8" w:rsidRPr="007E6D38" w:rsidRDefault="009E4DA8" w:rsidP="007D5286">
            <w:pPr>
              <w:pStyle w:val="ListParagraph"/>
              <w:numPr>
                <w:ilvl w:val="0"/>
                <w:numId w:val="92"/>
              </w:numPr>
              <w:spacing w:before="0"/>
              <w:ind w:left="317"/>
              <w:rPr>
                <w:rFonts w:cstheme="minorHAnsi"/>
                <w:b w:val="0"/>
                <w:sz w:val="20"/>
                <w:szCs w:val="20"/>
                <w:lang w:val="en-AU" w:eastAsia="en-US"/>
              </w:rPr>
            </w:pPr>
            <w:r w:rsidRPr="007E6D38">
              <w:rPr>
                <w:b w:val="0"/>
                <w:sz w:val="20"/>
                <w:szCs w:val="20"/>
                <w:lang w:val="en-AU"/>
              </w:rPr>
              <w:t>Road transport (road freight transport)</w:t>
            </w:r>
          </w:p>
          <w:p w14:paraId="2391C006" w14:textId="77777777" w:rsidR="009E4DA8" w:rsidRPr="007E6D38" w:rsidRDefault="009E4DA8" w:rsidP="007D5286">
            <w:pPr>
              <w:pStyle w:val="ListParagraph"/>
              <w:numPr>
                <w:ilvl w:val="0"/>
                <w:numId w:val="92"/>
              </w:numPr>
              <w:spacing w:before="0"/>
              <w:ind w:left="317"/>
              <w:rPr>
                <w:rFonts w:cstheme="minorHAnsi"/>
                <w:b w:val="0"/>
                <w:sz w:val="20"/>
                <w:szCs w:val="20"/>
                <w:lang w:val="en-AU" w:eastAsia="en-US"/>
              </w:rPr>
            </w:pPr>
            <w:r w:rsidRPr="007E6D38">
              <w:rPr>
                <w:b w:val="0"/>
                <w:sz w:val="20"/>
                <w:szCs w:val="20"/>
                <w:lang w:val="en-AU"/>
              </w:rPr>
              <w:t>Agriculture</w:t>
            </w:r>
          </w:p>
        </w:tc>
        <w:tc>
          <w:tcPr>
            <w:tcW w:w="1980" w:type="dxa"/>
            <w:gridSpan w:val="2"/>
            <w:tcBorders>
              <w:top w:val="nil"/>
            </w:tcBorders>
            <w:vAlign w:val="center"/>
          </w:tcPr>
          <w:p w14:paraId="29807D06" w14:textId="77777777" w:rsidR="009E4DA8" w:rsidRPr="007E6D38" w:rsidRDefault="009E4DA8" w:rsidP="00C30AD1">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AU" w:eastAsia="en-US"/>
              </w:rPr>
            </w:pPr>
            <w:r w:rsidRPr="007E6D38">
              <w:rPr>
                <w:sz w:val="20"/>
                <w:szCs w:val="20"/>
                <w:lang w:val="en-AU"/>
              </w:rPr>
              <w:t>Highest number of fatalities is among those in the 45-54 age group and the majority of work-related injury occurs in males (85%).</w:t>
            </w:r>
            <w:r w:rsidRPr="007E6D38">
              <w:rPr>
                <w:sz w:val="20"/>
                <w:szCs w:val="20"/>
                <w:lang w:val="en-AU"/>
              </w:rPr>
              <w:fldChar w:fldCharType="begin"/>
            </w:r>
            <w:r w:rsidRPr="007E6D38">
              <w:rPr>
                <w:sz w:val="20"/>
                <w:szCs w:val="20"/>
                <w:lang w:val="en-AU"/>
              </w:rPr>
              <w:instrText xml:space="preserve"> ADDIN EN.CITE &lt;EndNote&gt;&lt;Cite&gt;&lt;Author&gt;AIHW&lt;/Author&gt;&lt;Year&gt;2017&lt;/Year&gt;&lt;RecNum&gt;25&lt;/RecNum&gt;&lt;DisplayText&gt;&lt;style face="superscript"&gt;52&lt;/style&gt;&lt;/DisplayText&gt;&lt;record&gt;&lt;rec-number&gt;25&lt;/rec-number&gt;&lt;foreign-keys&gt;&lt;key app="EN" db-id="2wsw9x5wvsspa1evwxlvvergx9epfd50fs2a" timestamp="1571987692"&gt;25&lt;/key&gt;&lt;/foreign-keys&gt;&lt;ref-type name="Report"&gt;27&lt;/ref-type&gt;&lt;contributors&gt;&lt;authors&gt;&lt;author&gt;AIHW,&lt;/author&gt;&lt;/authors&gt;&lt;/contributors&gt;&lt;titles&gt;&lt;title&gt;Work-related hospitalised injury, Australia, 2006–07 to 2013–14&lt;/title&gt;&lt;/titles&gt;&lt;volume&gt;Injury research and statistics series no. 104&lt;/volume&gt;&lt;number&gt;Cat. no. INJCAT 180&lt;/number&gt;&lt;dates&gt;&lt;year&gt;2017&lt;/year&gt;&lt;/dates&gt;&lt;pub-location&gt;Canberra&lt;/pub-location&gt;&lt;publisher&gt;AIHW&lt;/publisher&gt;&lt;isbn&gt;Cat. no. INJCAT 180&lt;/isbn&gt;&lt;urls&gt;&lt;/urls&gt;&lt;/record&gt;&lt;/Cite&gt;&lt;/EndNote&gt;</w:instrText>
            </w:r>
            <w:r w:rsidRPr="007E6D38">
              <w:rPr>
                <w:sz w:val="20"/>
                <w:szCs w:val="20"/>
                <w:lang w:val="en-AU"/>
              </w:rPr>
              <w:fldChar w:fldCharType="separate"/>
            </w:r>
            <w:r w:rsidRPr="007E6D38">
              <w:rPr>
                <w:noProof/>
                <w:sz w:val="20"/>
                <w:szCs w:val="20"/>
                <w:vertAlign w:val="superscript"/>
                <w:lang w:val="en-AU"/>
              </w:rPr>
              <w:t>52</w:t>
            </w:r>
            <w:r w:rsidRPr="007E6D38">
              <w:rPr>
                <w:sz w:val="20"/>
                <w:szCs w:val="20"/>
                <w:lang w:val="en-AU"/>
              </w:rPr>
              <w:fldChar w:fldCharType="end"/>
            </w:r>
          </w:p>
        </w:tc>
        <w:tc>
          <w:tcPr>
            <w:tcW w:w="3634" w:type="dxa"/>
            <w:gridSpan w:val="2"/>
            <w:tcBorders>
              <w:top w:val="nil"/>
            </w:tcBorders>
          </w:tcPr>
          <w:p w14:paraId="414916A9" w14:textId="77777777" w:rsidR="009E4DA8" w:rsidRPr="007E6D38" w:rsidRDefault="009E4DA8" w:rsidP="00C30AD1">
            <w:pPr>
              <w:spacing w:before="0"/>
              <w:jc w:val="center"/>
              <w:cnfStyle w:val="000000100000" w:firstRow="0" w:lastRow="0" w:firstColumn="0" w:lastColumn="0" w:oddVBand="0" w:evenVBand="0" w:oddHBand="1" w:evenHBand="0" w:firstRowFirstColumn="0" w:firstRowLastColumn="0" w:lastRowFirstColumn="0" w:lastRowLastColumn="0"/>
              <w:rPr>
                <w:sz w:val="20"/>
                <w:szCs w:val="20"/>
                <w:lang w:val="en-AU"/>
              </w:rPr>
            </w:pPr>
            <w:r w:rsidRPr="007E6D38">
              <w:rPr>
                <w:sz w:val="20"/>
                <w:szCs w:val="20"/>
                <w:lang w:val="en-AU"/>
              </w:rPr>
              <w:t xml:space="preserve">Hospitalisations </w:t>
            </w:r>
            <w:r>
              <w:rPr>
                <w:sz w:val="20"/>
                <w:szCs w:val="20"/>
                <w:lang w:val="en-AU"/>
              </w:rPr>
              <w:t>from</w:t>
            </w:r>
            <w:r w:rsidRPr="007E6D38">
              <w:rPr>
                <w:sz w:val="20"/>
                <w:szCs w:val="20"/>
                <w:lang w:val="en-AU"/>
              </w:rPr>
              <w:t xml:space="preserve"> work-related injury:</w:t>
            </w:r>
          </w:p>
          <w:p w14:paraId="2BF7362D" w14:textId="6F10F13F" w:rsidR="009E4DA8" w:rsidRPr="007E6D38" w:rsidRDefault="009E4DA8" w:rsidP="00C30AD1">
            <w:pPr>
              <w:spacing w:before="0"/>
              <w:jc w:val="center"/>
              <w:cnfStyle w:val="000000100000" w:firstRow="0" w:lastRow="0" w:firstColumn="0" w:lastColumn="0" w:oddVBand="0" w:evenVBand="0" w:oddHBand="1" w:evenHBand="0" w:firstRowFirstColumn="0" w:firstRowLastColumn="0" w:lastRowFirstColumn="0" w:lastRowLastColumn="0"/>
              <w:rPr>
                <w:sz w:val="20"/>
                <w:szCs w:val="20"/>
                <w:lang w:val="en-AU"/>
              </w:rPr>
            </w:pPr>
            <w:r w:rsidRPr="007E6D38">
              <w:rPr>
                <w:sz w:val="20"/>
                <w:szCs w:val="20"/>
                <w:lang w:val="en-AU"/>
              </w:rPr>
              <w:t xml:space="preserve"> 234,104 cases (2006-20 to 2013-14) </w:t>
            </w:r>
          </w:p>
          <w:p w14:paraId="45E61B96" w14:textId="77777777" w:rsidR="009E4DA8" w:rsidRDefault="009E4DA8" w:rsidP="00C30AD1">
            <w:pPr>
              <w:spacing w:before="0"/>
              <w:jc w:val="center"/>
              <w:cnfStyle w:val="000000100000" w:firstRow="0" w:lastRow="0" w:firstColumn="0" w:lastColumn="0" w:oddVBand="0" w:evenVBand="0" w:oddHBand="1" w:evenHBand="0" w:firstRowFirstColumn="0" w:firstRowLastColumn="0" w:lastRowFirstColumn="0" w:lastRowLastColumn="0"/>
              <w:rPr>
                <w:sz w:val="20"/>
                <w:szCs w:val="20"/>
                <w:lang w:val="en-AU"/>
              </w:rPr>
            </w:pPr>
          </w:p>
          <w:p w14:paraId="27BD2F06" w14:textId="77777777" w:rsidR="009E4DA8" w:rsidRPr="007E6D38" w:rsidRDefault="009E4DA8" w:rsidP="00C30AD1">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AU" w:eastAsia="en-US"/>
              </w:rPr>
            </w:pPr>
            <w:r w:rsidRPr="007E6D38">
              <w:rPr>
                <w:sz w:val="20"/>
                <w:szCs w:val="20"/>
                <w:lang w:val="en-AU"/>
              </w:rPr>
              <w:t>Leading type of injury for hospitalisations was falls.</w:t>
            </w:r>
            <w:r w:rsidRPr="007E6D38">
              <w:rPr>
                <w:sz w:val="20"/>
                <w:szCs w:val="20"/>
                <w:lang w:val="en-AU"/>
              </w:rPr>
              <w:fldChar w:fldCharType="begin"/>
            </w:r>
            <w:r w:rsidRPr="007E6D38">
              <w:rPr>
                <w:sz w:val="20"/>
                <w:szCs w:val="20"/>
                <w:lang w:val="en-AU"/>
              </w:rPr>
              <w:instrText xml:space="preserve"> ADDIN EN.CITE &lt;EndNote&gt;&lt;Cite&gt;&lt;Author&gt;AIHW: Henley G &amp;amp; Harrison JE&lt;/Author&gt;&lt;Year&gt;2017&lt;/Year&gt;&lt;RecNum&gt;90&lt;/RecNum&gt;&lt;DisplayText&gt;&lt;style face="superscript"&gt;50&lt;/style&gt;&lt;/DisplayText&gt;&lt;record&gt;&lt;rec-number&gt;90&lt;/rec-number&gt;&lt;foreign-keys&gt;&lt;key app="EN" db-id="2wsw9x5wvsspa1evwxlvvergx9epfd50fs2a" timestamp="1578264781"&gt;90&lt;/key&gt;&lt;/foreign-keys&gt;&lt;ref-type name="Government Document"&gt;46&lt;/ref-type&gt;&lt;contributors&gt;&lt;authors&gt;&lt;author&gt;AIHW: Henley G &amp;amp; Harrison JE,&lt;/author&gt;&lt;/authors&gt;&lt;secondary-authors&gt;&lt;author&gt;AIHW&lt;/author&gt;&lt;/secondary-authors&gt;&lt;/contributors&gt;&lt;titles&gt;&lt;title&gt;Work-related hospitalised injury, Australia, 2006–07 to 2013–14&lt;/title&gt;&lt;/titles&gt;&lt;volume&gt;Injury research and statistics series no. 104. Cat. no. INJCAT 180&lt;/volume&gt;&lt;dates&gt;&lt;year&gt;2017&lt;/year&gt;&lt;/dates&gt;&lt;pub-location&gt;Canberra&lt;/pub-location&gt;&lt;publisher&gt;AIHW&lt;/publisher&gt;&lt;urls&gt;&lt;/urls&gt;&lt;/record&gt;&lt;/Cite&gt;&lt;/EndNote&gt;</w:instrText>
            </w:r>
            <w:r w:rsidRPr="007E6D38">
              <w:rPr>
                <w:sz w:val="20"/>
                <w:szCs w:val="20"/>
                <w:lang w:val="en-AU"/>
              </w:rPr>
              <w:fldChar w:fldCharType="separate"/>
            </w:r>
            <w:r w:rsidRPr="007E6D38">
              <w:rPr>
                <w:noProof/>
                <w:sz w:val="20"/>
                <w:szCs w:val="20"/>
                <w:vertAlign w:val="superscript"/>
                <w:lang w:val="en-AU"/>
              </w:rPr>
              <w:t>50</w:t>
            </w:r>
            <w:r w:rsidRPr="007E6D38">
              <w:rPr>
                <w:sz w:val="20"/>
                <w:szCs w:val="20"/>
                <w:lang w:val="en-AU"/>
              </w:rPr>
              <w:fldChar w:fldCharType="end"/>
            </w:r>
          </w:p>
        </w:tc>
      </w:tr>
      <w:tr w:rsidR="009E4DA8" w:rsidRPr="007E6D38" w14:paraId="447EDC2D" w14:textId="77777777" w:rsidTr="00C30AD1">
        <w:tc>
          <w:tcPr>
            <w:cnfStyle w:val="001000000000" w:firstRow="0" w:lastRow="0" w:firstColumn="1" w:lastColumn="0" w:oddVBand="0" w:evenVBand="0" w:oddHBand="0" w:evenHBand="0" w:firstRowFirstColumn="0" w:firstRowLastColumn="0" w:lastRowFirstColumn="0" w:lastRowLastColumn="0"/>
            <w:tcW w:w="9016" w:type="dxa"/>
            <w:gridSpan w:val="6"/>
          </w:tcPr>
          <w:p w14:paraId="64BE928E" w14:textId="4F4FEA5D" w:rsidR="009E4DA8" w:rsidRPr="00CB30A8" w:rsidRDefault="009E4DA8" w:rsidP="00A94CDF">
            <w:pPr>
              <w:jc w:val="center"/>
              <w:rPr>
                <w:b w:val="0"/>
                <w:sz w:val="20"/>
                <w:szCs w:val="20"/>
                <w:lang w:val="en-AU"/>
              </w:rPr>
            </w:pPr>
            <w:r w:rsidRPr="00CB30A8">
              <w:rPr>
                <w:b w:val="0"/>
                <w:sz w:val="20"/>
                <w:szCs w:val="20"/>
                <w:lang w:val="en-AU"/>
              </w:rPr>
              <w:t>Aboriginal and Torres Strait Islander people, people living in rural and remote areas and people from socio-economically disadvantaged areas</w:t>
            </w:r>
            <w:r w:rsidRPr="00CB30A8">
              <w:rPr>
                <w:b w:val="0"/>
                <w:i/>
                <w:sz w:val="20"/>
                <w:szCs w:val="20"/>
                <w:lang w:val="en-AU"/>
              </w:rPr>
              <w:t xml:space="preserve"> </w:t>
            </w:r>
            <w:r w:rsidRPr="00CB30A8">
              <w:rPr>
                <w:b w:val="0"/>
                <w:sz w:val="20"/>
                <w:szCs w:val="20"/>
                <w:lang w:val="en-AU"/>
              </w:rPr>
              <w:t>are more likely to experience partner violence.</w:t>
            </w:r>
          </w:p>
          <w:p w14:paraId="7E0933E3" w14:textId="77777777" w:rsidR="009E4DA8" w:rsidRPr="00CB30A8" w:rsidRDefault="009E4DA8" w:rsidP="00C30AD1">
            <w:pPr>
              <w:spacing w:before="0"/>
              <w:jc w:val="center"/>
              <w:rPr>
                <w:b w:val="0"/>
                <w:sz w:val="20"/>
                <w:szCs w:val="20"/>
                <w:lang w:val="en-AU"/>
              </w:rPr>
            </w:pPr>
          </w:p>
          <w:p w14:paraId="421897A8" w14:textId="77777777" w:rsidR="009E4DA8" w:rsidRPr="007E6D38" w:rsidRDefault="009E4DA8" w:rsidP="00A94CDF">
            <w:pPr>
              <w:spacing w:before="0" w:after="240"/>
              <w:jc w:val="center"/>
              <w:rPr>
                <w:b w:val="0"/>
                <w:sz w:val="20"/>
                <w:szCs w:val="20"/>
                <w:lang w:val="en-AU"/>
              </w:rPr>
            </w:pPr>
            <w:r w:rsidRPr="00CB30A8">
              <w:rPr>
                <w:b w:val="0"/>
                <w:sz w:val="20"/>
                <w:szCs w:val="20"/>
                <w:lang w:val="en-AU"/>
              </w:rPr>
              <w:t>Other groups in Australia who are more vulnerable to violence include people with a disability, people from culturally and linguistically diverse backgrounds and LGBTQI+ people.</w:t>
            </w:r>
            <w:r w:rsidRPr="00CB30A8">
              <w:rPr>
                <w:sz w:val="20"/>
                <w:szCs w:val="20"/>
                <w:lang w:val="en-AU"/>
              </w:rPr>
              <w:fldChar w:fldCharType="begin"/>
            </w:r>
            <w:r w:rsidRPr="00CB30A8">
              <w:rPr>
                <w:b w:val="0"/>
                <w:sz w:val="20"/>
                <w:szCs w:val="20"/>
                <w:lang w:val="en-AU"/>
              </w:rPr>
              <w:instrText xml:space="preserve"> ADDIN EN.CITE &lt;EndNote&gt;&lt;Cite&gt;&lt;Author&gt;AIHW&lt;/Author&gt;&lt;Year&gt;2019b&lt;/Year&gt;&lt;RecNum&gt;37&lt;/RecNum&gt;&lt;DisplayText&gt;&lt;style face="superscript"&gt;30&lt;/style&gt;&lt;/DisplayText&gt;&lt;record&gt;&lt;rec-number&gt;37&lt;/rec-number&gt;&lt;foreign-keys&gt;&lt;key app="EN" db-id="2wsw9x5wvsspa1evwxlvvergx9epfd50fs2a" timestamp="1574037263"&gt;37&lt;/key&gt;&lt;/foreign-keys&gt;&lt;ref-type name="Report"&gt;27&lt;/ref-type&gt;&lt;contributors&gt;&lt;authors&gt;&lt;author&gt;AIHW,&lt;/author&gt;&lt;/authors&gt;&lt;/contributors&gt;&lt;titles&gt;&lt;title&gt;Family, domestic and sexual violence in Australia: continuing the national story&lt;/title&gt;&lt;secondary-title&gt;FDV 3&lt;/secondary-title&gt;&lt;/titles&gt;&lt;dates&gt;&lt;year&gt;2019b&lt;/year&gt;&lt;/dates&gt;&lt;pub-location&gt;Canberra&lt;/pub-location&gt;&lt;publisher&gt;AIHW&lt;/publisher&gt;&lt;isbn&gt;Citing Australian Bureau of Statistics, Personal Safety Survey, 2016, TableBuilder. ABS cat. no. 4906.0. Findings based on use of ABS TableBuilder data. Canberra: ABS.&lt;/isbn&gt;&lt;urls&gt;&lt;related-urls&gt;&lt;url&gt;https://www.aihw.gov.au/getmedia/b0037b2d-a651-4abf-9f7b-00a85e3de528/aihw-fdv3-FDSV-in-Australia-2019.pdf.aspx?inline=true&lt;/url&gt;&lt;/related-urls&gt;&lt;/urls&gt;&lt;/record&gt;&lt;/Cite&gt;&lt;/EndNote&gt;</w:instrText>
            </w:r>
            <w:r w:rsidRPr="00CB30A8">
              <w:rPr>
                <w:sz w:val="20"/>
                <w:szCs w:val="20"/>
                <w:lang w:val="en-AU"/>
              </w:rPr>
              <w:fldChar w:fldCharType="separate"/>
            </w:r>
            <w:r w:rsidRPr="00CB30A8">
              <w:rPr>
                <w:b w:val="0"/>
                <w:noProof/>
                <w:sz w:val="20"/>
                <w:szCs w:val="20"/>
                <w:vertAlign w:val="superscript"/>
                <w:lang w:val="en-AU"/>
              </w:rPr>
              <w:t>30</w:t>
            </w:r>
            <w:r w:rsidRPr="00CB30A8">
              <w:rPr>
                <w:sz w:val="20"/>
                <w:szCs w:val="20"/>
                <w:lang w:val="en-AU"/>
              </w:rPr>
              <w:fldChar w:fldCharType="end"/>
            </w:r>
          </w:p>
        </w:tc>
      </w:tr>
    </w:tbl>
    <w:p w14:paraId="59924FED" w14:textId="6CB5ABF5" w:rsidR="00A27604" w:rsidRPr="00400300" w:rsidRDefault="00A27604" w:rsidP="00AC765C">
      <w:pPr>
        <w:rPr>
          <w:lang w:val="en-AU"/>
        </w:rPr>
      </w:pPr>
    </w:p>
    <w:p w14:paraId="3E9AAAA9" w14:textId="29E4F755" w:rsidR="00D93AB9" w:rsidRDefault="0022326A">
      <w:pPr>
        <w:pStyle w:val="Heading2"/>
        <w:rPr>
          <w:lang w:val="en-AU"/>
        </w:rPr>
      </w:pPr>
      <w:bookmarkStart w:id="235" w:name="_Toc32584899"/>
      <w:bookmarkStart w:id="236" w:name="_Toc38021101"/>
      <w:bookmarkEnd w:id="233"/>
      <w:bookmarkEnd w:id="234"/>
      <w:r w:rsidRPr="00400300">
        <w:rPr>
          <w:lang w:val="en-AU"/>
        </w:rPr>
        <w:t xml:space="preserve">Priority areas for </w:t>
      </w:r>
      <w:r w:rsidR="008462F1" w:rsidRPr="00400300">
        <w:rPr>
          <w:lang w:val="en-AU"/>
        </w:rPr>
        <w:t>a</w:t>
      </w:r>
      <w:r w:rsidR="00187CE3" w:rsidRPr="00400300">
        <w:rPr>
          <w:lang w:val="en-AU"/>
        </w:rPr>
        <w:t>ction</w:t>
      </w:r>
      <w:bookmarkEnd w:id="235"/>
      <w:bookmarkEnd w:id="236"/>
    </w:p>
    <w:p w14:paraId="4FF135C5" w14:textId="77777777" w:rsidR="000048C6" w:rsidRPr="000048C6" w:rsidRDefault="000048C6" w:rsidP="000048C6">
      <w:pPr>
        <w:rPr>
          <w:lang w:val="en-AU" w:eastAsia="en-US"/>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12"/>
        <w:gridCol w:w="7319"/>
      </w:tblGrid>
      <w:tr w:rsidR="003067F9" w:rsidRPr="00817E68" w14:paraId="697160DD" w14:textId="77777777" w:rsidTr="009E4DA8">
        <w:trPr>
          <w:trHeight w:val="20"/>
        </w:trPr>
        <w:tc>
          <w:tcPr>
            <w:tcW w:w="269" w:type="pct"/>
            <w:vMerge w:val="restart"/>
            <w:tcBorders>
              <w:top w:val="single" w:sz="4" w:space="0" w:color="BFBFBF" w:themeColor="background1" w:themeShade="BF"/>
              <w:left w:val="single" w:sz="4" w:space="0" w:color="BFBFBF" w:themeColor="background1" w:themeShade="BF"/>
            </w:tcBorders>
            <w:shd w:val="clear" w:color="auto" w:fill="1F3864" w:themeFill="accent5" w:themeFillShade="80"/>
            <w:textDirection w:val="btLr"/>
          </w:tcPr>
          <w:p w14:paraId="3F37C75D" w14:textId="77777777" w:rsidR="003067F9" w:rsidRPr="000A0BD4" w:rsidRDefault="003067F9" w:rsidP="00252376">
            <w:pPr>
              <w:spacing w:before="0"/>
              <w:ind w:left="113" w:right="113"/>
              <w:contextualSpacing/>
              <w:jc w:val="center"/>
              <w:rPr>
                <w:rFonts w:cstheme="minorHAnsi"/>
                <w:b/>
                <w:sz w:val="21"/>
                <w:szCs w:val="20"/>
                <w:lang w:val="en-AU"/>
              </w:rPr>
            </w:pPr>
            <w:r>
              <w:rPr>
                <w:rFonts w:cstheme="minorHAnsi"/>
                <w:b/>
                <w:sz w:val="21"/>
                <w:szCs w:val="20"/>
                <w:lang w:val="en-AU"/>
              </w:rPr>
              <w:t>Intentional self-harm</w:t>
            </w:r>
          </w:p>
        </w:tc>
        <w:tc>
          <w:tcPr>
            <w:tcW w:w="672" w:type="pct"/>
            <w:tcBorders>
              <w:top w:val="single" w:sz="4" w:space="0" w:color="BFBFBF" w:themeColor="background1" w:themeShade="BF"/>
            </w:tcBorders>
          </w:tcPr>
          <w:p w14:paraId="59E80809" w14:textId="77777777" w:rsidR="003067F9" w:rsidRPr="0038126F" w:rsidRDefault="003067F9"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1</w:t>
            </w:r>
          </w:p>
        </w:tc>
        <w:tc>
          <w:tcPr>
            <w:tcW w:w="4059" w:type="pct"/>
            <w:tcBorders>
              <w:top w:val="single" w:sz="4" w:space="0" w:color="BFBFBF" w:themeColor="background1" w:themeShade="BF"/>
              <w:right w:val="single" w:sz="4" w:space="0" w:color="BFBFBF" w:themeColor="background1" w:themeShade="BF"/>
            </w:tcBorders>
          </w:tcPr>
          <w:p w14:paraId="35892586" w14:textId="77777777" w:rsidR="003067F9" w:rsidRPr="00817E68" w:rsidRDefault="003067F9" w:rsidP="00252376">
            <w:pPr>
              <w:pStyle w:val="Numberedtable"/>
              <w:numPr>
                <w:ilvl w:val="0"/>
                <w:numId w:val="0"/>
              </w:numPr>
              <w:rPr>
                <w:lang w:val="en-AU"/>
              </w:rPr>
            </w:pPr>
            <w:r w:rsidRPr="00247DD5">
              <w:rPr>
                <w:rFonts w:asciiTheme="minorHAnsi" w:hAnsiTheme="minorHAnsi" w:cstheme="minorHAnsi"/>
                <w:sz w:val="21"/>
                <w:szCs w:val="20"/>
                <w:lang w:val="en-AU"/>
              </w:rPr>
              <w:t>Reduce the rate of intentional self-harm</w:t>
            </w:r>
          </w:p>
        </w:tc>
      </w:tr>
      <w:tr w:rsidR="003067F9" w:rsidRPr="00817E68" w14:paraId="59EF9714" w14:textId="77777777" w:rsidTr="009E4DA8">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3D9E00A9"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Pr>
          <w:p w14:paraId="718C2F54"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2A00A4D9" w14:textId="77777777" w:rsidR="003067F9" w:rsidRPr="00817E68" w:rsidRDefault="003067F9"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75C0F212" w14:textId="77777777" w:rsidR="003067F9" w:rsidRPr="00701DBE" w:rsidRDefault="003067F9" w:rsidP="000048C6">
            <w:pPr>
              <w:pStyle w:val="TableNBullet"/>
            </w:pPr>
            <w:r w:rsidRPr="00701DBE">
              <w:rPr>
                <w:rFonts w:eastAsiaTheme="minorEastAsia"/>
              </w:rPr>
              <w:t xml:space="preserve">Increase the capacity of health and mental health services to conduct screening for depression, suicide and </w:t>
            </w:r>
            <w:r>
              <w:rPr>
                <w:rFonts w:eastAsiaTheme="minorEastAsia"/>
              </w:rPr>
              <w:t>other mental health conditions</w:t>
            </w:r>
            <w:r w:rsidRPr="00701DBE">
              <w:rPr>
                <w:rFonts w:eastAsiaTheme="minorEastAsia"/>
              </w:rPr>
              <w:t>.</w:t>
            </w:r>
          </w:p>
          <w:p w14:paraId="06138332" w14:textId="77777777" w:rsidR="003067F9" w:rsidRPr="00701DBE" w:rsidRDefault="003067F9" w:rsidP="000048C6">
            <w:pPr>
              <w:pStyle w:val="TableNBullet"/>
            </w:pPr>
            <w:r w:rsidRPr="00701DBE">
              <w:t>Increase access to screening training programs for rural and remote health service providers.</w:t>
            </w:r>
          </w:p>
          <w:p w14:paraId="359CC2F2" w14:textId="77777777" w:rsidR="003067F9" w:rsidRPr="00817E68" w:rsidRDefault="003067F9" w:rsidP="000048C6">
            <w:pPr>
              <w:pStyle w:val="TableNBullet"/>
              <w:rPr>
                <w:szCs w:val="20"/>
              </w:rPr>
            </w:pPr>
            <w:r w:rsidRPr="00701DBE">
              <w:t xml:space="preserve">Increase targeted interventions and public health awareness around suicide and self-harm as part of </w:t>
            </w:r>
            <w:r w:rsidRPr="00701DBE">
              <w:rPr>
                <w:rFonts w:eastAsiaTheme="minorEastAsia"/>
              </w:rPr>
              <w:t>working towards zero suicide</w:t>
            </w:r>
            <w:r w:rsidRPr="00701DBE">
              <w:t>.</w:t>
            </w:r>
          </w:p>
        </w:tc>
      </w:tr>
      <w:tr w:rsidR="003067F9" w:rsidRPr="00817E68" w14:paraId="27F64805" w14:textId="77777777" w:rsidTr="009E4DA8">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5783B9F3"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73817764" w14:textId="77777777" w:rsidR="003067F9" w:rsidRPr="00817E68" w:rsidRDefault="003067F9"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48CE288B" w14:textId="03CE9469" w:rsidR="00C17651" w:rsidRPr="00C17651" w:rsidRDefault="003067F9" w:rsidP="00C17651">
            <w:pPr>
              <w:pStyle w:val="Tablepartner"/>
              <w:rPr>
                <w:rFonts w:asciiTheme="minorHAnsi" w:eastAsia="Times New Roman" w:hAnsiTheme="minorHAnsi" w:cstheme="minorHAnsi"/>
                <w:sz w:val="21"/>
                <w:szCs w:val="21"/>
                <w:lang w:val="en-AU" w:eastAsia="en-AU"/>
              </w:rPr>
            </w:pPr>
            <w:r w:rsidRPr="00701DBE">
              <w:rPr>
                <w:rFonts w:asciiTheme="minorHAnsi" w:eastAsia="Times New Roman" w:hAnsiTheme="minorHAnsi" w:cstheme="minorHAnsi"/>
                <w:sz w:val="21"/>
                <w:szCs w:val="21"/>
                <w:lang w:val="en-AU" w:eastAsia="en-AU"/>
              </w:rPr>
              <w:t xml:space="preserve">Department of Health; </w:t>
            </w:r>
            <w:r w:rsidRPr="00701DBE">
              <w:rPr>
                <w:rFonts w:asciiTheme="minorHAnsi" w:hAnsiTheme="minorHAnsi" w:cstheme="minorHAnsi"/>
                <w:sz w:val="21"/>
                <w:szCs w:val="21"/>
                <w:lang w:val="en-AU"/>
              </w:rPr>
              <w:t xml:space="preserve">Department of Defence; The Department of Veterans’ Affairs; Department of Social Services; The Office for Women </w:t>
            </w:r>
            <w:r w:rsidRPr="00701DBE">
              <w:rPr>
                <w:rFonts w:asciiTheme="minorHAnsi" w:eastAsia="Times New Roman" w:hAnsiTheme="minorHAnsi" w:cstheme="minorHAnsi"/>
                <w:sz w:val="21"/>
                <w:szCs w:val="21"/>
                <w:lang w:val="en-AU" w:eastAsia="en-AU"/>
              </w:rPr>
              <w:t xml:space="preserve">(Family Mental Health Support Service, </w:t>
            </w:r>
            <w:r w:rsidRPr="00701DBE">
              <w:rPr>
                <w:rFonts w:asciiTheme="minorHAnsi" w:hAnsiTheme="minorHAnsi" w:cstheme="minorHAnsi"/>
                <w:sz w:val="21"/>
                <w:szCs w:val="21"/>
                <w:lang w:val="en-AU"/>
              </w:rPr>
              <w:t xml:space="preserve">National Indigenous Australians Agency, </w:t>
            </w:r>
            <w:r w:rsidRPr="00701DBE">
              <w:rPr>
                <w:rFonts w:asciiTheme="minorHAnsi" w:eastAsia="Times New Roman" w:hAnsiTheme="minorHAnsi" w:cstheme="minorHAnsi"/>
                <w:sz w:val="21"/>
                <w:szCs w:val="21"/>
                <w:lang w:val="en-AU" w:eastAsia="en-AU"/>
              </w:rPr>
              <w:t>Australian Government Office for Youth, state and territory health authorities, PHNs, local health districts, aftercare, alternatives to ED, peer workers, mental health NGOs, schools and tertiary education providers, community mental health providers)</w:t>
            </w:r>
          </w:p>
        </w:tc>
      </w:tr>
    </w:tbl>
    <w:p w14:paraId="27203CD7" w14:textId="57D9FEA5" w:rsidR="00C17651" w:rsidRDefault="00C17651"/>
    <w:p w14:paraId="610AE6F7" w14:textId="77777777" w:rsidR="00C17651" w:rsidRDefault="00C17651">
      <w:pPr>
        <w:spacing w:before="0" w:after="160" w:line="259" w:lineRule="auto"/>
      </w:pPr>
      <w:r>
        <w:br w:type="page"/>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12"/>
        <w:gridCol w:w="7319"/>
      </w:tblGrid>
      <w:tr w:rsidR="003067F9" w:rsidRPr="00817E68" w14:paraId="7239CFFD" w14:textId="77777777" w:rsidTr="009E4DA8">
        <w:trPr>
          <w:trHeight w:val="20"/>
        </w:trPr>
        <w:tc>
          <w:tcPr>
            <w:tcW w:w="269" w:type="pct"/>
            <w:vMerge w:val="restart"/>
            <w:tcBorders>
              <w:left w:val="single" w:sz="4" w:space="0" w:color="BFBFBF" w:themeColor="background1" w:themeShade="BF"/>
            </w:tcBorders>
            <w:shd w:val="clear" w:color="auto" w:fill="1F3864" w:themeFill="accent5" w:themeFillShade="80"/>
            <w:textDirection w:val="btLr"/>
          </w:tcPr>
          <w:p w14:paraId="2E35B465"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top w:val="single" w:sz="4" w:space="0" w:color="BFBFBF" w:themeColor="background1" w:themeShade="BF"/>
            </w:tcBorders>
          </w:tcPr>
          <w:p w14:paraId="5D565298" w14:textId="77777777" w:rsidR="003067F9" w:rsidRPr="0038126F" w:rsidRDefault="003067F9"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2</w:t>
            </w:r>
          </w:p>
        </w:tc>
        <w:tc>
          <w:tcPr>
            <w:tcW w:w="4059" w:type="pct"/>
            <w:tcBorders>
              <w:top w:val="single" w:sz="4" w:space="0" w:color="BFBFBF" w:themeColor="background1" w:themeShade="BF"/>
              <w:right w:val="single" w:sz="4" w:space="0" w:color="BFBFBF" w:themeColor="background1" w:themeShade="BF"/>
            </w:tcBorders>
          </w:tcPr>
          <w:p w14:paraId="53AB6B22" w14:textId="77777777" w:rsidR="003067F9" w:rsidRPr="00817E68" w:rsidRDefault="003067F9" w:rsidP="00252376">
            <w:pPr>
              <w:pStyle w:val="Numberedtable"/>
              <w:numPr>
                <w:ilvl w:val="0"/>
                <w:numId w:val="0"/>
              </w:numPr>
              <w:rPr>
                <w:lang w:val="en-AU"/>
              </w:rPr>
            </w:pPr>
            <w:r w:rsidRPr="00701DBE">
              <w:rPr>
                <w:rFonts w:asciiTheme="minorHAnsi" w:hAnsiTheme="minorHAnsi" w:cstheme="minorHAnsi"/>
                <w:sz w:val="21"/>
                <w:szCs w:val="20"/>
                <w:lang w:val="en-AU"/>
              </w:rPr>
              <w:t>Reduce the rate of intentional self-harm among Aboriginal and Torres Strait Islander young people</w:t>
            </w:r>
          </w:p>
        </w:tc>
      </w:tr>
      <w:tr w:rsidR="003067F9" w:rsidRPr="00817E68" w14:paraId="264CCFC9" w14:textId="77777777" w:rsidTr="009E4DA8">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2EED188B"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Pr>
          <w:p w14:paraId="58D35B3F"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3F60560E" w14:textId="77777777" w:rsidR="003067F9" w:rsidRPr="00817E68" w:rsidRDefault="003067F9"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6DD22C94" w14:textId="0E576693" w:rsidR="003067F9" w:rsidRPr="00701DBE" w:rsidRDefault="003067F9" w:rsidP="007D5286">
            <w:pPr>
              <w:pStyle w:val="TableNBullet"/>
              <w:numPr>
                <w:ilvl w:val="0"/>
                <w:numId w:val="58"/>
              </w:numPr>
              <w:rPr>
                <w:rFonts w:eastAsiaTheme="minorEastAsia" w:cstheme="minorHAnsi"/>
                <w:szCs w:val="21"/>
                <w:lang w:val="en-AU"/>
              </w:rPr>
            </w:pPr>
            <w:r w:rsidRPr="00701DBE">
              <w:rPr>
                <w:rFonts w:eastAsiaTheme="minorEastAsia" w:cstheme="minorHAnsi"/>
                <w:szCs w:val="21"/>
                <w:lang w:val="en-AU"/>
              </w:rPr>
              <w:t>Increase the capacity of health and mental health services to conduct culturally appropriate</w:t>
            </w:r>
            <w:r w:rsidR="00635AA8">
              <w:rPr>
                <w:rFonts w:eastAsiaTheme="minorEastAsia" w:cstheme="minorHAnsi"/>
                <w:szCs w:val="21"/>
                <w:lang w:val="en-AU"/>
              </w:rPr>
              <w:t xml:space="preserve"> </w:t>
            </w:r>
            <w:r w:rsidRPr="00701DBE">
              <w:rPr>
                <w:rFonts w:eastAsiaTheme="minorEastAsia" w:cstheme="minorHAnsi"/>
                <w:szCs w:val="21"/>
                <w:lang w:val="en-AU"/>
              </w:rPr>
              <w:t>screening for individuals at risk for depression, suicide and family violence.</w:t>
            </w:r>
          </w:p>
          <w:p w14:paraId="33050D46" w14:textId="77777777" w:rsidR="003067F9" w:rsidRPr="00701DBE" w:rsidRDefault="003067F9" w:rsidP="007D5286">
            <w:pPr>
              <w:pStyle w:val="TableNBullet"/>
              <w:numPr>
                <w:ilvl w:val="0"/>
                <w:numId w:val="58"/>
              </w:numPr>
              <w:rPr>
                <w:rFonts w:eastAsiaTheme="minorEastAsia" w:cstheme="minorHAnsi"/>
                <w:szCs w:val="21"/>
                <w:lang w:val="en-AU"/>
              </w:rPr>
            </w:pPr>
            <w:r w:rsidRPr="00701DBE">
              <w:rPr>
                <w:rFonts w:eastAsiaTheme="minorEastAsia" w:cstheme="minorHAnsi"/>
                <w:szCs w:val="21"/>
                <w:lang w:val="en-AU"/>
              </w:rPr>
              <w:t>Implement integrated planning and service delivery for Aboriginal and Torres Strait Islander people at the regional level.</w:t>
            </w:r>
          </w:p>
          <w:p w14:paraId="63DAF24C" w14:textId="77777777" w:rsidR="003067F9" w:rsidRPr="00701DBE" w:rsidRDefault="003067F9" w:rsidP="007D5286">
            <w:pPr>
              <w:pStyle w:val="TableNBullet"/>
              <w:numPr>
                <w:ilvl w:val="0"/>
                <w:numId w:val="58"/>
              </w:numPr>
              <w:rPr>
                <w:rFonts w:eastAsiaTheme="minorEastAsia" w:cstheme="minorHAnsi"/>
                <w:szCs w:val="21"/>
                <w:lang w:val="en-AU"/>
              </w:rPr>
            </w:pPr>
            <w:r w:rsidRPr="00701DBE">
              <w:rPr>
                <w:rFonts w:eastAsiaTheme="minorEastAsia" w:cstheme="minorHAnsi"/>
                <w:szCs w:val="21"/>
                <w:lang w:val="en-AU"/>
              </w:rPr>
              <w:t>Strengthen culturally specific, targeted interventions showing promising outcomes</w:t>
            </w:r>
            <w:r w:rsidRPr="00701DBE">
              <w:rPr>
                <w:rFonts w:cstheme="minorHAnsi"/>
                <w:szCs w:val="21"/>
                <w:lang w:val="en-AU"/>
              </w:rPr>
              <w:t xml:space="preserve"> for suicide and self-harm </w:t>
            </w:r>
            <w:r w:rsidRPr="00701DBE">
              <w:rPr>
                <w:rFonts w:eastAsiaTheme="minorEastAsia" w:cstheme="minorHAnsi"/>
                <w:szCs w:val="21"/>
                <w:lang w:val="en-AU"/>
              </w:rPr>
              <w:t>working towards zero suicide</w:t>
            </w:r>
            <w:r w:rsidRPr="00701DBE">
              <w:rPr>
                <w:rFonts w:cstheme="minorHAnsi"/>
                <w:szCs w:val="21"/>
                <w:lang w:val="en-AU"/>
              </w:rPr>
              <w:t>.</w:t>
            </w:r>
          </w:p>
          <w:p w14:paraId="618E2C78" w14:textId="77777777" w:rsidR="003067F9" w:rsidRPr="00817E68" w:rsidRDefault="003067F9" w:rsidP="007D5286">
            <w:pPr>
              <w:pStyle w:val="TableNBullet"/>
              <w:numPr>
                <w:ilvl w:val="0"/>
                <w:numId w:val="58"/>
              </w:numPr>
              <w:rPr>
                <w:rFonts w:cstheme="minorHAnsi"/>
                <w:szCs w:val="20"/>
                <w:lang w:val="en-AU"/>
              </w:rPr>
            </w:pPr>
            <w:r w:rsidRPr="00701DBE">
              <w:rPr>
                <w:rFonts w:eastAsiaTheme="minorEastAsia" w:cstheme="minorHAnsi"/>
                <w:szCs w:val="21"/>
                <w:lang w:val="en-AU"/>
              </w:rPr>
              <w:t xml:space="preserve">Improve Aboriginal and Torres Strait Islander access to, and experience with, mental health and wellbeing services in collaboration with </w:t>
            </w:r>
            <w:r w:rsidRPr="00701DBE">
              <w:rPr>
                <w:rFonts w:cstheme="minorHAnsi"/>
                <w:szCs w:val="21"/>
                <w:lang w:val="en-AU"/>
              </w:rPr>
              <w:t>Aboriginal Community Controlled Health Organisations</w:t>
            </w:r>
            <w:r w:rsidRPr="00701DBE">
              <w:rPr>
                <w:rFonts w:eastAsiaTheme="minorEastAsia" w:cstheme="minorHAnsi"/>
                <w:szCs w:val="21"/>
                <w:lang w:val="en-AU"/>
              </w:rPr>
              <w:t xml:space="preserve"> and other service providers</w:t>
            </w:r>
          </w:p>
        </w:tc>
      </w:tr>
      <w:tr w:rsidR="003067F9" w:rsidRPr="00817E68" w14:paraId="08DF5113" w14:textId="77777777" w:rsidTr="009E4DA8">
        <w:trPr>
          <w:trHeight w:val="20"/>
        </w:trPr>
        <w:tc>
          <w:tcPr>
            <w:tcW w:w="269" w:type="pct"/>
            <w:vMerge/>
            <w:tcBorders>
              <w:left w:val="single" w:sz="4" w:space="0" w:color="BFBFBF" w:themeColor="background1" w:themeShade="BF"/>
              <w:bottom w:val="single" w:sz="4" w:space="0" w:color="BFBFBF" w:themeColor="background1" w:themeShade="BF"/>
            </w:tcBorders>
            <w:shd w:val="clear" w:color="auto" w:fill="1F3864" w:themeFill="accent5" w:themeFillShade="80"/>
            <w:textDirection w:val="btLr"/>
          </w:tcPr>
          <w:p w14:paraId="6BCC23D7"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1187D66F" w14:textId="77777777" w:rsidR="003067F9" w:rsidRPr="00817E68" w:rsidRDefault="003067F9"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233A2662" w14:textId="77777777" w:rsidR="003067F9" w:rsidRPr="00247DD5" w:rsidRDefault="003067F9" w:rsidP="00252376">
            <w:pPr>
              <w:spacing w:before="0"/>
              <w:rPr>
                <w:rFonts w:eastAsia="Times New Roman" w:cstheme="minorHAnsi"/>
                <w:i/>
                <w:sz w:val="21"/>
                <w:szCs w:val="20"/>
                <w:lang w:val="en-AU" w:eastAsia="en-AU"/>
              </w:rPr>
            </w:pPr>
            <w:r w:rsidRPr="00247DD5">
              <w:rPr>
                <w:rFonts w:cstheme="minorHAnsi"/>
                <w:i/>
                <w:sz w:val="21"/>
                <w:szCs w:val="21"/>
                <w:lang w:val="en-AU" w:eastAsia="en-AU"/>
              </w:rPr>
              <w:t xml:space="preserve">Department of Health; </w:t>
            </w:r>
            <w:r w:rsidRPr="00247DD5">
              <w:rPr>
                <w:rFonts w:cstheme="minorHAnsi"/>
                <w:i/>
                <w:iCs/>
                <w:sz w:val="21"/>
                <w:szCs w:val="21"/>
                <w:lang w:val="en-AU"/>
              </w:rPr>
              <w:t xml:space="preserve">National Indigenous Australians Agency </w:t>
            </w:r>
            <w:r w:rsidRPr="00247DD5">
              <w:rPr>
                <w:rFonts w:cstheme="minorHAnsi"/>
                <w:i/>
                <w:sz w:val="21"/>
                <w:szCs w:val="21"/>
                <w:lang w:val="en-AU" w:eastAsia="en-AU"/>
              </w:rPr>
              <w:t xml:space="preserve">(Aboriginal Community Controlled Health Organisations, </w:t>
            </w:r>
            <w:r w:rsidRPr="00247DD5">
              <w:rPr>
                <w:rFonts w:cstheme="minorHAnsi"/>
                <w:i/>
                <w:sz w:val="21"/>
                <w:szCs w:val="21"/>
                <w:lang w:val="en-AU"/>
              </w:rPr>
              <w:t xml:space="preserve">National Indigenous Australians Agency, </w:t>
            </w:r>
            <w:r w:rsidRPr="00247DD5">
              <w:rPr>
                <w:rFonts w:cstheme="minorHAnsi"/>
                <w:i/>
                <w:sz w:val="21"/>
                <w:szCs w:val="21"/>
                <w:lang w:val="en-AU" w:eastAsia="en-AU"/>
              </w:rPr>
              <w:t>Family Mental Health Support Service, Australian National Mental Health Commission, state and territory health authorities, PHNs, local health districts, mental health NGOs, schools and tertiary education providers, community mental health providers, Justice departments)</w:t>
            </w:r>
          </w:p>
        </w:tc>
      </w:tr>
      <w:tr w:rsidR="003067F9" w:rsidRPr="00817E68" w14:paraId="4611A696" w14:textId="77777777" w:rsidTr="009E4DA8">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69D8FF"/>
            <w:textDirection w:val="btLr"/>
          </w:tcPr>
          <w:p w14:paraId="7A3606B6" w14:textId="77777777" w:rsidR="003067F9" w:rsidRPr="000A0BD4" w:rsidRDefault="003067F9" w:rsidP="00252376">
            <w:pPr>
              <w:spacing w:before="0"/>
              <w:ind w:left="113" w:right="113"/>
              <w:contextualSpacing/>
              <w:jc w:val="center"/>
              <w:rPr>
                <w:rFonts w:cstheme="minorHAnsi"/>
                <w:b/>
                <w:sz w:val="21"/>
                <w:szCs w:val="20"/>
                <w:lang w:val="en-AU"/>
              </w:rPr>
            </w:pPr>
            <w:r>
              <w:rPr>
                <w:rFonts w:cstheme="minorHAnsi"/>
                <w:b/>
                <w:sz w:val="21"/>
                <w:szCs w:val="20"/>
                <w:lang w:val="en-AU"/>
              </w:rPr>
              <w:t>Poisoning</w:t>
            </w:r>
          </w:p>
        </w:tc>
        <w:tc>
          <w:tcPr>
            <w:tcW w:w="672" w:type="pct"/>
            <w:tcBorders>
              <w:top w:val="single" w:sz="4" w:space="0" w:color="BFBFBF" w:themeColor="background1" w:themeShade="BF"/>
              <w:left w:val="single" w:sz="4" w:space="0" w:color="BFBFBF" w:themeColor="background1" w:themeShade="BF"/>
            </w:tcBorders>
          </w:tcPr>
          <w:p w14:paraId="05AC78E5" w14:textId="77777777" w:rsidR="003067F9" w:rsidRPr="0038126F" w:rsidRDefault="003067F9"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5</w:t>
            </w:r>
          </w:p>
        </w:tc>
        <w:tc>
          <w:tcPr>
            <w:tcW w:w="4059" w:type="pct"/>
            <w:tcBorders>
              <w:top w:val="single" w:sz="4" w:space="0" w:color="BFBFBF" w:themeColor="background1" w:themeShade="BF"/>
              <w:right w:val="single" w:sz="4" w:space="0" w:color="BFBFBF" w:themeColor="background1" w:themeShade="BF"/>
            </w:tcBorders>
          </w:tcPr>
          <w:p w14:paraId="44A69792" w14:textId="77777777" w:rsidR="003067F9" w:rsidRPr="00247DD5" w:rsidRDefault="003067F9" w:rsidP="00252376">
            <w:pPr>
              <w:pStyle w:val="Numberedtable"/>
              <w:numPr>
                <w:ilvl w:val="0"/>
                <w:numId w:val="0"/>
              </w:numPr>
              <w:rPr>
                <w:rFonts w:asciiTheme="minorHAnsi" w:hAnsiTheme="minorHAnsi" w:cstheme="minorHAnsi"/>
                <w:sz w:val="21"/>
                <w:szCs w:val="20"/>
                <w:lang w:val="en-AU"/>
              </w:rPr>
            </w:pPr>
            <w:r w:rsidRPr="00DF245A">
              <w:rPr>
                <w:rFonts w:asciiTheme="minorHAnsi" w:hAnsiTheme="minorHAnsi" w:cstheme="minorHAnsi"/>
                <w:sz w:val="21"/>
                <w:szCs w:val="20"/>
                <w:lang w:val="en-AU"/>
              </w:rPr>
              <w:t>Reduce the rate of drug-related poisoning</w:t>
            </w:r>
          </w:p>
        </w:tc>
      </w:tr>
      <w:tr w:rsidR="003067F9" w:rsidRPr="00817E68" w14:paraId="2E49DDBD" w14:textId="77777777" w:rsidTr="00F857FC">
        <w:trPr>
          <w:cantSplit/>
          <w:trHeight w:val="20"/>
        </w:trPr>
        <w:tc>
          <w:tcPr>
            <w:tcW w:w="269" w:type="pct"/>
            <w:vMerge/>
            <w:tcBorders>
              <w:left w:val="single" w:sz="4" w:space="0" w:color="BFBFBF" w:themeColor="background1" w:themeShade="BF"/>
              <w:right w:val="single" w:sz="4" w:space="0" w:color="BFBFBF" w:themeColor="background1" w:themeShade="BF"/>
            </w:tcBorders>
            <w:shd w:val="clear" w:color="auto" w:fill="69D8FF"/>
            <w:textDirection w:val="btLr"/>
          </w:tcPr>
          <w:p w14:paraId="2E30AD92"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1C7F9528"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6589CE36" w14:textId="77777777" w:rsidR="003067F9" w:rsidRPr="0038126F" w:rsidRDefault="003067F9" w:rsidP="00252376">
            <w:pPr>
              <w:spacing w:before="0"/>
              <w:rPr>
                <w:rFonts w:cstheme="minorHAnsi"/>
                <w:b/>
                <w:i/>
                <w:sz w:val="18"/>
                <w:szCs w:val="18"/>
                <w:lang w:val="en-AU"/>
              </w:rPr>
            </w:pPr>
          </w:p>
        </w:tc>
        <w:tc>
          <w:tcPr>
            <w:tcW w:w="4059" w:type="pct"/>
            <w:tcBorders>
              <w:right w:val="single" w:sz="4" w:space="0" w:color="BFBFBF" w:themeColor="background1" w:themeShade="BF"/>
            </w:tcBorders>
          </w:tcPr>
          <w:p w14:paraId="72B8CDAC" w14:textId="77777777" w:rsidR="003067F9" w:rsidRPr="000048C6" w:rsidRDefault="003067F9" w:rsidP="007D5286">
            <w:pPr>
              <w:pStyle w:val="TableNBullet"/>
              <w:numPr>
                <w:ilvl w:val="0"/>
                <w:numId w:val="59"/>
              </w:numPr>
              <w:rPr>
                <w:rFonts w:eastAsiaTheme="minorEastAsia"/>
              </w:rPr>
            </w:pPr>
            <w:r w:rsidRPr="000048C6">
              <w:rPr>
                <w:rFonts w:eastAsiaTheme="minorEastAsia"/>
              </w:rPr>
              <w:t>Support access to agonist therapies (such as best practice in methadone maintenance) to reduce opioid use and to retain patients in treatment and take-home naloxone programs.</w:t>
            </w:r>
          </w:p>
          <w:p w14:paraId="36B73A71" w14:textId="393337DD" w:rsidR="003067F9" w:rsidRPr="00DF245A" w:rsidRDefault="003067F9" w:rsidP="000048C6">
            <w:pPr>
              <w:pStyle w:val="TableNBullet"/>
              <w:rPr>
                <w:rFonts w:eastAsiaTheme="minorEastAsia" w:cstheme="minorHAnsi"/>
              </w:rPr>
            </w:pPr>
            <w:r w:rsidRPr="00DF245A">
              <w:rPr>
                <w:rFonts w:eastAsiaTheme="minorEastAsia"/>
              </w:rPr>
              <w:t>Increase opioid user</w:t>
            </w:r>
            <w:r w:rsidR="00E87B30">
              <w:rPr>
                <w:rFonts w:eastAsiaTheme="minorEastAsia"/>
              </w:rPr>
              <w:t>s’</w:t>
            </w:r>
            <w:r w:rsidR="00F364E0">
              <w:rPr>
                <w:rFonts w:eastAsiaTheme="minorEastAsia"/>
              </w:rPr>
              <w:t xml:space="preserve"> </w:t>
            </w:r>
            <w:r w:rsidR="00F364E0" w:rsidRPr="00DF245A">
              <w:rPr>
                <w:rFonts w:eastAsiaTheme="minorEastAsia"/>
              </w:rPr>
              <w:t>awareness</w:t>
            </w:r>
            <w:r w:rsidRPr="00DF245A">
              <w:rPr>
                <w:rFonts w:eastAsiaTheme="minorEastAsia"/>
              </w:rPr>
              <w:t xml:space="preserve"> about safe levels of pain control use.</w:t>
            </w:r>
          </w:p>
        </w:tc>
      </w:tr>
      <w:tr w:rsidR="003067F9" w:rsidRPr="00817E68" w14:paraId="4C11B6DC" w14:textId="77777777" w:rsidTr="009E4DA8">
        <w:trPr>
          <w:trHeight w:val="471"/>
        </w:trPr>
        <w:tc>
          <w:tcPr>
            <w:tcW w:w="269"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9D8FF"/>
            <w:textDirection w:val="btLr"/>
          </w:tcPr>
          <w:p w14:paraId="62CC6995"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56FB75BC" w14:textId="77777777" w:rsidR="003067F9" w:rsidRPr="0038126F" w:rsidRDefault="003067F9" w:rsidP="00252376">
            <w:pPr>
              <w:spacing w:before="0"/>
              <w:rPr>
                <w:rFonts w:cstheme="minorHAnsi"/>
                <w:b/>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07E089C3" w14:textId="60459A8E" w:rsidR="000048C6" w:rsidRPr="000048C6" w:rsidRDefault="003067F9" w:rsidP="00C30AD1">
            <w:pPr>
              <w:spacing w:before="0"/>
              <w:rPr>
                <w:rFonts w:cstheme="minorHAnsi"/>
                <w:i/>
                <w:sz w:val="21"/>
                <w:szCs w:val="21"/>
                <w:lang w:val="en-AU" w:eastAsia="en-AU"/>
              </w:rPr>
            </w:pPr>
            <w:r w:rsidRPr="000048C6">
              <w:rPr>
                <w:rFonts w:cstheme="minorHAnsi"/>
                <w:i/>
                <w:sz w:val="21"/>
                <w:szCs w:val="21"/>
                <w:lang w:val="en-AU" w:eastAsia="en-AU"/>
              </w:rPr>
              <w:t xml:space="preserve">Department of Health (State and territory departments of health, PHNs, mental health service providers, NGOs with a core focus on young people, on alcohol and other drugs, general practitioners, </w:t>
            </w:r>
            <w:r w:rsidRPr="000048C6">
              <w:rPr>
                <w:rFonts w:eastAsia="Times New Roman" w:cstheme="minorHAnsi"/>
                <w:i/>
                <w:sz w:val="21"/>
                <w:szCs w:val="20"/>
                <w:lang w:val="en-AU" w:eastAsia="en-AU"/>
              </w:rPr>
              <w:t>Aboriginal Community Controlled Organisations</w:t>
            </w:r>
            <w:r w:rsidRPr="000048C6">
              <w:rPr>
                <w:rFonts w:cstheme="minorHAnsi"/>
                <w:i/>
                <w:sz w:val="21"/>
                <w:szCs w:val="21"/>
                <w:lang w:val="en-AU" w:eastAsia="en-AU"/>
              </w:rPr>
              <w:t>)</w:t>
            </w:r>
          </w:p>
        </w:tc>
      </w:tr>
      <w:tr w:rsidR="003067F9" w:rsidRPr="00817E68" w14:paraId="2E3BEA22" w14:textId="77777777" w:rsidTr="009E4DA8">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7999FF"/>
            <w:textDirection w:val="btLr"/>
          </w:tcPr>
          <w:p w14:paraId="5EA0F887" w14:textId="77777777" w:rsidR="003067F9" w:rsidRPr="000A0BD4" w:rsidRDefault="003067F9" w:rsidP="00252376">
            <w:pPr>
              <w:spacing w:before="0"/>
              <w:ind w:left="113" w:right="113"/>
              <w:contextualSpacing/>
              <w:jc w:val="center"/>
              <w:rPr>
                <w:rFonts w:cstheme="minorHAnsi"/>
                <w:b/>
                <w:sz w:val="21"/>
                <w:szCs w:val="20"/>
                <w:lang w:val="en-AU"/>
              </w:rPr>
            </w:pPr>
            <w:r w:rsidRPr="000A0BD4">
              <w:rPr>
                <w:rFonts w:cstheme="minorHAnsi"/>
                <w:b/>
                <w:sz w:val="21"/>
                <w:szCs w:val="20"/>
                <w:lang w:val="en-AU"/>
              </w:rPr>
              <w:t>Road</w:t>
            </w:r>
            <w:r>
              <w:rPr>
                <w:rFonts w:cstheme="minorHAnsi"/>
                <w:b/>
                <w:sz w:val="21"/>
                <w:szCs w:val="20"/>
                <w:lang w:val="en-AU"/>
              </w:rPr>
              <w:t xml:space="preserve"> + land transport</w:t>
            </w:r>
          </w:p>
        </w:tc>
        <w:tc>
          <w:tcPr>
            <w:tcW w:w="672" w:type="pct"/>
            <w:tcBorders>
              <w:top w:val="single" w:sz="4" w:space="0" w:color="BFBFBF" w:themeColor="background1" w:themeShade="BF"/>
              <w:left w:val="single" w:sz="4" w:space="0" w:color="BFBFBF" w:themeColor="background1" w:themeShade="BF"/>
            </w:tcBorders>
          </w:tcPr>
          <w:p w14:paraId="606B2E61" w14:textId="77777777" w:rsidR="003067F9" w:rsidRPr="0038126F" w:rsidRDefault="003067F9"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6</w:t>
            </w:r>
          </w:p>
        </w:tc>
        <w:tc>
          <w:tcPr>
            <w:tcW w:w="4059" w:type="pct"/>
            <w:tcBorders>
              <w:top w:val="single" w:sz="4" w:space="0" w:color="BFBFBF" w:themeColor="background1" w:themeShade="BF"/>
              <w:right w:val="single" w:sz="4" w:space="0" w:color="BFBFBF" w:themeColor="background1" w:themeShade="BF"/>
            </w:tcBorders>
          </w:tcPr>
          <w:p w14:paraId="0ADF2931" w14:textId="77777777" w:rsidR="003067F9" w:rsidRPr="00817E68" w:rsidRDefault="003067F9" w:rsidP="00252376">
            <w:pPr>
              <w:pStyle w:val="Numberedtable"/>
              <w:numPr>
                <w:ilvl w:val="0"/>
                <w:numId w:val="0"/>
              </w:numPr>
              <w:rPr>
                <w:rFonts w:asciiTheme="minorHAnsi" w:hAnsiTheme="minorHAnsi" w:cstheme="minorHAnsi"/>
                <w:sz w:val="21"/>
                <w:szCs w:val="20"/>
                <w:lang w:val="en-AU"/>
              </w:rPr>
            </w:pPr>
            <w:r w:rsidRPr="00247DD5">
              <w:rPr>
                <w:rFonts w:asciiTheme="minorHAnsi" w:hAnsiTheme="minorHAnsi" w:cstheme="minorHAnsi"/>
                <w:sz w:val="21"/>
                <w:szCs w:val="20"/>
                <w:lang w:val="en-AU"/>
              </w:rPr>
              <w:t>Reduce road-related injury</w:t>
            </w:r>
          </w:p>
        </w:tc>
      </w:tr>
      <w:tr w:rsidR="003067F9" w:rsidRPr="00817E68" w14:paraId="1B7B688A" w14:textId="77777777" w:rsidTr="009E4DA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7999FF"/>
            <w:textDirection w:val="btLr"/>
          </w:tcPr>
          <w:p w14:paraId="4B91F012"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38B3B496"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6123B45C" w14:textId="77777777" w:rsidR="003067F9" w:rsidRPr="00817E68" w:rsidRDefault="003067F9"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31CB0D68" w14:textId="77777777" w:rsidR="003067F9" w:rsidRPr="00701DBE" w:rsidRDefault="003067F9" w:rsidP="007D5286">
            <w:pPr>
              <w:pStyle w:val="TableNBullet"/>
              <w:numPr>
                <w:ilvl w:val="0"/>
                <w:numId w:val="55"/>
              </w:numPr>
              <w:rPr>
                <w:rFonts w:eastAsiaTheme="minorEastAsia" w:cstheme="minorHAnsi"/>
                <w:szCs w:val="21"/>
                <w:lang w:val="en-AU"/>
              </w:rPr>
            </w:pPr>
            <w:r w:rsidRPr="00701DBE">
              <w:rPr>
                <w:rFonts w:eastAsiaTheme="minorEastAsia" w:cstheme="minorHAnsi"/>
                <w:szCs w:val="21"/>
                <w:lang w:val="en-AU"/>
              </w:rPr>
              <w:t>Strengthen efforts in the area of high range or repeat drink-driving offenders by ensuring that the use of alcohol interlocks in private motor vehicles is consistently employed in all states and territories, in drink-driving offenders’ programs for high-range or repeat offenders.</w:t>
            </w:r>
          </w:p>
          <w:p w14:paraId="55CE1C68" w14:textId="77777777" w:rsidR="003067F9" w:rsidRPr="00701DBE" w:rsidRDefault="003067F9" w:rsidP="007D5286">
            <w:pPr>
              <w:pStyle w:val="TableNBullet"/>
              <w:numPr>
                <w:ilvl w:val="0"/>
                <w:numId w:val="55"/>
              </w:numPr>
              <w:rPr>
                <w:rFonts w:cstheme="minorHAnsi"/>
                <w:szCs w:val="21"/>
                <w:lang w:val="en-AU"/>
              </w:rPr>
            </w:pPr>
            <w:r w:rsidRPr="00701DBE">
              <w:rPr>
                <w:rFonts w:eastAsiaTheme="minorEastAsia" w:cstheme="minorHAnsi"/>
                <w:szCs w:val="21"/>
                <w:lang w:val="en-AU"/>
              </w:rPr>
              <w:t>Increase community campaigns to promote awareness of drink driving risks and police roadside checks on alcohol- and drug-driving.</w:t>
            </w:r>
          </w:p>
          <w:p w14:paraId="5F24A283" w14:textId="77777777" w:rsidR="003067F9" w:rsidRPr="00817E68" w:rsidRDefault="003067F9" w:rsidP="007D5286">
            <w:pPr>
              <w:pStyle w:val="TableNBullet"/>
              <w:numPr>
                <w:ilvl w:val="0"/>
                <w:numId w:val="55"/>
              </w:numPr>
              <w:rPr>
                <w:rFonts w:cstheme="minorHAnsi"/>
                <w:szCs w:val="20"/>
                <w:lang w:val="en-AU" w:eastAsia="en-US"/>
              </w:rPr>
            </w:pPr>
            <w:r w:rsidRPr="00701DBE">
              <w:rPr>
                <w:rFonts w:cstheme="minorHAnsi"/>
                <w:szCs w:val="21"/>
                <w:lang w:val="en-AU"/>
              </w:rPr>
              <w:t>Reduce speed limits to reflect urban design and road design (e.g. reduce speeds in undivided roads; reduce urban traffic to 30km/hr).</w:t>
            </w:r>
          </w:p>
        </w:tc>
      </w:tr>
      <w:tr w:rsidR="003067F9" w:rsidRPr="00817E68" w14:paraId="7E5AD698" w14:textId="77777777" w:rsidTr="009E4DA8">
        <w:trPr>
          <w:trHeight w:val="20"/>
        </w:trPr>
        <w:tc>
          <w:tcPr>
            <w:tcW w:w="269"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999FF"/>
            <w:textDirection w:val="btLr"/>
          </w:tcPr>
          <w:p w14:paraId="68662DA7"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32F2505C" w14:textId="77777777" w:rsidR="003067F9" w:rsidRPr="00817E68" w:rsidRDefault="003067F9"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1501BA75" w14:textId="77777777" w:rsidR="003067F9" w:rsidRPr="00247DD5" w:rsidRDefault="003067F9" w:rsidP="00252376">
            <w:pPr>
              <w:pStyle w:val="TableNBullet"/>
              <w:numPr>
                <w:ilvl w:val="0"/>
                <w:numId w:val="0"/>
              </w:numPr>
              <w:rPr>
                <w:rFonts w:cstheme="minorHAnsi"/>
                <w:i/>
                <w:szCs w:val="20"/>
                <w:lang w:val="en-AU"/>
              </w:rPr>
            </w:pPr>
            <w:r w:rsidRPr="00247DD5">
              <w:rPr>
                <w:rFonts w:cstheme="minorHAnsi"/>
                <w:i/>
                <w:szCs w:val="21"/>
                <w:lang w:val="en-AU"/>
              </w:rPr>
              <w:t>Department of Infrastructure, Transport, Cities and Regional Development (State and territory departments of roads and transport and health, National Drug Driving Working Group, police, NGOs with a core focus on young people, on alcohol and other drugs, on brain or spinal cord injuries)</w:t>
            </w:r>
          </w:p>
        </w:tc>
      </w:tr>
      <w:tr w:rsidR="003067F9" w:rsidRPr="00817E68" w14:paraId="7EC07ECF" w14:textId="77777777" w:rsidTr="009E4DA8">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7DE778FB" w14:textId="5E80C941" w:rsidR="003067F9" w:rsidRPr="000A0BD4" w:rsidRDefault="003067F9" w:rsidP="00252376">
            <w:pPr>
              <w:spacing w:before="0"/>
              <w:ind w:left="113" w:right="113"/>
              <w:contextualSpacing/>
              <w:jc w:val="center"/>
              <w:rPr>
                <w:rFonts w:cstheme="minorHAnsi"/>
                <w:b/>
                <w:sz w:val="21"/>
                <w:szCs w:val="20"/>
                <w:lang w:val="en-AU"/>
              </w:rPr>
            </w:pPr>
            <w:r w:rsidRPr="000A0BD4">
              <w:rPr>
                <w:rFonts w:cstheme="minorHAnsi"/>
                <w:b/>
                <w:sz w:val="21"/>
                <w:szCs w:val="20"/>
                <w:lang w:val="en-AU"/>
              </w:rPr>
              <w:t>Sport</w:t>
            </w:r>
          </w:p>
        </w:tc>
        <w:tc>
          <w:tcPr>
            <w:tcW w:w="672" w:type="pct"/>
            <w:tcBorders>
              <w:top w:val="single" w:sz="4" w:space="0" w:color="BFBFBF" w:themeColor="background1" w:themeShade="BF"/>
              <w:left w:val="single" w:sz="4" w:space="0" w:color="BFBFBF" w:themeColor="background1" w:themeShade="BF"/>
            </w:tcBorders>
          </w:tcPr>
          <w:p w14:paraId="34192773" w14:textId="77777777" w:rsidR="003067F9" w:rsidRPr="00BF67AD" w:rsidRDefault="003067F9" w:rsidP="00252376">
            <w:pPr>
              <w:spacing w:before="0"/>
              <w:rPr>
                <w:rFonts w:cstheme="minorHAnsi"/>
                <w:b/>
                <w:i/>
                <w:color w:val="000000" w:themeColor="text1"/>
                <w:sz w:val="18"/>
                <w:szCs w:val="18"/>
                <w:lang w:val="en-AU"/>
              </w:rPr>
            </w:pPr>
            <w:r w:rsidRPr="00BF67AD">
              <w:rPr>
                <w:rFonts w:cstheme="minorHAnsi"/>
                <w:b/>
                <w:i/>
                <w:sz w:val="18"/>
                <w:szCs w:val="18"/>
                <w:lang w:val="en-AU"/>
              </w:rPr>
              <w:t>Objective 16</w:t>
            </w:r>
          </w:p>
        </w:tc>
        <w:tc>
          <w:tcPr>
            <w:tcW w:w="4059" w:type="pct"/>
            <w:tcBorders>
              <w:top w:val="single" w:sz="4" w:space="0" w:color="BFBFBF" w:themeColor="background1" w:themeShade="BF"/>
              <w:right w:val="single" w:sz="4" w:space="0" w:color="BFBFBF" w:themeColor="background1" w:themeShade="BF"/>
            </w:tcBorders>
          </w:tcPr>
          <w:p w14:paraId="440B40C4" w14:textId="77777777" w:rsidR="003067F9" w:rsidRPr="00817E68" w:rsidRDefault="003067F9" w:rsidP="00252376">
            <w:pPr>
              <w:pStyle w:val="Numberedtable"/>
              <w:numPr>
                <w:ilvl w:val="0"/>
                <w:numId w:val="0"/>
              </w:numPr>
              <w:rPr>
                <w:rFonts w:asciiTheme="minorHAnsi" w:hAnsiTheme="minorHAnsi" w:cstheme="minorHAnsi"/>
                <w:sz w:val="21"/>
                <w:szCs w:val="20"/>
                <w:lang w:val="en-AU"/>
              </w:rPr>
            </w:pPr>
            <w:r w:rsidRPr="00817E68">
              <w:rPr>
                <w:rFonts w:asciiTheme="minorHAnsi" w:hAnsiTheme="minorHAnsi" w:cstheme="minorHAnsi"/>
                <w:sz w:val="21"/>
                <w:szCs w:val="20"/>
                <w:lang w:val="en-AU"/>
              </w:rPr>
              <w:t>Reduce the rate and impact of sports injuries</w:t>
            </w:r>
          </w:p>
        </w:tc>
      </w:tr>
      <w:tr w:rsidR="003067F9" w:rsidRPr="00817E68" w14:paraId="21904D74" w14:textId="77777777" w:rsidTr="009E4DA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39CDC2B6"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25B38F2B"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7488304C" w14:textId="77777777" w:rsidR="003067F9" w:rsidRPr="00817E68" w:rsidRDefault="003067F9"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27B1BEFC" w14:textId="77777777" w:rsidR="003067F9" w:rsidRPr="00400300" w:rsidRDefault="003067F9" w:rsidP="007D5286">
            <w:pPr>
              <w:pStyle w:val="TableNBullet"/>
              <w:numPr>
                <w:ilvl w:val="0"/>
                <w:numId w:val="56"/>
              </w:numPr>
              <w:rPr>
                <w:rFonts w:cstheme="minorHAnsi"/>
                <w:szCs w:val="20"/>
                <w:lang w:val="en-AU"/>
              </w:rPr>
            </w:pPr>
            <w:r w:rsidRPr="00400300">
              <w:rPr>
                <w:rFonts w:cstheme="minorHAnsi"/>
                <w:szCs w:val="20"/>
                <w:lang w:val="en-AU"/>
              </w:rPr>
              <w:t>Support sports clubs and schools to develop, implement and enforce safety policies and practices covering education of players, compulsory use of relevant protective equipment, use of relevant modified equipment and fixtures, maintenance of sporting fields, exercise-training programs, refereeing and rules for safe play, and accreditation of coaches and coaching standards.</w:t>
            </w:r>
          </w:p>
          <w:p w14:paraId="68F88842" w14:textId="77777777" w:rsidR="003067F9" w:rsidRPr="00817E68" w:rsidRDefault="003067F9" w:rsidP="007D5286">
            <w:pPr>
              <w:pStyle w:val="TableNBullet"/>
              <w:numPr>
                <w:ilvl w:val="0"/>
                <w:numId w:val="56"/>
              </w:numPr>
              <w:rPr>
                <w:rFonts w:cstheme="minorHAnsi"/>
                <w:szCs w:val="20"/>
                <w:lang w:val="en-AU"/>
              </w:rPr>
            </w:pPr>
            <w:r w:rsidRPr="00400300">
              <w:rPr>
                <w:rFonts w:cstheme="minorHAnsi"/>
                <w:szCs w:val="20"/>
                <w:lang w:val="en-AU"/>
              </w:rPr>
              <w:t>Provide educational resources and financial support to promote head injury, including concussion, awareness, management and policies, particularly in contact sports and the promotion of appropriate headgear use e.g. horse riding, skiing and other sports with standards approved headgear such as cricket and some football codes.</w:t>
            </w:r>
          </w:p>
        </w:tc>
      </w:tr>
      <w:tr w:rsidR="003067F9" w:rsidRPr="00817E68" w14:paraId="73374F86" w14:textId="77777777" w:rsidTr="009E4DA8">
        <w:trPr>
          <w:trHeight w:val="20"/>
        </w:trPr>
        <w:tc>
          <w:tcPr>
            <w:tcW w:w="269"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5E0B3" w:themeFill="accent6" w:themeFillTint="66"/>
            <w:textDirection w:val="btLr"/>
          </w:tcPr>
          <w:p w14:paraId="37F8302F"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475D5B22"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637DFBF2" w14:textId="77777777" w:rsidR="003067F9" w:rsidRPr="00247DD5" w:rsidRDefault="003067F9" w:rsidP="00252376">
            <w:pPr>
              <w:spacing w:before="0"/>
              <w:rPr>
                <w:rFonts w:cstheme="minorHAnsi"/>
                <w:i/>
                <w:sz w:val="21"/>
                <w:szCs w:val="20"/>
                <w:lang w:val="en-AU"/>
              </w:rPr>
            </w:pPr>
            <w:r w:rsidRPr="00247DD5">
              <w:rPr>
                <w:rFonts w:cstheme="minorHAnsi"/>
                <w:i/>
                <w:sz w:val="21"/>
                <w:szCs w:val="20"/>
                <w:lang w:val="en-AU" w:eastAsia="en-AU"/>
              </w:rPr>
              <w:t xml:space="preserve">Sports Australia and peak sports bodies (Sporting associations, brain injury NGOs, Australian Institute of Sport, medical practitioners, coaching groups, local government, Sport and Recreation and Education state and territory departments, </w:t>
            </w:r>
            <w:r w:rsidRPr="00247DD5">
              <w:rPr>
                <w:rFonts w:cstheme="minorHAnsi"/>
                <w:i/>
                <w:sz w:val="21"/>
                <w:szCs w:val="20"/>
                <w:lang w:val="en-AU"/>
              </w:rPr>
              <w:t xml:space="preserve">Department of Defence, </w:t>
            </w:r>
            <w:r w:rsidRPr="00247DD5">
              <w:rPr>
                <w:rFonts w:cstheme="minorHAnsi"/>
                <w:i/>
                <w:sz w:val="21"/>
                <w:szCs w:val="20"/>
                <w:lang w:val="en-AU" w:eastAsia="en-AU"/>
              </w:rPr>
              <w:t>peak sports bodies and sports medicine authorities, sporting associations, schools, Aboriginal Community Controlled Organisations)</w:t>
            </w:r>
          </w:p>
        </w:tc>
      </w:tr>
      <w:tr w:rsidR="003067F9" w:rsidRPr="00817E68" w14:paraId="648129CE" w14:textId="77777777" w:rsidTr="00C34EE8">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28659C"/>
            <w:textDirection w:val="btLr"/>
          </w:tcPr>
          <w:p w14:paraId="2BF2B500" w14:textId="38AD91AE" w:rsidR="003067F9" w:rsidRPr="009E4DA8" w:rsidRDefault="009E4DA8" w:rsidP="00252376">
            <w:pPr>
              <w:spacing w:before="0"/>
              <w:ind w:left="113" w:right="113"/>
              <w:contextualSpacing/>
              <w:jc w:val="center"/>
              <w:rPr>
                <w:rFonts w:cstheme="minorHAnsi"/>
                <w:b/>
                <w:color w:val="FFFFFF" w:themeColor="background1"/>
                <w:sz w:val="21"/>
                <w:szCs w:val="20"/>
                <w:lang w:val="en-AU"/>
              </w:rPr>
            </w:pPr>
            <w:r w:rsidRPr="009E4DA8">
              <w:rPr>
                <w:rFonts w:cstheme="minorHAnsi"/>
                <w:b/>
                <w:color w:val="FFFFFF" w:themeColor="background1"/>
                <w:sz w:val="21"/>
                <w:szCs w:val="20"/>
                <w:lang w:val="en-AU"/>
              </w:rPr>
              <w:t xml:space="preserve">Homicide and </w:t>
            </w:r>
            <w:r w:rsidR="003067F9" w:rsidRPr="009E4DA8">
              <w:rPr>
                <w:rFonts w:cstheme="minorHAnsi"/>
                <w:b/>
                <w:color w:val="FFFFFF" w:themeColor="background1"/>
                <w:sz w:val="21"/>
                <w:szCs w:val="20"/>
                <w:lang w:val="en-AU"/>
              </w:rPr>
              <w:t>Violence</w:t>
            </w:r>
          </w:p>
        </w:tc>
        <w:tc>
          <w:tcPr>
            <w:tcW w:w="672" w:type="pct"/>
            <w:tcBorders>
              <w:top w:val="single" w:sz="4" w:space="0" w:color="BFBFBF" w:themeColor="background1" w:themeShade="BF"/>
              <w:left w:val="single" w:sz="4" w:space="0" w:color="BFBFBF" w:themeColor="background1" w:themeShade="BF"/>
            </w:tcBorders>
          </w:tcPr>
          <w:p w14:paraId="19169B71" w14:textId="77777777" w:rsidR="003067F9" w:rsidRPr="00BF67AD" w:rsidRDefault="003067F9" w:rsidP="00252376">
            <w:pPr>
              <w:spacing w:before="0"/>
              <w:rPr>
                <w:rFonts w:cstheme="minorHAnsi"/>
                <w:b/>
                <w:i/>
                <w:color w:val="000000" w:themeColor="text1"/>
                <w:sz w:val="18"/>
                <w:szCs w:val="18"/>
                <w:lang w:val="en-AU"/>
              </w:rPr>
            </w:pPr>
            <w:r w:rsidRPr="00BF67AD">
              <w:rPr>
                <w:rFonts w:cstheme="minorHAnsi"/>
                <w:b/>
                <w:i/>
                <w:sz w:val="18"/>
                <w:szCs w:val="18"/>
                <w:lang w:val="en-AU"/>
              </w:rPr>
              <w:t>Objective 1</w:t>
            </w:r>
            <w:r>
              <w:rPr>
                <w:rFonts w:cstheme="minorHAnsi"/>
                <w:b/>
                <w:i/>
                <w:sz w:val="18"/>
                <w:szCs w:val="18"/>
                <w:lang w:val="en-AU"/>
              </w:rPr>
              <w:t>0</w:t>
            </w:r>
          </w:p>
        </w:tc>
        <w:tc>
          <w:tcPr>
            <w:tcW w:w="4059" w:type="pct"/>
            <w:tcBorders>
              <w:top w:val="single" w:sz="4" w:space="0" w:color="BFBFBF" w:themeColor="background1" w:themeShade="BF"/>
              <w:right w:val="single" w:sz="4" w:space="0" w:color="BFBFBF" w:themeColor="background1" w:themeShade="BF"/>
            </w:tcBorders>
          </w:tcPr>
          <w:p w14:paraId="1355FABF" w14:textId="45906F2E" w:rsidR="003067F9" w:rsidRPr="00817E68" w:rsidRDefault="003067F9" w:rsidP="00252376">
            <w:pPr>
              <w:pStyle w:val="Numberedtable"/>
              <w:numPr>
                <w:ilvl w:val="0"/>
                <w:numId w:val="0"/>
              </w:numPr>
              <w:rPr>
                <w:rFonts w:asciiTheme="minorHAnsi" w:hAnsiTheme="minorHAnsi" w:cstheme="minorHAnsi"/>
                <w:sz w:val="21"/>
                <w:szCs w:val="20"/>
                <w:lang w:val="en-AU"/>
              </w:rPr>
            </w:pPr>
            <w:r w:rsidRPr="00247DD5">
              <w:rPr>
                <w:rFonts w:asciiTheme="minorHAnsi" w:hAnsiTheme="minorHAnsi" w:cstheme="minorHAnsi"/>
                <w:sz w:val="21"/>
                <w:szCs w:val="20"/>
                <w:lang w:val="en-AU"/>
              </w:rPr>
              <w:t xml:space="preserve">Increase primary prevention of violence and equitable access to timely, appropriate and affordable care </w:t>
            </w:r>
          </w:p>
        </w:tc>
      </w:tr>
      <w:tr w:rsidR="003067F9" w:rsidRPr="00817E68" w14:paraId="2072FB76" w14:textId="77777777" w:rsidTr="00C34EE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28659C"/>
            <w:textDirection w:val="btLr"/>
          </w:tcPr>
          <w:p w14:paraId="4A2DBB6C" w14:textId="77777777" w:rsidR="003067F9"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577BF42D"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4953494D" w14:textId="77777777" w:rsidR="003067F9" w:rsidRPr="00817E68" w:rsidRDefault="003067F9"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1B2FD87B" w14:textId="45FC9A10" w:rsidR="003067F9" w:rsidRPr="000048C6" w:rsidRDefault="003067F9" w:rsidP="007D5286">
            <w:pPr>
              <w:pStyle w:val="TableNBullet"/>
              <w:numPr>
                <w:ilvl w:val="0"/>
                <w:numId w:val="57"/>
              </w:numPr>
              <w:rPr>
                <w:szCs w:val="21"/>
                <w:lang w:val="en-AU"/>
              </w:rPr>
            </w:pPr>
            <w:r w:rsidRPr="000048C6">
              <w:rPr>
                <w:rFonts w:cstheme="minorHAnsi"/>
                <w:szCs w:val="20"/>
                <w:lang w:val="en-AU" w:eastAsia="en-US"/>
              </w:rPr>
              <w:t>Increase primary prevention for women who are at increased risk of family or domestic violence</w:t>
            </w:r>
            <w:r w:rsidR="004F5A5B">
              <w:rPr>
                <w:rFonts w:cstheme="minorHAnsi"/>
                <w:szCs w:val="20"/>
                <w:lang w:val="en-AU" w:eastAsia="en-US"/>
              </w:rPr>
              <w:t>.</w:t>
            </w:r>
            <w:r w:rsidRPr="000048C6" w:rsidDel="00692122">
              <w:rPr>
                <w:rFonts w:cstheme="minorHAnsi"/>
                <w:szCs w:val="21"/>
                <w:lang w:val="en-AU"/>
              </w:rPr>
              <w:t xml:space="preserve"> </w:t>
            </w:r>
          </w:p>
          <w:p w14:paraId="1590A16E" w14:textId="77777777" w:rsidR="003067F9" w:rsidRPr="00701DBE" w:rsidRDefault="003067F9" w:rsidP="000048C6">
            <w:pPr>
              <w:pStyle w:val="TableNBullet"/>
              <w:rPr>
                <w:rFonts w:cstheme="minorHAnsi"/>
                <w:szCs w:val="21"/>
                <w:lang w:val="en-AU"/>
              </w:rPr>
            </w:pPr>
            <w:r w:rsidRPr="00701DBE">
              <w:rPr>
                <w:rFonts w:cstheme="minorHAnsi"/>
                <w:szCs w:val="21"/>
                <w:lang w:val="en-AU"/>
              </w:rPr>
              <w:t>Engage the expertise of Aboriginal and Torres Strait Islander women and men, communities and organisations to lead in the creation and implementation of community-led solutions to build and manage change.</w:t>
            </w:r>
            <w:r w:rsidRPr="00701DBE">
              <w:rPr>
                <w:rFonts w:cstheme="minorHAnsi"/>
                <w:szCs w:val="21"/>
                <w:lang w:val="en-AU"/>
              </w:rPr>
              <w:fldChar w:fldCharType="begin"/>
            </w:r>
            <w:r w:rsidRPr="00701DBE">
              <w:rPr>
                <w:rFonts w:cstheme="minorHAnsi"/>
                <w:szCs w:val="21"/>
                <w:lang w:val="en-AU"/>
              </w:rPr>
              <w:instrText xml:space="preserve"> ADDIN EN.CITE &lt;EndNote&gt;&lt;Cite&gt;&lt;Author&gt;The Council of Australian Governments&lt;/Author&gt;&lt;Year&gt;2019&lt;/Year&gt;&lt;RecNum&gt;52&lt;/RecNum&gt;&lt;DisplayText&gt;&lt;style face="superscript"&gt;48&lt;/style&gt;&lt;/DisplayText&gt;&lt;record&gt;&lt;rec-number&gt;52&lt;/rec-number&gt;&lt;foreign-keys&gt;&lt;key app="EN" db-id="2wsw9x5wvsspa1evwxlvvergx9epfd50fs2a" timestamp="1574392782"&gt;52&lt;/key&gt;&lt;/foreign-keys&gt;&lt;ref-type name="Report"&gt;27&lt;/ref-type&gt;&lt;contributors&gt;&lt;authors&gt;&lt;author&gt;The Council of Australian Governments,&lt;/author&gt;&lt;/authors&gt;&lt;/contributors&gt;&lt;titles&gt;&lt;title&gt;Fourth Action Plan of the National Plan to Reduce Violence against Women and their Children 2010-2022&lt;/title&gt;&lt;/titles&gt;&lt;dates&gt;&lt;year&gt;2019&lt;/year&gt;&lt;/dates&gt;&lt;urls&gt;&lt;related-urls&gt;&lt;url&gt;https://www.dss.gov.au/sites/default/files/documents/08_2019/fourth_action-plan.pdf&lt;/url&gt;&lt;/related-urls&gt;&lt;/urls&gt;&lt;/record&gt;&lt;/Cite&gt;&lt;/EndNote&gt;</w:instrText>
            </w:r>
            <w:r w:rsidRPr="00701DBE">
              <w:rPr>
                <w:rFonts w:cstheme="minorHAnsi"/>
                <w:szCs w:val="21"/>
                <w:lang w:val="en-AU"/>
              </w:rPr>
              <w:fldChar w:fldCharType="separate"/>
            </w:r>
            <w:r w:rsidRPr="00701DBE">
              <w:rPr>
                <w:rFonts w:cstheme="minorHAnsi"/>
                <w:noProof/>
                <w:szCs w:val="21"/>
                <w:vertAlign w:val="superscript"/>
                <w:lang w:val="en-AU"/>
              </w:rPr>
              <w:t>48</w:t>
            </w:r>
            <w:r w:rsidRPr="00701DBE">
              <w:rPr>
                <w:rFonts w:cstheme="minorHAnsi"/>
                <w:szCs w:val="21"/>
                <w:lang w:val="en-AU"/>
              </w:rPr>
              <w:fldChar w:fldCharType="end"/>
            </w:r>
          </w:p>
          <w:p w14:paraId="688DBC05" w14:textId="5B6F9258" w:rsidR="003067F9" w:rsidRPr="00701DBE" w:rsidRDefault="00F857FC" w:rsidP="000048C6">
            <w:pPr>
              <w:pStyle w:val="TableNBullet"/>
              <w:rPr>
                <w:rFonts w:cstheme="minorHAnsi"/>
                <w:szCs w:val="21"/>
                <w:lang w:val="en-AU"/>
              </w:rPr>
            </w:pPr>
            <w:r>
              <w:rPr>
                <w:rFonts w:cstheme="minorHAnsi"/>
                <w:szCs w:val="21"/>
                <w:lang w:val="en-AU"/>
              </w:rPr>
              <w:t>Consider</w:t>
            </w:r>
            <w:r w:rsidR="003067F9" w:rsidRPr="00701DBE">
              <w:rPr>
                <w:rFonts w:cstheme="minorHAnsi"/>
                <w:szCs w:val="21"/>
                <w:lang w:val="en-AU"/>
              </w:rPr>
              <w:t xml:space="preserve"> both the immediate impacts and deep underlying drivers of family violence in</w:t>
            </w:r>
            <w:r w:rsidR="004F5A5B">
              <w:rPr>
                <w:rFonts w:cstheme="minorHAnsi"/>
                <w:szCs w:val="21"/>
                <w:lang w:val="en-AU"/>
              </w:rPr>
              <w:t xml:space="preserve"> communities, including</w:t>
            </w:r>
            <w:r w:rsidR="003067F9" w:rsidRPr="00701DBE">
              <w:rPr>
                <w:rFonts w:cstheme="minorHAnsi"/>
                <w:szCs w:val="21"/>
                <w:lang w:val="en-AU"/>
              </w:rPr>
              <w:t xml:space="preserve"> Aboriginal and Torres Strait Islander communities</w:t>
            </w:r>
            <w:r w:rsidR="004F5A5B">
              <w:rPr>
                <w:rFonts w:cstheme="minorHAnsi"/>
                <w:szCs w:val="21"/>
                <w:lang w:val="en-AU"/>
              </w:rPr>
              <w:t>,</w:t>
            </w:r>
            <w:r w:rsidR="003067F9" w:rsidRPr="00701DBE">
              <w:rPr>
                <w:rFonts w:cstheme="minorHAnsi"/>
                <w:szCs w:val="21"/>
                <w:lang w:val="en-AU"/>
              </w:rPr>
              <w:t xml:space="preserve"> through collective action with governments, service providers and communities.</w:t>
            </w:r>
            <w:r w:rsidR="003067F9" w:rsidRPr="00701DBE">
              <w:rPr>
                <w:rFonts w:cstheme="minorHAnsi"/>
                <w:szCs w:val="21"/>
                <w:lang w:val="en-AU"/>
              </w:rPr>
              <w:fldChar w:fldCharType="begin"/>
            </w:r>
            <w:r w:rsidR="003067F9" w:rsidRPr="00701DBE">
              <w:rPr>
                <w:rFonts w:cstheme="minorHAnsi"/>
                <w:szCs w:val="21"/>
                <w:lang w:val="en-AU"/>
              </w:rPr>
              <w:instrText xml:space="preserve"> ADDIN EN.CITE &lt;EndNote&gt;&lt;Cite&gt;&lt;Author&gt;The Council of Australian Governments&lt;/Author&gt;&lt;Year&gt;2019&lt;/Year&gt;&lt;RecNum&gt;52&lt;/RecNum&gt;&lt;DisplayText&gt;&lt;style face="superscript"&gt;48&lt;/style&gt;&lt;/DisplayText&gt;&lt;record&gt;&lt;rec-number&gt;52&lt;/rec-number&gt;&lt;foreign-keys&gt;&lt;key app="EN" db-id="2wsw9x5wvsspa1evwxlvvergx9epfd50fs2a" timestamp="1574392782"&gt;52&lt;/key&gt;&lt;/foreign-keys&gt;&lt;ref-type name="Report"&gt;27&lt;/ref-type&gt;&lt;contributors&gt;&lt;authors&gt;&lt;author&gt;The Council of Australian Governments,&lt;/author&gt;&lt;/authors&gt;&lt;/contributors&gt;&lt;titles&gt;&lt;title&gt;Fourth Action Plan of the National Plan to Reduce Violence against Women and their Children 2010-2022&lt;/title&gt;&lt;/titles&gt;&lt;dates&gt;&lt;year&gt;2019&lt;/year&gt;&lt;/dates&gt;&lt;urls&gt;&lt;related-urls&gt;&lt;url&gt;https://www.dss.gov.au/sites/default/files/documents/08_2019/fourth_action-plan.pdf&lt;/url&gt;&lt;/related-urls&gt;&lt;/urls&gt;&lt;/record&gt;&lt;/Cite&gt;&lt;/EndNote&gt;</w:instrText>
            </w:r>
            <w:r w:rsidR="003067F9" w:rsidRPr="00701DBE">
              <w:rPr>
                <w:rFonts w:cstheme="minorHAnsi"/>
                <w:szCs w:val="21"/>
                <w:lang w:val="en-AU"/>
              </w:rPr>
              <w:fldChar w:fldCharType="separate"/>
            </w:r>
            <w:r w:rsidR="003067F9" w:rsidRPr="00701DBE">
              <w:rPr>
                <w:rFonts w:cstheme="minorHAnsi"/>
                <w:noProof/>
                <w:szCs w:val="21"/>
                <w:vertAlign w:val="superscript"/>
                <w:lang w:val="en-AU"/>
              </w:rPr>
              <w:t>48</w:t>
            </w:r>
            <w:r w:rsidR="003067F9" w:rsidRPr="00701DBE">
              <w:rPr>
                <w:rFonts w:cstheme="minorHAnsi"/>
                <w:szCs w:val="21"/>
                <w:lang w:val="en-AU"/>
              </w:rPr>
              <w:fldChar w:fldCharType="end"/>
            </w:r>
          </w:p>
        </w:tc>
      </w:tr>
      <w:tr w:rsidR="003067F9" w:rsidRPr="00817E68" w14:paraId="2A5D353C" w14:textId="77777777" w:rsidTr="00C34EE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28659C"/>
            <w:textDirection w:val="btLr"/>
          </w:tcPr>
          <w:p w14:paraId="7625AA11" w14:textId="77777777" w:rsidR="003067F9"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1DFA43F7"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250E22E3" w14:textId="77777777" w:rsidR="003067F9" w:rsidRPr="00247DD5" w:rsidRDefault="003067F9" w:rsidP="00252376">
            <w:pPr>
              <w:spacing w:before="0"/>
              <w:rPr>
                <w:rFonts w:cstheme="minorHAnsi"/>
                <w:i/>
                <w:sz w:val="21"/>
                <w:szCs w:val="20"/>
                <w:lang w:val="en-AU"/>
              </w:rPr>
            </w:pPr>
            <w:r w:rsidRPr="00247DD5">
              <w:rPr>
                <w:rFonts w:cstheme="minorHAnsi"/>
                <w:i/>
                <w:sz w:val="21"/>
                <w:szCs w:val="21"/>
                <w:lang w:val="en-AU" w:eastAsia="en-AU"/>
              </w:rPr>
              <w:t>State and territory departments of health (PHNs, Aboriginal Community Controlled Organisations, antenatal educators, police)</w:t>
            </w:r>
          </w:p>
        </w:tc>
      </w:tr>
      <w:tr w:rsidR="003067F9" w:rsidRPr="00817E68" w14:paraId="29142A40" w14:textId="77777777" w:rsidTr="00C34EE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28659C"/>
            <w:textDirection w:val="btLr"/>
          </w:tcPr>
          <w:p w14:paraId="54CFFF4F" w14:textId="77777777" w:rsidR="003067F9" w:rsidRPr="000A0BD4" w:rsidRDefault="003067F9" w:rsidP="00252376">
            <w:pPr>
              <w:spacing w:before="0"/>
              <w:ind w:left="113" w:right="113"/>
              <w:contextualSpacing/>
              <w:jc w:val="center"/>
              <w:rPr>
                <w:rFonts w:cstheme="minorHAnsi"/>
                <w:b/>
                <w:sz w:val="21"/>
                <w:szCs w:val="20"/>
                <w:lang w:val="en-AU"/>
              </w:rPr>
            </w:pPr>
          </w:p>
        </w:tc>
        <w:tc>
          <w:tcPr>
            <w:tcW w:w="672" w:type="pct"/>
            <w:tcBorders>
              <w:top w:val="single" w:sz="4" w:space="0" w:color="BFBFBF" w:themeColor="background1" w:themeShade="BF"/>
              <w:left w:val="single" w:sz="4" w:space="0" w:color="BFBFBF" w:themeColor="background1" w:themeShade="BF"/>
            </w:tcBorders>
          </w:tcPr>
          <w:p w14:paraId="4A826299" w14:textId="77777777" w:rsidR="003067F9" w:rsidRPr="00BF67AD" w:rsidRDefault="003067F9" w:rsidP="00252376">
            <w:pPr>
              <w:spacing w:before="0"/>
              <w:rPr>
                <w:rFonts w:cstheme="minorHAnsi"/>
                <w:b/>
                <w:i/>
                <w:color w:val="000000" w:themeColor="text1"/>
                <w:sz w:val="18"/>
                <w:szCs w:val="18"/>
                <w:lang w:val="en-AU"/>
              </w:rPr>
            </w:pPr>
            <w:r w:rsidRPr="00BF67AD">
              <w:rPr>
                <w:rFonts w:cstheme="minorHAnsi"/>
                <w:b/>
                <w:i/>
                <w:sz w:val="18"/>
                <w:szCs w:val="18"/>
                <w:lang w:val="en-AU"/>
              </w:rPr>
              <w:t>Objective 1</w:t>
            </w:r>
            <w:r>
              <w:rPr>
                <w:rFonts w:cstheme="minorHAnsi"/>
                <w:b/>
                <w:i/>
                <w:sz w:val="18"/>
                <w:szCs w:val="18"/>
                <w:lang w:val="en-AU"/>
              </w:rPr>
              <w:t>1</w:t>
            </w:r>
          </w:p>
        </w:tc>
        <w:tc>
          <w:tcPr>
            <w:tcW w:w="4059" w:type="pct"/>
            <w:tcBorders>
              <w:top w:val="single" w:sz="4" w:space="0" w:color="BFBFBF" w:themeColor="background1" w:themeShade="BF"/>
              <w:right w:val="single" w:sz="4" w:space="0" w:color="BFBFBF" w:themeColor="background1" w:themeShade="BF"/>
            </w:tcBorders>
          </w:tcPr>
          <w:p w14:paraId="070D6CD0" w14:textId="735CC3E4" w:rsidR="003067F9" w:rsidRPr="00817E68" w:rsidRDefault="00B419FA" w:rsidP="00252376">
            <w:pPr>
              <w:pStyle w:val="Numberedtable"/>
              <w:numPr>
                <w:ilvl w:val="0"/>
                <w:numId w:val="0"/>
              </w:numPr>
              <w:rPr>
                <w:rFonts w:asciiTheme="minorHAnsi" w:hAnsiTheme="minorHAnsi" w:cstheme="minorHAnsi"/>
                <w:sz w:val="21"/>
                <w:szCs w:val="20"/>
                <w:lang w:val="en-AU"/>
              </w:rPr>
            </w:pPr>
            <w:r>
              <w:rPr>
                <w:rFonts w:asciiTheme="minorHAnsi" w:hAnsiTheme="minorHAnsi" w:cstheme="minorHAnsi"/>
                <w:sz w:val="21"/>
                <w:szCs w:val="20"/>
                <w:lang w:val="en-AU"/>
              </w:rPr>
              <w:t>Reduce</w:t>
            </w:r>
            <w:r w:rsidR="003067F9" w:rsidRPr="00247DD5">
              <w:rPr>
                <w:rFonts w:asciiTheme="minorHAnsi" w:hAnsiTheme="minorHAnsi" w:cstheme="minorHAnsi"/>
                <w:sz w:val="21"/>
                <w:szCs w:val="20"/>
                <w:lang w:val="en-AU"/>
              </w:rPr>
              <w:t xml:space="preserve"> the prevalence and impact of violence</w:t>
            </w:r>
          </w:p>
        </w:tc>
      </w:tr>
      <w:tr w:rsidR="003067F9" w:rsidRPr="00817E68" w14:paraId="115C9A9F" w14:textId="77777777" w:rsidTr="00C34EE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28659C"/>
            <w:textDirection w:val="btLr"/>
          </w:tcPr>
          <w:p w14:paraId="05A5A60E" w14:textId="77777777" w:rsidR="003067F9"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3EE02188"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37732BF5" w14:textId="77777777" w:rsidR="003067F9" w:rsidRPr="00817E68" w:rsidRDefault="003067F9"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586A2FC4" w14:textId="691E7147" w:rsidR="003067F9" w:rsidRPr="00701DBE" w:rsidRDefault="003067F9" w:rsidP="007D5286">
            <w:pPr>
              <w:pStyle w:val="TableNBullet"/>
              <w:numPr>
                <w:ilvl w:val="0"/>
                <w:numId w:val="39"/>
              </w:numPr>
            </w:pPr>
            <w:bookmarkStart w:id="237" w:name="_Hlk29456474"/>
            <w:r w:rsidRPr="00701DBE">
              <w:t xml:space="preserve">Improve coordination across </w:t>
            </w:r>
            <w:r w:rsidR="004F5A5B">
              <w:t>services</w:t>
            </w:r>
            <w:r w:rsidRPr="00701DBE">
              <w:t xml:space="preserve"> to </w:t>
            </w:r>
            <w:proofErr w:type="spellStart"/>
            <w:r w:rsidRPr="00701DBE">
              <w:t>maximise</w:t>
            </w:r>
            <w:proofErr w:type="spellEnd"/>
            <w:r w:rsidRPr="00701DBE">
              <w:t xml:space="preserve"> their impact on community attitudes and behaviours that </w:t>
            </w:r>
            <w:r w:rsidR="004F5A5B">
              <w:t>address</w:t>
            </w:r>
            <w:r w:rsidRPr="00701DBE">
              <w:t xml:space="preserve"> violence.</w:t>
            </w:r>
            <w:r w:rsidR="004F5A5B" w:rsidRPr="00701DBE" w:rsidDel="004F5A5B">
              <w:t xml:space="preserve"> </w:t>
            </w:r>
          </w:p>
          <w:p w14:paraId="7CB76344" w14:textId="446D29E8" w:rsidR="003067F9" w:rsidRPr="00701DBE" w:rsidRDefault="003067F9" w:rsidP="007D5286">
            <w:pPr>
              <w:pStyle w:val="TableExpBullet"/>
              <w:numPr>
                <w:ilvl w:val="0"/>
                <w:numId w:val="39"/>
              </w:numPr>
              <w:rPr>
                <w:szCs w:val="21"/>
                <w:lang w:val="en-AU"/>
              </w:rPr>
            </w:pPr>
            <w:r w:rsidRPr="00701DBE">
              <w:rPr>
                <w:rFonts w:cstheme="minorHAnsi"/>
                <w:iCs/>
                <w:szCs w:val="21"/>
                <w:lang w:val="en-AU"/>
              </w:rPr>
              <w:t xml:space="preserve">Ensure that the effects of intergenerational trauma on Aboriginal and Torres Strait Islander peoples </w:t>
            </w:r>
            <w:r w:rsidR="00402EA1">
              <w:rPr>
                <w:rFonts w:cstheme="minorHAnsi"/>
                <w:iCs/>
                <w:szCs w:val="21"/>
                <w:lang w:val="en-AU"/>
              </w:rPr>
              <w:t>are</w:t>
            </w:r>
            <w:r w:rsidRPr="00701DBE">
              <w:rPr>
                <w:rFonts w:cstheme="minorHAnsi"/>
                <w:iCs/>
                <w:szCs w:val="21"/>
                <w:lang w:val="en-AU"/>
              </w:rPr>
              <w:t xml:space="preserve"> explicitly considered and mentioned within</w:t>
            </w:r>
            <w:r w:rsidRPr="00701DBE">
              <w:rPr>
                <w:rFonts w:cstheme="minorHAnsi"/>
                <w:szCs w:val="21"/>
                <w:lang w:val="en-AU"/>
              </w:rPr>
              <w:t xml:space="preserve"> </w:t>
            </w:r>
            <w:r w:rsidR="002C69BD">
              <w:rPr>
                <w:rFonts w:cstheme="minorHAnsi"/>
                <w:szCs w:val="21"/>
                <w:lang w:val="en-AU"/>
              </w:rPr>
              <w:t xml:space="preserve">violence </w:t>
            </w:r>
            <w:r w:rsidRPr="00701DBE">
              <w:rPr>
                <w:rFonts w:cstheme="minorHAnsi"/>
                <w:szCs w:val="21"/>
                <w:lang w:val="en-AU"/>
              </w:rPr>
              <w:t>prevention for Aboriginal and Torres Strait Islander peoples, including holistic healing strategies, and by strengthening connections to culture, language, knowledge and identity.</w:t>
            </w:r>
            <w:bookmarkEnd w:id="237"/>
            <w:r w:rsidR="002C69BD" w:rsidRPr="00701DBE" w:rsidDel="002C69BD">
              <w:rPr>
                <w:rFonts w:cstheme="minorHAnsi"/>
                <w:szCs w:val="21"/>
                <w:lang w:val="en-AU"/>
              </w:rPr>
              <w:t xml:space="preserve"> </w:t>
            </w:r>
          </w:p>
          <w:p w14:paraId="22682B94" w14:textId="77777777" w:rsidR="003067F9" w:rsidRPr="00701DBE" w:rsidRDefault="003067F9" w:rsidP="007D5286">
            <w:pPr>
              <w:pStyle w:val="TableExpBullet"/>
              <w:numPr>
                <w:ilvl w:val="0"/>
                <w:numId w:val="39"/>
              </w:numPr>
              <w:rPr>
                <w:szCs w:val="21"/>
                <w:lang w:val="en-AU"/>
              </w:rPr>
            </w:pPr>
            <w:r w:rsidRPr="00701DBE">
              <w:rPr>
                <w:rFonts w:cstheme="minorHAnsi"/>
                <w:szCs w:val="21"/>
                <w:lang w:val="en-AU"/>
              </w:rPr>
              <w:t xml:space="preserve">Promote accessible, coordinated and culturally sensitive support services for people at risk of partner related violence, including Aboriginal and Torres Strait Islander women and those living in rural and remote areas and those who are most </w:t>
            </w:r>
            <w:r w:rsidRPr="00701DBE">
              <w:rPr>
                <w:rFonts w:cstheme="minorHAnsi"/>
                <w:szCs w:val="21"/>
                <w:lang w:val="en-AU" w:eastAsia="en-US"/>
              </w:rPr>
              <w:t>socio-economically disadvantaged</w:t>
            </w:r>
            <w:r w:rsidRPr="00701DBE">
              <w:rPr>
                <w:rFonts w:cstheme="minorHAnsi"/>
                <w:szCs w:val="21"/>
                <w:lang w:val="en-AU"/>
              </w:rPr>
              <w:t>.</w:t>
            </w:r>
          </w:p>
        </w:tc>
      </w:tr>
      <w:tr w:rsidR="003067F9" w:rsidRPr="00817E68" w14:paraId="185A1534" w14:textId="77777777" w:rsidTr="00C34EE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28659C"/>
            <w:textDirection w:val="btLr"/>
          </w:tcPr>
          <w:p w14:paraId="28A46EAD" w14:textId="77777777" w:rsidR="003067F9" w:rsidRDefault="003067F9"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47369D11" w14:textId="77777777" w:rsidR="003067F9" w:rsidRPr="00817E68" w:rsidRDefault="003067F9" w:rsidP="00252376">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right w:val="single" w:sz="4" w:space="0" w:color="BFBFBF" w:themeColor="background1" w:themeShade="BF"/>
            </w:tcBorders>
          </w:tcPr>
          <w:p w14:paraId="15347430" w14:textId="0E2DA07F" w:rsidR="000048C6" w:rsidRPr="000048C6" w:rsidRDefault="003067F9" w:rsidP="00252376">
            <w:pPr>
              <w:spacing w:before="0"/>
              <w:rPr>
                <w:rFonts w:cstheme="minorHAnsi"/>
                <w:i/>
                <w:sz w:val="21"/>
                <w:szCs w:val="21"/>
                <w:lang w:val="en-AU" w:eastAsia="en-AU"/>
              </w:rPr>
            </w:pPr>
            <w:r w:rsidRPr="00247DD5">
              <w:rPr>
                <w:rFonts w:cstheme="minorHAnsi"/>
                <w:i/>
                <w:sz w:val="21"/>
                <w:szCs w:val="21"/>
                <w:lang w:val="en-AU" w:eastAsia="en-AU"/>
              </w:rPr>
              <w:t>State and territory departments of health (State and territory departments of education, primary healthcare, schools NGOs with a focus on women’s health and safety, primary healthcare, Aboriginal Community Controlled Organisations, rural health services)</w:t>
            </w:r>
          </w:p>
        </w:tc>
      </w:tr>
      <w:tr w:rsidR="003067F9" w:rsidRPr="00817E68" w14:paraId="7CB5B440" w14:textId="77777777" w:rsidTr="009E4DA8">
        <w:trPr>
          <w:cantSplit/>
          <w:trHeight w:val="17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538135" w:themeFill="accent6" w:themeFillShade="BF"/>
            <w:textDirection w:val="btLr"/>
          </w:tcPr>
          <w:p w14:paraId="52EC3578" w14:textId="77777777" w:rsidR="003067F9" w:rsidRPr="00C17651" w:rsidRDefault="003067F9" w:rsidP="00252376">
            <w:pPr>
              <w:spacing w:before="0"/>
              <w:ind w:left="113" w:right="113"/>
              <w:contextualSpacing/>
              <w:jc w:val="center"/>
              <w:rPr>
                <w:rFonts w:cstheme="minorHAnsi"/>
                <w:b/>
                <w:color w:val="FFFFFF" w:themeColor="background1"/>
                <w:sz w:val="21"/>
                <w:szCs w:val="20"/>
                <w:lang w:val="en-AU"/>
              </w:rPr>
            </w:pPr>
            <w:r w:rsidRPr="00C17651">
              <w:rPr>
                <w:rFonts w:cstheme="minorHAnsi"/>
                <w:b/>
                <w:color w:val="FFFFFF" w:themeColor="background1"/>
                <w:sz w:val="21"/>
                <w:szCs w:val="20"/>
                <w:lang w:val="en-AU"/>
              </w:rPr>
              <w:t>Workplace</w:t>
            </w:r>
          </w:p>
        </w:tc>
        <w:tc>
          <w:tcPr>
            <w:tcW w:w="672" w:type="pct"/>
            <w:tcBorders>
              <w:top w:val="single" w:sz="4" w:space="0" w:color="BFBFBF" w:themeColor="background1" w:themeShade="BF"/>
              <w:left w:val="single" w:sz="4" w:space="0" w:color="BFBFBF" w:themeColor="background1" w:themeShade="BF"/>
            </w:tcBorders>
          </w:tcPr>
          <w:p w14:paraId="4ACC24AB" w14:textId="77777777" w:rsidR="003067F9" w:rsidRPr="00BF67AD" w:rsidRDefault="003067F9" w:rsidP="00252376">
            <w:pPr>
              <w:spacing w:before="0"/>
              <w:rPr>
                <w:rFonts w:cstheme="minorHAnsi"/>
                <w:b/>
                <w:i/>
                <w:color w:val="000000" w:themeColor="text1"/>
                <w:sz w:val="18"/>
                <w:szCs w:val="18"/>
                <w:lang w:val="en-AU"/>
              </w:rPr>
            </w:pPr>
            <w:r w:rsidRPr="00BF67AD">
              <w:rPr>
                <w:rFonts w:cstheme="minorHAnsi"/>
                <w:b/>
                <w:i/>
                <w:sz w:val="18"/>
                <w:szCs w:val="18"/>
                <w:lang w:val="en-AU"/>
              </w:rPr>
              <w:t>Objective 1</w:t>
            </w:r>
            <w:r>
              <w:rPr>
                <w:rFonts w:cstheme="minorHAnsi"/>
                <w:b/>
                <w:i/>
                <w:sz w:val="18"/>
                <w:szCs w:val="18"/>
                <w:lang w:val="en-AU"/>
              </w:rPr>
              <w:t>5</w:t>
            </w:r>
          </w:p>
        </w:tc>
        <w:tc>
          <w:tcPr>
            <w:tcW w:w="4059" w:type="pct"/>
            <w:tcBorders>
              <w:top w:val="single" w:sz="4" w:space="0" w:color="BFBFBF" w:themeColor="background1" w:themeShade="BF"/>
              <w:right w:val="single" w:sz="4" w:space="0" w:color="BFBFBF" w:themeColor="background1" w:themeShade="BF"/>
            </w:tcBorders>
          </w:tcPr>
          <w:p w14:paraId="14A7996D" w14:textId="77777777" w:rsidR="003067F9" w:rsidRPr="00817E68" w:rsidRDefault="003067F9" w:rsidP="00252376">
            <w:pPr>
              <w:pStyle w:val="Numberedtable"/>
              <w:numPr>
                <w:ilvl w:val="0"/>
                <w:numId w:val="0"/>
              </w:numPr>
              <w:rPr>
                <w:rFonts w:asciiTheme="minorHAnsi" w:hAnsiTheme="minorHAnsi" w:cstheme="minorHAnsi"/>
                <w:sz w:val="21"/>
                <w:szCs w:val="20"/>
                <w:lang w:val="en-AU"/>
              </w:rPr>
            </w:pPr>
            <w:r w:rsidRPr="00247DD5">
              <w:rPr>
                <w:rFonts w:asciiTheme="minorHAnsi" w:hAnsiTheme="minorHAnsi" w:cstheme="minorHAnsi"/>
                <w:sz w:val="21"/>
                <w:szCs w:val="20"/>
                <w:lang w:val="en-AU"/>
              </w:rPr>
              <w:t>Reduce the rate of workplace injuries</w:t>
            </w:r>
          </w:p>
        </w:tc>
      </w:tr>
      <w:tr w:rsidR="003067F9" w:rsidRPr="00817E68" w14:paraId="0B1DC490" w14:textId="77777777" w:rsidTr="009E4DA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538135" w:themeFill="accent6" w:themeFillShade="BF"/>
            <w:textDirection w:val="btLr"/>
          </w:tcPr>
          <w:p w14:paraId="61D0EA4B" w14:textId="77777777" w:rsidR="003067F9" w:rsidRPr="00C17651" w:rsidRDefault="003067F9" w:rsidP="00252376">
            <w:pPr>
              <w:spacing w:before="0"/>
              <w:ind w:left="113" w:right="113"/>
              <w:contextualSpacing/>
              <w:jc w:val="center"/>
              <w:rPr>
                <w:rFonts w:cstheme="minorHAnsi"/>
                <w:color w:val="FFFFFF" w:themeColor="background1"/>
                <w:sz w:val="21"/>
                <w:szCs w:val="20"/>
                <w:lang w:val="en-AU"/>
              </w:rPr>
            </w:pPr>
          </w:p>
        </w:tc>
        <w:tc>
          <w:tcPr>
            <w:tcW w:w="672" w:type="pct"/>
            <w:tcBorders>
              <w:left w:val="single" w:sz="4" w:space="0" w:color="BFBFBF" w:themeColor="background1" w:themeShade="BF"/>
            </w:tcBorders>
          </w:tcPr>
          <w:p w14:paraId="26B92094" w14:textId="77777777" w:rsidR="003067F9" w:rsidRPr="00BF67AD" w:rsidRDefault="003067F9" w:rsidP="00252376">
            <w:pPr>
              <w:spacing w:before="0"/>
              <w:rPr>
                <w:rFonts w:cstheme="minorHAnsi"/>
                <w:i/>
                <w:color w:val="000000" w:themeColor="text1"/>
                <w:sz w:val="18"/>
                <w:szCs w:val="18"/>
                <w:lang w:val="en-AU"/>
              </w:rPr>
            </w:pPr>
            <w:r w:rsidRPr="00BF67AD">
              <w:rPr>
                <w:rFonts w:cstheme="minorHAnsi"/>
                <w:i/>
                <w:sz w:val="18"/>
                <w:szCs w:val="18"/>
                <w:lang w:val="en-AU"/>
              </w:rPr>
              <w:t>Actions</w:t>
            </w:r>
          </w:p>
          <w:p w14:paraId="2723A5BC" w14:textId="77777777" w:rsidR="003067F9" w:rsidRPr="00BF67AD" w:rsidRDefault="003067F9"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1D99DA37" w14:textId="77777777" w:rsidR="003067F9" w:rsidRPr="00701DBE" w:rsidRDefault="003067F9" w:rsidP="007D5286">
            <w:pPr>
              <w:pStyle w:val="TableNBullet"/>
              <w:numPr>
                <w:ilvl w:val="0"/>
                <w:numId w:val="60"/>
              </w:numPr>
              <w:rPr>
                <w:rFonts w:eastAsiaTheme="minorEastAsia" w:cstheme="minorHAnsi"/>
                <w:szCs w:val="21"/>
                <w:lang w:val="en-AU"/>
              </w:rPr>
            </w:pPr>
            <w:r w:rsidRPr="00701DBE">
              <w:rPr>
                <w:rFonts w:eastAsiaTheme="minorEastAsia" w:cstheme="minorHAnsi"/>
                <w:szCs w:val="21"/>
                <w:lang w:val="en-AU"/>
              </w:rPr>
              <w:t>Increase workplace training and policies addressing falls risks, with a focus on the construction industry, and other occupational groups at risk of falls from a height.</w:t>
            </w:r>
          </w:p>
          <w:p w14:paraId="32553D4F" w14:textId="2C75F2F7" w:rsidR="003067F9" w:rsidRPr="00817E68" w:rsidRDefault="00F364E0" w:rsidP="007D5286">
            <w:pPr>
              <w:pStyle w:val="TableNBullet"/>
              <w:numPr>
                <w:ilvl w:val="0"/>
                <w:numId w:val="60"/>
              </w:numPr>
              <w:rPr>
                <w:rFonts w:cstheme="minorHAnsi"/>
                <w:color w:val="000000" w:themeColor="text1"/>
                <w:szCs w:val="20"/>
                <w:lang w:val="en-AU"/>
              </w:rPr>
            </w:pPr>
            <w:r>
              <w:rPr>
                <w:rFonts w:cstheme="minorHAnsi"/>
                <w:szCs w:val="21"/>
                <w:lang w:val="en-AU"/>
              </w:rPr>
              <w:t>S</w:t>
            </w:r>
            <w:r w:rsidR="003067F9" w:rsidRPr="00701DBE">
              <w:rPr>
                <w:rFonts w:cstheme="minorHAnsi"/>
                <w:szCs w:val="21"/>
                <w:lang w:val="en-AU"/>
              </w:rPr>
              <w:t>upport programs that address musculoskeletal issues such as back injury including nurses, those in manufacturing industries and other service settings.</w:t>
            </w:r>
          </w:p>
        </w:tc>
      </w:tr>
      <w:tr w:rsidR="003067F9" w:rsidRPr="00817E68" w14:paraId="5C8DDF0B" w14:textId="77777777" w:rsidTr="009E4DA8">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538135" w:themeFill="accent6" w:themeFillShade="BF"/>
            <w:textDirection w:val="btLr"/>
          </w:tcPr>
          <w:p w14:paraId="100A7905" w14:textId="77777777" w:rsidR="003067F9" w:rsidRPr="00C17651" w:rsidRDefault="003067F9" w:rsidP="00252376">
            <w:pPr>
              <w:spacing w:before="0"/>
              <w:ind w:left="113" w:right="113"/>
              <w:contextualSpacing/>
              <w:jc w:val="center"/>
              <w:rPr>
                <w:rFonts w:cstheme="minorHAnsi"/>
                <w:color w:val="FFFFFF" w:themeColor="background1"/>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7CD16AD6" w14:textId="77777777" w:rsidR="003067F9" w:rsidRPr="00BF67AD" w:rsidRDefault="003067F9" w:rsidP="00252376">
            <w:pPr>
              <w:spacing w:before="0"/>
              <w:rPr>
                <w:rFonts w:cstheme="minorHAnsi"/>
                <w:i/>
                <w:color w:val="000000" w:themeColor="text1"/>
                <w:sz w:val="18"/>
                <w:szCs w:val="18"/>
                <w:lang w:val="en-AU"/>
              </w:rPr>
            </w:pPr>
            <w:r w:rsidRPr="00BF67AD">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08FC9286" w14:textId="77777777" w:rsidR="003067F9" w:rsidRPr="00247DD5" w:rsidRDefault="003067F9" w:rsidP="00252376">
            <w:pPr>
              <w:spacing w:before="0"/>
              <w:rPr>
                <w:rFonts w:cstheme="minorHAnsi"/>
                <w:i/>
                <w:color w:val="000000" w:themeColor="text1"/>
                <w:sz w:val="21"/>
                <w:szCs w:val="20"/>
                <w:lang w:val="en-AU"/>
              </w:rPr>
            </w:pPr>
            <w:r w:rsidRPr="00247DD5">
              <w:rPr>
                <w:rFonts w:cstheme="minorHAnsi"/>
                <w:i/>
                <w:sz w:val="21"/>
                <w:szCs w:val="21"/>
                <w:lang w:val="en-AU"/>
              </w:rPr>
              <w:t xml:space="preserve">State and territory work Health and safety regulators; </w:t>
            </w:r>
            <w:r w:rsidRPr="00247DD5">
              <w:rPr>
                <w:rFonts w:cstheme="minorHAnsi"/>
                <w:i/>
                <w:sz w:val="21"/>
                <w:szCs w:val="21"/>
                <w:lang w:val="en-AU" w:eastAsia="en-AU"/>
              </w:rPr>
              <w:t>Safe Work Australia (State and territory work health and safety departments, and departments of roads and transport,</w:t>
            </w:r>
            <w:r w:rsidRPr="00247DD5">
              <w:rPr>
                <w:rFonts w:cstheme="minorHAnsi"/>
                <w:i/>
                <w:sz w:val="21"/>
                <w:szCs w:val="21"/>
                <w:lang w:val="en-AU"/>
              </w:rPr>
              <w:t xml:space="preserve"> Department of Defence, </w:t>
            </w:r>
            <w:r w:rsidRPr="00247DD5">
              <w:rPr>
                <w:rFonts w:cstheme="minorHAnsi"/>
                <w:i/>
                <w:sz w:val="21"/>
                <w:szCs w:val="21"/>
                <w:lang w:val="en-AU" w:eastAsia="en-AU"/>
              </w:rPr>
              <w:t>SME Association of Australia, Master Builders Association, CMFEU, employers’ associations, TAFE)</w:t>
            </w:r>
          </w:p>
        </w:tc>
      </w:tr>
      <w:tr w:rsidR="00C17651" w:rsidRPr="00247DD5" w14:paraId="660AA18A" w14:textId="77777777" w:rsidTr="009E4DA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269" w:type="pct"/>
            <w:vMerge w:val="restart"/>
            <w:shd w:val="clear" w:color="auto" w:fill="FFE599" w:themeFill="accent4" w:themeFillTint="66"/>
            <w:textDirection w:val="btLr"/>
          </w:tcPr>
          <w:p w14:paraId="36B8E3DC" w14:textId="77777777" w:rsidR="00C17651" w:rsidRPr="00C34EE8" w:rsidRDefault="00C17651" w:rsidP="00252376">
            <w:pPr>
              <w:spacing w:before="0"/>
              <w:ind w:left="113" w:right="113"/>
              <w:contextualSpacing/>
              <w:jc w:val="center"/>
              <w:rPr>
                <w:rFonts w:cstheme="minorHAnsi"/>
                <w:b/>
                <w:color w:val="000000" w:themeColor="text1"/>
                <w:sz w:val="21"/>
                <w:szCs w:val="20"/>
                <w:lang w:val="en-AU"/>
              </w:rPr>
            </w:pPr>
            <w:r w:rsidRPr="00C34EE8">
              <w:rPr>
                <w:rFonts w:cstheme="minorHAnsi"/>
                <w:b/>
                <w:color w:val="000000" w:themeColor="text1"/>
                <w:sz w:val="21"/>
                <w:szCs w:val="20"/>
                <w:lang w:val="en-AU"/>
              </w:rPr>
              <w:t>Determinants of injury</w:t>
            </w:r>
          </w:p>
        </w:tc>
        <w:tc>
          <w:tcPr>
            <w:tcW w:w="672" w:type="pct"/>
            <w:tcBorders>
              <w:bottom w:val="nil"/>
              <w:right w:val="nil"/>
            </w:tcBorders>
          </w:tcPr>
          <w:p w14:paraId="6E0A4F47" w14:textId="77777777" w:rsidR="00C17651" w:rsidRPr="00BF67AD" w:rsidRDefault="00C17651" w:rsidP="00252376">
            <w:pPr>
              <w:spacing w:before="0"/>
              <w:rPr>
                <w:rFonts w:cstheme="minorHAnsi"/>
                <w:b/>
                <w:i/>
                <w:sz w:val="18"/>
                <w:szCs w:val="18"/>
                <w:lang w:val="en-AU"/>
              </w:rPr>
            </w:pPr>
            <w:r w:rsidRPr="00BF67AD">
              <w:rPr>
                <w:rFonts w:cstheme="minorHAnsi"/>
                <w:b/>
                <w:i/>
                <w:sz w:val="18"/>
                <w:szCs w:val="18"/>
                <w:lang w:val="en-AU"/>
              </w:rPr>
              <w:t xml:space="preserve">Objective </w:t>
            </w:r>
            <w:r>
              <w:rPr>
                <w:rFonts w:cstheme="minorHAnsi"/>
                <w:b/>
                <w:i/>
                <w:sz w:val="18"/>
                <w:szCs w:val="18"/>
                <w:lang w:val="en-AU"/>
              </w:rPr>
              <w:t>19</w:t>
            </w:r>
          </w:p>
        </w:tc>
        <w:tc>
          <w:tcPr>
            <w:tcW w:w="4059" w:type="pct"/>
            <w:tcBorders>
              <w:left w:val="nil"/>
              <w:bottom w:val="nil"/>
            </w:tcBorders>
          </w:tcPr>
          <w:p w14:paraId="1C904743" w14:textId="77777777" w:rsidR="00C17651" w:rsidRPr="00247DD5" w:rsidRDefault="00C17651" w:rsidP="00252376">
            <w:pPr>
              <w:spacing w:before="0"/>
              <w:rPr>
                <w:sz w:val="21"/>
                <w:szCs w:val="21"/>
                <w:lang w:val="en-AU"/>
              </w:rPr>
            </w:pPr>
            <w:r w:rsidRPr="00247DD5">
              <w:rPr>
                <w:rFonts w:cstheme="minorHAnsi"/>
                <w:b/>
                <w:sz w:val="21"/>
                <w:szCs w:val="21"/>
                <w:lang w:val="en-AU"/>
              </w:rPr>
              <w:t>Prioritise the availability of and access to culturally appropriate programs and services</w:t>
            </w:r>
          </w:p>
        </w:tc>
      </w:tr>
      <w:tr w:rsidR="00C17651" w:rsidRPr="00817E68" w14:paraId="7B58E7A0" w14:textId="77777777" w:rsidTr="009E4DA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269" w:type="pct"/>
            <w:vMerge/>
            <w:shd w:val="clear" w:color="auto" w:fill="FFE599" w:themeFill="accent4" w:themeFillTint="66"/>
            <w:textDirection w:val="btLr"/>
          </w:tcPr>
          <w:p w14:paraId="40E420EC" w14:textId="77777777" w:rsidR="00C17651" w:rsidRPr="00C34EE8" w:rsidRDefault="00C17651" w:rsidP="00252376">
            <w:pPr>
              <w:spacing w:before="0"/>
              <w:ind w:left="113" w:right="113"/>
              <w:contextualSpacing/>
              <w:jc w:val="center"/>
              <w:rPr>
                <w:rFonts w:cstheme="minorHAnsi"/>
                <w:b/>
                <w:color w:val="000000" w:themeColor="text1"/>
                <w:sz w:val="21"/>
                <w:szCs w:val="20"/>
                <w:lang w:val="en-AU"/>
              </w:rPr>
            </w:pPr>
          </w:p>
        </w:tc>
        <w:tc>
          <w:tcPr>
            <w:tcW w:w="672" w:type="pct"/>
            <w:tcBorders>
              <w:top w:val="nil"/>
              <w:bottom w:val="nil"/>
              <w:right w:val="nil"/>
            </w:tcBorders>
          </w:tcPr>
          <w:p w14:paraId="0ACFC5E5" w14:textId="77777777" w:rsidR="00C17651" w:rsidRPr="00817E68" w:rsidRDefault="00C17651"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5FE79298" w14:textId="77777777" w:rsidR="00C17651" w:rsidRPr="00817E68" w:rsidRDefault="00C17651" w:rsidP="00252376">
            <w:pPr>
              <w:spacing w:before="0"/>
              <w:rPr>
                <w:rFonts w:cstheme="minorHAnsi"/>
                <w:i/>
                <w:color w:val="000000" w:themeColor="text1"/>
                <w:sz w:val="18"/>
                <w:szCs w:val="18"/>
                <w:lang w:val="en-AU"/>
              </w:rPr>
            </w:pPr>
          </w:p>
        </w:tc>
        <w:tc>
          <w:tcPr>
            <w:tcW w:w="4059" w:type="pct"/>
            <w:tcBorders>
              <w:top w:val="nil"/>
              <w:left w:val="nil"/>
              <w:bottom w:val="nil"/>
            </w:tcBorders>
          </w:tcPr>
          <w:p w14:paraId="51EFB818" w14:textId="77777777" w:rsidR="00C17651" w:rsidRPr="00701DBE" w:rsidRDefault="00C17651" w:rsidP="007D5286">
            <w:pPr>
              <w:pStyle w:val="TableNBullet"/>
              <w:numPr>
                <w:ilvl w:val="0"/>
                <w:numId w:val="71"/>
              </w:numPr>
              <w:rPr>
                <w:rFonts w:cstheme="minorHAnsi"/>
                <w:szCs w:val="20"/>
                <w:lang w:val="en-AU" w:eastAsia="ja-JP"/>
              </w:rPr>
            </w:pPr>
            <w:r w:rsidRPr="00701DBE">
              <w:rPr>
                <w:rFonts w:cstheme="minorHAnsi"/>
                <w:szCs w:val="20"/>
                <w:lang w:val="en-AU"/>
              </w:rPr>
              <w:t>Support programs aimed at connection to Country and community for Aboriginal and Torres Strait Islander young people.</w:t>
            </w:r>
            <w:r w:rsidRPr="00701DBE">
              <w:rPr>
                <w:rFonts w:cstheme="minorHAnsi"/>
                <w:szCs w:val="20"/>
                <w:lang w:val="en-AU" w:eastAsia="ja-JP"/>
              </w:rPr>
              <w:t xml:space="preserve"> </w:t>
            </w:r>
          </w:p>
          <w:p w14:paraId="7476599E" w14:textId="77777777" w:rsidR="00C17651" w:rsidRPr="00817E68" w:rsidRDefault="00C17651" w:rsidP="007D5286">
            <w:pPr>
              <w:pStyle w:val="TableNBullet"/>
              <w:numPr>
                <w:ilvl w:val="0"/>
                <w:numId w:val="71"/>
              </w:numPr>
              <w:rPr>
                <w:rFonts w:cstheme="minorHAnsi"/>
                <w:szCs w:val="20"/>
                <w:lang w:val="en-AU"/>
              </w:rPr>
            </w:pPr>
            <w:r w:rsidRPr="00701DBE">
              <w:rPr>
                <w:rFonts w:cstheme="minorHAnsi"/>
                <w:szCs w:val="20"/>
                <w:lang w:val="en-AU"/>
              </w:rPr>
              <w:t>Ensure health, justice and education systems and services are culturally respectful, non-discriminatory and use a strengths-based approach.</w:t>
            </w:r>
          </w:p>
        </w:tc>
      </w:tr>
      <w:tr w:rsidR="00C17651" w:rsidRPr="00701DBE" w14:paraId="53AF41AE" w14:textId="77777777" w:rsidTr="009E4DA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269" w:type="pct"/>
            <w:vMerge/>
            <w:shd w:val="clear" w:color="auto" w:fill="FFE599" w:themeFill="accent4" w:themeFillTint="66"/>
            <w:textDirection w:val="btLr"/>
          </w:tcPr>
          <w:p w14:paraId="1CBACE40" w14:textId="77777777" w:rsidR="00C17651" w:rsidRPr="00C34EE8" w:rsidRDefault="00C17651" w:rsidP="00252376">
            <w:pPr>
              <w:spacing w:before="0"/>
              <w:ind w:left="113" w:right="113"/>
              <w:contextualSpacing/>
              <w:jc w:val="center"/>
              <w:rPr>
                <w:rFonts w:cstheme="minorHAnsi"/>
                <w:b/>
                <w:color w:val="000000" w:themeColor="text1"/>
                <w:sz w:val="21"/>
                <w:szCs w:val="20"/>
                <w:lang w:val="en-AU"/>
              </w:rPr>
            </w:pPr>
          </w:p>
        </w:tc>
        <w:tc>
          <w:tcPr>
            <w:tcW w:w="672" w:type="pct"/>
            <w:tcBorders>
              <w:top w:val="nil"/>
              <w:right w:val="nil"/>
            </w:tcBorders>
          </w:tcPr>
          <w:p w14:paraId="45874118" w14:textId="77777777" w:rsidR="00C17651" w:rsidRPr="00817E68" w:rsidRDefault="00C17651"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top w:val="nil"/>
              <w:left w:val="nil"/>
            </w:tcBorders>
          </w:tcPr>
          <w:p w14:paraId="70D9195F" w14:textId="77777777" w:rsidR="00C17651" w:rsidRPr="00701DBE" w:rsidRDefault="00C17651" w:rsidP="00252376">
            <w:pPr>
              <w:pStyle w:val="Tablepartner"/>
              <w:rPr>
                <w:rFonts w:asciiTheme="minorHAnsi" w:hAnsiTheme="minorHAnsi" w:cstheme="minorHAnsi"/>
                <w:sz w:val="21"/>
                <w:szCs w:val="20"/>
                <w:lang w:val="en-AU"/>
              </w:rPr>
            </w:pPr>
            <w:r w:rsidRPr="00701DBE">
              <w:rPr>
                <w:rFonts w:asciiTheme="minorHAnsi" w:hAnsiTheme="minorHAnsi" w:cstheme="minorHAnsi"/>
                <w:sz w:val="21"/>
                <w:szCs w:val="20"/>
                <w:lang w:val="en-AU"/>
              </w:rPr>
              <w:t>National department of health</w:t>
            </w:r>
            <w:r w:rsidRPr="00701DBE">
              <w:rPr>
                <w:rFonts w:asciiTheme="minorHAnsi" w:hAnsiTheme="minorHAnsi" w:cstheme="minorHAnsi"/>
                <w:sz w:val="21"/>
                <w:szCs w:val="20"/>
                <w:lang w:val="en-AU" w:eastAsia="en-AU"/>
              </w:rPr>
              <w:t xml:space="preserve"> (</w:t>
            </w:r>
            <w:r w:rsidRPr="00701DBE">
              <w:rPr>
                <w:rFonts w:asciiTheme="minorHAnsi" w:hAnsiTheme="minorHAnsi" w:cstheme="minorHAnsi"/>
                <w:sz w:val="21"/>
                <w:szCs w:val="20"/>
                <w:lang w:val="en-AU"/>
              </w:rPr>
              <w:t xml:space="preserve">National Indigenous Australians Agency, </w:t>
            </w:r>
            <w:r w:rsidRPr="00701DBE">
              <w:rPr>
                <w:rFonts w:asciiTheme="minorHAnsi" w:hAnsiTheme="minorHAnsi" w:cstheme="minorHAnsi"/>
                <w:sz w:val="21"/>
                <w:szCs w:val="20"/>
                <w:lang w:val="en-AU" w:eastAsia="en-AU"/>
              </w:rPr>
              <w:t>all national and state departments, Aboriginal Community Controlled Organisations and Health Services)</w:t>
            </w:r>
          </w:p>
        </w:tc>
      </w:tr>
    </w:tbl>
    <w:p w14:paraId="2AB17B4E" w14:textId="77777777" w:rsidR="00E645B2" w:rsidRPr="00400300" w:rsidRDefault="00E645B2">
      <w:pPr>
        <w:rPr>
          <w:lang w:val="en-AU"/>
        </w:rPr>
      </w:pPr>
    </w:p>
    <w:tbl>
      <w:tblPr>
        <w:tblStyle w:val="TableGrid"/>
        <w:tblW w:w="0" w:type="auto"/>
        <w:shd w:val="pct5" w:color="auto" w:fill="auto"/>
        <w:tblLook w:val="04A0" w:firstRow="1" w:lastRow="0" w:firstColumn="1" w:lastColumn="0" w:noHBand="0" w:noVBand="1"/>
      </w:tblPr>
      <w:tblGrid>
        <w:gridCol w:w="9016"/>
      </w:tblGrid>
      <w:tr w:rsidR="001F7250" w:rsidRPr="00400300" w14:paraId="3DA9A92D" w14:textId="77777777" w:rsidTr="00C22D56">
        <w:tc>
          <w:tcPr>
            <w:tcW w:w="9016" w:type="dxa"/>
            <w:shd w:val="clear" w:color="auto" w:fill="D0CECE" w:themeFill="background2" w:themeFillShade="E6"/>
          </w:tcPr>
          <w:p w14:paraId="22E1709B" w14:textId="3C692F65" w:rsidR="00701DBE" w:rsidRPr="00701DBE" w:rsidRDefault="001F7250" w:rsidP="00402EA1">
            <w:pPr>
              <w:spacing w:before="0"/>
              <w:rPr>
                <w:rStyle w:val="Hyperlink"/>
                <w:rFonts w:cstheme="minorHAnsi"/>
                <w:color w:val="auto"/>
                <w:u w:val="none"/>
                <w:lang w:val="en-AU"/>
              </w:rPr>
            </w:pPr>
            <w:r w:rsidRPr="00400300">
              <w:rPr>
                <w:rStyle w:val="Hyperlink"/>
                <w:rFonts w:cstheme="minorHAnsi"/>
                <w:b/>
                <w:color w:val="auto"/>
                <w:u w:val="none"/>
                <w:lang w:val="en-AU"/>
              </w:rPr>
              <w:t xml:space="preserve">Case Study: </w:t>
            </w:r>
            <w:r w:rsidRPr="00400300">
              <w:rPr>
                <w:rStyle w:val="Hyperlink"/>
                <w:rFonts w:cstheme="minorHAnsi"/>
                <w:color w:val="auto"/>
                <w:u w:val="none"/>
                <w:lang w:val="en-AU"/>
              </w:rPr>
              <w:t>Workplace (farm related injury)</w:t>
            </w:r>
            <w:r w:rsidR="00402EA1">
              <w:rPr>
                <w:rStyle w:val="Hyperlink"/>
                <w:rFonts w:cstheme="minorHAnsi"/>
                <w:color w:val="auto"/>
                <w:u w:val="none"/>
                <w:lang w:val="en-AU"/>
              </w:rPr>
              <w:t xml:space="preserve"> - </w:t>
            </w:r>
            <w:r w:rsidR="00701DBE" w:rsidRPr="00701DBE">
              <w:rPr>
                <w:rFonts w:cstheme="minorHAnsi"/>
              </w:rPr>
              <w:t>To describe the burden of workplace farm injury and provide an example of a successful workplace farm safety program</w:t>
            </w:r>
          </w:p>
        </w:tc>
      </w:tr>
    </w:tbl>
    <w:p w14:paraId="5B8748EC" w14:textId="4888E718" w:rsidR="0047482E" w:rsidRDefault="00353AC1" w:rsidP="0022326A">
      <w:pPr>
        <w:pStyle w:val="Heading1"/>
        <w:rPr>
          <w:lang w:val="en-AU"/>
        </w:rPr>
      </w:pPr>
      <w:bookmarkStart w:id="238" w:name="_Toc29473016"/>
      <w:bookmarkStart w:id="239" w:name="_Toc30077748"/>
      <w:bookmarkStart w:id="240" w:name="_Toc31128322"/>
      <w:bookmarkStart w:id="241" w:name="_Toc32584900"/>
      <w:bookmarkStart w:id="242" w:name="_Toc38021102"/>
      <w:bookmarkStart w:id="243" w:name="_Hlk29896002"/>
      <w:r w:rsidRPr="00400300">
        <w:rPr>
          <w:lang w:val="en-AU"/>
        </w:rPr>
        <w:t>Older people</w:t>
      </w:r>
      <w:r w:rsidR="000A05E2" w:rsidRPr="00400300">
        <w:rPr>
          <w:lang w:val="en-AU"/>
        </w:rPr>
        <w:t xml:space="preserve"> </w:t>
      </w:r>
      <w:r w:rsidR="000D6E5D" w:rsidRPr="00400300">
        <w:rPr>
          <w:lang w:val="en-AU"/>
        </w:rPr>
        <w:t>(</w:t>
      </w:r>
      <w:r w:rsidRPr="00400300">
        <w:rPr>
          <w:lang w:val="en-AU"/>
        </w:rPr>
        <w:t>65+</w:t>
      </w:r>
      <w:r w:rsidR="0047482E" w:rsidRPr="00400300">
        <w:rPr>
          <w:lang w:val="en-AU"/>
        </w:rPr>
        <w:t xml:space="preserve"> years)</w:t>
      </w:r>
      <w:bookmarkEnd w:id="238"/>
      <w:bookmarkEnd w:id="239"/>
      <w:bookmarkEnd w:id="240"/>
      <w:bookmarkEnd w:id="241"/>
      <w:bookmarkEnd w:id="242"/>
    </w:p>
    <w:p w14:paraId="47165850" w14:textId="77777777" w:rsidR="007E6D38" w:rsidRPr="007E6D38" w:rsidRDefault="007E6D38" w:rsidP="007E6D38">
      <w:pPr>
        <w:rPr>
          <w:lang w:val="en-AU" w:eastAsia="en-US"/>
        </w:rPr>
      </w:pPr>
    </w:p>
    <w:tbl>
      <w:tblPr>
        <w:tblStyle w:val="PlainTable2"/>
        <w:tblW w:w="0" w:type="auto"/>
        <w:tblLook w:val="04A0" w:firstRow="1" w:lastRow="0" w:firstColumn="1" w:lastColumn="0" w:noHBand="0" w:noVBand="1"/>
      </w:tblPr>
      <w:tblGrid>
        <w:gridCol w:w="731"/>
        <w:gridCol w:w="1396"/>
        <w:gridCol w:w="6889"/>
      </w:tblGrid>
      <w:tr w:rsidR="007E6D38" w:rsidRPr="007E6D38" w14:paraId="49AB501A" w14:textId="77777777" w:rsidTr="005F0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14:paraId="27456868" w14:textId="20DBD18C" w:rsidR="007E6D38" w:rsidRPr="00402EA1" w:rsidRDefault="007E6D38" w:rsidP="00A94CDF">
            <w:pPr>
              <w:rPr>
                <w:rFonts w:cstheme="minorHAnsi"/>
                <w:sz w:val="20"/>
                <w:szCs w:val="20"/>
                <w:lang w:val="en-AU" w:eastAsia="en-US"/>
              </w:rPr>
            </w:pPr>
            <w:bookmarkStart w:id="244" w:name="_Toc32584901"/>
            <w:bookmarkStart w:id="245" w:name="_Hlk22540246"/>
            <w:bookmarkEnd w:id="243"/>
            <w:r w:rsidRPr="00402EA1">
              <w:rPr>
                <w:rFonts w:cstheme="minorHAnsi"/>
                <w:sz w:val="20"/>
                <w:szCs w:val="20"/>
                <w:lang w:val="en-AU" w:eastAsia="en-US"/>
              </w:rPr>
              <w:t>Main causes of injury</w:t>
            </w:r>
          </w:p>
        </w:tc>
        <w:tc>
          <w:tcPr>
            <w:tcW w:w="6889" w:type="dxa"/>
          </w:tcPr>
          <w:p w14:paraId="7A68674C" w14:textId="77777777" w:rsidR="007E6D38" w:rsidRPr="007E6D38" w:rsidRDefault="007E6D38" w:rsidP="00A94CDF">
            <w:pPr>
              <w:pStyle w:val="ListParagraph"/>
              <w:numPr>
                <w:ilvl w:val="1"/>
                <w:numId w:val="71"/>
              </w:numPr>
              <w:ind w:left="448" w:hanging="426"/>
              <w:cnfStyle w:val="100000000000" w:firstRow="1" w:lastRow="0" w:firstColumn="0" w:lastColumn="0" w:oddVBand="0" w:evenVBand="0" w:oddHBand="0" w:evenHBand="0" w:firstRowFirstColumn="0" w:firstRowLastColumn="0" w:lastRowFirstColumn="0" w:lastRowLastColumn="0"/>
              <w:rPr>
                <w:b w:val="0"/>
                <w:sz w:val="20"/>
                <w:szCs w:val="20"/>
                <w:lang w:val="en-AU"/>
              </w:rPr>
            </w:pPr>
            <w:r w:rsidRPr="007E6D38">
              <w:rPr>
                <w:rFonts w:cstheme="minorHAnsi"/>
                <w:b w:val="0"/>
                <w:sz w:val="20"/>
                <w:szCs w:val="20"/>
                <w:lang w:val="en-AU" w:eastAsia="en-US"/>
              </w:rPr>
              <w:t>Falls (61%</w:t>
            </w:r>
            <w:r w:rsidRPr="007E6D38">
              <w:rPr>
                <w:b w:val="0"/>
                <w:sz w:val="20"/>
                <w:szCs w:val="20"/>
                <w:lang w:val="en-AU"/>
              </w:rPr>
              <w:t xml:space="preserve"> total injury burden)</w:t>
            </w:r>
          </w:p>
          <w:p w14:paraId="377E3B7F" w14:textId="1A9EEE04" w:rsidR="007E6D38" w:rsidRPr="007E6D38" w:rsidRDefault="007E6D38" w:rsidP="007D5286">
            <w:pPr>
              <w:pStyle w:val="ListParagraph"/>
              <w:numPr>
                <w:ilvl w:val="1"/>
                <w:numId w:val="71"/>
              </w:numPr>
              <w:spacing w:before="0"/>
              <w:ind w:left="448" w:hanging="426"/>
              <w:cnfStyle w:val="100000000000" w:firstRow="1" w:lastRow="0" w:firstColumn="0" w:lastColumn="0" w:oddVBand="0" w:evenVBand="0" w:oddHBand="0" w:evenHBand="0" w:firstRowFirstColumn="0" w:firstRowLastColumn="0" w:lastRowFirstColumn="0" w:lastRowLastColumn="0"/>
              <w:rPr>
                <w:b w:val="0"/>
                <w:sz w:val="20"/>
                <w:szCs w:val="20"/>
                <w:lang w:val="en-AU"/>
              </w:rPr>
            </w:pPr>
            <w:r w:rsidRPr="007E6D38">
              <w:rPr>
                <w:b w:val="0"/>
                <w:sz w:val="20"/>
                <w:szCs w:val="20"/>
                <w:lang w:val="en-AU"/>
              </w:rPr>
              <w:t>Suicide and self</w:t>
            </w:r>
            <w:r w:rsidR="006A27AC">
              <w:rPr>
                <w:b w:val="0"/>
                <w:sz w:val="20"/>
                <w:szCs w:val="20"/>
                <w:lang w:val="en-AU"/>
              </w:rPr>
              <w:t>-</w:t>
            </w:r>
            <w:r w:rsidRPr="007E6D38">
              <w:rPr>
                <w:b w:val="0"/>
                <w:sz w:val="20"/>
                <w:szCs w:val="20"/>
                <w:lang w:val="en-AU"/>
              </w:rPr>
              <w:t>harm</w:t>
            </w:r>
          </w:p>
          <w:p w14:paraId="57288CB8" w14:textId="3EC27CDB" w:rsidR="007E6D38" w:rsidRPr="007E6D38" w:rsidRDefault="007E6D38" w:rsidP="007D5286">
            <w:pPr>
              <w:pStyle w:val="ListParagraph"/>
              <w:numPr>
                <w:ilvl w:val="1"/>
                <w:numId w:val="71"/>
              </w:numPr>
              <w:spacing w:before="0"/>
              <w:ind w:left="448" w:hanging="426"/>
              <w:cnfStyle w:val="100000000000" w:firstRow="1" w:lastRow="0" w:firstColumn="0" w:lastColumn="0" w:oddVBand="0" w:evenVBand="0" w:oddHBand="0" w:evenHBand="0" w:firstRowFirstColumn="0" w:firstRowLastColumn="0" w:lastRowFirstColumn="0" w:lastRowLastColumn="0"/>
              <w:rPr>
                <w:b w:val="0"/>
                <w:sz w:val="20"/>
                <w:szCs w:val="20"/>
                <w:lang w:val="en-AU"/>
              </w:rPr>
            </w:pPr>
            <w:r w:rsidRPr="007E6D38">
              <w:rPr>
                <w:b w:val="0"/>
                <w:sz w:val="20"/>
                <w:szCs w:val="20"/>
                <w:lang w:val="en-AU"/>
              </w:rPr>
              <w:t xml:space="preserve">Road </w:t>
            </w:r>
            <w:r w:rsidRPr="007E6D38">
              <w:rPr>
                <w:rFonts w:cstheme="minorHAnsi"/>
                <w:b w:val="0"/>
                <w:sz w:val="20"/>
                <w:szCs w:val="20"/>
                <w:lang w:val="en-AU" w:eastAsia="en-US"/>
              </w:rPr>
              <w:t>traffic injuries</w:t>
            </w:r>
          </w:p>
        </w:tc>
      </w:tr>
      <w:tr w:rsidR="007E6D38" w:rsidRPr="007E6D38" w14:paraId="14FC582D" w14:textId="77777777" w:rsidTr="005F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dxa"/>
            <w:vMerge w:val="restart"/>
          </w:tcPr>
          <w:p w14:paraId="4C2CC671" w14:textId="1C13A919" w:rsidR="007E6D38" w:rsidRPr="007E6D38" w:rsidRDefault="007E6D38" w:rsidP="00A94CDF">
            <w:pPr>
              <w:rPr>
                <w:rFonts w:cstheme="minorHAnsi"/>
                <w:sz w:val="20"/>
                <w:szCs w:val="20"/>
                <w:lang w:val="en-AU" w:eastAsia="en-US"/>
              </w:rPr>
            </w:pPr>
            <w:r w:rsidRPr="007E6D38">
              <w:rPr>
                <w:rFonts w:cstheme="minorHAnsi"/>
                <w:sz w:val="20"/>
                <w:szCs w:val="20"/>
                <w:lang w:val="en-AU" w:eastAsia="en-US"/>
              </w:rPr>
              <w:t>FALLS</w:t>
            </w:r>
          </w:p>
        </w:tc>
        <w:tc>
          <w:tcPr>
            <w:tcW w:w="8285" w:type="dxa"/>
            <w:gridSpan w:val="2"/>
            <w:tcBorders>
              <w:bottom w:val="nil"/>
            </w:tcBorders>
          </w:tcPr>
          <w:p w14:paraId="7A0E6317" w14:textId="07AF5574" w:rsidR="007E6D38" w:rsidRPr="007E6D38" w:rsidRDefault="007E6D38" w:rsidP="00A94CDF">
            <w:pPr>
              <w:pStyle w:val="ListParagraph"/>
              <w:numPr>
                <w:ilvl w:val="0"/>
                <w:numId w:val="53"/>
              </w:numPr>
              <w:ind w:left="437"/>
              <w:cnfStyle w:val="000000100000" w:firstRow="0" w:lastRow="0" w:firstColumn="0" w:lastColumn="0" w:oddVBand="0" w:evenVBand="0" w:oddHBand="1" w:evenHBand="0" w:firstRowFirstColumn="0" w:firstRowLastColumn="0" w:lastRowFirstColumn="0" w:lastRowLastColumn="0"/>
              <w:rPr>
                <w:rFonts w:cstheme="minorHAnsi"/>
                <w:sz w:val="20"/>
                <w:szCs w:val="20"/>
                <w:lang w:val="en-AU" w:eastAsia="en-US"/>
              </w:rPr>
            </w:pPr>
            <w:r w:rsidRPr="007E6D38">
              <w:rPr>
                <w:sz w:val="20"/>
                <w:szCs w:val="20"/>
                <w:lang w:val="en-AU"/>
              </w:rPr>
              <w:t>Older people (aged 85 years or over) who have a fall (in hospital) are twice as likely to be subsequently admitted to an aged care facility, than those who do not fall.</w:t>
            </w:r>
            <w:r w:rsidRPr="007E6D38">
              <w:rPr>
                <w:sz w:val="20"/>
                <w:szCs w:val="20"/>
                <w:lang w:val="en-AU"/>
              </w:rPr>
              <w:fldChar w:fldCharType="begin"/>
            </w:r>
            <w:r w:rsidRPr="007E6D38">
              <w:rPr>
                <w:sz w:val="20"/>
                <w:szCs w:val="20"/>
                <w:lang w:val="en-AU"/>
              </w:rPr>
              <w:instrText xml:space="preserve"> ADDIN EN.CITE &lt;EndNote&gt;&lt;Cite&gt;&lt;Author&gt;Basic&lt;/Author&gt;&lt;Year&gt;2015&lt;/Year&gt;&lt;RecNum&gt;91&lt;/RecNum&gt;&lt;DisplayText&gt;&lt;style face="superscript"&gt;54&lt;/style&gt;&lt;/DisplayText&gt;&lt;record&gt;&lt;rec-number&gt;91&lt;/rec-number&gt;&lt;foreign-keys&gt;&lt;key app="EN" db-id="2wsw9x5wvsspa1evwxlvvergx9epfd50fs2a" timestamp="1578268981"&gt;91&lt;/key&gt;&lt;/foreign-keys&gt;&lt;ref-type name="Journal Article"&gt;17&lt;/ref-type&gt;&lt;contributors&gt;&lt;authors&gt;&lt;author&gt;Basic, David&lt;/author&gt;&lt;author&gt;Hartwell, Tabitha&lt;/author&gt;&lt;/authors&gt;&lt;/contributors&gt;&lt;titles&gt;&lt;title&gt;Falls in hospital and new placement in a nursing home among older people hospitalized with acute illness&lt;/title&gt;&lt;secondary-title&gt;J Clinical interventions in aging&lt;/secondary-title&gt;&lt;/titles&gt;&lt;periodical&gt;&lt;full-title&gt;J Clinical interventions in aging&lt;/full-title&gt;&lt;/periodical&gt;&lt;pages&gt;1637&lt;/pages&gt;&lt;volume&gt;10&lt;/volume&gt;&lt;dates&gt;&lt;year&gt;2015&lt;/year&gt;&lt;/dates&gt;&lt;urls&gt;&lt;/urls&gt;&lt;/record&gt;&lt;/Cite&gt;&lt;/EndNote&gt;</w:instrText>
            </w:r>
            <w:r w:rsidRPr="007E6D38">
              <w:rPr>
                <w:sz w:val="20"/>
                <w:szCs w:val="20"/>
                <w:lang w:val="en-AU"/>
              </w:rPr>
              <w:fldChar w:fldCharType="separate"/>
            </w:r>
            <w:r w:rsidRPr="007E6D38">
              <w:rPr>
                <w:noProof/>
                <w:sz w:val="20"/>
                <w:szCs w:val="20"/>
                <w:vertAlign w:val="superscript"/>
                <w:lang w:val="en-AU"/>
              </w:rPr>
              <w:t>54</w:t>
            </w:r>
            <w:r w:rsidRPr="007E6D38">
              <w:rPr>
                <w:sz w:val="20"/>
                <w:szCs w:val="20"/>
                <w:lang w:val="en-AU"/>
              </w:rPr>
              <w:fldChar w:fldCharType="end"/>
            </w:r>
          </w:p>
        </w:tc>
      </w:tr>
      <w:tr w:rsidR="007E6D38" w:rsidRPr="007E6D38" w14:paraId="33C8280A" w14:textId="77777777" w:rsidTr="005F0EB6">
        <w:tc>
          <w:tcPr>
            <w:cnfStyle w:val="001000000000" w:firstRow="0" w:lastRow="0" w:firstColumn="1" w:lastColumn="0" w:oddVBand="0" w:evenVBand="0" w:oddHBand="0" w:evenHBand="0" w:firstRowFirstColumn="0" w:firstRowLastColumn="0" w:lastRowFirstColumn="0" w:lastRowLastColumn="0"/>
            <w:tcW w:w="731" w:type="dxa"/>
            <w:vMerge/>
            <w:tcBorders>
              <w:bottom w:val="nil"/>
            </w:tcBorders>
          </w:tcPr>
          <w:p w14:paraId="2FCF82B3" w14:textId="77777777" w:rsidR="007E6D38" w:rsidRPr="007E6D38" w:rsidRDefault="007E6D38" w:rsidP="007E6D38">
            <w:pPr>
              <w:spacing w:before="0"/>
              <w:rPr>
                <w:rFonts w:cstheme="minorHAnsi"/>
                <w:b w:val="0"/>
                <w:sz w:val="20"/>
                <w:szCs w:val="20"/>
                <w:lang w:val="en-AU" w:eastAsia="en-US"/>
              </w:rPr>
            </w:pPr>
          </w:p>
        </w:tc>
        <w:tc>
          <w:tcPr>
            <w:tcW w:w="8285" w:type="dxa"/>
            <w:gridSpan w:val="2"/>
            <w:tcBorders>
              <w:top w:val="nil"/>
              <w:bottom w:val="nil"/>
            </w:tcBorders>
          </w:tcPr>
          <w:p w14:paraId="178DBE3F" w14:textId="68D54C60" w:rsidR="007E6D38" w:rsidRPr="007E6D38" w:rsidRDefault="007E6D38" w:rsidP="007D5286">
            <w:pPr>
              <w:pStyle w:val="ListParagraph"/>
              <w:numPr>
                <w:ilvl w:val="0"/>
                <w:numId w:val="53"/>
              </w:numPr>
              <w:spacing w:before="0"/>
              <w:ind w:left="437"/>
              <w:cnfStyle w:val="000000000000" w:firstRow="0" w:lastRow="0" w:firstColumn="0" w:lastColumn="0" w:oddVBand="0" w:evenVBand="0" w:oddHBand="0" w:evenHBand="0" w:firstRowFirstColumn="0" w:firstRowLastColumn="0" w:lastRowFirstColumn="0" w:lastRowLastColumn="0"/>
              <w:rPr>
                <w:rFonts w:cstheme="minorHAnsi"/>
                <w:sz w:val="20"/>
                <w:szCs w:val="20"/>
                <w:lang w:val="en-AU" w:eastAsia="en-US"/>
              </w:rPr>
            </w:pPr>
            <w:r w:rsidRPr="007E6D38">
              <w:rPr>
                <w:sz w:val="20"/>
                <w:szCs w:val="20"/>
                <w:lang w:val="en-AU"/>
              </w:rPr>
              <w:t>NSW data suggests that 7% of individuals over 65 who have a fall are transferred directly to residential aged care.</w:t>
            </w:r>
            <w:r w:rsidRPr="007E6D38">
              <w:rPr>
                <w:sz w:val="20"/>
                <w:szCs w:val="20"/>
                <w:lang w:val="en-AU"/>
              </w:rPr>
              <w:fldChar w:fldCharType="begin"/>
            </w:r>
            <w:r w:rsidRPr="007E6D38">
              <w:rPr>
                <w:sz w:val="20"/>
                <w:szCs w:val="20"/>
                <w:lang w:val="en-AU"/>
              </w:rPr>
              <w:instrText xml:space="preserve"> ADDIN EN.CITE &lt;EndNote&gt;&lt;Cite&gt;&lt;Author&gt;Watson&lt;/Author&gt;&lt;Year&gt;2010&lt;/Year&gt;&lt;RecNum&gt;108&lt;/RecNum&gt;&lt;DisplayText&gt;&lt;style face="superscript"&gt;55&lt;/style&gt;&lt;/DisplayText&gt;&lt;record&gt;&lt;rec-number&gt;108&lt;/rec-number&gt;&lt;foreign-keys&gt;&lt;key app="EN" db-id="2wsw9x5wvsspa1evwxlvvergx9epfd50fs2a" timestamp="1583885701"&gt;108&lt;/key&gt;&lt;/foreign-keys&gt;&lt;ref-type name="Report"&gt;27&lt;/ref-type&gt;&lt;contributors&gt;&lt;authors&gt;&lt;author&gt;Watson, W.&lt;/author&gt;&lt;author&gt;Clapperton, A.&lt;/author&gt;&lt;author&gt;Mitchell, R.&lt;/author&gt;&lt;/authors&gt;&lt;/contributors&gt;&lt;titles&gt;&lt;title&gt;The incidence and cost of falls injury among older people in New South Wales 2006/07. Sydney: NSW Department of Health&lt;/title&gt;&lt;/titles&gt;&lt;dates&gt;&lt;year&gt;2010&lt;/year&gt;&lt;/dates&gt;&lt;urls&gt;&lt;related-urls&gt;&lt;url&gt;https://www.health.nsw.gov.au/falls/Publications/incidence-cost-of-falls.pdf&lt;/url&gt;&lt;/related-urls&gt;&lt;/urls&gt;&lt;/record&gt;&lt;/Cite&gt;&lt;/EndNote&gt;</w:instrText>
            </w:r>
            <w:r w:rsidRPr="007E6D38">
              <w:rPr>
                <w:sz w:val="20"/>
                <w:szCs w:val="20"/>
                <w:lang w:val="en-AU"/>
              </w:rPr>
              <w:fldChar w:fldCharType="separate"/>
            </w:r>
            <w:r w:rsidRPr="007E6D38">
              <w:rPr>
                <w:noProof/>
                <w:sz w:val="20"/>
                <w:szCs w:val="20"/>
                <w:vertAlign w:val="superscript"/>
                <w:lang w:val="en-AU"/>
              </w:rPr>
              <w:t>55</w:t>
            </w:r>
            <w:r w:rsidRPr="007E6D38">
              <w:rPr>
                <w:sz w:val="20"/>
                <w:szCs w:val="20"/>
                <w:lang w:val="en-AU"/>
              </w:rPr>
              <w:fldChar w:fldCharType="end"/>
            </w:r>
          </w:p>
        </w:tc>
      </w:tr>
      <w:tr w:rsidR="007E6D38" w:rsidRPr="007E6D38" w14:paraId="4B14A061" w14:textId="77777777" w:rsidTr="005F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dxa"/>
            <w:tcBorders>
              <w:top w:val="nil"/>
            </w:tcBorders>
          </w:tcPr>
          <w:p w14:paraId="11C08455" w14:textId="77777777" w:rsidR="007E6D38" w:rsidRPr="007E6D38" w:rsidRDefault="007E6D38" w:rsidP="007E6D38">
            <w:pPr>
              <w:spacing w:before="0"/>
              <w:rPr>
                <w:rFonts w:cstheme="minorHAnsi"/>
                <w:b w:val="0"/>
                <w:sz w:val="20"/>
                <w:szCs w:val="20"/>
                <w:lang w:val="en-AU" w:eastAsia="en-US"/>
              </w:rPr>
            </w:pPr>
          </w:p>
        </w:tc>
        <w:tc>
          <w:tcPr>
            <w:tcW w:w="8285" w:type="dxa"/>
            <w:gridSpan w:val="2"/>
            <w:tcBorders>
              <w:top w:val="nil"/>
            </w:tcBorders>
          </w:tcPr>
          <w:p w14:paraId="21A17BBC" w14:textId="5C4B7A1A" w:rsidR="007E6D38" w:rsidRPr="007E6D38" w:rsidRDefault="007E6D38" w:rsidP="00A94CDF">
            <w:pPr>
              <w:pStyle w:val="ListParagraph"/>
              <w:numPr>
                <w:ilvl w:val="0"/>
                <w:numId w:val="53"/>
              </w:numPr>
              <w:spacing w:before="0" w:after="240"/>
              <w:ind w:left="437"/>
              <w:cnfStyle w:val="000000100000" w:firstRow="0" w:lastRow="0" w:firstColumn="0" w:lastColumn="0" w:oddVBand="0" w:evenVBand="0" w:oddHBand="1" w:evenHBand="0" w:firstRowFirstColumn="0" w:firstRowLastColumn="0" w:lastRowFirstColumn="0" w:lastRowLastColumn="0"/>
              <w:rPr>
                <w:sz w:val="20"/>
                <w:szCs w:val="20"/>
                <w:lang w:val="en-AU"/>
              </w:rPr>
            </w:pPr>
            <w:r w:rsidRPr="007E6D38">
              <w:rPr>
                <w:sz w:val="20"/>
                <w:szCs w:val="20"/>
                <w:lang w:val="en-AU"/>
              </w:rPr>
              <w:t>Some population groups continue to face social and cultural inequities, leading to early onset of age-related injury such as falls.</w:t>
            </w:r>
            <w:r w:rsidRPr="007E6D38">
              <w:rPr>
                <w:sz w:val="20"/>
                <w:szCs w:val="20"/>
                <w:lang w:val="en-AU"/>
              </w:rPr>
              <w:fldChar w:fldCharType="begin"/>
            </w:r>
            <w:r w:rsidRPr="007E6D38">
              <w:rPr>
                <w:sz w:val="20"/>
                <w:szCs w:val="20"/>
                <w:lang w:val="en-AU"/>
              </w:rPr>
              <w:instrText xml:space="preserve"> ADDIN EN.CITE &lt;EndNote&gt;&lt;Cite&gt;&lt;Author&gt;Lukaszyk&lt;/Author&gt;&lt;Year&gt;2017&lt;/Year&gt;&lt;RecNum&gt;68&lt;/RecNum&gt;&lt;DisplayText&gt;&lt;style face="superscript"&gt;56&lt;/style&gt;&lt;/DisplayText&gt;&lt;record&gt;&lt;rec-number&gt;68&lt;/rec-number&gt;&lt;foreign-keys&gt;&lt;key app="EN" db-id="2wsw9x5wvsspa1evwxlvvergx9epfd50fs2a" timestamp="1575011470"&gt;68&lt;/key&gt;&lt;/foreign-keys&gt;&lt;ref-type name="Journal Article"&gt;17&lt;/ref-type&gt;&lt;contributors&gt;&lt;authors&gt;&lt;author&gt;Lukaszyk, Caroline&lt;/author&gt;&lt;author&gt;Harvey, Lara A&lt;/author&gt;&lt;author&gt;Sherrington, Catherine&lt;/author&gt;&lt;author&gt;Close, Jacqueline CT</w:instrText>
            </w:r>
            <w:r w:rsidRPr="007E6D38">
              <w:rPr>
                <w:rFonts w:hint="eastAsia"/>
                <w:sz w:val="20"/>
                <w:szCs w:val="20"/>
                <w:lang w:val="en-AU"/>
              </w:rPr>
              <w:instrText>&lt;/author&gt;&lt;author&gt;Coombes, Julieann&lt;/author&gt;&lt;author&gt;Mitchell, Rebecca J&lt;/author&gt;&lt;author&gt;Moore, Robyn&lt;/author&gt;&lt;author&gt;Ivers, Rebecca &lt;/author&gt;&lt;/authors&gt;&lt;/contributors&gt;&lt;titles&gt;&lt;title&gt;Fall</w:instrText>
            </w:r>
            <w:r w:rsidRPr="007E6D38">
              <w:rPr>
                <w:rFonts w:hint="eastAsia"/>
                <w:sz w:val="20"/>
                <w:szCs w:val="20"/>
                <w:lang w:val="en-AU"/>
              </w:rPr>
              <w:instrText>‐</w:instrText>
            </w:r>
            <w:r w:rsidRPr="007E6D38">
              <w:rPr>
                <w:rFonts w:hint="eastAsia"/>
                <w:sz w:val="20"/>
                <w:szCs w:val="20"/>
                <w:lang w:val="en-AU"/>
              </w:rPr>
              <w:instrText>related hospitalisations of older Aboriginal and Torres Strait Islande</w:instrText>
            </w:r>
            <w:r w:rsidRPr="007E6D38">
              <w:rPr>
                <w:sz w:val="20"/>
                <w:szCs w:val="20"/>
                <w:lang w:val="en-AU"/>
              </w:rPr>
              <w:instrText>r people and other Australians&lt;/title&gt;&lt;secondary-title&gt;Medical Journal of Australia&lt;/secondary-title&gt;&lt;/titles&gt;&lt;periodical&gt;&lt;full-title&gt;Medical journal of Australia&lt;/full-title&gt;&lt;/periodical&gt;&lt;pages&gt;31-35&lt;/pages&gt;&lt;volume&gt;207&lt;/volume&gt;&lt;number&gt;1&lt;/number&gt;&lt;dates&gt;&lt;year&gt;2017&lt;/year&gt;&lt;/dates&gt;&lt;isbn&gt;0025-729X&lt;/isbn&gt;&lt;urls&gt;&lt;/urls&gt;&lt;/record&gt;&lt;/Cite&gt;&lt;/EndNote&gt;</w:instrText>
            </w:r>
            <w:r w:rsidRPr="007E6D38">
              <w:rPr>
                <w:sz w:val="20"/>
                <w:szCs w:val="20"/>
                <w:lang w:val="en-AU"/>
              </w:rPr>
              <w:fldChar w:fldCharType="separate"/>
            </w:r>
            <w:r w:rsidRPr="007E6D38">
              <w:rPr>
                <w:noProof/>
                <w:sz w:val="20"/>
                <w:szCs w:val="20"/>
                <w:vertAlign w:val="superscript"/>
                <w:lang w:val="en-AU"/>
              </w:rPr>
              <w:t>56</w:t>
            </w:r>
            <w:r w:rsidRPr="007E6D38">
              <w:rPr>
                <w:sz w:val="20"/>
                <w:szCs w:val="20"/>
                <w:lang w:val="en-AU"/>
              </w:rPr>
              <w:fldChar w:fldCharType="end"/>
            </w:r>
            <w:r w:rsidRPr="007E6D38">
              <w:rPr>
                <w:sz w:val="20"/>
                <w:szCs w:val="20"/>
                <w:lang w:val="en-AU"/>
              </w:rPr>
              <w:t xml:space="preserve"> </w:t>
            </w:r>
            <w:r w:rsidRPr="007E6D38">
              <w:rPr>
                <w:rFonts w:cstheme="minorHAnsi"/>
                <w:sz w:val="20"/>
                <w:szCs w:val="20"/>
                <w:lang w:val="en-AU" w:eastAsia="en-AU"/>
              </w:rPr>
              <w:t xml:space="preserve">In recognition of those inequities for example, fall prevention programs should be tailored </w:t>
            </w:r>
            <w:r w:rsidRPr="00E83213">
              <w:rPr>
                <w:rFonts w:cstheme="minorHAnsi"/>
                <w:sz w:val="20"/>
                <w:szCs w:val="20"/>
                <w:lang w:val="en-AU" w:eastAsia="en-AU"/>
              </w:rPr>
              <w:t>to Aboriginal and Torres Strait Islander people aged over 55 years.</w:t>
            </w:r>
            <w:r w:rsidRPr="00E83213">
              <w:rPr>
                <w:rFonts w:cstheme="minorHAnsi"/>
                <w:sz w:val="20"/>
                <w:szCs w:val="20"/>
                <w:lang w:val="en-AU" w:eastAsia="en-AU"/>
              </w:rPr>
              <w:fldChar w:fldCharType="begin"/>
            </w:r>
            <w:r w:rsidRPr="00E83213">
              <w:rPr>
                <w:rFonts w:cstheme="minorHAnsi"/>
                <w:sz w:val="20"/>
                <w:szCs w:val="20"/>
                <w:lang w:val="en-AU" w:eastAsia="en-AU"/>
              </w:rPr>
              <w:instrText xml:space="preserve"> ADDIN EN.CITE &lt;EndNote&gt;&lt;Cite&gt;&lt;Author&gt;Welfare&lt;/Author&gt;&lt;Year&gt;2018&lt;/Year&gt;&lt;RecNum&gt;70&lt;/RecNum&gt;&lt;DisplayText&gt;&lt;style face="superscript"&gt;57&lt;/style&gt;&lt;/DisplayText&gt;&lt;record&gt;&lt;rec-number&gt;70&lt;/rec-number&gt;&lt;foreign-keys&gt;&lt;key app="EN" db-id="2wsw9x5wvsspa1evwxlvvergx9epfd50fs2a" timestamp="1575013426"&gt;70&lt;/key&gt;&lt;/foreign-keys&gt;&lt;ref-type name="Web Page"&gt;12&lt;/ref-type&gt;&lt;contributors&gt;&lt;authors&gt;&lt;author&gt;Australian Institute of Health and Welfare &lt;/author&gt;&lt;/authors&gt;&lt;/contributors&gt;&lt;titles&gt;&lt;title&gt;Older Australia at a glance. Cat. no. AGE 87. &lt;/title&gt;&lt;/titles&gt;&lt;volume&gt;29 November 2019, &lt;/volume&gt;&lt;dates&gt;&lt;year&gt;2018&lt;/year&gt;&lt;/dates&gt;&lt;pub-location&gt;Canberra: AIHW&lt;/pub-location&gt;&lt;urls&gt;&lt;related-urls&gt;&lt;url&gt;https://www.aihw.gov.au/reports/older-people/older-australia-at-a-glance&lt;/url&gt;&lt;/related-urls&gt;&lt;/urls&gt;&lt;/record&gt;&lt;/Cite&gt;&lt;/EndNote&gt;</w:instrText>
            </w:r>
            <w:r w:rsidRPr="00E83213">
              <w:rPr>
                <w:rFonts w:cstheme="minorHAnsi"/>
                <w:sz w:val="20"/>
                <w:szCs w:val="20"/>
                <w:lang w:val="en-AU" w:eastAsia="en-AU"/>
              </w:rPr>
              <w:fldChar w:fldCharType="separate"/>
            </w:r>
            <w:r w:rsidRPr="00E83213">
              <w:rPr>
                <w:rFonts w:cstheme="minorHAnsi"/>
                <w:noProof/>
                <w:sz w:val="20"/>
                <w:szCs w:val="20"/>
                <w:vertAlign w:val="superscript"/>
                <w:lang w:val="en-AU" w:eastAsia="en-AU"/>
              </w:rPr>
              <w:t>57</w:t>
            </w:r>
            <w:r w:rsidRPr="00E83213">
              <w:rPr>
                <w:rFonts w:cstheme="minorHAnsi"/>
                <w:sz w:val="20"/>
                <w:szCs w:val="20"/>
                <w:lang w:val="en-AU" w:eastAsia="en-AU"/>
              </w:rPr>
              <w:fldChar w:fldCharType="end"/>
            </w:r>
          </w:p>
        </w:tc>
      </w:tr>
      <w:tr w:rsidR="007E6D38" w:rsidRPr="007E6D38" w14:paraId="579052DA" w14:textId="77777777" w:rsidTr="007E6D38">
        <w:tc>
          <w:tcPr>
            <w:cnfStyle w:val="001000000000" w:firstRow="0" w:lastRow="0" w:firstColumn="1" w:lastColumn="0" w:oddVBand="0" w:evenVBand="0" w:oddHBand="0" w:evenHBand="0" w:firstRowFirstColumn="0" w:firstRowLastColumn="0" w:lastRowFirstColumn="0" w:lastRowLastColumn="0"/>
            <w:tcW w:w="9016" w:type="dxa"/>
            <w:gridSpan w:val="3"/>
          </w:tcPr>
          <w:p w14:paraId="41B8548C" w14:textId="332835B1" w:rsidR="007E6D38" w:rsidRPr="007E6D38" w:rsidRDefault="007E6D38" w:rsidP="00A94CDF">
            <w:pPr>
              <w:rPr>
                <w:rFonts w:cstheme="minorHAnsi"/>
                <w:b w:val="0"/>
                <w:sz w:val="20"/>
                <w:szCs w:val="20"/>
                <w:lang w:val="en-AU" w:eastAsia="en-US"/>
              </w:rPr>
            </w:pPr>
            <w:r w:rsidRPr="007E6D38">
              <w:rPr>
                <w:b w:val="0"/>
                <w:sz w:val="20"/>
                <w:szCs w:val="20"/>
                <w:lang w:val="en-AU"/>
              </w:rPr>
              <w:t>Older people</w:t>
            </w:r>
            <w:r w:rsidRPr="007E6D38">
              <w:rPr>
                <w:b w:val="0"/>
                <w:i/>
                <w:sz w:val="20"/>
                <w:szCs w:val="20"/>
                <w:lang w:val="en-AU"/>
              </w:rPr>
              <w:t xml:space="preserve"> </w:t>
            </w:r>
            <w:r w:rsidRPr="007E6D38">
              <w:rPr>
                <w:b w:val="0"/>
                <w:sz w:val="20"/>
                <w:szCs w:val="20"/>
                <w:lang w:val="en-AU"/>
              </w:rPr>
              <w:t xml:space="preserve">reported </w:t>
            </w:r>
            <w:r w:rsidRPr="007E6D38">
              <w:rPr>
                <w:sz w:val="20"/>
                <w:szCs w:val="20"/>
                <w:lang w:val="en-AU"/>
              </w:rPr>
              <w:t>elder abuse</w:t>
            </w:r>
            <w:r w:rsidRPr="007E6D38">
              <w:rPr>
                <w:b w:val="0"/>
                <w:sz w:val="20"/>
                <w:szCs w:val="20"/>
                <w:lang w:val="en-AU"/>
              </w:rPr>
              <w:t xml:space="preserve"> through over 10, 900 calls made to elder abuse helplines in Australia in 2017-18</w:t>
            </w:r>
          </w:p>
        </w:tc>
      </w:tr>
    </w:tbl>
    <w:p w14:paraId="4BA536C7" w14:textId="1750752F" w:rsidR="006A427E" w:rsidRPr="00400300" w:rsidRDefault="006A427E" w:rsidP="006A427E">
      <w:pPr>
        <w:pStyle w:val="BodyCopy"/>
        <w:rPr>
          <w:rFonts w:cstheme="minorHAnsi"/>
          <w:color w:val="FF0000"/>
        </w:rPr>
      </w:pPr>
    </w:p>
    <w:p w14:paraId="298244C7" w14:textId="5CC1B914" w:rsidR="00D93AB9" w:rsidRDefault="0022326A" w:rsidP="00291DB8">
      <w:pPr>
        <w:pStyle w:val="Heading2"/>
        <w:rPr>
          <w:lang w:val="en-AU"/>
        </w:rPr>
      </w:pPr>
      <w:bookmarkStart w:id="246" w:name="_Toc38021103"/>
      <w:r w:rsidRPr="00400300">
        <w:rPr>
          <w:lang w:val="en-AU"/>
        </w:rPr>
        <w:t>Priority areas for action</w:t>
      </w:r>
      <w:bookmarkEnd w:id="244"/>
      <w:bookmarkEnd w:id="246"/>
    </w:p>
    <w:p w14:paraId="0EE61560" w14:textId="77777777" w:rsidR="00C17651" w:rsidRPr="00C17651" w:rsidRDefault="00C17651" w:rsidP="00C17651">
      <w:pPr>
        <w:rPr>
          <w:lang w:val="en-AU" w:eastAsia="en-US"/>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12"/>
        <w:gridCol w:w="7319"/>
      </w:tblGrid>
      <w:tr w:rsidR="00C17651" w:rsidRPr="00817E68" w14:paraId="22E6ACF7" w14:textId="77777777" w:rsidTr="00F62D45">
        <w:trPr>
          <w:trHeight w:val="20"/>
        </w:trPr>
        <w:tc>
          <w:tcPr>
            <w:tcW w:w="269" w:type="pct"/>
            <w:vMerge w:val="restart"/>
            <w:tcBorders>
              <w:top w:val="single" w:sz="4" w:space="0" w:color="BFBFBF" w:themeColor="background1" w:themeShade="BF"/>
              <w:left w:val="single" w:sz="4" w:space="0" w:color="BFBFBF" w:themeColor="background1" w:themeShade="BF"/>
            </w:tcBorders>
            <w:shd w:val="clear" w:color="auto" w:fill="660066"/>
            <w:textDirection w:val="btLr"/>
          </w:tcPr>
          <w:p w14:paraId="5C0D2095" w14:textId="77777777" w:rsidR="00C17651" w:rsidRPr="000A0BD4" w:rsidRDefault="00C17651" w:rsidP="00252376">
            <w:pPr>
              <w:spacing w:before="0"/>
              <w:ind w:left="113" w:right="113"/>
              <w:contextualSpacing/>
              <w:jc w:val="center"/>
              <w:rPr>
                <w:rFonts w:cstheme="minorHAnsi"/>
                <w:b/>
                <w:sz w:val="21"/>
                <w:szCs w:val="20"/>
                <w:lang w:val="en-AU"/>
              </w:rPr>
            </w:pPr>
            <w:bookmarkStart w:id="247" w:name="_Hlk36130530"/>
            <w:r>
              <w:rPr>
                <w:rFonts w:cstheme="minorHAnsi"/>
                <w:b/>
                <w:sz w:val="21"/>
                <w:szCs w:val="20"/>
                <w:lang w:val="en-AU"/>
              </w:rPr>
              <w:t>Falls</w:t>
            </w:r>
          </w:p>
        </w:tc>
        <w:tc>
          <w:tcPr>
            <w:tcW w:w="672" w:type="pct"/>
            <w:tcBorders>
              <w:top w:val="single" w:sz="4" w:space="0" w:color="BFBFBF" w:themeColor="background1" w:themeShade="BF"/>
            </w:tcBorders>
          </w:tcPr>
          <w:p w14:paraId="7EA7CC64" w14:textId="77777777" w:rsidR="00C17651" w:rsidRPr="0038126F" w:rsidRDefault="00C17651"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2</w:t>
            </w:r>
          </w:p>
        </w:tc>
        <w:tc>
          <w:tcPr>
            <w:tcW w:w="4059" w:type="pct"/>
            <w:tcBorders>
              <w:top w:val="single" w:sz="4" w:space="0" w:color="BFBFBF" w:themeColor="background1" w:themeShade="BF"/>
              <w:right w:val="single" w:sz="4" w:space="0" w:color="BFBFBF" w:themeColor="background1" w:themeShade="BF"/>
            </w:tcBorders>
          </w:tcPr>
          <w:p w14:paraId="0659177C" w14:textId="77777777" w:rsidR="00C17651" w:rsidRPr="00817E68" w:rsidRDefault="00C17651" w:rsidP="00252376">
            <w:pPr>
              <w:pStyle w:val="Numberedtable"/>
              <w:numPr>
                <w:ilvl w:val="0"/>
                <w:numId w:val="0"/>
              </w:numPr>
              <w:rPr>
                <w:rFonts w:asciiTheme="minorHAnsi" w:hAnsiTheme="minorHAnsi" w:cstheme="minorHAnsi"/>
                <w:sz w:val="21"/>
                <w:szCs w:val="20"/>
                <w:lang w:val="en-AU"/>
              </w:rPr>
            </w:pPr>
            <w:r w:rsidRPr="0049435D">
              <w:rPr>
                <w:rFonts w:asciiTheme="minorHAnsi" w:hAnsiTheme="minorHAnsi" w:cstheme="minorHAnsi"/>
                <w:sz w:val="21"/>
                <w:szCs w:val="20"/>
                <w:lang w:val="en-AU"/>
              </w:rPr>
              <w:t>Reduce risk of falls</w:t>
            </w:r>
          </w:p>
        </w:tc>
      </w:tr>
      <w:tr w:rsidR="00C17651" w:rsidRPr="00817E68" w14:paraId="0C5FC63A" w14:textId="77777777" w:rsidTr="00F62D45">
        <w:trPr>
          <w:trHeight w:val="20"/>
        </w:trPr>
        <w:tc>
          <w:tcPr>
            <w:tcW w:w="269" w:type="pct"/>
            <w:vMerge/>
            <w:tcBorders>
              <w:left w:val="single" w:sz="4" w:space="0" w:color="BFBFBF" w:themeColor="background1" w:themeShade="BF"/>
            </w:tcBorders>
            <w:shd w:val="clear" w:color="auto" w:fill="660066"/>
            <w:textDirection w:val="btLr"/>
          </w:tcPr>
          <w:p w14:paraId="06864D0F" w14:textId="77777777" w:rsidR="00C17651" w:rsidRPr="000A0BD4" w:rsidRDefault="00C17651" w:rsidP="00252376">
            <w:pPr>
              <w:spacing w:before="0"/>
              <w:ind w:left="113" w:right="113"/>
              <w:contextualSpacing/>
              <w:jc w:val="center"/>
              <w:rPr>
                <w:rFonts w:cstheme="minorHAnsi"/>
                <w:b/>
                <w:sz w:val="21"/>
                <w:szCs w:val="20"/>
                <w:lang w:val="en-AU"/>
              </w:rPr>
            </w:pPr>
          </w:p>
        </w:tc>
        <w:tc>
          <w:tcPr>
            <w:tcW w:w="672" w:type="pct"/>
          </w:tcPr>
          <w:p w14:paraId="6946FD4E" w14:textId="77777777" w:rsidR="00C17651" w:rsidRPr="00817E68" w:rsidRDefault="00C17651"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637096C4" w14:textId="77777777" w:rsidR="00C17651" w:rsidRPr="00817E68" w:rsidRDefault="00C17651"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7154B996" w14:textId="2D4165EB" w:rsidR="00C17651" w:rsidRPr="0049435D" w:rsidRDefault="00F364E0" w:rsidP="007D5286">
            <w:pPr>
              <w:pStyle w:val="TableNBullet"/>
              <w:numPr>
                <w:ilvl w:val="0"/>
                <w:numId w:val="64"/>
              </w:numPr>
              <w:rPr>
                <w:rFonts w:eastAsiaTheme="minorEastAsia"/>
              </w:rPr>
            </w:pPr>
            <w:r>
              <w:rPr>
                <w:rFonts w:eastAsiaTheme="minorEastAsia"/>
              </w:rPr>
              <w:t>Improve</w:t>
            </w:r>
            <w:r w:rsidRPr="0049435D">
              <w:rPr>
                <w:rFonts w:eastAsiaTheme="minorEastAsia"/>
              </w:rPr>
              <w:t xml:space="preserve"> </w:t>
            </w:r>
            <w:r w:rsidR="00C17651" w:rsidRPr="0049435D">
              <w:rPr>
                <w:rFonts w:eastAsiaTheme="minorEastAsia"/>
              </w:rPr>
              <w:t>access by older people living independently in the community to home environment assessment and modification opportunities combined with exercise programs that include gait, balance or functional training.</w:t>
            </w:r>
          </w:p>
          <w:p w14:paraId="5A60AE45" w14:textId="3EA71D6E" w:rsidR="00C17651" w:rsidRPr="0049435D" w:rsidRDefault="00C17651" w:rsidP="007D5286">
            <w:pPr>
              <w:pStyle w:val="TableNBullet"/>
              <w:numPr>
                <w:ilvl w:val="0"/>
                <w:numId w:val="64"/>
              </w:numPr>
              <w:rPr>
                <w:rFonts w:eastAsiaTheme="minorEastAsia"/>
              </w:rPr>
            </w:pPr>
            <w:r w:rsidRPr="0049435D">
              <w:rPr>
                <w:rFonts w:eastAsiaTheme="minorEastAsia"/>
              </w:rPr>
              <w:t>Increase</w:t>
            </w:r>
            <w:r w:rsidR="00402EA1">
              <w:rPr>
                <w:rFonts w:eastAsiaTheme="minorEastAsia"/>
              </w:rPr>
              <w:t xml:space="preserve"> access to</w:t>
            </w:r>
            <w:r w:rsidRPr="0049435D">
              <w:rPr>
                <w:rFonts w:eastAsiaTheme="minorEastAsia"/>
              </w:rPr>
              <w:t xml:space="preserve"> falls prevention programs for people living in rural and remote areas, including access to exercise and balance training programs.</w:t>
            </w:r>
          </w:p>
          <w:p w14:paraId="4A0A73CB" w14:textId="380F067C" w:rsidR="00C17651" w:rsidRPr="0049435D" w:rsidRDefault="00F364E0" w:rsidP="007D5286">
            <w:pPr>
              <w:pStyle w:val="TableNBullet"/>
              <w:numPr>
                <w:ilvl w:val="0"/>
                <w:numId w:val="64"/>
              </w:numPr>
              <w:rPr>
                <w:rFonts w:eastAsiaTheme="minorEastAsia"/>
              </w:rPr>
            </w:pPr>
            <w:r>
              <w:rPr>
                <w:rFonts w:eastAsiaTheme="minorEastAsia"/>
              </w:rPr>
              <w:t xml:space="preserve">Enhance </w:t>
            </w:r>
            <w:r w:rsidR="00C17651" w:rsidRPr="0049435D">
              <w:rPr>
                <w:rFonts w:eastAsiaTheme="minorEastAsia"/>
              </w:rPr>
              <w:t>provision of and access to culturally relevant effective falls prevention programs for Aboriginal and Torres Strait Islander people aged 55 years</w:t>
            </w:r>
            <w:r>
              <w:rPr>
                <w:rFonts w:eastAsiaTheme="minorEastAsia"/>
              </w:rPr>
              <w:t xml:space="preserve"> and over</w:t>
            </w:r>
            <w:r w:rsidR="00C17651" w:rsidRPr="0049435D">
              <w:rPr>
                <w:rFonts w:eastAsiaTheme="minorEastAsia"/>
              </w:rPr>
              <w:t>.</w:t>
            </w:r>
          </w:p>
          <w:p w14:paraId="0E090DB6" w14:textId="77777777" w:rsidR="00C17651" w:rsidRPr="00817E68" w:rsidRDefault="00C17651" w:rsidP="007D5286">
            <w:pPr>
              <w:pStyle w:val="TableNBullet"/>
              <w:numPr>
                <w:ilvl w:val="0"/>
                <w:numId w:val="64"/>
              </w:numPr>
              <w:rPr>
                <w:szCs w:val="20"/>
              </w:rPr>
            </w:pPr>
            <w:r w:rsidRPr="0049435D">
              <w:rPr>
                <w:rFonts w:eastAsiaTheme="minorEastAsia"/>
              </w:rPr>
              <w:t>Increase medication reviews and medication education programs for older people, targeting, and in consultation with, Aboriginal and Torres Strait Islander people, people from culturally and linguistically diverse backgrounds, and people living in lower socio-economic areas.</w:t>
            </w:r>
          </w:p>
        </w:tc>
      </w:tr>
      <w:tr w:rsidR="00C17651" w:rsidRPr="00817E68" w14:paraId="62ECAF77" w14:textId="77777777" w:rsidTr="00F62D45">
        <w:trPr>
          <w:trHeight w:val="20"/>
        </w:trPr>
        <w:tc>
          <w:tcPr>
            <w:tcW w:w="269" w:type="pct"/>
            <w:vMerge/>
            <w:tcBorders>
              <w:left w:val="single" w:sz="4" w:space="0" w:color="BFBFBF" w:themeColor="background1" w:themeShade="BF"/>
              <w:bottom w:val="single" w:sz="4" w:space="0" w:color="BFBFBF" w:themeColor="background1" w:themeShade="BF"/>
            </w:tcBorders>
            <w:shd w:val="clear" w:color="auto" w:fill="660066"/>
            <w:textDirection w:val="btLr"/>
          </w:tcPr>
          <w:p w14:paraId="51446102" w14:textId="77777777" w:rsidR="00C17651" w:rsidRPr="000A0BD4" w:rsidRDefault="00C17651" w:rsidP="00252376">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474A5D92" w14:textId="77777777" w:rsidR="00C17651" w:rsidRPr="00817E68" w:rsidRDefault="00C17651"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0AF48DB2" w14:textId="77777777" w:rsidR="00C17651" w:rsidRPr="0049435D" w:rsidRDefault="00C17651" w:rsidP="00252376">
            <w:pPr>
              <w:spacing w:before="0"/>
              <w:rPr>
                <w:rFonts w:cstheme="minorHAnsi"/>
                <w:i/>
                <w:sz w:val="21"/>
                <w:szCs w:val="20"/>
                <w:lang w:val="en-AU"/>
              </w:rPr>
            </w:pPr>
            <w:r w:rsidRPr="0049435D">
              <w:rPr>
                <w:rFonts w:cstheme="minorHAnsi"/>
                <w:i/>
                <w:sz w:val="21"/>
                <w:szCs w:val="22"/>
                <w:lang w:val="en-AU" w:eastAsia="en-AU"/>
              </w:rPr>
              <w:t xml:space="preserve">Department of Health, state and territory health departments; </w:t>
            </w:r>
            <w:r w:rsidRPr="0049435D">
              <w:rPr>
                <w:rFonts w:cstheme="minorHAnsi"/>
                <w:i/>
                <w:sz w:val="21"/>
                <w:szCs w:val="22"/>
                <w:lang w:val="en-AU"/>
              </w:rPr>
              <w:t xml:space="preserve">Department of Veterans’ affairs </w:t>
            </w:r>
            <w:r w:rsidRPr="0049435D">
              <w:rPr>
                <w:rFonts w:cstheme="minorHAnsi"/>
                <w:i/>
                <w:sz w:val="21"/>
                <w:szCs w:val="22"/>
                <w:lang w:val="en-AU" w:eastAsia="en-AU"/>
              </w:rPr>
              <w:t>(Primary healthcare workforce, aged care services, Aboriginal Community Controlled Organisations, Commission on Safety and Quality in Health Care, NGOs with a core focus on older people)</w:t>
            </w:r>
          </w:p>
        </w:tc>
      </w:tr>
      <w:tr w:rsidR="00C17651" w:rsidRPr="00817E68" w14:paraId="62D5850D" w14:textId="77777777" w:rsidTr="00F62D45">
        <w:trPr>
          <w:trHeight w:val="20"/>
        </w:trPr>
        <w:tc>
          <w:tcPr>
            <w:tcW w:w="269" w:type="pct"/>
            <w:vMerge w:val="restart"/>
            <w:tcBorders>
              <w:top w:val="single" w:sz="4" w:space="0" w:color="BFBFBF" w:themeColor="background1" w:themeShade="BF"/>
              <w:left w:val="single" w:sz="4" w:space="0" w:color="BFBFBF" w:themeColor="background1" w:themeShade="BF"/>
            </w:tcBorders>
            <w:shd w:val="clear" w:color="auto" w:fill="1F3864" w:themeFill="accent5" w:themeFillShade="80"/>
            <w:textDirection w:val="btLr"/>
          </w:tcPr>
          <w:p w14:paraId="2D146536" w14:textId="77777777" w:rsidR="00C17651" w:rsidRPr="000A0BD4" w:rsidRDefault="00C17651" w:rsidP="00252376">
            <w:pPr>
              <w:spacing w:before="0"/>
              <w:ind w:left="113" w:right="113"/>
              <w:contextualSpacing/>
              <w:jc w:val="center"/>
              <w:rPr>
                <w:rFonts w:cstheme="minorHAnsi"/>
                <w:b/>
                <w:sz w:val="21"/>
                <w:szCs w:val="20"/>
                <w:lang w:val="en-AU"/>
              </w:rPr>
            </w:pPr>
            <w:r>
              <w:rPr>
                <w:rFonts w:cstheme="minorHAnsi"/>
                <w:b/>
                <w:sz w:val="21"/>
                <w:szCs w:val="20"/>
                <w:lang w:val="en-AU"/>
              </w:rPr>
              <w:t>Intentional self-harm</w:t>
            </w:r>
          </w:p>
        </w:tc>
        <w:tc>
          <w:tcPr>
            <w:tcW w:w="672" w:type="pct"/>
            <w:tcBorders>
              <w:top w:val="single" w:sz="4" w:space="0" w:color="BFBFBF" w:themeColor="background1" w:themeShade="BF"/>
            </w:tcBorders>
          </w:tcPr>
          <w:p w14:paraId="027BA190" w14:textId="77777777" w:rsidR="00C17651" w:rsidRPr="0038126F" w:rsidRDefault="00C17651"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1</w:t>
            </w:r>
          </w:p>
        </w:tc>
        <w:tc>
          <w:tcPr>
            <w:tcW w:w="4059" w:type="pct"/>
            <w:tcBorders>
              <w:top w:val="single" w:sz="4" w:space="0" w:color="BFBFBF" w:themeColor="background1" w:themeShade="BF"/>
              <w:right w:val="single" w:sz="4" w:space="0" w:color="BFBFBF" w:themeColor="background1" w:themeShade="BF"/>
            </w:tcBorders>
          </w:tcPr>
          <w:p w14:paraId="5BF1B5BA" w14:textId="77777777" w:rsidR="00C17651" w:rsidRPr="00817E68" w:rsidRDefault="00C17651" w:rsidP="00252376">
            <w:pPr>
              <w:pStyle w:val="Numberedtable"/>
              <w:numPr>
                <w:ilvl w:val="0"/>
                <w:numId w:val="0"/>
              </w:numPr>
              <w:rPr>
                <w:lang w:val="en-AU"/>
              </w:rPr>
            </w:pPr>
            <w:r w:rsidRPr="00247DD5">
              <w:rPr>
                <w:rFonts w:asciiTheme="minorHAnsi" w:hAnsiTheme="minorHAnsi" w:cstheme="minorHAnsi"/>
                <w:sz w:val="21"/>
                <w:szCs w:val="20"/>
                <w:lang w:val="en-AU"/>
              </w:rPr>
              <w:t>Reduce the rate of intentional self-harm</w:t>
            </w:r>
          </w:p>
        </w:tc>
      </w:tr>
      <w:tr w:rsidR="00C17651" w:rsidRPr="00817E68" w14:paraId="22D31EB6" w14:textId="77777777" w:rsidTr="00F62D45">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345E2475" w14:textId="77777777" w:rsidR="00C17651" w:rsidRPr="000A0BD4" w:rsidRDefault="00C17651" w:rsidP="00252376">
            <w:pPr>
              <w:spacing w:before="0"/>
              <w:ind w:left="113" w:right="113"/>
              <w:contextualSpacing/>
              <w:jc w:val="center"/>
              <w:rPr>
                <w:rFonts w:cstheme="minorHAnsi"/>
                <w:b/>
                <w:sz w:val="21"/>
                <w:szCs w:val="20"/>
                <w:lang w:val="en-AU"/>
              </w:rPr>
            </w:pPr>
          </w:p>
        </w:tc>
        <w:tc>
          <w:tcPr>
            <w:tcW w:w="672" w:type="pct"/>
          </w:tcPr>
          <w:p w14:paraId="1AA96317" w14:textId="77777777" w:rsidR="00C17651" w:rsidRPr="00817E68" w:rsidRDefault="00C17651"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6F4B20E0" w14:textId="77777777" w:rsidR="00C17651" w:rsidRPr="00817E68" w:rsidRDefault="00C17651"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30392212" w14:textId="77777777" w:rsidR="00C17651" w:rsidRPr="00701DBE" w:rsidRDefault="00C17651" w:rsidP="007D5286">
            <w:pPr>
              <w:pStyle w:val="TableNBullet"/>
              <w:numPr>
                <w:ilvl w:val="0"/>
                <w:numId w:val="61"/>
              </w:numPr>
            </w:pPr>
            <w:r w:rsidRPr="00701DBE">
              <w:t>Build the capacity of health professionals, notably general practitioners delivering aged care services, to be able to detect and refer those at risk of intentional self-harm.</w:t>
            </w:r>
          </w:p>
          <w:p w14:paraId="1ADCC736" w14:textId="77777777" w:rsidR="00C17651" w:rsidRPr="00817E68" w:rsidRDefault="00C17651" w:rsidP="007D5286">
            <w:pPr>
              <w:pStyle w:val="TableNBullet"/>
              <w:numPr>
                <w:ilvl w:val="0"/>
                <w:numId w:val="61"/>
              </w:numPr>
              <w:rPr>
                <w:szCs w:val="20"/>
              </w:rPr>
            </w:pPr>
            <w:r w:rsidRPr="00701DBE">
              <w:t xml:space="preserve">Increase culturally appropriate care within mental health and primary care services for older people. Specifically, develop and offer culturally appropriate programs to reduce intentional self-harm among older Aboriginal and Torres Strait Islander people. </w:t>
            </w:r>
          </w:p>
        </w:tc>
      </w:tr>
      <w:tr w:rsidR="00C17651" w:rsidRPr="00817E68" w14:paraId="05CDBFBB" w14:textId="77777777" w:rsidTr="00F62D45">
        <w:trPr>
          <w:trHeight w:val="20"/>
        </w:trPr>
        <w:tc>
          <w:tcPr>
            <w:tcW w:w="269" w:type="pct"/>
            <w:vMerge/>
            <w:tcBorders>
              <w:left w:val="single" w:sz="4" w:space="0" w:color="BFBFBF" w:themeColor="background1" w:themeShade="BF"/>
            </w:tcBorders>
            <w:shd w:val="clear" w:color="auto" w:fill="1F3864" w:themeFill="accent5" w:themeFillShade="80"/>
            <w:textDirection w:val="btLr"/>
          </w:tcPr>
          <w:p w14:paraId="184DF985" w14:textId="77777777" w:rsidR="00C17651" w:rsidRPr="000A0BD4" w:rsidRDefault="00C17651" w:rsidP="00252376">
            <w:pPr>
              <w:spacing w:before="0"/>
              <w:ind w:left="113" w:right="113"/>
              <w:contextualSpacing/>
              <w:jc w:val="center"/>
              <w:rPr>
                <w:rFonts w:cstheme="minorHAnsi"/>
                <w:b/>
                <w:sz w:val="21"/>
                <w:szCs w:val="20"/>
                <w:lang w:val="en-AU"/>
              </w:rPr>
            </w:pPr>
          </w:p>
        </w:tc>
        <w:tc>
          <w:tcPr>
            <w:tcW w:w="672" w:type="pct"/>
            <w:tcBorders>
              <w:bottom w:val="single" w:sz="4" w:space="0" w:color="BFBFBF" w:themeColor="background1" w:themeShade="BF"/>
            </w:tcBorders>
          </w:tcPr>
          <w:p w14:paraId="026A2F26" w14:textId="77777777" w:rsidR="00C17651" w:rsidRPr="00817E68" w:rsidRDefault="00C17651"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3220D8DD" w14:textId="77777777" w:rsidR="00C17651" w:rsidRDefault="00C17651" w:rsidP="00C34EE8">
            <w:pPr>
              <w:pStyle w:val="Tablepartner"/>
              <w:rPr>
                <w:rFonts w:asciiTheme="minorHAnsi" w:hAnsiTheme="minorHAnsi" w:cstheme="minorHAnsi"/>
                <w:sz w:val="21"/>
                <w:szCs w:val="22"/>
                <w:lang w:val="en-AU" w:eastAsia="en-AU"/>
              </w:rPr>
            </w:pPr>
            <w:r w:rsidRPr="00701DBE">
              <w:rPr>
                <w:rFonts w:asciiTheme="minorHAnsi" w:hAnsiTheme="minorHAnsi" w:cstheme="minorHAnsi"/>
                <w:sz w:val="21"/>
                <w:szCs w:val="22"/>
                <w:lang w:val="en-AU" w:eastAsia="en-AU"/>
              </w:rPr>
              <w:t xml:space="preserve">Department of Health, state and territory health departments; </w:t>
            </w:r>
            <w:r w:rsidRPr="00701DBE">
              <w:rPr>
                <w:rFonts w:asciiTheme="minorHAnsi" w:hAnsiTheme="minorHAnsi" w:cstheme="minorHAnsi"/>
                <w:sz w:val="21"/>
                <w:szCs w:val="22"/>
                <w:lang w:val="en-AU"/>
              </w:rPr>
              <w:t xml:space="preserve">National Indigenous Australians Agency; Department of Veterans’ Affairs </w:t>
            </w:r>
            <w:r w:rsidRPr="00701DBE">
              <w:rPr>
                <w:rFonts w:asciiTheme="minorHAnsi" w:hAnsiTheme="minorHAnsi" w:cstheme="minorHAnsi"/>
                <w:sz w:val="21"/>
                <w:szCs w:val="22"/>
                <w:lang w:val="en-AU" w:eastAsia="en-AU"/>
              </w:rPr>
              <w:t>(Royal Australasian College of General Practitioners, National Mental Health Commission, Aged care services, PHNs, Aboriginal Community Controlled Organisations, NGOs with a core focus on older people)</w:t>
            </w:r>
          </w:p>
          <w:p w14:paraId="3E9F7163" w14:textId="6CC3E479" w:rsidR="00C34EE8" w:rsidRPr="00C34EE8" w:rsidRDefault="00C34EE8" w:rsidP="00C34EE8">
            <w:pPr>
              <w:pStyle w:val="Tablepartner"/>
              <w:rPr>
                <w:rFonts w:asciiTheme="minorHAnsi" w:hAnsiTheme="minorHAnsi" w:cstheme="minorHAnsi"/>
                <w:sz w:val="21"/>
                <w:szCs w:val="22"/>
                <w:lang w:val="en-AU" w:eastAsia="en-AU"/>
              </w:rPr>
            </w:pPr>
          </w:p>
        </w:tc>
      </w:tr>
    </w:tbl>
    <w:p w14:paraId="1BD37578" w14:textId="77777777" w:rsidR="00402EA1" w:rsidRDefault="00402EA1"/>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212"/>
        <w:gridCol w:w="7319"/>
      </w:tblGrid>
      <w:tr w:rsidR="00C17651" w:rsidRPr="00817E68" w14:paraId="6C0752AA" w14:textId="77777777" w:rsidTr="00F62D45">
        <w:trPr>
          <w:trHeight w:val="20"/>
        </w:trPr>
        <w:tc>
          <w:tcPr>
            <w:tcW w:w="26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7999FF"/>
            <w:textDirection w:val="btLr"/>
          </w:tcPr>
          <w:p w14:paraId="41412E78" w14:textId="77777777" w:rsidR="00C17651" w:rsidRPr="000A0BD4" w:rsidRDefault="00C17651" w:rsidP="00252376">
            <w:pPr>
              <w:spacing w:before="0"/>
              <w:ind w:left="113" w:right="113"/>
              <w:contextualSpacing/>
              <w:jc w:val="center"/>
              <w:rPr>
                <w:rFonts w:cstheme="minorHAnsi"/>
                <w:b/>
                <w:sz w:val="21"/>
                <w:szCs w:val="20"/>
                <w:lang w:val="en-AU"/>
              </w:rPr>
            </w:pPr>
            <w:r w:rsidRPr="000A0BD4">
              <w:rPr>
                <w:rFonts w:cstheme="minorHAnsi"/>
                <w:b/>
                <w:sz w:val="21"/>
                <w:szCs w:val="20"/>
                <w:lang w:val="en-AU"/>
              </w:rPr>
              <w:t>Road</w:t>
            </w:r>
            <w:r>
              <w:rPr>
                <w:rFonts w:cstheme="minorHAnsi"/>
                <w:b/>
                <w:sz w:val="21"/>
                <w:szCs w:val="20"/>
                <w:lang w:val="en-AU"/>
              </w:rPr>
              <w:t xml:space="preserve"> + land transport</w:t>
            </w:r>
          </w:p>
        </w:tc>
        <w:tc>
          <w:tcPr>
            <w:tcW w:w="672" w:type="pct"/>
            <w:tcBorders>
              <w:top w:val="single" w:sz="4" w:space="0" w:color="BFBFBF" w:themeColor="background1" w:themeShade="BF"/>
              <w:left w:val="single" w:sz="4" w:space="0" w:color="BFBFBF" w:themeColor="background1" w:themeShade="BF"/>
            </w:tcBorders>
          </w:tcPr>
          <w:p w14:paraId="7CA07AA5" w14:textId="77777777" w:rsidR="00C17651" w:rsidRPr="0038126F" w:rsidRDefault="00C17651"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6</w:t>
            </w:r>
          </w:p>
        </w:tc>
        <w:tc>
          <w:tcPr>
            <w:tcW w:w="4059" w:type="pct"/>
            <w:tcBorders>
              <w:top w:val="single" w:sz="4" w:space="0" w:color="BFBFBF" w:themeColor="background1" w:themeShade="BF"/>
              <w:right w:val="single" w:sz="4" w:space="0" w:color="BFBFBF" w:themeColor="background1" w:themeShade="BF"/>
            </w:tcBorders>
          </w:tcPr>
          <w:p w14:paraId="338E0FF7" w14:textId="77777777" w:rsidR="00C17651" w:rsidRPr="00817E68" w:rsidRDefault="00C17651" w:rsidP="00252376">
            <w:pPr>
              <w:pStyle w:val="Numberedtable"/>
              <w:numPr>
                <w:ilvl w:val="0"/>
                <w:numId w:val="0"/>
              </w:numPr>
              <w:rPr>
                <w:rFonts w:asciiTheme="minorHAnsi" w:hAnsiTheme="minorHAnsi" w:cstheme="minorHAnsi"/>
                <w:sz w:val="21"/>
                <w:szCs w:val="20"/>
                <w:lang w:val="en-AU"/>
              </w:rPr>
            </w:pPr>
            <w:r w:rsidRPr="00247DD5">
              <w:rPr>
                <w:rFonts w:asciiTheme="minorHAnsi" w:hAnsiTheme="minorHAnsi" w:cstheme="minorHAnsi"/>
                <w:sz w:val="21"/>
                <w:szCs w:val="20"/>
                <w:lang w:val="en-AU"/>
              </w:rPr>
              <w:t>Reduce road-related injury</w:t>
            </w:r>
          </w:p>
        </w:tc>
      </w:tr>
      <w:tr w:rsidR="00C17651" w:rsidRPr="00817E68" w14:paraId="64AD89C4" w14:textId="77777777" w:rsidTr="00F62D45">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7999FF"/>
            <w:textDirection w:val="btLr"/>
          </w:tcPr>
          <w:p w14:paraId="6FFB3F16" w14:textId="77777777" w:rsidR="00C17651" w:rsidRPr="000A0BD4" w:rsidRDefault="00C17651"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tcBorders>
          </w:tcPr>
          <w:p w14:paraId="14B02E99" w14:textId="77777777" w:rsidR="00C17651" w:rsidRPr="00817E68" w:rsidRDefault="00C17651"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45F863F2" w14:textId="77777777" w:rsidR="00C17651" w:rsidRPr="00817E68" w:rsidRDefault="00C17651"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651F15E0" w14:textId="77777777" w:rsidR="00C17651" w:rsidRPr="00701DBE" w:rsidRDefault="00C17651" w:rsidP="007D5286">
            <w:pPr>
              <w:pStyle w:val="TableNBullet"/>
              <w:numPr>
                <w:ilvl w:val="0"/>
                <w:numId w:val="62"/>
              </w:numPr>
              <w:rPr>
                <w:rFonts w:cstheme="minorHAnsi"/>
                <w:szCs w:val="22"/>
                <w:lang w:val="en-AU"/>
              </w:rPr>
            </w:pPr>
            <w:r w:rsidRPr="00701DBE">
              <w:rPr>
                <w:rFonts w:cstheme="minorHAnsi"/>
                <w:szCs w:val="22"/>
                <w:lang w:val="en-AU"/>
              </w:rPr>
              <w:t xml:space="preserve">Employ available evidence on best practice, to create uniform state and territory licensing requirements, in terms of the age at which medical assessments for older drivers’ fitness to drive is required. </w:t>
            </w:r>
          </w:p>
          <w:p w14:paraId="74971FD8" w14:textId="77777777" w:rsidR="00C17651" w:rsidRPr="00817E68" w:rsidRDefault="00C17651" w:rsidP="007D5286">
            <w:pPr>
              <w:pStyle w:val="TableNBullet"/>
              <w:numPr>
                <w:ilvl w:val="0"/>
                <w:numId w:val="62"/>
              </w:numPr>
              <w:rPr>
                <w:rFonts w:cstheme="minorHAnsi"/>
                <w:szCs w:val="20"/>
                <w:lang w:val="en-AU" w:eastAsia="en-US"/>
              </w:rPr>
            </w:pPr>
            <w:r w:rsidRPr="00701DBE">
              <w:rPr>
                <w:rFonts w:cstheme="minorHAnsi"/>
                <w:szCs w:val="22"/>
                <w:lang w:val="en-AU"/>
              </w:rPr>
              <w:t>Promote greater sharing of educational resources to assist older drivers, developed by some states and territories.</w:t>
            </w:r>
          </w:p>
        </w:tc>
      </w:tr>
      <w:tr w:rsidR="00C17651" w:rsidRPr="00817E68" w14:paraId="173AE127" w14:textId="77777777" w:rsidTr="00F62D45">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7999FF"/>
            <w:textDirection w:val="btLr"/>
          </w:tcPr>
          <w:p w14:paraId="708B1E69" w14:textId="77777777" w:rsidR="00C17651" w:rsidRPr="000A0BD4" w:rsidRDefault="00C17651" w:rsidP="00252376">
            <w:pPr>
              <w:spacing w:before="0"/>
              <w:ind w:left="113" w:right="113"/>
              <w:contextualSpacing/>
              <w:jc w:val="center"/>
              <w:rPr>
                <w:rFonts w:cstheme="minorHAnsi"/>
                <w:b/>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241A85CD" w14:textId="77777777" w:rsidR="00C17651" w:rsidRPr="00817E68" w:rsidRDefault="00C17651"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288BD36E" w14:textId="77777777" w:rsidR="00C17651" w:rsidRPr="0049435D" w:rsidRDefault="00C17651" w:rsidP="00252376">
            <w:pPr>
              <w:pStyle w:val="TableNBullet"/>
              <w:numPr>
                <w:ilvl w:val="0"/>
                <w:numId w:val="0"/>
              </w:numPr>
              <w:rPr>
                <w:rFonts w:cstheme="minorHAnsi"/>
                <w:i/>
                <w:szCs w:val="20"/>
                <w:lang w:val="en-AU"/>
              </w:rPr>
            </w:pPr>
            <w:r w:rsidRPr="0049435D">
              <w:rPr>
                <w:rFonts w:cstheme="minorHAnsi"/>
                <w:i/>
                <w:szCs w:val="22"/>
                <w:lang w:val="en-AU"/>
              </w:rPr>
              <w:t>State and territory departments of transport (Royal Australasian College of General Practitioners, NGOs with a core focus on older people)</w:t>
            </w:r>
          </w:p>
        </w:tc>
      </w:tr>
      <w:tr w:rsidR="00C17651" w:rsidRPr="00817E68" w14:paraId="5F9D53E6" w14:textId="77777777" w:rsidTr="00F62D45">
        <w:trPr>
          <w:trHeight w:val="20"/>
        </w:trPr>
        <w:tc>
          <w:tcPr>
            <w:tcW w:w="269" w:type="pct"/>
            <w:vMerge w:val="restart"/>
            <w:tcBorders>
              <w:left w:val="single" w:sz="4" w:space="0" w:color="BFBFBF" w:themeColor="background1" w:themeShade="BF"/>
              <w:right w:val="single" w:sz="4" w:space="0" w:color="BFBFBF" w:themeColor="background1" w:themeShade="BF"/>
            </w:tcBorders>
            <w:shd w:val="clear" w:color="auto" w:fill="28659C"/>
            <w:textDirection w:val="btLr"/>
          </w:tcPr>
          <w:p w14:paraId="5F29353F" w14:textId="3CC7884C" w:rsidR="00C17651" w:rsidRPr="00C17651" w:rsidRDefault="00F62D45" w:rsidP="00252376">
            <w:pPr>
              <w:spacing w:before="0"/>
              <w:ind w:left="113" w:right="113"/>
              <w:contextualSpacing/>
              <w:jc w:val="center"/>
              <w:rPr>
                <w:rFonts w:cstheme="minorHAnsi"/>
                <w:b/>
                <w:color w:val="FFFFFF" w:themeColor="background1"/>
                <w:sz w:val="21"/>
                <w:szCs w:val="20"/>
                <w:lang w:val="en-AU"/>
              </w:rPr>
            </w:pPr>
            <w:r>
              <w:rPr>
                <w:rFonts w:cstheme="minorHAnsi"/>
                <w:b/>
                <w:color w:val="FFFFFF" w:themeColor="background1"/>
                <w:sz w:val="21"/>
                <w:szCs w:val="20"/>
                <w:lang w:val="en-AU"/>
              </w:rPr>
              <w:t xml:space="preserve">Homicide + </w:t>
            </w:r>
            <w:r w:rsidR="00C17651" w:rsidRPr="00C17651">
              <w:rPr>
                <w:rFonts w:cstheme="minorHAnsi"/>
                <w:b/>
                <w:color w:val="FFFFFF" w:themeColor="background1"/>
                <w:sz w:val="21"/>
                <w:szCs w:val="20"/>
                <w:lang w:val="en-AU"/>
              </w:rPr>
              <w:t>Violence</w:t>
            </w:r>
          </w:p>
        </w:tc>
        <w:tc>
          <w:tcPr>
            <w:tcW w:w="672" w:type="pct"/>
            <w:tcBorders>
              <w:top w:val="single" w:sz="4" w:space="0" w:color="BFBFBF" w:themeColor="background1" w:themeShade="BF"/>
              <w:left w:val="single" w:sz="4" w:space="0" w:color="BFBFBF" w:themeColor="background1" w:themeShade="BF"/>
            </w:tcBorders>
          </w:tcPr>
          <w:p w14:paraId="4AEC8FD9" w14:textId="77777777" w:rsidR="00C17651" w:rsidRPr="00BF67AD" w:rsidRDefault="00C17651" w:rsidP="00252376">
            <w:pPr>
              <w:spacing w:before="0"/>
              <w:rPr>
                <w:rFonts w:cstheme="minorHAnsi"/>
                <w:b/>
                <w:i/>
                <w:color w:val="000000" w:themeColor="text1"/>
                <w:sz w:val="18"/>
                <w:szCs w:val="18"/>
                <w:lang w:val="en-AU"/>
              </w:rPr>
            </w:pPr>
            <w:r w:rsidRPr="00BF67AD">
              <w:rPr>
                <w:rFonts w:cstheme="minorHAnsi"/>
                <w:b/>
                <w:i/>
                <w:sz w:val="18"/>
                <w:szCs w:val="18"/>
                <w:lang w:val="en-AU"/>
              </w:rPr>
              <w:t>Objective 1</w:t>
            </w:r>
            <w:r>
              <w:rPr>
                <w:rFonts w:cstheme="minorHAnsi"/>
                <w:b/>
                <w:i/>
                <w:sz w:val="18"/>
                <w:szCs w:val="18"/>
                <w:lang w:val="en-AU"/>
              </w:rPr>
              <w:t>0</w:t>
            </w:r>
          </w:p>
        </w:tc>
        <w:tc>
          <w:tcPr>
            <w:tcW w:w="4059" w:type="pct"/>
            <w:tcBorders>
              <w:top w:val="single" w:sz="4" w:space="0" w:color="BFBFBF" w:themeColor="background1" w:themeShade="BF"/>
              <w:right w:val="single" w:sz="4" w:space="0" w:color="BFBFBF" w:themeColor="background1" w:themeShade="BF"/>
            </w:tcBorders>
          </w:tcPr>
          <w:p w14:paraId="70574920" w14:textId="77777777" w:rsidR="00C17651" w:rsidRPr="00817E68" w:rsidRDefault="00C17651" w:rsidP="00252376">
            <w:pPr>
              <w:pStyle w:val="Numberedtable"/>
              <w:numPr>
                <w:ilvl w:val="0"/>
                <w:numId w:val="0"/>
              </w:numPr>
              <w:rPr>
                <w:rFonts w:asciiTheme="minorHAnsi" w:hAnsiTheme="minorHAnsi" w:cstheme="minorHAnsi"/>
                <w:sz w:val="21"/>
                <w:szCs w:val="20"/>
                <w:lang w:val="en-AU"/>
              </w:rPr>
            </w:pPr>
            <w:r w:rsidRPr="0049435D">
              <w:rPr>
                <w:rFonts w:asciiTheme="minorHAnsi" w:hAnsiTheme="minorHAnsi" w:cstheme="minorHAnsi"/>
                <w:sz w:val="21"/>
                <w:szCs w:val="20"/>
                <w:lang w:val="en-AU"/>
              </w:rPr>
              <w:t>Increase primary prevention of violence and equitable access to timely, appropriate and affordable care</w:t>
            </w:r>
          </w:p>
        </w:tc>
      </w:tr>
      <w:tr w:rsidR="00C17651" w:rsidRPr="00817E68" w14:paraId="7852F35A" w14:textId="77777777" w:rsidTr="00F62D45">
        <w:trPr>
          <w:trHeight w:val="20"/>
        </w:trPr>
        <w:tc>
          <w:tcPr>
            <w:tcW w:w="269" w:type="pct"/>
            <w:vMerge/>
            <w:tcBorders>
              <w:left w:val="single" w:sz="4" w:space="0" w:color="BFBFBF" w:themeColor="background1" w:themeShade="BF"/>
              <w:right w:val="single" w:sz="4" w:space="0" w:color="BFBFBF" w:themeColor="background1" w:themeShade="BF"/>
            </w:tcBorders>
            <w:shd w:val="clear" w:color="auto" w:fill="28659C"/>
            <w:textDirection w:val="btLr"/>
          </w:tcPr>
          <w:p w14:paraId="31A88163" w14:textId="77777777" w:rsidR="00C17651" w:rsidRPr="00C17651" w:rsidRDefault="00C17651" w:rsidP="00252376">
            <w:pPr>
              <w:spacing w:before="0"/>
              <w:ind w:left="113" w:right="113"/>
              <w:contextualSpacing/>
              <w:jc w:val="center"/>
              <w:rPr>
                <w:rFonts w:cstheme="minorHAnsi"/>
                <w:b/>
                <w:color w:val="FFFFFF" w:themeColor="background1"/>
                <w:sz w:val="21"/>
                <w:szCs w:val="20"/>
                <w:lang w:val="en-AU"/>
              </w:rPr>
            </w:pPr>
          </w:p>
        </w:tc>
        <w:tc>
          <w:tcPr>
            <w:tcW w:w="672" w:type="pct"/>
            <w:tcBorders>
              <w:left w:val="single" w:sz="4" w:space="0" w:color="BFBFBF" w:themeColor="background1" w:themeShade="BF"/>
            </w:tcBorders>
          </w:tcPr>
          <w:p w14:paraId="28787CD9" w14:textId="77777777" w:rsidR="00C17651" w:rsidRPr="00817E68" w:rsidRDefault="00C17651"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315A480E" w14:textId="77777777" w:rsidR="00C17651" w:rsidRPr="00817E68" w:rsidRDefault="00C17651" w:rsidP="00252376">
            <w:pPr>
              <w:spacing w:before="0"/>
              <w:rPr>
                <w:rFonts w:cstheme="minorHAnsi"/>
                <w:i/>
                <w:color w:val="000000" w:themeColor="text1"/>
                <w:sz w:val="18"/>
                <w:szCs w:val="18"/>
                <w:lang w:val="en-AU"/>
              </w:rPr>
            </w:pPr>
          </w:p>
        </w:tc>
        <w:tc>
          <w:tcPr>
            <w:tcW w:w="4059" w:type="pct"/>
            <w:tcBorders>
              <w:right w:val="single" w:sz="4" w:space="0" w:color="BFBFBF" w:themeColor="background1" w:themeShade="BF"/>
            </w:tcBorders>
          </w:tcPr>
          <w:p w14:paraId="584226EC" w14:textId="77777777" w:rsidR="002C69BD" w:rsidRPr="002C69BD" w:rsidRDefault="00C17651" w:rsidP="007D5286">
            <w:pPr>
              <w:pStyle w:val="TableNBullet"/>
              <w:numPr>
                <w:ilvl w:val="0"/>
                <w:numId w:val="63"/>
              </w:numPr>
              <w:rPr>
                <w:szCs w:val="21"/>
              </w:rPr>
            </w:pPr>
            <w:r w:rsidRPr="00701DBE">
              <w:t>Increase understanding of elder abuse across Australia.</w:t>
            </w:r>
          </w:p>
          <w:p w14:paraId="45D4306F" w14:textId="1A415AB9" w:rsidR="00C17651" w:rsidRPr="00701DBE" w:rsidRDefault="00C17651" w:rsidP="007D5286">
            <w:pPr>
              <w:pStyle w:val="TableNBullet"/>
              <w:numPr>
                <w:ilvl w:val="0"/>
                <w:numId w:val="63"/>
              </w:numPr>
              <w:rPr>
                <w:szCs w:val="21"/>
              </w:rPr>
            </w:pPr>
            <w:r w:rsidRPr="00701DBE">
              <w:t xml:space="preserve">Improve coordination across primary care services to </w:t>
            </w:r>
            <w:proofErr w:type="spellStart"/>
            <w:r w:rsidRPr="00701DBE">
              <w:t>maximise</w:t>
            </w:r>
            <w:proofErr w:type="spellEnd"/>
            <w:r w:rsidRPr="00701DBE">
              <w:t xml:space="preserve"> their impact to respond to elder abuse.</w:t>
            </w:r>
          </w:p>
        </w:tc>
      </w:tr>
      <w:tr w:rsidR="00C17651" w:rsidRPr="00817E68" w14:paraId="1C299A32" w14:textId="77777777" w:rsidTr="00F62D45">
        <w:trPr>
          <w:trHeight w:val="20"/>
        </w:trPr>
        <w:tc>
          <w:tcPr>
            <w:tcW w:w="269"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8659C"/>
            <w:textDirection w:val="btLr"/>
          </w:tcPr>
          <w:p w14:paraId="214ECC84" w14:textId="77777777" w:rsidR="00C17651" w:rsidRPr="00C17651" w:rsidRDefault="00C17651" w:rsidP="00252376">
            <w:pPr>
              <w:spacing w:before="0"/>
              <w:ind w:left="113" w:right="113"/>
              <w:contextualSpacing/>
              <w:jc w:val="center"/>
              <w:rPr>
                <w:rFonts w:cstheme="minorHAnsi"/>
                <w:b/>
                <w:color w:val="FFFFFF" w:themeColor="background1"/>
                <w:sz w:val="21"/>
                <w:szCs w:val="20"/>
                <w:lang w:val="en-AU"/>
              </w:rPr>
            </w:pPr>
          </w:p>
        </w:tc>
        <w:tc>
          <w:tcPr>
            <w:tcW w:w="672" w:type="pct"/>
            <w:tcBorders>
              <w:left w:val="single" w:sz="4" w:space="0" w:color="BFBFBF" w:themeColor="background1" w:themeShade="BF"/>
              <w:bottom w:val="single" w:sz="4" w:space="0" w:color="BFBFBF" w:themeColor="background1" w:themeShade="BF"/>
            </w:tcBorders>
          </w:tcPr>
          <w:p w14:paraId="6708B180" w14:textId="77777777" w:rsidR="00C17651" w:rsidRPr="00817E68" w:rsidRDefault="00C17651" w:rsidP="00252376">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9" w:type="pct"/>
            <w:tcBorders>
              <w:bottom w:val="single" w:sz="4" w:space="0" w:color="BFBFBF" w:themeColor="background1" w:themeShade="BF"/>
              <w:right w:val="single" w:sz="4" w:space="0" w:color="BFBFBF" w:themeColor="background1" w:themeShade="BF"/>
            </w:tcBorders>
          </w:tcPr>
          <w:p w14:paraId="79D69FC6" w14:textId="77777777" w:rsidR="00C17651" w:rsidRDefault="00C17651" w:rsidP="00252376">
            <w:pPr>
              <w:spacing w:before="0"/>
              <w:rPr>
                <w:rFonts w:cstheme="minorHAnsi"/>
                <w:sz w:val="21"/>
                <w:szCs w:val="22"/>
                <w:lang w:val="en-AU" w:eastAsia="en-AU"/>
              </w:rPr>
            </w:pPr>
            <w:r w:rsidRPr="00701DBE">
              <w:rPr>
                <w:rFonts w:cstheme="minorHAnsi"/>
                <w:sz w:val="21"/>
                <w:szCs w:val="22"/>
                <w:lang w:val="en-AU" w:eastAsia="en-AU"/>
              </w:rPr>
              <w:t>State and territory departments of health (Primary healthcare, residential care facilities)</w:t>
            </w:r>
          </w:p>
          <w:p w14:paraId="538E7BA0" w14:textId="729FDC62" w:rsidR="00F62D45" w:rsidRPr="00247DD5" w:rsidRDefault="00F62D45" w:rsidP="00252376">
            <w:pPr>
              <w:spacing w:before="0"/>
              <w:rPr>
                <w:rFonts w:cstheme="minorHAnsi"/>
                <w:i/>
                <w:sz w:val="21"/>
                <w:szCs w:val="20"/>
                <w:lang w:val="en-AU"/>
              </w:rPr>
            </w:pPr>
          </w:p>
        </w:tc>
      </w:tr>
      <w:bookmarkEnd w:id="247"/>
      <w:tr w:rsidR="00C17651" w:rsidRPr="00247DD5" w14:paraId="6EDB0476" w14:textId="77777777" w:rsidTr="00F62D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269" w:type="pct"/>
            <w:vMerge w:val="restart"/>
            <w:tcBorders>
              <w:right w:val="single" w:sz="4" w:space="0" w:color="BFBFBF" w:themeColor="background1" w:themeShade="BF"/>
            </w:tcBorders>
            <w:shd w:val="clear" w:color="auto" w:fill="FFE599" w:themeFill="accent4" w:themeFillTint="66"/>
            <w:textDirection w:val="btLr"/>
          </w:tcPr>
          <w:p w14:paraId="5A0A4097" w14:textId="77777777" w:rsidR="00C17651" w:rsidRPr="00C17651" w:rsidRDefault="00C17651" w:rsidP="00252376">
            <w:pPr>
              <w:spacing w:before="0"/>
              <w:ind w:left="113" w:right="113"/>
              <w:contextualSpacing/>
              <w:jc w:val="center"/>
              <w:rPr>
                <w:rFonts w:cstheme="minorHAnsi"/>
                <w:b/>
                <w:color w:val="FFFFFF" w:themeColor="background1"/>
                <w:sz w:val="21"/>
                <w:szCs w:val="20"/>
                <w:lang w:val="en-AU"/>
              </w:rPr>
            </w:pPr>
            <w:r w:rsidRPr="00DC6E30">
              <w:rPr>
                <w:rFonts w:cstheme="minorHAnsi"/>
                <w:b/>
                <w:color w:val="000000" w:themeColor="text1"/>
                <w:sz w:val="21"/>
                <w:szCs w:val="20"/>
                <w:lang w:val="en-AU"/>
              </w:rPr>
              <w:t>Determinants of injury</w:t>
            </w:r>
          </w:p>
        </w:tc>
        <w:tc>
          <w:tcPr>
            <w:tcW w:w="672" w:type="pct"/>
            <w:tcBorders>
              <w:top w:val="single" w:sz="4" w:space="0" w:color="BFBFBF" w:themeColor="background1" w:themeShade="BF"/>
              <w:left w:val="single" w:sz="4" w:space="0" w:color="BFBFBF" w:themeColor="background1" w:themeShade="BF"/>
              <w:bottom w:val="nil"/>
              <w:right w:val="nil"/>
            </w:tcBorders>
          </w:tcPr>
          <w:p w14:paraId="565CC1A9" w14:textId="77777777" w:rsidR="00C17651" w:rsidRPr="00BF67AD" w:rsidRDefault="00C17651" w:rsidP="00252376">
            <w:pPr>
              <w:spacing w:before="0"/>
              <w:rPr>
                <w:rFonts w:cstheme="minorHAnsi"/>
                <w:b/>
                <w:i/>
                <w:sz w:val="18"/>
                <w:szCs w:val="18"/>
                <w:lang w:val="en-AU"/>
              </w:rPr>
            </w:pPr>
            <w:r w:rsidRPr="00BF67AD">
              <w:rPr>
                <w:rFonts w:cstheme="minorHAnsi"/>
                <w:b/>
                <w:i/>
                <w:sz w:val="18"/>
                <w:szCs w:val="18"/>
                <w:lang w:val="en-AU"/>
              </w:rPr>
              <w:t xml:space="preserve">Objective </w:t>
            </w:r>
            <w:r>
              <w:rPr>
                <w:rFonts w:cstheme="minorHAnsi"/>
                <w:b/>
                <w:i/>
                <w:sz w:val="18"/>
                <w:szCs w:val="18"/>
                <w:lang w:val="en-AU"/>
              </w:rPr>
              <w:t>19</w:t>
            </w:r>
          </w:p>
        </w:tc>
        <w:tc>
          <w:tcPr>
            <w:tcW w:w="4059" w:type="pct"/>
            <w:tcBorders>
              <w:top w:val="single" w:sz="4" w:space="0" w:color="BFBFBF" w:themeColor="background1" w:themeShade="BF"/>
              <w:left w:val="nil"/>
              <w:bottom w:val="nil"/>
              <w:right w:val="single" w:sz="4" w:space="0" w:color="BFBFBF" w:themeColor="background1" w:themeShade="BF"/>
            </w:tcBorders>
          </w:tcPr>
          <w:p w14:paraId="3F7E644F" w14:textId="77777777" w:rsidR="00C17651" w:rsidRPr="00247DD5" w:rsidRDefault="00C17651" w:rsidP="00252376">
            <w:pPr>
              <w:spacing w:before="0"/>
              <w:rPr>
                <w:sz w:val="21"/>
                <w:szCs w:val="21"/>
                <w:lang w:val="en-AU"/>
              </w:rPr>
            </w:pPr>
            <w:r w:rsidRPr="00247DD5">
              <w:rPr>
                <w:rFonts w:cstheme="minorHAnsi"/>
                <w:b/>
                <w:sz w:val="21"/>
                <w:szCs w:val="21"/>
                <w:lang w:val="en-AU"/>
              </w:rPr>
              <w:t>Prioritise the availability of and access to culturally appropriate programs and services</w:t>
            </w:r>
          </w:p>
        </w:tc>
      </w:tr>
      <w:tr w:rsidR="00C17651" w:rsidRPr="00817E68" w14:paraId="5224B116" w14:textId="77777777" w:rsidTr="00F62D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269" w:type="pct"/>
            <w:vMerge/>
            <w:tcBorders>
              <w:right w:val="single" w:sz="4" w:space="0" w:color="BFBFBF" w:themeColor="background1" w:themeShade="BF"/>
            </w:tcBorders>
            <w:shd w:val="clear" w:color="auto" w:fill="FFE599" w:themeFill="accent4" w:themeFillTint="66"/>
            <w:textDirection w:val="btLr"/>
          </w:tcPr>
          <w:p w14:paraId="634713EF" w14:textId="77777777" w:rsidR="00C17651" w:rsidRPr="000A0BD4" w:rsidRDefault="00C17651" w:rsidP="00252376">
            <w:pPr>
              <w:spacing w:before="0"/>
              <w:ind w:left="113" w:right="113"/>
              <w:contextualSpacing/>
              <w:jc w:val="center"/>
              <w:rPr>
                <w:rFonts w:cstheme="minorHAnsi"/>
                <w:b/>
                <w:sz w:val="21"/>
                <w:szCs w:val="20"/>
                <w:lang w:val="en-AU"/>
              </w:rPr>
            </w:pPr>
          </w:p>
        </w:tc>
        <w:tc>
          <w:tcPr>
            <w:tcW w:w="672" w:type="pct"/>
            <w:tcBorders>
              <w:top w:val="nil"/>
              <w:left w:val="single" w:sz="4" w:space="0" w:color="BFBFBF" w:themeColor="background1" w:themeShade="BF"/>
              <w:bottom w:val="nil"/>
              <w:right w:val="nil"/>
            </w:tcBorders>
          </w:tcPr>
          <w:p w14:paraId="38D49569" w14:textId="77777777" w:rsidR="00C17651" w:rsidRPr="00817E68" w:rsidRDefault="00C17651"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4E74B1F6" w14:textId="77777777" w:rsidR="00C17651" w:rsidRPr="00817E68" w:rsidRDefault="00C17651" w:rsidP="00252376">
            <w:pPr>
              <w:spacing w:before="0"/>
              <w:rPr>
                <w:rFonts w:cstheme="minorHAnsi"/>
                <w:i/>
                <w:color w:val="000000" w:themeColor="text1"/>
                <w:sz w:val="18"/>
                <w:szCs w:val="18"/>
                <w:lang w:val="en-AU"/>
              </w:rPr>
            </w:pPr>
          </w:p>
        </w:tc>
        <w:tc>
          <w:tcPr>
            <w:tcW w:w="4059" w:type="pct"/>
            <w:tcBorders>
              <w:top w:val="nil"/>
              <w:left w:val="nil"/>
              <w:bottom w:val="nil"/>
              <w:right w:val="single" w:sz="4" w:space="0" w:color="BFBFBF" w:themeColor="background1" w:themeShade="BF"/>
            </w:tcBorders>
          </w:tcPr>
          <w:p w14:paraId="6DDC1BE2" w14:textId="77777777" w:rsidR="00C17651" w:rsidRPr="00701DBE" w:rsidRDefault="00C17651" w:rsidP="007D5286">
            <w:pPr>
              <w:pStyle w:val="TableNBullet"/>
              <w:numPr>
                <w:ilvl w:val="0"/>
                <w:numId w:val="89"/>
              </w:numPr>
              <w:rPr>
                <w:rFonts w:cstheme="minorHAnsi"/>
                <w:szCs w:val="20"/>
                <w:lang w:val="en-AU" w:eastAsia="ja-JP"/>
              </w:rPr>
            </w:pPr>
            <w:r w:rsidRPr="00701DBE">
              <w:rPr>
                <w:rFonts w:cstheme="minorHAnsi"/>
                <w:szCs w:val="20"/>
                <w:lang w:val="en-AU"/>
              </w:rPr>
              <w:t>Support programs aimed at connection to Country and community for Aboriginal and Torres Strait Islander young people.</w:t>
            </w:r>
            <w:r w:rsidRPr="00701DBE">
              <w:rPr>
                <w:rFonts w:cstheme="minorHAnsi"/>
                <w:szCs w:val="20"/>
                <w:lang w:val="en-AU" w:eastAsia="ja-JP"/>
              </w:rPr>
              <w:t xml:space="preserve"> </w:t>
            </w:r>
          </w:p>
          <w:p w14:paraId="30268E0F" w14:textId="77777777" w:rsidR="00C17651" w:rsidRPr="00817E68" w:rsidRDefault="00C17651" w:rsidP="007D5286">
            <w:pPr>
              <w:pStyle w:val="TableNBullet"/>
              <w:numPr>
                <w:ilvl w:val="0"/>
                <w:numId w:val="89"/>
              </w:numPr>
              <w:rPr>
                <w:rFonts w:cstheme="minorHAnsi"/>
                <w:szCs w:val="20"/>
                <w:lang w:val="en-AU"/>
              </w:rPr>
            </w:pPr>
            <w:r w:rsidRPr="00701DBE">
              <w:rPr>
                <w:rFonts w:cstheme="minorHAnsi"/>
                <w:szCs w:val="20"/>
                <w:lang w:val="en-AU"/>
              </w:rPr>
              <w:t>Ensure health, justice and education systems and services are culturally respectful, non-discriminatory and use a strengths-based approach.</w:t>
            </w:r>
          </w:p>
        </w:tc>
      </w:tr>
      <w:tr w:rsidR="00C17651" w:rsidRPr="00701DBE" w14:paraId="102260F9" w14:textId="77777777" w:rsidTr="00F62D4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269" w:type="pct"/>
            <w:vMerge/>
            <w:tcBorders>
              <w:right w:val="single" w:sz="4" w:space="0" w:color="BFBFBF" w:themeColor="background1" w:themeShade="BF"/>
            </w:tcBorders>
            <w:shd w:val="clear" w:color="auto" w:fill="FFE599" w:themeFill="accent4" w:themeFillTint="66"/>
            <w:textDirection w:val="btLr"/>
          </w:tcPr>
          <w:p w14:paraId="64AA7873" w14:textId="77777777" w:rsidR="00C17651" w:rsidRPr="000A0BD4" w:rsidRDefault="00C17651" w:rsidP="00252376">
            <w:pPr>
              <w:spacing w:before="0"/>
              <w:ind w:left="113" w:right="113"/>
              <w:contextualSpacing/>
              <w:jc w:val="center"/>
              <w:rPr>
                <w:rFonts w:cstheme="minorHAnsi"/>
                <w:b/>
                <w:sz w:val="21"/>
                <w:szCs w:val="20"/>
                <w:lang w:val="en-AU"/>
              </w:rPr>
            </w:pPr>
          </w:p>
        </w:tc>
        <w:tc>
          <w:tcPr>
            <w:tcW w:w="672" w:type="pct"/>
            <w:tcBorders>
              <w:top w:val="nil"/>
              <w:left w:val="single" w:sz="4" w:space="0" w:color="BFBFBF" w:themeColor="background1" w:themeShade="BF"/>
              <w:bottom w:val="single" w:sz="4" w:space="0" w:color="BFBFBF" w:themeColor="background1" w:themeShade="BF"/>
              <w:right w:val="nil"/>
            </w:tcBorders>
          </w:tcPr>
          <w:p w14:paraId="7ADBBD59" w14:textId="77777777" w:rsidR="00C17651" w:rsidRPr="00817E68" w:rsidRDefault="00C17651" w:rsidP="00252376">
            <w:pPr>
              <w:spacing w:before="0"/>
              <w:rPr>
                <w:rFonts w:cstheme="minorHAnsi"/>
                <w:i/>
                <w:sz w:val="18"/>
                <w:szCs w:val="18"/>
                <w:lang w:val="en-AU"/>
              </w:rPr>
            </w:pPr>
            <w:r w:rsidRPr="00817E68">
              <w:rPr>
                <w:rFonts w:cstheme="minorHAnsi"/>
                <w:i/>
                <w:sz w:val="18"/>
                <w:szCs w:val="18"/>
                <w:lang w:val="en-AU"/>
              </w:rPr>
              <w:t>Lead agency (partners)</w:t>
            </w:r>
          </w:p>
        </w:tc>
        <w:tc>
          <w:tcPr>
            <w:tcW w:w="4059" w:type="pct"/>
            <w:tcBorders>
              <w:top w:val="nil"/>
              <w:left w:val="nil"/>
              <w:bottom w:val="single" w:sz="4" w:space="0" w:color="BFBFBF" w:themeColor="background1" w:themeShade="BF"/>
              <w:right w:val="single" w:sz="4" w:space="0" w:color="BFBFBF" w:themeColor="background1" w:themeShade="BF"/>
            </w:tcBorders>
          </w:tcPr>
          <w:p w14:paraId="5AFBFCE9" w14:textId="77777777" w:rsidR="00C17651" w:rsidRPr="00701DBE" w:rsidRDefault="00C17651" w:rsidP="00252376">
            <w:pPr>
              <w:pStyle w:val="Tablepartner"/>
              <w:rPr>
                <w:rFonts w:asciiTheme="minorHAnsi" w:hAnsiTheme="minorHAnsi" w:cstheme="minorHAnsi"/>
                <w:sz w:val="21"/>
                <w:szCs w:val="20"/>
                <w:lang w:val="en-AU"/>
              </w:rPr>
            </w:pPr>
            <w:r w:rsidRPr="00701DBE">
              <w:rPr>
                <w:rFonts w:asciiTheme="minorHAnsi" w:hAnsiTheme="minorHAnsi" w:cstheme="minorHAnsi"/>
                <w:sz w:val="21"/>
                <w:szCs w:val="20"/>
                <w:lang w:val="en-AU"/>
              </w:rPr>
              <w:t>National department of health</w:t>
            </w:r>
            <w:r w:rsidRPr="00701DBE">
              <w:rPr>
                <w:rFonts w:asciiTheme="minorHAnsi" w:hAnsiTheme="minorHAnsi" w:cstheme="minorHAnsi"/>
                <w:sz w:val="21"/>
                <w:szCs w:val="20"/>
                <w:lang w:val="en-AU" w:eastAsia="en-AU"/>
              </w:rPr>
              <w:t xml:space="preserve"> (</w:t>
            </w:r>
            <w:r w:rsidRPr="00701DBE">
              <w:rPr>
                <w:rFonts w:asciiTheme="minorHAnsi" w:hAnsiTheme="minorHAnsi" w:cstheme="minorHAnsi"/>
                <w:sz w:val="21"/>
                <w:szCs w:val="20"/>
                <w:lang w:val="en-AU"/>
              </w:rPr>
              <w:t xml:space="preserve">National Indigenous Australians Agency, </w:t>
            </w:r>
            <w:r w:rsidRPr="00701DBE">
              <w:rPr>
                <w:rFonts w:asciiTheme="minorHAnsi" w:hAnsiTheme="minorHAnsi" w:cstheme="minorHAnsi"/>
                <w:sz w:val="21"/>
                <w:szCs w:val="20"/>
                <w:lang w:val="en-AU" w:eastAsia="en-AU"/>
              </w:rPr>
              <w:t>all national and state departments, Aboriginal Community Controlled Organisations and Health Services)</w:t>
            </w:r>
          </w:p>
        </w:tc>
      </w:tr>
    </w:tbl>
    <w:p w14:paraId="6A603077" w14:textId="5C84AD27" w:rsidR="00AA3231" w:rsidRPr="00400300" w:rsidRDefault="00AA3231">
      <w:pPr>
        <w:rPr>
          <w:lang w:val="en-AU"/>
        </w:rPr>
      </w:pPr>
    </w:p>
    <w:p w14:paraId="617F9C0E" w14:textId="42C22ECF" w:rsidR="00E46ECE" w:rsidRPr="00400300" w:rsidRDefault="00E46ECE" w:rsidP="00F11933">
      <w:pPr>
        <w:rPr>
          <w:lang w:val="en-AU"/>
        </w:rPr>
      </w:pPr>
    </w:p>
    <w:tbl>
      <w:tblPr>
        <w:tblStyle w:val="TableGrid"/>
        <w:tblW w:w="0" w:type="auto"/>
        <w:tblLook w:val="04A0" w:firstRow="1" w:lastRow="0" w:firstColumn="1" w:lastColumn="0" w:noHBand="0" w:noVBand="1"/>
      </w:tblPr>
      <w:tblGrid>
        <w:gridCol w:w="9016"/>
      </w:tblGrid>
      <w:tr w:rsidR="00E46ECE" w:rsidRPr="00400300" w14:paraId="2BED6C91" w14:textId="77777777" w:rsidTr="00C22D56">
        <w:tc>
          <w:tcPr>
            <w:tcW w:w="9016" w:type="dxa"/>
            <w:shd w:val="clear" w:color="auto" w:fill="D0CECE" w:themeFill="background2" w:themeFillShade="E6"/>
          </w:tcPr>
          <w:p w14:paraId="2D3275B1" w14:textId="77777777" w:rsidR="00E46ECE" w:rsidRDefault="00E46ECE" w:rsidP="00701DBE">
            <w:pPr>
              <w:spacing w:before="0"/>
              <w:rPr>
                <w:rFonts w:eastAsia="Times New Roman" w:cstheme="minorHAnsi"/>
                <w:lang w:val="en-AU"/>
              </w:rPr>
            </w:pPr>
            <w:r w:rsidRPr="00400300">
              <w:rPr>
                <w:rFonts w:eastAsia="Times New Roman" w:cstheme="minorHAnsi"/>
                <w:b/>
                <w:lang w:val="en-AU"/>
              </w:rPr>
              <w:t xml:space="preserve">Case study: </w:t>
            </w:r>
            <w:r w:rsidR="000D5071" w:rsidRPr="00400300">
              <w:rPr>
                <w:rFonts w:eastAsia="Times New Roman" w:cstheme="minorHAnsi"/>
                <w:lang w:val="en-AU"/>
              </w:rPr>
              <w:t>E</w:t>
            </w:r>
            <w:r w:rsidRPr="00400300">
              <w:rPr>
                <w:rFonts w:eastAsia="Times New Roman" w:cstheme="minorHAnsi"/>
                <w:lang w:val="en-AU"/>
              </w:rPr>
              <w:t>mbedding injury prevention into standard care</w:t>
            </w:r>
          </w:p>
          <w:p w14:paraId="49570F29" w14:textId="52797C40" w:rsidR="00701DBE" w:rsidRPr="00701DBE" w:rsidRDefault="00701DBE" w:rsidP="007D5286">
            <w:pPr>
              <w:pStyle w:val="ListParagraph"/>
              <w:numPr>
                <w:ilvl w:val="0"/>
                <w:numId w:val="53"/>
              </w:numPr>
              <w:spacing w:before="0"/>
              <w:rPr>
                <w:rFonts w:eastAsia="Times New Roman" w:cstheme="minorHAnsi"/>
                <w:lang w:val="en-AU"/>
              </w:rPr>
            </w:pPr>
            <w:r w:rsidRPr="00A060BA">
              <w:rPr>
                <w:rFonts w:cstheme="minorHAnsi"/>
              </w:rPr>
              <w:t>To provide a model where injury prevention has been embedded into a standard model of care.</w:t>
            </w:r>
          </w:p>
        </w:tc>
      </w:tr>
    </w:tbl>
    <w:p w14:paraId="634A63ED" w14:textId="77777777" w:rsidR="008462F1" w:rsidRPr="00400300" w:rsidRDefault="008462F1" w:rsidP="00060F4E">
      <w:pPr>
        <w:rPr>
          <w:lang w:val="en-AU"/>
        </w:rPr>
      </w:pPr>
      <w:bookmarkStart w:id="248" w:name="_Toc29217824"/>
      <w:bookmarkStart w:id="249" w:name="_Toc29217884"/>
      <w:bookmarkStart w:id="250" w:name="_Toc29217950"/>
      <w:bookmarkStart w:id="251" w:name="_Toc29218002"/>
      <w:bookmarkStart w:id="252" w:name="_Toc29218054"/>
      <w:bookmarkStart w:id="253" w:name="_Toc29218106"/>
      <w:bookmarkStart w:id="254" w:name="_Toc32584902"/>
      <w:bookmarkStart w:id="255" w:name="_Toc25237331"/>
      <w:bookmarkStart w:id="256" w:name="_Toc29473019"/>
      <w:bookmarkStart w:id="257" w:name="_Toc30077751"/>
      <w:bookmarkStart w:id="258" w:name="_Toc31128324"/>
      <w:bookmarkEnd w:id="245"/>
      <w:bookmarkEnd w:id="248"/>
      <w:bookmarkEnd w:id="249"/>
      <w:bookmarkEnd w:id="250"/>
      <w:bookmarkEnd w:id="251"/>
      <w:bookmarkEnd w:id="252"/>
      <w:bookmarkEnd w:id="253"/>
    </w:p>
    <w:p w14:paraId="6BC0D6CC" w14:textId="77777777" w:rsidR="008462F1" w:rsidRPr="00400300" w:rsidRDefault="008462F1">
      <w:pPr>
        <w:spacing w:before="0" w:after="160" w:line="259" w:lineRule="auto"/>
        <w:rPr>
          <w:rFonts w:eastAsiaTheme="majorEastAsia" w:cstheme="minorHAnsi"/>
          <w:b/>
          <w:color w:val="2E74B5" w:themeColor="accent1" w:themeShade="BF"/>
          <w:sz w:val="36"/>
          <w:szCs w:val="36"/>
          <w:lang w:val="en-AU" w:eastAsia="en-US"/>
        </w:rPr>
      </w:pPr>
      <w:r w:rsidRPr="00400300">
        <w:rPr>
          <w:lang w:val="en-AU"/>
        </w:rPr>
        <w:br w:type="page"/>
      </w:r>
    </w:p>
    <w:p w14:paraId="3CEE1C74" w14:textId="0DC9B3D6" w:rsidR="00A23DA4" w:rsidRPr="00400300" w:rsidRDefault="007A6B2F" w:rsidP="0022326A">
      <w:pPr>
        <w:pStyle w:val="Heading1"/>
        <w:rPr>
          <w:lang w:val="en-AU"/>
        </w:rPr>
      </w:pPr>
      <w:bookmarkStart w:id="259" w:name="_Toc38021104"/>
      <w:r w:rsidRPr="00400300">
        <w:rPr>
          <w:lang w:val="en-AU"/>
        </w:rPr>
        <w:t>C</w:t>
      </w:r>
      <w:r w:rsidR="00A23DA4" w:rsidRPr="00400300">
        <w:rPr>
          <w:lang w:val="en-AU"/>
        </w:rPr>
        <w:t xml:space="preserve">ross-cutting </w:t>
      </w:r>
      <w:r w:rsidR="0022326A" w:rsidRPr="00400300">
        <w:rPr>
          <w:lang w:val="en-AU"/>
        </w:rPr>
        <w:t>priority areas</w:t>
      </w:r>
      <w:bookmarkEnd w:id="254"/>
      <w:r w:rsidR="0022326A" w:rsidRPr="00400300">
        <w:rPr>
          <w:lang w:val="en-AU"/>
        </w:rPr>
        <w:t xml:space="preserve"> </w:t>
      </w:r>
      <w:bookmarkEnd w:id="255"/>
      <w:bookmarkEnd w:id="256"/>
      <w:bookmarkEnd w:id="257"/>
      <w:bookmarkEnd w:id="258"/>
      <w:r w:rsidR="005C609F">
        <w:rPr>
          <w:lang w:val="en-AU"/>
        </w:rPr>
        <w:t>(across the lifespan)</w:t>
      </w:r>
      <w:bookmarkEnd w:id="259"/>
    </w:p>
    <w:p w14:paraId="0B52C3D0" w14:textId="56822725" w:rsidR="009F76F2" w:rsidRPr="00400300" w:rsidRDefault="00A23DA4" w:rsidP="00BA3D2A">
      <w:pPr>
        <w:rPr>
          <w:lang w:val="en-AU"/>
        </w:rPr>
      </w:pPr>
      <w:bookmarkStart w:id="260" w:name="_Toc22922819"/>
      <w:bookmarkStart w:id="261" w:name="_Toc22922999"/>
      <w:r w:rsidRPr="00400300">
        <w:rPr>
          <w:lang w:val="en-AU"/>
        </w:rPr>
        <w:t>This section presents recommended actions for th</w:t>
      </w:r>
      <w:r w:rsidR="00F364E0">
        <w:rPr>
          <w:lang w:val="en-AU"/>
        </w:rPr>
        <w:t>ree</w:t>
      </w:r>
      <w:r w:rsidRPr="00400300">
        <w:rPr>
          <w:lang w:val="en-AU"/>
        </w:rPr>
        <w:t xml:space="preserve"> cross-cutting factors</w:t>
      </w:r>
      <w:r w:rsidR="008E70A5" w:rsidRPr="00400300">
        <w:rPr>
          <w:lang w:val="en-AU"/>
        </w:rPr>
        <w:t xml:space="preserve"> related to the burden of injury</w:t>
      </w:r>
      <w:r w:rsidRPr="00400300">
        <w:rPr>
          <w:lang w:val="en-AU"/>
        </w:rPr>
        <w:t xml:space="preserve">. </w:t>
      </w:r>
      <w:proofErr w:type="gramStart"/>
      <w:r w:rsidR="00647D82" w:rsidRPr="00400300">
        <w:rPr>
          <w:lang w:val="en-AU"/>
        </w:rPr>
        <w:t>The three cross-cutting areas,</w:t>
      </w:r>
      <w:proofErr w:type="gramEnd"/>
      <w:r w:rsidR="00647D82" w:rsidRPr="00400300">
        <w:rPr>
          <w:lang w:val="en-AU"/>
        </w:rPr>
        <w:t xml:space="preserve"> multiply the risk and severity of all types of injuries to all life-stages and population groups.</w:t>
      </w:r>
      <w:r w:rsidR="00DC3061" w:rsidRPr="00400300">
        <w:rPr>
          <w:lang w:val="en-AU"/>
        </w:rPr>
        <w:t xml:space="preserve"> </w:t>
      </w:r>
      <w:r w:rsidR="00647D82" w:rsidRPr="00400300">
        <w:rPr>
          <w:lang w:val="en-AU"/>
        </w:rPr>
        <w:t xml:space="preserve">Concerted action on these three risk factors offers great potential </w:t>
      </w:r>
      <w:r w:rsidR="00C1073A" w:rsidRPr="00400300">
        <w:rPr>
          <w:lang w:val="en-AU"/>
        </w:rPr>
        <w:t>for long-term reduction in the injury burden in Australia.</w:t>
      </w:r>
      <w:r w:rsidR="00647D82" w:rsidRPr="00400300">
        <w:rPr>
          <w:lang w:val="en-AU"/>
        </w:rPr>
        <w:t xml:space="preserve"> </w:t>
      </w:r>
      <w:r w:rsidRPr="00400300">
        <w:rPr>
          <w:lang w:val="en-AU"/>
        </w:rPr>
        <w:t>In some instances, the</w:t>
      </w:r>
      <w:r w:rsidR="00C1073A" w:rsidRPr="00400300">
        <w:rPr>
          <w:lang w:val="en-AU"/>
        </w:rPr>
        <w:t xml:space="preserve"> suggested strategies</w:t>
      </w:r>
      <w:r w:rsidRPr="00400300">
        <w:rPr>
          <w:lang w:val="en-AU"/>
        </w:rPr>
        <w:t xml:space="preserve"> have been considered alongside concepts such as affordability, the ease of uptake, anticipated acceptance, as part of the broader concepts of modifiability and feasibility.</w:t>
      </w:r>
      <w:r w:rsidRPr="00400300">
        <w:rPr>
          <w:lang w:val="en-AU"/>
        </w:rPr>
        <w:fldChar w:fldCharType="begin"/>
      </w:r>
      <w:r w:rsidR="002C69BD">
        <w:rPr>
          <w:lang w:val="en-AU"/>
        </w:rPr>
        <w:instrText xml:space="preserve"> ADDIN EN.CITE &lt;EndNote&gt;&lt;Cite&gt;&lt;Author&gt;BC Injury Prevention Committee&lt;/Author&gt;&lt;Year&gt;2017&lt;/Year&gt;&lt;RecNum&gt;28&lt;/RecNum&gt;&lt;DisplayText&gt;&lt;style face="superscript"&gt;59&lt;/style&gt;&lt;/DisplayText&gt;&lt;record&gt;&lt;rec-number&gt;28&lt;/rec-number&gt;&lt;foreign-keys&gt;&lt;key app="EN" db-id="2wsw9x5wvsspa1evwxlvvergx9epfd50fs2a" timestamp="1571995094"&gt;28&lt;/key&gt;&lt;/foreign-keys&gt;&lt;ref-type name="Government Document"&gt;46&lt;/ref-type&gt;&lt;contributors&gt;&lt;authors&gt;&lt;author&gt;BC Injury Prevention Committee, &lt;/author&gt;&lt;/authors&gt;&lt;/contributors&gt;&lt;titles&gt;&lt;title&gt;Provincial Injury Prevention Priorities.&lt;/title&gt;&lt;/titles&gt;&lt;dates&gt;&lt;year&gt;2017&lt;/year&gt;&lt;/dates&gt;&lt;pub-location&gt; Vancouver, Canada&lt;/pub-location&gt;&lt;urls&gt;&lt;/urls&gt;&lt;/record&gt;&lt;/Cite&gt;&lt;/EndNote&gt;</w:instrText>
      </w:r>
      <w:r w:rsidRPr="00400300">
        <w:rPr>
          <w:lang w:val="en-AU"/>
        </w:rPr>
        <w:fldChar w:fldCharType="separate"/>
      </w:r>
      <w:r w:rsidR="002C69BD" w:rsidRPr="002C69BD">
        <w:rPr>
          <w:noProof/>
          <w:vertAlign w:val="superscript"/>
          <w:lang w:val="en-AU"/>
        </w:rPr>
        <w:t>59</w:t>
      </w:r>
      <w:r w:rsidRPr="00400300">
        <w:rPr>
          <w:lang w:val="en-AU"/>
        </w:rPr>
        <w:fldChar w:fldCharType="end"/>
      </w:r>
      <w:r w:rsidRPr="00400300">
        <w:rPr>
          <w:lang w:val="en-AU"/>
        </w:rPr>
        <w:t xml:space="preserve"> These latter criteria </w:t>
      </w:r>
      <w:r w:rsidR="00F83B9F" w:rsidRPr="00400300">
        <w:rPr>
          <w:lang w:val="en-AU"/>
        </w:rPr>
        <w:t>a</w:t>
      </w:r>
      <w:r w:rsidRPr="00400300">
        <w:rPr>
          <w:lang w:val="en-AU"/>
        </w:rPr>
        <w:t>re largely based on the input received from extensive consultation with stakeholders</w:t>
      </w:r>
      <w:r w:rsidR="00266A75" w:rsidRPr="00400300">
        <w:rPr>
          <w:lang w:val="en-AU"/>
        </w:rPr>
        <w:t>.</w:t>
      </w:r>
    </w:p>
    <w:p w14:paraId="05C6522B" w14:textId="13D38445" w:rsidR="001D64D3" w:rsidRPr="00400300" w:rsidRDefault="001D64D3" w:rsidP="00BA3D2A">
      <w:pPr>
        <w:rPr>
          <w:lang w:val="en-AU"/>
        </w:rPr>
      </w:pPr>
    </w:p>
    <w:p w14:paraId="704B00CC" w14:textId="6483E752" w:rsidR="009F76F2" w:rsidRPr="00400300" w:rsidRDefault="00996DB2" w:rsidP="00F11933">
      <w:pPr>
        <w:pStyle w:val="Heading2"/>
        <w:rPr>
          <w:lang w:val="en-AU"/>
        </w:rPr>
      </w:pPr>
      <w:bookmarkStart w:id="262" w:name="_Toc32584903"/>
      <w:bookmarkStart w:id="263" w:name="_Toc38021105"/>
      <w:r w:rsidRPr="00400300">
        <w:rPr>
          <w:lang w:val="en-AU"/>
        </w:rPr>
        <w:t xml:space="preserve">Reducing </w:t>
      </w:r>
      <w:r w:rsidR="00A5791B" w:rsidRPr="00400300">
        <w:rPr>
          <w:lang w:val="en-AU"/>
        </w:rPr>
        <w:t>injury</w:t>
      </w:r>
      <w:r w:rsidRPr="00400300">
        <w:rPr>
          <w:lang w:val="en-AU"/>
        </w:rPr>
        <w:t xml:space="preserve"> associated with alcohol</w:t>
      </w:r>
      <w:bookmarkEnd w:id="262"/>
      <w:bookmarkEnd w:id="263"/>
    </w:p>
    <w:tbl>
      <w:tblPr>
        <w:tblStyle w:val="PlainTable2"/>
        <w:tblW w:w="0" w:type="auto"/>
        <w:tblLook w:val="04A0" w:firstRow="1" w:lastRow="0" w:firstColumn="1" w:lastColumn="0" w:noHBand="0" w:noVBand="1"/>
      </w:tblPr>
      <w:tblGrid>
        <w:gridCol w:w="4508"/>
        <w:gridCol w:w="4508"/>
      </w:tblGrid>
      <w:tr w:rsidR="00F62D45" w:rsidRPr="004771AB" w14:paraId="523F4380" w14:textId="77777777" w:rsidTr="00DC6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il"/>
              <w:bottom w:val="nil"/>
            </w:tcBorders>
          </w:tcPr>
          <w:p w14:paraId="5F381A64" w14:textId="334E0E41" w:rsidR="00B455BA" w:rsidRDefault="00B455BA" w:rsidP="00DC6E30">
            <w:pPr>
              <w:pStyle w:val="BodyCopy"/>
              <w:rPr>
                <w:rFonts w:cstheme="minorHAnsi"/>
                <w:bCs w:val="0"/>
              </w:rPr>
            </w:pPr>
            <w:r w:rsidRPr="00B455BA">
              <w:rPr>
                <w:noProof/>
                <w:lang w:eastAsia="en-AU"/>
              </w:rPr>
              <mc:AlternateContent>
                <mc:Choice Requires="wps">
                  <w:drawing>
                    <wp:inline distT="0" distB="0" distL="0" distR="0" wp14:anchorId="6AE7324F" wp14:editId="7569EFB6">
                      <wp:extent cx="1012371" cy="1121229"/>
                      <wp:effectExtent l="0" t="0" r="0" b="31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371" cy="1121229"/>
                              </a:xfrm>
                              <a:prstGeom prst="rect">
                                <a:avLst/>
                              </a:prstGeom>
                              <a:solidFill>
                                <a:srgbClr val="FFFFFF"/>
                              </a:solidFill>
                              <a:ln w="9525">
                                <a:noFill/>
                                <a:miter lim="800000"/>
                                <a:headEnd/>
                                <a:tailEnd/>
                              </a:ln>
                            </wps:spPr>
                            <wps:txbx>
                              <w:txbxContent>
                                <w:p w14:paraId="7A6C7EC1" w14:textId="4D9739DB" w:rsidR="00A6343D" w:rsidRDefault="00A6343D">
                                  <w:r w:rsidRPr="00B455BA">
                                    <w:rPr>
                                      <w:rFonts w:cstheme="minorHAnsi"/>
                                      <w:b/>
                                      <w:sz w:val="32"/>
                                    </w:rPr>
                                    <w:t xml:space="preserve">14% </w:t>
                                  </w:r>
                                  <w:r w:rsidRPr="00B455BA">
                                    <w:rPr>
                                      <w:rFonts w:cstheme="minorHAnsi"/>
                                    </w:rPr>
                                    <w:t>of the total injury-related burden for all Australians.</w:t>
                                  </w:r>
                                  <w:r w:rsidRPr="00B455BA">
                                    <w:rPr>
                                      <w:rFonts w:cstheme="minorHAnsi"/>
                                    </w:rPr>
                                    <w:fldChar w:fldCharType="begin"/>
                                  </w:r>
                                  <w:r w:rsidRPr="00B455BA">
                                    <w:rPr>
                                      <w:rFonts w:cstheme="minorHAnsi"/>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B455BA">
                                    <w:rPr>
                                      <w:rFonts w:cstheme="minorHAnsi"/>
                                    </w:rPr>
                                    <w:fldChar w:fldCharType="separate"/>
                                  </w:r>
                                  <w:r w:rsidRPr="00B455BA">
                                    <w:rPr>
                                      <w:rFonts w:cstheme="minorHAnsi"/>
                                      <w:noProof/>
                                      <w:vertAlign w:val="superscript"/>
                                    </w:rPr>
                                    <w:t>11</w:t>
                                  </w:r>
                                  <w:r w:rsidRPr="00B455BA">
                                    <w:rPr>
                                      <w:rFonts w:cstheme="minorHAnsi"/>
                                    </w:rPr>
                                    <w:fldChar w:fldCharType="end"/>
                                  </w:r>
                                </w:p>
                              </w:txbxContent>
                            </wps:txbx>
                            <wps:bodyPr rot="0" vert="horz" wrap="square" lIns="91440" tIns="45720" rIns="91440" bIns="45720" anchor="t" anchorCtr="0">
                              <a:noAutofit/>
                            </wps:bodyPr>
                          </wps:wsp>
                        </a:graphicData>
                      </a:graphic>
                    </wp:inline>
                  </w:drawing>
                </mc:Choice>
                <mc:Fallback>
                  <w:pict>
                    <v:shape w14:anchorId="6AE7324F" id="Text Box 2" o:spid="_x0000_s1083" type="#_x0000_t202" style="width:79.7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" stroked="f">
                      <v:textbox>
                        <w:txbxContent>
                          <w:p w14:paraId="7A6C7EC1" w14:textId="4D9739DB" w:rsidR="00A6343D" w:rsidRDefault="00A6343D">
                            <w:r w:rsidRPr="00B455BA">
                              <w:rPr>
                                <w:rFonts w:cstheme="minorHAnsi"/>
                                <w:b/>
                                <w:sz w:val="32"/>
                              </w:rPr>
                              <w:t xml:space="preserve">14% </w:t>
                            </w:r>
                            <w:r w:rsidRPr="00B455BA">
                              <w:rPr>
                                <w:rFonts w:cstheme="minorHAnsi"/>
                              </w:rPr>
                              <w:t>of the total injury-related burden for all Australians.</w:t>
                            </w:r>
                            <w:r w:rsidRPr="00B455BA">
                              <w:rPr>
                                <w:rFonts w:cstheme="minorHAnsi"/>
                              </w:rPr>
                              <w:fldChar w:fldCharType="begin"/>
                            </w:r>
                            <w:r w:rsidRPr="00B455BA">
                              <w:rPr>
                                <w:rFonts w:cstheme="minorHAnsi"/>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B455BA">
                              <w:rPr>
                                <w:rFonts w:cstheme="minorHAnsi"/>
                              </w:rPr>
                              <w:fldChar w:fldCharType="separate"/>
                            </w:r>
                            <w:r w:rsidRPr="00B455BA">
                              <w:rPr>
                                <w:rFonts w:cstheme="minorHAnsi"/>
                                <w:noProof/>
                                <w:vertAlign w:val="superscript"/>
                              </w:rPr>
                              <w:t>11</w:t>
                            </w:r>
                            <w:r w:rsidRPr="00B455BA">
                              <w:rPr>
                                <w:rFonts w:cstheme="minorHAnsi"/>
                              </w:rPr>
                              <w:fldChar w:fldCharType="end"/>
                            </w:r>
                          </w:p>
                        </w:txbxContent>
                      </v:textbox>
                      <w10:anchorlock/>
                    </v:shape>
                  </w:pict>
                </mc:Fallback>
              </mc:AlternateContent>
            </w:r>
            <w:r w:rsidR="00F62D45" w:rsidRPr="004771AB">
              <w:rPr>
                <w:noProof/>
                <w:lang w:eastAsia="en-AU"/>
              </w:rPr>
              <w:drawing>
                <wp:inline distT="0" distB="0" distL="0" distR="0" wp14:anchorId="4DF87AE9" wp14:editId="055AEF3F">
                  <wp:extent cx="1645920" cy="1426029"/>
                  <wp:effectExtent l="0" t="0" r="0" b="3175"/>
                  <wp:docPr id="12" name="Chart 12" descr="Graph for 14% of the total injury-related burden for all Australians">
                    <a:extLst xmlns:a="http://schemas.openxmlformats.org/drawingml/2006/main">
                      <a:ext uri="{FF2B5EF4-FFF2-40B4-BE49-F238E27FC236}">
                        <a16:creationId xmlns:a16="http://schemas.microsoft.com/office/drawing/2014/main" id="{F7AEADB2-7472-4772-B2B4-26F2CD659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75FF54A" w14:textId="5C4869CF" w:rsidR="00F62D45" w:rsidRPr="004771AB" w:rsidRDefault="00F62D45" w:rsidP="00DC6E30">
            <w:pPr>
              <w:pStyle w:val="BodyCopy"/>
              <w:rPr>
                <w:b w:val="0"/>
              </w:rPr>
            </w:pPr>
          </w:p>
        </w:tc>
        <w:tc>
          <w:tcPr>
            <w:tcW w:w="4508" w:type="dxa"/>
            <w:tcBorders>
              <w:top w:val="nil"/>
              <w:bottom w:val="nil"/>
            </w:tcBorders>
            <w:vAlign w:val="center"/>
          </w:tcPr>
          <w:p w14:paraId="203A3830" w14:textId="77777777" w:rsidR="00B455BA" w:rsidRDefault="00B455BA" w:rsidP="00B455BA">
            <w:pPr>
              <w:pStyle w:val="BodyCopy"/>
              <w:spacing w:before="0" w:after="0"/>
              <w:jc w:val="center"/>
              <w:cnfStyle w:val="100000000000" w:firstRow="1" w:lastRow="0" w:firstColumn="0" w:lastColumn="0" w:oddVBand="0" w:evenVBand="0" w:oddHBand="0" w:evenHBand="0" w:firstRowFirstColumn="0" w:firstRowLastColumn="0" w:lastRowFirstColumn="0" w:lastRowLastColumn="0"/>
              <w:rPr>
                <w:bCs w:val="0"/>
              </w:rPr>
            </w:pPr>
            <w:r>
              <w:rPr>
                <w:b w:val="0"/>
              </w:rPr>
              <w:t>Alcohol has been l</w:t>
            </w:r>
            <w:r w:rsidR="00F62D45" w:rsidRPr="00F62D45">
              <w:rPr>
                <w:b w:val="0"/>
              </w:rPr>
              <w:t>inked to injuries including</w:t>
            </w:r>
            <w:r>
              <w:rPr>
                <w:b w:val="0"/>
              </w:rPr>
              <w:t>:</w:t>
            </w:r>
          </w:p>
          <w:p w14:paraId="7222C90A" w14:textId="63C96212" w:rsidR="00B455BA" w:rsidRPr="00B455BA" w:rsidRDefault="00B455BA" w:rsidP="007D5286">
            <w:pPr>
              <w:pStyle w:val="BodyCopy"/>
              <w:numPr>
                <w:ilvl w:val="0"/>
                <w:numId w:val="53"/>
              </w:numPr>
              <w:spacing w:before="0" w:after="0"/>
              <w:cnfStyle w:val="100000000000" w:firstRow="1" w:lastRow="0" w:firstColumn="0" w:lastColumn="0" w:oddVBand="0" w:evenVBand="0" w:oddHBand="0" w:evenHBand="0" w:firstRowFirstColumn="0" w:firstRowLastColumn="0" w:lastRowFirstColumn="0" w:lastRowLastColumn="0"/>
              <w:rPr>
                <w:b w:val="0"/>
              </w:rPr>
            </w:pPr>
            <w:r>
              <w:rPr>
                <w:b w:val="0"/>
              </w:rPr>
              <w:t>P</w:t>
            </w:r>
            <w:r w:rsidR="00F62D45" w:rsidRPr="00F62D45">
              <w:rPr>
                <w:b w:val="0"/>
              </w:rPr>
              <w:t>edestrian injury and fatalities</w:t>
            </w:r>
          </w:p>
          <w:p w14:paraId="555A1818" w14:textId="03738AF3" w:rsidR="00B455BA" w:rsidRPr="00B455BA" w:rsidRDefault="00B455BA" w:rsidP="007D5286">
            <w:pPr>
              <w:pStyle w:val="BodyCopy"/>
              <w:numPr>
                <w:ilvl w:val="0"/>
                <w:numId w:val="53"/>
              </w:numPr>
              <w:spacing w:before="0" w:after="0"/>
              <w:cnfStyle w:val="100000000000" w:firstRow="1" w:lastRow="0" w:firstColumn="0" w:lastColumn="0" w:oddVBand="0" w:evenVBand="0" w:oddHBand="0" w:evenHBand="0" w:firstRowFirstColumn="0" w:firstRowLastColumn="0" w:lastRowFirstColumn="0" w:lastRowLastColumn="0"/>
              <w:rPr>
                <w:b w:val="0"/>
              </w:rPr>
            </w:pPr>
            <w:r>
              <w:rPr>
                <w:b w:val="0"/>
              </w:rPr>
              <w:t>D</w:t>
            </w:r>
            <w:r w:rsidR="00F62D45" w:rsidRPr="00F62D45">
              <w:rPr>
                <w:b w:val="0"/>
              </w:rPr>
              <w:t xml:space="preserve">rownings </w:t>
            </w:r>
          </w:p>
          <w:p w14:paraId="4D7E36BF" w14:textId="5C7C9829" w:rsidR="00B455BA" w:rsidRPr="00B455BA" w:rsidRDefault="00B455BA" w:rsidP="007D5286">
            <w:pPr>
              <w:pStyle w:val="BodyCopy"/>
              <w:numPr>
                <w:ilvl w:val="0"/>
                <w:numId w:val="53"/>
              </w:numPr>
              <w:spacing w:before="0" w:after="0"/>
              <w:cnfStyle w:val="100000000000" w:firstRow="1" w:lastRow="0" w:firstColumn="0" w:lastColumn="0" w:oddVBand="0" w:evenVBand="0" w:oddHBand="0" w:evenHBand="0" w:firstRowFirstColumn="0" w:firstRowLastColumn="0" w:lastRowFirstColumn="0" w:lastRowLastColumn="0"/>
              <w:rPr>
                <w:b w:val="0"/>
              </w:rPr>
            </w:pPr>
            <w:r>
              <w:rPr>
                <w:b w:val="0"/>
              </w:rPr>
              <w:t>S</w:t>
            </w:r>
            <w:r w:rsidR="00F62D45" w:rsidRPr="00F62D45">
              <w:rPr>
                <w:b w:val="0"/>
              </w:rPr>
              <w:t>uicides</w:t>
            </w:r>
          </w:p>
          <w:p w14:paraId="1BA0C516" w14:textId="77777777" w:rsidR="00B455BA" w:rsidRPr="00B455BA" w:rsidRDefault="00B455BA" w:rsidP="007D5286">
            <w:pPr>
              <w:pStyle w:val="BodyCopy"/>
              <w:numPr>
                <w:ilvl w:val="0"/>
                <w:numId w:val="53"/>
              </w:numPr>
              <w:spacing w:before="0" w:after="0"/>
              <w:cnfStyle w:val="100000000000" w:firstRow="1" w:lastRow="0" w:firstColumn="0" w:lastColumn="0" w:oddVBand="0" w:evenVBand="0" w:oddHBand="0" w:evenHBand="0" w:firstRowFirstColumn="0" w:firstRowLastColumn="0" w:lastRowFirstColumn="0" w:lastRowLastColumn="0"/>
              <w:rPr>
                <w:b w:val="0"/>
              </w:rPr>
            </w:pPr>
            <w:r>
              <w:rPr>
                <w:b w:val="0"/>
              </w:rPr>
              <w:t>W</w:t>
            </w:r>
            <w:r w:rsidR="00F62D45" w:rsidRPr="00F62D45">
              <w:rPr>
                <w:b w:val="0"/>
              </w:rPr>
              <w:t>ork accidents</w:t>
            </w:r>
          </w:p>
          <w:p w14:paraId="1D6AE4AB" w14:textId="77777777" w:rsidR="00B455BA" w:rsidRPr="00B455BA" w:rsidRDefault="00B455BA" w:rsidP="007D5286">
            <w:pPr>
              <w:pStyle w:val="BodyCopy"/>
              <w:numPr>
                <w:ilvl w:val="0"/>
                <w:numId w:val="53"/>
              </w:numPr>
              <w:spacing w:before="0" w:after="0"/>
              <w:cnfStyle w:val="100000000000" w:firstRow="1" w:lastRow="0" w:firstColumn="0" w:lastColumn="0" w:oddVBand="0" w:evenVBand="0" w:oddHBand="0" w:evenHBand="0" w:firstRowFirstColumn="0" w:firstRowLastColumn="0" w:lastRowFirstColumn="0" w:lastRowLastColumn="0"/>
              <w:rPr>
                <w:b w:val="0"/>
              </w:rPr>
            </w:pPr>
            <w:r>
              <w:rPr>
                <w:b w:val="0"/>
              </w:rPr>
              <w:t>M</w:t>
            </w:r>
            <w:r w:rsidR="00F62D45" w:rsidRPr="00F62D45">
              <w:rPr>
                <w:b w:val="0"/>
              </w:rPr>
              <w:t>otor vehicle crashes</w:t>
            </w:r>
          </w:p>
          <w:p w14:paraId="67521011" w14:textId="501A3DC5" w:rsidR="00F62D45" w:rsidRPr="00F62D45" w:rsidRDefault="00B455BA" w:rsidP="007D5286">
            <w:pPr>
              <w:pStyle w:val="BodyCopy"/>
              <w:numPr>
                <w:ilvl w:val="0"/>
                <w:numId w:val="53"/>
              </w:numPr>
              <w:spacing w:before="0" w:after="0"/>
              <w:cnfStyle w:val="100000000000" w:firstRow="1" w:lastRow="0" w:firstColumn="0" w:lastColumn="0" w:oddVBand="0" w:evenVBand="0" w:oddHBand="0" w:evenHBand="0" w:firstRowFirstColumn="0" w:firstRowLastColumn="0" w:lastRowFirstColumn="0" w:lastRowLastColumn="0"/>
              <w:rPr>
                <w:b w:val="0"/>
              </w:rPr>
            </w:pPr>
            <w:r>
              <w:rPr>
                <w:b w:val="0"/>
              </w:rPr>
              <w:t>I</w:t>
            </w:r>
            <w:r w:rsidR="00F62D45" w:rsidRPr="00F62D45">
              <w:rPr>
                <w:b w:val="0"/>
              </w:rPr>
              <w:t>nterpersonal/family violence.</w:t>
            </w:r>
            <w:r w:rsidR="00F62D45" w:rsidRPr="00F62D45">
              <w:fldChar w:fldCharType="begin"/>
            </w:r>
            <w:r w:rsidR="00F62D45" w:rsidRPr="00F62D45">
              <w:rPr>
                <w:b w:val="0"/>
              </w:rPr>
              <w:instrText xml:space="preserve"> ADDIN EN.CITE &lt;EndNote&gt;&lt;Cite&gt;&lt;Author&gt;Australian Government Department of Health&lt;/Author&gt;&lt;Year&gt;2019&lt;/Year&gt;&lt;RecNum&gt;82&lt;/RecNum&gt;&lt;DisplayText&gt;&lt;style face="superscript"&gt;60&lt;/style&gt;&lt;/DisplayText&gt;&lt;record&gt;&lt;rec-number&gt;82&lt;/rec-number&gt;&lt;foreign-keys&gt;&lt;key app="EN" db-id="2wsw9x5wvsspa1evwxlvvergx9epfd50fs2a" timestamp="1576628019"&gt;82&lt;/key&gt;&lt;/foreign-keys&gt;&lt;ref-type name="Government Document"&gt;46&lt;/ref-type&gt;&lt;contributors&gt;&lt;authors&gt;&lt;author&gt;Australian Government Department of Health,&lt;/author&gt;&lt;/authors&gt;&lt;secondary-authors&gt;&lt;author&gt;Department of Health&lt;/author&gt;&lt;/secondary-authors&gt;&lt;/contributors&gt;&lt;titles&gt;&lt;title&gt;National Alcohol Strategy 2019–2028&lt;/title&gt;&lt;/titles&gt;&lt;dates&gt;&lt;year&gt;2019&lt;/year&gt;&lt;/dates&gt;&lt;pub-location&gt;Online&lt;/pub-location&gt;&lt;publisher&gt;Department of Health&lt;/publisher&gt;&lt;urls&gt;&lt;related-urls&gt;&lt;url&gt;https://www.health.gov.au/sites/default/files/documents/2019/12/national-alcohol-strategy-2019-2028.pdf&lt;/url&gt;&lt;/related-urls&gt;&lt;/urls&gt;&lt;/record&gt;&lt;/Cite&gt;&lt;/EndNote&gt;</w:instrText>
            </w:r>
            <w:r w:rsidR="00F62D45" w:rsidRPr="00F62D45">
              <w:fldChar w:fldCharType="separate"/>
            </w:r>
            <w:r w:rsidR="00F62D45" w:rsidRPr="00F62D45">
              <w:rPr>
                <w:b w:val="0"/>
                <w:noProof/>
                <w:vertAlign w:val="superscript"/>
              </w:rPr>
              <w:t>60</w:t>
            </w:r>
            <w:r w:rsidR="00F62D45" w:rsidRPr="00F62D45">
              <w:fldChar w:fldCharType="end"/>
            </w:r>
          </w:p>
        </w:tc>
      </w:tr>
    </w:tbl>
    <w:p w14:paraId="600D71D8" w14:textId="1D3A4C37" w:rsidR="00F62D45" w:rsidRPr="00C34EE8" w:rsidRDefault="00F62D45" w:rsidP="00C34EE8">
      <w:pPr>
        <w:pStyle w:val="BodyCopy"/>
        <w:spacing w:before="0" w:after="0"/>
        <w:rPr>
          <w:i/>
          <w:sz w:val="20"/>
        </w:rPr>
      </w:pPr>
      <w:r w:rsidRPr="00C34EE8">
        <w:rPr>
          <w:i/>
          <w:sz w:val="20"/>
        </w:rPr>
        <w:t xml:space="preserve">Figure </w:t>
      </w:r>
      <w:r w:rsidR="00E83213">
        <w:rPr>
          <w:i/>
          <w:sz w:val="20"/>
        </w:rPr>
        <w:t>5</w:t>
      </w:r>
      <w:r w:rsidRPr="00C34EE8">
        <w:rPr>
          <w:i/>
          <w:sz w:val="20"/>
        </w:rPr>
        <w:t xml:space="preserve">: </w:t>
      </w:r>
      <w:r>
        <w:rPr>
          <w:i/>
          <w:sz w:val="20"/>
        </w:rPr>
        <w:t>B</w:t>
      </w:r>
      <w:r w:rsidRPr="00C34EE8">
        <w:rPr>
          <w:i/>
          <w:sz w:val="20"/>
        </w:rPr>
        <w:t>urden of injury due to alcohol (2015)</w:t>
      </w:r>
      <w:r w:rsidRPr="00C34EE8">
        <w:rPr>
          <w:i/>
          <w:sz w:val="20"/>
        </w:rPr>
        <w:fldChar w:fldCharType="begin"/>
      </w:r>
      <w:r w:rsidRPr="00C34EE8">
        <w:rPr>
          <w:i/>
          <w:sz w:val="20"/>
        </w:rPr>
        <w:instrText xml:space="preserve"> ADDIN EN.CITE &lt;EndNote&gt;&lt;Cite&gt;&lt;Author&gt;AIHW&lt;/Author&gt;&lt;Year&gt;2019&lt;/Year&gt;&lt;RecNum&gt;84&lt;/RecNum&gt;&lt;DisplayText&gt;&lt;style face="superscript"&gt;61&lt;/style&gt;&lt;/DisplayText&gt;&lt;record&gt;&lt;rec-number&gt;84&lt;/rec-number&gt;&lt;foreign-keys&gt;&lt;key app="EN" db-id="2wsw9x5wvsspa1evwxlvvergx9epfd50fs2a" timestamp="1576732643"&gt;84&lt;/key&gt;&lt;/foreign-keys&gt;&lt;ref-type name="Report"&gt;27&lt;/ref-type&gt;&lt;contributors&gt;&lt;authors&gt;&lt;author&gt;AIHW,&lt;/author&gt;&lt;/authors&gt;&lt;/contributors&gt;&lt;titles&gt;&lt;title&gt;Alcohol, tobacco &amp;amp; other drugs in Australia&lt;/title&gt;&lt;/titles&gt;&lt;volume&gt;Cat. no: PHE 221&lt;/volume&gt;&lt;dates&gt;&lt;year&gt;2019&lt;/year&gt;&lt;/dates&gt;&lt;pub-location&gt;Online&lt;/pub-location&gt;&lt;publisher&gt;AIHW&lt;/publisher&gt;&lt;urls&gt;&lt;related-urls&gt;&lt;url&gt;https://www.aihw.gov.au/reports/alcohol/alcohol-tobacco-other-drugs-australia/contents/drug-types/alcohol&lt;/url&gt;&lt;/related-urls&gt;&lt;/urls&gt;&lt;/record&gt;&lt;/Cite&gt;&lt;/EndNote&gt;</w:instrText>
      </w:r>
      <w:r w:rsidRPr="00C34EE8">
        <w:rPr>
          <w:i/>
          <w:sz w:val="20"/>
        </w:rPr>
        <w:fldChar w:fldCharType="separate"/>
      </w:r>
      <w:r w:rsidRPr="00C34EE8">
        <w:rPr>
          <w:i/>
          <w:noProof/>
          <w:sz w:val="20"/>
          <w:vertAlign w:val="superscript"/>
        </w:rPr>
        <w:t>61</w:t>
      </w:r>
      <w:r w:rsidRPr="00C34EE8">
        <w:rPr>
          <w:i/>
          <w:sz w:val="20"/>
        </w:rPr>
        <w:fldChar w:fldCharType="end"/>
      </w:r>
    </w:p>
    <w:p w14:paraId="7ED55E55" w14:textId="51750F1F" w:rsidR="00F62D45" w:rsidRPr="00400300" w:rsidRDefault="00F62D45" w:rsidP="00F62D45">
      <w:pPr>
        <w:pStyle w:val="BodyCopy"/>
        <w:rPr>
          <w:rFonts w:cstheme="minorHAnsi"/>
        </w:rPr>
      </w:pPr>
      <w:r>
        <w:rPr>
          <w:noProof/>
          <w:lang w:eastAsia="en-AU"/>
        </w:rPr>
        <w:drawing>
          <wp:inline distT="0" distB="0" distL="0" distR="0" wp14:anchorId="44E90BA1" wp14:editId="0C9902D4">
            <wp:extent cx="6263640" cy="2034540"/>
            <wp:effectExtent l="0" t="0" r="3810" b="3810"/>
            <wp:docPr id="1" name="Chart 1" descr="Burden of injury due to alcohol ">
              <a:extLst xmlns:a="http://schemas.openxmlformats.org/drawingml/2006/main">
                <a:ext uri="{FF2B5EF4-FFF2-40B4-BE49-F238E27FC236}">
                  <a16:creationId xmlns:a16="http://schemas.microsoft.com/office/drawing/2014/main" id="{4643F376-D63A-4D9E-B172-8FF62503C2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C29347F" w14:textId="1C87386F" w:rsidR="00996DB2" w:rsidRDefault="00C00912" w:rsidP="009A0584">
      <w:pPr>
        <w:pStyle w:val="ListParagraph"/>
        <w:numPr>
          <w:ilvl w:val="0"/>
          <w:numId w:val="102"/>
        </w:numPr>
        <w:spacing w:after="240" w:line="276" w:lineRule="auto"/>
      </w:pPr>
      <w:r w:rsidRPr="00894017">
        <w:t xml:space="preserve">People </w:t>
      </w:r>
      <w:r w:rsidRPr="009A0584">
        <w:rPr>
          <w:b/>
        </w:rPr>
        <w:t xml:space="preserve">18-24 </w:t>
      </w:r>
      <w:r w:rsidRPr="00894017">
        <w:t xml:space="preserve">are most likely age-group to require MEDICAL ATTENTION (including hospitalisation) due to </w:t>
      </w:r>
      <w:r w:rsidRPr="009A0584">
        <w:rPr>
          <w:b/>
        </w:rPr>
        <w:t>alcohol-related injury</w:t>
      </w:r>
      <w:r w:rsidRPr="00894017">
        <w:t>.</w:t>
      </w:r>
      <w:r w:rsidRPr="00894017">
        <w:fldChar w:fldCharType="begin"/>
      </w:r>
      <w:r w:rsidRPr="00894017">
        <w:instrText xml:space="preserve"> ADDIN EN.CITE &lt;EndNote&gt;&lt;Cite&gt;&lt;Author&gt;AIHW&lt;/Author&gt;&lt;Year&gt;2017&lt;/Year&gt;&lt;RecNum&gt;83&lt;/RecNum&gt;&lt;DisplayText&gt;&lt;style face="superscript"&gt;62&lt;/style&gt;&lt;/DisplayText&gt;&lt;record&gt;&lt;rec-number&gt;83&lt;/rec-number&gt;&lt;foreign-keys&gt;&lt;key app="EN" db-id="2wsw9x5wvsspa1evwxlvvergx9epfd50fs2a" timestamp="1576628750"&gt;83&lt;/key&gt;&lt;/foreign-keys&gt;&lt;ref-type name="Report"&gt;27&lt;/ref-type&gt;&lt;contributors&gt;&lt;authors&gt;&lt;author&gt;AIHW,&lt;/author&gt;&lt;/authors&gt;&lt;secondary-authors&gt;&lt;author&gt;AIHW&lt;/author&gt;&lt;/secondary-authors&gt;&lt;/contributors&gt;&lt;titles&gt;&lt;title&gt;National Drug Strategy Household Survey 2016: detailed findings&lt;/title&gt;&lt;/titles&gt;&lt;dates&gt;&lt;year&gt;2017&lt;/year&gt;&lt;/dates&gt;&lt;pub-location&gt;Online&lt;/pub-location&gt;&lt;publisher&gt;AIHW&lt;/publisher&gt;&lt;urls&gt;&lt;related-urls&gt;&lt;url&gt;https://www.aihw.gov.au/getmedia/15db8c15-7062-4cde-bfa4-3c2079f30af3/21028a.pdf.aspx?inline=true&lt;/url&gt;&lt;/related-urls&gt;&lt;/urls&gt;&lt;/record&gt;&lt;/Cite&gt;&lt;/EndNote&gt;</w:instrText>
      </w:r>
      <w:r w:rsidRPr="00894017">
        <w:fldChar w:fldCharType="separate"/>
      </w:r>
      <w:r w:rsidRPr="009A0584">
        <w:rPr>
          <w:noProof/>
          <w:vertAlign w:val="superscript"/>
        </w:rPr>
        <w:t>62</w:t>
      </w:r>
      <w:r w:rsidRPr="00894017">
        <w:fldChar w:fldCharType="end"/>
      </w:r>
    </w:p>
    <w:p w14:paraId="4F23FB7B" w14:textId="77777777" w:rsidR="00C00912" w:rsidRDefault="00C00912" w:rsidP="009A0584">
      <w:pPr>
        <w:pStyle w:val="ListParagraph"/>
        <w:numPr>
          <w:ilvl w:val="0"/>
          <w:numId w:val="102"/>
        </w:numPr>
        <w:spacing w:after="240" w:line="276" w:lineRule="auto"/>
      </w:pPr>
      <w:r w:rsidRPr="00701DBE">
        <w:t xml:space="preserve">While </w:t>
      </w:r>
      <w:r w:rsidRPr="009A0584">
        <w:rPr>
          <w:b/>
        </w:rPr>
        <w:t>Aboriginal and Torres Strait Islander people</w:t>
      </w:r>
      <w:r w:rsidRPr="00701DBE">
        <w:t xml:space="preserve"> are </w:t>
      </w:r>
      <w:r w:rsidRPr="009A0584">
        <w:rPr>
          <w:b/>
          <w:i/>
        </w:rPr>
        <w:t>more likely to abstain</w:t>
      </w:r>
      <w:r w:rsidRPr="00701DBE">
        <w:t xml:space="preserve"> from drinking alcohol compared to non-Aboriginal people,</w:t>
      </w:r>
      <w:r>
        <w:t xml:space="preserve"> </w:t>
      </w:r>
      <w:r w:rsidRPr="005A2A68">
        <w:t>those who do drink</w:t>
      </w:r>
      <w:r w:rsidRPr="00701DBE">
        <w:t xml:space="preserve"> are more likely to drink at risky levels and are </w:t>
      </w:r>
      <w:r w:rsidRPr="009A0584">
        <w:rPr>
          <w:i/>
        </w:rPr>
        <w:t>more likely to experience injury</w:t>
      </w:r>
      <w:r w:rsidRPr="00701DBE">
        <w:t>.</w:t>
      </w:r>
      <w:r w:rsidRPr="00701DBE">
        <w:fldChar w:fldCharType="begin"/>
      </w:r>
      <w:r>
        <w:instrText xml:space="preserve"> ADDIN EN.CITE &lt;EndNote&gt;&lt;Cite&gt;&lt;Author&gt;AIHW&lt;/Author&gt;&lt;Year&gt;2017&lt;/Year&gt;&lt;RecNum&gt;83&lt;/RecNum&gt;&lt;DisplayText&gt;&lt;style face="superscript"&gt;62&lt;/style&gt;&lt;/DisplayText&gt;&lt;record&gt;&lt;rec-number&gt;83&lt;/rec-number&gt;&lt;foreign-keys&gt;&lt;key app="EN" db-id="2wsw9x5wvsspa1evwxlvvergx9epfd50fs2a" timestamp="1576628750"&gt;83&lt;/key&gt;&lt;/foreign-keys&gt;&lt;ref-type name="Report"&gt;27&lt;/ref-type&gt;&lt;contributors&gt;&lt;authors&gt;&lt;author&gt;AIHW,&lt;/author&gt;&lt;/authors&gt;&lt;secondary-authors&gt;&lt;author&gt;AIHW&lt;/author&gt;&lt;/secondary-authors&gt;&lt;/contributors&gt;&lt;titles&gt;&lt;title&gt;National Drug Strategy Household Survey 2016: detailed findings&lt;/title&gt;&lt;/titles&gt;&lt;dates&gt;&lt;year&gt;2017&lt;/year&gt;&lt;/dates&gt;&lt;pub-location&gt;Online&lt;/pub-location&gt;&lt;publisher&gt;AIHW&lt;/publisher&gt;&lt;urls&gt;&lt;related-urls&gt;&lt;url&gt;https://www.aihw.gov.au/getmedia/15db8c15-7062-4cde-bfa4-3c2079f30af3/21028a.pdf.aspx?inline=true&lt;/url&gt;&lt;/related-urls&gt;&lt;/urls&gt;&lt;/record&gt;&lt;/Cite&gt;&lt;/EndNote&gt;</w:instrText>
      </w:r>
      <w:r w:rsidRPr="00701DBE">
        <w:fldChar w:fldCharType="separate"/>
      </w:r>
      <w:r w:rsidRPr="009A0584">
        <w:rPr>
          <w:noProof/>
          <w:vertAlign w:val="superscript"/>
        </w:rPr>
        <w:t>62</w:t>
      </w:r>
      <w:r w:rsidRPr="00701DBE">
        <w:fldChar w:fldCharType="end"/>
      </w:r>
    </w:p>
    <w:p w14:paraId="327386F6" w14:textId="77777777" w:rsidR="00C00912" w:rsidRPr="00894017" w:rsidRDefault="00C00912" w:rsidP="009A0584">
      <w:pPr>
        <w:pStyle w:val="ListParagraph"/>
        <w:numPr>
          <w:ilvl w:val="0"/>
          <w:numId w:val="102"/>
        </w:numPr>
        <w:spacing w:after="240" w:line="276" w:lineRule="auto"/>
      </w:pPr>
      <w:r w:rsidRPr="009A0584">
        <w:rPr>
          <w:color w:val="000000" w:themeColor="text1"/>
          <w:lang w:val="en-AU" w:eastAsia="ja-JP"/>
        </w:rPr>
        <w:t xml:space="preserve">In 2016, </w:t>
      </w:r>
      <w:r w:rsidRPr="009A0584">
        <w:rPr>
          <w:b/>
          <w:color w:val="000000" w:themeColor="text1"/>
          <w:lang w:val="en-AU" w:eastAsia="ja-JP"/>
        </w:rPr>
        <w:t>1 in 5</w:t>
      </w:r>
      <w:r w:rsidRPr="009A0584">
        <w:rPr>
          <w:color w:val="000000" w:themeColor="text1"/>
          <w:lang w:val="en-AU" w:eastAsia="ja-JP"/>
        </w:rPr>
        <w:t xml:space="preserve"> Australians said they had been a victim of an alcohol-related incident.</w:t>
      </w:r>
      <w:r w:rsidRPr="00DC7AA3">
        <w:fldChar w:fldCharType="begin"/>
      </w:r>
      <w:r w:rsidRPr="00DC7AA3">
        <w:instrText xml:space="preserve"> ADDIN EN.CITE &lt;EndNote&gt;&lt;Cite&gt;&lt;Author&gt;AIHW&lt;/Author&gt;&lt;Year&gt;2017&lt;/Year&gt;&lt;RecNum&gt;83&lt;/RecNum&gt;&lt;DisplayText&gt;&lt;style face="superscript"&gt;62&lt;/style&gt;&lt;/DisplayText&gt;&lt;record&gt;&lt;rec-number&gt;83&lt;/rec-number&gt;&lt;foreign-keys&gt;&lt;key app="EN" db-id="2wsw9x5wvsspa1evwxlvvergx9epfd50fs2a" timestamp="1576628750"&gt;83&lt;/key&gt;&lt;/foreign-keys&gt;&lt;ref-type name="Report"&gt;27&lt;/ref-type&gt;&lt;contributors&gt;&lt;authors&gt;&lt;author&gt;AIHW,&lt;/author&gt;&lt;/authors&gt;&lt;secondary-authors&gt;&lt;author&gt;AIHW&lt;/author&gt;&lt;/secondary-authors&gt;&lt;/contributors&gt;&lt;titles&gt;&lt;title&gt;National Drug Strategy Household Survey 2016: detailed findings&lt;/title&gt;&lt;/titles&gt;&lt;dates&gt;&lt;year&gt;2017&lt;/year&gt;&lt;/dates&gt;&lt;pub-location&gt;Online&lt;/pub-location&gt;&lt;publisher&gt;AIHW&lt;/publisher&gt;&lt;urls&gt;&lt;related-urls&gt;&lt;url&gt;https://www.aihw.gov.au/getmedia/15db8c15-7062-4cde-bfa4-3c2079f30af3/21028a.pdf.aspx?inline=true&lt;/url&gt;&lt;/related-urls&gt;&lt;/urls&gt;&lt;/record&gt;&lt;/Cite&gt;&lt;/EndNote&gt;</w:instrText>
      </w:r>
      <w:r w:rsidRPr="00DC7AA3">
        <w:fldChar w:fldCharType="separate"/>
      </w:r>
      <w:r w:rsidRPr="009A0584">
        <w:rPr>
          <w:noProof/>
          <w:vertAlign w:val="superscript"/>
        </w:rPr>
        <w:t>62</w:t>
      </w:r>
      <w:r w:rsidRPr="00DC7AA3">
        <w:fldChar w:fldCharType="end"/>
      </w:r>
    </w:p>
    <w:p w14:paraId="1CC7AA71" w14:textId="395E8890" w:rsidR="00C00912" w:rsidRPr="009A0584" w:rsidRDefault="00C00912" w:rsidP="009A0584">
      <w:pPr>
        <w:pStyle w:val="ListParagraph"/>
        <w:numPr>
          <w:ilvl w:val="0"/>
          <w:numId w:val="102"/>
        </w:numPr>
        <w:spacing w:after="240" w:line="276" w:lineRule="auto"/>
        <w:rPr>
          <w:lang w:val="en-AU" w:eastAsia="en-US"/>
        </w:rPr>
      </w:pPr>
      <w:r w:rsidRPr="00701DBE">
        <w:t xml:space="preserve">Injuries associated with </w:t>
      </w:r>
      <w:r w:rsidRPr="00894017">
        <w:t xml:space="preserve">alcohol use are HIGHEST for the </w:t>
      </w:r>
      <w:r w:rsidRPr="009A0584">
        <w:rPr>
          <w:b/>
        </w:rPr>
        <w:t>lowest socio-economic</w:t>
      </w:r>
      <w:r w:rsidRPr="00894017">
        <w:t xml:space="preserve"> quintile compared with the highest socio-economic quintile (11.2 vs 6.2 per 1,000).</w:t>
      </w:r>
      <w:r w:rsidRPr="00894017">
        <w:fldChar w:fldCharType="begin"/>
      </w:r>
      <w:r w:rsidRPr="00894017">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894017">
        <w:fldChar w:fldCharType="separate"/>
      </w:r>
      <w:r w:rsidRPr="009A0584">
        <w:rPr>
          <w:noProof/>
          <w:vertAlign w:val="superscript"/>
        </w:rPr>
        <w:t>11</w:t>
      </w:r>
      <w:r w:rsidRPr="00894017">
        <w:fldChar w:fldCharType="end"/>
      </w:r>
    </w:p>
    <w:p w14:paraId="041B5516" w14:textId="74237EA9" w:rsidR="00C00912" w:rsidRPr="00894017" w:rsidRDefault="00C00912" w:rsidP="009A0584">
      <w:pPr>
        <w:pStyle w:val="ListParagraph"/>
        <w:numPr>
          <w:ilvl w:val="0"/>
          <w:numId w:val="102"/>
        </w:numPr>
        <w:spacing w:after="240" w:line="276" w:lineRule="auto"/>
      </w:pPr>
      <w:r w:rsidRPr="00894017">
        <w:t xml:space="preserve">Individuals living in </w:t>
      </w:r>
      <w:r w:rsidRPr="009A0584">
        <w:rPr>
          <w:b/>
        </w:rPr>
        <w:t>remote and very remote areas</w:t>
      </w:r>
      <w:r w:rsidRPr="00894017">
        <w:t xml:space="preserve"> are more likely to drink alcohol in amounts that put them at </w:t>
      </w:r>
      <w:r w:rsidRPr="009A0584">
        <w:rPr>
          <w:i/>
        </w:rPr>
        <w:t>increased risk of an alcohol-related injury</w:t>
      </w:r>
      <w:r w:rsidRPr="00894017">
        <w:t>.</w:t>
      </w:r>
      <w:r w:rsidRPr="00894017">
        <w:fldChar w:fldCharType="begin"/>
      </w:r>
      <w:r w:rsidRPr="00894017">
        <w:instrText xml:space="preserve"> ADDIN EN.CITE &lt;EndNote&gt;&lt;Cite&gt;&lt;Author&gt;AIHW&lt;/Author&gt;&lt;Year&gt;2017&lt;/Year&gt;&lt;RecNum&gt;83&lt;/RecNum&gt;&lt;DisplayText&gt;&lt;style face="superscript"&gt;62&lt;/style&gt;&lt;/DisplayText&gt;&lt;record&gt;&lt;rec-number&gt;83&lt;/rec-number&gt;&lt;foreign-keys&gt;&lt;key app="EN" db-id="2wsw9x5wvsspa1evwxlvvergx9epfd50fs2a" timestamp="1576628750"&gt;83&lt;/key&gt;&lt;/foreign-keys&gt;&lt;ref-type name="Report"&gt;27&lt;/ref-type&gt;&lt;contributors&gt;&lt;authors&gt;&lt;author&gt;AIHW,&lt;/author&gt;&lt;/authors&gt;&lt;secondary-authors&gt;&lt;author&gt;AIHW&lt;/author&gt;&lt;/secondary-authors&gt;&lt;/contributors&gt;&lt;titles&gt;&lt;title&gt;National Drug Strategy Household Survey 2016: detailed findings&lt;/title&gt;&lt;/titles&gt;&lt;dates&gt;&lt;year&gt;2017&lt;/year&gt;&lt;/dates&gt;&lt;pub-location&gt;Online&lt;/pub-location&gt;&lt;publisher&gt;AIHW&lt;/publisher&gt;&lt;urls&gt;&lt;related-urls&gt;&lt;url&gt;https://www.aihw.gov.au/getmedia/15db8c15-7062-4cde-bfa4-3c2079f30af3/21028a.pdf.aspx?inline=true&lt;/url&gt;&lt;/related-urls&gt;&lt;/urls&gt;&lt;/record&gt;&lt;/Cite&gt;&lt;/EndNote&gt;</w:instrText>
      </w:r>
      <w:r w:rsidRPr="00894017">
        <w:fldChar w:fldCharType="separate"/>
      </w:r>
      <w:r w:rsidRPr="009A0584">
        <w:rPr>
          <w:noProof/>
          <w:vertAlign w:val="superscript"/>
        </w:rPr>
        <w:t>62</w:t>
      </w:r>
      <w:r w:rsidRPr="00894017">
        <w:fldChar w:fldCharType="end"/>
      </w:r>
    </w:p>
    <w:p w14:paraId="10BEFCFA" w14:textId="5597EBA5" w:rsidR="007315AE" w:rsidRDefault="007315AE" w:rsidP="00996DB2">
      <w:pPr>
        <w:rPr>
          <w:lang w:val="en-AU" w:eastAsia="en-US"/>
        </w:rPr>
      </w:pPr>
    </w:p>
    <w:p w14:paraId="4037EA9D" w14:textId="77777777" w:rsidR="009A0584" w:rsidRPr="00400300" w:rsidRDefault="009A0584" w:rsidP="00996DB2">
      <w:pPr>
        <w:rPr>
          <w:lang w:val="en-AU" w:eastAsia="en-US"/>
        </w:rPr>
      </w:pPr>
    </w:p>
    <w:bookmarkEnd w:id="260"/>
    <w:bookmarkEnd w:id="261"/>
    <w:p w14:paraId="66327303" w14:textId="5C28980D" w:rsidR="001233B8" w:rsidRPr="00400300" w:rsidRDefault="0022326A" w:rsidP="00E01766">
      <w:pPr>
        <w:pStyle w:val="Heading3"/>
        <w:rPr>
          <w:lang w:val="en-AU"/>
        </w:rPr>
      </w:pPr>
      <w:r w:rsidRPr="00400300">
        <w:rPr>
          <w:lang w:val="en-AU"/>
        </w:rPr>
        <w:t>Priority areas for action</w:t>
      </w:r>
    </w:p>
    <w:p w14:paraId="1FF95090" w14:textId="34F943E3" w:rsidR="00E46ECE" w:rsidRDefault="00E46ECE">
      <w:pPr>
        <w:rPr>
          <w:lang w:val="en-AU"/>
        </w:rPr>
      </w:pPr>
    </w:p>
    <w:tbl>
      <w:tblPr>
        <w:tblStyle w:val="TableGridLight"/>
        <w:tblW w:w="5000" w:type="pct"/>
        <w:tblBorders>
          <w:insideH w:val="none" w:sz="0" w:space="0" w:color="auto"/>
          <w:insideV w:val="none" w:sz="0" w:space="0" w:color="auto"/>
        </w:tblBorders>
        <w:tblLook w:val="04A0" w:firstRow="1" w:lastRow="0" w:firstColumn="1" w:lastColumn="0" w:noHBand="0" w:noVBand="1"/>
      </w:tblPr>
      <w:tblGrid>
        <w:gridCol w:w="485"/>
        <w:gridCol w:w="1360"/>
        <w:gridCol w:w="7171"/>
      </w:tblGrid>
      <w:tr w:rsidR="00252376" w:rsidRPr="00817E68" w14:paraId="7A5827AC" w14:textId="77777777" w:rsidTr="00DC7AA3">
        <w:trPr>
          <w:trHeight w:val="20"/>
        </w:trPr>
        <w:tc>
          <w:tcPr>
            <w:tcW w:w="269" w:type="pct"/>
            <w:vMerge w:val="restart"/>
            <w:tcBorders>
              <w:right w:val="single" w:sz="4" w:space="0" w:color="BFBFBF" w:themeColor="background1" w:themeShade="BF"/>
            </w:tcBorders>
            <w:shd w:val="clear" w:color="auto" w:fill="C00000"/>
            <w:textDirection w:val="btLr"/>
          </w:tcPr>
          <w:p w14:paraId="2E612452"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r w:rsidRPr="00014045">
              <w:rPr>
                <w:rFonts w:cstheme="minorHAnsi"/>
                <w:b/>
                <w:color w:val="FFFFFF" w:themeColor="background1"/>
                <w:sz w:val="21"/>
                <w:szCs w:val="20"/>
                <w:lang w:val="en-AU"/>
              </w:rPr>
              <w:t>Cross cutting: Alcohol</w:t>
            </w:r>
          </w:p>
        </w:tc>
        <w:tc>
          <w:tcPr>
            <w:tcW w:w="754" w:type="pct"/>
            <w:tcBorders>
              <w:top w:val="single" w:sz="4" w:space="0" w:color="BFBFBF" w:themeColor="background1" w:themeShade="BF"/>
              <w:left w:val="single" w:sz="4" w:space="0" w:color="BFBFBF" w:themeColor="background1" w:themeShade="BF"/>
              <w:bottom w:val="nil"/>
            </w:tcBorders>
          </w:tcPr>
          <w:p w14:paraId="5FBB1935" w14:textId="77777777" w:rsidR="00252376" w:rsidRPr="00EA3053" w:rsidRDefault="00252376" w:rsidP="00252376">
            <w:pPr>
              <w:spacing w:before="0"/>
              <w:rPr>
                <w:rFonts w:cstheme="minorHAnsi"/>
                <w:b/>
                <w:i/>
                <w:color w:val="000000" w:themeColor="text1"/>
                <w:sz w:val="18"/>
                <w:szCs w:val="18"/>
                <w:lang w:val="en-AU"/>
              </w:rPr>
            </w:pPr>
            <w:r w:rsidRPr="00EA3053">
              <w:rPr>
                <w:rFonts w:cstheme="minorHAnsi"/>
                <w:b/>
                <w:i/>
                <w:sz w:val="18"/>
                <w:szCs w:val="18"/>
                <w:lang w:val="en-AU"/>
              </w:rPr>
              <w:t>Objective 2</w:t>
            </w:r>
            <w:r>
              <w:rPr>
                <w:rFonts w:cstheme="minorHAnsi"/>
                <w:b/>
                <w:i/>
                <w:sz w:val="18"/>
                <w:szCs w:val="18"/>
                <w:lang w:val="en-AU"/>
              </w:rPr>
              <w:t>2</w:t>
            </w:r>
          </w:p>
        </w:tc>
        <w:tc>
          <w:tcPr>
            <w:tcW w:w="3977" w:type="pct"/>
            <w:tcBorders>
              <w:top w:val="single" w:sz="4" w:space="0" w:color="BFBFBF" w:themeColor="background1" w:themeShade="BF"/>
              <w:bottom w:val="nil"/>
            </w:tcBorders>
          </w:tcPr>
          <w:p w14:paraId="27C2E1AB" w14:textId="4950DB6C" w:rsidR="00252376" w:rsidRPr="00252376" w:rsidRDefault="00252376" w:rsidP="00252376">
            <w:pPr>
              <w:pStyle w:val="Numberedtable"/>
              <w:numPr>
                <w:ilvl w:val="0"/>
                <w:numId w:val="0"/>
              </w:numPr>
              <w:rPr>
                <w:rFonts w:asciiTheme="minorHAnsi" w:hAnsiTheme="minorHAnsi" w:cstheme="minorHAnsi"/>
                <w:sz w:val="21"/>
                <w:szCs w:val="21"/>
                <w:lang w:val="en-AU"/>
              </w:rPr>
            </w:pPr>
            <w:r w:rsidRPr="00252376">
              <w:rPr>
                <w:rFonts w:asciiTheme="minorHAnsi" w:hAnsiTheme="minorHAnsi" w:cstheme="minorHAnsi"/>
                <w:color w:val="auto"/>
                <w:sz w:val="21"/>
                <w:szCs w:val="21"/>
                <w:lang w:val="en-AU"/>
              </w:rPr>
              <w:t xml:space="preserve">Reduce </w:t>
            </w:r>
            <w:r w:rsidRPr="00252376">
              <w:rPr>
                <w:rFonts w:asciiTheme="minorHAnsi" w:hAnsiTheme="minorHAnsi" w:cstheme="minorHAnsi"/>
                <w:sz w:val="21"/>
                <w:szCs w:val="21"/>
                <w:lang w:val="en-AU"/>
              </w:rPr>
              <w:t>alcohol</w:t>
            </w:r>
            <w:r w:rsidRPr="00252376">
              <w:rPr>
                <w:rFonts w:asciiTheme="minorHAnsi" w:hAnsiTheme="minorHAnsi" w:cstheme="minorHAnsi"/>
                <w:color w:val="auto"/>
                <w:sz w:val="21"/>
                <w:szCs w:val="21"/>
                <w:lang w:val="en-AU"/>
              </w:rPr>
              <w:t>-related harm</w:t>
            </w:r>
            <w:r w:rsidR="00A36BBA">
              <w:rPr>
                <w:rFonts w:asciiTheme="minorHAnsi" w:hAnsiTheme="minorHAnsi" w:cstheme="minorHAnsi"/>
                <w:color w:val="auto"/>
                <w:sz w:val="21"/>
                <w:szCs w:val="21"/>
                <w:lang w:val="en-AU"/>
              </w:rPr>
              <w:t xml:space="preserve"> through reduced exposure</w:t>
            </w:r>
          </w:p>
        </w:tc>
      </w:tr>
      <w:tr w:rsidR="00252376" w:rsidRPr="00817E68" w14:paraId="362BA96E" w14:textId="77777777" w:rsidTr="00DC7AA3">
        <w:trPr>
          <w:trHeight w:val="20"/>
        </w:trPr>
        <w:tc>
          <w:tcPr>
            <w:tcW w:w="269" w:type="pct"/>
            <w:vMerge/>
            <w:tcBorders>
              <w:right w:val="single" w:sz="4" w:space="0" w:color="BFBFBF" w:themeColor="background1" w:themeShade="BF"/>
            </w:tcBorders>
            <w:shd w:val="clear" w:color="auto" w:fill="C00000"/>
            <w:textDirection w:val="btLr"/>
          </w:tcPr>
          <w:p w14:paraId="22F6E76C"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nil"/>
              <w:left w:val="single" w:sz="4" w:space="0" w:color="BFBFBF" w:themeColor="background1" w:themeShade="BF"/>
              <w:bottom w:val="nil"/>
            </w:tcBorders>
          </w:tcPr>
          <w:p w14:paraId="7518F079"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58CE54C8" w14:textId="77777777" w:rsidR="00252376" w:rsidRPr="00817E68" w:rsidRDefault="00252376" w:rsidP="00252376">
            <w:pPr>
              <w:spacing w:before="0"/>
              <w:rPr>
                <w:rFonts w:cstheme="minorHAnsi"/>
                <w:i/>
                <w:color w:val="000000" w:themeColor="text1"/>
                <w:sz w:val="18"/>
                <w:szCs w:val="18"/>
                <w:lang w:val="en-AU"/>
              </w:rPr>
            </w:pPr>
          </w:p>
        </w:tc>
        <w:tc>
          <w:tcPr>
            <w:tcW w:w="3977" w:type="pct"/>
            <w:tcBorders>
              <w:top w:val="nil"/>
              <w:bottom w:val="nil"/>
            </w:tcBorders>
          </w:tcPr>
          <w:p w14:paraId="7E975C30" w14:textId="77777777" w:rsidR="00252376" w:rsidRPr="00252376" w:rsidRDefault="00252376" w:rsidP="007D5286">
            <w:pPr>
              <w:pStyle w:val="TableNBullet"/>
              <w:numPr>
                <w:ilvl w:val="0"/>
                <w:numId w:val="74"/>
              </w:numPr>
              <w:rPr>
                <w:rFonts w:cstheme="minorHAnsi"/>
                <w:szCs w:val="21"/>
                <w:lang w:val="en-AU"/>
              </w:rPr>
            </w:pPr>
            <w:r w:rsidRPr="00252376">
              <w:rPr>
                <w:rFonts w:cstheme="minorHAnsi"/>
                <w:szCs w:val="21"/>
                <w:lang w:val="en-AU"/>
              </w:rPr>
              <w:t>Increase effective controls on alcohol availability, price and promotion to protect at-risk groups including youth.</w:t>
            </w:r>
          </w:p>
          <w:p w14:paraId="0FB88DFC" w14:textId="77777777" w:rsidR="00252376" w:rsidRPr="00252376" w:rsidRDefault="00252376" w:rsidP="007D5286">
            <w:pPr>
              <w:pStyle w:val="TableNBullet"/>
              <w:numPr>
                <w:ilvl w:val="0"/>
                <w:numId w:val="74"/>
              </w:numPr>
              <w:rPr>
                <w:rFonts w:cstheme="minorHAnsi"/>
                <w:color w:val="000000" w:themeColor="text1"/>
                <w:szCs w:val="21"/>
                <w:lang w:val="en-AU"/>
              </w:rPr>
            </w:pPr>
            <w:r w:rsidRPr="00252376">
              <w:rPr>
                <w:rFonts w:cstheme="minorHAnsi"/>
                <w:szCs w:val="21"/>
                <w:lang w:val="en-AU"/>
              </w:rPr>
              <w:t>Implement regulatory measures to reduce alcohol advertising exposure to young people (including in sport and online).</w:t>
            </w:r>
          </w:p>
        </w:tc>
      </w:tr>
      <w:tr w:rsidR="00252376" w:rsidRPr="00740699" w14:paraId="3A476520" w14:textId="77777777" w:rsidTr="00DC7AA3">
        <w:trPr>
          <w:trHeight w:val="20"/>
        </w:trPr>
        <w:tc>
          <w:tcPr>
            <w:tcW w:w="269" w:type="pct"/>
            <w:vMerge/>
            <w:tcBorders>
              <w:right w:val="single" w:sz="4" w:space="0" w:color="BFBFBF" w:themeColor="background1" w:themeShade="BF"/>
            </w:tcBorders>
            <w:shd w:val="clear" w:color="auto" w:fill="C00000"/>
            <w:textDirection w:val="btLr"/>
          </w:tcPr>
          <w:p w14:paraId="440FB33B"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nil"/>
              <w:left w:val="single" w:sz="4" w:space="0" w:color="BFBFBF" w:themeColor="background1" w:themeShade="BF"/>
              <w:bottom w:val="single" w:sz="4" w:space="0" w:color="BFBFBF" w:themeColor="background1" w:themeShade="BF"/>
            </w:tcBorders>
          </w:tcPr>
          <w:p w14:paraId="295BC935"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3977" w:type="pct"/>
            <w:tcBorders>
              <w:top w:val="nil"/>
              <w:bottom w:val="single" w:sz="4" w:space="0" w:color="BFBFBF" w:themeColor="background1" w:themeShade="BF"/>
            </w:tcBorders>
          </w:tcPr>
          <w:p w14:paraId="4142C9E0" w14:textId="77777777" w:rsidR="00252376" w:rsidRPr="00252376" w:rsidRDefault="00252376" w:rsidP="00252376">
            <w:pPr>
              <w:spacing w:before="0"/>
              <w:rPr>
                <w:rFonts w:cstheme="minorHAnsi"/>
                <w:b/>
                <w:sz w:val="21"/>
                <w:szCs w:val="21"/>
                <w:lang w:val="en-AU"/>
              </w:rPr>
            </w:pPr>
            <w:r w:rsidRPr="00252376">
              <w:rPr>
                <w:rFonts w:cstheme="minorHAnsi"/>
                <w:i/>
                <w:sz w:val="21"/>
                <w:szCs w:val="21"/>
                <w:lang w:val="en-AU" w:eastAsia="en-AU"/>
              </w:rPr>
              <w:t>State and territory departments of health (State and territory departments of education, police, community organisations)</w:t>
            </w:r>
          </w:p>
        </w:tc>
      </w:tr>
      <w:tr w:rsidR="00252376" w:rsidRPr="00740699" w14:paraId="683089FD" w14:textId="77777777" w:rsidTr="00DC7AA3">
        <w:trPr>
          <w:trHeight w:val="20"/>
        </w:trPr>
        <w:tc>
          <w:tcPr>
            <w:tcW w:w="269" w:type="pct"/>
            <w:vMerge/>
            <w:tcBorders>
              <w:right w:val="single" w:sz="4" w:space="0" w:color="BFBFBF" w:themeColor="background1" w:themeShade="BF"/>
            </w:tcBorders>
            <w:shd w:val="clear" w:color="auto" w:fill="C00000"/>
            <w:textDirection w:val="btLr"/>
          </w:tcPr>
          <w:p w14:paraId="5FFF52CA"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single" w:sz="4" w:space="0" w:color="BFBFBF" w:themeColor="background1" w:themeShade="BF"/>
              <w:left w:val="single" w:sz="4" w:space="0" w:color="BFBFBF" w:themeColor="background1" w:themeShade="BF"/>
              <w:bottom w:val="nil"/>
            </w:tcBorders>
          </w:tcPr>
          <w:p w14:paraId="61180B3D" w14:textId="77777777" w:rsidR="00252376" w:rsidRPr="00817E68" w:rsidRDefault="00252376" w:rsidP="00252376">
            <w:pPr>
              <w:spacing w:before="0"/>
              <w:rPr>
                <w:rFonts w:cstheme="minorHAnsi"/>
                <w:i/>
                <w:sz w:val="18"/>
                <w:szCs w:val="18"/>
                <w:lang w:val="en-AU"/>
              </w:rPr>
            </w:pPr>
            <w:r w:rsidRPr="00EA3053">
              <w:rPr>
                <w:rFonts w:cstheme="minorHAnsi"/>
                <w:b/>
                <w:i/>
                <w:sz w:val="18"/>
                <w:szCs w:val="18"/>
                <w:lang w:val="en-AU"/>
              </w:rPr>
              <w:t>Objective 2</w:t>
            </w:r>
            <w:r>
              <w:rPr>
                <w:rFonts w:cstheme="minorHAnsi"/>
                <w:b/>
                <w:i/>
                <w:sz w:val="18"/>
                <w:szCs w:val="18"/>
                <w:lang w:val="en-AU"/>
              </w:rPr>
              <w:t>3</w:t>
            </w:r>
          </w:p>
        </w:tc>
        <w:tc>
          <w:tcPr>
            <w:tcW w:w="3977" w:type="pct"/>
            <w:tcBorders>
              <w:top w:val="single" w:sz="4" w:space="0" w:color="BFBFBF" w:themeColor="background1" w:themeShade="BF"/>
              <w:bottom w:val="nil"/>
            </w:tcBorders>
          </w:tcPr>
          <w:p w14:paraId="727406AA" w14:textId="77777777" w:rsidR="00252376" w:rsidRPr="00252376" w:rsidRDefault="00252376" w:rsidP="00252376">
            <w:pPr>
              <w:spacing w:before="0"/>
              <w:rPr>
                <w:rFonts w:cstheme="minorHAnsi"/>
                <w:b/>
                <w:sz w:val="21"/>
                <w:szCs w:val="21"/>
                <w:lang w:val="en-AU"/>
              </w:rPr>
            </w:pPr>
            <w:r w:rsidRPr="00252376">
              <w:rPr>
                <w:rFonts w:cstheme="minorHAnsi"/>
                <w:b/>
                <w:sz w:val="21"/>
                <w:szCs w:val="21"/>
                <w:lang w:val="en-AU"/>
              </w:rPr>
              <w:t>Reduce acceptance of ‘alcohol culture’ that encourages excessive consumption</w:t>
            </w:r>
          </w:p>
        </w:tc>
      </w:tr>
      <w:tr w:rsidR="00252376" w:rsidRPr="00740699" w14:paraId="23D35478" w14:textId="77777777" w:rsidTr="00DC7AA3">
        <w:trPr>
          <w:trHeight w:val="20"/>
        </w:trPr>
        <w:tc>
          <w:tcPr>
            <w:tcW w:w="269" w:type="pct"/>
            <w:vMerge/>
            <w:tcBorders>
              <w:right w:val="single" w:sz="4" w:space="0" w:color="BFBFBF" w:themeColor="background1" w:themeShade="BF"/>
            </w:tcBorders>
            <w:shd w:val="clear" w:color="auto" w:fill="C00000"/>
            <w:textDirection w:val="btLr"/>
          </w:tcPr>
          <w:p w14:paraId="292A8DD9"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nil"/>
              <w:left w:val="single" w:sz="4" w:space="0" w:color="BFBFBF" w:themeColor="background1" w:themeShade="BF"/>
              <w:bottom w:val="nil"/>
            </w:tcBorders>
          </w:tcPr>
          <w:p w14:paraId="609076A0"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2123CC31" w14:textId="77777777" w:rsidR="00252376" w:rsidRPr="00817E68" w:rsidRDefault="00252376" w:rsidP="00252376">
            <w:pPr>
              <w:spacing w:before="0"/>
              <w:rPr>
                <w:rFonts w:cstheme="minorHAnsi"/>
                <w:i/>
                <w:sz w:val="18"/>
                <w:szCs w:val="18"/>
                <w:lang w:val="en-AU"/>
              </w:rPr>
            </w:pPr>
          </w:p>
        </w:tc>
        <w:tc>
          <w:tcPr>
            <w:tcW w:w="3977" w:type="pct"/>
            <w:tcBorders>
              <w:top w:val="nil"/>
              <w:bottom w:val="nil"/>
            </w:tcBorders>
          </w:tcPr>
          <w:p w14:paraId="755D3523" w14:textId="77777777" w:rsidR="00252376" w:rsidRPr="00252376" w:rsidRDefault="00252376" w:rsidP="007D5286">
            <w:pPr>
              <w:pStyle w:val="TableNBullet"/>
              <w:numPr>
                <w:ilvl w:val="0"/>
                <w:numId w:val="75"/>
              </w:numPr>
              <w:rPr>
                <w:rFonts w:cstheme="minorHAnsi"/>
                <w:szCs w:val="21"/>
                <w:lang w:val="en-AU"/>
              </w:rPr>
            </w:pPr>
            <w:r w:rsidRPr="00252376">
              <w:rPr>
                <w:rFonts w:cstheme="minorHAnsi"/>
                <w:szCs w:val="21"/>
                <w:lang w:val="en-AU"/>
              </w:rPr>
              <w:t>Reduce or remove alcohol advertising in settings that may be associated with increased risk of alcohol-related violence, e.g. sporting events.</w:t>
            </w:r>
          </w:p>
          <w:p w14:paraId="13CC688B" w14:textId="77777777" w:rsidR="00252376" w:rsidRPr="00252376" w:rsidRDefault="00252376" w:rsidP="007D5286">
            <w:pPr>
              <w:pStyle w:val="ListParagraph"/>
              <w:numPr>
                <w:ilvl w:val="0"/>
                <w:numId w:val="75"/>
              </w:numPr>
              <w:spacing w:before="0"/>
              <w:rPr>
                <w:rFonts w:cstheme="minorHAnsi"/>
                <w:i/>
                <w:sz w:val="21"/>
                <w:szCs w:val="21"/>
                <w:lang w:val="en-AU" w:eastAsia="en-AU"/>
              </w:rPr>
            </w:pPr>
            <w:r w:rsidRPr="00252376">
              <w:rPr>
                <w:rFonts w:cstheme="minorHAnsi"/>
                <w:sz w:val="21"/>
                <w:szCs w:val="21"/>
                <w:lang w:val="en-AU"/>
              </w:rPr>
              <w:t>Promote television program and advertising standards of reporting or even glamorising alcohol consumption</w:t>
            </w:r>
          </w:p>
        </w:tc>
      </w:tr>
      <w:tr w:rsidR="00252376" w:rsidRPr="00740699" w14:paraId="465B21FE" w14:textId="77777777" w:rsidTr="00DC7AA3">
        <w:trPr>
          <w:trHeight w:val="20"/>
        </w:trPr>
        <w:tc>
          <w:tcPr>
            <w:tcW w:w="269" w:type="pct"/>
            <w:vMerge/>
            <w:tcBorders>
              <w:right w:val="single" w:sz="4" w:space="0" w:color="BFBFBF" w:themeColor="background1" w:themeShade="BF"/>
            </w:tcBorders>
            <w:shd w:val="clear" w:color="auto" w:fill="C00000"/>
            <w:textDirection w:val="btLr"/>
          </w:tcPr>
          <w:p w14:paraId="7D5C4D5E"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nil"/>
              <w:left w:val="single" w:sz="4" w:space="0" w:color="BFBFBF" w:themeColor="background1" w:themeShade="BF"/>
              <w:bottom w:val="single" w:sz="4" w:space="0" w:color="BFBFBF" w:themeColor="background1" w:themeShade="BF"/>
            </w:tcBorders>
          </w:tcPr>
          <w:p w14:paraId="5910FDD1"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3977" w:type="pct"/>
            <w:tcBorders>
              <w:top w:val="nil"/>
              <w:bottom w:val="single" w:sz="4" w:space="0" w:color="BFBFBF" w:themeColor="background1" w:themeShade="BF"/>
            </w:tcBorders>
          </w:tcPr>
          <w:p w14:paraId="7BE61FB3" w14:textId="77777777" w:rsidR="00252376" w:rsidRPr="00252376" w:rsidRDefault="00252376" w:rsidP="00252376">
            <w:pPr>
              <w:spacing w:before="0"/>
              <w:rPr>
                <w:rFonts w:cstheme="minorHAnsi"/>
                <w:i/>
                <w:sz w:val="21"/>
                <w:szCs w:val="21"/>
                <w:lang w:val="en-AU" w:eastAsia="en-AU"/>
              </w:rPr>
            </w:pPr>
            <w:r w:rsidRPr="00252376">
              <w:rPr>
                <w:rFonts w:cstheme="minorHAnsi"/>
                <w:i/>
                <w:sz w:val="21"/>
                <w:szCs w:val="21"/>
                <w:lang w:val="en-AU" w:eastAsia="en-AU"/>
              </w:rPr>
              <w:t>National, state and territory departments of health (State departments relating to sport, sporting peak organisation and bodies)</w:t>
            </w:r>
          </w:p>
        </w:tc>
      </w:tr>
      <w:tr w:rsidR="00252376" w:rsidRPr="00740699" w14:paraId="342746CD" w14:textId="77777777" w:rsidTr="00DC7AA3">
        <w:trPr>
          <w:trHeight w:val="20"/>
        </w:trPr>
        <w:tc>
          <w:tcPr>
            <w:tcW w:w="269" w:type="pct"/>
            <w:vMerge/>
            <w:tcBorders>
              <w:right w:val="single" w:sz="4" w:space="0" w:color="BFBFBF" w:themeColor="background1" w:themeShade="BF"/>
            </w:tcBorders>
            <w:shd w:val="clear" w:color="auto" w:fill="C00000"/>
            <w:textDirection w:val="btLr"/>
          </w:tcPr>
          <w:p w14:paraId="3133F2CD"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single" w:sz="4" w:space="0" w:color="BFBFBF" w:themeColor="background1" w:themeShade="BF"/>
              <w:left w:val="single" w:sz="4" w:space="0" w:color="BFBFBF" w:themeColor="background1" w:themeShade="BF"/>
              <w:bottom w:val="nil"/>
            </w:tcBorders>
          </w:tcPr>
          <w:p w14:paraId="30F68109" w14:textId="77777777" w:rsidR="00252376" w:rsidRPr="00817E68" w:rsidRDefault="00252376" w:rsidP="00252376">
            <w:pPr>
              <w:spacing w:before="0"/>
              <w:rPr>
                <w:rFonts w:cstheme="minorHAnsi"/>
                <w:i/>
                <w:sz w:val="18"/>
                <w:szCs w:val="18"/>
                <w:lang w:val="en-AU"/>
              </w:rPr>
            </w:pPr>
            <w:r w:rsidRPr="00EA3053">
              <w:rPr>
                <w:rFonts w:cstheme="minorHAnsi"/>
                <w:b/>
                <w:i/>
                <w:sz w:val="18"/>
                <w:szCs w:val="18"/>
                <w:lang w:val="en-AU"/>
              </w:rPr>
              <w:t>Objective 2</w:t>
            </w:r>
            <w:r>
              <w:rPr>
                <w:rFonts w:cstheme="minorHAnsi"/>
                <w:b/>
                <w:i/>
                <w:sz w:val="18"/>
                <w:szCs w:val="18"/>
                <w:lang w:val="en-AU"/>
              </w:rPr>
              <w:t>4</w:t>
            </w:r>
          </w:p>
        </w:tc>
        <w:tc>
          <w:tcPr>
            <w:tcW w:w="3977" w:type="pct"/>
            <w:tcBorders>
              <w:top w:val="single" w:sz="4" w:space="0" w:color="BFBFBF" w:themeColor="background1" w:themeShade="BF"/>
              <w:bottom w:val="nil"/>
            </w:tcBorders>
          </w:tcPr>
          <w:p w14:paraId="7BC0F295" w14:textId="77777777" w:rsidR="00252376" w:rsidRPr="00252376" w:rsidRDefault="00252376" w:rsidP="00252376">
            <w:pPr>
              <w:spacing w:before="0"/>
              <w:rPr>
                <w:rFonts w:cstheme="minorHAnsi"/>
                <w:i/>
                <w:sz w:val="21"/>
                <w:szCs w:val="21"/>
                <w:lang w:val="en-AU" w:eastAsia="en-AU"/>
              </w:rPr>
            </w:pPr>
            <w:r w:rsidRPr="00252376">
              <w:rPr>
                <w:rFonts w:cstheme="minorHAnsi"/>
                <w:b/>
                <w:sz w:val="21"/>
                <w:szCs w:val="21"/>
                <w:lang w:val="en-AU"/>
              </w:rPr>
              <w:t>Reduce alcohol-related injuries among those who drink at levels above the recommended guidelines</w:t>
            </w:r>
          </w:p>
        </w:tc>
      </w:tr>
      <w:tr w:rsidR="00252376" w:rsidRPr="00740699" w14:paraId="189F0001" w14:textId="77777777" w:rsidTr="00DC7AA3">
        <w:trPr>
          <w:trHeight w:val="20"/>
        </w:trPr>
        <w:tc>
          <w:tcPr>
            <w:tcW w:w="269" w:type="pct"/>
            <w:vMerge/>
            <w:tcBorders>
              <w:right w:val="single" w:sz="4" w:space="0" w:color="BFBFBF" w:themeColor="background1" w:themeShade="BF"/>
            </w:tcBorders>
            <w:shd w:val="clear" w:color="auto" w:fill="C00000"/>
            <w:textDirection w:val="btLr"/>
          </w:tcPr>
          <w:p w14:paraId="61D3E5EF"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nil"/>
              <w:left w:val="single" w:sz="4" w:space="0" w:color="BFBFBF" w:themeColor="background1" w:themeShade="BF"/>
              <w:bottom w:val="nil"/>
            </w:tcBorders>
          </w:tcPr>
          <w:p w14:paraId="1928FC42"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5462422C" w14:textId="77777777" w:rsidR="00252376" w:rsidRPr="00817E68" w:rsidRDefault="00252376" w:rsidP="00252376">
            <w:pPr>
              <w:spacing w:before="0"/>
              <w:rPr>
                <w:rFonts w:cstheme="minorHAnsi"/>
                <w:i/>
                <w:sz w:val="18"/>
                <w:szCs w:val="18"/>
                <w:lang w:val="en-AU"/>
              </w:rPr>
            </w:pPr>
          </w:p>
        </w:tc>
        <w:tc>
          <w:tcPr>
            <w:tcW w:w="3977" w:type="pct"/>
            <w:tcBorders>
              <w:top w:val="nil"/>
              <w:bottom w:val="nil"/>
            </w:tcBorders>
          </w:tcPr>
          <w:p w14:paraId="589175CA" w14:textId="77777777" w:rsidR="00252376" w:rsidRPr="00252376" w:rsidRDefault="00252376" w:rsidP="007D5286">
            <w:pPr>
              <w:pStyle w:val="TableNBullet"/>
              <w:numPr>
                <w:ilvl w:val="0"/>
                <w:numId w:val="38"/>
              </w:numPr>
              <w:rPr>
                <w:rFonts w:cstheme="minorHAnsi"/>
                <w:szCs w:val="21"/>
                <w:lang w:val="en-AU"/>
              </w:rPr>
            </w:pPr>
            <w:r w:rsidRPr="00252376">
              <w:rPr>
                <w:rFonts w:cstheme="minorHAnsi"/>
                <w:szCs w:val="21"/>
                <w:lang w:val="en-AU"/>
              </w:rPr>
              <w:t xml:space="preserve">Support brief interventions in primary care settings to reduce alcohol-related injury. </w:t>
            </w:r>
          </w:p>
          <w:p w14:paraId="5F609E1F" w14:textId="518885C3" w:rsidR="00252376" w:rsidRPr="00252376" w:rsidRDefault="00252376" w:rsidP="007D5286">
            <w:pPr>
              <w:pStyle w:val="TableNBullet"/>
              <w:numPr>
                <w:ilvl w:val="0"/>
                <w:numId w:val="38"/>
              </w:numPr>
              <w:rPr>
                <w:rFonts w:cstheme="minorHAnsi"/>
                <w:szCs w:val="21"/>
                <w:lang w:val="en-AU"/>
              </w:rPr>
            </w:pPr>
            <w:r w:rsidRPr="00252376">
              <w:rPr>
                <w:rFonts w:cstheme="minorHAnsi"/>
                <w:szCs w:val="21"/>
                <w:lang w:val="en-AU"/>
              </w:rPr>
              <w:t>Increase roadside drug testing in all states and territories.</w:t>
            </w:r>
          </w:p>
        </w:tc>
      </w:tr>
      <w:tr w:rsidR="00252376" w:rsidRPr="00740699" w14:paraId="1408D466" w14:textId="77777777" w:rsidTr="00DC7AA3">
        <w:trPr>
          <w:trHeight w:val="20"/>
        </w:trPr>
        <w:tc>
          <w:tcPr>
            <w:tcW w:w="269" w:type="pct"/>
            <w:vMerge/>
            <w:tcBorders>
              <w:bottom w:val="single" w:sz="4" w:space="0" w:color="BFBFBF" w:themeColor="background1" w:themeShade="BF"/>
              <w:right w:val="single" w:sz="4" w:space="0" w:color="BFBFBF" w:themeColor="background1" w:themeShade="BF"/>
            </w:tcBorders>
            <w:shd w:val="clear" w:color="auto" w:fill="C00000"/>
            <w:textDirection w:val="btLr"/>
          </w:tcPr>
          <w:p w14:paraId="26CFD9B1"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nil"/>
              <w:left w:val="single" w:sz="4" w:space="0" w:color="BFBFBF" w:themeColor="background1" w:themeShade="BF"/>
              <w:bottom w:val="single" w:sz="4" w:space="0" w:color="BFBFBF" w:themeColor="background1" w:themeShade="BF"/>
            </w:tcBorders>
          </w:tcPr>
          <w:p w14:paraId="0EDF1F0A"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3977" w:type="pct"/>
            <w:tcBorders>
              <w:top w:val="nil"/>
              <w:bottom w:val="single" w:sz="4" w:space="0" w:color="BFBFBF" w:themeColor="background1" w:themeShade="BF"/>
            </w:tcBorders>
          </w:tcPr>
          <w:p w14:paraId="20B67DE7" w14:textId="77777777" w:rsidR="00252376" w:rsidRPr="00252376" w:rsidRDefault="00252376" w:rsidP="00252376">
            <w:pPr>
              <w:spacing w:before="0"/>
              <w:rPr>
                <w:rFonts w:cstheme="minorHAnsi"/>
                <w:i/>
                <w:sz w:val="21"/>
                <w:szCs w:val="21"/>
                <w:lang w:val="en-AU" w:eastAsia="en-AU"/>
              </w:rPr>
            </w:pPr>
            <w:r w:rsidRPr="00252376">
              <w:rPr>
                <w:rFonts w:cstheme="minorHAnsi"/>
                <w:i/>
                <w:sz w:val="21"/>
                <w:szCs w:val="21"/>
                <w:lang w:val="en-AU" w:eastAsia="en-AU"/>
              </w:rPr>
              <w:t>National, state and territory departments of health</w:t>
            </w:r>
          </w:p>
        </w:tc>
      </w:tr>
      <w:tr w:rsidR="00252376" w:rsidRPr="009A6F15" w14:paraId="71970B32" w14:textId="77777777" w:rsidTr="00DC7AA3">
        <w:trPr>
          <w:trHeight w:val="20"/>
        </w:trPr>
        <w:tc>
          <w:tcPr>
            <w:tcW w:w="269" w:type="pct"/>
            <w:vMerge w:val="restart"/>
            <w:tcBorders>
              <w:top w:val="single" w:sz="4" w:space="0" w:color="BFBFBF" w:themeColor="background1" w:themeShade="BF"/>
              <w:bottom w:val="nil"/>
            </w:tcBorders>
            <w:shd w:val="clear" w:color="auto" w:fill="FFE599" w:themeFill="accent4" w:themeFillTint="66"/>
            <w:textDirection w:val="btLr"/>
          </w:tcPr>
          <w:p w14:paraId="31C8F97D" w14:textId="77777777" w:rsidR="00252376" w:rsidRPr="00F62D45" w:rsidRDefault="00252376" w:rsidP="00252376">
            <w:pPr>
              <w:spacing w:before="0"/>
              <w:ind w:left="113" w:right="113"/>
              <w:contextualSpacing/>
              <w:jc w:val="center"/>
              <w:rPr>
                <w:rFonts w:cstheme="minorHAnsi"/>
                <w:b/>
                <w:color w:val="000000" w:themeColor="text1"/>
                <w:sz w:val="21"/>
                <w:szCs w:val="20"/>
                <w:lang w:val="en-AU"/>
              </w:rPr>
            </w:pPr>
            <w:r w:rsidRPr="00F62D45">
              <w:rPr>
                <w:rFonts w:cstheme="minorHAnsi"/>
                <w:b/>
                <w:color w:val="000000" w:themeColor="text1"/>
                <w:sz w:val="21"/>
                <w:szCs w:val="20"/>
                <w:lang w:val="en-AU"/>
              </w:rPr>
              <w:t>Determinants of injury</w:t>
            </w:r>
          </w:p>
        </w:tc>
        <w:tc>
          <w:tcPr>
            <w:tcW w:w="754" w:type="pct"/>
            <w:tcBorders>
              <w:top w:val="single" w:sz="4" w:space="0" w:color="BFBFBF" w:themeColor="background1" w:themeShade="BF"/>
              <w:bottom w:val="nil"/>
            </w:tcBorders>
          </w:tcPr>
          <w:p w14:paraId="0617FF3D" w14:textId="77777777" w:rsidR="00252376" w:rsidRPr="00BF67AD" w:rsidRDefault="00252376" w:rsidP="00252376">
            <w:pPr>
              <w:spacing w:before="0"/>
              <w:rPr>
                <w:rFonts w:cstheme="minorHAnsi"/>
                <w:b/>
                <w:i/>
                <w:sz w:val="18"/>
                <w:szCs w:val="18"/>
                <w:lang w:val="en-AU"/>
              </w:rPr>
            </w:pPr>
            <w:r w:rsidRPr="00EA3053">
              <w:rPr>
                <w:rFonts w:cstheme="minorHAnsi"/>
                <w:b/>
                <w:i/>
                <w:sz w:val="18"/>
                <w:szCs w:val="18"/>
                <w:lang w:val="en-AU"/>
              </w:rPr>
              <w:t>Objective 20</w:t>
            </w:r>
          </w:p>
        </w:tc>
        <w:tc>
          <w:tcPr>
            <w:tcW w:w="3977" w:type="pct"/>
            <w:tcBorders>
              <w:top w:val="single" w:sz="4" w:space="0" w:color="BFBFBF" w:themeColor="background1" w:themeShade="BF"/>
              <w:bottom w:val="nil"/>
            </w:tcBorders>
          </w:tcPr>
          <w:p w14:paraId="61A77DEE" w14:textId="77777777" w:rsidR="00252376" w:rsidRPr="00252376" w:rsidRDefault="00252376" w:rsidP="00252376">
            <w:pPr>
              <w:spacing w:before="0"/>
              <w:rPr>
                <w:b/>
                <w:sz w:val="21"/>
                <w:szCs w:val="21"/>
                <w:lang w:val="en-AU"/>
              </w:rPr>
            </w:pPr>
            <w:r w:rsidRPr="00252376">
              <w:rPr>
                <w:rFonts w:cstheme="minorHAnsi"/>
                <w:b/>
                <w:sz w:val="21"/>
                <w:szCs w:val="21"/>
                <w:lang w:val="en-AU"/>
              </w:rPr>
              <w:t>Reduce the use of alcohol, and related harms of alcohol, during pregnancy</w:t>
            </w:r>
          </w:p>
        </w:tc>
      </w:tr>
      <w:tr w:rsidR="00252376" w:rsidRPr="00817E68" w14:paraId="7FE12EF1" w14:textId="77777777" w:rsidTr="00DC7AA3">
        <w:trPr>
          <w:trHeight w:val="20"/>
        </w:trPr>
        <w:tc>
          <w:tcPr>
            <w:tcW w:w="269" w:type="pct"/>
            <w:vMerge/>
            <w:tcBorders>
              <w:top w:val="nil"/>
              <w:bottom w:val="nil"/>
            </w:tcBorders>
            <w:shd w:val="clear" w:color="auto" w:fill="FFE599" w:themeFill="accent4" w:themeFillTint="66"/>
            <w:textDirection w:val="btLr"/>
          </w:tcPr>
          <w:p w14:paraId="4A95610B" w14:textId="77777777" w:rsidR="00252376" w:rsidRPr="00F62D45" w:rsidRDefault="00252376" w:rsidP="00252376">
            <w:pPr>
              <w:spacing w:before="0"/>
              <w:ind w:left="113" w:right="113"/>
              <w:contextualSpacing/>
              <w:jc w:val="center"/>
              <w:rPr>
                <w:rFonts w:cstheme="minorHAnsi"/>
                <w:b/>
                <w:color w:val="000000" w:themeColor="text1"/>
                <w:sz w:val="21"/>
                <w:szCs w:val="20"/>
                <w:lang w:val="en-AU"/>
              </w:rPr>
            </w:pPr>
          </w:p>
        </w:tc>
        <w:tc>
          <w:tcPr>
            <w:tcW w:w="754" w:type="pct"/>
            <w:tcBorders>
              <w:top w:val="nil"/>
              <w:bottom w:val="nil"/>
            </w:tcBorders>
          </w:tcPr>
          <w:p w14:paraId="5FB8C1C7"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4DEEE6E1" w14:textId="77777777" w:rsidR="00252376" w:rsidRPr="00817E68" w:rsidRDefault="00252376" w:rsidP="00252376">
            <w:pPr>
              <w:spacing w:before="0"/>
              <w:rPr>
                <w:rFonts w:cstheme="minorHAnsi"/>
                <w:i/>
                <w:color w:val="000000" w:themeColor="text1"/>
                <w:sz w:val="18"/>
                <w:szCs w:val="18"/>
                <w:lang w:val="en-AU"/>
              </w:rPr>
            </w:pPr>
          </w:p>
        </w:tc>
        <w:tc>
          <w:tcPr>
            <w:tcW w:w="3977" w:type="pct"/>
            <w:tcBorders>
              <w:top w:val="nil"/>
              <w:bottom w:val="nil"/>
            </w:tcBorders>
          </w:tcPr>
          <w:p w14:paraId="611C1BAE" w14:textId="4844C403" w:rsidR="00252376" w:rsidRPr="00252376" w:rsidRDefault="005A4779" w:rsidP="007D5286">
            <w:pPr>
              <w:pStyle w:val="TableNBullet"/>
              <w:numPr>
                <w:ilvl w:val="0"/>
                <w:numId w:val="73"/>
              </w:numPr>
              <w:rPr>
                <w:rFonts w:cstheme="minorHAnsi"/>
                <w:szCs w:val="21"/>
                <w:lang w:val="en-AU"/>
              </w:rPr>
            </w:pPr>
            <w:r>
              <w:rPr>
                <w:rFonts w:cstheme="minorHAnsi"/>
                <w:szCs w:val="21"/>
                <w:lang w:val="en-AU"/>
              </w:rPr>
              <w:t>Provide</w:t>
            </w:r>
            <w:r w:rsidR="00252376" w:rsidRPr="00252376">
              <w:rPr>
                <w:rFonts w:cstheme="minorHAnsi"/>
                <w:szCs w:val="21"/>
                <w:lang w:val="en-AU"/>
              </w:rPr>
              <w:t xml:space="preserve"> high-quality information, education and training/counselling during </w:t>
            </w:r>
            <w:r>
              <w:rPr>
                <w:rFonts w:cstheme="minorHAnsi"/>
                <w:szCs w:val="21"/>
                <w:lang w:val="en-AU"/>
              </w:rPr>
              <w:t xml:space="preserve">the </w:t>
            </w:r>
            <w:r w:rsidR="00252376" w:rsidRPr="00252376">
              <w:rPr>
                <w:rFonts w:cstheme="minorHAnsi"/>
                <w:szCs w:val="21"/>
                <w:lang w:val="en-AU"/>
              </w:rPr>
              <w:t>antenatal period</w:t>
            </w:r>
            <w:r>
              <w:rPr>
                <w:rFonts w:cstheme="minorHAnsi"/>
                <w:szCs w:val="21"/>
                <w:lang w:val="en-AU"/>
              </w:rPr>
              <w:t xml:space="preserve"> on alcohol and pregnancy</w:t>
            </w:r>
            <w:r w:rsidR="00252376" w:rsidRPr="00252376">
              <w:rPr>
                <w:rFonts w:cstheme="minorHAnsi"/>
                <w:szCs w:val="21"/>
                <w:lang w:val="en-AU"/>
              </w:rPr>
              <w:t xml:space="preserve">. </w:t>
            </w:r>
          </w:p>
          <w:p w14:paraId="655819C3" w14:textId="5688EDD4" w:rsidR="00252376" w:rsidRPr="00252376" w:rsidRDefault="005A4779" w:rsidP="007D5286">
            <w:pPr>
              <w:pStyle w:val="TableNBullet"/>
              <w:numPr>
                <w:ilvl w:val="0"/>
                <w:numId w:val="73"/>
              </w:numPr>
              <w:rPr>
                <w:rFonts w:cstheme="minorHAnsi"/>
                <w:szCs w:val="21"/>
                <w:lang w:val="en-AU"/>
              </w:rPr>
            </w:pPr>
            <w:r>
              <w:rPr>
                <w:rFonts w:cstheme="minorHAnsi"/>
                <w:szCs w:val="21"/>
                <w:lang w:val="en-AU"/>
              </w:rPr>
              <w:t xml:space="preserve">Support </w:t>
            </w:r>
            <w:r w:rsidR="00252376" w:rsidRPr="00252376">
              <w:rPr>
                <w:rFonts w:cstheme="minorHAnsi"/>
                <w:szCs w:val="21"/>
                <w:lang w:val="en-AU"/>
              </w:rPr>
              <w:t>delivery of proven home-based initiatives supporting parents in the antenatal and perinatal stage.</w:t>
            </w:r>
          </w:p>
        </w:tc>
      </w:tr>
      <w:tr w:rsidR="00252376" w:rsidRPr="00701DBE" w14:paraId="2C179A4F" w14:textId="77777777" w:rsidTr="00DC7AA3">
        <w:trPr>
          <w:trHeight w:val="940"/>
        </w:trPr>
        <w:tc>
          <w:tcPr>
            <w:tcW w:w="269" w:type="pct"/>
            <w:vMerge/>
            <w:tcBorders>
              <w:top w:val="nil"/>
              <w:bottom w:val="single" w:sz="4" w:space="0" w:color="BFBFBF" w:themeColor="background1" w:themeShade="BF"/>
            </w:tcBorders>
            <w:shd w:val="clear" w:color="auto" w:fill="FFE599" w:themeFill="accent4" w:themeFillTint="66"/>
            <w:textDirection w:val="btLr"/>
          </w:tcPr>
          <w:p w14:paraId="7CD2E356" w14:textId="77777777" w:rsidR="00252376" w:rsidRPr="00F62D45" w:rsidRDefault="00252376" w:rsidP="00252376">
            <w:pPr>
              <w:spacing w:before="0"/>
              <w:ind w:left="113" w:right="113"/>
              <w:contextualSpacing/>
              <w:jc w:val="center"/>
              <w:rPr>
                <w:rFonts w:cstheme="minorHAnsi"/>
                <w:b/>
                <w:color w:val="000000" w:themeColor="text1"/>
                <w:sz w:val="21"/>
                <w:szCs w:val="20"/>
                <w:lang w:val="en-AU"/>
              </w:rPr>
            </w:pPr>
          </w:p>
        </w:tc>
        <w:tc>
          <w:tcPr>
            <w:tcW w:w="754" w:type="pct"/>
            <w:tcBorders>
              <w:top w:val="nil"/>
              <w:bottom w:val="single" w:sz="4" w:space="0" w:color="BFBFBF" w:themeColor="background1" w:themeShade="BF"/>
            </w:tcBorders>
          </w:tcPr>
          <w:p w14:paraId="416849F6"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3977" w:type="pct"/>
            <w:tcBorders>
              <w:top w:val="nil"/>
              <w:bottom w:val="single" w:sz="4" w:space="0" w:color="BFBFBF" w:themeColor="background1" w:themeShade="BF"/>
            </w:tcBorders>
          </w:tcPr>
          <w:p w14:paraId="58EA359C" w14:textId="77777777" w:rsidR="00252376" w:rsidRPr="00252376" w:rsidRDefault="00252376" w:rsidP="00252376">
            <w:pPr>
              <w:pStyle w:val="Tablepartner"/>
              <w:rPr>
                <w:rFonts w:asciiTheme="minorHAnsi" w:hAnsiTheme="minorHAnsi" w:cstheme="minorHAnsi"/>
                <w:sz w:val="21"/>
                <w:szCs w:val="21"/>
                <w:lang w:val="en-AU"/>
              </w:rPr>
            </w:pPr>
            <w:r w:rsidRPr="00252376">
              <w:rPr>
                <w:rFonts w:asciiTheme="minorHAnsi" w:hAnsiTheme="minorHAnsi" w:cstheme="minorHAnsi"/>
                <w:sz w:val="21"/>
                <w:szCs w:val="21"/>
                <w:lang w:val="en-AU" w:eastAsia="en-AU"/>
              </w:rPr>
              <w:t>Department of Health; state and territory departments of health (PHNs, health districts, Aboriginal Community Controlled Organisations, NOFASD, FASD Hub, FASD Diagnostic Services)</w:t>
            </w:r>
          </w:p>
        </w:tc>
      </w:tr>
      <w:tr w:rsidR="00252376" w:rsidRPr="00701DBE" w14:paraId="304B9E4E" w14:textId="77777777" w:rsidTr="00DC7AA3">
        <w:trPr>
          <w:trHeight w:val="20"/>
        </w:trPr>
        <w:tc>
          <w:tcPr>
            <w:tcW w:w="269" w:type="pct"/>
            <w:vMerge w:val="restart"/>
            <w:tcBorders>
              <w:top w:val="single" w:sz="4" w:space="0" w:color="BFBFBF" w:themeColor="background1" w:themeShade="BF"/>
              <w:bottom w:val="nil"/>
            </w:tcBorders>
            <w:shd w:val="clear" w:color="auto" w:fill="FF9FE6"/>
            <w:textDirection w:val="btLr"/>
          </w:tcPr>
          <w:p w14:paraId="20878D1C" w14:textId="77777777" w:rsidR="00252376" w:rsidRPr="00F62D45" w:rsidRDefault="00252376" w:rsidP="00252376">
            <w:pPr>
              <w:spacing w:before="0"/>
              <w:ind w:left="113" w:right="113"/>
              <w:contextualSpacing/>
              <w:jc w:val="center"/>
              <w:rPr>
                <w:rFonts w:cstheme="minorHAnsi"/>
                <w:b/>
                <w:color w:val="000000" w:themeColor="text1"/>
                <w:sz w:val="21"/>
                <w:szCs w:val="20"/>
                <w:lang w:val="en-AU"/>
              </w:rPr>
            </w:pPr>
            <w:r w:rsidRPr="00F62D45">
              <w:rPr>
                <w:rFonts w:cstheme="minorHAnsi"/>
                <w:b/>
                <w:color w:val="000000" w:themeColor="text1"/>
                <w:sz w:val="21"/>
                <w:szCs w:val="20"/>
                <w:lang w:val="en-AU"/>
              </w:rPr>
              <w:t>Drowning</w:t>
            </w:r>
          </w:p>
        </w:tc>
        <w:tc>
          <w:tcPr>
            <w:tcW w:w="754" w:type="pct"/>
            <w:tcBorders>
              <w:top w:val="single" w:sz="4" w:space="0" w:color="BFBFBF" w:themeColor="background1" w:themeShade="BF"/>
              <w:bottom w:val="nil"/>
            </w:tcBorders>
          </w:tcPr>
          <w:p w14:paraId="0B3D3ECC" w14:textId="77777777" w:rsidR="00252376" w:rsidRPr="00817E68" w:rsidRDefault="00252376" w:rsidP="00252376">
            <w:pPr>
              <w:spacing w:before="0"/>
              <w:rPr>
                <w:rFonts w:cstheme="minorHAnsi"/>
                <w:i/>
                <w:sz w:val="18"/>
                <w:szCs w:val="18"/>
                <w:lang w:val="en-AU"/>
              </w:rPr>
            </w:pPr>
            <w:r w:rsidRPr="00EA3053">
              <w:rPr>
                <w:rFonts w:cstheme="minorHAnsi"/>
                <w:b/>
                <w:i/>
                <w:sz w:val="18"/>
                <w:szCs w:val="18"/>
                <w:lang w:val="en-AU"/>
              </w:rPr>
              <w:t xml:space="preserve">Objective </w:t>
            </w:r>
            <w:r>
              <w:rPr>
                <w:rFonts w:cstheme="minorHAnsi"/>
                <w:b/>
                <w:i/>
                <w:sz w:val="18"/>
                <w:szCs w:val="18"/>
                <w:lang w:val="en-AU"/>
              </w:rPr>
              <w:t>13</w:t>
            </w:r>
          </w:p>
        </w:tc>
        <w:tc>
          <w:tcPr>
            <w:tcW w:w="3977" w:type="pct"/>
            <w:tcBorders>
              <w:top w:val="single" w:sz="4" w:space="0" w:color="BFBFBF" w:themeColor="background1" w:themeShade="BF"/>
              <w:bottom w:val="nil"/>
            </w:tcBorders>
          </w:tcPr>
          <w:p w14:paraId="479EC07F" w14:textId="77777777" w:rsidR="00252376" w:rsidRPr="00252376" w:rsidRDefault="00252376" w:rsidP="00252376">
            <w:pPr>
              <w:pStyle w:val="Tablepartner"/>
              <w:rPr>
                <w:rFonts w:asciiTheme="minorHAnsi" w:hAnsiTheme="minorHAnsi" w:cstheme="minorHAnsi"/>
                <w:sz w:val="21"/>
                <w:szCs w:val="21"/>
                <w:lang w:val="en-AU" w:eastAsia="en-AU"/>
              </w:rPr>
            </w:pPr>
            <w:r w:rsidRPr="00252376">
              <w:rPr>
                <w:rFonts w:asciiTheme="minorHAnsi" w:hAnsiTheme="minorHAnsi" w:cstheme="minorHAnsi"/>
                <w:b/>
                <w:i w:val="0"/>
                <w:sz w:val="21"/>
                <w:szCs w:val="21"/>
                <w:lang w:val="en-AU"/>
              </w:rPr>
              <w:t>Reduce drowning and near-drowning events</w:t>
            </w:r>
          </w:p>
        </w:tc>
      </w:tr>
      <w:tr w:rsidR="00252376" w:rsidRPr="00701DBE" w14:paraId="54ADB32F" w14:textId="77777777" w:rsidTr="00DC7AA3">
        <w:trPr>
          <w:trHeight w:val="20"/>
        </w:trPr>
        <w:tc>
          <w:tcPr>
            <w:tcW w:w="269" w:type="pct"/>
            <w:vMerge/>
            <w:tcBorders>
              <w:top w:val="nil"/>
              <w:bottom w:val="nil"/>
            </w:tcBorders>
            <w:shd w:val="clear" w:color="auto" w:fill="FF9FE6"/>
            <w:textDirection w:val="btLr"/>
          </w:tcPr>
          <w:p w14:paraId="6004EBD4" w14:textId="77777777" w:rsidR="00252376" w:rsidRPr="00F62D45" w:rsidRDefault="00252376" w:rsidP="00252376">
            <w:pPr>
              <w:spacing w:before="0"/>
              <w:ind w:left="113" w:right="113"/>
              <w:contextualSpacing/>
              <w:jc w:val="center"/>
              <w:rPr>
                <w:rFonts w:cstheme="minorHAnsi"/>
                <w:b/>
                <w:color w:val="000000" w:themeColor="text1"/>
                <w:sz w:val="21"/>
                <w:szCs w:val="20"/>
                <w:lang w:val="en-AU"/>
              </w:rPr>
            </w:pPr>
          </w:p>
        </w:tc>
        <w:tc>
          <w:tcPr>
            <w:tcW w:w="754" w:type="pct"/>
            <w:tcBorders>
              <w:top w:val="nil"/>
              <w:bottom w:val="nil"/>
            </w:tcBorders>
          </w:tcPr>
          <w:p w14:paraId="37D80785"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75A55B8B" w14:textId="77777777" w:rsidR="00252376" w:rsidRPr="00817E68" w:rsidRDefault="00252376" w:rsidP="00252376">
            <w:pPr>
              <w:spacing w:before="0"/>
              <w:rPr>
                <w:rFonts w:cstheme="minorHAnsi"/>
                <w:i/>
                <w:sz w:val="18"/>
                <w:szCs w:val="18"/>
                <w:lang w:val="en-AU"/>
              </w:rPr>
            </w:pPr>
          </w:p>
        </w:tc>
        <w:tc>
          <w:tcPr>
            <w:tcW w:w="3977" w:type="pct"/>
            <w:tcBorders>
              <w:top w:val="nil"/>
              <w:bottom w:val="nil"/>
            </w:tcBorders>
          </w:tcPr>
          <w:p w14:paraId="63B5E8B7" w14:textId="77777777" w:rsidR="00252376" w:rsidRPr="00252376" w:rsidRDefault="00252376" w:rsidP="007D5286">
            <w:pPr>
              <w:pStyle w:val="TableNBullet"/>
              <w:numPr>
                <w:ilvl w:val="0"/>
                <w:numId w:val="76"/>
              </w:numPr>
              <w:rPr>
                <w:rFonts w:cstheme="minorHAnsi"/>
                <w:i/>
                <w:szCs w:val="21"/>
                <w:lang w:val="en-AU"/>
              </w:rPr>
            </w:pPr>
            <w:r w:rsidRPr="00252376">
              <w:rPr>
                <w:rFonts w:cstheme="minorHAnsi"/>
                <w:szCs w:val="21"/>
                <w:lang w:val="en-AU"/>
              </w:rPr>
              <w:t>Implement and evaluate awareness raising campaigns and enforcement of legislation regarding alcohol and water related activities.</w:t>
            </w:r>
          </w:p>
        </w:tc>
      </w:tr>
      <w:tr w:rsidR="00252376" w:rsidRPr="00701DBE" w14:paraId="76A66730" w14:textId="77777777" w:rsidTr="00DC7AA3">
        <w:trPr>
          <w:trHeight w:val="20"/>
        </w:trPr>
        <w:tc>
          <w:tcPr>
            <w:tcW w:w="269" w:type="pct"/>
            <w:vMerge/>
            <w:tcBorders>
              <w:top w:val="nil"/>
              <w:bottom w:val="single" w:sz="4" w:space="0" w:color="BFBFBF" w:themeColor="background1" w:themeShade="BF"/>
            </w:tcBorders>
            <w:shd w:val="clear" w:color="auto" w:fill="FF9FE6"/>
            <w:textDirection w:val="btLr"/>
          </w:tcPr>
          <w:p w14:paraId="26BFF1D6" w14:textId="77777777" w:rsidR="00252376" w:rsidRPr="00F62D45" w:rsidRDefault="00252376" w:rsidP="00252376">
            <w:pPr>
              <w:spacing w:before="0"/>
              <w:ind w:left="113" w:right="113"/>
              <w:contextualSpacing/>
              <w:jc w:val="center"/>
              <w:rPr>
                <w:rFonts w:cstheme="minorHAnsi"/>
                <w:b/>
                <w:color w:val="000000" w:themeColor="text1"/>
                <w:sz w:val="21"/>
                <w:szCs w:val="20"/>
                <w:lang w:val="en-AU"/>
              </w:rPr>
            </w:pPr>
          </w:p>
        </w:tc>
        <w:tc>
          <w:tcPr>
            <w:tcW w:w="754" w:type="pct"/>
            <w:tcBorders>
              <w:top w:val="nil"/>
              <w:bottom w:val="single" w:sz="4" w:space="0" w:color="BFBFBF" w:themeColor="background1" w:themeShade="BF"/>
            </w:tcBorders>
          </w:tcPr>
          <w:p w14:paraId="2CAD5777"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3977" w:type="pct"/>
            <w:tcBorders>
              <w:top w:val="nil"/>
              <w:bottom w:val="single" w:sz="4" w:space="0" w:color="BFBFBF" w:themeColor="background1" w:themeShade="BF"/>
            </w:tcBorders>
          </w:tcPr>
          <w:p w14:paraId="110136F7" w14:textId="77777777" w:rsidR="00252376" w:rsidRPr="00252376" w:rsidRDefault="00252376" w:rsidP="00252376">
            <w:pPr>
              <w:pStyle w:val="Tablepartner"/>
              <w:rPr>
                <w:rFonts w:asciiTheme="minorHAnsi" w:hAnsiTheme="minorHAnsi" w:cstheme="minorHAnsi"/>
                <w:sz w:val="21"/>
                <w:szCs w:val="21"/>
                <w:lang w:val="en-AU" w:eastAsia="en-AU"/>
              </w:rPr>
            </w:pPr>
            <w:r w:rsidRPr="00252376">
              <w:rPr>
                <w:rFonts w:asciiTheme="minorHAnsi" w:hAnsiTheme="minorHAnsi" w:cstheme="minorHAnsi"/>
                <w:sz w:val="21"/>
                <w:szCs w:val="21"/>
                <w:lang w:val="en-AU" w:eastAsia="en-AU"/>
              </w:rPr>
              <w:t>State and territory road and marine departments (State and territory health, police, Australian Water Safety Council)</w:t>
            </w:r>
          </w:p>
        </w:tc>
      </w:tr>
      <w:tr w:rsidR="00252376" w:rsidRPr="00817E68" w14:paraId="36DEEE4F" w14:textId="77777777" w:rsidTr="00DC7AA3">
        <w:trPr>
          <w:trHeight w:val="20"/>
        </w:trPr>
        <w:tc>
          <w:tcPr>
            <w:tcW w:w="269" w:type="pct"/>
            <w:vMerge w:val="restart"/>
            <w:tcBorders>
              <w:top w:val="single" w:sz="4" w:space="0" w:color="BFBFBF" w:themeColor="background1" w:themeShade="BF"/>
              <w:bottom w:val="nil"/>
            </w:tcBorders>
            <w:shd w:val="clear" w:color="auto" w:fill="7999FF"/>
            <w:textDirection w:val="btLr"/>
          </w:tcPr>
          <w:p w14:paraId="68D184E3" w14:textId="79D41354" w:rsidR="00252376" w:rsidRPr="00F62D45" w:rsidRDefault="00252376" w:rsidP="00252376">
            <w:pPr>
              <w:spacing w:before="0"/>
              <w:ind w:left="113" w:right="113"/>
              <w:contextualSpacing/>
              <w:jc w:val="center"/>
              <w:rPr>
                <w:rFonts w:cstheme="minorHAnsi"/>
                <w:b/>
                <w:color w:val="000000" w:themeColor="text1"/>
                <w:sz w:val="21"/>
                <w:szCs w:val="20"/>
                <w:lang w:val="en-AU"/>
              </w:rPr>
            </w:pPr>
            <w:r w:rsidRPr="00F62D45">
              <w:rPr>
                <w:rFonts w:cstheme="minorHAnsi"/>
                <w:b/>
                <w:color w:val="000000" w:themeColor="text1"/>
                <w:sz w:val="21"/>
                <w:szCs w:val="20"/>
                <w:lang w:val="en-AU"/>
              </w:rPr>
              <w:t>Road</w:t>
            </w:r>
          </w:p>
        </w:tc>
        <w:tc>
          <w:tcPr>
            <w:tcW w:w="754" w:type="pct"/>
            <w:tcBorders>
              <w:top w:val="single" w:sz="4" w:space="0" w:color="BFBFBF" w:themeColor="background1" w:themeShade="BF"/>
              <w:bottom w:val="nil"/>
            </w:tcBorders>
          </w:tcPr>
          <w:p w14:paraId="48E3DA65" w14:textId="77777777" w:rsidR="00252376" w:rsidRPr="0038126F" w:rsidRDefault="00252376" w:rsidP="00252376">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6</w:t>
            </w:r>
          </w:p>
        </w:tc>
        <w:tc>
          <w:tcPr>
            <w:tcW w:w="3977" w:type="pct"/>
            <w:tcBorders>
              <w:top w:val="single" w:sz="4" w:space="0" w:color="BFBFBF" w:themeColor="background1" w:themeShade="BF"/>
              <w:bottom w:val="nil"/>
            </w:tcBorders>
          </w:tcPr>
          <w:p w14:paraId="683E3E0A" w14:textId="77777777" w:rsidR="00252376" w:rsidRPr="00252376" w:rsidRDefault="00252376" w:rsidP="00252376">
            <w:pPr>
              <w:pStyle w:val="Numberedtable"/>
              <w:numPr>
                <w:ilvl w:val="0"/>
                <w:numId w:val="0"/>
              </w:numPr>
              <w:rPr>
                <w:rFonts w:asciiTheme="minorHAnsi" w:hAnsiTheme="minorHAnsi" w:cstheme="minorHAnsi"/>
                <w:sz w:val="21"/>
                <w:szCs w:val="21"/>
                <w:lang w:val="en-AU"/>
              </w:rPr>
            </w:pPr>
            <w:r w:rsidRPr="00252376">
              <w:rPr>
                <w:rFonts w:asciiTheme="minorHAnsi" w:hAnsiTheme="minorHAnsi" w:cstheme="minorHAnsi"/>
                <w:sz w:val="21"/>
                <w:szCs w:val="21"/>
                <w:lang w:val="en-AU"/>
              </w:rPr>
              <w:t>Reduce road-related injury</w:t>
            </w:r>
          </w:p>
        </w:tc>
      </w:tr>
      <w:tr w:rsidR="00252376" w:rsidRPr="00817E68" w14:paraId="72237392" w14:textId="77777777" w:rsidTr="00DC7AA3">
        <w:trPr>
          <w:trHeight w:val="20"/>
        </w:trPr>
        <w:tc>
          <w:tcPr>
            <w:tcW w:w="269" w:type="pct"/>
            <w:vMerge/>
            <w:tcBorders>
              <w:top w:val="nil"/>
              <w:bottom w:val="nil"/>
            </w:tcBorders>
            <w:shd w:val="clear" w:color="auto" w:fill="7999FF"/>
            <w:textDirection w:val="btLr"/>
          </w:tcPr>
          <w:p w14:paraId="21691D06"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nil"/>
              <w:bottom w:val="nil"/>
            </w:tcBorders>
          </w:tcPr>
          <w:p w14:paraId="588B3E3A"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70DF291C" w14:textId="77777777" w:rsidR="00252376" w:rsidRPr="00817E68" w:rsidRDefault="00252376" w:rsidP="00252376">
            <w:pPr>
              <w:spacing w:before="0"/>
              <w:rPr>
                <w:rFonts w:cstheme="minorHAnsi"/>
                <w:i/>
                <w:color w:val="000000" w:themeColor="text1"/>
                <w:sz w:val="18"/>
                <w:szCs w:val="18"/>
                <w:lang w:val="en-AU"/>
              </w:rPr>
            </w:pPr>
          </w:p>
        </w:tc>
        <w:tc>
          <w:tcPr>
            <w:tcW w:w="3977" w:type="pct"/>
            <w:tcBorders>
              <w:top w:val="nil"/>
              <w:bottom w:val="nil"/>
            </w:tcBorders>
          </w:tcPr>
          <w:p w14:paraId="3C39028B" w14:textId="77777777" w:rsidR="00252376" w:rsidRPr="00252376" w:rsidRDefault="00252376" w:rsidP="007D5286">
            <w:pPr>
              <w:pStyle w:val="TableNBullet"/>
              <w:numPr>
                <w:ilvl w:val="0"/>
                <w:numId w:val="77"/>
              </w:numPr>
              <w:rPr>
                <w:rFonts w:cstheme="minorHAnsi"/>
                <w:szCs w:val="21"/>
                <w:lang w:val="en-AU" w:eastAsia="en-US"/>
              </w:rPr>
            </w:pPr>
            <w:r w:rsidRPr="00252376">
              <w:rPr>
                <w:rFonts w:eastAsiaTheme="minorEastAsia" w:cstheme="minorHAnsi"/>
                <w:szCs w:val="21"/>
                <w:lang w:val="en-AU"/>
              </w:rPr>
              <w:t>Deliver local multi-component programs for reducing alcohol-impaired driving including increased awareness and visibility of roadside random alcohol and drug testing, and public education campaigns.</w:t>
            </w:r>
          </w:p>
        </w:tc>
      </w:tr>
      <w:tr w:rsidR="00252376" w:rsidRPr="009A6F15" w14:paraId="36354842" w14:textId="77777777" w:rsidTr="00DC7AA3">
        <w:trPr>
          <w:trHeight w:val="20"/>
        </w:trPr>
        <w:tc>
          <w:tcPr>
            <w:tcW w:w="269" w:type="pct"/>
            <w:vMerge/>
            <w:tcBorders>
              <w:top w:val="nil"/>
              <w:bottom w:val="single" w:sz="4" w:space="0" w:color="BFBFBF" w:themeColor="background1" w:themeShade="BF"/>
            </w:tcBorders>
            <w:shd w:val="clear" w:color="auto" w:fill="7999FF"/>
            <w:textDirection w:val="btLr"/>
          </w:tcPr>
          <w:p w14:paraId="5515A984"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Borders>
              <w:top w:val="nil"/>
              <w:bottom w:val="single" w:sz="4" w:space="0" w:color="BFBFBF" w:themeColor="background1" w:themeShade="BF"/>
            </w:tcBorders>
          </w:tcPr>
          <w:p w14:paraId="3B1501FF"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3977" w:type="pct"/>
            <w:tcBorders>
              <w:top w:val="nil"/>
              <w:bottom w:val="single" w:sz="4" w:space="0" w:color="BFBFBF" w:themeColor="background1" w:themeShade="BF"/>
            </w:tcBorders>
          </w:tcPr>
          <w:p w14:paraId="2FFA73B2" w14:textId="1CEF6165" w:rsidR="00DC7AA3" w:rsidRPr="00252376" w:rsidRDefault="00252376" w:rsidP="00252376">
            <w:pPr>
              <w:pStyle w:val="TableNBullet"/>
              <w:numPr>
                <w:ilvl w:val="0"/>
                <w:numId w:val="0"/>
              </w:numPr>
              <w:rPr>
                <w:rFonts w:cstheme="minorHAnsi"/>
                <w:i/>
                <w:szCs w:val="21"/>
                <w:lang w:val="en-AU"/>
              </w:rPr>
            </w:pPr>
            <w:r w:rsidRPr="00252376">
              <w:rPr>
                <w:rFonts w:cstheme="minorHAnsi"/>
                <w:i/>
                <w:szCs w:val="21"/>
                <w:lang w:val="en-AU"/>
              </w:rPr>
              <w:t>State and territory departments of transport (Police, alcohol and other drug council of Australia, AOD information and treatment services, youth focused not-for-profit organisations, National Drug Driving Working Group</w:t>
            </w:r>
            <w:r w:rsidRPr="00252376">
              <w:rPr>
                <w:rStyle w:val="Hyperlink"/>
                <w:rFonts w:cstheme="minorHAnsi"/>
                <w:i/>
                <w:szCs w:val="21"/>
                <w:lang w:val="en-AU"/>
              </w:rPr>
              <w:t xml:space="preserve">, </w:t>
            </w:r>
            <w:r w:rsidRPr="00252376">
              <w:rPr>
                <w:rFonts w:cstheme="minorHAnsi"/>
                <w:i/>
                <w:szCs w:val="21"/>
                <w:lang w:val="en-AU"/>
              </w:rPr>
              <w:t>PHNs, Aboriginal Community Controlled Organisations)</w:t>
            </w:r>
          </w:p>
        </w:tc>
      </w:tr>
    </w:tbl>
    <w:p w14:paraId="2C48F5EB" w14:textId="77777777" w:rsidR="00DC7AA3" w:rsidRDefault="00DC7AA3">
      <w:pPr>
        <w:spacing w:before="0" w:after="160" w:line="259" w:lineRule="auto"/>
      </w:pPr>
      <w:r>
        <w:br w:type="page"/>
      </w:r>
    </w:p>
    <w:tbl>
      <w:tblPr>
        <w:tblStyle w:val="TableGridLight"/>
        <w:tblW w:w="5000" w:type="pct"/>
        <w:tblBorders>
          <w:insideH w:val="none" w:sz="0" w:space="0" w:color="auto"/>
          <w:insideV w:val="none" w:sz="0" w:space="0" w:color="auto"/>
        </w:tblBorders>
        <w:tblLook w:val="04A0" w:firstRow="1" w:lastRow="0" w:firstColumn="1" w:lastColumn="0" w:noHBand="0" w:noVBand="1"/>
      </w:tblPr>
      <w:tblGrid>
        <w:gridCol w:w="485"/>
        <w:gridCol w:w="1360"/>
        <w:gridCol w:w="7171"/>
      </w:tblGrid>
      <w:tr w:rsidR="00252376" w:rsidRPr="00817E68" w14:paraId="0CAC9856" w14:textId="77777777" w:rsidTr="00DC7AA3">
        <w:trPr>
          <w:trHeight w:val="20"/>
        </w:trPr>
        <w:tc>
          <w:tcPr>
            <w:tcW w:w="269" w:type="pct"/>
            <w:vMerge w:val="restart"/>
            <w:tcBorders>
              <w:top w:val="single" w:sz="4" w:space="0" w:color="BFBFBF" w:themeColor="background1" w:themeShade="BF"/>
            </w:tcBorders>
            <w:shd w:val="clear" w:color="auto" w:fill="28659C"/>
            <w:textDirection w:val="btLr"/>
          </w:tcPr>
          <w:p w14:paraId="3521E897" w14:textId="2D9A117D" w:rsidR="00252376" w:rsidRPr="00014045" w:rsidRDefault="00F62D45" w:rsidP="00252376">
            <w:pPr>
              <w:spacing w:before="0"/>
              <w:ind w:left="113" w:right="113"/>
              <w:contextualSpacing/>
              <w:jc w:val="center"/>
              <w:rPr>
                <w:rFonts w:cstheme="minorHAnsi"/>
                <w:b/>
                <w:color w:val="FFFFFF" w:themeColor="background1"/>
                <w:sz w:val="21"/>
                <w:szCs w:val="20"/>
                <w:lang w:val="en-AU"/>
              </w:rPr>
            </w:pPr>
            <w:r>
              <w:rPr>
                <w:rFonts w:cstheme="minorHAnsi"/>
                <w:b/>
                <w:color w:val="FFFFFF" w:themeColor="background1"/>
                <w:sz w:val="21"/>
                <w:szCs w:val="20"/>
                <w:lang w:val="en-AU"/>
              </w:rPr>
              <w:t xml:space="preserve">Homicide + </w:t>
            </w:r>
            <w:r w:rsidR="00252376" w:rsidRPr="00014045">
              <w:rPr>
                <w:rFonts w:cstheme="minorHAnsi"/>
                <w:b/>
                <w:color w:val="FFFFFF" w:themeColor="background1"/>
                <w:sz w:val="21"/>
                <w:szCs w:val="20"/>
                <w:lang w:val="en-AU"/>
              </w:rPr>
              <w:t>Violence</w:t>
            </w:r>
          </w:p>
        </w:tc>
        <w:tc>
          <w:tcPr>
            <w:tcW w:w="754" w:type="pct"/>
            <w:tcBorders>
              <w:top w:val="single" w:sz="4" w:space="0" w:color="BFBFBF" w:themeColor="background1" w:themeShade="BF"/>
            </w:tcBorders>
          </w:tcPr>
          <w:p w14:paraId="70E4AFCF" w14:textId="77777777" w:rsidR="00252376" w:rsidRPr="00BF67AD" w:rsidRDefault="00252376" w:rsidP="00252376">
            <w:pPr>
              <w:spacing w:before="0"/>
              <w:rPr>
                <w:rFonts w:cstheme="minorHAnsi"/>
                <w:b/>
                <w:i/>
                <w:color w:val="000000" w:themeColor="text1"/>
                <w:sz w:val="18"/>
                <w:szCs w:val="18"/>
                <w:lang w:val="en-AU"/>
              </w:rPr>
            </w:pPr>
            <w:r w:rsidRPr="00BF67AD">
              <w:rPr>
                <w:rFonts w:cstheme="minorHAnsi"/>
                <w:b/>
                <w:i/>
                <w:sz w:val="18"/>
                <w:szCs w:val="18"/>
                <w:lang w:val="en-AU"/>
              </w:rPr>
              <w:t>Objective 1</w:t>
            </w:r>
            <w:r>
              <w:rPr>
                <w:rFonts w:cstheme="minorHAnsi"/>
                <w:b/>
                <w:i/>
                <w:sz w:val="18"/>
                <w:szCs w:val="18"/>
                <w:lang w:val="en-AU"/>
              </w:rPr>
              <w:t>2</w:t>
            </w:r>
          </w:p>
        </w:tc>
        <w:tc>
          <w:tcPr>
            <w:tcW w:w="3977" w:type="pct"/>
            <w:tcBorders>
              <w:top w:val="single" w:sz="4" w:space="0" w:color="BFBFBF" w:themeColor="background1" w:themeShade="BF"/>
            </w:tcBorders>
          </w:tcPr>
          <w:p w14:paraId="103998EE" w14:textId="77777777" w:rsidR="00252376" w:rsidRPr="00252376" w:rsidRDefault="00252376" w:rsidP="00252376">
            <w:pPr>
              <w:pStyle w:val="Numberedtable"/>
              <w:numPr>
                <w:ilvl w:val="0"/>
                <w:numId w:val="0"/>
              </w:numPr>
              <w:rPr>
                <w:rFonts w:asciiTheme="minorHAnsi" w:hAnsiTheme="minorHAnsi" w:cstheme="minorHAnsi"/>
                <w:sz w:val="21"/>
                <w:szCs w:val="21"/>
                <w:lang w:val="en-AU"/>
              </w:rPr>
            </w:pPr>
            <w:r w:rsidRPr="00252376">
              <w:rPr>
                <w:rFonts w:asciiTheme="minorHAnsi" w:hAnsiTheme="minorHAnsi" w:cstheme="minorHAnsi"/>
                <w:sz w:val="21"/>
                <w:szCs w:val="21"/>
                <w:lang w:val="en-AU"/>
              </w:rPr>
              <w:t>Reduce alcohol-related violence in public places</w:t>
            </w:r>
          </w:p>
        </w:tc>
      </w:tr>
      <w:tr w:rsidR="00252376" w:rsidRPr="00701DBE" w14:paraId="3D276133" w14:textId="77777777" w:rsidTr="00DC7AA3">
        <w:trPr>
          <w:trHeight w:val="20"/>
        </w:trPr>
        <w:tc>
          <w:tcPr>
            <w:tcW w:w="269" w:type="pct"/>
            <w:vMerge/>
            <w:shd w:val="clear" w:color="auto" w:fill="28659C"/>
            <w:textDirection w:val="btLr"/>
          </w:tcPr>
          <w:p w14:paraId="545CE5B8"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Pr>
          <w:p w14:paraId="0AE5B2D1"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2909AFC7" w14:textId="77777777" w:rsidR="00252376" w:rsidRPr="00817E68" w:rsidRDefault="00252376" w:rsidP="00252376">
            <w:pPr>
              <w:spacing w:before="0"/>
              <w:rPr>
                <w:rFonts w:cstheme="minorHAnsi"/>
                <w:i/>
                <w:color w:val="000000" w:themeColor="text1"/>
                <w:sz w:val="18"/>
                <w:szCs w:val="18"/>
                <w:lang w:val="en-AU"/>
              </w:rPr>
            </w:pPr>
          </w:p>
        </w:tc>
        <w:tc>
          <w:tcPr>
            <w:tcW w:w="3977" w:type="pct"/>
          </w:tcPr>
          <w:p w14:paraId="73A93371" w14:textId="77777777" w:rsidR="00252376" w:rsidRPr="00252376" w:rsidRDefault="00252376" w:rsidP="007D5286">
            <w:pPr>
              <w:pStyle w:val="TableNBullet"/>
              <w:numPr>
                <w:ilvl w:val="0"/>
                <w:numId w:val="78"/>
              </w:numPr>
              <w:rPr>
                <w:szCs w:val="21"/>
              </w:rPr>
            </w:pPr>
            <w:r w:rsidRPr="00252376">
              <w:rPr>
                <w:rFonts w:eastAsiaTheme="minorEastAsia" w:cstheme="minorHAnsi"/>
                <w:szCs w:val="21"/>
                <w:lang w:val="en-AU" w:eastAsia="ja-JP"/>
              </w:rPr>
              <w:t xml:space="preserve">Provide culturally appropriate </w:t>
            </w:r>
            <w:r w:rsidRPr="00252376">
              <w:rPr>
                <w:rFonts w:eastAsiaTheme="minorEastAsia" w:cstheme="minorHAnsi"/>
                <w:szCs w:val="21"/>
                <w:vertAlign w:val="superscript"/>
                <w:lang w:val="en-AU" w:eastAsia="ja-JP"/>
              </w:rPr>
              <w:t>[</w:t>
            </w:r>
            <w:r w:rsidRPr="00252376">
              <w:rPr>
                <w:rStyle w:val="FootnoteReference"/>
                <w:rFonts w:eastAsiaTheme="minorEastAsia" w:cstheme="minorHAnsi"/>
                <w:color w:val="000000" w:themeColor="text1"/>
                <w:szCs w:val="21"/>
                <w:lang w:val="en-AU" w:eastAsia="ja-JP"/>
              </w:rPr>
              <w:footnoteReference w:id="7"/>
            </w:r>
            <w:r w:rsidRPr="00252376">
              <w:rPr>
                <w:rFonts w:eastAsiaTheme="minorEastAsia" w:cstheme="minorHAnsi"/>
                <w:szCs w:val="21"/>
                <w:vertAlign w:val="superscript"/>
                <w:lang w:val="en-AU" w:eastAsia="ja-JP"/>
              </w:rPr>
              <w:t>]</w:t>
            </w:r>
            <w:r w:rsidRPr="00252376">
              <w:rPr>
                <w:rFonts w:eastAsiaTheme="minorEastAsia" w:cstheme="minorHAnsi"/>
                <w:szCs w:val="21"/>
                <w:lang w:val="en-AU" w:eastAsia="ja-JP"/>
              </w:rPr>
              <w:t xml:space="preserve"> multi-component programs in places where young people consume alcohol.</w:t>
            </w:r>
          </w:p>
        </w:tc>
      </w:tr>
      <w:tr w:rsidR="00252376" w:rsidRPr="00740699" w14:paraId="2ECC3A8F" w14:textId="77777777" w:rsidTr="00DC7AA3">
        <w:trPr>
          <w:trHeight w:val="20"/>
        </w:trPr>
        <w:tc>
          <w:tcPr>
            <w:tcW w:w="269" w:type="pct"/>
            <w:vMerge/>
            <w:shd w:val="clear" w:color="auto" w:fill="28659C"/>
            <w:textDirection w:val="btLr"/>
          </w:tcPr>
          <w:p w14:paraId="2AC8B1C7"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754" w:type="pct"/>
          </w:tcPr>
          <w:p w14:paraId="7058E75F"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3977" w:type="pct"/>
          </w:tcPr>
          <w:p w14:paraId="5927AE54" w14:textId="77777777" w:rsidR="00252376" w:rsidRDefault="00252376" w:rsidP="00252376">
            <w:pPr>
              <w:spacing w:before="0"/>
              <w:rPr>
                <w:rFonts w:cstheme="minorHAnsi"/>
                <w:i/>
                <w:sz w:val="21"/>
                <w:szCs w:val="21"/>
                <w:lang w:val="en-AU" w:eastAsia="en-AU"/>
              </w:rPr>
            </w:pPr>
            <w:r w:rsidRPr="00252376">
              <w:rPr>
                <w:rFonts w:cstheme="minorHAnsi"/>
                <w:i/>
                <w:sz w:val="21"/>
                <w:szCs w:val="21"/>
                <w:lang w:val="en-AU" w:eastAsia="en-AU"/>
              </w:rPr>
              <w:t>State and territory departments of health (Police, local government, alcohol and other drug council of Australia, AOD information and treatment services, youth focused not-for-profit organisations, Aboriginal Community Controlled Organisations)</w:t>
            </w:r>
          </w:p>
          <w:p w14:paraId="1DB11DAD" w14:textId="0C028EA9" w:rsidR="00F62D45" w:rsidRPr="00252376" w:rsidRDefault="00F62D45" w:rsidP="00252376">
            <w:pPr>
              <w:spacing w:before="0"/>
              <w:rPr>
                <w:rFonts w:cstheme="minorHAnsi"/>
                <w:i/>
                <w:sz w:val="21"/>
                <w:szCs w:val="21"/>
                <w:lang w:val="en-AU"/>
              </w:rPr>
            </w:pPr>
          </w:p>
        </w:tc>
      </w:tr>
    </w:tbl>
    <w:p w14:paraId="26318775" w14:textId="77777777" w:rsidR="00DE27B9" w:rsidRPr="00400300" w:rsidRDefault="00DE27B9">
      <w:pPr>
        <w:rPr>
          <w:lang w:val="en-AU"/>
        </w:rPr>
      </w:pPr>
    </w:p>
    <w:tbl>
      <w:tblPr>
        <w:tblStyle w:val="NOUSSideHeader1"/>
        <w:tblW w:w="8930" w:type="dxa"/>
        <w:shd w:val="clear" w:color="auto" w:fill="F2F2F2" w:themeFill="background1" w:themeFillShade="F2"/>
        <w:tblLook w:val="04A0" w:firstRow="1" w:lastRow="0" w:firstColumn="1" w:lastColumn="0" w:noHBand="0" w:noVBand="1"/>
      </w:tblPr>
      <w:tblGrid>
        <w:gridCol w:w="8930"/>
      </w:tblGrid>
      <w:tr w:rsidR="00E46ECE" w:rsidRPr="00400300" w14:paraId="7AB69E20" w14:textId="77777777" w:rsidTr="00C22D56">
        <w:trPr>
          <w:trHeight w:val="443"/>
        </w:trPr>
        <w:tc>
          <w:tcPr>
            <w:tcW w:w="8930" w:type="dxa"/>
            <w:shd w:val="clear" w:color="auto" w:fill="D0CECE" w:themeFill="background2" w:themeFillShade="E6"/>
          </w:tcPr>
          <w:p w14:paraId="12205EE8" w14:textId="77777777" w:rsidR="00DC7AA3" w:rsidRDefault="00DC7AA3" w:rsidP="000E35E7">
            <w:pPr>
              <w:rPr>
                <w:rFonts w:cstheme="minorHAnsi"/>
                <w:b/>
                <w:szCs w:val="22"/>
                <w:lang w:val="en-AU"/>
              </w:rPr>
            </w:pPr>
          </w:p>
          <w:p w14:paraId="25F4CC53" w14:textId="77E866D5" w:rsidR="00C22B8B" w:rsidRDefault="00E46ECE" w:rsidP="000E35E7">
            <w:pPr>
              <w:rPr>
                <w:rFonts w:cstheme="minorHAnsi"/>
                <w:b/>
                <w:szCs w:val="22"/>
                <w:lang w:val="en-AU"/>
              </w:rPr>
            </w:pPr>
            <w:r w:rsidRPr="00400300">
              <w:rPr>
                <w:rFonts w:cstheme="minorHAnsi"/>
                <w:b/>
                <w:szCs w:val="22"/>
                <w:lang w:val="en-AU"/>
              </w:rPr>
              <w:t xml:space="preserve">Case </w:t>
            </w:r>
            <w:r w:rsidR="00D075A3" w:rsidRPr="00400300">
              <w:rPr>
                <w:rFonts w:cstheme="minorHAnsi"/>
                <w:b/>
                <w:szCs w:val="22"/>
                <w:lang w:val="en-AU"/>
              </w:rPr>
              <w:t>s</w:t>
            </w:r>
            <w:r w:rsidRPr="00400300">
              <w:rPr>
                <w:rFonts w:cstheme="minorHAnsi"/>
                <w:b/>
                <w:szCs w:val="22"/>
                <w:lang w:val="en-AU"/>
              </w:rPr>
              <w:t>tudy</w:t>
            </w:r>
            <w:r w:rsidR="00966DB3" w:rsidRPr="00400300">
              <w:rPr>
                <w:rFonts w:cstheme="minorHAnsi"/>
                <w:b/>
                <w:szCs w:val="22"/>
                <w:lang w:val="en-AU"/>
              </w:rPr>
              <w:t xml:space="preserve"> </w:t>
            </w:r>
            <w:r w:rsidR="009D02D8">
              <w:rPr>
                <w:rFonts w:cstheme="minorHAnsi"/>
                <w:b/>
                <w:szCs w:val="22"/>
                <w:lang w:val="en-AU"/>
              </w:rPr>
              <w:t>-Alcohol</w:t>
            </w:r>
          </w:p>
          <w:p w14:paraId="236527DA" w14:textId="6E64A402" w:rsidR="00DC7AA3" w:rsidRPr="00400300" w:rsidRDefault="00DC7AA3" w:rsidP="000E35E7">
            <w:pPr>
              <w:rPr>
                <w:rFonts w:cstheme="minorHAnsi"/>
                <w:b/>
                <w:szCs w:val="22"/>
                <w:lang w:val="en-AU"/>
              </w:rPr>
            </w:pPr>
          </w:p>
        </w:tc>
      </w:tr>
    </w:tbl>
    <w:p w14:paraId="4EED3090" w14:textId="35494B5F" w:rsidR="003451A5" w:rsidRPr="00400300" w:rsidRDefault="003451A5" w:rsidP="001E1AEA">
      <w:pPr>
        <w:rPr>
          <w:rFonts w:cstheme="minorHAnsi"/>
          <w:b/>
          <w:lang w:val="en-AU" w:eastAsia="en-US"/>
        </w:rPr>
      </w:pPr>
    </w:p>
    <w:p w14:paraId="030ADC7A" w14:textId="10957AF2" w:rsidR="001233B8" w:rsidRPr="00400300" w:rsidRDefault="00F97BE1" w:rsidP="008462F1">
      <w:pPr>
        <w:pStyle w:val="Heading2"/>
        <w:rPr>
          <w:lang w:val="en-AU"/>
        </w:rPr>
      </w:pPr>
      <w:bookmarkStart w:id="264" w:name="_Toc29473022"/>
      <w:bookmarkStart w:id="265" w:name="_Toc30077754"/>
      <w:bookmarkStart w:id="266" w:name="_Toc31128326"/>
      <w:bookmarkStart w:id="267" w:name="_Toc38021106"/>
      <w:bookmarkStart w:id="268" w:name="_Toc32584904"/>
      <w:bookmarkStart w:id="269" w:name="_Hlk29896034"/>
      <w:r w:rsidRPr="00400300">
        <w:rPr>
          <w:lang w:val="en-AU"/>
        </w:rPr>
        <w:t>Reducing injury associated with an</w:t>
      </w:r>
      <w:r w:rsidR="001233B8" w:rsidRPr="00400300">
        <w:rPr>
          <w:lang w:val="en-AU"/>
        </w:rPr>
        <w:t xml:space="preserve"> increase in extreme weather events</w:t>
      </w:r>
      <w:bookmarkEnd w:id="264"/>
      <w:bookmarkEnd w:id="265"/>
      <w:bookmarkEnd w:id="266"/>
      <w:bookmarkEnd w:id="267"/>
      <w:r w:rsidR="001233B8" w:rsidRPr="00400300">
        <w:rPr>
          <w:lang w:val="en-AU"/>
        </w:rPr>
        <w:t xml:space="preserve"> </w:t>
      </w:r>
      <w:bookmarkEnd w:id="268"/>
    </w:p>
    <w:bookmarkEnd w:id="269"/>
    <w:p w14:paraId="2987A1F1" w14:textId="77777777" w:rsidR="009D02D8" w:rsidRDefault="00A27604" w:rsidP="00A27604">
      <w:pPr>
        <w:spacing w:before="0"/>
        <w:rPr>
          <w:szCs w:val="22"/>
          <w:lang w:val="en-AU"/>
        </w:rPr>
      </w:pPr>
      <w:r w:rsidRPr="00400300">
        <w:rPr>
          <w:rFonts w:cstheme="minorHAnsi"/>
          <w:color w:val="000000"/>
          <w:shd w:val="clear" w:color="auto" w:fill="FFFFFF"/>
          <w:lang w:val="en-AU"/>
        </w:rPr>
        <w:t>Climate change, including more frequent heatwaves and extreme weather events, has significant impacts on the health of humans.</w:t>
      </w:r>
      <w:r w:rsidRPr="00400300">
        <w:rPr>
          <w:rFonts w:ascii="Arial" w:hAnsi="Arial" w:cs="Arial"/>
          <w:color w:val="000000"/>
          <w:shd w:val="clear" w:color="auto" w:fill="FFFFFF"/>
          <w:lang w:val="en-AU"/>
        </w:rPr>
        <w:fldChar w:fldCharType="begin">
          <w:fldData xml:space="preserve">PEVuZE5vdGU+PENpdGU+PEF1dGhvcj5XYXR0czwvQXV0aG9yPjxZZWFyPjIwMTk8L1llYXI+PFJl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</w:fldData>
        </w:fldChar>
      </w:r>
      <w:r w:rsidR="002C69BD">
        <w:rPr>
          <w:rFonts w:ascii="Arial" w:hAnsi="Arial" w:cs="Arial"/>
          <w:color w:val="000000"/>
          <w:shd w:val="clear" w:color="auto" w:fill="FFFFFF"/>
          <w:lang w:val="en-AU"/>
        </w:rPr>
        <w:instrText xml:space="preserve"> ADDIN EN.CITE </w:instrText>
      </w:r>
      <w:r w:rsidR="002C69BD">
        <w:rPr>
          <w:rFonts w:ascii="Arial" w:hAnsi="Arial" w:cs="Arial"/>
          <w:color w:val="000000"/>
          <w:shd w:val="clear" w:color="auto" w:fill="FFFFFF"/>
          <w:lang w:val="en-AU"/>
        </w:rPr>
        <w:fldChar w:fldCharType="begin">
          <w:fldData xml:space="preserve">PEVuZE5vdGU+PENpdGU+PEF1dGhvcj5XYXR0czwvQXV0aG9yPjxZZWFyPjIwMTk8L1llYXI+PFJl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</w:fldData>
        </w:fldChar>
      </w:r>
      <w:r w:rsidR="002C69BD">
        <w:rPr>
          <w:rFonts w:ascii="Arial" w:hAnsi="Arial" w:cs="Arial"/>
          <w:color w:val="000000"/>
          <w:shd w:val="clear" w:color="auto" w:fill="FFFFFF"/>
          <w:lang w:val="en-AU"/>
        </w:rPr>
        <w:instrText xml:space="preserve"> ADDIN EN.CITE.DATA </w:instrText>
      </w:r>
      <w:r w:rsidR="002C69BD">
        <w:rPr>
          <w:rFonts w:ascii="Arial" w:hAnsi="Arial" w:cs="Arial"/>
          <w:color w:val="000000"/>
          <w:shd w:val="clear" w:color="auto" w:fill="FFFFFF"/>
          <w:lang w:val="en-AU"/>
        </w:rPr>
      </w:r>
      <w:r w:rsidR="002C69BD">
        <w:rPr>
          <w:rFonts w:ascii="Arial" w:hAnsi="Arial" w:cs="Arial"/>
          <w:color w:val="000000"/>
          <w:shd w:val="clear" w:color="auto" w:fill="FFFFFF"/>
          <w:lang w:val="en-AU"/>
        </w:rPr>
        <w:fldChar w:fldCharType="end"/>
      </w:r>
      <w:r w:rsidRPr="00400300">
        <w:rPr>
          <w:rFonts w:ascii="Arial" w:hAnsi="Arial" w:cs="Arial"/>
          <w:color w:val="000000"/>
          <w:shd w:val="clear" w:color="auto" w:fill="FFFFFF"/>
          <w:lang w:val="en-AU"/>
        </w:rPr>
      </w:r>
      <w:r w:rsidRPr="00400300">
        <w:rPr>
          <w:rFonts w:ascii="Arial" w:hAnsi="Arial" w:cs="Arial"/>
          <w:color w:val="000000"/>
          <w:shd w:val="clear" w:color="auto" w:fill="FFFFFF"/>
          <w:lang w:val="en-AU"/>
        </w:rPr>
        <w:fldChar w:fldCharType="separate"/>
      </w:r>
      <w:r w:rsidR="002C69BD" w:rsidRPr="002C69BD">
        <w:rPr>
          <w:rFonts w:ascii="Arial" w:hAnsi="Arial" w:cs="Arial"/>
          <w:noProof/>
          <w:color w:val="000000"/>
          <w:shd w:val="clear" w:color="auto" w:fill="FFFFFF"/>
          <w:vertAlign w:val="superscript"/>
          <w:lang w:val="en-AU"/>
        </w:rPr>
        <w:t>64</w:t>
      </w:r>
      <w:r w:rsidRPr="00400300">
        <w:rPr>
          <w:rFonts w:ascii="Arial" w:hAnsi="Arial" w:cs="Arial"/>
          <w:color w:val="000000"/>
          <w:shd w:val="clear" w:color="auto" w:fill="FFFFFF"/>
          <w:lang w:val="en-AU"/>
        </w:rPr>
        <w:fldChar w:fldCharType="end"/>
      </w:r>
      <w:r w:rsidRPr="00400300">
        <w:rPr>
          <w:rFonts w:ascii="Arial" w:hAnsi="Arial" w:cs="Arial"/>
          <w:color w:val="000000"/>
          <w:shd w:val="clear" w:color="auto" w:fill="FFFFFF"/>
          <w:lang w:val="en-AU"/>
        </w:rPr>
        <w:t xml:space="preserve"> </w:t>
      </w:r>
      <w:r w:rsidRPr="00400300">
        <w:rPr>
          <w:szCs w:val="22"/>
          <w:lang w:val="en-AU"/>
        </w:rPr>
        <w:t xml:space="preserve">The increasing likelihood and severity of extreme weather events and their associated impacts on the environment calls for greater attention to planning to mitigate and adapt to these changes. </w:t>
      </w:r>
    </w:p>
    <w:p w14:paraId="38B7869D" w14:textId="1D2D3C58" w:rsidR="00A27604" w:rsidRPr="00060F4E" w:rsidRDefault="00A27604" w:rsidP="009D02D8">
      <w:pPr>
        <w:rPr>
          <w:lang w:val="en-AU"/>
        </w:rPr>
      </w:pPr>
      <w:r w:rsidRPr="00400300">
        <w:rPr>
          <w:szCs w:val="22"/>
          <w:lang w:val="en-AU"/>
        </w:rPr>
        <w:t>Accordingly, this Strategy promotes long-term planning approaches such as housing standards and improvements in community warning and communication systems regarding extreme weather events.</w:t>
      </w:r>
      <w:r w:rsidRPr="00400300">
        <w:rPr>
          <w:lang w:val="en-AU"/>
        </w:rPr>
        <w:t xml:space="preserve"> Policies and behaviours to reduce the likelihood or consequence of environmental events should address the driving causes and effects of vulnerability.</w:t>
      </w:r>
      <w:r w:rsidRPr="00400300">
        <w:rPr>
          <w:lang w:val="en-AU"/>
        </w:rPr>
        <w:fldChar w:fldCharType="begin"/>
      </w:r>
      <w:r w:rsidR="002C69BD">
        <w:rPr>
          <w:lang w:val="en-AU"/>
        </w:rPr>
        <w:instrText xml:space="preserve"> ADDIN EN.CITE &lt;EndNote&gt;&lt;Cite&gt;&lt;Author&gt;Australian Government Department of Home Affairs&lt;/Author&gt;&lt;Year&gt;2018&lt;/Year&gt;&lt;RecNum&gt;85&lt;/RecNum&gt;&lt;DisplayText&gt;&lt;style face="superscript"&gt;65&lt;/style&gt;&lt;/DisplayText&gt;&lt;record&gt;&lt;rec-number&gt;85&lt;/rec-number&gt;&lt;foreign-keys&gt;&lt;key app="EN" db-id="2wsw9x5wvsspa1evwxlvvergx9epfd50fs2a" timestamp="1576733562"&gt;85&lt;/key&gt;&lt;/foreign-keys&gt;&lt;ref-type name="Report"&gt;27&lt;/ref-type&gt;&lt;contributors&gt;&lt;authors&gt;&lt;author&gt;Australian Government Department of Home Affairs,&lt;/author&gt;&lt;/authors&gt;&lt;/contributors&gt;&lt;titles&gt;&lt;title&gt;Profiling Australia’s Vulnerability: the interconnected causes and cascading effects of systemic disaster risk&lt;/title&gt;&lt;/titles&gt;&lt;dates&gt;&lt;year&gt;2018&lt;/year&gt;&lt;/dates&gt;&lt;urls&gt;&lt;/urls&gt;&lt;/record&gt;&lt;/Cite&gt;&lt;/EndNote&gt;</w:instrText>
      </w:r>
      <w:r w:rsidRPr="00400300">
        <w:rPr>
          <w:lang w:val="en-AU"/>
        </w:rPr>
        <w:fldChar w:fldCharType="separate"/>
      </w:r>
      <w:r w:rsidR="002C69BD" w:rsidRPr="002C69BD">
        <w:rPr>
          <w:noProof/>
          <w:vertAlign w:val="superscript"/>
          <w:lang w:val="en-AU"/>
        </w:rPr>
        <w:t>65</w:t>
      </w:r>
      <w:r w:rsidRPr="00400300">
        <w:rPr>
          <w:lang w:val="en-AU"/>
        </w:rPr>
        <w:fldChar w:fldCharType="end"/>
      </w:r>
      <w:r w:rsidRPr="00400300">
        <w:rPr>
          <w:szCs w:val="22"/>
          <w:lang w:val="en-AU"/>
        </w:rPr>
        <w:t xml:space="preserve"> Anticipating changes in injury events and numbers requires reducing systemic vulnerabilities </w:t>
      </w:r>
      <w:r w:rsidRPr="00400300">
        <w:rPr>
          <w:lang w:val="en-AU"/>
        </w:rPr>
        <w:t>and building resilience and capability to respond to extreme weather events. The health sector also has an important role in climate change mitigation</w:t>
      </w:r>
      <w:r w:rsidR="008462F1" w:rsidRPr="00400300">
        <w:rPr>
          <w:lang w:val="en-AU"/>
        </w:rPr>
        <w:t>.</w:t>
      </w:r>
      <w:r w:rsidR="008462F1" w:rsidRPr="00400300">
        <w:rPr>
          <w:lang w:val="en-AU"/>
        </w:rPr>
        <w:fldChar w:fldCharType="begin"/>
      </w:r>
      <w:r w:rsidR="002C69BD">
        <w:rPr>
          <w:lang w:val="en-AU"/>
        </w:rPr>
        <w:instrText xml:space="preserve"> ADDIN EN.CITE &lt;EndNote&gt;&lt;Cite&gt;&lt;Author&gt;McMichael&lt;/Author&gt;&lt;Year&gt;2009&lt;/Year&gt;&lt;RecNum&gt;103&lt;/RecNum&gt;&lt;DisplayText&gt;&lt;style face="superscript"&gt;66&lt;/style&gt;&lt;/DisplayText&gt;&lt;record&gt;&lt;rec-number&gt;103&lt;/rec-number&gt;&lt;foreign-keys&gt;&lt;key app="EN" db-id="2wsw9x5wvsspa1evwxlvvergx9epfd50fs2a" timestamp="1583097777"&gt;103&lt;/key&gt;&lt;/foreign-keys&gt;&lt;ref-type name="Journal Article"&gt;17&lt;/ref-type&gt;&lt;contributors&gt;&lt;authors&gt;&lt;author&gt;McMichael, Anthony J&lt;/author&gt;&lt;author&gt;Neira, Maria&lt;/author&gt;&lt;author&gt;Bertollini, Roberto&lt;/author&gt;&lt;author&gt;Campbell-Lendrum, Diarmid&lt;/author&gt;&lt;author&gt;Hales, Simon %J The Lancet&lt;/author&gt;&lt;/authors&gt;&lt;/contributors&gt;&lt;titles&gt;&lt;title&gt;Climate change: a time of need and opportunity for the health sector&lt;/title&gt;&lt;/titles&gt;&lt;pages&gt;2123-2125&lt;/pages&gt;&lt;volume&gt;374&lt;/volume&gt;&lt;number&gt;9707&lt;/number&gt;&lt;dates&gt;&lt;year&gt;2009&lt;/year&gt;&lt;/dates&gt;&lt;isbn&gt;0140-6736&lt;/isbn&gt;&lt;urls&gt;&lt;/urls&gt;&lt;/record&gt;&lt;/Cite&gt;&lt;/EndNote&gt;</w:instrText>
      </w:r>
      <w:r w:rsidR="008462F1" w:rsidRPr="00400300">
        <w:rPr>
          <w:lang w:val="en-AU"/>
        </w:rPr>
        <w:fldChar w:fldCharType="separate"/>
      </w:r>
      <w:r w:rsidR="002C69BD" w:rsidRPr="002C69BD">
        <w:rPr>
          <w:noProof/>
          <w:vertAlign w:val="superscript"/>
          <w:lang w:val="en-AU"/>
        </w:rPr>
        <w:t>66</w:t>
      </w:r>
      <w:r w:rsidR="008462F1" w:rsidRPr="00400300">
        <w:rPr>
          <w:lang w:val="en-AU"/>
        </w:rPr>
        <w:fldChar w:fldCharType="end"/>
      </w:r>
    </w:p>
    <w:p w14:paraId="57E97F01" w14:textId="50711B94" w:rsidR="009D02D8" w:rsidRDefault="00A27604" w:rsidP="00A27604">
      <w:pPr>
        <w:rPr>
          <w:lang w:val="en-AU" w:eastAsia="zh-CN"/>
        </w:rPr>
      </w:pPr>
      <w:r w:rsidRPr="00400300">
        <w:rPr>
          <w:lang w:val="en-AU" w:eastAsia="zh-CN"/>
        </w:rPr>
        <w:t>Increased temperatures in Australia due to a changing climate are expected to pose direct threats to health</w:t>
      </w:r>
      <w:r w:rsidR="007D5286">
        <w:rPr>
          <w:lang w:val="en-AU" w:eastAsia="zh-CN"/>
        </w:rPr>
        <w:t>,</w:t>
      </w:r>
      <w:r w:rsidRPr="00400300">
        <w:rPr>
          <w:lang w:val="en-AU" w:eastAsia="zh-CN"/>
        </w:rPr>
        <w:t xml:space="preserve"> particularly the risk of heat stress to vulnerable communities and age-groups. Burns and respiratory problems</w:t>
      </w:r>
      <w:r w:rsidR="006A3A7C">
        <w:rPr>
          <w:lang w:val="en-AU" w:eastAsia="zh-CN"/>
        </w:rPr>
        <w:t xml:space="preserve"> are</w:t>
      </w:r>
      <w:r w:rsidRPr="00400300">
        <w:rPr>
          <w:lang w:val="en-AU" w:eastAsia="zh-CN"/>
        </w:rPr>
        <w:t xml:space="preserve"> associated with the increasing number, intensity and coverage of bushfires, thunderstorms and dust storms.</w:t>
      </w:r>
      <w:r w:rsidRPr="00400300">
        <w:rPr>
          <w:lang w:val="en-AU" w:eastAsia="zh-CN"/>
        </w:rPr>
        <w:fldChar w:fldCharType="begin"/>
      </w:r>
      <w:r w:rsidR="002C69BD">
        <w:rPr>
          <w:lang w:val="en-AU" w:eastAsia="zh-CN"/>
        </w:rPr>
        <w:instrText xml:space="preserve"> ADDIN EN.CITE &lt;EndNote&gt;&lt;Cite&gt;&lt;Author&gt;Beggs&lt;/Author&gt;&lt;Year&gt;2019&lt;/Year&gt;&lt;RecNum&gt;50&lt;/RecNum&gt;&lt;DisplayText&gt;&lt;style face="superscript"&gt;67&lt;/style&gt;&lt;/DisplayText&gt;&lt;record&gt;&lt;rec-number&gt;50&lt;/rec-number&gt;&lt;foreign-keys&gt;&lt;key app="EN" db-id="2wsw9x5wvsspa1evwxlvvergx9epfd50fs2a" timestamp="1574385457"&gt;50&lt;/key&gt;&lt;/foreign-keys&gt;&lt;ref-type name="Journal Article"&gt;17&lt;/ref-type&gt;&lt;contributors&gt;&lt;authors&gt;&lt;author&gt;Beggs, Paul J&lt;/author&gt;&lt;author&gt;Zhang, Ying&lt;/author&gt;&lt;author&gt;Bambrick, Hilary&lt;/author&gt;&lt;author&gt;Berry, Helen L&lt;/author&gt;&lt;author&gt;Linnenluecke, Martina K&lt;/author&gt;&lt;author&gt;Trueck, Stefan&lt;/author&gt;&lt;author&gt;Bi, Peng&lt;/author&gt;&lt;author&gt;Boylan, Sinead M&lt;/author&gt;&lt;author&gt;Green, Donna&lt;/author&gt;&lt;author&gt;Guo, Yuming&lt;/author&gt;&lt;/authors&gt;&lt;/contributors&gt;&lt;titles&gt;&lt;title&gt;The 2019 report of the MJA–Lancet Countdown on health and climate change: a turbulent year with mixed progress&lt;/title&gt;&lt;secondary-title&gt;Medical Journal of Australia&lt;/secondary-title&gt;&lt;/titles&gt;&lt;periodical&gt;&lt;full-title&gt;Medical journal of Australia&lt;/full-title&gt;&lt;/periodical&gt;&lt;dates&gt;&lt;year&gt;2019&lt;/year&gt;&lt;/dates&gt;&lt;isbn&gt;1326-5377&lt;/isbn&gt;&lt;urls&gt;&lt;/urls&gt;&lt;/record&gt;&lt;/Cite&gt;&lt;/EndNote&gt;</w:instrText>
      </w:r>
      <w:r w:rsidRPr="00400300">
        <w:rPr>
          <w:lang w:val="en-AU" w:eastAsia="zh-CN"/>
        </w:rPr>
        <w:fldChar w:fldCharType="separate"/>
      </w:r>
      <w:r w:rsidR="002C69BD" w:rsidRPr="002C69BD">
        <w:rPr>
          <w:noProof/>
          <w:vertAlign w:val="superscript"/>
          <w:lang w:val="en-AU" w:eastAsia="zh-CN"/>
        </w:rPr>
        <w:t>67</w:t>
      </w:r>
      <w:r w:rsidRPr="00400300">
        <w:rPr>
          <w:lang w:val="en-AU" w:eastAsia="zh-CN"/>
        </w:rPr>
        <w:fldChar w:fldCharType="end"/>
      </w:r>
      <w:r w:rsidRPr="00400300">
        <w:rPr>
          <w:lang w:val="en-AU" w:eastAsia="zh-CN"/>
        </w:rPr>
        <w:t xml:space="preserve"> Vulnerable groups include</w:t>
      </w:r>
      <w:r w:rsidR="009D02D8">
        <w:rPr>
          <w:lang w:val="en-AU" w:eastAsia="zh-CN"/>
        </w:rPr>
        <w:t>:</w:t>
      </w:r>
    </w:p>
    <w:p w14:paraId="4F00B43F" w14:textId="77777777" w:rsidR="009D02D8" w:rsidRPr="009D02D8" w:rsidRDefault="009D02D8" w:rsidP="007D5286">
      <w:pPr>
        <w:pStyle w:val="ListParagraph"/>
        <w:numPr>
          <w:ilvl w:val="0"/>
          <w:numId w:val="99"/>
        </w:numPr>
        <w:rPr>
          <w:lang w:val="en-AU" w:eastAsia="zh-CN"/>
        </w:rPr>
      </w:pPr>
      <w:r w:rsidRPr="009D02D8">
        <w:rPr>
          <w:lang w:val="en-AU" w:eastAsia="zh-CN"/>
        </w:rPr>
        <w:t>older people;</w:t>
      </w:r>
    </w:p>
    <w:p w14:paraId="0CE878B3" w14:textId="2E812C2B" w:rsidR="009D02D8" w:rsidRPr="009D02D8" w:rsidRDefault="00A27604" w:rsidP="007D5286">
      <w:pPr>
        <w:pStyle w:val="ListParagraph"/>
        <w:numPr>
          <w:ilvl w:val="0"/>
          <w:numId w:val="99"/>
        </w:numPr>
        <w:rPr>
          <w:lang w:val="en-AU" w:eastAsia="zh-CN"/>
        </w:rPr>
      </w:pPr>
      <w:r w:rsidRPr="009D02D8">
        <w:rPr>
          <w:lang w:val="en-AU" w:eastAsia="zh-CN"/>
        </w:rPr>
        <w:t>children and those with pre-existing health conditions such as chronic respiratory diseases, cardio</w:t>
      </w:r>
      <w:r w:rsidR="009D02D8" w:rsidRPr="009D02D8">
        <w:rPr>
          <w:lang w:val="en-AU" w:eastAsia="zh-CN"/>
        </w:rPr>
        <w:t>vascular diseases and diabetes; and</w:t>
      </w:r>
    </w:p>
    <w:p w14:paraId="777CAB3B" w14:textId="77777777" w:rsidR="009D02D8" w:rsidRPr="009D02D8" w:rsidRDefault="00A27604" w:rsidP="007D5286">
      <w:pPr>
        <w:pStyle w:val="ListParagraph"/>
        <w:numPr>
          <w:ilvl w:val="0"/>
          <w:numId w:val="99"/>
        </w:numPr>
        <w:rPr>
          <w:lang w:val="en-AU" w:eastAsia="zh-CN"/>
        </w:rPr>
      </w:pPr>
      <w:r w:rsidRPr="009D02D8">
        <w:rPr>
          <w:lang w:val="en-AU" w:eastAsia="zh-CN"/>
        </w:rPr>
        <w:t>disadvantaged groups whose housing standards leave them with less protection against increasing temperatures.</w:t>
      </w:r>
      <w:r w:rsidRPr="009D02D8">
        <w:rPr>
          <w:lang w:val="en-AU" w:eastAsia="zh-CN"/>
        </w:rPr>
        <w:fldChar w:fldCharType="begin"/>
      </w:r>
      <w:r w:rsidR="002C69BD" w:rsidRPr="009D02D8">
        <w:rPr>
          <w:lang w:val="en-AU" w:eastAsia="zh-CN"/>
        </w:rPr>
        <w:instrText xml:space="preserve"> ADDIN EN.CITE &lt;EndNote&gt;&lt;Cite&gt;&lt;Author&gt;Beggs&lt;/Author&gt;&lt;Year&gt;2019&lt;/Year&gt;&lt;RecNum&gt;50&lt;/RecNum&gt;&lt;DisplayText&gt;&lt;style face="superscript"&gt;67&lt;/style&gt;&lt;/DisplayText&gt;&lt;record&gt;&lt;rec-number&gt;50&lt;/rec-number&gt;&lt;foreign-keys&gt;&lt;key app="EN" db-id="2wsw9x5wvsspa1evwxlvvergx9epfd50fs2a" timestamp="1574385457"&gt;50&lt;/key&gt;&lt;/foreign-keys&gt;&lt;ref-type name="Journal Article"&gt;17&lt;/ref-type&gt;&lt;contributors&gt;&lt;authors&gt;&lt;author&gt;Beggs, Paul J&lt;/author&gt;&lt;author&gt;Zhang, Ying&lt;/author&gt;&lt;author&gt;Bambrick, Hilary&lt;/author&gt;&lt;author&gt;Berry, Helen L&lt;/author&gt;&lt;author&gt;Linnenluecke, Martina K&lt;/author&gt;&lt;author&gt;Trueck, Stefan&lt;/author&gt;&lt;author&gt;Bi, Peng&lt;/author&gt;&lt;author&gt;Boylan, Sinead M&lt;/author&gt;&lt;author&gt;Green, Donna&lt;/author&gt;&lt;author&gt;Guo, Yuming&lt;/author&gt;&lt;/authors&gt;&lt;/contributors&gt;&lt;titles&gt;&lt;title&gt;The 2019 report of the MJA–Lancet Countdown on health and climate change: a turbulent year with mixed progress&lt;/title&gt;&lt;secondary-title&gt;Medical Journal of Australia&lt;/secondary-title&gt;&lt;/titles&gt;&lt;periodical&gt;&lt;full-title&gt;Medical journal of Australia&lt;/full-title&gt;&lt;/periodical&gt;&lt;dates&gt;&lt;year&gt;2019&lt;/year&gt;&lt;/dates&gt;&lt;isbn&gt;1326-5377&lt;/isbn&gt;&lt;urls&gt;&lt;/urls&gt;&lt;/record&gt;&lt;/Cite&gt;&lt;/EndNote&gt;</w:instrText>
      </w:r>
      <w:r w:rsidRPr="009D02D8">
        <w:rPr>
          <w:lang w:val="en-AU" w:eastAsia="zh-CN"/>
        </w:rPr>
        <w:fldChar w:fldCharType="separate"/>
      </w:r>
      <w:r w:rsidR="002C69BD" w:rsidRPr="009D02D8">
        <w:rPr>
          <w:noProof/>
          <w:vertAlign w:val="superscript"/>
          <w:lang w:val="en-AU" w:eastAsia="zh-CN"/>
        </w:rPr>
        <w:t>67</w:t>
      </w:r>
      <w:r w:rsidRPr="009D02D8">
        <w:rPr>
          <w:lang w:val="en-AU" w:eastAsia="zh-CN"/>
        </w:rPr>
        <w:fldChar w:fldCharType="end"/>
      </w:r>
      <w:r w:rsidRPr="009D02D8">
        <w:rPr>
          <w:lang w:val="en-AU" w:eastAsia="zh-CN"/>
        </w:rPr>
        <w:t xml:space="preserve"> </w:t>
      </w:r>
    </w:p>
    <w:p w14:paraId="4B2ECAFF" w14:textId="77777777" w:rsidR="009D02D8" w:rsidRDefault="00A27604" w:rsidP="00A27604">
      <w:pPr>
        <w:rPr>
          <w:lang w:val="en-AU" w:eastAsia="zh-CN"/>
        </w:rPr>
      </w:pPr>
      <w:r w:rsidRPr="00400300">
        <w:rPr>
          <w:lang w:val="en-AU" w:eastAsia="zh-CN"/>
        </w:rPr>
        <w:t xml:space="preserve">Australia’s ageing population also means that the number of people vulnerable to the effects of increased temperatures is expected to rise. </w:t>
      </w:r>
    </w:p>
    <w:p w14:paraId="7F0ADDFA" w14:textId="77777777" w:rsidR="009D02D8" w:rsidRDefault="00A27604" w:rsidP="00A27604">
      <w:pPr>
        <w:rPr>
          <w:color w:val="000000"/>
          <w:lang w:val="en-AU" w:eastAsia="zh-CN"/>
        </w:rPr>
      </w:pPr>
      <w:r w:rsidRPr="00400300">
        <w:rPr>
          <w:color w:val="000000"/>
          <w:lang w:val="en-AU" w:eastAsia="zh-CN"/>
        </w:rPr>
        <w:t>Rural communities will be at greater risk of bushfire-related burns and suffocation and risk of suicide and self-harm associated with loss of livelihoods due to drought and extreme weather events.</w:t>
      </w:r>
    </w:p>
    <w:p w14:paraId="3B8CE271" w14:textId="77777777" w:rsidR="009D02D8" w:rsidRDefault="00A27604" w:rsidP="00A27604">
      <w:pPr>
        <w:rPr>
          <w:lang w:val="en-AU" w:eastAsia="zh-CN"/>
        </w:rPr>
      </w:pPr>
      <w:r w:rsidRPr="00400300">
        <w:rPr>
          <w:color w:val="000000"/>
          <w:lang w:val="en-AU" w:eastAsia="zh-CN"/>
        </w:rPr>
        <w:t>People who work outdoors or in non-heat controlled environments will be at greater risk of heat stress.</w:t>
      </w:r>
      <w:r w:rsidRPr="00400300">
        <w:rPr>
          <w:lang w:val="en-AU" w:eastAsia="zh-CN"/>
        </w:rPr>
        <w:fldChar w:fldCharType="begin"/>
      </w:r>
      <w:r w:rsidR="002C69BD">
        <w:rPr>
          <w:lang w:val="en-AU" w:eastAsia="zh-CN"/>
        </w:rPr>
        <w:instrText xml:space="preserve"> ADDIN EN.CITE &lt;EndNote&gt;&lt;Cite&gt;&lt;Author&gt;Beggs&lt;/Author&gt;&lt;Year&gt;2019&lt;/Year&gt;&lt;RecNum&gt;50&lt;/RecNum&gt;&lt;DisplayText&gt;&lt;style face="superscript"&gt;67&lt;/style&gt;&lt;/DisplayText&gt;&lt;record&gt;&lt;rec-number&gt;50&lt;/rec-number&gt;&lt;foreign-keys&gt;&lt;key app="EN" db-id="2wsw9x5wvsspa1evwxlvvergx9epfd50fs2a" timestamp="1574385457"&gt;50&lt;/key&gt;&lt;/foreign-keys&gt;&lt;ref-type name="Journal Article"&gt;17&lt;/ref-type&gt;&lt;contributors&gt;&lt;authors&gt;&lt;author&gt;Beggs, Paul J&lt;/author&gt;&lt;author&gt;Zhang, Ying&lt;/author&gt;&lt;author&gt;Bambrick, Hilary&lt;/author&gt;&lt;author&gt;Berry, Helen L&lt;/author&gt;&lt;author&gt;Linnenluecke, Martina K&lt;/author&gt;&lt;author&gt;Trueck, Stefan&lt;/author&gt;&lt;author&gt;Bi, Peng&lt;/author&gt;&lt;author&gt;Boylan, Sinead M&lt;/author&gt;&lt;author&gt;Green, Donna&lt;/author&gt;&lt;author&gt;Guo, Yuming&lt;/author&gt;&lt;/authors&gt;&lt;/contributors&gt;&lt;titles&gt;&lt;title&gt;The 2019 report of the MJA–Lancet Countdown on health and climate change: a turbulent year with mixed progress&lt;/title&gt;&lt;secondary-title&gt;Medical Journal of Australia&lt;/secondary-title&gt;&lt;/titles&gt;&lt;periodical&gt;&lt;full-title&gt;Medical journal of Australia&lt;/full-title&gt;&lt;/periodical&gt;&lt;dates&gt;&lt;year&gt;2019&lt;/year&gt;&lt;/dates&gt;&lt;isbn&gt;1326-5377&lt;/isbn&gt;&lt;urls&gt;&lt;/urls&gt;&lt;/record&gt;&lt;/Cite&gt;&lt;/EndNote&gt;</w:instrText>
      </w:r>
      <w:r w:rsidRPr="00400300">
        <w:rPr>
          <w:lang w:val="en-AU" w:eastAsia="zh-CN"/>
        </w:rPr>
        <w:fldChar w:fldCharType="separate"/>
      </w:r>
      <w:r w:rsidR="002C69BD" w:rsidRPr="002C69BD">
        <w:rPr>
          <w:noProof/>
          <w:vertAlign w:val="superscript"/>
          <w:lang w:val="en-AU" w:eastAsia="zh-CN"/>
        </w:rPr>
        <w:t>67</w:t>
      </w:r>
      <w:r w:rsidRPr="00400300">
        <w:rPr>
          <w:lang w:val="en-AU" w:eastAsia="zh-CN"/>
        </w:rPr>
        <w:fldChar w:fldCharType="end"/>
      </w:r>
      <w:r w:rsidRPr="00400300">
        <w:rPr>
          <w:lang w:val="en-AU" w:eastAsia="zh-CN"/>
        </w:rPr>
        <w:t xml:space="preserve"> </w:t>
      </w:r>
    </w:p>
    <w:p w14:paraId="030C77E6" w14:textId="790382BE" w:rsidR="00A27604" w:rsidRPr="00400300" w:rsidRDefault="00A27604" w:rsidP="00A27604">
      <w:pPr>
        <w:rPr>
          <w:lang w:val="en-AU" w:eastAsia="zh-CN"/>
        </w:rPr>
      </w:pPr>
      <w:r w:rsidRPr="00400300">
        <w:rPr>
          <w:lang w:val="en-AU" w:eastAsia="zh-CN"/>
        </w:rPr>
        <w:t xml:space="preserve">Other </w:t>
      </w:r>
      <w:r w:rsidRPr="00400300">
        <w:rPr>
          <w:szCs w:val="22"/>
          <w:lang w:val="en-AU"/>
        </w:rPr>
        <w:t>injuries caused by an increase in extreme weather events may include</w:t>
      </w:r>
      <w:r w:rsidR="007D5286">
        <w:rPr>
          <w:szCs w:val="22"/>
          <w:lang w:val="en-AU"/>
        </w:rPr>
        <w:t>:</w:t>
      </w:r>
      <w:r w:rsidRPr="00400300">
        <w:rPr>
          <w:szCs w:val="22"/>
          <w:lang w:val="en-AU"/>
        </w:rPr>
        <w:t xml:space="preserve"> increased risk of drowning </w:t>
      </w:r>
      <w:r w:rsidR="007D5286">
        <w:rPr>
          <w:szCs w:val="22"/>
          <w:lang w:val="en-AU"/>
        </w:rPr>
        <w:t>(</w:t>
      </w:r>
      <w:r w:rsidRPr="00400300">
        <w:rPr>
          <w:szCs w:val="22"/>
          <w:lang w:val="en-AU"/>
        </w:rPr>
        <w:t>with flooding</w:t>
      </w:r>
      <w:r w:rsidR="007D5286">
        <w:rPr>
          <w:szCs w:val="22"/>
          <w:lang w:val="en-AU"/>
        </w:rPr>
        <w:t>);</w:t>
      </w:r>
      <w:r w:rsidRPr="00400300">
        <w:rPr>
          <w:szCs w:val="22"/>
          <w:lang w:val="en-AU"/>
        </w:rPr>
        <w:t xml:space="preserve"> mental health issues for those living in rural and remote areas and first responders</w:t>
      </w:r>
      <w:r w:rsidR="007D5286">
        <w:rPr>
          <w:szCs w:val="22"/>
          <w:lang w:val="en-AU"/>
        </w:rPr>
        <w:t>;</w:t>
      </w:r>
      <w:r w:rsidR="00A36BBA">
        <w:rPr>
          <w:szCs w:val="22"/>
          <w:lang w:val="en-AU"/>
        </w:rPr>
        <w:t xml:space="preserve"> and exertional heat illnesses in those who play sport</w:t>
      </w:r>
      <w:r w:rsidRPr="00400300">
        <w:rPr>
          <w:szCs w:val="22"/>
          <w:lang w:val="en-AU"/>
        </w:rPr>
        <w:t>.</w:t>
      </w:r>
    </w:p>
    <w:p w14:paraId="387339D8" w14:textId="2372D917" w:rsidR="001233B8" w:rsidRPr="00400300" w:rsidRDefault="0022326A" w:rsidP="001233B8">
      <w:pPr>
        <w:pStyle w:val="Heading3"/>
        <w:rPr>
          <w:lang w:val="en-AU"/>
        </w:rPr>
      </w:pPr>
      <w:r w:rsidRPr="00400300">
        <w:rPr>
          <w:lang w:val="en-AU"/>
        </w:rPr>
        <w:t>Priority areas for action</w:t>
      </w:r>
    </w:p>
    <w:p w14:paraId="14C5AE8E" w14:textId="22293451" w:rsidR="00631536" w:rsidRDefault="00631536">
      <w:pPr>
        <w:spacing w:before="0" w:after="160" w:line="259" w:lineRule="auto"/>
        <w:rPr>
          <w:rFonts w:cstheme="minorHAnsi"/>
          <w:b/>
          <w:sz w:val="28"/>
          <w:szCs w:val="28"/>
          <w:lang w:val="en-AU" w:eastAsia="en-US"/>
        </w:rPr>
      </w:pPr>
      <w:bookmarkStart w:id="270" w:name="_Toc29473023"/>
      <w:bookmarkStart w:id="271" w:name="_Toc30077755"/>
      <w:bookmarkStart w:id="272" w:name="_Toc31128327"/>
      <w:bookmarkStart w:id="273" w:name="_Toc32584905"/>
      <w:bookmarkStart w:id="274" w:name="_Hlk29896050"/>
    </w:p>
    <w:tbl>
      <w:tblPr>
        <w:tblStyle w:val="TableGridLight"/>
        <w:tblW w:w="5001" w:type="pct"/>
        <w:tblBorders>
          <w:insideH w:val="none" w:sz="0" w:space="0" w:color="auto"/>
          <w:insideV w:val="none" w:sz="0" w:space="0" w:color="auto"/>
        </w:tblBorders>
        <w:tblLook w:val="04A0" w:firstRow="1" w:lastRow="0" w:firstColumn="1" w:lastColumn="0" w:noHBand="0" w:noVBand="1"/>
      </w:tblPr>
      <w:tblGrid>
        <w:gridCol w:w="485"/>
        <w:gridCol w:w="1214"/>
        <w:gridCol w:w="7319"/>
      </w:tblGrid>
      <w:tr w:rsidR="00252376" w:rsidRPr="00817E68" w14:paraId="1D41AAE7" w14:textId="77777777" w:rsidTr="00F62D45">
        <w:trPr>
          <w:trHeight w:val="20"/>
        </w:trPr>
        <w:tc>
          <w:tcPr>
            <w:tcW w:w="269" w:type="pct"/>
            <w:vMerge w:val="restart"/>
            <w:tcBorders>
              <w:right w:val="single" w:sz="4" w:space="0" w:color="BFBFBF" w:themeColor="background1" w:themeShade="BF"/>
            </w:tcBorders>
            <w:shd w:val="clear" w:color="auto" w:fill="525252" w:themeFill="accent3" w:themeFillShade="80"/>
            <w:textDirection w:val="btLr"/>
          </w:tcPr>
          <w:p w14:paraId="3079F644"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bookmarkStart w:id="275" w:name="_Hlk36133104"/>
            <w:r w:rsidRPr="00014045">
              <w:rPr>
                <w:rFonts w:cstheme="minorHAnsi"/>
                <w:b/>
                <w:color w:val="FFFFFF" w:themeColor="background1"/>
                <w:sz w:val="21"/>
                <w:szCs w:val="20"/>
                <w:lang w:val="en-AU"/>
              </w:rPr>
              <w:t>Cross cutting Extreme weather</w:t>
            </w:r>
            <w:r>
              <w:rPr>
                <w:rFonts w:cstheme="minorHAnsi"/>
                <w:b/>
                <w:color w:val="FFFFFF" w:themeColor="background1"/>
                <w:sz w:val="21"/>
                <w:szCs w:val="20"/>
                <w:lang w:val="en-AU"/>
              </w:rPr>
              <w:t xml:space="preserve"> events</w:t>
            </w:r>
          </w:p>
        </w:tc>
        <w:tc>
          <w:tcPr>
            <w:tcW w:w="673" w:type="pct"/>
            <w:tcBorders>
              <w:top w:val="single" w:sz="4" w:space="0" w:color="BFBFBF" w:themeColor="background1" w:themeShade="BF"/>
              <w:left w:val="single" w:sz="4" w:space="0" w:color="BFBFBF" w:themeColor="background1" w:themeShade="BF"/>
              <w:bottom w:val="nil"/>
            </w:tcBorders>
          </w:tcPr>
          <w:p w14:paraId="51E9689E" w14:textId="77777777" w:rsidR="00252376" w:rsidRPr="00EA3053" w:rsidRDefault="00252376" w:rsidP="00252376">
            <w:pPr>
              <w:spacing w:before="0"/>
              <w:rPr>
                <w:rFonts w:cstheme="minorHAnsi"/>
                <w:b/>
                <w:i/>
                <w:color w:val="000000" w:themeColor="text1"/>
                <w:sz w:val="18"/>
                <w:szCs w:val="18"/>
                <w:lang w:val="en-AU"/>
              </w:rPr>
            </w:pPr>
            <w:r w:rsidRPr="00EA3053">
              <w:rPr>
                <w:rFonts w:cstheme="minorHAnsi"/>
                <w:b/>
                <w:i/>
                <w:sz w:val="18"/>
                <w:szCs w:val="18"/>
                <w:lang w:val="en-AU"/>
              </w:rPr>
              <w:t>Objective 2</w:t>
            </w:r>
            <w:r>
              <w:rPr>
                <w:rFonts w:cstheme="minorHAnsi"/>
                <w:b/>
                <w:i/>
                <w:sz w:val="18"/>
                <w:szCs w:val="18"/>
                <w:lang w:val="en-AU"/>
              </w:rPr>
              <w:t>5</w:t>
            </w:r>
          </w:p>
        </w:tc>
        <w:tc>
          <w:tcPr>
            <w:tcW w:w="4058" w:type="pct"/>
            <w:tcBorders>
              <w:top w:val="single" w:sz="4" w:space="0" w:color="BFBFBF" w:themeColor="background1" w:themeShade="BF"/>
              <w:bottom w:val="nil"/>
            </w:tcBorders>
          </w:tcPr>
          <w:p w14:paraId="025F4E0B" w14:textId="1E88D85D" w:rsidR="00252376" w:rsidRPr="00014045" w:rsidRDefault="00252376" w:rsidP="00252376">
            <w:pPr>
              <w:pStyle w:val="Numberedtable"/>
              <w:numPr>
                <w:ilvl w:val="0"/>
                <w:numId w:val="0"/>
              </w:numPr>
              <w:rPr>
                <w:rFonts w:asciiTheme="minorHAnsi" w:hAnsiTheme="minorHAnsi" w:cstheme="minorHAnsi"/>
                <w:sz w:val="21"/>
                <w:szCs w:val="21"/>
                <w:lang w:val="en-AU"/>
              </w:rPr>
            </w:pPr>
            <w:r w:rsidRPr="00014045">
              <w:rPr>
                <w:rFonts w:asciiTheme="minorHAnsi" w:hAnsiTheme="minorHAnsi" w:cstheme="minorHAnsi"/>
                <w:sz w:val="21"/>
                <w:szCs w:val="21"/>
                <w:lang w:val="en-AU"/>
              </w:rPr>
              <w:t xml:space="preserve">Provide timely access to data on weather-related presentations to Emergency Departments </w:t>
            </w:r>
            <w:r w:rsidR="007D5286">
              <w:rPr>
                <w:rFonts w:asciiTheme="minorHAnsi" w:hAnsiTheme="minorHAnsi" w:cstheme="minorHAnsi"/>
                <w:sz w:val="21"/>
                <w:szCs w:val="21"/>
                <w:lang w:val="en-AU"/>
              </w:rPr>
              <w:t xml:space="preserve">(EDs) </w:t>
            </w:r>
            <w:r w:rsidRPr="00014045">
              <w:rPr>
                <w:rFonts w:asciiTheme="minorHAnsi" w:hAnsiTheme="minorHAnsi" w:cstheme="minorHAnsi"/>
                <w:sz w:val="21"/>
                <w:szCs w:val="21"/>
                <w:lang w:val="en-AU"/>
              </w:rPr>
              <w:t>or hospital admissions</w:t>
            </w:r>
          </w:p>
        </w:tc>
      </w:tr>
      <w:tr w:rsidR="00252376" w:rsidRPr="00817E68" w14:paraId="1DE94820"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7B462E84"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nil"/>
            </w:tcBorders>
          </w:tcPr>
          <w:p w14:paraId="4E73838D"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408A8CF8" w14:textId="77777777" w:rsidR="00252376" w:rsidRPr="00817E68" w:rsidRDefault="00252376" w:rsidP="00252376">
            <w:pPr>
              <w:spacing w:before="0"/>
              <w:rPr>
                <w:rFonts w:cstheme="minorHAnsi"/>
                <w:i/>
                <w:color w:val="000000" w:themeColor="text1"/>
                <w:sz w:val="18"/>
                <w:szCs w:val="18"/>
                <w:lang w:val="en-AU"/>
              </w:rPr>
            </w:pPr>
          </w:p>
        </w:tc>
        <w:tc>
          <w:tcPr>
            <w:tcW w:w="4058" w:type="pct"/>
            <w:tcBorders>
              <w:top w:val="nil"/>
              <w:bottom w:val="nil"/>
            </w:tcBorders>
          </w:tcPr>
          <w:p w14:paraId="1E4ECA48" w14:textId="77777777" w:rsidR="00252376" w:rsidRPr="00014045" w:rsidRDefault="00252376" w:rsidP="007D5286">
            <w:pPr>
              <w:pStyle w:val="TableNBullet"/>
              <w:numPr>
                <w:ilvl w:val="0"/>
                <w:numId w:val="79"/>
              </w:numPr>
              <w:rPr>
                <w:rFonts w:cstheme="minorHAnsi"/>
                <w:szCs w:val="21"/>
                <w:lang w:val="en-AU"/>
              </w:rPr>
            </w:pPr>
            <w:r w:rsidRPr="00014045">
              <w:rPr>
                <w:rFonts w:cstheme="minorHAnsi"/>
                <w:szCs w:val="21"/>
                <w:lang w:val="en-AU"/>
              </w:rPr>
              <w:t>Develop uniform data collection systems that capture weather-related ED presentations, hospital admissions and deaths across states and territories, and include reason for presentation, any underlying vulnerabilities and local environmental conditions at the time.</w:t>
            </w:r>
          </w:p>
          <w:p w14:paraId="4FB2EADF" w14:textId="4940E552" w:rsidR="00252376" w:rsidRPr="00014045" w:rsidRDefault="00252376" w:rsidP="007D5286">
            <w:pPr>
              <w:pStyle w:val="TableNBullet"/>
              <w:numPr>
                <w:ilvl w:val="0"/>
                <w:numId w:val="79"/>
              </w:numPr>
              <w:rPr>
                <w:rFonts w:cstheme="minorHAnsi"/>
                <w:color w:val="000000" w:themeColor="text1"/>
                <w:szCs w:val="21"/>
                <w:lang w:val="en-AU"/>
              </w:rPr>
            </w:pPr>
            <w:r w:rsidRPr="00014045">
              <w:rPr>
                <w:rFonts w:cstheme="minorHAnsi"/>
                <w:szCs w:val="21"/>
                <w:lang w:val="en-AU"/>
              </w:rPr>
              <w:t>Improve data collection and sharing between state and territory Health and Emergency Management Departments to ensure Australia can accurately report against targets of the Sendai Framework for Disaster Risk Reduction 2015-2030, including for death and injury.</w:t>
            </w:r>
            <w:r w:rsidRPr="00014045">
              <w:rPr>
                <w:rFonts w:cstheme="minorHAnsi"/>
                <w:szCs w:val="21"/>
                <w:lang w:val="en-AU"/>
              </w:rPr>
              <w:fldChar w:fldCharType="begin"/>
            </w:r>
            <w:r w:rsidR="002C69BD">
              <w:rPr>
                <w:rFonts w:cstheme="minorHAnsi"/>
                <w:szCs w:val="21"/>
                <w:lang w:val="en-AU"/>
              </w:rPr>
              <w:instrText xml:space="preserve"> ADDIN EN.CITE &lt;EndNote&gt;&lt;Cite&gt;&lt;Author&gt;United Nations&lt;/Author&gt;&lt;Year&gt;2017&lt;/Year&gt;&lt;RecNum&gt;93&lt;/RecNum&gt;&lt;DisplayText&gt;&lt;style face="superscript"&gt;68&lt;/style&gt;&lt;/DisplayText&gt;&lt;record&gt;&lt;rec-number&gt;93&lt;/rec-number&gt;&lt;foreign-keys&gt;&lt;key app="EN" db-id="2wsw9x5wvsspa1evwxlvvergx9epfd50fs2a" timestamp="1578359008"&gt;93&lt;/key&gt;&lt;/foreign-keys&gt;&lt;ref-type name="Report"&gt;27&lt;/ref-type&gt;&lt;contributors&gt;&lt;authors&gt;&lt;author&gt;United Nations,&lt;/author&gt;&lt;/authors&gt;&lt;/contributors&gt;&lt;titles&gt;&lt;title&gt;United Nations plan of action on disaster risk reduction for resilience: Towards a risk-informed and integrated approach to sustainable development&lt;/title&gt;&lt;/titles&gt;&lt;dates&gt;&lt;year&gt;2017&lt;/year&gt;&lt;/dates&gt;&lt;urls&gt;&lt;related-urls&gt;&lt;url&gt;https://www.preventionweb.net/files/49076_unplanofaction.pdf&lt;/url&gt;&lt;/related-urls&gt;&lt;/urls&gt;&lt;/record&gt;&lt;/Cite&gt;&lt;/EndNote&gt;</w:instrText>
            </w:r>
            <w:r w:rsidRPr="00014045">
              <w:rPr>
                <w:rFonts w:cstheme="minorHAnsi"/>
                <w:szCs w:val="21"/>
                <w:lang w:val="en-AU"/>
              </w:rPr>
              <w:fldChar w:fldCharType="separate"/>
            </w:r>
            <w:r w:rsidR="002C69BD" w:rsidRPr="002C69BD">
              <w:rPr>
                <w:rFonts w:cstheme="minorHAnsi"/>
                <w:noProof/>
                <w:szCs w:val="21"/>
                <w:vertAlign w:val="superscript"/>
                <w:lang w:val="en-AU"/>
              </w:rPr>
              <w:t>68</w:t>
            </w:r>
            <w:r w:rsidRPr="00014045">
              <w:rPr>
                <w:rFonts w:cstheme="minorHAnsi"/>
                <w:szCs w:val="21"/>
                <w:lang w:val="en-AU"/>
              </w:rPr>
              <w:fldChar w:fldCharType="end"/>
            </w:r>
          </w:p>
        </w:tc>
      </w:tr>
      <w:tr w:rsidR="00252376" w:rsidRPr="00740699" w14:paraId="10372A07"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1980C8AC"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single" w:sz="4" w:space="0" w:color="BFBFBF" w:themeColor="background1" w:themeShade="BF"/>
            </w:tcBorders>
          </w:tcPr>
          <w:p w14:paraId="7C9F282D"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8" w:type="pct"/>
            <w:tcBorders>
              <w:top w:val="nil"/>
              <w:bottom w:val="single" w:sz="4" w:space="0" w:color="BFBFBF" w:themeColor="background1" w:themeShade="BF"/>
            </w:tcBorders>
          </w:tcPr>
          <w:p w14:paraId="00D5414F" w14:textId="77777777" w:rsidR="00252376" w:rsidRPr="00014045" w:rsidRDefault="00252376" w:rsidP="00252376">
            <w:pPr>
              <w:spacing w:before="0"/>
              <w:rPr>
                <w:rFonts w:cstheme="minorHAnsi"/>
                <w:b/>
                <w:i/>
                <w:sz w:val="21"/>
                <w:szCs w:val="21"/>
                <w:lang w:val="en-AU"/>
              </w:rPr>
            </w:pPr>
            <w:r w:rsidRPr="00014045">
              <w:rPr>
                <w:rFonts w:cstheme="minorHAnsi"/>
                <w:i/>
                <w:sz w:val="21"/>
                <w:szCs w:val="21"/>
                <w:lang w:val="en-AU" w:eastAsia="en-AU"/>
              </w:rPr>
              <w:t>State and territory departments of health (</w:t>
            </w:r>
            <w:r w:rsidRPr="00014045">
              <w:rPr>
                <w:rFonts w:cstheme="minorHAnsi"/>
                <w:i/>
                <w:color w:val="000000"/>
                <w:sz w:val="21"/>
                <w:szCs w:val="21"/>
                <w:lang w:val="en-AU" w:eastAsia="zh-CN"/>
              </w:rPr>
              <w:t>Bureau of Meteorology)</w:t>
            </w:r>
          </w:p>
        </w:tc>
      </w:tr>
      <w:tr w:rsidR="00252376" w:rsidRPr="00740699" w14:paraId="5D56DBA3"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2F53F61C"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single" w:sz="4" w:space="0" w:color="BFBFBF" w:themeColor="background1" w:themeShade="BF"/>
              <w:left w:val="single" w:sz="4" w:space="0" w:color="BFBFBF" w:themeColor="background1" w:themeShade="BF"/>
              <w:bottom w:val="nil"/>
            </w:tcBorders>
          </w:tcPr>
          <w:p w14:paraId="43154B8D" w14:textId="77777777" w:rsidR="00252376" w:rsidRPr="00817E68" w:rsidRDefault="00252376" w:rsidP="00252376">
            <w:pPr>
              <w:spacing w:before="0"/>
              <w:rPr>
                <w:rFonts w:cstheme="minorHAnsi"/>
                <w:i/>
                <w:sz w:val="18"/>
                <w:szCs w:val="18"/>
                <w:lang w:val="en-AU"/>
              </w:rPr>
            </w:pPr>
            <w:r w:rsidRPr="00EA3053">
              <w:rPr>
                <w:rFonts w:cstheme="minorHAnsi"/>
                <w:b/>
                <w:i/>
                <w:sz w:val="18"/>
                <w:szCs w:val="18"/>
                <w:lang w:val="en-AU"/>
              </w:rPr>
              <w:t>Objective 2</w:t>
            </w:r>
            <w:r>
              <w:rPr>
                <w:rFonts w:cstheme="minorHAnsi"/>
                <w:b/>
                <w:i/>
                <w:sz w:val="18"/>
                <w:szCs w:val="18"/>
                <w:lang w:val="en-AU"/>
              </w:rPr>
              <w:t>6</w:t>
            </w:r>
          </w:p>
        </w:tc>
        <w:tc>
          <w:tcPr>
            <w:tcW w:w="4058" w:type="pct"/>
            <w:tcBorders>
              <w:top w:val="single" w:sz="4" w:space="0" w:color="BFBFBF" w:themeColor="background1" w:themeShade="BF"/>
              <w:bottom w:val="nil"/>
            </w:tcBorders>
          </w:tcPr>
          <w:p w14:paraId="23004B56" w14:textId="77777777" w:rsidR="00252376" w:rsidRPr="00014045" w:rsidRDefault="00252376" w:rsidP="00252376">
            <w:pPr>
              <w:spacing w:before="0"/>
              <w:rPr>
                <w:rFonts w:cstheme="minorHAnsi"/>
                <w:b/>
                <w:sz w:val="21"/>
                <w:szCs w:val="21"/>
                <w:lang w:val="en-AU"/>
              </w:rPr>
            </w:pPr>
            <w:r w:rsidRPr="00014045">
              <w:rPr>
                <w:rFonts w:cstheme="minorHAnsi"/>
                <w:b/>
                <w:sz w:val="21"/>
                <w:szCs w:val="21"/>
                <w:lang w:val="en-AU"/>
              </w:rPr>
              <w:t>Improve the short- and long-term response to climate extremes which include a focus on preventing injuries</w:t>
            </w:r>
          </w:p>
        </w:tc>
      </w:tr>
      <w:tr w:rsidR="00252376" w:rsidRPr="00740699" w14:paraId="4BD9DA6D"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6834DB4C"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nil"/>
            </w:tcBorders>
          </w:tcPr>
          <w:p w14:paraId="4ECDDFB4"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4B0BE836" w14:textId="77777777" w:rsidR="00252376" w:rsidRPr="00817E68" w:rsidRDefault="00252376" w:rsidP="00252376">
            <w:pPr>
              <w:spacing w:before="0"/>
              <w:rPr>
                <w:rFonts w:cstheme="minorHAnsi"/>
                <w:i/>
                <w:sz w:val="18"/>
                <w:szCs w:val="18"/>
                <w:lang w:val="en-AU"/>
              </w:rPr>
            </w:pPr>
          </w:p>
        </w:tc>
        <w:tc>
          <w:tcPr>
            <w:tcW w:w="4058" w:type="pct"/>
            <w:tcBorders>
              <w:top w:val="nil"/>
              <w:bottom w:val="nil"/>
            </w:tcBorders>
          </w:tcPr>
          <w:p w14:paraId="22D84812" w14:textId="77777777" w:rsidR="00252376" w:rsidRPr="00014045" w:rsidRDefault="00252376" w:rsidP="007D5286">
            <w:pPr>
              <w:pStyle w:val="TableNBullet"/>
              <w:numPr>
                <w:ilvl w:val="0"/>
                <w:numId w:val="80"/>
              </w:numPr>
              <w:rPr>
                <w:rFonts w:cstheme="minorHAnsi"/>
                <w:szCs w:val="21"/>
                <w:lang w:val="en-AU"/>
              </w:rPr>
            </w:pPr>
            <w:r w:rsidRPr="00014045">
              <w:rPr>
                <w:rFonts w:cstheme="minorHAnsi"/>
                <w:szCs w:val="21"/>
                <w:lang w:val="en-AU"/>
              </w:rPr>
              <w:t>Develop state/territory health plans that consider the major likely extreme weather events over the next decade and the adaptive strategies to reduce the risk of injuries associated with these events. Such events include: cyclones, floods, bushfires, and heat waves. Adaptive strategies should include primary prevention, event harm reduction, post-event strategies and adapting to cultural change. Types of injuries linked with these events include heat stress, burns, suffocation, drowning, and being struck by objects.</w:t>
            </w:r>
          </w:p>
          <w:p w14:paraId="5E5195F5" w14:textId="77777777" w:rsidR="00252376" w:rsidRPr="00014045" w:rsidRDefault="00252376" w:rsidP="007D5286">
            <w:pPr>
              <w:pStyle w:val="TableNBullet"/>
              <w:numPr>
                <w:ilvl w:val="0"/>
                <w:numId w:val="80"/>
              </w:numPr>
              <w:rPr>
                <w:rFonts w:cstheme="minorHAnsi"/>
                <w:szCs w:val="21"/>
                <w:lang w:val="en-AU"/>
              </w:rPr>
            </w:pPr>
            <w:r w:rsidRPr="00014045">
              <w:rPr>
                <w:rFonts w:cstheme="minorHAnsi"/>
                <w:szCs w:val="21"/>
                <w:lang w:val="en-AU"/>
              </w:rPr>
              <w:t>Increase assessment and responsiveness to workplace exposure to high heat conditions, particularly in farming and other environments at increased risk.</w:t>
            </w:r>
          </w:p>
          <w:p w14:paraId="7AF2B36A" w14:textId="158EDF9F" w:rsidR="00252376" w:rsidRPr="00014045" w:rsidRDefault="006A3A7C" w:rsidP="007D5286">
            <w:pPr>
              <w:pStyle w:val="ListParagraph"/>
              <w:numPr>
                <w:ilvl w:val="0"/>
                <w:numId w:val="80"/>
              </w:numPr>
              <w:spacing w:before="0"/>
              <w:rPr>
                <w:rFonts w:cstheme="minorHAnsi"/>
                <w:i/>
                <w:sz w:val="21"/>
                <w:szCs w:val="21"/>
                <w:lang w:val="en-AU" w:eastAsia="en-AU"/>
              </w:rPr>
            </w:pPr>
            <w:r>
              <w:rPr>
                <w:rFonts w:cstheme="minorHAnsi"/>
                <w:sz w:val="21"/>
                <w:szCs w:val="21"/>
                <w:lang w:val="en-AU"/>
              </w:rPr>
              <w:t>Implement</w:t>
            </w:r>
            <w:r w:rsidR="00252376" w:rsidRPr="00014045">
              <w:rPr>
                <w:rFonts w:cstheme="minorHAnsi"/>
                <w:sz w:val="21"/>
                <w:szCs w:val="21"/>
                <w:lang w:val="en-AU"/>
              </w:rPr>
              <w:t xml:space="preserve"> workplace standards to reduce </w:t>
            </w:r>
            <w:r>
              <w:rPr>
                <w:rFonts w:cstheme="minorHAnsi"/>
                <w:sz w:val="21"/>
                <w:szCs w:val="21"/>
                <w:lang w:val="en-AU"/>
              </w:rPr>
              <w:t xml:space="preserve">the </w:t>
            </w:r>
            <w:r w:rsidR="00252376" w:rsidRPr="00014045">
              <w:rPr>
                <w:rFonts w:cstheme="minorHAnsi"/>
                <w:sz w:val="21"/>
                <w:szCs w:val="21"/>
                <w:lang w:val="en-AU"/>
              </w:rPr>
              <w:t>impact of exposure to heat and hot environments.</w:t>
            </w:r>
          </w:p>
        </w:tc>
      </w:tr>
      <w:tr w:rsidR="00252376" w:rsidRPr="00740699" w14:paraId="172AC6F5"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7F9D573E"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single" w:sz="4" w:space="0" w:color="BFBFBF" w:themeColor="background1" w:themeShade="BF"/>
            </w:tcBorders>
          </w:tcPr>
          <w:p w14:paraId="5228E8F2"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4058" w:type="pct"/>
            <w:tcBorders>
              <w:top w:val="nil"/>
              <w:bottom w:val="single" w:sz="4" w:space="0" w:color="BFBFBF" w:themeColor="background1" w:themeShade="BF"/>
            </w:tcBorders>
          </w:tcPr>
          <w:p w14:paraId="067D7CD6" w14:textId="77777777" w:rsidR="00252376" w:rsidRPr="00014045" w:rsidRDefault="00252376" w:rsidP="00252376">
            <w:pPr>
              <w:spacing w:before="0"/>
              <w:rPr>
                <w:rFonts w:cstheme="minorHAnsi"/>
                <w:i/>
                <w:sz w:val="21"/>
                <w:szCs w:val="21"/>
                <w:lang w:val="en-AU" w:eastAsia="en-AU"/>
              </w:rPr>
            </w:pPr>
            <w:r w:rsidRPr="00014045">
              <w:rPr>
                <w:rFonts w:cstheme="minorHAnsi"/>
                <w:i/>
                <w:sz w:val="21"/>
                <w:szCs w:val="21"/>
                <w:lang w:val="en-AU" w:eastAsia="en-AU"/>
              </w:rPr>
              <w:t>State and territory departments of health; Workplace health and safety departments (</w:t>
            </w:r>
            <w:r w:rsidRPr="00014045">
              <w:rPr>
                <w:rFonts w:cstheme="minorHAnsi"/>
                <w:i/>
                <w:sz w:val="21"/>
                <w:szCs w:val="21"/>
                <w:lang w:val="en-AU"/>
              </w:rPr>
              <w:t xml:space="preserve">Safe Work Australia) </w:t>
            </w:r>
            <w:r w:rsidRPr="00014045">
              <w:rPr>
                <w:rFonts w:cstheme="minorHAnsi"/>
                <w:i/>
                <w:sz w:val="21"/>
                <w:szCs w:val="21"/>
                <w:lang w:val="en-AU" w:eastAsia="en-AU"/>
              </w:rPr>
              <w:t>(Primary health networks, local government, emergency services, education departments, National Farmers Federation, Aged care services, Safe Work Australia)</w:t>
            </w:r>
          </w:p>
        </w:tc>
      </w:tr>
      <w:tr w:rsidR="00252376" w:rsidRPr="00740699" w14:paraId="3B6363DD"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5F1F54BB"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single" w:sz="4" w:space="0" w:color="BFBFBF" w:themeColor="background1" w:themeShade="BF"/>
              <w:left w:val="single" w:sz="4" w:space="0" w:color="BFBFBF" w:themeColor="background1" w:themeShade="BF"/>
              <w:bottom w:val="nil"/>
            </w:tcBorders>
          </w:tcPr>
          <w:p w14:paraId="50027ED2" w14:textId="77777777" w:rsidR="00252376" w:rsidRPr="00817E68" w:rsidRDefault="00252376" w:rsidP="00252376">
            <w:pPr>
              <w:spacing w:before="0"/>
              <w:rPr>
                <w:rFonts w:cstheme="minorHAnsi"/>
                <w:i/>
                <w:sz w:val="18"/>
                <w:szCs w:val="18"/>
                <w:lang w:val="en-AU"/>
              </w:rPr>
            </w:pPr>
            <w:r w:rsidRPr="00EA3053">
              <w:rPr>
                <w:rFonts w:cstheme="minorHAnsi"/>
                <w:b/>
                <w:i/>
                <w:sz w:val="18"/>
                <w:szCs w:val="18"/>
                <w:lang w:val="en-AU"/>
              </w:rPr>
              <w:t>Objective 2</w:t>
            </w:r>
            <w:r>
              <w:rPr>
                <w:rFonts w:cstheme="minorHAnsi"/>
                <w:b/>
                <w:i/>
                <w:sz w:val="18"/>
                <w:szCs w:val="18"/>
                <w:lang w:val="en-AU"/>
              </w:rPr>
              <w:t>7</w:t>
            </w:r>
          </w:p>
        </w:tc>
        <w:tc>
          <w:tcPr>
            <w:tcW w:w="4058" w:type="pct"/>
            <w:tcBorders>
              <w:top w:val="single" w:sz="4" w:space="0" w:color="BFBFBF" w:themeColor="background1" w:themeShade="BF"/>
              <w:bottom w:val="nil"/>
            </w:tcBorders>
          </w:tcPr>
          <w:p w14:paraId="0AC825EB" w14:textId="77777777" w:rsidR="00252376" w:rsidRPr="00014045" w:rsidRDefault="00252376" w:rsidP="00252376">
            <w:pPr>
              <w:spacing w:before="0"/>
              <w:rPr>
                <w:rFonts w:cstheme="minorHAnsi"/>
                <w:b/>
                <w:sz w:val="21"/>
                <w:szCs w:val="21"/>
                <w:lang w:val="en-AU" w:eastAsia="en-AU"/>
              </w:rPr>
            </w:pPr>
            <w:r w:rsidRPr="00014045">
              <w:rPr>
                <w:rFonts w:cstheme="minorHAnsi"/>
                <w:b/>
                <w:sz w:val="21"/>
                <w:szCs w:val="21"/>
                <w:lang w:val="en-AU"/>
              </w:rPr>
              <w:t>Increase the use of innovative design and technology in transport, housing, and urban infrastructure to reduce the risk of injury associated with expected longer and more severe heat and extreme weather events</w:t>
            </w:r>
          </w:p>
        </w:tc>
      </w:tr>
      <w:tr w:rsidR="00252376" w:rsidRPr="00740699" w14:paraId="4890A0F7"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6EFAF7AA"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nil"/>
            </w:tcBorders>
          </w:tcPr>
          <w:p w14:paraId="2CFC218E"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5FA01488" w14:textId="77777777" w:rsidR="00252376" w:rsidRPr="00817E68" w:rsidRDefault="00252376" w:rsidP="00252376">
            <w:pPr>
              <w:spacing w:before="0"/>
              <w:rPr>
                <w:rFonts w:cstheme="minorHAnsi"/>
                <w:i/>
                <w:sz w:val="18"/>
                <w:szCs w:val="18"/>
                <w:lang w:val="en-AU"/>
              </w:rPr>
            </w:pPr>
          </w:p>
        </w:tc>
        <w:tc>
          <w:tcPr>
            <w:tcW w:w="4058" w:type="pct"/>
            <w:tcBorders>
              <w:top w:val="nil"/>
              <w:bottom w:val="nil"/>
            </w:tcBorders>
          </w:tcPr>
          <w:p w14:paraId="1B409E58" w14:textId="77777777" w:rsidR="00252376" w:rsidRPr="007D5286" w:rsidRDefault="00252376" w:rsidP="007D5286">
            <w:pPr>
              <w:pStyle w:val="TableNBullet"/>
              <w:numPr>
                <w:ilvl w:val="0"/>
                <w:numId w:val="100"/>
              </w:numPr>
              <w:rPr>
                <w:rFonts w:cstheme="minorHAnsi"/>
                <w:szCs w:val="21"/>
                <w:lang w:val="en-AU"/>
              </w:rPr>
            </w:pPr>
            <w:r w:rsidRPr="007D5286">
              <w:rPr>
                <w:rFonts w:cstheme="minorHAnsi"/>
                <w:szCs w:val="21"/>
                <w:lang w:val="en-AU"/>
              </w:rPr>
              <w:t xml:space="preserve">Implement uniform requirements for housing, building and infrastructure development to provide greater protection against fire, cyclones, flooding and prolonged periods of heat. </w:t>
            </w:r>
          </w:p>
          <w:p w14:paraId="19074FE4" w14:textId="77777777" w:rsidR="00252376" w:rsidRPr="00014045" w:rsidRDefault="00252376" w:rsidP="007D5286">
            <w:pPr>
              <w:pStyle w:val="TableNBullet"/>
              <w:numPr>
                <w:ilvl w:val="0"/>
                <w:numId w:val="38"/>
              </w:numPr>
              <w:rPr>
                <w:rFonts w:cstheme="minorHAnsi"/>
                <w:szCs w:val="21"/>
                <w:lang w:val="en-AU"/>
              </w:rPr>
            </w:pPr>
            <w:r w:rsidRPr="00014045">
              <w:rPr>
                <w:rFonts w:cstheme="minorHAnsi"/>
                <w:szCs w:val="21"/>
                <w:lang w:val="en-AU"/>
              </w:rPr>
              <w:t>Increase affordability and accessibility of active forms of public transport to reduce reliance on private motor vehicles and increase levels of physical activity.</w:t>
            </w:r>
          </w:p>
        </w:tc>
      </w:tr>
      <w:tr w:rsidR="00252376" w:rsidRPr="00740699" w14:paraId="12E6E53E"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6F7BF3FA"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single" w:sz="4" w:space="0" w:color="BFBFBF" w:themeColor="background1" w:themeShade="BF"/>
            </w:tcBorders>
          </w:tcPr>
          <w:p w14:paraId="014BAC45"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4058" w:type="pct"/>
            <w:tcBorders>
              <w:top w:val="nil"/>
              <w:bottom w:val="single" w:sz="4" w:space="0" w:color="BFBFBF" w:themeColor="background1" w:themeShade="BF"/>
            </w:tcBorders>
          </w:tcPr>
          <w:p w14:paraId="4F1C7CA7" w14:textId="77777777" w:rsidR="00252376" w:rsidRPr="00014045" w:rsidRDefault="00252376" w:rsidP="00252376">
            <w:pPr>
              <w:spacing w:before="0"/>
              <w:rPr>
                <w:rFonts w:cstheme="minorHAnsi"/>
                <w:i/>
                <w:sz w:val="21"/>
                <w:szCs w:val="21"/>
                <w:lang w:val="en-AU" w:eastAsia="en-AU"/>
              </w:rPr>
            </w:pPr>
            <w:r w:rsidRPr="00014045">
              <w:rPr>
                <w:rFonts w:cstheme="minorHAnsi"/>
                <w:i/>
                <w:sz w:val="21"/>
                <w:szCs w:val="21"/>
                <w:lang w:val="en-AU" w:eastAsia="en-AU"/>
              </w:rPr>
              <w:t>Department of Infrastructure, Transport, Cities and Regional Development (Infrastructure) Department of Industry, Innovation and Science (building) (Australian Building Codes Board, Planning Institute Australia, Department of Environment &amp; Energy, Department of Home Affairs, Aged care services, state/territory departments of transport, planning and infrastructure, local government)</w:t>
            </w:r>
          </w:p>
        </w:tc>
      </w:tr>
      <w:tr w:rsidR="00252376" w:rsidRPr="009A6F15" w14:paraId="6EEE070F"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3EF540E8"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single" w:sz="4" w:space="0" w:color="BFBFBF" w:themeColor="background1" w:themeShade="BF"/>
              <w:left w:val="single" w:sz="4" w:space="0" w:color="BFBFBF" w:themeColor="background1" w:themeShade="BF"/>
              <w:bottom w:val="nil"/>
            </w:tcBorders>
          </w:tcPr>
          <w:p w14:paraId="61C7E5C3" w14:textId="77777777" w:rsidR="00252376" w:rsidRPr="00BF67AD" w:rsidRDefault="00252376" w:rsidP="00252376">
            <w:pPr>
              <w:spacing w:before="0"/>
              <w:rPr>
                <w:rFonts w:cstheme="minorHAnsi"/>
                <w:b/>
                <w:i/>
                <w:sz w:val="18"/>
                <w:szCs w:val="18"/>
                <w:lang w:val="en-AU"/>
              </w:rPr>
            </w:pPr>
            <w:r w:rsidRPr="00EA3053">
              <w:rPr>
                <w:rFonts w:cstheme="minorHAnsi"/>
                <w:b/>
                <w:i/>
                <w:sz w:val="18"/>
                <w:szCs w:val="18"/>
                <w:lang w:val="en-AU"/>
              </w:rPr>
              <w:t>Objective 2</w:t>
            </w:r>
            <w:r>
              <w:rPr>
                <w:rFonts w:cstheme="minorHAnsi"/>
                <w:b/>
                <w:i/>
                <w:sz w:val="18"/>
                <w:szCs w:val="18"/>
                <w:lang w:val="en-AU"/>
              </w:rPr>
              <w:t>8</w:t>
            </w:r>
          </w:p>
        </w:tc>
        <w:tc>
          <w:tcPr>
            <w:tcW w:w="4058" w:type="pct"/>
            <w:tcBorders>
              <w:top w:val="single" w:sz="4" w:space="0" w:color="BFBFBF" w:themeColor="background1" w:themeShade="BF"/>
              <w:bottom w:val="nil"/>
            </w:tcBorders>
          </w:tcPr>
          <w:p w14:paraId="4CC64FBE" w14:textId="77777777" w:rsidR="00252376" w:rsidRPr="00014045" w:rsidRDefault="00252376" w:rsidP="00252376">
            <w:pPr>
              <w:spacing w:before="0"/>
              <w:rPr>
                <w:b/>
                <w:sz w:val="21"/>
                <w:szCs w:val="21"/>
                <w:lang w:val="en-AU"/>
              </w:rPr>
            </w:pPr>
            <w:r w:rsidRPr="00014045">
              <w:rPr>
                <w:rFonts w:cstheme="minorHAnsi"/>
                <w:b/>
                <w:sz w:val="21"/>
                <w:szCs w:val="21"/>
                <w:lang w:val="en-AU"/>
              </w:rPr>
              <w:t xml:space="preserve">Reduce preventable injuries through improvement of disaster warning and communications technologies </w:t>
            </w:r>
          </w:p>
        </w:tc>
      </w:tr>
      <w:tr w:rsidR="00252376" w:rsidRPr="00817E68" w14:paraId="4C33DC09"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3C91BEE3"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nil"/>
            </w:tcBorders>
          </w:tcPr>
          <w:p w14:paraId="3E54EECB"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5B59C3E7" w14:textId="77777777" w:rsidR="00252376" w:rsidRPr="00817E68" w:rsidRDefault="00252376" w:rsidP="00252376">
            <w:pPr>
              <w:spacing w:before="0"/>
              <w:rPr>
                <w:rFonts w:cstheme="minorHAnsi"/>
                <w:i/>
                <w:color w:val="000000" w:themeColor="text1"/>
                <w:sz w:val="18"/>
                <w:szCs w:val="18"/>
                <w:lang w:val="en-AU"/>
              </w:rPr>
            </w:pPr>
          </w:p>
        </w:tc>
        <w:tc>
          <w:tcPr>
            <w:tcW w:w="4058" w:type="pct"/>
            <w:tcBorders>
              <w:top w:val="nil"/>
              <w:bottom w:val="nil"/>
            </w:tcBorders>
          </w:tcPr>
          <w:p w14:paraId="1DBD4CD0" w14:textId="77777777" w:rsidR="00252376" w:rsidRPr="00014045" w:rsidRDefault="00252376" w:rsidP="007D5286">
            <w:pPr>
              <w:pStyle w:val="TableNBullet"/>
              <w:numPr>
                <w:ilvl w:val="0"/>
                <w:numId w:val="81"/>
              </w:numPr>
              <w:rPr>
                <w:rFonts w:cstheme="minorHAnsi"/>
                <w:szCs w:val="21"/>
                <w:lang w:val="en-AU"/>
              </w:rPr>
            </w:pPr>
            <w:r w:rsidRPr="00014045">
              <w:rPr>
                <w:rFonts w:cstheme="minorHAnsi"/>
                <w:szCs w:val="21"/>
                <w:lang w:val="en-AU"/>
              </w:rPr>
              <w:t>Review new and emerging telephone-based warnings technologies to ensure continued ability to deliver extreme weather and emergency warnings, particularly to vulnerable groups.</w:t>
            </w:r>
          </w:p>
          <w:p w14:paraId="02387D84" w14:textId="7D2DDA9B" w:rsidR="00252376" w:rsidRPr="00014045" w:rsidRDefault="00252376" w:rsidP="007D5286">
            <w:pPr>
              <w:pStyle w:val="TableNBullet"/>
              <w:numPr>
                <w:ilvl w:val="0"/>
                <w:numId w:val="81"/>
              </w:numPr>
              <w:rPr>
                <w:rFonts w:cstheme="minorHAnsi"/>
                <w:szCs w:val="21"/>
                <w:lang w:val="en-AU"/>
              </w:rPr>
            </w:pPr>
            <w:r w:rsidRPr="00014045">
              <w:rPr>
                <w:rFonts w:cstheme="minorHAnsi"/>
                <w:szCs w:val="21"/>
                <w:lang w:val="en-AU"/>
              </w:rPr>
              <w:t xml:space="preserve">Deliver the next generation of communications services for emergency services workers (Public Safety Mobile Broadband) to ensure first responders have access to state-of-the-art situational awareness and </w:t>
            </w:r>
            <w:r w:rsidR="00F003DF">
              <w:rPr>
                <w:rFonts w:cstheme="minorHAnsi"/>
                <w:szCs w:val="21"/>
                <w:lang w:val="en-AU"/>
              </w:rPr>
              <w:t xml:space="preserve">to </w:t>
            </w:r>
            <w:r w:rsidRPr="00014045">
              <w:rPr>
                <w:rFonts w:cstheme="minorHAnsi"/>
                <w:szCs w:val="21"/>
                <w:lang w:val="en-AU"/>
              </w:rPr>
              <w:t>improve their operational effectiveness.</w:t>
            </w:r>
          </w:p>
        </w:tc>
      </w:tr>
      <w:tr w:rsidR="00252376" w:rsidRPr="00701DBE" w14:paraId="246CD19C" w14:textId="77777777" w:rsidTr="00F62D45">
        <w:trPr>
          <w:trHeight w:val="767"/>
        </w:trPr>
        <w:tc>
          <w:tcPr>
            <w:tcW w:w="269" w:type="pct"/>
            <w:vMerge/>
            <w:tcBorders>
              <w:right w:val="single" w:sz="4" w:space="0" w:color="BFBFBF" w:themeColor="background1" w:themeShade="BF"/>
            </w:tcBorders>
            <w:shd w:val="clear" w:color="auto" w:fill="525252" w:themeFill="accent3" w:themeFillShade="80"/>
            <w:textDirection w:val="btLr"/>
          </w:tcPr>
          <w:p w14:paraId="7C8D301E"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single" w:sz="4" w:space="0" w:color="BFBFBF" w:themeColor="background1" w:themeShade="BF"/>
            </w:tcBorders>
          </w:tcPr>
          <w:p w14:paraId="4F7BE07D"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4058" w:type="pct"/>
            <w:tcBorders>
              <w:top w:val="nil"/>
              <w:bottom w:val="single" w:sz="4" w:space="0" w:color="BFBFBF" w:themeColor="background1" w:themeShade="BF"/>
            </w:tcBorders>
          </w:tcPr>
          <w:p w14:paraId="5E600356" w14:textId="77777777" w:rsidR="00252376" w:rsidRPr="00014045" w:rsidRDefault="00252376" w:rsidP="00252376">
            <w:pPr>
              <w:pStyle w:val="Tablepartner"/>
              <w:rPr>
                <w:rFonts w:asciiTheme="minorHAnsi" w:hAnsiTheme="minorHAnsi" w:cstheme="minorHAnsi"/>
                <w:sz w:val="21"/>
                <w:szCs w:val="21"/>
                <w:lang w:val="en-AU"/>
              </w:rPr>
            </w:pPr>
            <w:r w:rsidRPr="00014045">
              <w:rPr>
                <w:rFonts w:asciiTheme="minorHAnsi" w:hAnsiTheme="minorHAnsi" w:cstheme="minorHAnsi"/>
                <w:sz w:val="21"/>
                <w:szCs w:val="21"/>
                <w:lang w:val="en-AU" w:eastAsia="en-AU"/>
              </w:rPr>
              <w:t>Department of Home Affairs, state &amp; territory emergency management departments, Bureau of Meteorology (Department of Communications, state &amp; territory communication departments)</w:t>
            </w:r>
          </w:p>
        </w:tc>
      </w:tr>
      <w:tr w:rsidR="00252376" w:rsidRPr="00701DBE" w14:paraId="50E623AA"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7DB21F91"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single" w:sz="4" w:space="0" w:color="BFBFBF" w:themeColor="background1" w:themeShade="BF"/>
              <w:left w:val="single" w:sz="4" w:space="0" w:color="BFBFBF" w:themeColor="background1" w:themeShade="BF"/>
              <w:bottom w:val="nil"/>
            </w:tcBorders>
          </w:tcPr>
          <w:p w14:paraId="3571EBF9" w14:textId="77777777" w:rsidR="00252376" w:rsidRPr="00817E68" w:rsidRDefault="00252376" w:rsidP="00252376">
            <w:pPr>
              <w:spacing w:before="0"/>
              <w:rPr>
                <w:rFonts w:cstheme="minorHAnsi"/>
                <w:i/>
                <w:sz w:val="18"/>
                <w:szCs w:val="18"/>
                <w:lang w:val="en-AU"/>
              </w:rPr>
            </w:pPr>
            <w:r w:rsidRPr="00EA3053">
              <w:rPr>
                <w:rFonts w:cstheme="minorHAnsi"/>
                <w:b/>
                <w:i/>
                <w:sz w:val="18"/>
                <w:szCs w:val="18"/>
                <w:lang w:val="en-AU"/>
              </w:rPr>
              <w:t xml:space="preserve">Objective </w:t>
            </w:r>
            <w:r>
              <w:rPr>
                <w:rFonts w:cstheme="minorHAnsi"/>
                <w:b/>
                <w:i/>
                <w:sz w:val="18"/>
                <w:szCs w:val="18"/>
                <w:lang w:val="en-AU"/>
              </w:rPr>
              <w:t>29</w:t>
            </w:r>
          </w:p>
        </w:tc>
        <w:tc>
          <w:tcPr>
            <w:tcW w:w="4058" w:type="pct"/>
            <w:tcBorders>
              <w:top w:val="single" w:sz="4" w:space="0" w:color="BFBFBF" w:themeColor="background1" w:themeShade="BF"/>
              <w:bottom w:val="nil"/>
            </w:tcBorders>
          </w:tcPr>
          <w:p w14:paraId="6E767151" w14:textId="77777777" w:rsidR="00252376" w:rsidRPr="00014045" w:rsidRDefault="00252376" w:rsidP="00252376">
            <w:pPr>
              <w:pStyle w:val="Tablepartner"/>
              <w:rPr>
                <w:rFonts w:asciiTheme="minorHAnsi" w:hAnsiTheme="minorHAnsi" w:cstheme="minorHAnsi"/>
                <w:b/>
                <w:i w:val="0"/>
                <w:sz w:val="21"/>
                <w:szCs w:val="21"/>
                <w:lang w:val="en-AU" w:eastAsia="en-AU"/>
              </w:rPr>
            </w:pPr>
            <w:r w:rsidRPr="00014045">
              <w:rPr>
                <w:rFonts w:asciiTheme="minorHAnsi" w:hAnsiTheme="minorHAnsi" w:cstheme="minorHAnsi"/>
                <w:b/>
                <w:i w:val="0"/>
                <w:sz w:val="21"/>
                <w:szCs w:val="21"/>
                <w:lang w:val="en-AU"/>
              </w:rPr>
              <w:t>Improve response to the threat of physical and social impacts of climate change and extreme weather events</w:t>
            </w:r>
          </w:p>
        </w:tc>
      </w:tr>
      <w:tr w:rsidR="00252376" w:rsidRPr="00701DBE" w14:paraId="0D3C4310" w14:textId="77777777" w:rsidTr="00F62D45">
        <w:trPr>
          <w:trHeight w:val="20"/>
        </w:trPr>
        <w:tc>
          <w:tcPr>
            <w:tcW w:w="269" w:type="pct"/>
            <w:vMerge/>
            <w:tcBorders>
              <w:right w:val="single" w:sz="4" w:space="0" w:color="BFBFBF" w:themeColor="background1" w:themeShade="BF"/>
            </w:tcBorders>
            <w:shd w:val="clear" w:color="auto" w:fill="525252" w:themeFill="accent3" w:themeFillShade="80"/>
            <w:textDirection w:val="btLr"/>
          </w:tcPr>
          <w:p w14:paraId="27F318AF"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nil"/>
            </w:tcBorders>
          </w:tcPr>
          <w:p w14:paraId="3406C8F1" w14:textId="77777777" w:rsidR="00252376" w:rsidRPr="00817E68" w:rsidRDefault="00252376" w:rsidP="00252376">
            <w:pPr>
              <w:spacing w:before="0"/>
              <w:rPr>
                <w:rFonts w:cstheme="minorHAnsi"/>
                <w:i/>
                <w:color w:val="000000" w:themeColor="text1"/>
                <w:sz w:val="18"/>
                <w:szCs w:val="18"/>
                <w:lang w:val="en-AU"/>
              </w:rPr>
            </w:pPr>
            <w:r w:rsidRPr="00817E68">
              <w:rPr>
                <w:rFonts w:cstheme="minorHAnsi"/>
                <w:i/>
                <w:sz w:val="18"/>
                <w:szCs w:val="18"/>
                <w:lang w:val="en-AU"/>
              </w:rPr>
              <w:t>Actions</w:t>
            </w:r>
          </w:p>
          <w:p w14:paraId="03579774" w14:textId="77777777" w:rsidR="00252376" w:rsidRPr="00817E68" w:rsidRDefault="00252376" w:rsidP="00252376">
            <w:pPr>
              <w:spacing w:before="0"/>
              <w:rPr>
                <w:rFonts w:cstheme="minorHAnsi"/>
                <w:i/>
                <w:sz w:val="18"/>
                <w:szCs w:val="18"/>
                <w:lang w:val="en-AU"/>
              </w:rPr>
            </w:pPr>
          </w:p>
        </w:tc>
        <w:tc>
          <w:tcPr>
            <w:tcW w:w="4058" w:type="pct"/>
            <w:tcBorders>
              <w:top w:val="nil"/>
              <w:bottom w:val="nil"/>
            </w:tcBorders>
          </w:tcPr>
          <w:p w14:paraId="5259DEB5" w14:textId="77777777" w:rsidR="00252376" w:rsidRPr="00014045" w:rsidRDefault="00252376" w:rsidP="007D5286">
            <w:pPr>
              <w:pStyle w:val="TableNBullet"/>
              <w:numPr>
                <w:ilvl w:val="0"/>
                <w:numId w:val="82"/>
              </w:numPr>
              <w:rPr>
                <w:rFonts w:cstheme="minorHAnsi"/>
                <w:szCs w:val="21"/>
                <w:lang w:val="en-AU"/>
              </w:rPr>
            </w:pPr>
            <w:r w:rsidRPr="00014045">
              <w:rPr>
                <w:rFonts w:cstheme="minorHAnsi"/>
                <w:szCs w:val="21"/>
                <w:lang w:val="en-AU"/>
              </w:rPr>
              <w:t xml:space="preserve">Increase uptake of evidence-based, risk management approaches to climate change. </w:t>
            </w:r>
          </w:p>
          <w:p w14:paraId="5CC1ADFA" w14:textId="77777777" w:rsidR="00252376" w:rsidRPr="00014045" w:rsidRDefault="00252376" w:rsidP="007D5286">
            <w:pPr>
              <w:pStyle w:val="TableNBullet"/>
              <w:numPr>
                <w:ilvl w:val="0"/>
                <w:numId w:val="82"/>
              </w:numPr>
              <w:rPr>
                <w:rFonts w:cstheme="minorHAnsi"/>
                <w:i/>
                <w:szCs w:val="21"/>
                <w:lang w:val="en-AU"/>
              </w:rPr>
            </w:pPr>
            <w:r w:rsidRPr="00014045">
              <w:rPr>
                <w:rFonts w:cstheme="minorHAnsi"/>
                <w:szCs w:val="21"/>
                <w:lang w:val="en-AU"/>
              </w:rPr>
              <w:t>Ensure both mitigation and adaption to climate change are built into policies of health agencies.</w:t>
            </w:r>
          </w:p>
        </w:tc>
      </w:tr>
      <w:tr w:rsidR="00252376" w:rsidRPr="00701DBE" w14:paraId="4BD282C2" w14:textId="77777777" w:rsidTr="00F62D45">
        <w:trPr>
          <w:trHeight w:val="20"/>
        </w:trPr>
        <w:tc>
          <w:tcPr>
            <w:tcW w:w="269" w:type="pct"/>
            <w:vMerge/>
            <w:tcBorders>
              <w:bottom w:val="single" w:sz="4" w:space="0" w:color="BFBFBF" w:themeColor="background1" w:themeShade="BF"/>
              <w:right w:val="single" w:sz="4" w:space="0" w:color="BFBFBF" w:themeColor="background1" w:themeShade="BF"/>
            </w:tcBorders>
            <w:shd w:val="clear" w:color="auto" w:fill="525252" w:themeFill="accent3" w:themeFillShade="80"/>
            <w:textDirection w:val="btLr"/>
          </w:tcPr>
          <w:p w14:paraId="5BE57E39" w14:textId="77777777" w:rsidR="00252376" w:rsidRPr="00014045" w:rsidRDefault="00252376" w:rsidP="00252376">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single" w:sz="4" w:space="0" w:color="BFBFBF" w:themeColor="background1" w:themeShade="BF"/>
            </w:tcBorders>
          </w:tcPr>
          <w:p w14:paraId="0E284081" w14:textId="77777777" w:rsidR="00252376" w:rsidRPr="00817E68" w:rsidRDefault="00252376" w:rsidP="00252376">
            <w:pPr>
              <w:spacing w:before="0"/>
              <w:rPr>
                <w:rFonts w:cstheme="minorHAnsi"/>
                <w:i/>
                <w:sz w:val="18"/>
                <w:szCs w:val="18"/>
                <w:lang w:val="en-AU"/>
              </w:rPr>
            </w:pPr>
            <w:r w:rsidRPr="00817E68">
              <w:rPr>
                <w:rFonts w:cstheme="minorHAnsi"/>
                <w:i/>
                <w:sz w:val="18"/>
                <w:szCs w:val="18"/>
                <w:lang w:val="en-AU"/>
              </w:rPr>
              <w:t>Lead agency (partners)</w:t>
            </w:r>
          </w:p>
        </w:tc>
        <w:tc>
          <w:tcPr>
            <w:tcW w:w="4058" w:type="pct"/>
            <w:tcBorders>
              <w:top w:val="nil"/>
              <w:bottom w:val="single" w:sz="4" w:space="0" w:color="BFBFBF" w:themeColor="background1" w:themeShade="BF"/>
            </w:tcBorders>
          </w:tcPr>
          <w:p w14:paraId="393F48A4" w14:textId="77777777" w:rsidR="00252376" w:rsidRPr="00014045" w:rsidRDefault="00252376" w:rsidP="00252376">
            <w:pPr>
              <w:pStyle w:val="Tablepartner"/>
              <w:rPr>
                <w:rFonts w:asciiTheme="minorHAnsi" w:hAnsiTheme="minorHAnsi" w:cstheme="minorHAnsi"/>
                <w:sz w:val="21"/>
                <w:szCs w:val="21"/>
                <w:lang w:val="en-AU" w:eastAsia="en-AU"/>
              </w:rPr>
            </w:pPr>
            <w:r w:rsidRPr="00014045">
              <w:rPr>
                <w:rFonts w:asciiTheme="minorHAnsi" w:hAnsiTheme="minorHAnsi" w:cstheme="minorHAnsi"/>
                <w:sz w:val="21"/>
                <w:szCs w:val="21"/>
                <w:lang w:val="en-AU" w:eastAsia="en-AU"/>
              </w:rPr>
              <w:t xml:space="preserve">Department of the Environment and Energy (Department of Home Affairs, state and territory health departments of health and transport, </w:t>
            </w:r>
            <w:r w:rsidRPr="00014045">
              <w:rPr>
                <w:rFonts w:asciiTheme="minorHAnsi" w:hAnsiTheme="minorHAnsi" w:cstheme="minorHAnsi"/>
                <w:sz w:val="21"/>
                <w:szCs w:val="21"/>
                <w:lang w:val="en-AU"/>
              </w:rPr>
              <w:t>Emergency Management Australia</w:t>
            </w:r>
            <w:r w:rsidRPr="00014045">
              <w:rPr>
                <w:rFonts w:asciiTheme="minorHAnsi" w:hAnsiTheme="minorHAnsi" w:cstheme="minorHAnsi"/>
                <w:sz w:val="21"/>
                <w:szCs w:val="21"/>
                <w:lang w:val="en-AU" w:eastAsia="en-AU"/>
              </w:rPr>
              <w:t>)</w:t>
            </w:r>
          </w:p>
        </w:tc>
      </w:tr>
    </w:tbl>
    <w:p w14:paraId="1311FD19" w14:textId="3EFE698B" w:rsidR="001233B8" w:rsidRPr="00400300" w:rsidRDefault="001233B8" w:rsidP="001233B8">
      <w:pPr>
        <w:pStyle w:val="Heading2"/>
        <w:rPr>
          <w:lang w:val="en-AU"/>
        </w:rPr>
      </w:pPr>
      <w:bookmarkStart w:id="276" w:name="_Toc38021107"/>
      <w:bookmarkStart w:id="277" w:name="_Hlk33710187"/>
      <w:bookmarkEnd w:id="275"/>
      <w:r w:rsidRPr="00400300">
        <w:rPr>
          <w:lang w:val="en-AU"/>
        </w:rPr>
        <w:t>Better planning of the built environment</w:t>
      </w:r>
      <w:bookmarkEnd w:id="270"/>
      <w:bookmarkEnd w:id="271"/>
      <w:bookmarkEnd w:id="272"/>
      <w:bookmarkEnd w:id="273"/>
      <w:bookmarkEnd w:id="276"/>
      <w:r w:rsidRPr="00400300">
        <w:rPr>
          <w:lang w:val="en-AU"/>
        </w:rPr>
        <w:t xml:space="preserve"> </w:t>
      </w:r>
    </w:p>
    <w:bookmarkEnd w:id="274"/>
    <w:bookmarkEnd w:id="277"/>
    <w:p w14:paraId="608AEE3D" w14:textId="0B9901A2" w:rsidR="008462F1" w:rsidRPr="00400300" w:rsidRDefault="008462F1" w:rsidP="008462F1">
      <w:pPr>
        <w:rPr>
          <w:rFonts w:ascii="Times New Roman" w:eastAsia="Times New Roman" w:hAnsi="Times New Roman"/>
          <w:sz w:val="24"/>
          <w:lang w:val="en-AU"/>
        </w:rPr>
      </w:pPr>
      <w:r w:rsidRPr="00400300">
        <w:rPr>
          <w:szCs w:val="22"/>
          <w:lang w:val="en-AU"/>
        </w:rPr>
        <w:t>Australia is one of the world’s most urbanised countries, with almost 90% of people living in urban areas.</w:t>
      </w:r>
      <w:r w:rsidRPr="00400300">
        <w:rPr>
          <w:szCs w:val="22"/>
          <w:lang w:val="en-AU"/>
        </w:rPr>
        <w:fldChar w:fldCharType="begin"/>
      </w:r>
      <w:r w:rsidR="002C69BD">
        <w:rPr>
          <w:szCs w:val="22"/>
          <w:lang w:val="en-AU"/>
        </w:rPr>
        <w:instrText xml:space="preserve"> ADDIN EN.CITE &lt;EndNote&gt;&lt;Cite&gt;&lt;Author&gt;Beggs&lt;/Author&gt;&lt;Year&gt;2019&lt;/Year&gt;&lt;RecNum&gt;50&lt;/RecNum&gt;&lt;DisplayText&gt;&lt;style face="superscript"&gt;67&lt;/style&gt;&lt;/DisplayText&gt;&lt;record&gt;&lt;rec-number&gt;50&lt;/rec-number&gt;&lt;foreign-keys&gt;&lt;key app="EN" db-id="2wsw9x5wvsspa1evwxlvvergx9epfd50fs2a" timestamp="1574385457"&gt;50&lt;/key&gt;&lt;/foreign-keys&gt;&lt;ref-type name="Journal Article"&gt;17&lt;/ref-type&gt;&lt;contributors&gt;&lt;authors&gt;&lt;author&gt;Beggs, Paul J&lt;/author&gt;&lt;author&gt;Zhang, Ying&lt;/author&gt;&lt;author&gt;Bambrick, Hilary&lt;/author&gt;&lt;author&gt;Berry, Helen L&lt;/author&gt;&lt;author&gt;Linnenluecke, Martina K&lt;/author&gt;&lt;author&gt;Trueck, Stefan&lt;/author&gt;&lt;author&gt;Bi, Peng&lt;/author&gt;&lt;author&gt;Boylan, Sinead M&lt;/author&gt;&lt;author&gt;Green, Donna&lt;/author&gt;&lt;author&gt;Guo, Yuming&lt;/author&gt;&lt;/authors&gt;&lt;/contributors&gt;&lt;titles&gt;&lt;title&gt;The 2019 report of the MJA–Lancet Countdown on health and climate change: a turbulent year with mixed progress&lt;/title&gt;&lt;secondary-title&gt;Medical Journal of Australia&lt;/secondary-title&gt;&lt;/titles&gt;&lt;periodical&gt;&lt;full-title&gt;Medical journal of Australia&lt;/full-title&gt;&lt;/periodical&gt;&lt;dates&gt;&lt;year&gt;2019&lt;/year&gt;&lt;/dates&gt;&lt;isbn&gt;1326-5377&lt;/isbn&gt;&lt;urls&gt;&lt;/urls&gt;&lt;/record&gt;&lt;/Cite&gt;&lt;/EndNote&gt;</w:instrText>
      </w:r>
      <w:r w:rsidRPr="00400300">
        <w:rPr>
          <w:szCs w:val="22"/>
          <w:lang w:val="en-AU"/>
        </w:rPr>
        <w:fldChar w:fldCharType="separate"/>
      </w:r>
      <w:r w:rsidR="002C69BD" w:rsidRPr="002C69BD">
        <w:rPr>
          <w:noProof/>
          <w:szCs w:val="22"/>
          <w:vertAlign w:val="superscript"/>
          <w:lang w:val="en-AU"/>
        </w:rPr>
        <w:t>67</w:t>
      </w:r>
      <w:r w:rsidRPr="00400300">
        <w:rPr>
          <w:szCs w:val="22"/>
          <w:lang w:val="en-AU"/>
        </w:rPr>
        <w:fldChar w:fldCharType="end"/>
      </w:r>
      <w:r w:rsidRPr="00400300">
        <w:rPr>
          <w:szCs w:val="22"/>
          <w:lang w:val="en-AU"/>
        </w:rPr>
        <w:t xml:space="preserve"> There are major opportunities for long-term reduction in injury risks with better urban planning for safety. As our population grows and an increasing proportion of people live in urban areas</w:t>
      </w:r>
      <w:r w:rsidR="006A3A7C">
        <w:rPr>
          <w:szCs w:val="22"/>
          <w:lang w:val="en-AU"/>
        </w:rPr>
        <w:t>, i</w:t>
      </w:r>
      <w:r w:rsidRPr="00400300">
        <w:rPr>
          <w:szCs w:val="22"/>
          <w:lang w:val="en-AU"/>
        </w:rPr>
        <w:t xml:space="preserve">t is important that injury prevention, alongside physical activity promotion, is an integral part of urban planning. Attention to traffic calming and reductions in motor vehicle use in urban areas, and to housing standards to prevent injury, are among the priority strategies for creating safer built environments. </w:t>
      </w:r>
    </w:p>
    <w:p w14:paraId="4CE27FFD" w14:textId="27DF2342" w:rsidR="008462F1" w:rsidRDefault="008462F1" w:rsidP="008462F1">
      <w:pPr>
        <w:rPr>
          <w:color w:val="000000" w:themeColor="text1"/>
          <w:szCs w:val="22"/>
          <w:lang w:val="en-AU"/>
        </w:rPr>
      </w:pPr>
      <w:r w:rsidRPr="00400300">
        <w:rPr>
          <w:color w:val="000000" w:themeColor="text1"/>
          <w:szCs w:val="22"/>
          <w:lang w:val="en-AU"/>
        </w:rPr>
        <w:t>Planning policies at state/territory and local levels should consider the safety of all age groups, and, different groups that use the space (e.g. road user groups) or safe mixed-use development and hazard removal or mitigation.</w:t>
      </w:r>
    </w:p>
    <w:p w14:paraId="78EE0883" w14:textId="009AEDEC" w:rsidR="001233B8" w:rsidRDefault="0022326A" w:rsidP="001233B8">
      <w:pPr>
        <w:pStyle w:val="Heading3"/>
        <w:rPr>
          <w:lang w:val="en-AU"/>
        </w:rPr>
      </w:pPr>
      <w:r w:rsidRPr="00400300">
        <w:rPr>
          <w:lang w:val="en-AU"/>
        </w:rPr>
        <w:t>Priority areas for action</w:t>
      </w:r>
    </w:p>
    <w:p w14:paraId="52A6154E" w14:textId="77777777" w:rsidR="00F003DF" w:rsidRPr="00F003DF" w:rsidRDefault="00F003DF" w:rsidP="00F003DF">
      <w:pPr>
        <w:spacing w:before="0"/>
        <w:rPr>
          <w:lang w:val="en-AU"/>
        </w:rPr>
      </w:pPr>
    </w:p>
    <w:tbl>
      <w:tblPr>
        <w:tblStyle w:val="TableGridLight"/>
        <w:tblW w:w="5001" w:type="pct"/>
        <w:tblBorders>
          <w:insideH w:val="none" w:sz="0" w:space="0" w:color="auto"/>
          <w:insideV w:val="none" w:sz="0" w:space="0" w:color="auto"/>
        </w:tblBorders>
        <w:tblLook w:val="04A0" w:firstRow="1" w:lastRow="0" w:firstColumn="1" w:lastColumn="0" w:noHBand="0" w:noVBand="1"/>
      </w:tblPr>
      <w:tblGrid>
        <w:gridCol w:w="485"/>
        <w:gridCol w:w="1214"/>
        <w:gridCol w:w="7319"/>
      </w:tblGrid>
      <w:tr w:rsidR="002A2BDE" w:rsidRPr="00817E68" w14:paraId="2252B288" w14:textId="77777777" w:rsidTr="00F62D45">
        <w:trPr>
          <w:trHeight w:val="20"/>
        </w:trPr>
        <w:tc>
          <w:tcPr>
            <w:tcW w:w="269" w:type="pct"/>
            <w:vMerge w:val="restart"/>
            <w:tcBorders>
              <w:right w:val="single" w:sz="4" w:space="0" w:color="BFBFBF" w:themeColor="background1" w:themeShade="BF"/>
            </w:tcBorders>
            <w:shd w:val="clear" w:color="auto" w:fill="FF7C80"/>
            <w:textDirection w:val="btLr"/>
          </w:tcPr>
          <w:p w14:paraId="0F317F88" w14:textId="3F8891B4" w:rsidR="002A2BDE" w:rsidRPr="00F62D45" w:rsidRDefault="002A2BDE" w:rsidP="00B22620">
            <w:pPr>
              <w:spacing w:before="0"/>
              <w:ind w:left="113" w:right="113"/>
              <w:contextualSpacing/>
              <w:jc w:val="center"/>
              <w:rPr>
                <w:rFonts w:cstheme="minorHAnsi"/>
                <w:b/>
                <w:color w:val="000000" w:themeColor="text1"/>
                <w:sz w:val="21"/>
                <w:szCs w:val="20"/>
                <w:lang w:val="en-AU"/>
              </w:rPr>
            </w:pPr>
            <w:r w:rsidRPr="00F62D45">
              <w:rPr>
                <w:rFonts w:cstheme="minorHAnsi"/>
                <w:b/>
                <w:color w:val="000000" w:themeColor="text1"/>
                <w:sz w:val="21"/>
                <w:szCs w:val="20"/>
                <w:lang w:val="en-AU"/>
              </w:rPr>
              <w:t>Cross cutting</w:t>
            </w:r>
          </w:p>
        </w:tc>
        <w:tc>
          <w:tcPr>
            <w:tcW w:w="673" w:type="pct"/>
            <w:tcBorders>
              <w:top w:val="single" w:sz="4" w:space="0" w:color="BFBFBF" w:themeColor="background1" w:themeShade="BF"/>
              <w:left w:val="single" w:sz="4" w:space="0" w:color="BFBFBF" w:themeColor="background1" w:themeShade="BF"/>
              <w:bottom w:val="nil"/>
            </w:tcBorders>
          </w:tcPr>
          <w:p w14:paraId="78F635C8" w14:textId="77777777" w:rsidR="002A2BDE" w:rsidRPr="00EA3053" w:rsidRDefault="002A2BDE" w:rsidP="00B22620">
            <w:pPr>
              <w:spacing w:before="0"/>
              <w:rPr>
                <w:rFonts w:cstheme="minorHAnsi"/>
                <w:b/>
                <w:i/>
                <w:color w:val="000000" w:themeColor="text1"/>
                <w:sz w:val="18"/>
                <w:szCs w:val="18"/>
                <w:lang w:val="en-AU"/>
              </w:rPr>
            </w:pPr>
            <w:r w:rsidRPr="00EA3053">
              <w:rPr>
                <w:rFonts w:cstheme="minorHAnsi"/>
                <w:b/>
                <w:i/>
                <w:sz w:val="18"/>
                <w:szCs w:val="18"/>
                <w:lang w:val="en-AU"/>
              </w:rPr>
              <w:t xml:space="preserve">Objective </w:t>
            </w:r>
            <w:r>
              <w:rPr>
                <w:rFonts w:cstheme="minorHAnsi"/>
                <w:b/>
                <w:i/>
                <w:sz w:val="18"/>
                <w:szCs w:val="18"/>
                <w:lang w:val="en-AU"/>
              </w:rPr>
              <w:t>30</w:t>
            </w:r>
          </w:p>
        </w:tc>
        <w:tc>
          <w:tcPr>
            <w:tcW w:w="4058" w:type="pct"/>
            <w:tcBorders>
              <w:top w:val="single" w:sz="4" w:space="0" w:color="BFBFBF" w:themeColor="background1" w:themeShade="BF"/>
              <w:bottom w:val="nil"/>
            </w:tcBorders>
          </w:tcPr>
          <w:p w14:paraId="187A2E66" w14:textId="396CC1BB" w:rsidR="002A2BDE" w:rsidRPr="00137ABA" w:rsidRDefault="006A3A7C" w:rsidP="00B22620">
            <w:pPr>
              <w:pStyle w:val="Numberedtable"/>
              <w:numPr>
                <w:ilvl w:val="0"/>
                <w:numId w:val="0"/>
              </w:numPr>
              <w:rPr>
                <w:rFonts w:asciiTheme="minorHAnsi" w:hAnsiTheme="minorHAnsi" w:cstheme="minorHAnsi"/>
                <w:sz w:val="21"/>
                <w:szCs w:val="21"/>
                <w:lang w:val="en-AU"/>
              </w:rPr>
            </w:pPr>
            <w:r>
              <w:rPr>
                <w:rFonts w:asciiTheme="minorHAnsi" w:hAnsiTheme="minorHAnsi" w:cstheme="minorHAnsi"/>
                <w:sz w:val="21"/>
                <w:szCs w:val="21"/>
                <w:lang w:val="en-AU"/>
              </w:rPr>
              <w:t>I</w:t>
            </w:r>
            <w:r w:rsidR="00F003DF">
              <w:rPr>
                <w:rFonts w:asciiTheme="minorHAnsi" w:hAnsiTheme="minorHAnsi" w:cstheme="minorHAnsi"/>
                <w:sz w:val="21"/>
                <w:szCs w:val="21"/>
                <w:lang w:val="en-AU"/>
              </w:rPr>
              <w:t>mprove</w:t>
            </w:r>
            <w:r w:rsidR="002A2BDE" w:rsidRPr="00137ABA">
              <w:rPr>
                <w:rFonts w:asciiTheme="minorHAnsi" w:hAnsiTheme="minorHAnsi" w:cstheme="minorHAnsi"/>
                <w:sz w:val="21"/>
                <w:szCs w:val="21"/>
                <w:lang w:val="en-AU"/>
              </w:rPr>
              <w:t xml:space="preserve"> urban planning</w:t>
            </w:r>
            <w:r>
              <w:rPr>
                <w:rFonts w:asciiTheme="minorHAnsi" w:hAnsiTheme="minorHAnsi" w:cstheme="minorHAnsi"/>
                <w:sz w:val="21"/>
                <w:szCs w:val="21"/>
                <w:lang w:val="en-AU"/>
              </w:rPr>
              <w:t xml:space="preserve"> to promote health and </w:t>
            </w:r>
            <w:r w:rsidR="00070925">
              <w:rPr>
                <w:rFonts w:asciiTheme="minorHAnsi" w:hAnsiTheme="minorHAnsi" w:cstheme="minorHAnsi"/>
                <w:sz w:val="21"/>
                <w:szCs w:val="21"/>
                <w:lang w:val="en-AU"/>
              </w:rPr>
              <w:t>safety</w:t>
            </w:r>
          </w:p>
        </w:tc>
      </w:tr>
      <w:tr w:rsidR="002A2BDE" w:rsidRPr="00817E68" w14:paraId="579CF787" w14:textId="77777777" w:rsidTr="00F62D45">
        <w:trPr>
          <w:trHeight w:val="20"/>
        </w:trPr>
        <w:tc>
          <w:tcPr>
            <w:tcW w:w="269" w:type="pct"/>
            <w:vMerge/>
            <w:tcBorders>
              <w:right w:val="single" w:sz="4" w:space="0" w:color="BFBFBF" w:themeColor="background1" w:themeShade="BF"/>
            </w:tcBorders>
            <w:shd w:val="clear" w:color="auto" w:fill="FF7C80"/>
            <w:textDirection w:val="btLr"/>
          </w:tcPr>
          <w:p w14:paraId="5997DD14" w14:textId="77777777" w:rsidR="002A2BDE" w:rsidRPr="00F62D45" w:rsidRDefault="002A2BDE" w:rsidP="00B22620">
            <w:pPr>
              <w:spacing w:before="0"/>
              <w:ind w:left="113" w:right="113"/>
              <w:contextualSpacing/>
              <w:jc w:val="center"/>
              <w:rPr>
                <w:rFonts w:cstheme="minorHAnsi"/>
                <w:b/>
                <w:color w:val="000000" w:themeColor="text1"/>
                <w:sz w:val="21"/>
                <w:szCs w:val="20"/>
                <w:lang w:val="en-AU"/>
              </w:rPr>
            </w:pPr>
          </w:p>
        </w:tc>
        <w:tc>
          <w:tcPr>
            <w:tcW w:w="673" w:type="pct"/>
            <w:tcBorders>
              <w:top w:val="nil"/>
              <w:left w:val="single" w:sz="4" w:space="0" w:color="BFBFBF" w:themeColor="background1" w:themeShade="BF"/>
              <w:bottom w:val="nil"/>
            </w:tcBorders>
          </w:tcPr>
          <w:p w14:paraId="320921A8" w14:textId="77777777" w:rsidR="002A2BDE" w:rsidRPr="00817E68" w:rsidRDefault="002A2BDE" w:rsidP="00B22620">
            <w:pPr>
              <w:spacing w:before="0"/>
              <w:rPr>
                <w:rFonts w:cstheme="minorHAnsi"/>
                <w:i/>
                <w:color w:val="000000" w:themeColor="text1"/>
                <w:sz w:val="18"/>
                <w:szCs w:val="18"/>
                <w:lang w:val="en-AU"/>
              </w:rPr>
            </w:pPr>
            <w:r w:rsidRPr="00817E68">
              <w:rPr>
                <w:rFonts w:cstheme="minorHAnsi"/>
                <w:i/>
                <w:sz w:val="18"/>
                <w:szCs w:val="18"/>
                <w:lang w:val="en-AU"/>
              </w:rPr>
              <w:t>Actions</w:t>
            </w:r>
          </w:p>
          <w:p w14:paraId="235CF842" w14:textId="77777777" w:rsidR="002A2BDE" w:rsidRPr="00817E68" w:rsidRDefault="002A2BDE" w:rsidP="00B22620">
            <w:pPr>
              <w:spacing w:before="0"/>
              <w:rPr>
                <w:rFonts w:cstheme="minorHAnsi"/>
                <w:i/>
                <w:color w:val="000000" w:themeColor="text1"/>
                <w:sz w:val="18"/>
                <w:szCs w:val="18"/>
                <w:lang w:val="en-AU"/>
              </w:rPr>
            </w:pPr>
          </w:p>
        </w:tc>
        <w:tc>
          <w:tcPr>
            <w:tcW w:w="4058" w:type="pct"/>
            <w:tcBorders>
              <w:top w:val="nil"/>
              <w:bottom w:val="nil"/>
            </w:tcBorders>
          </w:tcPr>
          <w:p w14:paraId="40ACC7BB" w14:textId="0AB02F96" w:rsidR="002A2BDE" w:rsidRPr="00400300" w:rsidRDefault="002259D7" w:rsidP="007D5286">
            <w:pPr>
              <w:pStyle w:val="TableNBullet"/>
              <w:numPr>
                <w:ilvl w:val="0"/>
                <w:numId w:val="88"/>
              </w:numPr>
              <w:rPr>
                <w:rFonts w:cstheme="minorHAnsi"/>
                <w:szCs w:val="21"/>
                <w:lang w:val="en-AU"/>
              </w:rPr>
            </w:pPr>
            <w:r>
              <w:rPr>
                <w:rFonts w:cstheme="minorHAnsi"/>
                <w:szCs w:val="21"/>
                <w:lang w:val="en-AU"/>
              </w:rPr>
              <w:t>Increase</w:t>
            </w:r>
            <w:r w:rsidR="002A2BDE" w:rsidRPr="00400300">
              <w:rPr>
                <w:rFonts w:cstheme="minorHAnsi"/>
                <w:szCs w:val="21"/>
                <w:lang w:val="en-AU"/>
              </w:rPr>
              <w:t xml:space="preserve"> safer </w:t>
            </w:r>
            <w:r>
              <w:rPr>
                <w:rFonts w:cstheme="minorHAnsi"/>
                <w:szCs w:val="21"/>
                <w:lang w:val="en-AU"/>
              </w:rPr>
              <w:t xml:space="preserve">travel routes </w:t>
            </w:r>
            <w:r w:rsidR="002A2BDE" w:rsidRPr="00400300">
              <w:rPr>
                <w:rFonts w:cstheme="minorHAnsi"/>
                <w:szCs w:val="21"/>
                <w:lang w:val="en-AU"/>
              </w:rPr>
              <w:t xml:space="preserve">for cyclists and pedestrians in urban planning for commuters and for travel to school. </w:t>
            </w:r>
          </w:p>
          <w:p w14:paraId="3F771CE9" w14:textId="2BCBC6E0" w:rsidR="002A2BDE" w:rsidRPr="00137ABA" w:rsidRDefault="002A2BDE" w:rsidP="007D5286">
            <w:pPr>
              <w:pStyle w:val="TableNBullet"/>
              <w:numPr>
                <w:ilvl w:val="0"/>
                <w:numId w:val="88"/>
              </w:numPr>
              <w:rPr>
                <w:rFonts w:cstheme="minorHAnsi"/>
                <w:color w:val="000000" w:themeColor="text1"/>
                <w:szCs w:val="21"/>
                <w:lang w:val="en-AU"/>
              </w:rPr>
            </w:pPr>
            <w:r w:rsidRPr="00400300">
              <w:rPr>
                <w:rFonts w:cstheme="minorHAnsi"/>
                <w:szCs w:val="21"/>
                <w:lang w:val="en-AU"/>
              </w:rPr>
              <w:t>Increase accessibility of public transport options through bett</w:t>
            </w:r>
            <w:r w:rsidR="002259D7">
              <w:rPr>
                <w:rFonts w:cstheme="minorHAnsi"/>
                <w:szCs w:val="21"/>
                <w:lang w:val="en-AU"/>
              </w:rPr>
              <w:t>er planning of commuter parking</w:t>
            </w:r>
            <w:r w:rsidRPr="00400300">
              <w:rPr>
                <w:rFonts w:cstheme="minorHAnsi"/>
                <w:szCs w:val="21"/>
                <w:lang w:val="en-AU"/>
              </w:rPr>
              <w:t xml:space="preserve"> and public transport options.</w:t>
            </w:r>
          </w:p>
        </w:tc>
      </w:tr>
      <w:tr w:rsidR="002A2BDE" w:rsidRPr="00740699" w14:paraId="28C59C9F" w14:textId="77777777" w:rsidTr="00F62D45">
        <w:trPr>
          <w:trHeight w:val="20"/>
        </w:trPr>
        <w:tc>
          <w:tcPr>
            <w:tcW w:w="269" w:type="pct"/>
            <w:vMerge/>
            <w:tcBorders>
              <w:right w:val="single" w:sz="4" w:space="0" w:color="BFBFBF" w:themeColor="background1" w:themeShade="BF"/>
            </w:tcBorders>
            <w:shd w:val="clear" w:color="auto" w:fill="FF7C80"/>
            <w:textDirection w:val="btLr"/>
          </w:tcPr>
          <w:p w14:paraId="3BD0CA90" w14:textId="77777777" w:rsidR="002A2BDE" w:rsidRPr="00F62D45" w:rsidRDefault="002A2BDE" w:rsidP="00B22620">
            <w:pPr>
              <w:spacing w:before="0"/>
              <w:ind w:left="113" w:right="113"/>
              <w:contextualSpacing/>
              <w:jc w:val="center"/>
              <w:rPr>
                <w:rFonts w:cstheme="minorHAnsi"/>
                <w:b/>
                <w:color w:val="000000" w:themeColor="text1"/>
                <w:sz w:val="21"/>
                <w:szCs w:val="20"/>
                <w:lang w:val="en-AU"/>
              </w:rPr>
            </w:pPr>
          </w:p>
        </w:tc>
        <w:tc>
          <w:tcPr>
            <w:tcW w:w="673" w:type="pct"/>
            <w:tcBorders>
              <w:top w:val="nil"/>
              <w:left w:val="single" w:sz="4" w:space="0" w:color="BFBFBF" w:themeColor="background1" w:themeShade="BF"/>
              <w:bottom w:val="single" w:sz="4" w:space="0" w:color="BFBFBF" w:themeColor="background1" w:themeShade="BF"/>
            </w:tcBorders>
          </w:tcPr>
          <w:p w14:paraId="53F7CBF4" w14:textId="77777777" w:rsidR="002A2BDE" w:rsidRPr="00817E68" w:rsidRDefault="002A2BDE" w:rsidP="00B22620">
            <w:pPr>
              <w:spacing w:before="0"/>
              <w:rPr>
                <w:rFonts w:cstheme="minorHAnsi"/>
                <w:i/>
                <w:color w:val="000000" w:themeColor="text1"/>
                <w:sz w:val="18"/>
                <w:szCs w:val="18"/>
                <w:lang w:val="en-AU"/>
              </w:rPr>
            </w:pPr>
            <w:r w:rsidRPr="00817E68">
              <w:rPr>
                <w:rFonts w:cstheme="minorHAnsi"/>
                <w:i/>
                <w:sz w:val="18"/>
                <w:szCs w:val="18"/>
                <w:lang w:val="en-AU"/>
              </w:rPr>
              <w:t>Lead agency (partners)</w:t>
            </w:r>
          </w:p>
        </w:tc>
        <w:tc>
          <w:tcPr>
            <w:tcW w:w="4058" w:type="pct"/>
            <w:tcBorders>
              <w:top w:val="nil"/>
              <w:bottom w:val="single" w:sz="4" w:space="0" w:color="BFBFBF" w:themeColor="background1" w:themeShade="BF"/>
            </w:tcBorders>
          </w:tcPr>
          <w:p w14:paraId="64584115" w14:textId="60E71B7E" w:rsidR="00F62D45" w:rsidRPr="002A2BDE" w:rsidRDefault="002A2BDE" w:rsidP="00B22620">
            <w:pPr>
              <w:spacing w:before="0"/>
              <w:rPr>
                <w:rFonts w:cstheme="minorHAnsi"/>
                <w:i/>
                <w:sz w:val="21"/>
                <w:szCs w:val="21"/>
                <w:lang w:val="en-AU" w:eastAsia="en-AU"/>
              </w:rPr>
            </w:pPr>
            <w:r w:rsidRPr="00137ABA">
              <w:rPr>
                <w:rFonts w:cstheme="minorHAnsi"/>
                <w:i/>
                <w:sz w:val="21"/>
                <w:szCs w:val="21"/>
                <w:lang w:val="en-AU" w:eastAsia="en-AU"/>
              </w:rPr>
              <w:t>Department of Infrastructure, Transport, Cities and Regional Development (State and territory departments of transport, local government)</w:t>
            </w:r>
          </w:p>
        </w:tc>
      </w:tr>
      <w:tr w:rsidR="002A2BDE" w:rsidRPr="009A6F15" w14:paraId="03DF0369"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val="restart"/>
            <w:tcBorders>
              <w:right w:val="single" w:sz="4" w:space="0" w:color="BFBFBF" w:themeColor="background1" w:themeShade="BF"/>
            </w:tcBorders>
            <w:shd w:val="clear" w:color="auto" w:fill="FFE599" w:themeFill="accent4" w:themeFillTint="66"/>
            <w:textDirection w:val="btLr"/>
          </w:tcPr>
          <w:p w14:paraId="40163902" w14:textId="77777777" w:rsidR="002A2BDE" w:rsidRPr="00F62D45" w:rsidRDefault="002A2BDE" w:rsidP="00B22620">
            <w:pPr>
              <w:spacing w:before="0"/>
              <w:ind w:left="113" w:right="113"/>
              <w:contextualSpacing/>
              <w:jc w:val="center"/>
              <w:rPr>
                <w:rFonts w:cstheme="minorHAnsi"/>
                <w:b/>
                <w:color w:val="000000" w:themeColor="text1"/>
                <w:sz w:val="21"/>
                <w:szCs w:val="20"/>
                <w:lang w:val="en-AU"/>
              </w:rPr>
            </w:pPr>
            <w:r w:rsidRPr="00F62D45">
              <w:rPr>
                <w:rFonts w:cstheme="minorHAnsi"/>
                <w:b/>
                <w:color w:val="000000" w:themeColor="text1"/>
                <w:sz w:val="21"/>
                <w:szCs w:val="20"/>
                <w:lang w:val="en-AU"/>
              </w:rPr>
              <w:t>Determinants of injury</w:t>
            </w:r>
          </w:p>
        </w:tc>
        <w:tc>
          <w:tcPr>
            <w:tcW w:w="673" w:type="pct"/>
            <w:tcBorders>
              <w:top w:val="single" w:sz="4" w:space="0" w:color="BFBFBF" w:themeColor="background1" w:themeShade="BF"/>
              <w:left w:val="single" w:sz="4" w:space="0" w:color="BFBFBF" w:themeColor="background1" w:themeShade="BF"/>
              <w:bottom w:val="nil"/>
              <w:right w:val="nil"/>
            </w:tcBorders>
          </w:tcPr>
          <w:p w14:paraId="2F95D2E0" w14:textId="77777777" w:rsidR="002A2BDE" w:rsidRPr="00BF67AD" w:rsidRDefault="002A2BDE" w:rsidP="00B22620">
            <w:pPr>
              <w:spacing w:before="0"/>
              <w:rPr>
                <w:rFonts w:cstheme="minorHAnsi"/>
                <w:b/>
                <w:i/>
                <w:sz w:val="18"/>
                <w:szCs w:val="18"/>
                <w:lang w:val="en-AU"/>
              </w:rPr>
            </w:pPr>
            <w:r w:rsidRPr="00EA3053">
              <w:rPr>
                <w:rFonts w:cstheme="minorHAnsi"/>
                <w:b/>
                <w:i/>
                <w:sz w:val="18"/>
                <w:szCs w:val="18"/>
                <w:lang w:val="en-AU"/>
              </w:rPr>
              <w:t>Objective 2</w:t>
            </w:r>
            <w:r>
              <w:rPr>
                <w:rFonts w:cstheme="minorHAnsi"/>
                <w:b/>
                <w:i/>
                <w:sz w:val="18"/>
                <w:szCs w:val="18"/>
                <w:lang w:val="en-AU"/>
              </w:rPr>
              <w:t>1</w:t>
            </w:r>
          </w:p>
        </w:tc>
        <w:tc>
          <w:tcPr>
            <w:tcW w:w="4058" w:type="pct"/>
            <w:tcBorders>
              <w:top w:val="single" w:sz="4" w:space="0" w:color="BFBFBF" w:themeColor="background1" w:themeShade="BF"/>
              <w:left w:val="nil"/>
              <w:bottom w:val="nil"/>
              <w:right w:val="single" w:sz="4" w:space="0" w:color="BFBFBF" w:themeColor="background1" w:themeShade="BF"/>
            </w:tcBorders>
          </w:tcPr>
          <w:p w14:paraId="21C7AA5A" w14:textId="38F5FFE2" w:rsidR="002A2BDE" w:rsidRPr="00CB5C9E" w:rsidRDefault="002A2BDE" w:rsidP="00B22620">
            <w:pPr>
              <w:spacing w:before="0"/>
              <w:rPr>
                <w:b/>
                <w:sz w:val="21"/>
                <w:szCs w:val="21"/>
                <w:lang w:val="en-AU"/>
              </w:rPr>
            </w:pPr>
            <w:r w:rsidRPr="00CB5C9E">
              <w:rPr>
                <w:rFonts w:cstheme="minorHAnsi"/>
                <w:b/>
                <w:sz w:val="21"/>
                <w:szCs w:val="21"/>
                <w:lang w:val="en-AU"/>
              </w:rPr>
              <w:t>Reduce injuries associated with housing and public spaces t</w:t>
            </w:r>
            <w:r w:rsidR="002259D7">
              <w:rPr>
                <w:rFonts w:cstheme="minorHAnsi"/>
                <w:b/>
                <w:sz w:val="21"/>
                <w:szCs w:val="21"/>
                <w:lang w:val="en-AU"/>
              </w:rPr>
              <w:t>hrough better design and design</w:t>
            </w:r>
            <w:r w:rsidRPr="00CB5C9E">
              <w:rPr>
                <w:rFonts w:cstheme="minorHAnsi"/>
                <w:b/>
                <w:sz w:val="21"/>
                <w:szCs w:val="21"/>
                <w:lang w:val="en-AU"/>
              </w:rPr>
              <w:t xml:space="preserve"> standards</w:t>
            </w:r>
          </w:p>
        </w:tc>
      </w:tr>
      <w:tr w:rsidR="002A2BDE" w:rsidRPr="00817E68" w14:paraId="0A0AFB68"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tcBorders>
              <w:right w:val="single" w:sz="4" w:space="0" w:color="BFBFBF" w:themeColor="background1" w:themeShade="BF"/>
            </w:tcBorders>
            <w:shd w:val="clear" w:color="auto" w:fill="FFE599" w:themeFill="accent4" w:themeFillTint="66"/>
            <w:textDirection w:val="btLr"/>
          </w:tcPr>
          <w:p w14:paraId="1D9275EA" w14:textId="77777777" w:rsidR="002A2BDE" w:rsidRPr="00137ABA" w:rsidRDefault="002A2BDE" w:rsidP="00B22620">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nil"/>
              <w:right w:val="nil"/>
            </w:tcBorders>
          </w:tcPr>
          <w:p w14:paraId="16C25047" w14:textId="77777777" w:rsidR="002A2BDE" w:rsidRPr="00817E68" w:rsidRDefault="002A2BDE" w:rsidP="00B22620">
            <w:pPr>
              <w:spacing w:before="0"/>
              <w:rPr>
                <w:rFonts w:cstheme="minorHAnsi"/>
                <w:i/>
                <w:color w:val="000000" w:themeColor="text1"/>
                <w:sz w:val="18"/>
                <w:szCs w:val="18"/>
                <w:lang w:val="en-AU"/>
              </w:rPr>
            </w:pPr>
            <w:r w:rsidRPr="00817E68">
              <w:rPr>
                <w:rFonts w:cstheme="minorHAnsi"/>
                <w:i/>
                <w:sz w:val="18"/>
                <w:szCs w:val="18"/>
                <w:lang w:val="en-AU"/>
              </w:rPr>
              <w:t>Actions</w:t>
            </w:r>
          </w:p>
          <w:p w14:paraId="378E6519" w14:textId="77777777" w:rsidR="002A2BDE" w:rsidRPr="00817E68" w:rsidRDefault="002A2BDE" w:rsidP="00B22620">
            <w:pPr>
              <w:spacing w:before="0"/>
              <w:rPr>
                <w:rFonts w:cstheme="minorHAnsi"/>
                <w:i/>
                <w:color w:val="000000" w:themeColor="text1"/>
                <w:sz w:val="18"/>
                <w:szCs w:val="18"/>
                <w:lang w:val="en-AU"/>
              </w:rPr>
            </w:pPr>
          </w:p>
        </w:tc>
        <w:tc>
          <w:tcPr>
            <w:tcW w:w="4058" w:type="pct"/>
            <w:tcBorders>
              <w:top w:val="nil"/>
              <w:left w:val="nil"/>
              <w:bottom w:val="nil"/>
              <w:right w:val="single" w:sz="4" w:space="0" w:color="BFBFBF" w:themeColor="background1" w:themeShade="BF"/>
            </w:tcBorders>
          </w:tcPr>
          <w:p w14:paraId="6CC9377C" w14:textId="72AA35D2" w:rsidR="002A2BDE" w:rsidRPr="00400300" w:rsidRDefault="002259D7" w:rsidP="007D5286">
            <w:pPr>
              <w:pStyle w:val="TableNBullet"/>
              <w:numPr>
                <w:ilvl w:val="0"/>
                <w:numId w:val="83"/>
              </w:numPr>
              <w:rPr>
                <w:rFonts w:cstheme="minorHAnsi"/>
                <w:szCs w:val="21"/>
                <w:lang w:val="en-AU"/>
              </w:rPr>
            </w:pPr>
            <w:r>
              <w:rPr>
                <w:rFonts w:cstheme="minorHAnsi"/>
                <w:szCs w:val="21"/>
                <w:lang w:val="en-AU"/>
              </w:rPr>
              <w:t>I</w:t>
            </w:r>
            <w:r w:rsidR="002A2BDE" w:rsidRPr="00400300">
              <w:rPr>
                <w:rFonts w:cstheme="minorHAnsi"/>
                <w:szCs w:val="21"/>
                <w:lang w:val="en-AU"/>
              </w:rPr>
              <w:t xml:space="preserve">n the design of houses, public spaces, public buildings and their surrounds, </w:t>
            </w:r>
            <w:r>
              <w:rPr>
                <w:rFonts w:cstheme="minorHAnsi"/>
                <w:szCs w:val="21"/>
                <w:lang w:val="en-AU"/>
              </w:rPr>
              <w:t xml:space="preserve">consider </w:t>
            </w:r>
            <w:r w:rsidR="002A2BDE" w:rsidRPr="00400300">
              <w:rPr>
                <w:rFonts w:cstheme="minorHAnsi"/>
                <w:szCs w:val="21"/>
                <w:lang w:val="en-AU"/>
              </w:rPr>
              <w:t>the risk factors for injuries, notably falls from a height, slips and trips, driveway run-overs, drowning and unintentional poisoning.</w:t>
            </w:r>
          </w:p>
          <w:p w14:paraId="7E629438" w14:textId="7C902F45" w:rsidR="002A2BDE" w:rsidRPr="00400300" w:rsidRDefault="002A2BDE" w:rsidP="007D5286">
            <w:pPr>
              <w:pStyle w:val="TableNBullet"/>
              <w:numPr>
                <w:ilvl w:val="0"/>
                <w:numId w:val="83"/>
              </w:numPr>
              <w:rPr>
                <w:rFonts w:cstheme="minorHAnsi"/>
                <w:szCs w:val="21"/>
                <w:lang w:val="en-AU"/>
              </w:rPr>
            </w:pPr>
            <w:r w:rsidRPr="00400300">
              <w:rPr>
                <w:rFonts w:cstheme="minorHAnsi"/>
                <w:szCs w:val="21"/>
                <w:lang w:val="en-AU"/>
              </w:rPr>
              <w:t>Emb</w:t>
            </w:r>
            <w:r w:rsidR="002259D7">
              <w:rPr>
                <w:rFonts w:cstheme="minorHAnsi"/>
                <w:szCs w:val="21"/>
                <w:lang w:val="en-AU"/>
              </w:rPr>
              <w:t xml:space="preserve">ed injury prevention components, </w:t>
            </w:r>
            <w:r w:rsidRPr="00400300">
              <w:rPr>
                <w:rFonts w:cstheme="minorHAnsi"/>
                <w:szCs w:val="21"/>
                <w:lang w:val="en-AU"/>
              </w:rPr>
              <w:t xml:space="preserve">which address the major design features of planning to promote safety, in the curriculum of the training and education of architects, civil engineers, urban planners, and landscape designers. </w:t>
            </w:r>
          </w:p>
          <w:p w14:paraId="26DD1212" w14:textId="77777777" w:rsidR="002A2BDE" w:rsidRPr="00137ABA" w:rsidRDefault="002A2BDE" w:rsidP="007D5286">
            <w:pPr>
              <w:pStyle w:val="TableNBullet"/>
              <w:numPr>
                <w:ilvl w:val="0"/>
                <w:numId w:val="83"/>
              </w:numPr>
              <w:rPr>
                <w:rFonts w:cstheme="minorHAnsi"/>
                <w:szCs w:val="21"/>
                <w:lang w:val="en-AU"/>
              </w:rPr>
            </w:pPr>
            <w:r w:rsidRPr="00400300">
              <w:rPr>
                <w:rFonts w:cstheme="minorHAnsi"/>
                <w:szCs w:val="21"/>
                <w:lang w:val="en-AU"/>
              </w:rPr>
              <w:t>Ensure that these standards are equally applied to people living in low-cost housing.</w:t>
            </w:r>
          </w:p>
        </w:tc>
      </w:tr>
      <w:tr w:rsidR="002A2BDE" w:rsidRPr="00701DBE" w14:paraId="0BD3BE0E"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tcBorders>
              <w:right w:val="single" w:sz="4" w:space="0" w:color="BFBFBF" w:themeColor="background1" w:themeShade="BF"/>
            </w:tcBorders>
            <w:shd w:val="clear" w:color="auto" w:fill="FFE599" w:themeFill="accent4" w:themeFillTint="66"/>
            <w:textDirection w:val="btLr"/>
          </w:tcPr>
          <w:p w14:paraId="625B8777" w14:textId="77777777" w:rsidR="002A2BDE" w:rsidRPr="00137ABA" w:rsidRDefault="002A2BDE" w:rsidP="00B22620">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single" w:sz="4" w:space="0" w:color="BFBFBF" w:themeColor="background1" w:themeShade="BF"/>
              <w:right w:val="nil"/>
            </w:tcBorders>
          </w:tcPr>
          <w:p w14:paraId="6C68D365" w14:textId="77777777" w:rsidR="002A2BDE" w:rsidRPr="00817E68" w:rsidRDefault="002A2BDE" w:rsidP="00B22620">
            <w:pPr>
              <w:spacing w:before="0"/>
              <w:rPr>
                <w:rFonts w:cstheme="minorHAnsi"/>
                <w:i/>
                <w:sz w:val="18"/>
                <w:szCs w:val="18"/>
                <w:lang w:val="en-AU"/>
              </w:rPr>
            </w:pPr>
            <w:r w:rsidRPr="00817E68">
              <w:rPr>
                <w:rFonts w:cstheme="minorHAnsi"/>
                <w:i/>
                <w:sz w:val="18"/>
                <w:szCs w:val="18"/>
                <w:lang w:val="en-AU"/>
              </w:rPr>
              <w:t>Lead agency (partners)</w:t>
            </w:r>
          </w:p>
        </w:tc>
        <w:tc>
          <w:tcPr>
            <w:tcW w:w="4058" w:type="pct"/>
            <w:tcBorders>
              <w:top w:val="nil"/>
              <w:left w:val="nil"/>
              <w:bottom w:val="single" w:sz="4" w:space="0" w:color="BFBFBF" w:themeColor="background1" w:themeShade="BF"/>
              <w:right w:val="single" w:sz="4" w:space="0" w:color="BFBFBF" w:themeColor="background1" w:themeShade="BF"/>
            </w:tcBorders>
          </w:tcPr>
          <w:p w14:paraId="0C82AA81" w14:textId="77777777" w:rsidR="002A2BDE" w:rsidRPr="00137ABA" w:rsidRDefault="002A2BDE" w:rsidP="00B22620">
            <w:pPr>
              <w:pStyle w:val="Tablepartner"/>
              <w:rPr>
                <w:rFonts w:asciiTheme="minorHAnsi" w:hAnsiTheme="minorHAnsi" w:cstheme="minorHAnsi"/>
                <w:sz w:val="21"/>
                <w:szCs w:val="21"/>
                <w:lang w:val="en-AU"/>
              </w:rPr>
            </w:pPr>
            <w:r w:rsidRPr="00400300">
              <w:rPr>
                <w:rFonts w:asciiTheme="minorHAnsi" w:hAnsiTheme="minorHAnsi" w:cstheme="minorHAnsi"/>
                <w:sz w:val="21"/>
                <w:szCs w:val="21"/>
                <w:lang w:val="en-AU" w:eastAsia="en-AU"/>
              </w:rPr>
              <w:t>Department of Health (Injury prevention professionals, Universities, professional associations of architects, building designers, civil engineers, urban planners)</w:t>
            </w:r>
          </w:p>
        </w:tc>
      </w:tr>
      <w:tr w:rsidR="002A2BDE" w:rsidRPr="00817E68" w14:paraId="5DFB8836"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val="restart"/>
            <w:tcBorders>
              <w:right w:val="single" w:sz="4" w:space="0" w:color="BFBFBF" w:themeColor="background1" w:themeShade="BF"/>
            </w:tcBorders>
            <w:shd w:val="clear" w:color="auto" w:fill="660066"/>
            <w:textDirection w:val="btLr"/>
          </w:tcPr>
          <w:p w14:paraId="552ED27C" w14:textId="77777777" w:rsidR="002A2BDE" w:rsidRPr="00137ABA" w:rsidRDefault="002A2BDE" w:rsidP="00B22620">
            <w:pPr>
              <w:spacing w:before="0"/>
              <w:ind w:left="113" w:right="113"/>
              <w:contextualSpacing/>
              <w:jc w:val="center"/>
              <w:rPr>
                <w:rFonts w:cstheme="minorHAnsi"/>
                <w:b/>
                <w:color w:val="FFFFFF" w:themeColor="background1"/>
                <w:sz w:val="21"/>
                <w:szCs w:val="20"/>
                <w:lang w:val="en-AU"/>
              </w:rPr>
            </w:pPr>
            <w:r w:rsidRPr="00137ABA">
              <w:rPr>
                <w:rFonts w:cstheme="minorHAnsi"/>
                <w:b/>
                <w:color w:val="FFFFFF" w:themeColor="background1"/>
                <w:sz w:val="21"/>
                <w:szCs w:val="20"/>
                <w:lang w:val="en-AU"/>
              </w:rPr>
              <w:t>Falls</w:t>
            </w:r>
          </w:p>
        </w:tc>
        <w:tc>
          <w:tcPr>
            <w:tcW w:w="673" w:type="pct"/>
            <w:tcBorders>
              <w:top w:val="single" w:sz="4" w:space="0" w:color="BFBFBF" w:themeColor="background1" w:themeShade="BF"/>
              <w:left w:val="single" w:sz="4" w:space="0" w:color="BFBFBF" w:themeColor="background1" w:themeShade="BF"/>
              <w:bottom w:val="nil"/>
              <w:right w:val="nil"/>
            </w:tcBorders>
          </w:tcPr>
          <w:p w14:paraId="004DD01E" w14:textId="77777777" w:rsidR="002A2BDE" w:rsidRPr="0038126F" w:rsidRDefault="002A2BDE" w:rsidP="00B22620">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3</w:t>
            </w:r>
          </w:p>
        </w:tc>
        <w:tc>
          <w:tcPr>
            <w:tcW w:w="4058" w:type="pct"/>
            <w:tcBorders>
              <w:top w:val="single" w:sz="4" w:space="0" w:color="BFBFBF" w:themeColor="background1" w:themeShade="BF"/>
              <w:left w:val="nil"/>
              <w:bottom w:val="nil"/>
              <w:right w:val="single" w:sz="4" w:space="0" w:color="BFBFBF" w:themeColor="background1" w:themeShade="BF"/>
            </w:tcBorders>
          </w:tcPr>
          <w:p w14:paraId="4435C60C" w14:textId="77777777" w:rsidR="002A2BDE" w:rsidRPr="00137ABA" w:rsidRDefault="002A2BDE" w:rsidP="00B22620">
            <w:pPr>
              <w:pStyle w:val="Numberedtable"/>
              <w:numPr>
                <w:ilvl w:val="0"/>
                <w:numId w:val="0"/>
              </w:numPr>
              <w:rPr>
                <w:rFonts w:asciiTheme="minorHAnsi" w:hAnsiTheme="minorHAnsi" w:cstheme="minorHAnsi"/>
                <w:sz w:val="21"/>
                <w:szCs w:val="21"/>
                <w:lang w:val="en-AU"/>
              </w:rPr>
            </w:pPr>
            <w:r w:rsidRPr="00137ABA">
              <w:rPr>
                <w:rFonts w:asciiTheme="minorHAnsi" w:hAnsiTheme="minorHAnsi" w:cstheme="minorHAnsi"/>
                <w:sz w:val="21"/>
                <w:szCs w:val="21"/>
                <w:lang w:val="en-AU"/>
              </w:rPr>
              <w:t>Reduce falls in public spaces due to better design of public buildings, facilities and paths/walk ways</w:t>
            </w:r>
          </w:p>
        </w:tc>
      </w:tr>
      <w:tr w:rsidR="002A2BDE" w:rsidRPr="00817E68" w14:paraId="067B520A"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tcBorders>
              <w:right w:val="single" w:sz="4" w:space="0" w:color="BFBFBF" w:themeColor="background1" w:themeShade="BF"/>
            </w:tcBorders>
            <w:shd w:val="clear" w:color="auto" w:fill="660066"/>
            <w:textDirection w:val="btLr"/>
          </w:tcPr>
          <w:p w14:paraId="15A55D48" w14:textId="77777777" w:rsidR="002A2BDE" w:rsidRPr="00137ABA" w:rsidRDefault="002A2BDE" w:rsidP="00B22620">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nil"/>
              <w:right w:val="nil"/>
            </w:tcBorders>
          </w:tcPr>
          <w:p w14:paraId="03F84896" w14:textId="77777777" w:rsidR="002A2BDE" w:rsidRPr="00817E68" w:rsidRDefault="002A2BDE" w:rsidP="00B22620">
            <w:pPr>
              <w:spacing w:before="0"/>
              <w:rPr>
                <w:rFonts w:cstheme="minorHAnsi"/>
                <w:i/>
                <w:color w:val="000000" w:themeColor="text1"/>
                <w:sz w:val="18"/>
                <w:szCs w:val="18"/>
                <w:lang w:val="en-AU"/>
              </w:rPr>
            </w:pPr>
            <w:r w:rsidRPr="00817E68">
              <w:rPr>
                <w:rFonts w:cstheme="minorHAnsi"/>
                <w:i/>
                <w:sz w:val="18"/>
                <w:szCs w:val="18"/>
                <w:lang w:val="en-AU"/>
              </w:rPr>
              <w:t>Actions</w:t>
            </w:r>
          </w:p>
          <w:p w14:paraId="67054329" w14:textId="77777777" w:rsidR="002A2BDE" w:rsidRPr="00817E68" w:rsidRDefault="002A2BDE" w:rsidP="00B22620">
            <w:pPr>
              <w:spacing w:before="0"/>
              <w:rPr>
                <w:rFonts w:cstheme="minorHAnsi"/>
                <w:i/>
                <w:color w:val="000000" w:themeColor="text1"/>
                <w:sz w:val="18"/>
                <w:szCs w:val="18"/>
                <w:lang w:val="en-AU"/>
              </w:rPr>
            </w:pPr>
          </w:p>
        </w:tc>
        <w:tc>
          <w:tcPr>
            <w:tcW w:w="4058" w:type="pct"/>
            <w:tcBorders>
              <w:top w:val="nil"/>
              <w:left w:val="nil"/>
              <w:bottom w:val="nil"/>
              <w:right w:val="single" w:sz="4" w:space="0" w:color="BFBFBF" w:themeColor="background1" w:themeShade="BF"/>
            </w:tcBorders>
          </w:tcPr>
          <w:p w14:paraId="4FEE5D3A" w14:textId="77777777" w:rsidR="002A2BDE" w:rsidRPr="00137ABA" w:rsidRDefault="002A2BDE" w:rsidP="007D5286">
            <w:pPr>
              <w:pStyle w:val="TableNBullet"/>
              <w:numPr>
                <w:ilvl w:val="0"/>
                <w:numId w:val="84"/>
              </w:numPr>
              <w:rPr>
                <w:szCs w:val="21"/>
              </w:rPr>
            </w:pPr>
            <w:r w:rsidRPr="00400300">
              <w:rPr>
                <w:rFonts w:cstheme="minorHAnsi"/>
                <w:szCs w:val="21"/>
                <w:lang w:val="en-AU"/>
              </w:rPr>
              <w:t>Include design features to reduce slips and trips by all age groups, in all plans for public buildings, facilities and paths/walk ways. This should include attention to surfacing, lighting, railings and seating.</w:t>
            </w:r>
          </w:p>
        </w:tc>
      </w:tr>
      <w:tr w:rsidR="002A2BDE" w:rsidRPr="0049435D" w14:paraId="2DB186B2"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tcBorders>
              <w:right w:val="single" w:sz="4" w:space="0" w:color="BFBFBF" w:themeColor="background1" w:themeShade="BF"/>
            </w:tcBorders>
            <w:shd w:val="clear" w:color="auto" w:fill="660066"/>
            <w:textDirection w:val="btLr"/>
          </w:tcPr>
          <w:p w14:paraId="4407068D" w14:textId="77777777" w:rsidR="002A2BDE" w:rsidRPr="00137ABA" w:rsidRDefault="002A2BDE" w:rsidP="00B22620">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single" w:sz="4" w:space="0" w:color="BFBFBF" w:themeColor="background1" w:themeShade="BF"/>
              <w:right w:val="nil"/>
            </w:tcBorders>
          </w:tcPr>
          <w:p w14:paraId="5C931C8C" w14:textId="77777777" w:rsidR="002A2BDE" w:rsidRPr="00817E68" w:rsidRDefault="002A2BDE" w:rsidP="00B22620">
            <w:pPr>
              <w:spacing w:before="0"/>
              <w:rPr>
                <w:rFonts w:cstheme="minorHAnsi"/>
                <w:i/>
                <w:sz w:val="18"/>
                <w:szCs w:val="18"/>
                <w:lang w:val="en-AU"/>
              </w:rPr>
            </w:pPr>
            <w:r w:rsidRPr="00817E68">
              <w:rPr>
                <w:rFonts w:cstheme="minorHAnsi"/>
                <w:i/>
                <w:sz w:val="18"/>
                <w:szCs w:val="18"/>
                <w:lang w:val="en-AU"/>
              </w:rPr>
              <w:t>Lead agency (partners)</w:t>
            </w:r>
          </w:p>
        </w:tc>
        <w:tc>
          <w:tcPr>
            <w:tcW w:w="4058" w:type="pct"/>
            <w:tcBorders>
              <w:top w:val="nil"/>
              <w:left w:val="nil"/>
              <w:bottom w:val="single" w:sz="4" w:space="0" w:color="BFBFBF" w:themeColor="background1" w:themeShade="BF"/>
              <w:right w:val="single" w:sz="4" w:space="0" w:color="BFBFBF" w:themeColor="background1" w:themeShade="BF"/>
            </w:tcBorders>
          </w:tcPr>
          <w:p w14:paraId="12BB1216" w14:textId="77777777" w:rsidR="002A2BDE" w:rsidRPr="00137ABA" w:rsidRDefault="002A2BDE" w:rsidP="00B22620">
            <w:pPr>
              <w:spacing w:before="0"/>
              <w:rPr>
                <w:rFonts w:cstheme="minorHAnsi"/>
                <w:i/>
                <w:sz w:val="21"/>
                <w:szCs w:val="21"/>
                <w:lang w:val="en-AU"/>
              </w:rPr>
            </w:pPr>
            <w:r w:rsidRPr="00137ABA">
              <w:rPr>
                <w:rFonts w:cstheme="minorHAnsi"/>
                <w:i/>
                <w:sz w:val="21"/>
                <w:szCs w:val="21"/>
                <w:lang w:val="en-AU" w:eastAsia="en-AU"/>
              </w:rPr>
              <w:t>Department of Infrastructure, Transport, Cities and Regional Development (State and territory departments of transport, local government)</w:t>
            </w:r>
          </w:p>
        </w:tc>
      </w:tr>
      <w:tr w:rsidR="002A2BDE" w:rsidRPr="00817E68" w14:paraId="1255B104"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val="restart"/>
            <w:tcBorders>
              <w:right w:val="single" w:sz="4" w:space="0" w:color="BFBFBF" w:themeColor="background1" w:themeShade="BF"/>
            </w:tcBorders>
            <w:shd w:val="clear" w:color="auto" w:fill="7999FF"/>
            <w:textDirection w:val="btLr"/>
          </w:tcPr>
          <w:p w14:paraId="0E89370E" w14:textId="77777777" w:rsidR="002A2BDE" w:rsidRPr="00137ABA" w:rsidRDefault="002A2BDE" w:rsidP="00B22620">
            <w:pPr>
              <w:spacing w:before="0"/>
              <w:ind w:left="113" w:right="113"/>
              <w:contextualSpacing/>
              <w:jc w:val="center"/>
              <w:rPr>
                <w:rFonts w:cstheme="minorHAnsi"/>
                <w:b/>
                <w:color w:val="FFFFFF" w:themeColor="background1"/>
                <w:sz w:val="21"/>
                <w:szCs w:val="20"/>
                <w:lang w:val="en-AU"/>
              </w:rPr>
            </w:pPr>
            <w:r w:rsidRPr="00F62D45">
              <w:rPr>
                <w:rFonts w:cstheme="minorHAnsi"/>
                <w:b/>
                <w:color w:val="000000" w:themeColor="text1"/>
                <w:sz w:val="21"/>
                <w:szCs w:val="20"/>
                <w:lang w:val="en-AU"/>
              </w:rPr>
              <w:t>Road + land transport</w:t>
            </w:r>
          </w:p>
        </w:tc>
        <w:tc>
          <w:tcPr>
            <w:tcW w:w="673" w:type="pct"/>
            <w:tcBorders>
              <w:top w:val="single" w:sz="4" w:space="0" w:color="BFBFBF" w:themeColor="background1" w:themeShade="BF"/>
              <w:left w:val="single" w:sz="4" w:space="0" w:color="BFBFBF" w:themeColor="background1" w:themeShade="BF"/>
              <w:bottom w:val="nil"/>
              <w:right w:val="nil"/>
            </w:tcBorders>
          </w:tcPr>
          <w:p w14:paraId="4111C623" w14:textId="77777777" w:rsidR="002A2BDE" w:rsidRPr="0038126F" w:rsidRDefault="002A2BDE" w:rsidP="00B22620">
            <w:pPr>
              <w:spacing w:before="0"/>
              <w:rPr>
                <w:rFonts w:cstheme="minorHAnsi"/>
                <w:b/>
                <w:i/>
                <w:sz w:val="18"/>
                <w:szCs w:val="18"/>
                <w:lang w:val="en-AU"/>
              </w:rPr>
            </w:pPr>
            <w:r w:rsidRPr="0038126F">
              <w:rPr>
                <w:rFonts w:cstheme="minorHAnsi"/>
                <w:b/>
                <w:i/>
                <w:sz w:val="18"/>
                <w:szCs w:val="18"/>
                <w:lang w:val="en-AU"/>
              </w:rPr>
              <w:t xml:space="preserve">Objective </w:t>
            </w:r>
            <w:r>
              <w:rPr>
                <w:rFonts w:cstheme="minorHAnsi"/>
                <w:b/>
                <w:i/>
                <w:sz w:val="18"/>
                <w:szCs w:val="18"/>
                <w:lang w:val="en-AU"/>
              </w:rPr>
              <w:t>9</w:t>
            </w:r>
          </w:p>
        </w:tc>
        <w:tc>
          <w:tcPr>
            <w:tcW w:w="4058" w:type="pct"/>
            <w:tcBorders>
              <w:top w:val="single" w:sz="4" w:space="0" w:color="BFBFBF" w:themeColor="background1" w:themeShade="BF"/>
              <w:left w:val="nil"/>
              <w:bottom w:val="nil"/>
              <w:right w:val="single" w:sz="4" w:space="0" w:color="BFBFBF" w:themeColor="background1" w:themeShade="BF"/>
            </w:tcBorders>
          </w:tcPr>
          <w:p w14:paraId="61EB1371" w14:textId="77777777" w:rsidR="002A2BDE" w:rsidRPr="00137ABA" w:rsidRDefault="002A2BDE" w:rsidP="00B22620">
            <w:pPr>
              <w:pStyle w:val="Numberedtable"/>
              <w:numPr>
                <w:ilvl w:val="0"/>
                <w:numId w:val="0"/>
              </w:numPr>
              <w:rPr>
                <w:rFonts w:asciiTheme="minorHAnsi" w:hAnsiTheme="minorHAnsi" w:cstheme="minorHAnsi"/>
                <w:sz w:val="21"/>
                <w:szCs w:val="21"/>
                <w:lang w:val="en-AU"/>
              </w:rPr>
            </w:pPr>
            <w:r w:rsidRPr="00137ABA">
              <w:rPr>
                <w:rFonts w:asciiTheme="minorHAnsi" w:hAnsiTheme="minorHAnsi" w:cstheme="minorHAnsi"/>
                <w:sz w:val="21"/>
                <w:szCs w:val="21"/>
                <w:lang w:val="en-AU"/>
              </w:rPr>
              <w:t>Reduce injuries to vulnerable road users through legislation and better design of road infrastructure</w:t>
            </w:r>
          </w:p>
        </w:tc>
      </w:tr>
      <w:tr w:rsidR="002A2BDE" w:rsidRPr="00817E68" w14:paraId="78AA99ED"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tcBorders>
              <w:right w:val="single" w:sz="4" w:space="0" w:color="BFBFBF" w:themeColor="background1" w:themeShade="BF"/>
            </w:tcBorders>
            <w:shd w:val="clear" w:color="auto" w:fill="7999FF"/>
            <w:textDirection w:val="btLr"/>
          </w:tcPr>
          <w:p w14:paraId="7C74AD8F" w14:textId="77777777" w:rsidR="002A2BDE" w:rsidRPr="00137ABA" w:rsidRDefault="002A2BDE" w:rsidP="00B22620">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nil"/>
              <w:right w:val="nil"/>
            </w:tcBorders>
          </w:tcPr>
          <w:p w14:paraId="23332F40" w14:textId="77777777" w:rsidR="002A2BDE" w:rsidRPr="00817E68" w:rsidRDefault="002A2BDE" w:rsidP="00B22620">
            <w:pPr>
              <w:spacing w:before="0"/>
              <w:rPr>
                <w:rFonts w:cstheme="minorHAnsi"/>
                <w:i/>
                <w:color w:val="000000" w:themeColor="text1"/>
                <w:sz w:val="18"/>
                <w:szCs w:val="18"/>
                <w:lang w:val="en-AU"/>
              </w:rPr>
            </w:pPr>
            <w:r w:rsidRPr="00817E68">
              <w:rPr>
                <w:rFonts w:cstheme="minorHAnsi"/>
                <w:i/>
                <w:sz w:val="18"/>
                <w:szCs w:val="18"/>
                <w:lang w:val="en-AU"/>
              </w:rPr>
              <w:t>Actions</w:t>
            </w:r>
          </w:p>
          <w:p w14:paraId="7DA87E17" w14:textId="77777777" w:rsidR="002A2BDE" w:rsidRPr="00817E68" w:rsidRDefault="002A2BDE" w:rsidP="00B22620">
            <w:pPr>
              <w:spacing w:before="0"/>
              <w:rPr>
                <w:rFonts w:cstheme="minorHAnsi"/>
                <w:i/>
                <w:color w:val="000000" w:themeColor="text1"/>
                <w:sz w:val="18"/>
                <w:szCs w:val="18"/>
                <w:lang w:val="en-AU"/>
              </w:rPr>
            </w:pPr>
          </w:p>
        </w:tc>
        <w:tc>
          <w:tcPr>
            <w:tcW w:w="4058" w:type="pct"/>
            <w:tcBorders>
              <w:top w:val="nil"/>
              <w:left w:val="nil"/>
              <w:bottom w:val="nil"/>
              <w:right w:val="single" w:sz="4" w:space="0" w:color="BFBFBF" w:themeColor="background1" w:themeShade="BF"/>
            </w:tcBorders>
          </w:tcPr>
          <w:p w14:paraId="43FA4260" w14:textId="77777777" w:rsidR="002A2BDE" w:rsidRPr="00400300" w:rsidRDefault="002A2BDE" w:rsidP="007D5286">
            <w:pPr>
              <w:pStyle w:val="TableNBullet"/>
              <w:numPr>
                <w:ilvl w:val="0"/>
                <w:numId w:val="85"/>
              </w:numPr>
              <w:rPr>
                <w:rFonts w:cstheme="minorHAnsi"/>
                <w:szCs w:val="21"/>
                <w:lang w:val="en-AU"/>
              </w:rPr>
            </w:pPr>
            <w:r w:rsidRPr="00400300">
              <w:rPr>
                <w:rFonts w:cstheme="minorHAnsi"/>
                <w:szCs w:val="21"/>
                <w:lang w:val="en-AU"/>
              </w:rPr>
              <w:t>Review speed limits in urban, built up areas as a means of reducing crashes, and to protect children, older pedestrians, and cyclists.</w:t>
            </w:r>
          </w:p>
          <w:p w14:paraId="72D126D4" w14:textId="1973AC71" w:rsidR="002A2BDE" w:rsidRPr="00400300" w:rsidRDefault="002A2BDE" w:rsidP="007D5286">
            <w:pPr>
              <w:pStyle w:val="TableNBullet"/>
              <w:numPr>
                <w:ilvl w:val="0"/>
                <w:numId w:val="85"/>
              </w:numPr>
              <w:rPr>
                <w:rFonts w:cstheme="minorHAnsi"/>
                <w:szCs w:val="21"/>
                <w:lang w:val="en-AU"/>
              </w:rPr>
            </w:pPr>
            <w:r w:rsidRPr="00400300">
              <w:rPr>
                <w:rFonts w:cstheme="minorHAnsi"/>
                <w:szCs w:val="21"/>
                <w:lang w:val="en-AU"/>
              </w:rPr>
              <w:t>Support speed reduction measures engineered into residential streets and high pedestrian traffic areas</w:t>
            </w:r>
          </w:p>
          <w:p w14:paraId="5CCB7791" w14:textId="77777777" w:rsidR="002A2BDE" w:rsidRPr="00400300" w:rsidRDefault="002A2BDE" w:rsidP="007D5286">
            <w:pPr>
              <w:pStyle w:val="TableNBullet"/>
              <w:numPr>
                <w:ilvl w:val="0"/>
                <w:numId w:val="85"/>
              </w:numPr>
              <w:rPr>
                <w:rFonts w:cstheme="minorHAnsi"/>
                <w:szCs w:val="21"/>
                <w:lang w:val="en-AU"/>
              </w:rPr>
            </w:pPr>
            <w:r w:rsidRPr="00400300">
              <w:rPr>
                <w:rFonts w:cstheme="minorHAnsi"/>
                <w:szCs w:val="21"/>
                <w:lang w:val="en-AU"/>
              </w:rPr>
              <w:t>Ensure that public transport options are made more accessible and affordable, with a view to reducing traffic in retail and business districts.</w:t>
            </w:r>
          </w:p>
          <w:p w14:paraId="04B6ECE4" w14:textId="77777777" w:rsidR="002A2BDE" w:rsidRPr="00137ABA" w:rsidRDefault="002A2BDE" w:rsidP="007D5286">
            <w:pPr>
              <w:pStyle w:val="TableNBullet"/>
              <w:numPr>
                <w:ilvl w:val="0"/>
                <w:numId w:val="85"/>
              </w:numPr>
              <w:rPr>
                <w:rFonts w:cstheme="minorHAnsi"/>
                <w:szCs w:val="21"/>
                <w:lang w:val="en-AU" w:eastAsia="en-US"/>
              </w:rPr>
            </w:pPr>
            <w:r w:rsidRPr="00400300">
              <w:rPr>
                <w:rFonts w:cstheme="minorHAnsi"/>
                <w:szCs w:val="21"/>
                <w:lang w:val="en-AU"/>
              </w:rPr>
              <w:t>Increase road safety initiatives targeting rural and remote areas.</w:t>
            </w:r>
          </w:p>
        </w:tc>
      </w:tr>
      <w:tr w:rsidR="002A2BDE" w:rsidRPr="009A6F15" w14:paraId="5593DF6C" w14:textId="77777777" w:rsidTr="00F62D45">
        <w:tblPrEx>
          <w:tblBorders>
            <w:insideH w:val="single" w:sz="4" w:space="0" w:color="BFBFBF" w:themeColor="background1" w:themeShade="BF"/>
            <w:insideV w:val="single" w:sz="4" w:space="0" w:color="BFBFBF" w:themeColor="background1" w:themeShade="BF"/>
          </w:tblBorders>
        </w:tblPrEx>
        <w:trPr>
          <w:trHeight w:val="20"/>
        </w:trPr>
        <w:tc>
          <w:tcPr>
            <w:tcW w:w="269" w:type="pct"/>
            <w:vMerge/>
            <w:tcBorders>
              <w:right w:val="single" w:sz="4" w:space="0" w:color="BFBFBF" w:themeColor="background1" w:themeShade="BF"/>
            </w:tcBorders>
            <w:shd w:val="clear" w:color="auto" w:fill="7999FF"/>
            <w:textDirection w:val="btLr"/>
          </w:tcPr>
          <w:p w14:paraId="43E014A8" w14:textId="77777777" w:rsidR="002A2BDE" w:rsidRPr="00137ABA" w:rsidRDefault="002A2BDE" w:rsidP="00B22620">
            <w:pPr>
              <w:spacing w:before="0"/>
              <w:ind w:left="113" w:right="113"/>
              <w:contextualSpacing/>
              <w:jc w:val="center"/>
              <w:rPr>
                <w:rFonts w:cstheme="minorHAnsi"/>
                <w:b/>
                <w:color w:val="FFFFFF" w:themeColor="background1"/>
                <w:sz w:val="21"/>
                <w:szCs w:val="20"/>
                <w:lang w:val="en-AU"/>
              </w:rPr>
            </w:pPr>
          </w:p>
        </w:tc>
        <w:tc>
          <w:tcPr>
            <w:tcW w:w="673" w:type="pct"/>
            <w:tcBorders>
              <w:top w:val="nil"/>
              <w:left w:val="single" w:sz="4" w:space="0" w:color="BFBFBF" w:themeColor="background1" w:themeShade="BF"/>
              <w:bottom w:val="single" w:sz="4" w:space="0" w:color="BFBFBF" w:themeColor="background1" w:themeShade="BF"/>
              <w:right w:val="nil"/>
            </w:tcBorders>
          </w:tcPr>
          <w:p w14:paraId="068538BE" w14:textId="77777777" w:rsidR="002A2BDE" w:rsidRPr="00817E68" w:rsidRDefault="002A2BDE" w:rsidP="00B22620">
            <w:pPr>
              <w:spacing w:before="0"/>
              <w:rPr>
                <w:rFonts w:cstheme="minorHAnsi"/>
                <w:i/>
                <w:sz w:val="18"/>
                <w:szCs w:val="18"/>
                <w:lang w:val="en-AU"/>
              </w:rPr>
            </w:pPr>
            <w:r w:rsidRPr="00817E68">
              <w:rPr>
                <w:rFonts w:cstheme="minorHAnsi"/>
                <w:i/>
                <w:sz w:val="18"/>
                <w:szCs w:val="18"/>
                <w:lang w:val="en-AU"/>
              </w:rPr>
              <w:t>Lead agency (partners)</w:t>
            </w:r>
          </w:p>
        </w:tc>
        <w:tc>
          <w:tcPr>
            <w:tcW w:w="4058" w:type="pct"/>
            <w:tcBorders>
              <w:top w:val="nil"/>
              <w:left w:val="nil"/>
              <w:bottom w:val="single" w:sz="4" w:space="0" w:color="BFBFBF" w:themeColor="background1" w:themeShade="BF"/>
              <w:right w:val="single" w:sz="4" w:space="0" w:color="BFBFBF" w:themeColor="background1" w:themeShade="BF"/>
            </w:tcBorders>
          </w:tcPr>
          <w:p w14:paraId="3FDE7DFB" w14:textId="77777777" w:rsidR="002A2BDE" w:rsidRPr="00137ABA" w:rsidRDefault="002A2BDE" w:rsidP="00B22620">
            <w:pPr>
              <w:pStyle w:val="TableNBullet"/>
              <w:numPr>
                <w:ilvl w:val="0"/>
                <w:numId w:val="0"/>
              </w:numPr>
              <w:rPr>
                <w:rFonts w:cstheme="minorHAnsi"/>
                <w:i/>
                <w:szCs w:val="21"/>
                <w:lang w:val="en-AU"/>
              </w:rPr>
            </w:pPr>
            <w:r w:rsidRPr="00137ABA">
              <w:rPr>
                <w:rFonts w:cstheme="minorHAnsi"/>
                <w:i/>
                <w:szCs w:val="21"/>
                <w:lang w:val="en-AU"/>
              </w:rPr>
              <w:t>State and territory departments of transport (Local government, police departments)</w:t>
            </w:r>
          </w:p>
        </w:tc>
      </w:tr>
    </w:tbl>
    <w:p w14:paraId="76E6CC1E" w14:textId="77777777" w:rsidR="002A2BDE" w:rsidRPr="002A2BDE" w:rsidRDefault="002A2BDE" w:rsidP="002A2BDE">
      <w:pPr>
        <w:rPr>
          <w:lang w:val="en-AU"/>
        </w:rPr>
      </w:pPr>
    </w:p>
    <w:p w14:paraId="2541B085" w14:textId="77777777" w:rsidR="00E83213" w:rsidRDefault="00E83213">
      <w:pPr>
        <w:spacing w:before="0" w:after="160" w:line="259" w:lineRule="auto"/>
        <w:rPr>
          <w:rFonts w:eastAsiaTheme="majorEastAsia" w:cstheme="minorHAnsi"/>
          <w:b/>
          <w:color w:val="2E74B5" w:themeColor="accent1" w:themeShade="BF"/>
          <w:sz w:val="36"/>
          <w:szCs w:val="36"/>
          <w:lang w:val="en-AU" w:eastAsia="en-US"/>
        </w:rPr>
      </w:pPr>
      <w:bookmarkStart w:id="278" w:name="_Toc25237340"/>
      <w:bookmarkStart w:id="279" w:name="_Hlk32230139"/>
      <w:r>
        <w:rPr>
          <w:lang w:val="en-AU"/>
        </w:rPr>
        <w:br w:type="page"/>
      </w:r>
    </w:p>
    <w:p w14:paraId="46E8EEFD" w14:textId="1B5EF74B" w:rsidR="00187CE3" w:rsidRPr="00400300" w:rsidRDefault="00DD6200">
      <w:pPr>
        <w:pStyle w:val="Heading1"/>
        <w:rPr>
          <w:lang w:val="en-AU"/>
        </w:rPr>
      </w:pPr>
      <w:bookmarkStart w:id="280" w:name="_Toc38021108"/>
      <w:r>
        <w:rPr>
          <w:lang w:val="en-AU"/>
        </w:rPr>
        <w:t>Current</w:t>
      </w:r>
      <w:r w:rsidR="00187CE3" w:rsidRPr="00400300">
        <w:rPr>
          <w:lang w:val="en-AU"/>
        </w:rPr>
        <w:t xml:space="preserve"> research gaps</w:t>
      </w:r>
      <w:bookmarkEnd w:id="280"/>
    </w:p>
    <w:p w14:paraId="7DFDA4AF" w14:textId="5A16150F" w:rsidR="00187CE3" w:rsidRPr="00400300" w:rsidRDefault="00187CE3" w:rsidP="00187CE3">
      <w:pPr>
        <w:rPr>
          <w:lang w:val="en-AU" w:eastAsia="en-US"/>
        </w:rPr>
      </w:pPr>
      <w:r w:rsidRPr="00400300">
        <w:rPr>
          <w:lang w:val="en-AU" w:eastAsia="en-US"/>
        </w:rPr>
        <w:t>The following provides key research gaps identified for each life stage and cross cutting area.</w:t>
      </w:r>
    </w:p>
    <w:p w14:paraId="448E07A9" w14:textId="77777777" w:rsidR="00187CE3" w:rsidRPr="00400300" w:rsidRDefault="00187CE3" w:rsidP="00187CE3">
      <w:pPr>
        <w:rPr>
          <w:lang w:val="en-AU" w:eastAsia="en-US"/>
        </w:rPr>
      </w:pPr>
    </w:p>
    <w:tbl>
      <w:tblPr>
        <w:tblStyle w:val="TableGrid"/>
        <w:tblW w:w="0" w:type="auto"/>
        <w:tblLook w:val="04A0" w:firstRow="1" w:lastRow="0" w:firstColumn="1" w:lastColumn="0" w:noHBand="0" w:noVBand="1"/>
      </w:tblPr>
      <w:tblGrid>
        <w:gridCol w:w="9016"/>
      </w:tblGrid>
      <w:tr w:rsidR="00187CE3" w:rsidRPr="00400300" w14:paraId="3BB25198" w14:textId="77777777" w:rsidTr="00466F3F">
        <w:trPr>
          <w:trHeight w:val="176"/>
        </w:trPr>
        <w:tc>
          <w:tcPr>
            <w:tcW w:w="9016" w:type="dxa"/>
          </w:tcPr>
          <w:p w14:paraId="712536C0" w14:textId="77777777" w:rsidR="00187CE3" w:rsidRPr="00400300" w:rsidRDefault="00187CE3" w:rsidP="00466F3F">
            <w:pPr>
              <w:spacing w:before="0"/>
              <w:rPr>
                <w:rFonts w:cstheme="minorHAnsi"/>
                <w:b/>
                <w:szCs w:val="22"/>
                <w:lang w:val="en-AU"/>
              </w:rPr>
            </w:pPr>
            <w:r w:rsidRPr="00400300">
              <w:rPr>
                <w:rFonts w:cstheme="minorHAnsi"/>
                <w:b/>
                <w:szCs w:val="22"/>
                <w:lang w:val="en-AU"/>
              </w:rPr>
              <w:t>Babies and children (0-14 years)</w:t>
            </w:r>
          </w:p>
        </w:tc>
      </w:tr>
      <w:tr w:rsidR="00187CE3" w:rsidRPr="00400300" w14:paraId="0E9CEE42" w14:textId="77777777" w:rsidTr="00466F3F">
        <w:trPr>
          <w:trHeight w:val="1114"/>
        </w:trPr>
        <w:tc>
          <w:tcPr>
            <w:tcW w:w="9016" w:type="dxa"/>
          </w:tcPr>
          <w:p w14:paraId="42F11926" w14:textId="76846825" w:rsidR="00187CE3" w:rsidRPr="009D26C8" w:rsidRDefault="00187CE3" w:rsidP="007D5286">
            <w:pPr>
              <w:pStyle w:val="ListParagraph"/>
              <w:numPr>
                <w:ilvl w:val="0"/>
                <w:numId w:val="12"/>
              </w:numPr>
              <w:spacing w:before="0"/>
              <w:rPr>
                <w:rFonts w:cstheme="minorHAnsi"/>
                <w:szCs w:val="22"/>
                <w:lang w:val="en-AU"/>
              </w:rPr>
            </w:pPr>
            <w:r w:rsidRPr="00400300">
              <w:rPr>
                <w:rFonts w:cstheme="minorHAnsi"/>
                <w:szCs w:val="22"/>
                <w:lang w:val="en-AU"/>
              </w:rPr>
              <w:t>Data collection and screening during the antenatal period</w:t>
            </w:r>
            <w:r w:rsidR="009D26C8" w:rsidRPr="009D26C8">
              <w:rPr>
                <w:rFonts w:cstheme="minorHAnsi"/>
                <w:szCs w:val="22"/>
                <w:lang w:val="en-AU"/>
              </w:rPr>
              <w:t>. (</w:t>
            </w:r>
            <w:r w:rsidR="009D26C8" w:rsidRPr="009D26C8">
              <w:rPr>
                <w:szCs w:val="22"/>
                <w:lang w:val="en-AU"/>
              </w:rPr>
              <w:t>Note: As of 1 July 2019, the National Perinatal Data Collection has begun to collect alcohol use in pregnancy, however, the data quality is unknown)</w:t>
            </w:r>
            <w:r w:rsidR="002259D7">
              <w:rPr>
                <w:szCs w:val="22"/>
                <w:lang w:val="en-AU"/>
              </w:rPr>
              <w:t>;</w:t>
            </w:r>
          </w:p>
          <w:p w14:paraId="365E93FB" w14:textId="4EAF62EF" w:rsidR="00187CE3" w:rsidRPr="00400300" w:rsidRDefault="002259D7" w:rsidP="007D5286">
            <w:pPr>
              <w:pStyle w:val="ListParagraph"/>
              <w:numPr>
                <w:ilvl w:val="0"/>
                <w:numId w:val="12"/>
              </w:numPr>
              <w:spacing w:before="0"/>
              <w:rPr>
                <w:rFonts w:cstheme="minorHAnsi"/>
                <w:szCs w:val="22"/>
                <w:lang w:val="en-AU"/>
              </w:rPr>
            </w:pPr>
            <w:r>
              <w:rPr>
                <w:rFonts w:cstheme="minorHAnsi"/>
                <w:szCs w:val="22"/>
                <w:lang w:val="en-AU"/>
              </w:rPr>
              <w:t>Linked</w:t>
            </w:r>
            <w:r w:rsidR="00187CE3" w:rsidRPr="00400300">
              <w:rPr>
                <w:rFonts w:cstheme="minorHAnsi"/>
                <w:szCs w:val="22"/>
                <w:lang w:val="en-AU"/>
              </w:rPr>
              <w:t xml:space="preserve"> data from antenatal period to early childhood and through to other life-stages; </w:t>
            </w:r>
          </w:p>
          <w:p w14:paraId="655FE178" w14:textId="77777777" w:rsidR="00187CE3" w:rsidRPr="00400300" w:rsidRDefault="00187CE3" w:rsidP="007D5286">
            <w:pPr>
              <w:pStyle w:val="ListParagraph"/>
              <w:numPr>
                <w:ilvl w:val="0"/>
                <w:numId w:val="12"/>
              </w:numPr>
              <w:spacing w:before="0"/>
              <w:rPr>
                <w:rFonts w:cstheme="minorHAnsi"/>
                <w:szCs w:val="22"/>
                <w:lang w:val="en-AU"/>
              </w:rPr>
            </w:pPr>
            <w:r w:rsidRPr="00400300">
              <w:rPr>
                <w:rFonts w:cstheme="minorHAnsi"/>
                <w:szCs w:val="22"/>
                <w:lang w:val="en-AU"/>
              </w:rPr>
              <w:t xml:space="preserve">Availability of consistent outcome measures and interventions to allow comparisons across interventions and injury causes; </w:t>
            </w:r>
          </w:p>
          <w:p w14:paraId="2A5997E7" w14:textId="77777777" w:rsidR="00187CE3" w:rsidRPr="00400300" w:rsidRDefault="00187CE3" w:rsidP="007D5286">
            <w:pPr>
              <w:pStyle w:val="ListParagraph"/>
              <w:numPr>
                <w:ilvl w:val="0"/>
                <w:numId w:val="12"/>
              </w:numPr>
              <w:spacing w:before="0"/>
              <w:rPr>
                <w:rFonts w:cstheme="minorHAnsi"/>
                <w:szCs w:val="22"/>
                <w:lang w:val="en-AU"/>
              </w:rPr>
            </w:pPr>
            <w:r w:rsidRPr="00400300">
              <w:rPr>
                <w:rFonts w:cstheme="minorHAnsi"/>
                <w:szCs w:val="22"/>
                <w:lang w:val="en-AU"/>
              </w:rPr>
              <w:t>Long-term and economic evaluations of family and early-life interventions (including to reduce maltreatment to children and self-harm by children);</w:t>
            </w:r>
          </w:p>
          <w:p w14:paraId="4A25548E" w14:textId="77777777" w:rsidR="00187CE3" w:rsidRPr="00400300" w:rsidRDefault="00187CE3" w:rsidP="007D5286">
            <w:pPr>
              <w:pStyle w:val="ListParagraph"/>
              <w:numPr>
                <w:ilvl w:val="0"/>
                <w:numId w:val="12"/>
              </w:numPr>
              <w:spacing w:before="0"/>
              <w:rPr>
                <w:rFonts w:cstheme="minorHAnsi"/>
                <w:szCs w:val="22"/>
                <w:lang w:val="en-AU"/>
              </w:rPr>
            </w:pPr>
            <w:r w:rsidRPr="00400300">
              <w:rPr>
                <w:rFonts w:cstheme="minorHAnsi"/>
                <w:szCs w:val="22"/>
                <w:lang w:val="en-AU"/>
              </w:rPr>
              <w:t>Post-traumatic stress among children and their parents following an injury;</w:t>
            </w:r>
          </w:p>
          <w:p w14:paraId="1529AB0C" w14:textId="018C1344" w:rsidR="00187CE3" w:rsidRPr="00400300" w:rsidRDefault="00187CE3" w:rsidP="007D5286">
            <w:pPr>
              <w:pStyle w:val="ListParagraph"/>
              <w:numPr>
                <w:ilvl w:val="0"/>
                <w:numId w:val="12"/>
              </w:numPr>
              <w:spacing w:before="0"/>
              <w:rPr>
                <w:rFonts w:cstheme="minorHAnsi"/>
                <w:szCs w:val="22"/>
                <w:lang w:val="en-AU"/>
              </w:rPr>
            </w:pPr>
            <w:r w:rsidRPr="00400300">
              <w:rPr>
                <w:rFonts w:cstheme="minorHAnsi"/>
                <w:szCs w:val="22"/>
                <w:lang w:val="en-AU"/>
              </w:rPr>
              <w:t xml:space="preserve">Effective </w:t>
            </w:r>
            <w:r w:rsidR="00E622C4">
              <w:rPr>
                <w:rFonts w:cstheme="minorHAnsi"/>
                <w:szCs w:val="22"/>
                <w:lang w:val="en-AU"/>
              </w:rPr>
              <w:t>intentional</w:t>
            </w:r>
            <w:r w:rsidRPr="00400300">
              <w:rPr>
                <w:rFonts w:cstheme="minorHAnsi"/>
                <w:szCs w:val="22"/>
                <w:lang w:val="en-AU"/>
              </w:rPr>
              <w:t xml:space="preserve"> self-harm prevention targeting </w:t>
            </w:r>
            <w:proofErr w:type="gramStart"/>
            <w:r w:rsidRPr="00400300">
              <w:rPr>
                <w:rFonts w:cstheme="minorHAnsi"/>
                <w:szCs w:val="22"/>
                <w:lang w:val="en-AU"/>
              </w:rPr>
              <w:t>10-14 year</w:t>
            </w:r>
            <w:proofErr w:type="gramEnd"/>
            <w:r w:rsidRPr="00400300">
              <w:rPr>
                <w:rFonts w:cstheme="minorHAnsi"/>
                <w:szCs w:val="22"/>
                <w:lang w:val="en-AU"/>
              </w:rPr>
              <w:t xml:space="preserve"> olds</w:t>
            </w:r>
            <w:r w:rsidR="002C3224">
              <w:rPr>
                <w:rFonts w:cstheme="minorHAnsi"/>
                <w:szCs w:val="22"/>
                <w:lang w:val="en-AU"/>
              </w:rPr>
              <w:t>;</w:t>
            </w:r>
          </w:p>
          <w:p w14:paraId="7A93AE91" w14:textId="77777777" w:rsidR="00187CE3" w:rsidRPr="00400300" w:rsidRDefault="00187CE3" w:rsidP="007D5286">
            <w:pPr>
              <w:pStyle w:val="TableNBullet"/>
              <w:numPr>
                <w:ilvl w:val="0"/>
                <w:numId w:val="12"/>
              </w:numPr>
              <w:contextualSpacing w:val="0"/>
              <w:rPr>
                <w:rFonts w:cstheme="minorHAnsi"/>
                <w:sz w:val="22"/>
                <w:szCs w:val="22"/>
                <w:lang w:val="en-AU"/>
              </w:rPr>
            </w:pPr>
            <w:r w:rsidRPr="00400300">
              <w:rPr>
                <w:rFonts w:cstheme="minorHAnsi"/>
                <w:sz w:val="22"/>
                <w:szCs w:val="22"/>
                <w:lang w:val="en-AU"/>
              </w:rPr>
              <w:t>Develop and evaluate drowning prevention programs targeting older children.</w:t>
            </w:r>
          </w:p>
        </w:tc>
      </w:tr>
      <w:tr w:rsidR="00187CE3" w:rsidRPr="00400300" w14:paraId="3622505D" w14:textId="77777777" w:rsidTr="00466F3F">
        <w:trPr>
          <w:trHeight w:val="69"/>
        </w:trPr>
        <w:tc>
          <w:tcPr>
            <w:tcW w:w="9016" w:type="dxa"/>
          </w:tcPr>
          <w:p w14:paraId="356D1DF0" w14:textId="77777777" w:rsidR="00187CE3" w:rsidRPr="00400300" w:rsidRDefault="00187CE3" w:rsidP="00466F3F">
            <w:pPr>
              <w:spacing w:before="0"/>
              <w:rPr>
                <w:rFonts w:cstheme="minorHAnsi"/>
                <w:b/>
                <w:szCs w:val="22"/>
                <w:lang w:val="en-AU"/>
              </w:rPr>
            </w:pPr>
            <w:r w:rsidRPr="00400300">
              <w:rPr>
                <w:rFonts w:cstheme="minorHAnsi"/>
                <w:b/>
                <w:szCs w:val="22"/>
                <w:lang w:val="en-AU"/>
              </w:rPr>
              <w:t>Youth (15-24 years)</w:t>
            </w:r>
          </w:p>
        </w:tc>
      </w:tr>
      <w:tr w:rsidR="00187CE3" w:rsidRPr="00400300" w14:paraId="376FE61A" w14:textId="77777777" w:rsidTr="00466F3F">
        <w:trPr>
          <w:trHeight w:val="1114"/>
        </w:trPr>
        <w:tc>
          <w:tcPr>
            <w:tcW w:w="9016" w:type="dxa"/>
          </w:tcPr>
          <w:p w14:paraId="5D71C0E5" w14:textId="77777777" w:rsidR="00187CE3" w:rsidRPr="006A3A7C" w:rsidRDefault="00187CE3" w:rsidP="007D5286">
            <w:pPr>
              <w:pStyle w:val="BodyCopy"/>
              <w:numPr>
                <w:ilvl w:val="0"/>
                <w:numId w:val="13"/>
              </w:numPr>
              <w:spacing w:before="0" w:after="0"/>
              <w:rPr>
                <w:rStyle w:val="eop"/>
                <w:rFonts w:cstheme="minorHAnsi"/>
                <w:color w:val="auto"/>
                <w:szCs w:val="22"/>
              </w:rPr>
            </w:pPr>
            <w:r w:rsidRPr="006A3A7C">
              <w:rPr>
                <w:rStyle w:val="normaltextrun"/>
                <w:rFonts w:cstheme="minorHAnsi"/>
                <w:color w:val="auto"/>
                <w:szCs w:val="22"/>
              </w:rPr>
              <w:t xml:space="preserve">Evidence on interventions to reduce poisoning, overdose and drowning among </w:t>
            </w:r>
            <w:r w:rsidRPr="006A3A7C">
              <w:rPr>
                <w:rStyle w:val="eop"/>
                <w:rFonts w:cstheme="minorHAnsi"/>
                <w:color w:val="auto"/>
                <w:szCs w:val="22"/>
              </w:rPr>
              <w:t xml:space="preserve">young people, including a focus on </w:t>
            </w:r>
            <w:r w:rsidRPr="006A3A7C">
              <w:rPr>
                <w:rStyle w:val="normaltextrun"/>
                <w:rFonts w:cstheme="minorHAnsi"/>
                <w:color w:val="auto"/>
                <w:szCs w:val="22"/>
              </w:rPr>
              <w:t>Aboriginal and Torres Strait Islander people;</w:t>
            </w:r>
          </w:p>
          <w:p w14:paraId="70020B79" w14:textId="77777777" w:rsidR="00187CE3" w:rsidRPr="006A3A7C" w:rsidRDefault="00187CE3" w:rsidP="007D5286">
            <w:pPr>
              <w:pStyle w:val="BodyCopy"/>
              <w:numPr>
                <w:ilvl w:val="0"/>
                <w:numId w:val="13"/>
              </w:numPr>
              <w:spacing w:before="0" w:after="0"/>
              <w:rPr>
                <w:rStyle w:val="eop"/>
                <w:rFonts w:cstheme="minorHAnsi"/>
                <w:color w:val="auto"/>
                <w:szCs w:val="22"/>
              </w:rPr>
            </w:pPr>
            <w:r w:rsidRPr="006A3A7C">
              <w:rPr>
                <w:rStyle w:val="eop"/>
                <w:rFonts w:cstheme="minorHAnsi"/>
                <w:color w:val="auto"/>
                <w:szCs w:val="22"/>
              </w:rPr>
              <w:t>Evidence on workplace injury burden and causes among young people, including a focus on young Aboriginal and Torres Strait Islander people;</w:t>
            </w:r>
          </w:p>
          <w:p w14:paraId="197F0B95" w14:textId="77777777" w:rsidR="00187CE3" w:rsidRPr="006A3A7C" w:rsidRDefault="00187CE3" w:rsidP="007D5286">
            <w:pPr>
              <w:pStyle w:val="BodyCopy"/>
              <w:numPr>
                <w:ilvl w:val="0"/>
                <w:numId w:val="13"/>
              </w:numPr>
              <w:spacing w:before="0" w:after="0"/>
              <w:rPr>
                <w:rStyle w:val="normaltextrun"/>
                <w:rFonts w:cstheme="minorHAnsi"/>
                <w:color w:val="auto"/>
                <w:szCs w:val="22"/>
              </w:rPr>
            </w:pPr>
            <w:r w:rsidRPr="006A3A7C">
              <w:rPr>
                <w:rStyle w:val="normaltextrun"/>
                <w:rFonts w:cstheme="minorHAnsi"/>
                <w:color w:val="auto"/>
                <w:szCs w:val="22"/>
              </w:rPr>
              <w:t>The cost of acquired brain and spinal cord injuries to young people and into later years (direct and indirect costs);</w:t>
            </w:r>
          </w:p>
          <w:p w14:paraId="39EC18E3" w14:textId="77777777" w:rsidR="00187CE3" w:rsidRPr="006A3A7C" w:rsidRDefault="00187CE3" w:rsidP="007D5286">
            <w:pPr>
              <w:pStyle w:val="BodyCopy"/>
              <w:numPr>
                <w:ilvl w:val="0"/>
                <w:numId w:val="13"/>
              </w:numPr>
              <w:spacing w:before="0" w:after="0"/>
              <w:rPr>
                <w:rStyle w:val="normaltextrun"/>
                <w:rFonts w:cstheme="minorHAnsi"/>
                <w:color w:val="auto"/>
                <w:szCs w:val="22"/>
              </w:rPr>
            </w:pPr>
            <w:r w:rsidRPr="006A3A7C">
              <w:rPr>
                <w:rStyle w:val="normaltextrun"/>
                <w:rFonts w:cstheme="minorHAnsi"/>
                <w:color w:val="auto"/>
                <w:szCs w:val="22"/>
              </w:rPr>
              <w:t>Evidence on effective legislative and environment measures to reduce violence among young people;</w:t>
            </w:r>
          </w:p>
          <w:p w14:paraId="31839A6D" w14:textId="77777777" w:rsidR="00187CE3" w:rsidRPr="006A3A7C" w:rsidRDefault="00187CE3" w:rsidP="007D5286">
            <w:pPr>
              <w:pStyle w:val="BodyCopy"/>
              <w:numPr>
                <w:ilvl w:val="0"/>
                <w:numId w:val="13"/>
              </w:numPr>
              <w:spacing w:before="0" w:after="0"/>
              <w:rPr>
                <w:rStyle w:val="normaltextrun"/>
                <w:rFonts w:cstheme="minorHAnsi"/>
                <w:color w:val="auto"/>
                <w:szCs w:val="22"/>
              </w:rPr>
            </w:pPr>
            <w:r w:rsidRPr="006A3A7C">
              <w:rPr>
                <w:rStyle w:val="normaltextrun"/>
                <w:rFonts w:cstheme="minorHAnsi"/>
                <w:color w:val="auto"/>
                <w:szCs w:val="22"/>
              </w:rPr>
              <w:t>Effectiveness of interventions to prevent road trauma associated with other drugs;</w:t>
            </w:r>
          </w:p>
          <w:p w14:paraId="20C818E6" w14:textId="77777777" w:rsidR="00187CE3" w:rsidRPr="006A3A7C" w:rsidRDefault="00187CE3" w:rsidP="007D5286">
            <w:pPr>
              <w:pStyle w:val="ListParagraph"/>
              <w:numPr>
                <w:ilvl w:val="0"/>
                <w:numId w:val="12"/>
              </w:numPr>
              <w:spacing w:before="0"/>
              <w:rPr>
                <w:rFonts w:cstheme="minorHAnsi"/>
                <w:szCs w:val="22"/>
                <w:lang w:val="en-AU"/>
              </w:rPr>
            </w:pPr>
            <w:r w:rsidRPr="006A3A7C">
              <w:rPr>
                <w:rFonts w:cstheme="minorHAnsi"/>
                <w:szCs w:val="22"/>
                <w:lang w:val="en-AU"/>
              </w:rPr>
              <w:t>Innovative models to address the health impacts of violence against women and girls, particularly focusing on those at greatest risk.</w:t>
            </w:r>
          </w:p>
        </w:tc>
      </w:tr>
      <w:tr w:rsidR="00187CE3" w:rsidRPr="00400300" w14:paraId="2B89ABAD" w14:textId="77777777" w:rsidTr="00466F3F">
        <w:tc>
          <w:tcPr>
            <w:tcW w:w="9016" w:type="dxa"/>
          </w:tcPr>
          <w:p w14:paraId="5ADB5646" w14:textId="77777777" w:rsidR="00187CE3" w:rsidRPr="006A3A7C" w:rsidRDefault="00187CE3" w:rsidP="00466F3F">
            <w:pPr>
              <w:spacing w:before="0"/>
              <w:rPr>
                <w:rFonts w:eastAsia="Times New Roman" w:cstheme="minorHAnsi"/>
                <w:szCs w:val="22"/>
                <w:lang w:val="en-AU" w:eastAsia="en-AU"/>
              </w:rPr>
            </w:pPr>
            <w:r w:rsidRPr="006A3A7C">
              <w:rPr>
                <w:rFonts w:cstheme="minorHAnsi"/>
                <w:b/>
                <w:szCs w:val="22"/>
                <w:lang w:val="en-AU"/>
              </w:rPr>
              <w:t>Adults (25-64 years)</w:t>
            </w:r>
          </w:p>
        </w:tc>
      </w:tr>
      <w:tr w:rsidR="00187CE3" w:rsidRPr="00400300" w14:paraId="7FA01A2A" w14:textId="77777777" w:rsidTr="00466F3F">
        <w:tc>
          <w:tcPr>
            <w:tcW w:w="9016" w:type="dxa"/>
          </w:tcPr>
          <w:p w14:paraId="5B8BC312" w14:textId="77777777" w:rsidR="00187CE3" w:rsidRPr="006A3A7C" w:rsidRDefault="00187CE3" w:rsidP="007D5286">
            <w:pPr>
              <w:pStyle w:val="ListParagraph"/>
              <w:numPr>
                <w:ilvl w:val="0"/>
                <w:numId w:val="8"/>
              </w:numPr>
              <w:spacing w:before="0"/>
              <w:rPr>
                <w:rFonts w:cstheme="minorHAnsi"/>
                <w:szCs w:val="22"/>
                <w:lang w:val="en-AU"/>
              </w:rPr>
            </w:pPr>
            <w:r w:rsidRPr="006A3A7C">
              <w:rPr>
                <w:rFonts w:cstheme="minorHAnsi"/>
                <w:szCs w:val="22"/>
                <w:lang w:val="en-AU"/>
              </w:rPr>
              <w:t>Evidence on components of successful interventions that reduce the risk of violence experienced by Aboriginal and Torres Strait Islander people, culturally and linguistically diverse people, the LGBTQI+ community, people who have been incarcerated and people with a disability;</w:t>
            </w:r>
          </w:p>
          <w:p w14:paraId="1BC75E5C" w14:textId="77777777" w:rsidR="00187CE3" w:rsidRPr="006A3A7C" w:rsidRDefault="00187CE3" w:rsidP="007D5286">
            <w:pPr>
              <w:pStyle w:val="ListParagraph"/>
              <w:numPr>
                <w:ilvl w:val="0"/>
                <w:numId w:val="8"/>
              </w:numPr>
              <w:spacing w:before="0"/>
              <w:rPr>
                <w:rFonts w:cstheme="minorHAnsi"/>
                <w:szCs w:val="22"/>
                <w:lang w:val="en-AU"/>
              </w:rPr>
            </w:pPr>
            <w:r w:rsidRPr="006A3A7C">
              <w:rPr>
                <w:rFonts w:cstheme="minorHAnsi"/>
                <w:szCs w:val="22"/>
                <w:lang w:val="en-AU"/>
              </w:rPr>
              <w:t>Evidence to quantify the prevalence, burden of injury and access to rehabilitation for Aboriginal and Torres Strait Islander people following a workplace injury.</w:t>
            </w:r>
          </w:p>
          <w:p w14:paraId="4A7BBA93" w14:textId="77777777" w:rsidR="00187CE3" w:rsidRPr="006A3A7C" w:rsidRDefault="00187CE3" w:rsidP="007D5286">
            <w:pPr>
              <w:pStyle w:val="ListParagraph"/>
              <w:numPr>
                <w:ilvl w:val="0"/>
                <w:numId w:val="8"/>
              </w:numPr>
              <w:spacing w:before="0"/>
              <w:rPr>
                <w:rFonts w:cstheme="minorHAnsi"/>
                <w:szCs w:val="22"/>
                <w:lang w:val="en-AU"/>
              </w:rPr>
            </w:pPr>
            <w:r w:rsidRPr="006A3A7C">
              <w:rPr>
                <w:rFonts w:cstheme="minorHAnsi"/>
                <w:szCs w:val="22"/>
                <w:lang w:val="en-AU"/>
              </w:rPr>
              <w:t>Reliable and up to date information on suicide and self-harm;</w:t>
            </w:r>
          </w:p>
          <w:p w14:paraId="07B17A5D" w14:textId="77777777" w:rsidR="00187CE3" w:rsidRPr="006A3A7C" w:rsidRDefault="00187CE3" w:rsidP="007D5286">
            <w:pPr>
              <w:pStyle w:val="ListParagraph"/>
              <w:numPr>
                <w:ilvl w:val="0"/>
                <w:numId w:val="8"/>
              </w:numPr>
              <w:spacing w:before="0"/>
              <w:rPr>
                <w:rFonts w:cstheme="minorHAnsi"/>
                <w:szCs w:val="22"/>
                <w:lang w:val="en-AU"/>
              </w:rPr>
            </w:pPr>
            <w:r w:rsidRPr="006A3A7C">
              <w:rPr>
                <w:rFonts w:cstheme="minorHAnsi"/>
                <w:szCs w:val="22"/>
                <w:lang w:val="en-AU" w:eastAsia="en-US"/>
              </w:rPr>
              <w:t>The incidence and differences in injury for individuals with disability across the lifespan, including for Aboriginal and Torres Strait Islander people, to develop evidence-based strategies to reduce injury in this cohort;</w:t>
            </w:r>
          </w:p>
          <w:p w14:paraId="3EAFF6E9" w14:textId="5371C487" w:rsidR="00187CE3" w:rsidRPr="006A3A7C" w:rsidRDefault="00187CE3" w:rsidP="007D5286">
            <w:pPr>
              <w:pStyle w:val="ListParagraph"/>
              <w:numPr>
                <w:ilvl w:val="0"/>
                <w:numId w:val="8"/>
              </w:numPr>
              <w:spacing w:before="0"/>
              <w:rPr>
                <w:rFonts w:cstheme="minorHAnsi"/>
                <w:szCs w:val="22"/>
                <w:lang w:val="en-AU" w:eastAsia="en-AU"/>
              </w:rPr>
            </w:pPr>
            <w:r w:rsidRPr="006A3A7C">
              <w:rPr>
                <w:rFonts w:cstheme="minorHAnsi"/>
                <w:szCs w:val="22"/>
                <w:lang w:val="en-AU"/>
              </w:rPr>
              <w:t xml:space="preserve">Data regarding family, domestic and sexual violence is limited, with high level summary measures generally monitored through the ABS Personal Safety Survey and community attitudes through the National Community Attitudes towards Violence Against Women </w:t>
            </w:r>
            <w:proofErr w:type="gramStart"/>
            <w:r w:rsidRPr="006A3A7C">
              <w:rPr>
                <w:rFonts w:cstheme="minorHAnsi"/>
                <w:szCs w:val="22"/>
                <w:lang w:val="en-AU"/>
              </w:rPr>
              <w:t>Survey ,</w:t>
            </w:r>
            <w:proofErr w:type="gramEnd"/>
            <w:r w:rsidRPr="006A3A7C">
              <w:rPr>
                <w:rFonts w:cstheme="minorHAnsi"/>
                <w:szCs w:val="22"/>
                <w:lang w:val="en-AU"/>
              </w:rPr>
              <w:t xml:space="preserve"> (however this only captures attitudes on violence against women).</w:t>
            </w:r>
          </w:p>
        </w:tc>
      </w:tr>
      <w:tr w:rsidR="00187CE3" w:rsidRPr="00400300" w14:paraId="1A014272" w14:textId="77777777" w:rsidTr="00466F3F">
        <w:tc>
          <w:tcPr>
            <w:tcW w:w="9016" w:type="dxa"/>
          </w:tcPr>
          <w:p w14:paraId="3C18AF13" w14:textId="77777777" w:rsidR="00187CE3" w:rsidRPr="006A3A7C" w:rsidRDefault="00187CE3" w:rsidP="00466F3F">
            <w:pPr>
              <w:spacing w:before="0"/>
              <w:rPr>
                <w:rFonts w:eastAsia="Times New Roman" w:cstheme="minorHAnsi"/>
                <w:szCs w:val="22"/>
                <w:lang w:val="en-AU" w:eastAsia="en-AU"/>
              </w:rPr>
            </w:pPr>
            <w:r w:rsidRPr="006A3A7C">
              <w:rPr>
                <w:rFonts w:cstheme="minorHAnsi"/>
                <w:b/>
                <w:szCs w:val="22"/>
                <w:lang w:val="en-AU"/>
              </w:rPr>
              <w:t>Older people (65+ years)</w:t>
            </w:r>
          </w:p>
        </w:tc>
      </w:tr>
      <w:tr w:rsidR="00187CE3" w:rsidRPr="00400300" w14:paraId="3AC23101" w14:textId="77777777" w:rsidTr="00466F3F">
        <w:tc>
          <w:tcPr>
            <w:tcW w:w="9016" w:type="dxa"/>
          </w:tcPr>
          <w:p w14:paraId="3D5EE163" w14:textId="77777777" w:rsidR="00187CE3" w:rsidRPr="006A3A7C" w:rsidRDefault="00187CE3" w:rsidP="007D5286">
            <w:pPr>
              <w:pStyle w:val="BodyCopy"/>
              <w:numPr>
                <w:ilvl w:val="0"/>
                <w:numId w:val="5"/>
              </w:numPr>
              <w:spacing w:before="0" w:after="0"/>
              <w:rPr>
                <w:rFonts w:cstheme="minorHAnsi"/>
                <w:color w:val="auto"/>
                <w:szCs w:val="22"/>
              </w:rPr>
            </w:pPr>
            <w:r w:rsidRPr="006A3A7C">
              <w:rPr>
                <w:rFonts w:cstheme="minorHAnsi"/>
                <w:color w:val="auto"/>
                <w:szCs w:val="22"/>
              </w:rPr>
              <w:t>Road traffic injuries among disadvantaged population groups, in relation to countermeasures for older people;</w:t>
            </w:r>
          </w:p>
          <w:p w14:paraId="7BF961DC" w14:textId="77777777" w:rsidR="00187CE3" w:rsidRPr="006A3A7C" w:rsidRDefault="00187CE3" w:rsidP="007D5286">
            <w:pPr>
              <w:pStyle w:val="BodyCopy"/>
              <w:numPr>
                <w:ilvl w:val="0"/>
                <w:numId w:val="5"/>
              </w:numPr>
              <w:spacing w:before="0" w:after="0"/>
              <w:rPr>
                <w:rFonts w:cstheme="minorHAnsi"/>
                <w:color w:val="auto"/>
                <w:szCs w:val="22"/>
              </w:rPr>
            </w:pPr>
            <w:r w:rsidRPr="006A3A7C">
              <w:rPr>
                <w:rFonts w:cstheme="minorHAnsi"/>
                <w:color w:val="auto"/>
                <w:szCs w:val="22"/>
              </w:rPr>
              <w:t>The effectiveness of programs in preventing burns in older people;</w:t>
            </w:r>
          </w:p>
          <w:p w14:paraId="292C3F64" w14:textId="77777777" w:rsidR="00187CE3" w:rsidRPr="006A3A7C" w:rsidRDefault="00187CE3" w:rsidP="007D5286">
            <w:pPr>
              <w:pStyle w:val="BodyCopy"/>
              <w:numPr>
                <w:ilvl w:val="0"/>
                <w:numId w:val="5"/>
              </w:numPr>
              <w:spacing w:before="0" w:after="0"/>
              <w:rPr>
                <w:rFonts w:cstheme="minorHAnsi"/>
                <w:color w:val="auto"/>
                <w:szCs w:val="22"/>
              </w:rPr>
            </w:pPr>
            <w:r w:rsidRPr="006A3A7C">
              <w:rPr>
                <w:rFonts w:cstheme="minorHAnsi"/>
                <w:color w:val="auto"/>
                <w:szCs w:val="22"/>
              </w:rPr>
              <w:t>Cost effectiveness of programs in rural and remote areas to reduce injuries to older people through improvements in housing standards with specific attention to burns and falls and to exercise and balance programs to improve mobility;</w:t>
            </w:r>
          </w:p>
          <w:p w14:paraId="2188AC95" w14:textId="77777777" w:rsidR="00187CE3" w:rsidRPr="006A3A7C" w:rsidRDefault="00187CE3" w:rsidP="007D5286">
            <w:pPr>
              <w:pStyle w:val="BodyCopy"/>
              <w:numPr>
                <w:ilvl w:val="0"/>
                <w:numId w:val="5"/>
              </w:numPr>
              <w:spacing w:before="0" w:after="0"/>
              <w:rPr>
                <w:rFonts w:cstheme="minorHAnsi"/>
                <w:color w:val="auto"/>
                <w:szCs w:val="22"/>
              </w:rPr>
            </w:pPr>
            <w:r w:rsidRPr="006A3A7C">
              <w:rPr>
                <w:rFonts w:cstheme="minorHAnsi"/>
                <w:color w:val="auto"/>
                <w:szCs w:val="22"/>
              </w:rPr>
              <w:t>Effectiveness of countermeasures to address elder abuse and social isolation;</w:t>
            </w:r>
          </w:p>
          <w:p w14:paraId="13518E06" w14:textId="77777777" w:rsidR="00187CE3" w:rsidRPr="006A3A7C" w:rsidRDefault="00187CE3" w:rsidP="007D5286">
            <w:pPr>
              <w:pStyle w:val="BodyCopy"/>
              <w:numPr>
                <w:ilvl w:val="0"/>
                <w:numId w:val="5"/>
              </w:numPr>
              <w:spacing w:before="0" w:after="0"/>
              <w:rPr>
                <w:rFonts w:cstheme="minorHAnsi"/>
                <w:color w:val="auto"/>
                <w:szCs w:val="22"/>
              </w:rPr>
            </w:pPr>
            <w:r w:rsidRPr="006A3A7C">
              <w:rPr>
                <w:rFonts w:cstheme="minorHAnsi"/>
                <w:color w:val="auto"/>
                <w:szCs w:val="22"/>
              </w:rPr>
              <w:t>Effectiveness of hospital-based and residential care-based multifactorial interventions particularly for people with a prior fall event and others identified at high risk of falling. Strategies for where there is some evidence include, gentle exercise, including Tai Chi and walking, environmental modification, vitamin D supplementation and hip protectors.</w:t>
            </w:r>
          </w:p>
        </w:tc>
      </w:tr>
      <w:tr w:rsidR="00187CE3" w:rsidRPr="00400300" w14:paraId="6CC671CF" w14:textId="77777777" w:rsidTr="00466F3F">
        <w:trPr>
          <w:trHeight w:val="176"/>
        </w:trPr>
        <w:tc>
          <w:tcPr>
            <w:tcW w:w="9016" w:type="dxa"/>
          </w:tcPr>
          <w:p w14:paraId="46DECF60" w14:textId="1653614C" w:rsidR="00187CE3" w:rsidRPr="006A3A7C" w:rsidRDefault="00187CE3" w:rsidP="00466F3F">
            <w:pPr>
              <w:spacing w:before="0"/>
              <w:rPr>
                <w:rFonts w:cstheme="minorHAnsi"/>
                <w:b/>
                <w:sz w:val="28"/>
                <w:szCs w:val="28"/>
                <w:lang w:val="en-AU"/>
              </w:rPr>
            </w:pPr>
            <w:bookmarkStart w:id="281" w:name="_Toc33107376"/>
            <w:r w:rsidRPr="006A3A7C">
              <w:rPr>
                <w:b/>
                <w:lang w:val="en-AU"/>
              </w:rPr>
              <w:t>Reducing injury associated with alcohol</w:t>
            </w:r>
            <w:bookmarkEnd w:id="281"/>
          </w:p>
        </w:tc>
      </w:tr>
      <w:tr w:rsidR="00187CE3" w:rsidRPr="00400300" w14:paraId="55CC8636" w14:textId="77777777" w:rsidTr="00466F3F">
        <w:trPr>
          <w:trHeight w:val="692"/>
        </w:trPr>
        <w:tc>
          <w:tcPr>
            <w:tcW w:w="9016" w:type="dxa"/>
          </w:tcPr>
          <w:p w14:paraId="14090D89" w14:textId="77777777" w:rsidR="00187CE3" w:rsidRPr="006A3A7C" w:rsidRDefault="00187CE3" w:rsidP="007D5286">
            <w:pPr>
              <w:pStyle w:val="BodyCopy"/>
              <w:numPr>
                <w:ilvl w:val="0"/>
                <w:numId w:val="4"/>
              </w:numPr>
              <w:spacing w:before="0" w:after="0"/>
              <w:rPr>
                <w:rFonts w:cstheme="minorHAnsi"/>
                <w:color w:val="auto"/>
                <w:szCs w:val="22"/>
              </w:rPr>
            </w:pPr>
            <w:r w:rsidRPr="006A3A7C">
              <w:rPr>
                <w:rFonts w:cstheme="minorHAnsi"/>
                <w:color w:val="auto"/>
                <w:szCs w:val="22"/>
              </w:rPr>
              <w:t>National prevalence of FASD;</w:t>
            </w:r>
          </w:p>
          <w:p w14:paraId="3A58F3A6" w14:textId="77777777" w:rsidR="00187CE3" w:rsidRPr="006A3A7C" w:rsidRDefault="00187CE3" w:rsidP="007D5286">
            <w:pPr>
              <w:pStyle w:val="BodyCopy"/>
              <w:numPr>
                <w:ilvl w:val="0"/>
                <w:numId w:val="4"/>
              </w:numPr>
              <w:spacing w:before="0" w:after="0"/>
              <w:rPr>
                <w:rFonts w:cstheme="minorHAnsi"/>
                <w:color w:val="auto"/>
                <w:szCs w:val="22"/>
              </w:rPr>
            </w:pPr>
            <w:r w:rsidRPr="006A3A7C">
              <w:rPr>
                <w:rFonts w:cstheme="minorHAnsi"/>
                <w:color w:val="auto"/>
                <w:szCs w:val="22"/>
              </w:rPr>
              <w:t>Evidence of increased risk of harm and injury to those with FASD;</w:t>
            </w:r>
          </w:p>
          <w:p w14:paraId="0187E799" w14:textId="77777777" w:rsidR="00187CE3" w:rsidRPr="006A3A7C" w:rsidRDefault="00187CE3" w:rsidP="007D5286">
            <w:pPr>
              <w:pStyle w:val="BodyCopy"/>
              <w:numPr>
                <w:ilvl w:val="0"/>
                <w:numId w:val="4"/>
              </w:numPr>
              <w:spacing w:before="0" w:after="0"/>
              <w:rPr>
                <w:rFonts w:cstheme="minorHAnsi"/>
                <w:color w:val="auto"/>
                <w:szCs w:val="22"/>
              </w:rPr>
            </w:pPr>
            <w:r w:rsidRPr="006A3A7C">
              <w:rPr>
                <w:rFonts w:cstheme="minorHAnsi"/>
                <w:color w:val="auto"/>
                <w:szCs w:val="22"/>
              </w:rPr>
              <w:t>Evidence on effectiveness of alcohol-related violence programs. Strategies could include community mobilisation, could include responsible beverage service training, stricter enforcement of licensing laws, house policies to address at risk drinking (e.g. no shots after mid-night) and environmental controls (e.g. use of plastic vessels after mid-night; security guards to reduce over-crowding). External environmental controls could include increasing the availability and ease of access to public transport for even late hours, and visible police presence.</w:t>
            </w:r>
          </w:p>
        </w:tc>
      </w:tr>
      <w:tr w:rsidR="00187CE3" w:rsidRPr="00400300" w14:paraId="67925FA4" w14:textId="77777777" w:rsidTr="00466F3F">
        <w:trPr>
          <w:trHeight w:val="176"/>
        </w:trPr>
        <w:tc>
          <w:tcPr>
            <w:tcW w:w="9016" w:type="dxa"/>
          </w:tcPr>
          <w:p w14:paraId="2245B736" w14:textId="77777777" w:rsidR="00187CE3" w:rsidRPr="00400300" w:rsidRDefault="00187CE3" w:rsidP="00466F3F">
            <w:pPr>
              <w:spacing w:before="0"/>
              <w:rPr>
                <w:b/>
                <w:lang w:val="en-AU"/>
              </w:rPr>
            </w:pPr>
            <w:r w:rsidRPr="00400300">
              <w:rPr>
                <w:b/>
                <w:lang w:val="en-AU"/>
              </w:rPr>
              <w:t xml:space="preserve">Reducing injury associated with an increase in extreme weather events </w:t>
            </w:r>
          </w:p>
        </w:tc>
      </w:tr>
      <w:tr w:rsidR="00187CE3" w:rsidRPr="00400300" w14:paraId="46440E8B" w14:textId="77777777" w:rsidTr="00466F3F">
        <w:trPr>
          <w:trHeight w:val="689"/>
        </w:trPr>
        <w:tc>
          <w:tcPr>
            <w:tcW w:w="9016" w:type="dxa"/>
          </w:tcPr>
          <w:p w14:paraId="756C0C4A" w14:textId="77777777" w:rsidR="00187CE3" w:rsidRPr="00400300" w:rsidRDefault="00187CE3" w:rsidP="007D5286">
            <w:pPr>
              <w:pStyle w:val="ListParagraph"/>
              <w:numPr>
                <w:ilvl w:val="0"/>
                <w:numId w:val="10"/>
              </w:numPr>
              <w:spacing w:before="0"/>
              <w:rPr>
                <w:rFonts w:cstheme="minorHAnsi"/>
                <w:szCs w:val="22"/>
                <w:lang w:val="en-AU"/>
              </w:rPr>
            </w:pPr>
            <w:r w:rsidRPr="00400300">
              <w:rPr>
                <w:rFonts w:cstheme="minorHAnsi"/>
                <w:szCs w:val="22"/>
                <w:lang w:val="en-AU"/>
              </w:rPr>
              <w:t>Incidence and trends of injuries associated with extreme weather events, through Emergency Department data, hospital admissions and deaths as well as sentinel data on General Practitioner visits;</w:t>
            </w:r>
          </w:p>
          <w:p w14:paraId="4D205A6F" w14:textId="77777777" w:rsidR="00187CE3" w:rsidRPr="00400300" w:rsidRDefault="00187CE3" w:rsidP="007D5286">
            <w:pPr>
              <w:pStyle w:val="ListParagraph"/>
              <w:numPr>
                <w:ilvl w:val="0"/>
                <w:numId w:val="10"/>
              </w:numPr>
              <w:spacing w:before="0"/>
              <w:rPr>
                <w:rFonts w:cstheme="minorHAnsi"/>
                <w:szCs w:val="22"/>
                <w:lang w:val="en-AU"/>
              </w:rPr>
            </w:pPr>
            <w:r w:rsidRPr="00400300">
              <w:rPr>
                <w:rFonts w:cstheme="minorHAnsi"/>
                <w:szCs w:val="22"/>
                <w:lang w:val="en-AU"/>
              </w:rPr>
              <w:t>Inclusion of weather events into datasets;</w:t>
            </w:r>
          </w:p>
          <w:p w14:paraId="6D3A2F5C" w14:textId="77777777" w:rsidR="00187CE3" w:rsidRPr="00400300" w:rsidRDefault="00187CE3" w:rsidP="007D5286">
            <w:pPr>
              <w:pStyle w:val="ListParagraph"/>
              <w:numPr>
                <w:ilvl w:val="0"/>
                <w:numId w:val="10"/>
              </w:numPr>
              <w:spacing w:before="0"/>
              <w:rPr>
                <w:rFonts w:cstheme="minorHAnsi"/>
                <w:szCs w:val="22"/>
                <w:lang w:val="en-AU"/>
              </w:rPr>
            </w:pPr>
            <w:r w:rsidRPr="00400300">
              <w:rPr>
                <w:rFonts w:cstheme="minorHAnsi"/>
                <w:szCs w:val="22"/>
                <w:lang w:val="en-AU"/>
              </w:rPr>
              <w:t>Understanding size of the problem of occupational heat stress, the age and occupational groups at greatest risk;</w:t>
            </w:r>
          </w:p>
          <w:p w14:paraId="6C37D0DC" w14:textId="77777777" w:rsidR="00187CE3" w:rsidRPr="00400300" w:rsidRDefault="00187CE3" w:rsidP="007D5286">
            <w:pPr>
              <w:pStyle w:val="ListParagraph"/>
              <w:numPr>
                <w:ilvl w:val="0"/>
                <w:numId w:val="10"/>
              </w:numPr>
              <w:spacing w:before="0"/>
              <w:rPr>
                <w:rFonts w:cstheme="minorHAnsi"/>
                <w:szCs w:val="22"/>
                <w:lang w:val="en-AU"/>
              </w:rPr>
            </w:pPr>
            <w:r w:rsidRPr="00400300">
              <w:rPr>
                <w:rFonts w:cstheme="minorHAnsi"/>
                <w:szCs w:val="22"/>
                <w:lang w:val="en-AU"/>
              </w:rPr>
              <w:t>Understanding sports related impacts of weather events, including heat stress and air quality impacts, and the groups at greatest risk;</w:t>
            </w:r>
          </w:p>
          <w:p w14:paraId="34546C40" w14:textId="77777777" w:rsidR="00187CE3" w:rsidRPr="00400300" w:rsidRDefault="00187CE3" w:rsidP="007D5286">
            <w:pPr>
              <w:pStyle w:val="ListParagraph"/>
              <w:numPr>
                <w:ilvl w:val="0"/>
                <w:numId w:val="10"/>
              </w:numPr>
              <w:spacing w:before="0"/>
              <w:rPr>
                <w:rFonts w:cstheme="minorHAnsi"/>
                <w:szCs w:val="22"/>
                <w:lang w:val="en-AU"/>
              </w:rPr>
            </w:pPr>
            <w:r w:rsidRPr="00400300">
              <w:rPr>
                <w:rFonts w:cstheme="minorHAnsi"/>
                <w:szCs w:val="22"/>
                <w:lang w:val="en-AU"/>
              </w:rPr>
              <w:t>Identification of effective emergency warning messages and strategies for different vulnerable population groups by age, culture, literacy levels and geographic location;</w:t>
            </w:r>
          </w:p>
          <w:p w14:paraId="25C9B57C" w14:textId="77777777" w:rsidR="00187CE3" w:rsidRPr="00400300" w:rsidRDefault="00187CE3" w:rsidP="007D5286">
            <w:pPr>
              <w:pStyle w:val="ListParagraph"/>
              <w:numPr>
                <w:ilvl w:val="0"/>
                <w:numId w:val="10"/>
              </w:numPr>
              <w:spacing w:before="0"/>
              <w:rPr>
                <w:rFonts w:cstheme="minorHAnsi"/>
                <w:szCs w:val="22"/>
                <w:lang w:val="en-AU"/>
              </w:rPr>
            </w:pPr>
            <w:r w:rsidRPr="00400300">
              <w:rPr>
                <w:rFonts w:cstheme="minorHAnsi"/>
                <w:szCs w:val="22"/>
                <w:lang w:val="en-AU"/>
              </w:rPr>
              <w:t>Prediction and response to injury due to weather extreme as they emerge.</w:t>
            </w:r>
          </w:p>
        </w:tc>
      </w:tr>
      <w:tr w:rsidR="00187CE3" w:rsidRPr="00400300" w14:paraId="51AFABC2" w14:textId="77777777" w:rsidTr="00466F3F">
        <w:trPr>
          <w:trHeight w:val="20"/>
        </w:trPr>
        <w:tc>
          <w:tcPr>
            <w:tcW w:w="9016" w:type="dxa"/>
          </w:tcPr>
          <w:p w14:paraId="3BEEC2B0" w14:textId="335BC0BC" w:rsidR="00187CE3" w:rsidRPr="00400300" w:rsidRDefault="00187CE3" w:rsidP="00466F3F">
            <w:pPr>
              <w:spacing w:before="0"/>
              <w:rPr>
                <w:b/>
                <w:lang w:val="en-AU"/>
              </w:rPr>
            </w:pPr>
            <w:bookmarkStart w:id="282" w:name="_Toc33107378"/>
            <w:r w:rsidRPr="00400300">
              <w:rPr>
                <w:b/>
                <w:lang w:val="en-AU"/>
              </w:rPr>
              <w:t>Better planning of the built environment</w:t>
            </w:r>
            <w:bookmarkEnd w:id="282"/>
            <w:r w:rsidRPr="00400300">
              <w:rPr>
                <w:b/>
                <w:lang w:val="en-AU"/>
              </w:rPr>
              <w:t xml:space="preserve"> </w:t>
            </w:r>
          </w:p>
        </w:tc>
      </w:tr>
      <w:tr w:rsidR="00187CE3" w:rsidRPr="00400300" w14:paraId="532EB0CA" w14:textId="77777777" w:rsidTr="00466F3F">
        <w:trPr>
          <w:trHeight w:val="20"/>
        </w:trPr>
        <w:tc>
          <w:tcPr>
            <w:tcW w:w="9016" w:type="dxa"/>
          </w:tcPr>
          <w:p w14:paraId="5B5D18CD" w14:textId="77777777" w:rsidR="00187CE3" w:rsidRPr="00400300" w:rsidRDefault="00187CE3" w:rsidP="007D5286">
            <w:pPr>
              <w:pStyle w:val="ListParagraph"/>
              <w:numPr>
                <w:ilvl w:val="0"/>
                <w:numId w:val="11"/>
              </w:numPr>
              <w:spacing w:before="0"/>
              <w:rPr>
                <w:rFonts w:cstheme="minorHAnsi"/>
                <w:szCs w:val="22"/>
                <w:lang w:val="en-AU"/>
              </w:rPr>
            </w:pPr>
            <w:r w:rsidRPr="00400300">
              <w:rPr>
                <w:rFonts w:cstheme="minorHAnsi"/>
                <w:szCs w:val="22"/>
                <w:lang w:val="en-AU"/>
              </w:rPr>
              <w:t>Exploration of barriers to adopting safe urban design.</w:t>
            </w:r>
          </w:p>
          <w:p w14:paraId="1D8D5CD2" w14:textId="77777777" w:rsidR="00187CE3" w:rsidRPr="00400300" w:rsidRDefault="00187CE3" w:rsidP="007D5286">
            <w:pPr>
              <w:pStyle w:val="ListParagraph"/>
              <w:numPr>
                <w:ilvl w:val="0"/>
                <w:numId w:val="11"/>
              </w:numPr>
              <w:spacing w:before="0"/>
              <w:rPr>
                <w:rFonts w:cstheme="minorHAnsi"/>
                <w:szCs w:val="22"/>
                <w:lang w:val="en-AU"/>
              </w:rPr>
            </w:pPr>
            <w:r w:rsidRPr="00400300">
              <w:rPr>
                <w:rFonts w:cstheme="minorHAnsi"/>
                <w:szCs w:val="22"/>
                <w:lang w:val="en-AU"/>
              </w:rPr>
              <w:t>Exploration of barriers to adopting known effective countermeasures (</w:t>
            </w:r>
            <w:proofErr w:type="spellStart"/>
            <w:r w:rsidRPr="00400300">
              <w:rPr>
                <w:rFonts w:cstheme="minorHAnsi"/>
                <w:szCs w:val="22"/>
                <w:lang w:val="en-AU"/>
              </w:rPr>
              <w:t>e.g</w:t>
            </w:r>
            <w:proofErr w:type="spellEnd"/>
            <w:r w:rsidRPr="00400300">
              <w:rPr>
                <w:rFonts w:cstheme="minorHAnsi"/>
                <w:szCs w:val="22"/>
                <w:lang w:val="en-AU"/>
              </w:rPr>
              <w:t xml:space="preserve"> reduced speed limits in built environments to 30km/hr).</w:t>
            </w:r>
          </w:p>
        </w:tc>
      </w:tr>
    </w:tbl>
    <w:p w14:paraId="414120AE" w14:textId="77777777" w:rsidR="00187CE3" w:rsidRPr="00400300" w:rsidRDefault="00187CE3" w:rsidP="00187CE3">
      <w:pPr>
        <w:rPr>
          <w:lang w:val="en-AU"/>
        </w:rPr>
      </w:pPr>
    </w:p>
    <w:p w14:paraId="219E5BE6" w14:textId="77777777" w:rsidR="005F31AF" w:rsidRDefault="005F31AF">
      <w:pPr>
        <w:spacing w:before="0" w:after="160" w:line="259" w:lineRule="auto"/>
        <w:rPr>
          <w:lang w:val="en-AU"/>
        </w:rPr>
      </w:pPr>
      <w:r>
        <w:rPr>
          <w:lang w:val="en-AU"/>
        </w:rPr>
        <w:br w:type="page"/>
      </w:r>
    </w:p>
    <w:p w14:paraId="21489AA8" w14:textId="77777777" w:rsidR="005F31AF" w:rsidRPr="00332537" w:rsidRDefault="005F31AF" w:rsidP="00060F4E">
      <w:pPr>
        <w:pStyle w:val="Heading1"/>
      </w:pPr>
      <w:bookmarkStart w:id="283" w:name="_Toc38021109"/>
      <w:r w:rsidRPr="009A058B">
        <w:t>Making progress</w:t>
      </w:r>
      <w:bookmarkEnd w:id="283"/>
      <w:r w:rsidRPr="009A058B">
        <w:t xml:space="preserve"> </w:t>
      </w:r>
    </w:p>
    <w:p w14:paraId="7961E5AF" w14:textId="401E115E" w:rsidR="005F31AF" w:rsidRDefault="005F31AF" w:rsidP="00060F4E">
      <w:r>
        <w:t xml:space="preserve">To achieve the Vision of this Strategy, infrastructure at national, state/territory </w:t>
      </w:r>
      <w:r w:rsidR="002C3224">
        <w:t>and</w:t>
      </w:r>
      <w:r>
        <w:t xml:space="preserve"> local </w:t>
      </w:r>
      <w:r w:rsidR="002C3224">
        <w:t xml:space="preserve">levels </w:t>
      </w:r>
      <w:r>
        <w:t>needs to be established to deliver:</w:t>
      </w:r>
    </w:p>
    <w:p w14:paraId="3BB575CB" w14:textId="3BF4E52F" w:rsidR="005F31AF" w:rsidRPr="009A058B" w:rsidRDefault="005F31AF" w:rsidP="007D5286">
      <w:pPr>
        <w:pStyle w:val="ListParagraph"/>
        <w:numPr>
          <w:ilvl w:val="1"/>
          <w:numId w:val="10"/>
        </w:numPr>
      </w:pPr>
      <w:r w:rsidRPr="00E065E0">
        <w:rPr>
          <w:b/>
        </w:rPr>
        <w:t>Governance</w:t>
      </w:r>
      <w:r w:rsidRPr="009A058B">
        <w:t xml:space="preserve"> – coordination and collaboration across key sectors and across governments spearheaded by a lead agency</w:t>
      </w:r>
      <w:r w:rsidR="009D26C8">
        <w:t>.</w:t>
      </w:r>
    </w:p>
    <w:p w14:paraId="3B74B31B" w14:textId="2D523BD3" w:rsidR="005F31AF" w:rsidRPr="009A058B" w:rsidRDefault="005F31AF" w:rsidP="007D5286">
      <w:pPr>
        <w:pStyle w:val="ListParagraph"/>
        <w:numPr>
          <w:ilvl w:val="1"/>
          <w:numId w:val="10"/>
        </w:numPr>
      </w:pPr>
      <w:r w:rsidRPr="00E065E0">
        <w:rPr>
          <w:b/>
        </w:rPr>
        <w:t>Engagement</w:t>
      </w:r>
      <w:r w:rsidRPr="009A058B">
        <w:t xml:space="preserve"> with local agencies</w:t>
      </w:r>
      <w:r w:rsidR="009D26C8">
        <w:t xml:space="preserve"> and the community</w:t>
      </w:r>
      <w:r w:rsidR="006A3A7C">
        <w:t>, including raising awareness that injuries are preventable</w:t>
      </w:r>
      <w:r w:rsidR="009D26C8">
        <w:t xml:space="preserve">. </w:t>
      </w:r>
    </w:p>
    <w:p w14:paraId="0707DBCB" w14:textId="2288ED70" w:rsidR="005F31AF" w:rsidRPr="009A058B" w:rsidRDefault="005F31AF" w:rsidP="007D5286">
      <w:pPr>
        <w:pStyle w:val="ListParagraph"/>
        <w:numPr>
          <w:ilvl w:val="1"/>
          <w:numId w:val="10"/>
        </w:numPr>
      </w:pPr>
      <w:r w:rsidRPr="00E065E0">
        <w:rPr>
          <w:b/>
        </w:rPr>
        <w:t>Resourcing</w:t>
      </w:r>
      <w:r w:rsidRPr="009A058B">
        <w:t xml:space="preserve"> – funding of injury prevention programs and policies and workforce</w:t>
      </w:r>
      <w:r w:rsidR="009D26C8">
        <w:t>.</w:t>
      </w:r>
    </w:p>
    <w:p w14:paraId="5387AB13" w14:textId="313EFCEE" w:rsidR="005F31AF" w:rsidRPr="009A058B" w:rsidRDefault="005F31AF" w:rsidP="007D5286">
      <w:pPr>
        <w:pStyle w:val="ListParagraph"/>
        <w:numPr>
          <w:ilvl w:val="1"/>
          <w:numId w:val="10"/>
        </w:numPr>
      </w:pPr>
      <w:r w:rsidRPr="00E065E0">
        <w:rPr>
          <w:b/>
        </w:rPr>
        <w:t>Data and resear</w:t>
      </w:r>
      <w:r w:rsidRPr="00060F4E">
        <w:rPr>
          <w:b/>
        </w:rPr>
        <w:t>ch</w:t>
      </w:r>
      <w:r w:rsidRPr="009A058B">
        <w:t xml:space="preserve"> –</w:t>
      </w:r>
      <w:r>
        <w:t xml:space="preserve"> </w:t>
      </w:r>
      <w:r w:rsidRPr="009A058B">
        <w:t>the collection of national, state and territory and regional data and data on priority populations</w:t>
      </w:r>
      <w:r>
        <w:t>, collation of existing evidence</w:t>
      </w:r>
      <w:r w:rsidRPr="009A058B">
        <w:t xml:space="preserve"> and </w:t>
      </w:r>
      <w:r>
        <w:t xml:space="preserve">implementation of </w:t>
      </w:r>
      <w:r w:rsidRPr="009A058B">
        <w:t>targeted research projects</w:t>
      </w:r>
      <w:r w:rsidR="009D26C8">
        <w:t>.</w:t>
      </w:r>
      <w:r w:rsidR="008A7A4D">
        <w:t xml:space="preserve"> This includes committing to principles of Indigenous data governance and sovereignty. </w:t>
      </w:r>
    </w:p>
    <w:p w14:paraId="16BAD7D0" w14:textId="70559CB1" w:rsidR="005F31AF" w:rsidRDefault="005F31AF" w:rsidP="007D5286">
      <w:pPr>
        <w:pStyle w:val="ListParagraph"/>
        <w:numPr>
          <w:ilvl w:val="1"/>
          <w:numId w:val="10"/>
        </w:numPr>
      </w:pPr>
      <w:r w:rsidRPr="00E065E0">
        <w:rPr>
          <w:b/>
        </w:rPr>
        <w:t>Monitoring and reporting</w:t>
      </w:r>
      <w:r>
        <w:t xml:space="preserve"> – a </w:t>
      </w:r>
      <w:r w:rsidRPr="009A058B">
        <w:t xml:space="preserve">monitoring and reporting framework </w:t>
      </w:r>
      <w:r>
        <w:t xml:space="preserve">to map progress and outcomes resulting from </w:t>
      </w:r>
      <w:r w:rsidRPr="009A058B">
        <w:t>implementation of the Strategy</w:t>
      </w:r>
      <w:r>
        <w:t>.</w:t>
      </w:r>
    </w:p>
    <w:p w14:paraId="1E32E54E" w14:textId="3FBE65FB" w:rsidR="00AB4C7E" w:rsidRPr="005A52EE" w:rsidRDefault="00AB4C7E" w:rsidP="005A52EE">
      <w:pPr>
        <w:rPr>
          <w:rFonts w:cstheme="minorHAnsi"/>
          <w:szCs w:val="22"/>
          <w:lang w:val="en-AU"/>
        </w:rPr>
      </w:pPr>
      <w:r>
        <w:rPr>
          <w:rFonts w:ascii="Calibri" w:eastAsiaTheme="minorHAnsi" w:hAnsi="Calibri"/>
          <w:color w:val="000000" w:themeColor="text1"/>
          <w:szCs w:val="22"/>
        </w:rPr>
        <w:t>To coordinate this work, it is recommended that a</w:t>
      </w:r>
      <w:r w:rsidRPr="005A52EE">
        <w:rPr>
          <w:rFonts w:cstheme="minorHAnsi"/>
          <w:szCs w:val="22"/>
          <w:lang w:val="en-AU"/>
        </w:rPr>
        <w:t xml:space="preserve"> </w:t>
      </w:r>
      <w:r w:rsidRPr="005A52EE">
        <w:rPr>
          <w:rFonts w:cstheme="minorHAnsi"/>
          <w:b/>
          <w:szCs w:val="22"/>
          <w:lang w:val="en-AU"/>
        </w:rPr>
        <w:t>National Injury Prevention Lead Agency</w:t>
      </w:r>
      <w:r w:rsidRPr="005A52EE">
        <w:rPr>
          <w:rFonts w:cstheme="minorHAnsi"/>
          <w:szCs w:val="22"/>
          <w:lang w:val="en-AU"/>
        </w:rPr>
        <w:t xml:space="preserve"> </w:t>
      </w:r>
      <w:r>
        <w:rPr>
          <w:rFonts w:cstheme="minorHAnsi"/>
          <w:szCs w:val="22"/>
          <w:lang w:val="en-AU"/>
        </w:rPr>
        <w:t>is established that will:</w:t>
      </w:r>
    </w:p>
    <w:p w14:paraId="2193938A" w14:textId="3667901C" w:rsidR="00AB4C7E" w:rsidRPr="005A52EE" w:rsidRDefault="00AB4C7E" w:rsidP="007D5286">
      <w:pPr>
        <w:pStyle w:val="ListParagraph"/>
        <w:numPr>
          <w:ilvl w:val="0"/>
          <w:numId w:val="41"/>
        </w:numPr>
        <w:rPr>
          <w:lang w:val="en-AU"/>
        </w:rPr>
      </w:pPr>
      <w:r w:rsidRPr="005A52EE">
        <w:rPr>
          <w:lang w:val="en-AU"/>
        </w:rPr>
        <w:t xml:space="preserve">Facilitate and encourage collaboration between stakeholders across academia, government </w:t>
      </w:r>
      <w:r w:rsidR="006A3A7C">
        <w:rPr>
          <w:lang w:val="en-AU"/>
        </w:rPr>
        <w:t>agencie</w:t>
      </w:r>
      <w:r w:rsidR="006A3A7C" w:rsidRPr="005A52EE">
        <w:rPr>
          <w:lang w:val="en-AU"/>
        </w:rPr>
        <w:t>s</w:t>
      </w:r>
      <w:r w:rsidRPr="005A52EE">
        <w:rPr>
          <w:lang w:val="en-AU"/>
        </w:rPr>
        <w:t>, non-government organisations, industry bodies and community groups.</w:t>
      </w:r>
    </w:p>
    <w:p w14:paraId="3528D9B9" w14:textId="77777777" w:rsidR="00AB4C7E" w:rsidRDefault="00AB4C7E" w:rsidP="007D5286">
      <w:pPr>
        <w:pStyle w:val="ListParagraph"/>
        <w:numPr>
          <w:ilvl w:val="0"/>
          <w:numId w:val="41"/>
        </w:numPr>
        <w:rPr>
          <w:lang w:val="en-AU"/>
        </w:rPr>
      </w:pPr>
      <w:r w:rsidRPr="005A52EE">
        <w:rPr>
          <w:lang w:val="en-AU"/>
        </w:rPr>
        <w:t>Foster intersectoral communication at state and territory level for action on injury prevention priority areas.</w:t>
      </w:r>
    </w:p>
    <w:p w14:paraId="199491E3" w14:textId="615F46C6" w:rsidR="00AB4C7E" w:rsidRPr="005A52EE" w:rsidRDefault="00AB4C7E" w:rsidP="005A52EE">
      <w:pPr>
        <w:rPr>
          <w:lang w:val="en-AU"/>
        </w:rPr>
      </w:pPr>
      <w:r w:rsidRPr="0007148E">
        <w:rPr>
          <w:lang w:val="en-AU"/>
        </w:rPr>
        <w:t xml:space="preserve">This agency should be </w:t>
      </w:r>
      <w:r w:rsidRPr="005A52EE">
        <w:rPr>
          <w:rFonts w:cstheme="minorHAnsi"/>
          <w:szCs w:val="22"/>
          <w:lang w:val="en-AU"/>
        </w:rPr>
        <w:t>adequately resourced to:</w:t>
      </w:r>
    </w:p>
    <w:p w14:paraId="73AD6B02" w14:textId="57B61D6A" w:rsidR="00AB4C7E" w:rsidRPr="006A3A7C" w:rsidRDefault="00AB4C7E" w:rsidP="007D5286">
      <w:pPr>
        <w:pStyle w:val="ListParagraph"/>
        <w:numPr>
          <w:ilvl w:val="0"/>
          <w:numId w:val="45"/>
        </w:numPr>
        <w:rPr>
          <w:lang w:val="en-AU" w:eastAsia="en-US"/>
        </w:rPr>
      </w:pPr>
      <w:r w:rsidRPr="006A3A7C">
        <w:rPr>
          <w:lang w:val="en-AU" w:eastAsia="en-US"/>
        </w:rPr>
        <w:t xml:space="preserve">Provide </w:t>
      </w:r>
      <w:r w:rsidRPr="00C34EE8">
        <w:rPr>
          <w:lang w:val="en-AU" w:eastAsia="en-US"/>
        </w:rPr>
        <w:t>governance</w:t>
      </w:r>
      <w:r w:rsidRPr="006A3A7C">
        <w:rPr>
          <w:lang w:val="en-AU" w:eastAsia="en-US"/>
        </w:rPr>
        <w:t xml:space="preserve"> for the National Injury Prevention Strategy</w:t>
      </w:r>
      <w:r w:rsidR="006A3A7C">
        <w:rPr>
          <w:lang w:val="en-AU" w:eastAsia="en-US"/>
        </w:rPr>
        <w:t>;</w:t>
      </w:r>
    </w:p>
    <w:p w14:paraId="5EEF18BF" w14:textId="009340C8" w:rsidR="00AB4C7E" w:rsidRPr="006A3A7C" w:rsidRDefault="00AB4C7E" w:rsidP="007D5286">
      <w:pPr>
        <w:pStyle w:val="ListParagraph"/>
        <w:numPr>
          <w:ilvl w:val="0"/>
          <w:numId w:val="45"/>
        </w:numPr>
        <w:rPr>
          <w:lang w:val="en-AU" w:eastAsia="en-US"/>
        </w:rPr>
      </w:pPr>
      <w:r w:rsidRPr="00C34EE8">
        <w:rPr>
          <w:lang w:val="en-AU" w:eastAsia="en-US"/>
        </w:rPr>
        <w:t>Facilitate collaboration</w:t>
      </w:r>
      <w:r w:rsidR="003D4464" w:rsidRPr="006A3A7C">
        <w:rPr>
          <w:lang w:val="en-AU" w:eastAsia="en-US"/>
        </w:rPr>
        <w:t xml:space="preserve"> and </w:t>
      </w:r>
      <w:r w:rsidR="003D4464" w:rsidRPr="00C34EE8">
        <w:rPr>
          <w:lang w:val="en-AU" w:eastAsia="en-US"/>
        </w:rPr>
        <w:t>engagement</w:t>
      </w:r>
      <w:r w:rsidRPr="00C34EE8">
        <w:rPr>
          <w:lang w:val="en-AU" w:eastAsia="en-US"/>
        </w:rPr>
        <w:t xml:space="preserve"> </w:t>
      </w:r>
      <w:r w:rsidRPr="006A3A7C">
        <w:rPr>
          <w:lang w:val="en-AU" w:eastAsia="en-US"/>
        </w:rPr>
        <w:t>between stakeholders across academia, government representatives, non-government organisations, industry bodies and community groups</w:t>
      </w:r>
      <w:r w:rsidR="006A3A7C">
        <w:rPr>
          <w:lang w:val="en-AU" w:eastAsia="en-US"/>
        </w:rPr>
        <w:t>;</w:t>
      </w:r>
    </w:p>
    <w:p w14:paraId="15953C51" w14:textId="77777777" w:rsidR="00AB4C7E" w:rsidRPr="006A3A7C" w:rsidRDefault="00AB4C7E" w:rsidP="007D5286">
      <w:pPr>
        <w:pStyle w:val="ListParagraph"/>
        <w:numPr>
          <w:ilvl w:val="0"/>
          <w:numId w:val="45"/>
        </w:numPr>
        <w:rPr>
          <w:lang w:val="en-AU" w:eastAsia="en-US"/>
        </w:rPr>
      </w:pPr>
      <w:r w:rsidRPr="006A3A7C">
        <w:rPr>
          <w:lang w:val="en-AU" w:eastAsia="en-US"/>
        </w:rPr>
        <w:t xml:space="preserve">Provide an accessible, up-to-date clearinghouse of </w:t>
      </w:r>
      <w:r w:rsidRPr="00C34EE8">
        <w:rPr>
          <w:lang w:val="en-AU" w:eastAsia="en-US"/>
        </w:rPr>
        <w:t>evidence-based</w:t>
      </w:r>
      <w:r w:rsidRPr="006A3A7C">
        <w:rPr>
          <w:lang w:val="en-AU" w:eastAsia="en-US"/>
        </w:rPr>
        <w:t xml:space="preserve"> approaches and resources;</w:t>
      </w:r>
    </w:p>
    <w:p w14:paraId="1937BC9B" w14:textId="2C28E0E5" w:rsidR="00AB4C7E" w:rsidRPr="006A3A7C" w:rsidRDefault="00AB4C7E" w:rsidP="007D5286">
      <w:pPr>
        <w:pStyle w:val="ListParagraph"/>
        <w:numPr>
          <w:ilvl w:val="0"/>
          <w:numId w:val="45"/>
        </w:numPr>
        <w:rPr>
          <w:lang w:val="en-AU" w:eastAsia="en-US"/>
        </w:rPr>
      </w:pPr>
      <w:r w:rsidRPr="006A3A7C">
        <w:rPr>
          <w:lang w:val="en-AU" w:eastAsia="en-US"/>
        </w:rPr>
        <w:t xml:space="preserve">Manage targeted </w:t>
      </w:r>
      <w:r w:rsidRPr="00C34EE8">
        <w:rPr>
          <w:lang w:val="en-AU" w:eastAsia="en-US"/>
        </w:rPr>
        <w:t>programs and research</w:t>
      </w:r>
      <w:r w:rsidR="006A3A7C">
        <w:rPr>
          <w:lang w:val="en-AU" w:eastAsia="en-US"/>
        </w:rPr>
        <w:t>;</w:t>
      </w:r>
    </w:p>
    <w:p w14:paraId="50AEBA85" w14:textId="3748796D" w:rsidR="00AB4C7E" w:rsidRPr="006A3A7C" w:rsidRDefault="00AB4C7E" w:rsidP="007D5286">
      <w:pPr>
        <w:pStyle w:val="ListParagraph"/>
        <w:numPr>
          <w:ilvl w:val="0"/>
          <w:numId w:val="45"/>
        </w:numPr>
        <w:rPr>
          <w:lang w:val="en-AU" w:eastAsia="en-US"/>
        </w:rPr>
      </w:pPr>
      <w:r w:rsidRPr="00C34EE8">
        <w:rPr>
          <w:lang w:val="en-AU" w:eastAsia="en-US"/>
        </w:rPr>
        <w:t xml:space="preserve">Track progress </w:t>
      </w:r>
      <w:r w:rsidRPr="006A3A7C">
        <w:rPr>
          <w:lang w:val="en-AU" w:eastAsia="en-US"/>
        </w:rPr>
        <w:t>on the Strategy through development of a monitoring and evaluation framework and tools</w:t>
      </w:r>
      <w:r w:rsidR="006A3A7C">
        <w:rPr>
          <w:lang w:val="en-AU" w:eastAsia="en-US"/>
        </w:rPr>
        <w:t>;</w:t>
      </w:r>
    </w:p>
    <w:p w14:paraId="3C77BBD9" w14:textId="69B15B76" w:rsidR="00AB4C7E" w:rsidRPr="006A3A7C" w:rsidRDefault="00AB4C7E" w:rsidP="007D5286">
      <w:pPr>
        <w:pStyle w:val="ListParagraph"/>
        <w:numPr>
          <w:ilvl w:val="0"/>
          <w:numId w:val="45"/>
        </w:numPr>
        <w:rPr>
          <w:lang w:val="en-AU" w:eastAsia="en-US"/>
        </w:rPr>
      </w:pPr>
      <w:r w:rsidRPr="006A3A7C">
        <w:rPr>
          <w:lang w:val="en-AU" w:eastAsia="en-US"/>
        </w:rPr>
        <w:t>Support t</w:t>
      </w:r>
      <w:r w:rsidRPr="006A3A7C">
        <w:rPr>
          <w:rFonts w:cstheme="minorHAnsi"/>
          <w:szCs w:val="22"/>
          <w:lang w:val="en-AU"/>
        </w:rPr>
        <w:t xml:space="preserve">imely, national, state and territory and regional </w:t>
      </w:r>
      <w:r w:rsidRPr="00C34EE8">
        <w:rPr>
          <w:rFonts w:cstheme="minorHAnsi"/>
          <w:szCs w:val="22"/>
          <w:lang w:val="en-AU"/>
        </w:rPr>
        <w:t>open access data</w:t>
      </w:r>
      <w:r w:rsidRPr="006A3A7C">
        <w:rPr>
          <w:rFonts w:cstheme="minorHAnsi"/>
          <w:szCs w:val="22"/>
          <w:lang w:val="en-AU"/>
        </w:rPr>
        <w:t xml:space="preserve"> that, and when appropriate, offers the context and story to injury events, as well as advocating for the inclusion of priority populations as standard practice in data collection and analysis,</w:t>
      </w:r>
    </w:p>
    <w:p w14:paraId="0CDDF228" w14:textId="72670D78" w:rsidR="00AB4C7E" w:rsidRPr="006A3A7C" w:rsidRDefault="00AB4C7E" w:rsidP="007D5286">
      <w:pPr>
        <w:pStyle w:val="ListParagraph"/>
        <w:numPr>
          <w:ilvl w:val="0"/>
          <w:numId w:val="45"/>
        </w:numPr>
        <w:rPr>
          <w:lang w:val="en-AU" w:eastAsia="en-US"/>
        </w:rPr>
      </w:pPr>
      <w:r w:rsidRPr="006A3A7C">
        <w:rPr>
          <w:rFonts w:cstheme="minorHAnsi"/>
          <w:szCs w:val="22"/>
          <w:lang w:val="en-AU"/>
        </w:rPr>
        <w:t>Advocate for consistent collection and coding of national data to compare injury data across states and territories</w:t>
      </w:r>
      <w:r w:rsidR="006A3A7C">
        <w:rPr>
          <w:rFonts w:cstheme="minorHAnsi"/>
          <w:szCs w:val="22"/>
          <w:lang w:val="en-AU"/>
        </w:rPr>
        <w:t>; and</w:t>
      </w:r>
    </w:p>
    <w:p w14:paraId="5249DFA2" w14:textId="50AB0BE4" w:rsidR="00AB4C7E" w:rsidRPr="005A52EE" w:rsidRDefault="00AB4C7E" w:rsidP="007D5286">
      <w:pPr>
        <w:pStyle w:val="ListParagraph"/>
        <w:numPr>
          <w:ilvl w:val="0"/>
          <w:numId w:val="45"/>
        </w:numPr>
        <w:rPr>
          <w:lang w:val="en-AU" w:eastAsia="en-US"/>
        </w:rPr>
      </w:pPr>
      <w:r w:rsidRPr="005A52EE">
        <w:rPr>
          <w:rFonts w:cstheme="minorHAnsi"/>
          <w:szCs w:val="22"/>
          <w:lang w:val="en-AU"/>
        </w:rPr>
        <w:t>Advocate for the collection</w:t>
      </w:r>
      <w:r w:rsidRPr="005A52EE">
        <w:rPr>
          <w:rFonts w:cstheme="minorHAnsi"/>
          <w:szCs w:val="22"/>
        </w:rPr>
        <w:t xml:space="preserve"> of data </w:t>
      </w:r>
      <w:r w:rsidR="008A7A4D">
        <w:rPr>
          <w:rFonts w:cstheme="minorHAnsi"/>
          <w:szCs w:val="22"/>
        </w:rPr>
        <w:t>that relates to</w:t>
      </w:r>
      <w:r w:rsidR="008A7A4D" w:rsidRPr="005A52EE">
        <w:rPr>
          <w:rFonts w:cstheme="minorHAnsi"/>
          <w:szCs w:val="22"/>
        </w:rPr>
        <w:t xml:space="preserve"> </w:t>
      </w:r>
      <w:r w:rsidRPr="005A52EE">
        <w:rPr>
          <w:rFonts w:cstheme="minorHAnsi"/>
          <w:szCs w:val="22"/>
        </w:rPr>
        <w:t>Aboriginal and Torres Strait Islander people</w:t>
      </w:r>
      <w:r w:rsidR="008A7A4D">
        <w:rPr>
          <w:rFonts w:cstheme="minorHAnsi"/>
          <w:szCs w:val="22"/>
        </w:rPr>
        <w:t xml:space="preserve"> </w:t>
      </w:r>
      <w:r w:rsidRPr="005A52EE">
        <w:rPr>
          <w:rFonts w:cstheme="minorHAnsi"/>
          <w:szCs w:val="22"/>
        </w:rPr>
        <w:t>adhere</w:t>
      </w:r>
      <w:r w:rsidR="008A7A4D">
        <w:rPr>
          <w:rFonts w:cstheme="minorHAnsi"/>
          <w:szCs w:val="22"/>
        </w:rPr>
        <w:t>s</w:t>
      </w:r>
      <w:r w:rsidRPr="005A52EE">
        <w:rPr>
          <w:rFonts w:cstheme="minorHAnsi"/>
          <w:szCs w:val="22"/>
        </w:rPr>
        <w:t xml:space="preserve"> to data </w:t>
      </w:r>
      <w:proofErr w:type="gramStart"/>
      <w:r w:rsidRPr="005A52EE">
        <w:rPr>
          <w:rFonts w:cstheme="minorHAnsi"/>
          <w:szCs w:val="22"/>
        </w:rPr>
        <w:t>sovereignty</w:t>
      </w:r>
      <w:r w:rsidRPr="005A52EE">
        <w:rPr>
          <w:rFonts w:cstheme="minorHAnsi"/>
          <w:szCs w:val="22"/>
          <w:vertAlign w:val="superscript"/>
        </w:rPr>
        <w:t>[</w:t>
      </w:r>
      <w:proofErr w:type="gramEnd"/>
      <w:r w:rsidRPr="007362BB">
        <w:rPr>
          <w:rStyle w:val="FootnoteReference"/>
          <w:rFonts w:cstheme="minorHAnsi"/>
          <w:szCs w:val="22"/>
          <w:lang w:val="en-AU"/>
        </w:rPr>
        <w:footnoteReference w:id="8"/>
      </w:r>
      <w:r w:rsidRPr="005A52EE">
        <w:rPr>
          <w:rFonts w:cstheme="minorHAnsi"/>
          <w:szCs w:val="22"/>
          <w:vertAlign w:val="superscript"/>
        </w:rPr>
        <w:t>]</w:t>
      </w:r>
      <w:r w:rsidRPr="005A52EE">
        <w:rPr>
          <w:rFonts w:cstheme="minorHAnsi"/>
          <w:szCs w:val="22"/>
        </w:rPr>
        <w:t xml:space="preserve"> and data governance.</w:t>
      </w:r>
    </w:p>
    <w:p w14:paraId="2C1F680E" w14:textId="77777777" w:rsidR="00C34EE8" w:rsidRDefault="00C34EE8" w:rsidP="00AB4C7E">
      <w:pPr>
        <w:spacing w:before="0"/>
        <w:rPr>
          <w:rFonts w:cstheme="minorHAnsi"/>
          <w:i/>
          <w:szCs w:val="22"/>
          <w:lang w:val="en-AU"/>
        </w:rPr>
      </w:pPr>
    </w:p>
    <w:p w14:paraId="79B05036" w14:textId="037B4C01" w:rsidR="00AB4C7E" w:rsidRPr="005A52EE" w:rsidRDefault="00AB4C7E" w:rsidP="00AB4C7E">
      <w:pPr>
        <w:spacing w:before="0"/>
        <w:rPr>
          <w:rFonts w:cstheme="minorHAnsi"/>
          <w:i/>
          <w:szCs w:val="22"/>
          <w:lang w:val="en-AU"/>
        </w:rPr>
      </w:pPr>
      <w:r w:rsidRPr="005A52EE">
        <w:rPr>
          <w:rFonts w:cstheme="minorHAnsi"/>
          <w:i/>
          <w:szCs w:val="22"/>
          <w:lang w:val="en-AU"/>
        </w:rPr>
        <w:t>State and territor</w:t>
      </w:r>
      <w:r>
        <w:rPr>
          <w:rFonts w:cstheme="minorHAnsi"/>
          <w:i/>
          <w:szCs w:val="22"/>
          <w:lang w:val="en-AU"/>
        </w:rPr>
        <w:t xml:space="preserve">y governments </w:t>
      </w:r>
      <w:r>
        <w:rPr>
          <w:rFonts w:cstheme="minorHAnsi"/>
          <w:szCs w:val="22"/>
          <w:lang w:val="en-AU"/>
        </w:rPr>
        <w:t>should also seek to</w:t>
      </w:r>
      <w:r w:rsidR="003D4464">
        <w:rPr>
          <w:rFonts w:cstheme="minorHAnsi"/>
          <w:szCs w:val="22"/>
          <w:lang w:val="en-AU"/>
        </w:rPr>
        <w:t>:</w:t>
      </w:r>
    </w:p>
    <w:p w14:paraId="7C022F4F" w14:textId="76A7DA42" w:rsidR="00AB4C7E" w:rsidRPr="005A52EE" w:rsidRDefault="00AB4C7E" w:rsidP="007D5286">
      <w:pPr>
        <w:pStyle w:val="ListParagraph"/>
        <w:numPr>
          <w:ilvl w:val="0"/>
          <w:numId w:val="42"/>
        </w:numPr>
        <w:rPr>
          <w:lang w:val="en-AU"/>
        </w:rPr>
      </w:pPr>
      <w:r w:rsidRPr="005A52EE">
        <w:rPr>
          <w:i/>
          <w:lang w:val="en-AU"/>
        </w:rPr>
        <w:t>Develop and implement</w:t>
      </w:r>
      <w:r w:rsidRPr="005A52EE">
        <w:rPr>
          <w:lang w:val="en-AU"/>
        </w:rPr>
        <w:t xml:space="preserve"> injury prevention action plans</w:t>
      </w:r>
      <w:r w:rsidR="006A3A7C">
        <w:rPr>
          <w:lang w:val="en-AU"/>
        </w:rPr>
        <w:t>;</w:t>
      </w:r>
    </w:p>
    <w:p w14:paraId="7ADDE81A" w14:textId="07BA8130" w:rsidR="00AB4C7E" w:rsidRPr="005A52EE" w:rsidRDefault="00AB4C7E" w:rsidP="007D5286">
      <w:pPr>
        <w:pStyle w:val="ListParagraph"/>
        <w:numPr>
          <w:ilvl w:val="0"/>
          <w:numId w:val="42"/>
        </w:numPr>
        <w:rPr>
          <w:lang w:val="en-AU"/>
        </w:rPr>
      </w:pPr>
      <w:r w:rsidRPr="005A52EE">
        <w:rPr>
          <w:i/>
          <w:lang w:val="en-AU"/>
        </w:rPr>
        <w:t>Collaborate</w:t>
      </w:r>
      <w:r w:rsidRPr="005A52EE">
        <w:rPr>
          <w:lang w:val="en-AU"/>
        </w:rPr>
        <w:t xml:space="preserve"> across departments to share resources, knowledge and opportunities for action</w:t>
      </w:r>
      <w:r w:rsidR="003D4464">
        <w:rPr>
          <w:lang w:val="en-AU"/>
        </w:rPr>
        <w:t>,</w:t>
      </w:r>
    </w:p>
    <w:p w14:paraId="5132A0BC" w14:textId="1B43833F" w:rsidR="00AB4C7E" w:rsidRPr="005A52EE" w:rsidRDefault="00AB4C7E" w:rsidP="007D5286">
      <w:pPr>
        <w:pStyle w:val="ListParagraph"/>
        <w:numPr>
          <w:ilvl w:val="0"/>
          <w:numId w:val="42"/>
        </w:numPr>
        <w:rPr>
          <w:lang w:val="en-AU"/>
        </w:rPr>
      </w:pPr>
      <w:r w:rsidRPr="005A52EE">
        <w:rPr>
          <w:lang w:val="en-AU"/>
        </w:rPr>
        <w:t>Work with local government</w:t>
      </w:r>
      <w:r w:rsidR="002259D7">
        <w:rPr>
          <w:lang w:val="en-AU"/>
        </w:rPr>
        <w:t>s</w:t>
      </w:r>
      <w:r w:rsidRPr="005A52EE">
        <w:rPr>
          <w:lang w:val="en-AU"/>
        </w:rPr>
        <w:t xml:space="preserve"> to ensure that relevant programs are </w:t>
      </w:r>
      <w:proofErr w:type="gramStart"/>
      <w:r w:rsidRPr="005A52EE">
        <w:rPr>
          <w:lang w:val="en-AU"/>
        </w:rPr>
        <w:t>operationalised</w:t>
      </w:r>
      <w:proofErr w:type="gramEnd"/>
      <w:r w:rsidRPr="005A52EE">
        <w:rPr>
          <w:lang w:val="en-AU"/>
        </w:rPr>
        <w:t xml:space="preserve"> and policies are enacted and monitored</w:t>
      </w:r>
      <w:r w:rsidR="006A3A7C">
        <w:rPr>
          <w:lang w:val="en-AU"/>
        </w:rPr>
        <w:t>;</w:t>
      </w:r>
    </w:p>
    <w:p w14:paraId="1E4D3127" w14:textId="4BD94CBE" w:rsidR="00AB4C7E" w:rsidRPr="005A52EE" w:rsidRDefault="006A3A7C" w:rsidP="007D5286">
      <w:pPr>
        <w:pStyle w:val="ListParagraph"/>
        <w:numPr>
          <w:ilvl w:val="0"/>
          <w:numId w:val="42"/>
        </w:numPr>
        <w:rPr>
          <w:lang w:val="en-AU"/>
        </w:rPr>
      </w:pPr>
      <w:r>
        <w:rPr>
          <w:lang w:val="en-AU"/>
        </w:rPr>
        <w:t>C</w:t>
      </w:r>
      <w:r w:rsidR="00AB4C7E" w:rsidRPr="005A52EE">
        <w:rPr>
          <w:lang w:val="en-AU"/>
        </w:rPr>
        <w:t>onsult</w:t>
      </w:r>
      <w:r>
        <w:rPr>
          <w:lang w:val="en-AU"/>
        </w:rPr>
        <w:t xml:space="preserve"> regularly </w:t>
      </w:r>
      <w:r w:rsidR="00AB4C7E" w:rsidRPr="005A52EE">
        <w:rPr>
          <w:lang w:val="en-AU"/>
        </w:rPr>
        <w:t>with the community to identify local priorities and resources</w:t>
      </w:r>
      <w:r>
        <w:rPr>
          <w:lang w:val="en-AU"/>
        </w:rPr>
        <w:t>;</w:t>
      </w:r>
    </w:p>
    <w:p w14:paraId="2E1E17C5" w14:textId="5DE0EA42" w:rsidR="00AB4C7E" w:rsidRPr="005A52EE" w:rsidRDefault="00AB4C7E" w:rsidP="007D5286">
      <w:pPr>
        <w:pStyle w:val="ListParagraph"/>
        <w:numPr>
          <w:ilvl w:val="0"/>
          <w:numId w:val="42"/>
        </w:numPr>
        <w:rPr>
          <w:lang w:val="en-AU"/>
        </w:rPr>
      </w:pPr>
      <w:r w:rsidRPr="005A52EE">
        <w:rPr>
          <w:lang w:val="en-AU"/>
        </w:rPr>
        <w:t xml:space="preserve">Effectively </w:t>
      </w:r>
      <w:r w:rsidRPr="005A52EE">
        <w:rPr>
          <w:i/>
          <w:lang w:val="en-AU"/>
        </w:rPr>
        <w:t>engage</w:t>
      </w:r>
      <w:r w:rsidRPr="005A52EE">
        <w:rPr>
          <w:lang w:val="en-AU"/>
        </w:rPr>
        <w:t xml:space="preserve"> local partners (such as NGOs, local government</w:t>
      </w:r>
      <w:r w:rsidR="007731F1">
        <w:rPr>
          <w:lang w:val="en-AU"/>
        </w:rPr>
        <w:t>s</w:t>
      </w:r>
      <w:r w:rsidRPr="005A52EE">
        <w:rPr>
          <w:lang w:val="en-AU"/>
        </w:rPr>
        <w:t>, the community, relevant industry groups and peak bodies) in the delivery of injury prevention strategies</w:t>
      </w:r>
      <w:r w:rsidR="006A3A7C">
        <w:rPr>
          <w:lang w:val="en-AU"/>
        </w:rPr>
        <w:t>;</w:t>
      </w:r>
    </w:p>
    <w:p w14:paraId="6B97D37B" w14:textId="1F46C56B" w:rsidR="00AB4C7E" w:rsidRPr="005A52EE" w:rsidRDefault="00AB4C7E" w:rsidP="007D5286">
      <w:pPr>
        <w:pStyle w:val="ListParagraph"/>
        <w:numPr>
          <w:ilvl w:val="0"/>
          <w:numId w:val="42"/>
        </w:numPr>
        <w:rPr>
          <w:lang w:val="en-AU" w:eastAsia="en-US"/>
        </w:rPr>
      </w:pPr>
      <w:r w:rsidRPr="005A52EE">
        <w:rPr>
          <w:i/>
          <w:lang w:val="en-AU" w:eastAsia="en-US"/>
        </w:rPr>
        <w:t xml:space="preserve">Build on </w:t>
      </w:r>
      <w:r w:rsidRPr="005A52EE">
        <w:rPr>
          <w:lang w:val="en-AU" w:eastAsia="en-US"/>
        </w:rPr>
        <w:t xml:space="preserve">and </w:t>
      </w:r>
      <w:r w:rsidRPr="005A52EE">
        <w:rPr>
          <w:i/>
          <w:lang w:val="en-AU" w:eastAsia="en-US"/>
        </w:rPr>
        <w:t xml:space="preserve">resource </w:t>
      </w:r>
      <w:r w:rsidRPr="005A52EE">
        <w:rPr>
          <w:lang w:val="en-AU" w:eastAsia="en-US"/>
        </w:rPr>
        <w:t>effective existing services and programs to implement state/territory action plans</w:t>
      </w:r>
      <w:r w:rsidR="006A3A7C">
        <w:rPr>
          <w:lang w:val="en-AU" w:eastAsia="en-US"/>
        </w:rPr>
        <w:t>; and</w:t>
      </w:r>
    </w:p>
    <w:p w14:paraId="3A991271" w14:textId="18FABA80" w:rsidR="00AB4C7E" w:rsidRPr="005A52EE" w:rsidRDefault="00AB4C7E" w:rsidP="007D5286">
      <w:pPr>
        <w:pStyle w:val="ListParagraph"/>
        <w:numPr>
          <w:ilvl w:val="0"/>
          <w:numId w:val="42"/>
        </w:numPr>
        <w:rPr>
          <w:lang w:val="en-AU" w:eastAsia="en-US"/>
        </w:rPr>
      </w:pPr>
      <w:r w:rsidRPr="005A52EE">
        <w:rPr>
          <w:lang w:val="en-AU" w:eastAsia="en-US"/>
        </w:rPr>
        <w:t>Provide resources that target new priority evidence-based actions</w:t>
      </w:r>
      <w:r w:rsidR="003D4464">
        <w:rPr>
          <w:lang w:val="en-AU" w:eastAsia="en-US"/>
        </w:rPr>
        <w:t>.</w:t>
      </w:r>
    </w:p>
    <w:p w14:paraId="1D653D2A" w14:textId="77777777" w:rsidR="00AB4C7E" w:rsidRPr="005A52EE" w:rsidRDefault="00AB4C7E" w:rsidP="00AB4C7E">
      <w:pPr>
        <w:pStyle w:val="ListParagraph"/>
        <w:spacing w:before="0"/>
        <w:ind w:left="476"/>
        <w:rPr>
          <w:rFonts w:cstheme="minorHAnsi"/>
          <w:szCs w:val="22"/>
          <w:lang w:val="en-AU"/>
        </w:rPr>
      </w:pPr>
    </w:p>
    <w:p w14:paraId="1D2628B3" w14:textId="1830A8B0" w:rsidR="00AB4C7E" w:rsidRDefault="00AB4C7E" w:rsidP="00AB4C7E">
      <w:pPr>
        <w:spacing w:before="0"/>
        <w:rPr>
          <w:rFonts w:cstheme="minorHAnsi"/>
          <w:szCs w:val="22"/>
          <w:lang w:val="en-AU"/>
        </w:rPr>
      </w:pPr>
      <w:r w:rsidRPr="005A52EE">
        <w:rPr>
          <w:rFonts w:cstheme="minorHAnsi"/>
          <w:i/>
          <w:szCs w:val="22"/>
          <w:lang w:val="en-AU"/>
        </w:rPr>
        <w:t>Local government</w:t>
      </w:r>
      <w:r w:rsidR="007731F1">
        <w:rPr>
          <w:rFonts w:cstheme="minorHAnsi"/>
          <w:i/>
          <w:szCs w:val="22"/>
          <w:lang w:val="en-AU"/>
        </w:rPr>
        <w:t>s</w:t>
      </w:r>
      <w:r w:rsidRPr="005A52EE">
        <w:rPr>
          <w:rFonts w:cstheme="minorHAnsi"/>
          <w:i/>
          <w:szCs w:val="22"/>
          <w:lang w:val="en-AU"/>
        </w:rPr>
        <w:t xml:space="preserve"> and agencies </w:t>
      </w:r>
      <w:r w:rsidRPr="005A52EE">
        <w:rPr>
          <w:rFonts w:cstheme="minorHAnsi"/>
          <w:szCs w:val="22"/>
          <w:lang w:val="en-AU"/>
        </w:rPr>
        <w:t xml:space="preserve">should </w:t>
      </w:r>
      <w:r w:rsidR="006A3A7C">
        <w:rPr>
          <w:rFonts w:cstheme="minorHAnsi"/>
          <w:szCs w:val="22"/>
          <w:lang w:val="en-AU"/>
        </w:rPr>
        <w:t>aim to:</w:t>
      </w:r>
    </w:p>
    <w:p w14:paraId="7DF5FBC6" w14:textId="79106565" w:rsidR="00AB4C7E" w:rsidRPr="005A52EE" w:rsidRDefault="00AB4C7E" w:rsidP="007D5286">
      <w:pPr>
        <w:pStyle w:val="ListParagraph"/>
        <w:numPr>
          <w:ilvl w:val="0"/>
          <w:numId w:val="44"/>
        </w:numPr>
        <w:spacing w:before="0"/>
        <w:rPr>
          <w:rFonts w:cstheme="minorHAnsi"/>
          <w:szCs w:val="22"/>
          <w:lang w:val="en-AU"/>
        </w:rPr>
      </w:pPr>
      <w:r>
        <w:rPr>
          <w:rFonts w:cstheme="minorHAnsi"/>
          <w:szCs w:val="22"/>
          <w:lang w:val="en-AU"/>
        </w:rPr>
        <w:t>P</w:t>
      </w:r>
      <w:r w:rsidRPr="005A52EE">
        <w:rPr>
          <w:rFonts w:cstheme="minorHAnsi"/>
          <w:szCs w:val="22"/>
          <w:lang w:val="en-AU"/>
        </w:rPr>
        <w:t>rovide a platform to easily share lessons learnt, outcomes and resources</w:t>
      </w:r>
      <w:r w:rsidR="006A3A7C">
        <w:rPr>
          <w:rFonts w:cstheme="minorHAnsi"/>
          <w:szCs w:val="22"/>
          <w:lang w:val="en-AU"/>
        </w:rPr>
        <w:t>;</w:t>
      </w:r>
    </w:p>
    <w:p w14:paraId="0BA7EF96" w14:textId="050ED77F" w:rsidR="00AB4C7E" w:rsidRPr="005A52EE" w:rsidRDefault="00AB4C7E" w:rsidP="007D5286">
      <w:pPr>
        <w:pStyle w:val="ListParagraph"/>
        <w:numPr>
          <w:ilvl w:val="0"/>
          <w:numId w:val="40"/>
        </w:numPr>
        <w:spacing w:before="0"/>
        <w:rPr>
          <w:rFonts w:cstheme="minorHAnsi"/>
          <w:szCs w:val="22"/>
          <w:lang w:val="en-AU"/>
        </w:rPr>
      </w:pPr>
      <w:r w:rsidRPr="005A52EE">
        <w:rPr>
          <w:i/>
          <w:szCs w:val="22"/>
          <w:lang w:val="en-AU"/>
        </w:rPr>
        <w:t xml:space="preserve">Engage </w:t>
      </w:r>
      <w:r w:rsidRPr="005A52EE">
        <w:rPr>
          <w:szCs w:val="22"/>
          <w:lang w:val="en-AU"/>
        </w:rPr>
        <w:t>in culturally appropriate consultation and collaboration, tailored to local contexts and settings, and build on current activities that are known to work well</w:t>
      </w:r>
      <w:r>
        <w:rPr>
          <w:szCs w:val="22"/>
          <w:lang w:val="en-AU"/>
        </w:rPr>
        <w:t>,</w:t>
      </w:r>
    </w:p>
    <w:p w14:paraId="0DA83C83" w14:textId="256DC3BC" w:rsidR="00AB4C7E" w:rsidRPr="005A52EE" w:rsidRDefault="00AB4C7E" w:rsidP="007D5286">
      <w:pPr>
        <w:pStyle w:val="ListParagraph"/>
        <w:numPr>
          <w:ilvl w:val="0"/>
          <w:numId w:val="43"/>
        </w:numPr>
        <w:rPr>
          <w:lang w:val="en-AU" w:eastAsia="en-US"/>
        </w:rPr>
      </w:pPr>
      <w:r w:rsidRPr="005A52EE">
        <w:rPr>
          <w:lang w:val="en-AU" w:eastAsia="en-US"/>
        </w:rPr>
        <w:t>Build on and resource effective existing services and programs</w:t>
      </w:r>
      <w:r w:rsidR="006A3A7C">
        <w:rPr>
          <w:lang w:val="en-AU" w:eastAsia="en-US"/>
        </w:rPr>
        <w:t>;</w:t>
      </w:r>
    </w:p>
    <w:p w14:paraId="0A261C59" w14:textId="7EFAB74B" w:rsidR="00AB4C7E" w:rsidRPr="005A52EE" w:rsidRDefault="00AB4C7E" w:rsidP="007D5286">
      <w:pPr>
        <w:pStyle w:val="ListParagraph"/>
        <w:numPr>
          <w:ilvl w:val="0"/>
          <w:numId w:val="43"/>
        </w:numPr>
        <w:rPr>
          <w:lang w:val="en-AU"/>
        </w:rPr>
      </w:pPr>
      <w:r w:rsidRPr="005A52EE">
        <w:rPr>
          <w:lang w:val="en-AU" w:eastAsia="en-US"/>
        </w:rPr>
        <w:t>Coordinate services so that those offering complementing services can conduct comprehensive, multi-faceted approaches (e.g. an organisation specialising in safety education for parents and an organisation specialising in conducting</w:t>
      </w:r>
      <w:r w:rsidRPr="005A52EE">
        <w:rPr>
          <w:lang w:val="en-AU"/>
        </w:rPr>
        <w:t xml:space="preserve"> professional development for early childhood teachers combine to deliver a comprehensive service)</w:t>
      </w:r>
      <w:r w:rsidR="006A3A7C">
        <w:rPr>
          <w:lang w:val="en-AU"/>
        </w:rPr>
        <w:t>; and</w:t>
      </w:r>
    </w:p>
    <w:p w14:paraId="38B68881" w14:textId="1D6E802B" w:rsidR="00AB4C7E" w:rsidRPr="00AB4C7E" w:rsidRDefault="00AB4C7E" w:rsidP="007D5286">
      <w:pPr>
        <w:pStyle w:val="ListParagraph"/>
        <w:numPr>
          <w:ilvl w:val="0"/>
          <w:numId w:val="43"/>
        </w:numPr>
        <w:rPr>
          <w:rFonts w:ascii="Calibri" w:eastAsiaTheme="minorHAnsi" w:hAnsi="Calibri"/>
          <w:color w:val="000000" w:themeColor="text1"/>
        </w:rPr>
      </w:pPr>
      <w:r w:rsidRPr="005A52EE">
        <w:rPr>
          <w:lang w:val="en-AU"/>
        </w:rPr>
        <w:t xml:space="preserve">If based in an education facility (school, early </w:t>
      </w:r>
      <w:r w:rsidR="007731F1">
        <w:rPr>
          <w:lang w:val="en-AU"/>
        </w:rPr>
        <w:t>childhood service), implement</w:t>
      </w:r>
      <w:r w:rsidRPr="005A52EE">
        <w:rPr>
          <w:lang w:val="en-AU"/>
        </w:rPr>
        <w:t xml:space="preserve"> and embed </w:t>
      </w:r>
      <w:r w:rsidR="00070925">
        <w:rPr>
          <w:lang w:val="en-AU"/>
        </w:rPr>
        <w:t>injury prevention</w:t>
      </w:r>
      <w:r w:rsidR="00070925" w:rsidRPr="005A52EE">
        <w:rPr>
          <w:lang w:val="en-AU"/>
        </w:rPr>
        <w:t xml:space="preserve"> </w:t>
      </w:r>
      <w:r w:rsidRPr="005A52EE">
        <w:rPr>
          <w:lang w:val="en-AU"/>
        </w:rPr>
        <w:t>program</w:t>
      </w:r>
      <w:r w:rsidR="00070925">
        <w:rPr>
          <w:lang w:val="en-AU"/>
        </w:rPr>
        <w:t>s</w:t>
      </w:r>
      <w:r w:rsidRPr="005A52EE">
        <w:rPr>
          <w:lang w:val="en-AU"/>
        </w:rPr>
        <w:t xml:space="preserve"> in the curriculum and across activities outside the classroom</w:t>
      </w:r>
      <w:r>
        <w:rPr>
          <w:lang w:val="en-AU"/>
        </w:rPr>
        <w:t>.</w:t>
      </w:r>
    </w:p>
    <w:p w14:paraId="3CC89144" w14:textId="77777777" w:rsidR="00AB4C7E" w:rsidRPr="005A52EE" w:rsidRDefault="00AB4C7E" w:rsidP="005A52EE">
      <w:pPr>
        <w:rPr>
          <w:lang w:val="en-AU"/>
        </w:rPr>
      </w:pPr>
    </w:p>
    <w:p w14:paraId="3AB9D4C8" w14:textId="77777777" w:rsidR="00AB4C7E" w:rsidRPr="005A52EE" w:rsidRDefault="00AB4C7E" w:rsidP="005A52EE">
      <w:pPr>
        <w:pStyle w:val="Heading3"/>
        <w:rPr>
          <w:lang w:val="en-AU"/>
        </w:rPr>
      </w:pPr>
      <w:r w:rsidRPr="005A52EE">
        <w:t>Monitoring and Reporting</w:t>
      </w:r>
      <w:r w:rsidRPr="005A52EE">
        <w:rPr>
          <w:lang w:val="en-AU"/>
        </w:rPr>
        <w:t xml:space="preserve"> </w:t>
      </w:r>
    </w:p>
    <w:p w14:paraId="72778285" w14:textId="031AEB19" w:rsidR="00AB4C7E" w:rsidRPr="005A52EE" w:rsidRDefault="00AB4C7E" w:rsidP="00AB4C7E">
      <w:pPr>
        <w:spacing w:before="0"/>
        <w:rPr>
          <w:rFonts w:cstheme="minorHAnsi"/>
          <w:szCs w:val="22"/>
          <w:lang w:val="en-AU"/>
        </w:rPr>
      </w:pPr>
      <w:r w:rsidRPr="005A52EE">
        <w:rPr>
          <w:rFonts w:cstheme="minorHAnsi"/>
          <w:szCs w:val="22"/>
          <w:lang w:val="en-AU"/>
        </w:rPr>
        <w:t>A coordinated national effort to monitor and evaluate the Strategy will require:</w:t>
      </w:r>
    </w:p>
    <w:p w14:paraId="6DD70D04" w14:textId="34288ED5" w:rsidR="00AB4C7E" w:rsidRPr="005A52EE" w:rsidRDefault="00AB4C7E" w:rsidP="007D5286">
      <w:pPr>
        <w:pStyle w:val="ListParagraph"/>
        <w:numPr>
          <w:ilvl w:val="0"/>
          <w:numId w:val="24"/>
        </w:numPr>
        <w:spacing w:before="0"/>
        <w:ind w:left="360"/>
        <w:rPr>
          <w:rFonts w:cstheme="minorHAnsi"/>
          <w:szCs w:val="22"/>
        </w:rPr>
      </w:pPr>
      <w:r w:rsidRPr="005A52EE">
        <w:rPr>
          <w:rFonts w:cstheme="minorHAnsi"/>
          <w:szCs w:val="22"/>
        </w:rPr>
        <w:t xml:space="preserve">Development of a </w:t>
      </w:r>
      <w:r w:rsidRPr="005A52EE">
        <w:rPr>
          <w:rFonts w:cstheme="minorHAnsi"/>
          <w:i/>
          <w:szCs w:val="22"/>
        </w:rPr>
        <w:t>monitoring and evaluation framework</w:t>
      </w:r>
      <w:r w:rsidRPr="005A52EE">
        <w:rPr>
          <w:rFonts w:cstheme="minorHAnsi"/>
          <w:szCs w:val="22"/>
        </w:rPr>
        <w:t xml:space="preserve"> to assess progress on the </w:t>
      </w:r>
      <w:r w:rsidR="003D4464">
        <w:rPr>
          <w:rFonts w:cstheme="minorHAnsi"/>
          <w:szCs w:val="22"/>
        </w:rPr>
        <w:t>outcome indicators, objectives,</w:t>
      </w:r>
      <w:r w:rsidRPr="005A52EE">
        <w:rPr>
          <w:rFonts w:cstheme="minorHAnsi"/>
          <w:szCs w:val="22"/>
        </w:rPr>
        <w:t xml:space="preserve"> and changes in injury in Australia</w:t>
      </w:r>
      <w:r w:rsidR="00070925">
        <w:rPr>
          <w:rFonts w:cstheme="minorHAnsi"/>
          <w:szCs w:val="22"/>
        </w:rPr>
        <w:t>;</w:t>
      </w:r>
    </w:p>
    <w:p w14:paraId="6E1B5773" w14:textId="12FC5DB2" w:rsidR="00AB4C7E" w:rsidRPr="005A52EE" w:rsidRDefault="00AB4C7E" w:rsidP="007D5286">
      <w:pPr>
        <w:pStyle w:val="ListParagraph"/>
        <w:numPr>
          <w:ilvl w:val="0"/>
          <w:numId w:val="24"/>
        </w:numPr>
        <w:spacing w:before="0"/>
        <w:ind w:left="360"/>
        <w:rPr>
          <w:rFonts w:cstheme="minorHAnsi"/>
          <w:szCs w:val="22"/>
        </w:rPr>
      </w:pPr>
      <w:r w:rsidRPr="005A52EE">
        <w:rPr>
          <w:rFonts w:cstheme="minorHAnsi"/>
          <w:szCs w:val="22"/>
        </w:rPr>
        <w:t xml:space="preserve">Development of </w:t>
      </w:r>
      <w:r w:rsidRPr="005A52EE">
        <w:rPr>
          <w:rFonts w:cstheme="minorHAnsi"/>
          <w:i/>
          <w:szCs w:val="22"/>
        </w:rPr>
        <w:t>measures</w:t>
      </w:r>
      <w:r w:rsidR="003D4464">
        <w:rPr>
          <w:rFonts w:cstheme="minorHAnsi"/>
          <w:i/>
          <w:szCs w:val="22"/>
        </w:rPr>
        <w:t xml:space="preserve"> </w:t>
      </w:r>
      <w:r w:rsidR="003D4464" w:rsidRPr="005A52EE">
        <w:rPr>
          <w:rFonts w:cstheme="minorHAnsi"/>
          <w:szCs w:val="22"/>
        </w:rPr>
        <w:t>to examine</w:t>
      </w:r>
      <w:r w:rsidRPr="005A52EE">
        <w:rPr>
          <w:rFonts w:cstheme="minorHAnsi"/>
          <w:szCs w:val="22"/>
        </w:rPr>
        <w:t xml:space="preserve"> capacity </w:t>
      </w:r>
      <w:r w:rsidR="003D4464">
        <w:rPr>
          <w:rFonts w:cstheme="minorHAnsi"/>
          <w:szCs w:val="22"/>
        </w:rPr>
        <w:t>for action</w:t>
      </w:r>
      <w:r w:rsidRPr="005A52EE">
        <w:rPr>
          <w:rFonts w:cstheme="minorHAnsi"/>
          <w:szCs w:val="22"/>
        </w:rPr>
        <w:t xml:space="preserve"> on the priority areas</w:t>
      </w:r>
      <w:r w:rsidR="00070925">
        <w:rPr>
          <w:rFonts w:cstheme="minorHAnsi"/>
          <w:szCs w:val="22"/>
        </w:rPr>
        <w:t>;</w:t>
      </w:r>
    </w:p>
    <w:p w14:paraId="632A7083" w14:textId="76A320BF" w:rsidR="003D4464" w:rsidRPr="007362BB" w:rsidRDefault="003D4464" w:rsidP="007D5286">
      <w:pPr>
        <w:pStyle w:val="ListParagraph"/>
        <w:numPr>
          <w:ilvl w:val="0"/>
          <w:numId w:val="24"/>
        </w:numPr>
        <w:spacing w:before="0"/>
        <w:ind w:left="360"/>
        <w:rPr>
          <w:rFonts w:cstheme="minorHAnsi"/>
          <w:szCs w:val="22"/>
        </w:rPr>
      </w:pPr>
      <w:r w:rsidRPr="007362BB">
        <w:rPr>
          <w:rFonts w:cstheme="minorHAnsi"/>
          <w:szCs w:val="22"/>
        </w:rPr>
        <w:t xml:space="preserve">Development of measures to assess and </w:t>
      </w:r>
      <w:r w:rsidRPr="007362BB">
        <w:t xml:space="preserve">reduce inequities </w:t>
      </w:r>
      <w:r>
        <w:t>associated with the burden of injury</w:t>
      </w:r>
      <w:r w:rsidR="00070925">
        <w:t>;</w:t>
      </w:r>
    </w:p>
    <w:p w14:paraId="7A43D3BA" w14:textId="6B2C2A3B" w:rsidR="00AB4C7E" w:rsidRPr="005A52EE" w:rsidRDefault="00AB4C7E" w:rsidP="007D5286">
      <w:pPr>
        <w:pStyle w:val="ListParagraph"/>
        <w:numPr>
          <w:ilvl w:val="0"/>
          <w:numId w:val="24"/>
        </w:numPr>
        <w:spacing w:before="0"/>
        <w:ind w:left="360"/>
        <w:rPr>
          <w:rFonts w:cstheme="minorHAnsi"/>
          <w:szCs w:val="22"/>
        </w:rPr>
      </w:pPr>
      <w:r w:rsidRPr="005A52EE">
        <w:rPr>
          <w:rFonts w:cstheme="minorHAnsi"/>
          <w:szCs w:val="22"/>
        </w:rPr>
        <w:t>Identification of short, medium and long-term indicators of progress against the recommended actions by national government departments, state and territory governments and non-government agencies</w:t>
      </w:r>
      <w:r w:rsidR="00070925">
        <w:rPr>
          <w:rFonts w:cstheme="minorHAnsi"/>
          <w:szCs w:val="22"/>
        </w:rPr>
        <w:t>;</w:t>
      </w:r>
    </w:p>
    <w:p w14:paraId="171E6F9F" w14:textId="185D1A8A" w:rsidR="00AB4C7E" w:rsidRPr="005A52EE" w:rsidRDefault="00AB4C7E" w:rsidP="007D5286">
      <w:pPr>
        <w:pStyle w:val="ListParagraph"/>
        <w:numPr>
          <w:ilvl w:val="0"/>
          <w:numId w:val="24"/>
        </w:numPr>
        <w:spacing w:before="0"/>
        <w:ind w:left="360"/>
        <w:rPr>
          <w:rStyle w:val="Hyperlink"/>
          <w:rFonts w:cstheme="minorHAnsi"/>
          <w:szCs w:val="22"/>
        </w:rPr>
      </w:pPr>
      <w:r w:rsidRPr="005A52EE">
        <w:rPr>
          <w:rFonts w:cstheme="minorHAnsi"/>
          <w:szCs w:val="22"/>
        </w:rPr>
        <w:t>Consider</w:t>
      </w:r>
      <w:r w:rsidR="00070925">
        <w:rPr>
          <w:rFonts w:cstheme="minorHAnsi"/>
          <w:szCs w:val="22"/>
        </w:rPr>
        <w:t>ation of</w:t>
      </w:r>
      <w:r w:rsidRPr="005A52EE">
        <w:rPr>
          <w:rFonts w:cstheme="minorHAnsi"/>
          <w:szCs w:val="22"/>
        </w:rPr>
        <w:t xml:space="preserve"> the applicability of data such as those available from the </w:t>
      </w:r>
      <w:hyperlink r:id="rId50" w:history="1">
        <w:r w:rsidRPr="005A52EE">
          <w:rPr>
            <w:rStyle w:val="Hyperlink"/>
            <w:szCs w:val="22"/>
            <w:lang w:eastAsia="en-US"/>
          </w:rPr>
          <w:t>Aboriginal and Torres Strait Islander Health Performance Framework</w:t>
        </w:r>
      </w:hyperlink>
      <w:r w:rsidR="00070925">
        <w:rPr>
          <w:rStyle w:val="Hyperlink"/>
          <w:szCs w:val="22"/>
          <w:lang w:eastAsia="en-US"/>
        </w:rPr>
        <w:t>;</w:t>
      </w:r>
    </w:p>
    <w:p w14:paraId="05ACF3B8" w14:textId="46CFD269" w:rsidR="00AB4C7E" w:rsidRPr="005A52EE" w:rsidRDefault="00AB4C7E" w:rsidP="007D5286">
      <w:pPr>
        <w:pStyle w:val="ListParagraph"/>
        <w:numPr>
          <w:ilvl w:val="0"/>
          <w:numId w:val="24"/>
        </w:numPr>
        <w:spacing w:before="0"/>
        <w:ind w:left="360"/>
        <w:rPr>
          <w:rFonts w:cstheme="minorHAnsi"/>
          <w:szCs w:val="22"/>
        </w:rPr>
      </w:pPr>
      <w:r w:rsidRPr="005A52EE">
        <w:rPr>
          <w:rFonts w:cstheme="minorHAnsi"/>
          <w:szCs w:val="22"/>
        </w:rPr>
        <w:t>Evaluat</w:t>
      </w:r>
      <w:r w:rsidR="003D4464">
        <w:rPr>
          <w:rFonts w:cstheme="minorHAnsi"/>
          <w:szCs w:val="22"/>
        </w:rPr>
        <w:t xml:space="preserve">ion of </w:t>
      </w:r>
      <w:r w:rsidRPr="005A52EE">
        <w:rPr>
          <w:rFonts w:cstheme="minorHAnsi"/>
          <w:szCs w:val="22"/>
        </w:rPr>
        <w:t>programs from the outset of program development</w:t>
      </w:r>
      <w:r w:rsidR="00070925">
        <w:rPr>
          <w:rFonts w:cstheme="minorHAnsi"/>
          <w:szCs w:val="22"/>
        </w:rPr>
        <w:t>;</w:t>
      </w:r>
    </w:p>
    <w:p w14:paraId="570E7BDC" w14:textId="2DC7DB6A" w:rsidR="00AB4C7E" w:rsidRPr="005A52EE" w:rsidRDefault="003D4464" w:rsidP="007D5286">
      <w:pPr>
        <w:pStyle w:val="ListParagraph"/>
        <w:numPr>
          <w:ilvl w:val="0"/>
          <w:numId w:val="24"/>
        </w:numPr>
        <w:spacing w:before="0"/>
        <w:ind w:left="360"/>
        <w:rPr>
          <w:rFonts w:cstheme="minorHAnsi"/>
          <w:szCs w:val="22"/>
        </w:rPr>
      </w:pPr>
      <w:r>
        <w:rPr>
          <w:rFonts w:cstheme="minorHAnsi"/>
          <w:szCs w:val="22"/>
        </w:rPr>
        <w:t>A</w:t>
      </w:r>
      <w:r w:rsidR="00AB4C7E" w:rsidRPr="005A52EE">
        <w:rPr>
          <w:rFonts w:cstheme="minorHAnsi"/>
          <w:szCs w:val="22"/>
        </w:rPr>
        <w:t xml:space="preserve"> platform to easily share lessons learnt, outcomes and resource</w:t>
      </w:r>
      <w:r w:rsidR="00AB4C7E">
        <w:rPr>
          <w:rFonts w:cstheme="minorHAnsi"/>
          <w:szCs w:val="22"/>
        </w:rPr>
        <w:t>s</w:t>
      </w:r>
      <w:r w:rsidR="00070925">
        <w:rPr>
          <w:rFonts w:cstheme="minorHAnsi"/>
          <w:szCs w:val="22"/>
        </w:rPr>
        <w:t>; and</w:t>
      </w:r>
    </w:p>
    <w:p w14:paraId="1F830252" w14:textId="6BAC59A1" w:rsidR="003D4464" w:rsidRPr="005A52EE" w:rsidRDefault="00AB4C7E" w:rsidP="007D5286">
      <w:pPr>
        <w:pStyle w:val="ListParagraph"/>
        <w:numPr>
          <w:ilvl w:val="0"/>
          <w:numId w:val="24"/>
        </w:numPr>
        <w:spacing w:before="0"/>
        <w:ind w:left="360"/>
        <w:rPr>
          <w:rFonts w:cstheme="minorHAnsi"/>
          <w:szCs w:val="22"/>
        </w:rPr>
      </w:pPr>
      <w:r w:rsidRPr="005A52EE">
        <w:rPr>
          <w:szCs w:val="22"/>
        </w:rPr>
        <w:t>Flexibility</w:t>
      </w:r>
      <w:r w:rsidR="003D4464">
        <w:rPr>
          <w:szCs w:val="22"/>
        </w:rPr>
        <w:t>, to ensure that as</w:t>
      </w:r>
      <w:r w:rsidRPr="005A52EE">
        <w:rPr>
          <w:szCs w:val="22"/>
        </w:rPr>
        <w:t xml:space="preserve"> work progresses, new measures of success may be identified</w:t>
      </w:r>
      <w:r>
        <w:rPr>
          <w:szCs w:val="22"/>
        </w:rPr>
        <w:t>.</w:t>
      </w:r>
    </w:p>
    <w:p w14:paraId="12DFF8CE" w14:textId="77777777" w:rsidR="003D4464" w:rsidRDefault="003D4464" w:rsidP="003D4464">
      <w:pPr>
        <w:spacing w:before="0"/>
        <w:rPr>
          <w:rFonts w:cstheme="minorHAnsi"/>
          <w:szCs w:val="22"/>
        </w:rPr>
      </w:pPr>
    </w:p>
    <w:p w14:paraId="0E6F24BD" w14:textId="0E9D7E61" w:rsidR="005F31AF" w:rsidRPr="005A52EE" w:rsidRDefault="00AB4C7E" w:rsidP="005A52EE">
      <w:pPr>
        <w:spacing w:before="0"/>
        <w:rPr>
          <w:rFonts w:cstheme="minorHAnsi"/>
          <w:szCs w:val="22"/>
        </w:rPr>
      </w:pPr>
      <w:r w:rsidRPr="005A52EE">
        <w:rPr>
          <w:rFonts w:cstheme="minorHAnsi"/>
          <w:szCs w:val="22"/>
        </w:rPr>
        <w:t xml:space="preserve">This </w:t>
      </w:r>
      <w:r w:rsidR="003D4464">
        <w:rPr>
          <w:rFonts w:cstheme="minorHAnsi"/>
          <w:szCs w:val="22"/>
        </w:rPr>
        <w:t>monitoring</w:t>
      </w:r>
      <w:r w:rsidRPr="005A52EE">
        <w:rPr>
          <w:rFonts w:cstheme="minorHAnsi"/>
          <w:szCs w:val="22"/>
        </w:rPr>
        <w:t xml:space="preserve"> will also assist in meeting Australia’s reporting responsibilities for progress in areas such as the United Nations</w:t>
      </w:r>
      <w:r w:rsidR="007B3293">
        <w:rPr>
          <w:rFonts w:cstheme="minorHAnsi"/>
          <w:szCs w:val="22"/>
        </w:rPr>
        <w:t xml:space="preserve"> </w:t>
      </w:r>
      <w:r w:rsidRPr="005A52EE">
        <w:rPr>
          <w:rFonts w:cstheme="minorHAnsi"/>
          <w:szCs w:val="22"/>
        </w:rPr>
        <w:t>Sustainable Development Goals global indicator frameworks.</w:t>
      </w:r>
    </w:p>
    <w:p w14:paraId="432B91C6" w14:textId="53B6A9D6" w:rsidR="00187CE3" w:rsidRPr="00400300" w:rsidRDefault="00187CE3">
      <w:pPr>
        <w:spacing w:before="0" w:after="160" w:line="259" w:lineRule="auto"/>
        <w:rPr>
          <w:lang w:val="en-AU"/>
        </w:rPr>
      </w:pPr>
      <w:r w:rsidRPr="00400300">
        <w:rPr>
          <w:lang w:val="en-AU"/>
        </w:rPr>
        <w:br w:type="page"/>
      </w:r>
    </w:p>
    <w:p w14:paraId="08D188A9" w14:textId="77777777" w:rsidR="00D54DAC" w:rsidRPr="00400300" w:rsidRDefault="00D54DAC" w:rsidP="00200E70">
      <w:pPr>
        <w:rPr>
          <w:lang w:val="en-AU"/>
        </w:rPr>
        <w:sectPr w:rsidR="00D54DAC" w:rsidRPr="00400300">
          <w:headerReference w:type="default" r:id="rId51"/>
          <w:footerReference w:type="default" r:id="rId52"/>
          <w:pgSz w:w="11906" w:h="16838"/>
          <w:pgMar w:top="1440" w:right="1440" w:bottom="1440" w:left="1440" w:header="708" w:footer="708" w:gutter="0"/>
          <w:cols w:space="708"/>
          <w:docGrid w:linePitch="360"/>
        </w:sectPr>
      </w:pPr>
    </w:p>
    <w:p w14:paraId="5DB6FC00" w14:textId="77777777" w:rsidR="003013E5" w:rsidRPr="00400300" w:rsidRDefault="003013E5" w:rsidP="0022326A">
      <w:pPr>
        <w:pStyle w:val="Style1notnumbered"/>
        <w:rPr>
          <w:lang w:val="en-AU"/>
        </w:rPr>
      </w:pPr>
      <w:bookmarkStart w:id="284" w:name="_Toc29473027"/>
      <w:bookmarkStart w:id="285" w:name="_Toc30077759"/>
      <w:bookmarkStart w:id="286" w:name="_Toc31128332"/>
      <w:bookmarkStart w:id="287" w:name="_Toc32584906"/>
      <w:bookmarkStart w:id="288" w:name="_Toc38021110"/>
      <w:bookmarkEnd w:id="278"/>
      <w:bookmarkEnd w:id="279"/>
      <w:r w:rsidRPr="00400300">
        <w:rPr>
          <w:lang w:val="en-AU"/>
        </w:rPr>
        <w:t>References</w:t>
      </w:r>
      <w:bookmarkEnd w:id="284"/>
      <w:bookmarkEnd w:id="285"/>
      <w:bookmarkEnd w:id="286"/>
      <w:bookmarkEnd w:id="287"/>
      <w:bookmarkEnd w:id="288"/>
    </w:p>
    <w:p w14:paraId="5B9C5737" w14:textId="77777777" w:rsidR="002C69BD" w:rsidRPr="002C69BD" w:rsidRDefault="003013E5" w:rsidP="002C69BD">
      <w:pPr>
        <w:pStyle w:val="EndNoteBibliography"/>
      </w:pPr>
      <w:r w:rsidRPr="00400300">
        <w:rPr>
          <w:rFonts w:eastAsia="Times New Roman" w:cstheme="minorHAnsi"/>
          <w:color w:val="0563C1" w:themeColor="hyperlink"/>
          <w:sz w:val="18"/>
          <w:szCs w:val="18"/>
          <w:u w:val="single"/>
          <w:lang w:val="en-AU"/>
        </w:rPr>
        <w:fldChar w:fldCharType="begin"/>
      </w:r>
      <w:r w:rsidRPr="00400300">
        <w:rPr>
          <w:rFonts w:eastAsia="Times New Roman" w:cstheme="minorHAnsi"/>
          <w:color w:val="0563C1" w:themeColor="hyperlink"/>
          <w:sz w:val="18"/>
          <w:szCs w:val="18"/>
          <w:u w:val="single"/>
          <w:lang w:val="en-AU"/>
        </w:rPr>
        <w:instrText xml:space="preserve"> ADDIN EN.REFLIST </w:instrText>
      </w:r>
      <w:r w:rsidRPr="00400300">
        <w:rPr>
          <w:rFonts w:eastAsia="Times New Roman" w:cstheme="minorHAnsi"/>
          <w:color w:val="0563C1" w:themeColor="hyperlink"/>
          <w:sz w:val="18"/>
          <w:szCs w:val="18"/>
          <w:u w:val="single"/>
          <w:lang w:val="en-AU"/>
        </w:rPr>
        <w:fldChar w:fldCharType="separate"/>
      </w:r>
      <w:r w:rsidR="002C69BD" w:rsidRPr="002C69BD">
        <w:t>1.</w:t>
      </w:r>
      <w:r w:rsidR="002C69BD" w:rsidRPr="002C69BD">
        <w:tab/>
        <w:t>AIHW. Analysis of burden of disease database. 2015.</w:t>
      </w:r>
    </w:p>
    <w:p w14:paraId="55BC79A6" w14:textId="77777777" w:rsidR="002C69BD" w:rsidRPr="002C69BD" w:rsidRDefault="002C69BD" w:rsidP="002C69BD">
      <w:pPr>
        <w:pStyle w:val="EndNoteBibliography"/>
      </w:pPr>
      <w:r w:rsidRPr="002C69BD">
        <w:t>2.</w:t>
      </w:r>
      <w:r w:rsidRPr="002C69BD">
        <w:tab/>
        <w:t>AIHW: Henley G &amp; Harrison JE. Trends in Injury Deaths, Australia: 1999-00 to 2014-15: AIHW; 2018.</w:t>
      </w:r>
    </w:p>
    <w:p w14:paraId="6A5DC5E8" w14:textId="77777777" w:rsidR="002C69BD" w:rsidRPr="002C69BD" w:rsidRDefault="002C69BD" w:rsidP="002C69BD">
      <w:pPr>
        <w:pStyle w:val="EndNoteBibliography"/>
      </w:pPr>
      <w:r w:rsidRPr="002C69BD">
        <w:t>3.</w:t>
      </w:r>
      <w:r w:rsidRPr="002C69BD">
        <w:tab/>
        <w:t>Moon L, et al. Measuring Health Loss in Australia: the Australian Burden of Disease Study. Journal of Korean Medical Science. 2018;34(Suppl 1).</w:t>
      </w:r>
    </w:p>
    <w:p w14:paraId="477217F5" w14:textId="77777777" w:rsidR="002C69BD" w:rsidRPr="002C69BD" w:rsidRDefault="002C69BD" w:rsidP="002C69BD">
      <w:pPr>
        <w:pStyle w:val="EndNoteBibliography"/>
      </w:pPr>
      <w:r w:rsidRPr="002C69BD">
        <w:t>4.</w:t>
      </w:r>
      <w:r w:rsidRPr="002C69BD">
        <w:tab/>
        <w:t>AIHW: Henley G &amp; Harrison JE. Trends in injury deaths, Australia, 1999–00 to 2016–17. In: AIHW, editor. Canberra: AIHW; 2019.</w:t>
      </w:r>
    </w:p>
    <w:p w14:paraId="0B033060" w14:textId="77777777" w:rsidR="002C69BD" w:rsidRPr="002C69BD" w:rsidRDefault="002C69BD" w:rsidP="002C69BD">
      <w:pPr>
        <w:pStyle w:val="EndNoteBibliography"/>
      </w:pPr>
      <w:r w:rsidRPr="002C69BD">
        <w:t>5.</w:t>
      </w:r>
      <w:r w:rsidRPr="002C69BD">
        <w:tab/>
        <w:t>AIHW: Pointer SC. Trends in hospitalised injury, Australia 2007–08 to 2016–17. Cat. no. INJCAT 204. Canberra: AIHW; 2019.</w:t>
      </w:r>
    </w:p>
    <w:p w14:paraId="1223D077" w14:textId="77777777" w:rsidR="002C69BD" w:rsidRPr="002C69BD" w:rsidRDefault="002C69BD" w:rsidP="002C69BD">
      <w:pPr>
        <w:pStyle w:val="EndNoteBibliography"/>
      </w:pPr>
      <w:r w:rsidRPr="002C69BD">
        <w:t>6.</w:t>
      </w:r>
      <w:r w:rsidRPr="002C69BD">
        <w:tab/>
        <w:t>Finch CF, et al. Time to add a new priority target for child injury prevention? The case for an excess burden associated with sport and exercise injury: population-based study. BMJ open. 2014;4(7):e005043.</w:t>
      </w:r>
    </w:p>
    <w:p w14:paraId="5F0907CD" w14:textId="77777777" w:rsidR="002C69BD" w:rsidRPr="002C69BD" w:rsidRDefault="002C69BD" w:rsidP="002C69BD">
      <w:pPr>
        <w:pStyle w:val="EndNoteBibliography"/>
      </w:pPr>
      <w:r w:rsidRPr="002C69BD">
        <w:t>7.</w:t>
      </w:r>
      <w:r w:rsidRPr="002C69BD">
        <w:tab/>
        <w:t>McKenzie K, et al. The reliability of information on work‐related injuries available from hospitalisation data in Australia. Australian New Zealand journal of public health. 2009;33(4):332-8.</w:t>
      </w:r>
    </w:p>
    <w:p w14:paraId="2D1781C8" w14:textId="08514B3D" w:rsidR="002C69BD" w:rsidRPr="002C69BD" w:rsidRDefault="002C69BD" w:rsidP="002C69BD">
      <w:pPr>
        <w:pStyle w:val="EndNoteBibliography"/>
      </w:pPr>
      <w:r w:rsidRPr="002C69BD">
        <w:t>8.</w:t>
      </w:r>
      <w:r w:rsidRPr="002C69BD">
        <w:tab/>
        <w:t xml:space="preserve">National Aboriginal Community Controlled Health Organisation. Definitions: National Aboriginal Community Controlled Health Organisation; 2006. Available from: </w:t>
      </w:r>
      <w:hyperlink r:id="rId53" w:history="1">
        <w:r w:rsidRPr="002C69BD">
          <w:rPr>
            <w:rStyle w:val="Hyperlink"/>
          </w:rPr>
          <w:t>https://www.naccho.org.au/about/aboriginal-health/definitions/</w:t>
        </w:r>
      </w:hyperlink>
      <w:r w:rsidRPr="002C69BD">
        <w:t>.</w:t>
      </w:r>
    </w:p>
    <w:p w14:paraId="6787AFC9" w14:textId="77777777" w:rsidR="002C69BD" w:rsidRPr="002C69BD" w:rsidRDefault="002C69BD" w:rsidP="002C69BD">
      <w:pPr>
        <w:pStyle w:val="EndNoteBibliography"/>
      </w:pPr>
      <w:r w:rsidRPr="002C69BD">
        <w:t>9.</w:t>
      </w:r>
      <w:r w:rsidRPr="002C69BD">
        <w:tab/>
        <w:t>National Public Health Partnership. National Aboriginal and Torres Strait Islander safety promotion strategy. 2004.</w:t>
      </w:r>
    </w:p>
    <w:p w14:paraId="618BE623" w14:textId="77777777" w:rsidR="002C69BD" w:rsidRPr="002C69BD" w:rsidRDefault="002C69BD" w:rsidP="002C69BD">
      <w:pPr>
        <w:pStyle w:val="EndNoteBibliography"/>
      </w:pPr>
      <w:r w:rsidRPr="002C69BD">
        <w:t>10.</w:t>
      </w:r>
      <w:r w:rsidRPr="002C69BD">
        <w:tab/>
        <w:t>Finch CF, Boufous S. Do inadequacies in ICD-10-AM activity coded data lead to underestimates of the population frequency of sports/leisure injuries? Injury Prevention. 2008;14(3):202-4.</w:t>
      </w:r>
    </w:p>
    <w:p w14:paraId="2F1AFD52" w14:textId="77777777" w:rsidR="002C69BD" w:rsidRPr="002C69BD" w:rsidRDefault="002C69BD" w:rsidP="002C69BD">
      <w:pPr>
        <w:pStyle w:val="EndNoteBibliography"/>
      </w:pPr>
      <w:r w:rsidRPr="002C69BD">
        <w:t>11.</w:t>
      </w:r>
      <w:r w:rsidRPr="002C69BD">
        <w:tab/>
        <w:t>AIHW. Australian Burden of Disease Study: impact and causes of illness and death in Australia 2015. In: AIHW, editor. Canberra: Australian Government 2019.</w:t>
      </w:r>
    </w:p>
    <w:p w14:paraId="02695FFF" w14:textId="77777777" w:rsidR="002C69BD" w:rsidRPr="002C69BD" w:rsidRDefault="002C69BD" w:rsidP="002C69BD">
      <w:pPr>
        <w:pStyle w:val="EndNoteBibliography"/>
      </w:pPr>
      <w:r w:rsidRPr="002C69BD">
        <w:t>12.</w:t>
      </w:r>
      <w:r w:rsidRPr="002C69BD">
        <w:tab/>
        <w:t>AIHW. Australian Burden of Disease Study: impact and causes of illness and death in Aboriginal and Torres Strait Islander people 2011. Canberra: AIHW; 2016.</w:t>
      </w:r>
    </w:p>
    <w:p w14:paraId="1B646C23" w14:textId="77777777" w:rsidR="002C69BD" w:rsidRPr="002C69BD" w:rsidRDefault="002C69BD" w:rsidP="002C69BD">
      <w:pPr>
        <w:pStyle w:val="EndNoteBibliography"/>
      </w:pPr>
      <w:r w:rsidRPr="002C69BD">
        <w:t>13.</w:t>
      </w:r>
      <w:r w:rsidRPr="002C69BD">
        <w:tab/>
        <w:t>Mitchell R, et al. A 10-year review of child injury hospitalisations, health outcomes and treatment costs in Australia. Injury Prevention. 2017;24(5):344-50.</w:t>
      </w:r>
    </w:p>
    <w:p w14:paraId="7F9EFE7E" w14:textId="77777777" w:rsidR="002C69BD" w:rsidRPr="002C69BD" w:rsidRDefault="002C69BD" w:rsidP="002C69BD">
      <w:pPr>
        <w:pStyle w:val="EndNoteBibliography"/>
      </w:pPr>
      <w:r w:rsidRPr="002C69BD">
        <w:t>14.</w:t>
      </w:r>
      <w:r w:rsidRPr="002C69BD">
        <w:tab/>
        <w:t>Forjuoh SN, Guyer B. Injury prevention in people with disabilities: Risks can be minimised without unduly restricting activities. British Medical Journal; 2001.</w:t>
      </w:r>
    </w:p>
    <w:p w14:paraId="10501485" w14:textId="77777777" w:rsidR="002C69BD" w:rsidRPr="002C69BD" w:rsidRDefault="002C69BD" w:rsidP="002C69BD">
      <w:pPr>
        <w:pStyle w:val="EndNoteBibliography"/>
      </w:pPr>
      <w:r w:rsidRPr="002C69BD">
        <w:t>15.</w:t>
      </w:r>
      <w:r w:rsidRPr="002C69BD">
        <w:tab/>
        <w:t>Fogarty W, et al. Deficit Discourse and Strengths-based Approaches: Changing the Narrative of Aboriginal and Torres Strait Islander Health and Wellbeing</w:t>
      </w:r>
    </w:p>
    <w:p w14:paraId="26533CA5" w14:textId="77777777" w:rsidR="002C69BD" w:rsidRPr="002C69BD" w:rsidRDefault="002C69BD" w:rsidP="002C69BD">
      <w:pPr>
        <w:pStyle w:val="EndNoteBibliography"/>
      </w:pPr>
      <w:r w:rsidRPr="002C69BD">
        <w:t>Melbourne: The Lowitja Institute; 2018.</w:t>
      </w:r>
    </w:p>
    <w:p w14:paraId="5929DA42" w14:textId="77777777" w:rsidR="002C69BD" w:rsidRPr="002C69BD" w:rsidRDefault="002C69BD" w:rsidP="002C69BD">
      <w:pPr>
        <w:pStyle w:val="EndNoteBibliography"/>
      </w:pPr>
      <w:r w:rsidRPr="002C69BD">
        <w:t>16.</w:t>
      </w:r>
      <w:r w:rsidRPr="002C69BD">
        <w:tab/>
        <w:t>Atkinson J. Trauma-informed services and trauma-specific care for Indigenous Australian children, Resource sheet no. 21 produced for the Closing the Gap Clearinghouse. AIHW; 2013.</w:t>
      </w:r>
    </w:p>
    <w:p w14:paraId="51C1D814" w14:textId="77777777" w:rsidR="002C69BD" w:rsidRPr="002C69BD" w:rsidRDefault="002C69BD" w:rsidP="002C69BD">
      <w:pPr>
        <w:pStyle w:val="EndNoteBibliography"/>
      </w:pPr>
      <w:r w:rsidRPr="002C69BD">
        <w:t>17.</w:t>
      </w:r>
      <w:r w:rsidRPr="002C69BD">
        <w:tab/>
        <w:t>Martin K, Mirraboopa B. Ways of knowing, being and doing: A theoretical framework and methods for indigenous and indigenist re‐search. Journal of Australian Studies. 2003;27(76):203-14.</w:t>
      </w:r>
    </w:p>
    <w:p w14:paraId="77793480" w14:textId="77777777" w:rsidR="002C69BD" w:rsidRPr="002C69BD" w:rsidRDefault="002C69BD" w:rsidP="002C69BD">
      <w:pPr>
        <w:pStyle w:val="EndNoteBibliography"/>
      </w:pPr>
      <w:r w:rsidRPr="002C69BD">
        <w:t>18.</w:t>
      </w:r>
      <w:r w:rsidRPr="002C69BD">
        <w:tab/>
        <w:t>AIHW: Pointer. Hospitalised injury among Aboriginal and Torres Strait Islander people, 2011–12 to 2015–16. Canberra: AIHW; 2019.</w:t>
      </w:r>
    </w:p>
    <w:p w14:paraId="4F09F9DE" w14:textId="77777777" w:rsidR="002C69BD" w:rsidRPr="002C69BD" w:rsidRDefault="002C69BD" w:rsidP="002C69BD">
      <w:pPr>
        <w:pStyle w:val="EndNoteBibliography"/>
      </w:pPr>
      <w:r w:rsidRPr="002C69BD">
        <w:t>19.</w:t>
      </w:r>
      <w:r w:rsidRPr="002C69BD">
        <w:tab/>
        <w:t>AIHW: Kreisfeld R, Harrison J. Indigenous injury deaths: 2011–12 to 2015–16.; 2020.</w:t>
      </w:r>
    </w:p>
    <w:p w14:paraId="556DCCF3" w14:textId="77777777" w:rsidR="002C69BD" w:rsidRPr="002C69BD" w:rsidRDefault="002C69BD" w:rsidP="002C69BD">
      <w:pPr>
        <w:pStyle w:val="EndNoteBibliography"/>
      </w:pPr>
      <w:r w:rsidRPr="002C69BD">
        <w:t>20.</w:t>
      </w:r>
      <w:r w:rsidRPr="002C69BD">
        <w:tab/>
        <w:t>AIHW: Pointer S. Hospitalised injury and socioeconomic influence in Australia, 2015–16. Injury research and statistics series no. 125. Cat. no. INJCAT 205. Canberra: AIHW; 2019.</w:t>
      </w:r>
    </w:p>
    <w:p w14:paraId="292E6F26" w14:textId="6A6D00B8" w:rsidR="002C69BD" w:rsidRPr="002C69BD" w:rsidRDefault="002C69BD" w:rsidP="002C69BD">
      <w:pPr>
        <w:pStyle w:val="EndNoteBibliography"/>
      </w:pPr>
      <w:r w:rsidRPr="002C69BD">
        <w:t>21.</w:t>
      </w:r>
      <w:r w:rsidRPr="002C69BD">
        <w:tab/>
        <w:t xml:space="preserve">Australian Bureau of Statistics. 2016 Census Counts - Aboriginal and Torres Strait Islander Peoples (By Remoteness Area) Online: Australian Bureau of Statistics; 2018. Available from: </w:t>
      </w:r>
      <w:hyperlink r:id="rId54" w:history="1">
        <w:r w:rsidRPr="002C69BD">
          <w:rPr>
            <w:rStyle w:val="Hyperlink"/>
          </w:rPr>
          <w:t>https://www.abs.gov.au/AUSSTATS/abs@.nsf/Lookup/2075.0Main+Features202016?OpenDocument</w:t>
        </w:r>
      </w:hyperlink>
      <w:r w:rsidRPr="002C69BD">
        <w:t>.</w:t>
      </w:r>
    </w:p>
    <w:p w14:paraId="0ABA177A" w14:textId="010878E6" w:rsidR="002C69BD" w:rsidRPr="002C69BD" w:rsidRDefault="002C69BD" w:rsidP="002C69BD">
      <w:pPr>
        <w:pStyle w:val="EndNoteBibliography"/>
      </w:pPr>
      <w:r w:rsidRPr="002C69BD">
        <w:t>22.</w:t>
      </w:r>
      <w:r w:rsidRPr="002C69BD">
        <w:tab/>
        <w:t xml:space="preserve">Clapham K, et al. Active &amp; Safe: Aboriginal child injury prevention guidelines Sydney: Sydney Children’s Hospitals Network; 2019. Available from: </w:t>
      </w:r>
      <w:hyperlink r:id="rId55" w:history="1">
        <w:r w:rsidRPr="002C69BD">
          <w:rPr>
            <w:rStyle w:val="Hyperlink"/>
          </w:rPr>
          <w:t>https://www.schn.health.nsw.gov.au/professionals/professional-resources/active-safe-aboriginal-child-injury-prevention-guidelines</w:t>
        </w:r>
      </w:hyperlink>
      <w:r w:rsidRPr="002C69BD">
        <w:t>.</w:t>
      </w:r>
    </w:p>
    <w:p w14:paraId="78D7BAE9" w14:textId="18BB2114" w:rsidR="002C69BD" w:rsidRPr="002C69BD" w:rsidRDefault="002C69BD" w:rsidP="002C69BD">
      <w:pPr>
        <w:pStyle w:val="EndNoteBibliography"/>
      </w:pPr>
      <w:r w:rsidRPr="002C69BD">
        <w:t>23.</w:t>
      </w:r>
      <w:r w:rsidRPr="002C69BD">
        <w:tab/>
        <w:t xml:space="preserve">Centre of Best Practice in Aboriginal and Torres Strait Islander Suicide Prevention. An evaluation framework for indigenous suicide prevention activities: Centre of Best Practice in Aboriginal and Torres Strait Islander Suicide Prevention; 2018. Available from: </w:t>
      </w:r>
      <w:hyperlink r:id="rId56" w:history="1">
        <w:r w:rsidRPr="002C69BD">
          <w:rPr>
            <w:rStyle w:val="Hyperlink"/>
          </w:rPr>
          <w:t>https://www.cbpatsisp.com.au/wp-content/uploads/2018/09/4th-September-EVALUATION-FRAMEWORK-FOR-INDIGENOUS-SUICIDE-PREVENTION-ACTIVITY-FOR-USE_-030920182.pdf</w:t>
        </w:r>
      </w:hyperlink>
      <w:r w:rsidRPr="002C69BD">
        <w:t>.</w:t>
      </w:r>
    </w:p>
    <w:p w14:paraId="002A6EDE" w14:textId="191BA62F" w:rsidR="002C69BD" w:rsidRPr="002C69BD" w:rsidRDefault="002C69BD" w:rsidP="002C69BD">
      <w:pPr>
        <w:pStyle w:val="EndNoteBibliography"/>
      </w:pPr>
      <w:r w:rsidRPr="002C69BD">
        <w:t>24.</w:t>
      </w:r>
      <w:r w:rsidRPr="002C69BD">
        <w:tab/>
        <w:t xml:space="preserve">AIHW. Rural &amp; remote health Online: AIHW; 2019. Available from: </w:t>
      </w:r>
      <w:hyperlink r:id="rId57" w:history="1">
        <w:r w:rsidRPr="002C69BD">
          <w:rPr>
            <w:rStyle w:val="Hyperlink"/>
          </w:rPr>
          <w:t>https://www.aihw.gov.au/reports/rural-remote-australians/rural-remote-health/contents/summary</w:t>
        </w:r>
      </w:hyperlink>
      <w:r w:rsidRPr="002C69BD">
        <w:t>.</w:t>
      </w:r>
    </w:p>
    <w:p w14:paraId="105F09C2" w14:textId="77777777" w:rsidR="002C69BD" w:rsidRPr="002C69BD" w:rsidRDefault="002C69BD" w:rsidP="002C69BD">
      <w:pPr>
        <w:pStyle w:val="EndNoteBibliography"/>
      </w:pPr>
      <w:r w:rsidRPr="002C69BD">
        <w:t>25.</w:t>
      </w:r>
      <w:r w:rsidRPr="002C69BD">
        <w:tab/>
        <w:t>Russell DJ, et al. Helping policy‐makers address rural health access problems. 2013;21(2):61-71.</w:t>
      </w:r>
    </w:p>
    <w:p w14:paraId="676EE95B" w14:textId="77777777" w:rsidR="002C69BD" w:rsidRPr="002C69BD" w:rsidRDefault="002C69BD" w:rsidP="002C69BD">
      <w:pPr>
        <w:pStyle w:val="EndNoteBibliography"/>
      </w:pPr>
      <w:r w:rsidRPr="002C69BD">
        <w:t>26.</w:t>
      </w:r>
      <w:r w:rsidRPr="002C69BD">
        <w:tab/>
        <w:t>Australian Digital Health Agency. Safe, seamless and secure: evolving health and care to meet the needs of modern Australia. Australia’s National Digital Health Strategy Australian Digital Health Agency,; 2018.</w:t>
      </w:r>
    </w:p>
    <w:p w14:paraId="42AA9C83" w14:textId="77777777" w:rsidR="002C69BD" w:rsidRPr="002C69BD" w:rsidRDefault="002C69BD" w:rsidP="002C69BD">
      <w:pPr>
        <w:pStyle w:val="EndNoteBibliography"/>
      </w:pPr>
      <w:r w:rsidRPr="002C69BD">
        <w:t>27.</w:t>
      </w:r>
      <w:r w:rsidRPr="002C69BD">
        <w:tab/>
        <w:t>Horton G, et al. Drought, drying and climate change: emerging health issues for ageing Australians in rural areas. 2010;29(1):2-7.</w:t>
      </w:r>
    </w:p>
    <w:p w14:paraId="336D076C" w14:textId="287D5962" w:rsidR="002C69BD" w:rsidRPr="002C69BD" w:rsidRDefault="002C69BD" w:rsidP="002C69BD">
      <w:pPr>
        <w:pStyle w:val="EndNoteBibliography"/>
      </w:pPr>
      <w:r w:rsidRPr="002C69BD">
        <w:t>28.</w:t>
      </w:r>
      <w:r w:rsidRPr="002C69BD">
        <w:tab/>
        <w:t xml:space="preserve">AIHW. Australian Burden of Disease Study 2015: Interactive data on disease burden (remoteness areas) Online: AIHW; 2019 updated 13 June 2019. Available from: </w:t>
      </w:r>
      <w:hyperlink r:id="rId58" w:history="1">
        <w:r w:rsidRPr="002C69BD">
          <w:rPr>
            <w:rStyle w:val="Hyperlink"/>
          </w:rPr>
          <w:t>https://www.aihw.gov.au/reports/burden-of-disease/abds-2015-interactive-data-disease-burden/contents/remoteness-areas</w:t>
        </w:r>
      </w:hyperlink>
      <w:r w:rsidRPr="002C69BD">
        <w:t>.</w:t>
      </w:r>
    </w:p>
    <w:p w14:paraId="4ED73F91" w14:textId="77777777" w:rsidR="002C69BD" w:rsidRPr="002C69BD" w:rsidRDefault="002C69BD" w:rsidP="002C69BD">
      <w:pPr>
        <w:pStyle w:val="EndNoteBibliography"/>
      </w:pPr>
      <w:r w:rsidRPr="002C69BD">
        <w:t>29.</w:t>
      </w:r>
      <w:r w:rsidRPr="002C69BD">
        <w:tab/>
        <w:t>Dinh MM, et al. Major trauma mortality in rural and metropolitan NSW, 2009–2014: a retrospective analysis of trauma registry data. Medical journal of Australia. 2016;205(9):403-7.</w:t>
      </w:r>
    </w:p>
    <w:p w14:paraId="4A41565F" w14:textId="77777777" w:rsidR="002C69BD" w:rsidRPr="002C69BD" w:rsidRDefault="002C69BD" w:rsidP="002C69BD">
      <w:pPr>
        <w:pStyle w:val="EndNoteBibliography"/>
      </w:pPr>
      <w:r w:rsidRPr="002C69BD">
        <w:t>30.</w:t>
      </w:r>
      <w:r w:rsidRPr="002C69BD">
        <w:tab/>
        <w:t>AIHW. Family, domestic and sexual violence in Australia: continuing the national story. Canberra: AIHW; 2019b.  Citing Australian Bureau of Statistics, Personal Safety Survey, 2016, TableBuilder. ABS cat. no. 4906.0. Findings based on use of ABS TableBuilder data. Canberra: ABS.</w:t>
      </w:r>
    </w:p>
    <w:p w14:paraId="2C75D894" w14:textId="77777777" w:rsidR="002C69BD" w:rsidRPr="002C69BD" w:rsidRDefault="002C69BD" w:rsidP="002C69BD">
      <w:pPr>
        <w:pStyle w:val="EndNoteBibliography"/>
      </w:pPr>
      <w:r w:rsidRPr="002C69BD">
        <w:t>31.</w:t>
      </w:r>
      <w:r w:rsidRPr="002C69BD">
        <w:tab/>
        <w:t>Shee AW, et al. Rural vs. metro: Geographical differences in sports injury healthcare burden in Victoria. 2014;18:e118-e9.</w:t>
      </w:r>
    </w:p>
    <w:p w14:paraId="7F2C0076" w14:textId="2C405C19" w:rsidR="002C69BD" w:rsidRPr="002C69BD" w:rsidRDefault="002C69BD" w:rsidP="002C69BD">
      <w:pPr>
        <w:pStyle w:val="EndNoteBibliography"/>
      </w:pPr>
      <w:r w:rsidRPr="002C69BD">
        <w:t>32.</w:t>
      </w:r>
      <w:r w:rsidRPr="002C69BD">
        <w:tab/>
        <w:t xml:space="preserve">National Rural Health Alliance. Rural health impacts of climate change 2014. Available from: </w:t>
      </w:r>
      <w:hyperlink r:id="rId59" w:history="1">
        <w:r w:rsidRPr="002C69BD">
          <w:rPr>
            <w:rStyle w:val="Hyperlink"/>
          </w:rPr>
          <w:t>https://www.ruralhealth.org.au/sites/default/files/publications/nrha-factsheet-climate-change.pdf</w:t>
        </w:r>
      </w:hyperlink>
      <w:r w:rsidRPr="002C69BD">
        <w:t>.</w:t>
      </w:r>
    </w:p>
    <w:p w14:paraId="2CCB3239" w14:textId="77777777" w:rsidR="002C69BD" w:rsidRPr="002C69BD" w:rsidRDefault="002C69BD" w:rsidP="002C69BD">
      <w:pPr>
        <w:pStyle w:val="EndNoteBibliography"/>
      </w:pPr>
      <w:r w:rsidRPr="002C69BD">
        <w:t>33.</w:t>
      </w:r>
      <w:r w:rsidRPr="002C69BD">
        <w:tab/>
        <w:t>Stringhini S, et al. Socioeconomic status and the 25× 25 risk factors as determinants of premature mortality: a multicohort study and meta-analysis of 1· 7 million men and women. 2017;389(10075):1229-37.</w:t>
      </w:r>
    </w:p>
    <w:p w14:paraId="19CC3E36" w14:textId="77777777" w:rsidR="002C69BD" w:rsidRPr="002C69BD" w:rsidRDefault="002C69BD" w:rsidP="002C69BD">
      <w:pPr>
        <w:pStyle w:val="EndNoteBibliography"/>
      </w:pPr>
      <w:r w:rsidRPr="002C69BD">
        <w:t>34.</w:t>
      </w:r>
      <w:r w:rsidRPr="002C69BD">
        <w:tab/>
        <w:t>AIHW. Australia’s health 2018: in brief. AIHW; 2018.</w:t>
      </w:r>
    </w:p>
    <w:p w14:paraId="7220FA07" w14:textId="77777777" w:rsidR="002C69BD" w:rsidRPr="002C69BD" w:rsidRDefault="002C69BD" w:rsidP="002C69BD">
      <w:pPr>
        <w:pStyle w:val="EndNoteBibliography"/>
      </w:pPr>
      <w:r w:rsidRPr="002C69BD">
        <w:t>35.</w:t>
      </w:r>
      <w:r w:rsidRPr="002C69BD">
        <w:tab/>
        <w:t>Isaacs AN, et al. Lower income levels in Australia are strongly associated with elevated psychological distress: Implications for healthcare and other policy areas. 2018;9:536.</w:t>
      </w:r>
    </w:p>
    <w:p w14:paraId="7D1812DC" w14:textId="77777777" w:rsidR="002C69BD" w:rsidRPr="002C69BD" w:rsidRDefault="002C69BD" w:rsidP="002C69BD">
      <w:pPr>
        <w:pStyle w:val="EndNoteBibliography"/>
      </w:pPr>
      <w:r w:rsidRPr="002C69BD">
        <w:t>36.</w:t>
      </w:r>
      <w:r w:rsidRPr="002C69BD">
        <w:tab/>
        <w:t>Patel V, et al. Mental disorders: equity and social determinants. 2010;115:134.</w:t>
      </w:r>
    </w:p>
    <w:p w14:paraId="66A16B0F" w14:textId="77777777" w:rsidR="002C69BD" w:rsidRPr="002C69BD" w:rsidRDefault="002C69BD" w:rsidP="002C69BD">
      <w:pPr>
        <w:pStyle w:val="EndNoteBibliography"/>
      </w:pPr>
      <w:r w:rsidRPr="002C69BD">
        <w:t>37.</w:t>
      </w:r>
      <w:r w:rsidRPr="002C69BD">
        <w:tab/>
        <w:t>AIHW: Henley G, Harrison J. Injury mortality and socioeconomic influence in Australia, 2015–16. Injury research and statistics series no. 128. Cat. no. INJCAT 208. Canberra: AIHW; 2019.</w:t>
      </w:r>
    </w:p>
    <w:p w14:paraId="271043E2" w14:textId="1DDB22BD" w:rsidR="002C69BD" w:rsidRPr="002C69BD" w:rsidRDefault="002C69BD" w:rsidP="002C69BD">
      <w:pPr>
        <w:pStyle w:val="EndNoteBibliography"/>
      </w:pPr>
      <w:r w:rsidRPr="002C69BD">
        <w:t>38.</w:t>
      </w:r>
      <w:r w:rsidRPr="002C69BD">
        <w:tab/>
        <w:t xml:space="preserve">AIHW. Australia's welfare 2017: AIHW; 2017. Available from: </w:t>
      </w:r>
      <w:hyperlink r:id="rId60" w:history="1">
        <w:r w:rsidRPr="002C69BD">
          <w:rPr>
            <w:rStyle w:val="Hyperlink"/>
          </w:rPr>
          <w:t>https://www.aihw.gov.au/getmedia/088848dc-906d-4a8b-aa09-79df0f943984/aihw-aus-214-aw17.pdf.aspx?inline=true</w:t>
        </w:r>
      </w:hyperlink>
      <w:r w:rsidRPr="002C69BD">
        <w:t>.</w:t>
      </w:r>
    </w:p>
    <w:p w14:paraId="12E6C694" w14:textId="1D95588A" w:rsidR="002C69BD" w:rsidRPr="002C69BD" w:rsidRDefault="002C69BD" w:rsidP="002C69BD">
      <w:pPr>
        <w:pStyle w:val="EndNoteBibliography"/>
      </w:pPr>
      <w:r w:rsidRPr="002C69BD">
        <w:t>39.</w:t>
      </w:r>
      <w:r w:rsidRPr="002C69BD">
        <w:tab/>
        <w:t xml:space="preserve">AIHW. Australian Burden of Disease Study 2015: Interactive data on disease burden (Socioeconomic groups) Online: AIHW; 2019 updated 13 June 2019. Available from: </w:t>
      </w:r>
      <w:hyperlink r:id="rId61" w:history="1">
        <w:r w:rsidRPr="002C69BD">
          <w:rPr>
            <w:rStyle w:val="Hyperlink"/>
          </w:rPr>
          <w:t>https://www.aihw.gov.au/reports/burden-of-disease/abds-2015-interactive-data-disease-burden/contents/socioeconomic-groups</w:t>
        </w:r>
      </w:hyperlink>
      <w:r w:rsidRPr="002C69BD">
        <w:t>.</w:t>
      </w:r>
    </w:p>
    <w:p w14:paraId="196422B6" w14:textId="77777777" w:rsidR="002C69BD" w:rsidRPr="002C69BD" w:rsidRDefault="002C69BD" w:rsidP="002C69BD">
      <w:pPr>
        <w:pStyle w:val="EndNoteBibliography"/>
      </w:pPr>
      <w:r w:rsidRPr="002C69BD">
        <w:t>40.</w:t>
      </w:r>
      <w:r w:rsidRPr="002C69BD">
        <w:tab/>
        <w:t>AIHW. Family, domestic and sexual violence in Australia: continuing the national story, FDV 3. Canberra: AIHW; 2019.</w:t>
      </w:r>
    </w:p>
    <w:p w14:paraId="5C5CD940" w14:textId="77777777" w:rsidR="002C69BD" w:rsidRPr="002C69BD" w:rsidRDefault="002C69BD" w:rsidP="002C69BD">
      <w:pPr>
        <w:pStyle w:val="EndNoteBibliography"/>
      </w:pPr>
      <w:r w:rsidRPr="002C69BD">
        <w:t>41.</w:t>
      </w:r>
      <w:r w:rsidRPr="002C69BD">
        <w:tab/>
        <w:t>NSW Health. The First 2000 Days Framework. 2019.</w:t>
      </w:r>
    </w:p>
    <w:p w14:paraId="3E5DDA6F" w14:textId="77777777" w:rsidR="002C69BD" w:rsidRPr="002C69BD" w:rsidRDefault="002C69BD" w:rsidP="002C69BD">
      <w:pPr>
        <w:pStyle w:val="EndNoteBibliography"/>
      </w:pPr>
      <w:r w:rsidRPr="002C69BD">
        <w:t>42.</w:t>
      </w:r>
      <w:r w:rsidRPr="002C69BD">
        <w:tab/>
        <w:t>COAG Health Council. Healthy, Safe and Thriving: National Strategic Framework for Child and Youth Health. Australian Health Ministers’ Advisory Council; 2015.</w:t>
      </w:r>
    </w:p>
    <w:p w14:paraId="0A478362" w14:textId="77777777" w:rsidR="002C69BD" w:rsidRPr="002C69BD" w:rsidRDefault="002C69BD" w:rsidP="002C69BD">
      <w:pPr>
        <w:pStyle w:val="EndNoteBibliography"/>
      </w:pPr>
      <w:r w:rsidRPr="002C69BD">
        <w:t>43.</w:t>
      </w:r>
      <w:r w:rsidRPr="002C69BD">
        <w:tab/>
        <w:t>Moore T, et al. The First Thousand Days: An Evidence Paper. Parkville, Victoria: Centre for Community Child Health, Murdoch Children’s Research Institute; 2017.</w:t>
      </w:r>
    </w:p>
    <w:p w14:paraId="22CA9DD3" w14:textId="77777777" w:rsidR="002C69BD" w:rsidRPr="002C69BD" w:rsidRDefault="002C69BD" w:rsidP="002C69BD">
      <w:pPr>
        <w:pStyle w:val="EndNoteBibliography"/>
      </w:pPr>
      <w:r w:rsidRPr="002C69BD">
        <w:t>44.</w:t>
      </w:r>
      <w:r w:rsidRPr="002C69BD">
        <w:tab/>
        <w:t>Schneuer FJ, et al. The burden of hospitalized sports-related injuries in children: an Australian population-based study, 2005–2013. Injury epidemiology. 2018;5(1):45.</w:t>
      </w:r>
    </w:p>
    <w:p w14:paraId="020D61D3" w14:textId="0A3179E7" w:rsidR="002C69BD" w:rsidRPr="002C69BD" w:rsidRDefault="002C69BD" w:rsidP="002C69BD">
      <w:pPr>
        <w:pStyle w:val="EndNoteBibliography"/>
      </w:pPr>
      <w:r w:rsidRPr="002C69BD">
        <w:t>45.</w:t>
      </w:r>
      <w:r w:rsidRPr="002C69BD">
        <w:tab/>
        <w:t xml:space="preserve">Department of Health. National </w:t>
      </w:r>
      <w:bookmarkStart w:id="289" w:name="_Hlk37157281"/>
      <w:r w:rsidRPr="002C69BD">
        <w:t>Fetal Alcohol Spectrum Disorder (FASD)</w:t>
      </w:r>
      <w:bookmarkEnd w:id="289"/>
      <w:r w:rsidRPr="002C69BD">
        <w:t xml:space="preserve"> Strategic Action Plan 2018–2028 2019. Available from: </w:t>
      </w:r>
      <w:hyperlink r:id="rId62" w:history="1">
        <w:r w:rsidRPr="002C69BD">
          <w:rPr>
            <w:rStyle w:val="Hyperlink"/>
          </w:rPr>
          <w:t>https://www.health.gov.au/resources/publications/national-fetal-alcohol-spectrum-disorder-fasd-strategic-action-plan-2018-2028</w:t>
        </w:r>
      </w:hyperlink>
      <w:r w:rsidRPr="002C69BD">
        <w:t>.</w:t>
      </w:r>
    </w:p>
    <w:p w14:paraId="0C3D13E4" w14:textId="77777777" w:rsidR="002C69BD" w:rsidRPr="002C69BD" w:rsidRDefault="002C69BD" w:rsidP="002C69BD">
      <w:pPr>
        <w:pStyle w:val="EndNoteBibliography"/>
      </w:pPr>
      <w:r w:rsidRPr="002C69BD">
        <w:t>46.</w:t>
      </w:r>
      <w:r w:rsidRPr="002C69BD">
        <w:tab/>
        <w:t>Fitzpatrick JP, et al. The Marulu Strategy 2008–2012: overcoming fetal alcohol spectrum disorder (FASD) in the Fitzroy Valley. Australian and New Zealand Journal of Public Health. 2017;41(5):467-73.</w:t>
      </w:r>
    </w:p>
    <w:p w14:paraId="021BB5DB" w14:textId="77777777" w:rsidR="002C69BD" w:rsidRPr="002C69BD" w:rsidRDefault="002C69BD" w:rsidP="002C69BD">
      <w:pPr>
        <w:pStyle w:val="EndNoteBibliography"/>
      </w:pPr>
      <w:r w:rsidRPr="002C69BD">
        <w:t>47.</w:t>
      </w:r>
      <w:r w:rsidRPr="002C69BD">
        <w:tab/>
        <w:t>Fletcher R, et al. Engaging fathers: Evidence review. Canberra: Australian Research Alliance for Children Youth; 2014.</w:t>
      </w:r>
    </w:p>
    <w:p w14:paraId="6092BD27" w14:textId="77777777" w:rsidR="002C69BD" w:rsidRPr="002C69BD" w:rsidRDefault="002C69BD" w:rsidP="002C69BD">
      <w:pPr>
        <w:pStyle w:val="EndNoteBibliography"/>
      </w:pPr>
      <w:r w:rsidRPr="002C69BD">
        <w:t>48.</w:t>
      </w:r>
      <w:r w:rsidRPr="002C69BD">
        <w:tab/>
        <w:t>The Council of Australian Governments. Fourth Action Plan of the National Plan to Reduce Violence against Women and their Children 2010-2022. 2019.</w:t>
      </w:r>
    </w:p>
    <w:p w14:paraId="5E02F20D" w14:textId="77777777" w:rsidR="002C69BD" w:rsidRPr="002C69BD" w:rsidRDefault="002C69BD" w:rsidP="002C69BD">
      <w:pPr>
        <w:pStyle w:val="EndNoteBibliography"/>
      </w:pPr>
      <w:r w:rsidRPr="002C69BD">
        <w:t>49.</w:t>
      </w:r>
      <w:r w:rsidRPr="002C69BD">
        <w:tab/>
        <w:t>AIHW. Family, domestic and sexual violence in Australia 2018, Cat. no. FDV 2. Canberra: AIHW; 2018.</w:t>
      </w:r>
    </w:p>
    <w:p w14:paraId="2CFB2187" w14:textId="77777777" w:rsidR="002C69BD" w:rsidRPr="002C69BD" w:rsidRDefault="002C69BD" w:rsidP="002C69BD">
      <w:pPr>
        <w:pStyle w:val="EndNoteBibliography"/>
      </w:pPr>
      <w:r w:rsidRPr="002C69BD">
        <w:t>50.</w:t>
      </w:r>
      <w:r w:rsidRPr="002C69BD">
        <w:tab/>
        <w:t>AIHW: Henley G &amp; Harrison JE. Work-related hospitalised injury, Australia, 2006–07 to 2013–14. In: AIHW, editor. Canberra: AIHW; 2017.</w:t>
      </w:r>
    </w:p>
    <w:p w14:paraId="32194646" w14:textId="47220EAC" w:rsidR="002C69BD" w:rsidRPr="002C69BD" w:rsidRDefault="002C69BD" w:rsidP="002C69BD">
      <w:pPr>
        <w:pStyle w:val="EndNoteBibliography"/>
      </w:pPr>
      <w:r w:rsidRPr="002C69BD">
        <w:t>51.</w:t>
      </w:r>
      <w:r w:rsidRPr="002C69BD">
        <w:tab/>
        <w:t xml:space="preserve">Safe Work Australia. Statistics: Safe Work Australia; 2018. Available from: </w:t>
      </w:r>
      <w:hyperlink r:id="rId63" w:history="1">
        <w:r w:rsidRPr="002C69BD">
          <w:rPr>
            <w:rStyle w:val="Hyperlink"/>
          </w:rPr>
          <w:t>https://www.safeworkaustralia.gov.au/statistics-and-research/statistics</w:t>
        </w:r>
      </w:hyperlink>
      <w:r w:rsidRPr="002C69BD">
        <w:t>.</w:t>
      </w:r>
    </w:p>
    <w:p w14:paraId="1EC01F3F" w14:textId="77777777" w:rsidR="002C69BD" w:rsidRPr="002C69BD" w:rsidRDefault="002C69BD" w:rsidP="002C69BD">
      <w:pPr>
        <w:pStyle w:val="EndNoteBibliography"/>
      </w:pPr>
      <w:r w:rsidRPr="002C69BD">
        <w:t>52.</w:t>
      </w:r>
      <w:r w:rsidRPr="002C69BD">
        <w:tab/>
        <w:t>AIHW. Work-related hospitalised injury, Australia, 2006–07 to 2013–14. Canberra: AIHW; 2017.  Cat. no. INJCAT 180 Contract No.: Cat. no. INJCAT 180.</w:t>
      </w:r>
    </w:p>
    <w:p w14:paraId="59082325" w14:textId="77777777" w:rsidR="002C69BD" w:rsidRPr="002C69BD" w:rsidRDefault="002C69BD" w:rsidP="002C69BD">
      <w:pPr>
        <w:pStyle w:val="EndNoteBibliography"/>
      </w:pPr>
      <w:r w:rsidRPr="002C69BD">
        <w:t>53.</w:t>
      </w:r>
      <w:r w:rsidRPr="002C69BD">
        <w:tab/>
        <w:t>Finch CF, et al. The incidence and burden of hospital-treated sports-related injury in people aged 15+ years in Victoria, Australia, 2004–2010: a future epidemic of osteoarthritis? Osteoarthritis cartilage. 2015;23(7):1138-43.</w:t>
      </w:r>
    </w:p>
    <w:p w14:paraId="1606AF32" w14:textId="77777777" w:rsidR="002C69BD" w:rsidRPr="002C69BD" w:rsidRDefault="002C69BD" w:rsidP="002C69BD">
      <w:pPr>
        <w:pStyle w:val="EndNoteBibliography"/>
      </w:pPr>
      <w:r w:rsidRPr="002C69BD">
        <w:t>54.</w:t>
      </w:r>
      <w:r w:rsidRPr="002C69BD">
        <w:tab/>
        <w:t>Basic D, Hartwell T. Falls in hospital and new placement in a nursing home among older people hospitalized with acute illness. J Clinical interventions in aging. 2015;10:1637.</w:t>
      </w:r>
    </w:p>
    <w:p w14:paraId="4FDDFD7F" w14:textId="77777777" w:rsidR="002C69BD" w:rsidRPr="002C69BD" w:rsidRDefault="002C69BD" w:rsidP="002C69BD">
      <w:pPr>
        <w:pStyle w:val="EndNoteBibliography"/>
      </w:pPr>
      <w:r w:rsidRPr="002C69BD">
        <w:t>55.</w:t>
      </w:r>
      <w:r w:rsidRPr="002C69BD">
        <w:tab/>
        <w:t>Watson W, et al. The incidence and cost of falls injury among older people in New South Wales 2006/07. Sydney: NSW Department of Health. 2010.</w:t>
      </w:r>
    </w:p>
    <w:p w14:paraId="104F8752" w14:textId="77777777" w:rsidR="002C69BD" w:rsidRPr="002C69BD" w:rsidRDefault="002C69BD" w:rsidP="002C69BD">
      <w:pPr>
        <w:pStyle w:val="EndNoteBibliography"/>
      </w:pPr>
      <w:r w:rsidRPr="002C69BD">
        <w:t>56.</w:t>
      </w:r>
      <w:r w:rsidRPr="002C69BD">
        <w:tab/>
        <w:t>Lukaszyk C, et al. Fall‐related hospitalisations of older Aboriginal and Torres Strait Islander people and other Australians. Medical Journal of Australia. 2017;207(1):31-5.</w:t>
      </w:r>
    </w:p>
    <w:p w14:paraId="3CBB6F2B" w14:textId="62BA516D" w:rsidR="002C69BD" w:rsidRPr="002C69BD" w:rsidRDefault="002C69BD" w:rsidP="002C69BD">
      <w:pPr>
        <w:pStyle w:val="EndNoteBibliography"/>
      </w:pPr>
      <w:r w:rsidRPr="002C69BD">
        <w:t>57.</w:t>
      </w:r>
      <w:r w:rsidRPr="002C69BD">
        <w:tab/>
        <w:t xml:space="preserve">Welfare AIoHa. Older Australia at a glance. Cat. no. AGE 87. Canberra: AIHW2018. Available from: </w:t>
      </w:r>
      <w:hyperlink r:id="rId64" w:history="1">
        <w:r w:rsidRPr="002C69BD">
          <w:rPr>
            <w:rStyle w:val="Hyperlink"/>
          </w:rPr>
          <w:t>https://www.aihw.gov.au/reports/older-people/older-australia-at-a-glance</w:t>
        </w:r>
      </w:hyperlink>
      <w:r w:rsidRPr="002C69BD">
        <w:t>.</w:t>
      </w:r>
    </w:p>
    <w:p w14:paraId="2F05B513" w14:textId="77777777" w:rsidR="002C69BD" w:rsidRPr="002C69BD" w:rsidRDefault="002C69BD" w:rsidP="002C69BD">
      <w:pPr>
        <w:pStyle w:val="EndNoteBibliography"/>
      </w:pPr>
      <w:r w:rsidRPr="002C69BD">
        <w:t>58.</w:t>
      </w:r>
      <w:r w:rsidRPr="002C69BD">
        <w:tab/>
        <w:t>Council of attorneys-general. National Plan to Respond to the Abuse of Older Australians (Elder Abuse) 2019–2023. 2019.</w:t>
      </w:r>
    </w:p>
    <w:p w14:paraId="6F1D8BF2" w14:textId="77777777" w:rsidR="002C69BD" w:rsidRPr="002C69BD" w:rsidRDefault="002C69BD" w:rsidP="002C69BD">
      <w:pPr>
        <w:pStyle w:val="EndNoteBibliography"/>
      </w:pPr>
      <w:r w:rsidRPr="002C69BD">
        <w:t>59.</w:t>
      </w:r>
      <w:r w:rsidRPr="002C69BD">
        <w:tab/>
        <w:t>BC Injury Prevention Committee. Provincial Injury Prevention Priorities. Vancouver, Canada2017.</w:t>
      </w:r>
    </w:p>
    <w:p w14:paraId="0D7F36A7" w14:textId="77777777" w:rsidR="002C69BD" w:rsidRPr="002C69BD" w:rsidRDefault="002C69BD" w:rsidP="002C69BD">
      <w:pPr>
        <w:pStyle w:val="EndNoteBibliography"/>
      </w:pPr>
      <w:r w:rsidRPr="002C69BD">
        <w:t>60.</w:t>
      </w:r>
      <w:r w:rsidRPr="002C69BD">
        <w:tab/>
        <w:t>Australian Government Department of Health. National Alcohol Strategy 2019–2028. In: Health Do, editor. Online: Department of Health; 2019.</w:t>
      </w:r>
    </w:p>
    <w:p w14:paraId="61C2F6D9" w14:textId="77777777" w:rsidR="002C69BD" w:rsidRPr="002C69BD" w:rsidRDefault="002C69BD" w:rsidP="002C69BD">
      <w:pPr>
        <w:pStyle w:val="EndNoteBibliography"/>
      </w:pPr>
      <w:r w:rsidRPr="002C69BD">
        <w:t>61.</w:t>
      </w:r>
      <w:r w:rsidRPr="002C69BD">
        <w:tab/>
        <w:t>AIHW. Alcohol, tobacco &amp; other drugs in Australia. Online: AIHW; 2019.</w:t>
      </w:r>
    </w:p>
    <w:p w14:paraId="772C2BC4" w14:textId="77777777" w:rsidR="002C69BD" w:rsidRPr="002C69BD" w:rsidRDefault="002C69BD" w:rsidP="002C69BD">
      <w:pPr>
        <w:pStyle w:val="EndNoteBibliography"/>
      </w:pPr>
      <w:r w:rsidRPr="002C69BD">
        <w:t>62.</w:t>
      </w:r>
      <w:r w:rsidRPr="002C69BD">
        <w:tab/>
        <w:t>AIHW. National Drug Strategy Household Survey 2016: detailed findings. Online: AIHW; 2017.</w:t>
      </w:r>
    </w:p>
    <w:p w14:paraId="090D37F3" w14:textId="77777777" w:rsidR="002C69BD" w:rsidRPr="002C69BD" w:rsidRDefault="002C69BD" w:rsidP="002C69BD">
      <w:pPr>
        <w:pStyle w:val="EndNoteBibliography"/>
      </w:pPr>
      <w:r w:rsidRPr="002C69BD">
        <w:t>63.</w:t>
      </w:r>
      <w:r w:rsidRPr="002C69BD">
        <w:tab/>
        <w:t>Department of Health. Implementation Plan for the National Aboriginal and Torres Strait Islander Health Plan 2013–2023. In: Government A, editor. Canberra2015.</w:t>
      </w:r>
    </w:p>
    <w:p w14:paraId="58AC658F" w14:textId="77777777" w:rsidR="002C69BD" w:rsidRPr="002C69BD" w:rsidRDefault="002C69BD" w:rsidP="002C69BD">
      <w:pPr>
        <w:pStyle w:val="EndNoteBibliography"/>
      </w:pPr>
      <w:r w:rsidRPr="002C69BD">
        <w:t>64.</w:t>
      </w:r>
      <w:r w:rsidRPr="002C69BD">
        <w:tab/>
        <w:t>Watts N, et al. The 2019 report of The Lancet Countdown on health and climate change: ensuring that the health of a child born today is not defined by a changing climate. The Lancet. 2019;394(10211):1836-78.</w:t>
      </w:r>
    </w:p>
    <w:p w14:paraId="502BD700" w14:textId="77777777" w:rsidR="002C69BD" w:rsidRPr="002C69BD" w:rsidRDefault="002C69BD" w:rsidP="002C69BD">
      <w:pPr>
        <w:pStyle w:val="EndNoteBibliography"/>
      </w:pPr>
      <w:r w:rsidRPr="002C69BD">
        <w:t>65.</w:t>
      </w:r>
      <w:r w:rsidRPr="002C69BD">
        <w:tab/>
        <w:t>Australian Government Department of Home Affairs. Profiling Australia’s Vulnerability: the interconnected causes and cascading effects of systemic disaster risk. 2018.</w:t>
      </w:r>
    </w:p>
    <w:p w14:paraId="09152C40" w14:textId="77777777" w:rsidR="002C69BD" w:rsidRPr="002C69BD" w:rsidRDefault="002C69BD" w:rsidP="002C69BD">
      <w:pPr>
        <w:pStyle w:val="EndNoteBibliography"/>
      </w:pPr>
      <w:r w:rsidRPr="002C69BD">
        <w:t>66.</w:t>
      </w:r>
      <w:r w:rsidRPr="002C69BD">
        <w:tab/>
        <w:t>McMichael AJ, et al. Climate change: a time of need and opportunity for the health sector. 2009;374(9707):2123-5.</w:t>
      </w:r>
    </w:p>
    <w:p w14:paraId="56D510B3" w14:textId="77777777" w:rsidR="002C69BD" w:rsidRPr="002C69BD" w:rsidRDefault="002C69BD" w:rsidP="002C69BD">
      <w:pPr>
        <w:pStyle w:val="EndNoteBibliography"/>
      </w:pPr>
      <w:r w:rsidRPr="002C69BD">
        <w:t>67.</w:t>
      </w:r>
      <w:r w:rsidRPr="002C69BD">
        <w:tab/>
        <w:t>Beggs PJ, et al. The 2019 report of the MJA–Lancet Countdown on health and climate change: a turbulent year with mixed progress. Medical Journal of Australia. 2019.</w:t>
      </w:r>
    </w:p>
    <w:p w14:paraId="37F04FBC" w14:textId="77777777" w:rsidR="002C69BD" w:rsidRPr="002C69BD" w:rsidRDefault="002C69BD" w:rsidP="002C69BD">
      <w:pPr>
        <w:pStyle w:val="EndNoteBibliography"/>
      </w:pPr>
      <w:r w:rsidRPr="002C69BD">
        <w:t>68.</w:t>
      </w:r>
      <w:r w:rsidRPr="002C69BD">
        <w:tab/>
        <w:t>United Nations. United Nations plan of action on disaster risk reduction for resilience: Towards a risk-informed and integrated approach to sustainable development. 2017.</w:t>
      </w:r>
    </w:p>
    <w:p w14:paraId="6500300B" w14:textId="29034F5B" w:rsidR="002C69BD" w:rsidRPr="002C69BD" w:rsidRDefault="002C69BD" w:rsidP="002C69BD">
      <w:pPr>
        <w:pStyle w:val="EndNoteBibliography"/>
      </w:pPr>
      <w:r w:rsidRPr="002C69BD">
        <w:t>69.</w:t>
      </w:r>
      <w:r w:rsidRPr="002C69BD">
        <w:tab/>
        <w:t xml:space="preserve">Walter M. The voice of Indigenous data. Beyond the markers of disadvantage: Griffith Review 60; 2018. Available from: </w:t>
      </w:r>
      <w:hyperlink r:id="rId65" w:history="1">
        <w:r w:rsidRPr="002C69BD">
          <w:rPr>
            <w:rStyle w:val="Hyperlink"/>
          </w:rPr>
          <w:t>https://www.griffithreview.com/articles/voice-indigenous-data-beyond-disadvantage/</w:t>
        </w:r>
      </w:hyperlink>
      <w:r w:rsidRPr="002C69BD">
        <w:t>.</w:t>
      </w:r>
    </w:p>
    <w:p w14:paraId="59677951" w14:textId="77777777" w:rsidR="002C69BD" w:rsidRPr="002C69BD" w:rsidRDefault="002C69BD" w:rsidP="002C69BD">
      <w:pPr>
        <w:pStyle w:val="EndNoteBibliography"/>
      </w:pPr>
      <w:r w:rsidRPr="002C69BD">
        <w:t>70.</w:t>
      </w:r>
      <w:r w:rsidRPr="002C69BD">
        <w:tab/>
        <w:t>Kukutai T, Taylor J. Indigenous data sovereignty : toward an agenda. Acton, A.C.T.: ANU Press; 2016.</w:t>
      </w:r>
    </w:p>
    <w:p w14:paraId="1A238083" w14:textId="77777777" w:rsidR="002C69BD" w:rsidRPr="002C69BD" w:rsidRDefault="002C69BD" w:rsidP="002C69BD">
      <w:pPr>
        <w:pStyle w:val="EndNoteBibliography"/>
      </w:pPr>
      <w:r w:rsidRPr="002C69BD">
        <w:t>71.</w:t>
      </w:r>
      <w:r w:rsidRPr="002C69BD">
        <w:tab/>
        <w:t>AIHW. Australian Burden of Disease Study: impact and causes of illness and death in Australia. AIHW; 2015.</w:t>
      </w:r>
    </w:p>
    <w:p w14:paraId="7DA0A0C9" w14:textId="77777777" w:rsidR="002C69BD" w:rsidRPr="002C69BD" w:rsidRDefault="002C69BD" w:rsidP="002C69BD">
      <w:pPr>
        <w:pStyle w:val="EndNoteBibliography"/>
      </w:pPr>
      <w:r w:rsidRPr="002C69BD">
        <w:t>72.</w:t>
      </w:r>
      <w:r w:rsidRPr="002C69BD">
        <w:tab/>
        <w:t>Australian Bureau of Statistics. 4906.0 - Personal Safety, Australia, 2016  Online: ABS; 2017.</w:t>
      </w:r>
    </w:p>
    <w:p w14:paraId="6C0A39C8" w14:textId="384BC350" w:rsidR="002C69BD" w:rsidRPr="002C69BD" w:rsidRDefault="002C69BD" w:rsidP="002C69BD">
      <w:pPr>
        <w:pStyle w:val="EndNoteBibliography"/>
      </w:pPr>
      <w:r w:rsidRPr="002C69BD">
        <w:t>73.</w:t>
      </w:r>
      <w:r w:rsidRPr="002C69BD">
        <w:tab/>
        <w:t xml:space="preserve">Safe Work Australia. Cost of injury and illness by occupation. Available from: </w:t>
      </w:r>
      <w:hyperlink r:id="rId66" w:history="1">
        <w:r w:rsidRPr="002C69BD">
          <w:rPr>
            <w:rStyle w:val="Hyperlink"/>
          </w:rPr>
          <w:t>https://www.safeworkaustralia.gov.au/statistics-and-research/cost-injury-and-illness-occupation</w:t>
        </w:r>
      </w:hyperlink>
      <w:r w:rsidRPr="002C69BD">
        <w:t>.</w:t>
      </w:r>
    </w:p>
    <w:p w14:paraId="3EBEC4D0" w14:textId="51D8FA48" w:rsidR="002C69BD" w:rsidRPr="002C69BD" w:rsidRDefault="002C69BD" w:rsidP="002C69BD">
      <w:pPr>
        <w:pStyle w:val="EndNoteBibliography"/>
      </w:pPr>
      <w:r w:rsidRPr="002C69BD">
        <w:t>74.</w:t>
      </w:r>
      <w:r w:rsidRPr="002C69BD">
        <w:tab/>
        <w:t xml:space="preserve">Safe Work Australia. Agriculture 2019. Available from: </w:t>
      </w:r>
      <w:hyperlink r:id="rId67" w:history="1">
        <w:r w:rsidRPr="002C69BD">
          <w:rPr>
            <w:rStyle w:val="Hyperlink"/>
          </w:rPr>
          <w:t>https://www.safeworkaustralia.gov.au/agriculture</w:t>
        </w:r>
      </w:hyperlink>
      <w:r w:rsidRPr="002C69BD">
        <w:t>.</w:t>
      </w:r>
    </w:p>
    <w:p w14:paraId="34CAFA19" w14:textId="0380ACFE" w:rsidR="002C69BD" w:rsidRPr="002C69BD" w:rsidRDefault="002C69BD" w:rsidP="002C69BD">
      <w:pPr>
        <w:pStyle w:val="EndNoteBibliography"/>
      </w:pPr>
      <w:r w:rsidRPr="002C69BD">
        <w:t>75.</w:t>
      </w:r>
      <w:r w:rsidRPr="002C69BD">
        <w:tab/>
        <w:t xml:space="preserve">AIHW. Hospital care for Australian sports injury 2012–13: AIHW; 2017. Available from: </w:t>
      </w:r>
      <w:hyperlink r:id="rId68" w:history="1">
        <w:r w:rsidRPr="002C69BD">
          <w:rPr>
            <w:rStyle w:val="Hyperlink"/>
          </w:rPr>
          <w:t>https://www.aihw.gov.au/reports/injury/hospital-care-for-australian-sports-injury-2012-13/contents/table-of-contents</w:t>
        </w:r>
      </w:hyperlink>
      <w:r w:rsidRPr="002C69BD">
        <w:t>.</w:t>
      </w:r>
    </w:p>
    <w:p w14:paraId="77B2C0E8" w14:textId="77777777" w:rsidR="002C69BD" w:rsidRPr="002C69BD" w:rsidRDefault="002C69BD" w:rsidP="002C69BD">
      <w:pPr>
        <w:pStyle w:val="EndNoteBibliography"/>
      </w:pPr>
      <w:r w:rsidRPr="002C69BD">
        <w:t>76.</w:t>
      </w:r>
      <w:r w:rsidRPr="002C69BD">
        <w:tab/>
        <w:t>Elkington J., et al. Round Table Report: Consultation to develop a National Injury Prevention Strategy in Australia. 2019.</w:t>
      </w:r>
    </w:p>
    <w:p w14:paraId="424EE163" w14:textId="77777777" w:rsidR="002C69BD" w:rsidRPr="002C69BD" w:rsidRDefault="002C69BD" w:rsidP="002C69BD">
      <w:pPr>
        <w:pStyle w:val="EndNoteBibliography"/>
      </w:pPr>
      <w:r w:rsidRPr="002C69BD">
        <w:t>77.</w:t>
      </w:r>
      <w:r w:rsidRPr="002C69BD">
        <w:tab/>
        <w:t>Hunter K., et al. National Injury Prevention Strategy – Literature Review. Report developed for the Australian Government Department of Health; 2019.</w:t>
      </w:r>
    </w:p>
    <w:p w14:paraId="4F81D09A" w14:textId="29007A7A" w:rsidR="002C69BD" w:rsidRPr="002C69BD" w:rsidRDefault="002C69BD" w:rsidP="002C69BD">
      <w:pPr>
        <w:pStyle w:val="EndNoteBibliography"/>
      </w:pPr>
      <w:r w:rsidRPr="002C69BD">
        <w:t>78.</w:t>
      </w:r>
      <w:r w:rsidRPr="002C69BD">
        <w:tab/>
        <w:t xml:space="preserve">The George Institute for Global Health. The National Injury Prevention Strategy 2020 - 2030 2019. Available from: </w:t>
      </w:r>
      <w:hyperlink r:id="rId69" w:history="1">
        <w:r w:rsidRPr="002C69BD">
          <w:rPr>
            <w:rStyle w:val="Hyperlink"/>
          </w:rPr>
          <w:t>https://www.georgeinstitute.org.au/the-national-injury-prevention-strategy-2020-2030</w:t>
        </w:r>
      </w:hyperlink>
      <w:r w:rsidRPr="002C69BD">
        <w:t>.</w:t>
      </w:r>
    </w:p>
    <w:p w14:paraId="2D034195" w14:textId="3BDE0565" w:rsidR="00B148D6" w:rsidRPr="00400300" w:rsidRDefault="003013E5" w:rsidP="000F6EE2">
      <w:pPr>
        <w:spacing w:before="0"/>
        <w:rPr>
          <w:rFonts w:eastAsia="Times New Roman" w:cstheme="minorHAnsi"/>
          <w:color w:val="0563C1" w:themeColor="hyperlink"/>
          <w:sz w:val="16"/>
          <w:szCs w:val="18"/>
          <w:u w:val="single"/>
          <w:lang w:val="en-AU"/>
        </w:rPr>
      </w:pPr>
      <w:r w:rsidRPr="00400300">
        <w:rPr>
          <w:rFonts w:eastAsia="Times New Roman" w:cstheme="minorHAnsi"/>
          <w:color w:val="0563C1" w:themeColor="hyperlink"/>
          <w:sz w:val="18"/>
          <w:szCs w:val="18"/>
          <w:u w:val="single"/>
          <w:lang w:val="en-AU"/>
        </w:rPr>
        <w:fldChar w:fldCharType="end"/>
      </w:r>
    </w:p>
    <w:p w14:paraId="0D60AD6B" w14:textId="77777777" w:rsidR="00117B83" w:rsidRPr="00400300" w:rsidRDefault="00117B83" w:rsidP="000E5883">
      <w:pPr>
        <w:rPr>
          <w:lang w:val="en-AU"/>
        </w:rPr>
        <w:sectPr w:rsidR="00117B83" w:rsidRPr="00400300" w:rsidSect="00117B83">
          <w:headerReference w:type="default" r:id="rId70"/>
          <w:pgSz w:w="11906" w:h="16838"/>
          <w:pgMar w:top="1440" w:right="1440" w:bottom="1440" w:left="1440" w:header="708" w:footer="708" w:gutter="0"/>
          <w:cols w:space="708"/>
          <w:docGrid w:linePitch="360"/>
        </w:sectPr>
      </w:pPr>
    </w:p>
    <w:p w14:paraId="6F1BC0E0" w14:textId="77777777" w:rsidR="00466F3F" w:rsidRPr="00400300" w:rsidRDefault="00466F3F" w:rsidP="00466F3F">
      <w:pPr>
        <w:pStyle w:val="Style1notnumbered"/>
        <w:rPr>
          <w:lang w:val="en-AU"/>
        </w:rPr>
      </w:pPr>
      <w:bookmarkStart w:id="290" w:name="_Toc32584907"/>
      <w:bookmarkStart w:id="291" w:name="_Toc33107380"/>
      <w:bookmarkStart w:id="292" w:name="_Toc38021111"/>
      <w:r w:rsidRPr="00400300">
        <w:rPr>
          <w:lang w:val="en-AU"/>
        </w:rPr>
        <w:t xml:space="preserve">Appendix A - Burden of disease </w:t>
      </w:r>
      <w:bookmarkEnd w:id="290"/>
      <w:r w:rsidRPr="00400300">
        <w:rPr>
          <w:lang w:val="en-AU"/>
        </w:rPr>
        <w:t>overview</w:t>
      </w:r>
      <w:bookmarkEnd w:id="291"/>
      <w:bookmarkEnd w:id="292"/>
    </w:p>
    <w:p w14:paraId="16C3412C" w14:textId="77777777" w:rsidR="00466F3F" w:rsidRPr="00400300" w:rsidRDefault="00466F3F" w:rsidP="00466F3F">
      <w:pPr>
        <w:rPr>
          <w:rFonts w:cstheme="minorHAnsi"/>
          <w:b/>
          <w:color w:val="000000" w:themeColor="text1"/>
          <w:sz w:val="28"/>
          <w:szCs w:val="28"/>
          <w:lang w:val="en-AU"/>
        </w:rPr>
      </w:pPr>
    </w:p>
    <w:p w14:paraId="5BA7F44C" w14:textId="77777777" w:rsidR="00466F3F" w:rsidRPr="00400300" w:rsidRDefault="00466F3F" w:rsidP="00466F3F">
      <w:pPr>
        <w:pStyle w:val="Heading2"/>
        <w:rPr>
          <w:lang w:val="en-AU"/>
        </w:rPr>
      </w:pPr>
      <w:bookmarkStart w:id="293" w:name="_Toc38021112"/>
      <w:r w:rsidRPr="00400300">
        <w:rPr>
          <w:lang w:val="en-AU"/>
        </w:rPr>
        <w:t>Rank of external causes of injury by age group</w:t>
      </w:r>
      <w:bookmarkEnd w:id="293"/>
    </w:p>
    <w:p w14:paraId="5553F41B" w14:textId="77777777" w:rsidR="00466F3F" w:rsidRPr="00400300" w:rsidRDefault="00466F3F" w:rsidP="00466F3F">
      <w:pPr>
        <w:rPr>
          <w:rFonts w:cstheme="minorHAnsi"/>
          <w:lang w:val="en-AU"/>
        </w:rPr>
      </w:pPr>
    </w:p>
    <w:p w14:paraId="10C88A40" w14:textId="77777777" w:rsidR="00466F3F" w:rsidRPr="00400300" w:rsidRDefault="00466F3F" w:rsidP="00466F3F">
      <w:pPr>
        <w:pStyle w:val="Heading3"/>
        <w:rPr>
          <w:lang w:val="en-AU"/>
        </w:rPr>
      </w:pPr>
      <w:r w:rsidRPr="00400300">
        <w:rPr>
          <w:lang w:val="en-AU"/>
        </w:rPr>
        <w:t xml:space="preserve">Drowning </w:t>
      </w:r>
    </w:p>
    <w:p w14:paraId="786C75F0" w14:textId="3EDDAC14" w:rsidR="00466F3F" w:rsidRPr="00400300" w:rsidRDefault="00466F3F" w:rsidP="007D5286">
      <w:pPr>
        <w:pStyle w:val="ListParagraph"/>
        <w:numPr>
          <w:ilvl w:val="0"/>
          <w:numId w:val="16"/>
        </w:numPr>
        <w:rPr>
          <w:lang w:val="en-AU"/>
        </w:rPr>
      </w:pPr>
      <w:r w:rsidRPr="00400300">
        <w:rPr>
          <w:lang w:val="en-AU"/>
        </w:rPr>
        <w:t>Seventh leading cause of all burden of disease for children &lt;5 years.</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p>
    <w:p w14:paraId="73F57D55" w14:textId="2F842F9A" w:rsidR="00466F3F" w:rsidRPr="00400300" w:rsidRDefault="00466F3F" w:rsidP="007D5286">
      <w:pPr>
        <w:pStyle w:val="ListParagraph"/>
        <w:numPr>
          <w:ilvl w:val="0"/>
          <w:numId w:val="16"/>
        </w:numPr>
        <w:rPr>
          <w:lang w:val="en-AU"/>
        </w:rPr>
      </w:pPr>
      <w:r w:rsidRPr="00400300">
        <w:rPr>
          <w:lang w:val="en-AU"/>
        </w:rPr>
        <w:t>Leading cause of injury burden for children aged 1-4 years.</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p>
    <w:p w14:paraId="2BD61D8A" w14:textId="77777777" w:rsidR="00466F3F" w:rsidRPr="00400300" w:rsidRDefault="00466F3F" w:rsidP="00466F3F">
      <w:pPr>
        <w:rPr>
          <w:lang w:val="en-AU"/>
        </w:rPr>
      </w:pPr>
    </w:p>
    <w:p w14:paraId="5038141E" w14:textId="77777777" w:rsidR="00466F3F" w:rsidRPr="00400300" w:rsidRDefault="00466F3F" w:rsidP="00466F3F">
      <w:pPr>
        <w:pStyle w:val="Heading3"/>
        <w:rPr>
          <w:lang w:val="en-AU"/>
        </w:rPr>
      </w:pPr>
      <w:r w:rsidRPr="00400300">
        <w:rPr>
          <w:lang w:val="en-AU"/>
        </w:rPr>
        <w:t xml:space="preserve">Falls </w:t>
      </w:r>
    </w:p>
    <w:p w14:paraId="1268ACB3" w14:textId="2D61666A" w:rsidR="00466F3F" w:rsidRPr="00400300" w:rsidRDefault="00466F3F" w:rsidP="007D5286">
      <w:pPr>
        <w:pStyle w:val="ListParagraph"/>
        <w:numPr>
          <w:ilvl w:val="0"/>
          <w:numId w:val="17"/>
        </w:numPr>
        <w:rPr>
          <w:lang w:val="en-AU"/>
        </w:rPr>
      </w:pPr>
      <w:r w:rsidRPr="00400300">
        <w:rPr>
          <w:lang w:val="en-AU"/>
        </w:rPr>
        <w:t>Third leading cause of burden of injury among children (0 – 14 years).</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r w:rsidRPr="00400300">
        <w:rPr>
          <w:lang w:val="en-AU"/>
        </w:rPr>
        <w:t xml:space="preserve"> </w:t>
      </w:r>
    </w:p>
    <w:p w14:paraId="54B614C9" w14:textId="18B7DA86" w:rsidR="00466F3F" w:rsidRPr="00400300" w:rsidRDefault="00466F3F" w:rsidP="007D5286">
      <w:pPr>
        <w:pStyle w:val="ListParagraph"/>
        <w:numPr>
          <w:ilvl w:val="0"/>
          <w:numId w:val="17"/>
        </w:numPr>
        <w:rPr>
          <w:lang w:val="en-AU"/>
        </w:rPr>
      </w:pPr>
      <w:r w:rsidRPr="00400300">
        <w:rPr>
          <w:lang w:val="en-AU"/>
        </w:rPr>
        <w:t>Leading cause of injury burden among older adults (65 years and over).</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p>
    <w:p w14:paraId="684840FA" w14:textId="0C07693A" w:rsidR="00466F3F" w:rsidRPr="00400300" w:rsidRDefault="00466F3F" w:rsidP="007D5286">
      <w:pPr>
        <w:pStyle w:val="ListParagraph"/>
        <w:numPr>
          <w:ilvl w:val="0"/>
          <w:numId w:val="17"/>
        </w:numPr>
        <w:rPr>
          <w:lang w:val="en-AU"/>
        </w:rPr>
      </w:pPr>
      <w:r w:rsidRPr="00400300">
        <w:rPr>
          <w:lang w:val="en-AU"/>
        </w:rPr>
        <w:t>Fifth leading cause of burden of disease (all diseases and injuries) among people aged over 85 years.</w:t>
      </w:r>
      <w:r w:rsidRPr="00400300">
        <w:rPr>
          <w:lang w:val="en-AU"/>
        </w:rPr>
        <w:fldChar w:fldCharType="begin"/>
      </w:r>
      <w:r w:rsidR="002C69BD">
        <w:rPr>
          <w:lang w:val="en-AU"/>
        </w:rPr>
        <w:instrText xml:space="preserve"> ADDIN EN.CITE &lt;EndNote&gt;&lt;Cite&gt;&lt;Author&gt;AIHW&lt;/Author&gt;&lt;Year&gt;2015&lt;/Year&gt;&lt;RecNum&gt;11&lt;/RecNum&gt;&lt;DisplayText&gt;&lt;style face="superscript"&gt;71&lt;/style&gt;&lt;/DisplayText&gt;&lt;record&gt;&lt;rec-number&gt;11&lt;/rec-number&gt;&lt;foreign-keys&gt;&lt;key app="EN" db-id="2wsw9x5wvsspa1evwxlvvergx9epfd50fs2a" timestamp="1571987680"&gt;11&lt;/key&gt;&lt;/foreign-keys&gt;&lt;ref-type name="Report"&gt;27&lt;/ref-type&gt;&lt;contributors&gt;&lt;authors&gt;&lt;author&gt;AIHW,&lt;/author&gt;&lt;/authors&gt;&lt;/contributors&gt;&lt;titles&gt;&lt;title&gt;Australian Burden of Disease Study: impact and causes of illness and death in Australia&lt;/title&gt;&lt;/titles&gt;&lt;dates&gt;&lt;year&gt;2015&lt;/year&gt;&lt;/dates&gt;&lt;publisher&gt;AIHW&lt;/publisher&gt;&lt;urls&gt;&lt;related-urls&gt;&lt;url&gt;https://www.aihw.gov.au/getmedia/c076f42f-61ea-4348-9c0a-d996353e838f/aihw-bod-22.pdf.aspx?inline=true&lt;/url&gt;&lt;/related-urls&gt;&lt;/urls&gt;&lt;/record&gt;&lt;/Cite&gt;&lt;/EndNote&gt;</w:instrText>
      </w:r>
      <w:r w:rsidRPr="00400300">
        <w:rPr>
          <w:lang w:val="en-AU"/>
        </w:rPr>
        <w:fldChar w:fldCharType="separate"/>
      </w:r>
      <w:r w:rsidR="002C69BD" w:rsidRPr="002C69BD">
        <w:rPr>
          <w:noProof/>
          <w:vertAlign w:val="superscript"/>
          <w:lang w:val="en-AU"/>
        </w:rPr>
        <w:t>71</w:t>
      </w:r>
      <w:r w:rsidRPr="00400300">
        <w:rPr>
          <w:lang w:val="en-AU"/>
        </w:rPr>
        <w:fldChar w:fldCharType="end"/>
      </w:r>
    </w:p>
    <w:p w14:paraId="36F1AE7B" w14:textId="77777777" w:rsidR="00466F3F" w:rsidRPr="00400300" w:rsidRDefault="00466F3F" w:rsidP="00466F3F">
      <w:pPr>
        <w:rPr>
          <w:lang w:val="en-AU"/>
        </w:rPr>
      </w:pPr>
    </w:p>
    <w:p w14:paraId="70BF8198" w14:textId="77777777" w:rsidR="00466F3F" w:rsidRPr="00400300" w:rsidRDefault="00466F3F" w:rsidP="00466F3F">
      <w:pPr>
        <w:pStyle w:val="Heading3"/>
        <w:rPr>
          <w:lang w:val="en-AU"/>
        </w:rPr>
      </w:pPr>
      <w:r w:rsidRPr="00400300">
        <w:rPr>
          <w:lang w:val="en-AU"/>
        </w:rPr>
        <w:t xml:space="preserve">Homicide and violence </w:t>
      </w:r>
    </w:p>
    <w:p w14:paraId="7DDB870C" w14:textId="49B79856" w:rsidR="00466F3F" w:rsidRPr="00400300" w:rsidRDefault="00466F3F" w:rsidP="007D5286">
      <w:pPr>
        <w:pStyle w:val="ListParagraph"/>
        <w:numPr>
          <w:ilvl w:val="0"/>
          <w:numId w:val="18"/>
        </w:numPr>
        <w:rPr>
          <w:lang w:val="en-AU"/>
        </w:rPr>
      </w:pPr>
      <w:r w:rsidRPr="00400300">
        <w:rPr>
          <w:lang w:val="en-AU"/>
        </w:rPr>
        <w:t>Violence (including family, domestic and sexual violence) has lifelong impacts on both victims and perpetrators and is considered a major health and welfare issue in Australia.</w:t>
      </w:r>
      <w:r w:rsidRPr="00400300">
        <w:rPr>
          <w:lang w:val="en-AU"/>
        </w:rPr>
        <w:fldChar w:fldCharType="begin"/>
      </w:r>
      <w:r w:rsidR="007D2F13">
        <w:rPr>
          <w:lang w:val="en-AU"/>
        </w:rPr>
        <w:instrText xml:space="preserve"> ADDIN EN.CITE &lt;EndNote&gt;&lt;Cite&gt;&lt;Author&gt;AIHW&lt;/Author&gt;&lt;Year&gt;2019b&lt;/Year&gt;&lt;RecNum&gt;37&lt;/RecNum&gt;&lt;DisplayText&gt;&lt;style face="superscript"&gt;30&lt;/style&gt;&lt;/DisplayText&gt;&lt;record&gt;&lt;rec-number&gt;37&lt;/rec-number&gt;&lt;foreign-keys&gt;&lt;key app="EN" db-id="2wsw9x5wvsspa1evwxlvvergx9epfd50fs2a" timestamp="1574037263"&gt;37&lt;/key&gt;&lt;/foreign-keys&gt;&lt;ref-type name="Report"&gt;27&lt;/ref-type&gt;&lt;contributors&gt;&lt;authors&gt;&lt;author&gt;AIHW,&lt;/author&gt;&lt;/authors&gt;&lt;/contributors&gt;&lt;titles&gt;&lt;title&gt;Family, domestic and sexual violence in Australia: continuing the national story&lt;/title&gt;&lt;secondary-title&gt;FDV 3&lt;/secondary-title&gt;&lt;/titles&gt;&lt;dates&gt;&lt;year&gt;2019b&lt;/year&gt;&lt;/dates&gt;&lt;pub-location&gt;Canberra&lt;/pub-location&gt;&lt;publisher&gt;AIHW&lt;/publisher&gt;&lt;isbn&gt;Citing Australian Bureau of Statistics, Personal Safety Survey, 2016, TableBuilder. ABS cat. no. 4906.0. Findings based on use of ABS TableBuilder data. Canberra: ABS.&lt;/isbn&gt;&lt;urls&gt;&lt;related-urls&gt;&lt;url&gt;https://www.aihw.gov.au/getmedia/b0037b2d-a651-4abf-9f7b-00a85e3de528/aihw-fdv3-FDSV-in-Australia-2019.pdf.aspx?inline=true&lt;/url&gt;&lt;/related-urls&gt;&lt;/urls&gt;&lt;/record&gt;&lt;/Cite&gt;&lt;/EndNote&gt;</w:instrText>
      </w:r>
      <w:r w:rsidRPr="00400300">
        <w:rPr>
          <w:lang w:val="en-AU"/>
        </w:rPr>
        <w:fldChar w:fldCharType="separate"/>
      </w:r>
      <w:r w:rsidR="007D2F13" w:rsidRPr="007D2F13">
        <w:rPr>
          <w:noProof/>
          <w:vertAlign w:val="superscript"/>
          <w:lang w:val="en-AU"/>
        </w:rPr>
        <w:t>30</w:t>
      </w:r>
      <w:r w:rsidRPr="00400300">
        <w:rPr>
          <w:lang w:val="en-AU"/>
        </w:rPr>
        <w:fldChar w:fldCharType="end"/>
      </w:r>
      <w:r w:rsidRPr="00400300">
        <w:rPr>
          <w:lang w:val="en-AU"/>
        </w:rPr>
        <w:t xml:space="preserve"> </w:t>
      </w:r>
    </w:p>
    <w:p w14:paraId="69D8C7AD" w14:textId="6F0C595A" w:rsidR="00466F3F" w:rsidRPr="00400300" w:rsidRDefault="00466F3F" w:rsidP="007D5286">
      <w:pPr>
        <w:pStyle w:val="ListParagraph"/>
        <w:numPr>
          <w:ilvl w:val="0"/>
          <w:numId w:val="18"/>
        </w:numPr>
        <w:rPr>
          <w:lang w:val="en-AU"/>
        </w:rPr>
      </w:pPr>
      <w:r w:rsidRPr="00400300">
        <w:rPr>
          <w:lang w:val="en-AU"/>
        </w:rPr>
        <w:t>Violence can affect an individual’s health, wellbeing, education, relationships and housing.</w:t>
      </w:r>
      <w:r w:rsidRPr="00400300">
        <w:rPr>
          <w:lang w:val="en-AU"/>
        </w:rPr>
        <w:fldChar w:fldCharType="begin"/>
      </w:r>
      <w:r w:rsidR="007D2F13">
        <w:rPr>
          <w:lang w:val="en-AU"/>
        </w:rPr>
        <w:instrText xml:space="preserve"> ADDIN EN.CITE &lt;EndNote&gt;&lt;Cite&gt;&lt;Author&gt;AIHW&lt;/Author&gt;&lt;Year&gt;2019b&lt;/Year&gt;&lt;RecNum&gt;37&lt;/RecNum&gt;&lt;DisplayText&gt;&lt;style face="superscript"&gt;30&lt;/style&gt;&lt;/DisplayText&gt;&lt;record&gt;&lt;rec-number&gt;37&lt;/rec-number&gt;&lt;foreign-keys&gt;&lt;key app="EN" db-id="2wsw9x5wvsspa1evwxlvvergx9epfd50fs2a" timestamp="1574037263"&gt;37&lt;/key&gt;&lt;/foreign-keys&gt;&lt;ref-type name="Report"&gt;27&lt;/ref-type&gt;&lt;contributors&gt;&lt;authors&gt;&lt;author&gt;AIHW,&lt;/author&gt;&lt;/authors&gt;&lt;/contributors&gt;&lt;titles&gt;&lt;title&gt;Family, domestic and sexual violence in Australia: continuing the national story&lt;/title&gt;&lt;secondary-title&gt;FDV 3&lt;/secondary-title&gt;&lt;/titles&gt;&lt;dates&gt;&lt;year&gt;2019b&lt;/year&gt;&lt;/dates&gt;&lt;pub-location&gt;Canberra&lt;/pub-location&gt;&lt;publisher&gt;AIHW&lt;/publisher&gt;&lt;isbn&gt;Citing Australian Bureau of Statistics, Personal Safety Survey, 2016, TableBuilder. ABS cat. no. 4906.0. Findings based on use of ABS TableBuilder data. Canberra: ABS.&lt;/isbn&gt;&lt;urls&gt;&lt;related-urls&gt;&lt;url&gt;https://www.aihw.gov.au/getmedia/b0037b2d-a651-4abf-9f7b-00a85e3de528/aihw-fdv3-FDSV-in-Australia-2019.pdf.aspx?inline=true&lt;/url&gt;&lt;/related-urls&gt;&lt;/urls&gt;&lt;/record&gt;&lt;/Cite&gt;&lt;/EndNote&gt;</w:instrText>
      </w:r>
      <w:r w:rsidRPr="00400300">
        <w:rPr>
          <w:lang w:val="en-AU"/>
        </w:rPr>
        <w:fldChar w:fldCharType="separate"/>
      </w:r>
      <w:r w:rsidR="007D2F13" w:rsidRPr="007D2F13">
        <w:rPr>
          <w:noProof/>
          <w:vertAlign w:val="superscript"/>
          <w:lang w:val="en-AU"/>
        </w:rPr>
        <w:t>30</w:t>
      </w:r>
      <w:r w:rsidRPr="00400300">
        <w:rPr>
          <w:lang w:val="en-AU"/>
        </w:rPr>
        <w:fldChar w:fldCharType="end"/>
      </w:r>
      <w:r w:rsidRPr="00400300">
        <w:rPr>
          <w:lang w:val="en-AU"/>
        </w:rPr>
        <w:t xml:space="preserve"> </w:t>
      </w:r>
    </w:p>
    <w:p w14:paraId="3C711C7A" w14:textId="371F1DCA" w:rsidR="00466F3F" w:rsidRPr="00400300" w:rsidRDefault="00466F3F" w:rsidP="007D5286">
      <w:pPr>
        <w:pStyle w:val="ListParagraph"/>
        <w:numPr>
          <w:ilvl w:val="0"/>
          <w:numId w:val="18"/>
        </w:numPr>
        <w:rPr>
          <w:lang w:val="en-AU"/>
        </w:rPr>
      </w:pPr>
      <w:r w:rsidRPr="00400300">
        <w:rPr>
          <w:lang w:val="en-AU"/>
        </w:rPr>
        <w:t>It is the second leading cause of injury burden in children aged &lt;1 year and the third leading cause of injury burden in children aged 1-4 years.</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p>
    <w:p w14:paraId="5A5E4BFC" w14:textId="7E6CCB37" w:rsidR="00466F3F" w:rsidRPr="00400300" w:rsidRDefault="00466F3F" w:rsidP="007D5286">
      <w:pPr>
        <w:pStyle w:val="ListParagraph"/>
        <w:numPr>
          <w:ilvl w:val="0"/>
          <w:numId w:val="18"/>
        </w:numPr>
        <w:rPr>
          <w:lang w:val="en-AU"/>
        </w:rPr>
      </w:pPr>
      <w:r w:rsidRPr="00400300">
        <w:rPr>
          <w:lang w:val="en-AU"/>
        </w:rPr>
        <w:t>Sixth leading cause of injury burden in the 15-64 age group.</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p>
    <w:p w14:paraId="6E95F050" w14:textId="5EDA1D94" w:rsidR="00466F3F" w:rsidRPr="00400300" w:rsidRDefault="00466F3F" w:rsidP="007D5286">
      <w:pPr>
        <w:pStyle w:val="ListParagraph"/>
        <w:numPr>
          <w:ilvl w:val="0"/>
          <w:numId w:val="18"/>
        </w:numPr>
        <w:rPr>
          <w:lang w:val="en-AU"/>
        </w:rPr>
      </w:pPr>
      <w:r w:rsidRPr="00400300">
        <w:rPr>
          <w:lang w:val="en-AU"/>
        </w:rPr>
        <w:t>Current data indicates that 1 in 6 women (17%) and 1 in 16 men (6.1%) report having experienced physical or sexual violence from a current or previous partner they lived with (since the age of 15).</w:t>
      </w:r>
      <w:r w:rsidRPr="00400300">
        <w:rPr>
          <w:lang w:val="en-AU"/>
        </w:rPr>
        <w:fldChar w:fldCharType="begin"/>
      </w:r>
      <w:r w:rsidR="002C69BD">
        <w:rPr>
          <w:lang w:val="en-AU"/>
        </w:rPr>
        <w:instrText xml:space="preserve"> ADDIN EN.CITE &lt;EndNote&gt;&lt;Cite&gt;&lt;Author&gt;Australian Bureau of Statistics&lt;/Author&gt;&lt;Year&gt;2017&lt;/Year&gt;&lt;RecNum&gt;38&lt;/RecNum&gt;&lt;DisplayText&gt;&lt;style face="superscript"&gt;72&lt;/style&gt;&lt;/DisplayText&gt;&lt;record&gt;&lt;rec-number&gt;38&lt;/rec-number&gt;&lt;foreign-keys&gt;&lt;key app="EN" db-id="2wsw9x5wvsspa1evwxlvvergx9epfd50fs2a" timestamp="1574038067"&gt;38&lt;/key&gt;&lt;/foreign-keys&gt;&lt;ref-type name="Report"&gt;27&lt;/ref-type&gt;&lt;contributors&gt;&lt;authors&gt;&lt;author&gt;Australian Bureau of Statistics,&lt;/author&gt;&lt;/authors&gt;&lt;/contributors&gt;&lt;titles&gt;&lt;title&gt;4906.0 - Personal Safety, Australia, 2016  &lt;/title&gt;&lt;/titles&gt;&lt;dates&gt;&lt;year&gt;2017&lt;/year&gt;&lt;/dates&gt;&lt;pub-location&gt;Online&lt;/pub-location&gt;&lt;publisher&gt;ABS&lt;/publisher&gt;&lt;urls&gt;&lt;related-urls&gt;&lt;url&gt;https://www.abs.gov.au/ausstats/abs@.nsf/mf/4906.0&lt;/url&gt;&lt;/related-urls&gt;&lt;/urls&gt;&lt;/record&gt;&lt;/Cite&gt;&lt;/EndNote&gt;</w:instrText>
      </w:r>
      <w:r w:rsidRPr="00400300">
        <w:rPr>
          <w:lang w:val="en-AU"/>
        </w:rPr>
        <w:fldChar w:fldCharType="separate"/>
      </w:r>
      <w:r w:rsidR="002C69BD" w:rsidRPr="002C69BD">
        <w:rPr>
          <w:noProof/>
          <w:vertAlign w:val="superscript"/>
          <w:lang w:val="en-AU"/>
        </w:rPr>
        <w:t>72</w:t>
      </w:r>
      <w:r w:rsidRPr="00400300">
        <w:rPr>
          <w:lang w:val="en-AU"/>
        </w:rPr>
        <w:fldChar w:fldCharType="end"/>
      </w:r>
    </w:p>
    <w:p w14:paraId="0931313D" w14:textId="77777777" w:rsidR="00466F3F" w:rsidRPr="00400300" w:rsidRDefault="00466F3F" w:rsidP="00466F3F">
      <w:pPr>
        <w:rPr>
          <w:lang w:val="en-AU"/>
        </w:rPr>
      </w:pPr>
    </w:p>
    <w:p w14:paraId="3F3AB485" w14:textId="77777777" w:rsidR="00466F3F" w:rsidRPr="00400300" w:rsidRDefault="00466F3F" w:rsidP="00466F3F">
      <w:pPr>
        <w:pStyle w:val="Heading3"/>
        <w:rPr>
          <w:lang w:val="en-AU"/>
        </w:rPr>
      </w:pPr>
      <w:r w:rsidRPr="00400300">
        <w:rPr>
          <w:lang w:val="en-AU"/>
        </w:rPr>
        <w:t xml:space="preserve">Poisoning and overdose </w:t>
      </w:r>
    </w:p>
    <w:p w14:paraId="4A2C3778" w14:textId="77777777" w:rsidR="00466F3F" w:rsidRPr="00400300" w:rsidRDefault="00466F3F" w:rsidP="007D5286">
      <w:pPr>
        <w:pStyle w:val="ListParagraph"/>
        <w:numPr>
          <w:ilvl w:val="0"/>
          <w:numId w:val="19"/>
        </w:numPr>
        <w:rPr>
          <w:lang w:val="en-AU"/>
        </w:rPr>
      </w:pPr>
      <w:r w:rsidRPr="00400300">
        <w:rPr>
          <w:lang w:val="en-AU"/>
        </w:rPr>
        <w:t>Includes: adverse effects due to correct dosing of prescribed medications, under or over dosing of prescribed medication, and poisoning by overdose of licit and illicit substances)</w:t>
      </w:r>
    </w:p>
    <w:p w14:paraId="1D58D8AD" w14:textId="04A85CBD" w:rsidR="00466F3F" w:rsidRPr="00400300" w:rsidRDefault="00466F3F" w:rsidP="007D5286">
      <w:pPr>
        <w:pStyle w:val="ListParagraph"/>
        <w:numPr>
          <w:ilvl w:val="0"/>
          <w:numId w:val="19"/>
        </w:numPr>
        <w:rPr>
          <w:lang w:val="en-AU"/>
        </w:rPr>
      </w:pPr>
      <w:r w:rsidRPr="00400300">
        <w:rPr>
          <w:lang w:val="en-AU"/>
        </w:rPr>
        <w:t>Fourth leading cause of burden of all disease among males aged 25-44 years.</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p>
    <w:p w14:paraId="747D35C4" w14:textId="6DC11FAC" w:rsidR="00466F3F" w:rsidRPr="00400300" w:rsidRDefault="00466F3F" w:rsidP="007D5286">
      <w:pPr>
        <w:pStyle w:val="ListParagraph"/>
        <w:numPr>
          <w:ilvl w:val="0"/>
          <w:numId w:val="19"/>
        </w:numPr>
        <w:rPr>
          <w:lang w:val="en-AU"/>
        </w:rPr>
      </w:pPr>
      <w:r w:rsidRPr="00400300">
        <w:rPr>
          <w:lang w:val="en-AU"/>
        </w:rPr>
        <w:t>Second leading cause of injury burden in adults aged 24-64 years, and the fourth leading cause in those aged 15-24 years.</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p>
    <w:p w14:paraId="0284A701" w14:textId="77777777" w:rsidR="00466F3F" w:rsidRPr="00400300" w:rsidRDefault="00466F3F" w:rsidP="00466F3F">
      <w:pPr>
        <w:rPr>
          <w:lang w:val="en-AU"/>
        </w:rPr>
      </w:pPr>
    </w:p>
    <w:p w14:paraId="36077C26" w14:textId="77777777" w:rsidR="00466F3F" w:rsidRPr="00400300" w:rsidRDefault="00466F3F" w:rsidP="00466F3F">
      <w:pPr>
        <w:pStyle w:val="Heading3"/>
        <w:rPr>
          <w:lang w:val="en-AU"/>
        </w:rPr>
      </w:pPr>
      <w:r w:rsidRPr="00400300">
        <w:rPr>
          <w:lang w:val="en-AU"/>
        </w:rPr>
        <w:t xml:space="preserve">Road transport injuries </w:t>
      </w:r>
    </w:p>
    <w:p w14:paraId="58328CC8" w14:textId="6CBCF665" w:rsidR="00466F3F" w:rsidRPr="00E34607" w:rsidRDefault="00466F3F" w:rsidP="007D5286">
      <w:pPr>
        <w:pStyle w:val="ListParagraph"/>
        <w:numPr>
          <w:ilvl w:val="0"/>
          <w:numId w:val="20"/>
        </w:numPr>
        <w:rPr>
          <w:lang w:val="en-AU"/>
        </w:rPr>
      </w:pPr>
      <w:r w:rsidRPr="00E34607">
        <w:rPr>
          <w:lang w:val="en-AU"/>
        </w:rPr>
        <w:t>Third leading cause of total burden of disease for males in the 15-24 age group (5.7% of total burden) and the ninth leading cause for females in the 15-24 age group (3.3% of total burden).</w:t>
      </w:r>
      <w:r w:rsidRPr="00E34607">
        <w:rPr>
          <w:lang w:val="en-AU"/>
        </w:rPr>
        <w:fldChar w:fldCharType="begin"/>
      </w:r>
      <w:r w:rsidR="007D2F13" w:rsidRPr="00E34607">
        <w:rPr>
          <w:lang w:val="en-AU"/>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E34607">
        <w:rPr>
          <w:lang w:val="en-AU"/>
        </w:rPr>
        <w:fldChar w:fldCharType="separate"/>
      </w:r>
      <w:r w:rsidR="007D2F13" w:rsidRPr="00E34607">
        <w:rPr>
          <w:noProof/>
          <w:vertAlign w:val="superscript"/>
          <w:lang w:val="en-AU"/>
        </w:rPr>
        <w:t>11</w:t>
      </w:r>
      <w:r w:rsidRPr="00E34607">
        <w:rPr>
          <w:lang w:val="en-AU"/>
        </w:rPr>
        <w:fldChar w:fldCharType="end"/>
      </w:r>
      <w:r w:rsidRPr="00E34607">
        <w:rPr>
          <w:lang w:val="en-AU"/>
        </w:rPr>
        <w:t xml:space="preserve"> </w:t>
      </w:r>
    </w:p>
    <w:p w14:paraId="264FB05F" w14:textId="032B5B9D" w:rsidR="00466F3F" w:rsidRPr="00E34607" w:rsidRDefault="00466F3F" w:rsidP="007D5286">
      <w:pPr>
        <w:pStyle w:val="ListParagraph"/>
        <w:numPr>
          <w:ilvl w:val="0"/>
          <w:numId w:val="20"/>
        </w:numPr>
        <w:rPr>
          <w:lang w:val="en-AU"/>
        </w:rPr>
      </w:pPr>
      <w:r w:rsidRPr="00E34607">
        <w:rPr>
          <w:lang w:val="en-AU"/>
        </w:rPr>
        <w:t>Fourth leading cause of total injury burden (15%), the second leading cause in those aged 0-14 years and 15-24 years, and the third leading cause in those aged 25-64 years.</w:t>
      </w:r>
      <w:r w:rsidRPr="00E34607">
        <w:rPr>
          <w:lang w:val="en-AU"/>
        </w:rPr>
        <w:fldChar w:fldCharType="begin"/>
      </w:r>
      <w:r w:rsidR="007D2F13" w:rsidRPr="00E34607">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E34607">
        <w:rPr>
          <w:lang w:val="en-AU"/>
        </w:rPr>
        <w:fldChar w:fldCharType="separate"/>
      </w:r>
      <w:r w:rsidR="008462F1" w:rsidRPr="00E34607">
        <w:rPr>
          <w:noProof/>
          <w:vertAlign w:val="superscript"/>
          <w:lang w:val="en-AU"/>
        </w:rPr>
        <w:t>1</w:t>
      </w:r>
      <w:r w:rsidRPr="00E34607">
        <w:rPr>
          <w:lang w:val="en-AU"/>
        </w:rPr>
        <w:fldChar w:fldCharType="end"/>
      </w:r>
    </w:p>
    <w:p w14:paraId="5A2DEC93" w14:textId="46A3D2F4" w:rsidR="00466F3F" w:rsidRPr="00E34607" w:rsidRDefault="00466F3F" w:rsidP="007D5286">
      <w:pPr>
        <w:pStyle w:val="ListParagraph"/>
        <w:numPr>
          <w:ilvl w:val="0"/>
          <w:numId w:val="20"/>
        </w:numPr>
        <w:rPr>
          <w:lang w:val="en-AU"/>
        </w:rPr>
      </w:pPr>
      <w:r w:rsidRPr="00E34607">
        <w:rPr>
          <w:lang w:val="en-AU"/>
        </w:rPr>
        <w:t>Motor vehicle occupant injuries represent 17% of the Aboriginal and Torres Strait Islander burden of injury.</w:t>
      </w:r>
      <w:r w:rsidRPr="00E34607">
        <w:rPr>
          <w:lang w:val="en-AU"/>
        </w:rPr>
        <w:fldChar w:fldCharType="begin"/>
      </w:r>
      <w:r w:rsidR="007D2F13" w:rsidRPr="00E34607">
        <w:rPr>
          <w:lang w:val="en-AU"/>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E34607">
        <w:rPr>
          <w:lang w:val="en-AU"/>
        </w:rPr>
        <w:fldChar w:fldCharType="separate"/>
      </w:r>
      <w:r w:rsidR="007D2F13" w:rsidRPr="00E34607">
        <w:rPr>
          <w:noProof/>
          <w:vertAlign w:val="superscript"/>
          <w:lang w:val="en-AU"/>
        </w:rPr>
        <w:t>11</w:t>
      </w:r>
      <w:r w:rsidRPr="00E34607">
        <w:rPr>
          <w:lang w:val="en-AU"/>
        </w:rPr>
        <w:fldChar w:fldCharType="end"/>
      </w:r>
      <w:r w:rsidRPr="00E34607">
        <w:rPr>
          <w:lang w:val="en-AU"/>
        </w:rPr>
        <w:t xml:space="preserve"> </w:t>
      </w:r>
    </w:p>
    <w:p w14:paraId="2ED9A8DB" w14:textId="77777777" w:rsidR="00466F3F" w:rsidRPr="00E34607" w:rsidRDefault="00466F3F" w:rsidP="00466F3F">
      <w:pPr>
        <w:rPr>
          <w:lang w:val="en-AU"/>
        </w:rPr>
      </w:pPr>
    </w:p>
    <w:p w14:paraId="6F2FB126" w14:textId="77777777" w:rsidR="00466F3F" w:rsidRPr="00400300" w:rsidRDefault="00466F3F" w:rsidP="00466F3F">
      <w:pPr>
        <w:pStyle w:val="Heading3"/>
        <w:rPr>
          <w:lang w:val="en-AU"/>
        </w:rPr>
      </w:pPr>
      <w:r w:rsidRPr="00E34607">
        <w:rPr>
          <w:lang w:val="en-AU"/>
        </w:rPr>
        <w:t>Intentional self-harm (Suicide and self-inflicted injury)</w:t>
      </w:r>
    </w:p>
    <w:p w14:paraId="13ABE59C" w14:textId="2261F60C" w:rsidR="00466F3F" w:rsidRPr="00400300" w:rsidRDefault="00466F3F" w:rsidP="007D5286">
      <w:pPr>
        <w:pStyle w:val="ListParagraph"/>
        <w:numPr>
          <w:ilvl w:val="0"/>
          <w:numId w:val="21"/>
        </w:numPr>
        <w:rPr>
          <w:lang w:val="en-AU"/>
        </w:rPr>
      </w:pPr>
      <w:r w:rsidRPr="00400300">
        <w:rPr>
          <w:lang w:val="en-AU"/>
        </w:rPr>
        <w:t>Leading cause of injury burden, accounting for 33% of the total injury burden.</w:t>
      </w:r>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r w:rsidR="008462F1" w:rsidRPr="00400300">
        <w:rPr>
          <w:noProof/>
          <w:vertAlign w:val="superscript"/>
          <w:lang w:val="en-AU"/>
        </w:rPr>
        <w:t>1</w:t>
      </w:r>
      <w:r w:rsidRPr="00400300">
        <w:rPr>
          <w:lang w:val="en-AU"/>
        </w:rPr>
        <w:fldChar w:fldCharType="end"/>
      </w:r>
    </w:p>
    <w:p w14:paraId="44944D3D" w14:textId="44CE1156" w:rsidR="00466F3F" w:rsidRPr="00E34607" w:rsidRDefault="00466F3F" w:rsidP="007D5286">
      <w:pPr>
        <w:pStyle w:val="ListParagraph"/>
        <w:numPr>
          <w:ilvl w:val="0"/>
          <w:numId w:val="21"/>
        </w:numPr>
        <w:rPr>
          <w:lang w:val="en-AU"/>
        </w:rPr>
      </w:pPr>
      <w:r w:rsidRPr="00400300">
        <w:rPr>
          <w:lang w:val="en-AU"/>
        </w:rPr>
        <w:t xml:space="preserve">Leading cause of injury burden in adults aged 15-24 years and 25-64 years, and the second leading cause in older adults aged </w:t>
      </w:r>
      <w:r w:rsidRPr="00E34607">
        <w:rPr>
          <w:lang w:val="en-AU"/>
        </w:rPr>
        <w:t>65 years and older.</w:t>
      </w:r>
      <w:r w:rsidRPr="00E34607">
        <w:rPr>
          <w:lang w:val="en-AU"/>
        </w:rPr>
        <w:fldChar w:fldCharType="begin"/>
      </w:r>
      <w:r w:rsidR="007D2F13" w:rsidRPr="00E34607">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E34607">
        <w:rPr>
          <w:lang w:val="en-AU"/>
        </w:rPr>
        <w:fldChar w:fldCharType="separate"/>
      </w:r>
      <w:r w:rsidR="008462F1" w:rsidRPr="00E34607">
        <w:rPr>
          <w:noProof/>
          <w:vertAlign w:val="superscript"/>
          <w:lang w:val="en-AU"/>
        </w:rPr>
        <w:t>1</w:t>
      </w:r>
      <w:r w:rsidRPr="00E34607">
        <w:rPr>
          <w:lang w:val="en-AU"/>
        </w:rPr>
        <w:fldChar w:fldCharType="end"/>
      </w:r>
    </w:p>
    <w:p w14:paraId="08640683" w14:textId="5FCB0D33" w:rsidR="00466F3F" w:rsidRPr="00E34607" w:rsidRDefault="00466F3F" w:rsidP="007D5286">
      <w:pPr>
        <w:pStyle w:val="ListParagraph"/>
        <w:numPr>
          <w:ilvl w:val="0"/>
          <w:numId w:val="21"/>
        </w:numPr>
        <w:rPr>
          <w:lang w:val="en-AU"/>
        </w:rPr>
      </w:pPr>
      <w:r w:rsidRPr="00E34607">
        <w:rPr>
          <w:lang w:val="en-AU"/>
        </w:rPr>
        <w:t>Accounts for 30% of the total burden of injury for Aboriginal and Torres Strait Islander people.</w:t>
      </w:r>
      <w:r w:rsidRPr="00E34607">
        <w:rPr>
          <w:lang w:val="en-AU"/>
        </w:rPr>
        <w:fldChar w:fldCharType="begin"/>
      </w:r>
      <w:r w:rsidR="003E5832" w:rsidRPr="00E34607">
        <w:rPr>
          <w:lang w:val="en-AU"/>
        </w:rPr>
        <w:instrText xml:space="preserve"> ADDIN EN.CITE &lt;EndNote&gt;&lt;Cite&gt;&lt;Author&gt;AIHW&lt;/Author&gt;&lt;Year&gt;2016&lt;/Year&gt;&lt;RecNum&gt;8&lt;/RecNum&gt;&lt;DisplayText&gt;&lt;style face="superscript"&gt;12&lt;/style&gt;&lt;/DisplayText&gt;&lt;record&gt;&lt;rec-number&gt;8&lt;/rec-number&gt;&lt;foreign-keys&gt;&lt;key app="EN" db-id="2wsw9x5wvsspa1evwxlvvergx9epfd50fs2a" timestamp="1571987678"&gt;8&lt;/key&gt;&lt;/foreign-keys&gt;&lt;ref-type name="Report"&gt;27&lt;/ref-type&gt;&lt;contributors&gt;&lt;authors&gt;&lt;author&gt;AIHW,&lt;/author&gt;&lt;/authors&gt;&lt;secondary-authors&gt;&lt;author&gt;AIHW&lt;/author&gt;&lt;/secondary-authors&gt;&lt;/contributors&gt;&lt;titles&gt;&lt;title&gt;Australian Burden of Disease Study: impact and causes of illness and death in Aboriginal and Torres Strait Islander people 2011&lt;/title&gt;&lt;/titles&gt;&lt;section&gt;Cat. no: BOD 7&lt;/section&gt;&lt;dates&gt;&lt;year&gt;2016&lt;/year&gt;&lt;/dates&gt;&lt;pub-location&gt;Canberra&lt;/pub-location&gt;&lt;publisher&gt;AIHW&lt;/publisher&gt;&lt;urls&gt;&lt;related-urls&gt;&lt;url&gt;https://www.aihw.gov.au/getmedia/f494255e-5399-4fae-8e41-1916c99dd030/aihw-bod-7-BoD-ATSI_2011.pdf.aspx?inline=true&lt;/url&gt;&lt;/related-urls&gt;&lt;/urls&gt;&lt;access-date&gt;28 June 2019&lt;/access-date&gt;&lt;/record&gt;&lt;/Cite&gt;&lt;/EndNote&gt;</w:instrText>
      </w:r>
      <w:r w:rsidRPr="00E34607">
        <w:rPr>
          <w:lang w:val="en-AU"/>
        </w:rPr>
        <w:fldChar w:fldCharType="separate"/>
      </w:r>
      <w:r w:rsidR="007D2F13" w:rsidRPr="00E34607">
        <w:rPr>
          <w:noProof/>
          <w:vertAlign w:val="superscript"/>
          <w:lang w:val="en-AU"/>
        </w:rPr>
        <w:t>12</w:t>
      </w:r>
      <w:r w:rsidRPr="00E34607">
        <w:rPr>
          <w:lang w:val="en-AU"/>
        </w:rPr>
        <w:fldChar w:fldCharType="end"/>
      </w:r>
      <w:r w:rsidRPr="00E34607">
        <w:rPr>
          <w:lang w:val="en-AU"/>
        </w:rPr>
        <w:t xml:space="preserve"> </w:t>
      </w:r>
    </w:p>
    <w:p w14:paraId="005A91E8" w14:textId="39E5216F" w:rsidR="00466F3F" w:rsidRPr="00E34607" w:rsidRDefault="00466F3F" w:rsidP="007D5286">
      <w:pPr>
        <w:pStyle w:val="ListParagraph"/>
        <w:numPr>
          <w:ilvl w:val="0"/>
          <w:numId w:val="21"/>
        </w:numPr>
        <w:rPr>
          <w:lang w:val="en-AU"/>
        </w:rPr>
      </w:pPr>
      <w:r w:rsidRPr="00E34607">
        <w:rPr>
          <w:lang w:val="en-AU"/>
        </w:rPr>
        <w:t>Males aged 20-24 years have the highest burden of suicide.</w:t>
      </w:r>
      <w:r w:rsidRPr="00E34607">
        <w:rPr>
          <w:lang w:val="en-AU"/>
        </w:rPr>
        <w:fldChar w:fldCharType="begin"/>
      </w:r>
      <w:r w:rsidR="007D2F13" w:rsidRPr="00E34607">
        <w:rPr>
          <w:lang w:val="en-AU"/>
        </w:rPr>
        <w:instrText xml:space="preserve"> ADDIN EN.CITE &lt;EndNote&gt;&lt;Cite&gt;&lt;Author&gt;AIHW&lt;/Author&gt;&lt;Year&gt;2019&lt;/Year&gt;&lt;RecNum&gt;7&lt;/RecNum&gt;&lt;DisplayText&gt;&lt;style face="superscript"&gt;11&lt;/style&gt;&lt;/DisplayText&gt;&lt;record&gt;&lt;rec-number&gt;7&lt;/rec-number&gt;&lt;foreign-keys&gt;&lt;key app="EN" db-id="2wsw9x5wvsspa1evwxlvvergx9epfd50fs2a" timestamp="1571987677"&gt;7&lt;/key&gt;&lt;/foreign-keys&gt;&lt;ref-type name="Government Document"&gt;46&lt;/ref-type&gt;&lt;contributors&gt;&lt;authors&gt;&lt;author&gt;AIHW,&lt;/author&gt;&lt;/authors&gt;&lt;secondary-authors&gt;&lt;author&gt;AIHW&lt;/author&gt;&lt;/secondary-authors&gt;&lt;/contributors&gt;&lt;titles&gt;&lt;title&gt;Australian Burden of Disease Study: impact and causes of illness and death in Australia 2015&lt;/title&gt;&lt;/titles&gt;&lt;volume&gt;Australian Burden of Disease Study series&lt;/volume&gt;&lt;number&gt;no. 19&lt;/number&gt;&lt;section&gt;Cat. no. BOD 22. &lt;/section&gt;&lt;dates&gt;&lt;year&gt;2019&lt;/year&gt;&lt;/dates&gt;&lt;pub-location&gt;Canberra&lt;/pub-location&gt;&lt;publisher&gt;Australian Government &lt;/publisher&gt;&lt;urls&gt;&lt;/urls&gt;&lt;/record&gt;&lt;/Cite&gt;&lt;/EndNote&gt;</w:instrText>
      </w:r>
      <w:r w:rsidRPr="00E34607">
        <w:rPr>
          <w:lang w:val="en-AU"/>
        </w:rPr>
        <w:fldChar w:fldCharType="separate"/>
      </w:r>
      <w:r w:rsidR="007D2F13" w:rsidRPr="00E34607">
        <w:rPr>
          <w:noProof/>
          <w:vertAlign w:val="superscript"/>
          <w:lang w:val="en-AU"/>
        </w:rPr>
        <w:t>11</w:t>
      </w:r>
      <w:r w:rsidRPr="00E34607">
        <w:rPr>
          <w:lang w:val="en-AU"/>
        </w:rPr>
        <w:fldChar w:fldCharType="end"/>
      </w:r>
    </w:p>
    <w:p w14:paraId="2D9C1B3E" w14:textId="77777777" w:rsidR="00466F3F" w:rsidRPr="00400300" w:rsidRDefault="00466F3F" w:rsidP="00466F3F">
      <w:pPr>
        <w:rPr>
          <w:lang w:val="en-AU"/>
        </w:rPr>
      </w:pPr>
    </w:p>
    <w:p w14:paraId="58CDE893" w14:textId="77777777" w:rsidR="00466F3F" w:rsidRPr="00400300" w:rsidRDefault="00466F3F" w:rsidP="00466F3F">
      <w:pPr>
        <w:pStyle w:val="Heading3"/>
        <w:rPr>
          <w:lang w:val="en-AU"/>
        </w:rPr>
      </w:pPr>
      <w:r w:rsidRPr="00400300">
        <w:rPr>
          <w:lang w:val="en-AU"/>
        </w:rPr>
        <w:t xml:space="preserve">Work-place fatalities </w:t>
      </w:r>
    </w:p>
    <w:p w14:paraId="6E602977" w14:textId="77777777" w:rsidR="00466F3F" w:rsidRPr="00400300" w:rsidRDefault="00466F3F" w:rsidP="007D5286">
      <w:pPr>
        <w:pStyle w:val="ListParagraph"/>
        <w:numPr>
          <w:ilvl w:val="0"/>
          <w:numId w:val="22"/>
        </w:numPr>
        <w:rPr>
          <w:lang w:val="en-AU"/>
        </w:rPr>
      </w:pPr>
      <w:r w:rsidRPr="00400300">
        <w:rPr>
          <w:lang w:val="en-AU"/>
        </w:rPr>
        <w:t xml:space="preserve">Fatality is highest in number among those in the </w:t>
      </w:r>
      <w:proofErr w:type="gramStart"/>
      <w:r w:rsidRPr="00400300">
        <w:rPr>
          <w:lang w:val="en-AU"/>
        </w:rPr>
        <w:t>45-54 year</w:t>
      </w:r>
      <w:proofErr w:type="gramEnd"/>
      <w:r w:rsidRPr="00400300">
        <w:rPr>
          <w:lang w:val="en-AU"/>
        </w:rPr>
        <w:t xml:space="preserve"> age group. </w:t>
      </w:r>
    </w:p>
    <w:p w14:paraId="7A23A0CE" w14:textId="6D178286" w:rsidR="00466F3F" w:rsidRPr="00400300" w:rsidRDefault="00466F3F" w:rsidP="007D5286">
      <w:pPr>
        <w:pStyle w:val="ListParagraph"/>
        <w:numPr>
          <w:ilvl w:val="0"/>
          <w:numId w:val="22"/>
        </w:numPr>
        <w:rPr>
          <w:lang w:val="en-AU"/>
        </w:rPr>
      </w:pPr>
      <w:r w:rsidRPr="00400300">
        <w:rPr>
          <w:lang w:val="en-AU"/>
        </w:rPr>
        <w:t>Work-related injury and disease cost Australia $61.8 billion in 2012-2013.</w:t>
      </w:r>
      <w:r w:rsidRPr="00400300">
        <w:rPr>
          <w:lang w:val="en-AU"/>
        </w:rPr>
        <w:fldChar w:fldCharType="begin"/>
      </w:r>
      <w:r w:rsidR="002C69BD">
        <w:rPr>
          <w:lang w:val="en-AU"/>
        </w:rPr>
        <w:instrText xml:space="preserve"> ADDIN EN.CITE &lt;EndNote&gt;&lt;Cite&gt;&lt;Author&gt;Australia&lt;/Author&gt;&lt;RecNum&gt;27&lt;/RecNum&gt;&lt;DisplayText&gt;&lt;style face="superscript"&gt;73&lt;/style&gt;&lt;/DisplayText&gt;&lt;record&gt;&lt;rec-number&gt;27&lt;/rec-number&gt;&lt;foreign-keys&gt;&lt;key app="EN" db-id="2wsw9x5wvsspa1evwxlvvergx9epfd50fs2a" timestamp="1571988552"&gt;27&lt;/key&gt;&lt;/foreign-keys&gt;&lt;ref-type name="Web Page"&gt;12&lt;/ref-type&gt;&lt;contributors&gt;&lt;authors&gt;&lt;author&gt;Safe Work Australia,&lt;/author&gt;&lt;/authors&gt;&lt;/contributors&gt;&lt;titles&gt;&lt;title&gt;Cost of injury and illness by occupation.&lt;/title&gt;&lt;/titles&gt;&lt;number&gt;October 2019&lt;/number&gt;&lt;dates&gt;&lt;/dates&gt;&lt;urls&gt;&lt;related-urls&gt;&lt;url&gt;https://www.safeworkaustralia.gov.au/statistics-and-research/cost-injury-and-illness-occupation&lt;/url&gt;&lt;/related-urls&gt;&lt;/urls&gt;&lt;/record&gt;&lt;/Cite&gt;&lt;/EndNote&gt;</w:instrText>
      </w:r>
      <w:r w:rsidRPr="00400300">
        <w:rPr>
          <w:lang w:val="en-AU"/>
        </w:rPr>
        <w:fldChar w:fldCharType="separate"/>
      </w:r>
      <w:r w:rsidR="002C69BD" w:rsidRPr="002C69BD">
        <w:rPr>
          <w:noProof/>
          <w:vertAlign w:val="superscript"/>
          <w:lang w:val="en-AU"/>
        </w:rPr>
        <w:t>73</w:t>
      </w:r>
      <w:r w:rsidRPr="00400300">
        <w:rPr>
          <w:lang w:val="en-AU"/>
        </w:rPr>
        <w:fldChar w:fldCharType="end"/>
      </w:r>
      <w:r w:rsidRPr="00400300">
        <w:rPr>
          <w:lang w:val="en-AU"/>
        </w:rPr>
        <w:t xml:space="preserve"> </w:t>
      </w:r>
    </w:p>
    <w:p w14:paraId="43DCF24D" w14:textId="77777777" w:rsidR="00466F3F" w:rsidRPr="00400300" w:rsidRDefault="00466F3F" w:rsidP="007D5286">
      <w:pPr>
        <w:pStyle w:val="ListParagraph"/>
        <w:numPr>
          <w:ilvl w:val="0"/>
          <w:numId w:val="22"/>
        </w:numPr>
        <w:rPr>
          <w:lang w:val="en-AU"/>
        </w:rPr>
      </w:pPr>
      <w:r w:rsidRPr="00400300">
        <w:rPr>
          <w:lang w:val="en-AU"/>
        </w:rPr>
        <w:t xml:space="preserve">Hospitalisations due to work-related injury amounted to a total of 234,104 cases in the period 2006-2007 to 2013-2014. </w:t>
      </w:r>
    </w:p>
    <w:p w14:paraId="0E484A5E" w14:textId="77777777" w:rsidR="00466F3F" w:rsidRPr="00400300" w:rsidRDefault="00466F3F" w:rsidP="007D5286">
      <w:pPr>
        <w:pStyle w:val="ListParagraph"/>
        <w:numPr>
          <w:ilvl w:val="0"/>
          <w:numId w:val="22"/>
        </w:numPr>
        <w:rPr>
          <w:iCs/>
          <w:lang w:val="en-AU"/>
        </w:rPr>
      </w:pPr>
      <w:proofErr w:type="gramStart"/>
      <w:r w:rsidRPr="00400300">
        <w:rPr>
          <w:lang w:val="en-AU"/>
        </w:rPr>
        <w:t>The majority of</w:t>
      </w:r>
      <w:proofErr w:type="gramEnd"/>
      <w:r w:rsidRPr="00400300">
        <w:rPr>
          <w:lang w:val="en-AU"/>
        </w:rPr>
        <w:t xml:space="preserve"> work-related injury occurs in males (85%).</w:t>
      </w:r>
      <w:r w:rsidRPr="00400300">
        <w:rPr>
          <w:iCs/>
          <w:lang w:val="en-AU"/>
        </w:rPr>
        <w:t xml:space="preserve"> </w:t>
      </w:r>
    </w:p>
    <w:p w14:paraId="0659BC30" w14:textId="48DF8890" w:rsidR="00466F3F" w:rsidRPr="00400300" w:rsidRDefault="00466F3F" w:rsidP="007D5286">
      <w:pPr>
        <w:pStyle w:val="ListParagraph"/>
        <w:numPr>
          <w:ilvl w:val="0"/>
          <w:numId w:val="22"/>
        </w:numPr>
        <w:rPr>
          <w:iCs/>
          <w:lang w:val="en-AU"/>
        </w:rPr>
      </w:pPr>
      <w:r w:rsidRPr="00400300">
        <w:rPr>
          <w:iCs/>
          <w:lang w:val="en-AU"/>
        </w:rPr>
        <w:t xml:space="preserve">The </w:t>
      </w:r>
      <w:r w:rsidRPr="00400300">
        <w:rPr>
          <w:lang w:val="en-AU"/>
        </w:rPr>
        <w:t>agriculture sector has the highest</w:t>
      </w:r>
      <w:r w:rsidRPr="00400300">
        <w:rPr>
          <w:iCs/>
          <w:lang w:val="en-AU"/>
        </w:rPr>
        <w:t xml:space="preserve"> fatality rate of any Australian industry.</w:t>
      </w:r>
      <w:r w:rsidRPr="00400300">
        <w:rPr>
          <w:iCs/>
          <w:lang w:val="en-AU"/>
        </w:rPr>
        <w:fldChar w:fldCharType="begin"/>
      </w:r>
      <w:r w:rsidR="002C69BD">
        <w:rPr>
          <w:iCs/>
          <w:lang w:val="en-AU"/>
        </w:rPr>
        <w:instrText xml:space="preserve"> ADDIN EN.CITE &lt;EndNote&gt;&lt;Cite&gt;&lt;Author&gt;Safe Work Australia&lt;/Author&gt;&lt;Year&gt;2019&lt;/Year&gt;&lt;RecNum&gt;36&lt;/RecNum&gt;&lt;DisplayText&gt;&lt;style face="superscript"&gt;74&lt;/style&gt;&lt;/DisplayText&gt;&lt;record&gt;&lt;rec-number&gt;36&lt;/rec-number&gt;&lt;foreign-keys&gt;&lt;key app="EN" db-id="2wsw9x5wvsspa1evwxlvvergx9epfd50fs2a" timestamp="1574029856"&gt;36&lt;/key&gt;&lt;/foreign-keys&gt;&lt;ref-type name="Web Page"&gt;12&lt;/ref-type&gt;&lt;contributors&gt;&lt;authors&gt;&lt;author&gt;Safe Work Australia,&lt;/author&gt;&lt;/authors&gt;&lt;/contributors&gt;&lt;titles&gt;&lt;title&gt;Agriculture&lt;/title&gt;&lt;/titles&gt;&lt;volume&gt;2019&lt;/volume&gt;&lt;number&gt;18 Nov&lt;/number&gt;&lt;dates&gt;&lt;year&gt;2019&lt;/year&gt;&lt;/dates&gt;&lt;urls&gt;&lt;related-urls&gt;&lt;url&gt;https://www.safeworkaustralia.gov.au/agriculture&lt;/url&gt;&lt;/related-urls&gt;&lt;/urls&gt;&lt;/record&gt;&lt;/Cite&gt;&lt;/EndNote&gt;</w:instrText>
      </w:r>
      <w:r w:rsidRPr="00400300">
        <w:rPr>
          <w:iCs/>
          <w:lang w:val="en-AU"/>
        </w:rPr>
        <w:fldChar w:fldCharType="separate"/>
      </w:r>
      <w:r w:rsidR="002C69BD" w:rsidRPr="002C69BD">
        <w:rPr>
          <w:iCs/>
          <w:noProof/>
          <w:vertAlign w:val="superscript"/>
          <w:lang w:val="en-AU"/>
        </w:rPr>
        <w:t>74</w:t>
      </w:r>
      <w:r w:rsidRPr="00400300">
        <w:rPr>
          <w:iCs/>
          <w:lang w:val="en-AU"/>
        </w:rPr>
        <w:fldChar w:fldCharType="end"/>
      </w:r>
    </w:p>
    <w:p w14:paraId="3B952E37" w14:textId="77777777" w:rsidR="00466F3F" w:rsidRPr="00400300" w:rsidRDefault="00466F3F" w:rsidP="00466F3F">
      <w:pPr>
        <w:rPr>
          <w:lang w:val="en-AU"/>
        </w:rPr>
      </w:pPr>
    </w:p>
    <w:p w14:paraId="651AD755" w14:textId="77777777" w:rsidR="00466F3F" w:rsidRPr="00400300" w:rsidRDefault="00466F3F" w:rsidP="00466F3F">
      <w:pPr>
        <w:pStyle w:val="Heading3"/>
        <w:rPr>
          <w:lang w:val="en-AU"/>
        </w:rPr>
      </w:pPr>
      <w:r w:rsidRPr="00400300">
        <w:rPr>
          <w:lang w:val="en-AU"/>
        </w:rPr>
        <w:t xml:space="preserve">Sport injury </w:t>
      </w:r>
    </w:p>
    <w:p w14:paraId="51C3D289" w14:textId="30BA528C" w:rsidR="00466F3F" w:rsidRPr="00400300" w:rsidRDefault="00466F3F" w:rsidP="007D5286">
      <w:pPr>
        <w:pStyle w:val="ListParagraph"/>
        <w:numPr>
          <w:ilvl w:val="0"/>
          <w:numId w:val="23"/>
        </w:numPr>
        <w:rPr>
          <w:lang w:val="en-AU"/>
        </w:rPr>
      </w:pPr>
      <w:r w:rsidRPr="00400300">
        <w:rPr>
          <w:lang w:val="en-AU"/>
        </w:rPr>
        <w:t>In 2012-2013 sports injury resulted in more than 14,000 days in hospital for head injury and 9,500 days for knee injury.</w:t>
      </w:r>
      <w:r w:rsidRPr="00400300">
        <w:rPr>
          <w:lang w:val="en-AU"/>
        </w:rPr>
        <w:fldChar w:fldCharType="begin"/>
      </w:r>
      <w:r w:rsidR="002C69BD">
        <w:rPr>
          <w:lang w:val="en-AU"/>
        </w:rPr>
        <w:instrText xml:space="preserve"> ADDIN EN.CITE &lt;EndNote&gt;&lt;Cite&gt;&lt;Author&gt;AIHW&lt;/Author&gt;&lt;Year&gt;2017&lt;/Year&gt;&lt;RecNum&gt;35&lt;/RecNum&gt;&lt;DisplayText&gt;&lt;style face="superscript"&gt;75&lt;/style&gt;&lt;/DisplayText&gt;&lt;record&gt;&lt;rec-number&gt;35&lt;/rec-number&gt;&lt;foreign-keys&gt;&lt;key app="EN" db-id="2wsw9x5wvsspa1evwxlvvergx9epfd50fs2a" timestamp="1574028759"&gt;35&lt;/key&gt;&lt;/foreign-keys&gt;&lt;ref-type name="Web Page"&gt;12&lt;/ref-type&gt;&lt;contributors&gt;&lt;authors&gt;&lt;author&gt;AIHW,&lt;/author&gt;&lt;/authors&gt;&lt;/contributors&gt;&lt;titles&gt;&lt;title&gt;Hospital care for Australian sports injury 2012–13&lt;/title&gt;&lt;/titles&gt;&lt;volume&gt;2019&lt;/volume&gt;&lt;number&gt;18 Nov&lt;/number&gt;&lt;dates&gt;&lt;year&gt;2017&lt;/year&gt;&lt;/dates&gt;&lt;publisher&gt;AIHW&lt;/publisher&gt;&lt;urls&gt;&lt;related-urls&gt;&lt;url&gt;https://www.aihw.gov.au/reports/injury/hospital-care-for-australian-sports-injury-2012-13/contents/table-of-contents&lt;/url&gt;&lt;/related-urls&gt;&lt;/urls&gt;&lt;/record&gt;&lt;/Cite&gt;&lt;/EndNote&gt;</w:instrText>
      </w:r>
      <w:r w:rsidRPr="00400300">
        <w:rPr>
          <w:lang w:val="en-AU"/>
        </w:rPr>
        <w:fldChar w:fldCharType="separate"/>
      </w:r>
      <w:r w:rsidR="002C69BD" w:rsidRPr="002C69BD">
        <w:rPr>
          <w:noProof/>
          <w:vertAlign w:val="superscript"/>
          <w:lang w:val="en-AU"/>
        </w:rPr>
        <w:t>75</w:t>
      </w:r>
      <w:r w:rsidRPr="00400300">
        <w:rPr>
          <w:lang w:val="en-AU"/>
        </w:rPr>
        <w:fldChar w:fldCharType="end"/>
      </w:r>
    </w:p>
    <w:p w14:paraId="6070B8DF" w14:textId="77777777" w:rsidR="00466F3F" w:rsidRPr="00400300" w:rsidRDefault="00466F3F" w:rsidP="00466F3F">
      <w:pPr>
        <w:pStyle w:val="ListParagraph"/>
        <w:rPr>
          <w:lang w:val="en-AU"/>
        </w:rPr>
        <w:sectPr w:rsidR="00466F3F" w:rsidRPr="00400300" w:rsidSect="00117B83">
          <w:headerReference w:type="default" r:id="rId71"/>
          <w:pgSz w:w="11906" w:h="16838"/>
          <w:pgMar w:top="1440" w:right="1440" w:bottom="1440" w:left="1440" w:header="708" w:footer="708" w:gutter="0"/>
          <w:cols w:space="708"/>
          <w:docGrid w:linePitch="360"/>
        </w:sectPr>
      </w:pPr>
    </w:p>
    <w:p w14:paraId="5F711A74" w14:textId="0AE3DE23" w:rsidR="00466F3F" w:rsidRDefault="00466F3F" w:rsidP="00466F3F">
      <w:pPr>
        <w:pStyle w:val="Style1notnumbered"/>
        <w:rPr>
          <w:lang w:val="en-AU"/>
        </w:rPr>
      </w:pPr>
      <w:bookmarkStart w:id="294" w:name="_Toc29473028"/>
      <w:bookmarkStart w:id="295" w:name="_Toc30077760"/>
      <w:bookmarkStart w:id="296" w:name="_Toc31128333"/>
      <w:bookmarkStart w:id="297" w:name="_Toc32584908"/>
      <w:bookmarkStart w:id="298" w:name="_Toc33107381"/>
      <w:bookmarkStart w:id="299" w:name="_Toc38021113"/>
      <w:r w:rsidRPr="00400300">
        <w:rPr>
          <w:lang w:val="en-AU"/>
        </w:rPr>
        <w:t>Appendix B - Policy and Strategy Context</w:t>
      </w:r>
      <w:bookmarkEnd w:id="294"/>
      <w:bookmarkEnd w:id="295"/>
      <w:bookmarkEnd w:id="296"/>
      <w:bookmarkEnd w:id="297"/>
      <w:bookmarkEnd w:id="298"/>
      <w:bookmarkEnd w:id="299"/>
    </w:p>
    <w:p w14:paraId="25921329" w14:textId="77777777" w:rsidR="00727C42" w:rsidRPr="00400300" w:rsidRDefault="00727C42" w:rsidP="00916239">
      <w:pPr>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267"/>
        <w:gridCol w:w="1417"/>
        <w:gridCol w:w="712"/>
        <w:gridCol w:w="1836"/>
        <w:gridCol w:w="1417"/>
        <w:gridCol w:w="1367"/>
      </w:tblGrid>
      <w:tr w:rsidR="00B6536D" w:rsidRPr="00B22620" w14:paraId="154C4D64" w14:textId="77777777" w:rsidTr="004F5A5B">
        <w:trPr>
          <w:trHeight w:val="20"/>
          <w:tblHeader/>
        </w:trPr>
        <w:tc>
          <w:tcPr>
            <w:tcW w:w="1257" w:type="pct"/>
            <w:shd w:val="clear" w:color="000000" w:fill="A6A6A6"/>
            <w:hideMark/>
          </w:tcPr>
          <w:p w14:paraId="2166B0E6" w14:textId="77777777" w:rsidR="00B6536D" w:rsidRPr="00B332DF" w:rsidRDefault="00B6536D" w:rsidP="004F5A5B">
            <w:pPr>
              <w:spacing w:before="0"/>
              <w:rPr>
                <w:rFonts w:eastAsia="Times New Roman" w:cstheme="minorHAnsi"/>
                <w:b/>
                <w:bCs/>
                <w:color w:val="000000"/>
                <w:sz w:val="18"/>
                <w:szCs w:val="20"/>
                <w:lang w:val="en-AU"/>
              </w:rPr>
            </w:pPr>
            <w:r w:rsidRPr="00B332DF">
              <w:rPr>
                <w:rFonts w:eastAsia="Times New Roman" w:cstheme="minorHAnsi"/>
                <w:b/>
                <w:bCs/>
                <w:color w:val="000000"/>
                <w:sz w:val="18"/>
                <w:szCs w:val="20"/>
                <w:lang w:val="en-AU"/>
              </w:rPr>
              <w:t>Strategy</w:t>
            </w:r>
          </w:p>
        </w:tc>
        <w:tc>
          <w:tcPr>
            <w:tcW w:w="786" w:type="pct"/>
            <w:shd w:val="clear" w:color="000000" w:fill="A6A6A6"/>
          </w:tcPr>
          <w:p w14:paraId="7B9D19D4" w14:textId="77777777" w:rsidR="00B6536D" w:rsidRPr="00B332DF" w:rsidRDefault="00B6536D" w:rsidP="004F5A5B">
            <w:pPr>
              <w:spacing w:before="0"/>
              <w:rPr>
                <w:rFonts w:eastAsia="Times New Roman" w:cstheme="minorHAnsi"/>
                <w:b/>
                <w:bCs/>
                <w:color w:val="000000"/>
                <w:sz w:val="18"/>
                <w:szCs w:val="20"/>
                <w:lang w:val="en-AU"/>
              </w:rPr>
            </w:pPr>
            <w:r w:rsidRPr="00B332DF">
              <w:rPr>
                <w:rFonts w:eastAsia="Times New Roman" w:cstheme="minorHAnsi"/>
                <w:b/>
                <w:bCs/>
                <w:color w:val="000000"/>
                <w:sz w:val="18"/>
                <w:szCs w:val="20"/>
                <w:lang w:val="en-AU"/>
              </w:rPr>
              <w:t>Developed by</w:t>
            </w:r>
          </w:p>
        </w:tc>
        <w:tc>
          <w:tcPr>
            <w:tcW w:w="395" w:type="pct"/>
            <w:shd w:val="clear" w:color="000000" w:fill="A6A6A6"/>
          </w:tcPr>
          <w:p w14:paraId="54F4D5A5" w14:textId="77777777" w:rsidR="00B6536D" w:rsidRPr="00B332DF" w:rsidRDefault="00B6536D" w:rsidP="004F5A5B">
            <w:pPr>
              <w:spacing w:before="0"/>
              <w:rPr>
                <w:rFonts w:eastAsia="Times New Roman" w:cstheme="minorHAnsi"/>
                <w:b/>
                <w:bCs/>
                <w:color w:val="000000"/>
                <w:sz w:val="18"/>
                <w:szCs w:val="20"/>
                <w:lang w:val="en-AU"/>
              </w:rPr>
            </w:pPr>
            <w:r w:rsidRPr="00B332DF">
              <w:rPr>
                <w:rFonts w:eastAsia="Times New Roman" w:cstheme="minorHAnsi"/>
                <w:b/>
                <w:bCs/>
                <w:color w:val="000000"/>
                <w:sz w:val="18"/>
                <w:szCs w:val="20"/>
                <w:lang w:val="en-AU"/>
              </w:rPr>
              <w:t>Date range</w:t>
            </w:r>
          </w:p>
        </w:tc>
        <w:tc>
          <w:tcPr>
            <w:tcW w:w="1018" w:type="pct"/>
            <w:shd w:val="clear" w:color="000000" w:fill="A6A6A6"/>
            <w:hideMark/>
          </w:tcPr>
          <w:p w14:paraId="4FB5100E" w14:textId="77777777" w:rsidR="00B6536D" w:rsidRPr="00B332DF" w:rsidRDefault="00B6536D" w:rsidP="004F5A5B">
            <w:pPr>
              <w:spacing w:before="0"/>
              <w:rPr>
                <w:rFonts w:eastAsia="Times New Roman" w:cstheme="minorHAnsi"/>
                <w:b/>
                <w:bCs/>
                <w:color w:val="000000"/>
                <w:sz w:val="18"/>
                <w:szCs w:val="20"/>
                <w:lang w:val="en-AU"/>
              </w:rPr>
            </w:pPr>
            <w:r w:rsidRPr="00B332DF">
              <w:rPr>
                <w:rFonts w:eastAsia="Times New Roman" w:cstheme="minorHAnsi"/>
                <w:b/>
                <w:bCs/>
                <w:color w:val="000000"/>
                <w:sz w:val="18"/>
                <w:szCs w:val="20"/>
                <w:lang w:val="en-AU"/>
              </w:rPr>
              <w:t>Specific populations</w:t>
            </w:r>
          </w:p>
        </w:tc>
        <w:tc>
          <w:tcPr>
            <w:tcW w:w="786" w:type="pct"/>
            <w:shd w:val="clear" w:color="000000" w:fill="A6A6A6"/>
          </w:tcPr>
          <w:p w14:paraId="7035BF40" w14:textId="77777777" w:rsidR="00B6536D" w:rsidRPr="00B332DF" w:rsidRDefault="00B6536D" w:rsidP="004F5A5B">
            <w:pPr>
              <w:spacing w:before="0"/>
              <w:rPr>
                <w:rFonts w:eastAsia="Times New Roman" w:cstheme="minorHAnsi"/>
                <w:b/>
                <w:bCs/>
                <w:color w:val="000000"/>
                <w:sz w:val="18"/>
                <w:szCs w:val="20"/>
                <w:lang w:val="en-AU"/>
              </w:rPr>
            </w:pPr>
            <w:r w:rsidRPr="00B332DF">
              <w:rPr>
                <w:rFonts w:eastAsia="Times New Roman" w:cstheme="minorHAnsi"/>
                <w:b/>
                <w:bCs/>
                <w:color w:val="000000"/>
                <w:sz w:val="18"/>
                <w:szCs w:val="20"/>
                <w:lang w:val="en-AU"/>
              </w:rPr>
              <w:t>Injury focus</w:t>
            </w:r>
          </w:p>
        </w:tc>
        <w:tc>
          <w:tcPr>
            <w:tcW w:w="758" w:type="pct"/>
            <w:shd w:val="clear" w:color="000000" w:fill="A6A6A6"/>
          </w:tcPr>
          <w:p w14:paraId="58F6F61B" w14:textId="77777777" w:rsidR="00B6536D" w:rsidRPr="00B22620" w:rsidRDefault="00B6536D" w:rsidP="004F5A5B">
            <w:pPr>
              <w:spacing w:before="0"/>
              <w:rPr>
                <w:rFonts w:eastAsia="Times New Roman" w:cstheme="minorHAnsi"/>
                <w:b/>
                <w:bCs/>
                <w:color w:val="FF0000"/>
                <w:sz w:val="18"/>
                <w:szCs w:val="20"/>
                <w:lang w:val="en-AU"/>
              </w:rPr>
            </w:pPr>
            <w:r w:rsidRPr="00B22620">
              <w:rPr>
                <w:rFonts w:eastAsia="Times New Roman" w:cstheme="minorHAnsi"/>
                <w:b/>
                <w:bCs/>
                <w:color w:val="000000" w:themeColor="text1"/>
                <w:sz w:val="18"/>
                <w:szCs w:val="20"/>
                <w:lang w:val="en-AU"/>
              </w:rPr>
              <w:t>Related objective</w:t>
            </w:r>
          </w:p>
        </w:tc>
      </w:tr>
      <w:bookmarkStart w:id="300" w:name="_Hlk29378778"/>
      <w:tr w:rsidR="00B6536D" w:rsidRPr="00B22620" w14:paraId="29FAF16A" w14:textId="77777777" w:rsidTr="004F5A5B">
        <w:trPr>
          <w:trHeight w:val="20"/>
        </w:trPr>
        <w:tc>
          <w:tcPr>
            <w:tcW w:w="1257" w:type="pct"/>
            <w:shd w:val="clear" w:color="auto" w:fill="auto"/>
            <w:hideMark/>
          </w:tcPr>
          <w:p w14:paraId="2B41B82A" w14:textId="77777777" w:rsidR="00B6536D" w:rsidRPr="00B332DF" w:rsidRDefault="00B6536D" w:rsidP="004F5A5B">
            <w:pPr>
              <w:spacing w:before="0"/>
              <w:rPr>
                <w:rFonts w:eastAsia="Times New Roman" w:cstheme="minorHAnsi"/>
                <w:color w:val="000000"/>
                <w:sz w:val="18"/>
                <w:szCs w:val="20"/>
                <w:lang w:val="en-AU"/>
              </w:rPr>
            </w:pPr>
            <w:r w:rsidRPr="00B332DF">
              <w:rPr>
                <w:rFonts w:cstheme="minorHAnsi"/>
                <w:sz w:val="18"/>
                <w:szCs w:val="20"/>
                <w:lang w:val="en-AU"/>
              </w:rPr>
              <w:fldChar w:fldCharType="begin"/>
            </w:r>
            <w:r w:rsidRPr="00B332DF">
              <w:rPr>
                <w:rFonts w:cstheme="minorHAnsi"/>
                <w:sz w:val="18"/>
                <w:szCs w:val="20"/>
                <w:lang w:val="en-AU"/>
              </w:rPr>
              <w:instrText xml:space="preserve"> HYPERLINK "https://www.roadsafety.gov.au/sites/default/files/2019-11/nrss_inquiry_final_report_september_2018_v2.pdf" </w:instrText>
            </w:r>
            <w:r w:rsidRPr="00B332DF">
              <w:rPr>
                <w:rFonts w:cstheme="minorHAnsi"/>
                <w:sz w:val="18"/>
                <w:szCs w:val="20"/>
                <w:lang w:val="en-AU"/>
              </w:rPr>
              <w:fldChar w:fldCharType="separate"/>
            </w:r>
            <w:r w:rsidRPr="00B332DF">
              <w:rPr>
                <w:rStyle w:val="Hyperlink"/>
                <w:rFonts w:cstheme="minorHAnsi"/>
                <w:sz w:val="18"/>
                <w:szCs w:val="20"/>
                <w:lang w:val="en-AU"/>
              </w:rPr>
              <w:t>2018 Inquiry into the National Road Safety Strategy</w:t>
            </w:r>
            <w:r w:rsidRPr="00B332DF">
              <w:rPr>
                <w:rFonts w:cstheme="minorHAnsi"/>
                <w:sz w:val="18"/>
                <w:szCs w:val="20"/>
                <w:lang w:val="en-AU"/>
              </w:rPr>
              <w:fldChar w:fldCharType="end"/>
            </w:r>
            <w:bookmarkEnd w:id="300"/>
          </w:p>
        </w:tc>
        <w:tc>
          <w:tcPr>
            <w:tcW w:w="786" w:type="pct"/>
          </w:tcPr>
          <w:p w14:paraId="1342FE0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Independent</w:t>
            </w:r>
          </w:p>
        </w:tc>
        <w:tc>
          <w:tcPr>
            <w:tcW w:w="395" w:type="pct"/>
          </w:tcPr>
          <w:p w14:paraId="0C16F83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w:t>
            </w:r>
          </w:p>
        </w:tc>
        <w:tc>
          <w:tcPr>
            <w:tcW w:w="1018" w:type="pct"/>
            <w:shd w:val="clear" w:color="auto" w:fill="auto"/>
            <w:hideMark/>
          </w:tcPr>
          <w:p w14:paraId="683CB13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Aboriginal and Torres Strait Islander people, </w:t>
            </w:r>
          </w:p>
          <w:p w14:paraId="7B66778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Older drivers </w:t>
            </w:r>
          </w:p>
        </w:tc>
        <w:tc>
          <w:tcPr>
            <w:tcW w:w="786" w:type="pct"/>
          </w:tcPr>
          <w:p w14:paraId="2504178A"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Road/ transport</w:t>
            </w:r>
          </w:p>
        </w:tc>
        <w:tc>
          <w:tcPr>
            <w:tcW w:w="758" w:type="pct"/>
          </w:tcPr>
          <w:p w14:paraId="2907C41A" w14:textId="77777777" w:rsidR="00B6536D" w:rsidRPr="00C31A05"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6, 7, 9, 27</w:t>
            </w:r>
          </w:p>
        </w:tc>
      </w:tr>
      <w:tr w:rsidR="00B6536D" w:rsidRPr="00B22620" w14:paraId="1C71EC64" w14:textId="77777777" w:rsidTr="004F5A5B">
        <w:trPr>
          <w:trHeight w:val="20"/>
        </w:trPr>
        <w:tc>
          <w:tcPr>
            <w:tcW w:w="1257" w:type="pct"/>
            <w:shd w:val="clear" w:color="auto" w:fill="auto"/>
          </w:tcPr>
          <w:p w14:paraId="1B0C2C6D" w14:textId="77777777" w:rsidR="00B6536D" w:rsidRPr="00B332DF" w:rsidRDefault="00CC28D5" w:rsidP="004F5A5B">
            <w:pPr>
              <w:spacing w:before="0"/>
              <w:rPr>
                <w:sz w:val="18"/>
                <w:szCs w:val="20"/>
                <w:lang w:val="en-AU"/>
              </w:rPr>
            </w:pPr>
            <w:hyperlink r:id="rId72" w:history="1">
              <w:r w:rsidR="00B6536D" w:rsidRPr="00B332DF">
                <w:rPr>
                  <w:rStyle w:val="Hyperlink"/>
                  <w:sz w:val="18"/>
                  <w:szCs w:val="20"/>
                  <w:lang w:val="en-AU"/>
                </w:rPr>
                <w:t>Assessment Framework</w:t>
              </w:r>
            </w:hyperlink>
          </w:p>
        </w:tc>
        <w:tc>
          <w:tcPr>
            <w:tcW w:w="786" w:type="pct"/>
          </w:tcPr>
          <w:p w14:paraId="3D111EED" w14:textId="77777777" w:rsidR="00B6536D" w:rsidRPr="00B332DF" w:rsidRDefault="00B6536D" w:rsidP="004F5A5B">
            <w:pPr>
              <w:spacing w:before="0"/>
              <w:rPr>
                <w:sz w:val="18"/>
                <w:szCs w:val="20"/>
                <w:lang w:val="en-AU"/>
              </w:rPr>
            </w:pPr>
            <w:r w:rsidRPr="00B332DF">
              <w:rPr>
                <w:sz w:val="18"/>
                <w:szCs w:val="20"/>
                <w:lang w:val="en-AU"/>
              </w:rPr>
              <w:t>Infrastructure Australia</w:t>
            </w:r>
          </w:p>
        </w:tc>
        <w:tc>
          <w:tcPr>
            <w:tcW w:w="395" w:type="pct"/>
          </w:tcPr>
          <w:p w14:paraId="54DC2EF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2018</w:t>
            </w:r>
          </w:p>
        </w:tc>
        <w:tc>
          <w:tcPr>
            <w:tcW w:w="1018" w:type="pct"/>
            <w:shd w:val="clear" w:color="auto" w:fill="auto"/>
          </w:tcPr>
          <w:p w14:paraId="1E024413"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w:t>
            </w:r>
          </w:p>
        </w:tc>
        <w:tc>
          <w:tcPr>
            <w:tcW w:w="786" w:type="pct"/>
          </w:tcPr>
          <w:p w14:paraId="57FA42ED"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Injury implications for the built environment</w:t>
            </w:r>
          </w:p>
        </w:tc>
        <w:tc>
          <w:tcPr>
            <w:tcW w:w="758" w:type="pct"/>
          </w:tcPr>
          <w:p w14:paraId="36E65684" w14:textId="77777777" w:rsidR="00B6536D" w:rsidRPr="00C31A05" w:rsidRDefault="00B6536D" w:rsidP="004F5A5B">
            <w:pPr>
              <w:spacing w:before="0"/>
              <w:rPr>
                <w:rFonts w:eastAsia="Times New Roman" w:cstheme="minorHAnsi"/>
                <w:color w:val="000000" w:themeColor="text1"/>
                <w:sz w:val="18"/>
                <w:szCs w:val="20"/>
                <w:lang w:val="en-AU"/>
              </w:rPr>
            </w:pPr>
            <w:r w:rsidRPr="00C31A05">
              <w:rPr>
                <w:rFonts w:eastAsia="Times New Roman" w:cstheme="minorHAnsi"/>
                <w:color w:val="000000" w:themeColor="text1"/>
                <w:sz w:val="18"/>
                <w:szCs w:val="20"/>
                <w:lang w:val="en-AU"/>
              </w:rPr>
              <w:t>4, 9, 21, 30</w:t>
            </w:r>
          </w:p>
          <w:p w14:paraId="3D91C651" w14:textId="77777777" w:rsidR="00B6536D" w:rsidRPr="00C31A05" w:rsidRDefault="00B6536D" w:rsidP="004F5A5B">
            <w:pPr>
              <w:spacing w:before="0"/>
              <w:rPr>
                <w:rFonts w:eastAsia="Times New Roman" w:cstheme="minorHAnsi"/>
                <w:color w:val="000000" w:themeColor="text1"/>
                <w:sz w:val="18"/>
                <w:szCs w:val="20"/>
                <w:lang w:val="en-AU"/>
              </w:rPr>
            </w:pPr>
          </w:p>
        </w:tc>
      </w:tr>
      <w:tr w:rsidR="00B6536D" w:rsidRPr="00B22620" w14:paraId="528CFB0C" w14:textId="77777777" w:rsidTr="004F5A5B">
        <w:trPr>
          <w:trHeight w:val="20"/>
        </w:trPr>
        <w:tc>
          <w:tcPr>
            <w:tcW w:w="1257" w:type="pct"/>
            <w:shd w:val="clear" w:color="auto" w:fill="auto"/>
          </w:tcPr>
          <w:p w14:paraId="59867F6F" w14:textId="77777777" w:rsidR="00B6536D" w:rsidRPr="00B332DF" w:rsidRDefault="00CC28D5" w:rsidP="004F5A5B">
            <w:pPr>
              <w:spacing w:before="0"/>
              <w:rPr>
                <w:sz w:val="18"/>
                <w:szCs w:val="20"/>
                <w:lang w:val="en-AU"/>
              </w:rPr>
            </w:pPr>
            <w:hyperlink r:id="rId73" w:history="1">
              <w:r w:rsidR="00B6536D" w:rsidRPr="00B332DF">
                <w:rPr>
                  <w:rStyle w:val="Hyperlink"/>
                  <w:sz w:val="18"/>
                  <w:szCs w:val="20"/>
                  <w:lang w:val="en-AU"/>
                </w:rPr>
                <w:t>Australian Disaster Preparedness Framework</w:t>
              </w:r>
            </w:hyperlink>
          </w:p>
          <w:p w14:paraId="17D3ADA1" w14:textId="77777777" w:rsidR="00B6536D" w:rsidRPr="00B332DF" w:rsidRDefault="00B6536D" w:rsidP="004F5A5B">
            <w:pPr>
              <w:spacing w:before="0"/>
              <w:rPr>
                <w:color w:val="FF0000"/>
                <w:sz w:val="18"/>
                <w:szCs w:val="20"/>
                <w:lang w:val="en-AU"/>
              </w:rPr>
            </w:pPr>
          </w:p>
        </w:tc>
        <w:tc>
          <w:tcPr>
            <w:tcW w:w="786" w:type="pct"/>
          </w:tcPr>
          <w:p w14:paraId="2EB8A6F9" w14:textId="77777777" w:rsidR="00B6536D" w:rsidRPr="00B332DF" w:rsidRDefault="00B6536D" w:rsidP="004F5A5B">
            <w:pPr>
              <w:spacing w:before="0"/>
              <w:rPr>
                <w:rFonts w:eastAsia="Times New Roman" w:cstheme="minorHAnsi"/>
                <w:sz w:val="18"/>
                <w:szCs w:val="20"/>
                <w:lang w:val="en-AU"/>
              </w:rPr>
            </w:pPr>
            <w:r w:rsidRPr="00B332DF">
              <w:rPr>
                <w:sz w:val="18"/>
                <w:szCs w:val="20"/>
                <w:lang w:val="en-AU"/>
              </w:rPr>
              <w:t>Australia-New Zealand Emergency Management Committee</w:t>
            </w:r>
          </w:p>
        </w:tc>
        <w:tc>
          <w:tcPr>
            <w:tcW w:w="395" w:type="pct"/>
          </w:tcPr>
          <w:p w14:paraId="7CEA5BB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2018</w:t>
            </w:r>
          </w:p>
        </w:tc>
        <w:tc>
          <w:tcPr>
            <w:tcW w:w="1018" w:type="pct"/>
            <w:shd w:val="clear" w:color="auto" w:fill="auto"/>
          </w:tcPr>
          <w:p w14:paraId="45CE9E8E" w14:textId="77777777" w:rsidR="00B6536D" w:rsidRPr="00B332DF" w:rsidRDefault="00B6536D" w:rsidP="004F5A5B">
            <w:pPr>
              <w:spacing w:before="0"/>
              <w:rPr>
                <w:sz w:val="18"/>
                <w:szCs w:val="20"/>
                <w:lang w:val="en-AU"/>
              </w:rPr>
            </w:pPr>
            <w:r w:rsidRPr="00B332DF">
              <w:rPr>
                <w:rFonts w:eastAsia="Times New Roman" w:cstheme="minorHAnsi"/>
                <w:color w:val="000000"/>
                <w:sz w:val="18"/>
                <w:szCs w:val="20"/>
                <w:lang w:val="en-AU"/>
              </w:rPr>
              <w:t>All populations</w:t>
            </w:r>
          </w:p>
        </w:tc>
        <w:tc>
          <w:tcPr>
            <w:tcW w:w="786" w:type="pct"/>
          </w:tcPr>
          <w:p w14:paraId="22A5844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Injury impacts of weather events</w:t>
            </w:r>
          </w:p>
        </w:tc>
        <w:tc>
          <w:tcPr>
            <w:tcW w:w="758" w:type="pct"/>
          </w:tcPr>
          <w:p w14:paraId="42D077B4" w14:textId="77777777" w:rsidR="00B6536D" w:rsidRPr="00C31A05" w:rsidRDefault="00B6536D" w:rsidP="004F5A5B">
            <w:pPr>
              <w:spacing w:before="0"/>
              <w:rPr>
                <w:rFonts w:eastAsia="Times New Roman" w:cstheme="minorHAnsi"/>
                <w:color w:val="000000" w:themeColor="text1"/>
                <w:sz w:val="18"/>
                <w:szCs w:val="20"/>
                <w:lang w:val="en-AU"/>
              </w:rPr>
            </w:pPr>
            <w:r w:rsidRPr="00C31A05">
              <w:rPr>
                <w:rFonts w:eastAsia="Times New Roman" w:cstheme="minorHAnsi"/>
                <w:color w:val="000000" w:themeColor="text1"/>
                <w:sz w:val="18"/>
                <w:szCs w:val="20"/>
                <w:lang w:val="en-AU"/>
              </w:rPr>
              <w:t>25, 26, 27, 28, 29</w:t>
            </w:r>
          </w:p>
        </w:tc>
      </w:tr>
      <w:tr w:rsidR="00B6536D" w:rsidRPr="00B22620" w14:paraId="175FB34A" w14:textId="77777777" w:rsidTr="004F5A5B">
        <w:trPr>
          <w:trHeight w:val="20"/>
        </w:trPr>
        <w:tc>
          <w:tcPr>
            <w:tcW w:w="1257" w:type="pct"/>
            <w:shd w:val="clear" w:color="auto" w:fill="auto"/>
          </w:tcPr>
          <w:p w14:paraId="0587E037" w14:textId="77777777" w:rsidR="00B6536D" w:rsidRPr="00B332DF" w:rsidRDefault="00CC28D5" w:rsidP="004F5A5B">
            <w:pPr>
              <w:spacing w:before="0"/>
              <w:rPr>
                <w:color w:val="FF0000"/>
                <w:sz w:val="18"/>
                <w:szCs w:val="20"/>
                <w:lang w:val="en-AU"/>
              </w:rPr>
            </w:pPr>
            <w:hyperlink r:id="rId74" w:history="1">
              <w:r w:rsidR="00B6536D" w:rsidRPr="00B332DF">
                <w:rPr>
                  <w:rStyle w:val="Hyperlink"/>
                  <w:sz w:val="18"/>
                  <w:szCs w:val="20"/>
                  <w:lang w:val="en-AU"/>
                </w:rPr>
                <w:t>Australian graduated licensing scheme policy framework</w:t>
              </w:r>
            </w:hyperlink>
          </w:p>
          <w:p w14:paraId="48B16430" w14:textId="77777777" w:rsidR="00B6536D" w:rsidRPr="00B332DF" w:rsidRDefault="00B6536D" w:rsidP="004F5A5B">
            <w:pPr>
              <w:spacing w:before="0"/>
              <w:rPr>
                <w:sz w:val="18"/>
                <w:szCs w:val="20"/>
                <w:lang w:val="en-AU"/>
              </w:rPr>
            </w:pPr>
          </w:p>
        </w:tc>
        <w:tc>
          <w:tcPr>
            <w:tcW w:w="786" w:type="pct"/>
          </w:tcPr>
          <w:p w14:paraId="585D66D8"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sz w:val="18"/>
                <w:szCs w:val="20"/>
                <w:lang w:val="en-AU"/>
              </w:rPr>
              <w:t xml:space="preserve">Transport for NSW </w:t>
            </w:r>
            <w:r w:rsidRPr="00B332DF">
              <w:rPr>
                <w:sz w:val="18"/>
                <w:szCs w:val="20"/>
                <w:lang w:val="en-AU"/>
              </w:rPr>
              <w:t>on behalf of the Austroads Road Safety Taskforce</w:t>
            </w:r>
          </w:p>
        </w:tc>
        <w:tc>
          <w:tcPr>
            <w:tcW w:w="395" w:type="pct"/>
          </w:tcPr>
          <w:p w14:paraId="123F4B6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2014</w:t>
            </w:r>
          </w:p>
        </w:tc>
        <w:tc>
          <w:tcPr>
            <w:tcW w:w="1018" w:type="pct"/>
            <w:shd w:val="clear" w:color="auto" w:fill="auto"/>
          </w:tcPr>
          <w:p w14:paraId="213C8D94" w14:textId="77777777" w:rsidR="00B6536D" w:rsidRPr="00B332DF" w:rsidRDefault="00B6536D" w:rsidP="004F5A5B">
            <w:pPr>
              <w:spacing w:before="0"/>
              <w:rPr>
                <w:rFonts w:eastAsia="Times New Roman" w:cstheme="minorHAnsi"/>
                <w:color w:val="000000"/>
                <w:sz w:val="18"/>
                <w:szCs w:val="20"/>
                <w:lang w:val="en-AU"/>
              </w:rPr>
            </w:pPr>
            <w:r w:rsidRPr="00B332DF">
              <w:rPr>
                <w:sz w:val="18"/>
                <w:szCs w:val="20"/>
                <w:lang w:val="en-AU"/>
              </w:rPr>
              <w:t xml:space="preserve">Young Australians (15 to 24 years), adults, older adults, </w:t>
            </w:r>
            <w:r w:rsidRPr="00B332DF">
              <w:rPr>
                <w:rFonts w:eastAsia="Times New Roman" w:cstheme="minorHAnsi"/>
                <w:color w:val="000000"/>
                <w:sz w:val="18"/>
                <w:szCs w:val="20"/>
                <w:lang w:val="en-AU"/>
              </w:rPr>
              <w:t>Aboriginal and Torres Strait Islander people</w:t>
            </w:r>
          </w:p>
        </w:tc>
        <w:tc>
          <w:tcPr>
            <w:tcW w:w="786" w:type="pct"/>
          </w:tcPr>
          <w:p w14:paraId="2B10347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Road/transport</w:t>
            </w:r>
          </w:p>
        </w:tc>
        <w:tc>
          <w:tcPr>
            <w:tcW w:w="758" w:type="pct"/>
          </w:tcPr>
          <w:p w14:paraId="27B9A0EF"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6</w:t>
            </w:r>
          </w:p>
        </w:tc>
      </w:tr>
      <w:bookmarkStart w:id="301" w:name="_Hlk29378875"/>
      <w:tr w:rsidR="00B6536D" w:rsidRPr="00B22620" w14:paraId="5326055B" w14:textId="77777777" w:rsidTr="004F5A5B">
        <w:trPr>
          <w:trHeight w:val="20"/>
        </w:trPr>
        <w:tc>
          <w:tcPr>
            <w:tcW w:w="1257" w:type="pct"/>
            <w:shd w:val="clear" w:color="auto" w:fill="auto"/>
            <w:hideMark/>
          </w:tcPr>
          <w:p w14:paraId="4D6DD5C7"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"http://www.watersafety.com.au/Portals/0/AWSC%20Strategy%202016-20/RLS_AWSS2016_Report_2016LR.pdf" </w:instrText>
            </w:r>
            <w:r w:rsidRPr="00B332DF">
              <w:rPr>
                <w:sz w:val="18"/>
                <w:szCs w:val="20"/>
                <w:lang w:val="en-AU"/>
              </w:rPr>
              <w:fldChar w:fldCharType="separate"/>
            </w:r>
            <w:r w:rsidRPr="00B332DF">
              <w:rPr>
                <w:rFonts w:eastAsia="Times New Roman" w:cstheme="minorHAnsi"/>
                <w:color w:val="0563C1"/>
                <w:sz w:val="18"/>
                <w:szCs w:val="20"/>
                <w:u w:val="single"/>
                <w:lang w:val="en-AU"/>
              </w:rPr>
              <w:t>Australian Water Safety Strategy 2016-2020</w:t>
            </w:r>
            <w:r w:rsidRPr="00B332DF">
              <w:rPr>
                <w:rFonts w:eastAsia="Times New Roman" w:cstheme="minorHAnsi"/>
                <w:color w:val="0563C1"/>
                <w:sz w:val="18"/>
                <w:szCs w:val="20"/>
                <w:u w:val="single"/>
                <w:lang w:val="en-AU"/>
              </w:rPr>
              <w:fldChar w:fldCharType="end"/>
            </w:r>
          </w:p>
          <w:bookmarkEnd w:id="301"/>
          <w:p w14:paraId="09AF2078"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1E7D41A9"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sz w:val="18"/>
                <w:szCs w:val="20"/>
                <w:lang w:val="en-AU"/>
              </w:rPr>
              <w:t>Australian Water Safety Council</w:t>
            </w:r>
          </w:p>
        </w:tc>
        <w:tc>
          <w:tcPr>
            <w:tcW w:w="395" w:type="pct"/>
          </w:tcPr>
          <w:p w14:paraId="464CAE5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2016-2020</w:t>
            </w:r>
          </w:p>
        </w:tc>
        <w:tc>
          <w:tcPr>
            <w:tcW w:w="1018" w:type="pct"/>
            <w:shd w:val="clear" w:color="auto" w:fill="auto"/>
            <w:hideMark/>
          </w:tcPr>
          <w:p w14:paraId="06C9E19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Children, </w:t>
            </w:r>
          </w:p>
          <w:p w14:paraId="09DFC2A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Older people </w:t>
            </w:r>
          </w:p>
        </w:tc>
        <w:tc>
          <w:tcPr>
            <w:tcW w:w="786" w:type="pct"/>
          </w:tcPr>
          <w:p w14:paraId="683B8357"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Drowning</w:t>
            </w:r>
          </w:p>
        </w:tc>
        <w:tc>
          <w:tcPr>
            <w:tcW w:w="758" w:type="pct"/>
          </w:tcPr>
          <w:p w14:paraId="4E2A986A"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13</w:t>
            </w:r>
          </w:p>
        </w:tc>
      </w:tr>
      <w:bookmarkStart w:id="302" w:name="_Hlk29378756"/>
      <w:tr w:rsidR="00B6536D" w:rsidRPr="00B22620" w14:paraId="1A0623E0" w14:textId="77777777" w:rsidTr="004F5A5B">
        <w:trPr>
          <w:trHeight w:val="20"/>
        </w:trPr>
        <w:tc>
          <w:tcPr>
            <w:tcW w:w="1257" w:type="pct"/>
            <w:shd w:val="clear" w:color="auto" w:fill="auto"/>
          </w:tcPr>
          <w:p w14:paraId="74A84EA5" w14:textId="77777777" w:rsidR="00B6536D" w:rsidRPr="00B332DF" w:rsidRDefault="00B6536D" w:rsidP="004F5A5B">
            <w:pPr>
              <w:spacing w:before="0"/>
              <w:rPr>
                <w:rFonts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"http://www.coaghealthcouncil.gov.au/Portals/0/Healthy%20Safe%20and%20Thriving%20-%20National%20Strategic%20Framework%20for%20Child%20and%20Youth%20Health.pdf" </w:instrText>
            </w:r>
            <w:r w:rsidRPr="00B332DF">
              <w:rPr>
                <w:sz w:val="18"/>
                <w:szCs w:val="20"/>
                <w:lang w:val="en-AU"/>
              </w:rPr>
              <w:fldChar w:fldCharType="separate"/>
            </w:r>
            <w:r w:rsidRPr="00B332DF">
              <w:rPr>
                <w:rFonts w:eastAsia="Times New Roman" w:cstheme="minorHAnsi"/>
                <w:color w:val="0563C1"/>
                <w:sz w:val="18"/>
                <w:szCs w:val="20"/>
                <w:u w:val="single"/>
                <w:lang w:val="en-AU"/>
              </w:rPr>
              <w:t>Healthy, Safe and Thriving: National Strategic Framework for Child and Youth Health</w:t>
            </w:r>
            <w:r w:rsidRPr="00B332DF">
              <w:rPr>
                <w:rFonts w:eastAsia="Times New Roman" w:cstheme="minorHAnsi"/>
                <w:color w:val="0563C1"/>
                <w:sz w:val="18"/>
                <w:szCs w:val="20"/>
                <w:u w:val="single"/>
                <w:lang w:val="en-AU"/>
              </w:rPr>
              <w:fldChar w:fldCharType="end"/>
            </w:r>
            <w:r w:rsidRPr="00B332DF">
              <w:rPr>
                <w:rFonts w:cstheme="minorHAnsi"/>
                <w:color w:val="0563C1"/>
                <w:sz w:val="18"/>
                <w:szCs w:val="20"/>
                <w:u w:val="single"/>
                <w:lang w:val="en-AU"/>
              </w:rPr>
              <w:t xml:space="preserve"> </w:t>
            </w:r>
            <w:bookmarkEnd w:id="302"/>
          </w:p>
        </w:tc>
        <w:tc>
          <w:tcPr>
            <w:tcW w:w="786" w:type="pct"/>
          </w:tcPr>
          <w:p w14:paraId="77DE00E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sz w:val="18"/>
                <w:szCs w:val="20"/>
                <w:lang w:val="en-AU"/>
              </w:rPr>
              <w:t>Council of Australian Governments -Health Council</w:t>
            </w:r>
          </w:p>
        </w:tc>
        <w:tc>
          <w:tcPr>
            <w:tcW w:w="395" w:type="pct"/>
          </w:tcPr>
          <w:p w14:paraId="1AD6A75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2015-</w:t>
            </w:r>
          </w:p>
        </w:tc>
        <w:tc>
          <w:tcPr>
            <w:tcW w:w="1018" w:type="pct"/>
            <w:shd w:val="clear" w:color="auto" w:fill="auto"/>
          </w:tcPr>
          <w:p w14:paraId="37DF933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Aboriginal and Torres Strait Islander people Children</w:t>
            </w:r>
          </w:p>
        </w:tc>
        <w:tc>
          <w:tcPr>
            <w:tcW w:w="786" w:type="pct"/>
          </w:tcPr>
          <w:p w14:paraId="171EBB0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Road/transport</w:t>
            </w:r>
            <w:r w:rsidRPr="00B332DF" w:rsidDel="0047604C">
              <w:rPr>
                <w:rFonts w:eastAsia="Times New Roman" w:cstheme="minorHAnsi"/>
                <w:color w:val="000000"/>
                <w:sz w:val="18"/>
                <w:szCs w:val="20"/>
                <w:lang w:val="en-AU"/>
              </w:rPr>
              <w:t xml:space="preserve"> </w:t>
            </w:r>
            <w:r w:rsidRPr="00B332DF">
              <w:rPr>
                <w:rFonts w:eastAsia="Times New Roman" w:cstheme="minorHAnsi"/>
                <w:color w:val="000000"/>
                <w:sz w:val="18"/>
                <w:szCs w:val="20"/>
                <w:lang w:val="en-AU"/>
              </w:rPr>
              <w:t>Self-harm, falls, drowning, violence, homicide</w:t>
            </w:r>
          </w:p>
        </w:tc>
        <w:tc>
          <w:tcPr>
            <w:tcW w:w="758" w:type="pct"/>
          </w:tcPr>
          <w:p w14:paraId="10FA01E5" w14:textId="77777777" w:rsidR="00B6536D" w:rsidRPr="00C31A05" w:rsidRDefault="00B6536D" w:rsidP="004F5A5B">
            <w:pPr>
              <w:spacing w:before="0"/>
              <w:rPr>
                <w:rFonts w:eastAsia="Times New Roman" w:cstheme="minorHAnsi"/>
                <w:color w:val="000000" w:themeColor="text1"/>
                <w:sz w:val="18"/>
                <w:szCs w:val="20"/>
                <w:lang w:val="en-AU"/>
              </w:rPr>
            </w:pPr>
            <w:r w:rsidRPr="00C31A05">
              <w:rPr>
                <w:rFonts w:eastAsia="Times New Roman" w:cstheme="minorHAnsi"/>
                <w:color w:val="000000" w:themeColor="text1"/>
                <w:sz w:val="18"/>
                <w:szCs w:val="20"/>
                <w:lang w:val="en-AU"/>
              </w:rPr>
              <w:t>1, 2, 3, 6, 7, 8, 13, 17, 18</w:t>
            </w:r>
          </w:p>
          <w:p w14:paraId="62275574" w14:textId="77777777" w:rsidR="00B6536D" w:rsidRPr="00C31A05" w:rsidRDefault="00B6536D" w:rsidP="004F5A5B">
            <w:pPr>
              <w:spacing w:before="0"/>
              <w:rPr>
                <w:rFonts w:eastAsia="Times New Roman" w:cstheme="minorHAnsi"/>
                <w:color w:val="000000" w:themeColor="text1"/>
                <w:sz w:val="18"/>
                <w:szCs w:val="20"/>
                <w:lang w:val="en-AU"/>
              </w:rPr>
            </w:pPr>
          </w:p>
        </w:tc>
      </w:tr>
      <w:bookmarkStart w:id="303" w:name="_Hlk29378744"/>
      <w:tr w:rsidR="00B6536D" w:rsidRPr="00B22620" w14:paraId="004FC63D" w14:textId="77777777" w:rsidTr="004F5A5B">
        <w:trPr>
          <w:trHeight w:val="20"/>
        </w:trPr>
        <w:tc>
          <w:tcPr>
            <w:tcW w:w="1257" w:type="pct"/>
            <w:shd w:val="clear" w:color="auto" w:fill="auto"/>
            <w:hideMark/>
          </w:tcPr>
          <w:p w14:paraId="789B0EF4"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"https://www.startingblocks.gov.au/media/1104/national_ecd_strategy.pdf" </w:instrText>
            </w:r>
            <w:r w:rsidRPr="00B332DF">
              <w:rPr>
                <w:sz w:val="18"/>
                <w:szCs w:val="20"/>
                <w:lang w:val="en-AU"/>
              </w:rPr>
              <w:fldChar w:fldCharType="separate"/>
            </w:r>
            <w:r w:rsidRPr="00B332DF">
              <w:rPr>
                <w:rFonts w:eastAsia="Times New Roman" w:cstheme="minorHAnsi"/>
                <w:color w:val="0563C1"/>
                <w:sz w:val="18"/>
                <w:szCs w:val="20"/>
                <w:u w:val="single"/>
                <w:lang w:val="en-AU"/>
              </w:rPr>
              <w:t>Investing in the Early Years: A National Early Childhood Development Strategy</w:t>
            </w:r>
            <w:r w:rsidRPr="00B332DF">
              <w:rPr>
                <w:rFonts w:eastAsia="Times New Roman" w:cstheme="minorHAnsi"/>
                <w:color w:val="0563C1"/>
                <w:sz w:val="18"/>
                <w:szCs w:val="20"/>
                <w:u w:val="single"/>
                <w:lang w:val="en-AU"/>
              </w:rPr>
              <w:fldChar w:fldCharType="end"/>
            </w:r>
          </w:p>
          <w:bookmarkEnd w:id="303"/>
          <w:p w14:paraId="6F99AAE3"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753DB73B"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sz w:val="18"/>
                <w:szCs w:val="20"/>
                <w:lang w:val="en-AU"/>
              </w:rPr>
              <w:t>Council of Australian Governments</w:t>
            </w:r>
          </w:p>
        </w:tc>
        <w:tc>
          <w:tcPr>
            <w:tcW w:w="395" w:type="pct"/>
          </w:tcPr>
          <w:p w14:paraId="5BAB3A8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2009-2020</w:t>
            </w:r>
          </w:p>
        </w:tc>
        <w:tc>
          <w:tcPr>
            <w:tcW w:w="1018" w:type="pct"/>
            <w:shd w:val="clear" w:color="auto" w:fill="auto"/>
            <w:hideMark/>
          </w:tcPr>
          <w:p w14:paraId="52F0729B"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 people, Children</w:t>
            </w:r>
          </w:p>
        </w:tc>
        <w:tc>
          <w:tcPr>
            <w:tcW w:w="786" w:type="pct"/>
          </w:tcPr>
          <w:p w14:paraId="6D6974E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Self-harm, violence, safe environments, early start</w:t>
            </w:r>
          </w:p>
        </w:tc>
        <w:tc>
          <w:tcPr>
            <w:tcW w:w="758" w:type="pct"/>
          </w:tcPr>
          <w:p w14:paraId="01B7B963"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3, 7, 8, 10, 13, 14, 16, 17, 18, 20</w:t>
            </w:r>
          </w:p>
        </w:tc>
      </w:tr>
      <w:bookmarkStart w:id="304" w:name="_Hlk29379399"/>
      <w:bookmarkStart w:id="305" w:name="_Hlk29381839"/>
      <w:tr w:rsidR="00B6536D" w:rsidRPr="00B22620" w14:paraId="21952517" w14:textId="77777777" w:rsidTr="004F5A5B">
        <w:trPr>
          <w:trHeight w:val="20"/>
        </w:trPr>
        <w:tc>
          <w:tcPr>
            <w:tcW w:w="1257" w:type="pct"/>
            <w:shd w:val="clear" w:color="auto" w:fill="auto"/>
            <w:hideMark/>
          </w:tcPr>
          <w:p w14:paraId="0F74B947"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563C1"/>
                <w:sz w:val="18"/>
                <w:szCs w:val="20"/>
                <w:u w:val="single"/>
                <w:lang w:val="en-AU"/>
              </w:rPr>
              <w:fldChar w:fldCharType="begin"/>
            </w:r>
            <w:r w:rsidRPr="00B332DF">
              <w:rPr>
                <w:rFonts w:eastAsia="Times New Roman" w:cstheme="minorHAnsi"/>
                <w:color w:val="0563C1"/>
                <w:sz w:val="18"/>
                <w:szCs w:val="20"/>
                <w:u w:val="single"/>
                <w:lang w:val="en-AU"/>
              </w:rPr>
              <w:instrText xml:space="preserve"> HYPERLINK "https://www.mentalhealthcommission.gov.au/getmedia/f7af1cdb-d767-4e22-8e46-de09b654072f/2019-national-report" </w:instrText>
            </w:r>
            <w:r w:rsidRPr="00B332DF">
              <w:rPr>
                <w:rFonts w:eastAsia="Times New Roman" w:cstheme="minorHAnsi"/>
                <w:color w:val="0563C1"/>
                <w:sz w:val="18"/>
                <w:szCs w:val="20"/>
                <w:u w:val="single"/>
                <w:lang w:val="en-AU"/>
              </w:rPr>
              <w:fldChar w:fldCharType="separate"/>
            </w:r>
            <w:r w:rsidRPr="00B332DF">
              <w:rPr>
                <w:rStyle w:val="Hyperlink"/>
                <w:rFonts w:eastAsia="Times New Roman" w:cstheme="minorHAnsi"/>
                <w:sz w:val="18"/>
                <w:szCs w:val="20"/>
                <w:lang w:val="en-AU"/>
              </w:rPr>
              <w:t>Mental Health and Suicide Prevention Monitoring and Reporting Framework</w:t>
            </w:r>
            <w:bookmarkEnd w:id="304"/>
            <w:r w:rsidRPr="00B332DF">
              <w:rPr>
                <w:rFonts w:eastAsia="Times New Roman" w:cstheme="minorHAnsi"/>
                <w:color w:val="0563C1"/>
                <w:sz w:val="18"/>
                <w:szCs w:val="20"/>
                <w:u w:val="single"/>
                <w:lang w:val="en-AU"/>
              </w:rPr>
              <w:fldChar w:fldCharType="end"/>
            </w:r>
            <w:bookmarkEnd w:id="305"/>
          </w:p>
        </w:tc>
        <w:tc>
          <w:tcPr>
            <w:tcW w:w="786" w:type="pct"/>
          </w:tcPr>
          <w:p w14:paraId="0BF49C3A"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National Mental Health Commission</w:t>
            </w:r>
          </w:p>
        </w:tc>
        <w:tc>
          <w:tcPr>
            <w:tcW w:w="395" w:type="pct"/>
          </w:tcPr>
          <w:p w14:paraId="421A129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2018-2022</w:t>
            </w:r>
          </w:p>
        </w:tc>
        <w:tc>
          <w:tcPr>
            <w:tcW w:w="1018" w:type="pct"/>
            <w:shd w:val="clear" w:color="auto" w:fill="auto"/>
            <w:hideMark/>
          </w:tcPr>
          <w:p w14:paraId="7D47390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Aboriginal and Torres Strait Islander people, </w:t>
            </w:r>
          </w:p>
          <w:p w14:paraId="306411D8"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Children</w:t>
            </w:r>
          </w:p>
        </w:tc>
        <w:tc>
          <w:tcPr>
            <w:tcW w:w="786" w:type="pct"/>
          </w:tcPr>
          <w:p w14:paraId="0A0D63D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w:t>
            </w:r>
          </w:p>
        </w:tc>
        <w:tc>
          <w:tcPr>
            <w:tcW w:w="758" w:type="pct"/>
          </w:tcPr>
          <w:p w14:paraId="3EBADBF5"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1, 2, 19, 22</w:t>
            </w:r>
          </w:p>
        </w:tc>
      </w:tr>
      <w:tr w:rsidR="00B6536D" w:rsidRPr="00B22620" w14:paraId="3435F951" w14:textId="77777777" w:rsidTr="004F5A5B">
        <w:trPr>
          <w:trHeight w:val="20"/>
        </w:trPr>
        <w:tc>
          <w:tcPr>
            <w:tcW w:w="1257" w:type="pct"/>
            <w:shd w:val="clear" w:color="auto" w:fill="auto"/>
          </w:tcPr>
          <w:p w14:paraId="71BCAA16" w14:textId="77777777" w:rsidR="00B6536D" w:rsidRPr="00B332DF" w:rsidRDefault="00CC28D5" w:rsidP="004F5A5B">
            <w:pPr>
              <w:spacing w:before="0"/>
              <w:rPr>
                <w:sz w:val="18"/>
                <w:szCs w:val="20"/>
                <w:lang w:val="en-AU"/>
              </w:rPr>
            </w:pPr>
            <w:hyperlink r:id="rId75" w:history="1">
              <w:r w:rsidR="00B6536D" w:rsidRPr="00B332DF">
                <w:rPr>
                  <w:rStyle w:val="Hyperlink"/>
                  <w:sz w:val="18"/>
                  <w:szCs w:val="20"/>
                  <w:lang w:val="en-AU"/>
                </w:rPr>
                <w:t>National Aboriginal and Torres Strait Islander Education Strategy</w:t>
              </w:r>
            </w:hyperlink>
          </w:p>
        </w:tc>
        <w:tc>
          <w:tcPr>
            <w:tcW w:w="786" w:type="pct"/>
          </w:tcPr>
          <w:p w14:paraId="6DD5F9D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Education Council </w:t>
            </w:r>
          </w:p>
        </w:tc>
        <w:tc>
          <w:tcPr>
            <w:tcW w:w="395" w:type="pct"/>
          </w:tcPr>
          <w:p w14:paraId="44DD891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2015</w:t>
            </w:r>
          </w:p>
        </w:tc>
        <w:tc>
          <w:tcPr>
            <w:tcW w:w="1018" w:type="pct"/>
            <w:shd w:val="clear" w:color="auto" w:fill="auto"/>
          </w:tcPr>
          <w:p w14:paraId="01E0F9D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Aboriginal and Torres Strait Islander people, children </w:t>
            </w:r>
          </w:p>
        </w:tc>
        <w:tc>
          <w:tcPr>
            <w:tcW w:w="786" w:type="pct"/>
          </w:tcPr>
          <w:p w14:paraId="2EDCA53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w:t>
            </w:r>
          </w:p>
        </w:tc>
        <w:tc>
          <w:tcPr>
            <w:tcW w:w="758" w:type="pct"/>
          </w:tcPr>
          <w:p w14:paraId="61B9E93F"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6</w:t>
            </w:r>
          </w:p>
        </w:tc>
      </w:tr>
      <w:bookmarkStart w:id="306" w:name="_Hlk29383785"/>
      <w:tr w:rsidR="00B6536D" w:rsidRPr="00B22620" w14:paraId="64741DB6" w14:textId="77777777" w:rsidTr="004F5A5B">
        <w:trPr>
          <w:trHeight w:val="20"/>
        </w:trPr>
        <w:tc>
          <w:tcPr>
            <w:tcW w:w="1257" w:type="pct"/>
            <w:shd w:val="clear" w:color="auto" w:fill="auto"/>
            <w:hideMark/>
          </w:tcPr>
          <w:p w14:paraId="15AA73B1"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"http://www.health.gov.au/internet/main/publishing.nsf/content/B92E980680486C3BCA257BF0001BAF01/$File/health-plan.pdf" </w:instrText>
            </w:r>
            <w:r w:rsidRPr="00B332DF">
              <w:rPr>
                <w:sz w:val="18"/>
                <w:szCs w:val="20"/>
                <w:lang w:val="en-AU"/>
              </w:rPr>
              <w:fldChar w:fldCharType="separate"/>
            </w:r>
            <w:r w:rsidRPr="00B332DF">
              <w:rPr>
                <w:rFonts w:eastAsia="Times New Roman" w:cstheme="minorHAnsi"/>
                <w:color w:val="0563C1"/>
                <w:sz w:val="18"/>
                <w:szCs w:val="20"/>
                <w:u w:val="single"/>
                <w:lang w:val="en-AU"/>
              </w:rPr>
              <w:t>National Aboriginal and Torres Strait Islander Health Plan 2013- 2023</w:t>
            </w:r>
            <w:r w:rsidRPr="00B332DF">
              <w:rPr>
                <w:rFonts w:eastAsia="Times New Roman" w:cstheme="minorHAnsi"/>
                <w:color w:val="0563C1"/>
                <w:sz w:val="18"/>
                <w:szCs w:val="20"/>
                <w:u w:val="single"/>
                <w:lang w:val="en-AU"/>
              </w:rPr>
              <w:fldChar w:fldCharType="end"/>
            </w:r>
            <w:bookmarkEnd w:id="306"/>
          </w:p>
        </w:tc>
        <w:tc>
          <w:tcPr>
            <w:tcW w:w="786" w:type="pct"/>
          </w:tcPr>
          <w:p w14:paraId="472509EB"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72FA542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2013-2023</w:t>
            </w:r>
          </w:p>
        </w:tc>
        <w:tc>
          <w:tcPr>
            <w:tcW w:w="1018" w:type="pct"/>
            <w:shd w:val="clear" w:color="auto" w:fill="auto"/>
            <w:hideMark/>
          </w:tcPr>
          <w:p w14:paraId="087C8AC9"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 people, Children</w:t>
            </w:r>
          </w:p>
        </w:tc>
        <w:tc>
          <w:tcPr>
            <w:tcW w:w="786" w:type="pct"/>
          </w:tcPr>
          <w:p w14:paraId="2CE4F04D"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Road/transport, Self-harm (mental health and substance misuse)</w:t>
            </w:r>
          </w:p>
        </w:tc>
        <w:tc>
          <w:tcPr>
            <w:tcW w:w="758" w:type="pct"/>
          </w:tcPr>
          <w:p w14:paraId="65E3850C"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1, 2, 6, 10, 11, 17, 18, 19, 20</w:t>
            </w:r>
          </w:p>
        </w:tc>
      </w:tr>
      <w:bookmarkStart w:id="307" w:name="_Hlk29383726"/>
      <w:tr w:rsidR="00B6536D" w:rsidRPr="00B22620" w14:paraId="5AB56410" w14:textId="77777777" w:rsidTr="004F5A5B">
        <w:trPr>
          <w:trHeight w:val="20"/>
        </w:trPr>
        <w:tc>
          <w:tcPr>
            <w:tcW w:w="1257" w:type="pct"/>
            <w:shd w:val="clear" w:color="auto" w:fill="auto"/>
            <w:hideMark/>
          </w:tcPr>
          <w:p w14:paraId="55A4AEBA"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HYPERLINK "https://www.health.gov.au/sites/default/files/national-aboriginal-and-torres-strait-islander-peoples-drug-strategy-2014-2019_0.pdf"</w:instrText>
            </w:r>
            <w:r w:rsidRPr="00B332DF">
              <w:rPr>
                <w:sz w:val="18"/>
                <w:szCs w:val="20"/>
                <w:lang w:val="en-AU"/>
              </w:rPr>
              <w:fldChar w:fldCharType="separate"/>
            </w:r>
            <w:r w:rsidRPr="00B332DF">
              <w:rPr>
                <w:rFonts w:eastAsia="Times New Roman" w:cstheme="minorHAnsi"/>
                <w:color w:val="0563C1"/>
                <w:sz w:val="18"/>
                <w:szCs w:val="20"/>
                <w:u w:val="single"/>
                <w:lang w:val="en-AU"/>
              </w:rPr>
              <w:t xml:space="preserve">National Aboriginal and Torres Strait Islander Peoples’ Drug Strategy 2014-2019 </w:t>
            </w:r>
            <w:r w:rsidRPr="00B332DF">
              <w:rPr>
                <w:rFonts w:eastAsia="Times New Roman" w:cstheme="minorHAnsi"/>
                <w:color w:val="0563C1"/>
                <w:sz w:val="18"/>
                <w:szCs w:val="20"/>
                <w:u w:val="single"/>
                <w:lang w:val="en-AU"/>
              </w:rPr>
              <w:fldChar w:fldCharType="end"/>
            </w:r>
            <w:bookmarkEnd w:id="307"/>
          </w:p>
        </w:tc>
        <w:tc>
          <w:tcPr>
            <w:tcW w:w="786" w:type="pct"/>
          </w:tcPr>
          <w:p w14:paraId="29CFE6B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27D2EFD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2014-2019</w:t>
            </w:r>
          </w:p>
        </w:tc>
        <w:tc>
          <w:tcPr>
            <w:tcW w:w="1018" w:type="pct"/>
            <w:shd w:val="clear" w:color="auto" w:fill="auto"/>
            <w:hideMark/>
          </w:tcPr>
          <w:p w14:paraId="62470FFF"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w:t>
            </w:r>
          </w:p>
        </w:tc>
        <w:tc>
          <w:tcPr>
            <w:tcW w:w="786" w:type="pct"/>
          </w:tcPr>
          <w:p w14:paraId="5B3D9921"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 (Mental health)</w:t>
            </w:r>
          </w:p>
        </w:tc>
        <w:tc>
          <w:tcPr>
            <w:tcW w:w="758" w:type="pct"/>
          </w:tcPr>
          <w:p w14:paraId="65286B9D"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1, 2, 5, 10, 11, 19, 22, 24</w:t>
            </w:r>
          </w:p>
        </w:tc>
      </w:tr>
      <w:bookmarkStart w:id="308" w:name="_Hlk29383627"/>
      <w:tr w:rsidR="00B6536D" w:rsidRPr="00B22620" w14:paraId="3AB35805" w14:textId="77777777" w:rsidTr="004F5A5B">
        <w:trPr>
          <w:trHeight w:val="20"/>
        </w:trPr>
        <w:tc>
          <w:tcPr>
            <w:tcW w:w="1257" w:type="pct"/>
            <w:shd w:val="clear" w:color="auto" w:fill="auto"/>
            <w:hideMark/>
          </w:tcPr>
          <w:p w14:paraId="7BCCA794"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"http://www.health.gov.au/internet/main/publishing.nsf/Content/1CE7187EC4965005CA25802800127B49/$File/Indigenous%20Strategy.pdf" </w:instrText>
            </w:r>
            <w:r w:rsidRPr="00B332DF">
              <w:rPr>
                <w:sz w:val="18"/>
                <w:szCs w:val="20"/>
                <w:lang w:val="en-AU"/>
              </w:rPr>
              <w:fldChar w:fldCharType="separate"/>
            </w:r>
            <w:r w:rsidRPr="00B332DF">
              <w:rPr>
                <w:rFonts w:eastAsia="Times New Roman" w:cstheme="minorHAnsi"/>
                <w:color w:val="0563C1"/>
                <w:sz w:val="18"/>
                <w:szCs w:val="20"/>
                <w:u w:val="single"/>
                <w:lang w:val="en-AU"/>
              </w:rPr>
              <w:t>National Aboriginal and Torres Strait Islander Suicide Prevention Strategy 2013</w:t>
            </w:r>
            <w:r w:rsidRPr="00B332DF">
              <w:rPr>
                <w:rFonts w:eastAsia="Times New Roman" w:cstheme="minorHAnsi"/>
                <w:color w:val="0563C1"/>
                <w:sz w:val="18"/>
                <w:szCs w:val="20"/>
                <w:u w:val="single"/>
                <w:lang w:val="en-AU"/>
              </w:rPr>
              <w:fldChar w:fldCharType="end"/>
            </w:r>
            <w:bookmarkEnd w:id="308"/>
          </w:p>
        </w:tc>
        <w:tc>
          <w:tcPr>
            <w:tcW w:w="786" w:type="pct"/>
          </w:tcPr>
          <w:p w14:paraId="7545DCF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1439CCEA"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2013-2023</w:t>
            </w:r>
          </w:p>
        </w:tc>
        <w:tc>
          <w:tcPr>
            <w:tcW w:w="1018" w:type="pct"/>
            <w:shd w:val="clear" w:color="auto" w:fill="auto"/>
            <w:hideMark/>
          </w:tcPr>
          <w:p w14:paraId="0876EBE0"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w:t>
            </w:r>
          </w:p>
        </w:tc>
        <w:tc>
          <w:tcPr>
            <w:tcW w:w="786" w:type="pct"/>
          </w:tcPr>
          <w:p w14:paraId="5543B30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 violence, homicide</w:t>
            </w:r>
          </w:p>
        </w:tc>
        <w:tc>
          <w:tcPr>
            <w:tcW w:w="758" w:type="pct"/>
          </w:tcPr>
          <w:p w14:paraId="2139399E" w14:textId="77777777" w:rsidR="00B6536D" w:rsidRPr="00C31A05" w:rsidRDefault="00B6536D" w:rsidP="004F5A5B">
            <w:pPr>
              <w:spacing w:before="0"/>
              <w:rPr>
                <w:rFonts w:eastAsia="Times New Roman" w:cstheme="minorHAnsi"/>
                <w:color w:val="000000" w:themeColor="text1"/>
                <w:sz w:val="18"/>
                <w:szCs w:val="20"/>
                <w:lang w:val="en-AU"/>
              </w:rPr>
            </w:pPr>
            <w:r w:rsidRPr="00C31A05">
              <w:rPr>
                <w:rFonts w:eastAsia="Times New Roman" w:cstheme="minorHAnsi"/>
                <w:color w:val="000000" w:themeColor="text1"/>
                <w:sz w:val="18"/>
                <w:szCs w:val="20"/>
                <w:lang w:val="en-AU"/>
              </w:rPr>
              <w:t>1, 2, 10, 11, 17, 18, 19</w:t>
            </w:r>
          </w:p>
          <w:p w14:paraId="2B641CD8" w14:textId="77777777" w:rsidR="00B6536D" w:rsidRPr="00B22620" w:rsidRDefault="00B6536D" w:rsidP="004F5A5B">
            <w:pPr>
              <w:spacing w:before="0"/>
              <w:rPr>
                <w:rFonts w:eastAsia="Times New Roman" w:cstheme="minorHAnsi"/>
                <w:color w:val="FF0000"/>
                <w:sz w:val="18"/>
                <w:szCs w:val="20"/>
                <w:lang w:val="en-AU"/>
              </w:rPr>
            </w:pPr>
          </w:p>
        </w:tc>
      </w:tr>
      <w:bookmarkStart w:id="309" w:name="_Hlk29383583"/>
      <w:tr w:rsidR="00B6536D" w:rsidRPr="00B22620" w14:paraId="3F11017F" w14:textId="77777777" w:rsidTr="004F5A5B">
        <w:trPr>
          <w:trHeight w:val="20"/>
        </w:trPr>
        <w:tc>
          <w:tcPr>
            <w:tcW w:w="1257" w:type="pct"/>
            <w:shd w:val="clear" w:color="auto" w:fill="auto"/>
          </w:tcPr>
          <w:p w14:paraId="0D449195" w14:textId="77777777" w:rsidR="00B6536D" w:rsidRPr="00B332DF" w:rsidRDefault="00B6536D" w:rsidP="004F5A5B">
            <w:pPr>
              <w:spacing w:before="0"/>
              <w:rPr>
                <w:rFonts w:cstheme="minorHAnsi"/>
                <w:sz w:val="18"/>
                <w:szCs w:val="20"/>
                <w:lang w:val="en-AU"/>
              </w:rPr>
            </w:pPr>
            <w:r w:rsidRPr="00B332DF">
              <w:fldChar w:fldCharType="begin"/>
            </w:r>
            <w:r w:rsidRPr="00B332DF">
              <w:rPr>
                <w:sz w:val="18"/>
                <w:szCs w:val="20"/>
                <w:lang w:val="en-AU"/>
              </w:rPr>
              <w:instrText xml:space="preserve"> HYPERLINK "https://www1.health.gov.au/internet/main/publishing.nsf/Content/4815673E283EC1B6CA2584000082EA7D/$File/FINAL%20National%20Action%20Plan%20for%20the%20Health%20of%20Children%20and%20Young%20People%202020-2030.pdf" </w:instrText>
            </w:r>
            <w:r w:rsidRPr="00B332DF">
              <w:fldChar w:fldCharType="separate"/>
            </w:r>
            <w:r w:rsidRPr="00B332DF">
              <w:rPr>
                <w:rStyle w:val="Hyperlink"/>
                <w:rFonts w:cstheme="minorHAnsi"/>
                <w:sz w:val="18"/>
                <w:szCs w:val="20"/>
                <w:lang w:val="en-AU"/>
              </w:rPr>
              <w:t>National Action Plan for the Health of Children and Young people</w:t>
            </w:r>
            <w:r w:rsidRPr="00B332DF">
              <w:rPr>
                <w:rStyle w:val="Hyperlink"/>
                <w:rFonts w:cstheme="minorHAnsi"/>
                <w:sz w:val="18"/>
                <w:szCs w:val="20"/>
                <w:lang w:val="en-AU"/>
              </w:rPr>
              <w:fldChar w:fldCharType="end"/>
            </w:r>
            <w:r w:rsidRPr="00B332DF">
              <w:rPr>
                <w:rStyle w:val="Hyperlink"/>
                <w:rFonts w:cstheme="minorHAnsi"/>
                <w:sz w:val="18"/>
                <w:szCs w:val="20"/>
                <w:lang w:val="en-AU"/>
              </w:rPr>
              <w:t xml:space="preserve"> </w:t>
            </w:r>
            <w:bookmarkEnd w:id="309"/>
          </w:p>
        </w:tc>
        <w:tc>
          <w:tcPr>
            <w:tcW w:w="786" w:type="pct"/>
          </w:tcPr>
          <w:p w14:paraId="1A91CBD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664587E3"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2020-2030</w:t>
            </w:r>
          </w:p>
        </w:tc>
        <w:tc>
          <w:tcPr>
            <w:tcW w:w="1018" w:type="pct"/>
            <w:shd w:val="clear" w:color="auto" w:fill="auto"/>
          </w:tcPr>
          <w:p w14:paraId="147B03A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Children and young people; rural and remote, Aboriginal and Torres Strait Islander, born into poverty, culturally and linguistically diverse, living with disability, living in out of home care, incarcerated, LGBTQI+, homeless</w:t>
            </w:r>
          </w:p>
        </w:tc>
        <w:tc>
          <w:tcPr>
            <w:tcW w:w="786" w:type="pct"/>
          </w:tcPr>
          <w:p w14:paraId="4E48F97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Injuries acknowledged generally, injury types not specified </w:t>
            </w:r>
          </w:p>
        </w:tc>
        <w:tc>
          <w:tcPr>
            <w:tcW w:w="758" w:type="pct"/>
          </w:tcPr>
          <w:p w14:paraId="6097EAA1"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1, 2, 3, 6, 8, 7, 10, 13, 14, 15, 16, 17, 18, 19, 20, 22, 24</w:t>
            </w:r>
          </w:p>
        </w:tc>
      </w:tr>
      <w:tr w:rsidR="00B6536D" w:rsidRPr="00B22620" w14:paraId="48D582B7" w14:textId="77777777" w:rsidTr="004F5A5B">
        <w:trPr>
          <w:trHeight w:val="20"/>
        </w:trPr>
        <w:tc>
          <w:tcPr>
            <w:tcW w:w="1257" w:type="pct"/>
            <w:shd w:val="clear" w:color="auto" w:fill="auto"/>
            <w:hideMark/>
          </w:tcPr>
          <w:p w14:paraId="0A734B44" w14:textId="77777777" w:rsidR="00B6536D" w:rsidRPr="00B332DF" w:rsidRDefault="00CC28D5" w:rsidP="004F5A5B">
            <w:pPr>
              <w:spacing w:before="0"/>
              <w:rPr>
                <w:rFonts w:eastAsia="Times New Roman" w:cstheme="minorHAnsi"/>
                <w:color w:val="0563C1"/>
                <w:sz w:val="18"/>
                <w:szCs w:val="20"/>
                <w:u w:val="single"/>
                <w:lang w:val="en-AU"/>
              </w:rPr>
            </w:pPr>
            <w:hyperlink r:id="rId76" w:history="1">
              <w:r w:rsidR="00B6536D" w:rsidRPr="00B332DF">
                <w:rPr>
                  <w:rStyle w:val="Hyperlink"/>
                  <w:rFonts w:cstheme="minorHAnsi"/>
                  <w:sz w:val="18"/>
                  <w:szCs w:val="20"/>
                  <w:lang w:val="en-AU"/>
                </w:rPr>
                <w:t>National Ageing and Aged Care Strategy For people from Culturally and Linguistically Diverse (CALD) backgrounds</w:t>
              </w:r>
            </w:hyperlink>
            <w:r w:rsidR="00B6536D" w:rsidRPr="00B332DF">
              <w:rPr>
                <w:rFonts w:cstheme="minorHAnsi"/>
                <w:sz w:val="18"/>
                <w:szCs w:val="20"/>
                <w:lang w:val="en-AU"/>
              </w:rPr>
              <w:t xml:space="preserve"> </w:t>
            </w:r>
          </w:p>
          <w:p w14:paraId="041B3949"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2371673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DSS</w:t>
            </w:r>
          </w:p>
          <w:p w14:paraId="509227BC" w14:textId="77777777" w:rsidR="00B6536D" w:rsidRPr="00B332DF" w:rsidRDefault="00B6536D" w:rsidP="004F5A5B">
            <w:pPr>
              <w:spacing w:before="0"/>
              <w:rPr>
                <w:rFonts w:eastAsia="Times New Roman" w:cstheme="minorHAnsi"/>
                <w:color w:val="000000"/>
                <w:sz w:val="18"/>
                <w:szCs w:val="20"/>
                <w:lang w:val="en-AU"/>
              </w:rPr>
            </w:pPr>
          </w:p>
        </w:tc>
        <w:tc>
          <w:tcPr>
            <w:tcW w:w="395" w:type="pct"/>
          </w:tcPr>
          <w:p w14:paraId="120B4751"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2012-2017</w:t>
            </w:r>
          </w:p>
        </w:tc>
        <w:tc>
          <w:tcPr>
            <w:tcW w:w="1018" w:type="pct"/>
            <w:shd w:val="clear" w:color="auto" w:fill="auto"/>
            <w:hideMark/>
          </w:tcPr>
          <w:p w14:paraId="55BBB71B"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Mentions language needs of Aboriginal and Torres Strait Islander people; Rural / remote;</w:t>
            </w:r>
          </w:p>
          <w:p w14:paraId="1D6C67F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Culturally and linguistically diverse populations including older people with refugee-like experiences, LGBTQI+</w:t>
            </w:r>
          </w:p>
        </w:tc>
        <w:tc>
          <w:tcPr>
            <w:tcW w:w="786" w:type="pct"/>
          </w:tcPr>
          <w:p w14:paraId="62DE454D"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w:t>
            </w:r>
          </w:p>
        </w:tc>
        <w:tc>
          <w:tcPr>
            <w:tcW w:w="758" w:type="pct"/>
          </w:tcPr>
          <w:p w14:paraId="04158680" w14:textId="77777777" w:rsidR="00B6536D" w:rsidRPr="00B22620" w:rsidRDefault="00B6536D" w:rsidP="004F5A5B">
            <w:pPr>
              <w:spacing w:before="0"/>
              <w:rPr>
                <w:rFonts w:eastAsia="Times New Roman" w:cstheme="minorHAnsi"/>
                <w:color w:val="FF0000"/>
                <w:sz w:val="18"/>
                <w:szCs w:val="20"/>
                <w:lang w:val="en-AU"/>
              </w:rPr>
            </w:pPr>
            <w:r w:rsidRPr="00C31A05">
              <w:rPr>
                <w:rFonts w:eastAsia="Times New Roman" w:cstheme="minorHAnsi"/>
                <w:color w:val="000000" w:themeColor="text1"/>
                <w:sz w:val="18"/>
                <w:szCs w:val="20"/>
                <w:lang w:val="en-AU"/>
              </w:rPr>
              <w:t>1, 3, 6, 11</w:t>
            </w:r>
          </w:p>
        </w:tc>
      </w:tr>
      <w:bookmarkStart w:id="310" w:name="_Hlk29383549"/>
      <w:tr w:rsidR="00B6536D" w:rsidRPr="00B22620" w14:paraId="1627B19A" w14:textId="77777777" w:rsidTr="004F5A5B">
        <w:trPr>
          <w:trHeight w:val="20"/>
        </w:trPr>
        <w:tc>
          <w:tcPr>
            <w:tcW w:w="1257" w:type="pct"/>
            <w:shd w:val="clear" w:color="auto" w:fill="auto"/>
            <w:hideMark/>
          </w:tcPr>
          <w:p w14:paraId="42047262" w14:textId="77777777" w:rsidR="00B6536D" w:rsidRPr="00B332DF" w:rsidRDefault="00B6536D" w:rsidP="004F5A5B">
            <w:pPr>
              <w:spacing w:before="0"/>
              <w:rPr>
                <w:rFonts w:cstheme="minorHAnsi"/>
                <w:sz w:val="18"/>
                <w:szCs w:val="20"/>
                <w:lang w:val="en-AU"/>
              </w:rPr>
            </w:pPr>
            <w:r w:rsidRPr="00B332DF">
              <w:rPr>
                <w:rFonts w:cstheme="minorHAnsi"/>
                <w:sz w:val="18"/>
                <w:szCs w:val="20"/>
                <w:lang w:val="en-AU"/>
              </w:rPr>
              <w:fldChar w:fldCharType="begin"/>
            </w:r>
            <w:r w:rsidRPr="00B332DF">
              <w:rPr>
                <w:rFonts w:cstheme="minorHAnsi"/>
                <w:sz w:val="18"/>
                <w:szCs w:val="20"/>
                <w:lang w:val="en-AU"/>
              </w:rPr>
              <w:instrText xml:space="preserve"> HYPERLINK "https://www.health.gov.au/sites/default/files/documents/2019/12/national-alcohol-strategy-2019-2028.pdf" </w:instrText>
            </w:r>
            <w:r w:rsidRPr="00B332DF">
              <w:rPr>
                <w:rFonts w:cstheme="minorHAnsi"/>
                <w:sz w:val="18"/>
                <w:szCs w:val="20"/>
                <w:lang w:val="en-AU"/>
              </w:rPr>
              <w:fldChar w:fldCharType="separate"/>
            </w:r>
            <w:r w:rsidRPr="00B332DF">
              <w:rPr>
                <w:rStyle w:val="Hyperlink"/>
                <w:rFonts w:cstheme="minorHAnsi"/>
                <w:sz w:val="18"/>
                <w:szCs w:val="20"/>
                <w:lang w:val="en-AU"/>
              </w:rPr>
              <w:t>National Alcohol Strategy 2019-2028</w:t>
            </w:r>
            <w:r w:rsidRPr="00B332DF">
              <w:rPr>
                <w:rFonts w:cstheme="minorHAnsi"/>
                <w:sz w:val="18"/>
                <w:szCs w:val="20"/>
                <w:lang w:val="en-AU"/>
              </w:rPr>
              <w:fldChar w:fldCharType="end"/>
            </w:r>
            <w:r w:rsidRPr="00B332DF">
              <w:rPr>
                <w:rFonts w:cstheme="minorHAnsi"/>
                <w:sz w:val="18"/>
                <w:szCs w:val="20"/>
                <w:lang w:val="en-AU"/>
              </w:rPr>
              <w:t xml:space="preserve"> </w:t>
            </w:r>
            <w:bookmarkEnd w:id="310"/>
          </w:p>
        </w:tc>
        <w:tc>
          <w:tcPr>
            <w:tcW w:w="786" w:type="pct"/>
          </w:tcPr>
          <w:p w14:paraId="3FA4F384"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Ministerial Drug and Alcohol Forum</w:t>
            </w:r>
          </w:p>
        </w:tc>
        <w:tc>
          <w:tcPr>
            <w:tcW w:w="395" w:type="pct"/>
          </w:tcPr>
          <w:p w14:paraId="361EE79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2019-2028</w:t>
            </w:r>
          </w:p>
        </w:tc>
        <w:tc>
          <w:tcPr>
            <w:tcW w:w="1018" w:type="pct"/>
            <w:shd w:val="clear" w:color="auto" w:fill="auto"/>
            <w:hideMark/>
          </w:tcPr>
          <w:p w14:paraId="5AA7877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Remote areas;</w:t>
            </w:r>
          </w:p>
          <w:p w14:paraId="6805950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Children</w:t>
            </w:r>
          </w:p>
          <w:p w14:paraId="39325C5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Pregnant women, LGBTQI+ community</w:t>
            </w:r>
          </w:p>
        </w:tc>
        <w:tc>
          <w:tcPr>
            <w:tcW w:w="786" w:type="pct"/>
          </w:tcPr>
          <w:p w14:paraId="5C0C938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Harm from alcohol: Contributing to avoidable injury and road accidents</w:t>
            </w:r>
          </w:p>
        </w:tc>
        <w:tc>
          <w:tcPr>
            <w:tcW w:w="758" w:type="pct"/>
          </w:tcPr>
          <w:p w14:paraId="69845E6F" w14:textId="77777777" w:rsidR="00B6536D" w:rsidRPr="00C31A05" w:rsidRDefault="00B6536D" w:rsidP="004F5A5B">
            <w:pPr>
              <w:spacing w:before="0"/>
              <w:rPr>
                <w:rFonts w:eastAsia="Times New Roman" w:cstheme="minorHAnsi"/>
                <w:color w:val="000000" w:themeColor="text1"/>
                <w:sz w:val="18"/>
                <w:szCs w:val="20"/>
                <w:lang w:val="en-AU"/>
              </w:rPr>
            </w:pPr>
            <w:r w:rsidRPr="00C31A05">
              <w:rPr>
                <w:rFonts w:eastAsia="Times New Roman" w:cstheme="minorHAnsi"/>
                <w:color w:val="000000" w:themeColor="text1"/>
                <w:sz w:val="18"/>
                <w:szCs w:val="20"/>
                <w:lang w:val="en-AU"/>
              </w:rPr>
              <w:t>6, 12, 13, 17, 20, 22, 23, 24</w:t>
            </w:r>
          </w:p>
        </w:tc>
      </w:tr>
      <w:tr w:rsidR="00B6536D" w:rsidRPr="00B22620" w14:paraId="1BD89703" w14:textId="77777777" w:rsidTr="004F5A5B">
        <w:trPr>
          <w:trHeight w:val="20"/>
        </w:trPr>
        <w:tc>
          <w:tcPr>
            <w:tcW w:w="1257" w:type="pct"/>
            <w:shd w:val="clear" w:color="auto" w:fill="auto"/>
          </w:tcPr>
          <w:p w14:paraId="0BD51C4B" w14:textId="77777777" w:rsidR="00B6536D" w:rsidRPr="00B332DF" w:rsidRDefault="00CC28D5" w:rsidP="004F5A5B">
            <w:pPr>
              <w:spacing w:before="0"/>
              <w:rPr>
                <w:sz w:val="18"/>
                <w:szCs w:val="20"/>
                <w:lang w:val="en-AU"/>
              </w:rPr>
            </w:pPr>
            <w:hyperlink r:id="rId77" w:history="1">
              <w:r w:rsidR="00B6536D" w:rsidRPr="00B332DF">
                <w:rPr>
                  <w:rStyle w:val="Hyperlink"/>
                  <w:sz w:val="18"/>
                  <w:szCs w:val="20"/>
                  <w:lang w:val="en-AU"/>
                </w:rPr>
                <w:t>National Climate Resilience and Adaptation Strategy</w:t>
              </w:r>
            </w:hyperlink>
          </w:p>
        </w:tc>
        <w:tc>
          <w:tcPr>
            <w:tcW w:w="786" w:type="pct"/>
          </w:tcPr>
          <w:p w14:paraId="09AB1755" w14:textId="77777777" w:rsidR="00B6536D" w:rsidRPr="00B332DF" w:rsidRDefault="00B6536D" w:rsidP="004F5A5B">
            <w:pPr>
              <w:spacing w:before="0"/>
              <w:rPr>
                <w:sz w:val="18"/>
                <w:szCs w:val="20"/>
                <w:lang w:val="en-AU"/>
              </w:rPr>
            </w:pPr>
            <w:r w:rsidRPr="00B332DF">
              <w:rPr>
                <w:sz w:val="18"/>
                <w:szCs w:val="20"/>
                <w:lang w:val="en-AU"/>
              </w:rPr>
              <w:t>Commonwealth of Australia</w:t>
            </w:r>
          </w:p>
        </w:tc>
        <w:tc>
          <w:tcPr>
            <w:tcW w:w="395" w:type="pct"/>
          </w:tcPr>
          <w:p w14:paraId="03AAC032" w14:textId="77777777" w:rsidR="00B6536D" w:rsidRPr="00B332DF" w:rsidRDefault="00B6536D" w:rsidP="004F5A5B">
            <w:pPr>
              <w:spacing w:before="0"/>
              <w:rPr>
                <w:rFonts w:cstheme="minorHAnsi"/>
                <w:sz w:val="18"/>
                <w:szCs w:val="20"/>
                <w:lang w:val="en-AU"/>
              </w:rPr>
            </w:pPr>
            <w:r w:rsidRPr="00B332DF">
              <w:rPr>
                <w:rFonts w:cstheme="minorHAnsi"/>
                <w:sz w:val="18"/>
                <w:szCs w:val="20"/>
                <w:lang w:val="en-AU"/>
              </w:rPr>
              <w:t>2015</w:t>
            </w:r>
          </w:p>
        </w:tc>
        <w:tc>
          <w:tcPr>
            <w:tcW w:w="1018" w:type="pct"/>
            <w:shd w:val="clear" w:color="auto" w:fill="auto"/>
          </w:tcPr>
          <w:p w14:paraId="489BE70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All populations</w:t>
            </w:r>
          </w:p>
        </w:tc>
        <w:tc>
          <w:tcPr>
            <w:tcW w:w="786" w:type="pct"/>
          </w:tcPr>
          <w:p w14:paraId="1FF9C49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Injury impacts of weather events</w:t>
            </w:r>
          </w:p>
        </w:tc>
        <w:tc>
          <w:tcPr>
            <w:tcW w:w="758" w:type="pct"/>
          </w:tcPr>
          <w:p w14:paraId="4BF89E2A" w14:textId="77777777" w:rsidR="00B6536D" w:rsidRPr="00B22620" w:rsidRDefault="00B6536D" w:rsidP="004F5A5B">
            <w:pPr>
              <w:spacing w:before="0"/>
              <w:rPr>
                <w:rFonts w:eastAsia="Times New Roman" w:cstheme="minorHAnsi"/>
                <w:color w:val="FF0000"/>
                <w:sz w:val="18"/>
                <w:szCs w:val="20"/>
                <w:lang w:val="en-AU"/>
              </w:rPr>
            </w:pPr>
            <w:r w:rsidRPr="005A5732">
              <w:rPr>
                <w:rFonts w:eastAsia="Times New Roman" w:cstheme="minorHAnsi"/>
                <w:color w:val="000000" w:themeColor="text1"/>
                <w:sz w:val="18"/>
                <w:szCs w:val="20"/>
                <w:lang w:val="en-AU"/>
              </w:rPr>
              <w:t>25, 26, 27, 28, 29</w:t>
            </w:r>
          </w:p>
        </w:tc>
      </w:tr>
      <w:tr w:rsidR="00B6536D" w:rsidRPr="00B22620" w14:paraId="3193B17C" w14:textId="77777777" w:rsidTr="004F5A5B">
        <w:trPr>
          <w:trHeight w:val="20"/>
        </w:trPr>
        <w:tc>
          <w:tcPr>
            <w:tcW w:w="1257" w:type="pct"/>
            <w:shd w:val="clear" w:color="auto" w:fill="auto"/>
          </w:tcPr>
          <w:p w14:paraId="5F261B31" w14:textId="77777777" w:rsidR="00B6536D" w:rsidRPr="00B332DF" w:rsidRDefault="00CC28D5" w:rsidP="004F5A5B">
            <w:pPr>
              <w:spacing w:before="0"/>
              <w:rPr>
                <w:sz w:val="18"/>
                <w:szCs w:val="20"/>
                <w:lang w:val="en-AU"/>
              </w:rPr>
            </w:pPr>
            <w:hyperlink r:id="rId78" w:history="1">
              <w:r w:rsidR="00B6536D" w:rsidRPr="00B332DF">
                <w:rPr>
                  <w:rStyle w:val="Hyperlink"/>
                  <w:sz w:val="18"/>
                  <w:szCs w:val="20"/>
                  <w:lang w:val="en-AU"/>
                </w:rPr>
                <w:t>National Disaster Risk Reduction Framework</w:t>
              </w:r>
            </w:hyperlink>
          </w:p>
          <w:p w14:paraId="53EDFD1E" w14:textId="77777777" w:rsidR="00B6536D" w:rsidRPr="00B332DF" w:rsidRDefault="00B6536D" w:rsidP="004F5A5B">
            <w:pPr>
              <w:spacing w:before="0"/>
              <w:rPr>
                <w:sz w:val="18"/>
                <w:szCs w:val="20"/>
                <w:lang w:val="en-AU"/>
              </w:rPr>
            </w:pPr>
          </w:p>
        </w:tc>
        <w:tc>
          <w:tcPr>
            <w:tcW w:w="786" w:type="pct"/>
          </w:tcPr>
          <w:p w14:paraId="6C144B53" w14:textId="77777777" w:rsidR="00B6536D" w:rsidRPr="00B332DF" w:rsidRDefault="00B6536D" w:rsidP="004F5A5B">
            <w:pPr>
              <w:spacing w:before="0"/>
              <w:rPr>
                <w:rFonts w:eastAsia="Times New Roman" w:cstheme="minorHAnsi"/>
                <w:color w:val="000000"/>
                <w:sz w:val="18"/>
                <w:szCs w:val="20"/>
                <w:lang w:val="en-AU"/>
              </w:rPr>
            </w:pPr>
            <w:r w:rsidRPr="00B332DF">
              <w:rPr>
                <w:sz w:val="18"/>
                <w:szCs w:val="20"/>
                <w:lang w:val="en-AU"/>
              </w:rPr>
              <w:t>National Resilience Taskforce, Australian Government Department of Home Affairs</w:t>
            </w:r>
          </w:p>
        </w:tc>
        <w:tc>
          <w:tcPr>
            <w:tcW w:w="395" w:type="pct"/>
          </w:tcPr>
          <w:p w14:paraId="619AB0C7" w14:textId="77777777" w:rsidR="00B6536D" w:rsidRPr="00B332DF" w:rsidRDefault="00B6536D" w:rsidP="004F5A5B">
            <w:pPr>
              <w:spacing w:before="0"/>
              <w:rPr>
                <w:rFonts w:cstheme="minorHAnsi"/>
                <w:sz w:val="18"/>
                <w:szCs w:val="20"/>
                <w:lang w:val="en-AU"/>
              </w:rPr>
            </w:pPr>
            <w:r w:rsidRPr="00B332DF">
              <w:rPr>
                <w:rFonts w:cstheme="minorHAnsi"/>
                <w:sz w:val="18"/>
                <w:szCs w:val="20"/>
                <w:lang w:val="en-AU"/>
              </w:rPr>
              <w:t>2018</w:t>
            </w:r>
          </w:p>
        </w:tc>
        <w:tc>
          <w:tcPr>
            <w:tcW w:w="1018" w:type="pct"/>
            <w:shd w:val="clear" w:color="auto" w:fill="auto"/>
          </w:tcPr>
          <w:p w14:paraId="067CA56D"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All populations</w:t>
            </w:r>
          </w:p>
        </w:tc>
        <w:tc>
          <w:tcPr>
            <w:tcW w:w="786" w:type="pct"/>
          </w:tcPr>
          <w:p w14:paraId="76E305F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Injury impacts of weather events, including mental health</w:t>
            </w:r>
          </w:p>
        </w:tc>
        <w:tc>
          <w:tcPr>
            <w:tcW w:w="758" w:type="pct"/>
          </w:tcPr>
          <w:p w14:paraId="7E698802" w14:textId="77777777" w:rsidR="00B6536D" w:rsidRPr="00B22620" w:rsidRDefault="00B6536D" w:rsidP="004F5A5B">
            <w:pPr>
              <w:spacing w:before="0"/>
              <w:rPr>
                <w:rFonts w:eastAsia="Times New Roman" w:cstheme="minorHAnsi"/>
                <w:color w:val="FF0000"/>
                <w:sz w:val="18"/>
                <w:szCs w:val="20"/>
                <w:lang w:val="en-AU"/>
              </w:rPr>
            </w:pPr>
            <w:r w:rsidRPr="005A5732">
              <w:rPr>
                <w:rFonts w:eastAsia="Times New Roman" w:cstheme="minorHAnsi"/>
                <w:color w:val="000000" w:themeColor="text1"/>
                <w:sz w:val="18"/>
                <w:szCs w:val="20"/>
                <w:lang w:val="en-AU"/>
              </w:rPr>
              <w:t>25, 26, 27, 28, 29</w:t>
            </w:r>
          </w:p>
        </w:tc>
      </w:tr>
      <w:bookmarkStart w:id="311" w:name="_Hlk29383517"/>
      <w:tr w:rsidR="00B6536D" w:rsidRPr="00B22620" w14:paraId="132724A0" w14:textId="77777777" w:rsidTr="004F5A5B">
        <w:trPr>
          <w:trHeight w:val="20"/>
        </w:trPr>
        <w:tc>
          <w:tcPr>
            <w:tcW w:w="1257" w:type="pct"/>
            <w:shd w:val="clear" w:color="auto" w:fill="auto"/>
          </w:tcPr>
          <w:p w14:paraId="0A0CA629" w14:textId="77777777" w:rsidR="00B6536D" w:rsidRPr="00B332DF" w:rsidRDefault="00B6536D" w:rsidP="004F5A5B">
            <w:pPr>
              <w:spacing w:before="0"/>
              <w:rPr>
                <w:sz w:val="18"/>
                <w:szCs w:val="20"/>
                <w:lang w:val="en-AU"/>
              </w:rPr>
            </w:pPr>
            <w:r w:rsidRPr="00B332DF">
              <w:fldChar w:fldCharType="begin"/>
            </w:r>
            <w:r w:rsidRPr="00B332DF">
              <w:rPr>
                <w:sz w:val="18"/>
                <w:szCs w:val="20"/>
                <w:lang w:val="en-AU"/>
              </w:rPr>
              <w:instrText xml:space="preserve"> HYPERLINK "https://www.health.gov.au/sites/default/files/national-drug-strategy-2017-2026_1.pdf" </w:instrText>
            </w:r>
            <w:r w:rsidRPr="00B332DF">
              <w:fldChar w:fldCharType="separate"/>
            </w:r>
            <w:r w:rsidRPr="00B332DF">
              <w:rPr>
                <w:rStyle w:val="Hyperlink"/>
                <w:rFonts w:cstheme="minorHAnsi"/>
                <w:sz w:val="18"/>
                <w:szCs w:val="20"/>
                <w:lang w:val="en-AU"/>
              </w:rPr>
              <w:t>National Drug Strategy 2017-2026</w:t>
            </w:r>
            <w:r w:rsidRPr="00B332DF">
              <w:rPr>
                <w:rStyle w:val="Hyperlink"/>
                <w:rFonts w:cstheme="minorHAnsi"/>
                <w:sz w:val="18"/>
                <w:szCs w:val="20"/>
                <w:lang w:val="en-AU"/>
              </w:rPr>
              <w:fldChar w:fldCharType="end"/>
            </w:r>
            <w:r w:rsidRPr="00B332DF" w:rsidDel="00E56F93">
              <w:rPr>
                <w:sz w:val="18"/>
                <w:szCs w:val="20"/>
                <w:lang w:val="en-AU"/>
              </w:rPr>
              <w:t xml:space="preserve"> </w:t>
            </w:r>
            <w:bookmarkEnd w:id="311"/>
          </w:p>
        </w:tc>
        <w:tc>
          <w:tcPr>
            <w:tcW w:w="786" w:type="pct"/>
          </w:tcPr>
          <w:p w14:paraId="224F2AA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5223B4D0" w14:textId="77777777" w:rsidR="00B6536D" w:rsidRPr="00B332DF" w:rsidRDefault="00B6536D" w:rsidP="004F5A5B">
            <w:pPr>
              <w:spacing w:before="0"/>
              <w:rPr>
                <w:rFonts w:eastAsia="Times New Roman" w:cstheme="minorHAnsi"/>
                <w:color w:val="000000"/>
                <w:sz w:val="18"/>
                <w:szCs w:val="20"/>
                <w:lang w:val="en-AU"/>
              </w:rPr>
            </w:pPr>
            <w:r w:rsidRPr="00B332DF">
              <w:rPr>
                <w:rFonts w:cstheme="minorHAnsi"/>
                <w:sz w:val="18"/>
                <w:szCs w:val="20"/>
                <w:lang w:val="en-AU"/>
              </w:rPr>
              <w:t>2017-2026</w:t>
            </w:r>
          </w:p>
        </w:tc>
        <w:tc>
          <w:tcPr>
            <w:tcW w:w="1018" w:type="pct"/>
            <w:shd w:val="clear" w:color="auto" w:fill="auto"/>
          </w:tcPr>
          <w:p w14:paraId="3EDC643B"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Aboriginal and Torres Strait Islander people, young people, older people, people with mental health conditions, culturally and linguistically diverse, those in contact with criminal justice system, LGBTQI+</w:t>
            </w:r>
          </w:p>
        </w:tc>
        <w:tc>
          <w:tcPr>
            <w:tcW w:w="786" w:type="pct"/>
          </w:tcPr>
          <w:p w14:paraId="27FE0F04"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Injury-related harm from drugs: Road/ transport</w:t>
            </w:r>
            <w:r w:rsidRPr="00B332DF" w:rsidDel="0047604C">
              <w:rPr>
                <w:rFonts w:eastAsia="Times New Roman" w:cstheme="minorHAnsi"/>
                <w:color w:val="000000"/>
                <w:sz w:val="18"/>
                <w:szCs w:val="20"/>
                <w:lang w:val="en-AU"/>
              </w:rPr>
              <w:t xml:space="preserve"> </w:t>
            </w:r>
            <w:r w:rsidRPr="00B332DF">
              <w:rPr>
                <w:rFonts w:eastAsia="Times New Roman" w:cstheme="minorHAnsi"/>
                <w:color w:val="000000"/>
                <w:sz w:val="18"/>
                <w:szCs w:val="20"/>
                <w:lang w:val="en-AU"/>
              </w:rPr>
              <w:t>suicide, mental health disorders, violence</w:t>
            </w:r>
          </w:p>
        </w:tc>
        <w:tc>
          <w:tcPr>
            <w:tcW w:w="758" w:type="pct"/>
          </w:tcPr>
          <w:p w14:paraId="5892CF4A" w14:textId="77777777" w:rsidR="00B6536D" w:rsidRPr="005A5732"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6, 12, 13, 17, 20, 22, 23, 24</w:t>
            </w:r>
          </w:p>
        </w:tc>
      </w:tr>
      <w:tr w:rsidR="00B6536D" w:rsidRPr="00B22620" w14:paraId="026E0D7B" w14:textId="77777777" w:rsidTr="004F5A5B">
        <w:trPr>
          <w:trHeight w:val="20"/>
        </w:trPr>
        <w:tc>
          <w:tcPr>
            <w:tcW w:w="1257" w:type="pct"/>
            <w:shd w:val="clear" w:color="auto" w:fill="auto"/>
            <w:hideMark/>
          </w:tcPr>
          <w:p w14:paraId="5FB4C053" w14:textId="77777777" w:rsidR="00B6536D" w:rsidRPr="00B332DF" w:rsidRDefault="00CC28D5" w:rsidP="004F5A5B">
            <w:pPr>
              <w:spacing w:before="0"/>
              <w:rPr>
                <w:rFonts w:eastAsia="Times New Roman" w:cstheme="minorHAnsi"/>
                <w:color w:val="0563C1"/>
                <w:sz w:val="18"/>
                <w:szCs w:val="20"/>
                <w:u w:val="single"/>
                <w:lang w:val="en-AU"/>
              </w:rPr>
            </w:pPr>
            <w:hyperlink r:id="rId79" w:history="1">
              <w:r w:rsidR="00B6536D" w:rsidRPr="00B332DF">
                <w:rPr>
                  <w:rFonts w:eastAsia="Times New Roman" w:cstheme="minorHAnsi"/>
                  <w:color w:val="0563C1"/>
                  <w:sz w:val="18"/>
                  <w:szCs w:val="20"/>
                  <w:u w:val="single"/>
                  <w:lang w:val="en-AU"/>
                </w:rPr>
                <w:t>National Falls Prevention for Older People Plan 2004 Onwards</w:t>
              </w:r>
            </w:hyperlink>
          </w:p>
        </w:tc>
        <w:tc>
          <w:tcPr>
            <w:tcW w:w="786" w:type="pct"/>
          </w:tcPr>
          <w:p w14:paraId="344324D1"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National Public Health Partnership</w:t>
            </w:r>
          </w:p>
        </w:tc>
        <w:tc>
          <w:tcPr>
            <w:tcW w:w="395" w:type="pct"/>
          </w:tcPr>
          <w:p w14:paraId="0EE838A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2004+</w:t>
            </w:r>
          </w:p>
        </w:tc>
        <w:tc>
          <w:tcPr>
            <w:tcW w:w="1018" w:type="pct"/>
            <w:shd w:val="clear" w:color="auto" w:fill="auto"/>
            <w:hideMark/>
          </w:tcPr>
          <w:p w14:paraId="7DD2002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Older people</w:t>
            </w:r>
          </w:p>
        </w:tc>
        <w:tc>
          <w:tcPr>
            <w:tcW w:w="786" w:type="pct"/>
          </w:tcPr>
          <w:p w14:paraId="7C5D062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Falls</w:t>
            </w:r>
          </w:p>
        </w:tc>
        <w:tc>
          <w:tcPr>
            <w:tcW w:w="758" w:type="pct"/>
          </w:tcPr>
          <w:p w14:paraId="17C1D751" w14:textId="77777777" w:rsidR="00B6536D" w:rsidRPr="00B22620" w:rsidRDefault="00B6536D" w:rsidP="004F5A5B">
            <w:pPr>
              <w:spacing w:before="0"/>
              <w:rPr>
                <w:rFonts w:eastAsia="Times New Roman" w:cstheme="minorHAnsi"/>
                <w:color w:val="FF0000"/>
                <w:sz w:val="18"/>
                <w:szCs w:val="20"/>
                <w:lang w:val="en-AU"/>
              </w:rPr>
            </w:pPr>
            <w:r w:rsidRPr="005A5732">
              <w:rPr>
                <w:rFonts w:eastAsia="Times New Roman" w:cstheme="minorHAnsi"/>
                <w:color w:val="000000" w:themeColor="text1"/>
                <w:sz w:val="18"/>
                <w:szCs w:val="20"/>
                <w:lang w:val="en-AU"/>
              </w:rPr>
              <w:t>3</w:t>
            </w:r>
          </w:p>
        </w:tc>
      </w:tr>
      <w:bookmarkStart w:id="312" w:name="_Hlk29383465"/>
      <w:tr w:rsidR="00B6536D" w:rsidRPr="00B22620" w14:paraId="49D2788B" w14:textId="77777777" w:rsidTr="004F5A5B">
        <w:trPr>
          <w:trHeight w:val="20"/>
        </w:trPr>
        <w:tc>
          <w:tcPr>
            <w:tcW w:w="1257" w:type="pct"/>
            <w:shd w:val="clear" w:color="auto" w:fill="auto"/>
          </w:tcPr>
          <w:p w14:paraId="5307CCFF" w14:textId="77777777" w:rsidR="00B6536D" w:rsidRPr="00B332DF" w:rsidRDefault="00B6536D" w:rsidP="004F5A5B">
            <w:pPr>
              <w:spacing w:before="0"/>
              <w:rPr>
                <w:rFonts w:cstheme="minorHAnsi"/>
                <w:sz w:val="18"/>
                <w:szCs w:val="20"/>
                <w:lang w:val="en-AU"/>
              </w:rPr>
            </w:pPr>
            <w:r w:rsidRPr="00B332DF">
              <w:fldChar w:fldCharType="begin"/>
            </w:r>
            <w:r w:rsidRPr="00B332DF">
              <w:rPr>
                <w:sz w:val="18"/>
                <w:szCs w:val="20"/>
                <w:lang w:val="en-AU"/>
              </w:rPr>
              <w:instrText xml:space="preserve"> HYPERLINK "https://www.health.gov.au/sites/default/files/national-fasd-strategic-action-plan-2018-2028.pdf" </w:instrText>
            </w:r>
            <w:r w:rsidRPr="00B332DF">
              <w:fldChar w:fldCharType="separate"/>
            </w:r>
            <w:r w:rsidRPr="00B332DF">
              <w:rPr>
                <w:rStyle w:val="Hyperlink"/>
                <w:rFonts w:cstheme="minorHAnsi"/>
                <w:sz w:val="18"/>
                <w:szCs w:val="20"/>
                <w:lang w:val="en-AU"/>
              </w:rPr>
              <w:t xml:space="preserve">National </w:t>
            </w:r>
            <w:proofErr w:type="spellStart"/>
            <w:r w:rsidRPr="00B332DF">
              <w:rPr>
                <w:rStyle w:val="Hyperlink"/>
                <w:rFonts w:cstheme="minorHAnsi"/>
                <w:sz w:val="18"/>
                <w:szCs w:val="20"/>
                <w:lang w:val="en-AU"/>
              </w:rPr>
              <w:t>Fetal</w:t>
            </w:r>
            <w:proofErr w:type="spellEnd"/>
            <w:r w:rsidRPr="00B332DF">
              <w:rPr>
                <w:rStyle w:val="Hyperlink"/>
                <w:rFonts w:cstheme="minorHAnsi"/>
                <w:sz w:val="18"/>
                <w:szCs w:val="20"/>
                <w:lang w:val="en-AU"/>
              </w:rPr>
              <w:t xml:space="preserve"> Alcohol Spectrum Disorder (FASD) Strategic Action Plan 2018-2028</w:t>
            </w:r>
            <w:r w:rsidRPr="00B332DF">
              <w:rPr>
                <w:rStyle w:val="Hyperlink"/>
                <w:rFonts w:cstheme="minorHAnsi"/>
                <w:sz w:val="18"/>
                <w:szCs w:val="20"/>
                <w:lang w:val="en-AU"/>
              </w:rPr>
              <w:fldChar w:fldCharType="end"/>
            </w:r>
            <w:bookmarkEnd w:id="312"/>
          </w:p>
        </w:tc>
        <w:tc>
          <w:tcPr>
            <w:tcW w:w="786" w:type="pct"/>
          </w:tcPr>
          <w:p w14:paraId="6D503E0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3A67CEB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2018-2028</w:t>
            </w:r>
          </w:p>
        </w:tc>
        <w:tc>
          <w:tcPr>
            <w:tcW w:w="1018" w:type="pct"/>
            <w:shd w:val="clear" w:color="auto" w:fill="auto"/>
          </w:tcPr>
          <w:p w14:paraId="3B72CD73"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Women, Children</w:t>
            </w:r>
          </w:p>
        </w:tc>
        <w:tc>
          <w:tcPr>
            <w:tcW w:w="786" w:type="pct"/>
          </w:tcPr>
          <w:p w14:paraId="3E4095BC" w14:textId="77777777" w:rsidR="00B6536D" w:rsidRPr="00B332DF" w:rsidRDefault="00B6536D" w:rsidP="004F5A5B">
            <w:pPr>
              <w:spacing w:before="0"/>
              <w:rPr>
                <w:rFonts w:eastAsia="Times New Roman" w:cstheme="minorHAnsi"/>
                <w:color w:val="000000"/>
                <w:sz w:val="18"/>
                <w:szCs w:val="20"/>
                <w:lang w:val="en-AU"/>
              </w:rPr>
            </w:pPr>
          </w:p>
        </w:tc>
        <w:tc>
          <w:tcPr>
            <w:tcW w:w="758" w:type="pct"/>
          </w:tcPr>
          <w:p w14:paraId="4EBD28C9" w14:textId="77777777" w:rsidR="00B6536D" w:rsidRPr="00B22620" w:rsidRDefault="00B6536D" w:rsidP="004F5A5B">
            <w:pPr>
              <w:spacing w:before="0"/>
              <w:rPr>
                <w:rFonts w:eastAsia="Times New Roman" w:cstheme="minorHAnsi"/>
                <w:color w:val="FF0000"/>
                <w:sz w:val="18"/>
                <w:szCs w:val="20"/>
                <w:lang w:val="en-AU"/>
              </w:rPr>
            </w:pPr>
            <w:r w:rsidRPr="005A5732">
              <w:rPr>
                <w:rFonts w:eastAsia="Times New Roman" w:cstheme="minorHAnsi"/>
                <w:color w:val="000000" w:themeColor="text1"/>
                <w:sz w:val="18"/>
                <w:szCs w:val="20"/>
                <w:lang w:val="en-AU"/>
              </w:rPr>
              <w:t>10, 17, 20</w:t>
            </w:r>
          </w:p>
        </w:tc>
      </w:tr>
      <w:bookmarkStart w:id="313" w:name="_Hlk29383315"/>
      <w:tr w:rsidR="00B6536D" w:rsidRPr="00B22620" w14:paraId="54903754" w14:textId="77777777" w:rsidTr="004F5A5B">
        <w:trPr>
          <w:trHeight w:val="20"/>
        </w:trPr>
        <w:tc>
          <w:tcPr>
            <w:tcW w:w="1257" w:type="pct"/>
            <w:shd w:val="clear" w:color="auto" w:fill="auto"/>
            <w:hideMark/>
          </w:tcPr>
          <w:p w14:paraId="2A6737F3"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"http://www.health.gov.au/internet/main/publishing.nsf/content/AFF3C1C460BA5300CA257BF0001A8D86/$File/NFUCFHS.PDF" </w:instrText>
            </w:r>
            <w:r w:rsidRPr="00B332DF">
              <w:rPr>
                <w:sz w:val="18"/>
                <w:szCs w:val="20"/>
                <w:lang w:val="en-AU"/>
              </w:rPr>
              <w:fldChar w:fldCharType="separate"/>
            </w:r>
            <w:r w:rsidRPr="00B332DF">
              <w:rPr>
                <w:rFonts w:eastAsia="Times New Roman" w:cstheme="minorHAnsi"/>
                <w:color w:val="0563C1"/>
                <w:sz w:val="18"/>
                <w:szCs w:val="20"/>
                <w:u w:val="single"/>
                <w:lang w:val="en-AU"/>
              </w:rPr>
              <w:t>National Framework for Universal Child and Family Health Services</w:t>
            </w:r>
            <w:r w:rsidRPr="00B332DF">
              <w:rPr>
                <w:rFonts w:eastAsia="Times New Roman" w:cstheme="minorHAnsi"/>
                <w:color w:val="0563C1"/>
                <w:sz w:val="18"/>
                <w:szCs w:val="20"/>
                <w:u w:val="single"/>
                <w:lang w:val="en-AU"/>
              </w:rPr>
              <w:fldChar w:fldCharType="end"/>
            </w:r>
          </w:p>
          <w:bookmarkEnd w:id="313"/>
          <w:p w14:paraId="54DA3BBE"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5332D964"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 AHMAC*</w:t>
            </w:r>
          </w:p>
        </w:tc>
        <w:tc>
          <w:tcPr>
            <w:tcW w:w="395" w:type="pct"/>
          </w:tcPr>
          <w:p w14:paraId="60CAA45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2011- unclear</w:t>
            </w:r>
          </w:p>
        </w:tc>
        <w:tc>
          <w:tcPr>
            <w:tcW w:w="1018" w:type="pct"/>
            <w:shd w:val="clear" w:color="auto" w:fill="auto"/>
            <w:hideMark/>
          </w:tcPr>
          <w:p w14:paraId="590FCE0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Aboriginal and Torres Strait Islander people identified within strategies</w:t>
            </w:r>
          </w:p>
          <w:p w14:paraId="4E610C96"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Children</w:t>
            </w:r>
          </w:p>
        </w:tc>
        <w:tc>
          <w:tcPr>
            <w:tcW w:w="786" w:type="pct"/>
          </w:tcPr>
          <w:p w14:paraId="7C2CA8F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Violence and self-harm - focus on perinatal mental health, parental and child mental health.</w:t>
            </w:r>
          </w:p>
        </w:tc>
        <w:tc>
          <w:tcPr>
            <w:tcW w:w="758" w:type="pct"/>
          </w:tcPr>
          <w:p w14:paraId="585BCB39" w14:textId="77777777" w:rsidR="00B6536D" w:rsidRPr="005A5732"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 xml:space="preserve">3, 7, 8, 10, 11 13, 14, 16, </w:t>
            </w:r>
            <w:r w:rsidRPr="005A5732">
              <w:rPr>
                <w:rFonts w:eastAsia="Times New Roman" w:cstheme="minorHAnsi"/>
                <w:color w:val="000000" w:themeColor="text1"/>
                <w:sz w:val="18"/>
                <w:szCs w:val="20"/>
                <w:lang w:val="en-AU"/>
              </w:rPr>
              <w:t xml:space="preserve">17, </w:t>
            </w:r>
            <w:r>
              <w:rPr>
                <w:rFonts w:eastAsia="Times New Roman" w:cstheme="minorHAnsi"/>
                <w:color w:val="000000" w:themeColor="text1"/>
                <w:sz w:val="18"/>
                <w:szCs w:val="20"/>
                <w:lang w:val="en-AU"/>
              </w:rPr>
              <w:t>18, 20</w:t>
            </w:r>
          </w:p>
        </w:tc>
      </w:tr>
      <w:tr w:rsidR="00B6536D" w:rsidRPr="00B22620" w14:paraId="5EE59F97" w14:textId="77777777" w:rsidTr="004F5A5B">
        <w:trPr>
          <w:trHeight w:val="20"/>
        </w:trPr>
        <w:tc>
          <w:tcPr>
            <w:tcW w:w="1257" w:type="pct"/>
            <w:shd w:val="clear" w:color="auto" w:fill="auto"/>
          </w:tcPr>
          <w:p w14:paraId="3BA76164" w14:textId="77777777" w:rsidR="00B6536D" w:rsidRPr="00B332DF" w:rsidRDefault="00CC28D5" w:rsidP="004F5A5B">
            <w:pPr>
              <w:spacing w:before="0"/>
              <w:rPr>
                <w:sz w:val="18"/>
                <w:szCs w:val="20"/>
                <w:lang w:val="en-AU"/>
              </w:rPr>
            </w:pPr>
            <w:hyperlink r:id="rId80" w:history="1">
              <w:r w:rsidR="00B6536D" w:rsidRPr="00B332DF">
                <w:rPr>
                  <w:rStyle w:val="Hyperlink"/>
                  <w:sz w:val="18"/>
                  <w:szCs w:val="20"/>
                  <w:lang w:val="en-AU"/>
                </w:rPr>
                <w:t>National Health Emergency Response Arrangements</w:t>
              </w:r>
            </w:hyperlink>
          </w:p>
        </w:tc>
        <w:tc>
          <w:tcPr>
            <w:tcW w:w="786" w:type="pct"/>
          </w:tcPr>
          <w:p w14:paraId="1F5004E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Department of Health and Ageing</w:t>
            </w:r>
          </w:p>
        </w:tc>
        <w:tc>
          <w:tcPr>
            <w:tcW w:w="395" w:type="pct"/>
          </w:tcPr>
          <w:p w14:paraId="5BDA02DD"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2011</w:t>
            </w:r>
          </w:p>
        </w:tc>
        <w:tc>
          <w:tcPr>
            <w:tcW w:w="1018" w:type="pct"/>
            <w:shd w:val="clear" w:color="auto" w:fill="auto"/>
          </w:tcPr>
          <w:p w14:paraId="55ACC16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Australian population</w:t>
            </w:r>
          </w:p>
        </w:tc>
        <w:tc>
          <w:tcPr>
            <w:tcW w:w="786" w:type="pct"/>
          </w:tcPr>
          <w:p w14:paraId="5F84ACEA"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Injury relating to climate change and natural disasters </w:t>
            </w:r>
          </w:p>
        </w:tc>
        <w:tc>
          <w:tcPr>
            <w:tcW w:w="758" w:type="pct"/>
          </w:tcPr>
          <w:p w14:paraId="7FEA69B1" w14:textId="77777777" w:rsidR="00B6536D" w:rsidRPr="005A5732"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25, 26, 27, 28, 29</w:t>
            </w:r>
          </w:p>
        </w:tc>
      </w:tr>
      <w:bookmarkStart w:id="314" w:name="_Hlk29384337"/>
      <w:tr w:rsidR="00B6536D" w:rsidRPr="00B22620" w14:paraId="4D77A737" w14:textId="77777777" w:rsidTr="004F5A5B">
        <w:trPr>
          <w:trHeight w:val="20"/>
        </w:trPr>
        <w:tc>
          <w:tcPr>
            <w:tcW w:w="1257" w:type="pct"/>
            <w:shd w:val="clear" w:color="auto" w:fill="auto"/>
          </w:tcPr>
          <w:p w14:paraId="2A283A19" w14:textId="77777777" w:rsidR="00B6536D" w:rsidRPr="00B332DF" w:rsidRDefault="00B6536D" w:rsidP="004F5A5B">
            <w:pPr>
              <w:spacing w:before="0"/>
              <w:rPr>
                <w:sz w:val="18"/>
                <w:szCs w:val="20"/>
                <w:lang w:val="en-AU"/>
              </w:rPr>
            </w:pPr>
            <w:r w:rsidRPr="00B332DF">
              <w:fldChar w:fldCharType="begin"/>
            </w:r>
            <w:r w:rsidRPr="00B332DF">
              <w:rPr>
                <w:sz w:val="18"/>
                <w:szCs w:val="20"/>
                <w:lang w:val="en-AU"/>
              </w:rPr>
              <w:instrText xml:space="preserve"> HYPERLINK "https://www1.health.gov.au/internet/main/publishing.nsf/content/86BBADC780E6058CCA257BF000191627/$File/19-0320%20National%20Mens%20Health%20Strategy%20Print%20ready%20accessible1.pdf" </w:instrText>
            </w:r>
            <w:r w:rsidRPr="00B332DF">
              <w:fldChar w:fldCharType="separate"/>
            </w:r>
            <w:r w:rsidRPr="00B332DF">
              <w:rPr>
                <w:rStyle w:val="Hyperlink"/>
                <w:sz w:val="18"/>
                <w:szCs w:val="20"/>
                <w:lang w:val="en-AU"/>
              </w:rPr>
              <w:t>National M</w:t>
            </w:r>
            <w:r w:rsidRPr="00B332DF">
              <w:rPr>
                <w:rStyle w:val="Hyperlink"/>
                <w:rFonts w:cstheme="minorHAnsi"/>
                <w:sz w:val="18"/>
                <w:szCs w:val="20"/>
                <w:lang w:val="en-AU"/>
              </w:rPr>
              <w:t>en’s Health Strategy</w:t>
            </w:r>
            <w:r w:rsidRPr="00B332DF">
              <w:rPr>
                <w:rStyle w:val="Hyperlink"/>
                <w:rFonts w:cstheme="minorHAnsi"/>
                <w:sz w:val="18"/>
                <w:szCs w:val="20"/>
                <w:lang w:val="en-AU"/>
              </w:rPr>
              <w:fldChar w:fldCharType="end"/>
            </w:r>
            <w:bookmarkEnd w:id="314"/>
          </w:p>
        </w:tc>
        <w:tc>
          <w:tcPr>
            <w:tcW w:w="786" w:type="pct"/>
          </w:tcPr>
          <w:p w14:paraId="6449AD8B"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79938CE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2020-2030</w:t>
            </w:r>
          </w:p>
        </w:tc>
        <w:tc>
          <w:tcPr>
            <w:tcW w:w="1018" w:type="pct"/>
            <w:shd w:val="clear" w:color="auto" w:fill="auto"/>
          </w:tcPr>
          <w:p w14:paraId="2C90765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Men and boys.</w:t>
            </w:r>
            <w:r w:rsidRPr="00B332DF">
              <w:rPr>
                <w:rFonts w:eastAsia="Times New Roman" w:cstheme="minorHAnsi"/>
                <w:color w:val="000000"/>
                <w:sz w:val="18"/>
                <w:szCs w:val="20"/>
                <w:lang w:val="en-AU"/>
              </w:rPr>
              <w:br/>
              <w:t>Nine priority populations specific to males; rural and remote, Aboriginal and Torres Strait Islander, socioeconomically disadvantaged, males with disability, culturally and linguistically diverse, LGBTQI+, veterans, socially isolated, and in the criminal justice system</w:t>
            </w:r>
          </w:p>
        </w:tc>
        <w:tc>
          <w:tcPr>
            <w:tcW w:w="786" w:type="pct"/>
          </w:tcPr>
          <w:p w14:paraId="3D18E94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 self-harm (mental health and substance misuse), assault and homicide, poisoning, road/transport</w:t>
            </w:r>
            <w:r w:rsidRPr="00B332DF" w:rsidDel="0047604C">
              <w:rPr>
                <w:rFonts w:eastAsia="Times New Roman" w:cstheme="minorHAnsi"/>
                <w:color w:val="000000"/>
                <w:sz w:val="18"/>
                <w:szCs w:val="20"/>
                <w:lang w:val="en-AU"/>
              </w:rPr>
              <w:t xml:space="preserve"> </w:t>
            </w:r>
            <w:r w:rsidRPr="00B332DF">
              <w:rPr>
                <w:rFonts w:eastAsia="Times New Roman" w:cstheme="minorHAnsi"/>
                <w:color w:val="000000"/>
                <w:sz w:val="18"/>
                <w:szCs w:val="20"/>
                <w:lang w:val="en-AU"/>
              </w:rPr>
              <w:t>burns, drowning, falls, and injuries in the workplace</w:t>
            </w:r>
          </w:p>
        </w:tc>
        <w:tc>
          <w:tcPr>
            <w:tcW w:w="758" w:type="pct"/>
          </w:tcPr>
          <w:p w14:paraId="7FBB3F48" w14:textId="77777777" w:rsidR="00B6536D" w:rsidRPr="00940A34"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1, 2, 5, 6, 11, 12, 17, 18, 19, 22, 23, 24</w:t>
            </w:r>
          </w:p>
        </w:tc>
      </w:tr>
      <w:bookmarkStart w:id="315" w:name="_Hlk29384450"/>
      <w:tr w:rsidR="00B6536D" w:rsidRPr="00B22620" w14:paraId="7D1B8D5A" w14:textId="77777777" w:rsidTr="004F5A5B">
        <w:trPr>
          <w:trHeight w:val="20"/>
        </w:trPr>
        <w:tc>
          <w:tcPr>
            <w:tcW w:w="1257" w:type="pct"/>
            <w:shd w:val="clear" w:color="auto" w:fill="auto"/>
          </w:tcPr>
          <w:p w14:paraId="0256BEC7" w14:textId="77777777" w:rsidR="00B6536D" w:rsidRPr="00B332DF" w:rsidRDefault="00B6536D" w:rsidP="004F5A5B">
            <w:pPr>
              <w:spacing w:before="0"/>
              <w:rPr>
                <w:rStyle w:val="Hyperlink"/>
                <w:rFonts w:cstheme="minorHAnsi"/>
                <w:sz w:val="18"/>
                <w:szCs w:val="20"/>
                <w:lang w:val="en-AU"/>
              </w:rPr>
            </w:pPr>
            <w:r w:rsidRPr="00B332DF">
              <w:rPr>
                <w:sz w:val="18"/>
                <w:szCs w:val="20"/>
                <w:lang w:val="en-AU"/>
              </w:rPr>
              <w:fldChar w:fldCharType="begin"/>
            </w:r>
            <w:r w:rsidRPr="00B332DF">
              <w:rPr>
                <w:sz w:val="18"/>
                <w:szCs w:val="20"/>
                <w:lang w:val="en-AU"/>
              </w:rPr>
              <w:instrText xml:space="preserve"> HYPERLINK "https://www.dss.gov.au/women/programs-services/reducing-violence/the-national-plan-to-reduce-violence-against-women-and-their-children-2010-2022" </w:instrText>
            </w:r>
            <w:r w:rsidRPr="00B332DF">
              <w:rPr>
                <w:sz w:val="18"/>
                <w:szCs w:val="20"/>
                <w:lang w:val="en-AU"/>
              </w:rPr>
              <w:fldChar w:fldCharType="separate"/>
            </w:r>
            <w:hyperlink r:id="rId81" w:history="1">
              <w:r w:rsidRPr="00B332DF">
                <w:rPr>
                  <w:rFonts w:eastAsia="Times New Roman" w:cstheme="minorHAnsi"/>
                  <w:color w:val="0563C1"/>
                  <w:sz w:val="18"/>
                  <w:szCs w:val="20"/>
                  <w:u w:val="single"/>
                  <w:lang w:val="en-AU"/>
                </w:rPr>
                <w:t>National Plan to Reduce Violence against Women and Their Children</w:t>
              </w:r>
            </w:hyperlink>
            <w:r w:rsidRPr="00B332DF">
              <w:rPr>
                <w:rFonts w:eastAsia="Times New Roman" w:cstheme="minorHAnsi"/>
                <w:color w:val="0563C1"/>
                <w:sz w:val="18"/>
                <w:szCs w:val="20"/>
                <w:u w:val="single"/>
                <w:lang w:val="en-AU"/>
              </w:rPr>
              <w:fldChar w:fldCharType="end"/>
            </w:r>
          </w:p>
          <w:bookmarkEnd w:id="315"/>
          <w:p w14:paraId="54E18AF2" w14:textId="77777777" w:rsidR="00B6536D" w:rsidRPr="00B332DF" w:rsidRDefault="00B6536D" w:rsidP="004F5A5B">
            <w:pPr>
              <w:spacing w:before="0"/>
              <w:rPr>
                <w:sz w:val="18"/>
                <w:szCs w:val="20"/>
                <w:lang w:val="en-AU"/>
              </w:rPr>
            </w:pPr>
          </w:p>
        </w:tc>
        <w:tc>
          <w:tcPr>
            <w:tcW w:w="786" w:type="pct"/>
          </w:tcPr>
          <w:p w14:paraId="6B9C37A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sz w:val="18"/>
                <w:szCs w:val="20"/>
                <w:lang w:val="en-AU"/>
              </w:rPr>
              <w:t xml:space="preserve">Council of Australian Governments </w:t>
            </w:r>
          </w:p>
        </w:tc>
        <w:tc>
          <w:tcPr>
            <w:tcW w:w="395" w:type="pct"/>
          </w:tcPr>
          <w:p w14:paraId="631045C1"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2010 -2022</w:t>
            </w:r>
          </w:p>
        </w:tc>
        <w:tc>
          <w:tcPr>
            <w:tcW w:w="1018" w:type="pct"/>
            <w:shd w:val="clear" w:color="auto" w:fill="auto"/>
          </w:tcPr>
          <w:p w14:paraId="0250E49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Women, Children, Aboriginal and Torres Strait Islander people </w:t>
            </w:r>
          </w:p>
        </w:tc>
        <w:tc>
          <w:tcPr>
            <w:tcW w:w="786" w:type="pct"/>
          </w:tcPr>
          <w:p w14:paraId="745E48C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Violence, homicide</w:t>
            </w:r>
          </w:p>
        </w:tc>
        <w:tc>
          <w:tcPr>
            <w:tcW w:w="758" w:type="pct"/>
          </w:tcPr>
          <w:p w14:paraId="601ABE8E" w14:textId="77777777" w:rsidR="00B6536D" w:rsidRPr="00940A34"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10, 11, 18, 18</w:t>
            </w:r>
          </w:p>
          <w:p w14:paraId="7D0D2A45" w14:textId="77777777" w:rsidR="00B6536D" w:rsidRPr="00B22620" w:rsidRDefault="00B6536D" w:rsidP="004F5A5B">
            <w:pPr>
              <w:spacing w:before="0"/>
              <w:rPr>
                <w:rFonts w:eastAsia="Times New Roman" w:cstheme="minorHAnsi"/>
                <w:color w:val="FF0000"/>
                <w:sz w:val="18"/>
                <w:szCs w:val="20"/>
                <w:lang w:val="en-AU"/>
              </w:rPr>
            </w:pPr>
          </w:p>
        </w:tc>
      </w:tr>
      <w:bookmarkStart w:id="316" w:name="_Hlk29389033"/>
      <w:tr w:rsidR="00B6536D" w:rsidRPr="00B22620" w14:paraId="6317671E" w14:textId="77777777" w:rsidTr="004F5A5B">
        <w:trPr>
          <w:trHeight w:val="20"/>
        </w:trPr>
        <w:tc>
          <w:tcPr>
            <w:tcW w:w="1257" w:type="pct"/>
            <w:shd w:val="clear" w:color="auto" w:fill="auto"/>
            <w:hideMark/>
          </w:tcPr>
          <w:p w14:paraId="250AB24E"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"https://www.health.qld.gov.au/__data/assets/pdf_file/0022/424426/nphs-overview.pdf" </w:instrText>
            </w:r>
            <w:r w:rsidRPr="00B332DF">
              <w:rPr>
                <w:sz w:val="18"/>
                <w:szCs w:val="20"/>
                <w:lang w:val="en-AU"/>
              </w:rPr>
              <w:fldChar w:fldCharType="separate"/>
            </w:r>
            <w:r w:rsidRPr="00B332DF">
              <w:rPr>
                <w:rFonts w:eastAsia="Times New Roman" w:cstheme="minorHAnsi"/>
                <w:color w:val="0563C1"/>
                <w:sz w:val="18"/>
                <w:szCs w:val="20"/>
                <w:u w:val="single"/>
                <w:lang w:val="en-AU"/>
              </w:rPr>
              <w:t>National Preventative Health Strategy – ‘Australia the Healthiest Country by 2020’</w:t>
            </w:r>
            <w:r w:rsidRPr="00B332DF">
              <w:rPr>
                <w:rFonts w:eastAsia="Times New Roman" w:cstheme="minorHAnsi"/>
                <w:color w:val="0563C1"/>
                <w:sz w:val="18"/>
                <w:szCs w:val="20"/>
                <w:u w:val="single"/>
                <w:lang w:val="en-AU"/>
              </w:rPr>
              <w:fldChar w:fldCharType="end"/>
            </w:r>
          </w:p>
          <w:bookmarkEnd w:id="316"/>
          <w:p w14:paraId="26671083"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5AF13194"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7207D93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2009 -2020</w:t>
            </w:r>
          </w:p>
        </w:tc>
        <w:tc>
          <w:tcPr>
            <w:tcW w:w="1018" w:type="pct"/>
            <w:shd w:val="clear" w:color="auto" w:fill="auto"/>
            <w:hideMark/>
          </w:tcPr>
          <w:p w14:paraId="322647F7"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Aboriginal and Torres Strait Islander people </w:t>
            </w:r>
          </w:p>
        </w:tc>
        <w:tc>
          <w:tcPr>
            <w:tcW w:w="786" w:type="pct"/>
          </w:tcPr>
          <w:p w14:paraId="01A38EC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Public transport identified as lever to engage communities, alcohol and substance use</w:t>
            </w:r>
          </w:p>
        </w:tc>
        <w:tc>
          <w:tcPr>
            <w:tcW w:w="758" w:type="pct"/>
          </w:tcPr>
          <w:p w14:paraId="7AA9E732" w14:textId="77777777" w:rsidR="00B6536D" w:rsidRPr="00B22620" w:rsidRDefault="00B6536D" w:rsidP="004F5A5B">
            <w:pPr>
              <w:spacing w:before="0"/>
              <w:rPr>
                <w:rFonts w:eastAsia="Times New Roman" w:cstheme="minorHAnsi"/>
                <w:color w:val="FF0000"/>
                <w:sz w:val="18"/>
                <w:szCs w:val="20"/>
                <w:lang w:val="en-AU"/>
              </w:rPr>
            </w:pPr>
            <w:r w:rsidRPr="00940A34">
              <w:rPr>
                <w:rFonts w:eastAsia="Times New Roman" w:cstheme="minorHAnsi"/>
                <w:color w:val="000000" w:themeColor="text1"/>
                <w:sz w:val="18"/>
                <w:szCs w:val="20"/>
                <w:lang w:val="en-AU"/>
              </w:rPr>
              <w:t>10, 15, 17, 18, 20, 22, 24, 29</w:t>
            </w:r>
          </w:p>
        </w:tc>
      </w:tr>
      <w:bookmarkStart w:id="317" w:name="_Hlk29384733"/>
      <w:tr w:rsidR="00B6536D" w:rsidRPr="00B22620" w14:paraId="2E663892" w14:textId="77777777" w:rsidTr="004F5A5B">
        <w:trPr>
          <w:trHeight w:val="20"/>
        </w:trPr>
        <w:tc>
          <w:tcPr>
            <w:tcW w:w="1257" w:type="pct"/>
            <w:shd w:val="clear" w:color="auto" w:fill="auto"/>
            <w:hideMark/>
          </w:tcPr>
          <w:p w14:paraId="13DBDC51" w14:textId="77777777" w:rsidR="00B6536D" w:rsidRPr="00B332DF" w:rsidRDefault="00B6536D" w:rsidP="004F5A5B">
            <w:pPr>
              <w:spacing w:before="0"/>
              <w:rPr>
                <w:rFonts w:eastAsia="Times New Roman" w:cstheme="minorHAnsi"/>
                <w:color w:val="000000"/>
                <w:sz w:val="18"/>
                <w:szCs w:val="20"/>
                <w:lang w:val="en-AU"/>
              </w:rPr>
            </w:pPr>
            <w:r w:rsidRPr="00B332DF">
              <w:rPr>
                <w:sz w:val="18"/>
                <w:szCs w:val="20"/>
                <w:lang w:val="en-AU"/>
              </w:rPr>
              <w:fldChar w:fldCharType="begin"/>
            </w:r>
            <w:r w:rsidRPr="00B332DF">
              <w:rPr>
                <w:sz w:val="18"/>
                <w:szCs w:val="20"/>
                <w:lang w:val="en-AU"/>
              </w:rPr>
              <w:instrText xml:space="preserve"> HYPERLINK "https://roadsafety.gov.au/action-plan/files/National_Road_Safety_Action_Plan_2018_2020.pdf" </w:instrText>
            </w:r>
            <w:r w:rsidRPr="00B332DF">
              <w:rPr>
                <w:sz w:val="18"/>
                <w:szCs w:val="20"/>
                <w:lang w:val="en-AU"/>
              </w:rPr>
              <w:fldChar w:fldCharType="separate"/>
            </w:r>
            <w:r w:rsidRPr="00B332DF">
              <w:rPr>
                <w:rFonts w:eastAsia="Times New Roman" w:cstheme="minorHAnsi"/>
                <w:color w:val="0563C1"/>
                <w:sz w:val="18"/>
                <w:szCs w:val="20"/>
                <w:u w:val="single"/>
                <w:lang w:val="en-AU"/>
              </w:rPr>
              <w:t>National Road Safety Action Plan 2018-2020</w:t>
            </w:r>
            <w:r w:rsidRPr="00B332DF">
              <w:rPr>
                <w:rFonts w:eastAsia="Times New Roman" w:cstheme="minorHAnsi"/>
                <w:color w:val="0563C1"/>
                <w:sz w:val="18"/>
                <w:szCs w:val="20"/>
                <w:u w:val="single"/>
                <w:lang w:val="en-AU"/>
              </w:rPr>
              <w:fldChar w:fldCharType="end"/>
            </w:r>
            <w:bookmarkEnd w:id="317"/>
          </w:p>
        </w:tc>
        <w:tc>
          <w:tcPr>
            <w:tcW w:w="786" w:type="pct"/>
          </w:tcPr>
          <w:p w14:paraId="749FD0E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Transport and Infrastructure Council</w:t>
            </w:r>
          </w:p>
        </w:tc>
        <w:tc>
          <w:tcPr>
            <w:tcW w:w="395" w:type="pct"/>
          </w:tcPr>
          <w:p w14:paraId="321E7168"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2018-2020</w:t>
            </w:r>
          </w:p>
        </w:tc>
        <w:tc>
          <w:tcPr>
            <w:tcW w:w="1018" w:type="pct"/>
            <w:shd w:val="clear" w:color="auto" w:fill="auto"/>
            <w:hideMark/>
          </w:tcPr>
          <w:p w14:paraId="54F178DF"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sz w:val="18"/>
                <w:szCs w:val="20"/>
                <w:lang w:val="en-AU"/>
              </w:rPr>
              <w:t>All populations</w:t>
            </w:r>
          </w:p>
        </w:tc>
        <w:tc>
          <w:tcPr>
            <w:tcW w:w="786" w:type="pct"/>
          </w:tcPr>
          <w:p w14:paraId="4EB6F7E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Road/transport, drink driving</w:t>
            </w:r>
          </w:p>
        </w:tc>
        <w:tc>
          <w:tcPr>
            <w:tcW w:w="758" w:type="pct"/>
          </w:tcPr>
          <w:p w14:paraId="5C511A2E" w14:textId="77777777" w:rsidR="00B6536D" w:rsidRPr="00B22620" w:rsidRDefault="00B6536D" w:rsidP="004F5A5B">
            <w:pPr>
              <w:spacing w:before="0"/>
              <w:rPr>
                <w:rFonts w:eastAsia="Times New Roman" w:cstheme="minorHAnsi"/>
                <w:color w:val="FF0000"/>
                <w:sz w:val="18"/>
                <w:szCs w:val="20"/>
                <w:lang w:val="en-AU"/>
              </w:rPr>
            </w:pPr>
            <w:r w:rsidRPr="00940A34">
              <w:rPr>
                <w:rFonts w:eastAsia="Times New Roman" w:cstheme="minorHAnsi"/>
                <w:color w:val="000000" w:themeColor="text1"/>
                <w:sz w:val="18"/>
                <w:szCs w:val="20"/>
                <w:lang w:val="en-AU"/>
              </w:rPr>
              <w:t>6, 7, 9, 27, 29</w:t>
            </w:r>
          </w:p>
        </w:tc>
      </w:tr>
      <w:bookmarkStart w:id="318" w:name="_Hlk29384743"/>
      <w:tr w:rsidR="00B6536D" w:rsidRPr="00B22620" w14:paraId="66689B3A" w14:textId="77777777" w:rsidTr="004F5A5B">
        <w:trPr>
          <w:trHeight w:val="20"/>
        </w:trPr>
        <w:tc>
          <w:tcPr>
            <w:tcW w:w="1257" w:type="pct"/>
            <w:shd w:val="clear" w:color="auto" w:fill="auto"/>
            <w:hideMark/>
          </w:tcPr>
          <w:p w14:paraId="2294F50F"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"https://roadsafety.gov.au/nrss/files/NRSS_2011_2020.pdf" </w:instrText>
            </w:r>
            <w:r w:rsidRPr="00B332DF">
              <w:rPr>
                <w:sz w:val="18"/>
                <w:szCs w:val="20"/>
                <w:lang w:val="en-AU"/>
              </w:rPr>
              <w:fldChar w:fldCharType="separate"/>
            </w:r>
            <w:r w:rsidRPr="00B332DF">
              <w:rPr>
                <w:rFonts w:eastAsia="Times New Roman" w:cstheme="minorHAnsi"/>
                <w:color w:val="0563C1"/>
                <w:sz w:val="18"/>
                <w:szCs w:val="20"/>
                <w:u w:val="single"/>
                <w:lang w:val="en-AU"/>
              </w:rPr>
              <w:t>National Road Safety Strategy 2011-2020</w:t>
            </w:r>
            <w:r w:rsidRPr="00B332DF">
              <w:rPr>
                <w:rFonts w:eastAsia="Times New Roman" w:cstheme="minorHAnsi"/>
                <w:color w:val="0563C1"/>
                <w:sz w:val="18"/>
                <w:szCs w:val="20"/>
                <w:u w:val="single"/>
                <w:lang w:val="en-AU"/>
              </w:rPr>
              <w:fldChar w:fldCharType="end"/>
            </w:r>
          </w:p>
          <w:bookmarkEnd w:id="318"/>
          <w:p w14:paraId="478A06E2"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1536DC0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Australian Transport Council</w:t>
            </w:r>
          </w:p>
        </w:tc>
        <w:tc>
          <w:tcPr>
            <w:tcW w:w="395" w:type="pct"/>
          </w:tcPr>
          <w:p w14:paraId="74A4B14A"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2011-2020</w:t>
            </w:r>
          </w:p>
        </w:tc>
        <w:tc>
          <w:tcPr>
            <w:tcW w:w="1018" w:type="pct"/>
            <w:shd w:val="clear" w:color="auto" w:fill="auto"/>
            <w:hideMark/>
          </w:tcPr>
          <w:p w14:paraId="6D326A87"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 people are a priority population</w:t>
            </w:r>
          </w:p>
        </w:tc>
        <w:tc>
          <w:tcPr>
            <w:tcW w:w="786" w:type="pct"/>
          </w:tcPr>
          <w:p w14:paraId="422DA69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Substance use, alcohol, road/transport</w:t>
            </w:r>
          </w:p>
        </w:tc>
        <w:tc>
          <w:tcPr>
            <w:tcW w:w="758" w:type="pct"/>
          </w:tcPr>
          <w:p w14:paraId="6C5DD2B0" w14:textId="77777777" w:rsidR="00B6536D" w:rsidRPr="00940A34" w:rsidRDefault="00B6536D" w:rsidP="004F5A5B">
            <w:pPr>
              <w:spacing w:before="0"/>
              <w:rPr>
                <w:rFonts w:eastAsia="Times New Roman" w:cstheme="minorHAnsi"/>
                <w:color w:val="000000" w:themeColor="text1"/>
                <w:sz w:val="18"/>
                <w:szCs w:val="20"/>
                <w:lang w:val="en-AU"/>
              </w:rPr>
            </w:pPr>
            <w:r w:rsidRPr="00940A34">
              <w:rPr>
                <w:rFonts w:eastAsia="Times New Roman" w:cstheme="minorHAnsi"/>
                <w:color w:val="000000" w:themeColor="text1"/>
                <w:sz w:val="18"/>
                <w:szCs w:val="20"/>
                <w:lang w:val="en-AU"/>
              </w:rPr>
              <w:t>6, 7, 9, 27, 29</w:t>
            </w:r>
          </w:p>
        </w:tc>
      </w:tr>
      <w:bookmarkStart w:id="319" w:name="_Hlk29384617"/>
      <w:tr w:rsidR="00B6536D" w:rsidRPr="00B22620" w14:paraId="7B6A8CC0" w14:textId="77777777" w:rsidTr="004F5A5B">
        <w:trPr>
          <w:trHeight w:val="20"/>
        </w:trPr>
        <w:tc>
          <w:tcPr>
            <w:tcW w:w="1257" w:type="pct"/>
            <w:shd w:val="clear" w:color="auto" w:fill="auto"/>
            <w:hideMark/>
          </w:tcPr>
          <w:p w14:paraId="5617F27C"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"https://www.niaa.gov.au/sites/default/files/publications/mhsewb-framework_0.pdf" </w:instrText>
            </w:r>
            <w:r w:rsidRPr="00B332DF">
              <w:rPr>
                <w:sz w:val="18"/>
                <w:szCs w:val="20"/>
                <w:lang w:val="en-AU"/>
              </w:rPr>
              <w:fldChar w:fldCharType="separate"/>
            </w:r>
            <w:r w:rsidRPr="00B332DF">
              <w:rPr>
                <w:rFonts w:eastAsia="Times New Roman" w:cstheme="minorHAnsi"/>
                <w:color w:val="0563C1"/>
                <w:sz w:val="18"/>
                <w:szCs w:val="20"/>
                <w:u w:val="single"/>
                <w:lang w:val="en-AU"/>
              </w:rPr>
              <w:t>National Strategic Framework for Aboriginal and Torres Strait Islander Peoples’ Mental Health and Social and Emotional Wellbeing 2017-2023</w:t>
            </w:r>
            <w:r w:rsidRPr="00B332DF">
              <w:rPr>
                <w:rFonts w:eastAsia="Times New Roman" w:cstheme="minorHAnsi"/>
                <w:color w:val="0563C1"/>
                <w:sz w:val="18"/>
                <w:szCs w:val="20"/>
                <w:u w:val="single"/>
                <w:lang w:val="en-AU"/>
              </w:rPr>
              <w:fldChar w:fldCharType="end"/>
            </w:r>
            <w:bookmarkEnd w:id="319"/>
          </w:p>
        </w:tc>
        <w:tc>
          <w:tcPr>
            <w:tcW w:w="786" w:type="pct"/>
          </w:tcPr>
          <w:p w14:paraId="6FBE66E5"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sz w:val="18"/>
                <w:szCs w:val="20"/>
                <w:lang w:val="en-AU"/>
              </w:rPr>
              <w:t>Prime Minister and Cabinet</w:t>
            </w:r>
          </w:p>
        </w:tc>
        <w:tc>
          <w:tcPr>
            <w:tcW w:w="395" w:type="pct"/>
          </w:tcPr>
          <w:p w14:paraId="767E55F3"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2017-2023</w:t>
            </w:r>
          </w:p>
        </w:tc>
        <w:tc>
          <w:tcPr>
            <w:tcW w:w="1018" w:type="pct"/>
            <w:shd w:val="clear" w:color="auto" w:fill="auto"/>
            <w:hideMark/>
          </w:tcPr>
          <w:p w14:paraId="67B447BB"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 Children</w:t>
            </w:r>
          </w:p>
        </w:tc>
        <w:tc>
          <w:tcPr>
            <w:tcW w:w="786" w:type="pct"/>
          </w:tcPr>
          <w:p w14:paraId="0A30C5E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 violence, homicide</w:t>
            </w:r>
          </w:p>
        </w:tc>
        <w:tc>
          <w:tcPr>
            <w:tcW w:w="758" w:type="pct"/>
          </w:tcPr>
          <w:p w14:paraId="0C24D0CA" w14:textId="77777777" w:rsidR="00B6536D" w:rsidRPr="00940A34" w:rsidRDefault="00B6536D" w:rsidP="004F5A5B">
            <w:pPr>
              <w:spacing w:before="0"/>
              <w:rPr>
                <w:rFonts w:eastAsia="Times New Roman" w:cstheme="minorHAnsi"/>
                <w:color w:val="000000" w:themeColor="text1"/>
                <w:sz w:val="18"/>
                <w:szCs w:val="20"/>
                <w:lang w:val="en-AU"/>
              </w:rPr>
            </w:pPr>
            <w:r w:rsidRPr="00940A34">
              <w:rPr>
                <w:rFonts w:eastAsia="Times New Roman" w:cstheme="minorHAnsi"/>
                <w:color w:val="000000" w:themeColor="text1"/>
                <w:sz w:val="18"/>
                <w:szCs w:val="20"/>
                <w:lang w:val="en-AU"/>
              </w:rPr>
              <w:t>1, 2, 10, 11, 17, 19</w:t>
            </w:r>
          </w:p>
        </w:tc>
      </w:tr>
      <w:tr w:rsidR="00B6536D" w:rsidRPr="00B22620" w14:paraId="110B8474" w14:textId="77777777" w:rsidTr="004F5A5B">
        <w:trPr>
          <w:trHeight w:val="20"/>
        </w:trPr>
        <w:tc>
          <w:tcPr>
            <w:tcW w:w="1257" w:type="pct"/>
            <w:shd w:val="clear" w:color="auto" w:fill="auto"/>
          </w:tcPr>
          <w:p w14:paraId="41A6AADE" w14:textId="77777777" w:rsidR="00B6536D" w:rsidRPr="00B332DF" w:rsidRDefault="00CC28D5" w:rsidP="004F5A5B">
            <w:pPr>
              <w:spacing w:before="0"/>
              <w:rPr>
                <w:rFonts w:eastAsia="Times New Roman" w:cstheme="minorHAnsi"/>
                <w:color w:val="0563C1"/>
                <w:sz w:val="18"/>
                <w:szCs w:val="20"/>
                <w:u w:val="single"/>
                <w:lang w:val="en-AU"/>
              </w:rPr>
            </w:pPr>
            <w:hyperlink r:id="rId82" w:history="1">
              <w:r w:rsidR="00B6536D" w:rsidRPr="00B332DF">
                <w:rPr>
                  <w:rStyle w:val="Hyperlink"/>
                  <w:rFonts w:eastAsia="Times New Roman" w:cstheme="minorHAnsi"/>
                  <w:sz w:val="18"/>
                  <w:szCs w:val="20"/>
                  <w:lang w:val="en-AU"/>
                </w:rPr>
                <w:t>National Strategic Framework for Chronic Conditions</w:t>
              </w:r>
            </w:hyperlink>
          </w:p>
          <w:p w14:paraId="31F5F013" w14:textId="77777777" w:rsidR="00B6536D" w:rsidRPr="00B332DF" w:rsidRDefault="00B6536D" w:rsidP="004F5A5B">
            <w:pPr>
              <w:spacing w:before="0"/>
              <w:rPr>
                <w:sz w:val="18"/>
                <w:szCs w:val="20"/>
                <w:lang w:val="en-AU"/>
              </w:rPr>
            </w:pPr>
          </w:p>
        </w:tc>
        <w:tc>
          <w:tcPr>
            <w:tcW w:w="786" w:type="pct"/>
          </w:tcPr>
          <w:p w14:paraId="4307D22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Australian Health Minister s’ Advisory Council</w:t>
            </w:r>
          </w:p>
        </w:tc>
        <w:tc>
          <w:tcPr>
            <w:tcW w:w="395" w:type="pct"/>
          </w:tcPr>
          <w:p w14:paraId="1E172147"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2017</w:t>
            </w:r>
          </w:p>
        </w:tc>
        <w:tc>
          <w:tcPr>
            <w:tcW w:w="1018" w:type="pct"/>
            <w:shd w:val="clear" w:color="auto" w:fill="auto"/>
          </w:tcPr>
          <w:p w14:paraId="78647037"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Australian population focus on Aboriginal and Torres Strait Islander, rural and remote</w:t>
            </w:r>
          </w:p>
        </w:tc>
        <w:tc>
          <w:tcPr>
            <w:tcW w:w="786" w:type="pct"/>
          </w:tcPr>
          <w:p w14:paraId="4031DC8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Alcohol as risk factor, other chronic disease associated with injury</w:t>
            </w:r>
          </w:p>
        </w:tc>
        <w:tc>
          <w:tcPr>
            <w:tcW w:w="758" w:type="pct"/>
          </w:tcPr>
          <w:p w14:paraId="53E4F157" w14:textId="77777777" w:rsidR="00B6536D" w:rsidRPr="00940A34"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12, 15, 23</w:t>
            </w:r>
          </w:p>
        </w:tc>
      </w:tr>
      <w:bookmarkStart w:id="320" w:name="_Hlk29385301"/>
      <w:tr w:rsidR="00B6536D" w:rsidRPr="00B22620" w14:paraId="0E877E4C" w14:textId="77777777" w:rsidTr="004F5A5B">
        <w:trPr>
          <w:trHeight w:val="20"/>
        </w:trPr>
        <w:tc>
          <w:tcPr>
            <w:tcW w:w="1257" w:type="pct"/>
            <w:shd w:val="clear" w:color="auto" w:fill="auto"/>
            <w:hideMark/>
          </w:tcPr>
          <w:p w14:paraId="01E5148F"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"http://www.health.gov.au/internet/main/publishing.nsf/content/A76BD33A5D7A6897CA257F9B00095DA3/$File/National%20Strategic%20Framework%20for%20Rural%20and%20Remote%20Health.pdf" </w:instrText>
            </w:r>
            <w:r w:rsidRPr="00B332DF">
              <w:rPr>
                <w:sz w:val="18"/>
                <w:szCs w:val="20"/>
                <w:lang w:val="en-AU"/>
              </w:rPr>
              <w:fldChar w:fldCharType="separate"/>
            </w:r>
            <w:r w:rsidRPr="00B332DF">
              <w:rPr>
                <w:rFonts w:eastAsia="Times New Roman" w:cstheme="minorHAnsi"/>
                <w:color w:val="0563C1"/>
                <w:sz w:val="18"/>
                <w:szCs w:val="20"/>
                <w:u w:val="single"/>
                <w:lang w:val="en-AU"/>
              </w:rPr>
              <w:t>National Strategic Framework for Rural and Remote Health</w:t>
            </w:r>
            <w:r w:rsidRPr="00B332DF">
              <w:rPr>
                <w:rFonts w:eastAsia="Times New Roman" w:cstheme="minorHAnsi"/>
                <w:color w:val="0563C1"/>
                <w:sz w:val="18"/>
                <w:szCs w:val="20"/>
                <w:u w:val="single"/>
                <w:lang w:val="en-AU"/>
              </w:rPr>
              <w:fldChar w:fldCharType="end"/>
            </w:r>
          </w:p>
          <w:bookmarkEnd w:id="320"/>
          <w:p w14:paraId="4C527130"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11CD23F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Rural Health Standing Committee</w:t>
            </w:r>
          </w:p>
        </w:tc>
        <w:tc>
          <w:tcPr>
            <w:tcW w:w="395" w:type="pct"/>
          </w:tcPr>
          <w:p w14:paraId="05E9B04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2016</w:t>
            </w:r>
          </w:p>
        </w:tc>
        <w:tc>
          <w:tcPr>
            <w:tcW w:w="1018" w:type="pct"/>
            <w:shd w:val="clear" w:color="auto" w:fill="auto"/>
            <w:hideMark/>
          </w:tcPr>
          <w:p w14:paraId="711D06DC"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Rural / remote</w:t>
            </w:r>
          </w:p>
        </w:tc>
        <w:tc>
          <w:tcPr>
            <w:tcW w:w="786" w:type="pct"/>
          </w:tcPr>
          <w:p w14:paraId="019D090E"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 wo</w:t>
            </w:r>
            <w:r w:rsidRPr="00B332DF">
              <w:rPr>
                <w:rFonts w:eastAsia="Times New Roman"/>
                <w:color w:val="000000"/>
                <w:sz w:val="18"/>
                <w:szCs w:val="20"/>
                <w:lang w:val="en-AU"/>
              </w:rPr>
              <w:t>rkplace</w:t>
            </w:r>
          </w:p>
        </w:tc>
        <w:tc>
          <w:tcPr>
            <w:tcW w:w="758" w:type="pct"/>
          </w:tcPr>
          <w:p w14:paraId="00711D8E" w14:textId="77777777" w:rsidR="00B6536D" w:rsidRPr="00940A34"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 xml:space="preserve">1, 2, 3, 6, 9, 10, 11, 12, 13, 15, 17, 20, 22, 23, 24, 29, </w:t>
            </w:r>
          </w:p>
        </w:tc>
      </w:tr>
      <w:bookmarkStart w:id="321" w:name="_Hlk29387982"/>
      <w:tr w:rsidR="00B6536D" w:rsidRPr="00B22620" w14:paraId="68A47E53" w14:textId="77777777" w:rsidTr="004F5A5B">
        <w:trPr>
          <w:trHeight w:val="20"/>
        </w:trPr>
        <w:tc>
          <w:tcPr>
            <w:tcW w:w="1257" w:type="pct"/>
            <w:shd w:val="clear" w:color="auto" w:fill="auto"/>
          </w:tcPr>
          <w:p w14:paraId="7F04E0F0" w14:textId="77777777" w:rsidR="00B6536D" w:rsidRPr="00B332DF" w:rsidRDefault="00B6536D" w:rsidP="004F5A5B">
            <w:pPr>
              <w:spacing w:before="0"/>
              <w:rPr>
                <w:sz w:val="18"/>
                <w:szCs w:val="20"/>
                <w:lang w:val="en-AU"/>
              </w:rPr>
            </w:pPr>
            <w:r w:rsidRPr="00B332DF">
              <w:fldChar w:fldCharType="begin"/>
            </w:r>
            <w:r w:rsidRPr="00B332DF">
              <w:rPr>
                <w:sz w:val="18"/>
                <w:szCs w:val="20"/>
                <w:lang w:val="en-AU"/>
              </w:rPr>
              <w:instrText xml:space="preserve"> HYPERLINK "https://www1.health.gov.au/internet/main/publishing.nsf/Content/AF504671BA9786E8CA2583D6000AFAE7/$File/National%20Womens%20Health%20Strategy%202020-2030.pdf" </w:instrText>
            </w:r>
            <w:r w:rsidRPr="00B332DF">
              <w:fldChar w:fldCharType="separate"/>
            </w:r>
            <w:r w:rsidRPr="00B332DF">
              <w:rPr>
                <w:rStyle w:val="Hyperlink"/>
                <w:rFonts w:cstheme="minorHAnsi"/>
                <w:sz w:val="18"/>
                <w:szCs w:val="20"/>
                <w:lang w:val="en-AU"/>
              </w:rPr>
              <w:t>National Women’s Health Strategy</w:t>
            </w:r>
            <w:r w:rsidRPr="00B332DF">
              <w:rPr>
                <w:rStyle w:val="Hyperlink"/>
                <w:rFonts w:cstheme="minorHAnsi"/>
                <w:sz w:val="18"/>
                <w:szCs w:val="20"/>
                <w:lang w:val="en-AU"/>
              </w:rPr>
              <w:fldChar w:fldCharType="end"/>
            </w:r>
            <w:bookmarkEnd w:id="321"/>
          </w:p>
        </w:tc>
        <w:tc>
          <w:tcPr>
            <w:tcW w:w="786" w:type="pct"/>
          </w:tcPr>
          <w:p w14:paraId="793658F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DOH</w:t>
            </w:r>
          </w:p>
        </w:tc>
        <w:tc>
          <w:tcPr>
            <w:tcW w:w="395" w:type="pct"/>
          </w:tcPr>
          <w:p w14:paraId="3501365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2020-2030</w:t>
            </w:r>
          </w:p>
        </w:tc>
        <w:tc>
          <w:tcPr>
            <w:tcW w:w="1018" w:type="pct"/>
            <w:shd w:val="clear" w:color="auto" w:fill="auto"/>
          </w:tcPr>
          <w:p w14:paraId="0A8E32E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Women and girls.</w:t>
            </w:r>
            <w:r w:rsidRPr="00B332DF">
              <w:rPr>
                <w:rFonts w:eastAsia="Times New Roman" w:cstheme="minorHAnsi"/>
                <w:color w:val="000000"/>
                <w:sz w:val="18"/>
                <w:szCs w:val="20"/>
                <w:lang w:val="en-AU"/>
              </w:rPr>
              <w:br/>
              <w:t>Six priority populations, specific to women and girls; pregnant women and their children, rural and remote, Aboriginal and Torres Strait Islander, low socioeconomic background, living with a disability and carers, and culturally and linguistically diverse</w:t>
            </w:r>
          </w:p>
        </w:tc>
        <w:tc>
          <w:tcPr>
            <w:tcW w:w="786" w:type="pct"/>
          </w:tcPr>
          <w:p w14:paraId="0C444B9F"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 and self-harm, road/transport</w:t>
            </w:r>
          </w:p>
        </w:tc>
        <w:tc>
          <w:tcPr>
            <w:tcW w:w="758" w:type="pct"/>
          </w:tcPr>
          <w:p w14:paraId="3315DBF8" w14:textId="77777777" w:rsidR="00B6536D" w:rsidRPr="00940A34"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1, 2, 5, 6, 10, 11, 12, 17, 18, 19, 20, 22, 23, 24</w:t>
            </w:r>
          </w:p>
        </w:tc>
      </w:tr>
      <w:bookmarkStart w:id="322" w:name="_Hlk29385699"/>
      <w:tr w:rsidR="00B6536D" w:rsidRPr="00B22620" w14:paraId="73D0FA54" w14:textId="77777777" w:rsidTr="004F5A5B">
        <w:trPr>
          <w:trHeight w:val="20"/>
        </w:trPr>
        <w:tc>
          <w:tcPr>
            <w:tcW w:w="1257" w:type="pct"/>
            <w:shd w:val="clear" w:color="auto" w:fill="auto"/>
            <w:hideMark/>
          </w:tcPr>
          <w:p w14:paraId="098F3010" w14:textId="77777777" w:rsidR="00B6536D" w:rsidRPr="00B332DF" w:rsidRDefault="00B6536D" w:rsidP="004F5A5B">
            <w:pPr>
              <w:spacing w:before="0"/>
              <w:rPr>
                <w:rFonts w:eastAsia="Times New Roman" w:cstheme="minorHAnsi"/>
                <w:color w:val="0563C1"/>
                <w:sz w:val="18"/>
                <w:szCs w:val="20"/>
                <w:u w:val="single"/>
                <w:lang w:val="en-AU"/>
              </w:rPr>
            </w:pPr>
            <w:r w:rsidRPr="00B332DF">
              <w:rPr>
                <w:sz w:val="18"/>
                <w:szCs w:val="20"/>
                <w:lang w:val="en-AU"/>
              </w:rPr>
              <w:fldChar w:fldCharType="begin"/>
            </w:r>
            <w:r w:rsidRPr="00B332DF">
              <w:rPr>
                <w:sz w:val="18"/>
                <w:szCs w:val="20"/>
                <w:lang w:val="en-AU"/>
              </w:rPr>
              <w:instrText xml:space="preserve"> HYPERLINK "https://www.dss.gov.au/sites/default/files/documents/child_protection_framework.pdf" </w:instrText>
            </w:r>
            <w:r w:rsidRPr="00B332DF">
              <w:rPr>
                <w:sz w:val="18"/>
                <w:szCs w:val="20"/>
                <w:lang w:val="en-AU"/>
              </w:rPr>
              <w:fldChar w:fldCharType="separate"/>
            </w:r>
            <w:r w:rsidRPr="00B332DF">
              <w:rPr>
                <w:rFonts w:eastAsia="Times New Roman" w:cstheme="minorHAnsi"/>
                <w:color w:val="0563C1"/>
                <w:sz w:val="18"/>
                <w:szCs w:val="20"/>
                <w:u w:val="single"/>
                <w:lang w:val="en-AU"/>
              </w:rPr>
              <w:t>Protecting Children is Everyone’s Business – National Framework for Protecting Australia’s Children 2009-2020</w:t>
            </w:r>
            <w:r w:rsidRPr="00B332DF">
              <w:rPr>
                <w:rFonts w:eastAsia="Times New Roman" w:cstheme="minorHAnsi"/>
                <w:color w:val="0563C1"/>
                <w:sz w:val="18"/>
                <w:szCs w:val="20"/>
                <w:u w:val="single"/>
                <w:lang w:val="en-AU"/>
              </w:rPr>
              <w:fldChar w:fldCharType="end"/>
            </w:r>
          </w:p>
          <w:bookmarkEnd w:id="322"/>
          <w:p w14:paraId="55339D98"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3831AA82"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sz w:val="18"/>
                <w:szCs w:val="20"/>
                <w:lang w:val="en-AU"/>
              </w:rPr>
              <w:t>Council of Australian Governments</w:t>
            </w:r>
          </w:p>
        </w:tc>
        <w:tc>
          <w:tcPr>
            <w:tcW w:w="395" w:type="pct"/>
          </w:tcPr>
          <w:p w14:paraId="64671258"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2009-2020</w:t>
            </w:r>
          </w:p>
        </w:tc>
        <w:tc>
          <w:tcPr>
            <w:tcW w:w="1018" w:type="pct"/>
            <w:shd w:val="clear" w:color="auto" w:fill="auto"/>
            <w:hideMark/>
          </w:tcPr>
          <w:p w14:paraId="6137A0FE"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 people are a priority population, children</w:t>
            </w:r>
          </w:p>
        </w:tc>
        <w:tc>
          <w:tcPr>
            <w:tcW w:w="786" w:type="pct"/>
          </w:tcPr>
          <w:p w14:paraId="2E28271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 poisoning, violence (embedded in focus on mental health)</w:t>
            </w:r>
          </w:p>
        </w:tc>
        <w:tc>
          <w:tcPr>
            <w:tcW w:w="758" w:type="pct"/>
          </w:tcPr>
          <w:p w14:paraId="55713A28" w14:textId="77777777" w:rsidR="00B6536D" w:rsidRPr="00B22620" w:rsidRDefault="00B6536D" w:rsidP="004F5A5B">
            <w:pPr>
              <w:spacing w:before="0"/>
              <w:rPr>
                <w:rFonts w:eastAsia="Times New Roman" w:cstheme="minorHAnsi"/>
                <w:color w:val="FF0000"/>
                <w:sz w:val="18"/>
                <w:szCs w:val="20"/>
                <w:lang w:val="en-AU"/>
              </w:rPr>
            </w:pPr>
            <w:r w:rsidRPr="005A5732">
              <w:rPr>
                <w:rFonts w:eastAsia="Times New Roman" w:cstheme="minorHAnsi"/>
                <w:color w:val="000000" w:themeColor="text1"/>
                <w:sz w:val="18"/>
                <w:szCs w:val="20"/>
                <w:lang w:val="en-AU"/>
              </w:rPr>
              <w:t>10, 17, 18, 20</w:t>
            </w:r>
          </w:p>
        </w:tc>
      </w:tr>
      <w:tr w:rsidR="00B6536D" w:rsidRPr="00B22620" w14:paraId="53D6F400" w14:textId="77777777" w:rsidTr="004F5A5B">
        <w:trPr>
          <w:trHeight w:val="20"/>
        </w:trPr>
        <w:tc>
          <w:tcPr>
            <w:tcW w:w="1257" w:type="pct"/>
            <w:shd w:val="clear" w:color="auto" w:fill="auto"/>
          </w:tcPr>
          <w:p w14:paraId="332054A3" w14:textId="77777777" w:rsidR="00B6536D" w:rsidRPr="00B332DF" w:rsidRDefault="00CC28D5" w:rsidP="004F5A5B">
            <w:pPr>
              <w:spacing w:before="0"/>
              <w:rPr>
                <w:rFonts w:cstheme="minorHAnsi"/>
                <w:sz w:val="18"/>
                <w:szCs w:val="20"/>
                <w:lang w:val="en-AU"/>
              </w:rPr>
            </w:pPr>
            <w:hyperlink r:id="rId83" w:history="1">
              <w:r w:rsidR="00B6536D" w:rsidRPr="00B332DF">
                <w:rPr>
                  <w:rStyle w:val="Hyperlink"/>
                  <w:rFonts w:cstheme="minorHAnsi"/>
                  <w:sz w:val="18"/>
                  <w:szCs w:val="20"/>
                  <w:lang w:val="en-AU"/>
                </w:rPr>
                <w:t xml:space="preserve">Safe Work Australia’s Australian Work Health and Safety Strategy </w:t>
              </w:r>
              <w:r w:rsidR="00B6536D" w:rsidRPr="00B332DF">
                <w:rPr>
                  <w:rStyle w:val="Hyperlink"/>
                  <w:sz w:val="18"/>
                  <w:szCs w:val="20"/>
                  <w:lang w:val="en-AU"/>
                </w:rPr>
                <w:t>2012-2022</w:t>
              </w:r>
            </w:hyperlink>
          </w:p>
          <w:p w14:paraId="7A5BCF3F" w14:textId="77777777" w:rsidR="00B6536D" w:rsidRPr="00B332DF" w:rsidRDefault="00CC28D5" w:rsidP="004F5A5B">
            <w:pPr>
              <w:spacing w:before="0"/>
              <w:rPr>
                <w:sz w:val="18"/>
                <w:szCs w:val="20"/>
                <w:lang w:val="en-AU"/>
              </w:rPr>
            </w:pPr>
            <w:hyperlink r:id="rId84" w:history="1">
              <w:r w:rsidR="00B6536D" w:rsidRPr="00B332DF">
                <w:rPr>
                  <w:rStyle w:val="Hyperlink"/>
                  <w:rFonts w:cstheme="minorHAnsi"/>
                  <w:sz w:val="18"/>
                  <w:szCs w:val="20"/>
                  <w:lang w:val="en-AU"/>
                </w:rPr>
                <w:t>Safe Work Australia’s Return to Work Strategy 2020-2030</w:t>
              </w:r>
            </w:hyperlink>
            <w:r w:rsidR="00B6536D" w:rsidRPr="00B332DF">
              <w:rPr>
                <w:i/>
                <w:sz w:val="18"/>
                <w:szCs w:val="20"/>
                <w:lang w:val="en-AU" w:eastAsia="en-US"/>
              </w:rPr>
              <w:t xml:space="preserve"> </w:t>
            </w:r>
          </w:p>
        </w:tc>
        <w:tc>
          <w:tcPr>
            <w:tcW w:w="786" w:type="pct"/>
          </w:tcPr>
          <w:p w14:paraId="2F2AA284"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sz w:val="18"/>
                <w:szCs w:val="20"/>
                <w:lang w:val="en-AU"/>
              </w:rPr>
              <w:t>Safe Work Australia</w:t>
            </w:r>
          </w:p>
        </w:tc>
        <w:tc>
          <w:tcPr>
            <w:tcW w:w="395" w:type="pct"/>
          </w:tcPr>
          <w:p w14:paraId="11A97AE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2012-2022</w:t>
            </w:r>
          </w:p>
        </w:tc>
        <w:tc>
          <w:tcPr>
            <w:tcW w:w="1018" w:type="pct"/>
            <w:shd w:val="clear" w:color="auto" w:fill="auto"/>
          </w:tcPr>
          <w:p w14:paraId="2DDC6DF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Workers</w:t>
            </w:r>
          </w:p>
        </w:tc>
        <w:tc>
          <w:tcPr>
            <w:tcW w:w="786" w:type="pct"/>
          </w:tcPr>
          <w:p w14:paraId="7C73A79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Road/transport,</w:t>
            </w:r>
            <w:r w:rsidRPr="00B332DF" w:rsidDel="0047604C">
              <w:rPr>
                <w:rFonts w:eastAsia="Times New Roman" w:cstheme="minorHAnsi"/>
                <w:color w:val="000000"/>
                <w:sz w:val="18"/>
                <w:szCs w:val="20"/>
                <w:lang w:val="en-AU"/>
              </w:rPr>
              <w:t xml:space="preserve"> </w:t>
            </w:r>
            <w:r w:rsidRPr="00B332DF">
              <w:rPr>
                <w:rFonts w:eastAsia="Times New Roman" w:cstheme="minorHAnsi"/>
                <w:color w:val="000000"/>
                <w:sz w:val="18"/>
                <w:szCs w:val="20"/>
                <w:lang w:val="en-AU"/>
              </w:rPr>
              <w:t>workplace</w:t>
            </w:r>
          </w:p>
        </w:tc>
        <w:tc>
          <w:tcPr>
            <w:tcW w:w="758" w:type="pct"/>
          </w:tcPr>
          <w:p w14:paraId="7BF07C21" w14:textId="77777777" w:rsidR="00B6536D" w:rsidRPr="005A5732" w:rsidRDefault="00B6536D" w:rsidP="004F5A5B">
            <w:pPr>
              <w:spacing w:before="0"/>
              <w:rPr>
                <w:rFonts w:eastAsia="Times New Roman" w:cstheme="minorHAnsi"/>
                <w:color w:val="000000" w:themeColor="text1"/>
                <w:sz w:val="18"/>
                <w:szCs w:val="20"/>
                <w:lang w:val="en-AU"/>
              </w:rPr>
            </w:pPr>
            <w:r w:rsidRPr="005A5732">
              <w:rPr>
                <w:rFonts w:eastAsia="Times New Roman" w:cstheme="minorHAnsi"/>
                <w:color w:val="000000" w:themeColor="text1"/>
                <w:sz w:val="18"/>
                <w:szCs w:val="20"/>
                <w:lang w:val="en-AU"/>
              </w:rPr>
              <w:t>15</w:t>
            </w:r>
          </w:p>
        </w:tc>
      </w:tr>
      <w:tr w:rsidR="00B6536D" w:rsidRPr="00B22620" w14:paraId="4DDDC361" w14:textId="77777777" w:rsidTr="004F5A5B">
        <w:trPr>
          <w:trHeight w:val="20"/>
        </w:trPr>
        <w:tc>
          <w:tcPr>
            <w:tcW w:w="1257" w:type="pct"/>
            <w:shd w:val="clear" w:color="auto" w:fill="auto"/>
            <w:hideMark/>
          </w:tcPr>
          <w:p w14:paraId="785B8122" w14:textId="77777777" w:rsidR="00B6536D" w:rsidRPr="00B332DF" w:rsidRDefault="00CC28D5" w:rsidP="004F5A5B">
            <w:pPr>
              <w:spacing w:before="0"/>
              <w:rPr>
                <w:rFonts w:eastAsia="Times New Roman" w:cstheme="minorHAnsi"/>
                <w:color w:val="0563C1"/>
                <w:sz w:val="18"/>
                <w:szCs w:val="20"/>
                <w:u w:val="single"/>
                <w:lang w:val="en-AU"/>
              </w:rPr>
            </w:pPr>
            <w:hyperlink r:id="rId85" w:history="1">
              <w:r w:rsidR="00B6536D" w:rsidRPr="00B332DF">
                <w:rPr>
                  <w:rFonts w:eastAsia="Times New Roman" w:cstheme="minorHAnsi"/>
                  <w:color w:val="0563C1"/>
                  <w:sz w:val="18"/>
                  <w:szCs w:val="20"/>
                  <w:u w:val="single"/>
                  <w:lang w:val="en-AU"/>
                </w:rPr>
                <w:t>The Fifth National Mental Health and Suicide Prevention Plan</w:t>
              </w:r>
            </w:hyperlink>
          </w:p>
          <w:p w14:paraId="6975ED16" w14:textId="77777777" w:rsidR="00B6536D" w:rsidRPr="00B332DF" w:rsidRDefault="00B6536D" w:rsidP="004F5A5B">
            <w:pPr>
              <w:spacing w:before="0"/>
              <w:rPr>
                <w:rFonts w:eastAsia="Times New Roman" w:cstheme="minorHAnsi"/>
                <w:color w:val="000000"/>
                <w:sz w:val="18"/>
                <w:szCs w:val="20"/>
                <w:lang w:val="en-AU"/>
              </w:rPr>
            </w:pPr>
          </w:p>
        </w:tc>
        <w:tc>
          <w:tcPr>
            <w:tcW w:w="786" w:type="pct"/>
          </w:tcPr>
          <w:p w14:paraId="6C15490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sz w:val="18"/>
                <w:szCs w:val="20"/>
                <w:lang w:val="en-AU"/>
              </w:rPr>
              <w:t>Council of Australian Governments</w:t>
            </w:r>
            <w:r w:rsidRPr="00B332DF">
              <w:rPr>
                <w:rFonts w:eastAsia="Times New Roman" w:cstheme="minorHAnsi"/>
                <w:color w:val="000000"/>
                <w:sz w:val="18"/>
                <w:szCs w:val="20"/>
                <w:lang w:val="en-AU"/>
              </w:rPr>
              <w:t>- Health Council</w:t>
            </w:r>
          </w:p>
        </w:tc>
        <w:tc>
          <w:tcPr>
            <w:tcW w:w="395" w:type="pct"/>
          </w:tcPr>
          <w:p w14:paraId="079F3177"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2017-2022</w:t>
            </w:r>
          </w:p>
        </w:tc>
        <w:tc>
          <w:tcPr>
            <w:tcW w:w="1018" w:type="pct"/>
            <w:shd w:val="clear" w:color="auto" w:fill="auto"/>
            <w:hideMark/>
          </w:tcPr>
          <w:p w14:paraId="01396465"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 people are a priority population</w:t>
            </w:r>
          </w:p>
        </w:tc>
        <w:tc>
          <w:tcPr>
            <w:tcW w:w="786" w:type="pct"/>
          </w:tcPr>
          <w:p w14:paraId="11CD3915"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Suicide </w:t>
            </w:r>
          </w:p>
        </w:tc>
        <w:tc>
          <w:tcPr>
            <w:tcW w:w="758" w:type="pct"/>
          </w:tcPr>
          <w:p w14:paraId="09138B90" w14:textId="77777777" w:rsidR="00B6536D" w:rsidRPr="005A5732" w:rsidRDefault="00B6536D" w:rsidP="004F5A5B">
            <w:pPr>
              <w:spacing w:before="0"/>
              <w:rPr>
                <w:rFonts w:eastAsia="Times New Roman" w:cstheme="minorHAnsi"/>
                <w:color w:val="000000" w:themeColor="text1"/>
                <w:sz w:val="18"/>
                <w:szCs w:val="20"/>
                <w:lang w:val="en-AU"/>
              </w:rPr>
            </w:pPr>
            <w:r>
              <w:rPr>
                <w:rFonts w:eastAsia="Times New Roman" w:cstheme="minorHAnsi"/>
                <w:color w:val="000000" w:themeColor="text1"/>
                <w:sz w:val="18"/>
                <w:szCs w:val="20"/>
                <w:lang w:val="en-AU"/>
              </w:rPr>
              <w:t xml:space="preserve">1, 2, 10, 11, 17, 18, 19 </w:t>
            </w:r>
          </w:p>
        </w:tc>
      </w:tr>
      <w:bookmarkStart w:id="323" w:name="_Hlk29388550"/>
      <w:tr w:rsidR="00B6536D" w:rsidRPr="00B22620" w14:paraId="7963B76D" w14:textId="77777777" w:rsidTr="004F5A5B">
        <w:trPr>
          <w:trHeight w:val="20"/>
        </w:trPr>
        <w:tc>
          <w:tcPr>
            <w:tcW w:w="1257" w:type="pct"/>
            <w:shd w:val="clear" w:color="auto" w:fill="auto"/>
            <w:hideMark/>
          </w:tcPr>
          <w:p w14:paraId="4F9D3AF0" w14:textId="77777777" w:rsidR="00B6536D" w:rsidRPr="00B332DF" w:rsidRDefault="00B6536D" w:rsidP="004F5A5B">
            <w:pPr>
              <w:spacing w:before="0"/>
              <w:rPr>
                <w:rFonts w:eastAsia="Times New Roman" w:cstheme="minorHAnsi"/>
                <w:color w:val="000000"/>
                <w:sz w:val="18"/>
                <w:szCs w:val="20"/>
                <w:lang w:val="en-AU"/>
              </w:rPr>
            </w:pPr>
            <w:r w:rsidRPr="00B332DF">
              <w:rPr>
                <w:sz w:val="18"/>
                <w:szCs w:val="20"/>
                <w:lang w:val="en-AU"/>
              </w:rPr>
              <w:fldChar w:fldCharType="begin"/>
            </w:r>
            <w:r w:rsidRPr="00B332DF">
              <w:rPr>
                <w:sz w:val="18"/>
                <w:szCs w:val="20"/>
                <w:lang w:val="en-AU"/>
              </w:rPr>
              <w:instrText xml:space="preserve"> HYPERLINK "https://www.aracy.org.au/publications-resources/command/download_file/id/329/filename/Second_edition_The_Nest_action_agenda.pdf" </w:instrText>
            </w:r>
            <w:r w:rsidRPr="00B332DF">
              <w:rPr>
                <w:sz w:val="18"/>
                <w:szCs w:val="20"/>
                <w:lang w:val="en-AU"/>
              </w:rPr>
              <w:fldChar w:fldCharType="separate"/>
            </w:r>
            <w:r w:rsidRPr="00B332DF">
              <w:rPr>
                <w:rFonts w:eastAsia="Times New Roman" w:cstheme="minorHAnsi"/>
                <w:color w:val="0563C1"/>
                <w:sz w:val="18"/>
                <w:szCs w:val="20"/>
                <w:u w:val="single"/>
                <w:lang w:val="en-AU"/>
              </w:rPr>
              <w:t>The Nest Action Agenda: Improving the wellbeing of Australia’s children and youth while growing our GDP by over 7%</w:t>
            </w:r>
            <w:r w:rsidRPr="00B332DF">
              <w:rPr>
                <w:rFonts w:eastAsia="Times New Roman" w:cstheme="minorHAnsi"/>
                <w:color w:val="0563C1"/>
                <w:sz w:val="18"/>
                <w:szCs w:val="20"/>
                <w:u w:val="single"/>
                <w:lang w:val="en-AU"/>
              </w:rPr>
              <w:fldChar w:fldCharType="end"/>
            </w:r>
            <w:bookmarkEnd w:id="323"/>
          </w:p>
        </w:tc>
        <w:tc>
          <w:tcPr>
            <w:tcW w:w="786" w:type="pct"/>
          </w:tcPr>
          <w:p w14:paraId="5DEAF17C"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Australian Research Alliance for Child and Youth</w:t>
            </w:r>
          </w:p>
        </w:tc>
        <w:tc>
          <w:tcPr>
            <w:tcW w:w="395" w:type="pct"/>
          </w:tcPr>
          <w:p w14:paraId="193F1C4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2013-2025</w:t>
            </w:r>
          </w:p>
        </w:tc>
        <w:tc>
          <w:tcPr>
            <w:tcW w:w="1018" w:type="pct"/>
            <w:shd w:val="clear" w:color="auto" w:fill="auto"/>
            <w:hideMark/>
          </w:tcPr>
          <w:p w14:paraId="252BCD45" w14:textId="77777777" w:rsidR="00B6536D" w:rsidRPr="00B332DF" w:rsidRDefault="00B6536D" w:rsidP="004F5A5B">
            <w:pPr>
              <w:spacing w:before="0"/>
              <w:rPr>
                <w:rFonts w:eastAsia="Times New Roman" w:cstheme="minorHAnsi"/>
                <w:sz w:val="18"/>
                <w:szCs w:val="20"/>
                <w:lang w:val="en-AU"/>
              </w:rPr>
            </w:pPr>
            <w:r w:rsidRPr="00B332DF">
              <w:rPr>
                <w:rFonts w:eastAsia="Times New Roman" w:cstheme="minorHAnsi"/>
                <w:color w:val="000000"/>
                <w:sz w:val="18"/>
                <w:szCs w:val="20"/>
                <w:lang w:val="en-AU"/>
              </w:rPr>
              <w:t>Aboriginal and Torres Strait Islander people are a priority population, children</w:t>
            </w:r>
          </w:p>
        </w:tc>
        <w:tc>
          <w:tcPr>
            <w:tcW w:w="786" w:type="pct"/>
          </w:tcPr>
          <w:p w14:paraId="1C6E99E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Road/transport, violence, substance use</w:t>
            </w:r>
          </w:p>
        </w:tc>
        <w:tc>
          <w:tcPr>
            <w:tcW w:w="758" w:type="pct"/>
          </w:tcPr>
          <w:p w14:paraId="5A11D6A1" w14:textId="77777777" w:rsidR="00B6536D" w:rsidRPr="00B22620" w:rsidRDefault="00B6536D" w:rsidP="004F5A5B">
            <w:pPr>
              <w:spacing w:before="0"/>
              <w:rPr>
                <w:rFonts w:eastAsia="Times New Roman" w:cstheme="minorHAnsi"/>
                <w:color w:val="FF0000"/>
                <w:sz w:val="18"/>
                <w:szCs w:val="20"/>
                <w:lang w:val="en-AU"/>
              </w:rPr>
            </w:pPr>
            <w:r w:rsidRPr="005A5732">
              <w:rPr>
                <w:rFonts w:eastAsia="Times New Roman" w:cstheme="minorHAnsi"/>
                <w:color w:val="000000" w:themeColor="text1"/>
                <w:sz w:val="18"/>
                <w:szCs w:val="20"/>
                <w:lang w:val="en-AU"/>
              </w:rPr>
              <w:t>3, 7, 17, 18, 22, 23, 27, 29</w:t>
            </w:r>
          </w:p>
        </w:tc>
      </w:tr>
      <w:tr w:rsidR="00B6536D" w:rsidRPr="00B22620" w14:paraId="37AF71ED" w14:textId="77777777" w:rsidTr="004F5A5B">
        <w:trPr>
          <w:trHeight w:val="20"/>
        </w:trPr>
        <w:tc>
          <w:tcPr>
            <w:tcW w:w="1257" w:type="pct"/>
            <w:shd w:val="clear" w:color="auto" w:fill="auto"/>
          </w:tcPr>
          <w:p w14:paraId="0180C1BE" w14:textId="77777777" w:rsidR="00B6536D" w:rsidRPr="00B332DF" w:rsidRDefault="00CC28D5" w:rsidP="004F5A5B">
            <w:pPr>
              <w:spacing w:before="0"/>
              <w:rPr>
                <w:sz w:val="18"/>
                <w:szCs w:val="20"/>
                <w:lang w:val="en-AU"/>
              </w:rPr>
            </w:pPr>
            <w:hyperlink r:id="rId86" w:history="1">
              <w:r w:rsidR="00B6536D" w:rsidRPr="00B332DF">
                <w:rPr>
                  <w:rStyle w:val="Hyperlink"/>
                  <w:sz w:val="18"/>
                  <w:szCs w:val="20"/>
                  <w:lang w:val="en-AU"/>
                </w:rPr>
                <w:t>The Roadmap for National Mental Health Reform 2012-2022</w:t>
              </w:r>
            </w:hyperlink>
          </w:p>
        </w:tc>
        <w:tc>
          <w:tcPr>
            <w:tcW w:w="786" w:type="pct"/>
          </w:tcPr>
          <w:p w14:paraId="4395544A"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sz w:val="18"/>
                <w:szCs w:val="20"/>
                <w:lang w:val="en-AU"/>
              </w:rPr>
              <w:t>Council of Australian Governments</w:t>
            </w:r>
          </w:p>
        </w:tc>
        <w:tc>
          <w:tcPr>
            <w:tcW w:w="395" w:type="pct"/>
          </w:tcPr>
          <w:p w14:paraId="52CF728D"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2012-2022</w:t>
            </w:r>
          </w:p>
        </w:tc>
        <w:tc>
          <w:tcPr>
            <w:tcW w:w="1018" w:type="pct"/>
            <w:shd w:val="clear" w:color="auto" w:fill="auto"/>
          </w:tcPr>
          <w:p w14:paraId="7B6A5E17"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All Australians </w:t>
            </w:r>
          </w:p>
        </w:tc>
        <w:tc>
          <w:tcPr>
            <w:tcW w:w="786" w:type="pct"/>
          </w:tcPr>
          <w:p w14:paraId="3AA89483"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Mental health, suicide/intentional self-harm</w:t>
            </w:r>
          </w:p>
        </w:tc>
        <w:tc>
          <w:tcPr>
            <w:tcW w:w="758" w:type="pct"/>
          </w:tcPr>
          <w:p w14:paraId="70563EAD" w14:textId="77777777" w:rsidR="00B6536D" w:rsidRPr="00B22620" w:rsidRDefault="00B6536D" w:rsidP="004F5A5B">
            <w:pPr>
              <w:spacing w:before="0"/>
              <w:rPr>
                <w:rFonts w:eastAsia="Times New Roman" w:cstheme="minorHAnsi"/>
                <w:color w:val="FF0000"/>
                <w:sz w:val="18"/>
                <w:szCs w:val="20"/>
                <w:lang w:val="en-AU"/>
              </w:rPr>
            </w:pPr>
            <w:r w:rsidRPr="005A5732">
              <w:rPr>
                <w:rFonts w:eastAsia="Times New Roman" w:cstheme="minorHAnsi"/>
                <w:color w:val="000000" w:themeColor="text1"/>
                <w:sz w:val="18"/>
                <w:szCs w:val="20"/>
                <w:lang w:val="en-AU"/>
              </w:rPr>
              <w:t>1, 2</w:t>
            </w:r>
          </w:p>
        </w:tc>
      </w:tr>
      <w:tr w:rsidR="00B6536D" w:rsidRPr="00B22620" w14:paraId="456A7EA0" w14:textId="77777777" w:rsidTr="004F5A5B">
        <w:trPr>
          <w:trHeight w:val="20"/>
        </w:trPr>
        <w:tc>
          <w:tcPr>
            <w:tcW w:w="1257" w:type="pct"/>
            <w:shd w:val="clear" w:color="auto" w:fill="auto"/>
          </w:tcPr>
          <w:p w14:paraId="60B26D55" w14:textId="77777777" w:rsidR="00B6536D" w:rsidRPr="00B332DF" w:rsidRDefault="00CC28D5" w:rsidP="004F5A5B">
            <w:pPr>
              <w:spacing w:before="0"/>
              <w:rPr>
                <w:sz w:val="18"/>
                <w:szCs w:val="20"/>
                <w:lang w:val="en-AU"/>
              </w:rPr>
            </w:pPr>
            <w:hyperlink r:id="rId87" w:history="1">
              <w:r w:rsidR="00B6536D" w:rsidRPr="00B332DF">
                <w:rPr>
                  <w:rStyle w:val="Hyperlink"/>
                  <w:sz w:val="18"/>
                  <w:szCs w:val="20"/>
                  <w:lang w:val="en-AU"/>
                </w:rPr>
                <w:t>Veteran Mental Health and Wellbeing Strategy</w:t>
              </w:r>
            </w:hyperlink>
          </w:p>
        </w:tc>
        <w:tc>
          <w:tcPr>
            <w:tcW w:w="786" w:type="pct"/>
          </w:tcPr>
          <w:p w14:paraId="381946B9"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 xml:space="preserve">Department of </w:t>
            </w:r>
            <w:r w:rsidRPr="00B332DF">
              <w:rPr>
                <w:sz w:val="18"/>
                <w:szCs w:val="20"/>
                <w:lang w:val="en-AU"/>
              </w:rPr>
              <w:t>Veterans’ Affairs</w:t>
            </w:r>
          </w:p>
        </w:tc>
        <w:tc>
          <w:tcPr>
            <w:tcW w:w="395" w:type="pct"/>
          </w:tcPr>
          <w:p w14:paraId="3CBAEFD0"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2013-2023</w:t>
            </w:r>
          </w:p>
        </w:tc>
        <w:tc>
          <w:tcPr>
            <w:tcW w:w="1018" w:type="pct"/>
            <w:shd w:val="clear" w:color="auto" w:fill="auto"/>
          </w:tcPr>
          <w:p w14:paraId="6A8ED8C6"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Veterans</w:t>
            </w:r>
          </w:p>
        </w:tc>
        <w:tc>
          <w:tcPr>
            <w:tcW w:w="786" w:type="pct"/>
          </w:tcPr>
          <w:p w14:paraId="051F1872" w14:textId="77777777" w:rsidR="00B6536D" w:rsidRPr="00B332DF" w:rsidRDefault="00B6536D" w:rsidP="004F5A5B">
            <w:pPr>
              <w:spacing w:before="0"/>
              <w:rPr>
                <w:rFonts w:eastAsia="Times New Roman" w:cstheme="minorHAnsi"/>
                <w:color w:val="000000"/>
                <w:sz w:val="18"/>
                <w:szCs w:val="20"/>
                <w:lang w:val="en-AU"/>
              </w:rPr>
            </w:pPr>
            <w:r w:rsidRPr="00B332DF">
              <w:rPr>
                <w:rFonts w:eastAsia="Times New Roman" w:cstheme="minorHAnsi"/>
                <w:color w:val="000000"/>
                <w:sz w:val="18"/>
                <w:szCs w:val="20"/>
                <w:lang w:val="en-AU"/>
              </w:rPr>
              <w:t>Suicide and intentional self-harm, AOD</w:t>
            </w:r>
          </w:p>
        </w:tc>
        <w:tc>
          <w:tcPr>
            <w:tcW w:w="758" w:type="pct"/>
          </w:tcPr>
          <w:p w14:paraId="14F99234" w14:textId="77777777" w:rsidR="00B6536D" w:rsidRPr="00B22620" w:rsidRDefault="00B6536D" w:rsidP="004F5A5B">
            <w:pPr>
              <w:spacing w:before="0"/>
              <w:rPr>
                <w:rFonts w:eastAsia="Times New Roman" w:cstheme="minorHAnsi"/>
                <w:color w:val="FF0000"/>
                <w:sz w:val="18"/>
                <w:szCs w:val="20"/>
                <w:lang w:val="en-AU"/>
              </w:rPr>
            </w:pPr>
            <w:r w:rsidRPr="005A5732">
              <w:rPr>
                <w:rFonts w:eastAsia="Times New Roman" w:cstheme="minorHAnsi"/>
                <w:color w:val="000000" w:themeColor="text1"/>
                <w:sz w:val="18"/>
                <w:szCs w:val="20"/>
                <w:lang w:val="en-AU"/>
              </w:rPr>
              <w:t>1, 2</w:t>
            </w:r>
            <w:r>
              <w:rPr>
                <w:rFonts w:eastAsia="Times New Roman" w:cstheme="minorHAnsi"/>
                <w:color w:val="000000" w:themeColor="text1"/>
                <w:sz w:val="18"/>
                <w:szCs w:val="20"/>
                <w:lang w:val="en-AU"/>
              </w:rPr>
              <w:t>, 5, 22, 24</w:t>
            </w:r>
          </w:p>
        </w:tc>
      </w:tr>
    </w:tbl>
    <w:p w14:paraId="6CA623B9" w14:textId="77777777" w:rsidR="00466F3F" w:rsidRPr="00400300" w:rsidRDefault="00466F3F" w:rsidP="00466F3F">
      <w:pPr>
        <w:rPr>
          <w:rFonts w:eastAsia="Times New Roman" w:cstheme="minorHAnsi"/>
          <w:color w:val="000000"/>
          <w:sz w:val="16"/>
          <w:szCs w:val="22"/>
          <w:lang w:val="en-AU"/>
        </w:rPr>
      </w:pPr>
      <w:proofErr w:type="spellStart"/>
      <w:r w:rsidRPr="00400300">
        <w:rPr>
          <w:rFonts w:cstheme="minorHAnsi"/>
          <w:sz w:val="16"/>
          <w:lang w:val="en-AU"/>
        </w:rPr>
        <w:t>DoH</w:t>
      </w:r>
      <w:proofErr w:type="spellEnd"/>
      <w:r w:rsidRPr="00400300">
        <w:rPr>
          <w:rFonts w:cstheme="minorHAnsi"/>
          <w:sz w:val="16"/>
          <w:lang w:val="en-AU"/>
        </w:rPr>
        <w:t xml:space="preserve">- </w:t>
      </w:r>
      <w:r w:rsidRPr="00400300">
        <w:rPr>
          <w:rFonts w:eastAsia="Times New Roman" w:cstheme="minorHAnsi"/>
          <w:sz w:val="16"/>
          <w:szCs w:val="22"/>
          <w:lang w:val="en-AU"/>
        </w:rPr>
        <w:t xml:space="preserve">Commonwealth Department of Health, </w:t>
      </w:r>
      <w:r w:rsidRPr="00400300">
        <w:rPr>
          <w:rFonts w:cstheme="minorHAnsi"/>
          <w:sz w:val="16"/>
          <w:lang w:val="en-AU"/>
        </w:rPr>
        <w:t xml:space="preserve">DOH*- </w:t>
      </w:r>
      <w:r w:rsidRPr="00400300">
        <w:rPr>
          <w:rFonts w:eastAsia="Times New Roman" w:cstheme="minorHAnsi"/>
          <w:color w:val="000000"/>
          <w:sz w:val="16"/>
          <w:szCs w:val="22"/>
          <w:lang w:val="en-AU"/>
        </w:rPr>
        <w:t>Developed by the Department of Health through Australian Health Ministers’ Conference (AHMC), Department of Infrastructure, Regional Development and Cities through the Transport and Infrastructure Council, Independent – Chaired by Associate Professor Jeremy Woolley, Centre for Automotive Safety Research at the University of Adelaide, and Dr John Crozier, Chair of the Royal Australasian College of Surgeons’ Trauma Committee, Developed with Commonwealth, and State and the Northern Territory governments by the Rural Health Standing Committee</w:t>
      </w:r>
    </w:p>
    <w:p w14:paraId="3CB55031" w14:textId="77777777" w:rsidR="00466F3F" w:rsidRPr="00400300" w:rsidRDefault="00466F3F" w:rsidP="00466F3F">
      <w:pPr>
        <w:spacing w:after="160" w:line="259" w:lineRule="auto"/>
        <w:rPr>
          <w:rFonts w:eastAsia="Times New Roman" w:cstheme="minorHAnsi"/>
          <w:color w:val="0563C1" w:themeColor="hyperlink"/>
          <w:u w:val="single"/>
          <w:lang w:val="en-AU"/>
        </w:rPr>
        <w:sectPr w:rsidR="00466F3F" w:rsidRPr="00400300" w:rsidSect="00727C42">
          <w:headerReference w:type="default" r:id="rId88"/>
          <w:pgSz w:w="11906" w:h="16838"/>
          <w:pgMar w:top="1440" w:right="1440" w:bottom="1440" w:left="1440" w:header="708" w:footer="708" w:gutter="0"/>
          <w:cols w:space="708"/>
          <w:docGrid w:linePitch="360"/>
        </w:sectPr>
      </w:pPr>
    </w:p>
    <w:p w14:paraId="12D23581" w14:textId="7A4D9AD5" w:rsidR="00466F3F" w:rsidRPr="00400300" w:rsidRDefault="00466F3F" w:rsidP="00466F3F">
      <w:pPr>
        <w:pStyle w:val="Style1notnumbered"/>
        <w:rPr>
          <w:lang w:val="en-AU"/>
        </w:rPr>
      </w:pPr>
      <w:bookmarkStart w:id="324" w:name="_Toc29473029"/>
      <w:bookmarkStart w:id="325" w:name="_Toc30077761"/>
      <w:bookmarkStart w:id="326" w:name="_Toc31128334"/>
      <w:bookmarkStart w:id="327" w:name="_Toc38021114"/>
      <w:bookmarkStart w:id="328" w:name="_Toc33107382"/>
      <w:bookmarkStart w:id="329" w:name="_Toc32584909"/>
      <w:r w:rsidRPr="00400300">
        <w:rPr>
          <w:lang w:val="en-AU"/>
        </w:rPr>
        <w:t>Appendix C - Rank of external causes of injury by age group</w:t>
      </w:r>
      <w:bookmarkEnd w:id="324"/>
      <w:bookmarkEnd w:id="325"/>
      <w:bookmarkEnd w:id="326"/>
      <w:r w:rsidRPr="00400300">
        <w:rPr>
          <w:lang w:val="en-AU"/>
        </w:rPr>
        <w:fldChar w:fldCharType="begin"/>
      </w:r>
      <w:r w:rsidR="007D2F13">
        <w:rPr>
          <w:lang w:val="en-AU"/>
        </w:rPr>
        <w:instrText xml:space="preserve"> ADDIN EN.CITE &lt;EndNote&gt;&lt;Cite&gt;&lt;Author&gt;AIHW&lt;/Author&gt;&lt;Year&gt;2015&lt;/Year&gt;&lt;RecNum&gt;10&lt;/RecNum&gt;&lt;DisplayText&gt;&lt;style face="superscript"&gt;1&lt;/style&gt;&lt;/DisplayText&gt;&lt;record&gt;&lt;rec-number&gt;10&lt;/rec-number&gt;&lt;foreign-keys&gt;&lt;key app="EN" db-id="2wsw9x5wvsspa1evwxlvvergx9epfd50fs2a" timestamp="1571987679"&gt;10&lt;/key&gt;&lt;/foreign-keys&gt;&lt;ref-type name="Report"&gt;27&lt;/ref-type&gt;&lt;contributors&gt;&lt;authors&gt;&lt;author&gt;AIHW,&lt;/author&gt;&lt;/authors&gt;&lt;secondary-authors&gt;&lt;author&gt;AIHW&lt;/author&gt;&lt;/secondary-authors&gt;&lt;/contributors&gt;&lt;titles&gt;&lt;title&gt;Analysis of burden of disease database&lt;/title&gt;&lt;/titles&gt;&lt;dates&gt;&lt;year&gt;2015&lt;/year&gt;&lt;/dates&gt;&lt;urls&gt;&lt;/urls&gt;&lt;/record&gt;&lt;/Cite&gt;&lt;/EndNote&gt;</w:instrText>
      </w:r>
      <w:r w:rsidRPr="00400300">
        <w:rPr>
          <w:lang w:val="en-AU"/>
        </w:rPr>
        <w:fldChar w:fldCharType="separate"/>
      </w:r>
      <w:bookmarkEnd w:id="328"/>
      <w:bookmarkEnd w:id="329"/>
      <w:r w:rsidR="008462F1" w:rsidRPr="00400300">
        <w:rPr>
          <w:noProof/>
          <w:vertAlign w:val="superscript"/>
          <w:lang w:val="en-AU"/>
        </w:rPr>
        <w:t>1</w:t>
      </w:r>
      <w:bookmarkEnd w:id="327"/>
      <w:r w:rsidRPr="00400300">
        <w:rPr>
          <w:lang w:val="en-AU"/>
        </w:rPr>
        <w:fldChar w:fldCharType="end"/>
      </w:r>
    </w:p>
    <w:p w14:paraId="255B5734" w14:textId="77777777" w:rsidR="00466F3F" w:rsidRPr="00400300" w:rsidRDefault="00466F3F" w:rsidP="00466F3F">
      <w:pPr>
        <w:rPr>
          <w:rFonts w:cstheme="minorHAnsi"/>
          <w:lang w:val="en-AU"/>
        </w:rPr>
      </w:pPr>
    </w:p>
    <w:p w14:paraId="3C2D285A" w14:textId="77777777" w:rsidR="00466F3F" w:rsidRPr="00400300" w:rsidRDefault="00466F3F" w:rsidP="00466F3F">
      <w:pPr>
        <w:rPr>
          <w:b/>
          <w:sz w:val="28"/>
          <w:szCs w:val="28"/>
          <w:lang w:val="en-AU"/>
        </w:rPr>
      </w:pPr>
      <w:bookmarkStart w:id="330" w:name="_Toc32584910"/>
      <w:bookmarkStart w:id="331" w:name="_Toc32585053"/>
      <w:bookmarkStart w:id="332" w:name="_Toc32587855"/>
      <w:r w:rsidRPr="00400300">
        <w:rPr>
          <w:b/>
          <w:sz w:val="28"/>
          <w:szCs w:val="28"/>
          <w:lang w:val="en-AU"/>
        </w:rPr>
        <w:t>Overall</w:t>
      </w:r>
      <w:bookmarkEnd w:id="330"/>
      <w:bookmarkEnd w:id="331"/>
      <w:bookmarkEnd w:id="332"/>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5D85BE51" w14:textId="77777777" w:rsidTr="00466F3F">
        <w:tc>
          <w:tcPr>
            <w:tcW w:w="1151" w:type="dxa"/>
          </w:tcPr>
          <w:p w14:paraId="2B71E2F5"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4B1C97D0"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22F8D2FE"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3EC3183D"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3C24759F" w14:textId="77777777" w:rsidTr="00466F3F">
        <w:tc>
          <w:tcPr>
            <w:tcW w:w="1151" w:type="dxa"/>
          </w:tcPr>
          <w:p w14:paraId="6EE30150"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15B65CBE"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1010901C" w14:textId="77777777" w:rsidR="00466F3F" w:rsidRPr="00400300" w:rsidRDefault="00466F3F" w:rsidP="00466F3F">
            <w:pPr>
              <w:spacing w:before="0"/>
              <w:rPr>
                <w:rFonts w:cstheme="minorHAnsi"/>
                <w:color w:val="000000"/>
                <w:lang w:val="en-AU"/>
              </w:rPr>
            </w:pPr>
            <w:r w:rsidRPr="00400300">
              <w:rPr>
                <w:rFonts w:cstheme="minorHAnsi"/>
                <w:color w:val="000000"/>
                <w:lang w:val="en-AU"/>
              </w:rPr>
              <w:t>135373</w:t>
            </w:r>
          </w:p>
        </w:tc>
        <w:tc>
          <w:tcPr>
            <w:tcW w:w="2150" w:type="dxa"/>
            <w:vAlign w:val="bottom"/>
          </w:tcPr>
          <w:p w14:paraId="667546A8" w14:textId="77777777" w:rsidR="00466F3F" w:rsidRPr="00400300" w:rsidRDefault="00466F3F" w:rsidP="00466F3F">
            <w:pPr>
              <w:spacing w:before="0"/>
              <w:rPr>
                <w:rFonts w:cstheme="minorHAnsi"/>
                <w:color w:val="000000"/>
                <w:lang w:val="en-AU"/>
              </w:rPr>
            </w:pPr>
            <w:r w:rsidRPr="00400300">
              <w:rPr>
                <w:rFonts w:cstheme="minorHAnsi"/>
                <w:color w:val="000000"/>
                <w:lang w:val="en-AU"/>
              </w:rPr>
              <w:t>33%</w:t>
            </w:r>
          </w:p>
        </w:tc>
      </w:tr>
      <w:tr w:rsidR="00466F3F" w:rsidRPr="00400300" w14:paraId="33808885" w14:textId="77777777" w:rsidTr="00466F3F">
        <w:tc>
          <w:tcPr>
            <w:tcW w:w="1151" w:type="dxa"/>
          </w:tcPr>
          <w:p w14:paraId="5DC11F64"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54DE15DF"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66F9DDFB" w14:textId="77777777" w:rsidR="00466F3F" w:rsidRPr="00400300" w:rsidRDefault="00466F3F" w:rsidP="00466F3F">
            <w:pPr>
              <w:spacing w:before="0"/>
              <w:rPr>
                <w:rFonts w:cstheme="minorHAnsi"/>
                <w:color w:val="000000"/>
                <w:lang w:val="en-AU"/>
              </w:rPr>
            </w:pPr>
            <w:r w:rsidRPr="00400300">
              <w:rPr>
                <w:rFonts w:cstheme="minorHAnsi"/>
                <w:color w:val="000000"/>
                <w:lang w:val="en-AU"/>
              </w:rPr>
              <w:t>66521</w:t>
            </w:r>
          </w:p>
        </w:tc>
        <w:tc>
          <w:tcPr>
            <w:tcW w:w="2150" w:type="dxa"/>
            <w:vAlign w:val="bottom"/>
          </w:tcPr>
          <w:p w14:paraId="1AC5DB73" w14:textId="77777777" w:rsidR="00466F3F" w:rsidRPr="00400300" w:rsidRDefault="00466F3F" w:rsidP="00466F3F">
            <w:pPr>
              <w:spacing w:before="0"/>
              <w:rPr>
                <w:rFonts w:cstheme="minorHAnsi"/>
                <w:color w:val="000000"/>
                <w:lang w:val="en-AU"/>
              </w:rPr>
            </w:pPr>
            <w:r w:rsidRPr="00400300">
              <w:rPr>
                <w:rFonts w:cstheme="minorHAnsi"/>
                <w:color w:val="000000"/>
                <w:lang w:val="en-AU"/>
              </w:rPr>
              <w:t>16%</w:t>
            </w:r>
          </w:p>
        </w:tc>
      </w:tr>
      <w:tr w:rsidR="00466F3F" w:rsidRPr="00400300" w14:paraId="77F0615C" w14:textId="77777777" w:rsidTr="00466F3F">
        <w:tc>
          <w:tcPr>
            <w:tcW w:w="1151" w:type="dxa"/>
          </w:tcPr>
          <w:p w14:paraId="65022391"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1E1B55EF"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19BC66A7" w14:textId="77777777" w:rsidR="00466F3F" w:rsidRPr="00400300" w:rsidRDefault="00466F3F" w:rsidP="00466F3F">
            <w:pPr>
              <w:spacing w:before="0"/>
              <w:rPr>
                <w:rFonts w:cstheme="minorHAnsi"/>
                <w:color w:val="000000"/>
                <w:lang w:val="en-AU"/>
              </w:rPr>
            </w:pPr>
            <w:r w:rsidRPr="00400300">
              <w:rPr>
                <w:rFonts w:cstheme="minorHAnsi"/>
                <w:color w:val="000000"/>
                <w:lang w:val="en-AU"/>
              </w:rPr>
              <w:t>62681</w:t>
            </w:r>
          </w:p>
        </w:tc>
        <w:tc>
          <w:tcPr>
            <w:tcW w:w="2150" w:type="dxa"/>
            <w:vAlign w:val="bottom"/>
          </w:tcPr>
          <w:p w14:paraId="6BBACA50" w14:textId="77777777" w:rsidR="00466F3F" w:rsidRPr="00400300" w:rsidRDefault="00466F3F" w:rsidP="00466F3F">
            <w:pPr>
              <w:spacing w:before="0"/>
              <w:rPr>
                <w:rFonts w:cstheme="minorHAnsi"/>
                <w:color w:val="000000"/>
                <w:lang w:val="en-AU"/>
              </w:rPr>
            </w:pPr>
            <w:r w:rsidRPr="00400300">
              <w:rPr>
                <w:rFonts w:cstheme="minorHAnsi"/>
                <w:color w:val="000000"/>
                <w:lang w:val="en-AU"/>
              </w:rPr>
              <w:t>15%</w:t>
            </w:r>
          </w:p>
        </w:tc>
      </w:tr>
      <w:tr w:rsidR="00466F3F" w:rsidRPr="00400300" w14:paraId="66344FB9" w14:textId="77777777" w:rsidTr="00466F3F">
        <w:tc>
          <w:tcPr>
            <w:tcW w:w="1151" w:type="dxa"/>
          </w:tcPr>
          <w:p w14:paraId="5BD401D4"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6F570225"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77FA475D" w14:textId="77777777" w:rsidR="00466F3F" w:rsidRPr="00400300" w:rsidRDefault="00466F3F" w:rsidP="00466F3F">
            <w:pPr>
              <w:spacing w:before="0"/>
              <w:rPr>
                <w:rFonts w:cstheme="minorHAnsi"/>
                <w:color w:val="000000"/>
                <w:lang w:val="en-AU"/>
              </w:rPr>
            </w:pPr>
            <w:r w:rsidRPr="00400300">
              <w:rPr>
                <w:rFonts w:cstheme="minorHAnsi"/>
                <w:color w:val="000000"/>
                <w:lang w:val="en-AU"/>
              </w:rPr>
              <w:t>62318</w:t>
            </w:r>
          </w:p>
        </w:tc>
        <w:tc>
          <w:tcPr>
            <w:tcW w:w="2150" w:type="dxa"/>
            <w:vAlign w:val="bottom"/>
          </w:tcPr>
          <w:p w14:paraId="5790B9CA" w14:textId="77777777" w:rsidR="00466F3F" w:rsidRPr="00400300" w:rsidRDefault="00466F3F" w:rsidP="00466F3F">
            <w:pPr>
              <w:spacing w:before="0"/>
              <w:rPr>
                <w:rFonts w:cstheme="minorHAnsi"/>
                <w:color w:val="000000"/>
                <w:lang w:val="en-AU"/>
              </w:rPr>
            </w:pPr>
            <w:r w:rsidRPr="00400300">
              <w:rPr>
                <w:rFonts w:cstheme="minorHAnsi"/>
                <w:color w:val="000000"/>
                <w:lang w:val="en-AU"/>
              </w:rPr>
              <w:t>15%</w:t>
            </w:r>
          </w:p>
        </w:tc>
      </w:tr>
      <w:tr w:rsidR="00466F3F" w:rsidRPr="00400300" w14:paraId="17B48548" w14:textId="77777777" w:rsidTr="00466F3F">
        <w:tc>
          <w:tcPr>
            <w:tcW w:w="1151" w:type="dxa"/>
          </w:tcPr>
          <w:p w14:paraId="7FE36823"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521EF130"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08179CA0" w14:textId="77777777" w:rsidR="00466F3F" w:rsidRPr="00400300" w:rsidRDefault="00466F3F" w:rsidP="00466F3F">
            <w:pPr>
              <w:spacing w:before="0"/>
              <w:rPr>
                <w:rFonts w:cstheme="minorHAnsi"/>
                <w:color w:val="000000"/>
                <w:lang w:val="en-AU"/>
              </w:rPr>
            </w:pPr>
            <w:r w:rsidRPr="00400300">
              <w:rPr>
                <w:rFonts w:cstheme="minorHAnsi"/>
                <w:color w:val="000000"/>
                <w:lang w:val="en-AU"/>
              </w:rPr>
              <w:t>28533</w:t>
            </w:r>
          </w:p>
        </w:tc>
        <w:tc>
          <w:tcPr>
            <w:tcW w:w="2150" w:type="dxa"/>
            <w:vAlign w:val="bottom"/>
          </w:tcPr>
          <w:p w14:paraId="0CE065F8" w14:textId="77777777" w:rsidR="00466F3F" w:rsidRPr="00400300" w:rsidRDefault="00466F3F" w:rsidP="00466F3F">
            <w:pPr>
              <w:spacing w:before="0"/>
              <w:rPr>
                <w:rFonts w:cstheme="minorHAnsi"/>
                <w:color w:val="000000"/>
                <w:lang w:val="en-AU"/>
              </w:rPr>
            </w:pPr>
            <w:r w:rsidRPr="00400300">
              <w:rPr>
                <w:rFonts w:cstheme="minorHAnsi"/>
                <w:color w:val="000000"/>
                <w:lang w:val="en-AU"/>
              </w:rPr>
              <w:t>7%</w:t>
            </w:r>
          </w:p>
        </w:tc>
      </w:tr>
      <w:tr w:rsidR="00466F3F" w:rsidRPr="00400300" w14:paraId="4FEAC1C5" w14:textId="77777777" w:rsidTr="00466F3F">
        <w:tc>
          <w:tcPr>
            <w:tcW w:w="1151" w:type="dxa"/>
          </w:tcPr>
          <w:p w14:paraId="0369D8C0"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0EACFD11"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1D753B50" w14:textId="77777777" w:rsidR="00466F3F" w:rsidRPr="00400300" w:rsidRDefault="00466F3F" w:rsidP="00466F3F">
            <w:pPr>
              <w:spacing w:before="0"/>
              <w:rPr>
                <w:rFonts w:cstheme="minorHAnsi"/>
                <w:color w:val="000000"/>
                <w:lang w:val="en-AU"/>
              </w:rPr>
            </w:pPr>
            <w:r w:rsidRPr="00400300">
              <w:rPr>
                <w:rFonts w:cstheme="minorHAnsi"/>
                <w:color w:val="000000"/>
                <w:lang w:val="en-AU"/>
              </w:rPr>
              <w:t>18291</w:t>
            </w:r>
          </w:p>
        </w:tc>
        <w:tc>
          <w:tcPr>
            <w:tcW w:w="2150" w:type="dxa"/>
            <w:vAlign w:val="bottom"/>
          </w:tcPr>
          <w:p w14:paraId="35712023" w14:textId="77777777" w:rsidR="00466F3F" w:rsidRPr="00400300" w:rsidRDefault="00466F3F" w:rsidP="00466F3F">
            <w:pPr>
              <w:spacing w:before="0"/>
              <w:rPr>
                <w:rFonts w:cstheme="minorHAnsi"/>
                <w:color w:val="000000"/>
                <w:lang w:val="en-AU"/>
              </w:rPr>
            </w:pPr>
            <w:r w:rsidRPr="00400300">
              <w:rPr>
                <w:rFonts w:cstheme="minorHAnsi"/>
                <w:color w:val="000000"/>
                <w:lang w:val="en-AU"/>
              </w:rPr>
              <w:t>5%</w:t>
            </w:r>
          </w:p>
        </w:tc>
      </w:tr>
      <w:tr w:rsidR="00466F3F" w:rsidRPr="00400300" w14:paraId="00D73DF6" w14:textId="77777777" w:rsidTr="00466F3F">
        <w:tc>
          <w:tcPr>
            <w:tcW w:w="1151" w:type="dxa"/>
          </w:tcPr>
          <w:p w14:paraId="7C188159"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53272AEB"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20A64F51" w14:textId="77777777" w:rsidR="00466F3F" w:rsidRPr="00400300" w:rsidRDefault="00466F3F" w:rsidP="00466F3F">
            <w:pPr>
              <w:spacing w:before="0"/>
              <w:rPr>
                <w:rFonts w:cstheme="minorHAnsi"/>
                <w:color w:val="000000"/>
                <w:lang w:val="en-AU"/>
              </w:rPr>
            </w:pPr>
            <w:r w:rsidRPr="00400300">
              <w:rPr>
                <w:rFonts w:cstheme="minorHAnsi"/>
                <w:color w:val="000000"/>
                <w:lang w:val="en-AU"/>
              </w:rPr>
              <w:t>11508</w:t>
            </w:r>
          </w:p>
        </w:tc>
        <w:tc>
          <w:tcPr>
            <w:tcW w:w="2150" w:type="dxa"/>
            <w:vAlign w:val="bottom"/>
          </w:tcPr>
          <w:p w14:paraId="273D9704"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452BB3FA" w14:textId="77777777" w:rsidTr="00466F3F">
        <w:tc>
          <w:tcPr>
            <w:tcW w:w="1151" w:type="dxa"/>
          </w:tcPr>
          <w:p w14:paraId="5C70C11C"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6CAD3898"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4C611A53" w14:textId="77777777" w:rsidR="00466F3F" w:rsidRPr="00400300" w:rsidRDefault="00466F3F" w:rsidP="00466F3F">
            <w:pPr>
              <w:spacing w:before="0"/>
              <w:rPr>
                <w:rFonts w:cstheme="minorHAnsi"/>
                <w:color w:val="000000"/>
                <w:lang w:val="en-AU"/>
              </w:rPr>
            </w:pPr>
            <w:r w:rsidRPr="00400300">
              <w:rPr>
                <w:rFonts w:cstheme="minorHAnsi"/>
                <w:color w:val="000000"/>
                <w:lang w:val="en-AU"/>
              </w:rPr>
              <w:t>10744</w:t>
            </w:r>
          </w:p>
        </w:tc>
        <w:tc>
          <w:tcPr>
            <w:tcW w:w="2150" w:type="dxa"/>
            <w:vAlign w:val="bottom"/>
          </w:tcPr>
          <w:p w14:paraId="443BCCC6"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2384E6CD" w14:textId="77777777" w:rsidTr="00466F3F">
        <w:tc>
          <w:tcPr>
            <w:tcW w:w="1151" w:type="dxa"/>
          </w:tcPr>
          <w:p w14:paraId="38A454D0"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135684FC"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79386DB8" w14:textId="77777777" w:rsidR="00466F3F" w:rsidRPr="00400300" w:rsidRDefault="00466F3F" w:rsidP="00466F3F">
            <w:pPr>
              <w:spacing w:before="0"/>
              <w:rPr>
                <w:rFonts w:cstheme="minorHAnsi"/>
                <w:color w:val="000000"/>
                <w:lang w:val="en-AU"/>
              </w:rPr>
            </w:pPr>
            <w:r w:rsidRPr="00400300">
              <w:rPr>
                <w:rFonts w:cstheme="minorHAnsi"/>
                <w:color w:val="000000"/>
                <w:lang w:val="en-AU"/>
              </w:rPr>
              <w:t>6596</w:t>
            </w:r>
          </w:p>
        </w:tc>
        <w:tc>
          <w:tcPr>
            <w:tcW w:w="2150" w:type="dxa"/>
            <w:vAlign w:val="bottom"/>
          </w:tcPr>
          <w:p w14:paraId="04D61233" w14:textId="77777777" w:rsidR="00466F3F" w:rsidRPr="00400300" w:rsidRDefault="00466F3F" w:rsidP="00466F3F">
            <w:pPr>
              <w:spacing w:before="0"/>
              <w:rPr>
                <w:rFonts w:cstheme="minorHAnsi"/>
                <w:color w:val="000000"/>
                <w:lang w:val="en-AU"/>
              </w:rPr>
            </w:pPr>
            <w:r w:rsidRPr="00400300">
              <w:rPr>
                <w:rFonts w:cstheme="minorHAnsi"/>
                <w:color w:val="000000"/>
                <w:lang w:val="en-AU"/>
              </w:rPr>
              <w:t>2%</w:t>
            </w:r>
          </w:p>
        </w:tc>
      </w:tr>
      <w:tr w:rsidR="00466F3F" w:rsidRPr="00400300" w14:paraId="4C98A604" w14:textId="77777777" w:rsidTr="00466F3F">
        <w:tc>
          <w:tcPr>
            <w:tcW w:w="1151" w:type="dxa"/>
          </w:tcPr>
          <w:p w14:paraId="3C9709C2"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095E35AA"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7E3D7A98" w14:textId="77777777" w:rsidR="00466F3F" w:rsidRPr="00400300" w:rsidRDefault="00466F3F" w:rsidP="00466F3F">
            <w:pPr>
              <w:spacing w:before="0"/>
              <w:rPr>
                <w:rFonts w:cstheme="minorHAnsi"/>
                <w:color w:val="000000"/>
                <w:lang w:val="en-AU"/>
              </w:rPr>
            </w:pPr>
            <w:r w:rsidRPr="00400300">
              <w:rPr>
                <w:rFonts w:cstheme="minorHAnsi"/>
                <w:color w:val="000000"/>
                <w:lang w:val="en-AU"/>
              </w:rPr>
              <w:t>3396</w:t>
            </w:r>
          </w:p>
        </w:tc>
        <w:tc>
          <w:tcPr>
            <w:tcW w:w="2150" w:type="dxa"/>
            <w:vAlign w:val="bottom"/>
          </w:tcPr>
          <w:p w14:paraId="17951022"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bl>
    <w:p w14:paraId="1725D41A"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2146AB76" w14:textId="77777777" w:rsidR="00466F3F" w:rsidRPr="00400300" w:rsidRDefault="00466F3F" w:rsidP="00466F3F">
      <w:pPr>
        <w:rPr>
          <w:rFonts w:cstheme="minorHAnsi"/>
          <w:lang w:val="en-AU"/>
        </w:rPr>
      </w:pPr>
    </w:p>
    <w:p w14:paraId="2F2C8251" w14:textId="77777777" w:rsidR="00466F3F" w:rsidRPr="00400300" w:rsidRDefault="00466F3F" w:rsidP="00466F3F">
      <w:pPr>
        <w:rPr>
          <w:b/>
          <w:lang w:val="en-AU"/>
        </w:rPr>
      </w:pPr>
      <w:r w:rsidRPr="00400300">
        <w:rPr>
          <w:b/>
          <w:lang w:val="en-AU"/>
        </w:rPr>
        <w:t>0-14 years</w:t>
      </w:r>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278DB942" w14:textId="77777777" w:rsidTr="00466F3F">
        <w:tc>
          <w:tcPr>
            <w:tcW w:w="1151" w:type="dxa"/>
          </w:tcPr>
          <w:p w14:paraId="59903CF5"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0D7F738D"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6D8094F4"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78DF3F56"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309958BE" w14:textId="77777777" w:rsidTr="00466F3F">
        <w:tc>
          <w:tcPr>
            <w:tcW w:w="1151" w:type="dxa"/>
          </w:tcPr>
          <w:p w14:paraId="0308EBED"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084F9980"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70C07208" w14:textId="77777777" w:rsidR="00466F3F" w:rsidRPr="00400300" w:rsidRDefault="00466F3F" w:rsidP="00466F3F">
            <w:pPr>
              <w:spacing w:before="0"/>
              <w:rPr>
                <w:rFonts w:cstheme="minorHAnsi"/>
                <w:color w:val="000000"/>
                <w:lang w:val="en-AU"/>
              </w:rPr>
            </w:pPr>
            <w:r w:rsidRPr="00400300">
              <w:rPr>
                <w:rFonts w:cstheme="minorHAnsi"/>
                <w:color w:val="000000"/>
                <w:lang w:val="en-AU"/>
              </w:rPr>
              <w:t>4332.8</w:t>
            </w:r>
          </w:p>
        </w:tc>
        <w:tc>
          <w:tcPr>
            <w:tcW w:w="2150" w:type="dxa"/>
            <w:vAlign w:val="bottom"/>
          </w:tcPr>
          <w:p w14:paraId="21E38606" w14:textId="77777777" w:rsidR="00466F3F" w:rsidRPr="00400300" w:rsidRDefault="00466F3F" w:rsidP="00466F3F">
            <w:pPr>
              <w:spacing w:before="0"/>
              <w:rPr>
                <w:rFonts w:cstheme="minorHAnsi"/>
                <w:color w:val="000000"/>
                <w:lang w:val="en-AU"/>
              </w:rPr>
            </w:pPr>
            <w:r w:rsidRPr="00400300">
              <w:rPr>
                <w:rFonts w:cstheme="minorHAnsi"/>
                <w:color w:val="000000"/>
                <w:lang w:val="en-AU"/>
              </w:rPr>
              <w:t>20%</w:t>
            </w:r>
          </w:p>
        </w:tc>
      </w:tr>
      <w:tr w:rsidR="00466F3F" w:rsidRPr="00400300" w14:paraId="43264234" w14:textId="77777777" w:rsidTr="00466F3F">
        <w:tc>
          <w:tcPr>
            <w:tcW w:w="1151" w:type="dxa"/>
          </w:tcPr>
          <w:p w14:paraId="05EE2C38"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1D2326DB"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6896501C" w14:textId="77777777" w:rsidR="00466F3F" w:rsidRPr="00400300" w:rsidRDefault="00466F3F" w:rsidP="00466F3F">
            <w:pPr>
              <w:spacing w:before="0"/>
              <w:rPr>
                <w:rFonts w:cstheme="minorHAnsi"/>
                <w:color w:val="000000"/>
                <w:lang w:val="en-AU"/>
              </w:rPr>
            </w:pPr>
            <w:r w:rsidRPr="00400300">
              <w:rPr>
                <w:rFonts w:cstheme="minorHAnsi"/>
                <w:color w:val="000000"/>
                <w:lang w:val="en-AU"/>
              </w:rPr>
              <w:t>3231.2</w:t>
            </w:r>
          </w:p>
        </w:tc>
        <w:tc>
          <w:tcPr>
            <w:tcW w:w="2150" w:type="dxa"/>
            <w:vAlign w:val="bottom"/>
          </w:tcPr>
          <w:p w14:paraId="698C36FC" w14:textId="77777777" w:rsidR="00466F3F" w:rsidRPr="00400300" w:rsidRDefault="00466F3F" w:rsidP="00466F3F">
            <w:pPr>
              <w:spacing w:before="0"/>
              <w:rPr>
                <w:rFonts w:cstheme="minorHAnsi"/>
                <w:color w:val="000000"/>
                <w:lang w:val="en-AU"/>
              </w:rPr>
            </w:pPr>
            <w:r w:rsidRPr="00400300">
              <w:rPr>
                <w:rFonts w:cstheme="minorHAnsi"/>
                <w:color w:val="000000"/>
                <w:lang w:val="en-AU"/>
              </w:rPr>
              <w:t>15%</w:t>
            </w:r>
          </w:p>
        </w:tc>
      </w:tr>
      <w:tr w:rsidR="00466F3F" w:rsidRPr="00400300" w14:paraId="58016C24" w14:textId="77777777" w:rsidTr="00466F3F">
        <w:tc>
          <w:tcPr>
            <w:tcW w:w="1151" w:type="dxa"/>
          </w:tcPr>
          <w:p w14:paraId="2DC6AADF"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3995E8A8"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470B3EFC" w14:textId="77777777" w:rsidR="00466F3F" w:rsidRPr="00400300" w:rsidRDefault="00466F3F" w:rsidP="00466F3F">
            <w:pPr>
              <w:spacing w:before="0"/>
              <w:rPr>
                <w:rFonts w:cstheme="minorHAnsi"/>
                <w:color w:val="000000"/>
                <w:lang w:val="en-AU"/>
              </w:rPr>
            </w:pPr>
            <w:r w:rsidRPr="00400300">
              <w:rPr>
                <w:rFonts w:cstheme="minorHAnsi"/>
                <w:color w:val="000000"/>
                <w:lang w:val="en-AU"/>
              </w:rPr>
              <w:t>3132.6</w:t>
            </w:r>
          </w:p>
        </w:tc>
        <w:tc>
          <w:tcPr>
            <w:tcW w:w="2150" w:type="dxa"/>
            <w:vAlign w:val="bottom"/>
          </w:tcPr>
          <w:p w14:paraId="157C2E1B" w14:textId="77777777" w:rsidR="00466F3F" w:rsidRPr="00400300" w:rsidRDefault="00466F3F" w:rsidP="00466F3F">
            <w:pPr>
              <w:spacing w:before="0"/>
              <w:rPr>
                <w:rFonts w:cstheme="minorHAnsi"/>
                <w:color w:val="000000"/>
                <w:lang w:val="en-AU"/>
              </w:rPr>
            </w:pPr>
            <w:r w:rsidRPr="00400300">
              <w:rPr>
                <w:rFonts w:cstheme="minorHAnsi"/>
                <w:color w:val="000000"/>
                <w:lang w:val="en-AU"/>
              </w:rPr>
              <w:t>15%</w:t>
            </w:r>
          </w:p>
        </w:tc>
      </w:tr>
      <w:tr w:rsidR="00466F3F" w:rsidRPr="00400300" w14:paraId="28B94301" w14:textId="77777777" w:rsidTr="00466F3F">
        <w:tc>
          <w:tcPr>
            <w:tcW w:w="1151" w:type="dxa"/>
          </w:tcPr>
          <w:p w14:paraId="499E92F8"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63791187"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36A2554A" w14:textId="77777777" w:rsidR="00466F3F" w:rsidRPr="00400300" w:rsidRDefault="00466F3F" w:rsidP="00466F3F">
            <w:pPr>
              <w:spacing w:before="0"/>
              <w:rPr>
                <w:rFonts w:cstheme="minorHAnsi"/>
                <w:color w:val="000000"/>
                <w:lang w:val="en-AU"/>
              </w:rPr>
            </w:pPr>
            <w:r w:rsidRPr="00400300">
              <w:rPr>
                <w:rFonts w:cstheme="minorHAnsi"/>
                <w:color w:val="000000"/>
                <w:lang w:val="en-AU"/>
              </w:rPr>
              <w:t>2978.1</w:t>
            </w:r>
          </w:p>
        </w:tc>
        <w:tc>
          <w:tcPr>
            <w:tcW w:w="2150" w:type="dxa"/>
            <w:vAlign w:val="bottom"/>
          </w:tcPr>
          <w:p w14:paraId="0CAECB48" w14:textId="77777777" w:rsidR="00466F3F" w:rsidRPr="00400300" w:rsidRDefault="00466F3F" w:rsidP="00466F3F">
            <w:pPr>
              <w:spacing w:before="0"/>
              <w:rPr>
                <w:rFonts w:cstheme="minorHAnsi"/>
                <w:color w:val="000000"/>
                <w:lang w:val="en-AU"/>
              </w:rPr>
            </w:pPr>
            <w:r w:rsidRPr="00400300">
              <w:rPr>
                <w:rFonts w:cstheme="minorHAnsi"/>
                <w:color w:val="000000"/>
                <w:lang w:val="en-AU"/>
              </w:rPr>
              <w:t>14%</w:t>
            </w:r>
          </w:p>
        </w:tc>
      </w:tr>
      <w:tr w:rsidR="00466F3F" w:rsidRPr="00400300" w14:paraId="7B704607" w14:textId="77777777" w:rsidTr="00466F3F">
        <w:tc>
          <w:tcPr>
            <w:tcW w:w="1151" w:type="dxa"/>
          </w:tcPr>
          <w:p w14:paraId="664C3987"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1547EAC7"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03069C01" w14:textId="77777777" w:rsidR="00466F3F" w:rsidRPr="00400300" w:rsidRDefault="00466F3F" w:rsidP="00466F3F">
            <w:pPr>
              <w:spacing w:before="0"/>
              <w:rPr>
                <w:rFonts w:cstheme="minorHAnsi"/>
                <w:color w:val="000000"/>
                <w:lang w:val="en-AU"/>
              </w:rPr>
            </w:pPr>
            <w:r w:rsidRPr="00400300">
              <w:rPr>
                <w:rFonts w:cstheme="minorHAnsi"/>
                <w:color w:val="000000"/>
                <w:lang w:val="en-AU"/>
              </w:rPr>
              <w:t>2337.5</w:t>
            </w:r>
          </w:p>
        </w:tc>
        <w:tc>
          <w:tcPr>
            <w:tcW w:w="2150" w:type="dxa"/>
            <w:vAlign w:val="bottom"/>
          </w:tcPr>
          <w:p w14:paraId="2F9B7F52" w14:textId="77777777" w:rsidR="00466F3F" w:rsidRPr="00400300" w:rsidRDefault="00466F3F" w:rsidP="00466F3F">
            <w:pPr>
              <w:spacing w:before="0"/>
              <w:rPr>
                <w:rFonts w:cstheme="minorHAnsi"/>
                <w:color w:val="000000"/>
                <w:lang w:val="en-AU"/>
              </w:rPr>
            </w:pPr>
            <w:r w:rsidRPr="00400300">
              <w:rPr>
                <w:rFonts w:cstheme="minorHAnsi"/>
                <w:color w:val="000000"/>
                <w:lang w:val="en-AU"/>
              </w:rPr>
              <w:t>11%</w:t>
            </w:r>
          </w:p>
        </w:tc>
      </w:tr>
      <w:tr w:rsidR="00466F3F" w:rsidRPr="00400300" w14:paraId="2D96134A" w14:textId="77777777" w:rsidTr="00466F3F">
        <w:tc>
          <w:tcPr>
            <w:tcW w:w="1151" w:type="dxa"/>
          </w:tcPr>
          <w:p w14:paraId="1D3B7833"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0D7F0789"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5D50BF6D" w14:textId="77777777" w:rsidR="00466F3F" w:rsidRPr="00400300" w:rsidRDefault="00466F3F" w:rsidP="00466F3F">
            <w:pPr>
              <w:spacing w:before="0"/>
              <w:rPr>
                <w:rFonts w:cstheme="minorHAnsi"/>
                <w:color w:val="000000"/>
                <w:lang w:val="en-AU"/>
              </w:rPr>
            </w:pPr>
            <w:r w:rsidRPr="00400300">
              <w:rPr>
                <w:rFonts w:cstheme="minorHAnsi"/>
                <w:color w:val="000000"/>
                <w:lang w:val="en-AU"/>
              </w:rPr>
              <w:t>2318.6</w:t>
            </w:r>
          </w:p>
        </w:tc>
        <w:tc>
          <w:tcPr>
            <w:tcW w:w="2150" w:type="dxa"/>
            <w:vAlign w:val="bottom"/>
          </w:tcPr>
          <w:p w14:paraId="7DCC9C53" w14:textId="77777777" w:rsidR="00466F3F" w:rsidRPr="00400300" w:rsidRDefault="00466F3F" w:rsidP="00466F3F">
            <w:pPr>
              <w:spacing w:before="0"/>
              <w:rPr>
                <w:rFonts w:cstheme="minorHAnsi"/>
                <w:color w:val="000000"/>
                <w:lang w:val="en-AU"/>
              </w:rPr>
            </w:pPr>
            <w:r w:rsidRPr="00400300">
              <w:rPr>
                <w:rFonts w:cstheme="minorHAnsi"/>
                <w:color w:val="000000"/>
                <w:lang w:val="en-AU"/>
              </w:rPr>
              <w:t>11%</w:t>
            </w:r>
          </w:p>
        </w:tc>
      </w:tr>
      <w:tr w:rsidR="00466F3F" w:rsidRPr="00400300" w14:paraId="6079EC3D" w14:textId="77777777" w:rsidTr="00466F3F">
        <w:tc>
          <w:tcPr>
            <w:tcW w:w="1151" w:type="dxa"/>
          </w:tcPr>
          <w:p w14:paraId="716ED087"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4342B24B"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70BECCC5" w14:textId="77777777" w:rsidR="00466F3F" w:rsidRPr="00400300" w:rsidRDefault="00466F3F" w:rsidP="00466F3F">
            <w:pPr>
              <w:spacing w:before="0"/>
              <w:rPr>
                <w:rFonts w:cstheme="minorHAnsi"/>
                <w:color w:val="000000"/>
                <w:lang w:val="en-AU"/>
              </w:rPr>
            </w:pPr>
            <w:r w:rsidRPr="00400300">
              <w:rPr>
                <w:rFonts w:cstheme="minorHAnsi"/>
                <w:color w:val="000000"/>
                <w:lang w:val="en-AU"/>
              </w:rPr>
              <w:t>1498.2</w:t>
            </w:r>
          </w:p>
        </w:tc>
        <w:tc>
          <w:tcPr>
            <w:tcW w:w="2150" w:type="dxa"/>
            <w:vAlign w:val="bottom"/>
          </w:tcPr>
          <w:p w14:paraId="62C2A67D" w14:textId="77777777" w:rsidR="00466F3F" w:rsidRPr="00400300" w:rsidRDefault="00466F3F" w:rsidP="00466F3F">
            <w:pPr>
              <w:spacing w:before="0"/>
              <w:rPr>
                <w:rFonts w:cstheme="minorHAnsi"/>
                <w:color w:val="000000"/>
                <w:lang w:val="en-AU"/>
              </w:rPr>
            </w:pPr>
            <w:r w:rsidRPr="00400300">
              <w:rPr>
                <w:rFonts w:cstheme="minorHAnsi"/>
                <w:color w:val="000000"/>
                <w:lang w:val="en-AU"/>
              </w:rPr>
              <w:t>7%</w:t>
            </w:r>
          </w:p>
        </w:tc>
      </w:tr>
      <w:tr w:rsidR="00466F3F" w:rsidRPr="00400300" w14:paraId="5685B407" w14:textId="77777777" w:rsidTr="00466F3F">
        <w:tc>
          <w:tcPr>
            <w:tcW w:w="1151" w:type="dxa"/>
          </w:tcPr>
          <w:p w14:paraId="4068D067"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100FDD02"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4B9E442F" w14:textId="77777777" w:rsidR="00466F3F" w:rsidRPr="00400300" w:rsidRDefault="00466F3F" w:rsidP="00466F3F">
            <w:pPr>
              <w:spacing w:before="0"/>
              <w:rPr>
                <w:rFonts w:cstheme="minorHAnsi"/>
                <w:color w:val="000000"/>
                <w:lang w:val="en-AU"/>
              </w:rPr>
            </w:pPr>
            <w:r w:rsidRPr="00400300">
              <w:rPr>
                <w:rFonts w:cstheme="minorHAnsi"/>
                <w:color w:val="000000"/>
                <w:lang w:val="en-AU"/>
              </w:rPr>
              <w:t>651.9</w:t>
            </w:r>
          </w:p>
        </w:tc>
        <w:tc>
          <w:tcPr>
            <w:tcW w:w="2150" w:type="dxa"/>
            <w:vAlign w:val="bottom"/>
          </w:tcPr>
          <w:p w14:paraId="11AA8A3B"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2F6BD8B2" w14:textId="77777777" w:rsidTr="00466F3F">
        <w:tc>
          <w:tcPr>
            <w:tcW w:w="1151" w:type="dxa"/>
          </w:tcPr>
          <w:p w14:paraId="62584C07"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7069A06D"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1F3C676B" w14:textId="77777777" w:rsidR="00466F3F" w:rsidRPr="00400300" w:rsidRDefault="00466F3F" w:rsidP="00466F3F">
            <w:pPr>
              <w:spacing w:before="0"/>
              <w:rPr>
                <w:rFonts w:cstheme="minorHAnsi"/>
                <w:color w:val="000000"/>
                <w:lang w:val="en-AU"/>
              </w:rPr>
            </w:pPr>
            <w:r w:rsidRPr="00400300">
              <w:rPr>
                <w:rFonts w:cstheme="minorHAnsi"/>
                <w:color w:val="000000"/>
                <w:lang w:val="en-AU"/>
              </w:rPr>
              <w:t>482.2</w:t>
            </w:r>
          </w:p>
        </w:tc>
        <w:tc>
          <w:tcPr>
            <w:tcW w:w="2150" w:type="dxa"/>
            <w:vAlign w:val="bottom"/>
          </w:tcPr>
          <w:p w14:paraId="6B58240C" w14:textId="77777777" w:rsidR="00466F3F" w:rsidRPr="00400300" w:rsidRDefault="00466F3F" w:rsidP="00466F3F">
            <w:pPr>
              <w:spacing w:before="0"/>
              <w:rPr>
                <w:rFonts w:cstheme="minorHAnsi"/>
                <w:color w:val="000000"/>
                <w:lang w:val="en-AU"/>
              </w:rPr>
            </w:pPr>
            <w:r w:rsidRPr="00400300">
              <w:rPr>
                <w:rFonts w:cstheme="minorHAnsi"/>
                <w:color w:val="000000"/>
                <w:lang w:val="en-AU"/>
              </w:rPr>
              <w:t>2%</w:t>
            </w:r>
          </w:p>
        </w:tc>
      </w:tr>
      <w:tr w:rsidR="00466F3F" w:rsidRPr="00400300" w14:paraId="0A54D7E2" w14:textId="77777777" w:rsidTr="00466F3F">
        <w:tc>
          <w:tcPr>
            <w:tcW w:w="1151" w:type="dxa"/>
          </w:tcPr>
          <w:p w14:paraId="5764F3B6"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56E67F28"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63A90CE7" w14:textId="77777777" w:rsidR="00466F3F" w:rsidRPr="00400300" w:rsidRDefault="00466F3F" w:rsidP="00466F3F">
            <w:pPr>
              <w:spacing w:before="0"/>
              <w:rPr>
                <w:rFonts w:cstheme="minorHAnsi"/>
                <w:color w:val="000000"/>
                <w:lang w:val="en-AU"/>
              </w:rPr>
            </w:pPr>
            <w:r w:rsidRPr="00400300">
              <w:rPr>
                <w:rFonts w:cstheme="minorHAnsi"/>
                <w:color w:val="000000"/>
                <w:lang w:val="en-AU"/>
              </w:rPr>
              <w:t>288.8</w:t>
            </w:r>
          </w:p>
        </w:tc>
        <w:tc>
          <w:tcPr>
            <w:tcW w:w="2150" w:type="dxa"/>
            <w:vAlign w:val="bottom"/>
          </w:tcPr>
          <w:p w14:paraId="6760DEEB"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bl>
    <w:p w14:paraId="73EAABE6"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0CD19C9B" w14:textId="77777777" w:rsidR="00466F3F" w:rsidRPr="00400300" w:rsidRDefault="00466F3F" w:rsidP="00466F3F">
      <w:pPr>
        <w:rPr>
          <w:rFonts w:cstheme="minorHAnsi"/>
          <w:lang w:val="en-AU"/>
        </w:rPr>
      </w:pPr>
    </w:p>
    <w:p w14:paraId="60719822" w14:textId="77777777" w:rsidR="00466F3F" w:rsidRPr="00400300" w:rsidRDefault="00466F3F" w:rsidP="00466F3F">
      <w:pPr>
        <w:rPr>
          <w:b/>
          <w:lang w:val="en-AU"/>
        </w:rPr>
      </w:pPr>
      <w:r w:rsidRPr="00400300">
        <w:rPr>
          <w:b/>
          <w:lang w:val="en-AU"/>
        </w:rPr>
        <w:t xml:space="preserve">15-24 years </w:t>
      </w:r>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6C046C54" w14:textId="77777777" w:rsidTr="00466F3F">
        <w:tc>
          <w:tcPr>
            <w:tcW w:w="1151" w:type="dxa"/>
          </w:tcPr>
          <w:p w14:paraId="00E6488A"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1D799719"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5CA66011"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75C0442D"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564BF8B8" w14:textId="77777777" w:rsidTr="00466F3F">
        <w:tc>
          <w:tcPr>
            <w:tcW w:w="1151" w:type="dxa"/>
          </w:tcPr>
          <w:p w14:paraId="00BCC7A2"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654341BB"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603D7F65" w14:textId="77777777" w:rsidR="00466F3F" w:rsidRPr="00400300" w:rsidRDefault="00466F3F" w:rsidP="00466F3F">
            <w:pPr>
              <w:spacing w:before="0"/>
              <w:rPr>
                <w:rFonts w:cstheme="minorHAnsi"/>
                <w:color w:val="000000"/>
                <w:lang w:val="en-AU"/>
              </w:rPr>
            </w:pPr>
            <w:r w:rsidRPr="00400300">
              <w:rPr>
                <w:rFonts w:cstheme="minorHAnsi"/>
                <w:color w:val="000000"/>
                <w:lang w:val="en-AU"/>
              </w:rPr>
              <w:t>27383</w:t>
            </w:r>
          </w:p>
        </w:tc>
        <w:tc>
          <w:tcPr>
            <w:tcW w:w="2150" w:type="dxa"/>
            <w:vAlign w:val="bottom"/>
          </w:tcPr>
          <w:p w14:paraId="324D308A" w14:textId="77777777" w:rsidR="00466F3F" w:rsidRPr="00400300" w:rsidRDefault="00466F3F" w:rsidP="00466F3F">
            <w:pPr>
              <w:spacing w:before="0"/>
              <w:rPr>
                <w:rFonts w:cstheme="minorHAnsi"/>
                <w:color w:val="000000"/>
                <w:lang w:val="en-AU"/>
              </w:rPr>
            </w:pPr>
            <w:r w:rsidRPr="00400300">
              <w:rPr>
                <w:rFonts w:cstheme="minorHAnsi"/>
                <w:color w:val="000000"/>
                <w:lang w:val="en-AU"/>
              </w:rPr>
              <w:t>44%</w:t>
            </w:r>
          </w:p>
        </w:tc>
      </w:tr>
      <w:tr w:rsidR="00466F3F" w:rsidRPr="00400300" w14:paraId="2407FF97" w14:textId="77777777" w:rsidTr="00466F3F">
        <w:tc>
          <w:tcPr>
            <w:tcW w:w="1151" w:type="dxa"/>
          </w:tcPr>
          <w:p w14:paraId="3B919BD6"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5C143748"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0E99BD7F" w14:textId="77777777" w:rsidR="00466F3F" w:rsidRPr="00400300" w:rsidRDefault="00466F3F" w:rsidP="00466F3F">
            <w:pPr>
              <w:spacing w:before="0"/>
              <w:rPr>
                <w:rFonts w:cstheme="minorHAnsi"/>
                <w:color w:val="000000"/>
                <w:lang w:val="en-AU"/>
              </w:rPr>
            </w:pPr>
            <w:r w:rsidRPr="00400300">
              <w:rPr>
                <w:rFonts w:cstheme="minorHAnsi"/>
                <w:color w:val="000000"/>
                <w:lang w:val="en-AU"/>
              </w:rPr>
              <w:t>16766</w:t>
            </w:r>
          </w:p>
        </w:tc>
        <w:tc>
          <w:tcPr>
            <w:tcW w:w="2150" w:type="dxa"/>
            <w:vAlign w:val="bottom"/>
          </w:tcPr>
          <w:p w14:paraId="3B0759AC" w14:textId="77777777" w:rsidR="00466F3F" w:rsidRPr="00400300" w:rsidRDefault="00466F3F" w:rsidP="00466F3F">
            <w:pPr>
              <w:spacing w:before="0"/>
              <w:rPr>
                <w:rFonts w:cstheme="minorHAnsi"/>
                <w:color w:val="000000"/>
                <w:lang w:val="en-AU"/>
              </w:rPr>
            </w:pPr>
            <w:r w:rsidRPr="00400300">
              <w:rPr>
                <w:rFonts w:cstheme="minorHAnsi"/>
                <w:color w:val="000000"/>
                <w:lang w:val="en-AU"/>
              </w:rPr>
              <w:t>27%</w:t>
            </w:r>
          </w:p>
        </w:tc>
      </w:tr>
      <w:tr w:rsidR="00466F3F" w:rsidRPr="00400300" w14:paraId="2106D507" w14:textId="77777777" w:rsidTr="00466F3F">
        <w:tc>
          <w:tcPr>
            <w:tcW w:w="1151" w:type="dxa"/>
          </w:tcPr>
          <w:p w14:paraId="61E5111B"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2BCE1D10"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1D3DCA01" w14:textId="77777777" w:rsidR="00466F3F" w:rsidRPr="00400300" w:rsidRDefault="00466F3F" w:rsidP="00466F3F">
            <w:pPr>
              <w:spacing w:before="0"/>
              <w:rPr>
                <w:rFonts w:cstheme="minorHAnsi"/>
                <w:color w:val="000000"/>
                <w:lang w:val="en-AU"/>
              </w:rPr>
            </w:pPr>
            <w:r w:rsidRPr="00400300">
              <w:rPr>
                <w:rFonts w:cstheme="minorHAnsi"/>
                <w:color w:val="000000"/>
                <w:lang w:val="en-AU"/>
              </w:rPr>
              <w:t>4560</w:t>
            </w:r>
          </w:p>
        </w:tc>
        <w:tc>
          <w:tcPr>
            <w:tcW w:w="2150" w:type="dxa"/>
            <w:vAlign w:val="bottom"/>
          </w:tcPr>
          <w:p w14:paraId="667B3E03" w14:textId="77777777" w:rsidR="00466F3F" w:rsidRPr="00400300" w:rsidRDefault="00466F3F" w:rsidP="00466F3F">
            <w:pPr>
              <w:spacing w:before="0"/>
              <w:rPr>
                <w:rFonts w:cstheme="minorHAnsi"/>
                <w:color w:val="000000"/>
                <w:lang w:val="en-AU"/>
              </w:rPr>
            </w:pPr>
            <w:r w:rsidRPr="00400300">
              <w:rPr>
                <w:rFonts w:cstheme="minorHAnsi"/>
                <w:color w:val="000000"/>
                <w:lang w:val="en-AU"/>
              </w:rPr>
              <w:t>7%</w:t>
            </w:r>
          </w:p>
        </w:tc>
      </w:tr>
      <w:tr w:rsidR="00466F3F" w:rsidRPr="00400300" w14:paraId="2A8754B9" w14:textId="77777777" w:rsidTr="00466F3F">
        <w:tc>
          <w:tcPr>
            <w:tcW w:w="1151" w:type="dxa"/>
          </w:tcPr>
          <w:p w14:paraId="1E274284"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632F74AE"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2E9C0FED" w14:textId="77777777" w:rsidR="00466F3F" w:rsidRPr="00400300" w:rsidRDefault="00466F3F" w:rsidP="00466F3F">
            <w:pPr>
              <w:spacing w:before="0"/>
              <w:rPr>
                <w:rFonts w:cstheme="minorHAnsi"/>
                <w:color w:val="000000"/>
                <w:lang w:val="en-AU"/>
              </w:rPr>
            </w:pPr>
            <w:r w:rsidRPr="00400300">
              <w:rPr>
                <w:rFonts w:cstheme="minorHAnsi"/>
                <w:color w:val="000000"/>
                <w:lang w:val="en-AU"/>
              </w:rPr>
              <w:t>3655</w:t>
            </w:r>
          </w:p>
        </w:tc>
        <w:tc>
          <w:tcPr>
            <w:tcW w:w="2150" w:type="dxa"/>
            <w:vAlign w:val="bottom"/>
          </w:tcPr>
          <w:p w14:paraId="341BD356" w14:textId="77777777" w:rsidR="00466F3F" w:rsidRPr="00400300" w:rsidRDefault="00466F3F" w:rsidP="00466F3F">
            <w:pPr>
              <w:spacing w:before="0"/>
              <w:rPr>
                <w:rFonts w:cstheme="minorHAnsi"/>
                <w:color w:val="000000"/>
                <w:lang w:val="en-AU"/>
              </w:rPr>
            </w:pPr>
            <w:r w:rsidRPr="00400300">
              <w:rPr>
                <w:rFonts w:cstheme="minorHAnsi"/>
                <w:color w:val="000000"/>
                <w:lang w:val="en-AU"/>
              </w:rPr>
              <w:t>6%</w:t>
            </w:r>
          </w:p>
        </w:tc>
      </w:tr>
      <w:tr w:rsidR="00466F3F" w:rsidRPr="00400300" w14:paraId="0B985480" w14:textId="77777777" w:rsidTr="00466F3F">
        <w:tc>
          <w:tcPr>
            <w:tcW w:w="1151" w:type="dxa"/>
          </w:tcPr>
          <w:p w14:paraId="24CA05D1"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754DD6C6"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46355E71" w14:textId="77777777" w:rsidR="00466F3F" w:rsidRPr="00400300" w:rsidRDefault="00466F3F" w:rsidP="00466F3F">
            <w:pPr>
              <w:spacing w:before="0"/>
              <w:rPr>
                <w:rFonts w:cstheme="minorHAnsi"/>
                <w:color w:val="000000"/>
                <w:lang w:val="en-AU"/>
              </w:rPr>
            </w:pPr>
            <w:r w:rsidRPr="00400300">
              <w:rPr>
                <w:rFonts w:cstheme="minorHAnsi"/>
                <w:color w:val="000000"/>
                <w:lang w:val="en-AU"/>
              </w:rPr>
              <w:t>3268</w:t>
            </w:r>
          </w:p>
        </w:tc>
        <w:tc>
          <w:tcPr>
            <w:tcW w:w="2150" w:type="dxa"/>
            <w:vAlign w:val="bottom"/>
          </w:tcPr>
          <w:p w14:paraId="08750047" w14:textId="77777777" w:rsidR="00466F3F" w:rsidRPr="00400300" w:rsidRDefault="00466F3F" w:rsidP="00466F3F">
            <w:pPr>
              <w:spacing w:before="0"/>
              <w:rPr>
                <w:rFonts w:cstheme="minorHAnsi"/>
                <w:color w:val="000000"/>
                <w:lang w:val="en-AU"/>
              </w:rPr>
            </w:pPr>
            <w:r w:rsidRPr="00400300">
              <w:rPr>
                <w:rFonts w:cstheme="minorHAnsi"/>
                <w:color w:val="000000"/>
                <w:lang w:val="en-AU"/>
              </w:rPr>
              <w:t>5%</w:t>
            </w:r>
          </w:p>
        </w:tc>
      </w:tr>
      <w:tr w:rsidR="00466F3F" w:rsidRPr="00400300" w14:paraId="589CA037" w14:textId="77777777" w:rsidTr="00466F3F">
        <w:tc>
          <w:tcPr>
            <w:tcW w:w="1151" w:type="dxa"/>
          </w:tcPr>
          <w:p w14:paraId="6DEE6885"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6E2CB518"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442C4072" w14:textId="77777777" w:rsidR="00466F3F" w:rsidRPr="00400300" w:rsidRDefault="00466F3F" w:rsidP="00466F3F">
            <w:pPr>
              <w:spacing w:before="0"/>
              <w:rPr>
                <w:rFonts w:cstheme="minorHAnsi"/>
                <w:color w:val="000000"/>
                <w:lang w:val="en-AU"/>
              </w:rPr>
            </w:pPr>
            <w:r w:rsidRPr="00400300">
              <w:rPr>
                <w:rFonts w:cstheme="minorHAnsi"/>
                <w:color w:val="000000"/>
                <w:lang w:val="en-AU"/>
              </w:rPr>
              <w:t>3061</w:t>
            </w:r>
          </w:p>
        </w:tc>
        <w:tc>
          <w:tcPr>
            <w:tcW w:w="2150" w:type="dxa"/>
            <w:vAlign w:val="bottom"/>
          </w:tcPr>
          <w:p w14:paraId="70B13073" w14:textId="77777777" w:rsidR="00466F3F" w:rsidRPr="00400300" w:rsidRDefault="00466F3F" w:rsidP="00466F3F">
            <w:pPr>
              <w:spacing w:before="0"/>
              <w:rPr>
                <w:rFonts w:cstheme="minorHAnsi"/>
                <w:color w:val="000000"/>
                <w:lang w:val="en-AU"/>
              </w:rPr>
            </w:pPr>
            <w:r w:rsidRPr="00400300">
              <w:rPr>
                <w:rFonts w:cstheme="minorHAnsi"/>
                <w:color w:val="000000"/>
                <w:lang w:val="en-AU"/>
              </w:rPr>
              <w:t>5%</w:t>
            </w:r>
          </w:p>
        </w:tc>
      </w:tr>
      <w:tr w:rsidR="00466F3F" w:rsidRPr="00400300" w14:paraId="3AD826CE" w14:textId="77777777" w:rsidTr="00466F3F">
        <w:tc>
          <w:tcPr>
            <w:tcW w:w="1151" w:type="dxa"/>
          </w:tcPr>
          <w:p w14:paraId="0BBB4250"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29EBB2DB"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52395373" w14:textId="77777777" w:rsidR="00466F3F" w:rsidRPr="00400300" w:rsidRDefault="00466F3F" w:rsidP="00466F3F">
            <w:pPr>
              <w:spacing w:before="0"/>
              <w:rPr>
                <w:rFonts w:cstheme="minorHAnsi"/>
                <w:color w:val="000000"/>
                <w:lang w:val="en-AU"/>
              </w:rPr>
            </w:pPr>
            <w:r w:rsidRPr="00400300">
              <w:rPr>
                <w:rFonts w:cstheme="minorHAnsi"/>
                <w:color w:val="000000"/>
                <w:lang w:val="en-AU"/>
              </w:rPr>
              <w:t>1859</w:t>
            </w:r>
          </w:p>
        </w:tc>
        <w:tc>
          <w:tcPr>
            <w:tcW w:w="2150" w:type="dxa"/>
            <w:vAlign w:val="bottom"/>
          </w:tcPr>
          <w:p w14:paraId="7C433F16"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3A07F024" w14:textId="77777777" w:rsidTr="00466F3F">
        <w:tc>
          <w:tcPr>
            <w:tcW w:w="1151" w:type="dxa"/>
          </w:tcPr>
          <w:p w14:paraId="11557166"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15EC1140"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1C5E8AC3" w14:textId="77777777" w:rsidR="00466F3F" w:rsidRPr="00400300" w:rsidRDefault="00466F3F" w:rsidP="00466F3F">
            <w:pPr>
              <w:spacing w:before="0"/>
              <w:rPr>
                <w:rFonts w:cstheme="minorHAnsi"/>
                <w:color w:val="000000"/>
                <w:lang w:val="en-AU"/>
              </w:rPr>
            </w:pPr>
            <w:r w:rsidRPr="00400300">
              <w:rPr>
                <w:rFonts w:cstheme="minorHAnsi"/>
                <w:color w:val="000000"/>
                <w:lang w:val="en-AU"/>
              </w:rPr>
              <w:t>1583</w:t>
            </w:r>
          </w:p>
        </w:tc>
        <w:tc>
          <w:tcPr>
            <w:tcW w:w="2150" w:type="dxa"/>
            <w:vAlign w:val="bottom"/>
          </w:tcPr>
          <w:p w14:paraId="71FE0B64"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7BD0CF7F" w14:textId="77777777" w:rsidTr="00466F3F">
        <w:tc>
          <w:tcPr>
            <w:tcW w:w="1151" w:type="dxa"/>
          </w:tcPr>
          <w:p w14:paraId="5D9475CF"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23787326"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5EE63053" w14:textId="77777777" w:rsidR="00466F3F" w:rsidRPr="00400300" w:rsidRDefault="00466F3F" w:rsidP="00466F3F">
            <w:pPr>
              <w:spacing w:before="0"/>
              <w:rPr>
                <w:rFonts w:cstheme="minorHAnsi"/>
                <w:color w:val="000000"/>
                <w:lang w:val="en-AU"/>
              </w:rPr>
            </w:pPr>
            <w:r w:rsidRPr="00400300">
              <w:rPr>
                <w:rFonts w:cstheme="minorHAnsi"/>
                <w:color w:val="000000"/>
                <w:lang w:val="en-AU"/>
              </w:rPr>
              <w:t>313</w:t>
            </w:r>
          </w:p>
        </w:tc>
        <w:tc>
          <w:tcPr>
            <w:tcW w:w="2150" w:type="dxa"/>
            <w:vAlign w:val="bottom"/>
          </w:tcPr>
          <w:p w14:paraId="3FD8D0D8"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r>
      <w:tr w:rsidR="00466F3F" w:rsidRPr="00400300" w14:paraId="32632191" w14:textId="77777777" w:rsidTr="00466F3F">
        <w:tc>
          <w:tcPr>
            <w:tcW w:w="1151" w:type="dxa"/>
          </w:tcPr>
          <w:p w14:paraId="14B543F5"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08FCDB8F"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677FB059" w14:textId="77777777" w:rsidR="00466F3F" w:rsidRPr="00400300" w:rsidRDefault="00466F3F" w:rsidP="00466F3F">
            <w:pPr>
              <w:spacing w:before="0"/>
              <w:rPr>
                <w:rFonts w:cstheme="minorHAnsi"/>
                <w:color w:val="000000"/>
                <w:lang w:val="en-AU"/>
              </w:rPr>
            </w:pPr>
            <w:r w:rsidRPr="00400300">
              <w:rPr>
                <w:rFonts w:cstheme="minorHAnsi"/>
                <w:color w:val="000000"/>
                <w:lang w:val="en-AU"/>
              </w:rPr>
              <w:t>247</w:t>
            </w:r>
          </w:p>
        </w:tc>
        <w:tc>
          <w:tcPr>
            <w:tcW w:w="2150" w:type="dxa"/>
            <w:vAlign w:val="bottom"/>
          </w:tcPr>
          <w:p w14:paraId="289D3767"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r>
    </w:tbl>
    <w:p w14:paraId="200B8587"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750E5B50" w14:textId="311F7197" w:rsidR="00466F3F" w:rsidRPr="00400300" w:rsidRDefault="00466F3F" w:rsidP="00466F3F">
      <w:pPr>
        <w:rPr>
          <w:rFonts w:cstheme="minorHAnsi"/>
          <w:lang w:val="en-AU"/>
        </w:rPr>
      </w:pPr>
    </w:p>
    <w:p w14:paraId="1E556EBF" w14:textId="77777777" w:rsidR="00891EF3" w:rsidRPr="00400300" w:rsidRDefault="00891EF3" w:rsidP="00466F3F">
      <w:pPr>
        <w:rPr>
          <w:rFonts w:cstheme="minorHAnsi"/>
          <w:lang w:val="en-AU"/>
        </w:rPr>
      </w:pPr>
    </w:p>
    <w:p w14:paraId="42D21302" w14:textId="77777777" w:rsidR="00466F3F" w:rsidRPr="00400300" w:rsidRDefault="00466F3F" w:rsidP="00466F3F">
      <w:pPr>
        <w:rPr>
          <w:b/>
          <w:lang w:val="en-AU"/>
        </w:rPr>
      </w:pPr>
      <w:r w:rsidRPr="00400300">
        <w:rPr>
          <w:b/>
          <w:lang w:val="en-AU"/>
        </w:rPr>
        <w:t>25-64 years</w:t>
      </w:r>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0F9F9CE9" w14:textId="77777777" w:rsidTr="00466F3F">
        <w:tc>
          <w:tcPr>
            <w:tcW w:w="1151" w:type="dxa"/>
          </w:tcPr>
          <w:p w14:paraId="103012D0"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1F4E7C4C"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21033512"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1317B5A1"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64FE5FA5" w14:textId="77777777" w:rsidTr="00466F3F">
        <w:tc>
          <w:tcPr>
            <w:tcW w:w="1151" w:type="dxa"/>
          </w:tcPr>
          <w:p w14:paraId="79534BB1"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0B8BB639"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09DA51FF" w14:textId="77777777" w:rsidR="00466F3F" w:rsidRPr="00400300" w:rsidRDefault="00466F3F" w:rsidP="00466F3F">
            <w:pPr>
              <w:spacing w:before="0"/>
              <w:rPr>
                <w:rFonts w:cstheme="minorHAnsi"/>
                <w:color w:val="000000"/>
                <w:lang w:val="en-AU"/>
              </w:rPr>
            </w:pPr>
            <w:r w:rsidRPr="00400300">
              <w:rPr>
                <w:rFonts w:cstheme="minorHAnsi"/>
                <w:color w:val="000000"/>
                <w:lang w:val="en-AU"/>
              </w:rPr>
              <w:t>98404</w:t>
            </w:r>
          </w:p>
        </w:tc>
        <w:tc>
          <w:tcPr>
            <w:tcW w:w="2150" w:type="dxa"/>
            <w:vAlign w:val="bottom"/>
          </w:tcPr>
          <w:p w14:paraId="17885A56" w14:textId="77777777" w:rsidR="00466F3F" w:rsidRPr="00400300" w:rsidRDefault="00466F3F" w:rsidP="00466F3F">
            <w:pPr>
              <w:spacing w:before="0"/>
              <w:rPr>
                <w:rFonts w:cstheme="minorHAnsi"/>
                <w:color w:val="000000"/>
                <w:lang w:val="en-AU"/>
              </w:rPr>
            </w:pPr>
            <w:r w:rsidRPr="00400300">
              <w:rPr>
                <w:rFonts w:cstheme="minorHAnsi"/>
                <w:color w:val="000000"/>
                <w:lang w:val="en-AU"/>
              </w:rPr>
              <w:t>39%</w:t>
            </w:r>
          </w:p>
        </w:tc>
      </w:tr>
      <w:tr w:rsidR="00466F3F" w:rsidRPr="00400300" w14:paraId="497860CB" w14:textId="77777777" w:rsidTr="00466F3F">
        <w:tc>
          <w:tcPr>
            <w:tcW w:w="1151" w:type="dxa"/>
          </w:tcPr>
          <w:p w14:paraId="0DA824F2"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069E0FE4"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78D4453D" w14:textId="77777777" w:rsidR="00466F3F" w:rsidRPr="00400300" w:rsidRDefault="00466F3F" w:rsidP="00466F3F">
            <w:pPr>
              <w:spacing w:before="0"/>
              <w:rPr>
                <w:rFonts w:cstheme="minorHAnsi"/>
                <w:color w:val="000000"/>
                <w:lang w:val="en-AU"/>
              </w:rPr>
            </w:pPr>
            <w:r w:rsidRPr="00400300">
              <w:rPr>
                <w:rFonts w:cstheme="minorHAnsi"/>
                <w:color w:val="000000"/>
                <w:lang w:val="en-AU"/>
              </w:rPr>
              <w:t>56744</w:t>
            </w:r>
          </w:p>
        </w:tc>
        <w:tc>
          <w:tcPr>
            <w:tcW w:w="2150" w:type="dxa"/>
            <w:vAlign w:val="bottom"/>
          </w:tcPr>
          <w:p w14:paraId="027123D5" w14:textId="77777777" w:rsidR="00466F3F" w:rsidRPr="00400300" w:rsidRDefault="00466F3F" w:rsidP="00466F3F">
            <w:pPr>
              <w:spacing w:before="0"/>
              <w:rPr>
                <w:rFonts w:cstheme="minorHAnsi"/>
                <w:color w:val="000000"/>
                <w:lang w:val="en-AU"/>
              </w:rPr>
            </w:pPr>
            <w:r w:rsidRPr="00400300">
              <w:rPr>
                <w:rFonts w:cstheme="minorHAnsi"/>
                <w:color w:val="000000"/>
                <w:lang w:val="en-AU"/>
              </w:rPr>
              <w:t>22%</w:t>
            </w:r>
          </w:p>
        </w:tc>
      </w:tr>
      <w:tr w:rsidR="00466F3F" w:rsidRPr="00400300" w14:paraId="75809B56" w14:textId="77777777" w:rsidTr="00466F3F">
        <w:tc>
          <w:tcPr>
            <w:tcW w:w="1151" w:type="dxa"/>
          </w:tcPr>
          <w:p w14:paraId="2A26315A"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16401FDE"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351336C8" w14:textId="77777777" w:rsidR="00466F3F" w:rsidRPr="00400300" w:rsidRDefault="00466F3F" w:rsidP="00466F3F">
            <w:pPr>
              <w:spacing w:before="0"/>
              <w:rPr>
                <w:rFonts w:cstheme="minorHAnsi"/>
                <w:color w:val="000000"/>
                <w:lang w:val="en-AU"/>
              </w:rPr>
            </w:pPr>
            <w:r w:rsidRPr="00400300">
              <w:rPr>
                <w:rFonts w:cstheme="minorHAnsi"/>
                <w:color w:val="000000"/>
                <w:lang w:val="en-AU"/>
              </w:rPr>
              <w:t>36460</w:t>
            </w:r>
          </w:p>
        </w:tc>
        <w:tc>
          <w:tcPr>
            <w:tcW w:w="2150" w:type="dxa"/>
            <w:vAlign w:val="bottom"/>
          </w:tcPr>
          <w:p w14:paraId="3D2953CC" w14:textId="77777777" w:rsidR="00466F3F" w:rsidRPr="00400300" w:rsidRDefault="00466F3F" w:rsidP="00466F3F">
            <w:pPr>
              <w:spacing w:before="0"/>
              <w:rPr>
                <w:rFonts w:cstheme="minorHAnsi"/>
                <w:color w:val="000000"/>
                <w:lang w:val="en-AU"/>
              </w:rPr>
            </w:pPr>
            <w:r w:rsidRPr="00400300">
              <w:rPr>
                <w:rFonts w:cstheme="minorHAnsi"/>
                <w:color w:val="000000"/>
                <w:lang w:val="en-AU"/>
              </w:rPr>
              <w:t>14%</w:t>
            </w:r>
          </w:p>
        </w:tc>
      </w:tr>
      <w:tr w:rsidR="00466F3F" w:rsidRPr="00400300" w14:paraId="58CE59E5" w14:textId="77777777" w:rsidTr="00466F3F">
        <w:tc>
          <w:tcPr>
            <w:tcW w:w="1151" w:type="dxa"/>
          </w:tcPr>
          <w:p w14:paraId="61D43777"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2560A893"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082FC8CD" w14:textId="77777777" w:rsidR="00466F3F" w:rsidRPr="00400300" w:rsidRDefault="00466F3F" w:rsidP="00466F3F">
            <w:pPr>
              <w:spacing w:before="0"/>
              <w:rPr>
                <w:rFonts w:cstheme="minorHAnsi"/>
                <w:color w:val="000000"/>
                <w:lang w:val="en-AU"/>
              </w:rPr>
            </w:pPr>
            <w:r w:rsidRPr="00400300">
              <w:rPr>
                <w:rFonts w:cstheme="minorHAnsi"/>
                <w:color w:val="000000"/>
                <w:lang w:val="en-AU"/>
              </w:rPr>
              <w:t>17632</w:t>
            </w:r>
          </w:p>
        </w:tc>
        <w:tc>
          <w:tcPr>
            <w:tcW w:w="2150" w:type="dxa"/>
            <w:vAlign w:val="bottom"/>
          </w:tcPr>
          <w:p w14:paraId="2C371932" w14:textId="77777777" w:rsidR="00466F3F" w:rsidRPr="00400300" w:rsidRDefault="00466F3F" w:rsidP="00466F3F">
            <w:pPr>
              <w:spacing w:before="0"/>
              <w:rPr>
                <w:rFonts w:cstheme="minorHAnsi"/>
                <w:color w:val="000000"/>
                <w:lang w:val="en-AU"/>
              </w:rPr>
            </w:pPr>
            <w:r w:rsidRPr="00400300">
              <w:rPr>
                <w:rFonts w:cstheme="minorHAnsi"/>
                <w:color w:val="000000"/>
                <w:lang w:val="en-AU"/>
              </w:rPr>
              <w:t>7%</w:t>
            </w:r>
          </w:p>
        </w:tc>
      </w:tr>
      <w:tr w:rsidR="00466F3F" w:rsidRPr="00400300" w14:paraId="42E4A984" w14:textId="77777777" w:rsidTr="00466F3F">
        <w:tc>
          <w:tcPr>
            <w:tcW w:w="1151" w:type="dxa"/>
          </w:tcPr>
          <w:p w14:paraId="7F5B9202"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76FD6589"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722D4110" w14:textId="77777777" w:rsidR="00466F3F" w:rsidRPr="00400300" w:rsidRDefault="00466F3F" w:rsidP="00466F3F">
            <w:pPr>
              <w:spacing w:before="0"/>
              <w:rPr>
                <w:rFonts w:cstheme="minorHAnsi"/>
                <w:color w:val="000000"/>
                <w:lang w:val="en-AU"/>
              </w:rPr>
            </w:pPr>
            <w:r w:rsidRPr="00400300">
              <w:rPr>
                <w:rFonts w:cstheme="minorHAnsi"/>
                <w:color w:val="000000"/>
                <w:lang w:val="en-AU"/>
              </w:rPr>
              <w:t>14866</w:t>
            </w:r>
          </w:p>
        </w:tc>
        <w:tc>
          <w:tcPr>
            <w:tcW w:w="2150" w:type="dxa"/>
            <w:vAlign w:val="bottom"/>
          </w:tcPr>
          <w:p w14:paraId="4D25EC3C" w14:textId="77777777" w:rsidR="00466F3F" w:rsidRPr="00400300" w:rsidRDefault="00466F3F" w:rsidP="00466F3F">
            <w:pPr>
              <w:spacing w:before="0"/>
              <w:rPr>
                <w:rFonts w:cstheme="minorHAnsi"/>
                <w:color w:val="000000"/>
                <w:lang w:val="en-AU"/>
              </w:rPr>
            </w:pPr>
            <w:r w:rsidRPr="00400300">
              <w:rPr>
                <w:rFonts w:cstheme="minorHAnsi"/>
                <w:color w:val="000000"/>
                <w:lang w:val="en-AU"/>
              </w:rPr>
              <w:t>6%</w:t>
            </w:r>
          </w:p>
        </w:tc>
      </w:tr>
      <w:tr w:rsidR="00466F3F" w:rsidRPr="00400300" w14:paraId="77D2A796" w14:textId="77777777" w:rsidTr="00466F3F">
        <w:tc>
          <w:tcPr>
            <w:tcW w:w="1151" w:type="dxa"/>
          </w:tcPr>
          <w:p w14:paraId="5948001F"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3A3996EE"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4E5FF0FE" w14:textId="77777777" w:rsidR="00466F3F" w:rsidRPr="00400300" w:rsidRDefault="00466F3F" w:rsidP="00466F3F">
            <w:pPr>
              <w:spacing w:before="0"/>
              <w:rPr>
                <w:rFonts w:cstheme="minorHAnsi"/>
                <w:color w:val="000000"/>
                <w:lang w:val="en-AU"/>
              </w:rPr>
            </w:pPr>
            <w:r w:rsidRPr="00400300">
              <w:rPr>
                <w:rFonts w:cstheme="minorHAnsi"/>
                <w:color w:val="000000"/>
                <w:lang w:val="en-AU"/>
              </w:rPr>
              <w:t>12275</w:t>
            </w:r>
          </w:p>
        </w:tc>
        <w:tc>
          <w:tcPr>
            <w:tcW w:w="2150" w:type="dxa"/>
            <w:vAlign w:val="bottom"/>
          </w:tcPr>
          <w:p w14:paraId="51AD1385" w14:textId="77777777" w:rsidR="00466F3F" w:rsidRPr="00400300" w:rsidRDefault="00466F3F" w:rsidP="00466F3F">
            <w:pPr>
              <w:spacing w:before="0"/>
              <w:rPr>
                <w:rFonts w:cstheme="minorHAnsi"/>
                <w:color w:val="000000"/>
                <w:lang w:val="en-AU"/>
              </w:rPr>
            </w:pPr>
            <w:r w:rsidRPr="00400300">
              <w:rPr>
                <w:rFonts w:cstheme="minorHAnsi"/>
                <w:color w:val="000000"/>
                <w:lang w:val="en-AU"/>
              </w:rPr>
              <w:t>5%</w:t>
            </w:r>
          </w:p>
        </w:tc>
      </w:tr>
      <w:tr w:rsidR="00466F3F" w:rsidRPr="00400300" w14:paraId="2C2D67B1" w14:textId="77777777" w:rsidTr="00466F3F">
        <w:tc>
          <w:tcPr>
            <w:tcW w:w="1151" w:type="dxa"/>
          </w:tcPr>
          <w:p w14:paraId="67741043"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6AA0D465"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370122C6" w14:textId="77777777" w:rsidR="00466F3F" w:rsidRPr="00400300" w:rsidRDefault="00466F3F" w:rsidP="00466F3F">
            <w:pPr>
              <w:spacing w:before="0"/>
              <w:rPr>
                <w:rFonts w:cstheme="minorHAnsi"/>
                <w:color w:val="000000"/>
                <w:lang w:val="en-AU"/>
              </w:rPr>
            </w:pPr>
            <w:r w:rsidRPr="00400300">
              <w:rPr>
                <w:rFonts w:cstheme="minorHAnsi"/>
                <w:color w:val="000000"/>
                <w:lang w:val="en-AU"/>
              </w:rPr>
              <w:t>5980</w:t>
            </w:r>
          </w:p>
        </w:tc>
        <w:tc>
          <w:tcPr>
            <w:tcW w:w="2150" w:type="dxa"/>
            <w:vAlign w:val="bottom"/>
          </w:tcPr>
          <w:p w14:paraId="419FD7FA" w14:textId="77777777" w:rsidR="00466F3F" w:rsidRPr="00400300" w:rsidRDefault="00466F3F" w:rsidP="00466F3F">
            <w:pPr>
              <w:spacing w:before="0"/>
              <w:rPr>
                <w:rFonts w:cstheme="minorHAnsi"/>
                <w:color w:val="000000"/>
                <w:lang w:val="en-AU"/>
              </w:rPr>
            </w:pPr>
            <w:r w:rsidRPr="00400300">
              <w:rPr>
                <w:rFonts w:cstheme="minorHAnsi"/>
                <w:color w:val="000000"/>
                <w:lang w:val="en-AU"/>
              </w:rPr>
              <w:t>2%</w:t>
            </w:r>
          </w:p>
        </w:tc>
      </w:tr>
      <w:tr w:rsidR="00466F3F" w:rsidRPr="00400300" w14:paraId="372AE26C" w14:textId="77777777" w:rsidTr="00466F3F">
        <w:tc>
          <w:tcPr>
            <w:tcW w:w="1151" w:type="dxa"/>
          </w:tcPr>
          <w:p w14:paraId="64EFAAEB"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597CED5C"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28AAC328" w14:textId="77777777" w:rsidR="00466F3F" w:rsidRPr="00400300" w:rsidRDefault="00466F3F" w:rsidP="00466F3F">
            <w:pPr>
              <w:spacing w:before="0"/>
              <w:rPr>
                <w:rFonts w:cstheme="minorHAnsi"/>
                <w:color w:val="000000"/>
                <w:lang w:val="en-AU"/>
              </w:rPr>
            </w:pPr>
            <w:r w:rsidRPr="00400300">
              <w:rPr>
                <w:rFonts w:cstheme="minorHAnsi"/>
                <w:color w:val="000000"/>
                <w:lang w:val="en-AU"/>
              </w:rPr>
              <w:t>5325</w:t>
            </w:r>
          </w:p>
        </w:tc>
        <w:tc>
          <w:tcPr>
            <w:tcW w:w="2150" w:type="dxa"/>
            <w:vAlign w:val="bottom"/>
          </w:tcPr>
          <w:p w14:paraId="3A0D9C1D" w14:textId="77777777" w:rsidR="00466F3F" w:rsidRPr="00400300" w:rsidRDefault="00466F3F" w:rsidP="00466F3F">
            <w:pPr>
              <w:spacing w:before="0"/>
              <w:rPr>
                <w:rFonts w:cstheme="minorHAnsi"/>
                <w:color w:val="000000"/>
                <w:lang w:val="en-AU"/>
              </w:rPr>
            </w:pPr>
            <w:r w:rsidRPr="00400300">
              <w:rPr>
                <w:rFonts w:cstheme="minorHAnsi"/>
                <w:color w:val="000000"/>
                <w:lang w:val="en-AU"/>
              </w:rPr>
              <w:t>2%</w:t>
            </w:r>
          </w:p>
        </w:tc>
      </w:tr>
      <w:tr w:rsidR="00466F3F" w:rsidRPr="00400300" w14:paraId="399EE920" w14:textId="77777777" w:rsidTr="00466F3F">
        <w:tc>
          <w:tcPr>
            <w:tcW w:w="1151" w:type="dxa"/>
          </w:tcPr>
          <w:p w14:paraId="033D1391"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59245C58"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62F77E6D" w14:textId="77777777" w:rsidR="00466F3F" w:rsidRPr="00400300" w:rsidRDefault="00466F3F" w:rsidP="00466F3F">
            <w:pPr>
              <w:spacing w:before="0"/>
              <w:rPr>
                <w:rFonts w:cstheme="minorHAnsi"/>
                <w:color w:val="000000"/>
                <w:lang w:val="en-AU"/>
              </w:rPr>
            </w:pPr>
            <w:r w:rsidRPr="00400300">
              <w:rPr>
                <w:rFonts w:cstheme="minorHAnsi"/>
                <w:color w:val="000000"/>
                <w:lang w:val="en-AU"/>
              </w:rPr>
              <w:t>2947</w:t>
            </w:r>
          </w:p>
        </w:tc>
        <w:tc>
          <w:tcPr>
            <w:tcW w:w="2150" w:type="dxa"/>
            <w:vAlign w:val="bottom"/>
          </w:tcPr>
          <w:p w14:paraId="4BBA0000"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r w:rsidR="00466F3F" w:rsidRPr="00400300" w14:paraId="3604D5F6" w14:textId="77777777" w:rsidTr="00466F3F">
        <w:tc>
          <w:tcPr>
            <w:tcW w:w="1151" w:type="dxa"/>
          </w:tcPr>
          <w:p w14:paraId="20624466"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74E6B360"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517C5E2A" w14:textId="77777777" w:rsidR="00466F3F" w:rsidRPr="00400300" w:rsidRDefault="00466F3F" w:rsidP="00466F3F">
            <w:pPr>
              <w:spacing w:before="0"/>
              <w:rPr>
                <w:rFonts w:cstheme="minorHAnsi"/>
                <w:color w:val="000000"/>
                <w:lang w:val="en-AU"/>
              </w:rPr>
            </w:pPr>
            <w:r w:rsidRPr="00400300">
              <w:rPr>
                <w:rFonts w:cstheme="minorHAnsi"/>
                <w:color w:val="000000"/>
                <w:lang w:val="en-AU"/>
              </w:rPr>
              <w:t>1726</w:t>
            </w:r>
          </w:p>
        </w:tc>
        <w:tc>
          <w:tcPr>
            <w:tcW w:w="2150" w:type="dxa"/>
            <w:vAlign w:val="bottom"/>
          </w:tcPr>
          <w:p w14:paraId="2B354780"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bl>
    <w:p w14:paraId="72911DC0"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442F315B" w14:textId="77777777" w:rsidR="00466F3F" w:rsidRPr="00400300" w:rsidRDefault="00466F3F" w:rsidP="00466F3F">
      <w:pPr>
        <w:rPr>
          <w:rFonts w:cstheme="minorHAnsi"/>
          <w:lang w:val="en-AU"/>
        </w:rPr>
      </w:pPr>
    </w:p>
    <w:p w14:paraId="61854B65" w14:textId="77777777" w:rsidR="00466F3F" w:rsidRPr="00400300" w:rsidRDefault="00466F3F" w:rsidP="00466F3F">
      <w:pPr>
        <w:rPr>
          <w:b/>
          <w:lang w:val="en-AU"/>
        </w:rPr>
      </w:pPr>
      <w:r w:rsidRPr="00400300">
        <w:rPr>
          <w:b/>
          <w:lang w:val="en-AU"/>
        </w:rPr>
        <w:t>65 years and older</w:t>
      </w:r>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50578110" w14:textId="77777777" w:rsidTr="00466F3F">
        <w:tc>
          <w:tcPr>
            <w:tcW w:w="1151" w:type="dxa"/>
          </w:tcPr>
          <w:p w14:paraId="51AA4BA4"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0D24A647"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520BA126"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233200DA"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3C06E04C" w14:textId="77777777" w:rsidTr="00466F3F">
        <w:tc>
          <w:tcPr>
            <w:tcW w:w="1151" w:type="dxa"/>
          </w:tcPr>
          <w:p w14:paraId="47FF22CC"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21E6B9BD"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2B704208" w14:textId="77777777" w:rsidR="00466F3F" w:rsidRPr="00400300" w:rsidRDefault="00466F3F" w:rsidP="00466F3F">
            <w:pPr>
              <w:spacing w:before="0"/>
              <w:rPr>
                <w:rFonts w:cstheme="minorHAnsi"/>
                <w:color w:val="000000"/>
                <w:lang w:val="en-AU"/>
              </w:rPr>
            </w:pPr>
            <w:r w:rsidRPr="00400300">
              <w:rPr>
                <w:rFonts w:cstheme="minorHAnsi"/>
                <w:color w:val="000000"/>
                <w:lang w:val="en-AU"/>
              </w:rPr>
              <w:t>42488</w:t>
            </w:r>
          </w:p>
        </w:tc>
        <w:tc>
          <w:tcPr>
            <w:tcW w:w="2150" w:type="dxa"/>
            <w:vAlign w:val="bottom"/>
          </w:tcPr>
          <w:p w14:paraId="0CA1F37E" w14:textId="77777777" w:rsidR="00466F3F" w:rsidRPr="00400300" w:rsidRDefault="00466F3F" w:rsidP="00466F3F">
            <w:pPr>
              <w:spacing w:before="0"/>
              <w:rPr>
                <w:rFonts w:cstheme="minorHAnsi"/>
                <w:color w:val="000000"/>
                <w:lang w:val="en-AU"/>
              </w:rPr>
            </w:pPr>
            <w:r w:rsidRPr="00400300">
              <w:rPr>
                <w:rFonts w:cstheme="minorHAnsi"/>
                <w:color w:val="000000"/>
                <w:lang w:val="en-AU"/>
              </w:rPr>
              <w:t>61%</w:t>
            </w:r>
          </w:p>
        </w:tc>
      </w:tr>
      <w:tr w:rsidR="00466F3F" w:rsidRPr="00400300" w14:paraId="20CD6318" w14:textId="77777777" w:rsidTr="00466F3F">
        <w:tc>
          <w:tcPr>
            <w:tcW w:w="1151" w:type="dxa"/>
          </w:tcPr>
          <w:p w14:paraId="6ED78DF0"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5E6D1138"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193A73E1" w14:textId="77777777" w:rsidR="00466F3F" w:rsidRPr="00400300" w:rsidRDefault="00466F3F" w:rsidP="00466F3F">
            <w:pPr>
              <w:spacing w:before="0"/>
              <w:rPr>
                <w:rFonts w:cstheme="minorHAnsi"/>
                <w:color w:val="000000"/>
                <w:lang w:val="en-AU"/>
              </w:rPr>
            </w:pPr>
            <w:r w:rsidRPr="00400300">
              <w:rPr>
                <w:rFonts w:cstheme="minorHAnsi"/>
                <w:color w:val="000000"/>
                <w:lang w:val="en-AU"/>
              </w:rPr>
              <w:t>8087</w:t>
            </w:r>
          </w:p>
        </w:tc>
        <w:tc>
          <w:tcPr>
            <w:tcW w:w="2150" w:type="dxa"/>
            <w:vAlign w:val="bottom"/>
          </w:tcPr>
          <w:p w14:paraId="727C2CBE" w14:textId="77777777" w:rsidR="00466F3F" w:rsidRPr="00400300" w:rsidRDefault="00466F3F" w:rsidP="00466F3F">
            <w:pPr>
              <w:spacing w:before="0"/>
              <w:rPr>
                <w:rFonts w:cstheme="minorHAnsi"/>
                <w:color w:val="000000"/>
                <w:lang w:val="en-AU"/>
              </w:rPr>
            </w:pPr>
            <w:r w:rsidRPr="00400300">
              <w:rPr>
                <w:rFonts w:cstheme="minorHAnsi"/>
                <w:color w:val="000000"/>
                <w:lang w:val="en-AU"/>
              </w:rPr>
              <w:t>12%</w:t>
            </w:r>
          </w:p>
        </w:tc>
      </w:tr>
      <w:tr w:rsidR="00466F3F" w:rsidRPr="00400300" w14:paraId="1E7C2402" w14:textId="77777777" w:rsidTr="00466F3F">
        <w:tc>
          <w:tcPr>
            <w:tcW w:w="1151" w:type="dxa"/>
          </w:tcPr>
          <w:p w14:paraId="025F631E"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206A2FBF"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24B66E8F" w14:textId="77777777" w:rsidR="00466F3F" w:rsidRPr="00400300" w:rsidRDefault="00466F3F" w:rsidP="00466F3F">
            <w:pPr>
              <w:spacing w:before="0"/>
              <w:rPr>
                <w:rFonts w:cstheme="minorHAnsi"/>
                <w:color w:val="000000"/>
                <w:lang w:val="en-AU"/>
              </w:rPr>
            </w:pPr>
            <w:r w:rsidRPr="00400300">
              <w:rPr>
                <w:rFonts w:cstheme="minorHAnsi"/>
                <w:color w:val="000000"/>
                <w:lang w:val="en-AU"/>
              </w:rPr>
              <w:t>5860</w:t>
            </w:r>
          </w:p>
        </w:tc>
        <w:tc>
          <w:tcPr>
            <w:tcW w:w="2150" w:type="dxa"/>
            <w:vAlign w:val="bottom"/>
          </w:tcPr>
          <w:p w14:paraId="05BC28F6" w14:textId="77777777" w:rsidR="00466F3F" w:rsidRPr="00400300" w:rsidRDefault="00466F3F" w:rsidP="00466F3F">
            <w:pPr>
              <w:spacing w:before="0"/>
              <w:rPr>
                <w:rFonts w:cstheme="minorHAnsi"/>
                <w:color w:val="000000"/>
                <w:lang w:val="en-AU"/>
              </w:rPr>
            </w:pPr>
            <w:r w:rsidRPr="00400300">
              <w:rPr>
                <w:rFonts w:cstheme="minorHAnsi"/>
                <w:color w:val="000000"/>
                <w:lang w:val="en-AU"/>
              </w:rPr>
              <w:t>8%</w:t>
            </w:r>
          </w:p>
        </w:tc>
      </w:tr>
      <w:tr w:rsidR="00466F3F" w:rsidRPr="00400300" w14:paraId="16D28609" w14:textId="77777777" w:rsidTr="00466F3F">
        <w:tc>
          <w:tcPr>
            <w:tcW w:w="1151" w:type="dxa"/>
          </w:tcPr>
          <w:p w14:paraId="1B7E34E0"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53BF282D"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67752607" w14:textId="77777777" w:rsidR="00466F3F" w:rsidRPr="00400300" w:rsidRDefault="00466F3F" w:rsidP="00466F3F">
            <w:pPr>
              <w:spacing w:before="0"/>
              <w:rPr>
                <w:rFonts w:cstheme="minorHAnsi"/>
                <w:color w:val="000000"/>
                <w:lang w:val="en-AU"/>
              </w:rPr>
            </w:pPr>
            <w:r w:rsidRPr="00400300">
              <w:rPr>
                <w:rFonts w:cstheme="minorHAnsi"/>
                <w:color w:val="000000"/>
                <w:lang w:val="en-AU"/>
              </w:rPr>
              <w:t>4774</w:t>
            </w:r>
          </w:p>
        </w:tc>
        <w:tc>
          <w:tcPr>
            <w:tcW w:w="2150" w:type="dxa"/>
            <w:vAlign w:val="bottom"/>
          </w:tcPr>
          <w:p w14:paraId="1440D906" w14:textId="77777777" w:rsidR="00466F3F" w:rsidRPr="00400300" w:rsidRDefault="00466F3F" w:rsidP="00466F3F">
            <w:pPr>
              <w:spacing w:before="0"/>
              <w:rPr>
                <w:rFonts w:cstheme="minorHAnsi"/>
                <w:color w:val="000000"/>
                <w:lang w:val="en-AU"/>
              </w:rPr>
            </w:pPr>
            <w:r w:rsidRPr="00400300">
              <w:rPr>
                <w:rFonts w:cstheme="minorHAnsi"/>
                <w:color w:val="000000"/>
                <w:lang w:val="en-AU"/>
              </w:rPr>
              <w:t>7%</w:t>
            </w:r>
          </w:p>
        </w:tc>
      </w:tr>
      <w:tr w:rsidR="00466F3F" w:rsidRPr="00400300" w14:paraId="22415159" w14:textId="77777777" w:rsidTr="00466F3F">
        <w:tc>
          <w:tcPr>
            <w:tcW w:w="1151" w:type="dxa"/>
          </w:tcPr>
          <w:p w14:paraId="256CCC5B"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59E884AA"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48366425" w14:textId="77777777" w:rsidR="00466F3F" w:rsidRPr="00400300" w:rsidRDefault="00466F3F" w:rsidP="00466F3F">
            <w:pPr>
              <w:spacing w:before="0"/>
              <w:rPr>
                <w:rFonts w:cstheme="minorHAnsi"/>
                <w:color w:val="000000"/>
                <w:lang w:val="en-AU"/>
              </w:rPr>
            </w:pPr>
            <w:r w:rsidRPr="00400300">
              <w:rPr>
                <w:rFonts w:cstheme="minorHAnsi"/>
                <w:color w:val="000000"/>
                <w:lang w:val="en-AU"/>
              </w:rPr>
              <w:t>3114</w:t>
            </w:r>
          </w:p>
        </w:tc>
        <w:tc>
          <w:tcPr>
            <w:tcW w:w="2150" w:type="dxa"/>
            <w:vAlign w:val="bottom"/>
          </w:tcPr>
          <w:p w14:paraId="69ACB8FA" w14:textId="77777777" w:rsidR="00466F3F" w:rsidRPr="00400300" w:rsidRDefault="00466F3F" w:rsidP="00466F3F">
            <w:pPr>
              <w:spacing w:before="0"/>
              <w:rPr>
                <w:rFonts w:cstheme="minorHAnsi"/>
                <w:color w:val="000000"/>
                <w:lang w:val="en-AU"/>
              </w:rPr>
            </w:pPr>
            <w:r w:rsidRPr="00400300">
              <w:rPr>
                <w:rFonts w:cstheme="minorHAnsi"/>
                <w:color w:val="000000"/>
                <w:lang w:val="en-AU"/>
              </w:rPr>
              <w:t>4%</w:t>
            </w:r>
          </w:p>
        </w:tc>
      </w:tr>
      <w:tr w:rsidR="00466F3F" w:rsidRPr="00400300" w14:paraId="0A509FAA" w14:textId="77777777" w:rsidTr="00466F3F">
        <w:tc>
          <w:tcPr>
            <w:tcW w:w="1151" w:type="dxa"/>
          </w:tcPr>
          <w:p w14:paraId="3EDA86D8"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6073D932"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57602D01" w14:textId="77777777" w:rsidR="00466F3F" w:rsidRPr="00400300" w:rsidRDefault="00466F3F" w:rsidP="00466F3F">
            <w:pPr>
              <w:spacing w:before="0"/>
              <w:rPr>
                <w:rFonts w:cstheme="minorHAnsi"/>
                <w:color w:val="000000"/>
                <w:lang w:val="en-AU"/>
              </w:rPr>
            </w:pPr>
            <w:r w:rsidRPr="00400300">
              <w:rPr>
                <w:rFonts w:cstheme="minorHAnsi"/>
                <w:color w:val="000000"/>
                <w:lang w:val="en-AU"/>
              </w:rPr>
              <w:t>1800</w:t>
            </w:r>
          </w:p>
        </w:tc>
        <w:tc>
          <w:tcPr>
            <w:tcW w:w="2150" w:type="dxa"/>
            <w:vAlign w:val="bottom"/>
          </w:tcPr>
          <w:p w14:paraId="1FAB510A"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5C372D7D" w14:textId="77777777" w:rsidTr="00466F3F">
        <w:tc>
          <w:tcPr>
            <w:tcW w:w="1151" w:type="dxa"/>
          </w:tcPr>
          <w:p w14:paraId="5209E49E"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60947383"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3A205AEE" w14:textId="77777777" w:rsidR="00466F3F" w:rsidRPr="00400300" w:rsidRDefault="00466F3F" w:rsidP="00466F3F">
            <w:pPr>
              <w:spacing w:before="0"/>
              <w:rPr>
                <w:rFonts w:cstheme="minorHAnsi"/>
                <w:color w:val="000000"/>
                <w:lang w:val="en-AU"/>
              </w:rPr>
            </w:pPr>
            <w:r w:rsidRPr="00400300">
              <w:rPr>
                <w:rFonts w:cstheme="minorHAnsi"/>
                <w:color w:val="000000"/>
                <w:lang w:val="en-AU"/>
              </w:rPr>
              <w:t>1350</w:t>
            </w:r>
          </w:p>
        </w:tc>
        <w:tc>
          <w:tcPr>
            <w:tcW w:w="2150" w:type="dxa"/>
            <w:vAlign w:val="bottom"/>
          </w:tcPr>
          <w:p w14:paraId="064D3D59" w14:textId="77777777" w:rsidR="00466F3F" w:rsidRPr="00400300" w:rsidRDefault="00466F3F" w:rsidP="00466F3F">
            <w:pPr>
              <w:spacing w:before="0"/>
              <w:rPr>
                <w:rFonts w:cstheme="minorHAnsi"/>
                <w:color w:val="000000"/>
                <w:lang w:val="en-AU"/>
              </w:rPr>
            </w:pPr>
            <w:r w:rsidRPr="00400300">
              <w:rPr>
                <w:rFonts w:cstheme="minorHAnsi"/>
                <w:color w:val="000000"/>
                <w:lang w:val="en-AU"/>
              </w:rPr>
              <w:t>2%</w:t>
            </w:r>
          </w:p>
        </w:tc>
      </w:tr>
      <w:tr w:rsidR="00466F3F" w:rsidRPr="00400300" w14:paraId="491B7449" w14:textId="77777777" w:rsidTr="00466F3F">
        <w:tc>
          <w:tcPr>
            <w:tcW w:w="1151" w:type="dxa"/>
          </w:tcPr>
          <w:p w14:paraId="4BD8EA0E"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5B97E62A"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6D65B33F" w14:textId="77777777" w:rsidR="00466F3F" w:rsidRPr="00400300" w:rsidRDefault="00466F3F" w:rsidP="00466F3F">
            <w:pPr>
              <w:spacing w:before="0"/>
              <w:rPr>
                <w:rFonts w:cstheme="minorHAnsi"/>
                <w:color w:val="000000"/>
                <w:lang w:val="en-AU"/>
              </w:rPr>
            </w:pPr>
            <w:r w:rsidRPr="00400300">
              <w:rPr>
                <w:rFonts w:cstheme="minorHAnsi"/>
                <w:color w:val="000000"/>
                <w:lang w:val="en-AU"/>
              </w:rPr>
              <w:t>858</w:t>
            </w:r>
          </w:p>
        </w:tc>
        <w:tc>
          <w:tcPr>
            <w:tcW w:w="2150" w:type="dxa"/>
            <w:vAlign w:val="bottom"/>
          </w:tcPr>
          <w:p w14:paraId="719A577E"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r w:rsidR="00466F3F" w:rsidRPr="00400300" w14:paraId="5FCCC6AC" w14:textId="77777777" w:rsidTr="00466F3F">
        <w:tc>
          <w:tcPr>
            <w:tcW w:w="1151" w:type="dxa"/>
          </w:tcPr>
          <w:p w14:paraId="3D48E392"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304F23B8"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671A0EDA" w14:textId="77777777" w:rsidR="00466F3F" w:rsidRPr="00400300" w:rsidRDefault="00466F3F" w:rsidP="00466F3F">
            <w:pPr>
              <w:spacing w:before="0"/>
              <w:rPr>
                <w:rFonts w:cstheme="minorHAnsi"/>
                <w:color w:val="000000"/>
                <w:lang w:val="en-AU"/>
              </w:rPr>
            </w:pPr>
            <w:r w:rsidRPr="00400300">
              <w:rPr>
                <w:rFonts w:cstheme="minorHAnsi"/>
                <w:color w:val="000000"/>
                <w:lang w:val="en-AU"/>
              </w:rPr>
              <w:t>705</w:t>
            </w:r>
          </w:p>
        </w:tc>
        <w:tc>
          <w:tcPr>
            <w:tcW w:w="2150" w:type="dxa"/>
            <w:vAlign w:val="bottom"/>
          </w:tcPr>
          <w:p w14:paraId="6DB8A632"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r w:rsidR="00466F3F" w:rsidRPr="00400300" w14:paraId="42332A83" w14:textId="77777777" w:rsidTr="00466F3F">
        <w:tc>
          <w:tcPr>
            <w:tcW w:w="1151" w:type="dxa"/>
          </w:tcPr>
          <w:p w14:paraId="4DEE8DB9"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53BFD8DC"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01EF43EC" w14:textId="77777777" w:rsidR="00466F3F" w:rsidRPr="00400300" w:rsidRDefault="00466F3F" w:rsidP="00466F3F">
            <w:pPr>
              <w:spacing w:before="0"/>
              <w:rPr>
                <w:rFonts w:cstheme="minorHAnsi"/>
                <w:color w:val="000000"/>
                <w:lang w:val="en-AU"/>
              </w:rPr>
            </w:pPr>
            <w:r w:rsidRPr="00400300">
              <w:rPr>
                <w:rFonts w:cstheme="minorHAnsi"/>
                <w:color w:val="000000"/>
                <w:lang w:val="en-AU"/>
              </w:rPr>
              <w:t>618</w:t>
            </w:r>
          </w:p>
        </w:tc>
        <w:tc>
          <w:tcPr>
            <w:tcW w:w="2150" w:type="dxa"/>
            <w:vAlign w:val="bottom"/>
          </w:tcPr>
          <w:p w14:paraId="530D5999"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bl>
    <w:p w14:paraId="3FF2AB99"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5BADD569" w14:textId="77777777" w:rsidR="00466F3F" w:rsidRPr="00400300" w:rsidRDefault="00466F3F" w:rsidP="00466F3F">
      <w:pPr>
        <w:rPr>
          <w:rFonts w:cstheme="minorHAnsi"/>
          <w:lang w:val="en-AU"/>
        </w:rPr>
      </w:pPr>
    </w:p>
    <w:p w14:paraId="36E10C44" w14:textId="77777777" w:rsidR="00466F3F" w:rsidRPr="00400300" w:rsidRDefault="00466F3F" w:rsidP="00466F3F">
      <w:pPr>
        <w:rPr>
          <w:b/>
          <w:sz w:val="28"/>
          <w:szCs w:val="28"/>
          <w:lang w:val="en-AU"/>
        </w:rPr>
      </w:pPr>
      <w:bookmarkStart w:id="333" w:name="_Toc32584911"/>
      <w:bookmarkStart w:id="334" w:name="_Toc32585054"/>
      <w:bookmarkStart w:id="335" w:name="_Toc32587856"/>
      <w:r w:rsidRPr="00400300">
        <w:rPr>
          <w:b/>
          <w:sz w:val="28"/>
          <w:szCs w:val="28"/>
          <w:lang w:val="en-AU"/>
        </w:rPr>
        <w:t>Children breakdown</w:t>
      </w:r>
      <w:bookmarkEnd w:id="333"/>
      <w:bookmarkEnd w:id="334"/>
      <w:bookmarkEnd w:id="335"/>
    </w:p>
    <w:p w14:paraId="72A04E7D" w14:textId="77777777" w:rsidR="00466F3F" w:rsidRPr="00400300" w:rsidRDefault="00466F3F" w:rsidP="00466F3F">
      <w:pPr>
        <w:rPr>
          <w:rFonts w:cstheme="minorHAnsi"/>
          <w:b/>
          <w:lang w:val="en-AU"/>
        </w:rPr>
      </w:pPr>
      <w:r w:rsidRPr="00400300">
        <w:rPr>
          <w:rFonts w:cstheme="minorHAnsi"/>
          <w:b/>
          <w:lang w:val="en-AU"/>
        </w:rPr>
        <w:t xml:space="preserve">&lt;1 </w:t>
      </w:r>
      <w:proofErr w:type="gramStart"/>
      <w:r w:rsidRPr="00400300">
        <w:rPr>
          <w:rFonts w:cstheme="minorHAnsi"/>
          <w:b/>
          <w:lang w:val="en-AU"/>
        </w:rPr>
        <w:t>years</w:t>
      </w:r>
      <w:proofErr w:type="gramEnd"/>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7FB562EC" w14:textId="77777777" w:rsidTr="00466F3F">
        <w:tc>
          <w:tcPr>
            <w:tcW w:w="1151" w:type="dxa"/>
          </w:tcPr>
          <w:p w14:paraId="0AEFFDAF"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33E3E82F"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494F2319"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7C024F9E"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511CDE60" w14:textId="77777777" w:rsidTr="00466F3F">
        <w:tc>
          <w:tcPr>
            <w:tcW w:w="1151" w:type="dxa"/>
          </w:tcPr>
          <w:p w14:paraId="6CA0E1C1"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7301AA36"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21EBD89F" w14:textId="77777777" w:rsidR="00466F3F" w:rsidRPr="00400300" w:rsidRDefault="00466F3F" w:rsidP="00466F3F">
            <w:pPr>
              <w:spacing w:before="0"/>
              <w:rPr>
                <w:rFonts w:cstheme="minorHAnsi"/>
                <w:color w:val="000000"/>
                <w:lang w:val="en-AU"/>
              </w:rPr>
            </w:pPr>
            <w:r w:rsidRPr="00400300">
              <w:rPr>
                <w:rFonts w:cstheme="minorHAnsi"/>
                <w:color w:val="000000"/>
                <w:lang w:val="en-AU"/>
              </w:rPr>
              <w:t>1200</w:t>
            </w:r>
          </w:p>
        </w:tc>
        <w:tc>
          <w:tcPr>
            <w:tcW w:w="2150" w:type="dxa"/>
            <w:vAlign w:val="bottom"/>
          </w:tcPr>
          <w:p w14:paraId="6FE2211A" w14:textId="77777777" w:rsidR="00466F3F" w:rsidRPr="00400300" w:rsidRDefault="00466F3F" w:rsidP="00466F3F">
            <w:pPr>
              <w:spacing w:before="0"/>
              <w:rPr>
                <w:rFonts w:cstheme="minorHAnsi"/>
                <w:color w:val="000000"/>
                <w:lang w:val="en-AU"/>
              </w:rPr>
            </w:pPr>
            <w:r w:rsidRPr="00400300">
              <w:rPr>
                <w:rFonts w:cstheme="minorHAnsi"/>
                <w:color w:val="000000"/>
                <w:lang w:val="en-AU"/>
              </w:rPr>
              <w:t>48%</w:t>
            </w:r>
          </w:p>
        </w:tc>
      </w:tr>
      <w:tr w:rsidR="00466F3F" w:rsidRPr="00400300" w14:paraId="4CDC79C1" w14:textId="77777777" w:rsidTr="00466F3F">
        <w:tc>
          <w:tcPr>
            <w:tcW w:w="1151" w:type="dxa"/>
          </w:tcPr>
          <w:p w14:paraId="5B8BF37F"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23093B2F"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34305111" w14:textId="77777777" w:rsidR="00466F3F" w:rsidRPr="00400300" w:rsidRDefault="00466F3F" w:rsidP="00466F3F">
            <w:pPr>
              <w:spacing w:before="0"/>
              <w:rPr>
                <w:rFonts w:cstheme="minorHAnsi"/>
                <w:color w:val="000000"/>
                <w:lang w:val="en-AU"/>
              </w:rPr>
            </w:pPr>
            <w:r w:rsidRPr="00400300">
              <w:rPr>
                <w:rFonts w:cstheme="minorHAnsi"/>
                <w:color w:val="000000"/>
                <w:lang w:val="en-AU"/>
              </w:rPr>
              <w:t>677</w:t>
            </w:r>
          </w:p>
        </w:tc>
        <w:tc>
          <w:tcPr>
            <w:tcW w:w="2150" w:type="dxa"/>
            <w:vAlign w:val="bottom"/>
          </w:tcPr>
          <w:p w14:paraId="3CA2CE98" w14:textId="77777777" w:rsidR="00466F3F" w:rsidRPr="00400300" w:rsidRDefault="00466F3F" w:rsidP="00466F3F">
            <w:pPr>
              <w:spacing w:before="0"/>
              <w:rPr>
                <w:rFonts w:cstheme="minorHAnsi"/>
                <w:color w:val="000000"/>
                <w:lang w:val="en-AU"/>
              </w:rPr>
            </w:pPr>
            <w:r w:rsidRPr="00400300">
              <w:rPr>
                <w:rFonts w:cstheme="minorHAnsi"/>
                <w:color w:val="000000"/>
                <w:lang w:val="en-AU"/>
              </w:rPr>
              <w:t>27%</w:t>
            </w:r>
          </w:p>
        </w:tc>
      </w:tr>
      <w:tr w:rsidR="00466F3F" w:rsidRPr="00400300" w14:paraId="56789A86" w14:textId="77777777" w:rsidTr="00466F3F">
        <w:tc>
          <w:tcPr>
            <w:tcW w:w="1151" w:type="dxa"/>
          </w:tcPr>
          <w:p w14:paraId="4137C777"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13EBFEB8"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5F978E31" w14:textId="77777777" w:rsidR="00466F3F" w:rsidRPr="00400300" w:rsidRDefault="00466F3F" w:rsidP="00466F3F">
            <w:pPr>
              <w:spacing w:before="0"/>
              <w:rPr>
                <w:rFonts w:cstheme="minorHAnsi"/>
                <w:color w:val="000000"/>
                <w:lang w:val="en-AU"/>
              </w:rPr>
            </w:pPr>
            <w:r w:rsidRPr="00400300">
              <w:rPr>
                <w:rFonts w:cstheme="minorHAnsi"/>
                <w:color w:val="000000"/>
                <w:lang w:val="en-AU"/>
              </w:rPr>
              <w:t>222</w:t>
            </w:r>
          </w:p>
        </w:tc>
        <w:tc>
          <w:tcPr>
            <w:tcW w:w="2150" w:type="dxa"/>
            <w:vAlign w:val="bottom"/>
          </w:tcPr>
          <w:p w14:paraId="5436D43A" w14:textId="77777777" w:rsidR="00466F3F" w:rsidRPr="00400300" w:rsidRDefault="00466F3F" w:rsidP="00466F3F">
            <w:pPr>
              <w:spacing w:before="0"/>
              <w:rPr>
                <w:rFonts w:cstheme="minorHAnsi"/>
                <w:color w:val="000000"/>
                <w:lang w:val="en-AU"/>
              </w:rPr>
            </w:pPr>
            <w:r w:rsidRPr="00400300">
              <w:rPr>
                <w:rFonts w:cstheme="minorHAnsi"/>
                <w:color w:val="000000"/>
                <w:lang w:val="en-AU"/>
              </w:rPr>
              <w:t>9%</w:t>
            </w:r>
          </w:p>
        </w:tc>
      </w:tr>
      <w:tr w:rsidR="00466F3F" w:rsidRPr="00400300" w14:paraId="1533E15D" w14:textId="77777777" w:rsidTr="00466F3F">
        <w:tc>
          <w:tcPr>
            <w:tcW w:w="1151" w:type="dxa"/>
          </w:tcPr>
          <w:p w14:paraId="6BCCDE45"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2D77E3DF"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6B6D9D94" w14:textId="77777777" w:rsidR="00466F3F" w:rsidRPr="00400300" w:rsidRDefault="00466F3F" w:rsidP="00466F3F">
            <w:pPr>
              <w:spacing w:before="0"/>
              <w:rPr>
                <w:rFonts w:cstheme="minorHAnsi"/>
                <w:color w:val="000000"/>
                <w:lang w:val="en-AU"/>
              </w:rPr>
            </w:pPr>
            <w:r w:rsidRPr="00400300">
              <w:rPr>
                <w:rFonts w:cstheme="minorHAnsi"/>
                <w:color w:val="000000"/>
                <w:lang w:val="en-AU"/>
              </w:rPr>
              <w:t>202</w:t>
            </w:r>
          </w:p>
        </w:tc>
        <w:tc>
          <w:tcPr>
            <w:tcW w:w="2150" w:type="dxa"/>
            <w:vAlign w:val="bottom"/>
          </w:tcPr>
          <w:p w14:paraId="6743201D" w14:textId="77777777" w:rsidR="00466F3F" w:rsidRPr="00400300" w:rsidRDefault="00466F3F" w:rsidP="00466F3F">
            <w:pPr>
              <w:spacing w:before="0"/>
              <w:rPr>
                <w:rFonts w:cstheme="minorHAnsi"/>
                <w:color w:val="000000"/>
                <w:lang w:val="en-AU"/>
              </w:rPr>
            </w:pPr>
            <w:r w:rsidRPr="00400300">
              <w:rPr>
                <w:rFonts w:cstheme="minorHAnsi"/>
                <w:color w:val="000000"/>
                <w:lang w:val="en-AU"/>
              </w:rPr>
              <w:t>8%</w:t>
            </w:r>
          </w:p>
        </w:tc>
      </w:tr>
      <w:tr w:rsidR="00466F3F" w:rsidRPr="00400300" w14:paraId="7D6AF576" w14:textId="77777777" w:rsidTr="00466F3F">
        <w:tc>
          <w:tcPr>
            <w:tcW w:w="1151" w:type="dxa"/>
          </w:tcPr>
          <w:p w14:paraId="025964B0"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3A785462"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354A0008" w14:textId="77777777" w:rsidR="00466F3F" w:rsidRPr="00400300" w:rsidRDefault="00466F3F" w:rsidP="00466F3F">
            <w:pPr>
              <w:spacing w:before="0"/>
              <w:rPr>
                <w:rFonts w:cstheme="minorHAnsi"/>
                <w:color w:val="000000"/>
                <w:lang w:val="en-AU"/>
              </w:rPr>
            </w:pPr>
            <w:r w:rsidRPr="00400300">
              <w:rPr>
                <w:rFonts w:cstheme="minorHAnsi"/>
                <w:color w:val="000000"/>
                <w:lang w:val="en-AU"/>
              </w:rPr>
              <w:t>101</w:t>
            </w:r>
          </w:p>
        </w:tc>
        <w:tc>
          <w:tcPr>
            <w:tcW w:w="2150" w:type="dxa"/>
            <w:vAlign w:val="bottom"/>
          </w:tcPr>
          <w:p w14:paraId="72F007DF" w14:textId="77777777" w:rsidR="00466F3F" w:rsidRPr="00400300" w:rsidRDefault="00466F3F" w:rsidP="00466F3F">
            <w:pPr>
              <w:spacing w:before="0"/>
              <w:rPr>
                <w:rFonts w:cstheme="minorHAnsi"/>
                <w:color w:val="000000"/>
                <w:lang w:val="en-AU"/>
              </w:rPr>
            </w:pPr>
            <w:r w:rsidRPr="00400300">
              <w:rPr>
                <w:rFonts w:cstheme="minorHAnsi"/>
                <w:color w:val="000000"/>
                <w:lang w:val="en-AU"/>
              </w:rPr>
              <w:t>4%</w:t>
            </w:r>
          </w:p>
        </w:tc>
      </w:tr>
      <w:tr w:rsidR="00466F3F" w:rsidRPr="00400300" w14:paraId="0C82D46F" w14:textId="77777777" w:rsidTr="00466F3F">
        <w:tc>
          <w:tcPr>
            <w:tcW w:w="1151" w:type="dxa"/>
          </w:tcPr>
          <w:p w14:paraId="0B57AF06"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3DE23619"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2A422A69" w14:textId="77777777" w:rsidR="00466F3F" w:rsidRPr="00400300" w:rsidRDefault="00466F3F" w:rsidP="00466F3F">
            <w:pPr>
              <w:spacing w:before="0"/>
              <w:rPr>
                <w:rFonts w:cstheme="minorHAnsi"/>
                <w:color w:val="000000"/>
                <w:lang w:val="en-AU"/>
              </w:rPr>
            </w:pPr>
            <w:r w:rsidRPr="00400300">
              <w:rPr>
                <w:rFonts w:cstheme="minorHAnsi"/>
                <w:color w:val="000000"/>
                <w:lang w:val="en-AU"/>
              </w:rPr>
              <w:t>63</w:t>
            </w:r>
          </w:p>
        </w:tc>
        <w:tc>
          <w:tcPr>
            <w:tcW w:w="2150" w:type="dxa"/>
            <w:vAlign w:val="bottom"/>
          </w:tcPr>
          <w:p w14:paraId="4761C301"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0B17B49C" w14:textId="77777777" w:rsidTr="00466F3F">
        <w:tc>
          <w:tcPr>
            <w:tcW w:w="1151" w:type="dxa"/>
          </w:tcPr>
          <w:p w14:paraId="121C5C5A"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650F9ABF"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22B0781E" w14:textId="77777777" w:rsidR="00466F3F" w:rsidRPr="00400300" w:rsidRDefault="00466F3F" w:rsidP="00466F3F">
            <w:pPr>
              <w:spacing w:before="0"/>
              <w:rPr>
                <w:rFonts w:cstheme="minorHAnsi"/>
                <w:color w:val="000000"/>
                <w:lang w:val="en-AU"/>
              </w:rPr>
            </w:pPr>
            <w:r w:rsidRPr="00400300">
              <w:rPr>
                <w:rFonts w:cstheme="minorHAnsi"/>
                <w:color w:val="000000"/>
                <w:lang w:val="en-AU"/>
              </w:rPr>
              <w:t>28</w:t>
            </w:r>
          </w:p>
        </w:tc>
        <w:tc>
          <w:tcPr>
            <w:tcW w:w="2150" w:type="dxa"/>
            <w:vAlign w:val="bottom"/>
          </w:tcPr>
          <w:p w14:paraId="66FCCB7F"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r w:rsidR="00466F3F" w:rsidRPr="00400300" w14:paraId="79080DEF" w14:textId="77777777" w:rsidTr="00466F3F">
        <w:tc>
          <w:tcPr>
            <w:tcW w:w="1151" w:type="dxa"/>
          </w:tcPr>
          <w:p w14:paraId="2778869C"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55D0E284"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498EC59C" w14:textId="77777777" w:rsidR="00466F3F" w:rsidRPr="00400300" w:rsidRDefault="00466F3F" w:rsidP="00466F3F">
            <w:pPr>
              <w:spacing w:before="0"/>
              <w:rPr>
                <w:rFonts w:cstheme="minorHAnsi"/>
                <w:color w:val="000000"/>
                <w:lang w:val="en-AU"/>
              </w:rPr>
            </w:pPr>
            <w:r w:rsidRPr="00400300">
              <w:rPr>
                <w:rFonts w:cstheme="minorHAnsi"/>
                <w:color w:val="000000"/>
                <w:lang w:val="en-AU"/>
              </w:rPr>
              <w:t>10</w:t>
            </w:r>
          </w:p>
        </w:tc>
        <w:tc>
          <w:tcPr>
            <w:tcW w:w="2150" w:type="dxa"/>
            <w:vAlign w:val="bottom"/>
          </w:tcPr>
          <w:p w14:paraId="053FBB7B"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r>
      <w:tr w:rsidR="00466F3F" w:rsidRPr="00400300" w14:paraId="436B0730" w14:textId="77777777" w:rsidTr="00466F3F">
        <w:tc>
          <w:tcPr>
            <w:tcW w:w="1151" w:type="dxa"/>
          </w:tcPr>
          <w:p w14:paraId="450B8921"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669881D7"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03BA008F" w14:textId="77777777" w:rsidR="00466F3F" w:rsidRPr="00400300" w:rsidRDefault="00466F3F" w:rsidP="00466F3F">
            <w:pPr>
              <w:spacing w:before="0"/>
              <w:rPr>
                <w:rFonts w:cstheme="minorHAnsi"/>
                <w:color w:val="000000"/>
                <w:lang w:val="en-AU"/>
              </w:rPr>
            </w:pPr>
            <w:r w:rsidRPr="00400300">
              <w:rPr>
                <w:rFonts w:cstheme="minorHAnsi"/>
                <w:color w:val="000000"/>
                <w:lang w:val="en-AU"/>
              </w:rPr>
              <w:t>4</w:t>
            </w:r>
          </w:p>
        </w:tc>
        <w:tc>
          <w:tcPr>
            <w:tcW w:w="2150" w:type="dxa"/>
            <w:vAlign w:val="bottom"/>
          </w:tcPr>
          <w:p w14:paraId="11B40D33"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r>
      <w:tr w:rsidR="00466F3F" w:rsidRPr="00400300" w14:paraId="07DE05F9" w14:textId="77777777" w:rsidTr="00466F3F">
        <w:tc>
          <w:tcPr>
            <w:tcW w:w="1151" w:type="dxa"/>
          </w:tcPr>
          <w:p w14:paraId="7BFF95F9"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172973FC"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2C534E35"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c>
          <w:tcPr>
            <w:tcW w:w="2150" w:type="dxa"/>
            <w:vAlign w:val="bottom"/>
          </w:tcPr>
          <w:p w14:paraId="12EC21EC"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r>
    </w:tbl>
    <w:p w14:paraId="6B97CD83"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39B4134D" w14:textId="77777777" w:rsidR="00466F3F" w:rsidRPr="00400300" w:rsidRDefault="00466F3F" w:rsidP="00466F3F">
      <w:pPr>
        <w:rPr>
          <w:rFonts w:cstheme="minorHAnsi"/>
          <w:lang w:val="en-AU"/>
        </w:rPr>
      </w:pPr>
    </w:p>
    <w:p w14:paraId="3C896BBE" w14:textId="77777777" w:rsidR="003240A6" w:rsidRDefault="003240A6" w:rsidP="00466F3F">
      <w:pPr>
        <w:rPr>
          <w:rFonts w:cstheme="minorHAnsi"/>
          <w:b/>
          <w:lang w:val="en-AU"/>
        </w:rPr>
      </w:pPr>
    </w:p>
    <w:p w14:paraId="6C3DDD15" w14:textId="77777777" w:rsidR="003240A6" w:rsidRDefault="003240A6" w:rsidP="00466F3F">
      <w:pPr>
        <w:rPr>
          <w:rFonts w:cstheme="minorHAnsi"/>
          <w:b/>
          <w:lang w:val="en-AU"/>
        </w:rPr>
      </w:pPr>
    </w:p>
    <w:p w14:paraId="61F4BB38" w14:textId="77777777" w:rsidR="00727C42" w:rsidRDefault="00727C42">
      <w:pPr>
        <w:spacing w:before="0" w:after="160" w:line="259" w:lineRule="auto"/>
        <w:rPr>
          <w:rFonts w:cstheme="minorHAnsi"/>
          <w:b/>
          <w:lang w:val="en-AU"/>
        </w:rPr>
      </w:pPr>
      <w:r>
        <w:rPr>
          <w:rFonts w:cstheme="minorHAnsi"/>
          <w:b/>
          <w:lang w:val="en-AU"/>
        </w:rPr>
        <w:br w:type="page"/>
      </w:r>
    </w:p>
    <w:p w14:paraId="4C553C6D" w14:textId="4D66205F" w:rsidR="00466F3F" w:rsidRPr="00400300" w:rsidRDefault="00466F3F" w:rsidP="00466F3F">
      <w:pPr>
        <w:rPr>
          <w:rFonts w:cstheme="minorHAnsi"/>
          <w:b/>
          <w:lang w:val="en-AU"/>
        </w:rPr>
      </w:pPr>
      <w:r w:rsidRPr="00400300">
        <w:rPr>
          <w:rFonts w:cstheme="minorHAnsi"/>
          <w:b/>
          <w:lang w:val="en-AU"/>
        </w:rPr>
        <w:t>1-4 years</w:t>
      </w:r>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7637336B" w14:textId="77777777" w:rsidTr="00466F3F">
        <w:tc>
          <w:tcPr>
            <w:tcW w:w="1151" w:type="dxa"/>
          </w:tcPr>
          <w:p w14:paraId="7CFBF810"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69686F2D"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667E0ACE"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0C716B8A"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2847F64D" w14:textId="77777777" w:rsidTr="00466F3F">
        <w:tc>
          <w:tcPr>
            <w:tcW w:w="1151" w:type="dxa"/>
          </w:tcPr>
          <w:p w14:paraId="3EBC891B"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61E4A6C0"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1BDDFAB4" w14:textId="77777777" w:rsidR="00466F3F" w:rsidRPr="00400300" w:rsidRDefault="00466F3F" w:rsidP="00466F3F">
            <w:pPr>
              <w:spacing w:before="0"/>
              <w:rPr>
                <w:rFonts w:cstheme="minorHAnsi"/>
                <w:color w:val="000000"/>
                <w:lang w:val="en-AU"/>
              </w:rPr>
            </w:pPr>
            <w:r w:rsidRPr="00400300">
              <w:rPr>
                <w:rFonts w:cstheme="minorHAnsi"/>
                <w:color w:val="000000"/>
                <w:lang w:val="en-AU"/>
              </w:rPr>
              <w:t>1935</w:t>
            </w:r>
          </w:p>
        </w:tc>
        <w:tc>
          <w:tcPr>
            <w:tcW w:w="2150" w:type="dxa"/>
            <w:vAlign w:val="bottom"/>
          </w:tcPr>
          <w:p w14:paraId="2DE794E6" w14:textId="77777777" w:rsidR="00466F3F" w:rsidRPr="00400300" w:rsidRDefault="00466F3F" w:rsidP="00466F3F">
            <w:pPr>
              <w:spacing w:before="0"/>
              <w:rPr>
                <w:rFonts w:cstheme="minorHAnsi"/>
                <w:color w:val="000000"/>
                <w:lang w:val="en-AU"/>
              </w:rPr>
            </w:pPr>
            <w:r w:rsidRPr="00400300">
              <w:rPr>
                <w:rFonts w:cstheme="minorHAnsi"/>
                <w:color w:val="000000"/>
                <w:lang w:val="en-AU"/>
              </w:rPr>
              <w:t>28%</w:t>
            </w:r>
          </w:p>
        </w:tc>
      </w:tr>
      <w:tr w:rsidR="00466F3F" w:rsidRPr="00400300" w14:paraId="463A4D44" w14:textId="77777777" w:rsidTr="00466F3F">
        <w:tc>
          <w:tcPr>
            <w:tcW w:w="1151" w:type="dxa"/>
          </w:tcPr>
          <w:p w14:paraId="6BC0AB08"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596E418C"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75D58A92" w14:textId="77777777" w:rsidR="00466F3F" w:rsidRPr="00400300" w:rsidRDefault="00466F3F" w:rsidP="00466F3F">
            <w:pPr>
              <w:spacing w:before="0"/>
              <w:rPr>
                <w:rFonts w:cstheme="minorHAnsi"/>
                <w:color w:val="000000"/>
                <w:lang w:val="en-AU"/>
              </w:rPr>
            </w:pPr>
            <w:r w:rsidRPr="00400300">
              <w:rPr>
                <w:rFonts w:cstheme="minorHAnsi"/>
                <w:color w:val="000000"/>
                <w:lang w:val="en-AU"/>
              </w:rPr>
              <w:t>1101</w:t>
            </w:r>
          </w:p>
        </w:tc>
        <w:tc>
          <w:tcPr>
            <w:tcW w:w="2150" w:type="dxa"/>
            <w:vAlign w:val="bottom"/>
          </w:tcPr>
          <w:p w14:paraId="1C3206C4" w14:textId="77777777" w:rsidR="00466F3F" w:rsidRPr="00400300" w:rsidRDefault="00466F3F" w:rsidP="00466F3F">
            <w:pPr>
              <w:spacing w:before="0"/>
              <w:rPr>
                <w:rFonts w:cstheme="minorHAnsi"/>
                <w:color w:val="000000"/>
                <w:lang w:val="en-AU"/>
              </w:rPr>
            </w:pPr>
            <w:r w:rsidRPr="00400300">
              <w:rPr>
                <w:rFonts w:cstheme="minorHAnsi"/>
                <w:color w:val="000000"/>
                <w:lang w:val="en-AU"/>
              </w:rPr>
              <w:t>16%</w:t>
            </w:r>
          </w:p>
        </w:tc>
      </w:tr>
      <w:tr w:rsidR="00466F3F" w:rsidRPr="00400300" w14:paraId="502991D6" w14:textId="77777777" w:rsidTr="00466F3F">
        <w:tc>
          <w:tcPr>
            <w:tcW w:w="1151" w:type="dxa"/>
          </w:tcPr>
          <w:p w14:paraId="45B30F28"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01594920"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59571110" w14:textId="77777777" w:rsidR="00466F3F" w:rsidRPr="00400300" w:rsidRDefault="00466F3F" w:rsidP="00466F3F">
            <w:pPr>
              <w:spacing w:before="0"/>
              <w:rPr>
                <w:rFonts w:cstheme="minorHAnsi"/>
                <w:color w:val="000000"/>
                <w:lang w:val="en-AU"/>
              </w:rPr>
            </w:pPr>
            <w:r w:rsidRPr="00400300">
              <w:rPr>
                <w:rFonts w:cstheme="minorHAnsi"/>
                <w:color w:val="000000"/>
                <w:lang w:val="en-AU"/>
              </w:rPr>
              <w:t>961</w:t>
            </w:r>
          </w:p>
        </w:tc>
        <w:tc>
          <w:tcPr>
            <w:tcW w:w="2150" w:type="dxa"/>
            <w:vAlign w:val="bottom"/>
          </w:tcPr>
          <w:p w14:paraId="7C3674BE" w14:textId="77777777" w:rsidR="00466F3F" w:rsidRPr="00400300" w:rsidRDefault="00466F3F" w:rsidP="00466F3F">
            <w:pPr>
              <w:spacing w:before="0"/>
              <w:rPr>
                <w:rFonts w:cstheme="minorHAnsi"/>
                <w:color w:val="000000"/>
                <w:lang w:val="en-AU"/>
              </w:rPr>
            </w:pPr>
            <w:r w:rsidRPr="00400300">
              <w:rPr>
                <w:rFonts w:cstheme="minorHAnsi"/>
                <w:color w:val="000000"/>
                <w:lang w:val="en-AU"/>
              </w:rPr>
              <w:t>14%</w:t>
            </w:r>
          </w:p>
        </w:tc>
      </w:tr>
      <w:tr w:rsidR="00466F3F" w:rsidRPr="00400300" w14:paraId="44B11929" w14:textId="77777777" w:rsidTr="00466F3F">
        <w:tc>
          <w:tcPr>
            <w:tcW w:w="1151" w:type="dxa"/>
          </w:tcPr>
          <w:p w14:paraId="65CC9F79"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760ED1E6"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319768CE" w14:textId="77777777" w:rsidR="00466F3F" w:rsidRPr="00400300" w:rsidRDefault="00466F3F" w:rsidP="00466F3F">
            <w:pPr>
              <w:spacing w:before="0"/>
              <w:rPr>
                <w:rFonts w:cstheme="minorHAnsi"/>
                <w:color w:val="000000"/>
                <w:lang w:val="en-AU"/>
              </w:rPr>
            </w:pPr>
            <w:r w:rsidRPr="00400300">
              <w:rPr>
                <w:rFonts w:cstheme="minorHAnsi"/>
                <w:color w:val="000000"/>
                <w:lang w:val="en-AU"/>
              </w:rPr>
              <w:t>854</w:t>
            </w:r>
          </w:p>
        </w:tc>
        <w:tc>
          <w:tcPr>
            <w:tcW w:w="2150" w:type="dxa"/>
            <w:vAlign w:val="bottom"/>
          </w:tcPr>
          <w:p w14:paraId="189C713E" w14:textId="77777777" w:rsidR="00466F3F" w:rsidRPr="00400300" w:rsidRDefault="00466F3F" w:rsidP="00466F3F">
            <w:pPr>
              <w:spacing w:before="0"/>
              <w:rPr>
                <w:rFonts w:cstheme="minorHAnsi"/>
                <w:color w:val="000000"/>
                <w:lang w:val="en-AU"/>
              </w:rPr>
            </w:pPr>
            <w:r w:rsidRPr="00400300">
              <w:rPr>
                <w:rFonts w:cstheme="minorHAnsi"/>
                <w:color w:val="000000"/>
                <w:lang w:val="en-AU"/>
              </w:rPr>
              <w:t>12%</w:t>
            </w:r>
          </w:p>
        </w:tc>
      </w:tr>
      <w:tr w:rsidR="00466F3F" w:rsidRPr="00400300" w14:paraId="66D68952" w14:textId="77777777" w:rsidTr="00466F3F">
        <w:tc>
          <w:tcPr>
            <w:tcW w:w="1151" w:type="dxa"/>
          </w:tcPr>
          <w:p w14:paraId="591F183A"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18F15D36"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7E91A8EB" w14:textId="77777777" w:rsidR="00466F3F" w:rsidRPr="00400300" w:rsidRDefault="00466F3F" w:rsidP="00466F3F">
            <w:pPr>
              <w:spacing w:before="0"/>
              <w:rPr>
                <w:rFonts w:cstheme="minorHAnsi"/>
                <w:color w:val="000000"/>
                <w:lang w:val="en-AU"/>
              </w:rPr>
            </w:pPr>
            <w:r w:rsidRPr="00400300">
              <w:rPr>
                <w:rFonts w:cstheme="minorHAnsi"/>
                <w:color w:val="000000"/>
                <w:lang w:val="en-AU"/>
              </w:rPr>
              <w:t>815</w:t>
            </w:r>
          </w:p>
        </w:tc>
        <w:tc>
          <w:tcPr>
            <w:tcW w:w="2150" w:type="dxa"/>
            <w:vAlign w:val="bottom"/>
          </w:tcPr>
          <w:p w14:paraId="350A4A70" w14:textId="77777777" w:rsidR="00466F3F" w:rsidRPr="00400300" w:rsidRDefault="00466F3F" w:rsidP="00466F3F">
            <w:pPr>
              <w:spacing w:before="0"/>
              <w:rPr>
                <w:rFonts w:cstheme="minorHAnsi"/>
                <w:color w:val="000000"/>
                <w:lang w:val="en-AU"/>
              </w:rPr>
            </w:pPr>
            <w:r w:rsidRPr="00400300">
              <w:rPr>
                <w:rFonts w:cstheme="minorHAnsi"/>
                <w:color w:val="000000"/>
                <w:lang w:val="en-AU"/>
              </w:rPr>
              <w:t>12%</w:t>
            </w:r>
          </w:p>
        </w:tc>
      </w:tr>
      <w:tr w:rsidR="00466F3F" w:rsidRPr="00400300" w14:paraId="0F9A8400" w14:textId="77777777" w:rsidTr="00466F3F">
        <w:tc>
          <w:tcPr>
            <w:tcW w:w="1151" w:type="dxa"/>
          </w:tcPr>
          <w:p w14:paraId="4F5EF870"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096DBEE0"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52405737" w14:textId="77777777" w:rsidR="00466F3F" w:rsidRPr="00400300" w:rsidRDefault="00466F3F" w:rsidP="00466F3F">
            <w:pPr>
              <w:spacing w:before="0"/>
              <w:rPr>
                <w:rFonts w:cstheme="minorHAnsi"/>
                <w:color w:val="000000"/>
                <w:lang w:val="en-AU"/>
              </w:rPr>
            </w:pPr>
            <w:r w:rsidRPr="00400300">
              <w:rPr>
                <w:rFonts w:cstheme="minorHAnsi"/>
                <w:color w:val="000000"/>
                <w:lang w:val="en-AU"/>
              </w:rPr>
              <w:t>638</w:t>
            </w:r>
          </w:p>
        </w:tc>
        <w:tc>
          <w:tcPr>
            <w:tcW w:w="2150" w:type="dxa"/>
            <w:vAlign w:val="bottom"/>
          </w:tcPr>
          <w:p w14:paraId="095EA988" w14:textId="77777777" w:rsidR="00466F3F" w:rsidRPr="00400300" w:rsidRDefault="00466F3F" w:rsidP="00466F3F">
            <w:pPr>
              <w:spacing w:before="0"/>
              <w:rPr>
                <w:rFonts w:cstheme="minorHAnsi"/>
                <w:color w:val="000000"/>
                <w:lang w:val="en-AU"/>
              </w:rPr>
            </w:pPr>
            <w:r w:rsidRPr="00400300">
              <w:rPr>
                <w:rFonts w:cstheme="minorHAnsi"/>
                <w:color w:val="000000"/>
                <w:lang w:val="en-AU"/>
              </w:rPr>
              <w:t>9%</w:t>
            </w:r>
          </w:p>
        </w:tc>
      </w:tr>
      <w:tr w:rsidR="00466F3F" w:rsidRPr="00400300" w14:paraId="286A0B9A" w14:textId="77777777" w:rsidTr="00466F3F">
        <w:tc>
          <w:tcPr>
            <w:tcW w:w="1151" w:type="dxa"/>
          </w:tcPr>
          <w:p w14:paraId="35C6B351"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22D9F090"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1DEE7864" w14:textId="77777777" w:rsidR="00466F3F" w:rsidRPr="00400300" w:rsidRDefault="00466F3F" w:rsidP="00466F3F">
            <w:pPr>
              <w:spacing w:before="0"/>
              <w:rPr>
                <w:rFonts w:cstheme="minorHAnsi"/>
                <w:color w:val="000000"/>
                <w:lang w:val="en-AU"/>
              </w:rPr>
            </w:pPr>
            <w:r w:rsidRPr="00400300">
              <w:rPr>
                <w:rFonts w:cstheme="minorHAnsi"/>
                <w:color w:val="000000"/>
                <w:lang w:val="en-AU"/>
              </w:rPr>
              <w:t>288</w:t>
            </w:r>
          </w:p>
        </w:tc>
        <w:tc>
          <w:tcPr>
            <w:tcW w:w="2150" w:type="dxa"/>
            <w:vAlign w:val="bottom"/>
          </w:tcPr>
          <w:p w14:paraId="608D5105" w14:textId="77777777" w:rsidR="00466F3F" w:rsidRPr="00400300" w:rsidRDefault="00466F3F" w:rsidP="00466F3F">
            <w:pPr>
              <w:spacing w:before="0"/>
              <w:rPr>
                <w:rFonts w:cstheme="minorHAnsi"/>
                <w:color w:val="000000"/>
                <w:lang w:val="en-AU"/>
              </w:rPr>
            </w:pPr>
            <w:r w:rsidRPr="00400300">
              <w:rPr>
                <w:rFonts w:cstheme="minorHAnsi"/>
                <w:color w:val="000000"/>
                <w:lang w:val="en-AU"/>
              </w:rPr>
              <w:t>4%</w:t>
            </w:r>
          </w:p>
        </w:tc>
      </w:tr>
      <w:tr w:rsidR="00466F3F" w:rsidRPr="00400300" w14:paraId="7CF4BE5C" w14:textId="77777777" w:rsidTr="00466F3F">
        <w:tc>
          <w:tcPr>
            <w:tcW w:w="1151" w:type="dxa"/>
          </w:tcPr>
          <w:p w14:paraId="074BE42C"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057D1B91"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2B974A44" w14:textId="77777777" w:rsidR="00466F3F" w:rsidRPr="00400300" w:rsidRDefault="00466F3F" w:rsidP="00466F3F">
            <w:pPr>
              <w:spacing w:before="0"/>
              <w:rPr>
                <w:rFonts w:cstheme="minorHAnsi"/>
                <w:color w:val="000000"/>
                <w:lang w:val="en-AU"/>
              </w:rPr>
            </w:pPr>
            <w:r w:rsidRPr="00400300">
              <w:rPr>
                <w:rFonts w:cstheme="minorHAnsi"/>
                <w:color w:val="000000"/>
                <w:lang w:val="en-AU"/>
              </w:rPr>
              <w:t>215</w:t>
            </w:r>
          </w:p>
        </w:tc>
        <w:tc>
          <w:tcPr>
            <w:tcW w:w="2150" w:type="dxa"/>
            <w:vAlign w:val="bottom"/>
          </w:tcPr>
          <w:p w14:paraId="6608DC35"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3EC08018" w14:textId="77777777" w:rsidTr="00466F3F">
        <w:tc>
          <w:tcPr>
            <w:tcW w:w="1151" w:type="dxa"/>
          </w:tcPr>
          <w:p w14:paraId="5437B8D8"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78BB262F"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3EB4D29C" w14:textId="77777777" w:rsidR="00466F3F" w:rsidRPr="00400300" w:rsidRDefault="00466F3F" w:rsidP="00466F3F">
            <w:pPr>
              <w:spacing w:before="0"/>
              <w:rPr>
                <w:rFonts w:cstheme="minorHAnsi"/>
                <w:color w:val="000000"/>
                <w:lang w:val="en-AU"/>
              </w:rPr>
            </w:pPr>
            <w:r w:rsidRPr="00400300">
              <w:rPr>
                <w:rFonts w:cstheme="minorHAnsi"/>
                <w:color w:val="000000"/>
                <w:lang w:val="en-AU"/>
              </w:rPr>
              <w:t>96</w:t>
            </w:r>
          </w:p>
        </w:tc>
        <w:tc>
          <w:tcPr>
            <w:tcW w:w="2150" w:type="dxa"/>
            <w:vAlign w:val="bottom"/>
          </w:tcPr>
          <w:p w14:paraId="3A007620"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r w:rsidR="00466F3F" w:rsidRPr="00400300" w14:paraId="2E094B62" w14:textId="77777777" w:rsidTr="00466F3F">
        <w:tc>
          <w:tcPr>
            <w:tcW w:w="1151" w:type="dxa"/>
          </w:tcPr>
          <w:p w14:paraId="79FEE3B8"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4273033A"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514FABCD"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c>
          <w:tcPr>
            <w:tcW w:w="2150" w:type="dxa"/>
            <w:vAlign w:val="bottom"/>
          </w:tcPr>
          <w:p w14:paraId="787EA83E"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r>
    </w:tbl>
    <w:p w14:paraId="359DC7FE"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010E2981" w14:textId="77777777" w:rsidR="00466F3F" w:rsidRPr="00400300" w:rsidRDefault="00466F3F" w:rsidP="00466F3F">
      <w:pPr>
        <w:rPr>
          <w:rFonts w:cstheme="minorHAnsi"/>
          <w:lang w:val="en-AU"/>
        </w:rPr>
      </w:pPr>
    </w:p>
    <w:p w14:paraId="175ADF41" w14:textId="77777777" w:rsidR="00466F3F" w:rsidRPr="00400300" w:rsidRDefault="00466F3F" w:rsidP="00466F3F">
      <w:pPr>
        <w:rPr>
          <w:rFonts w:cstheme="minorHAnsi"/>
          <w:b/>
          <w:lang w:val="en-AU"/>
        </w:rPr>
      </w:pPr>
      <w:r w:rsidRPr="00400300">
        <w:rPr>
          <w:rFonts w:cstheme="minorHAnsi"/>
          <w:b/>
          <w:lang w:val="en-AU"/>
        </w:rPr>
        <w:t>5-9 years</w:t>
      </w:r>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3A208743" w14:textId="77777777" w:rsidTr="00466F3F">
        <w:tc>
          <w:tcPr>
            <w:tcW w:w="1151" w:type="dxa"/>
          </w:tcPr>
          <w:p w14:paraId="14338C98"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18A5693E"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1CC32C55"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06886893"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7084CD6E" w14:textId="77777777" w:rsidTr="00466F3F">
        <w:tc>
          <w:tcPr>
            <w:tcW w:w="1151" w:type="dxa"/>
          </w:tcPr>
          <w:p w14:paraId="0CF1EBD9"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37F19F2D"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4B7455CB" w14:textId="77777777" w:rsidR="00466F3F" w:rsidRPr="00400300" w:rsidRDefault="00466F3F" w:rsidP="00466F3F">
            <w:pPr>
              <w:spacing w:before="0"/>
              <w:rPr>
                <w:rFonts w:cstheme="minorHAnsi"/>
                <w:color w:val="000000"/>
                <w:lang w:val="en-AU"/>
              </w:rPr>
            </w:pPr>
            <w:r w:rsidRPr="00400300">
              <w:rPr>
                <w:rFonts w:cstheme="minorHAnsi"/>
                <w:color w:val="000000"/>
                <w:lang w:val="en-AU"/>
              </w:rPr>
              <w:t>1086</w:t>
            </w:r>
          </w:p>
        </w:tc>
        <w:tc>
          <w:tcPr>
            <w:tcW w:w="2150" w:type="dxa"/>
            <w:vAlign w:val="bottom"/>
          </w:tcPr>
          <w:p w14:paraId="490C1B6C" w14:textId="77777777" w:rsidR="00466F3F" w:rsidRPr="00400300" w:rsidRDefault="00466F3F" w:rsidP="00466F3F">
            <w:pPr>
              <w:spacing w:before="0"/>
              <w:rPr>
                <w:rFonts w:cstheme="minorHAnsi"/>
                <w:color w:val="000000"/>
                <w:lang w:val="en-AU"/>
              </w:rPr>
            </w:pPr>
            <w:r w:rsidRPr="00400300">
              <w:rPr>
                <w:rFonts w:cstheme="minorHAnsi"/>
                <w:color w:val="000000"/>
                <w:lang w:val="en-AU"/>
              </w:rPr>
              <w:t>23%</w:t>
            </w:r>
          </w:p>
        </w:tc>
      </w:tr>
      <w:tr w:rsidR="00466F3F" w:rsidRPr="00400300" w14:paraId="1E36D5F5" w14:textId="77777777" w:rsidTr="00466F3F">
        <w:tc>
          <w:tcPr>
            <w:tcW w:w="1151" w:type="dxa"/>
          </w:tcPr>
          <w:p w14:paraId="31C9F4F1"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2BC67E52"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78E8CF2D" w14:textId="77777777" w:rsidR="00466F3F" w:rsidRPr="00400300" w:rsidRDefault="00466F3F" w:rsidP="00466F3F">
            <w:pPr>
              <w:spacing w:before="0"/>
              <w:rPr>
                <w:rFonts w:cstheme="minorHAnsi"/>
                <w:color w:val="000000"/>
                <w:lang w:val="en-AU"/>
              </w:rPr>
            </w:pPr>
            <w:r w:rsidRPr="00400300">
              <w:rPr>
                <w:rFonts w:cstheme="minorHAnsi"/>
                <w:color w:val="000000"/>
                <w:lang w:val="en-AU"/>
              </w:rPr>
              <w:t>983</w:t>
            </w:r>
          </w:p>
        </w:tc>
        <w:tc>
          <w:tcPr>
            <w:tcW w:w="2150" w:type="dxa"/>
            <w:vAlign w:val="bottom"/>
          </w:tcPr>
          <w:p w14:paraId="1660E4D1" w14:textId="77777777" w:rsidR="00466F3F" w:rsidRPr="00400300" w:rsidRDefault="00466F3F" w:rsidP="00466F3F">
            <w:pPr>
              <w:spacing w:before="0"/>
              <w:rPr>
                <w:rFonts w:cstheme="minorHAnsi"/>
                <w:color w:val="000000"/>
                <w:lang w:val="en-AU"/>
              </w:rPr>
            </w:pPr>
            <w:r w:rsidRPr="00400300">
              <w:rPr>
                <w:rFonts w:cstheme="minorHAnsi"/>
                <w:color w:val="000000"/>
                <w:lang w:val="en-AU"/>
              </w:rPr>
              <w:t>20%</w:t>
            </w:r>
          </w:p>
        </w:tc>
      </w:tr>
      <w:tr w:rsidR="00466F3F" w:rsidRPr="00400300" w14:paraId="06729769" w14:textId="77777777" w:rsidTr="00466F3F">
        <w:tc>
          <w:tcPr>
            <w:tcW w:w="1151" w:type="dxa"/>
          </w:tcPr>
          <w:p w14:paraId="38BADC0A"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739842C6"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33468949" w14:textId="77777777" w:rsidR="00466F3F" w:rsidRPr="00400300" w:rsidRDefault="00466F3F" w:rsidP="00466F3F">
            <w:pPr>
              <w:spacing w:before="0"/>
              <w:rPr>
                <w:rFonts w:cstheme="minorHAnsi"/>
                <w:color w:val="000000"/>
                <w:lang w:val="en-AU"/>
              </w:rPr>
            </w:pPr>
            <w:r w:rsidRPr="00400300">
              <w:rPr>
                <w:rFonts w:cstheme="minorHAnsi"/>
                <w:color w:val="000000"/>
                <w:lang w:val="en-AU"/>
              </w:rPr>
              <w:t>854</w:t>
            </w:r>
          </w:p>
        </w:tc>
        <w:tc>
          <w:tcPr>
            <w:tcW w:w="2150" w:type="dxa"/>
            <w:vAlign w:val="bottom"/>
          </w:tcPr>
          <w:p w14:paraId="340D89F7" w14:textId="77777777" w:rsidR="00466F3F" w:rsidRPr="00400300" w:rsidRDefault="00466F3F" w:rsidP="00466F3F">
            <w:pPr>
              <w:spacing w:before="0"/>
              <w:rPr>
                <w:rFonts w:cstheme="minorHAnsi"/>
                <w:color w:val="000000"/>
                <w:lang w:val="en-AU"/>
              </w:rPr>
            </w:pPr>
            <w:r w:rsidRPr="00400300">
              <w:rPr>
                <w:rFonts w:cstheme="minorHAnsi"/>
                <w:color w:val="000000"/>
                <w:lang w:val="en-AU"/>
              </w:rPr>
              <w:t>18%</w:t>
            </w:r>
          </w:p>
        </w:tc>
      </w:tr>
      <w:tr w:rsidR="00466F3F" w:rsidRPr="00400300" w14:paraId="72999D0D" w14:textId="77777777" w:rsidTr="00466F3F">
        <w:tc>
          <w:tcPr>
            <w:tcW w:w="1151" w:type="dxa"/>
          </w:tcPr>
          <w:p w14:paraId="75273FFA"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7DCE59CB"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7057CA3D" w14:textId="77777777" w:rsidR="00466F3F" w:rsidRPr="00400300" w:rsidRDefault="00466F3F" w:rsidP="00466F3F">
            <w:pPr>
              <w:spacing w:before="0"/>
              <w:rPr>
                <w:rFonts w:cstheme="minorHAnsi"/>
                <w:color w:val="000000"/>
                <w:lang w:val="en-AU"/>
              </w:rPr>
            </w:pPr>
            <w:r w:rsidRPr="00400300">
              <w:rPr>
                <w:rFonts w:cstheme="minorHAnsi"/>
                <w:color w:val="000000"/>
                <w:lang w:val="en-AU"/>
              </w:rPr>
              <w:t>751</w:t>
            </w:r>
          </w:p>
        </w:tc>
        <w:tc>
          <w:tcPr>
            <w:tcW w:w="2150" w:type="dxa"/>
            <w:vAlign w:val="bottom"/>
          </w:tcPr>
          <w:p w14:paraId="72F66BFC" w14:textId="77777777" w:rsidR="00466F3F" w:rsidRPr="00400300" w:rsidRDefault="00466F3F" w:rsidP="00466F3F">
            <w:pPr>
              <w:spacing w:before="0"/>
              <w:rPr>
                <w:rFonts w:cstheme="minorHAnsi"/>
                <w:color w:val="000000"/>
                <w:lang w:val="en-AU"/>
              </w:rPr>
            </w:pPr>
            <w:r w:rsidRPr="00400300">
              <w:rPr>
                <w:rFonts w:cstheme="minorHAnsi"/>
                <w:color w:val="000000"/>
                <w:lang w:val="en-AU"/>
              </w:rPr>
              <w:t>16%</w:t>
            </w:r>
          </w:p>
        </w:tc>
      </w:tr>
      <w:tr w:rsidR="00466F3F" w:rsidRPr="00400300" w14:paraId="332DEB70" w14:textId="77777777" w:rsidTr="00466F3F">
        <w:tc>
          <w:tcPr>
            <w:tcW w:w="1151" w:type="dxa"/>
          </w:tcPr>
          <w:p w14:paraId="0A2AFB54"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2DF885E1"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3234E3B4" w14:textId="77777777" w:rsidR="00466F3F" w:rsidRPr="00400300" w:rsidRDefault="00466F3F" w:rsidP="00466F3F">
            <w:pPr>
              <w:spacing w:before="0"/>
              <w:rPr>
                <w:rFonts w:cstheme="minorHAnsi"/>
                <w:color w:val="000000"/>
                <w:lang w:val="en-AU"/>
              </w:rPr>
            </w:pPr>
            <w:r w:rsidRPr="00400300">
              <w:rPr>
                <w:rFonts w:cstheme="minorHAnsi"/>
                <w:color w:val="000000"/>
                <w:lang w:val="en-AU"/>
              </w:rPr>
              <w:t>690</w:t>
            </w:r>
          </w:p>
        </w:tc>
        <w:tc>
          <w:tcPr>
            <w:tcW w:w="2150" w:type="dxa"/>
            <w:vAlign w:val="bottom"/>
          </w:tcPr>
          <w:p w14:paraId="32103780" w14:textId="77777777" w:rsidR="00466F3F" w:rsidRPr="00400300" w:rsidRDefault="00466F3F" w:rsidP="00466F3F">
            <w:pPr>
              <w:spacing w:before="0"/>
              <w:rPr>
                <w:rFonts w:cstheme="minorHAnsi"/>
                <w:color w:val="000000"/>
                <w:lang w:val="en-AU"/>
              </w:rPr>
            </w:pPr>
            <w:r w:rsidRPr="00400300">
              <w:rPr>
                <w:rFonts w:cstheme="minorHAnsi"/>
                <w:color w:val="000000"/>
                <w:lang w:val="en-AU"/>
              </w:rPr>
              <w:t>14%</w:t>
            </w:r>
          </w:p>
        </w:tc>
      </w:tr>
      <w:tr w:rsidR="00466F3F" w:rsidRPr="00400300" w14:paraId="2E1D9165" w14:textId="77777777" w:rsidTr="00466F3F">
        <w:tc>
          <w:tcPr>
            <w:tcW w:w="1151" w:type="dxa"/>
          </w:tcPr>
          <w:p w14:paraId="03ADFB89"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44977410"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014C539F" w14:textId="77777777" w:rsidR="00466F3F" w:rsidRPr="00400300" w:rsidRDefault="00466F3F" w:rsidP="00466F3F">
            <w:pPr>
              <w:spacing w:before="0"/>
              <w:rPr>
                <w:rFonts w:cstheme="minorHAnsi"/>
                <w:color w:val="000000"/>
                <w:lang w:val="en-AU"/>
              </w:rPr>
            </w:pPr>
            <w:r w:rsidRPr="00400300">
              <w:rPr>
                <w:rFonts w:cstheme="minorHAnsi"/>
                <w:color w:val="000000"/>
                <w:lang w:val="en-AU"/>
              </w:rPr>
              <w:t>268</w:t>
            </w:r>
          </w:p>
        </w:tc>
        <w:tc>
          <w:tcPr>
            <w:tcW w:w="2150" w:type="dxa"/>
            <w:vAlign w:val="bottom"/>
          </w:tcPr>
          <w:p w14:paraId="6830AB03" w14:textId="77777777" w:rsidR="00466F3F" w:rsidRPr="00400300" w:rsidRDefault="00466F3F" w:rsidP="00466F3F">
            <w:pPr>
              <w:spacing w:before="0"/>
              <w:rPr>
                <w:rFonts w:cstheme="minorHAnsi"/>
                <w:color w:val="000000"/>
                <w:lang w:val="en-AU"/>
              </w:rPr>
            </w:pPr>
            <w:r w:rsidRPr="00400300">
              <w:rPr>
                <w:rFonts w:cstheme="minorHAnsi"/>
                <w:color w:val="000000"/>
                <w:lang w:val="en-AU"/>
              </w:rPr>
              <w:t>6%</w:t>
            </w:r>
          </w:p>
        </w:tc>
      </w:tr>
      <w:tr w:rsidR="00466F3F" w:rsidRPr="00400300" w14:paraId="517B0D04" w14:textId="77777777" w:rsidTr="00466F3F">
        <w:tc>
          <w:tcPr>
            <w:tcW w:w="1151" w:type="dxa"/>
          </w:tcPr>
          <w:p w14:paraId="3F5FA5EF"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536D9E49"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2F5E35E8" w14:textId="77777777" w:rsidR="00466F3F" w:rsidRPr="00400300" w:rsidRDefault="00466F3F" w:rsidP="00466F3F">
            <w:pPr>
              <w:spacing w:before="0"/>
              <w:rPr>
                <w:rFonts w:cstheme="minorHAnsi"/>
                <w:color w:val="000000"/>
                <w:lang w:val="en-AU"/>
              </w:rPr>
            </w:pPr>
            <w:r w:rsidRPr="00400300">
              <w:rPr>
                <w:rFonts w:cstheme="minorHAnsi"/>
                <w:color w:val="000000"/>
                <w:lang w:val="en-AU"/>
              </w:rPr>
              <w:t>149</w:t>
            </w:r>
          </w:p>
        </w:tc>
        <w:tc>
          <w:tcPr>
            <w:tcW w:w="2150" w:type="dxa"/>
            <w:vAlign w:val="bottom"/>
          </w:tcPr>
          <w:p w14:paraId="4C46C186"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5867CF06" w14:textId="77777777" w:rsidTr="00466F3F">
        <w:tc>
          <w:tcPr>
            <w:tcW w:w="1151" w:type="dxa"/>
          </w:tcPr>
          <w:p w14:paraId="78AF3C66"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75AD0F1C"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0B29A155" w14:textId="77777777" w:rsidR="00466F3F" w:rsidRPr="00400300" w:rsidRDefault="00466F3F" w:rsidP="00466F3F">
            <w:pPr>
              <w:spacing w:before="0"/>
              <w:rPr>
                <w:rFonts w:cstheme="minorHAnsi"/>
                <w:color w:val="000000"/>
                <w:lang w:val="en-AU"/>
              </w:rPr>
            </w:pPr>
            <w:r w:rsidRPr="00400300">
              <w:rPr>
                <w:rFonts w:cstheme="minorHAnsi"/>
                <w:color w:val="000000"/>
                <w:lang w:val="en-AU"/>
              </w:rPr>
              <w:t>27</w:t>
            </w:r>
          </w:p>
        </w:tc>
        <w:tc>
          <w:tcPr>
            <w:tcW w:w="2150" w:type="dxa"/>
            <w:vAlign w:val="bottom"/>
          </w:tcPr>
          <w:p w14:paraId="571EEC9B"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r w:rsidR="00466F3F" w:rsidRPr="00400300" w14:paraId="542C8475" w14:textId="77777777" w:rsidTr="00466F3F">
        <w:tc>
          <w:tcPr>
            <w:tcW w:w="1151" w:type="dxa"/>
          </w:tcPr>
          <w:p w14:paraId="217DF56B"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783CD459"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50AB494D" w14:textId="77777777" w:rsidR="00466F3F" w:rsidRPr="00400300" w:rsidRDefault="00466F3F" w:rsidP="00466F3F">
            <w:pPr>
              <w:spacing w:before="0"/>
              <w:rPr>
                <w:rFonts w:cstheme="minorHAnsi"/>
                <w:color w:val="000000"/>
                <w:lang w:val="en-AU"/>
              </w:rPr>
            </w:pPr>
            <w:r w:rsidRPr="00400300">
              <w:rPr>
                <w:rFonts w:cstheme="minorHAnsi"/>
                <w:color w:val="000000"/>
                <w:lang w:val="en-AU"/>
              </w:rPr>
              <w:t>17</w:t>
            </w:r>
          </w:p>
        </w:tc>
        <w:tc>
          <w:tcPr>
            <w:tcW w:w="2150" w:type="dxa"/>
            <w:vAlign w:val="bottom"/>
          </w:tcPr>
          <w:p w14:paraId="5627E943"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r>
      <w:tr w:rsidR="00466F3F" w:rsidRPr="00400300" w14:paraId="196E457D" w14:textId="77777777" w:rsidTr="00466F3F">
        <w:tc>
          <w:tcPr>
            <w:tcW w:w="1151" w:type="dxa"/>
          </w:tcPr>
          <w:p w14:paraId="4AE26388"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6A1128E1"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2F5A1CBA"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c>
          <w:tcPr>
            <w:tcW w:w="2150" w:type="dxa"/>
            <w:vAlign w:val="bottom"/>
          </w:tcPr>
          <w:p w14:paraId="2F0CCF02" w14:textId="77777777" w:rsidR="00466F3F" w:rsidRPr="00400300" w:rsidRDefault="00466F3F" w:rsidP="00466F3F">
            <w:pPr>
              <w:spacing w:before="0"/>
              <w:rPr>
                <w:rFonts w:cstheme="minorHAnsi"/>
                <w:color w:val="000000"/>
                <w:lang w:val="en-AU"/>
              </w:rPr>
            </w:pPr>
            <w:r w:rsidRPr="00400300">
              <w:rPr>
                <w:rFonts w:cstheme="minorHAnsi"/>
                <w:color w:val="000000"/>
                <w:lang w:val="en-AU"/>
              </w:rPr>
              <w:t>0%</w:t>
            </w:r>
          </w:p>
        </w:tc>
      </w:tr>
    </w:tbl>
    <w:p w14:paraId="366C8402"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7C111205" w14:textId="77777777" w:rsidR="00466F3F" w:rsidRPr="00400300" w:rsidRDefault="00466F3F" w:rsidP="00466F3F">
      <w:pPr>
        <w:rPr>
          <w:rFonts w:cstheme="minorHAnsi"/>
          <w:lang w:val="en-AU"/>
        </w:rPr>
      </w:pPr>
    </w:p>
    <w:p w14:paraId="35ED4D17" w14:textId="77777777" w:rsidR="00466F3F" w:rsidRPr="00400300" w:rsidRDefault="00466F3F" w:rsidP="00466F3F">
      <w:pPr>
        <w:rPr>
          <w:rFonts w:cstheme="minorHAnsi"/>
          <w:b/>
          <w:lang w:val="en-AU"/>
        </w:rPr>
      </w:pPr>
      <w:r w:rsidRPr="00400300">
        <w:rPr>
          <w:rFonts w:cstheme="minorHAnsi"/>
          <w:b/>
          <w:lang w:val="en-AU"/>
        </w:rPr>
        <w:t>10-14 years</w:t>
      </w:r>
    </w:p>
    <w:tbl>
      <w:tblPr>
        <w:tblStyle w:val="TableGrid"/>
        <w:tblW w:w="0" w:type="auto"/>
        <w:tblLook w:val="04A0" w:firstRow="1" w:lastRow="0" w:firstColumn="1" w:lastColumn="0" w:noHBand="0" w:noVBand="1"/>
      </w:tblPr>
      <w:tblGrid>
        <w:gridCol w:w="1151"/>
        <w:gridCol w:w="3341"/>
        <w:gridCol w:w="2374"/>
        <w:gridCol w:w="2150"/>
      </w:tblGrid>
      <w:tr w:rsidR="00466F3F" w:rsidRPr="00400300" w14:paraId="15B8B295" w14:textId="77777777" w:rsidTr="00466F3F">
        <w:tc>
          <w:tcPr>
            <w:tcW w:w="1151" w:type="dxa"/>
          </w:tcPr>
          <w:p w14:paraId="6BB34E2F" w14:textId="77777777" w:rsidR="00466F3F" w:rsidRPr="00400300" w:rsidRDefault="00466F3F" w:rsidP="00466F3F">
            <w:pPr>
              <w:spacing w:before="0"/>
              <w:rPr>
                <w:rFonts w:cstheme="minorHAnsi"/>
                <w:b/>
                <w:lang w:val="en-AU"/>
              </w:rPr>
            </w:pPr>
            <w:r w:rsidRPr="00400300">
              <w:rPr>
                <w:rFonts w:cstheme="minorHAnsi"/>
                <w:b/>
                <w:lang w:val="en-AU"/>
              </w:rPr>
              <w:t>Rank</w:t>
            </w:r>
          </w:p>
        </w:tc>
        <w:tc>
          <w:tcPr>
            <w:tcW w:w="3341" w:type="dxa"/>
          </w:tcPr>
          <w:p w14:paraId="58CB5151" w14:textId="77777777" w:rsidR="00466F3F" w:rsidRPr="00400300" w:rsidRDefault="00466F3F" w:rsidP="00466F3F">
            <w:pPr>
              <w:spacing w:before="0"/>
              <w:rPr>
                <w:rFonts w:cstheme="minorHAnsi"/>
                <w:b/>
                <w:lang w:val="en-AU"/>
              </w:rPr>
            </w:pPr>
            <w:r w:rsidRPr="00400300">
              <w:rPr>
                <w:rFonts w:cstheme="minorHAnsi"/>
                <w:b/>
                <w:lang w:val="en-AU"/>
              </w:rPr>
              <w:t>External cause</w:t>
            </w:r>
          </w:p>
        </w:tc>
        <w:tc>
          <w:tcPr>
            <w:tcW w:w="2374" w:type="dxa"/>
          </w:tcPr>
          <w:p w14:paraId="0AFB6E2A" w14:textId="77777777" w:rsidR="00466F3F" w:rsidRPr="00400300" w:rsidRDefault="00466F3F" w:rsidP="00466F3F">
            <w:pPr>
              <w:spacing w:before="0"/>
              <w:rPr>
                <w:rFonts w:cstheme="minorHAnsi"/>
                <w:b/>
                <w:lang w:val="en-AU"/>
              </w:rPr>
            </w:pPr>
            <w:r w:rsidRPr="00400300">
              <w:rPr>
                <w:rFonts w:cstheme="minorHAnsi"/>
                <w:b/>
                <w:lang w:val="en-AU"/>
              </w:rPr>
              <w:t xml:space="preserve">Total </w:t>
            </w:r>
            <w:proofErr w:type="spellStart"/>
            <w:r w:rsidRPr="00400300">
              <w:rPr>
                <w:rFonts w:cstheme="minorHAnsi"/>
                <w:b/>
                <w:lang w:val="en-AU"/>
              </w:rPr>
              <w:t>DALYs</w:t>
            </w:r>
            <w:r w:rsidRPr="00400300">
              <w:rPr>
                <w:rFonts w:cstheme="minorHAnsi"/>
                <w:b/>
                <w:vertAlign w:val="superscript"/>
                <w:lang w:val="en-AU"/>
              </w:rPr>
              <w:t>a</w:t>
            </w:r>
            <w:proofErr w:type="spellEnd"/>
          </w:p>
        </w:tc>
        <w:tc>
          <w:tcPr>
            <w:tcW w:w="2150" w:type="dxa"/>
          </w:tcPr>
          <w:p w14:paraId="6ABDFDA6" w14:textId="77777777" w:rsidR="00466F3F" w:rsidRPr="00400300" w:rsidRDefault="00466F3F" w:rsidP="00466F3F">
            <w:pPr>
              <w:spacing w:before="0"/>
              <w:rPr>
                <w:rFonts w:cstheme="minorHAnsi"/>
                <w:b/>
                <w:lang w:val="en-AU"/>
              </w:rPr>
            </w:pPr>
            <w:r w:rsidRPr="00400300">
              <w:rPr>
                <w:rFonts w:cstheme="minorHAnsi"/>
                <w:b/>
                <w:lang w:val="en-AU"/>
              </w:rPr>
              <w:t>%</w:t>
            </w:r>
          </w:p>
        </w:tc>
      </w:tr>
      <w:tr w:rsidR="00466F3F" w:rsidRPr="00400300" w14:paraId="1B8A00FD" w14:textId="77777777" w:rsidTr="00466F3F">
        <w:tc>
          <w:tcPr>
            <w:tcW w:w="1151" w:type="dxa"/>
          </w:tcPr>
          <w:p w14:paraId="69A7B978" w14:textId="77777777" w:rsidR="00466F3F" w:rsidRPr="00400300" w:rsidRDefault="00466F3F" w:rsidP="00466F3F">
            <w:pPr>
              <w:spacing w:before="0"/>
              <w:rPr>
                <w:rFonts w:cstheme="minorHAnsi"/>
                <w:lang w:val="en-AU"/>
              </w:rPr>
            </w:pPr>
            <w:r w:rsidRPr="00400300">
              <w:rPr>
                <w:rFonts w:cstheme="minorHAnsi"/>
                <w:lang w:val="en-AU"/>
              </w:rPr>
              <w:t>1</w:t>
            </w:r>
          </w:p>
        </w:tc>
        <w:tc>
          <w:tcPr>
            <w:tcW w:w="3341" w:type="dxa"/>
            <w:vAlign w:val="bottom"/>
          </w:tcPr>
          <w:p w14:paraId="62832B66" w14:textId="77777777" w:rsidR="00466F3F" w:rsidRPr="00400300" w:rsidRDefault="00466F3F" w:rsidP="00466F3F">
            <w:pPr>
              <w:spacing w:before="0"/>
              <w:rPr>
                <w:rFonts w:cstheme="minorHAnsi"/>
                <w:color w:val="000000"/>
                <w:lang w:val="en-AU"/>
              </w:rPr>
            </w:pPr>
            <w:r w:rsidRPr="00400300">
              <w:rPr>
                <w:rFonts w:cstheme="minorHAnsi"/>
                <w:color w:val="000000"/>
                <w:lang w:val="en-AU"/>
              </w:rPr>
              <w:t>Suicide and self-inflicted injuries</w:t>
            </w:r>
          </w:p>
        </w:tc>
        <w:tc>
          <w:tcPr>
            <w:tcW w:w="2374" w:type="dxa"/>
            <w:vAlign w:val="bottom"/>
          </w:tcPr>
          <w:p w14:paraId="5D24DD17" w14:textId="77777777" w:rsidR="00466F3F" w:rsidRPr="00400300" w:rsidRDefault="00466F3F" w:rsidP="00466F3F">
            <w:pPr>
              <w:spacing w:before="0"/>
              <w:rPr>
                <w:rFonts w:cstheme="minorHAnsi"/>
                <w:color w:val="000000"/>
                <w:lang w:val="en-AU"/>
              </w:rPr>
            </w:pPr>
            <w:r w:rsidRPr="00400300">
              <w:rPr>
                <w:rFonts w:cstheme="minorHAnsi"/>
                <w:color w:val="000000"/>
                <w:lang w:val="en-AU"/>
              </w:rPr>
              <w:t>1498</w:t>
            </w:r>
          </w:p>
        </w:tc>
        <w:tc>
          <w:tcPr>
            <w:tcW w:w="2150" w:type="dxa"/>
            <w:vAlign w:val="bottom"/>
          </w:tcPr>
          <w:p w14:paraId="6A42B0EA" w14:textId="77777777" w:rsidR="00466F3F" w:rsidRPr="00400300" w:rsidRDefault="00466F3F" w:rsidP="00466F3F">
            <w:pPr>
              <w:spacing w:before="0"/>
              <w:rPr>
                <w:rFonts w:cstheme="minorHAnsi"/>
                <w:color w:val="000000"/>
                <w:lang w:val="en-AU"/>
              </w:rPr>
            </w:pPr>
            <w:r w:rsidRPr="00400300">
              <w:rPr>
                <w:rFonts w:cstheme="minorHAnsi"/>
                <w:color w:val="000000"/>
                <w:lang w:val="en-AU"/>
              </w:rPr>
              <w:t>21%</w:t>
            </w:r>
          </w:p>
        </w:tc>
      </w:tr>
      <w:tr w:rsidR="00466F3F" w:rsidRPr="00400300" w14:paraId="64840A47" w14:textId="77777777" w:rsidTr="00466F3F">
        <w:tc>
          <w:tcPr>
            <w:tcW w:w="1151" w:type="dxa"/>
          </w:tcPr>
          <w:p w14:paraId="1854A6AE" w14:textId="77777777" w:rsidR="00466F3F" w:rsidRPr="00400300" w:rsidRDefault="00466F3F" w:rsidP="00466F3F">
            <w:pPr>
              <w:spacing w:before="0"/>
              <w:rPr>
                <w:rFonts w:cstheme="minorHAnsi"/>
                <w:lang w:val="en-AU"/>
              </w:rPr>
            </w:pPr>
            <w:r w:rsidRPr="00400300">
              <w:rPr>
                <w:rFonts w:cstheme="minorHAnsi"/>
                <w:lang w:val="en-AU"/>
              </w:rPr>
              <w:t>2</w:t>
            </w:r>
          </w:p>
        </w:tc>
        <w:tc>
          <w:tcPr>
            <w:tcW w:w="3341" w:type="dxa"/>
            <w:vAlign w:val="bottom"/>
          </w:tcPr>
          <w:p w14:paraId="028B209B" w14:textId="77777777" w:rsidR="00466F3F" w:rsidRPr="00400300" w:rsidRDefault="00466F3F" w:rsidP="00466F3F">
            <w:pPr>
              <w:spacing w:before="0"/>
              <w:rPr>
                <w:rFonts w:cstheme="minorHAnsi"/>
                <w:color w:val="000000"/>
                <w:lang w:val="en-AU"/>
              </w:rPr>
            </w:pPr>
            <w:r w:rsidRPr="00400300">
              <w:rPr>
                <w:rFonts w:cstheme="minorHAnsi"/>
                <w:color w:val="000000"/>
                <w:lang w:val="en-AU"/>
              </w:rPr>
              <w:t>Falls</w:t>
            </w:r>
          </w:p>
        </w:tc>
        <w:tc>
          <w:tcPr>
            <w:tcW w:w="2374" w:type="dxa"/>
            <w:vAlign w:val="bottom"/>
          </w:tcPr>
          <w:p w14:paraId="2E6E810C" w14:textId="77777777" w:rsidR="00466F3F" w:rsidRPr="00400300" w:rsidRDefault="00466F3F" w:rsidP="00466F3F">
            <w:pPr>
              <w:spacing w:before="0"/>
              <w:rPr>
                <w:rFonts w:cstheme="minorHAnsi"/>
                <w:color w:val="000000"/>
                <w:lang w:val="en-AU"/>
              </w:rPr>
            </w:pPr>
            <w:r w:rsidRPr="00400300">
              <w:rPr>
                <w:rFonts w:cstheme="minorHAnsi"/>
                <w:color w:val="000000"/>
                <w:lang w:val="en-AU"/>
              </w:rPr>
              <w:t>1307</w:t>
            </w:r>
          </w:p>
        </w:tc>
        <w:tc>
          <w:tcPr>
            <w:tcW w:w="2150" w:type="dxa"/>
            <w:vAlign w:val="bottom"/>
          </w:tcPr>
          <w:p w14:paraId="60597FAD" w14:textId="77777777" w:rsidR="00466F3F" w:rsidRPr="00400300" w:rsidRDefault="00466F3F" w:rsidP="00466F3F">
            <w:pPr>
              <w:spacing w:before="0"/>
              <w:rPr>
                <w:rFonts w:cstheme="minorHAnsi"/>
                <w:color w:val="000000"/>
                <w:lang w:val="en-AU"/>
              </w:rPr>
            </w:pPr>
            <w:r w:rsidRPr="00400300">
              <w:rPr>
                <w:rFonts w:cstheme="minorHAnsi"/>
                <w:color w:val="000000"/>
                <w:lang w:val="en-AU"/>
              </w:rPr>
              <w:t>19%</w:t>
            </w:r>
          </w:p>
        </w:tc>
      </w:tr>
      <w:tr w:rsidR="00466F3F" w:rsidRPr="00400300" w14:paraId="567C3D3E" w14:textId="77777777" w:rsidTr="00466F3F">
        <w:tc>
          <w:tcPr>
            <w:tcW w:w="1151" w:type="dxa"/>
          </w:tcPr>
          <w:p w14:paraId="388B3E5A" w14:textId="77777777" w:rsidR="00466F3F" w:rsidRPr="00400300" w:rsidRDefault="00466F3F" w:rsidP="00466F3F">
            <w:pPr>
              <w:spacing w:before="0"/>
              <w:rPr>
                <w:rFonts w:cstheme="minorHAnsi"/>
                <w:lang w:val="en-AU"/>
              </w:rPr>
            </w:pPr>
            <w:r w:rsidRPr="00400300">
              <w:rPr>
                <w:rFonts w:cstheme="minorHAnsi"/>
                <w:lang w:val="en-AU"/>
              </w:rPr>
              <w:t>3</w:t>
            </w:r>
          </w:p>
        </w:tc>
        <w:tc>
          <w:tcPr>
            <w:tcW w:w="3341" w:type="dxa"/>
            <w:vAlign w:val="bottom"/>
          </w:tcPr>
          <w:p w14:paraId="50E3E680" w14:textId="77777777" w:rsidR="00466F3F" w:rsidRPr="00400300" w:rsidRDefault="00466F3F" w:rsidP="00466F3F">
            <w:pPr>
              <w:spacing w:before="0"/>
              <w:rPr>
                <w:rFonts w:cstheme="minorHAnsi"/>
                <w:color w:val="000000"/>
                <w:lang w:val="en-AU"/>
              </w:rPr>
            </w:pPr>
            <w:r w:rsidRPr="00400300">
              <w:rPr>
                <w:rFonts w:cstheme="minorHAnsi"/>
                <w:color w:val="000000"/>
                <w:lang w:val="en-AU"/>
              </w:rPr>
              <w:t>Road transport injury</w:t>
            </w:r>
          </w:p>
        </w:tc>
        <w:tc>
          <w:tcPr>
            <w:tcW w:w="2374" w:type="dxa"/>
            <w:vAlign w:val="bottom"/>
          </w:tcPr>
          <w:p w14:paraId="520E943E" w14:textId="77777777" w:rsidR="00466F3F" w:rsidRPr="00400300" w:rsidRDefault="00466F3F" w:rsidP="00466F3F">
            <w:pPr>
              <w:spacing w:before="0"/>
              <w:rPr>
                <w:rFonts w:cstheme="minorHAnsi"/>
                <w:color w:val="000000"/>
                <w:lang w:val="en-AU"/>
              </w:rPr>
            </w:pPr>
            <w:r w:rsidRPr="00400300">
              <w:rPr>
                <w:rFonts w:cstheme="minorHAnsi"/>
                <w:color w:val="000000"/>
                <w:lang w:val="en-AU"/>
              </w:rPr>
              <w:t>1301</w:t>
            </w:r>
          </w:p>
        </w:tc>
        <w:tc>
          <w:tcPr>
            <w:tcW w:w="2150" w:type="dxa"/>
            <w:vAlign w:val="bottom"/>
          </w:tcPr>
          <w:p w14:paraId="1459DCE7" w14:textId="77777777" w:rsidR="00466F3F" w:rsidRPr="00400300" w:rsidRDefault="00466F3F" w:rsidP="00466F3F">
            <w:pPr>
              <w:spacing w:before="0"/>
              <w:rPr>
                <w:rFonts w:cstheme="minorHAnsi"/>
                <w:color w:val="000000"/>
                <w:lang w:val="en-AU"/>
              </w:rPr>
            </w:pPr>
            <w:r w:rsidRPr="00400300">
              <w:rPr>
                <w:rFonts w:cstheme="minorHAnsi"/>
                <w:color w:val="000000"/>
                <w:lang w:val="en-AU"/>
              </w:rPr>
              <w:t>19%</w:t>
            </w:r>
          </w:p>
        </w:tc>
      </w:tr>
      <w:tr w:rsidR="00466F3F" w:rsidRPr="00400300" w14:paraId="6896DB96" w14:textId="77777777" w:rsidTr="00466F3F">
        <w:tc>
          <w:tcPr>
            <w:tcW w:w="1151" w:type="dxa"/>
          </w:tcPr>
          <w:p w14:paraId="77465D9E" w14:textId="77777777" w:rsidR="00466F3F" w:rsidRPr="00400300" w:rsidRDefault="00466F3F" w:rsidP="00466F3F">
            <w:pPr>
              <w:spacing w:before="0"/>
              <w:rPr>
                <w:rFonts w:cstheme="minorHAnsi"/>
                <w:lang w:val="en-AU"/>
              </w:rPr>
            </w:pPr>
            <w:r w:rsidRPr="00400300">
              <w:rPr>
                <w:rFonts w:cstheme="minorHAnsi"/>
                <w:lang w:val="en-AU"/>
              </w:rPr>
              <w:t>4</w:t>
            </w:r>
          </w:p>
        </w:tc>
        <w:tc>
          <w:tcPr>
            <w:tcW w:w="3341" w:type="dxa"/>
            <w:vAlign w:val="bottom"/>
          </w:tcPr>
          <w:p w14:paraId="61827E64"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unintentional injuries</w:t>
            </w:r>
          </w:p>
        </w:tc>
        <w:tc>
          <w:tcPr>
            <w:tcW w:w="2374" w:type="dxa"/>
            <w:vAlign w:val="bottom"/>
          </w:tcPr>
          <w:p w14:paraId="6637B63D" w14:textId="77777777" w:rsidR="00466F3F" w:rsidRPr="00400300" w:rsidRDefault="00466F3F" w:rsidP="00466F3F">
            <w:pPr>
              <w:spacing w:before="0"/>
              <w:rPr>
                <w:rFonts w:cstheme="minorHAnsi"/>
                <w:color w:val="000000"/>
                <w:lang w:val="en-AU"/>
              </w:rPr>
            </w:pPr>
            <w:r w:rsidRPr="00400300">
              <w:rPr>
                <w:rFonts w:cstheme="minorHAnsi"/>
                <w:color w:val="000000"/>
                <w:lang w:val="en-AU"/>
              </w:rPr>
              <w:t>1049</w:t>
            </w:r>
          </w:p>
        </w:tc>
        <w:tc>
          <w:tcPr>
            <w:tcW w:w="2150" w:type="dxa"/>
            <w:vAlign w:val="bottom"/>
          </w:tcPr>
          <w:p w14:paraId="0257424B" w14:textId="77777777" w:rsidR="00466F3F" w:rsidRPr="00400300" w:rsidRDefault="00466F3F" w:rsidP="00466F3F">
            <w:pPr>
              <w:spacing w:before="0"/>
              <w:rPr>
                <w:rFonts w:cstheme="minorHAnsi"/>
                <w:color w:val="000000"/>
                <w:lang w:val="en-AU"/>
              </w:rPr>
            </w:pPr>
            <w:r w:rsidRPr="00400300">
              <w:rPr>
                <w:rFonts w:cstheme="minorHAnsi"/>
                <w:color w:val="000000"/>
                <w:lang w:val="en-AU"/>
              </w:rPr>
              <w:t>15%</w:t>
            </w:r>
          </w:p>
        </w:tc>
      </w:tr>
      <w:tr w:rsidR="00466F3F" w:rsidRPr="00400300" w14:paraId="38915534" w14:textId="77777777" w:rsidTr="00466F3F">
        <w:tc>
          <w:tcPr>
            <w:tcW w:w="1151" w:type="dxa"/>
          </w:tcPr>
          <w:p w14:paraId="7E72E700" w14:textId="77777777" w:rsidR="00466F3F" w:rsidRPr="00400300" w:rsidRDefault="00466F3F" w:rsidP="00466F3F">
            <w:pPr>
              <w:spacing w:before="0"/>
              <w:rPr>
                <w:rFonts w:cstheme="minorHAnsi"/>
                <w:lang w:val="en-AU"/>
              </w:rPr>
            </w:pPr>
            <w:r w:rsidRPr="00400300">
              <w:rPr>
                <w:rFonts w:cstheme="minorHAnsi"/>
                <w:lang w:val="en-AU"/>
              </w:rPr>
              <w:t>5</w:t>
            </w:r>
          </w:p>
        </w:tc>
        <w:tc>
          <w:tcPr>
            <w:tcW w:w="3341" w:type="dxa"/>
            <w:vAlign w:val="bottom"/>
          </w:tcPr>
          <w:p w14:paraId="1914F638" w14:textId="77777777" w:rsidR="00466F3F" w:rsidRPr="00400300" w:rsidRDefault="00466F3F" w:rsidP="00466F3F">
            <w:pPr>
              <w:spacing w:before="0"/>
              <w:rPr>
                <w:rFonts w:cstheme="minorHAnsi"/>
                <w:color w:val="000000"/>
                <w:lang w:val="en-AU"/>
              </w:rPr>
            </w:pPr>
            <w:r w:rsidRPr="00400300">
              <w:rPr>
                <w:rFonts w:cstheme="minorHAnsi"/>
                <w:color w:val="000000"/>
                <w:lang w:val="en-AU"/>
              </w:rPr>
              <w:t>Other land transport injuries</w:t>
            </w:r>
          </w:p>
        </w:tc>
        <w:tc>
          <w:tcPr>
            <w:tcW w:w="2374" w:type="dxa"/>
            <w:vAlign w:val="bottom"/>
          </w:tcPr>
          <w:p w14:paraId="543688B3" w14:textId="77777777" w:rsidR="00466F3F" w:rsidRPr="00400300" w:rsidRDefault="00466F3F" w:rsidP="00466F3F">
            <w:pPr>
              <w:spacing w:before="0"/>
              <w:rPr>
                <w:rFonts w:cstheme="minorHAnsi"/>
                <w:color w:val="000000"/>
                <w:lang w:val="en-AU"/>
              </w:rPr>
            </w:pPr>
            <w:r w:rsidRPr="00400300">
              <w:rPr>
                <w:rFonts w:cstheme="minorHAnsi"/>
                <w:color w:val="000000"/>
                <w:lang w:val="en-AU"/>
              </w:rPr>
              <w:t>750</w:t>
            </w:r>
          </w:p>
        </w:tc>
        <w:tc>
          <w:tcPr>
            <w:tcW w:w="2150" w:type="dxa"/>
            <w:vAlign w:val="bottom"/>
          </w:tcPr>
          <w:p w14:paraId="4B272A5F" w14:textId="77777777" w:rsidR="00466F3F" w:rsidRPr="00400300" w:rsidRDefault="00466F3F" w:rsidP="00466F3F">
            <w:pPr>
              <w:spacing w:before="0"/>
              <w:rPr>
                <w:rFonts w:cstheme="minorHAnsi"/>
                <w:color w:val="000000"/>
                <w:lang w:val="en-AU"/>
              </w:rPr>
            </w:pPr>
            <w:r w:rsidRPr="00400300">
              <w:rPr>
                <w:rFonts w:cstheme="minorHAnsi"/>
                <w:color w:val="000000"/>
                <w:lang w:val="en-AU"/>
              </w:rPr>
              <w:t>11%</w:t>
            </w:r>
          </w:p>
        </w:tc>
      </w:tr>
      <w:tr w:rsidR="00466F3F" w:rsidRPr="00400300" w14:paraId="7F31DE53" w14:textId="77777777" w:rsidTr="00466F3F">
        <w:tc>
          <w:tcPr>
            <w:tcW w:w="1151" w:type="dxa"/>
          </w:tcPr>
          <w:p w14:paraId="3A7E8BCD" w14:textId="77777777" w:rsidR="00466F3F" w:rsidRPr="00400300" w:rsidRDefault="00466F3F" w:rsidP="00466F3F">
            <w:pPr>
              <w:spacing w:before="0"/>
              <w:rPr>
                <w:rFonts w:cstheme="minorHAnsi"/>
                <w:lang w:val="en-AU"/>
              </w:rPr>
            </w:pPr>
            <w:r w:rsidRPr="00400300">
              <w:rPr>
                <w:rFonts w:cstheme="minorHAnsi"/>
                <w:lang w:val="en-AU"/>
              </w:rPr>
              <w:t>6</w:t>
            </w:r>
          </w:p>
        </w:tc>
        <w:tc>
          <w:tcPr>
            <w:tcW w:w="3341" w:type="dxa"/>
            <w:vAlign w:val="bottom"/>
          </w:tcPr>
          <w:p w14:paraId="23C5FE22" w14:textId="77777777" w:rsidR="00466F3F" w:rsidRPr="00400300" w:rsidRDefault="00466F3F" w:rsidP="00466F3F">
            <w:pPr>
              <w:spacing w:before="0"/>
              <w:rPr>
                <w:rFonts w:cstheme="minorHAnsi"/>
                <w:color w:val="000000"/>
                <w:lang w:val="en-AU"/>
              </w:rPr>
            </w:pPr>
            <w:r w:rsidRPr="00400300">
              <w:rPr>
                <w:rFonts w:cstheme="minorHAnsi"/>
                <w:color w:val="000000"/>
                <w:lang w:val="en-AU"/>
              </w:rPr>
              <w:t>Homicide and violence</w:t>
            </w:r>
          </w:p>
        </w:tc>
        <w:tc>
          <w:tcPr>
            <w:tcW w:w="2374" w:type="dxa"/>
            <w:vAlign w:val="bottom"/>
          </w:tcPr>
          <w:p w14:paraId="7DB31CD7" w14:textId="77777777" w:rsidR="00466F3F" w:rsidRPr="00400300" w:rsidRDefault="00466F3F" w:rsidP="00466F3F">
            <w:pPr>
              <w:spacing w:before="0"/>
              <w:rPr>
                <w:rFonts w:cstheme="minorHAnsi"/>
                <w:color w:val="000000"/>
                <w:lang w:val="en-AU"/>
              </w:rPr>
            </w:pPr>
            <w:r w:rsidRPr="00400300">
              <w:rPr>
                <w:rFonts w:cstheme="minorHAnsi"/>
                <w:color w:val="000000"/>
                <w:lang w:val="en-AU"/>
              </w:rPr>
              <w:t>431</w:t>
            </w:r>
          </w:p>
        </w:tc>
        <w:tc>
          <w:tcPr>
            <w:tcW w:w="2150" w:type="dxa"/>
            <w:vAlign w:val="bottom"/>
          </w:tcPr>
          <w:p w14:paraId="5B6650AD" w14:textId="77777777" w:rsidR="00466F3F" w:rsidRPr="00400300" w:rsidRDefault="00466F3F" w:rsidP="00466F3F">
            <w:pPr>
              <w:spacing w:before="0"/>
              <w:rPr>
                <w:rFonts w:cstheme="minorHAnsi"/>
                <w:color w:val="000000"/>
                <w:lang w:val="en-AU"/>
              </w:rPr>
            </w:pPr>
            <w:r w:rsidRPr="00400300">
              <w:rPr>
                <w:rFonts w:cstheme="minorHAnsi"/>
                <w:color w:val="000000"/>
                <w:lang w:val="en-AU"/>
              </w:rPr>
              <w:t>6%</w:t>
            </w:r>
          </w:p>
        </w:tc>
      </w:tr>
      <w:tr w:rsidR="00466F3F" w:rsidRPr="00400300" w14:paraId="2C879E67" w14:textId="77777777" w:rsidTr="00466F3F">
        <w:tc>
          <w:tcPr>
            <w:tcW w:w="1151" w:type="dxa"/>
          </w:tcPr>
          <w:p w14:paraId="372B226B" w14:textId="77777777" w:rsidR="00466F3F" w:rsidRPr="00400300" w:rsidRDefault="00466F3F" w:rsidP="00466F3F">
            <w:pPr>
              <w:spacing w:before="0"/>
              <w:rPr>
                <w:rFonts w:cstheme="minorHAnsi"/>
                <w:lang w:val="en-AU"/>
              </w:rPr>
            </w:pPr>
            <w:r w:rsidRPr="00400300">
              <w:rPr>
                <w:rFonts w:cstheme="minorHAnsi"/>
                <w:lang w:val="en-AU"/>
              </w:rPr>
              <w:t>7</w:t>
            </w:r>
          </w:p>
        </w:tc>
        <w:tc>
          <w:tcPr>
            <w:tcW w:w="3341" w:type="dxa"/>
            <w:vAlign w:val="bottom"/>
          </w:tcPr>
          <w:p w14:paraId="0CD43DEA" w14:textId="77777777" w:rsidR="00466F3F" w:rsidRPr="00400300" w:rsidRDefault="00466F3F" w:rsidP="00466F3F">
            <w:pPr>
              <w:spacing w:before="0"/>
              <w:rPr>
                <w:rFonts w:cstheme="minorHAnsi"/>
                <w:color w:val="000000"/>
                <w:lang w:val="en-AU"/>
              </w:rPr>
            </w:pPr>
            <w:r w:rsidRPr="00400300">
              <w:rPr>
                <w:rFonts w:cstheme="minorHAnsi"/>
                <w:color w:val="000000"/>
                <w:lang w:val="en-AU"/>
              </w:rPr>
              <w:t>Poisoning</w:t>
            </w:r>
          </w:p>
        </w:tc>
        <w:tc>
          <w:tcPr>
            <w:tcW w:w="2374" w:type="dxa"/>
            <w:vAlign w:val="bottom"/>
          </w:tcPr>
          <w:p w14:paraId="4557E1B8" w14:textId="77777777" w:rsidR="00466F3F" w:rsidRPr="00400300" w:rsidRDefault="00466F3F" w:rsidP="00466F3F">
            <w:pPr>
              <w:spacing w:before="0"/>
              <w:rPr>
                <w:rFonts w:cstheme="minorHAnsi"/>
                <w:color w:val="000000"/>
                <w:lang w:val="en-AU"/>
              </w:rPr>
            </w:pPr>
            <w:r w:rsidRPr="00400300">
              <w:rPr>
                <w:rFonts w:cstheme="minorHAnsi"/>
                <w:color w:val="000000"/>
                <w:lang w:val="en-AU"/>
              </w:rPr>
              <w:t>230</w:t>
            </w:r>
          </w:p>
        </w:tc>
        <w:tc>
          <w:tcPr>
            <w:tcW w:w="2150" w:type="dxa"/>
            <w:vAlign w:val="bottom"/>
          </w:tcPr>
          <w:p w14:paraId="577B3406"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3DD2DFA7" w14:textId="77777777" w:rsidTr="00466F3F">
        <w:tc>
          <w:tcPr>
            <w:tcW w:w="1151" w:type="dxa"/>
          </w:tcPr>
          <w:p w14:paraId="69D48F2F" w14:textId="77777777" w:rsidR="00466F3F" w:rsidRPr="00400300" w:rsidRDefault="00466F3F" w:rsidP="00466F3F">
            <w:pPr>
              <w:spacing w:before="0"/>
              <w:rPr>
                <w:rFonts w:cstheme="minorHAnsi"/>
                <w:lang w:val="en-AU"/>
              </w:rPr>
            </w:pPr>
            <w:r w:rsidRPr="00400300">
              <w:rPr>
                <w:rFonts w:cstheme="minorHAnsi"/>
                <w:lang w:val="en-AU"/>
              </w:rPr>
              <w:t>8</w:t>
            </w:r>
          </w:p>
        </w:tc>
        <w:tc>
          <w:tcPr>
            <w:tcW w:w="3341" w:type="dxa"/>
            <w:vAlign w:val="bottom"/>
          </w:tcPr>
          <w:p w14:paraId="1A860001" w14:textId="77777777" w:rsidR="00466F3F" w:rsidRPr="00400300" w:rsidRDefault="00466F3F" w:rsidP="00466F3F">
            <w:pPr>
              <w:spacing w:before="0"/>
              <w:rPr>
                <w:rFonts w:cstheme="minorHAnsi"/>
                <w:color w:val="000000"/>
                <w:lang w:val="en-AU"/>
              </w:rPr>
            </w:pPr>
            <w:r w:rsidRPr="00400300">
              <w:rPr>
                <w:rFonts w:cstheme="minorHAnsi"/>
                <w:color w:val="000000"/>
                <w:lang w:val="en-AU"/>
              </w:rPr>
              <w:t>Fire, burns and scalds</w:t>
            </w:r>
          </w:p>
        </w:tc>
        <w:tc>
          <w:tcPr>
            <w:tcW w:w="2374" w:type="dxa"/>
            <w:vAlign w:val="bottom"/>
          </w:tcPr>
          <w:p w14:paraId="21BAD87E" w14:textId="77777777" w:rsidR="00466F3F" w:rsidRPr="00400300" w:rsidRDefault="00466F3F" w:rsidP="00466F3F">
            <w:pPr>
              <w:spacing w:before="0"/>
              <w:rPr>
                <w:rFonts w:cstheme="minorHAnsi"/>
                <w:color w:val="000000"/>
                <w:lang w:val="en-AU"/>
              </w:rPr>
            </w:pPr>
            <w:r w:rsidRPr="00400300">
              <w:rPr>
                <w:rFonts w:cstheme="minorHAnsi"/>
                <w:color w:val="000000"/>
                <w:lang w:val="en-AU"/>
              </w:rPr>
              <w:t>186</w:t>
            </w:r>
          </w:p>
        </w:tc>
        <w:tc>
          <w:tcPr>
            <w:tcW w:w="2150" w:type="dxa"/>
            <w:vAlign w:val="bottom"/>
          </w:tcPr>
          <w:p w14:paraId="1810211C" w14:textId="77777777" w:rsidR="00466F3F" w:rsidRPr="00400300" w:rsidRDefault="00466F3F" w:rsidP="00466F3F">
            <w:pPr>
              <w:spacing w:before="0"/>
              <w:rPr>
                <w:rFonts w:cstheme="minorHAnsi"/>
                <w:color w:val="000000"/>
                <w:lang w:val="en-AU"/>
              </w:rPr>
            </w:pPr>
            <w:r w:rsidRPr="00400300">
              <w:rPr>
                <w:rFonts w:cstheme="minorHAnsi"/>
                <w:color w:val="000000"/>
                <w:lang w:val="en-AU"/>
              </w:rPr>
              <w:t>3%</w:t>
            </w:r>
          </w:p>
        </w:tc>
      </w:tr>
      <w:tr w:rsidR="00466F3F" w:rsidRPr="00400300" w14:paraId="5AE33C6D" w14:textId="77777777" w:rsidTr="00466F3F">
        <w:tc>
          <w:tcPr>
            <w:tcW w:w="1151" w:type="dxa"/>
          </w:tcPr>
          <w:p w14:paraId="5DDAD126" w14:textId="77777777" w:rsidR="00466F3F" w:rsidRPr="00400300" w:rsidRDefault="00466F3F" w:rsidP="00466F3F">
            <w:pPr>
              <w:spacing w:before="0"/>
              <w:rPr>
                <w:rFonts w:cstheme="minorHAnsi"/>
                <w:lang w:val="en-AU"/>
              </w:rPr>
            </w:pPr>
            <w:r w:rsidRPr="00400300">
              <w:rPr>
                <w:rFonts w:cstheme="minorHAnsi"/>
                <w:lang w:val="en-AU"/>
              </w:rPr>
              <w:t>9</w:t>
            </w:r>
          </w:p>
        </w:tc>
        <w:tc>
          <w:tcPr>
            <w:tcW w:w="3341" w:type="dxa"/>
            <w:vAlign w:val="bottom"/>
          </w:tcPr>
          <w:p w14:paraId="2E968396" w14:textId="77777777" w:rsidR="00466F3F" w:rsidRPr="00400300" w:rsidRDefault="00466F3F" w:rsidP="00466F3F">
            <w:pPr>
              <w:spacing w:before="0"/>
              <w:rPr>
                <w:rFonts w:cstheme="minorHAnsi"/>
                <w:color w:val="000000"/>
                <w:lang w:val="en-AU"/>
              </w:rPr>
            </w:pPr>
            <w:r w:rsidRPr="00400300">
              <w:rPr>
                <w:rFonts w:cstheme="minorHAnsi"/>
                <w:color w:val="000000"/>
                <w:lang w:val="en-AU"/>
              </w:rPr>
              <w:t>All other external causes of injury</w:t>
            </w:r>
          </w:p>
        </w:tc>
        <w:tc>
          <w:tcPr>
            <w:tcW w:w="2374" w:type="dxa"/>
            <w:vAlign w:val="bottom"/>
          </w:tcPr>
          <w:p w14:paraId="5F42D0BB" w14:textId="77777777" w:rsidR="00466F3F" w:rsidRPr="00400300" w:rsidRDefault="00466F3F" w:rsidP="00466F3F">
            <w:pPr>
              <w:spacing w:before="0"/>
              <w:rPr>
                <w:rFonts w:cstheme="minorHAnsi"/>
                <w:color w:val="000000"/>
                <w:lang w:val="en-AU"/>
              </w:rPr>
            </w:pPr>
            <w:r w:rsidRPr="00400300">
              <w:rPr>
                <w:rFonts w:cstheme="minorHAnsi"/>
                <w:color w:val="000000"/>
                <w:lang w:val="en-AU"/>
              </w:rPr>
              <w:t>172</w:t>
            </w:r>
          </w:p>
        </w:tc>
        <w:tc>
          <w:tcPr>
            <w:tcW w:w="2150" w:type="dxa"/>
            <w:vAlign w:val="bottom"/>
          </w:tcPr>
          <w:p w14:paraId="214E7B77" w14:textId="77777777" w:rsidR="00466F3F" w:rsidRPr="00400300" w:rsidRDefault="00466F3F" w:rsidP="00466F3F">
            <w:pPr>
              <w:spacing w:before="0"/>
              <w:rPr>
                <w:rFonts w:cstheme="minorHAnsi"/>
                <w:color w:val="000000"/>
                <w:lang w:val="en-AU"/>
              </w:rPr>
            </w:pPr>
            <w:r w:rsidRPr="00400300">
              <w:rPr>
                <w:rFonts w:cstheme="minorHAnsi"/>
                <w:color w:val="000000"/>
                <w:lang w:val="en-AU"/>
              </w:rPr>
              <w:t>2%</w:t>
            </w:r>
          </w:p>
        </w:tc>
      </w:tr>
      <w:tr w:rsidR="00466F3F" w:rsidRPr="00400300" w14:paraId="01CFEAAE" w14:textId="77777777" w:rsidTr="00466F3F">
        <w:tc>
          <w:tcPr>
            <w:tcW w:w="1151" w:type="dxa"/>
          </w:tcPr>
          <w:p w14:paraId="5A920447" w14:textId="77777777" w:rsidR="00466F3F" w:rsidRPr="00400300" w:rsidRDefault="00466F3F" w:rsidP="00466F3F">
            <w:pPr>
              <w:spacing w:before="0"/>
              <w:rPr>
                <w:rFonts w:cstheme="minorHAnsi"/>
                <w:lang w:val="en-AU"/>
              </w:rPr>
            </w:pPr>
            <w:r w:rsidRPr="00400300">
              <w:rPr>
                <w:rFonts w:cstheme="minorHAnsi"/>
                <w:lang w:val="en-AU"/>
              </w:rPr>
              <w:t>10</w:t>
            </w:r>
          </w:p>
        </w:tc>
        <w:tc>
          <w:tcPr>
            <w:tcW w:w="3341" w:type="dxa"/>
            <w:vAlign w:val="bottom"/>
          </w:tcPr>
          <w:p w14:paraId="2EBAFA1A" w14:textId="77777777" w:rsidR="00466F3F" w:rsidRPr="00400300" w:rsidRDefault="00466F3F" w:rsidP="00466F3F">
            <w:pPr>
              <w:spacing w:before="0"/>
              <w:rPr>
                <w:rFonts w:cstheme="minorHAnsi"/>
                <w:color w:val="000000"/>
                <w:lang w:val="en-AU"/>
              </w:rPr>
            </w:pPr>
            <w:r w:rsidRPr="00400300">
              <w:rPr>
                <w:rFonts w:cstheme="minorHAnsi"/>
                <w:color w:val="000000"/>
                <w:lang w:val="en-AU"/>
              </w:rPr>
              <w:t>Drowning</w:t>
            </w:r>
          </w:p>
        </w:tc>
        <w:tc>
          <w:tcPr>
            <w:tcW w:w="2374" w:type="dxa"/>
            <w:vAlign w:val="bottom"/>
          </w:tcPr>
          <w:p w14:paraId="561976E9" w14:textId="77777777" w:rsidR="00466F3F" w:rsidRPr="00400300" w:rsidRDefault="00466F3F" w:rsidP="00466F3F">
            <w:pPr>
              <w:spacing w:before="0"/>
              <w:rPr>
                <w:rFonts w:cstheme="minorHAnsi"/>
                <w:color w:val="000000"/>
                <w:lang w:val="en-AU"/>
              </w:rPr>
            </w:pPr>
            <w:r w:rsidRPr="00400300">
              <w:rPr>
                <w:rFonts w:cstheme="minorHAnsi"/>
                <w:color w:val="000000"/>
                <w:lang w:val="en-AU"/>
              </w:rPr>
              <w:t>91</w:t>
            </w:r>
          </w:p>
        </w:tc>
        <w:tc>
          <w:tcPr>
            <w:tcW w:w="2150" w:type="dxa"/>
            <w:vAlign w:val="bottom"/>
          </w:tcPr>
          <w:p w14:paraId="29F39CB7" w14:textId="77777777" w:rsidR="00466F3F" w:rsidRPr="00400300" w:rsidRDefault="00466F3F" w:rsidP="00466F3F">
            <w:pPr>
              <w:spacing w:before="0"/>
              <w:rPr>
                <w:rFonts w:cstheme="minorHAnsi"/>
                <w:color w:val="000000"/>
                <w:lang w:val="en-AU"/>
              </w:rPr>
            </w:pPr>
            <w:r w:rsidRPr="00400300">
              <w:rPr>
                <w:rFonts w:cstheme="minorHAnsi"/>
                <w:color w:val="000000"/>
                <w:lang w:val="en-AU"/>
              </w:rPr>
              <w:t>1%</w:t>
            </w:r>
          </w:p>
        </w:tc>
      </w:tr>
    </w:tbl>
    <w:p w14:paraId="206AD2A8" w14:textId="77777777" w:rsidR="00466F3F" w:rsidRPr="00400300" w:rsidRDefault="00466F3F" w:rsidP="00466F3F">
      <w:pPr>
        <w:rPr>
          <w:rFonts w:cstheme="minorHAnsi"/>
          <w:lang w:val="en-AU"/>
        </w:rPr>
      </w:pPr>
      <w:r w:rsidRPr="00400300">
        <w:rPr>
          <w:rFonts w:cstheme="minorHAnsi"/>
          <w:lang w:val="en-AU"/>
        </w:rPr>
        <w:t>Note: a) DALYs = disability adjusted life years</w:t>
      </w:r>
    </w:p>
    <w:p w14:paraId="3D202869" w14:textId="77777777" w:rsidR="00466F3F" w:rsidRPr="00400300" w:rsidRDefault="00466F3F" w:rsidP="00466F3F">
      <w:pPr>
        <w:rPr>
          <w:rFonts w:cstheme="minorHAnsi"/>
          <w:lang w:val="en-AU"/>
        </w:rPr>
      </w:pPr>
    </w:p>
    <w:p w14:paraId="15BB2987" w14:textId="77777777" w:rsidR="00466F3F" w:rsidRPr="00400300" w:rsidRDefault="00466F3F" w:rsidP="00466F3F">
      <w:pPr>
        <w:rPr>
          <w:rFonts w:cstheme="minorHAnsi"/>
          <w:lang w:val="en-AU"/>
        </w:rPr>
      </w:pPr>
    </w:p>
    <w:p w14:paraId="4834CA4D" w14:textId="77777777" w:rsidR="00466F3F" w:rsidRPr="00400300" w:rsidRDefault="00466F3F" w:rsidP="00466F3F">
      <w:pPr>
        <w:rPr>
          <w:lang w:val="en-AU"/>
        </w:rPr>
        <w:sectPr w:rsidR="00466F3F" w:rsidRPr="00400300" w:rsidSect="00A21F41">
          <w:headerReference w:type="default" r:id="rId89"/>
          <w:pgSz w:w="11906" w:h="16838"/>
          <w:pgMar w:top="1440" w:right="1440" w:bottom="1440" w:left="1440" w:header="708" w:footer="708" w:gutter="0"/>
          <w:cols w:space="708"/>
          <w:docGrid w:linePitch="360"/>
        </w:sectPr>
      </w:pPr>
    </w:p>
    <w:p w14:paraId="2C41D6E6" w14:textId="77777777" w:rsidR="00466F3F" w:rsidRPr="00400300" w:rsidRDefault="00466F3F" w:rsidP="00466F3F">
      <w:pPr>
        <w:pStyle w:val="Style1notnumbered"/>
        <w:rPr>
          <w:lang w:val="en-AU"/>
        </w:rPr>
      </w:pPr>
      <w:bookmarkStart w:id="336" w:name="_Toc33107383"/>
      <w:bookmarkStart w:id="337" w:name="_Toc38021115"/>
      <w:r w:rsidRPr="00400300">
        <w:rPr>
          <w:lang w:val="en-AU"/>
        </w:rPr>
        <w:t>Acknowledgements</w:t>
      </w:r>
      <w:bookmarkEnd w:id="336"/>
      <w:bookmarkEnd w:id="337"/>
    </w:p>
    <w:p w14:paraId="74DDF0BF" w14:textId="44588003" w:rsidR="00466F3F" w:rsidRPr="00400300" w:rsidRDefault="005354E5" w:rsidP="00466F3F">
      <w:pPr>
        <w:rPr>
          <w:lang w:val="en-AU"/>
        </w:rPr>
      </w:pPr>
      <w:r>
        <w:rPr>
          <w:lang w:val="en-AU"/>
        </w:rPr>
        <w:t xml:space="preserve">The Department of Health would like to acknowledge and thank the people and organisations who have contributed to the development of the Draft Strategy.  </w:t>
      </w:r>
      <w:proofErr w:type="gramStart"/>
      <w:r>
        <w:rPr>
          <w:lang w:val="en-AU"/>
        </w:rPr>
        <w:t>In particular, we</w:t>
      </w:r>
      <w:proofErr w:type="gramEnd"/>
      <w:r>
        <w:rPr>
          <w:lang w:val="en-AU"/>
        </w:rPr>
        <w:t xml:space="preserve"> would like to thank The George Institute for Global Health and the </w:t>
      </w:r>
      <w:r w:rsidRPr="00400300">
        <w:rPr>
          <w:lang w:val="en-AU"/>
        </w:rPr>
        <w:t>collaborating team</w:t>
      </w:r>
      <w:r>
        <w:rPr>
          <w:lang w:val="en-AU"/>
        </w:rPr>
        <w:t xml:space="preserve"> and members of the </w:t>
      </w:r>
      <w:r w:rsidR="007731F1">
        <w:rPr>
          <w:lang w:val="en-AU"/>
        </w:rPr>
        <w:t>Expert Advisory Group</w:t>
      </w:r>
      <w:r>
        <w:rPr>
          <w:lang w:val="en-AU"/>
        </w:rPr>
        <w:t>.</w:t>
      </w:r>
    </w:p>
    <w:p w14:paraId="0C6DEBD7" w14:textId="26869C96" w:rsidR="00C6387A" w:rsidRPr="00400300" w:rsidRDefault="00692122" w:rsidP="00916239">
      <w:pPr>
        <w:pStyle w:val="Style1notnumbered"/>
        <w:rPr>
          <w:lang w:val="en-AU"/>
        </w:rPr>
      </w:pPr>
      <w:bookmarkStart w:id="338" w:name="_Toc38021116"/>
      <w:r>
        <w:rPr>
          <w:lang w:val="en-AU"/>
        </w:rPr>
        <w:t>Strategy development t</w:t>
      </w:r>
      <w:r w:rsidRPr="00400300">
        <w:rPr>
          <w:lang w:val="en-AU"/>
        </w:rPr>
        <w:t>imeline</w:t>
      </w:r>
      <w:bookmarkEnd w:id="338"/>
    </w:p>
    <w:p w14:paraId="13C18D2F" w14:textId="77777777" w:rsidR="00C6387A" w:rsidRDefault="00C6387A" w:rsidP="00916239">
      <w:pPr>
        <w:rPr>
          <w:lang w:val="en-AU"/>
        </w:rPr>
      </w:pPr>
    </w:p>
    <w:p w14:paraId="6633C47E" w14:textId="77777777" w:rsidR="00C6387A" w:rsidRPr="00400300" w:rsidRDefault="00C6387A" w:rsidP="00C6387A">
      <w:pPr>
        <w:rPr>
          <w:szCs w:val="22"/>
          <w:lang w:val="en-AU"/>
        </w:rPr>
      </w:pPr>
      <w:r w:rsidRPr="00400300">
        <w:rPr>
          <w:szCs w:val="22"/>
          <w:lang w:val="en-AU"/>
        </w:rPr>
        <w:t xml:space="preserve">Key activities and consultations have informed the development of the Strategy including: </w:t>
      </w:r>
    </w:p>
    <w:p w14:paraId="6B060916" w14:textId="4F3A9A81" w:rsidR="00C6387A" w:rsidRPr="00400300" w:rsidRDefault="00C6387A" w:rsidP="007D5286">
      <w:pPr>
        <w:pStyle w:val="ListParagraph"/>
        <w:numPr>
          <w:ilvl w:val="0"/>
          <w:numId w:val="9"/>
        </w:numPr>
        <w:rPr>
          <w:szCs w:val="22"/>
          <w:lang w:val="en-AU"/>
        </w:rPr>
      </w:pPr>
      <w:r w:rsidRPr="00400300">
        <w:rPr>
          <w:szCs w:val="22"/>
          <w:lang w:val="en-AU"/>
        </w:rPr>
        <w:t>Two Round Table discussions held in March 2019;</w:t>
      </w:r>
      <w:r w:rsidRPr="00400300">
        <w:rPr>
          <w:szCs w:val="22"/>
          <w:lang w:val="en-AU"/>
        </w:rPr>
        <w:fldChar w:fldCharType="begin"/>
      </w:r>
      <w:r w:rsidR="002C69BD">
        <w:rPr>
          <w:szCs w:val="22"/>
          <w:lang w:val="en-AU"/>
        </w:rPr>
        <w:instrText xml:space="preserve"> ADDIN EN.CITE &lt;EndNote&gt;&lt;Cite&gt;&lt;Author&gt;Elkington J.&lt;/Author&gt;&lt;Year&gt;2019&lt;/Year&gt;&lt;RecNum&gt;97&lt;/RecNum&gt;&lt;DisplayText&gt;&lt;style face="superscript"&gt;76&lt;/style&gt;&lt;/DisplayText&gt;&lt;record&gt;&lt;rec-number&gt;97&lt;/rec-number&gt;&lt;foreign-keys&gt;&lt;key app="EN" db-id="2wsw9x5wvsspa1evwxlvvergx9epfd50fs2a" timestamp="1578527383"&gt;97&lt;/key&gt;&lt;/foreign-keys&gt;&lt;ref-type name="Report"&gt;27&lt;/ref-type&gt;&lt;contributors&gt;&lt;authors&gt;&lt;author&gt;Elkington J., &lt;/author&gt;&lt;author&gt;Bestman A., &lt;/author&gt;&lt;author&gt;Hunter K., &lt;/author&gt;&lt;author&gt;on behalf of the National Injury Prevention Strategy Facilitation Team,&lt;/author&gt;&lt;/authors&gt;&lt;/contributors&gt;&lt;titles&gt;&lt;title&gt;Round Table Report: Consultation to develop a National Injury Prevention Strategy in Australia&lt;/title&gt;&lt;/titles&gt;&lt;dates&gt;&lt;year&gt;2019&lt;/year&gt;&lt;/dates&gt;&lt;urls&gt;&lt;related-urls&gt;&lt;url&gt;https://cdn.georgeinstitute.org/cdn/ff/AcpUpW5i9kW4GQuxkx7BA3QoM95ZeDYvKRfa6Zn4g7g/1576219506/public/2019-12/National%20Injury%20Prevention%20Strategy%20-%20Round%20Table%20Report.pdf&lt;/url&gt;&lt;/related-urls&gt;&lt;/urls&gt;&lt;/record&gt;&lt;/Cite&gt;&lt;/EndNote&gt;</w:instrText>
      </w:r>
      <w:r w:rsidRPr="00400300">
        <w:rPr>
          <w:szCs w:val="22"/>
          <w:lang w:val="en-AU"/>
        </w:rPr>
        <w:fldChar w:fldCharType="separate"/>
      </w:r>
      <w:r w:rsidR="002C69BD" w:rsidRPr="002C69BD">
        <w:rPr>
          <w:noProof/>
          <w:szCs w:val="22"/>
          <w:vertAlign w:val="superscript"/>
          <w:lang w:val="en-AU"/>
        </w:rPr>
        <w:t>76</w:t>
      </w:r>
      <w:r w:rsidRPr="00400300">
        <w:rPr>
          <w:szCs w:val="22"/>
          <w:lang w:val="en-AU"/>
        </w:rPr>
        <w:fldChar w:fldCharType="end"/>
      </w:r>
    </w:p>
    <w:p w14:paraId="61977FBC" w14:textId="1C8E7680" w:rsidR="00C6387A" w:rsidRPr="00400300" w:rsidRDefault="00C6387A" w:rsidP="007D5286">
      <w:pPr>
        <w:pStyle w:val="ListParagraph"/>
        <w:numPr>
          <w:ilvl w:val="0"/>
          <w:numId w:val="9"/>
        </w:numPr>
        <w:rPr>
          <w:szCs w:val="22"/>
          <w:lang w:val="en-AU"/>
        </w:rPr>
      </w:pPr>
      <w:r w:rsidRPr="00400300">
        <w:rPr>
          <w:szCs w:val="22"/>
          <w:lang w:val="en-AU"/>
        </w:rPr>
        <w:t>A review of existing peer-reviewed published literature reviews (‘review of reviews’), relating to injury prevention internationally, finalised in July 2019;</w:t>
      </w:r>
      <w:r w:rsidRPr="00400300">
        <w:rPr>
          <w:szCs w:val="22"/>
          <w:lang w:val="en-AU"/>
        </w:rPr>
        <w:fldChar w:fldCharType="begin"/>
      </w:r>
      <w:r w:rsidR="002C69BD">
        <w:rPr>
          <w:szCs w:val="22"/>
          <w:lang w:val="en-AU"/>
        </w:rPr>
        <w:instrText xml:space="preserve"> ADDIN EN.CITE &lt;EndNote&gt;&lt;Cite&gt;&lt;Author&gt;Hunter K.&lt;/Author&gt;&lt;Year&gt;2019&lt;/Year&gt;&lt;RecNum&gt;95&lt;/RecNum&gt;&lt;DisplayText&gt;&lt;style face="superscript"&gt;77&lt;/style&gt;&lt;/DisplayText&gt;&lt;record&gt;&lt;rec-number&gt;95&lt;/rec-number&gt;&lt;foreign-keys&gt;&lt;key app="EN" db-id="2wsw9x5wvsspa1evwxlvvergx9epfd50fs2a" timestamp="1578527101"&gt;95&lt;/key&gt;&lt;/foreign-keys&gt;&lt;ref-type name="Report"&gt;27&lt;/ref-type&gt;&lt;contributors&gt;&lt;authors&gt;&lt;author&gt;Hunter K., &lt;/author&gt;&lt;author&gt;Bestman A., &lt;/author&gt;&lt;author&gt;Elkington J., &lt;/author&gt;&lt;author&gt;Anderst A., &lt;/author&gt;&lt;author&gt;Scott D., &lt;/author&gt;&lt;author&gt;Cullen P., &lt;/author&gt;&lt;author&gt;Mitchell R., &lt;/author&gt;&lt;author&gt;Clapham K., &lt;/author&gt;&lt;author&gt;Killian J.,&lt;/author&gt;&lt;author&gt;Curtis K., Beck B.,&lt;/author&gt;&lt;author&gt;Vallmuur K., &lt;/author&gt;&lt;author&gt;Lukaszyk C., &lt;/author&gt;&lt;author&gt;Ivers RQ., &lt;/author&gt;&lt;author&gt;Keay L., &lt;/author&gt;&lt;author&gt;Brown J. &lt;/author&gt;&lt;/authors&gt;&lt;/contributors&gt;&lt;titles&gt;&lt;title&gt;National Injury Prevention Strategy – Literature Review&lt;/title&gt;&lt;/titles&gt;&lt;dates&gt;&lt;year&gt;2019&lt;/year&gt;&lt;/dates&gt;&lt;publisher&gt;Report developed for the Australian Government Department of Health&lt;/publisher&gt;&lt;urls&gt;&lt;related-urls&gt;&lt;url&gt;https://cdn.georgeinstitute.org/cdn/ff/wXk1iCd1Z97R4LA6lR1KtGy_yLjgTSo1OHhiZLP7jw8/1576219626/public/2019-12/National%20Injury%20Prevention%20Strategy_Literature%20review_FINAL.pdf &lt;/url&gt;&lt;/related-urls&gt;&lt;/urls&gt;&lt;/record&gt;&lt;/Cite&gt;&lt;/EndNote&gt;</w:instrText>
      </w:r>
      <w:r w:rsidRPr="00400300">
        <w:rPr>
          <w:szCs w:val="22"/>
          <w:lang w:val="en-AU"/>
        </w:rPr>
        <w:fldChar w:fldCharType="separate"/>
      </w:r>
      <w:r w:rsidR="002C69BD" w:rsidRPr="002C69BD">
        <w:rPr>
          <w:noProof/>
          <w:szCs w:val="22"/>
          <w:vertAlign w:val="superscript"/>
          <w:lang w:val="en-AU"/>
        </w:rPr>
        <w:t>77</w:t>
      </w:r>
      <w:r w:rsidRPr="00400300">
        <w:rPr>
          <w:szCs w:val="22"/>
          <w:lang w:val="en-AU"/>
        </w:rPr>
        <w:fldChar w:fldCharType="end"/>
      </w:r>
    </w:p>
    <w:p w14:paraId="0C0C3B1F" w14:textId="77777777" w:rsidR="00C6387A" w:rsidRPr="00400300" w:rsidRDefault="00C6387A" w:rsidP="007D5286">
      <w:pPr>
        <w:pStyle w:val="ListParagraph"/>
        <w:numPr>
          <w:ilvl w:val="0"/>
          <w:numId w:val="9"/>
        </w:numPr>
        <w:rPr>
          <w:szCs w:val="22"/>
          <w:lang w:val="en-AU"/>
        </w:rPr>
      </w:pPr>
      <w:r w:rsidRPr="00400300">
        <w:rPr>
          <w:szCs w:val="22"/>
          <w:lang w:val="en-AU"/>
        </w:rPr>
        <w:t>Stakeholder consultations held across Australia with approximately 95 key stakeholders from government and non-government agencies, networks and communities in August and September 2019;</w:t>
      </w:r>
    </w:p>
    <w:p w14:paraId="4C44D659" w14:textId="59E11FE4" w:rsidR="00C6387A" w:rsidRPr="00400300" w:rsidRDefault="00C6387A" w:rsidP="007D5286">
      <w:pPr>
        <w:pStyle w:val="ListParagraph"/>
        <w:numPr>
          <w:ilvl w:val="0"/>
          <w:numId w:val="9"/>
        </w:numPr>
        <w:rPr>
          <w:szCs w:val="22"/>
          <w:lang w:val="en-AU"/>
        </w:rPr>
      </w:pPr>
      <w:r w:rsidRPr="00400300">
        <w:rPr>
          <w:szCs w:val="22"/>
          <w:lang w:val="en-AU"/>
        </w:rPr>
        <w:t>An Expert Advisory Group (EAG) comprising government and non-government representatives and chaired by the Australian Government Department of Health convened to guide and advise on the development of the Strategy;</w:t>
      </w:r>
      <w:r w:rsidRPr="00400300">
        <w:rPr>
          <w:szCs w:val="22"/>
          <w:lang w:val="en-AU"/>
        </w:rPr>
        <w:fldChar w:fldCharType="begin"/>
      </w:r>
      <w:r w:rsidR="002C69BD">
        <w:rPr>
          <w:szCs w:val="22"/>
          <w:lang w:val="en-AU"/>
        </w:rPr>
        <w:instrText xml:space="preserve"> ADDIN EN.CITE &lt;EndNote&gt;&lt;Cite&gt;&lt;Author&gt;The George Institute for Global Health&lt;/Author&gt;&lt;Year&gt;2019&lt;/Year&gt;&lt;RecNum&gt;96&lt;/RecNum&gt;&lt;DisplayText&gt;&lt;style face="superscript"&gt;78&lt;/style&gt;&lt;/DisplayText&gt;&lt;record&gt;&lt;rec-number&gt;96&lt;/rec-number&gt;&lt;foreign-keys&gt;&lt;key app="EN" db-id="2wsw9x5wvsspa1evwxlvvergx9epfd50fs2a" timestamp="1578527247"&gt;96&lt;/key&gt;&lt;/foreign-keys&gt;&lt;ref-type name="Web Page"&gt;12&lt;/ref-type&gt;&lt;contributors&gt;&lt;authors&gt;&lt;author&gt;The George Institute for Global Health,&lt;/author&gt;&lt;/authors&gt;&lt;/contributors&gt;&lt;titles&gt;&lt;title&gt;The National Injury Prevention Strategy 2020 - 2030&lt;/title&gt;&lt;/titles&gt;&lt;volume&gt;2020&lt;/volume&gt;&lt;number&gt;9 Jan&lt;/number&gt;&lt;dates&gt;&lt;year&gt;2019&lt;/year&gt;&lt;/dates&gt;&lt;urls&gt;&lt;related-urls&gt;&lt;url&gt;https://www.georgeinstitute.org.au/the-national-injury-prevention-strategy-2020-2030&lt;/url&gt;&lt;/related-urls&gt;&lt;/urls&gt;&lt;/record&gt;&lt;/Cite&gt;&lt;/EndNote&gt;</w:instrText>
      </w:r>
      <w:r w:rsidRPr="00400300">
        <w:rPr>
          <w:szCs w:val="22"/>
          <w:lang w:val="en-AU"/>
        </w:rPr>
        <w:fldChar w:fldCharType="separate"/>
      </w:r>
      <w:r w:rsidR="002C69BD" w:rsidRPr="002C69BD">
        <w:rPr>
          <w:noProof/>
          <w:szCs w:val="22"/>
          <w:vertAlign w:val="superscript"/>
          <w:lang w:val="en-AU"/>
        </w:rPr>
        <w:t>78</w:t>
      </w:r>
      <w:r w:rsidRPr="00400300">
        <w:rPr>
          <w:szCs w:val="22"/>
          <w:lang w:val="en-AU"/>
        </w:rPr>
        <w:fldChar w:fldCharType="end"/>
      </w:r>
      <w:r w:rsidRPr="00400300">
        <w:rPr>
          <w:szCs w:val="22"/>
          <w:lang w:val="en-AU"/>
        </w:rPr>
        <w:t xml:space="preserve"> </w:t>
      </w:r>
    </w:p>
    <w:p w14:paraId="07DFF61E" w14:textId="77777777" w:rsidR="00C6387A" w:rsidRPr="00400300" w:rsidRDefault="00C6387A" w:rsidP="007D5286">
      <w:pPr>
        <w:pStyle w:val="ListParagraph"/>
        <w:numPr>
          <w:ilvl w:val="0"/>
          <w:numId w:val="9"/>
        </w:numPr>
        <w:rPr>
          <w:szCs w:val="22"/>
          <w:lang w:val="en-AU"/>
        </w:rPr>
      </w:pPr>
      <w:r w:rsidRPr="00400300">
        <w:rPr>
          <w:szCs w:val="22"/>
          <w:lang w:val="en-AU"/>
        </w:rPr>
        <w:t>Australian Government consultation in December 2019 with key Commonwealth Departments.</w:t>
      </w:r>
    </w:p>
    <w:p w14:paraId="35F191F3" w14:textId="0E2B96C2" w:rsidR="00C6387A" w:rsidRPr="00400300" w:rsidRDefault="00C6387A" w:rsidP="007D5286">
      <w:pPr>
        <w:pStyle w:val="ListParagraph"/>
        <w:numPr>
          <w:ilvl w:val="0"/>
          <w:numId w:val="9"/>
        </w:numPr>
        <w:rPr>
          <w:szCs w:val="22"/>
          <w:lang w:val="en-AU"/>
        </w:rPr>
      </w:pPr>
      <w:r w:rsidRPr="00400300">
        <w:rPr>
          <w:szCs w:val="22"/>
          <w:lang w:val="en-AU"/>
        </w:rPr>
        <w:t xml:space="preserve"> State Government and community consultation in </w:t>
      </w:r>
      <w:r w:rsidR="007731F1">
        <w:rPr>
          <w:szCs w:val="22"/>
          <w:lang w:val="en-AU"/>
        </w:rPr>
        <w:t>May</w:t>
      </w:r>
      <w:r w:rsidRPr="00400300">
        <w:rPr>
          <w:szCs w:val="22"/>
          <w:lang w:val="en-AU"/>
        </w:rPr>
        <w:t xml:space="preserve"> 2020.</w:t>
      </w:r>
    </w:p>
    <w:p w14:paraId="0F78E1D6" w14:textId="77777777" w:rsidR="00C6387A" w:rsidRPr="00400300" w:rsidRDefault="00C6387A" w:rsidP="00C6387A">
      <w:pPr>
        <w:ind w:left="360"/>
        <w:rPr>
          <w:szCs w:val="22"/>
          <w:lang w:val="en-AU"/>
        </w:rPr>
      </w:pPr>
    </w:p>
    <w:p w14:paraId="14F45BF7" w14:textId="706CED23" w:rsidR="00C6387A" w:rsidRPr="00400300" w:rsidRDefault="00C6387A" w:rsidP="00466F3F">
      <w:pPr>
        <w:rPr>
          <w:lang w:val="en-AU"/>
        </w:rPr>
      </w:pPr>
    </w:p>
    <w:sectPr w:rsidR="00C6387A" w:rsidRPr="00400300" w:rsidSect="00A21F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4E05" w14:textId="77777777" w:rsidR="00A6343D" w:rsidRDefault="00A6343D" w:rsidP="00C00A16">
      <w:r>
        <w:separator/>
      </w:r>
    </w:p>
    <w:p w14:paraId="4C11FDAB" w14:textId="77777777" w:rsidR="00A6343D" w:rsidRDefault="00A6343D"/>
  </w:endnote>
  <w:endnote w:type="continuationSeparator" w:id="0">
    <w:p w14:paraId="71A01955" w14:textId="77777777" w:rsidR="00A6343D" w:rsidRDefault="00A6343D" w:rsidP="00C00A16">
      <w:r>
        <w:continuationSeparator/>
      </w:r>
    </w:p>
    <w:p w14:paraId="25F8BFCD" w14:textId="77777777" w:rsidR="00A6343D" w:rsidRDefault="00A6343D"/>
  </w:endnote>
  <w:endnote w:type="continuationNotice" w:id="1">
    <w:p w14:paraId="64DBF2E9" w14:textId="77777777" w:rsidR="00A6343D" w:rsidRDefault="00A63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BC6D" w14:textId="77777777" w:rsidR="00A6343D" w:rsidRDefault="00A6343D" w:rsidP="00DE00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CD121" w14:textId="77777777" w:rsidR="00A6343D" w:rsidRDefault="00A6343D" w:rsidP="0099486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C6D5" w14:textId="0DCCF8CC" w:rsidR="00A6343D" w:rsidRPr="00DC6E30" w:rsidRDefault="00A6343D" w:rsidP="00A807E6">
    <w:pPr>
      <w:pStyle w:val="NousFooter"/>
      <w:rPr>
        <w:color w:val="000000" w:themeColor="text1"/>
      </w:rPr>
    </w:pPr>
    <w:r w:rsidRPr="00DC6E30">
      <w:rPr>
        <w:color w:val="000000" w:themeColor="text1"/>
      </w:rPr>
      <w:t>| April 2020 |</w:t>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t xml:space="preserve"> | </w:t>
    </w:r>
    <w:r w:rsidRPr="00DC6E30">
      <w:rPr>
        <w:color w:val="000000" w:themeColor="text1"/>
      </w:rPr>
      <w:fldChar w:fldCharType="begin"/>
    </w:r>
    <w:r w:rsidRPr="00DC6E30">
      <w:rPr>
        <w:color w:val="000000" w:themeColor="text1"/>
      </w:rPr>
      <w:instrText xml:space="preserve"> PAGE  \* Arabic  \* MERGEFORMAT </w:instrText>
    </w:r>
    <w:r w:rsidRPr="00DC6E30">
      <w:rPr>
        <w:color w:val="000000" w:themeColor="text1"/>
      </w:rPr>
      <w:fldChar w:fldCharType="separate"/>
    </w:r>
    <w:r w:rsidRPr="00DC6E30">
      <w:rPr>
        <w:noProof/>
        <w:color w:val="000000" w:themeColor="text1"/>
      </w:rPr>
      <w:t>9</w:t>
    </w:r>
    <w:r w:rsidRPr="00DC6E30">
      <w:rPr>
        <w:color w:val="000000" w:themeColor="text1"/>
      </w:rPr>
      <w:fldChar w:fldCharType="end"/>
    </w:r>
    <w:r w:rsidRPr="00DC6E30">
      <w:rPr>
        <w:color w:val="000000" w:themeColor="text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D9A3" w14:textId="77777777" w:rsidR="00A6343D" w:rsidRDefault="00A6343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3107" w14:textId="36123F6C" w:rsidR="00A6343D" w:rsidRPr="00DC6E30" w:rsidRDefault="00A6343D" w:rsidP="00A807E6">
    <w:pPr>
      <w:pStyle w:val="NousFooter"/>
      <w:rPr>
        <w:color w:val="000000" w:themeColor="text1"/>
      </w:rPr>
    </w:pPr>
    <w:r w:rsidRPr="00DC6E30">
      <w:rPr>
        <w:color w:val="000000" w:themeColor="text1"/>
      </w:rPr>
      <w:t>| April 2020 |</w:t>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t xml:space="preserve"> | </w:t>
    </w:r>
    <w:r w:rsidRPr="00DC6E30">
      <w:rPr>
        <w:color w:val="000000" w:themeColor="text1"/>
      </w:rPr>
      <w:fldChar w:fldCharType="begin"/>
    </w:r>
    <w:r w:rsidRPr="00DC6E30">
      <w:rPr>
        <w:color w:val="000000" w:themeColor="text1"/>
      </w:rPr>
      <w:instrText xml:space="preserve"> PAGE  \* Arabic  \* MERGEFORMAT </w:instrText>
    </w:r>
    <w:r w:rsidRPr="00DC6E30">
      <w:rPr>
        <w:color w:val="000000" w:themeColor="text1"/>
      </w:rPr>
      <w:fldChar w:fldCharType="separate"/>
    </w:r>
    <w:r w:rsidRPr="00DC6E30">
      <w:rPr>
        <w:noProof/>
        <w:color w:val="000000" w:themeColor="text1"/>
      </w:rPr>
      <w:t>18</w:t>
    </w:r>
    <w:r w:rsidRPr="00DC6E30">
      <w:rPr>
        <w:color w:val="000000" w:themeColor="text1"/>
      </w:rPr>
      <w:fldChar w:fldCharType="end"/>
    </w:r>
    <w:r w:rsidRPr="00DC6E30">
      <w:rPr>
        <w:color w:val="000000" w:themeColor="text1"/>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C11A" w14:textId="592EE61F" w:rsidR="00A6343D" w:rsidRPr="00DC6E30" w:rsidRDefault="00A6343D" w:rsidP="00A807E6">
    <w:pPr>
      <w:pStyle w:val="NousFooter"/>
      <w:rPr>
        <w:color w:val="000000" w:themeColor="text1"/>
      </w:rPr>
    </w:pPr>
    <w:r w:rsidRPr="00DC6E30">
      <w:rPr>
        <w:color w:val="000000" w:themeColor="text1"/>
      </w:rPr>
      <w:t>| April 2020 |</w:t>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t xml:space="preserve"> | </w:t>
    </w:r>
    <w:r w:rsidRPr="00DC6E30">
      <w:rPr>
        <w:color w:val="000000" w:themeColor="text1"/>
      </w:rPr>
      <w:fldChar w:fldCharType="begin"/>
    </w:r>
    <w:r w:rsidRPr="00DC6E30">
      <w:rPr>
        <w:color w:val="000000" w:themeColor="text1"/>
      </w:rPr>
      <w:instrText xml:space="preserve"> PAGE  \* Arabic  \* MERGEFORMAT </w:instrText>
    </w:r>
    <w:r w:rsidRPr="00DC6E30">
      <w:rPr>
        <w:color w:val="000000" w:themeColor="text1"/>
      </w:rPr>
      <w:fldChar w:fldCharType="separate"/>
    </w:r>
    <w:r w:rsidRPr="00DC6E30">
      <w:rPr>
        <w:noProof/>
        <w:color w:val="000000" w:themeColor="text1"/>
      </w:rPr>
      <w:t>37</w:t>
    </w:r>
    <w:r w:rsidRPr="00DC6E30">
      <w:rPr>
        <w:color w:val="000000" w:themeColor="text1"/>
      </w:rPr>
      <w:fldChar w:fldCharType="end"/>
    </w:r>
    <w:r w:rsidRPr="00DC6E30">
      <w:rPr>
        <w:color w:val="000000"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AAE4" w14:textId="7AFC7C6B" w:rsidR="00A6343D" w:rsidRDefault="00A6343D">
    <w:pPr>
      <w:pStyle w:val="Footer"/>
      <w:jc w:val="right"/>
    </w:pPr>
  </w:p>
  <w:p w14:paraId="53E10A14" w14:textId="77777777" w:rsidR="00A6343D" w:rsidRDefault="00A6343D" w:rsidP="009948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3257" w14:textId="77777777" w:rsidR="00FA58C2" w:rsidRDefault="00FA5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68617"/>
      <w:docPartObj>
        <w:docPartGallery w:val="Page Numbers (Bottom of Page)"/>
        <w:docPartUnique/>
      </w:docPartObj>
    </w:sdtPr>
    <w:sdtEndPr>
      <w:rPr>
        <w:noProof/>
      </w:rPr>
    </w:sdtEndPr>
    <w:sdtContent>
      <w:p w14:paraId="5AB2D27B" w14:textId="12E44C1C" w:rsidR="00A6343D" w:rsidRDefault="00CC28D5">
        <w:pPr>
          <w:pStyle w:val="Footer"/>
          <w:jc w:val="right"/>
        </w:pPr>
      </w:p>
    </w:sdtContent>
  </w:sdt>
  <w:p w14:paraId="1941A110" w14:textId="77777777" w:rsidR="00A6343D" w:rsidRDefault="00A6343D" w:rsidP="0099486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66030"/>
      <w:docPartObj>
        <w:docPartGallery w:val="Page Numbers (Bottom of Page)"/>
        <w:docPartUnique/>
      </w:docPartObj>
    </w:sdtPr>
    <w:sdtEndPr>
      <w:rPr>
        <w:noProof/>
      </w:rPr>
    </w:sdtEndPr>
    <w:sdtContent>
      <w:p w14:paraId="2C637213" w14:textId="40E35ED0" w:rsidR="00A6343D" w:rsidRDefault="00A6343D">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7E1BFDCB" w14:textId="77777777" w:rsidR="00A6343D" w:rsidRDefault="00A6343D" w:rsidP="0099486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2840" w14:textId="4A895DAF" w:rsidR="00A6343D" w:rsidRPr="00DC6E30" w:rsidRDefault="00A6343D" w:rsidP="00A807E6">
    <w:pPr>
      <w:pStyle w:val="NousFooter"/>
      <w:rPr>
        <w:color w:val="000000" w:themeColor="text1"/>
      </w:rPr>
    </w:pPr>
    <w:r w:rsidRPr="00DC6E30">
      <w:rPr>
        <w:color w:val="000000" w:themeColor="text1"/>
      </w:rPr>
      <w:t>| April 2020 |</w:t>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t xml:space="preserve"> | </w:t>
    </w:r>
    <w:r w:rsidRPr="00DC6E30">
      <w:rPr>
        <w:color w:val="000000" w:themeColor="text1"/>
      </w:rPr>
      <w:fldChar w:fldCharType="begin"/>
    </w:r>
    <w:r w:rsidRPr="00DC6E30">
      <w:rPr>
        <w:color w:val="000000" w:themeColor="text1"/>
      </w:rPr>
      <w:instrText xml:space="preserve"> PAGE  \* Arabic  \* MERGEFORMAT </w:instrText>
    </w:r>
    <w:r w:rsidRPr="00DC6E30">
      <w:rPr>
        <w:color w:val="000000" w:themeColor="text1"/>
      </w:rPr>
      <w:fldChar w:fldCharType="separate"/>
    </w:r>
    <w:r w:rsidRPr="00DC6E30">
      <w:rPr>
        <w:noProof/>
        <w:color w:val="000000" w:themeColor="text1"/>
      </w:rPr>
      <w:t>1</w:t>
    </w:r>
    <w:r w:rsidRPr="00DC6E30">
      <w:rPr>
        <w:color w:val="000000" w:themeColor="text1"/>
      </w:rPr>
      <w:fldChar w:fldCharType="end"/>
    </w:r>
    <w:r w:rsidRPr="00DC6E30">
      <w:rPr>
        <w:color w:val="000000" w:themeColor="text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C8BB" w14:textId="051E60EB" w:rsidR="00A6343D" w:rsidRPr="00DC6E30" w:rsidRDefault="00A6343D" w:rsidP="00A807E6">
    <w:pPr>
      <w:pStyle w:val="NousFooter"/>
      <w:rPr>
        <w:color w:val="000000" w:themeColor="text1"/>
      </w:rPr>
    </w:pPr>
    <w:r w:rsidRPr="00DC6E30">
      <w:rPr>
        <w:color w:val="000000" w:themeColor="text1"/>
      </w:rPr>
      <w:t>| April 2020 |</w:t>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t xml:space="preserve"> | </w:t>
    </w:r>
    <w:r w:rsidRPr="00DC6E30">
      <w:rPr>
        <w:color w:val="000000" w:themeColor="text1"/>
      </w:rPr>
      <w:fldChar w:fldCharType="begin"/>
    </w:r>
    <w:r w:rsidRPr="00DC6E30">
      <w:rPr>
        <w:color w:val="000000" w:themeColor="text1"/>
      </w:rPr>
      <w:instrText xml:space="preserve"> PAGE  \* Arabic  \* MERGEFORMAT </w:instrText>
    </w:r>
    <w:r w:rsidRPr="00DC6E30">
      <w:rPr>
        <w:color w:val="000000" w:themeColor="text1"/>
      </w:rPr>
      <w:fldChar w:fldCharType="separate"/>
    </w:r>
    <w:r w:rsidRPr="00DC6E30">
      <w:rPr>
        <w:noProof/>
        <w:color w:val="000000" w:themeColor="text1"/>
      </w:rPr>
      <w:t>2</w:t>
    </w:r>
    <w:r w:rsidRPr="00DC6E30">
      <w:rPr>
        <w:color w:val="000000" w:themeColor="text1"/>
      </w:rPr>
      <w:fldChar w:fldCharType="end"/>
    </w:r>
    <w:r w:rsidRPr="00DC6E30">
      <w:rPr>
        <w:color w:val="000000" w:themeColor="text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D56C" w14:textId="174080B3" w:rsidR="00A6343D" w:rsidRPr="00DC6E30" w:rsidRDefault="00A6343D" w:rsidP="00A807E6">
    <w:pPr>
      <w:pStyle w:val="NousFooter"/>
      <w:rPr>
        <w:color w:val="000000" w:themeColor="text1"/>
      </w:rPr>
    </w:pPr>
    <w:r w:rsidRPr="00DC6E30">
      <w:rPr>
        <w:color w:val="000000" w:themeColor="text1"/>
      </w:rPr>
      <w:t>| April 2020 |</w:t>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r>
    <w:r w:rsidRPr="00DC6E30">
      <w:rPr>
        <w:color w:val="000000" w:themeColor="text1"/>
      </w:rPr>
      <w:tab/>
      <w:t xml:space="preserve"> | </w:t>
    </w:r>
    <w:r w:rsidRPr="00DC6E30">
      <w:rPr>
        <w:color w:val="000000" w:themeColor="text1"/>
      </w:rPr>
      <w:fldChar w:fldCharType="begin"/>
    </w:r>
    <w:r w:rsidRPr="00DC6E30">
      <w:rPr>
        <w:color w:val="000000" w:themeColor="text1"/>
      </w:rPr>
      <w:instrText xml:space="preserve"> PAGE  \* Arabic  \* MERGEFORMAT </w:instrText>
    </w:r>
    <w:r w:rsidRPr="00DC6E30">
      <w:rPr>
        <w:color w:val="000000" w:themeColor="text1"/>
      </w:rPr>
      <w:fldChar w:fldCharType="separate"/>
    </w:r>
    <w:r w:rsidRPr="00DC6E30">
      <w:rPr>
        <w:noProof/>
        <w:color w:val="000000" w:themeColor="text1"/>
      </w:rPr>
      <w:t>3</w:t>
    </w:r>
    <w:r w:rsidRPr="00DC6E30">
      <w:rPr>
        <w:color w:val="000000" w:themeColor="text1"/>
      </w:rPr>
      <w:fldChar w:fldCharType="end"/>
    </w:r>
    <w:r w:rsidRPr="00DC6E30">
      <w:rPr>
        <w:color w:val="000000" w:themeColor="text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AD8B" w14:textId="77777777" w:rsidR="00A6343D" w:rsidRDefault="00A6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08A1" w14:textId="77777777" w:rsidR="00A6343D" w:rsidRDefault="00A6343D" w:rsidP="00C00A16">
      <w:r>
        <w:separator/>
      </w:r>
    </w:p>
    <w:p w14:paraId="379CBF69" w14:textId="77777777" w:rsidR="00A6343D" w:rsidRDefault="00A6343D"/>
  </w:footnote>
  <w:footnote w:type="continuationSeparator" w:id="0">
    <w:p w14:paraId="179983C8" w14:textId="77777777" w:rsidR="00A6343D" w:rsidRDefault="00A6343D" w:rsidP="00C00A16">
      <w:r>
        <w:continuationSeparator/>
      </w:r>
    </w:p>
    <w:p w14:paraId="776148C0" w14:textId="77777777" w:rsidR="00A6343D" w:rsidRDefault="00A6343D"/>
  </w:footnote>
  <w:footnote w:type="continuationNotice" w:id="1">
    <w:p w14:paraId="6EC16271" w14:textId="77777777" w:rsidR="00A6343D" w:rsidRDefault="00A6343D"/>
  </w:footnote>
  <w:footnote w:id="2">
    <w:p w14:paraId="12D3AE6B" w14:textId="59C795B3" w:rsidR="00A6343D" w:rsidRPr="009E4AEE" w:rsidRDefault="00A6343D" w:rsidP="00542B57">
      <w:pPr>
        <w:tabs>
          <w:tab w:val="left" w:pos="2780"/>
        </w:tabs>
        <w:rPr>
          <w:sz w:val="14"/>
          <w:szCs w:val="16"/>
        </w:rPr>
      </w:pPr>
      <w:r w:rsidRPr="00542B57">
        <w:rPr>
          <w:sz w:val="16"/>
          <w:szCs w:val="16"/>
          <w:vertAlign w:val="superscript"/>
        </w:rPr>
        <w:t>[</w:t>
      </w:r>
      <w:r w:rsidRPr="00542B57">
        <w:rPr>
          <w:rStyle w:val="FootnoteReference"/>
          <w:sz w:val="16"/>
          <w:szCs w:val="16"/>
        </w:rPr>
        <w:footnoteRef/>
      </w:r>
      <w:r w:rsidRPr="00542B57">
        <w:rPr>
          <w:sz w:val="16"/>
          <w:szCs w:val="16"/>
          <w:vertAlign w:val="superscript"/>
        </w:rPr>
        <w:t>]</w:t>
      </w:r>
      <w:r w:rsidRPr="00542B57">
        <w:rPr>
          <w:sz w:val="16"/>
          <w:szCs w:val="16"/>
        </w:rPr>
        <w:t xml:space="preserve"> This table is based on ICD-coded data from death registries and hospital admissions, identified </w:t>
      </w:r>
      <w:proofErr w:type="gramStart"/>
      <w:r w:rsidRPr="00542B57">
        <w:rPr>
          <w:sz w:val="16"/>
          <w:szCs w:val="16"/>
        </w:rPr>
        <w:t>on the basis of</w:t>
      </w:r>
      <w:proofErr w:type="gramEnd"/>
      <w:r w:rsidRPr="00542B57">
        <w:rPr>
          <w:sz w:val="16"/>
          <w:szCs w:val="16"/>
        </w:rPr>
        <w:t xml:space="preserve"> external causes codes only. It is important to recognise that injuries directly linked to specific settings or types of activity (such as most sports and leisure related injuries, as well as those that are </w:t>
      </w:r>
      <w:r>
        <w:rPr>
          <w:sz w:val="16"/>
          <w:szCs w:val="16"/>
        </w:rPr>
        <w:t>work-related</w:t>
      </w:r>
      <w:r w:rsidRPr="00542B57">
        <w:rPr>
          <w:sz w:val="16"/>
          <w:szCs w:val="16"/>
        </w:rPr>
        <w:t>), are not able to be explicitly identified from external causes alone. To identify those, there is a need to also look at Activity codes from the ICD External Causes chapter.</w:t>
      </w:r>
      <w:r w:rsidRPr="00542B57">
        <w:rPr>
          <w:sz w:val="16"/>
          <w:szCs w:val="16"/>
        </w:rPr>
        <w:fldChar w:fldCharType="begin"/>
      </w:r>
      <w:r w:rsidRPr="009E4AEE">
        <w:rPr>
          <w:sz w:val="16"/>
          <w:szCs w:val="16"/>
        </w:rPr>
        <w:instrText xml:space="preserve"> ADDIN EN.CITE &lt;EndNote&gt;&lt;Cite&gt;&lt;Author&gt;Finch&lt;/Author&gt;&lt;Year&gt;2008&lt;/Year&gt;&lt;RecNum&gt;45&lt;/RecNum&gt;&lt;DisplayText&gt;&lt;style face="superscript"&gt;10&lt;/style&gt;&lt;/DisplayText&gt;&lt;record&gt;&lt;rec-number&gt;45&lt;/rec-number&gt;&lt;foreign-keys&gt;&lt;key app="EN" db-id="2wsw9x5wvsspa1evwxlvvergx9epfd50fs2a" timestamp="1574221985"&gt;45&lt;/key&gt;&lt;/foreign-keys&gt;&lt;ref-type name="Journal Article"&gt;17&lt;/ref-type&gt;&lt;contributors&gt;&lt;authors&gt;&lt;author&gt;Finch, Caroline F&lt;/author&gt;&lt;author&gt;Boufous, Soufiane&lt;/author&gt;&lt;/authors&gt;&lt;/contributors&gt;&lt;titles&gt;&lt;title&gt;Do inadequacies in ICD-10-AM activity coded data lead to underestimates of the population frequency of sports/leisure injuries?&lt;/title&gt;&lt;secondary-title&gt;Injury Prevention&lt;/secondary-title&gt;&lt;/titles&gt;&lt;periodical&gt;&lt;full-title&gt;Injury Prevention&lt;/full-title&gt;&lt;/periodical&gt;&lt;pages&gt;202-204&lt;/pages&gt;&lt;volume&gt;14&lt;/volume&gt;&lt;number&gt;3&lt;/number&gt;&lt;dates&gt;&lt;year&gt;2008&lt;/year&gt;&lt;/dates&gt;&lt;isbn&gt;1353-8047&lt;/isbn&gt;&lt;urls&gt;&lt;/urls&gt;&lt;/record&gt;&lt;/Cite&gt;&lt;/EndNote&gt;</w:instrText>
      </w:r>
      <w:r w:rsidRPr="00542B57">
        <w:rPr>
          <w:sz w:val="16"/>
          <w:szCs w:val="16"/>
        </w:rPr>
        <w:fldChar w:fldCharType="separate"/>
      </w:r>
      <w:r w:rsidRPr="009E4AEE">
        <w:rPr>
          <w:noProof/>
          <w:sz w:val="16"/>
          <w:szCs w:val="16"/>
          <w:vertAlign w:val="superscript"/>
        </w:rPr>
        <w:t>10</w:t>
      </w:r>
      <w:r w:rsidRPr="00542B57">
        <w:rPr>
          <w:sz w:val="16"/>
          <w:szCs w:val="16"/>
        </w:rPr>
        <w:fldChar w:fldCharType="end"/>
      </w:r>
      <w:r w:rsidRPr="00542B57">
        <w:rPr>
          <w:sz w:val="16"/>
          <w:szCs w:val="16"/>
        </w:rPr>
        <w:t xml:space="preserve"> DALYs measure burden by combining years of living with a disability and years of lives lost.</w:t>
      </w:r>
    </w:p>
  </w:footnote>
  <w:footnote w:id="3">
    <w:p w14:paraId="6DA16A11" w14:textId="77777777" w:rsidR="00A6343D" w:rsidRPr="00BA3D2A" w:rsidRDefault="00A6343D" w:rsidP="00542B57">
      <w:r w:rsidRPr="0060376E">
        <w:rPr>
          <w:sz w:val="16"/>
          <w:szCs w:val="16"/>
          <w:vertAlign w:val="superscript"/>
        </w:rPr>
        <w:t>[</w:t>
      </w:r>
      <w:r w:rsidRPr="0060376E">
        <w:rPr>
          <w:rStyle w:val="FootnoteReference"/>
          <w:sz w:val="16"/>
          <w:szCs w:val="16"/>
        </w:rPr>
        <w:footnoteRef/>
      </w:r>
      <w:r w:rsidRPr="0060376E">
        <w:rPr>
          <w:sz w:val="16"/>
          <w:szCs w:val="16"/>
          <w:vertAlign w:val="superscript"/>
        </w:rPr>
        <w:t>]</w:t>
      </w:r>
      <w:r w:rsidRPr="0060376E">
        <w:rPr>
          <w:sz w:val="16"/>
          <w:szCs w:val="16"/>
        </w:rPr>
        <w:t xml:space="preserve"> </w:t>
      </w:r>
      <w:r w:rsidRPr="0060376E">
        <w:rPr>
          <w:rFonts w:cstheme="minorHAnsi"/>
          <w:sz w:val="16"/>
          <w:szCs w:val="16"/>
          <w:lang w:eastAsia="en-US"/>
        </w:rPr>
        <w:t>These data are presented according to external cause of injury codes. When data are also analysed by activity code, it can be identified that many of the cases associated with several of the categories shown above, are related to activities that are directly associated with sport or workplace settings.</w:t>
      </w:r>
    </w:p>
  </w:footnote>
  <w:footnote w:id="4">
    <w:p w14:paraId="553F649B" w14:textId="20C5E544" w:rsidR="00A6343D" w:rsidRPr="00CC28D5" w:rsidRDefault="00A6343D" w:rsidP="0060376E">
      <w:pPr>
        <w:pStyle w:val="CommentText"/>
        <w:spacing w:before="0"/>
        <w:rPr>
          <w:rFonts w:cstheme="minorHAnsi"/>
          <w:i/>
          <w:iCs/>
          <w:sz w:val="14"/>
          <w:szCs w:val="14"/>
          <w:lang w:val="en-AU" w:eastAsia="zh-CN"/>
        </w:rPr>
      </w:pPr>
      <w:r w:rsidRPr="00F14320">
        <w:rPr>
          <w:sz w:val="14"/>
          <w:szCs w:val="14"/>
          <w:vertAlign w:val="superscript"/>
        </w:rPr>
        <w:t>[</w:t>
      </w:r>
      <w:r w:rsidRPr="00F14320">
        <w:rPr>
          <w:rStyle w:val="FootnoteReference"/>
          <w:sz w:val="14"/>
          <w:szCs w:val="14"/>
        </w:rPr>
        <w:footnoteRef/>
      </w:r>
      <w:r w:rsidRPr="00F14320">
        <w:rPr>
          <w:sz w:val="14"/>
          <w:szCs w:val="14"/>
          <w:vertAlign w:val="superscript"/>
        </w:rPr>
        <w:t xml:space="preserve">] </w:t>
      </w:r>
      <w:r w:rsidRPr="00F14320">
        <w:rPr>
          <w:sz w:val="14"/>
          <w:szCs w:val="14"/>
        </w:rPr>
        <w:t xml:space="preserve">See also </w:t>
      </w:r>
      <w:r w:rsidRPr="00F14320">
        <w:rPr>
          <w:rFonts w:cstheme="minorHAnsi"/>
          <w:sz w:val="14"/>
          <w:szCs w:val="14"/>
          <w:lang w:val="en-AU" w:eastAsia="zh-CN"/>
        </w:rPr>
        <w:t xml:space="preserve">Atkinson, J., Nelson, J., Brooks, R., Atkinson, C. &amp; Ryan, K. Addressing Individual and Community Transgenerational Trauma. </w:t>
      </w:r>
      <w:r w:rsidRPr="00F14320">
        <w:rPr>
          <w:rFonts w:cstheme="minorHAnsi"/>
          <w:i/>
          <w:iCs/>
          <w:sz w:val="14"/>
          <w:szCs w:val="14"/>
          <w:lang w:val="en-AU" w:eastAsia="zh-CN"/>
        </w:rPr>
        <w:t>In:</w:t>
      </w:r>
      <w:r w:rsidRPr="00F14320">
        <w:rPr>
          <w:rFonts w:cstheme="minorHAnsi"/>
          <w:sz w:val="14"/>
          <w:szCs w:val="14"/>
          <w:lang w:val="en-AU" w:eastAsia="zh-CN"/>
        </w:rPr>
        <w:t xml:space="preserve"> Dudgeon P, Milroy M &amp; R, W. (eds.) </w:t>
      </w:r>
      <w:r w:rsidRPr="00F14320">
        <w:rPr>
          <w:rFonts w:cstheme="minorHAnsi"/>
          <w:i/>
          <w:iCs/>
          <w:sz w:val="14"/>
          <w:szCs w:val="14"/>
          <w:lang w:val="en-AU" w:eastAsia="zh-CN"/>
        </w:rPr>
        <w:t>Working Together: Aboriginal and Torres Strait Islander mental health and wellbeing principles and practice</w:t>
      </w:r>
      <w:r>
        <w:rPr>
          <w:rFonts w:cstheme="minorHAnsi"/>
          <w:i/>
          <w:iCs/>
          <w:sz w:val="14"/>
          <w:szCs w:val="14"/>
          <w:lang w:val="en-AU" w:eastAsia="zh-CN"/>
        </w:rPr>
        <w:t xml:space="preserve"> and </w:t>
      </w:r>
      <w:r w:rsidRPr="00F14320">
        <w:rPr>
          <w:rFonts w:cstheme="minorHAnsi"/>
          <w:sz w:val="14"/>
          <w:szCs w:val="14"/>
          <w:lang w:val="en-AU" w:eastAsia="zh-CN"/>
        </w:rPr>
        <w:t xml:space="preserve">Aboriginal and Torres Strait Islander Healing Foundation Development Team. 2016. Restoring our spirits, reshaping our lives: Creating a trauma aware, healing-informed response to the impacts of Institutional child sexual abuse for Aboriginal and Torres Strait Islander peoples (Discussion paper). </w:t>
      </w:r>
      <w:r w:rsidRPr="00CC28D5">
        <w:rPr>
          <w:rFonts w:cstheme="minorHAnsi"/>
          <w:sz w:val="14"/>
          <w:szCs w:val="14"/>
          <w:lang w:val="en-AU" w:eastAsia="zh-CN"/>
        </w:rPr>
        <w:t xml:space="preserve">Available: </w:t>
      </w:r>
      <w:hyperlink r:id="rId1" w:history="1">
        <w:r w:rsidRPr="00CC28D5">
          <w:rPr>
            <w:rFonts w:cstheme="minorHAnsi"/>
            <w:sz w:val="14"/>
            <w:szCs w:val="14"/>
            <w:lang w:val="en-AU" w:eastAsia="zh-CN"/>
          </w:rPr>
          <w:t>http://www.healthinfonet.ecu.edu.au/uploads/resources/31872_31872.pdf</w:t>
        </w:r>
      </w:hyperlink>
      <w:r w:rsidRPr="00CC28D5">
        <w:rPr>
          <w:rFonts w:cstheme="minorHAnsi"/>
          <w:sz w:val="14"/>
          <w:szCs w:val="14"/>
          <w:lang w:val="en-AU" w:eastAsia="zh-CN"/>
        </w:rPr>
        <w:t xml:space="preserve"> </w:t>
      </w:r>
    </w:p>
  </w:footnote>
  <w:footnote w:id="5">
    <w:p w14:paraId="165C8FF8" w14:textId="1FDEE067" w:rsidR="00A6343D" w:rsidRPr="0047561B" w:rsidRDefault="00A6343D" w:rsidP="00D91CC6">
      <w:r w:rsidRPr="0060376E">
        <w:rPr>
          <w:sz w:val="14"/>
          <w:szCs w:val="16"/>
          <w:vertAlign w:val="superscript"/>
        </w:rPr>
        <w:t>[</w:t>
      </w:r>
      <w:r w:rsidRPr="0060376E">
        <w:rPr>
          <w:rStyle w:val="FootnoteReference"/>
          <w:sz w:val="14"/>
          <w:szCs w:val="16"/>
        </w:rPr>
        <w:footnoteRef/>
      </w:r>
      <w:r w:rsidRPr="0060376E">
        <w:rPr>
          <w:sz w:val="14"/>
          <w:szCs w:val="16"/>
          <w:vertAlign w:val="superscript"/>
        </w:rPr>
        <w:t>]</w:t>
      </w:r>
      <w:r w:rsidRPr="0060376E">
        <w:rPr>
          <w:sz w:val="14"/>
          <w:szCs w:val="16"/>
        </w:rPr>
        <w:t xml:space="preserve"> It is also important to acknowledge that these burden of injury data do not capture the importance of sport and recreation settings to injury risks and rates; these risks can be assessed through exploration of activity codes.</w:t>
      </w:r>
      <w:r w:rsidRPr="0060376E">
        <w:rPr>
          <w:sz w:val="14"/>
          <w:szCs w:val="16"/>
        </w:rPr>
        <w:fldChar w:fldCharType="begin"/>
      </w:r>
      <w:r>
        <w:rPr>
          <w:sz w:val="14"/>
          <w:szCs w:val="16"/>
        </w:rPr>
        <w:instrText xml:space="preserve"> ADDIN EN.CITE &lt;EndNote&gt;&lt;Cite&gt;&lt;Author&gt;Finch&lt;/Author&gt;&lt;Year&gt;2014&lt;/Year&gt;&lt;RecNum&gt;41&lt;/RecNum&gt;&lt;DisplayText&gt;&lt;style face="superscript"&gt;6, 44&lt;/style&gt;&lt;/DisplayText&gt;&lt;record&gt;&lt;rec-number&gt;41&lt;/rec-number&gt;&lt;foreign-keys&gt;&lt;key app="EN" db-id="2wsw9x5wvsspa1evwxlvvergx9epfd50fs2a" timestamp="1574117066"&gt;41&lt;/key&gt;&lt;/foreign-keys&gt;&lt;ref-type name="Journal Article"&gt;17&lt;/ref-type&gt;&lt;contributors&gt;&lt;authors&gt;&lt;author&gt;Finch, Caroline F&lt;/author&gt;&lt;author&gt;Shee, Anna Wong&lt;/author&gt;&lt;author&gt;Clapperton, Angela&lt;/author&gt;&lt;/authors&gt;&lt;/contributors&gt;&lt;titles&gt;&lt;title&gt;Time to add a new priority target for child injury prevention? The case for an excess burden associated with sport and exercise injury: population-based study&lt;/title&gt;&lt;secondary-title&gt;BMJ open&lt;/secondary-title&gt;&lt;/titles&gt;&lt;periodical&gt;&lt;full-title&gt;BMJ open&lt;/full-title&gt;&lt;/periodical&gt;&lt;pages&gt;e005043&lt;/pages&gt;&lt;volume&gt;4&lt;/volume&gt;&lt;number&gt;7&lt;/number&gt;&lt;dates&gt;&lt;year&gt;2014&lt;/year&gt;&lt;/dates&gt;&lt;isbn&gt;2044-6055&lt;/isbn&gt;&lt;urls&gt;&lt;/urls&gt;&lt;/record&gt;&lt;/Cite&gt;&lt;Cite&gt;&lt;Author&gt;Schneuer&lt;/Author&gt;&lt;Year&gt;2018&lt;/Year&gt;&lt;RecNum&gt;43&lt;/RecNum&gt;&lt;record&gt;&lt;rec-number&gt;43&lt;/rec-number&gt;&lt;foreign-keys&gt;&lt;key app="EN" db-id="2wsw9x5wvsspa1evwxlvvergx9epfd50fs2a" timestamp="1574117136"&gt;43&lt;/key&gt;&lt;/foreign-keys&gt;&lt;ref-type name="Journal Article"&gt;17&lt;/ref-type&gt;&lt;contributors&gt;&lt;authors&gt;&lt;author&gt;Schneuer, Francisco J&lt;/author&gt;&lt;author&gt;Bell, Jane C&lt;/author&gt;&lt;author&gt;Adams, Susan E&lt;/author&gt;&lt;author&gt;Brown, Julie&lt;/author&gt;&lt;author&gt;Finch, Caroline&lt;/author&gt;&lt;author&gt;Nassar, Natasha&lt;/author&gt;&lt;/authors&gt;&lt;/contributors&gt;&lt;titles&gt;&lt;title&gt;The burden of hospitalized sports-related injuries in children: an Australian population-based study, 2005–2013&lt;/title&gt;&lt;secondary-title&gt;Injury epidemiology&lt;/secondary-title&gt;&lt;/titles&gt;&lt;periodical&gt;&lt;full-title&gt;Injury epidemiology&lt;/full-title&gt;&lt;/periodical&gt;&lt;pages&gt;45&lt;/pages&gt;&lt;volume&gt;5&lt;/volume&gt;&lt;number&gt;1&lt;/number&gt;&lt;dates&gt;&lt;year&gt;2018&lt;/year&gt;&lt;/dates&gt;&lt;isbn&gt;2197-1714&lt;/isbn&gt;&lt;urls&gt;&lt;/urls&gt;&lt;/record&gt;&lt;/Cite&gt;&lt;/EndNote&gt;</w:instrText>
      </w:r>
      <w:r w:rsidRPr="0060376E">
        <w:rPr>
          <w:sz w:val="14"/>
          <w:szCs w:val="16"/>
        </w:rPr>
        <w:fldChar w:fldCharType="separate"/>
      </w:r>
      <w:r w:rsidRPr="007D2F13">
        <w:rPr>
          <w:noProof/>
          <w:sz w:val="14"/>
          <w:szCs w:val="16"/>
          <w:vertAlign w:val="superscript"/>
        </w:rPr>
        <w:t>6, 44</w:t>
      </w:r>
      <w:r w:rsidRPr="0060376E">
        <w:rPr>
          <w:sz w:val="14"/>
          <w:szCs w:val="16"/>
        </w:rPr>
        <w:fldChar w:fldCharType="end"/>
      </w:r>
    </w:p>
  </w:footnote>
  <w:footnote w:id="6">
    <w:p w14:paraId="55A7C28A" w14:textId="77777777" w:rsidR="00A6343D" w:rsidRPr="00AC765C" w:rsidRDefault="00A6343D" w:rsidP="007617C8">
      <w:r w:rsidRPr="004523FB">
        <w:rPr>
          <w:sz w:val="16"/>
          <w:szCs w:val="16"/>
          <w:vertAlign w:val="superscript"/>
        </w:rPr>
        <w:t>[</w:t>
      </w:r>
      <w:r w:rsidRPr="004523FB">
        <w:rPr>
          <w:rStyle w:val="FootnoteReference"/>
          <w:sz w:val="16"/>
          <w:szCs w:val="16"/>
        </w:rPr>
        <w:footnoteRef/>
      </w:r>
      <w:r w:rsidRPr="004523FB">
        <w:rPr>
          <w:sz w:val="16"/>
          <w:szCs w:val="16"/>
          <w:vertAlign w:val="superscript"/>
        </w:rPr>
        <w:t>]</w:t>
      </w:r>
      <w:r w:rsidRPr="004523FB">
        <w:rPr>
          <w:sz w:val="16"/>
          <w:szCs w:val="16"/>
        </w:rPr>
        <w:t xml:space="preserve"> </w:t>
      </w:r>
      <w:r>
        <w:rPr>
          <w:rFonts w:cstheme="minorHAnsi"/>
          <w:sz w:val="16"/>
          <w:szCs w:val="16"/>
          <w:lang w:val="en-AU"/>
        </w:rPr>
        <w:t>When ICD-coded hospital data are</w:t>
      </w:r>
      <w:r w:rsidRPr="004523FB">
        <w:rPr>
          <w:rFonts w:cstheme="minorHAnsi"/>
          <w:sz w:val="16"/>
          <w:szCs w:val="16"/>
          <w:lang w:val="en-AU"/>
        </w:rPr>
        <w:t xml:space="preserve"> also analysed through activity codes, the importance of both sport and recreation settings and workplaces to injury risks and rates in this age group is prominent.</w:t>
      </w:r>
      <w:r w:rsidRPr="004523FB">
        <w:rPr>
          <w:rFonts w:cstheme="minorHAnsi"/>
          <w:sz w:val="16"/>
          <w:szCs w:val="16"/>
          <w:lang w:val="en-AU"/>
        </w:rPr>
        <w:fldChar w:fldCharType="begin"/>
      </w:r>
      <w:r>
        <w:rPr>
          <w:rFonts w:cstheme="minorHAnsi"/>
          <w:sz w:val="16"/>
          <w:szCs w:val="16"/>
          <w:lang w:val="en-AU"/>
        </w:rPr>
        <w:instrText xml:space="preserve"> ADDIN EN.CITE &lt;EndNote&gt;&lt;Cite&gt;&lt;Author&gt;Finch&lt;/Author&gt;&lt;Year&gt;2014&lt;/Year&gt;&lt;RecNum&gt;41&lt;/RecNum&gt;&lt;DisplayText&gt;&lt;style face="superscript"&gt;6&lt;/style&gt;&lt;/DisplayText&gt;&lt;record&gt;&lt;rec-number&gt;41&lt;/rec-number&gt;&lt;foreign-keys&gt;&lt;key app="EN" db-id="2wsw9x5wvsspa1evwxlvvergx9epfd50fs2a" timestamp="1574117066"&gt;41&lt;/key&gt;&lt;/foreign-keys&gt;&lt;ref-type name="Journal Article"&gt;17&lt;/ref-type&gt;&lt;contributors&gt;&lt;authors&gt;&lt;author&gt;Finch, Caroline F&lt;/author&gt;&lt;author&gt;Shee, Anna Wong&lt;/author&gt;&lt;author&gt;Clapperton, Angela&lt;/author&gt;&lt;/authors&gt;&lt;/contributors&gt;&lt;titles&gt;&lt;title&gt;Time to add a new priority target for child injury prevention? The case for an excess burden associated with sport and exercise injury: population-based study&lt;/title&gt;&lt;secondary-title&gt;BMJ open&lt;/secondary-title&gt;&lt;/titles&gt;&lt;periodical&gt;&lt;full-title&gt;BMJ open&lt;/full-title&gt;&lt;/periodical&gt;&lt;pages&gt;e005043&lt;/pages&gt;&lt;volume&gt;4&lt;/volume&gt;&lt;number&gt;7&lt;/number&gt;&lt;dates&gt;&lt;year&gt;2014&lt;/year&gt;&lt;/dates&gt;&lt;isbn&gt;2044-6055&lt;/isbn&gt;&lt;urls&gt;&lt;/urls&gt;&lt;/record&gt;&lt;/Cite&gt;&lt;/EndNote&gt;</w:instrText>
      </w:r>
      <w:r w:rsidRPr="004523FB">
        <w:rPr>
          <w:rFonts w:cstheme="minorHAnsi"/>
          <w:sz w:val="16"/>
          <w:szCs w:val="16"/>
          <w:lang w:val="en-AU"/>
        </w:rPr>
        <w:fldChar w:fldCharType="separate"/>
      </w:r>
      <w:r w:rsidRPr="007D2F13">
        <w:rPr>
          <w:rFonts w:cstheme="minorHAnsi"/>
          <w:noProof/>
          <w:sz w:val="16"/>
          <w:szCs w:val="16"/>
          <w:vertAlign w:val="superscript"/>
          <w:lang w:val="en-AU"/>
        </w:rPr>
        <w:t>6</w:t>
      </w:r>
      <w:r w:rsidRPr="004523FB">
        <w:rPr>
          <w:rFonts w:cstheme="minorHAnsi"/>
          <w:sz w:val="16"/>
          <w:szCs w:val="16"/>
          <w:lang w:val="en-AU"/>
        </w:rPr>
        <w:fldChar w:fldCharType="end"/>
      </w:r>
    </w:p>
  </w:footnote>
  <w:footnote w:id="7">
    <w:p w14:paraId="2A6BF0EF" w14:textId="05FA14EB" w:rsidR="00A6343D" w:rsidRPr="00AC765C" w:rsidRDefault="00A6343D" w:rsidP="00252376">
      <w:r w:rsidRPr="004523FB">
        <w:rPr>
          <w:sz w:val="16"/>
          <w:szCs w:val="16"/>
          <w:vertAlign w:val="superscript"/>
        </w:rPr>
        <w:t>[</w:t>
      </w:r>
      <w:r w:rsidRPr="004523FB">
        <w:rPr>
          <w:rStyle w:val="FootnoteReference"/>
          <w:sz w:val="16"/>
          <w:szCs w:val="16"/>
        </w:rPr>
        <w:footnoteRef/>
      </w:r>
      <w:r w:rsidRPr="004523FB">
        <w:rPr>
          <w:sz w:val="16"/>
          <w:szCs w:val="16"/>
          <w:vertAlign w:val="superscript"/>
        </w:rPr>
        <w:t>]</w:t>
      </w:r>
      <w:r w:rsidRPr="004523FB">
        <w:rPr>
          <w:sz w:val="16"/>
          <w:szCs w:val="16"/>
        </w:rPr>
        <w:t xml:space="preserve"> Culturally relevant includes consideration to language, knowledge and beliefs, kinship, cultural expression, self-determination, and country and caring for country.</w:t>
      </w:r>
      <w:r w:rsidRPr="004523FB">
        <w:rPr>
          <w:sz w:val="16"/>
          <w:szCs w:val="16"/>
        </w:rPr>
        <w:fldChar w:fldCharType="begin"/>
      </w:r>
      <w:r>
        <w:rPr>
          <w:sz w:val="16"/>
          <w:szCs w:val="16"/>
        </w:rPr>
        <w:instrText xml:space="preserve"> ADDIN EN.CITE &lt;EndNote&gt;&lt;Cite&gt;&lt;Author&gt;Department of Health&lt;/Author&gt;&lt;Year&gt;2015&lt;/Year&gt;&lt;RecNum&gt;88&lt;/RecNum&gt;&lt;DisplayText&gt;&lt;style face="superscript"&gt;63&lt;/style&gt;&lt;/DisplayText&gt;&lt;record&gt;&lt;rec-number&gt;88&lt;/rec-number&gt;&lt;foreign-keys&gt;&lt;key app="EN" db-id="2wsw9x5wvsspa1evwxlvvergx9epfd50fs2a" timestamp="1576820607"&gt;88&lt;/key&gt;&lt;/foreign-keys&gt;&lt;ref-type name="Government Document"&gt;46&lt;/ref-type&gt;&lt;contributors&gt;&lt;authors&gt;&lt;author&gt;Department of Health,&lt;/author&gt;&lt;/authors&gt;&lt;secondary-authors&gt;&lt;author&gt;Australian Government&lt;/author&gt;&lt;/secondary-authors&gt;&lt;/contributors&gt;&lt;titles&gt;&lt;title&gt;Implementation Plan for the National Aboriginal and Torres Strait Islander Health Plan 2013–2023&lt;/title&gt;&lt;/titles&gt;&lt;dates&gt;&lt;year&gt;2015&lt;/year&gt;&lt;/dates&gt;&lt;pub-location&gt;Canberra&lt;/pub-location&gt;&lt;urls&gt;&lt;related-urls&gt;&lt;url&gt;https://www1.health.gov.au/internet/main/publishing.nsf/Content/AC51639D3C8CD4ECCA257E8B00007AC5/$File/DOH_ImplementationPlan_v3.pdf&lt;/url&gt;&lt;/related-urls&gt;&lt;/urls&gt;&lt;/record&gt;&lt;/Cite&gt;&lt;/EndNote&gt;</w:instrText>
      </w:r>
      <w:r w:rsidRPr="004523FB">
        <w:rPr>
          <w:sz w:val="16"/>
          <w:szCs w:val="16"/>
        </w:rPr>
        <w:fldChar w:fldCharType="separate"/>
      </w:r>
      <w:r w:rsidRPr="002C69BD">
        <w:rPr>
          <w:noProof/>
          <w:sz w:val="16"/>
          <w:szCs w:val="16"/>
          <w:vertAlign w:val="superscript"/>
        </w:rPr>
        <w:t>63</w:t>
      </w:r>
      <w:r w:rsidRPr="004523FB">
        <w:rPr>
          <w:sz w:val="16"/>
          <w:szCs w:val="16"/>
        </w:rPr>
        <w:fldChar w:fldCharType="end"/>
      </w:r>
    </w:p>
  </w:footnote>
  <w:footnote w:id="8">
    <w:p w14:paraId="77151BE5" w14:textId="53C9C29B" w:rsidR="00A6343D" w:rsidRPr="0047561B" w:rsidRDefault="00A6343D" w:rsidP="00AB4C7E">
      <w:r w:rsidRPr="004523FB">
        <w:rPr>
          <w:sz w:val="16"/>
          <w:szCs w:val="16"/>
          <w:vertAlign w:val="superscript"/>
        </w:rPr>
        <w:t>[</w:t>
      </w:r>
      <w:r w:rsidRPr="00921E77">
        <w:rPr>
          <w:rStyle w:val="FootnoteReference"/>
          <w:sz w:val="16"/>
          <w:szCs w:val="16"/>
        </w:rPr>
        <w:footnoteRef/>
      </w:r>
      <w:r w:rsidRPr="00921E77">
        <w:rPr>
          <w:sz w:val="16"/>
          <w:szCs w:val="16"/>
          <w:vertAlign w:val="superscript"/>
        </w:rPr>
        <w:t>]</w:t>
      </w:r>
      <w:r w:rsidRPr="00921E77">
        <w:rPr>
          <w:sz w:val="16"/>
          <w:szCs w:val="16"/>
        </w:rPr>
        <w:t xml:space="preserve"> Data sovereignty is </w:t>
      </w:r>
      <w:r w:rsidRPr="00921E77">
        <w:rPr>
          <w:i/>
          <w:sz w:val="16"/>
          <w:szCs w:val="16"/>
        </w:rPr>
        <w:t>“the right to determine the means of collection, access, analysis, interpretation, management, dissemination and reuse of data pertaining to the Indigenous peoples from whom they have been derived, or to whom they relate</w:t>
      </w:r>
      <w:r w:rsidRPr="00921E77">
        <w:rPr>
          <w:sz w:val="16"/>
          <w:szCs w:val="16"/>
        </w:rPr>
        <w:t>”.</w:t>
      </w:r>
      <w:r w:rsidRPr="00921E77">
        <w:rPr>
          <w:sz w:val="16"/>
          <w:szCs w:val="16"/>
        </w:rPr>
        <w:fldChar w:fldCharType="begin"/>
      </w:r>
      <w:r>
        <w:rPr>
          <w:sz w:val="16"/>
          <w:szCs w:val="16"/>
        </w:rPr>
        <w:instrText xml:space="preserve"> ADDIN EN.CITE &lt;EndNote&gt;&lt;Cite ExcludeAuth="1" ExcludeYear="1"&gt;&lt;Author&gt;Walter&lt;/Author&gt;&lt;Year&gt;2018&lt;/Year&gt;&lt;RecNum&gt;58&lt;/RecNum&gt;&lt;DisplayText&gt;&lt;style face="superscript"&gt;69&lt;/style&gt;&lt;/DisplayText&gt;&lt;record&gt;&lt;rec-number&gt;58&lt;/rec-number&gt;&lt;foreign-keys&gt;&lt;key app="EN" db-id="2wsw9x5wvsspa1evwxlvvergx9epfd50fs2a" timestamp="1574993508"&gt;58&lt;/key&gt;&lt;/foreign-keys&gt;&lt;ref-type name="Web Page"&gt;12&lt;/ref-type&gt;&lt;contributors&gt;&lt;authors&gt;&lt;author&gt;Walter, M. &lt;/author&gt;&lt;/authors&gt;&lt;/contributors&gt;&lt;titles&gt;&lt;title&gt;The voice of Indigenous data. Beyond the markers of disadvantage&lt;/title&gt;&lt;/titles&gt;&lt;volume&gt;2019&lt;/volume&gt;&lt;number&gt;5 November&lt;/number&gt;&lt;dates&gt;&lt;year&gt;2018&lt;/year&gt;&lt;/dates&gt;&lt;publisher&gt;Griffith Review 60&lt;/publisher&gt;&lt;urls&gt;&lt;related-urls&gt;&lt;url&gt;https://www.griffithreview.com/articles/voice-indigenous-data-beyond-disadvantage/&lt;/url&gt;&lt;/related-urls&gt;&lt;/urls&gt;&lt;/record&gt;&lt;/Cite&gt;&lt;/EndNote&gt;</w:instrText>
      </w:r>
      <w:r w:rsidRPr="00921E77">
        <w:rPr>
          <w:sz w:val="16"/>
          <w:szCs w:val="16"/>
        </w:rPr>
        <w:fldChar w:fldCharType="separate"/>
      </w:r>
      <w:r w:rsidRPr="002C69BD">
        <w:rPr>
          <w:noProof/>
          <w:sz w:val="16"/>
          <w:szCs w:val="16"/>
          <w:vertAlign w:val="superscript"/>
        </w:rPr>
        <w:t>69</w:t>
      </w:r>
      <w:r w:rsidRPr="00921E77">
        <w:rPr>
          <w:sz w:val="16"/>
          <w:szCs w:val="16"/>
        </w:rPr>
        <w:fldChar w:fldCharType="end"/>
      </w:r>
      <w:r w:rsidRPr="00921E77">
        <w:rPr>
          <w:sz w:val="16"/>
          <w:szCs w:val="16"/>
        </w:rPr>
        <w:t xml:space="preserve"> It is "</w:t>
      </w:r>
      <w:r w:rsidRPr="00921E77">
        <w:rPr>
          <w:i/>
          <w:sz w:val="16"/>
          <w:szCs w:val="16"/>
        </w:rPr>
        <w:t>linked with Indigenous peoples’ right to maintain, control, protect and develop their cultural heritage, traditional knowledge and traditional cultural expressions, as well as their right to maintain, control, protect and develop their intellectual property over these</w:t>
      </w:r>
      <w:r w:rsidRPr="00921E77">
        <w:rPr>
          <w:sz w:val="16"/>
          <w:szCs w:val="16"/>
        </w:rPr>
        <w:t>”(p. xxii)</w:t>
      </w:r>
      <w:r>
        <w:rPr>
          <w:sz w:val="16"/>
          <w:szCs w:val="16"/>
        </w:rPr>
        <w:t>.</w:t>
      </w:r>
      <w:r w:rsidRPr="00921E77">
        <w:rPr>
          <w:sz w:val="16"/>
          <w:szCs w:val="16"/>
        </w:rPr>
        <w:fldChar w:fldCharType="begin"/>
      </w:r>
      <w:r>
        <w:rPr>
          <w:sz w:val="16"/>
          <w:szCs w:val="16"/>
        </w:rPr>
        <w:instrText xml:space="preserve"> ADDIN EN.CITE &lt;EndNote&gt;&lt;Cite&gt;&lt;Author&gt;Kukutai&lt;/Author&gt;&lt;Year&gt;2016&lt;/Year&gt;&lt;RecNum&gt;65&lt;/RecNum&gt;&lt;DisplayText&gt;&lt;style face="superscript"&gt;70&lt;/style&gt;&lt;/DisplayText&gt;&lt;record&gt;&lt;rec-number&gt;65&lt;/rec-number&gt;&lt;foreign-keys&gt;&lt;key app="EN" db-id="2wsw9x5wvsspa1evwxlvvergx9epfd50fs2a" timestamp="1574998333"&gt;65&lt;/key&gt;&lt;/foreign-keys&gt;&lt;ref-type name="Book"&gt;6&lt;/ref-type&gt;&lt;contributors&gt;&lt;authors&gt;&lt;author&gt;Kukutai, Tahu&lt;/author&gt;&lt;author&gt;Taylor, John&lt;/author&gt;&lt;/authors&gt;&lt;/contributors&gt;&lt;titles&gt;&lt;title&gt;Indigenous data sovereignty : toward an agenda&lt;/title&gt;&lt;secondary-title&gt;Research monograph (Australian National University. Centre for Aboriginal Economic Policy Research)&lt;/secondary-title&gt;&lt;/titles&gt;&lt;volume&gt;38&lt;/volume&gt;&lt;keywords&gt;&lt;keyword&gt;Aboriginal Australians -- Legal status, laws, etc&lt;/keyword&gt;&lt;keyword&gt;Aboriginal Australians -- Statistics&lt;/keyword&gt;&lt;keyword&gt;Records -- Access control -- Australia&lt;/keyword&gt;&lt;keyword&gt;Australian&lt;/keyword&gt;&lt;/keywords&gt;&lt;dates&gt;&lt;year&gt;2016&lt;/year&gt;&lt;/dates&gt;&lt;pub-location&gt;Acton, A.C.T.&lt;/pub-location&gt;&lt;publisher&gt;ANU Press&lt;/publisher&gt;&lt;isbn&gt;1760460311&lt;/isbn&gt;&lt;urls&gt;&lt;/urls&gt;&lt;/record&gt;&lt;/Cite&gt;&lt;Cite&gt;&lt;Author&gt;Kukutai&lt;/Author&gt;&lt;Year&gt;2016&lt;/Year&gt;&lt;RecNum&gt;65&lt;/RecNum&gt;&lt;record&gt;&lt;rec-number&gt;65&lt;/rec-number&gt;&lt;foreign-keys&gt;&lt;key app="EN" db-id="2wsw9x5wvsspa1evwxlvvergx9epfd50fs2a" timestamp="1574998333"&gt;65&lt;/key&gt;&lt;/foreign-keys&gt;&lt;ref-type name="Book"&gt;6&lt;/ref-type&gt;&lt;contributors&gt;&lt;authors&gt;&lt;author&gt;Kukutai, Tahu&lt;/author&gt;&lt;author&gt;Taylor, John&lt;/author&gt;&lt;/authors&gt;&lt;/contributors&gt;&lt;titles&gt;&lt;title&gt;Indigenous data sovereignty : toward an agenda&lt;/title&gt;&lt;secondary-title&gt;Research monograph (Australian National University. Centre for Aboriginal Economic Policy Research)&lt;/secondary-title&gt;&lt;/titles&gt;&lt;volume&gt;38&lt;/volume&gt;&lt;keywords&gt;&lt;keyword&gt;Aboriginal Australians -- Legal status, laws, etc&lt;/keyword&gt;&lt;keyword&gt;Aboriginal Australians -- Statistics&lt;/keyword&gt;&lt;keyword&gt;Records -- Access control -- Australia&lt;/keyword&gt;&lt;keyword&gt;Australian&lt;/keyword&gt;&lt;/keywords&gt;&lt;dates&gt;&lt;year&gt;2016&lt;/year&gt;&lt;/dates&gt;&lt;pub-location&gt;Acton, A.C.T.&lt;/pub-location&gt;&lt;publisher&gt;ANU Press&lt;/publisher&gt;&lt;isbn&gt;1760460311&lt;/isbn&gt;&lt;urls&gt;&lt;/urls&gt;&lt;/record&gt;&lt;/Cite&gt;&lt;/EndNote&gt;</w:instrText>
      </w:r>
      <w:r w:rsidRPr="00921E77">
        <w:rPr>
          <w:sz w:val="16"/>
          <w:szCs w:val="16"/>
        </w:rPr>
        <w:fldChar w:fldCharType="end"/>
      </w:r>
      <w:r>
        <w:rPr>
          <w:sz w:val="16"/>
          <w:szCs w:val="16"/>
          <w:vertAlign w:val="superscript"/>
        </w:rPr>
        <w:t>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3459" w14:textId="77777777" w:rsidR="00FA58C2" w:rsidRDefault="00FA58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DA87" w14:textId="77777777" w:rsidR="00A6343D" w:rsidRPr="007F390E" w:rsidRDefault="00A6343D" w:rsidP="00A83FF9">
    <w:pPr>
      <w:jc w:val="right"/>
      <w:rPr>
        <w:sz w:val="18"/>
        <w:szCs w:val="18"/>
        <w:lang w:val="en-AU"/>
      </w:rPr>
    </w:pPr>
    <w:r w:rsidRPr="0059195A">
      <w:rPr>
        <w:sz w:val="18"/>
        <w:szCs w:val="18"/>
        <w:lang w:val="en-AU"/>
      </w:rPr>
      <w:t>National Injury Prevention Strategy</w:t>
    </w:r>
    <w:r>
      <w:rPr>
        <w:sz w:val="18"/>
        <w:szCs w:val="18"/>
        <w:lang w:val="en-AU"/>
      </w:rPr>
      <w:t xml:space="preserve"> </w:t>
    </w:r>
    <w:r w:rsidRPr="0059195A">
      <w:rPr>
        <w:sz w:val="18"/>
        <w:szCs w:val="18"/>
        <w:lang w:val="en-AU"/>
      </w:rPr>
      <w:t>2020-2030</w:t>
    </w:r>
    <w:r>
      <w:rPr>
        <w:sz w:val="18"/>
        <w:szCs w:val="18"/>
        <w:lang w:val="en-AU"/>
      </w:rPr>
      <w:t xml:space="preserve"> – Draft for consultation</w:t>
    </w:r>
  </w:p>
  <w:p w14:paraId="73386020" w14:textId="5950B94E" w:rsidR="00A6343D" w:rsidRPr="00A83FF9" w:rsidRDefault="00A6343D" w:rsidP="00A83F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74D0" w14:textId="77777777" w:rsidR="00A6343D" w:rsidRPr="007F390E" w:rsidRDefault="00A6343D" w:rsidP="00A83FF9">
    <w:pPr>
      <w:jc w:val="right"/>
      <w:rPr>
        <w:sz w:val="18"/>
        <w:szCs w:val="18"/>
        <w:lang w:val="en-AU"/>
      </w:rPr>
    </w:pPr>
    <w:r w:rsidRPr="0059195A">
      <w:rPr>
        <w:sz w:val="18"/>
        <w:szCs w:val="18"/>
        <w:lang w:val="en-AU"/>
      </w:rPr>
      <w:t>National Injury Prevention Strategy</w:t>
    </w:r>
    <w:r>
      <w:rPr>
        <w:sz w:val="18"/>
        <w:szCs w:val="18"/>
        <w:lang w:val="en-AU"/>
      </w:rPr>
      <w:t xml:space="preserve"> </w:t>
    </w:r>
    <w:r w:rsidRPr="0059195A">
      <w:rPr>
        <w:sz w:val="18"/>
        <w:szCs w:val="18"/>
        <w:lang w:val="en-AU"/>
      </w:rPr>
      <w:t>2020-2030</w:t>
    </w:r>
    <w:r>
      <w:rPr>
        <w:sz w:val="18"/>
        <w:szCs w:val="18"/>
        <w:lang w:val="en-AU"/>
      </w:rPr>
      <w:t xml:space="preserve"> – Draft for consultation</w:t>
    </w:r>
  </w:p>
  <w:p w14:paraId="00420DC2" w14:textId="3F71A24F" w:rsidR="00A6343D" w:rsidRPr="00A83FF9" w:rsidRDefault="00A6343D" w:rsidP="00A83F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7F96" w14:textId="77777777" w:rsidR="00A6343D" w:rsidRPr="007F390E" w:rsidRDefault="00A6343D" w:rsidP="00A83FF9">
    <w:pPr>
      <w:jc w:val="right"/>
      <w:rPr>
        <w:sz w:val="18"/>
        <w:szCs w:val="18"/>
        <w:lang w:val="en-AU"/>
      </w:rPr>
    </w:pPr>
    <w:r w:rsidRPr="0059195A">
      <w:rPr>
        <w:sz w:val="18"/>
        <w:szCs w:val="18"/>
        <w:lang w:val="en-AU"/>
      </w:rPr>
      <w:t>National Injury Prevention Strategy</w:t>
    </w:r>
    <w:r>
      <w:rPr>
        <w:sz w:val="18"/>
        <w:szCs w:val="18"/>
        <w:lang w:val="en-AU"/>
      </w:rPr>
      <w:t xml:space="preserve"> </w:t>
    </w:r>
    <w:r w:rsidRPr="0059195A">
      <w:rPr>
        <w:sz w:val="18"/>
        <w:szCs w:val="18"/>
        <w:lang w:val="en-AU"/>
      </w:rPr>
      <w:t>2020-2030</w:t>
    </w:r>
    <w:r>
      <w:rPr>
        <w:sz w:val="18"/>
        <w:szCs w:val="18"/>
        <w:lang w:val="en-AU"/>
      </w:rPr>
      <w:t xml:space="preserve"> – Draft for consultation</w:t>
    </w:r>
  </w:p>
  <w:p w14:paraId="54E38167" w14:textId="4845DC69" w:rsidR="00A6343D" w:rsidRPr="00A83FF9" w:rsidRDefault="00A6343D" w:rsidP="00A83FF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B035" w14:textId="47E7F96A" w:rsidR="00A6343D" w:rsidRPr="007F390E" w:rsidRDefault="00A6343D" w:rsidP="00466F3F">
    <w:pPr>
      <w:jc w:val="right"/>
      <w:rPr>
        <w:sz w:val="18"/>
        <w:szCs w:val="18"/>
        <w:lang w:val="en-AU"/>
      </w:rPr>
    </w:pPr>
    <w:r w:rsidRPr="0059195A">
      <w:rPr>
        <w:sz w:val="18"/>
        <w:szCs w:val="18"/>
        <w:lang w:val="en-AU"/>
      </w:rPr>
      <w:t>National Injury Prevention Strategy</w:t>
    </w:r>
    <w:r>
      <w:rPr>
        <w:sz w:val="18"/>
        <w:szCs w:val="18"/>
        <w:lang w:val="en-AU"/>
      </w:rPr>
      <w:t xml:space="preserve"> </w:t>
    </w:r>
    <w:r w:rsidRPr="0059195A">
      <w:rPr>
        <w:sz w:val="18"/>
        <w:szCs w:val="18"/>
        <w:lang w:val="en-AU"/>
      </w:rPr>
      <w:t>2020-2030</w:t>
    </w:r>
    <w:r>
      <w:rPr>
        <w:sz w:val="18"/>
        <w:szCs w:val="18"/>
        <w:lang w:val="en-AU"/>
      </w:rPr>
      <w:t xml:space="preserve"> – Draft for consultation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8743" w14:textId="77777777" w:rsidR="00FA58C2" w:rsidRDefault="00FA5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F84F" w14:textId="77777777" w:rsidR="00FA58C2" w:rsidRDefault="00FA58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333B" w14:textId="0F64C79A" w:rsidR="00A6343D" w:rsidRPr="007F390E" w:rsidRDefault="00A6343D" w:rsidP="005E319F">
    <w:pPr>
      <w:jc w:val="right"/>
      <w:rPr>
        <w:sz w:val="18"/>
        <w:szCs w:val="18"/>
        <w:lang w:val="en-AU"/>
      </w:rPr>
    </w:pPr>
    <w:r w:rsidRPr="0059195A">
      <w:rPr>
        <w:sz w:val="18"/>
        <w:szCs w:val="18"/>
        <w:lang w:val="en-AU"/>
      </w:rPr>
      <w:t>National Injury Prevention Strategy</w:t>
    </w:r>
    <w:r>
      <w:rPr>
        <w:sz w:val="18"/>
        <w:szCs w:val="18"/>
        <w:lang w:val="en-AU"/>
      </w:rPr>
      <w:t xml:space="preserve"> </w:t>
    </w:r>
    <w:r w:rsidRPr="0059195A">
      <w:rPr>
        <w:sz w:val="18"/>
        <w:szCs w:val="18"/>
        <w:lang w:val="en-AU"/>
      </w:rPr>
      <w:t>2020-2030</w:t>
    </w:r>
    <w:r>
      <w:rPr>
        <w:sz w:val="18"/>
        <w:szCs w:val="18"/>
        <w:lang w:val="en-AU"/>
      </w:rPr>
      <w:t xml:space="preserve"> – Draft for consultation</w:t>
    </w:r>
  </w:p>
  <w:p w14:paraId="58CCC97C" w14:textId="5E9C68B1" w:rsidR="00A6343D" w:rsidRPr="007F390E" w:rsidRDefault="00A6343D" w:rsidP="007F390E">
    <w:pPr>
      <w:rPr>
        <w:sz w:val="18"/>
        <w:szCs w:val="18"/>
        <w:lang w:val="en-A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84CD" w14:textId="5C59A35E" w:rsidR="00A6343D" w:rsidRPr="00DC6E30" w:rsidRDefault="00A6343D" w:rsidP="00E77D5C">
    <w:pPr>
      <w:jc w:val="right"/>
      <w:rPr>
        <w:color w:val="000000" w:themeColor="text1"/>
        <w:sz w:val="18"/>
        <w:szCs w:val="18"/>
        <w:lang w:val="en-AU"/>
      </w:rPr>
    </w:pPr>
    <w:r w:rsidRPr="00DC6E30">
      <w:rPr>
        <w:color w:val="000000" w:themeColor="text1"/>
        <w:sz w:val="18"/>
        <w:szCs w:val="18"/>
        <w:lang w:val="en-AU"/>
      </w:rPr>
      <w:t>National Injury Prevention Strategy 2020-2030 – Draft for consultation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91B9" w14:textId="77777777" w:rsidR="00A6343D" w:rsidRDefault="00A634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6C6B" w14:textId="77777777" w:rsidR="00A6343D" w:rsidRDefault="00A634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3BD8" w14:textId="77777777" w:rsidR="00A6343D" w:rsidRPr="007F390E" w:rsidRDefault="00A6343D" w:rsidP="00A83FF9">
    <w:pPr>
      <w:jc w:val="right"/>
      <w:rPr>
        <w:sz w:val="18"/>
        <w:szCs w:val="18"/>
        <w:lang w:val="en-AU"/>
      </w:rPr>
    </w:pPr>
    <w:r w:rsidRPr="0059195A">
      <w:rPr>
        <w:sz w:val="18"/>
        <w:szCs w:val="18"/>
        <w:lang w:val="en-AU"/>
      </w:rPr>
      <w:t>National Injury Prevention Strategy</w:t>
    </w:r>
    <w:r>
      <w:rPr>
        <w:sz w:val="18"/>
        <w:szCs w:val="18"/>
        <w:lang w:val="en-AU"/>
      </w:rPr>
      <w:t xml:space="preserve"> </w:t>
    </w:r>
    <w:r w:rsidRPr="0059195A">
      <w:rPr>
        <w:sz w:val="18"/>
        <w:szCs w:val="18"/>
        <w:lang w:val="en-AU"/>
      </w:rPr>
      <w:t>2020-2030</w:t>
    </w:r>
    <w:r>
      <w:rPr>
        <w:sz w:val="18"/>
        <w:szCs w:val="18"/>
        <w:lang w:val="en-AU"/>
      </w:rPr>
      <w:t xml:space="preserve"> – Draft for consultation</w:t>
    </w:r>
  </w:p>
  <w:p w14:paraId="18D6FD73" w14:textId="3EBC890B" w:rsidR="00A6343D" w:rsidRDefault="00A6343D" w:rsidP="00E77D5C">
    <w:pPr>
      <w:jc w:val="right"/>
      <w:rPr>
        <w:sz w:val="18"/>
        <w:szCs w:val="18"/>
        <w:lang w:val="en-AU"/>
      </w:rPr>
    </w:pPr>
  </w:p>
  <w:p w14:paraId="02612F71" w14:textId="77777777" w:rsidR="00A6343D" w:rsidRPr="007F390E" w:rsidRDefault="00A6343D" w:rsidP="00E77D5C">
    <w:pPr>
      <w:jc w:val="right"/>
      <w:rPr>
        <w:sz w:val="18"/>
        <w:szCs w:val="18"/>
        <w:lang w:val="en-A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FFDD" w14:textId="77777777" w:rsidR="00A6343D" w:rsidRPr="007F390E" w:rsidRDefault="00A6343D" w:rsidP="00A83FF9">
    <w:pPr>
      <w:jc w:val="right"/>
      <w:rPr>
        <w:sz w:val="18"/>
        <w:szCs w:val="18"/>
        <w:lang w:val="en-AU"/>
      </w:rPr>
    </w:pPr>
    <w:r w:rsidRPr="0059195A">
      <w:rPr>
        <w:sz w:val="18"/>
        <w:szCs w:val="18"/>
        <w:lang w:val="en-AU"/>
      </w:rPr>
      <w:t>National Injury Prevention Strategy</w:t>
    </w:r>
    <w:r>
      <w:rPr>
        <w:sz w:val="18"/>
        <w:szCs w:val="18"/>
        <w:lang w:val="en-AU"/>
      </w:rPr>
      <w:t xml:space="preserve"> </w:t>
    </w:r>
    <w:r w:rsidRPr="0059195A">
      <w:rPr>
        <w:sz w:val="18"/>
        <w:szCs w:val="18"/>
        <w:lang w:val="en-AU"/>
      </w:rPr>
      <w:t>2020-2030</w:t>
    </w:r>
    <w:r>
      <w:rPr>
        <w:sz w:val="18"/>
        <w:szCs w:val="18"/>
        <w:lang w:val="en-AU"/>
      </w:rPr>
      <w:t xml:space="preserve"> – Draft for consultation</w:t>
    </w:r>
  </w:p>
  <w:p w14:paraId="645E0746" w14:textId="15075365" w:rsidR="00A6343D" w:rsidRPr="00A83FF9" w:rsidRDefault="00A6343D" w:rsidP="00A83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FEA"/>
    <w:multiLevelType w:val="hybridMultilevel"/>
    <w:tmpl w:val="257A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83A75"/>
    <w:multiLevelType w:val="hybridMultilevel"/>
    <w:tmpl w:val="D7B8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12E99"/>
    <w:multiLevelType w:val="multilevel"/>
    <w:tmpl w:val="77B6E9C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4421A93"/>
    <w:multiLevelType w:val="hybridMultilevel"/>
    <w:tmpl w:val="3F60AC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F72084"/>
    <w:multiLevelType w:val="hybridMultilevel"/>
    <w:tmpl w:val="4896F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E84371"/>
    <w:multiLevelType w:val="multilevel"/>
    <w:tmpl w:val="77B6E9C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89451A8"/>
    <w:multiLevelType w:val="hybridMultilevel"/>
    <w:tmpl w:val="A8FA288C"/>
    <w:lvl w:ilvl="0" w:tplc="0C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23266"/>
    <w:multiLevelType w:val="multilevel"/>
    <w:tmpl w:val="A96639D2"/>
    <w:lvl w:ilvl="0">
      <w:start w:val="1"/>
      <w:numFmt w:val="lowerLetter"/>
      <w:lvlText w:val="%1)"/>
      <w:lvlJc w:val="left"/>
      <w:pPr>
        <w:ind w:left="360" w:hanging="360"/>
      </w:pPr>
      <w:rPr>
        <w:rFonts w:hint="default"/>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0AC30A26"/>
    <w:multiLevelType w:val="hybridMultilevel"/>
    <w:tmpl w:val="031A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1C68E6"/>
    <w:multiLevelType w:val="hybridMultilevel"/>
    <w:tmpl w:val="FFE8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D811D8"/>
    <w:multiLevelType w:val="multilevel"/>
    <w:tmpl w:val="A538DB8A"/>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CDE412A"/>
    <w:multiLevelType w:val="hybridMultilevel"/>
    <w:tmpl w:val="F0BE4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644AB8"/>
    <w:multiLevelType w:val="multilevel"/>
    <w:tmpl w:val="D1C62080"/>
    <w:lvl w:ilvl="0">
      <w:start w:val="1"/>
      <w:numFmt w:val="bullet"/>
      <w:lvlText w:val=""/>
      <w:lvlJc w:val="left"/>
      <w:pPr>
        <w:ind w:left="360" w:hanging="360"/>
      </w:pPr>
      <w:rPr>
        <w:rFonts w:ascii="Symbol" w:hAnsi="Symbol" w:hint="default"/>
        <w:color w:val="000000" w:themeColor="text1"/>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FD8727C"/>
    <w:multiLevelType w:val="hybridMultilevel"/>
    <w:tmpl w:val="84507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6E75BB"/>
    <w:multiLevelType w:val="multilevel"/>
    <w:tmpl w:val="6C0C656C"/>
    <w:lvl w:ilvl="0">
      <w:start w:val="1"/>
      <w:numFmt w:val="lowerLetter"/>
      <w:lvlText w:val="%1)"/>
      <w:lvlJc w:val="left"/>
      <w:pPr>
        <w:ind w:left="360" w:hanging="360"/>
      </w:pPr>
      <w:rPr>
        <w:rFonts w:hint="default"/>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17D24C6"/>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12F31D01"/>
    <w:multiLevelType w:val="multilevel"/>
    <w:tmpl w:val="77B6E9C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3BD6C58"/>
    <w:multiLevelType w:val="hybridMultilevel"/>
    <w:tmpl w:val="5C302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5660FC"/>
    <w:multiLevelType w:val="hybridMultilevel"/>
    <w:tmpl w:val="BC826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CE7AFD"/>
    <w:multiLevelType w:val="multilevel"/>
    <w:tmpl w:val="77B6E9C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C2B5A81"/>
    <w:multiLevelType w:val="hybridMultilevel"/>
    <w:tmpl w:val="A51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236AB7"/>
    <w:multiLevelType w:val="hybridMultilevel"/>
    <w:tmpl w:val="5E7C1B80"/>
    <w:lvl w:ilvl="0" w:tplc="4DB20E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F8589D"/>
    <w:multiLevelType w:val="hybridMultilevel"/>
    <w:tmpl w:val="83A2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1D7AC4"/>
    <w:multiLevelType w:val="hybridMultilevel"/>
    <w:tmpl w:val="E7C05ACC"/>
    <w:lvl w:ilvl="0" w:tplc="90B2771C">
      <w:start w:val="18"/>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1AD1E4C"/>
    <w:multiLevelType w:val="hybridMultilevel"/>
    <w:tmpl w:val="0C845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4B4585"/>
    <w:multiLevelType w:val="hybridMultilevel"/>
    <w:tmpl w:val="8E189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E22427"/>
    <w:multiLevelType w:val="hybridMultilevel"/>
    <w:tmpl w:val="E2EAD356"/>
    <w:lvl w:ilvl="0" w:tplc="64AE04B4">
      <w:start w:val="1"/>
      <w:numFmt w:val="bullet"/>
      <w:pStyle w:val="BulletPoint1"/>
      <w:lvlText w:val=""/>
      <w:lvlJc w:val="left"/>
      <w:pPr>
        <w:ind w:left="360" w:hanging="360"/>
      </w:pPr>
      <w:rPr>
        <w:rFonts w:ascii="Symbol" w:hAnsi="Symbol" w:hint="default"/>
        <w:color w:val="3581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D31E94"/>
    <w:multiLevelType w:val="hybridMultilevel"/>
    <w:tmpl w:val="9FDAE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6D60D23"/>
    <w:multiLevelType w:val="hybridMultilevel"/>
    <w:tmpl w:val="A8CC1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4962B1"/>
    <w:multiLevelType w:val="hybridMultilevel"/>
    <w:tmpl w:val="81E2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8434EE4"/>
    <w:multiLevelType w:val="hybridMultilevel"/>
    <w:tmpl w:val="01264EB2"/>
    <w:lvl w:ilvl="0" w:tplc="960254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7841E0"/>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2" w15:restartNumberingAfterBreak="0">
    <w:nsid w:val="28EA472F"/>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3" w15:restartNumberingAfterBreak="0">
    <w:nsid w:val="2B412AB0"/>
    <w:multiLevelType w:val="multilevel"/>
    <w:tmpl w:val="D1C62080"/>
    <w:lvl w:ilvl="0">
      <w:start w:val="1"/>
      <w:numFmt w:val="bullet"/>
      <w:lvlText w:val=""/>
      <w:lvlJc w:val="left"/>
      <w:pPr>
        <w:ind w:left="360" w:hanging="360"/>
      </w:pPr>
      <w:rPr>
        <w:rFonts w:ascii="Symbol" w:hAnsi="Symbol" w:hint="default"/>
        <w:color w:val="000000" w:themeColor="text1"/>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BA80610"/>
    <w:multiLevelType w:val="multilevel"/>
    <w:tmpl w:val="77B6E9C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EDD03E2"/>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6" w15:restartNumberingAfterBreak="0">
    <w:nsid w:val="31E5669E"/>
    <w:multiLevelType w:val="hybridMultilevel"/>
    <w:tmpl w:val="22149D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333C5033"/>
    <w:multiLevelType w:val="hybridMultilevel"/>
    <w:tmpl w:val="DFF2F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38659FA"/>
    <w:multiLevelType w:val="hybridMultilevel"/>
    <w:tmpl w:val="0922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46B309F"/>
    <w:multiLevelType w:val="hybridMultilevel"/>
    <w:tmpl w:val="179860C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4AD1E4D"/>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1" w15:restartNumberingAfterBreak="0">
    <w:nsid w:val="39203B37"/>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2" w15:restartNumberingAfterBreak="0">
    <w:nsid w:val="39C32DD1"/>
    <w:multiLevelType w:val="multilevel"/>
    <w:tmpl w:val="A96639D2"/>
    <w:lvl w:ilvl="0">
      <w:start w:val="1"/>
      <w:numFmt w:val="lowerLetter"/>
      <w:lvlText w:val="%1)"/>
      <w:lvlJc w:val="left"/>
      <w:pPr>
        <w:ind w:left="360" w:hanging="360"/>
      </w:pPr>
      <w:rPr>
        <w:rFonts w:hint="default"/>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3" w15:restartNumberingAfterBreak="0">
    <w:nsid w:val="39D1413D"/>
    <w:multiLevelType w:val="multilevel"/>
    <w:tmpl w:val="AC4687B6"/>
    <w:lvl w:ilvl="0">
      <w:start w:val="1"/>
      <w:numFmt w:val="lowerLetter"/>
      <w:pStyle w:val="TableNBullet"/>
      <w:lvlText w:val="%1)"/>
      <w:lvlJc w:val="left"/>
      <w:pPr>
        <w:ind w:left="360" w:hanging="360"/>
      </w:pPr>
      <w:rPr>
        <w:rFonts w:hint="default"/>
        <w:color w:val="auto"/>
        <w:position w:val="4"/>
        <w:sz w:val="21"/>
        <w:szCs w:val="21"/>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4" w15:restartNumberingAfterBreak="0">
    <w:nsid w:val="3B137C9B"/>
    <w:multiLevelType w:val="multilevel"/>
    <w:tmpl w:val="6C0C656C"/>
    <w:lvl w:ilvl="0">
      <w:start w:val="1"/>
      <w:numFmt w:val="lowerLetter"/>
      <w:lvlText w:val="%1)"/>
      <w:lvlJc w:val="left"/>
      <w:pPr>
        <w:ind w:left="360" w:hanging="360"/>
      </w:pPr>
      <w:rPr>
        <w:rFonts w:hint="default"/>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3CDE4198"/>
    <w:multiLevelType w:val="hybridMultilevel"/>
    <w:tmpl w:val="7BA274E2"/>
    <w:lvl w:ilvl="0" w:tplc="EE084848">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E3B16DB"/>
    <w:multiLevelType w:val="hybridMultilevel"/>
    <w:tmpl w:val="09A6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282FFC"/>
    <w:multiLevelType w:val="hybridMultilevel"/>
    <w:tmpl w:val="03088B76"/>
    <w:lvl w:ilvl="0" w:tplc="12C698B0">
      <w:start w:val="1"/>
      <w:numFmt w:val="bullet"/>
      <w:lvlText w:val=""/>
      <w:lvlJc w:val="left"/>
      <w:pPr>
        <w:ind w:left="108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E440CB"/>
    <w:multiLevelType w:val="multilevel"/>
    <w:tmpl w:val="CFE8933C"/>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42E5111F"/>
    <w:multiLevelType w:val="multilevel"/>
    <w:tmpl w:val="63B6DA12"/>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0" w15:restartNumberingAfterBreak="0">
    <w:nsid w:val="43BB2188"/>
    <w:multiLevelType w:val="hybridMultilevel"/>
    <w:tmpl w:val="1A48C21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60871E6"/>
    <w:multiLevelType w:val="hybridMultilevel"/>
    <w:tmpl w:val="4F9EC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66E33F0"/>
    <w:multiLevelType w:val="hybridMultilevel"/>
    <w:tmpl w:val="9E081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6BE2D93"/>
    <w:multiLevelType w:val="hybridMultilevel"/>
    <w:tmpl w:val="ACCC941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6C6688A"/>
    <w:multiLevelType w:val="hybridMultilevel"/>
    <w:tmpl w:val="6CE4C52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5" w15:restartNumberingAfterBreak="0">
    <w:nsid w:val="47DE517E"/>
    <w:multiLevelType w:val="hybridMultilevel"/>
    <w:tmpl w:val="4350C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C206FE"/>
    <w:multiLevelType w:val="hybridMultilevel"/>
    <w:tmpl w:val="F216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A7D6C56"/>
    <w:multiLevelType w:val="multilevel"/>
    <w:tmpl w:val="77B6E9C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4BE55172"/>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9" w15:restartNumberingAfterBreak="0">
    <w:nsid w:val="4C244AD2"/>
    <w:multiLevelType w:val="hybridMultilevel"/>
    <w:tmpl w:val="3E0228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4D574114"/>
    <w:multiLevelType w:val="hybridMultilevel"/>
    <w:tmpl w:val="D778A7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53327527"/>
    <w:multiLevelType w:val="hybridMultilevel"/>
    <w:tmpl w:val="4B2C2FD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3651CA6"/>
    <w:multiLevelType w:val="multilevel"/>
    <w:tmpl w:val="6C0C656C"/>
    <w:lvl w:ilvl="0">
      <w:start w:val="1"/>
      <w:numFmt w:val="lowerLetter"/>
      <w:lvlText w:val="%1)"/>
      <w:lvlJc w:val="left"/>
      <w:pPr>
        <w:ind w:left="360" w:hanging="360"/>
      </w:pPr>
      <w:rPr>
        <w:rFonts w:hint="default"/>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563C78B5"/>
    <w:multiLevelType w:val="hybridMultilevel"/>
    <w:tmpl w:val="D2F8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6C80970"/>
    <w:multiLevelType w:val="hybridMultilevel"/>
    <w:tmpl w:val="850E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331083"/>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6" w15:restartNumberingAfterBreak="0">
    <w:nsid w:val="58F31D29"/>
    <w:multiLevelType w:val="multilevel"/>
    <w:tmpl w:val="A96639D2"/>
    <w:lvl w:ilvl="0">
      <w:start w:val="1"/>
      <w:numFmt w:val="lowerLetter"/>
      <w:lvlText w:val="%1)"/>
      <w:lvlJc w:val="left"/>
      <w:pPr>
        <w:ind w:left="360" w:hanging="360"/>
      </w:pPr>
      <w:rPr>
        <w:rFonts w:hint="default"/>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7" w15:restartNumberingAfterBreak="0">
    <w:nsid w:val="59C5199A"/>
    <w:multiLevelType w:val="hybridMultilevel"/>
    <w:tmpl w:val="ACCC941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AF12182"/>
    <w:multiLevelType w:val="hybridMultilevel"/>
    <w:tmpl w:val="E76810EC"/>
    <w:lvl w:ilvl="0" w:tplc="729EB1FC">
      <w:start w:val="1"/>
      <w:numFmt w:val="lowerLetter"/>
      <w:lvlText w:val="%1)"/>
      <w:lvlJc w:val="left"/>
      <w:pPr>
        <w:ind w:left="432" w:hanging="360"/>
      </w:pPr>
      <w:rPr>
        <w:i w:val="0"/>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69" w15:restartNumberingAfterBreak="0">
    <w:nsid w:val="5BF33D55"/>
    <w:multiLevelType w:val="hybridMultilevel"/>
    <w:tmpl w:val="4BEA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C8D512E"/>
    <w:multiLevelType w:val="hybridMultilevel"/>
    <w:tmpl w:val="3F3C5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CE9193B"/>
    <w:multiLevelType w:val="hybridMultilevel"/>
    <w:tmpl w:val="4330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DB82170"/>
    <w:multiLevelType w:val="hybridMultilevel"/>
    <w:tmpl w:val="179860C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5F545960"/>
    <w:multiLevelType w:val="hybridMultilevel"/>
    <w:tmpl w:val="FFE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4753174"/>
    <w:multiLevelType w:val="hybridMultilevel"/>
    <w:tmpl w:val="1A967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74938D0"/>
    <w:multiLevelType w:val="hybridMultilevel"/>
    <w:tmpl w:val="A5F0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74D4C32"/>
    <w:multiLevelType w:val="hybridMultilevel"/>
    <w:tmpl w:val="A936F37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7672751"/>
    <w:multiLevelType w:val="multilevel"/>
    <w:tmpl w:val="A96639D2"/>
    <w:lvl w:ilvl="0">
      <w:start w:val="1"/>
      <w:numFmt w:val="lowerLetter"/>
      <w:lvlText w:val="%1)"/>
      <w:lvlJc w:val="left"/>
      <w:pPr>
        <w:ind w:left="360" w:hanging="360"/>
      </w:pPr>
      <w:rPr>
        <w:rFonts w:hint="default"/>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8" w15:restartNumberingAfterBreak="0">
    <w:nsid w:val="6A51023D"/>
    <w:multiLevelType w:val="multilevel"/>
    <w:tmpl w:val="A538DB8A"/>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6A7B47BC"/>
    <w:multiLevelType w:val="hybridMultilevel"/>
    <w:tmpl w:val="BE7E8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B0A2BDA"/>
    <w:multiLevelType w:val="hybridMultilevel"/>
    <w:tmpl w:val="01962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B543366"/>
    <w:multiLevelType w:val="hybridMultilevel"/>
    <w:tmpl w:val="6352C8A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6DDE3C90"/>
    <w:multiLevelType w:val="multilevel"/>
    <w:tmpl w:val="A7D88B56"/>
    <w:lvl w:ilvl="0">
      <w:start w:val="1"/>
      <w:numFmt w:val="decimal"/>
      <w:pStyle w:val="NumberedList"/>
      <w:lvlText w:val="%1."/>
      <w:lvlJc w:val="left"/>
      <w:pPr>
        <w:tabs>
          <w:tab w:val="num" w:pos="397"/>
        </w:tabs>
        <w:ind w:left="397" w:hanging="397"/>
      </w:pPr>
      <w:rPr>
        <w:rFonts w:hint="default"/>
      </w:rPr>
    </w:lvl>
    <w:lvl w:ilvl="1">
      <w:start w:val="1"/>
      <w:numFmt w:val="bullet"/>
      <w:pStyle w:val="BulletedList"/>
      <w:lvlText w:val=""/>
      <w:lvlJc w:val="left"/>
      <w:pPr>
        <w:tabs>
          <w:tab w:val="num" w:pos="1531"/>
        </w:tabs>
        <w:ind w:left="1531" w:hanging="397"/>
      </w:pPr>
      <w:rPr>
        <w:rFonts w:ascii="Wingdings 3" w:hAnsi="Wingdings 3" w:hint="default"/>
        <w:color w:val="5B9BD5"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E256362"/>
    <w:multiLevelType w:val="hybridMultilevel"/>
    <w:tmpl w:val="4878B7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6EE75517"/>
    <w:multiLevelType w:val="hybridMultilevel"/>
    <w:tmpl w:val="1F705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09E21EE"/>
    <w:multiLevelType w:val="multilevel"/>
    <w:tmpl w:val="830AA9B6"/>
    <w:lvl w:ilvl="0">
      <w:start w:val="1"/>
      <w:numFmt w:val="lowerLetter"/>
      <w:lvlText w:val="%1)"/>
      <w:lvlJc w:val="left"/>
      <w:pPr>
        <w:ind w:left="360" w:hanging="360"/>
      </w:pPr>
      <w:rPr>
        <w:rFonts w:hint="default"/>
        <w:i w:val="0"/>
        <w:color w:val="auto"/>
        <w:position w:val="4"/>
        <w:sz w:val="22"/>
        <w:szCs w:val="22"/>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6" w15:restartNumberingAfterBreak="0">
    <w:nsid w:val="70A659CC"/>
    <w:multiLevelType w:val="hybridMultilevel"/>
    <w:tmpl w:val="4878B7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20F05D6"/>
    <w:multiLevelType w:val="multilevel"/>
    <w:tmpl w:val="11B6B240"/>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72742E9F"/>
    <w:multiLevelType w:val="hybridMultilevel"/>
    <w:tmpl w:val="AF68C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3C87EDA"/>
    <w:multiLevelType w:val="hybridMultilevel"/>
    <w:tmpl w:val="830E4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57E2C67"/>
    <w:multiLevelType w:val="hybridMultilevel"/>
    <w:tmpl w:val="47668A50"/>
    <w:lvl w:ilvl="0" w:tplc="D2E428B8">
      <w:start w:val="1"/>
      <w:numFmt w:val="decimal"/>
      <w:pStyle w:val="Numberedtable"/>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65975CA"/>
    <w:multiLevelType w:val="hybridMultilevel"/>
    <w:tmpl w:val="0A3E4D3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780F38DA"/>
    <w:multiLevelType w:val="multilevel"/>
    <w:tmpl w:val="A538DB8A"/>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78EE22CE"/>
    <w:multiLevelType w:val="hybridMultilevel"/>
    <w:tmpl w:val="020CF8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7A4A3EC2"/>
    <w:multiLevelType w:val="multilevel"/>
    <w:tmpl w:val="A538DB8A"/>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E76575F"/>
    <w:multiLevelType w:val="hybridMultilevel"/>
    <w:tmpl w:val="60D66EB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7E780E0F"/>
    <w:multiLevelType w:val="hybridMultilevel"/>
    <w:tmpl w:val="F4760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82"/>
  </w:num>
  <w:num w:numId="3">
    <w:abstractNumId w:val="22"/>
  </w:num>
  <w:num w:numId="4">
    <w:abstractNumId w:val="70"/>
  </w:num>
  <w:num w:numId="5">
    <w:abstractNumId w:val="6"/>
  </w:num>
  <w:num w:numId="6">
    <w:abstractNumId w:val="21"/>
  </w:num>
  <w:num w:numId="7">
    <w:abstractNumId w:val="45"/>
  </w:num>
  <w:num w:numId="8">
    <w:abstractNumId w:val="4"/>
  </w:num>
  <w:num w:numId="9">
    <w:abstractNumId w:val="84"/>
  </w:num>
  <w:num w:numId="10">
    <w:abstractNumId w:val="87"/>
  </w:num>
  <w:num w:numId="11">
    <w:abstractNumId w:val="80"/>
  </w:num>
  <w:num w:numId="12">
    <w:abstractNumId w:val="33"/>
  </w:num>
  <w:num w:numId="13">
    <w:abstractNumId w:val="12"/>
  </w:num>
  <w:num w:numId="14">
    <w:abstractNumId w:val="28"/>
  </w:num>
  <w:num w:numId="15">
    <w:abstractNumId w:val="54"/>
  </w:num>
  <w:num w:numId="16">
    <w:abstractNumId w:val="52"/>
  </w:num>
  <w:num w:numId="17">
    <w:abstractNumId w:val="20"/>
  </w:num>
  <w:num w:numId="18">
    <w:abstractNumId w:val="89"/>
  </w:num>
  <w:num w:numId="19">
    <w:abstractNumId w:val="55"/>
  </w:num>
  <w:num w:numId="20">
    <w:abstractNumId w:val="56"/>
  </w:num>
  <w:num w:numId="21">
    <w:abstractNumId w:val="17"/>
  </w:num>
  <w:num w:numId="22">
    <w:abstractNumId w:val="71"/>
  </w:num>
  <w:num w:numId="23">
    <w:abstractNumId w:val="25"/>
  </w:num>
  <w:num w:numId="24">
    <w:abstractNumId w:val="47"/>
  </w:num>
  <w:num w:numId="25">
    <w:abstractNumId w:val="59"/>
  </w:num>
  <w:num w:numId="26">
    <w:abstractNumId w:val="23"/>
  </w:num>
  <w:num w:numId="27">
    <w:abstractNumId w:val="10"/>
  </w:num>
  <w:num w:numId="28">
    <w:abstractNumId w:val="19"/>
  </w:num>
  <w:num w:numId="29">
    <w:abstractNumId w:val="57"/>
  </w:num>
  <w:num w:numId="30">
    <w:abstractNumId w:val="48"/>
  </w:num>
  <w:num w:numId="31">
    <w:abstractNumId w:val="90"/>
  </w:num>
  <w:num w:numId="32">
    <w:abstractNumId w:val="34"/>
  </w:num>
  <w:num w:numId="33">
    <w:abstractNumId w:val="2"/>
  </w:num>
  <w:num w:numId="34">
    <w:abstractNumId w:val="91"/>
  </w:num>
  <w:num w:numId="35">
    <w:abstractNumId w:val="60"/>
  </w:num>
  <w:num w:numId="36">
    <w:abstractNumId w:val="67"/>
  </w:num>
  <w:num w:numId="37">
    <w:abstractNumId w:val="9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num>
  <w:num w:numId="40">
    <w:abstractNumId w:val="64"/>
  </w:num>
  <w:num w:numId="41">
    <w:abstractNumId w:val="37"/>
  </w:num>
  <w:num w:numId="42">
    <w:abstractNumId w:val="96"/>
  </w:num>
  <w:num w:numId="43">
    <w:abstractNumId w:val="75"/>
  </w:num>
  <w:num w:numId="44">
    <w:abstractNumId w:val="69"/>
  </w:num>
  <w:num w:numId="45">
    <w:abstractNumId w:val="8"/>
  </w:num>
  <w:num w:numId="46">
    <w:abstractNumId w:val="36"/>
  </w:num>
  <w:num w:numId="47">
    <w:abstractNumId w:val="90"/>
    <w:lvlOverride w:ilvl="0">
      <w:startOverride w:val="1"/>
    </w:lvlOverride>
  </w:num>
  <w:num w:numId="48">
    <w:abstractNumId w:val="90"/>
  </w:num>
  <w:num w:numId="49">
    <w:abstractNumId w:val="24"/>
  </w:num>
  <w:num w:numId="50">
    <w:abstractNumId w:val="51"/>
  </w:num>
  <w:num w:numId="51">
    <w:abstractNumId w:val="63"/>
  </w:num>
  <w:num w:numId="52">
    <w:abstractNumId w:val="30"/>
  </w:num>
  <w:num w:numId="53">
    <w:abstractNumId w:val="29"/>
  </w:num>
  <w:num w:numId="54">
    <w:abstractNumId w:val="16"/>
  </w:num>
  <w:num w:numId="55">
    <w:abstractNumId w:val="39"/>
  </w:num>
  <w:num w:numId="56">
    <w:abstractNumId w:val="53"/>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num>
  <w:num w:numId="61">
    <w:abstractNumId w:val="42"/>
  </w:num>
  <w:num w:numId="62">
    <w:abstractNumId w:val="66"/>
  </w:num>
  <w:num w:numId="63">
    <w:abstractNumId w:val="77"/>
  </w:num>
  <w:num w:numId="64">
    <w:abstractNumId w:val="76"/>
  </w:num>
  <w:num w:numId="65">
    <w:abstractNumId w:val="68"/>
  </w:num>
  <w:num w:numId="66">
    <w:abstractNumId w:val="61"/>
  </w:num>
  <w:num w:numId="67">
    <w:abstractNumId w:val="3"/>
  </w:num>
  <w:num w:numId="68">
    <w:abstractNumId w:val="95"/>
  </w:num>
  <w:num w:numId="69">
    <w:abstractNumId w:val="83"/>
  </w:num>
  <w:num w:numId="70">
    <w:abstractNumId w:val="86"/>
  </w:num>
  <w:num w:numId="71">
    <w:abstractNumId w:val="78"/>
  </w:num>
  <w:num w:numId="72">
    <w:abstractNumId w:val="94"/>
  </w:num>
  <w:num w:numId="73">
    <w:abstractNumId w:val="49"/>
  </w:num>
  <w:num w:numId="74">
    <w:abstractNumId w:val="7"/>
  </w:num>
  <w:num w:numId="75">
    <w:abstractNumId w:val="35"/>
  </w:num>
  <w:num w:numId="76">
    <w:abstractNumId w:val="62"/>
  </w:num>
  <w:num w:numId="77">
    <w:abstractNumId w:val="44"/>
  </w:num>
  <w:num w:numId="78">
    <w:abstractNumId w:val="14"/>
  </w:num>
  <w:num w:numId="79">
    <w:abstractNumId w:val="32"/>
  </w:num>
  <w:num w:numId="80">
    <w:abstractNumId w:val="15"/>
  </w:num>
  <w:num w:numId="81">
    <w:abstractNumId w:val="40"/>
  </w:num>
  <w:num w:numId="82">
    <w:abstractNumId w:val="85"/>
  </w:num>
  <w:num w:numId="83">
    <w:abstractNumId w:val="58"/>
  </w:num>
  <w:num w:numId="84">
    <w:abstractNumId w:val="65"/>
  </w:num>
  <w:num w:numId="85">
    <w:abstractNumId w:val="31"/>
  </w:num>
  <w:num w:numId="86">
    <w:abstractNumId w:val="26"/>
  </w:num>
  <w:num w:numId="87">
    <w:abstractNumId w:val="9"/>
  </w:num>
  <w:num w:numId="88">
    <w:abstractNumId w:val="41"/>
  </w:num>
  <w:num w:numId="89">
    <w:abstractNumId w:val="92"/>
  </w:num>
  <w:num w:numId="90">
    <w:abstractNumId w:val="46"/>
  </w:num>
  <w:num w:numId="91">
    <w:abstractNumId w:val="79"/>
  </w:num>
  <w:num w:numId="92">
    <w:abstractNumId w:val="18"/>
  </w:num>
  <w:num w:numId="93">
    <w:abstractNumId w:val="50"/>
  </w:num>
  <w:num w:numId="94">
    <w:abstractNumId w:val="74"/>
  </w:num>
  <w:num w:numId="95">
    <w:abstractNumId w:val="27"/>
  </w:num>
  <w:num w:numId="96">
    <w:abstractNumId w:val="13"/>
  </w:num>
  <w:num w:numId="97">
    <w:abstractNumId w:val="11"/>
  </w:num>
  <w:num w:numId="98">
    <w:abstractNumId w:val="38"/>
  </w:num>
  <w:num w:numId="99">
    <w:abstractNumId w:val="0"/>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num>
  <w:num w:numId="102">
    <w:abstractNumId w:val="73"/>
  </w:num>
  <w:num w:numId="103">
    <w:abstractNumId w:val="8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AU"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ja-JP" w:vendorID="64" w:dllVersion="0" w:nlCheck="1" w:checkStyle="1"/>
  <w:activeWritingStyle w:appName="MSWord" w:lang="en-CA" w:vendorID="64" w:dllVersion="0" w:nlCheck="1" w:checkStyle="0"/>
  <w:activeWritingStyle w:appName="MSWord" w:lang="en-CA" w:vendorID="64" w:dllVersion="6"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8&lt;/FontSize&gt;&lt;ReflistTitle&gt;&lt;/ReflistTitle&gt;&lt;StartingRefnum&gt;1&lt;/StartingRefnum&gt;&lt;FirstLineIndent&gt;0&lt;/FirstLineIndent&gt;&lt;HangingIndent&gt;565&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sw9x5wvsspa1evwxlvvergx9epfd50fs2a&quot;&gt;Draft2_Strategy&lt;record-ids&gt;&lt;item&gt;1&lt;/item&gt;&lt;item&gt;2&lt;/item&gt;&lt;item&gt;3&lt;/item&gt;&lt;item&gt;4&lt;/item&gt;&lt;item&gt;7&lt;/item&gt;&lt;item&gt;8&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2&lt;/item&gt;&lt;item&gt;33&lt;/item&gt;&lt;item&gt;34&lt;/item&gt;&lt;item&gt;35&lt;/item&gt;&lt;item&gt;36&lt;/item&gt;&lt;item&gt;37&lt;/item&gt;&lt;item&gt;38&lt;/item&gt;&lt;item&gt;39&lt;/item&gt;&lt;item&gt;41&lt;/item&gt;&lt;item&gt;43&lt;/item&gt;&lt;item&gt;45&lt;/item&gt;&lt;item&gt;48&lt;/item&gt;&lt;item&gt;50&lt;/item&gt;&lt;item&gt;52&lt;/item&gt;&lt;item&gt;53&lt;/item&gt;&lt;item&gt;58&lt;/item&gt;&lt;item&gt;65&lt;/item&gt;&lt;item&gt;67&lt;/item&gt;&lt;item&gt;68&lt;/item&gt;&lt;item&gt;69&lt;/item&gt;&lt;item&gt;70&lt;/item&gt;&lt;item&gt;71&lt;/item&gt;&lt;item&gt;73&lt;/item&gt;&lt;item&gt;82&lt;/item&gt;&lt;item&gt;83&lt;/item&gt;&lt;item&gt;84&lt;/item&gt;&lt;item&gt;85&lt;/item&gt;&lt;item&gt;88&lt;/item&gt;&lt;item&gt;89&lt;/item&gt;&lt;item&gt;90&lt;/item&gt;&lt;item&gt;91&lt;/item&gt;&lt;item&gt;93&lt;/item&gt;&lt;item&gt;95&lt;/item&gt;&lt;item&gt;96&lt;/item&gt;&lt;item&gt;97&lt;/item&gt;&lt;item&gt;101&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284080"/>
    <w:rsid w:val="00000355"/>
    <w:rsid w:val="00000F04"/>
    <w:rsid w:val="00002118"/>
    <w:rsid w:val="00003B2D"/>
    <w:rsid w:val="000048C6"/>
    <w:rsid w:val="00004977"/>
    <w:rsid w:val="000055F1"/>
    <w:rsid w:val="00005D37"/>
    <w:rsid w:val="00006C4F"/>
    <w:rsid w:val="00006E4D"/>
    <w:rsid w:val="0000756E"/>
    <w:rsid w:val="00007C67"/>
    <w:rsid w:val="00011826"/>
    <w:rsid w:val="00011987"/>
    <w:rsid w:val="0001209F"/>
    <w:rsid w:val="000145F8"/>
    <w:rsid w:val="00014BD8"/>
    <w:rsid w:val="00020436"/>
    <w:rsid w:val="000208AC"/>
    <w:rsid w:val="0002192A"/>
    <w:rsid w:val="0002197B"/>
    <w:rsid w:val="00022F52"/>
    <w:rsid w:val="000232B9"/>
    <w:rsid w:val="000258F5"/>
    <w:rsid w:val="00025AC3"/>
    <w:rsid w:val="00027089"/>
    <w:rsid w:val="00030F44"/>
    <w:rsid w:val="0003166D"/>
    <w:rsid w:val="00032C16"/>
    <w:rsid w:val="00034A75"/>
    <w:rsid w:val="00035774"/>
    <w:rsid w:val="00035C01"/>
    <w:rsid w:val="00035F41"/>
    <w:rsid w:val="00036A1C"/>
    <w:rsid w:val="0004005C"/>
    <w:rsid w:val="00040D46"/>
    <w:rsid w:val="0004141C"/>
    <w:rsid w:val="000424C3"/>
    <w:rsid w:val="00044231"/>
    <w:rsid w:val="00044397"/>
    <w:rsid w:val="00044C97"/>
    <w:rsid w:val="00046929"/>
    <w:rsid w:val="0004723A"/>
    <w:rsid w:val="000474DE"/>
    <w:rsid w:val="00050E44"/>
    <w:rsid w:val="00051D43"/>
    <w:rsid w:val="00052171"/>
    <w:rsid w:val="00052EE3"/>
    <w:rsid w:val="0005331D"/>
    <w:rsid w:val="0005367D"/>
    <w:rsid w:val="000555E7"/>
    <w:rsid w:val="00060F4E"/>
    <w:rsid w:val="00061147"/>
    <w:rsid w:val="00061345"/>
    <w:rsid w:val="000619D9"/>
    <w:rsid w:val="00061B59"/>
    <w:rsid w:val="00061F69"/>
    <w:rsid w:val="0006472C"/>
    <w:rsid w:val="00065FE4"/>
    <w:rsid w:val="00066559"/>
    <w:rsid w:val="000665EA"/>
    <w:rsid w:val="00066C01"/>
    <w:rsid w:val="00066C94"/>
    <w:rsid w:val="00070925"/>
    <w:rsid w:val="0007148E"/>
    <w:rsid w:val="00071B27"/>
    <w:rsid w:val="00071BF4"/>
    <w:rsid w:val="00072C78"/>
    <w:rsid w:val="0007375F"/>
    <w:rsid w:val="00073978"/>
    <w:rsid w:val="0007469F"/>
    <w:rsid w:val="00074E4F"/>
    <w:rsid w:val="000751E4"/>
    <w:rsid w:val="000803ED"/>
    <w:rsid w:val="00080593"/>
    <w:rsid w:val="000823B7"/>
    <w:rsid w:val="000833EC"/>
    <w:rsid w:val="000838B9"/>
    <w:rsid w:val="00084125"/>
    <w:rsid w:val="0008531D"/>
    <w:rsid w:val="00085996"/>
    <w:rsid w:val="000867C8"/>
    <w:rsid w:val="0008698A"/>
    <w:rsid w:val="00087060"/>
    <w:rsid w:val="00090193"/>
    <w:rsid w:val="00090EB7"/>
    <w:rsid w:val="0009115A"/>
    <w:rsid w:val="000928D0"/>
    <w:rsid w:val="00093839"/>
    <w:rsid w:val="00096AA8"/>
    <w:rsid w:val="00097DB3"/>
    <w:rsid w:val="000A0372"/>
    <w:rsid w:val="000A05E2"/>
    <w:rsid w:val="000A083B"/>
    <w:rsid w:val="000A0D6E"/>
    <w:rsid w:val="000A1E05"/>
    <w:rsid w:val="000A2798"/>
    <w:rsid w:val="000A27F0"/>
    <w:rsid w:val="000A32F4"/>
    <w:rsid w:val="000A44C2"/>
    <w:rsid w:val="000A5139"/>
    <w:rsid w:val="000A5515"/>
    <w:rsid w:val="000A5ADD"/>
    <w:rsid w:val="000A7347"/>
    <w:rsid w:val="000A7EFC"/>
    <w:rsid w:val="000B0B35"/>
    <w:rsid w:val="000B1241"/>
    <w:rsid w:val="000B21E8"/>
    <w:rsid w:val="000B24D0"/>
    <w:rsid w:val="000B751C"/>
    <w:rsid w:val="000B7A0D"/>
    <w:rsid w:val="000C0438"/>
    <w:rsid w:val="000C0C80"/>
    <w:rsid w:val="000C0F15"/>
    <w:rsid w:val="000C25B9"/>
    <w:rsid w:val="000C2EEA"/>
    <w:rsid w:val="000C3B94"/>
    <w:rsid w:val="000C4BC7"/>
    <w:rsid w:val="000C5CB6"/>
    <w:rsid w:val="000C5F08"/>
    <w:rsid w:val="000C7195"/>
    <w:rsid w:val="000C7E2F"/>
    <w:rsid w:val="000D021F"/>
    <w:rsid w:val="000D36E7"/>
    <w:rsid w:val="000D3C7C"/>
    <w:rsid w:val="000D5071"/>
    <w:rsid w:val="000D56D8"/>
    <w:rsid w:val="000D5FEE"/>
    <w:rsid w:val="000D6E5D"/>
    <w:rsid w:val="000D6FE7"/>
    <w:rsid w:val="000E2C2C"/>
    <w:rsid w:val="000E2CAA"/>
    <w:rsid w:val="000E2EB6"/>
    <w:rsid w:val="000E2F13"/>
    <w:rsid w:val="000E35E7"/>
    <w:rsid w:val="000E3ED7"/>
    <w:rsid w:val="000E4603"/>
    <w:rsid w:val="000E5883"/>
    <w:rsid w:val="000E5DFE"/>
    <w:rsid w:val="000E7E74"/>
    <w:rsid w:val="000F0EE3"/>
    <w:rsid w:val="000F1A8B"/>
    <w:rsid w:val="000F22B2"/>
    <w:rsid w:val="000F22E8"/>
    <w:rsid w:val="000F255B"/>
    <w:rsid w:val="000F26E8"/>
    <w:rsid w:val="000F301E"/>
    <w:rsid w:val="000F48DB"/>
    <w:rsid w:val="000F556A"/>
    <w:rsid w:val="000F6E32"/>
    <w:rsid w:val="000F6EE2"/>
    <w:rsid w:val="000F78F5"/>
    <w:rsid w:val="000F7D86"/>
    <w:rsid w:val="00100715"/>
    <w:rsid w:val="00100BAA"/>
    <w:rsid w:val="001016EE"/>
    <w:rsid w:val="00101A2A"/>
    <w:rsid w:val="001028E4"/>
    <w:rsid w:val="00102B57"/>
    <w:rsid w:val="00102EEA"/>
    <w:rsid w:val="00104B24"/>
    <w:rsid w:val="00105643"/>
    <w:rsid w:val="00105EE9"/>
    <w:rsid w:val="00106101"/>
    <w:rsid w:val="0010677F"/>
    <w:rsid w:val="001068AF"/>
    <w:rsid w:val="00106C52"/>
    <w:rsid w:val="00106D5A"/>
    <w:rsid w:val="001108AA"/>
    <w:rsid w:val="00110BFF"/>
    <w:rsid w:val="00111829"/>
    <w:rsid w:val="00112080"/>
    <w:rsid w:val="0011377E"/>
    <w:rsid w:val="00113E67"/>
    <w:rsid w:val="001148FE"/>
    <w:rsid w:val="001151D9"/>
    <w:rsid w:val="00115567"/>
    <w:rsid w:val="0011580A"/>
    <w:rsid w:val="00115E16"/>
    <w:rsid w:val="00116233"/>
    <w:rsid w:val="00116DA5"/>
    <w:rsid w:val="001174A4"/>
    <w:rsid w:val="00117784"/>
    <w:rsid w:val="00117B83"/>
    <w:rsid w:val="00117C6D"/>
    <w:rsid w:val="001207FC"/>
    <w:rsid w:val="00120A74"/>
    <w:rsid w:val="00122349"/>
    <w:rsid w:val="001225E1"/>
    <w:rsid w:val="001233B8"/>
    <w:rsid w:val="0012346B"/>
    <w:rsid w:val="00124DDF"/>
    <w:rsid w:val="00125256"/>
    <w:rsid w:val="00130348"/>
    <w:rsid w:val="00130481"/>
    <w:rsid w:val="001315C7"/>
    <w:rsid w:val="001346C9"/>
    <w:rsid w:val="00135475"/>
    <w:rsid w:val="00135A51"/>
    <w:rsid w:val="001444EA"/>
    <w:rsid w:val="00144DC4"/>
    <w:rsid w:val="0014501A"/>
    <w:rsid w:val="00145213"/>
    <w:rsid w:val="001457FE"/>
    <w:rsid w:val="00146850"/>
    <w:rsid w:val="00147A97"/>
    <w:rsid w:val="001502E4"/>
    <w:rsid w:val="00150C16"/>
    <w:rsid w:val="00150F14"/>
    <w:rsid w:val="00153632"/>
    <w:rsid w:val="00155ED0"/>
    <w:rsid w:val="00156699"/>
    <w:rsid w:val="0015684F"/>
    <w:rsid w:val="00157C25"/>
    <w:rsid w:val="0016057A"/>
    <w:rsid w:val="00161F5E"/>
    <w:rsid w:val="001629E7"/>
    <w:rsid w:val="00162DAD"/>
    <w:rsid w:val="00164425"/>
    <w:rsid w:val="00165073"/>
    <w:rsid w:val="00166B87"/>
    <w:rsid w:val="00166CF1"/>
    <w:rsid w:val="00170C1F"/>
    <w:rsid w:val="00170EF7"/>
    <w:rsid w:val="00171139"/>
    <w:rsid w:val="00172175"/>
    <w:rsid w:val="0017338F"/>
    <w:rsid w:val="001733BB"/>
    <w:rsid w:val="00173534"/>
    <w:rsid w:val="001760CB"/>
    <w:rsid w:val="001761DE"/>
    <w:rsid w:val="00176428"/>
    <w:rsid w:val="00176ADF"/>
    <w:rsid w:val="00176DC1"/>
    <w:rsid w:val="001774F4"/>
    <w:rsid w:val="00181EA8"/>
    <w:rsid w:val="00182010"/>
    <w:rsid w:val="00184C97"/>
    <w:rsid w:val="00185FB3"/>
    <w:rsid w:val="00186B6E"/>
    <w:rsid w:val="00186E0D"/>
    <w:rsid w:val="00187CE3"/>
    <w:rsid w:val="00190999"/>
    <w:rsid w:val="00190C81"/>
    <w:rsid w:val="00192229"/>
    <w:rsid w:val="00195594"/>
    <w:rsid w:val="00195E6B"/>
    <w:rsid w:val="0019608A"/>
    <w:rsid w:val="001A0B35"/>
    <w:rsid w:val="001A39C5"/>
    <w:rsid w:val="001A41C3"/>
    <w:rsid w:val="001A4480"/>
    <w:rsid w:val="001A518D"/>
    <w:rsid w:val="001A57C0"/>
    <w:rsid w:val="001A5B45"/>
    <w:rsid w:val="001B0C9B"/>
    <w:rsid w:val="001B18AC"/>
    <w:rsid w:val="001B1972"/>
    <w:rsid w:val="001B1B94"/>
    <w:rsid w:val="001B23AC"/>
    <w:rsid w:val="001B32B9"/>
    <w:rsid w:val="001B5278"/>
    <w:rsid w:val="001B5391"/>
    <w:rsid w:val="001B5FB4"/>
    <w:rsid w:val="001B62BC"/>
    <w:rsid w:val="001B7106"/>
    <w:rsid w:val="001B71E3"/>
    <w:rsid w:val="001B741A"/>
    <w:rsid w:val="001B74C8"/>
    <w:rsid w:val="001B791A"/>
    <w:rsid w:val="001C0C1B"/>
    <w:rsid w:val="001C2A45"/>
    <w:rsid w:val="001C465B"/>
    <w:rsid w:val="001C4666"/>
    <w:rsid w:val="001D2F85"/>
    <w:rsid w:val="001D3109"/>
    <w:rsid w:val="001D3A8A"/>
    <w:rsid w:val="001D4C80"/>
    <w:rsid w:val="001D5AAD"/>
    <w:rsid w:val="001D62A3"/>
    <w:rsid w:val="001D64D3"/>
    <w:rsid w:val="001D65BF"/>
    <w:rsid w:val="001D701D"/>
    <w:rsid w:val="001D7172"/>
    <w:rsid w:val="001E0945"/>
    <w:rsid w:val="001E0D2A"/>
    <w:rsid w:val="001E1AEA"/>
    <w:rsid w:val="001E2969"/>
    <w:rsid w:val="001E3B28"/>
    <w:rsid w:val="001E4EF2"/>
    <w:rsid w:val="001E55B2"/>
    <w:rsid w:val="001E5646"/>
    <w:rsid w:val="001E56EC"/>
    <w:rsid w:val="001E593C"/>
    <w:rsid w:val="001E78CA"/>
    <w:rsid w:val="001F0D30"/>
    <w:rsid w:val="001F126E"/>
    <w:rsid w:val="001F1494"/>
    <w:rsid w:val="001F3B96"/>
    <w:rsid w:val="001F586C"/>
    <w:rsid w:val="001F66E4"/>
    <w:rsid w:val="001F7250"/>
    <w:rsid w:val="001F7254"/>
    <w:rsid w:val="00200449"/>
    <w:rsid w:val="00200800"/>
    <w:rsid w:val="00200A36"/>
    <w:rsid w:val="00200E70"/>
    <w:rsid w:val="00201DB3"/>
    <w:rsid w:val="00202F45"/>
    <w:rsid w:val="00203621"/>
    <w:rsid w:val="00205784"/>
    <w:rsid w:val="00206459"/>
    <w:rsid w:val="00206D8E"/>
    <w:rsid w:val="00207412"/>
    <w:rsid w:val="00207D8C"/>
    <w:rsid w:val="0021022C"/>
    <w:rsid w:val="002103DE"/>
    <w:rsid w:val="002106DC"/>
    <w:rsid w:val="0021237F"/>
    <w:rsid w:val="00212916"/>
    <w:rsid w:val="00212D77"/>
    <w:rsid w:val="00214727"/>
    <w:rsid w:val="002168DF"/>
    <w:rsid w:val="00216904"/>
    <w:rsid w:val="00216A73"/>
    <w:rsid w:val="00216DFE"/>
    <w:rsid w:val="002172F2"/>
    <w:rsid w:val="002177B5"/>
    <w:rsid w:val="00220772"/>
    <w:rsid w:val="00220D40"/>
    <w:rsid w:val="00221880"/>
    <w:rsid w:val="00221BA4"/>
    <w:rsid w:val="00222108"/>
    <w:rsid w:val="0022326A"/>
    <w:rsid w:val="00223336"/>
    <w:rsid w:val="00223E05"/>
    <w:rsid w:val="00223E80"/>
    <w:rsid w:val="00224172"/>
    <w:rsid w:val="00224289"/>
    <w:rsid w:val="002251AD"/>
    <w:rsid w:val="00225670"/>
    <w:rsid w:val="002259D7"/>
    <w:rsid w:val="002267BA"/>
    <w:rsid w:val="00226CC6"/>
    <w:rsid w:val="002300B6"/>
    <w:rsid w:val="002307E2"/>
    <w:rsid w:val="002324FD"/>
    <w:rsid w:val="00233162"/>
    <w:rsid w:val="00233976"/>
    <w:rsid w:val="002347D3"/>
    <w:rsid w:val="00235611"/>
    <w:rsid w:val="00236805"/>
    <w:rsid w:val="00241382"/>
    <w:rsid w:val="00241801"/>
    <w:rsid w:val="00242116"/>
    <w:rsid w:val="00242163"/>
    <w:rsid w:val="002425F5"/>
    <w:rsid w:val="00242B16"/>
    <w:rsid w:val="00242F68"/>
    <w:rsid w:val="00244280"/>
    <w:rsid w:val="0024550D"/>
    <w:rsid w:val="00246BC5"/>
    <w:rsid w:val="00246D4F"/>
    <w:rsid w:val="00246D6F"/>
    <w:rsid w:val="00247231"/>
    <w:rsid w:val="002500CC"/>
    <w:rsid w:val="002501A2"/>
    <w:rsid w:val="002507AF"/>
    <w:rsid w:val="002507E6"/>
    <w:rsid w:val="00251501"/>
    <w:rsid w:val="00251B2D"/>
    <w:rsid w:val="00252376"/>
    <w:rsid w:val="002524B7"/>
    <w:rsid w:val="0025304C"/>
    <w:rsid w:val="00253435"/>
    <w:rsid w:val="002539C2"/>
    <w:rsid w:val="00253ED0"/>
    <w:rsid w:val="0025469C"/>
    <w:rsid w:val="002553DE"/>
    <w:rsid w:val="00255A62"/>
    <w:rsid w:val="0025662D"/>
    <w:rsid w:val="00256C0C"/>
    <w:rsid w:val="00256E5D"/>
    <w:rsid w:val="00257CEC"/>
    <w:rsid w:val="00257F51"/>
    <w:rsid w:val="00261146"/>
    <w:rsid w:val="00261578"/>
    <w:rsid w:val="00261C26"/>
    <w:rsid w:val="0026290F"/>
    <w:rsid w:val="00265E8C"/>
    <w:rsid w:val="00266A75"/>
    <w:rsid w:val="00271D68"/>
    <w:rsid w:val="00273D01"/>
    <w:rsid w:val="00276062"/>
    <w:rsid w:val="00277113"/>
    <w:rsid w:val="002822BA"/>
    <w:rsid w:val="0028258D"/>
    <w:rsid w:val="002829C0"/>
    <w:rsid w:val="00283F96"/>
    <w:rsid w:val="00284080"/>
    <w:rsid w:val="002848EB"/>
    <w:rsid w:val="00284960"/>
    <w:rsid w:val="00286592"/>
    <w:rsid w:val="00287001"/>
    <w:rsid w:val="00287BB6"/>
    <w:rsid w:val="00290980"/>
    <w:rsid w:val="00290FFE"/>
    <w:rsid w:val="00291AB5"/>
    <w:rsid w:val="00291DB8"/>
    <w:rsid w:val="00291DD0"/>
    <w:rsid w:val="0029203A"/>
    <w:rsid w:val="002928BE"/>
    <w:rsid w:val="00292AE9"/>
    <w:rsid w:val="00293708"/>
    <w:rsid w:val="0029574B"/>
    <w:rsid w:val="00295D8B"/>
    <w:rsid w:val="00296CC1"/>
    <w:rsid w:val="00297E4B"/>
    <w:rsid w:val="002A1DBC"/>
    <w:rsid w:val="002A1E7B"/>
    <w:rsid w:val="002A21DA"/>
    <w:rsid w:val="002A229B"/>
    <w:rsid w:val="002A2BA1"/>
    <w:rsid w:val="002A2BDE"/>
    <w:rsid w:val="002A2EC8"/>
    <w:rsid w:val="002A34B6"/>
    <w:rsid w:val="002B0026"/>
    <w:rsid w:val="002B0329"/>
    <w:rsid w:val="002B0CFF"/>
    <w:rsid w:val="002B4070"/>
    <w:rsid w:val="002B4513"/>
    <w:rsid w:val="002B5355"/>
    <w:rsid w:val="002B58C7"/>
    <w:rsid w:val="002B6FE2"/>
    <w:rsid w:val="002B7662"/>
    <w:rsid w:val="002C2481"/>
    <w:rsid w:val="002C318D"/>
    <w:rsid w:val="002C3224"/>
    <w:rsid w:val="002C3B51"/>
    <w:rsid w:val="002C3BD7"/>
    <w:rsid w:val="002C44F7"/>
    <w:rsid w:val="002C65C1"/>
    <w:rsid w:val="002C69BD"/>
    <w:rsid w:val="002C7884"/>
    <w:rsid w:val="002D0887"/>
    <w:rsid w:val="002D2601"/>
    <w:rsid w:val="002D487B"/>
    <w:rsid w:val="002D605C"/>
    <w:rsid w:val="002D61C4"/>
    <w:rsid w:val="002D6F00"/>
    <w:rsid w:val="002E12B7"/>
    <w:rsid w:val="002E1EE8"/>
    <w:rsid w:val="002E3540"/>
    <w:rsid w:val="002E4097"/>
    <w:rsid w:val="002E43E3"/>
    <w:rsid w:val="002E5971"/>
    <w:rsid w:val="002E5A1E"/>
    <w:rsid w:val="002E5CD1"/>
    <w:rsid w:val="002E6EA1"/>
    <w:rsid w:val="002E7608"/>
    <w:rsid w:val="002F1349"/>
    <w:rsid w:val="002F2AC0"/>
    <w:rsid w:val="002F3580"/>
    <w:rsid w:val="002F402D"/>
    <w:rsid w:val="002F4B2C"/>
    <w:rsid w:val="002F5402"/>
    <w:rsid w:val="002F655D"/>
    <w:rsid w:val="002F69EB"/>
    <w:rsid w:val="002F743F"/>
    <w:rsid w:val="002F75BA"/>
    <w:rsid w:val="0030071E"/>
    <w:rsid w:val="003013E5"/>
    <w:rsid w:val="003016D1"/>
    <w:rsid w:val="00301A1D"/>
    <w:rsid w:val="00301DD9"/>
    <w:rsid w:val="00301F8B"/>
    <w:rsid w:val="00302CAF"/>
    <w:rsid w:val="003035F0"/>
    <w:rsid w:val="003040EE"/>
    <w:rsid w:val="003041DC"/>
    <w:rsid w:val="0030429B"/>
    <w:rsid w:val="0030455A"/>
    <w:rsid w:val="0030563C"/>
    <w:rsid w:val="0030630D"/>
    <w:rsid w:val="003067F9"/>
    <w:rsid w:val="00306EB0"/>
    <w:rsid w:val="0031013C"/>
    <w:rsid w:val="00310791"/>
    <w:rsid w:val="00310BEC"/>
    <w:rsid w:val="003134C3"/>
    <w:rsid w:val="003148A7"/>
    <w:rsid w:val="00314E09"/>
    <w:rsid w:val="00317A5E"/>
    <w:rsid w:val="00317BA2"/>
    <w:rsid w:val="0032012E"/>
    <w:rsid w:val="003208CD"/>
    <w:rsid w:val="003230B4"/>
    <w:rsid w:val="003240A6"/>
    <w:rsid w:val="00325F9F"/>
    <w:rsid w:val="003262EE"/>
    <w:rsid w:val="00326EBF"/>
    <w:rsid w:val="00330648"/>
    <w:rsid w:val="00331CFA"/>
    <w:rsid w:val="00332985"/>
    <w:rsid w:val="00333A20"/>
    <w:rsid w:val="00333ACE"/>
    <w:rsid w:val="00333C20"/>
    <w:rsid w:val="00333D4F"/>
    <w:rsid w:val="00334DAE"/>
    <w:rsid w:val="003360FD"/>
    <w:rsid w:val="00336AA5"/>
    <w:rsid w:val="00336CC7"/>
    <w:rsid w:val="00337F9C"/>
    <w:rsid w:val="003402DD"/>
    <w:rsid w:val="003406C5"/>
    <w:rsid w:val="003419D2"/>
    <w:rsid w:val="0034275E"/>
    <w:rsid w:val="0034347B"/>
    <w:rsid w:val="003444C8"/>
    <w:rsid w:val="00344FD0"/>
    <w:rsid w:val="003451A5"/>
    <w:rsid w:val="0034662C"/>
    <w:rsid w:val="003472ED"/>
    <w:rsid w:val="00347906"/>
    <w:rsid w:val="00350528"/>
    <w:rsid w:val="00351A07"/>
    <w:rsid w:val="0035245B"/>
    <w:rsid w:val="00352DE3"/>
    <w:rsid w:val="00353A9F"/>
    <w:rsid w:val="00353AC1"/>
    <w:rsid w:val="00353D02"/>
    <w:rsid w:val="00354399"/>
    <w:rsid w:val="003544C3"/>
    <w:rsid w:val="00354785"/>
    <w:rsid w:val="00355876"/>
    <w:rsid w:val="00355944"/>
    <w:rsid w:val="00356D69"/>
    <w:rsid w:val="00357B68"/>
    <w:rsid w:val="0036085D"/>
    <w:rsid w:val="0036138A"/>
    <w:rsid w:val="00361704"/>
    <w:rsid w:val="003618F0"/>
    <w:rsid w:val="00362B48"/>
    <w:rsid w:val="003635D7"/>
    <w:rsid w:val="00363AD2"/>
    <w:rsid w:val="003641BA"/>
    <w:rsid w:val="003669EB"/>
    <w:rsid w:val="00367B40"/>
    <w:rsid w:val="00372863"/>
    <w:rsid w:val="00373C13"/>
    <w:rsid w:val="0037432E"/>
    <w:rsid w:val="00374DA0"/>
    <w:rsid w:val="0037772C"/>
    <w:rsid w:val="003807FA"/>
    <w:rsid w:val="00380CAD"/>
    <w:rsid w:val="00381491"/>
    <w:rsid w:val="00382684"/>
    <w:rsid w:val="00382901"/>
    <w:rsid w:val="00382DBA"/>
    <w:rsid w:val="003852D9"/>
    <w:rsid w:val="003859B1"/>
    <w:rsid w:val="00385EBF"/>
    <w:rsid w:val="00386913"/>
    <w:rsid w:val="0038696F"/>
    <w:rsid w:val="00391E88"/>
    <w:rsid w:val="003920E7"/>
    <w:rsid w:val="00392566"/>
    <w:rsid w:val="003957DD"/>
    <w:rsid w:val="003964FB"/>
    <w:rsid w:val="003A00D4"/>
    <w:rsid w:val="003A0DAE"/>
    <w:rsid w:val="003A10F6"/>
    <w:rsid w:val="003A1AF5"/>
    <w:rsid w:val="003A1D96"/>
    <w:rsid w:val="003A29DA"/>
    <w:rsid w:val="003A2F9A"/>
    <w:rsid w:val="003A2FD7"/>
    <w:rsid w:val="003A318F"/>
    <w:rsid w:val="003A4104"/>
    <w:rsid w:val="003A468C"/>
    <w:rsid w:val="003A4F57"/>
    <w:rsid w:val="003A5177"/>
    <w:rsid w:val="003A56A9"/>
    <w:rsid w:val="003A6778"/>
    <w:rsid w:val="003A6F1E"/>
    <w:rsid w:val="003A738E"/>
    <w:rsid w:val="003A759D"/>
    <w:rsid w:val="003B01F4"/>
    <w:rsid w:val="003B036E"/>
    <w:rsid w:val="003B0565"/>
    <w:rsid w:val="003B0724"/>
    <w:rsid w:val="003B208C"/>
    <w:rsid w:val="003B2108"/>
    <w:rsid w:val="003B392A"/>
    <w:rsid w:val="003B3A0E"/>
    <w:rsid w:val="003B5531"/>
    <w:rsid w:val="003B654C"/>
    <w:rsid w:val="003B6AE6"/>
    <w:rsid w:val="003B6BAE"/>
    <w:rsid w:val="003B7297"/>
    <w:rsid w:val="003C0796"/>
    <w:rsid w:val="003C4046"/>
    <w:rsid w:val="003C41BB"/>
    <w:rsid w:val="003C4756"/>
    <w:rsid w:val="003C7CFE"/>
    <w:rsid w:val="003D2552"/>
    <w:rsid w:val="003D2AA7"/>
    <w:rsid w:val="003D2B62"/>
    <w:rsid w:val="003D2D27"/>
    <w:rsid w:val="003D3194"/>
    <w:rsid w:val="003D4464"/>
    <w:rsid w:val="003D4F31"/>
    <w:rsid w:val="003D4FC0"/>
    <w:rsid w:val="003D781F"/>
    <w:rsid w:val="003D7B60"/>
    <w:rsid w:val="003D7CFF"/>
    <w:rsid w:val="003E04A4"/>
    <w:rsid w:val="003E106F"/>
    <w:rsid w:val="003E1327"/>
    <w:rsid w:val="003E26D9"/>
    <w:rsid w:val="003E34F7"/>
    <w:rsid w:val="003E4AC2"/>
    <w:rsid w:val="003E5011"/>
    <w:rsid w:val="003E5832"/>
    <w:rsid w:val="003E6008"/>
    <w:rsid w:val="003E6615"/>
    <w:rsid w:val="003E6914"/>
    <w:rsid w:val="003E6B38"/>
    <w:rsid w:val="003E7424"/>
    <w:rsid w:val="003E7B36"/>
    <w:rsid w:val="003F01C5"/>
    <w:rsid w:val="003F06C6"/>
    <w:rsid w:val="003F18EF"/>
    <w:rsid w:val="003F2129"/>
    <w:rsid w:val="003F3D98"/>
    <w:rsid w:val="003F4BE5"/>
    <w:rsid w:val="003F4FF3"/>
    <w:rsid w:val="003F5BDC"/>
    <w:rsid w:val="003F6664"/>
    <w:rsid w:val="003F701B"/>
    <w:rsid w:val="00400300"/>
    <w:rsid w:val="00400B14"/>
    <w:rsid w:val="00400F19"/>
    <w:rsid w:val="00400FF6"/>
    <w:rsid w:val="00402EA1"/>
    <w:rsid w:val="004037CB"/>
    <w:rsid w:val="00404097"/>
    <w:rsid w:val="00404770"/>
    <w:rsid w:val="0040537E"/>
    <w:rsid w:val="00411424"/>
    <w:rsid w:val="00411C5B"/>
    <w:rsid w:val="0041341C"/>
    <w:rsid w:val="004137EC"/>
    <w:rsid w:val="00413B22"/>
    <w:rsid w:val="004152C1"/>
    <w:rsid w:val="00415355"/>
    <w:rsid w:val="0041544E"/>
    <w:rsid w:val="00416074"/>
    <w:rsid w:val="0041794C"/>
    <w:rsid w:val="00417BA9"/>
    <w:rsid w:val="00420C55"/>
    <w:rsid w:val="004212CE"/>
    <w:rsid w:val="004220F7"/>
    <w:rsid w:val="004232E6"/>
    <w:rsid w:val="00423415"/>
    <w:rsid w:val="004238E0"/>
    <w:rsid w:val="004239A1"/>
    <w:rsid w:val="00424F92"/>
    <w:rsid w:val="0042615B"/>
    <w:rsid w:val="00426387"/>
    <w:rsid w:val="00427B4E"/>
    <w:rsid w:val="00427BE4"/>
    <w:rsid w:val="004305B6"/>
    <w:rsid w:val="00430769"/>
    <w:rsid w:val="00431448"/>
    <w:rsid w:val="0043230B"/>
    <w:rsid w:val="00434536"/>
    <w:rsid w:val="0043484F"/>
    <w:rsid w:val="004374AA"/>
    <w:rsid w:val="004377E5"/>
    <w:rsid w:val="00441023"/>
    <w:rsid w:val="0044138E"/>
    <w:rsid w:val="0044165B"/>
    <w:rsid w:val="004416FC"/>
    <w:rsid w:val="00441C31"/>
    <w:rsid w:val="00443520"/>
    <w:rsid w:val="00443974"/>
    <w:rsid w:val="0044472B"/>
    <w:rsid w:val="00444763"/>
    <w:rsid w:val="00444D39"/>
    <w:rsid w:val="00444D8F"/>
    <w:rsid w:val="00445800"/>
    <w:rsid w:val="00445B4F"/>
    <w:rsid w:val="00446C78"/>
    <w:rsid w:val="00447936"/>
    <w:rsid w:val="00447B39"/>
    <w:rsid w:val="00447B94"/>
    <w:rsid w:val="00451A16"/>
    <w:rsid w:val="004523FB"/>
    <w:rsid w:val="004531EA"/>
    <w:rsid w:val="00453DF1"/>
    <w:rsid w:val="004540C5"/>
    <w:rsid w:val="004542A0"/>
    <w:rsid w:val="004545E1"/>
    <w:rsid w:val="00454C5E"/>
    <w:rsid w:val="00455B97"/>
    <w:rsid w:val="00455BF7"/>
    <w:rsid w:val="004605DA"/>
    <w:rsid w:val="004606F0"/>
    <w:rsid w:val="0046107C"/>
    <w:rsid w:val="00461499"/>
    <w:rsid w:val="0046216F"/>
    <w:rsid w:val="004629D4"/>
    <w:rsid w:val="004637EB"/>
    <w:rsid w:val="00463802"/>
    <w:rsid w:val="00463F25"/>
    <w:rsid w:val="00464076"/>
    <w:rsid w:val="0046550B"/>
    <w:rsid w:val="0046553F"/>
    <w:rsid w:val="00465B76"/>
    <w:rsid w:val="00466509"/>
    <w:rsid w:val="00466F3F"/>
    <w:rsid w:val="00467344"/>
    <w:rsid w:val="004674BC"/>
    <w:rsid w:val="00470675"/>
    <w:rsid w:val="00471C09"/>
    <w:rsid w:val="00472C9F"/>
    <w:rsid w:val="0047482E"/>
    <w:rsid w:val="00475163"/>
    <w:rsid w:val="0047561B"/>
    <w:rsid w:val="0047585E"/>
    <w:rsid w:val="004758A3"/>
    <w:rsid w:val="0047604C"/>
    <w:rsid w:val="00476863"/>
    <w:rsid w:val="00476AA4"/>
    <w:rsid w:val="00477203"/>
    <w:rsid w:val="0047792A"/>
    <w:rsid w:val="00477F46"/>
    <w:rsid w:val="00481116"/>
    <w:rsid w:val="00481F1E"/>
    <w:rsid w:val="004821E6"/>
    <w:rsid w:val="00482E42"/>
    <w:rsid w:val="00484002"/>
    <w:rsid w:val="00484A1E"/>
    <w:rsid w:val="00484BD3"/>
    <w:rsid w:val="0048665E"/>
    <w:rsid w:val="00486A6F"/>
    <w:rsid w:val="00486B20"/>
    <w:rsid w:val="00487288"/>
    <w:rsid w:val="00487A1C"/>
    <w:rsid w:val="00490B01"/>
    <w:rsid w:val="00490DFC"/>
    <w:rsid w:val="0049121F"/>
    <w:rsid w:val="004927A8"/>
    <w:rsid w:val="0049295D"/>
    <w:rsid w:val="0049553E"/>
    <w:rsid w:val="0049556A"/>
    <w:rsid w:val="00495BC1"/>
    <w:rsid w:val="00496E00"/>
    <w:rsid w:val="004976A4"/>
    <w:rsid w:val="00497DD0"/>
    <w:rsid w:val="00497F53"/>
    <w:rsid w:val="004A0793"/>
    <w:rsid w:val="004A17EE"/>
    <w:rsid w:val="004A1FCF"/>
    <w:rsid w:val="004A2A74"/>
    <w:rsid w:val="004A5085"/>
    <w:rsid w:val="004A5E5A"/>
    <w:rsid w:val="004A602B"/>
    <w:rsid w:val="004A6491"/>
    <w:rsid w:val="004A6BDF"/>
    <w:rsid w:val="004A6C23"/>
    <w:rsid w:val="004A6EC7"/>
    <w:rsid w:val="004A6FEA"/>
    <w:rsid w:val="004B0C05"/>
    <w:rsid w:val="004B441E"/>
    <w:rsid w:val="004B4507"/>
    <w:rsid w:val="004B54AF"/>
    <w:rsid w:val="004B5836"/>
    <w:rsid w:val="004B5D2E"/>
    <w:rsid w:val="004B6159"/>
    <w:rsid w:val="004B7236"/>
    <w:rsid w:val="004B765D"/>
    <w:rsid w:val="004C15BE"/>
    <w:rsid w:val="004C2229"/>
    <w:rsid w:val="004C4433"/>
    <w:rsid w:val="004C4882"/>
    <w:rsid w:val="004C5EAC"/>
    <w:rsid w:val="004C5FD7"/>
    <w:rsid w:val="004C6511"/>
    <w:rsid w:val="004C6BC5"/>
    <w:rsid w:val="004C715E"/>
    <w:rsid w:val="004C7BAD"/>
    <w:rsid w:val="004D075F"/>
    <w:rsid w:val="004D43A4"/>
    <w:rsid w:val="004D44D0"/>
    <w:rsid w:val="004D4DBD"/>
    <w:rsid w:val="004D5FBB"/>
    <w:rsid w:val="004D6CED"/>
    <w:rsid w:val="004D6D24"/>
    <w:rsid w:val="004D7558"/>
    <w:rsid w:val="004E2298"/>
    <w:rsid w:val="004E2864"/>
    <w:rsid w:val="004E340A"/>
    <w:rsid w:val="004E3713"/>
    <w:rsid w:val="004E37CC"/>
    <w:rsid w:val="004E3DEA"/>
    <w:rsid w:val="004E40A4"/>
    <w:rsid w:val="004E41B2"/>
    <w:rsid w:val="004E42AA"/>
    <w:rsid w:val="004E4886"/>
    <w:rsid w:val="004E5208"/>
    <w:rsid w:val="004F0654"/>
    <w:rsid w:val="004F0B95"/>
    <w:rsid w:val="004F10BD"/>
    <w:rsid w:val="004F1A0C"/>
    <w:rsid w:val="004F22C2"/>
    <w:rsid w:val="004F2C87"/>
    <w:rsid w:val="004F4F03"/>
    <w:rsid w:val="004F5551"/>
    <w:rsid w:val="004F5A5B"/>
    <w:rsid w:val="004F5AA3"/>
    <w:rsid w:val="00500E1D"/>
    <w:rsid w:val="00500FE2"/>
    <w:rsid w:val="00501940"/>
    <w:rsid w:val="00501EE9"/>
    <w:rsid w:val="00502572"/>
    <w:rsid w:val="005031A7"/>
    <w:rsid w:val="00503CCE"/>
    <w:rsid w:val="00503F52"/>
    <w:rsid w:val="0050541C"/>
    <w:rsid w:val="00505E50"/>
    <w:rsid w:val="00506F2F"/>
    <w:rsid w:val="0050714B"/>
    <w:rsid w:val="00510123"/>
    <w:rsid w:val="0051263D"/>
    <w:rsid w:val="00512EF8"/>
    <w:rsid w:val="00514387"/>
    <w:rsid w:val="00514873"/>
    <w:rsid w:val="00515F53"/>
    <w:rsid w:val="00516245"/>
    <w:rsid w:val="0051676B"/>
    <w:rsid w:val="00520DC0"/>
    <w:rsid w:val="0052239D"/>
    <w:rsid w:val="00522AE7"/>
    <w:rsid w:val="00522C27"/>
    <w:rsid w:val="005240FF"/>
    <w:rsid w:val="0052449D"/>
    <w:rsid w:val="00524D36"/>
    <w:rsid w:val="00525F8A"/>
    <w:rsid w:val="00526090"/>
    <w:rsid w:val="005272A4"/>
    <w:rsid w:val="005308BD"/>
    <w:rsid w:val="00530B69"/>
    <w:rsid w:val="00530F4E"/>
    <w:rsid w:val="0053191C"/>
    <w:rsid w:val="00531FA0"/>
    <w:rsid w:val="0053276A"/>
    <w:rsid w:val="00532B4B"/>
    <w:rsid w:val="00532FAE"/>
    <w:rsid w:val="00533C19"/>
    <w:rsid w:val="00534F51"/>
    <w:rsid w:val="005354E5"/>
    <w:rsid w:val="005357ED"/>
    <w:rsid w:val="00535A2C"/>
    <w:rsid w:val="0053674B"/>
    <w:rsid w:val="00536C6D"/>
    <w:rsid w:val="005374AB"/>
    <w:rsid w:val="00537DE3"/>
    <w:rsid w:val="00540A89"/>
    <w:rsid w:val="005414E1"/>
    <w:rsid w:val="005424B2"/>
    <w:rsid w:val="00542B57"/>
    <w:rsid w:val="005444F7"/>
    <w:rsid w:val="005454BB"/>
    <w:rsid w:val="0054575F"/>
    <w:rsid w:val="00546B12"/>
    <w:rsid w:val="00546E77"/>
    <w:rsid w:val="00547242"/>
    <w:rsid w:val="0055070E"/>
    <w:rsid w:val="005507EC"/>
    <w:rsid w:val="00550A96"/>
    <w:rsid w:val="00550BE2"/>
    <w:rsid w:val="00551F3B"/>
    <w:rsid w:val="00552719"/>
    <w:rsid w:val="00553FAE"/>
    <w:rsid w:val="00556326"/>
    <w:rsid w:val="0055685E"/>
    <w:rsid w:val="0056161B"/>
    <w:rsid w:val="00561E77"/>
    <w:rsid w:val="005624B3"/>
    <w:rsid w:val="00562C70"/>
    <w:rsid w:val="00563125"/>
    <w:rsid w:val="005649E3"/>
    <w:rsid w:val="00564B41"/>
    <w:rsid w:val="0056560C"/>
    <w:rsid w:val="0056614F"/>
    <w:rsid w:val="005705EC"/>
    <w:rsid w:val="005714D4"/>
    <w:rsid w:val="0057179A"/>
    <w:rsid w:val="00571B7E"/>
    <w:rsid w:val="00572428"/>
    <w:rsid w:val="005768ED"/>
    <w:rsid w:val="00576C4E"/>
    <w:rsid w:val="00577931"/>
    <w:rsid w:val="00582A72"/>
    <w:rsid w:val="00583F0D"/>
    <w:rsid w:val="005849A2"/>
    <w:rsid w:val="00585F75"/>
    <w:rsid w:val="00586009"/>
    <w:rsid w:val="005870B8"/>
    <w:rsid w:val="0058764D"/>
    <w:rsid w:val="00587F7D"/>
    <w:rsid w:val="00590582"/>
    <w:rsid w:val="00590B4A"/>
    <w:rsid w:val="00590E82"/>
    <w:rsid w:val="00591373"/>
    <w:rsid w:val="0059195A"/>
    <w:rsid w:val="00591B7F"/>
    <w:rsid w:val="005925B6"/>
    <w:rsid w:val="00592722"/>
    <w:rsid w:val="005929FF"/>
    <w:rsid w:val="00592DDC"/>
    <w:rsid w:val="0059317B"/>
    <w:rsid w:val="00594286"/>
    <w:rsid w:val="00594DAA"/>
    <w:rsid w:val="005953AF"/>
    <w:rsid w:val="005960D4"/>
    <w:rsid w:val="00597A77"/>
    <w:rsid w:val="005A02CA"/>
    <w:rsid w:val="005A0D14"/>
    <w:rsid w:val="005A2A68"/>
    <w:rsid w:val="005A2B6C"/>
    <w:rsid w:val="005A2DCA"/>
    <w:rsid w:val="005A46FB"/>
    <w:rsid w:val="005A4779"/>
    <w:rsid w:val="005A52EE"/>
    <w:rsid w:val="005A5930"/>
    <w:rsid w:val="005A5BA6"/>
    <w:rsid w:val="005A6A5A"/>
    <w:rsid w:val="005A7676"/>
    <w:rsid w:val="005B014E"/>
    <w:rsid w:val="005B029E"/>
    <w:rsid w:val="005B0ACA"/>
    <w:rsid w:val="005B0C0D"/>
    <w:rsid w:val="005B24AB"/>
    <w:rsid w:val="005B2A11"/>
    <w:rsid w:val="005B2D30"/>
    <w:rsid w:val="005B3677"/>
    <w:rsid w:val="005B37B3"/>
    <w:rsid w:val="005B5F77"/>
    <w:rsid w:val="005B6346"/>
    <w:rsid w:val="005B6B97"/>
    <w:rsid w:val="005B7D4E"/>
    <w:rsid w:val="005C1223"/>
    <w:rsid w:val="005C2490"/>
    <w:rsid w:val="005C2B7F"/>
    <w:rsid w:val="005C3014"/>
    <w:rsid w:val="005C4542"/>
    <w:rsid w:val="005C609F"/>
    <w:rsid w:val="005C7C48"/>
    <w:rsid w:val="005C7F0B"/>
    <w:rsid w:val="005D10CC"/>
    <w:rsid w:val="005D1E77"/>
    <w:rsid w:val="005D5CAA"/>
    <w:rsid w:val="005D6801"/>
    <w:rsid w:val="005D7BE2"/>
    <w:rsid w:val="005D7F2A"/>
    <w:rsid w:val="005E0E71"/>
    <w:rsid w:val="005E1096"/>
    <w:rsid w:val="005E1862"/>
    <w:rsid w:val="005E2FDD"/>
    <w:rsid w:val="005E319F"/>
    <w:rsid w:val="005E31EB"/>
    <w:rsid w:val="005E3744"/>
    <w:rsid w:val="005E3CC4"/>
    <w:rsid w:val="005E48D1"/>
    <w:rsid w:val="005E58F7"/>
    <w:rsid w:val="005E63E4"/>
    <w:rsid w:val="005F0D3D"/>
    <w:rsid w:val="005F0EB6"/>
    <w:rsid w:val="005F0F3A"/>
    <w:rsid w:val="005F1564"/>
    <w:rsid w:val="005F1608"/>
    <w:rsid w:val="005F1BD3"/>
    <w:rsid w:val="005F2B26"/>
    <w:rsid w:val="005F31AF"/>
    <w:rsid w:val="005F3569"/>
    <w:rsid w:val="005F3CC5"/>
    <w:rsid w:val="005F3D57"/>
    <w:rsid w:val="005F584C"/>
    <w:rsid w:val="005F59FE"/>
    <w:rsid w:val="005F5FED"/>
    <w:rsid w:val="005F6055"/>
    <w:rsid w:val="005F64C2"/>
    <w:rsid w:val="005F7AF8"/>
    <w:rsid w:val="0060073F"/>
    <w:rsid w:val="00600F44"/>
    <w:rsid w:val="00601E43"/>
    <w:rsid w:val="006021F0"/>
    <w:rsid w:val="00602EB0"/>
    <w:rsid w:val="00603161"/>
    <w:rsid w:val="0060376E"/>
    <w:rsid w:val="00603BA4"/>
    <w:rsid w:val="0060414E"/>
    <w:rsid w:val="00604A71"/>
    <w:rsid w:val="0060501C"/>
    <w:rsid w:val="0060574B"/>
    <w:rsid w:val="0060583A"/>
    <w:rsid w:val="00606132"/>
    <w:rsid w:val="00607DDD"/>
    <w:rsid w:val="006124EB"/>
    <w:rsid w:val="006127C7"/>
    <w:rsid w:val="00614100"/>
    <w:rsid w:val="006143BD"/>
    <w:rsid w:val="006155B0"/>
    <w:rsid w:val="0061694A"/>
    <w:rsid w:val="00616B71"/>
    <w:rsid w:val="00617DF9"/>
    <w:rsid w:val="00620837"/>
    <w:rsid w:val="00620A0B"/>
    <w:rsid w:val="006213F9"/>
    <w:rsid w:val="00621C49"/>
    <w:rsid w:val="00623C8D"/>
    <w:rsid w:val="00624D30"/>
    <w:rsid w:val="00624EC4"/>
    <w:rsid w:val="00625185"/>
    <w:rsid w:val="00625E9C"/>
    <w:rsid w:val="0062620A"/>
    <w:rsid w:val="00626E0A"/>
    <w:rsid w:val="00627C0A"/>
    <w:rsid w:val="00631536"/>
    <w:rsid w:val="00631775"/>
    <w:rsid w:val="00631A1B"/>
    <w:rsid w:val="00631BE9"/>
    <w:rsid w:val="00632B54"/>
    <w:rsid w:val="0063334F"/>
    <w:rsid w:val="00633BF1"/>
    <w:rsid w:val="006341AC"/>
    <w:rsid w:val="006350BC"/>
    <w:rsid w:val="00635AA8"/>
    <w:rsid w:val="00635C5B"/>
    <w:rsid w:val="00635F09"/>
    <w:rsid w:val="0063683E"/>
    <w:rsid w:val="00643DA9"/>
    <w:rsid w:val="0064656A"/>
    <w:rsid w:val="00647D82"/>
    <w:rsid w:val="00647F02"/>
    <w:rsid w:val="00650336"/>
    <w:rsid w:val="006518B2"/>
    <w:rsid w:val="00652538"/>
    <w:rsid w:val="00652A98"/>
    <w:rsid w:val="006530FF"/>
    <w:rsid w:val="00653292"/>
    <w:rsid w:val="00653893"/>
    <w:rsid w:val="0065548F"/>
    <w:rsid w:val="00660B5E"/>
    <w:rsid w:val="00660E5B"/>
    <w:rsid w:val="00661551"/>
    <w:rsid w:val="00662AA2"/>
    <w:rsid w:val="00663297"/>
    <w:rsid w:val="0066356A"/>
    <w:rsid w:val="00663AB7"/>
    <w:rsid w:val="00663CE0"/>
    <w:rsid w:val="00663F2C"/>
    <w:rsid w:val="00664117"/>
    <w:rsid w:val="00665038"/>
    <w:rsid w:val="0066551B"/>
    <w:rsid w:val="006736A2"/>
    <w:rsid w:val="00675571"/>
    <w:rsid w:val="00675CA7"/>
    <w:rsid w:val="00676114"/>
    <w:rsid w:val="00677B92"/>
    <w:rsid w:val="00677BB6"/>
    <w:rsid w:val="0068071B"/>
    <w:rsid w:val="0068214F"/>
    <w:rsid w:val="00684DAF"/>
    <w:rsid w:val="00687215"/>
    <w:rsid w:val="006873FA"/>
    <w:rsid w:val="0068782E"/>
    <w:rsid w:val="00690A2A"/>
    <w:rsid w:val="00692122"/>
    <w:rsid w:val="006939BC"/>
    <w:rsid w:val="00695048"/>
    <w:rsid w:val="00695EE8"/>
    <w:rsid w:val="0069676D"/>
    <w:rsid w:val="00696ABA"/>
    <w:rsid w:val="00696F64"/>
    <w:rsid w:val="006A0B0F"/>
    <w:rsid w:val="006A0DB6"/>
    <w:rsid w:val="006A0DBA"/>
    <w:rsid w:val="006A1095"/>
    <w:rsid w:val="006A1949"/>
    <w:rsid w:val="006A2763"/>
    <w:rsid w:val="006A27AC"/>
    <w:rsid w:val="006A2BEF"/>
    <w:rsid w:val="006A32F7"/>
    <w:rsid w:val="006A35D3"/>
    <w:rsid w:val="006A3A7C"/>
    <w:rsid w:val="006A427E"/>
    <w:rsid w:val="006A43FB"/>
    <w:rsid w:val="006A45C9"/>
    <w:rsid w:val="006A4A32"/>
    <w:rsid w:val="006A4F2E"/>
    <w:rsid w:val="006A68E4"/>
    <w:rsid w:val="006A6B35"/>
    <w:rsid w:val="006A76EC"/>
    <w:rsid w:val="006A787D"/>
    <w:rsid w:val="006A7BCF"/>
    <w:rsid w:val="006A7EF6"/>
    <w:rsid w:val="006B1F86"/>
    <w:rsid w:val="006B1FFC"/>
    <w:rsid w:val="006B2BD6"/>
    <w:rsid w:val="006B2C84"/>
    <w:rsid w:val="006B375F"/>
    <w:rsid w:val="006B626A"/>
    <w:rsid w:val="006B6342"/>
    <w:rsid w:val="006B6470"/>
    <w:rsid w:val="006B6772"/>
    <w:rsid w:val="006B6A1E"/>
    <w:rsid w:val="006B72E7"/>
    <w:rsid w:val="006B7685"/>
    <w:rsid w:val="006B7937"/>
    <w:rsid w:val="006C0424"/>
    <w:rsid w:val="006C2127"/>
    <w:rsid w:val="006C3101"/>
    <w:rsid w:val="006C3EA8"/>
    <w:rsid w:val="006C41E3"/>
    <w:rsid w:val="006C44AB"/>
    <w:rsid w:val="006C4ED5"/>
    <w:rsid w:val="006C5A10"/>
    <w:rsid w:val="006C6AFC"/>
    <w:rsid w:val="006C71ED"/>
    <w:rsid w:val="006C7C69"/>
    <w:rsid w:val="006D0E09"/>
    <w:rsid w:val="006D26C0"/>
    <w:rsid w:val="006D2B0D"/>
    <w:rsid w:val="006D3204"/>
    <w:rsid w:val="006D3535"/>
    <w:rsid w:val="006D393A"/>
    <w:rsid w:val="006D41B6"/>
    <w:rsid w:val="006D45C4"/>
    <w:rsid w:val="006D4FBE"/>
    <w:rsid w:val="006E1ABE"/>
    <w:rsid w:val="006E27EF"/>
    <w:rsid w:val="006E4F99"/>
    <w:rsid w:val="006E5598"/>
    <w:rsid w:val="006E55CB"/>
    <w:rsid w:val="006E585E"/>
    <w:rsid w:val="006E5C57"/>
    <w:rsid w:val="006E5EEE"/>
    <w:rsid w:val="006E6EE2"/>
    <w:rsid w:val="006F0A26"/>
    <w:rsid w:val="006F1698"/>
    <w:rsid w:val="006F3792"/>
    <w:rsid w:val="006F4241"/>
    <w:rsid w:val="006F54FB"/>
    <w:rsid w:val="00701AC8"/>
    <w:rsid w:val="00701DBE"/>
    <w:rsid w:val="00703858"/>
    <w:rsid w:val="00703AAA"/>
    <w:rsid w:val="0070420E"/>
    <w:rsid w:val="00705BE5"/>
    <w:rsid w:val="007101CA"/>
    <w:rsid w:val="00710328"/>
    <w:rsid w:val="00712955"/>
    <w:rsid w:val="00712BAF"/>
    <w:rsid w:val="00712D10"/>
    <w:rsid w:val="00712EB8"/>
    <w:rsid w:val="0071308E"/>
    <w:rsid w:val="0071368B"/>
    <w:rsid w:val="007139F6"/>
    <w:rsid w:val="00713DC2"/>
    <w:rsid w:val="00715A19"/>
    <w:rsid w:val="00716081"/>
    <w:rsid w:val="007172EB"/>
    <w:rsid w:val="007177EB"/>
    <w:rsid w:val="007205A4"/>
    <w:rsid w:val="00720782"/>
    <w:rsid w:val="00721A32"/>
    <w:rsid w:val="00723FA3"/>
    <w:rsid w:val="00723FCC"/>
    <w:rsid w:val="0072456C"/>
    <w:rsid w:val="00724AB8"/>
    <w:rsid w:val="0072554E"/>
    <w:rsid w:val="007256D9"/>
    <w:rsid w:val="00726B2D"/>
    <w:rsid w:val="00726DFE"/>
    <w:rsid w:val="007275B6"/>
    <w:rsid w:val="00727AFF"/>
    <w:rsid w:val="00727C42"/>
    <w:rsid w:val="00731308"/>
    <w:rsid w:val="00731395"/>
    <w:rsid w:val="007315AE"/>
    <w:rsid w:val="0073168B"/>
    <w:rsid w:val="00731B24"/>
    <w:rsid w:val="00732BD1"/>
    <w:rsid w:val="00733152"/>
    <w:rsid w:val="00733B72"/>
    <w:rsid w:val="0073487A"/>
    <w:rsid w:val="00735A22"/>
    <w:rsid w:val="007405BA"/>
    <w:rsid w:val="0074091D"/>
    <w:rsid w:val="0074271F"/>
    <w:rsid w:val="00743D40"/>
    <w:rsid w:val="00743F10"/>
    <w:rsid w:val="00743FA1"/>
    <w:rsid w:val="00744496"/>
    <w:rsid w:val="00744B83"/>
    <w:rsid w:val="00744C32"/>
    <w:rsid w:val="007451E5"/>
    <w:rsid w:val="0074566C"/>
    <w:rsid w:val="007457AA"/>
    <w:rsid w:val="00746DEE"/>
    <w:rsid w:val="0075084F"/>
    <w:rsid w:val="00752503"/>
    <w:rsid w:val="007537A0"/>
    <w:rsid w:val="00754147"/>
    <w:rsid w:val="007546C9"/>
    <w:rsid w:val="00754B8A"/>
    <w:rsid w:val="00754C28"/>
    <w:rsid w:val="00756616"/>
    <w:rsid w:val="007568CE"/>
    <w:rsid w:val="00757190"/>
    <w:rsid w:val="00757E33"/>
    <w:rsid w:val="007600E8"/>
    <w:rsid w:val="00760411"/>
    <w:rsid w:val="00760F91"/>
    <w:rsid w:val="007617C8"/>
    <w:rsid w:val="0076196E"/>
    <w:rsid w:val="007621A7"/>
    <w:rsid w:val="00762FFE"/>
    <w:rsid w:val="00763523"/>
    <w:rsid w:val="00763CCA"/>
    <w:rsid w:val="00763E8A"/>
    <w:rsid w:val="0076469D"/>
    <w:rsid w:val="00764796"/>
    <w:rsid w:val="00764C34"/>
    <w:rsid w:val="007652C5"/>
    <w:rsid w:val="0076558C"/>
    <w:rsid w:val="00767152"/>
    <w:rsid w:val="00767C6B"/>
    <w:rsid w:val="00770FE2"/>
    <w:rsid w:val="007716D8"/>
    <w:rsid w:val="0077232A"/>
    <w:rsid w:val="00772834"/>
    <w:rsid w:val="007731F1"/>
    <w:rsid w:val="00773450"/>
    <w:rsid w:val="007745EF"/>
    <w:rsid w:val="0077539E"/>
    <w:rsid w:val="00775C0D"/>
    <w:rsid w:val="00776948"/>
    <w:rsid w:val="00777BEE"/>
    <w:rsid w:val="0078007E"/>
    <w:rsid w:val="0078055E"/>
    <w:rsid w:val="007811CF"/>
    <w:rsid w:val="007817BF"/>
    <w:rsid w:val="0078215B"/>
    <w:rsid w:val="0078354B"/>
    <w:rsid w:val="00783AEB"/>
    <w:rsid w:val="00784326"/>
    <w:rsid w:val="00784516"/>
    <w:rsid w:val="007846CC"/>
    <w:rsid w:val="00784B3C"/>
    <w:rsid w:val="00784D76"/>
    <w:rsid w:val="007864CF"/>
    <w:rsid w:val="007872AF"/>
    <w:rsid w:val="00787791"/>
    <w:rsid w:val="00787F7F"/>
    <w:rsid w:val="00790945"/>
    <w:rsid w:val="007924B9"/>
    <w:rsid w:val="0079255C"/>
    <w:rsid w:val="00793C2F"/>
    <w:rsid w:val="00793F1B"/>
    <w:rsid w:val="007944B8"/>
    <w:rsid w:val="007944E6"/>
    <w:rsid w:val="00795509"/>
    <w:rsid w:val="00795CBF"/>
    <w:rsid w:val="00795FB1"/>
    <w:rsid w:val="00796C74"/>
    <w:rsid w:val="007971A2"/>
    <w:rsid w:val="00797923"/>
    <w:rsid w:val="007A0D7A"/>
    <w:rsid w:val="007A10A5"/>
    <w:rsid w:val="007A16C3"/>
    <w:rsid w:val="007A1DBD"/>
    <w:rsid w:val="007A202A"/>
    <w:rsid w:val="007A2A2A"/>
    <w:rsid w:val="007A2DA8"/>
    <w:rsid w:val="007A3597"/>
    <w:rsid w:val="007A4545"/>
    <w:rsid w:val="007A4C41"/>
    <w:rsid w:val="007A5B92"/>
    <w:rsid w:val="007A621C"/>
    <w:rsid w:val="007A635C"/>
    <w:rsid w:val="007A63D7"/>
    <w:rsid w:val="007A6B2F"/>
    <w:rsid w:val="007A6FFC"/>
    <w:rsid w:val="007A72AC"/>
    <w:rsid w:val="007B02D5"/>
    <w:rsid w:val="007B05ED"/>
    <w:rsid w:val="007B1551"/>
    <w:rsid w:val="007B169F"/>
    <w:rsid w:val="007B3293"/>
    <w:rsid w:val="007B3785"/>
    <w:rsid w:val="007B57F1"/>
    <w:rsid w:val="007B5D64"/>
    <w:rsid w:val="007B635F"/>
    <w:rsid w:val="007B6583"/>
    <w:rsid w:val="007B667B"/>
    <w:rsid w:val="007B695A"/>
    <w:rsid w:val="007B6EC0"/>
    <w:rsid w:val="007B700B"/>
    <w:rsid w:val="007B712F"/>
    <w:rsid w:val="007C009E"/>
    <w:rsid w:val="007C029E"/>
    <w:rsid w:val="007C06B2"/>
    <w:rsid w:val="007C2267"/>
    <w:rsid w:val="007C2370"/>
    <w:rsid w:val="007C257A"/>
    <w:rsid w:val="007C2FE9"/>
    <w:rsid w:val="007C3101"/>
    <w:rsid w:val="007C3E11"/>
    <w:rsid w:val="007C55F3"/>
    <w:rsid w:val="007C5EB7"/>
    <w:rsid w:val="007C6C53"/>
    <w:rsid w:val="007D1C0D"/>
    <w:rsid w:val="007D269B"/>
    <w:rsid w:val="007D2F13"/>
    <w:rsid w:val="007D2F1E"/>
    <w:rsid w:val="007D2FCC"/>
    <w:rsid w:val="007D35B5"/>
    <w:rsid w:val="007D3AF5"/>
    <w:rsid w:val="007D5286"/>
    <w:rsid w:val="007D5DB5"/>
    <w:rsid w:val="007D6545"/>
    <w:rsid w:val="007D6C81"/>
    <w:rsid w:val="007D79AB"/>
    <w:rsid w:val="007D7B94"/>
    <w:rsid w:val="007E0182"/>
    <w:rsid w:val="007E17CC"/>
    <w:rsid w:val="007E4EFF"/>
    <w:rsid w:val="007E6D38"/>
    <w:rsid w:val="007E7FA2"/>
    <w:rsid w:val="007E7FD6"/>
    <w:rsid w:val="007F02B1"/>
    <w:rsid w:val="007F09A8"/>
    <w:rsid w:val="007F0A44"/>
    <w:rsid w:val="007F1E4B"/>
    <w:rsid w:val="007F2BE4"/>
    <w:rsid w:val="007F2F42"/>
    <w:rsid w:val="007F390E"/>
    <w:rsid w:val="007F6F13"/>
    <w:rsid w:val="007F7047"/>
    <w:rsid w:val="007F709F"/>
    <w:rsid w:val="007F7F2C"/>
    <w:rsid w:val="00801543"/>
    <w:rsid w:val="0080276D"/>
    <w:rsid w:val="00802783"/>
    <w:rsid w:val="00803509"/>
    <w:rsid w:val="008038F1"/>
    <w:rsid w:val="008064C5"/>
    <w:rsid w:val="0080755C"/>
    <w:rsid w:val="00810063"/>
    <w:rsid w:val="008109AC"/>
    <w:rsid w:val="00811395"/>
    <w:rsid w:val="008125FC"/>
    <w:rsid w:val="00813503"/>
    <w:rsid w:val="00813D54"/>
    <w:rsid w:val="008158E6"/>
    <w:rsid w:val="00816E39"/>
    <w:rsid w:val="008175AD"/>
    <w:rsid w:val="00817B09"/>
    <w:rsid w:val="00820920"/>
    <w:rsid w:val="00821BD5"/>
    <w:rsid w:val="0082201C"/>
    <w:rsid w:val="00822215"/>
    <w:rsid w:val="00822E6C"/>
    <w:rsid w:val="00823240"/>
    <w:rsid w:val="00823313"/>
    <w:rsid w:val="00824480"/>
    <w:rsid w:val="00824DEA"/>
    <w:rsid w:val="0082594F"/>
    <w:rsid w:val="008274D1"/>
    <w:rsid w:val="00830477"/>
    <w:rsid w:val="00830ADE"/>
    <w:rsid w:val="00831551"/>
    <w:rsid w:val="0083196E"/>
    <w:rsid w:val="00833BEE"/>
    <w:rsid w:val="00833E5C"/>
    <w:rsid w:val="008362E8"/>
    <w:rsid w:val="00841375"/>
    <w:rsid w:val="008418C6"/>
    <w:rsid w:val="00841C69"/>
    <w:rsid w:val="00841F12"/>
    <w:rsid w:val="00842044"/>
    <w:rsid w:val="00842935"/>
    <w:rsid w:val="0084304C"/>
    <w:rsid w:val="00843C73"/>
    <w:rsid w:val="00844042"/>
    <w:rsid w:val="00844CA5"/>
    <w:rsid w:val="0084535E"/>
    <w:rsid w:val="00845E3F"/>
    <w:rsid w:val="008462F1"/>
    <w:rsid w:val="008469B3"/>
    <w:rsid w:val="00846B9C"/>
    <w:rsid w:val="008473C1"/>
    <w:rsid w:val="008475A4"/>
    <w:rsid w:val="00850BE1"/>
    <w:rsid w:val="0085213A"/>
    <w:rsid w:val="0085227C"/>
    <w:rsid w:val="0085231C"/>
    <w:rsid w:val="00852BB8"/>
    <w:rsid w:val="00852C31"/>
    <w:rsid w:val="00853F50"/>
    <w:rsid w:val="00855F7D"/>
    <w:rsid w:val="0086094F"/>
    <w:rsid w:val="00861A81"/>
    <w:rsid w:val="0086247C"/>
    <w:rsid w:val="00862798"/>
    <w:rsid w:val="008632C8"/>
    <w:rsid w:val="008636EF"/>
    <w:rsid w:val="00863835"/>
    <w:rsid w:val="00863CAA"/>
    <w:rsid w:val="00864A04"/>
    <w:rsid w:val="00866326"/>
    <w:rsid w:val="00866748"/>
    <w:rsid w:val="00867727"/>
    <w:rsid w:val="00867895"/>
    <w:rsid w:val="00872C2C"/>
    <w:rsid w:val="008734EA"/>
    <w:rsid w:val="0087367E"/>
    <w:rsid w:val="00873BE0"/>
    <w:rsid w:val="008741CB"/>
    <w:rsid w:val="00874F40"/>
    <w:rsid w:val="00875551"/>
    <w:rsid w:val="008759BE"/>
    <w:rsid w:val="00876541"/>
    <w:rsid w:val="00876543"/>
    <w:rsid w:val="00876598"/>
    <w:rsid w:val="00880266"/>
    <w:rsid w:val="00882A33"/>
    <w:rsid w:val="00883A8F"/>
    <w:rsid w:val="00883FD1"/>
    <w:rsid w:val="00884399"/>
    <w:rsid w:val="0088462A"/>
    <w:rsid w:val="0088476B"/>
    <w:rsid w:val="008847B2"/>
    <w:rsid w:val="00884B32"/>
    <w:rsid w:val="00885DC5"/>
    <w:rsid w:val="00886049"/>
    <w:rsid w:val="008860BC"/>
    <w:rsid w:val="00886AA3"/>
    <w:rsid w:val="00887094"/>
    <w:rsid w:val="00891EF3"/>
    <w:rsid w:val="008922C9"/>
    <w:rsid w:val="00892CA5"/>
    <w:rsid w:val="00894017"/>
    <w:rsid w:val="008950F1"/>
    <w:rsid w:val="00895CEA"/>
    <w:rsid w:val="00895F79"/>
    <w:rsid w:val="008972D7"/>
    <w:rsid w:val="008977CF"/>
    <w:rsid w:val="00897CD5"/>
    <w:rsid w:val="008A0629"/>
    <w:rsid w:val="008A149F"/>
    <w:rsid w:val="008A2865"/>
    <w:rsid w:val="008A2CF9"/>
    <w:rsid w:val="008A31E7"/>
    <w:rsid w:val="008A385B"/>
    <w:rsid w:val="008A3C26"/>
    <w:rsid w:val="008A6BB2"/>
    <w:rsid w:val="008A7736"/>
    <w:rsid w:val="008A7A4D"/>
    <w:rsid w:val="008B09B7"/>
    <w:rsid w:val="008B18AF"/>
    <w:rsid w:val="008B385A"/>
    <w:rsid w:val="008B3A1C"/>
    <w:rsid w:val="008B4283"/>
    <w:rsid w:val="008B4867"/>
    <w:rsid w:val="008B503A"/>
    <w:rsid w:val="008B5EAB"/>
    <w:rsid w:val="008B5ED0"/>
    <w:rsid w:val="008C0191"/>
    <w:rsid w:val="008C1172"/>
    <w:rsid w:val="008C12FB"/>
    <w:rsid w:val="008C29E6"/>
    <w:rsid w:val="008C2AAD"/>
    <w:rsid w:val="008C307A"/>
    <w:rsid w:val="008C5249"/>
    <w:rsid w:val="008C6485"/>
    <w:rsid w:val="008C766D"/>
    <w:rsid w:val="008D029A"/>
    <w:rsid w:val="008D184F"/>
    <w:rsid w:val="008D1FC9"/>
    <w:rsid w:val="008D3AD7"/>
    <w:rsid w:val="008D4253"/>
    <w:rsid w:val="008D4DE2"/>
    <w:rsid w:val="008D6225"/>
    <w:rsid w:val="008D77D0"/>
    <w:rsid w:val="008D7A44"/>
    <w:rsid w:val="008E1131"/>
    <w:rsid w:val="008E1FD9"/>
    <w:rsid w:val="008E228D"/>
    <w:rsid w:val="008E3759"/>
    <w:rsid w:val="008E4E01"/>
    <w:rsid w:val="008E68CC"/>
    <w:rsid w:val="008E6AB3"/>
    <w:rsid w:val="008E70A5"/>
    <w:rsid w:val="008E78C0"/>
    <w:rsid w:val="008F01D0"/>
    <w:rsid w:val="008F0DB1"/>
    <w:rsid w:val="008F2CE7"/>
    <w:rsid w:val="008F2F73"/>
    <w:rsid w:val="008F39B0"/>
    <w:rsid w:val="008F3C0C"/>
    <w:rsid w:val="008F5092"/>
    <w:rsid w:val="008F522F"/>
    <w:rsid w:val="008F524E"/>
    <w:rsid w:val="008F52FB"/>
    <w:rsid w:val="008F5308"/>
    <w:rsid w:val="008F5AEB"/>
    <w:rsid w:val="008F5CFE"/>
    <w:rsid w:val="008F6B0B"/>
    <w:rsid w:val="008F6E06"/>
    <w:rsid w:val="00900B2A"/>
    <w:rsid w:val="00901318"/>
    <w:rsid w:val="00902994"/>
    <w:rsid w:val="00903A29"/>
    <w:rsid w:val="0090429B"/>
    <w:rsid w:val="00904FA0"/>
    <w:rsid w:val="00906BAA"/>
    <w:rsid w:val="00907A77"/>
    <w:rsid w:val="00911C85"/>
    <w:rsid w:val="00912D5C"/>
    <w:rsid w:val="0091367A"/>
    <w:rsid w:val="00913D4B"/>
    <w:rsid w:val="00914FAA"/>
    <w:rsid w:val="009150AF"/>
    <w:rsid w:val="00915A98"/>
    <w:rsid w:val="00915BCA"/>
    <w:rsid w:val="00916239"/>
    <w:rsid w:val="00917A08"/>
    <w:rsid w:val="00917D34"/>
    <w:rsid w:val="00921514"/>
    <w:rsid w:val="00921D19"/>
    <w:rsid w:val="00921E77"/>
    <w:rsid w:val="00922470"/>
    <w:rsid w:val="0092257F"/>
    <w:rsid w:val="00922B81"/>
    <w:rsid w:val="00923299"/>
    <w:rsid w:val="009237AC"/>
    <w:rsid w:val="009238B8"/>
    <w:rsid w:val="00923D7F"/>
    <w:rsid w:val="00923EFE"/>
    <w:rsid w:val="009263D1"/>
    <w:rsid w:val="00926440"/>
    <w:rsid w:val="00926F60"/>
    <w:rsid w:val="00927699"/>
    <w:rsid w:val="009325C2"/>
    <w:rsid w:val="00932BCB"/>
    <w:rsid w:val="00933056"/>
    <w:rsid w:val="0093326A"/>
    <w:rsid w:val="0093335D"/>
    <w:rsid w:val="009334BD"/>
    <w:rsid w:val="009334D3"/>
    <w:rsid w:val="009344C9"/>
    <w:rsid w:val="00937EDF"/>
    <w:rsid w:val="00940F60"/>
    <w:rsid w:val="00941120"/>
    <w:rsid w:val="009412E1"/>
    <w:rsid w:val="0094222A"/>
    <w:rsid w:val="00942429"/>
    <w:rsid w:val="00943BFD"/>
    <w:rsid w:val="00944407"/>
    <w:rsid w:val="00945F9A"/>
    <w:rsid w:val="00946520"/>
    <w:rsid w:val="00947005"/>
    <w:rsid w:val="00950233"/>
    <w:rsid w:val="009534D5"/>
    <w:rsid w:val="00953903"/>
    <w:rsid w:val="00953B18"/>
    <w:rsid w:val="009545A3"/>
    <w:rsid w:val="00954E96"/>
    <w:rsid w:val="00955433"/>
    <w:rsid w:val="00955C51"/>
    <w:rsid w:val="00956346"/>
    <w:rsid w:val="00957098"/>
    <w:rsid w:val="009576CC"/>
    <w:rsid w:val="00960142"/>
    <w:rsid w:val="00960F7E"/>
    <w:rsid w:val="0096107E"/>
    <w:rsid w:val="0096524C"/>
    <w:rsid w:val="0096628D"/>
    <w:rsid w:val="009662EA"/>
    <w:rsid w:val="00966B32"/>
    <w:rsid w:val="00966DB3"/>
    <w:rsid w:val="00966F6F"/>
    <w:rsid w:val="00967416"/>
    <w:rsid w:val="00967D8B"/>
    <w:rsid w:val="00967F26"/>
    <w:rsid w:val="009701E9"/>
    <w:rsid w:val="009707B1"/>
    <w:rsid w:val="00972D34"/>
    <w:rsid w:val="00973244"/>
    <w:rsid w:val="00975DB9"/>
    <w:rsid w:val="00976462"/>
    <w:rsid w:val="00976C12"/>
    <w:rsid w:val="00977A9B"/>
    <w:rsid w:val="009805BD"/>
    <w:rsid w:val="00983F7A"/>
    <w:rsid w:val="009861E9"/>
    <w:rsid w:val="00986C33"/>
    <w:rsid w:val="00986E22"/>
    <w:rsid w:val="00986F14"/>
    <w:rsid w:val="009872EF"/>
    <w:rsid w:val="0098730B"/>
    <w:rsid w:val="009904EE"/>
    <w:rsid w:val="009907E1"/>
    <w:rsid w:val="00990E85"/>
    <w:rsid w:val="0099175A"/>
    <w:rsid w:val="00992212"/>
    <w:rsid w:val="0099273A"/>
    <w:rsid w:val="009928FD"/>
    <w:rsid w:val="00992A0A"/>
    <w:rsid w:val="00992BAC"/>
    <w:rsid w:val="00992C54"/>
    <w:rsid w:val="00992D20"/>
    <w:rsid w:val="0099388F"/>
    <w:rsid w:val="00994863"/>
    <w:rsid w:val="009955F9"/>
    <w:rsid w:val="00996080"/>
    <w:rsid w:val="0099618D"/>
    <w:rsid w:val="00996AC4"/>
    <w:rsid w:val="00996D02"/>
    <w:rsid w:val="00996DB2"/>
    <w:rsid w:val="009974BB"/>
    <w:rsid w:val="009976FE"/>
    <w:rsid w:val="009A0584"/>
    <w:rsid w:val="009A2F5C"/>
    <w:rsid w:val="009A3384"/>
    <w:rsid w:val="009A3DF9"/>
    <w:rsid w:val="009A44B8"/>
    <w:rsid w:val="009A665E"/>
    <w:rsid w:val="009A6F60"/>
    <w:rsid w:val="009A747F"/>
    <w:rsid w:val="009B0233"/>
    <w:rsid w:val="009B0A86"/>
    <w:rsid w:val="009B1542"/>
    <w:rsid w:val="009B3ECF"/>
    <w:rsid w:val="009B4E94"/>
    <w:rsid w:val="009B54C6"/>
    <w:rsid w:val="009B55AE"/>
    <w:rsid w:val="009B67F9"/>
    <w:rsid w:val="009B7F3E"/>
    <w:rsid w:val="009C2216"/>
    <w:rsid w:val="009C22E1"/>
    <w:rsid w:val="009C3CD8"/>
    <w:rsid w:val="009C3FC6"/>
    <w:rsid w:val="009C47E6"/>
    <w:rsid w:val="009C4D60"/>
    <w:rsid w:val="009C4E88"/>
    <w:rsid w:val="009C4F84"/>
    <w:rsid w:val="009C7252"/>
    <w:rsid w:val="009C7A82"/>
    <w:rsid w:val="009C7B4B"/>
    <w:rsid w:val="009D02D8"/>
    <w:rsid w:val="009D0681"/>
    <w:rsid w:val="009D0CDB"/>
    <w:rsid w:val="009D12D1"/>
    <w:rsid w:val="009D18CA"/>
    <w:rsid w:val="009D26C8"/>
    <w:rsid w:val="009D27E6"/>
    <w:rsid w:val="009D2B9A"/>
    <w:rsid w:val="009D3DF5"/>
    <w:rsid w:val="009D4211"/>
    <w:rsid w:val="009D4D32"/>
    <w:rsid w:val="009D5082"/>
    <w:rsid w:val="009D53E0"/>
    <w:rsid w:val="009D6095"/>
    <w:rsid w:val="009D6AC4"/>
    <w:rsid w:val="009D78E6"/>
    <w:rsid w:val="009E169B"/>
    <w:rsid w:val="009E1B4A"/>
    <w:rsid w:val="009E25A0"/>
    <w:rsid w:val="009E4DA8"/>
    <w:rsid w:val="009E51A1"/>
    <w:rsid w:val="009E5A45"/>
    <w:rsid w:val="009E6956"/>
    <w:rsid w:val="009E73D1"/>
    <w:rsid w:val="009F08BF"/>
    <w:rsid w:val="009F0E6D"/>
    <w:rsid w:val="009F1047"/>
    <w:rsid w:val="009F14AB"/>
    <w:rsid w:val="009F3000"/>
    <w:rsid w:val="009F63B6"/>
    <w:rsid w:val="009F76F2"/>
    <w:rsid w:val="00A000A8"/>
    <w:rsid w:val="00A0040E"/>
    <w:rsid w:val="00A02186"/>
    <w:rsid w:val="00A02F81"/>
    <w:rsid w:val="00A03109"/>
    <w:rsid w:val="00A04173"/>
    <w:rsid w:val="00A041A6"/>
    <w:rsid w:val="00A064BA"/>
    <w:rsid w:val="00A07052"/>
    <w:rsid w:val="00A071CF"/>
    <w:rsid w:val="00A07225"/>
    <w:rsid w:val="00A11CF4"/>
    <w:rsid w:val="00A12539"/>
    <w:rsid w:val="00A1275B"/>
    <w:rsid w:val="00A12BE4"/>
    <w:rsid w:val="00A12D2B"/>
    <w:rsid w:val="00A13089"/>
    <w:rsid w:val="00A13BAE"/>
    <w:rsid w:val="00A15C56"/>
    <w:rsid w:val="00A16150"/>
    <w:rsid w:val="00A16E53"/>
    <w:rsid w:val="00A21E2D"/>
    <w:rsid w:val="00A21E9E"/>
    <w:rsid w:val="00A21F41"/>
    <w:rsid w:val="00A23DA4"/>
    <w:rsid w:val="00A23DFB"/>
    <w:rsid w:val="00A23E0B"/>
    <w:rsid w:val="00A243CB"/>
    <w:rsid w:val="00A24846"/>
    <w:rsid w:val="00A252B2"/>
    <w:rsid w:val="00A2632E"/>
    <w:rsid w:val="00A264E3"/>
    <w:rsid w:val="00A26EE1"/>
    <w:rsid w:val="00A27604"/>
    <w:rsid w:val="00A31189"/>
    <w:rsid w:val="00A32395"/>
    <w:rsid w:val="00A329B5"/>
    <w:rsid w:val="00A32EFE"/>
    <w:rsid w:val="00A334D8"/>
    <w:rsid w:val="00A34C85"/>
    <w:rsid w:val="00A35FBD"/>
    <w:rsid w:val="00A3625D"/>
    <w:rsid w:val="00A3689F"/>
    <w:rsid w:val="00A36BBA"/>
    <w:rsid w:val="00A36E64"/>
    <w:rsid w:val="00A402CA"/>
    <w:rsid w:val="00A40C54"/>
    <w:rsid w:val="00A41554"/>
    <w:rsid w:val="00A4170D"/>
    <w:rsid w:val="00A43E40"/>
    <w:rsid w:val="00A45A9D"/>
    <w:rsid w:val="00A45DE1"/>
    <w:rsid w:val="00A46BE5"/>
    <w:rsid w:val="00A4729B"/>
    <w:rsid w:val="00A516E2"/>
    <w:rsid w:val="00A520B1"/>
    <w:rsid w:val="00A52452"/>
    <w:rsid w:val="00A53228"/>
    <w:rsid w:val="00A5330A"/>
    <w:rsid w:val="00A536BB"/>
    <w:rsid w:val="00A537B5"/>
    <w:rsid w:val="00A5389B"/>
    <w:rsid w:val="00A54837"/>
    <w:rsid w:val="00A54A54"/>
    <w:rsid w:val="00A55008"/>
    <w:rsid w:val="00A550FC"/>
    <w:rsid w:val="00A56399"/>
    <w:rsid w:val="00A56950"/>
    <w:rsid w:val="00A57065"/>
    <w:rsid w:val="00A5791B"/>
    <w:rsid w:val="00A6084A"/>
    <w:rsid w:val="00A62DA7"/>
    <w:rsid w:val="00A63136"/>
    <w:rsid w:val="00A6343D"/>
    <w:rsid w:val="00A63F7F"/>
    <w:rsid w:val="00A641E8"/>
    <w:rsid w:val="00A6456F"/>
    <w:rsid w:val="00A65690"/>
    <w:rsid w:val="00A66309"/>
    <w:rsid w:val="00A66D1C"/>
    <w:rsid w:val="00A67700"/>
    <w:rsid w:val="00A67BEE"/>
    <w:rsid w:val="00A705C7"/>
    <w:rsid w:val="00A706DF"/>
    <w:rsid w:val="00A713F8"/>
    <w:rsid w:val="00A71D16"/>
    <w:rsid w:val="00A72571"/>
    <w:rsid w:val="00A739CE"/>
    <w:rsid w:val="00A73D09"/>
    <w:rsid w:val="00A740B2"/>
    <w:rsid w:val="00A747A7"/>
    <w:rsid w:val="00A75F90"/>
    <w:rsid w:val="00A77922"/>
    <w:rsid w:val="00A807E6"/>
    <w:rsid w:val="00A80B72"/>
    <w:rsid w:val="00A81255"/>
    <w:rsid w:val="00A8146E"/>
    <w:rsid w:val="00A825DF"/>
    <w:rsid w:val="00A83210"/>
    <w:rsid w:val="00A838FD"/>
    <w:rsid w:val="00A83FF9"/>
    <w:rsid w:val="00A8437B"/>
    <w:rsid w:val="00A84814"/>
    <w:rsid w:val="00A84DBA"/>
    <w:rsid w:val="00A860F0"/>
    <w:rsid w:val="00A86B2B"/>
    <w:rsid w:val="00A86E2F"/>
    <w:rsid w:val="00A87048"/>
    <w:rsid w:val="00A870AB"/>
    <w:rsid w:val="00A913F1"/>
    <w:rsid w:val="00A91535"/>
    <w:rsid w:val="00A92BF5"/>
    <w:rsid w:val="00A9486B"/>
    <w:rsid w:val="00A94CDF"/>
    <w:rsid w:val="00A954C5"/>
    <w:rsid w:val="00A96321"/>
    <w:rsid w:val="00A965B3"/>
    <w:rsid w:val="00A9672E"/>
    <w:rsid w:val="00A978F6"/>
    <w:rsid w:val="00AA0029"/>
    <w:rsid w:val="00AA0322"/>
    <w:rsid w:val="00AA3231"/>
    <w:rsid w:val="00AA4482"/>
    <w:rsid w:val="00AA794E"/>
    <w:rsid w:val="00AB05EC"/>
    <w:rsid w:val="00AB1612"/>
    <w:rsid w:val="00AB3600"/>
    <w:rsid w:val="00AB4C7E"/>
    <w:rsid w:val="00AB54C6"/>
    <w:rsid w:val="00AB6D6C"/>
    <w:rsid w:val="00AB6E86"/>
    <w:rsid w:val="00AB6E9A"/>
    <w:rsid w:val="00AB7419"/>
    <w:rsid w:val="00AB7421"/>
    <w:rsid w:val="00AB7B85"/>
    <w:rsid w:val="00AC0E92"/>
    <w:rsid w:val="00AC2B0D"/>
    <w:rsid w:val="00AC390A"/>
    <w:rsid w:val="00AC4C9E"/>
    <w:rsid w:val="00AC65C0"/>
    <w:rsid w:val="00AC765C"/>
    <w:rsid w:val="00AC7B11"/>
    <w:rsid w:val="00AC7F6E"/>
    <w:rsid w:val="00AD1CC7"/>
    <w:rsid w:val="00AD21AA"/>
    <w:rsid w:val="00AD2EC5"/>
    <w:rsid w:val="00AD352B"/>
    <w:rsid w:val="00AD3697"/>
    <w:rsid w:val="00AD3D98"/>
    <w:rsid w:val="00AD5332"/>
    <w:rsid w:val="00AD542A"/>
    <w:rsid w:val="00AD5642"/>
    <w:rsid w:val="00AD61E0"/>
    <w:rsid w:val="00AD626D"/>
    <w:rsid w:val="00AD6B09"/>
    <w:rsid w:val="00AD75D4"/>
    <w:rsid w:val="00AE0029"/>
    <w:rsid w:val="00AE096C"/>
    <w:rsid w:val="00AE1087"/>
    <w:rsid w:val="00AE1D29"/>
    <w:rsid w:val="00AE36BF"/>
    <w:rsid w:val="00AE5B60"/>
    <w:rsid w:val="00AE60F0"/>
    <w:rsid w:val="00AE6FEB"/>
    <w:rsid w:val="00AF1722"/>
    <w:rsid w:val="00AF1E36"/>
    <w:rsid w:val="00AF39EA"/>
    <w:rsid w:val="00AF3CB4"/>
    <w:rsid w:val="00AF3FEC"/>
    <w:rsid w:val="00AF4919"/>
    <w:rsid w:val="00AF56AB"/>
    <w:rsid w:val="00AF5CB5"/>
    <w:rsid w:val="00AF6C33"/>
    <w:rsid w:val="00AF6F74"/>
    <w:rsid w:val="00B0036F"/>
    <w:rsid w:val="00B00373"/>
    <w:rsid w:val="00B01E66"/>
    <w:rsid w:val="00B0372C"/>
    <w:rsid w:val="00B06D78"/>
    <w:rsid w:val="00B06DD8"/>
    <w:rsid w:val="00B074A0"/>
    <w:rsid w:val="00B078F5"/>
    <w:rsid w:val="00B1059D"/>
    <w:rsid w:val="00B1106D"/>
    <w:rsid w:val="00B11631"/>
    <w:rsid w:val="00B11A61"/>
    <w:rsid w:val="00B11B4E"/>
    <w:rsid w:val="00B124E7"/>
    <w:rsid w:val="00B1329E"/>
    <w:rsid w:val="00B1388F"/>
    <w:rsid w:val="00B148D6"/>
    <w:rsid w:val="00B15ACC"/>
    <w:rsid w:val="00B15BF2"/>
    <w:rsid w:val="00B17046"/>
    <w:rsid w:val="00B17F23"/>
    <w:rsid w:val="00B20158"/>
    <w:rsid w:val="00B2121A"/>
    <w:rsid w:val="00B22620"/>
    <w:rsid w:val="00B22B94"/>
    <w:rsid w:val="00B22D57"/>
    <w:rsid w:val="00B23375"/>
    <w:rsid w:val="00B241F6"/>
    <w:rsid w:val="00B24473"/>
    <w:rsid w:val="00B24ED0"/>
    <w:rsid w:val="00B24F0D"/>
    <w:rsid w:val="00B2549B"/>
    <w:rsid w:val="00B26B75"/>
    <w:rsid w:val="00B277E9"/>
    <w:rsid w:val="00B315AC"/>
    <w:rsid w:val="00B332DF"/>
    <w:rsid w:val="00B33AE3"/>
    <w:rsid w:val="00B349DF"/>
    <w:rsid w:val="00B34FB8"/>
    <w:rsid w:val="00B35B6C"/>
    <w:rsid w:val="00B35D9D"/>
    <w:rsid w:val="00B36577"/>
    <w:rsid w:val="00B41269"/>
    <w:rsid w:val="00B419FA"/>
    <w:rsid w:val="00B43527"/>
    <w:rsid w:val="00B43553"/>
    <w:rsid w:val="00B43BC4"/>
    <w:rsid w:val="00B443F6"/>
    <w:rsid w:val="00B455BA"/>
    <w:rsid w:val="00B4577F"/>
    <w:rsid w:val="00B45FDD"/>
    <w:rsid w:val="00B47AFA"/>
    <w:rsid w:val="00B50B48"/>
    <w:rsid w:val="00B51526"/>
    <w:rsid w:val="00B532DE"/>
    <w:rsid w:val="00B53316"/>
    <w:rsid w:val="00B5390D"/>
    <w:rsid w:val="00B53A27"/>
    <w:rsid w:val="00B54F14"/>
    <w:rsid w:val="00B554FE"/>
    <w:rsid w:val="00B55843"/>
    <w:rsid w:val="00B60539"/>
    <w:rsid w:val="00B60C23"/>
    <w:rsid w:val="00B60C42"/>
    <w:rsid w:val="00B61F03"/>
    <w:rsid w:val="00B61F81"/>
    <w:rsid w:val="00B624FF"/>
    <w:rsid w:val="00B6536D"/>
    <w:rsid w:val="00B65DE1"/>
    <w:rsid w:val="00B676FC"/>
    <w:rsid w:val="00B708C7"/>
    <w:rsid w:val="00B70C9D"/>
    <w:rsid w:val="00B71D6C"/>
    <w:rsid w:val="00B71DE9"/>
    <w:rsid w:val="00B72C70"/>
    <w:rsid w:val="00B73462"/>
    <w:rsid w:val="00B75A34"/>
    <w:rsid w:val="00B764F6"/>
    <w:rsid w:val="00B76D4C"/>
    <w:rsid w:val="00B774A1"/>
    <w:rsid w:val="00B804B0"/>
    <w:rsid w:val="00B8076F"/>
    <w:rsid w:val="00B81404"/>
    <w:rsid w:val="00B818BE"/>
    <w:rsid w:val="00B81B1A"/>
    <w:rsid w:val="00B82207"/>
    <w:rsid w:val="00B83794"/>
    <w:rsid w:val="00B83A6B"/>
    <w:rsid w:val="00B84F95"/>
    <w:rsid w:val="00B85BD8"/>
    <w:rsid w:val="00B86D84"/>
    <w:rsid w:val="00B873D8"/>
    <w:rsid w:val="00B906B2"/>
    <w:rsid w:val="00B90B8F"/>
    <w:rsid w:val="00B91342"/>
    <w:rsid w:val="00B9197B"/>
    <w:rsid w:val="00B919E2"/>
    <w:rsid w:val="00B92B52"/>
    <w:rsid w:val="00B939E4"/>
    <w:rsid w:val="00B953A7"/>
    <w:rsid w:val="00B96645"/>
    <w:rsid w:val="00B969D3"/>
    <w:rsid w:val="00B96A26"/>
    <w:rsid w:val="00B96E04"/>
    <w:rsid w:val="00B971DC"/>
    <w:rsid w:val="00B97984"/>
    <w:rsid w:val="00BA1325"/>
    <w:rsid w:val="00BA1708"/>
    <w:rsid w:val="00BA197F"/>
    <w:rsid w:val="00BA2674"/>
    <w:rsid w:val="00BA319C"/>
    <w:rsid w:val="00BA39F0"/>
    <w:rsid w:val="00BA3BF8"/>
    <w:rsid w:val="00BA3D2A"/>
    <w:rsid w:val="00BA48AC"/>
    <w:rsid w:val="00BA4992"/>
    <w:rsid w:val="00BA596B"/>
    <w:rsid w:val="00BA670E"/>
    <w:rsid w:val="00BA72AF"/>
    <w:rsid w:val="00BA7492"/>
    <w:rsid w:val="00BA79F0"/>
    <w:rsid w:val="00BB011B"/>
    <w:rsid w:val="00BB08AC"/>
    <w:rsid w:val="00BB0CCC"/>
    <w:rsid w:val="00BB0F64"/>
    <w:rsid w:val="00BB1463"/>
    <w:rsid w:val="00BB16DF"/>
    <w:rsid w:val="00BB2996"/>
    <w:rsid w:val="00BB31CE"/>
    <w:rsid w:val="00BB4B1B"/>
    <w:rsid w:val="00BB556A"/>
    <w:rsid w:val="00BB588D"/>
    <w:rsid w:val="00BB684A"/>
    <w:rsid w:val="00BB6A8F"/>
    <w:rsid w:val="00BB759A"/>
    <w:rsid w:val="00BC01E6"/>
    <w:rsid w:val="00BC01F7"/>
    <w:rsid w:val="00BC173E"/>
    <w:rsid w:val="00BC1AE4"/>
    <w:rsid w:val="00BC1D95"/>
    <w:rsid w:val="00BC2748"/>
    <w:rsid w:val="00BC30AC"/>
    <w:rsid w:val="00BC475E"/>
    <w:rsid w:val="00BC4CB7"/>
    <w:rsid w:val="00BC54C0"/>
    <w:rsid w:val="00BC5CBB"/>
    <w:rsid w:val="00BC6439"/>
    <w:rsid w:val="00BD1378"/>
    <w:rsid w:val="00BD2788"/>
    <w:rsid w:val="00BD2C0F"/>
    <w:rsid w:val="00BD39E9"/>
    <w:rsid w:val="00BD3BB3"/>
    <w:rsid w:val="00BD44E6"/>
    <w:rsid w:val="00BD49B3"/>
    <w:rsid w:val="00BD4CA2"/>
    <w:rsid w:val="00BE0A15"/>
    <w:rsid w:val="00BE1878"/>
    <w:rsid w:val="00BE2FAE"/>
    <w:rsid w:val="00BE560A"/>
    <w:rsid w:val="00BE58F4"/>
    <w:rsid w:val="00BE5B2E"/>
    <w:rsid w:val="00BE5DE6"/>
    <w:rsid w:val="00BF0289"/>
    <w:rsid w:val="00BF1806"/>
    <w:rsid w:val="00BF366F"/>
    <w:rsid w:val="00BF41B9"/>
    <w:rsid w:val="00BF4516"/>
    <w:rsid w:val="00BF4F71"/>
    <w:rsid w:val="00BF525B"/>
    <w:rsid w:val="00C008AD"/>
    <w:rsid w:val="00C00912"/>
    <w:rsid w:val="00C00A16"/>
    <w:rsid w:val="00C01E23"/>
    <w:rsid w:val="00C02820"/>
    <w:rsid w:val="00C03338"/>
    <w:rsid w:val="00C04289"/>
    <w:rsid w:val="00C04967"/>
    <w:rsid w:val="00C04BFD"/>
    <w:rsid w:val="00C05067"/>
    <w:rsid w:val="00C05F5F"/>
    <w:rsid w:val="00C06D1D"/>
    <w:rsid w:val="00C06D58"/>
    <w:rsid w:val="00C0741B"/>
    <w:rsid w:val="00C07BDB"/>
    <w:rsid w:val="00C1073A"/>
    <w:rsid w:val="00C108BE"/>
    <w:rsid w:val="00C112C2"/>
    <w:rsid w:val="00C118C7"/>
    <w:rsid w:val="00C131CC"/>
    <w:rsid w:val="00C137A7"/>
    <w:rsid w:val="00C13F0D"/>
    <w:rsid w:val="00C1444C"/>
    <w:rsid w:val="00C146BA"/>
    <w:rsid w:val="00C14F7F"/>
    <w:rsid w:val="00C1546F"/>
    <w:rsid w:val="00C15BD0"/>
    <w:rsid w:val="00C15EDF"/>
    <w:rsid w:val="00C16C7F"/>
    <w:rsid w:val="00C175E1"/>
    <w:rsid w:val="00C17651"/>
    <w:rsid w:val="00C1784C"/>
    <w:rsid w:val="00C17DB9"/>
    <w:rsid w:val="00C200DF"/>
    <w:rsid w:val="00C2036C"/>
    <w:rsid w:val="00C204CE"/>
    <w:rsid w:val="00C20D1C"/>
    <w:rsid w:val="00C20F0D"/>
    <w:rsid w:val="00C223A1"/>
    <w:rsid w:val="00C22B05"/>
    <w:rsid w:val="00C22B8B"/>
    <w:rsid w:val="00C22D56"/>
    <w:rsid w:val="00C23671"/>
    <w:rsid w:val="00C23790"/>
    <w:rsid w:val="00C24346"/>
    <w:rsid w:val="00C24FF8"/>
    <w:rsid w:val="00C25777"/>
    <w:rsid w:val="00C25D04"/>
    <w:rsid w:val="00C265C2"/>
    <w:rsid w:val="00C26845"/>
    <w:rsid w:val="00C306A2"/>
    <w:rsid w:val="00C30AD1"/>
    <w:rsid w:val="00C32202"/>
    <w:rsid w:val="00C32CA9"/>
    <w:rsid w:val="00C337A4"/>
    <w:rsid w:val="00C33B73"/>
    <w:rsid w:val="00C34EE8"/>
    <w:rsid w:val="00C350F0"/>
    <w:rsid w:val="00C35241"/>
    <w:rsid w:val="00C35879"/>
    <w:rsid w:val="00C35E4B"/>
    <w:rsid w:val="00C3603A"/>
    <w:rsid w:val="00C376E2"/>
    <w:rsid w:val="00C37797"/>
    <w:rsid w:val="00C37DAB"/>
    <w:rsid w:val="00C40020"/>
    <w:rsid w:val="00C411D5"/>
    <w:rsid w:val="00C4319B"/>
    <w:rsid w:val="00C4373D"/>
    <w:rsid w:val="00C43A03"/>
    <w:rsid w:val="00C45C54"/>
    <w:rsid w:val="00C45CA3"/>
    <w:rsid w:val="00C47135"/>
    <w:rsid w:val="00C51131"/>
    <w:rsid w:val="00C53EA1"/>
    <w:rsid w:val="00C56C51"/>
    <w:rsid w:val="00C57B35"/>
    <w:rsid w:val="00C57BCF"/>
    <w:rsid w:val="00C6140A"/>
    <w:rsid w:val="00C61A4F"/>
    <w:rsid w:val="00C61B0E"/>
    <w:rsid w:val="00C62279"/>
    <w:rsid w:val="00C62581"/>
    <w:rsid w:val="00C62F93"/>
    <w:rsid w:val="00C6387A"/>
    <w:rsid w:val="00C656C3"/>
    <w:rsid w:val="00C66692"/>
    <w:rsid w:val="00C70A07"/>
    <w:rsid w:val="00C70B3A"/>
    <w:rsid w:val="00C724EA"/>
    <w:rsid w:val="00C7354E"/>
    <w:rsid w:val="00C740FA"/>
    <w:rsid w:val="00C74986"/>
    <w:rsid w:val="00C752D7"/>
    <w:rsid w:val="00C75A1B"/>
    <w:rsid w:val="00C75BBE"/>
    <w:rsid w:val="00C765AF"/>
    <w:rsid w:val="00C76623"/>
    <w:rsid w:val="00C768CB"/>
    <w:rsid w:val="00C7696A"/>
    <w:rsid w:val="00C76E98"/>
    <w:rsid w:val="00C76EE3"/>
    <w:rsid w:val="00C77BC8"/>
    <w:rsid w:val="00C80238"/>
    <w:rsid w:val="00C80446"/>
    <w:rsid w:val="00C80613"/>
    <w:rsid w:val="00C8062D"/>
    <w:rsid w:val="00C819CB"/>
    <w:rsid w:val="00C820D8"/>
    <w:rsid w:val="00C82BFF"/>
    <w:rsid w:val="00C83DE3"/>
    <w:rsid w:val="00C84CE8"/>
    <w:rsid w:val="00C84F33"/>
    <w:rsid w:val="00C85094"/>
    <w:rsid w:val="00C86056"/>
    <w:rsid w:val="00C86FE7"/>
    <w:rsid w:val="00C878D8"/>
    <w:rsid w:val="00C87A0E"/>
    <w:rsid w:val="00C87D86"/>
    <w:rsid w:val="00C91C52"/>
    <w:rsid w:val="00C92138"/>
    <w:rsid w:val="00C92335"/>
    <w:rsid w:val="00C9272B"/>
    <w:rsid w:val="00C93D3B"/>
    <w:rsid w:val="00C9509A"/>
    <w:rsid w:val="00C9772A"/>
    <w:rsid w:val="00C978A8"/>
    <w:rsid w:val="00C97B89"/>
    <w:rsid w:val="00CA004F"/>
    <w:rsid w:val="00CA02E9"/>
    <w:rsid w:val="00CA0DBC"/>
    <w:rsid w:val="00CA1AED"/>
    <w:rsid w:val="00CA1B9C"/>
    <w:rsid w:val="00CA24A0"/>
    <w:rsid w:val="00CA25D9"/>
    <w:rsid w:val="00CA333A"/>
    <w:rsid w:val="00CA3F00"/>
    <w:rsid w:val="00CA4840"/>
    <w:rsid w:val="00CA6A03"/>
    <w:rsid w:val="00CA6CCB"/>
    <w:rsid w:val="00CA6D56"/>
    <w:rsid w:val="00CA6E44"/>
    <w:rsid w:val="00CA7424"/>
    <w:rsid w:val="00CA771D"/>
    <w:rsid w:val="00CA7887"/>
    <w:rsid w:val="00CA7E39"/>
    <w:rsid w:val="00CB0DA3"/>
    <w:rsid w:val="00CB12B7"/>
    <w:rsid w:val="00CB15ED"/>
    <w:rsid w:val="00CB1BFD"/>
    <w:rsid w:val="00CB2A6C"/>
    <w:rsid w:val="00CB4949"/>
    <w:rsid w:val="00CB4A86"/>
    <w:rsid w:val="00CB5216"/>
    <w:rsid w:val="00CB5982"/>
    <w:rsid w:val="00CB5C9E"/>
    <w:rsid w:val="00CB5D2D"/>
    <w:rsid w:val="00CB5D55"/>
    <w:rsid w:val="00CB5DB1"/>
    <w:rsid w:val="00CB6AF3"/>
    <w:rsid w:val="00CB755C"/>
    <w:rsid w:val="00CB7BBD"/>
    <w:rsid w:val="00CB7DD1"/>
    <w:rsid w:val="00CB7E0D"/>
    <w:rsid w:val="00CC0035"/>
    <w:rsid w:val="00CC02AB"/>
    <w:rsid w:val="00CC1963"/>
    <w:rsid w:val="00CC1C97"/>
    <w:rsid w:val="00CC1E21"/>
    <w:rsid w:val="00CC1E2D"/>
    <w:rsid w:val="00CC1E7A"/>
    <w:rsid w:val="00CC251C"/>
    <w:rsid w:val="00CC26A3"/>
    <w:rsid w:val="00CC26CA"/>
    <w:rsid w:val="00CC28D5"/>
    <w:rsid w:val="00CC3B8E"/>
    <w:rsid w:val="00CC49FF"/>
    <w:rsid w:val="00CC4DAC"/>
    <w:rsid w:val="00CC569A"/>
    <w:rsid w:val="00CC5A8D"/>
    <w:rsid w:val="00CC5CF6"/>
    <w:rsid w:val="00CC60D9"/>
    <w:rsid w:val="00CC6FBE"/>
    <w:rsid w:val="00CD12BC"/>
    <w:rsid w:val="00CD186E"/>
    <w:rsid w:val="00CD25FB"/>
    <w:rsid w:val="00CD3137"/>
    <w:rsid w:val="00CD46A5"/>
    <w:rsid w:val="00CD4AB3"/>
    <w:rsid w:val="00CD4C53"/>
    <w:rsid w:val="00CD5424"/>
    <w:rsid w:val="00CD69F1"/>
    <w:rsid w:val="00CD7510"/>
    <w:rsid w:val="00CE072D"/>
    <w:rsid w:val="00CE204B"/>
    <w:rsid w:val="00CE2796"/>
    <w:rsid w:val="00CE2FB5"/>
    <w:rsid w:val="00CE3290"/>
    <w:rsid w:val="00CE3522"/>
    <w:rsid w:val="00CE5A16"/>
    <w:rsid w:val="00CE6793"/>
    <w:rsid w:val="00CE7209"/>
    <w:rsid w:val="00CE726B"/>
    <w:rsid w:val="00CF06EF"/>
    <w:rsid w:val="00CF0D96"/>
    <w:rsid w:val="00CF13AE"/>
    <w:rsid w:val="00CF2DFB"/>
    <w:rsid w:val="00CF3055"/>
    <w:rsid w:val="00CF38B5"/>
    <w:rsid w:val="00CF3974"/>
    <w:rsid w:val="00CF60D8"/>
    <w:rsid w:val="00CF64B5"/>
    <w:rsid w:val="00CF70A2"/>
    <w:rsid w:val="00CF78C4"/>
    <w:rsid w:val="00CF7EE1"/>
    <w:rsid w:val="00D005BE"/>
    <w:rsid w:val="00D00952"/>
    <w:rsid w:val="00D009CA"/>
    <w:rsid w:val="00D01208"/>
    <w:rsid w:val="00D01541"/>
    <w:rsid w:val="00D01917"/>
    <w:rsid w:val="00D03AB0"/>
    <w:rsid w:val="00D03E24"/>
    <w:rsid w:val="00D04C2B"/>
    <w:rsid w:val="00D05173"/>
    <w:rsid w:val="00D0537D"/>
    <w:rsid w:val="00D06DB8"/>
    <w:rsid w:val="00D075A3"/>
    <w:rsid w:val="00D0773E"/>
    <w:rsid w:val="00D0798B"/>
    <w:rsid w:val="00D07B84"/>
    <w:rsid w:val="00D1098E"/>
    <w:rsid w:val="00D118CA"/>
    <w:rsid w:val="00D123A8"/>
    <w:rsid w:val="00D132DA"/>
    <w:rsid w:val="00D13A37"/>
    <w:rsid w:val="00D13C6C"/>
    <w:rsid w:val="00D1429C"/>
    <w:rsid w:val="00D14981"/>
    <w:rsid w:val="00D14A85"/>
    <w:rsid w:val="00D14D62"/>
    <w:rsid w:val="00D15AB4"/>
    <w:rsid w:val="00D15E23"/>
    <w:rsid w:val="00D164C2"/>
    <w:rsid w:val="00D16B08"/>
    <w:rsid w:val="00D16CE4"/>
    <w:rsid w:val="00D16E95"/>
    <w:rsid w:val="00D16EEA"/>
    <w:rsid w:val="00D16F94"/>
    <w:rsid w:val="00D171E2"/>
    <w:rsid w:val="00D1760A"/>
    <w:rsid w:val="00D17FDB"/>
    <w:rsid w:val="00D2003F"/>
    <w:rsid w:val="00D201B1"/>
    <w:rsid w:val="00D2037B"/>
    <w:rsid w:val="00D20A85"/>
    <w:rsid w:val="00D2106D"/>
    <w:rsid w:val="00D21FA5"/>
    <w:rsid w:val="00D221DF"/>
    <w:rsid w:val="00D23962"/>
    <w:rsid w:val="00D23C37"/>
    <w:rsid w:val="00D24F8F"/>
    <w:rsid w:val="00D263F3"/>
    <w:rsid w:val="00D26AB0"/>
    <w:rsid w:val="00D3072E"/>
    <w:rsid w:val="00D30A29"/>
    <w:rsid w:val="00D320B9"/>
    <w:rsid w:val="00D32C19"/>
    <w:rsid w:val="00D32ED1"/>
    <w:rsid w:val="00D331AD"/>
    <w:rsid w:val="00D3374A"/>
    <w:rsid w:val="00D342DD"/>
    <w:rsid w:val="00D353B0"/>
    <w:rsid w:val="00D37EEB"/>
    <w:rsid w:val="00D40F8B"/>
    <w:rsid w:val="00D418EF"/>
    <w:rsid w:val="00D420DA"/>
    <w:rsid w:val="00D475E4"/>
    <w:rsid w:val="00D4774D"/>
    <w:rsid w:val="00D47F44"/>
    <w:rsid w:val="00D53400"/>
    <w:rsid w:val="00D5406F"/>
    <w:rsid w:val="00D54A3D"/>
    <w:rsid w:val="00D54DAC"/>
    <w:rsid w:val="00D55ACE"/>
    <w:rsid w:val="00D55D13"/>
    <w:rsid w:val="00D566F2"/>
    <w:rsid w:val="00D576A5"/>
    <w:rsid w:val="00D57905"/>
    <w:rsid w:val="00D6052A"/>
    <w:rsid w:val="00D60EA2"/>
    <w:rsid w:val="00D61E71"/>
    <w:rsid w:val="00D61ECE"/>
    <w:rsid w:val="00D628E1"/>
    <w:rsid w:val="00D62990"/>
    <w:rsid w:val="00D63715"/>
    <w:rsid w:val="00D678D8"/>
    <w:rsid w:val="00D67FC1"/>
    <w:rsid w:val="00D70C7C"/>
    <w:rsid w:val="00D71CF9"/>
    <w:rsid w:val="00D73771"/>
    <w:rsid w:val="00D742F8"/>
    <w:rsid w:val="00D74386"/>
    <w:rsid w:val="00D74CE1"/>
    <w:rsid w:val="00D76B10"/>
    <w:rsid w:val="00D76FFC"/>
    <w:rsid w:val="00D77CD5"/>
    <w:rsid w:val="00D80532"/>
    <w:rsid w:val="00D805F1"/>
    <w:rsid w:val="00D81349"/>
    <w:rsid w:val="00D8292B"/>
    <w:rsid w:val="00D82A07"/>
    <w:rsid w:val="00D82BF2"/>
    <w:rsid w:val="00D839C5"/>
    <w:rsid w:val="00D850E7"/>
    <w:rsid w:val="00D85A07"/>
    <w:rsid w:val="00D85AC5"/>
    <w:rsid w:val="00D863C4"/>
    <w:rsid w:val="00D863E1"/>
    <w:rsid w:val="00D864EA"/>
    <w:rsid w:val="00D8675D"/>
    <w:rsid w:val="00D867CE"/>
    <w:rsid w:val="00D87D77"/>
    <w:rsid w:val="00D90A97"/>
    <w:rsid w:val="00D90AFF"/>
    <w:rsid w:val="00D91CC6"/>
    <w:rsid w:val="00D925D5"/>
    <w:rsid w:val="00D9288E"/>
    <w:rsid w:val="00D93711"/>
    <w:rsid w:val="00D93AB9"/>
    <w:rsid w:val="00D9458D"/>
    <w:rsid w:val="00D96FA5"/>
    <w:rsid w:val="00DA0577"/>
    <w:rsid w:val="00DA13E3"/>
    <w:rsid w:val="00DA37CB"/>
    <w:rsid w:val="00DA4C1C"/>
    <w:rsid w:val="00DA4DC1"/>
    <w:rsid w:val="00DA6019"/>
    <w:rsid w:val="00DA65F9"/>
    <w:rsid w:val="00DA66FA"/>
    <w:rsid w:val="00DA7DEB"/>
    <w:rsid w:val="00DB1FF8"/>
    <w:rsid w:val="00DB293E"/>
    <w:rsid w:val="00DB2CAF"/>
    <w:rsid w:val="00DB5252"/>
    <w:rsid w:val="00DB539D"/>
    <w:rsid w:val="00DB7533"/>
    <w:rsid w:val="00DC11C7"/>
    <w:rsid w:val="00DC1540"/>
    <w:rsid w:val="00DC16B5"/>
    <w:rsid w:val="00DC3061"/>
    <w:rsid w:val="00DC3FAE"/>
    <w:rsid w:val="00DC40F8"/>
    <w:rsid w:val="00DC427B"/>
    <w:rsid w:val="00DC51B7"/>
    <w:rsid w:val="00DC6A27"/>
    <w:rsid w:val="00DC6C9D"/>
    <w:rsid w:val="00DC6E30"/>
    <w:rsid w:val="00DC6E40"/>
    <w:rsid w:val="00DC7AA3"/>
    <w:rsid w:val="00DD03AF"/>
    <w:rsid w:val="00DD1841"/>
    <w:rsid w:val="00DD1CE3"/>
    <w:rsid w:val="00DD2612"/>
    <w:rsid w:val="00DD2649"/>
    <w:rsid w:val="00DD27EB"/>
    <w:rsid w:val="00DD2A2E"/>
    <w:rsid w:val="00DD2DD6"/>
    <w:rsid w:val="00DD3166"/>
    <w:rsid w:val="00DD39E8"/>
    <w:rsid w:val="00DD4F16"/>
    <w:rsid w:val="00DD6200"/>
    <w:rsid w:val="00DD6BAD"/>
    <w:rsid w:val="00DD6F30"/>
    <w:rsid w:val="00DE00B0"/>
    <w:rsid w:val="00DE27B9"/>
    <w:rsid w:val="00DE330E"/>
    <w:rsid w:val="00DE34C1"/>
    <w:rsid w:val="00DE3B3B"/>
    <w:rsid w:val="00DE4DA1"/>
    <w:rsid w:val="00DE505F"/>
    <w:rsid w:val="00DE6A98"/>
    <w:rsid w:val="00DF02A3"/>
    <w:rsid w:val="00DF058E"/>
    <w:rsid w:val="00DF09DA"/>
    <w:rsid w:val="00DF144C"/>
    <w:rsid w:val="00DF227F"/>
    <w:rsid w:val="00DF2AC5"/>
    <w:rsid w:val="00DF312E"/>
    <w:rsid w:val="00DF441E"/>
    <w:rsid w:val="00DF44DE"/>
    <w:rsid w:val="00DF4680"/>
    <w:rsid w:val="00DF4A02"/>
    <w:rsid w:val="00DF4A18"/>
    <w:rsid w:val="00DF4ACF"/>
    <w:rsid w:val="00DF51AC"/>
    <w:rsid w:val="00DF6064"/>
    <w:rsid w:val="00DF6ADA"/>
    <w:rsid w:val="00DF73DC"/>
    <w:rsid w:val="00E002A3"/>
    <w:rsid w:val="00E004AA"/>
    <w:rsid w:val="00E01766"/>
    <w:rsid w:val="00E01BCB"/>
    <w:rsid w:val="00E025BA"/>
    <w:rsid w:val="00E0315E"/>
    <w:rsid w:val="00E04028"/>
    <w:rsid w:val="00E04157"/>
    <w:rsid w:val="00E04E73"/>
    <w:rsid w:val="00E0569A"/>
    <w:rsid w:val="00E065E0"/>
    <w:rsid w:val="00E10775"/>
    <w:rsid w:val="00E12347"/>
    <w:rsid w:val="00E12595"/>
    <w:rsid w:val="00E12E2B"/>
    <w:rsid w:val="00E12EB7"/>
    <w:rsid w:val="00E13452"/>
    <w:rsid w:val="00E13A48"/>
    <w:rsid w:val="00E14120"/>
    <w:rsid w:val="00E14822"/>
    <w:rsid w:val="00E166EC"/>
    <w:rsid w:val="00E17260"/>
    <w:rsid w:val="00E176F7"/>
    <w:rsid w:val="00E17B13"/>
    <w:rsid w:val="00E21709"/>
    <w:rsid w:val="00E227E9"/>
    <w:rsid w:val="00E245C3"/>
    <w:rsid w:val="00E25404"/>
    <w:rsid w:val="00E25B2B"/>
    <w:rsid w:val="00E25FD8"/>
    <w:rsid w:val="00E26363"/>
    <w:rsid w:val="00E26392"/>
    <w:rsid w:val="00E2680F"/>
    <w:rsid w:val="00E30226"/>
    <w:rsid w:val="00E32313"/>
    <w:rsid w:val="00E32324"/>
    <w:rsid w:val="00E32361"/>
    <w:rsid w:val="00E326C4"/>
    <w:rsid w:val="00E33806"/>
    <w:rsid w:val="00E339B9"/>
    <w:rsid w:val="00E34607"/>
    <w:rsid w:val="00E34779"/>
    <w:rsid w:val="00E3617E"/>
    <w:rsid w:val="00E42FBA"/>
    <w:rsid w:val="00E440CD"/>
    <w:rsid w:val="00E454DE"/>
    <w:rsid w:val="00E45BE1"/>
    <w:rsid w:val="00E45F93"/>
    <w:rsid w:val="00E4698D"/>
    <w:rsid w:val="00E46ECE"/>
    <w:rsid w:val="00E472F4"/>
    <w:rsid w:val="00E475F9"/>
    <w:rsid w:val="00E4766C"/>
    <w:rsid w:val="00E502A8"/>
    <w:rsid w:val="00E5270B"/>
    <w:rsid w:val="00E52F1D"/>
    <w:rsid w:val="00E535DD"/>
    <w:rsid w:val="00E558A8"/>
    <w:rsid w:val="00E55AC4"/>
    <w:rsid w:val="00E56C2F"/>
    <w:rsid w:val="00E56CDD"/>
    <w:rsid w:val="00E56D2C"/>
    <w:rsid w:val="00E56F93"/>
    <w:rsid w:val="00E57BA1"/>
    <w:rsid w:val="00E57C6E"/>
    <w:rsid w:val="00E57F5F"/>
    <w:rsid w:val="00E60D62"/>
    <w:rsid w:val="00E622C4"/>
    <w:rsid w:val="00E623CA"/>
    <w:rsid w:val="00E645B2"/>
    <w:rsid w:val="00E65260"/>
    <w:rsid w:val="00E652FA"/>
    <w:rsid w:val="00E65D0A"/>
    <w:rsid w:val="00E7180A"/>
    <w:rsid w:val="00E71A46"/>
    <w:rsid w:val="00E71B3D"/>
    <w:rsid w:val="00E72812"/>
    <w:rsid w:val="00E732F0"/>
    <w:rsid w:val="00E77D5C"/>
    <w:rsid w:val="00E80985"/>
    <w:rsid w:val="00E81A05"/>
    <w:rsid w:val="00E82473"/>
    <w:rsid w:val="00E83213"/>
    <w:rsid w:val="00E83915"/>
    <w:rsid w:val="00E84336"/>
    <w:rsid w:val="00E84433"/>
    <w:rsid w:val="00E8723B"/>
    <w:rsid w:val="00E8729E"/>
    <w:rsid w:val="00E877B7"/>
    <w:rsid w:val="00E87B30"/>
    <w:rsid w:val="00E90388"/>
    <w:rsid w:val="00E906DA"/>
    <w:rsid w:val="00E92156"/>
    <w:rsid w:val="00E923DE"/>
    <w:rsid w:val="00E92AF5"/>
    <w:rsid w:val="00E93AA2"/>
    <w:rsid w:val="00E949FA"/>
    <w:rsid w:val="00E9734A"/>
    <w:rsid w:val="00E97441"/>
    <w:rsid w:val="00EA0128"/>
    <w:rsid w:val="00EA0FF3"/>
    <w:rsid w:val="00EA12A7"/>
    <w:rsid w:val="00EA1A42"/>
    <w:rsid w:val="00EA2B9A"/>
    <w:rsid w:val="00EA31A0"/>
    <w:rsid w:val="00EA33CB"/>
    <w:rsid w:val="00EA4ABC"/>
    <w:rsid w:val="00EA4C65"/>
    <w:rsid w:val="00EA507C"/>
    <w:rsid w:val="00EA60D0"/>
    <w:rsid w:val="00EA66D6"/>
    <w:rsid w:val="00EA682D"/>
    <w:rsid w:val="00EB0BA5"/>
    <w:rsid w:val="00EB0D26"/>
    <w:rsid w:val="00EB1AD5"/>
    <w:rsid w:val="00EB1B38"/>
    <w:rsid w:val="00EB2FB2"/>
    <w:rsid w:val="00EB31FF"/>
    <w:rsid w:val="00EB3C0C"/>
    <w:rsid w:val="00EB43F0"/>
    <w:rsid w:val="00EB744B"/>
    <w:rsid w:val="00EB7A8C"/>
    <w:rsid w:val="00EC13CC"/>
    <w:rsid w:val="00EC1779"/>
    <w:rsid w:val="00EC22F1"/>
    <w:rsid w:val="00EC2A9F"/>
    <w:rsid w:val="00EC3E20"/>
    <w:rsid w:val="00EC4419"/>
    <w:rsid w:val="00EC47B0"/>
    <w:rsid w:val="00EC53DB"/>
    <w:rsid w:val="00EC64D1"/>
    <w:rsid w:val="00EC663E"/>
    <w:rsid w:val="00EC67EC"/>
    <w:rsid w:val="00EC6B99"/>
    <w:rsid w:val="00EC727D"/>
    <w:rsid w:val="00EC7CEC"/>
    <w:rsid w:val="00ED0726"/>
    <w:rsid w:val="00ED32D6"/>
    <w:rsid w:val="00ED3DFD"/>
    <w:rsid w:val="00ED45C8"/>
    <w:rsid w:val="00ED549F"/>
    <w:rsid w:val="00ED5988"/>
    <w:rsid w:val="00ED619C"/>
    <w:rsid w:val="00ED669E"/>
    <w:rsid w:val="00ED7263"/>
    <w:rsid w:val="00ED77F2"/>
    <w:rsid w:val="00EE0525"/>
    <w:rsid w:val="00EE0547"/>
    <w:rsid w:val="00EE1436"/>
    <w:rsid w:val="00EE2060"/>
    <w:rsid w:val="00EE25FC"/>
    <w:rsid w:val="00EE48C7"/>
    <w:rsid w:val="00EE7EA3"/>
    <w:rsid w:val="00EE7F2C"/>
    <w:rsid w:val="00EF006A"/>
    <w:rsid w:val="00EF09B0"/>
    <w:rsid w:val="00EF14FE"/>
    <w:rsid w:val="00EF24C2"/>
    <w:rsid w:val="00EF3C87"/>
    <w:rsid w:val="00EF6C1C"/>
    <w:rsid w:val="00EF73B8"/>
    <w:rsid w:val="00EF7969"/>
    <w:rsid w:val="00EF7AF2"/>
    <w:rsid w:val="00F003DF"/>
    <w:rsid w:val="00F0045A"/>
    <w:rsid w:val="00F008FD"/>
    <w:rsid w:val="00F00A53"/>
    <w:rsid w:val="00F00BC5"/>
    <w:rsid w:val="00F00D7F"/>
    <w:rsid w:val="00F01316"/>
    <w:rsid w:val="00F04214"/>
    <w:rsid w:val="00F05BA8"/>
    <w:rsid w:val="00F07D44"/>
    <w:rsid w:val="00F100FA"/>
    <w:rsid w:val="00F10F80"/>
    <w:rsid w:val="00F11933"/>
    <w:rsid w:val="00F15335"/>
    <w:rsid w:val="00F155E8"/>
    <w:rsid w:val="00F162B8"/>
    <w:rsid w:val="00F16A4D"/>
    <w:rsid w:val="00F16FF7"/>
    <w:rsid w:val="00F1763C"/>
    <w:rsid w:val="00F179B4"/>
    <w:rsid w:val="00F20C6B"/>
    <w:rsid w:val="00F2278D"/>
    <w:rsid w:val="00F22F23"/>
    <w:rsid w:val="00F23BE0"/>
    <w:rsid w:val="00F24606"/>
    <w:rsid w:val="00F2514B"/>
    <w:rsid w:val="00F2539B"/>
    <w:rsid w:val="00F26284"/>
    <w:rsid w:val="00F26876"/>
    <w:rsid w:val="00F26CB3"/>
    <w:rsid w:val="00F3234F"/>
    <w:rsid w:val="00F33BDF"/>
    <w:rsid w:val="00F3433C"/>
    <w:rsid w:val="00F348C9"/>
    <w:rsid w:val="00F35012"/>
    <w:rsid w:val="00F3503A"/>
    <w:rsid w:val="00F36020"/>
    <w:rsid w:val="00F364E0"/>
    <w:rsid w:val="00F36D43"/>
    <w:rsid w:val="00F42107"/>
    <w:rsid w:val="00F43267"/>
    <w:rsid w:val="00F43449"/>
    <w:rsid w:val="00F451DA"/>
    <w:rsid w:val="00F46A38"/>
    <w:rsid w:val="00F47E3B"/>
    <w:rsid w:val="00F505A9"/>
    <w:rsid w:val="00F5105B"/>
    <w:rsid w:val="00F53BA5"/>
    <w:rsid w:val="00F545E9"/>
    <w:rsid w:val="00F547AF"/>
    <w:rsid w:val="00F54BAF"/>
    <w:rsid w:val="00F563A6"/>
    <w:rsid w:val="00F572F5"/>
    <w:rsid w:val="00F57AC1"/>
    <w:rsid w:val="00F57EA5"/>
    <w:rsid w:val="00F60A45"/>
    <w:rsid w:val="00F60B77"/>
    <w:rsid w:val="00F60F63"/>
    <w:rsid w:val="00F6185C"/>
    <w:rsid w:val="00F61A86"/>
    <w:rsid w:val="00F62D45"/>
    <w:rsid w:val="00F62E2A"/>
    <w:rsid w:val="00F642A1"/>
    <w:rsid w:val="00F64AB3"/>
    <w:rsid w:val="00F65D64"/>
    <w:rsid w:val="00F65E80"/>
    <w:rsid w:val="00F66DE3"/>
    <w:rsid w:val="00F67B8E"/>
    <w:rsid w:val="00F70F65"/>
    <w:rsid w:val="00F716ED"/>
    <w:rsid w:val="00F7377A"/>
    <w:rsid w:val="00F73936"/>
    <w:rsid w:val="00F740EA"/>
    <w:rsid w:val="00F74BCA"/>
    <w:rsid w:val="00F74C46"/>
    <w:rsid w:val="00F7579F"/>
    <w:rsid w:val="00F76E63"/>
    <w:rsid w:val="00F80407"/>
    <w:rsid w:val="00F81A67"/>
    <w:rsid w:val="00F82D19"/>
    <w:rsid w:val="00F83B9F"/>
    <w:rsid w:val="00F856DF"/>
    <w:rsid w:val="00F857FC"/>
    <w:rsid w:val="00F87881"/>
    <w:rsid w:val="00F90985"/>
    <w:rsid w:val="00F90EAA"/>
    <w:rsid w:val="00F90F51"/>
    <w:rsid w:val="00F91881"/>
    <w:rsid w:val="00F926AB"/>
    <w:rsid w:val="00F92A45"/>
    <w:rsid w:val="00F940BA"/>
    <w:rsid w:val="00F94C84"/>
    <w:rsid w:val="00F9509F"/>
    <w:rsid w:val="00F951B3"/>
    <w:rsid w:val="00F956AA"/>
    <w:rsid w:val="00F95DF7"/>
    <w:rsid w:val="00F96733"/>
    <w:rsid w:val="00F97BE1"/>
    <w:rsid w:val="00FA1928"/>
    <w:rsid w:val="00FA1E85"/>
    <w:rsid w:val="00FA2C8B"/>
    <w:rsid w:val="00FA2E9C"/>
    <w:rsid w:val="00FA305E"/>
    <w:rsid w:val="00FA3AE6"/>
    <w:rsid w:val="00FA586D"/>
    <w:rsid w:val="00FA58C2"/>
    <w:rsid w:val="00FA7852"/>
    <w:rsid w:val="00FB2213"/>
    <w:rsid w:val="00FB4365"/>
    <w:rsid w:val="00FB62CB"/>
    <w:rsid w:val="00FB6A7A"/>
    <w:rsid w:val="00FB774A"/>
    <w:rsid w:val="00FC0D92"/>
    <w:rsid w:val="00FC11F8"/>
    <w:rsid w:val="00FC14F5"/>
    <w:rsid w:val="00FC1BF8"/>
    <w:rsid w:val="00FC24C7"/>
    <w:rsid w:val="00FC2D43"/>
    <w:rsid w:val="00FC2D7C"/>
    <w:rsid w:val="00FC5D05"/>
    <w:rsid w:val="00FC63E1"/>
    <w:rsid w:val="00FC719D"/>
    <w:rsid w:val="00FC7EC7"/>
    <w:rsid w:val="00FD041D"/>
    <w:rsid w:val="00FD04B2"/>
    <w:rsid w:val="00FD05BA"/>
    <w:rsid w:val="00FD2A81"/>
    <w:rsid w:val="00FD3F58"/>
    <w:rsid w:val="00FD46F1"/>
    <w:rsid w:val="00FD4B29"/>
    <w:rsid w:val="00FD682C"/>
    <w:rsid w:val="00FE064F"/>
    <w:rsid w:val="00FE1C76"/>
    <w:rsid w:val="00FE1E69"/>
    <w:rsid w:val="00FE1F32"/>
    <w:rsid w:val="00FE499A"/>
    <w:rsid w:val="00FE5643"/>
    <w:rsid w:val="00FE6D43"/>
    <w:rsid w:val="00FF0E60"/>
    <w:rsid w:val="00FF3161"/>
    <w:rsid w:val="00FF39EA"/>
    <w:rsid w:val="00FF4327"/>
    <w:rsid w:val="00FF49DC"/>
    <w:rsid w:val="00FF4D34"/>
    <w:rsid w:val="00FF588E"/>
    <w:rsid w:val="00FF6470"/>
    <w:rsid w:val="00FF74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0C760A"/>
  <w15:chartTrackingRefBased/>
  <w15:docId w15:val="{8D1E0AB8-AC71-491E-9DB1-9EC7A2D6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4C2"/>
    <w:pPr>
      <w:spacing w:before="80" w:after="0" w:line="240" w:lineRule="auto"/>
    </w:pPr>
    <w:rPr>
      <w:rFonts w:cs="Times New Roman"/>
      <w:szCs w:val="24"/>
      <w:lang w:val="en-GB" w:eastAsia="en-GB"/>
    </w:rPr>
  </w:style>
  <w:style w:type="paragraph" w:styleId="Heading1">
    <w:name w:val="heading 1"/>
    <w:basedOn w:val="Normal"/>
    <w:next w:val="Normal"/>
    <w:link w:val="Heading1Char"/>
    <w:uiPriority w:val="9"/>
    <w:qFormat/>
    <w:rsid w:val="002B7662"/>
    <w:pPr>
      <w:keepNext/>
      <w:keepLines/>
      <w:numPr>
        <w:numId w:val="7"/>
      </w:numPr>
      <w:pBdr>
        <w:bottom w:val="single" w:sz="4" w:space="1" w:color="5B9BD5" w:themeColor="accent1"/>
      </w:pBdr>
      <w:spacing w:before="400" w:after="40"/>
      <w:outlineLvl w:val="0"/>
    </w:pPr>
    <w:rPr>
      <w:rFonts w:eastAsiaTheme="majorEastAsia" w:cstheme="minorHAnsi"/>
      <w:b/>
      <w:color w:val="2E74B5" w:themeColor="accent1" w:themeShade="BF"/>
      <w:sz w:val="36"/>
      <w:szCs w:val="36"/>
      <w:lang w:eastAsia="en-US"/>
    </w:rPr>
  </w:style>
  <w:style w:type="paragraph" w:styleId="Heading2">
    <w:name w:val="heading 2"/>
    <w:basedOn w:val="Normal"/>
    <w:next w:val="Normal"/>
    <w:link w:val="Heading2Char"/>
    <w:uiPriority w:val="9"/>
    <w:unhideWhenUsed/>
    <w:qFormat/>
    <w:rsid w:val="00A713F8"/>
    <w:pPr>
      <w:spacing w:before="120"/>
      <w:outlineLvl w:val="1"/>
    </w:pPr>
    <w:rPr>
      <w:rFonts w:cstheme="minorHAnsi"/>
      <w:b/>
      <w:sz w:val="28"/>
      <w:szCs w:val="28"/>
      <w:lang w:eastAsia="en-US"/>
    </w:rPr>
  </w:style>
  <w:style w:type="paragraph" w:styleId="Heading3">
    <w:name w:val="heading 3"/>
    <w:basedOn w:val="Normal"/>
    <w:next w:val="Normal"/>
    <w:link w:val="Heading3Char"/>
    <w:uiPriority w:val="9"/>
    <w:unhideWhenUsed/>
    <w:qFormat/>
    <w:rsid w:val="00A713F8"/>
    <w:pPr>
      <w:keepNext/>
      <w:keepLines/>
      <w:spacing w:before="120"/>
      <w:outlineLvl w:val="2"/>
    </w:pPr>
    <w:rPr>
      <w:rFonts w:eastAsiaTheme="majorEastAsia" w:cstheme="minorHAnsi"/>
      <w:b/>
    </w:rPr>
  </w:style>
  <w:style w:type="paragraph" w:styleId="Heading4">
    <w:name w:val="heading 4"/>
    <w:basedOn w:val="Normal"/>
    <w:next w:val="Normal"/>
    <w:link w:val="Heading4Char"/>
    <w:uiPriority w:val="9"/>
    <w:unhideWhenUsed/>
    <w:qFormat/>
    <w:rsid w:val="00471C0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872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284080"/>
    <w:pPr>
      <w:ind w:left="720"/>
      <w:contextualSpacing/>
    </w:pPr>
  </w:style>
  <w:style w:type="table" w:styleId="TableGrid">
    <w:name w:val="Table Grid"/>
    <w:aliases w:val="Nous Table,Table,NOUS,NOUS Side Header"/>
    <w:basedOn w:val="TableNormal"/>
    <w:uiPriority w:val="39"/>
    <w:rsid w:val="00C0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4516"/>
    <w:rPr>
      <w:rFonts w:eastAsiaTheme="majorEastAsia" w:cstheme="minorHAnsi"/>
      <w:b/>
      <w:color w:val="2E74B5" w:themeColor="accent1" w:themeShade="BF"/>
      <w:sz w:val="36"/>
      <w:szCs w:val="36"/>
      <w:lang w:val="en-GB" w:eastAsia="en-US"/>
    </w:rPr>
  </w:style>
  <w:style w:type="paragraph" w:styleId="Title">
    <w:name w:val="Title"/>
    <w:basedOn w:val="Normal"/>
    <w:next w:val="Normal"/>
    <w:link w:val="TitleChar"/>
    <w:uiPriority w:val="14"/>
    <w:qFormat/>
    <w:rsid w:val="00186E0D"/>
    <w:pPr>
      <w:contextualSpacing/>
    </w:pPr>
    <w:rPr>
      <w:rFonts w:asciiTheme="majorHAnsi" w:eastAsiaTheme="majorEastAsia" w:hAnsiTheme="majorHAnsi" w:cstheme="majorBidi"/>
      <w:color w:val="2E74B5" w:themeColor="accent1" w:themeShade="BF"/>
      <w:spacing w:val="-7"/>
      <w:sz w:val="80"/>
      <w:szCs w:val="80"/>
      <w:lang w:eastAsia="en-US"/>
    </w:rPr>
  </w:style>
  <w:style w:type="character" w:customStyle="1" w:styleId="TitleChar">
    <w:name w:val="Title Char"/>
    <w:basedOn w:val="DefaultParagraphFont"/>
    <w:link w:val="Title"/>
    <w:uiPriority w:val="14"/>
    <w:rsid w:val="00186E0D"/>
    <w:rPr>
      <w:rFonts w:asciiTheme="majorHAnsi" w:eastAsiaTheme="majorEastAsia" w:hAnsiTheme="majorHAnsi" w:cstheme="majorBidi"/>
      <w:color w:val="2E74B5" w:themeColor="accent1" w:themeShade="BF"/>
      <w:spacing w:val="-7"/>
      <w:sz w:val="80"/>
      <w:szCs w:val="80"/>
      <w:lang w:eastAsia="en-US"/>
    </w:rPr>
  </w:style>
  <w:style w:type="paragraph" w:styleId="FootnoteText">
    <w:name w:val="footnote text"/>
    <w:basedOn w:val="Normal"/>
    <w:link w:val="FootnoteTextChar"/>
    <w:uiPriority w:val="99"/>
    <w:unhideWhenUsed/>
    <w:rsid w:val="00C00A16"/>
  </w:style>
  <w:style w:type="character" w:customStyle="1" w:styleId="FootnoteTextChar">
    <w:name w:val="Footnote Text Char"/>
    <w:basedOn w:val="DefaultParagraphFont"/>
    <w:link w:val="FootnoteText"/>
    <w:uiPriority w:val="99"/>
    <w:rsid w:val="00C00A16"/>
    <w:rPr>
      <w:sz w:val="24"/>
      <w:szCs w:val="24"/>
    </w:rPr>
  </w:style>
  <w:style w:type="character" w:styleId="FootnoteReference">
    <w:name w:val="footnote reference"/>
    <w:basedOn w:val="DefaultParagraphFont"/>
    <w:uiPriority w:val="99"/>
    <w:unhideWhenUsed/>
    <w:rsid w:val="00C00A16"/>
    <w:rPr>
      <w:vertAlign w:val="superscript"/>
    </w:rPr>
  </w:style>
  <w:style w:type="paragraph" w:styleId="Footer">
    <w:name w:val="footer"/>
    <w:aliases w:val="Foot note"/>
    <w:basedOn w:val="Normal"/>
    <w:link w:val="FooterChar"/>
    <w:uiPriority w:val="99"/>
    <w:unhideWhenUsed/>
    <w:rsid w:val="00994863"/>
    <w:pPr>
      <w:tabs>
        <w:tab w:val="center" w:pos="4513"/>
        <w:tab w:val="right" w:pos="9026"/>
      </w:tabs>
    </w:pPr>
  </w:style>
  <w:style w:type="character" w:customStyle="1" w:styleId="FooterChar">
    <w:name w:val="Footer Char"/>
    <w:aliases w:val="Foot note Char"/>
    <w:basedOn w:val="DefaultParagraphFont"/>
    <w:link w:val="Footer"/>
    <w:uiPriority w:val="99"/>
    <w:rsid w:val="00994863"/>
  </w:style>
  <w:style w:type="character" w:styleId="PageNumber">
    <w:name w:val="page number"/>
    <w:basedOn w:val="DefaultParagraphFont"/>
    <w:uiPriority w:val="99"/>
    <w:semiHidden/>
    <w:unhideWhenUsed/>
    <w:rsid w:val="00994863"/>
  </w:style>
  <w:style w:type="paragraph" w:styleId="Header">
    <w:name w:val="header"/>
    <w:basedOn w:val="Normal"/>
    <w:link w:val="HeaderChar"/>
    <w:uiPriority w:val="99"/>
    <w:unhideWhenUsed/>
    <w:rsid w:val="00130481"/>
    <w:pPr>
      <w:tabs>
        <w:tab w:val="center" w:pos="4513"/>
        <w:tab w:val="right" w:pos="9026"/>
      </w:tabs>
    </w:pPr>
  </w:style>
  <w:style w:type="character" w:customStyle="1" w:styleId="HeaderChar">
    <w:name w:val="Header Char"/>
    <w:basedOn w:val="DefaultParagraphFont"/>
    <w:link w:val="Header"/>
    <w:uiPriority w:val="99"/>
    <w:rsid w:val="00130481"/>
  </w:style>
  <w:style w:type="character" w:styleId="CommentReference">
    <w:name w:val="annotation reference"/>
    <w:basedOn w:val="DefaultParagraphFont"/>
    <w:uiPriority w:val="99"/>
    <w:unhideWhenUsed/>
    <w:rsid w:val="001225E1"/>
    <w:rPr>
      <w:sz w:val="16"/>
      <w:szCs w:val="16"/>
    </w:rPr>
  </w:style>
  <w:style w:type="paragraph" w:styleId="CommentText">
    <w:name w:val="annotation text"/>
    <w:basedOn w:val="Normal"/>
    <w:link w:val="CommentTextChar"/>
    <w:uiPriority w:val="99"/>
    <w:unhideWhenUsed/>
    <w:rsid w:val="001225E1"/>
    <w:rPr>
      <w:sz w:val="20"/>
      <w:szCs w:val="20"/>
    </w:rPr>
  </w:style>
  <w:style w:type="character" w:customStyle="1" w:styleId="CommentTextChar">
    <w:name w:val="Comment Text Char"/>
    <w:basedOn w:val="DefaultParagraphFont"/>
    <w:link w:val="CommentText"/>
    <w:uiPriority w:val="99"/>
    <w:rsid w:val="001225E1"/>
    <w:rPr>
      <w:sz w:val="20"/>
      <w:szCs w:val="20"/>
    </w:rPr>
  </w:style>
  <w:style w:type="paragraph" w:styleId="CommentSubject">
    <w:name w:val="annotation subject"/>
    <w:basedOn w:val="CommentText"/>
    <w:next w:val="CommentText"/>
    <w:link w:val="CommentSubjectChar"/>
    <w:uiPriority w:val="99"/>
    <w:semiHidden/>
    <w:unhideWhenUsed/>
    <w:rsid w:val="001225E1"/>
    <w:rPr>
      <w:b/>
      <w:bCs/>
    </w:rPr>
  </w:style>
  <w:style w:type="character" w:customStyle="1" w:styleId="CommentSubjectChar">
    <w:name w:val="Comment Subject Char"/>
    <w:basedOn w:val="CommentTextChar"/>
    <w:link w:val="CommentSubject"/>
    <w:uiPriority w:val="99"/>
    <w:semiHidden/>
    <w:rsid w:val="001225E1"/>
    <w:rPr>
      <w:b/>
      <w:bCs/>
      <w:sz w:val="20"/>
      <w:szCs w:val="20"/>
    </w:rPr>
  </w:style>
  <w:style w:type="paragraph" w:styleId="BalloonText">
    <w:name w:val="Balloon Text"/>
    <w:basedOn w:val="Normal"/>
    <w:link w:val="BalloonTextChar"/>
    <w:uiPriority w:val="99"/>
    <w:semiHidden/>
    <w:unhideWhenUsed/>
    <w:rsid w:val="00122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E1"/>
    <w:rPr>
      <w:rFonts w:ascii="Segoe UI" w:hAnsi="Segoe UI" w:cs="Segoe UI"/>
      <w:sz w:val="18"/>
      <w:szCs w:val="18"/>
    </w:rPr>
  </w:style>
  <w:style w:type="paragraph" w:styleId="NormalWeb">
    <w:name w:val="Normal (Web)"/>
    <w:basedOn w:val="Normal"/>
    <w:uiPriority w:val="99"/>
    <w:unhideWhenUsed/>
    <w:rsid w:val="00F64AB3"/>
    <w:pPr>
      <w:spacing w:before="100" w:beforeAutospacing="1" w:after="100" w:afterAutospacing="1"/>
    </w:pPr>
  </w:style>
  <w:style w:type="paragraph" w:styleId="Revision">
    <w:name w:val="Revision"/>
    <w:hidden/>
    <w:uiPriority w:val="99"/>
    <w:semiHidden/>
    <w:rsid w:val="0071308E"/>
    <w:pPr>
      <w:spacing w:after="0" w:line="240" w:lineRule="auto"/>
    </w:pPr>
  </w:style>
  <w:style w:type="character" w:styleId="Hyperlink">
    <w:name w:val="Hyperlink"/>
    <w:basedOn w:val="DefaultParagraphFont"/>
    <w:uiPriority w:val="99"/>
    <w:unhideWhenUsed/>
    <w:rsid w:val="000D6FE7"/>
    <w:rPr>
      <w:color w:val="0563C1" w:themeColor="hyperlink"/>
      <w:u w:val="single"/>
    </w:rPr>
  </w:style>
  <w:style w:type="paragraph" w:customStyle="1" w:styleId="BodyCopy">
    <w:name w:val="Body Copy"/>
    <w:link w:val="BodyCopyChar"/>
    <w:uiPriority w:val="1"/>
    <w:qFormat/>
    <w:rsid w:val="00564B41"/>
    <w:pPr>
      <w:adjustRightInd w:val="0"/>
      <w:snapToGrid w:val="0"/>
      <w:spacing w:before="120" w:after="120" w:line="240" w:lineRule="auto"/>
    </w:pPr>
    <w:rPr>
      <w:rFonts w:cs="Segoe UI"/>
      <w:color w:val="000000" w:themeColor="text1"/>
      <w:szCs w:val="24"/>
      <w:lang w:eastAsia="ja-JP"/>
    </w:rPr>
  </w:style>
  <w:style w:type="character" w:customStyle="1" w:styleId="BodyCopyChar">
    <w:name w:val="Body Copy Char"/>
    <w:basedOn w:val="DefaultParagraphFont"/>
    <w:link w:val="BodyCopy"/>
    <w:uiPriority w:val="1"/>
    <w:rsid w:val="00564B41"/>
    <w:rPr>
      <w:rFonts w:cs="Segoe UI"/>
      <w:color w:val="000000" w:themeColor="text1"/>
      <w:szCs w:val="24"/>
      <w:lang w:eastAsia="ja-JP"/>
    </w:rPr>
  </w:style>
  <w:style w:type="paragraph" w:customStyle="1" w:styleId="CoverTitle">
    <w:name w:val="Cover Title"/>
    <w:uiPriority w:val="10"/>
    <w:qFormat/>
    <w:rsid w:val="000D6FE7"/>
    <w:pPr>
      <w:adjustRightInd w:val="0"/>
      <w:snapToGrid w:val="0"/>
      <w:spacing w:after="0" w:line="240" w:lineRule="auto"/>
    </w:pPr>
    <w:rPr>
      <w:rFonts w:ascii="Arial" w:hAnsi="Arial" w:cs="Segoe UI"/>
      <w:color w:val="FFFFFF" w:themeColor="background1"/>
      <w:sz w:val="60"/>
      <w:szCs w:val="42"/>
      <w:lang w:eastAsia="ja-JP"/>
    </w:rPr>
  </w:style>
  <w:style w:type="character" w:customStyle="1" w:styleId="apple-converted-space">
    <w:name w:val="apple-converted-space"/>
    <w:basedOn w:val="DefaultParagraphFont"/>
    <w:rsid w:val="00496E00"/>
  </w:style>
  <w:style w:type="character" w:styleId="FollowedHyperlink">
    <w:name w:val="FollowedHyperlink"/>
    <w:basedOn w:val="DefaultParagraphFont"/>
    <w:uiPriority w:val="99"/>
    <w:semiHidden/>
    <w:unhideWhenUsed/>
    <w:rsid w:val="00F95DF7"/>
    <w:rPr>
      <w:color w:val="954F72" w:themeColor="followedHyperlink"/>
      <w:u w:val="single"/>
    </w:rPr>
  </w:style>
  <w:style w:type="paragraph" w:customStyle="1" w:styleId="p1">
    <w:name w:val="p1"/>
    <w:basedOn w:val="Normal"/>
    <w:rsid w:val="0002192A"/>
    <w:rPr>
      <w:rFonts w:ascii="Helvetica" w:hAnsi="Helvetica"/>
      <w:color w:val="424242"/>
      <w:sz w:val="15"/>
      <w:szCs w:val="15"/>
    </w:rPr>
  </w:style>
  <w:style w:type="table" w:customStyle="1" w:styleId="TableGrid1">
    <w:name w:val="Table Grid1"/>
    <w:basedOn w:val="TableNormal"/>
    <w:next w:val="TableGrid"/>
    <w:uiPriority w:val="39"/>
    <w:rsid w:val="00F61A86"/>
    <w:pPr>
      <w:spacing w:after="0" w:line="240" w:lineRule="auto"/>
    </w:pPr>
    <w:rPr>
      <w:lang w:val="fr-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13F8"/>
    <w:rPr>
      <w:rFonts w:cstheme="minorHAnsi"/>
      <w:b/>
      <w:sz w:val="28"/>
      <w:szCs w:val="28"/>
      <w:lang w:val="en-GB" w:eastAsia="en-US"/>
    </w:rPr>
  </w:style>
  <w:style w:type="paragraph" w:styleId="Subtitle">
    <w:name w:val="Subtitle"/>
    <w:basedOn w:val="Normal"/>
    <w:next w:val="Normal"/>
    <w:link w:val="SubtitleChar"/>
    <w:uiPriority w:val="11"/>
    <w:qFormat/>
    <w:rsid w:val="00DD27E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D27EB"/>
    <w:rPr>
      <w:color w:val="5A5A5A" w:themeColor="text1" w:themeTint="A5"/>
      <w:spacing w:val="15"/>
    </w:rPr>
  </w:style>
  <w:style w:type="character" w:customStyle="1" w:styleId="Heading3Char">
    <w:name w:val="Heading 3 Char"/>
    <w:basedOn w:val="DefaultParagraphFont"/>
    <w:link w:val="Heading3"/>
    <w:uiPriority w:val="9"/>
    <w:rsid w:val="00A713F8"/>
    <w:rPr>
      <w:rFonts w:eastAsiaTheme="majorEastAsia" w:cstheme="minorHAnsi"/>
      <w:b/>
      <w:szCs w:val="24"/>
      <w:lang w:val="en-GB" w:eastAsia="en-GB"/>
    </w:rPr>
  </w:style>
  <w:style w:type="character" w:customStyle="1" w:styleId="Heading4Char">
    <w:name w:val="Heading 4 Char"/>
    <w:basedOn w:val="DefaultParagraphFont"/>
    <w:link w:val="Heading4"/>
    <w:uiPriority w:val="9"/>
    <w:rsid w:val="00471C09"/>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471C09"/>
    <w:pPr>
      <w:pBdr>
        <w:bottom w:val="none" w:sz="0" w:space="0" w:color="auto"/>
      </w:pBdr>
      <w:spacing w:before="240" w:after="0" w:line="259" w:lineRule="auto"/>
      <w:outlineLvl w:val="9"/>
    </w:pPr>
    <w:rPr>
      <w:sz w:val="32"/>
      <w:szCs w:val="32"/>
      <w:lang w:val="en-US"/>
    </w:rPr>
  </w:style>
  <w:style w:type="paragraph" w:styleId="TOC1">
    <w:name w:val="toc 1"/>
    <w:basedOn w:val="Normal"/>
    <w:next w:val="Normal"/>
    <w:autoRedefine/>
    <w:uiPriority w:val="39"/>
    <w:unhideWhenUsed/>
    <w:rsid w:val="0052449D"/>
    <w:pPr>
      <w:tabs>
        <w:tab w:val="left" w:pos="440"/>
        <w:tab w:val="right" w:leader="dot" w:pos="9016"/>
      </w:tabs>
      <w:spacing w:after="100"/>
    </w:pPr>
    <w:rPr>
      <w:b/>
      <w:noProof/>
      <w:sz w:val="20"/>
    </w:rPr>
  </w:style>
  <w:style w:type="paragraph" w:styleId="TOC2">
    <w:name w:val="toc 2"/>
    <w:basedOn w:val="Normal"/>
    <w:next w:val="Normal"/>
    <w:autoRedefine/>
    <w:uiPriority w:val="39"/>
    <w:unhideWhenUsed/>
    <w:rsid w:val="0021022C"/>
    <w:pPr>
      <w:tabs>
        <w:tab w:val="right" w:leader="dot" w:pos="9016"/>
      </w:tabs>
      <w:spacing w:before="0"/>
      <w:ind w:left="221"/>
    </w:pPr>
    <w:rPr>
      <w:sz w:val="20"/>
    </w:rPr>
  </w:style>
  <w:style w:type="paragraph" w:styleId="TOC3">
    <w:name w:val="toc 3"/>
    <w:basedOn w:val="Normal"/>
    <w:next w:val="Normal"/>
    <w:autoRedefine/>
    <w:uiPriority w:val="39"/>
    <w:unhideWhenUsed/>
    <w:rsid w:val="00AA3231"/>
    <w:pPr>
      <w:tabs>
        <w:tab w:val="right" w:leader="dot" w:pos="9016"/>
      </w:tabs>
      <w:spacing w:after="100"/>
      <w:ind w:left="440"/>
    </w:pPr>
  </w:style>
  <w:style w:type="paragraph" w:styleId="Caption">
    <w:name w:val="caption"/>
    <w:basedOn w:val="Normal"/>
    <w:next w:val="Normal"/>
    <w:uiPriority w:val="35"/>
    <w:unhideWhenUsed/>
    <w:qFormat/>
    <w:rsid w:val="00D63715"/>
    <w:pPr>
      <w:spacing w:after="200"/>
    </w:pPr>
    <w:rPr>
      <w:i/>
      <w:iCs/>
      <w:color w:val="44546A" w:themeColor="text2"/>
      <w:sz w:val="18"/>
      <w:szCs w:val="18"/>
    </w:rPr>
  </w:style>
  <w:style w:type="character" w:customStyle="1" w:styleId="Heading5Char">
    <w:name w:val="Heading 5 Char"/>
    <w:basedOn w:val="DefaultParagraphFont"/>
    <w:link w:val="Heading5"/>
    <w:uiPriority w:val="9"/>
    <w:rsid w:val="00E8723B"/>
    <w:rPr>
      <w:rFonts w:asciiTheme="majorHAnsi" w:eastAsiaTheme="majorEastAsia" w:hAnsiTheme="majorHAnsi" w:cstheme="majorBidi"/>
      <w:color w:val="2E74B5" w:themeColor="accent1" w:themeShade="BF"/>
    </w:rPr>
  </w:style>
  <w:style w:type="paragraph" w:customStyle="1" w:styleId="TableNBullet">
    <w:name w:val="Table N Bullet"/>
    <w:basedOn w:val="Normal"/>
    <w:uiPriority w:val="9"/>
    <w:qFormat/>
    <w:rsid w:val="00E065E0"/>
    <w:pPr>
      <w:numPr>
        <w:numId w:val="1"/>
      </w:numPr>
      <w:suppressAutoHyphens/>
      <w:spacing w:before="0"/>
      <w:contextualSpacing/>
    </w:pPr>
    <w:rPr>
      <w:rFonts w:eastAsia="Times New Roman"/>
      <w:sz w:val="21"/>
      <w:szCs w:val="19"/>
      <w:lang w:val="en-US" w:eastAsia="en-AU"/>
    </w:rPr>
  </w:style>
  <w:style w:type="paragraph" w:customStyle="1" w:styleId="NousFooter">
    <w:name w:val="Nous Footer"/>
    <w:basedOn w:val="Normal"/>
    <w:uiPriority w:val="96"/>
    <w:qFormat/>
    <w:rsid w:val="00E8723B"/>
    <w:rPr>
      <w:rFonts w:ascii="Segoe UI" w:eastAsiaTheme="minorHAnsi" w:hAnsi="Segoe UI"/>
      <w:color w:val="808080" w:themeColor="background1" w:themeShade="80"/>
      <w:sz w:val="15"/>
      <w:szCs w:val="15"/>
      <w:lang w:val="en-US" w:eastAsia="en-AU"/>
    </w:rPr>
  </w:style>
  <w:style w:type="paragraph" w:customStyle="1" w:styleId="TableExpBullet">
    <w:name w:val="Table Exp Bullet"/>
    <w:basedOn w:val="TableNBullet"/>
    <w:uiPriority w:val="3"/>
    <w:qFormat/>
    <w:rsid w:val="006A427E"/>
    <w:pPr>
      <w:numPr>
        <w:numId w:val="0"/>
      </w:numPr>
    </w:pPr>
  </w:style>
  <w:style w:type="paragraph" w:customStyle="1" w:styleId="TableHeader">
    <w:name w:val="Table Header"/>
    <w:basedOn w:val="Normal"/>
    <w:qFormat/>
    <w:rsid w:val="00E8723B"/>
    <w:pPr>
      <w:spacing w:before="120" w:after="60"/>
    </w:pPr>
    <w:rPr>
      <w:rFonts w:ascii="Segoe UI" w:eastAsiaTheme="minorHAnsi" w:hAnsi="Segoe UI"/>
      <w:b/>
      <w:color w:val="1F4E79" w:themeColor="accent1" w:themeShade="80"/>
      <w:lang w:eastAsia="en-AU"/>
    </w:rPr>
  </w:style>
  <w:style w:type="character" w:customStyle="1" w:styleId="normaltextrun">
    <w:name w:val="normaltextrun"/>
    <w:basedOn w:val="DefaultParagraphFont"/>
    <w:rsid w:val="008632C8"/>
  </w:style>
  <w:style w:type="character" w:customStyle="1" w:styleId="eop">
    <w:name w:val="eop"/>
    <w:basedOn w:val="DefaultParagraphFont"/>
    <w:rsid w:val="008632C8"/>
  </w:style>
  <w:style w:type="paragraph" w:customStyle="1" w:styleId="Heading3indexed">
    <w:name w:val="Heading 3 (indexed)"/>
    <w:next w:val="BodyCopy"/>
    <w:qFormat/>
    <w:rsid w:val="00353AC1"/>
    <w:pPr>
      <w:keepNext/>
      <w:adjustRightInd w:val="0"/>
      <w:snapToGrid w:val="0"/>
      <w:spacing w:before="240" w:after="360" w:line="240" w:lineRule="auto"/>
      <w:outlineLvl w:val="2"/>
    </w:pPr>
    <w:rPr>
      <w:rFonts w:ascii="Arial" w:hAnsi="Arial" w:cs="Segoe UI"/>
      <w:i/>
      <w:color w:val="5B9BD5" w:themeColor="accent1"/>
      <w:sz w:val="24"/>
      <w:szCs w:val="24"/>
      <w:lang w:eastAsia="ja-JP"/>
    </w:rPr>
  </w:style>
  <w:style w:type="paragraph" w:customStyle="1" w:styleId="NumberedList">
    <w:name w:val="Numbered List"/>
    <w:uiPriority w:val="3"/>
    <w:qFormat/>
    <w:rsid w:val="003E1327"/>
    <w:pPr>
      <w:numPr>
        <w:numId w:val="2"/>
      </w:numPr>
      <w:adjustRightInd w:val="0"/>
      <w:snapToGrid w:val="0"/>
      <w:spacing w:before="120" w:after="120" w:line="240" w:lineRule="auto"/>
    </w:pPr>
    <w:rPr>
      <w:rFonts w:ascii="Arial" w:hAnsi="Arial" w:cs="Segoe UI"/>
      <w:color w:val="FFC000" w:themeColor="accent4"/>
      <w:sz w:val="20"/>
      <w:szCs w:val="24"/>
      <w:lang w:eastAsia="ja-JP"/>
    </w:rPr>
  </w:style>
  <w:style w:type="paragraph" w:customStyle="1" w:styleId="BulletedList">
    <w:name w:val="Bulleted List"/>
    <w:uiPriority w:val="4"/>
    <w:qFormat/>
    <w:rsid w:val="003E1327"/>
    <w:pPr>
      <w:numPr>
        <w:ilvl w:val="1"/>
        <w:numId w:val="2"/>
      </w:numPr>
      <w:adjustRightInd w:val="0"/>
      <w:snapToGrid w:val="0"/>
      <w:spacing w:before="120" w:after="120" w:line="240" w:lineRule="auto"/>
    </w:pPr>
    <w:rPr>
      <w:rFonts w:ascii="Arial" w:hAnsi="Arial" w:cs="Segoe UI"/>
      <w:color w:val="FFC000" w:themeColor="accent4"/>
      <w:sz w:val="20"/>
      <w:szCs w:val="24"/>
      <w:lang w:eastAsia="ja-JP"/>
    </w:rPr>
  </w:style>
  <w:style w:type="paragraph" w:styleId="BodyText">
    <w:name w:val="Body Text"/>
    <w:basedOn w:val="Normal"/>
    <w:link w:val="BodyTextChar"/>
    <w:uiPriority w:val="5"/>
    <w:semiHidden/>
    <w:qFormat/>
    <w:rsid w:val="00C223A1"/>
    <w:pPr>
      <w:adjustRightInd w:val="0"/>
      <w:snapToGrid w:val="0"/>
      <w:spacing w:before="120" w:after="120"/>
    </w:pPr>
    <w:rPr>
      <w:rFonts w:ascii="Arial" w:hAnsi="Arial" w:cs="Segoe UI"/>
      <w:color w:val="FFC000" w:themeColor="accent4"/>
      <w:sz w:val="20"/>
      <w:lang w:eastAsia="ja-JP"/>
    </w:rPr>
  </w:style>
  <w:style w:type="character" w:customStyle="1" w:styleId="BodyTextChar">
    <w:name w:val="Body Text Char"/>
    <w:basedOn w:val="DefaultParagraphFont"/>
    <w:link w:val="BodyText"/>
    <w:uiPriority w:val="5"/>
    <w:semiHidden/>
    <w:rsid w:val="00C223A1"/>
    <w:rPr>
      <w:rFonts w:ascii="Arial" w:hAnsi="Arial" w:cs="Segoe UI"/>
      <w:color w:val="FFC000" w:themeColor="accent4"/>
      <w:sz w:val="20"/>
      <w:szCs w:val="24"/>
      <w:lang w:eastAsia="ja-JP"/>
    </w:rPr>
  </w:style>
  <w:style w:type="table" w:customStyle="1" w:styleId="NOUSSideHeader1">
    <w:name w:val="NOUS Side Header1"/>
    <w:basedOn w:val="TableNormal"/>
    <w:next w:val="TableGrid"/>
    <w:uiPriority w:val="39"/>
    <w:rsid w:val="00E1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4927A8"/>
    <w:rPr>
      <w:rFonts w:ascii="Arial" w:hAnsi="Arial" w:cs="Times New Roman"/>
      <w:sz w:val="24"/>
      <w:szCs w:val="24"/>
      <w:lang w:val="en-GB" w:eastAsia="en-GB"/>
    </w:rPr>
  </w:style>
  <w:style w:type="character" w:customStyle="1" w:styleId="UnresolvedMention1">
    <w:name w:val="Unresolved Mention1"/>
    <w:basedOn w:val="DefaultParagraphFont"/>
    <w:uiPriority w:val="99"/>
    <w:semiHidden/>
    <w:unhideWhenUsed/>
    <w:rsid w:val="0063683E"/>
    <w:rPr>
      <w:color w:val="605E5C"/>
      <w:shd w:val="clear" w:color="auto" w:fill="E1DFDD"/>
    </w:rPr>
  </w:style>
  <w:style w:type="character" w:styleId="Emphasis">
    <w:name w:val="Emphasis"/>
    <w:basedOn w:val="DefaultParagraphFont"/>
    <w:uiPriority w:val="20"/>
    <w:qFormat/>
    <w:rsid w:val="008E228D"/>
    <w:rPr>
      <w:i/>
      <w:iCs/>
    </w:rPr>
  </w:style>
  <w:style w:type="paragraph" w:customStyle="1" w:styleId="EndNoteBibliographyTitle">
    <w:name w:val="EndNote Bibliography Title"/>
    <w:basedOn w:val="Normal"/>
    <w:link w:val="EndNoteBibliographyTitleChar"/>
    <w:rsid w:val="00B532DE"/>
    <w:pPr>
      <w:jc w:val="center"/>
    </w:pPr>
    <w:rPr>
      <w:rFonts w:ascii="Calibri" w:hAnsi="Calibri" w:cs="Calibri"/>
      <w:noProof/>
      <w:sz w:val="16"/>
    </w:rPr>
  </w:style>
  <w:style w:type="character" w:customStyle="1" w:styleId="EndNoteBibliographyTitleChar">
    <w:name w:val="EndNote Bibliography Title Char"/>
    <w:basedOn w:val="DefaultParagraphFont"/>
    <w:link w:val="EndNoteBibliographyTitle"/>
    <w:rsid w:val="00B532DE"/>
    <w:rPr>
      <w:rFonts w:ascii="Calibri" w:hAnsi="Calibri" w:cs="Calibri"/>
      <w:noProof/>
      <w:sz w:val="16"/>
      <w:szCs w:val="24"/>
      <w:lang w:val="en-GB" w:eastAsia="en-GB"/>
    </w:rPr>
  </w:style>
  <w:style w:type="paragraph" w:customStyle="1" w:styleId="EndNoteBibliography">
    <w:name w:val="EndNote Bibliography"/>
    <w:basedOn w:val="Normal"/>
    <w:link w:val="EndNoteBibliographyChar"/>
    <w:rsid w:val="00B532DE"/>
    <w:rPr>
      <w:rFonts w:ascii="Calibri" w:hAnsi="Calibri" w:cs="Calibri"/>
      <w:noProof/>
      <w:sz w:val="16"/>
    </w:rPr>
  </w:style>
  <w:style w:type="character" w:customStyle="1" w:styleId="EndNoteBibliographyChar">
    <w:name w:val="EndNote Bibliography Char"/>
    <w:basedOn w:val="DefaultParagraphFont"/>
    <w:link w:val="EndNoteBibliography"/>
    <w:rsid w:val="00B532DE"/>
    <w:rPr>
      <w:rFonts w:ascii="Calibri" w:hAnsi="Calibri" w:cs="Calibri"/>
      <w:noProof/>
      <w:sz w:val="16"/>
      <w:szCs w:val="24"/>
      <w:lang w:val="en-GB" w:eastAsia="en-GB"/>
    </w:rPr>
  </w:style>
  <w:style w:type="paragraph" w:styleId="TableofFigures">
    <w:name w:val="table of figures"/>
    <w:basedOn w:val="Normal"/>
    <w:next w:val="Normal"/>
    <w:uiPriority w:val="99"/>
    <w:unhideWhenUsed/>
    <w:rsid w:val="00C350F0"/>
  </w:style>
  <w:style w:type="character" w:customStyle="1" w:styleId="UnresolvedMention2">
    <w:name w:val="Unresolved Mention2"/>
    <w:basedOn w:val="DefaultParagraphFont"/>
    <w:uiPriority w:val="99"/>
    <w:rsid w:val="002C318D"/>
    <w:rPr>
      <w:color w:val="605E5C"/>
      <w:shd w:val="clear" w:color="auto" w:fill="E1DFDD"/>
    </w:rPr>
  </w:style>
  <w:style w:type="paragraph" w:styleId="NoSpacing">
    <w:name w:val="No Spacing"/>
    <w:uiPriority w:val="1"/>
    <w:qFormat/>
    <w:rsid w:val="000928D0"/>
    <w:pPr>
      <w:spacing w:after="0" w:line="240" w:lineRule="auto"/>
    </w:pPr>
    <w:rPr>
      <w:rFonts w:cs="Times New Roman"/>
      <w:szCs w:val="24"/>
      <w:lang w:val="en-GB" w:eastAsia="en-GB"/>
    </w:rPr>
  </w:style>
  <w:style w:type="paragraph" w:styleId="EndnoteText">
    <w:name w:val="endnote text"/>
    <w:basedOn w:val="Normal"/>
    <w:link w:val="EndnoteTextChar"/>
    <w:uiPriority w:val="99"/>
    <w:semiHidden/>
    <w:unhideWhenUsed/>
    <w:rsid w:val="00C25777"/>
    <w:rPr>
      <w:sz w:val="20"/>
      <w:szCs w:val="20"/>
    </w:rPr>
  </w:style>
  <w:style w:type="character" w:customStyle="1" w:styleId="EndnoteTextChar">
    <w:name w:val="Endnote Text Char"/>
    <w:basedOn w:val="DefaultParagraphFont"/>
    <w:link w:val="EndnoteText"/>
    <w:uiPriority w:val="99"/>
    <w:semiHidden/>
    <w:rsid w:val="00C25777"/>
    <w:rPr>
      <w:rFonts w:cs="Times New Roman"/>
      <w:sz w:val="20"/>
      <w:szCs w:val="20"/>
      <w:lang w:val="en-GB" w:eastAsia="en-GB"/>
    </w:rPr>
  </w:style>
  <w:style w:type="character" w:styleId="EndnoteReference">
    <w:name w:val="endnote reference"/>
    <w:basedOn w:val="DefaultParagraphFont"/>
    <w:uiPriority w:val="99"/>
    <w:unhideWhenUsed/>
    <w:rsid w:val="00C25777"/>
    <w:rPr>
      <w:vertAlign w:val="superscript"/>
    </w:rPr>
  </w:style>
  <w:style w:type="character" w:customStyle="1" w:styleId="UnresolvedMention3">
    <w:name w:val="Unresolved Mention3"/>
    <w:basedOn w:val="DefaultParagraphFont"/>
    <w:uiPriority w:val="99"/>
    <w:semiHidden/>
    <w:unhideWhenUsed/>
    <w:rsid w:val="00582A72"/>
    <w:rPr>
      <w:color w:val="605E5C"/>
      <w:shd w:val="clear" w:color="auto" w:fill="E1DFDD"/>
    </w:rPr>
  </w:style>
  <w:style w:type="paragraph" w:customStyle="1" w:styleId="Style1notnumbered">
    <w:name w:val="Style1 (not numbered)"/>
    <w:basedOn w:val="Heading1"/>
    <w:link w:val="Style1notnumberedChar"/>
    <w:qFormat/>
    <w:rsid w:val="001E0945"/>
    <w:pPr>
      <w:numPr>
        <w:numId w:val="0"/>
      </w:numPr>
    </w:pPr>
  </w:style>
  <w:style w:type="character" w:customStyle="1" w:styleId="UnresolvedMention4">
    <w:name w:val="Unresolved Mention4"/>
    <w:basedOn w:val="DefaultParagraphFont"/>
    <w:uiPriority w:val="99"/>
    <w:rsid w:val="0096628D"/>
    <w:rPr>
      <w:color w:val="605E5C"/>
      <w:shd w:val="clear" w:color="auto" w:fill="E1DFDD"/>
    </w:rPr>
  </w:style>
  <w:style w:type="character" w:customStyle="1" w:styleId="Style1notnumberedChar">
    <w:name w:val="Style1 (not numbered) Char"/>
    <w:basedOn w:val="Heading1Char"/>
    <w:link w:val="Style1notnumbered"/>
    <w:rsid w:val="001E0945"/>
    <w:rPr>
      <w:rFonts w:eastAsiaTheme="majorEastAsia" w:cstheme="minorHAnsi"/>
      <w:b/>
      <w:color w:val="2E74B5" w:themeColor="accent1" w:themeShade="BF"/>
      <w:sz w:val="36"/>
      <w:szCs w:val="36"/>
      <w:lang w:val="en-GB" w:eastAsia="en-US"/>
    </w:rPr>
  </w:style>
  <w:style w:type="character" w:styleId="IntenseEmphasis">
    <w:name w:val="Intense Emphasis"/>
    <w:basedOn w:val="DefaultParagraphFont"/>
    <w:uiPriority w:val="21"/>
    <w:qFormat/>
    <w:rsid w:val="0096628D"/>
    <w:rPr>
      <w:i/>
      <w:iCs/>
      <w:color w:val="5B9BD5" w:themeColor="accent1"/>
    </w:rPr>
  </w:style>
  <w:style w:type="character" w:customStyle="1" w:styleId="UnresolvedMention5">
    <w:name w:val="Unresolved Mention5"/>
    <w:basedOn w:val="DefaultParagraphFont"/>
    <w:uiPriority w:val="99"/>
    <w:semiHidden/>
    <w:unhideWhenUsed/>
    <w:rsid w:val="008B4283"/>
    <w:rPr>
      <w:color w:val="605E5C"/>
      <w:shd w:val="clear" w:color="auto" w:fill="E1DFDD"/>
    </w:rPr>
  </w:style>
  <w:style w:type="table" w:styleId="TableGridLight">
    <w:name w:val="Grid Table Light"/>
    <w:basedOn w:val="TableNormal"/>
    <w:uiPriority w:val="40"/>
    <w:rsid w:val="00F10F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6">
    <w:name w:val="Unresolved Mention6"/>
    <w:basedOn w:val="DefaultParagraphFont"/>
    <w:uiPriority w:val="99"/>
    <w:semiHidden/>
    <w:unhideWhenUsed/>
    <w:rsid w:val="00355944"/>
    <w:rPr>
      <w:color w:val="605E5C"/>
      <w:shd w:val="clear" w:color="auto" w:fill="E1DFDD"/>
    </w:rPr>
  </w:style>
  <w:style w:type="character" w:customStyle="1" w:styleId="UnresolvedMention7">
    <w:name w:val="Unresolved Mention7"/>
    <w:basedOn w:val="DefaultParagraphFont"/>
    <w:uiPriority w:val="99"/>
    <w:semiHidden/>
    <w:unhideWhenUsed/>
    <w:rsid w:val="00653893"/>
    <w:rPr>
      <w:color w:val="605E5C"/>
      <w:shd w:val="clear" w:color="auto" w:fill="E1DFDD"/>
    </w:rPr>
  </w:style>
  <w:style w:type="character" w:customStyle="1" w:styleId="UnresolvedMention8">
    <w:name w:val="Unresolved Mention8"/>
    <w:basedOn w:val="DefaultParagraphFont"/>
    <w:uiPriority w:val="99"/>
    <w:semiHidden/>
    <w:unhideWhenUsed/>
    <w:rsid w:val="005A5930"/>
    <w:rPr>
      <w:color w:val="605E5C"/>
      <w:shd w:val="clear" w:color="auto" w:fill="E1DFDD"/>
    </w:rPr>
  </w:style>
  <w:style w:type="character" w:customStyle="1" w:styleId="UnresolvedMention9">
    <w:name w:val="Unresolved Mention9"/>
    <w:basedOn w:val="DefaultParagraphFont"/>
    <w:uiPriority w:val="99"/>
    <w:semiHidden/>
    <w:unhideWhenUsed/>
    <w:rsid w:val="005705EC"/>
    <w:rPr>
      <w:color w:val="605E5C"/>
      <w:shd w:val="clear" w:color="auto" w:fill="E1DFDD"/>
    </w:rPr>
  </w:style>
  <w:style w:type="character" w:customStyle="1" w:styleId="UnresolvedMention10">
    <w:name w:val="Unresolved Mention10"/>
    <w:basedOn w:val="DefaultParagraphFont"/>
    <w:uiPriority w:val="99"/>
    <w:semiHidden/>
    <w:unhideWhenUsed/>
    <w:rsid w:val="006B2C84"/>
    <w:rPr>
      <w:color w:val="605E5C"/>
      <w:shd w:val="clear" w:color="auto" w:fill="E1DFDD"/>
    </w:rPr>
  </w:style>
  <w:style w:type="character" w:customStyle="1" w:styleId="counter">
    <w:name w:val="counter"/>
    <w:basedOn w:val="DefaultParagraphFont"/>
    <w:rsid w:val="00241801"/>
  </w:style>
  <w:style w:type="paragraph" w:styleId="DocumentMap">
    <w:name w:val="Document Map"/>
    <w:basedOn w:val="Normal"/>
    <w:link w:val="DocumentMapChar"/>
    <w:uiPriority w:val="99"/>
    <w:semiHidden/>
    <w:unhideWhenUsed/>
    <w:rsid w:val="005B029E"/>
    <w:pPr>
      <w:spacing w:before="0"/>
    </w:pPr>
    <w:rPr>
      <w:rFonts w:ascii="Times New Roman" w:hAnsi="Times New Roman"/>
      <w:sz w:val="24"/>
    </w:rPr>
  </w:style>
  <w:style w:type="character" w:customStyle="1" w:styleId="DocumentMapChar">
    <w:name w:val="Document Map Char"/>
    <w:basedOn w:val="DefaultParagraphFont"/>
    <w:link w:val="DocumentMap"/>
    <w:uiPriority w:val="99"/>
    <w:semiHidden/>
    <w:rsid w:val="005B029E"/>
    <w:rPr>
      <w:rFonts w:ascii="Times New Roman" w:hAnsi="Times New Roman" w:cs="Times New Roman"/>
      <w:sz w:val="24"/>
      <w:szCs w:val="24"/>
      <w:lang w:val="en-GB" w:eastAsia="en-GB"/>
    </w:rPr>
  </w:style>
  <w:style w:type="character" w:customStyle="1" w:styleId="UnresolvedMention11">
    <w:name w:val="Unresolved Mention11"/>
    <w:basedOn w:val="DefaultParagraphFont"/>
    <w:uiPriority w:val="99"/>
    <w:unhideWhenUsed/>
    <w:rsid w:val="000F6EE2"/>
    <w:rPr>
      <w:color w:val="605E5C"/>
      <w:shd w:val="clear" w:color="auto" w:fill="E1DFDD"/>
    </w:rPr>
  </w:style>
  <w:style w:type="paragraph" w:customStyle="1" w:styleId="Numberedtable">
    <w:name w:val="Numbered (table)"/>
    <w:basedOn w:val="ListParagraph"/>
    <w:link w:val="NumberedtableChar"/>
    <w:qFormat/>
    <w:rsid w:val="00D91CC6"/>
    <w:pPr>
      <w:numPr>
        <w:numId w:val="48"/>
      </w:numPr>
      <w:spacing w:before="0"/>
    </w:pPr>
    <w:rPr>
      <w:rFonts w:ascii="Arial" w:hAnsi="Arial"/>
      <w:b/>
      <w:color w:val="000000" w:themeColor="text1"/>
      <w:sz w:val="20"/>
    </w:rPr>
  </w:style>
  <w:style w:type="character" w:customStyle="1" w:styleId="NumberedtableChar">
    <w:name w:val="Numbered (table) Char"/>
    <w:basedOn w:val="ListParagraphChar"/>
    <w:link w:val="Numberedtable"/>
    <w:rsid w:val="00D91CC6"/>
    <w:rPr>
      <w:rFonts w:ascii="Arial" w:hAnsi="Arial" w:cs="Times New Roman"/>
      <w:b/>
      <w:color w:val="000000" w:themeColor="text1"/>
      <w:sz w:val="20"/>
      <w:szCs w:val="24"/>
      <w:lang w:val="en-GB" w:eastAsia="en-GB"/>
    </w:rPr>
  </w:style>
  <w:style w:type="paragraph" w:customStyle="1" w:styleId="Tablepartner">
    <w:name w:val="Table (partner)"/>
    <w:basedOn w:val="ListParagraph"/>
    <w:link w:val="TablepartnerChar"/>
    <w:qFormat/>
    <w:rsid w:val="00D91CC6"/>
    <w:pPr>
      <w:spacing w:before="0"/>
      <w:ind w:left="74"/>
    </w:pPr>
    <w:rPr>
      <w:rFonts w:ascii="Arial" w:hAnsi="Arial"/>
      <w:i/>
      <w:color w:val="000000" w:themeColor="text1"/>
      <w:sz w:val="20"/>
    </w:rPr>
  </w:style>
  <w:style w:type="character" w:customStyle="1" w:styleId="TablepartnerChar">
    <w:name w:val="Table (partner) Char"/>
    <w:basedOn w:val="ListParagraphChar"/>
    <w:link w:val="Tablepartner"/>
    <w:rsid w:val="00D91CC6"/>
    <w:rPr>
      <w:rFonts w:ascii="Arial" w:hAnsi="Arial" w:cs="Times New Roman"/>
      <w:i/>
      <w:color w:val="000000" w:themeColor="text1"/>
      <w:sz w:val="20"/>
      <w:szCs w:val="24"/>
      <w:lang w:val="en-GB" w:eastAsia="en-GB"/>
    </w:rPr>
  </w:style>
  <w:style w:type="table" w:styleId="GridTable1Light">
    <w:name w:val="Grid Table 1 Light"/>
    <w:basedOn w:val="TableNormal"/>
    <w:uiPriority w:val="46"/>
    <w:rsid w:val="005D5C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5F31AF"/>
    <w:pPr>
      <w:spacing w:after="0" w:line="240" w:lineRule="auto"/>
    </w:pPr>
    <w:rPr>
      <w:rFonts w:eastAsiaTheme="minorHAnsi"/>
      <w:sz w:val="24"/>
      <w:szCs w:val="24"/>
      <w:lang w:val="en-GB"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1">
    <w:name w:val="List Table 2 Accent 1"/>
    <w:basedOn w:val="TableNormal"/>
    <w:uiPriority w:val="47"/>
    <w:rsid w:val="003A677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ref-title">
    <w:name w:val="ref-title"/>
    <w:basedOn w:val="DefaultParagraphFont"/>
    <w:rsid w:val="00C82BFF"/>
  </w:style>
  <w:style w:type="character" w:customStyle="1" w:styleId="ref-journal">
    <w:name w:val="ref-journal"/>
    <w:basedOn w:val="DefaultParagraphFont"/>
    <w:rsid w:val="00C82BFF"/>
  </w:style>
  <w:style w:type="table" w:styleId="ListTable1Light-Accent1">
    <w:name w:val="List Table 1 Light Accent 1"/>
    <w:basedOn w:val="TableNormal"/>
    <w:uiPriority w:val="46"/>
    <w:rsid w:val="0073139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ulletPoint1">
    <w:name w:val="Bullet Point 1"/>
    <w:basedOn w:val="Normal"/>
    <w:qFormat/>
    <w:rsid w:val="00212D77"/>
    <w:pPr>
      <w:numPr>
        <w:numId w:val="86"/>
      </w:numPr>
      <w:spacing w:before="120" w:line="260" w:lineRule="auto"/>
    </w:pPr>
    <w:rPr>
      <w:rFonts w:ascii="Arial" w:eastAsia="Times New Roman" w:hAnsi="Arial"/>
      <w:sz w:val="21"/>
      <w:szCs w:val="22"/>
      <w:lang w:val="en-US" w:eastAsia="en-US"/>
    </w:rPr>
  </w:style>
  <w:style w:type="table" w:styleId="PlainTable2">
    <w:name w:val="Plain Table 2"/>
    <w:basedOn w:val="TableNormal"/>
    <w:uiPriority w:val="42"/>
    <w:rsid w:val="007617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tenseQuote">
    <w:name w:val="Intense Quote"/>
    <w:basedOn w:val="Normal"/>
    <w:next w:val="Normal"/>
    <w:link w:val="IntenseQuoteChar"/>
    <w:uiPriority w:val="30"/>
    <w:qFormat/>
    <w:rsid w:val="00284960"/>
    <w:pPr>
      <w:pBdr>
        <w:top w:val="single" w:sz="4" w:space="10" w:color="5B9BD5" w:themeColor="accent1"/>
        <w:bottom w:val="single" w:sz="4" w:space="10" w:color="5B9BD5" w:themeColor="accent1"/>
      </w:pBdr>
      <w:spacing w:before="240" w:after="24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284960"/>
    <w:rPr>
      <w:rFonts w:cs="Times New Roman"/>
      <w:i/>
      <w:iCs/>
      <w:color w:val="5B9BD5" w:themeColor="accent1"/>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09">
      <w:bodyDiv w:val="1"/>
      <w:marLeft w:val="0"/>
      <w:marRight w:val="0"/>
      <w:marTop w:val="0"/>
      <w:marBottom w:val="0"/>
      <w:divBdr>
        <w:top w:val="none" w:sz="0" w:space="0" w:color="auto"/>
        <w:left w:val="none" w:sz="0" w:space="0" w:color="auto"/>
        <w:bottom w:val="none" w:sz="0" w:space="0" w:color="auto"/>
        <w:right w:val="none" w:sz="0" w:space="0" w:color="auto"/>
      </w:divBdr>
    </w:div>
    <w:div w:id="8605842">
      <w:bodyDiv w:val="1"/>
      <w:marLeft w:val="0"/>
      <w:marRight w:val="0"/>
      <w:marTop w:val="0"/>
      <w:marBottom w:val="0"/>
      <w:divBdr>
        <w:top w:val="none" w:sz="0" w:space="0" w:color="auto"/>
        <w:left w:val="none" w:sz="0" w:space="0" w:color="auto"/>
        <w:bottom w:val="none" w:sz="0" w:space="0" w:color="auto"/>
        <w:right w:val="none" w:sz="0" w:space="0" w:color="auto"/>
      </w:divBdr>
      <w:divsChild>
        <w:div w:id="1218281130">
          <w:marLeft w:val="0"/>
          <w:marRight w:val="0"/>
          <w:marTop w:val="90"/>
          <w:marBottom w:val="0"/>
          <w:divBdr>
            <w:top w:val="none" w:sz="0" w:space="0" w:color="auto"/>
            <w:left w:val="none" w:sz="0" w:space="0" w:color="auto"/>
            <w:bottom w:val="none" w:sz="0" w:space="0" w:color="auto"/>
            <w:right w:val="none" w:sz="0" w:space="0" w:color="auto"/>
          </w:divBdr>
          <w:divsChild>
            <w:div w:id="387151452">
              <w:marLeft w:val="0"/>
              <w:marRight w:val="0"/>
              <w:marTop w:val="0"/>
              <w:marBottom w:val="420"/>
              <w:divBdr>
                <w:top w:val="none" w:sz="0" w:space="0" w:color="auto"/>
                <w:left w:val="none" w:sz="0" w:space="0" w:color="auto"/>
                <w:bottom w:val="none" w:sz="0" w:space="0" w:color="auto"/>
                <w:right w:val="none" w:sz="0" w:space="0" w:color="auto"/>
              </w:divBdr>
              <w:divsChild>
                <w:div w:id="1476289073">
                  <w:marLeft w:val="0"/>
                  <w:marRight w:val="0"/>
                  <w:marTop w:val="0"/>
                  <w:marBottom w:val="0"/>
                  <w:divBdr>
                    <w:top w:val="none" w:sz="0" w:space="0" w:color="auto"/>
                    <w:left w:val="none" w:sz="0" w:space="0" w:color="auto"/>
                    <w:bottom w:val="none" w:sz="0" w:space="0" w:color="auto"/>
                    <w:right w:val="none" w:sz="0" w:space="0" w:color="auto"/>
                  </w:divBdr>
                  <w:divsChild>
                    <w:div w:id="45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379">
      <w:bodyDiv w:val="1"/>
      <w:marLeft w:val="0"/>
      <w:marRight w:val="0"/>
      <w:marTop w:val="0"/>
      <w:marBottom w:val="0"/>
      <w:divBdr>
        <w:top w:val="none" w:sz="0" w:space="0" w:color="auto"/>
        <w:left w:val="none" w:sz="0" w:space="0" w:color="auto"/>
        <w:bottom w:val="none" w:sz="0" w:space="0" w:color="auto"/>
        <w:right w:val="none" w:sz="0" w:space="0" w:color="auto"/>
      </w:divBdr>
    </w:div>
    <w:div w:id="25176636">
      <w:bodyDiv w:val="1"/>
      <w:marLeft w:val="0"/>
      <w:marRight w:val="0"/>
      <w:marTop w:val="0"/>
      <w:marBottom w:val="0"/>
      <w:divBdr>
        <w:top w:val="none" w:sz="0" w:space="0" w:color="auto"/>
        <w:left w:val="none" w:sz="0" w:space="0" w:color="auto"/>
        <w:bottom w:val="none" w:sz="0" w:space="0" w:color="auto"/>
        <w:right w:val="none" w:sz="0" w:space="0" w:color="auto"/>
      </w:divBdr>
    </w:div>
    <w:div w:id="59330905">
      <w:bodyDiv w:val="1"/>
      <w:marLeft w:val="0"/>
      <w:marRight w:val="0"/>
      <w:marTop w:val="0"/>
      <w:marBottom w:val="0"/>
      <w:divBdr>
        <w:top w:val="none" w:sz="0" w:space="0" w:color="auto"/>
        <w:left w:val="none" w:sz="0" w:space="0" w:color="auto"/>
        <w:bottom w:val="none" w:sz="0" w:space="0" w:color="auto"/>
        <w:right w:val="none" w:sz="0" w:space="0" w:color="auto"/>
      </w:divBdr>
    </w:div>
    <w:div w:id="61683756">
      <w:bodyDiv w:val="1"/>
      <w:marLeft w:val="0"/>
      <w:marRight w:val="0"/>
      <w:marTop w:val="0"/>
      <w:marBottom w:val="0"/>
      <w:divBdr>
        <w:top w:val="none" w:sz="0" w:space="0" w:color="auto"/>
        <w:left w:val="none" w:sz="0" w:space="0" w:color="auto"/>
        <w:bottom w:val="none" w:sz="0" w:space="0" w:color="auto"/>
        <w:right w:val="none" w:sz="0" w:space="0" w:color="auto"/>
      </w:divBdr>
    </w:div>
    <w:div w:id="68961260">
      <w:bodyDiv w:val="1"/>
      <w:marLeft w:val="0"/>
      <w:marRight w:val="0"/>
      <w:marTop w:val="0"/>
      <w:marBottom w:val="0"/>
      <w:divBdr>
        <w:top w:val="none" w:sz="0" w:space="0" w:color="auto"/>
        <w:left w:val="none" w:sz="0" w:space="0" w:color="auto"/>
        <w:bottom w:val="none" w:sz="0" w:space="0" w:color="auto"/>
        <w:right w:val="none" w:sz="0" w:space="0" w:color="auto"/>
      </w:divBdr>
    </w:div>
    <w:div w:id="87433532">
      <w:bodyDiv w:val="1"/>
      <w:marLeft w:val="0"/>
      <w:marRight w:val="0"/>
      <w:marTop w:val="0"/>
      <w:marBottom w:val="0"/>
      <w:divBdr>
        <w:top w:val="none" w:sz="0" w:space="0" w:color="auto"/>
        <w:left w:val="none" w:sz="0" w:space="0" w:color="auto"/>
        <w:bottom w:val="none" w:sz="0" w:space="0" w:color="auto"/>
        <w:right w:val="none" w:sz="0" w:space="0" w:color="auto"/>
      </w:divBdr>
    </w:div>
    <w:div w:id="88505248">
      <w:bodyDiv w:val="1"/>
      <w:marLeft w:val="0"/>
      <w:marRight w:val="0"/>
      <w:marTop w:val="0"/>
      <w:marBottom w:val="0"/>
      <w:divBdr>
        <w:top w:val="none" w:sz="0" w:space="0" w:color="auto"/>
        <w:left w:val="none" w:sz="0" w:space="0" w:color="auto"/>
        <w:bottom w:val="none" w:sz="0" w:space="0" w:color="auto"/>
        <w:right w:val="none" w:sz="0" w:space="0" w:color="auto"/>
      </w:divBdr>
    </w:div>
    <w:div w:id="98305851">
      <w:bodyDiv w:val="1"/>
      <w:marLeft w:val="0"/>
      <w:marRight w:val="0"/>
      <w:marTop w:val="0"/>
      <w:marBottom w:val="0"/>
      <w:divBdr>
        <w:top w:val="none" w:sz="0" w:space="0" w:color="auto"/>
        <w:left w:val="none" w:sz="0" w:space="0" w:color="auto"/>
        <w:bottom w:val="none" w:sz="0" w:space="0" w:color="auto"/>
        <w:right w:val="none" w:sz="0" w:space="0" w:color="auto"/>
      </w:divBdr>
    </w:div>
    <w:div w:id="115371072">
      <w:bodyDiv w:val="1"/>
      <w:marLeft w:val="0"/>
      <w:marRight w:val="0"/>
      <w:marTop w:val="0"/>
      <w:marBottom w:val="0"/>
      <w:divBdr>
        <w:top w:val="none" w:sz="0" w:space="0" w:color="auto"/>
        <w:left w:val="none" w:sz="0" w:space="0" w:color="auto"/>
        <w:bottom w:val="none" w:sz="0" w:space="0" w:color="auto"/>
        <w:right w:val="none" w:sz="0" w:space="0" w:color="auto"/>
      </w:divBdr>
    </w:div>
    <w:div w:id="149516481">
      <w:bodyDiv w:val="1"/>
      <w:marLeft w:val="0"/>
      <w:marRight w:val="0"/>
      <w:marTop w:val="0"/>
      <w:marBottom w:val="0"/>
      <w:divBdr>
        <w:top w:val="none" w:sz="0" w:space="0" w:color="auto"/>
        <w:left w:val="none" w:sz="0" w:space="0" w:color="auto"/>
        <w:bottom w:val="none" w:sz="0" w:space="0" w:color="auto"/>
        <w:right w:val="none" w:sz="0" w:space="0" w:color="auto"/>
      </w:divBdr>
    </w:div>
    <w:div w:id="176698215">
      <w:bodyDiv w:val="1"/>
      <w:marLeft w:val="0"/>
      <w:marRight w:val="0"/>
      <w:marTop w:val="0"/>
      <w:marBottom w:val="0"/>
      <w:divBdr>
        <w:top w:val="none" w:sz="0" w:space="0" w:color="auto"/>
        <w:left w:val="none" w:sz="0" w:space="0" w:color="auto"/>
        <w:bottom w:val="none" w:sz="0" w:space="0" w:color="auto"/>
        <w:right w:val="none" w:sz="0" w:space="0" w:color="auto"/>
      </w:divBdr>
    </w:div>
    <w:div w:id="194121982">
      <w:bodyDiv w:val="1"/>
      <w:marLeft w:val="0"/>
      <w:marRight w:val="0"/>
      <w:marTop w:val="0"/>
      <w:marBottom w:val="0"/>
      <w:divBdr>
        <w:top w:val="none" w:sz="0" w:space="0" w:color="auto"/>
        <w:left w:val="none" w:sz="0" w:space="0" w:color="auto"/>
        <w:bottom w:val="none" w:sz="0" w:space="0" w:color="auto"/>
        <w:right w:val="none" w:sz="0" w:space="0" w:color="auto"/>
      </w:divBdr>
    </w:div>
    <w:div w:id="203373412">
      <w:bodyDiv w:val="1"/>
      <w:marLeft w:val="0"/>
      <w:marRight w:val="0"/>
      <w:marTop w:val="0"/>
      <w:marBottom w:val="0"/>
      <w:divBdr>
        <w:top w:val="none" w:sz="0" w:space="0" w:color="auto"/>
        <w:left w:val="none" w:sz="0" w:space="0" w:color="auto"/>
        <w:bottom w:val="none" w:sz="0" w:space="0" w:color="auto"/>
        <w:right w:val="none" w:sz="0" w:space="0" w:color="auto"/>
      </w:divBdr>
    </w:div>
    <w:div w:id="209462956">
      <w:bodyDiv w:val="1"/>
      <w:marLeft w:val="0"/>
      <w:marRight w:val="0"/>
      <w:marTop w:val="0"/>
      <w:marBottom w:val="0"/>
      <w:divBdr>
        <w:top w:val="none" w:sz="0" w:space="0" w:color="auto"/>
        <w:left w:val="none" w:sz="0" w:space="0" w:color="auto"/>
        <w:bottom w:val="none" w:sz="0" w:space="0" w:color="auto"/>
        <w:right w:val="none" w:sz="0" w:space="0" w:color="auto"/>
      </w:divBdr>
    </w:div>
    <w:div w:id="269895608">
      <w:bodyDiv w:val="1"/>
      <w:marLeft w:val="0"/>
      <w:marRight w:val="0"/>
      <w:marTop w:val="0"/>
      <w:marBottom w:val="0"/>
      <w:divBdr>
        <w:top w:val="none" w:sz="0" w:space="0" w:color="auto"/>
        <w:left w:val="none" w:sz="0" w:space="0" w:color="auto"/>
        <w:bottom w:val="none" w:sz="0" w:space="0" w:color="auto"/>
        <w:right w:val="none" w:sz="0" w:space="0" w:color="auto"/>
      </w:divBdr>
    </w:div>
    <w:div w:id="288099010">
      <w:bodyDiv w:val="1"/>
      <w:marLeft w:val="0"/>
      <w:marRight w:val="0"/>
      <w:marTop w:val="0"/>
      <w:marBottom w:val="0"/>
      <w:divBdr>
        <w:top w:val="none" w:sz="0" w:space="0" w:color="auto"/>
        <w:left w:val="none" w:sz="0" w:space="0" w:color="auto"/>
        <w:bottom w:val="none" w:sz="0" w:space="0" w:color="auto"/>
        <w:right w:val="none" w:sz="0" w:space="0" w:color="auto"/>
      </w:divBdr>
    </w:div>
    <w:div w:id="298540553">
      <w:bodyDiv w:val="1"/>
      <w:marLeft w:val="0"/>
      <w:marRight w:val="0"/>
      <w:marTop w:val="0"/>
      <w:marBottom w:val="0"/>
      <w:divBdr>
        <w:top w:val="none" w:sz="0" w:space="0" w:color="auto"/>
        <w:left w:val="none" w:sz="0" w:space="0" w:color="auto"/>
        <w:bottom w:val="none" w:sz="0" w:space="0" w:color="auto"/>
        <w:right w:val="none" w:sz="0" w:space="0" w:color="auto"/>
      </w:divBdr>
    </w:div>
    <w:div w:id="299582665">
      <w:bodyDiv w:val="1"/>
      <w:marLeft w:val="0"/>
      <w:marRight w:val="0"/>
      <w:marTop w:val="0"/>
      <w:marBottom w:val="0"/>
      <w:divBdr>
        <w:top w:val="none" w:sz="0" w:space="0" w:color="auto"/>
        <w:left w:val="none" w:sz="0" w:space="0" w:color="auto"/>
        <w:bottom w:val="none" w:sz="0" w:space="0" w:color="auto"/>
        <w:right w:val="none" w:sz="0" w:space="0" w:color="auto"/>
      </w:divBdr>
    </w:div>
    <w:div w:id="301548147">
      <w:bodyDiv w:val="1"/>
      <w:marLeft w:val="0"/>
      <w:marRight w:val="0"/>
      <w:marTop w:val="0"/>
      <w:marBottom w:val="0"/>
      <w:divBdr>
        <w:top w:val="none" w:sz="0" w:space="0" w:color="auto"/>
        <w:left w:val="none" w:sz="0" w:space="0" w:color="auto"/>
        <w:bottom w:val="none" w:sz="0" w:space="0" w:color="auto"/>
        <w:right w:val="none" w:sz="0" w:space="0" w:color="auto"/>
      </w:divBdr>
    </w:div>
    <w:div w:id="305403520">
      <w:bodyDiv w:val="1"/>
      <w:marLeft w:val="0"/>
      <w:marRight w:val="0"/>
      <w:marTop w:val="0"/>
      <w:marBottom w:val="0"/>
      <w:divBdr>
        <w:top w:val="none" w:sz="0" w:space="0" w:color="auto"/>
        <w:left w:val="none" w:sz="0" w:space="0" w:color="auto"/>
        <w:bottom w:val="none" w:sz="0" w:space="0" w:color="auto"/>
        <w:right w:val="none" w:sz="0" w:space="0" w:color="auto"/>
      </w:divBdr>
    </w:div>
    <w:div w:id="328368033">
      <w:bodyDiv w:val="1"/>
      <w:marLeft w:val="0"/>
      <w:marRight w:val="0"/>
      <w:marTop w:val="0"/>
      <w:marBottom w:val="0"/>
      <w:divBdr>
        <w:top w:val="none" w:sz="0" w:space="0" w:color="auto"/>
        <w:left w:val="none" w:sz="0" w:space="0" w:color="auto"/>
        <w:bottom w:val="none" w:sz="0" w:space="0" w:color="auto"/>
        <w:right w:val="none" w:sz="0" w:space="0" w:color="auto"/>
      </w:divBdr>
    </w:div>
    <w:div w:id="330914912">
      <w:bodyDiv w:val="1"/>
      <w:marLeft w:val="0"/>
      <w:marRight w:val="0"/>
      <w:marTop w:val="0"/>
      <w:marBottom w:val="0"/>
      <w:divBdr>
        <w:top w:val="none" w:sz="0" w:space="0" w:color="auto"/>
        <w:left w:val="none" w:sz="0" w:space="0" w:color="auto"/>
        <w:bottom w:val="none" w:sz="0" w:space="0" w:color="auto"/>
        <w:right w:val="none" w:sz="0" w:space="0" w:color="auto"/>
      </w:divBdr>
    </w:div>
    <w:div w:id="339429615">
      <w:bodyDiv w:val="1"/>
      <w:marLeft w:val="0"/>
      <w:marRight w:val="0"/>
      <w:marTop w:val="0"/>
      <w:marBottom w:val="0"/>
      <w:divBdr>
        <w:top w:val="none" w:sz="0" w:space="0" w:color="auto"/>
        <w:left w:val="none" w:sz="0" w:space="0" w:color="auto"/>
        <w:bottom w:val="none" w:sz="0" w:space="0" w:color="auto"/>
        <w:right w:val="none" w:sz="0" w:space="0" w:color="auto"/>
      </w:divBdr>
    </w:div>
    <w:div w:id="348138675">
      <w:bodyDiv w:val="1"/>
      <w:marLeft w:val="0"/>
      <w:marRight w:val="0"/>
      <w:marTop w:val="0"/>
      <w:marBottom w:val="0"/>
      <w:divBdr>
        <w:top w:val="none" w:sz="0" w:space="0" w:color="auto"/>
        <w:left w:val="none" w:sz="0" w:space="0" w:color="auto"/>
        <w:bottom w:val="none" w:sz="0" w:space="0" w:color="auto"/>
        <w:right w:val="none" w:sz="0" w:space="0" w:color="auto"/>
      </w:divBdr>
    </w:div>
    <w:div w:id="369719893">
      <w:bodyDiv w:val="1"/>
      <w:marLeft w:val="0"/>
      <w:marRight w:val="0"/>
      <w:marTop w:val="0"/>
      <w:marBottom w:val="0"/>
      <w:divBdr>
        <w:top w:val="none" w:sz="0" w:space="0" w:color="auto"/>
        <w:left w:val="none" w:sz="0" w:space="0" w:color="auto"/>
        <w:bottom w:val="none" w:sz="0" w:space="0" w:color="auto"/>
        <w:right w:val="none" w:sz="0" w:space="0" w:color="auto"/>
      </w:divBdr>
    </w:div>
    <w:div w:id="377048699">
      <w:bodyDiv w:val="1"/>
      <w:marLeft w:val="0"/>
      <w:marRight w:val="0"/>
      <w:marTop w:val="0"/>
      <w:marBottom w:val="0"/>
      <w:divBdr>
        <w:top w:val="none" w:sz="0" w:space="0" w:color="auto"/>
        <w:left w:val="none" w:sz="0" w:space="0" w:color="auto"/>
        <w:bottom w:val="none" w:sz="0" w:space="0" w:color="auto"/>
        <w:right w:val="none" w:sz="0" w:space="0" w:color="auto"/>
      </w:divBdr>
    </w:div>
    <w:div w:id="379282406">
      <w:bodyDiv w:val="1"/>
      <w:marLeft w:val="0"/>
      <w:marRight w:val="0"/>
      <w:marTop w:val="0"/>
      <w:marBottom w:val="0"/>
      <w:divBdr>
        <w:top w:val="none" w:sz="0" w:space="0" w:color="auto"/>
        <w:left w:val="none" w:sz="0" w:space="0" w:color="auto"/>
        <w:bottom w:val="none" w:sz="0" w:space="0" w:color="auto"/>
        <w:right w:val="none" w:sz="0" w:space="0" w:color="auto"/>
      </w:divBdr>
    </w:div>
    <w:div w:id="380176949">
      <w:bodyDiv w:val="1"/>
      <w:marLeft w:val="0"/>
      <w:marRight w:val="0"/>
      <w:marTop w:val="0"/>
      <w:marBottom w:val="0"/>
      <w:divBdr>
        <w:top w:val="none" w:sz="0" w:space="0" w:color="auto"/>
        <w:left w:val="none" w:sz="0" w:space="0" w:color="auto"/>
        <w:bottom w:val="none" w:sz="0" w:space="0" w:color="auto"/>
        <w:right w:val="none" w:sz="0" w:space="0" w:color="auto"/>
      </w:divBdr>
    </w:div>
    <w:div w:id="404184787">
      <w:bodyDiv w:val="1"/>
      <w:marLeft w:val="0"/>
      <w:marRight w:val="0"/>
      <w:marTop w:val="0"/>
      <w:marBottom w:val="0"/>
      <w:divBdr>
        <w:top w:val="none" w:sz="0" w:space="0" w:color="auto"/>
        <w:left w:val="none" w:sz="0" w:space="0" w:color="auto"/>
        <w:bottom w:val="none" w:sz="0" w:space="0" w:color="auto"/>
        <w:right w:val="none" w:sz="0" w:space="0" w:color="auto"/>
      </w:divBdr>
    </w:div>
    <w:div w:id="421990518">
      <w:bodyDiv w:val="1"/>
      <w:marLeft w:val="0"/>
      <w:marRight w:val="0"/>
      <w:marTop w:val="0"/>
      <w:marBottom w:val="0"/>
      <w:divBdr>
        <w:top w:val="none" w:sz="0" w:space="0" w:color="auto"/>
        <w:left w:val="none" w:sz="0" w:space="0" w:color="auto"/>
        <w:bottom w:val="none" w:sz="0" w:space="0" w:color="auto"/>
        <w:right w:val="none" w:sz="0" w:space="0" w:color="auto"/>
      </w:divBdr>
    </w:div>
    <w:div w:id="431752823">
      <w:bodyDiv w:val="1"/>
      <w:marLeft w:val="0"/>
      <w:marRight w:val="0"/>
      <w:marTop w:val="0"/>
      <w:marBottom w:val="0"/>
      <w:divBdr>
        <w:top w:val="none" w:sz="0" w:space="0" w:color="auto"/>
        <w:left w:val="none" w:sz="0" w:space="0" w:color="auto"/>
        <w:bottom w:val="none" w:sz="0" w:space="0" w:color="auto"/>
        <w:right w:val="none" w:sz="0" w:space="0" w:color="auto"/>
      </w:divBdr>
    </w:div>
    <w:div w:id="447703579">
      <w:bodyDiv w:val="1"/>
      <w:marLeft w:val="0"/>
      <w:marRight w:val="0"/>
      <w:marTop w:val="0"/>
      <w:marBottom w:val="0"/>
      <w:divBdr>
        <w:top w:val="none" w:sz="0" w:space="0" w:color="auto"/>
        <w:left w:val="none" w:sz="0" w:space="0" w:color="auto"/>
        <w:bottom w:val="none" w:sz="0" w:space="0" w:color="auto"/>
        <w:right w:val="none" w:sz="0" w:space="0" w:color="auto"/>
      </w:divBdr>
    </w:div>
    <w:div w:id="452093779">
      <w:bodyDiv w:val="1"/>
      <w:marLeft w:val="0"/>
      <w:marRight w:val="0"/>
      <w:marTop w:val="0"/>
      <w:marBottom w:val="0"/>
      <w:divBdr>
        <w:top w:val="none" w:sz="0" w:space="0" w:color="auto"/>
        <w:left w:val="none" w:sz="0" w:space="0" w:color="auto"/>
        <w:bottom w:val="none" w:sz="0" w:space="0" w:color="auto"/>
        <w:right w:val="none" w:sz="0" w:space="0" w:color="auto"/>
      </w:divBdr>
    </w:div>
    <w:div w:id="453137917">
      <w:bodyDiv w:val="1"/>
      <w:marLeft w:val="0"/>
      <w:marRight w:val="0"/>
      <w:marTop w:val="0"/>
      <w:marBottom w:val="0"/>
      <w:divBdr>
        <w:top w:val="none" w:sz="0" w:space="0" w:color="auto"/>
        <w:left w:val="none" w:sz="0" w:space="0" w:color="auto"/>
        <w:bottom w:val="none" w:sz="0" w:space="0" w:color="auto"/>
        <w:right w:val="none" w:sz="0" w:space="0" w:color="auto"/>
      </w:divBdr>
    </w:div>
    <w:div w:id="455686405">
      <w:bodyDiv w:val="1"/>
      <w:marLeft w:val="0"/>
      <w:marRight w:val="0"/>
      <w:marTop w:val="0"/>
      <w:marBottom w:val="0"/>
      <w:divBdr>
        <w:top w:val="none" w:sz="0" w:space="0" w:color="auto"/>
        <w:left w:val="none" w:sz="0" w:space="0" w:color="auto"/>
        <w:bottom w:val="none" w:sz="0" w:space="0" w:color="auto"/>
        <w:right w:val="none" w:sz="0" w:space="0" w:color="auto"/>
      </w:divBdr>
      <w:divsChild>
        <w:div w:id="95829501">
          <w:marLeft w:val="0"/>
          <w:marRight w:val="0"/>
          <w:marTop w:val="0"/>
          <w:marBottom w:val="0"/>
          <w:divBdr>
            <w:top w:val="none" w:sz="0" w:space="0" w:color="auto"/>
            <w:left w:val="none" w:sz="0" w:space="0" w:color="auto"/>
            <w:bottom w:val="none" w:sz="0" w:space="0" w:color="auto"/>
            <w:right w:val="none" w:sz="0" w:space="0" w:color="auto"/>
          </w:divBdr>
          <w:divsChild>
            <w:div w:id="330910211">
              <w:marLeft w:val="0"/>
              <w:marRight w:val="0"/>
              <w:marTop w:val="0"/>
              <w:marBottom w:val="0"/>
              <w:divBdr>
                <w:top w:val="none" w:sz="0" w:space="0" w:color="auto"/>
                <w:left w:val="none" w:sz="0" w:space="0" w:color="auto"/>
                <w:bottom w:val="none" w:sz="0" w:space="0" w:color="auto"/>
                <w:right w:val="none" w:sz="0" w:space="0" w:color="auto"/>
              </w:divBdr>
              <w:divsChild>
                <w:div w:id="747457929">
                  <w:marLeft w:val="0"/>
                  <w:marRight w:val="0"/>
                  <w:marTop w:val="0"/>
                  <w:marBottom w:val="0"/>
                  <w:divBdr>
                    <w:top w:val="none" w:sz="0" w:space="0" w:color="auto"/>
                    <w:left w:val="none" w:sz="0" w:space="0" w:color="auto"/>
                    <w:bottom w:val="none" w:sz="0" w:space="0" w:color="auto"/>
                    <w:right w:val="none" w:sz="0" w:space="0" w:color="auto"/>
                  </w:divBdr>
                  <w:divsChild>
                    <w:div w:id="10042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1456">
      <w:bodyDiv w:val="1"/>
      <w:marLeft w:val="0"/>
      <w:marRight w:val="0"/>
      <w:marTop w:val="0"/>
      <w:marBottom w:val="0"/>
      <w:divBdr>
        <w:top w:val="none" w:sz="0" w:space="0" w:color="auto"/>
        <w:left w:val="none" w:sz="0" w:space="0" w:color="auto"/>
        <w:bottom w:val="none" w:sz="0" w:space="0" w:color="auto"/>
        <w:right w:val="none" w:sz="0" w:space="0" w:color="auto"/>
      </w:divBdr>
    </w:div>
    <w:div w:id="494221236">
      <w:bodyDiv w:val="1"/>
      <w:marLeft w:val="0"/>
      <w:marRight w:val="0"/>
      <w:marTop w:val="0"/>
      <w:marBottom w:val="0"/>
      <w:divBdr>
        <w:top w:val="none" w:sz="0" w:space="0" w:color="auto"/>
        <w:left w:val="none" w:sz="0" w:space="0" w:color="auto"/>
        <w:bottom w:val="none" w:sz="0" w:space="0" w:color="auto"/>
        <w:right w:val="none" w:sz="0" w:space="0" w:color="auto"/>
      </w:divBdr>
      <w:divsChild>
        <w:div w:id="97916797">
          <w:marLeft w:val="0"/>
          <w:marRight w:val="0"/>
          <w:marTop w:val="0"/>
          <w:marBottom w:val="0"/>
          <w:divBdr>
            <w:top w:val="none" w:sz="0" w:space="0" w:color="auto"/>
            <w:left w:val="none" w:sz="0" w:space="0" w:color="auto"/>
            <w:bottom w:val="none" w:sz="0" w:space="0" w:color="auto"/>
            <w:right w:val="none" w:sz="0" w:space="0" w:color="auto"/>
          </w:divBdr>
          <w:divsChild>
            <w:div w:id="1563564364">
              <w:marLeft w:val="0"/>
              <w:marRight w:val="0"/>
              <w:marTop w:val="0"/>
              <w:marBottom w:val="0"/>
              <w:divBdr>
                <w:top w:val="none" w:sz="0" w:space="0" w:color="auto"/>
                <w:left w:val="none" w:sz="0" w:space="0" w:color="auto"/>
                <w:bottom w:val="none" w:sz="0" w:space="0" w:color="auto"/>
                <w:right w:val="none" w:sz="0" w:space="0" w:color="auto"/>
              </w:divBdr>
              <w:divsChild>
                <w:div w:id="1143236541">
                  <w:marLeft w:val="0"/>
                  <w:marRight w:val="0"/>
                  <w:marTop w:val="0"/>
                  <w:marBottom w:val="0"/>
                  <w:divBdr>
                    <w:top w:val="none" w:sz="0" w:space="0" w:color="auto"/>
                    <w:left w:val="none" w:sz="0" w:space="0" w:color="auto"/>
                    <w:bottom w:val="none" w:sz="0" w:space="0" w:color="auto"/>
                    <w:right w:val="none" w:sz="0" w:space="0" w:color="auto"/>
                  </w:divBdr>
                </w:div>
              </w:divsChild>
            </w:div>
            <w:div w:id="1278484081">
              <w:marLeft w:val="0"/>
              <w:marRight w:val="0"/>
              <w:marTop w:val="0"/>
              <w:marBottom w:val="0"/>
              <w:divBdr>
                <w:top w:val="none" w:sz="0" w:space="0" w:color="auto"/>
                <w:left w:val="none" w:sz="0" w:space="0" w:color="auto"/>
                <w:bottom w:val="none" w:sz="0" w:space="0" w:color="auto"/>
                <w:right w:val="none" w:sz="0" w:space="0" w:color="auto"/>
              </w:divBdr>
              <w:divsChild>
                <w:div w:id="131677804">
                  <w:marLeft w:val="0"/>
                  <w:marRight w:val="0"/>
                  <w:marTop w:val="0"/>
                  <w:marBottom w:val="0"/>
                  <w:divBdr>
                    <w:top w:val="none" w:sz="0" w:space="0" w:color="auto"/>
                    <w:left w:val="none" w:sz="0" w:space="0" w:color="auto"/>
                    <w:bottom w:val="none" w:sz="0" w:space="0" w:color="auto"/>
                    <w:right w:val="none" w:sz="0" w:space="0" w:color="auto"/>
                  </w:divBdr>
                </w:div>
              </w:divsChild>
            </w:div>
            <w:div w:id="741759980">
              <w:marLeft w:val="0"/>
              <w:marRight w:val="0"/>
              <w:marTop w:val="0"/>
              <w:marBottom w:val="0"/>
              <w:divBdr>
                <w:top w:val="none" w:sz="0" w:space="0" w:color="auto"/>
                <w:left w:val="none" w:sz="0" w:space="0" w:color="auto"/>
                <w:bottom w:val="none" w:sz="0" w:space="0" w:color="auto"/>
                <w:right w:val="none" w:sz="0" w:space="0" w:color="auto"/>
              </w:divBdr>
              <w:divsChild>
                <w:div w:id="15562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1268">
      <w:bodyDiv w:val="1"/>
      <w:marLeft w:val="0"/>
      <w:marRight w:val="0"/>
      <w:marTop w:val="0"/>
      <w:marBottom w:val="0"/>
      <w:divBdr>
        <w:top w:val="none" w:sz="0" w:space="0" w:color="auto"/>
        <w:left w:val="none" w:sz="0" w:space="0" w:color="auto"/>
        <w:bottom w:val="none" w:sz="0" w:space="0" w:color="auto"/>
        <w:right w:val="none" w:sz="0" w:space="0" w:color="auto"/>
      </w:divBdr>
    </w:div>
    <w:div w:id="521164032">
      <w:bodyDiv w:val="1"/>
      <w:marLeft w:val="0"/>
      <w:marRight w:val="0"/>
      <w:marTop w:val="0"/>
      <w:marBottom w:val="0"/>
      <w:divBdr>
        <w:top w:val="none" w:sz="0" w:space="0" w:color="auto"/>
        <w:left w:val="none" w:sz="0" w:space="0" w:color="auto"/>
        <w:bottom w:val="none" w:sz="0" w:space="0" w:color="auto"/>
        <w:right w:val="none" w:sz="0" w:space="0" w:color="auto"/>
      </w:divBdr>
    </w:div>
    <w:div w:id="533541779">
      <w:bodyDiv w:val="1"/>
      <w:marLeft w:val="0"/>
      <w:marRight w:val="0"/>
      <w:marTop w:val="0"/>
      <w:marBottom w:val="0"/>
      <w:divBdr>
        <w:top w:val="none" w:sz="0" w:space="0" w:color="auto"/>
        <w:left w:val="none" w:sz="0" w:space="0" w:color="auto"/>
        <w:bottom w:val="none" w:sz="0" w:space="0" w:color="auto"/>
        <w:right w:val="none" w:sz="0" w:space="0" w:color="auto"/>
      </w:divBdr>
    </w:div>
    <w:div w:id="542251918">
      <w:bodyDiv w:val="1"/>
      <w:marLeft w:val="0"/>
      <w:marRight w:val="0"/>
      <w:marTop w:val="0"/>
      <w:marBottom w:val="0"/>
      <w:divBdr>
        <w:top w:val="none" w:sz="0" w:space="0" w:color="auto"/>
        <w:left w:val="none" w:sz="0" w:space="0" w:color="auto"/>
        <w:bottom w:val="none" w:sz="0" w:space="0" w:color="auto"/>
        <w:right w:val="none" w:sz="0" w:space="0" w:color="auto"/>
      </w:divBdr>
    </w:div>
    <w:div w:id="548149403">
      <w:bodyDiv w:val="1"/>
      <w:marLeft w:val="0"/>
      <w:marRight w:val="0"/>
      <w:marTop w:val="0"/>
      <w:marBottom w:val="0"/>
      <w:divBdr>
        <w:top w:val="none" w:sz="0" w:space="0" w:color="auto"/>
        <w:left w:val="none" w:sz="0" w:space="0" w:color="auto"/>
        <w:bottom w:val="none" w:sz="0" w:space="0" w:color="auto"/>
        <w:right w:val="none" w:sz="0" w:space="0" w:color="auto"/>
      </w:divBdr>
    </w:div>
    <w:div w:id="549270867">
      <w:bodyDiv w:val="1"/>
      <w:marLeft w:val="0"/>
      <w:marRight w:val="0"/>
      <w:marTop w:val="0"/>
      <w:marBottom w:val="0"/>
      <w:divBdr>
        <w:top w:val="none" w:sz="0" w:space="0" w:color="auto"/>
        <w:left w:val="none" w:sz="0" w:space="0" w:color="auto"/>
        <w:bottom w:val="none" w:sz="0" w:space="0" w:color="auto"/>
        <w:right w:val="none" w:sz="0" w:space="0" w:color="auto"/>
      </w:divBdr>
    </w:div>
    <w:div w:id="559631840">
      <w:bodyDiv w:val="1"/>
      <w:marLeft w:val="0"/>
      <w:marRight w:val="0"/>
      <w:marTop w:val="0"/>
      <w:marBottom w:val="0"/>
      <w:divBdr>
        <w:top w:val="none" w:sz="0" w:space="0" w:color="auto"/>
        <w:left w:val="none" w:sz="0" w:space="0" w:color="auto"/>
        <w:bottom w:val="none" w:sz="0" w:space="0" w:color="auto"/>
        <w:right w:val="none" w:sz="0" w:space="0" w:color="auto"/>
      </w:divBdr>
    </w:div>
    <w:div w:id="598759179">
      <w:bodyDiv w:val="1"/>
      <w:marLeft w:val="0"/>
      <w:marRight w:val="0"/>
      <w:marTop w:val="0"/>
      <w:marBottom w:val="0"/>
      <w:divBdr>
        <w:top w:val="none" w:sz="0" w:space="0" w:color="auto"/>
        <w:left w:val="none" w:sz="0" w:space="0" w:color="auto"/>
        <w:bottom w:val="none" w:sz="0" w:space="0" w:color="auto"/>
        <w:right w:val="none" w:sz="0" w:space="0" w:color="auto"/>
      </w:divBdr>
    </w:div>
    <w:div w:id="601962369">
      <w:bodyDiv w:val="1"/>
      <w:marLeft w:val="0"/>
      <w:marRight w:val="0"/>
      <w:marTop w:val="0"/>
      <w:marBottom w:val="0"/>
      <w:divBdr>
        <w:top w:val="none" w:sz="0" w:space="0" w:color="auto"/>
        <w:left w:val="none" w:sz="0" w:space="0" w:color="auto"/>
        <w:bottom w:val="none" w:sz="0" w:space="0" w:color="auto"/>
        <w:right w:val="none" w:sz="0" w:space="0" w:color="auto"/>
      </w:divBdr>
    </w:div>
    <w:div w:id="614403737">
      <w:bodyDiv w:val="1"/>
      <w:marLeft w:val="0"/>
      <w:marRight w:val="0"/>
      <w:marTop w:val="0"/>
      <w:marBottom w:val="0"/>
      <w:divBdr>
        <w:top w:val="none" w:sz="0" w:space="0" w:color="auto"/>
        <w:left w:val="none" w:sz="0" w:space="0" w:color="auto"/>
        <w:bottom w:val="none" w:sz="0" w:space="0" w:color="auto"/>
        <w:right w:val="none" w:sz="0" w:space="0" w:color="auto"/>
      </w:divBdr>
    </w:div>
    <w:div w:id="621808678">
      <w:bodyDiv w:val="1"/>
      <w:marLeft w:val="0"/>
      <w:marRight w:val="0"/>
      <w:marTop w:val="0"/>
      <w:marBottom w:val="0"/>
      <w:divBdr>
        <w:top w:val="none" w:sz="0" w:space="0" w:color="auto"/>
        <w:left w:val="none" w:sz="0" w:space="0" w:color="auto"/>
        <w:bottom w:val="none" w:sz="0" w:space="0" w:color="auto"/>
        <w:right w:val="none" w:sz="0" w:space="0" w:color="auto"/>
      </w:divBdr>
    </w:div>
    <w:div w:id="623537601">
      <w:bodyDiv w:val="1"/>
      <w:marLeft w:val="0"/>
      <w:marRight w:val="0"/>
      <w:marTop w:val="0"/>
      <w:marBottom w:val="0"/>
      <w:divBdr>
        <w:top w:val="none" w:sz="0" w:space="0" w:color="auto"/>
        <w:left w:val="none" w:sz="0" w:space="0" w:color="auto"/>
        <w:bottom w:val="none" w:sz="0" w:space="0" w:color="auto"/>
        <w:right w:val="none" w:sz="0" w:space="0" w:color="auto"/>
      </w:divBdr>
    </w:div>
    <w:div w:id="644703322">
      <w:bodyDiv w:val="1"/>
      <w:marLeft w:val="0"/>
      <w:marRight w:val="0"/>
      <w:marTop w:val="0"/>
      <w:marBottom w:val="0"/>
      <w:divBdr>
        <w:top w:val="none" w:sz="0" w:space="0" w:color="auto"/>
        <w:left w:val="none" w:sz="0" w:space="0" w:color="auto"/>
        <w:bottom w:val="none" w:sz="0" w:space="0" w:color="auto"/>
        <w:right w:val="none" w:sz="0" w:space="0" w:color="auto"/>
      </w:divBdr>
    </w:div>
    <w:div w:id="652833154">
      <w:bodyDiv w:val="1"/>
      <w:marLeft w:val="0"/>
      <w:marRight w:val="0"/>
      <w:marTop w:val="0"/>
      <w:marBottom w:val="0"/>
      <w:divBdr>
        <w:top w:val="none" w:sz="0" w:space="0" w:color="auto"/>
        <w:left w:val="none" w:sz="0" w:space="0" w:color="auto"/>
        <w:bottom w:val="none" w:sz="0" w:space="0" w:color="auto"/>
        <w:right w:val="none" w:sz="0" w:space="0" w:color="auto"/>
      </w:divBdr>
    </w:div>
    <w:div w:id="653219640">
      <w:bodyDiv w:val="1"/>
      <w:marLeft w:val="0"/>
      <w:marRight w:val="0"/>
      <w:marTop w:val="0"/>
      <w:marBottom w:val="0"/>
      <w:divBdr>
        <w:top w:val="none" w:sz="0" w:space="0" w:color="auto"/>
        <w:left w:val="none" w:sz="0" w:space="0" w:color="auto"/>
        <w:bottom w:val="none" w:sz="0" w:space="0" w:color="auto"/>
        <w:right w:val="none" w:sz="0" w:space="0" w:color="auto"/>
      </w:divBdr>
    </w:div>
    <w:div w:id="660696792">
      <w:bodyDiv w:val="1"/>
      <w:marLeft w:val="0"/>
      <w:marRight w:val="0"/>
      <w:marTop w:val="0"/>
      <w:marBottom w:val="0"/>
      <w:divBdr>
        <w:top w:val="none" w:sz="0" w:space="0" w:color="auto"/>
        <w:left w:val="none" w:sz="0" w:space="0" w:color="auto"/>
        <w:bottom w:val="none" w:sz="0" w:space="0" w:color="auto"/>
        <w:right w:val="none" w:sz="0" w:space="0" w:color="auto"/>
      </w:divBdr>
    </w:div>
    <w:div w:id="663624341">
      <w:bodyDiv w:val="1"/>
      <w:marLeft w:val="0"/>
      <w:marRight w:val="0"/>
      <w:marTop w:val="0"/>
      <w:marBottom w:val="0"/>
      <w:divBdr>
        <w:top w:val="none" w:sz="0" w:space="0" w:color="auto"/>
        <w:left w:val="none" w:sz="0" w:space="0" w:color="auto"/>
        <w:bottom w:val="none" w:sz="0" w:space="0" w:color="auto"/>
        <w:right w:val="none" w:sz="0" w:space="0" w:color="auto"/>
      </w:divBdr>
    </w:div>
    <w:div w:id="668212694">
      <w:bodyDiv w:val="1"/>
      <w:marLeft w:val="0"/>
      <w:marRight w:val="0"/>
      <w:marTop w:val="0"/>
      <w:marBottom w:val="0"/>
      <w:divBdr>
        <w:top w:val="none" w:sz="0" w:space="0" w:color="auto"/>
        <w:left w:val="none" w:sz="0" w:space="0" w:color="auto"/>
        <w:bottom w:val="none" w:sz="0" w:space="0" w:color="auto"/>
        <w:right w:val="none" w:sz="0" w:space="0" w:color="auto"/>
      </w:divBdr>
    </w:div>
    <w:div w:id="677390449">
      <w:bodyDiv w:val="1"/>
      <w:marLeft w:val="0"/>
      <w:marRight w:val="0"/>
      <w:marTop w:val="0"/>
      <w:marBottom w:val="0"/>
      <w:divBdr>
        <w:top w:val="none" w:sz="0" w:space="0" w:color="auto"/>
        <w:left w:val="none" w:sz="0" w:space="0" w:color="auto"/>
        <w:bottom w:val="none" w:sz="0" w:space="0" w:color="auto"/>
        <w:right w:val="none" w:sz="0" w:space="0" w:color="auto"/>
      </w:divBdr>
    </w:div>
    <w:div w:id="679088770">
      <w:bodyDiv w:val="1"/>
      <w:marLeft w:val="0"/>
      <w:marRight w:val="0"/>
      <w:marTop w:val="0"/>
      <w:marBottom w:val="0"/>
      <w:divBdr>
        <w:top w:val="none" w:sz="0" w:space="0" w:color="auto"/>
        <w:left w:val="none" w:sz="0" w:space="0" w:color="auto"/>
        <w:bottom w:val="none" w:sz="0" w:space="0" w:color="auto"/>
        <w:right w:val="none" w:sz="0" w:space="0" w:color="auto"/>
      </w:divBdr>
    </w:div>
    <w:div w:id="682438174">
      <w:bodyDiv w:val="1"/>
      <w:marLeft w:val="0"/>
      <w:marRight w:val="0"/>
      <w:marTop w:val="0"/>
      <w:marBottom w:val="0"/>
      <w:divBdr>
        <w:top w:val="none" w:sz="0" w:space="0" w:color="auto"/>
        <w:left w:val="none" w:sz="0" w:space="0" w:color="auto"/>
        <w:bottom w:val="none" w:sz="0" w:space="0" w:color="auto"/>
        <w:right w:val="none" w:sz="0" w:space="0" w:color="auto"/>
      </w:divBdr>
    </w:div>
    <w:div w:id="704597056">
      <w:bodyDiv w:val="1"/>
      <w:marLeft w:val="0"/>
      <w:marRight w:val="0"/>
      <w:marTop w:val="0"/>
      <w:marBottom w:val="0"/>
      <w:divBdr>
        <w:top w:val="none" w:sz="0" w:space="0" w:color="auto"/>
        <w:left w:val="none" w:sz="0" w:space="0" w:color="auto"/>
        <w:bottom w:val="none" w:sz="0" w:space="0" w:color="auto"/>
        <w:right w:val="none" w:sz="0" w:space="0" w:color="auto"/>
      </w:divBdr>
    </w:div>
    <w:div w:id="720176259">
      <w:bodyDiv w:val="1"/>
      <w:marLeft w:val="0"/>
      <w:marRight w:val="0"/>
      <w:marTop w:val="0"/>
      <w:marBottom w:val="0"/>
      <w:divBdr>
        <w:top w:val="none" w:sz="0" w:space="0" w:color="auto"/>
        <w:left w:val="none" w:sz="0" w:space="0" w:color="auto"/>
        <w:bottom w:val="none" w:sz="0" w:space="0" w:color="auto"/>
        <w:right w:val="none" w:sz="0" w:space="0" w:color="auto"/>
      </w:divBdr>
    </w:div>
    <w:div w:id="727993527">
      <w:bodyDiv w:val="1"/>
      <w:marLeft w:val="0"/>
      <w:marRight w:val="0"/>
      <w:marTop w:val="0"/>
      <w:marBottom w:val="0"/>
      <w:divBdr>
        <w:top w:val="none" w:sz="0" w:space="0" w:color="auto"/>
        <w:left w:val="none" w:sz="0" w:space="0" w:color="auto"/>
        <w:bottom w:val="none" w:sz="0" w:space="0" w:color="auto"/>
        <w:right w:val="none" w:sz="0" w:space="0" w:color="auto"/>
      </w:divBdr>
    </w:div>
    <w:div w:id="733429410">
      <w:bodyDiv w:val="1"/>
      <w:marLeft w:val="0"/>
      <w:marRight w:val="0"/>
      <w:marTop w:val="0"/>
      <w:marBottom w:val="0"/>
      <w:divBdr>
        <w:top w:val="none" w:sz="0" w:space="0" w:color="auto"/>
        <w:left w:val="none" w:sz="0" w:space="0" w:color="auto"/>
        <w:bottom w:val="none" w:sz="0" w:space="0" w:color="auto"/>
        <w:right w:val="none" w:sz="0" w:space="0" w:color="auto"/>
      </w:divBdr>
    </w:div>
    <w:div w:id="737286363">
      <w:bodyDiv w:val="1"/>
      <w:marLeft w:val="0"/>
      <w:marRight w:val="0"/>
      <w:marTop w:val="0"/>
      <w:marBottom w:val="0"/>
      <w:divBdr>
        <w:top w:val="none" w:sz="0" w:space="0" w:color="auto"/>
        <w:left w:val="none" w:sz="0" w:space="0" w:color="auto"/>
        <w:bottom w:val="none" w:sz="0" w:space="0" w:color="auto"/>
        <w:right w:val="none" w:sz="0" w:space="0" w:color="auto"/>
      </w:divBdr>
    </w:div>
    <w:div w:id="746925805">
      <w:bodyDiv w:val="1"/>
      <w:marLeft w:val="0"/>
      <w:marRight w:val="0"/>
      <w:marTop w:val="0"/>
      <w:marBottom w:val="0"/>
      <w:divBdr>
        <w:top w:val="none" w:sz="0" w:space="0" w:color="auto"/>
        <w:left w:val="none" w:sz="0" w:space="0" w:color="auto"/>
        <w:bottom w:val="none" w:sz="0" w:space="0" w:color="auto"/>
        <w:right w:val="none" w:sz="0" w:space="0" w:color="auto"/>
      </w:divBdr>
    </w:div>
    <w:div w:id="762072829">
      <w:bodyDiv w:val="1"/>
      <w:marLeft w:val="0"/>
      <w:marRight w:val="0"/>
      <w:marTop w:val="0"/>
      <w:marBottom w:val="0"/>
      <w:divBdr>
        <w:top w:val="none" w:sz="0" w:space="0" w:color="auto"/>
        <w:left w:val="none" w:sz="0" w:space="0" w:color="auto"/>
        <w:bottom w:val="none" w:sz="0" w:space="0" w:color="auto"/>
        <w:right w:val="none" w:sz="0" w:space="0" w:color="auto"/>
      </w:divBdr>
    </w:div>
    <w:div w:id="771129079">
      <w:bodyDiv w:val="1"/>
      <w:marLeft w:val="0"/>
      <w:marRight w:val="0"/>
      <w:marTop w:val="0"/>
      <w:marBottom w:val="0"/>
      <w:divBdr>
        <w:top w:val="none" w:sz="0" w:space="0" w:color="auto"/>
        <w:left w:val="none" w:sz="0" w:space="0" w:color="auto"/>
        <w:bottom w:val="none" w:sz="0" w:space="0" w:color="auto"/>
        <w:right w:val="none" w:sz="0" w:space="0" w:color="auto"/>
      </w:divBdr>
    </w:div>
    <w:div w:id="772240632">
      <w:bodyDiv w:val="1"/>
      <w:marLeft w:val="0"/>
      <w:marRight w:val="0"/>
      <w:marTop w:val="0"/>
      <w:marBottom w:val="0"/>
      <w:divBdr>
        <w:top w:val="none" w:sz="0" w:space="0" w:color="auto"/>
        <w:left w:val="none" w:sz="0" w:space="0" w:color="auto"/>
        <w:bottom w:val="none" w:sz="0" w:space="0" w:color="auto"/>
        <w:right w:val="none" w:sz="0" w:space="0" w:color="auto"/>
      </w:divBdr>
    </w:div>
    <w:div w:id="777721283">
      <w:bodyDiv w:val="1"/>
      <w:marLeft w:val="0"/>
      <w:marRight w:val="0"/>
      <w:marTop w:val="0"/>
      <w:marBottom w:val="0"/>
      <w:divBdr>
        <w:top w:val="none" w:sz="0" w:space="0" w:color="auto"/>
        <w:left w:val="none" w:sz="0" w:space="0" w:color="auto"/>
        <w:bottom w:val="none" w:sz="0" w:space="0" w:color="auto"/>
        <w:right w:val="none" w:sz="0" w:space="0" w:color="auto"/>
      </w:divBdr>
    </w:div>
    <w:div w:id="779301909">
      <w:bodyDiv w:val="1"/>
      <w:marLeft w:val="0"/>
      <w:marRight w:val="0"/>
      <w:marTop w:val="0"/>
      <w:marBottom w:val="0"/>
      <w:divBdr>
        <w:top w:val="none" w:sz="0" w:space="0" w:color="auto"/>
        <w:left w:val="none" w:sz="0" w:space="0" w:color="auto"/>
        <w:bottom w:val="none" w:sz="0" w:space="0" w:color="auto"/>
        <w:right w:val="none" w:sz="0" w:space="0" w:color="auto"/>
      </w:divBdr>
    </w:div>
    <w:div w:id="794060624">
      <w:bodyDiv w:val="1"/>
      <w:marLeft w:val="0"/>
      <w:marRight w:val="0"/>
      <w:marTop w:val="0"/>
      <w:marBottom w:val="0"/>
      <w:divBdr>
        <w:top w:val="none" w:sz="0" w:space="0" w:color="auto"/>
        <w:left w:val="none" w:sz="0" w:space="0" w:color="auto"/>
        <w:bottom w:val="none" w:sz="0" w:space="0" w:color="auto"/>
        <w:right w:val="none" w:sz="0" w:space="0" w:color="auto"/>
      </w:divBdr>
    </w:div>
    <w:div w:id="811825522">
      <w:bodyDiv w:val="1"/>
      <w:marLeft w:val="0"/>
      <w:marRight w:val="0"/>
      <w:marTop w:val="0"/>
      <w:marBottom w:val="0"/>
      <w:divBdr>
        <w:top w:val="none" w:sz="0" w:space="0" w:color="auto"/>
        <w:left w:val="none" w:sz="0" w:space="0" w:color="auto"/>
        <w:bottom w:val="none" w:sz="0" w:space="0" w:color="auto"/>
        <w:right w:val="none" w:sz="0" w:space="0" w:color="auto"/>
      </w:divBdr>
    </w:div>
    <w:div w:id="834102821">
      <w:bodyDiv w:val="1"/>
      <w:marLeft w:val="0"/>
      <w:marRight w:val="0"/>
      <w:marTop w:val="0"/>
      <w:marBottom w:val="0"/>
      <w:divBdr>
        <w:top w:val="none" w:sz="0" w:space="0" w:color="auto"/>
        <w:left w:val="none" w:sz="0" w:space="0" w:color="auto"/>
        <w:bottom w:val="none" w:sz="0" w:space="0" w:color="auto"/>
        <w:right w:val="none" w:sz="0" w:space="0" w:color="auto"/>
      </w:divBdr>
    </w:div>
    <w:div w:id="843476377">
      <w:bodyDiv w:val="1"/>
      <w:marLeft w:val="0"/>
      <w:marRight w:val="0"/>
      <w:marTop w:val="0"/>
      <w:marBottom w:val="0"/>
      <w:divBdr>
        <w:top w:val="none" w:sz="0" w:space="0" w:color="auto"/>
        <w:left w:val="none" w:sz="0" w:space="0" w:color="auto"/>
        <w:bottom w:val="none" w:sz="0" w:space="0" w:color="auto"/>
        <w:right w:val="none" w:sz="0" w:space="0" w:color="auto"/>
      </w:divBdr>
    </w:div>
    <w:div w:id="846166408">
      <w:bodyDiv w:val="1"/>
      <w:marLeft w:val="0"/>
      <w:marRight w:val="0"/>
      <w:marTop w:val="0"/>
      <w:marBottom w:val="0"/>
      <w:divBdr>
        <w:top w:val="none" w:sz="0" w:space="0" w:color="auto"/>
        <w:left w:val="none" w:sz="0" w:space="0" w:color="auto"/>
        <w:bottom w:val="none" w:sz="0" w:space="0" w:color="auto"/>
        <w:right w:val="none" w:sz="0" w:space="0" w:color="auto"/>
      </w:divBdr>
    </w:div>
    <w:div w:id="856508509">
      <w:bodyDiv w:val="1"/>
      <w:marLeft w:val="0"/>
      <w:marRight w:val="0"/>
      <w:marTop w:val="0"/>
      <w:marBottom w:val="0"/>
      <w:divBdr>
        <w:top w:val="none" w:sz="0" w:space="0" w:color="auto"/>
        <w:left w:val="none" w:sz="0" w:space="0" w:color="auto"/>
        <w:bottom w:val="none" w:sz="0" w:space="0" w:color="auto"/>
        <w:right w:val="none" w:sz="0" w:space="0" w:color="auto"/>
      </w:divBdr>
    </w:div>
    <w:div w:id="880437981">
      <w:bodyDiv w:val="1"/>
      <w:marLeft w:val="0"/>
      <w:marRight w:val="0"/>
      <w:marTop w:val="0"/>
      <w:marBottom w:val="0"/>
      <w:divBdr>
        <w:top w:val="none" w:sz="0" w:space="0" w:color="auto"/>
        <w:left w:val="none" w:sz="0" w:space="0" w:color="auto"/>
        <w:bottom w:val="none" w:sz="0" w:space="0" w:color="auto"/>
        <w:right w:val="none" w:sz="0" w:space="0" w:color="auto"/>
      </w:divBdr>
    </w:div>
    <w:div w:id="883129846">
      <w:bodyDiv w:val="1"/>
      <w:marLeft w:val="0"/>
      <w:marRight w:val="0"/>
      <w:marTop w:val="0"/>
      <w:marBottom w:val="0"/>
      <w:divBdr>
        <w:top w:val="none" w:sz="0" w:space="0" w:color="auto"/>
        <w:left w:val="none" w:sz="0" w:space="0" w:color="auto"/>
        <w:bottom w:val="none" w:sz="0" w:space="0" w:color="auto"/>
        <w:right w:val="none" w:sz="0" w:space="0" w:color="auto"/>
      </w:divBdr>
    </w:div>
    <w:div w:id="886333126">
      <w:bodyDiv w:val="1"/>
      <w:marLeft w:val="0"/>
      <w:marRight w:val="0"/>
      <w:marTop w:val="0"/>
      <w:marBottom w:val="0"/>
      <w:divBdr>
        <w:top w:val="none" w:sz="0" w:space="0" w:color="auto"/>
        <w:left w:val="none" w:sz="0" w:space="0" w:color="auto"/>
        <w:bottom w:val="none" w:sz="0" w:space="0" w:color="auto"/>
        <w:right w:val="none" w:sz="0" w:space="0" w:color="auto"/>
      </w:divBdr>
    </w:div>
    <w:div w:id="894506577">
      <w:bodyDiv w:val="1"/>
      <w:marLeft w:val="0"/>
      <w:marRight w:val="0"/>
      <w:marTop w:val="0"/>
      <w:marBottom w:val="0"/>
      <w:divBdr>
        <w:top w:val="none" w:sz="0" w:space="0" w:color="auto"/>
        <w:left w:val="none" w:sz="0" w:space="0" w:color="auto"/>
        <w:bottom w:val="none" w:sz="0" w:space="0" w:color="auto"/>
        <w:right w:val="none" w:sz="0" w:space="0" w:color="auto"/>
      </w:divBdr>
    </w:div>
    <w:div w:id="908854778">
      <w:bodyDiv w:val="1"/>
      <w:marLeft w:val="0"/>
      <w:marRight w:val="0"/>
      <w:marTop w:val="0"/>
      <w:marBottom w:val="0"/>
      <w:divBdr>
        <w:top w:val="none" w:sz="0" w:space="0" w:color="auto"/>
        <w:left w:val="none" w:sz="0" w:space="0" w:color="auto"/>
        <w:bottom w:val="none" w:sz="0" w:space="0" w:color="auto"/>
        <w:right w:val="none" w:sz="0" w:space="0" w:color="auto"/>
      </w:divBdr>
    </w:div>
    <w:div w:id="923950827">
      <w:bodyDiv w:val="1"/>
      <w:marLeft w:val="0"/>
      <w:marRight w:val="0"/>
      <w:marTop w:val="0"/>
      <w:marBottom w:val="0"/>
      <w:divBdr>
        <w:top w:val="none" w:sz="0" w:space="0" w:color="auto"/>
        <w:left w:val="none" w:sz="0" w:space="0" w:color="auto"/>
        <w:bottom w:val="none" w:sz="0" w:space="0" w:color="auto"/>
        <w:right w:val="none" w:sz="0" w:space="0" w:color="auto"/>
      </w:divBdr>
    </w:div>
    <w:div w:id="934941297">
      <w:bodyDiv w:val="1"/>
      <w:marLeft w:val="0"/>
      <w:marRight w:val="0"/>
      <w:marTop w:val="0"/>
      <w:marBottom w:val="0"/>
      <w:divBdr>
        <w:top w:val="none" w:sz="0" w:space="0" w:color="auto"/>
        <w:left w:val="none" w:sz="0" w:space="0" w:color="auto"/>
        <w:bottom w:val="none" w:sz="0" w:space="0" w:color="auto"/>
        <w:right w:val="none" w:sz="0" w:space="0" w:color="auto"/>
      </w:divBdr>
    </w:div>
    <w:div w:id="935283609">
      <w:bodyDiv w:val="1"/>
      <w:marLeft w:val="0"/>
      <w:marRight w:val="0"/>
      <w:marTop w:val="0"/>
      <w:marBottom w:val="0"/>
      <w:divBdr>
        <w:top w:val="none" w:sz="0" w:space="0" w:color="auto"/>
        <w:left w:val="none" w:sz="0" w:space="0" w:color="auto"/>
        <w:bottom w:val="none" w:sz="0" w:space="0" w:color="auto"/>
        <w:right w:val="none" w:sz="0" w:space="0" w:color="auto"/>
      </w:divBdr>
    </w:div>
    <w:div w:id="936717884">
      <w:bodyDiv w:val="1"/>
      <w:marLeft w:val="0"/>
      <w:marRight w:val="0"/>
      <w:marTop w:val="0"/>
      <w:marBottom w:val="0"/>
      <w:divBdr>
        <w:top w:val="none" w:sz="0" w:space="0" w:color="auto"/>
        <w:left w:val="none" w:sz="0" w:space="0" w:color="auto"/>
        <w:bottom w:val="none" w:sz="0" w:space="0" w:color="auto"/>
        <w:right w:val="none" w:sz="0" w:space="0" w:color="auto"/>
      </w:divBdr>
    </w:div>
    <w:div w:id="939947708">
      <w:bodyDiv w:val="1"/>
      <w:marLeft w:val="0"/>
      <w:marRight w:val="0"/>
      <w:marTop w:val="0"/>
      <w:marBottom w:val="0"/>
      <w:divBdr>
        <w:top w:val="none" w:sz="0" w:space="0" w:color="auto"/>
        <w:left w:val="none" w:sz="0" w:space="0" w:color="auto"/>
        <w:bottom w:val="none" w:sz="0" w:space="0" w:color="auto"/>
        <w:right w:val="none" w:sz="0" w:space="0" w:color="auto"/>
      </w:divBdr>
    </w:div>
    <w:div w:id="947200071">
      <w:bodyDiv w:val="1"/>
      <w:marLeft w:val="0"/>
      <w:marRight w:val="0"/>
      <w:marTop w:val="0"/>
      <w:marBottom w:val="0"/>
      <w:divBdr>
        <w:top w:val="none" w:sz="0" w:space="0" w:color="auto"/>
        <w:left w:val="none" w:sz="0" w:space="0" w:color="auto"/>
        <w:bottom w:val="none" w:sz="0" w:space="0" w:color="auto"/>
        <w:right w:val="none" w:sz="0" w:space="0" w:color="auto"/>
      </w:divBdr>
    </w:div>
    <w:div w:id="973414105">
      <w:bodyDiv w:val="1"/>
      <w:marLeft w:val="0"/>
      <w:marRight w:val="0"/>
      <w:marTop w:val="0"/>
      <w:marBottom w:val="0"/>
      <w:divBdr>
        <w:top w:val="none" w:sz="0" w:space="0" w:color="auto"/>
        <w:left w:val="none" w:sz="0" w:space="0" w:color="auto"/>
        <w:bottom w:val="none" w:sz="0" w:space="0" w:color="auto"/>
        <w:right w:val="none" w:sz="0" w:space="0" w:color="auto"/>
      </w:divBdr>
    </w:div>
    <w:div w:id="979000852">
      <w:bodyDiv w:val="1"/>
      <w:marLeft w:val="0"/>
      <w:marRight w:val="0"/>
      <w:marTop w:val="0"/>
      <w:marBottom w:val="0"/>
      <w:divBdr>
        <w:top w:val="none" w:sz="0" w:space="0" w:color="auto"/>
        <w:left w:val="none" w:sz="0" w:space="0" w:color="auto"/>
        <w:bottom w:val="none" w:sz="0" w:space="0" w:color="auto"/>
        <w:right w:val="none" w:sz="0" w:space="0" w:color="auto"/>
      </w:divBdr>
    </w:div>
    <w:div w:id="981811495">
      <w:bodyDiv w:val="1"/>
      <w:marLeft w:val="0"/>
      <w:marRight w:val="0"/>
      <w:marTop w:val="0"/>
      <w:marBottom w:val="0"/>
      <w:divBdr>
        <w:top w:val="none" w:sz="0" w:space="0" w:color="auto"/>
        <w:left w:val="none" w:sz="0" w:space="0" w:color="auto"/>
        <w:bottom w:val="none" w:sz="0" w:space="0" w:color="auto"/>
        <w:right w:val="none" w:sz="0" w:space="0" w:color="auto"/>
      </w:divBdr>
    </w:div>
    <w:div w:id="998457225">
      <w:bodyDiv w:val="1"/>
      <w:marLeft w:val="0"/>
      <w:marRight w:val="0"/>
      <w:marTop w:val="0"/>
      <w:marBottom w:val="0"/>
      <w:divBdr>
        <w:top w:val="none" w:sz="0" w:space="0" w:color="auto"/>
        <w:left w:val="none" w:sz="0" w:space="0" w:color="auto"/>
        <w:bottom w:val="none" w:sz="0" w:space="0" w:color="auto"/>
        <w:right w:val="none" w:sz="0" w:space="0" w:color="auto"/>
      </w:divBdr>
    </w:div>
    <w:div w:id="1005135163">
      <w:bodyDiv w:val="1"/>
      <w:marLeft w:val="0"/>
      <w:marRight w:val="0"/>
      <w:marTop w:val="0"/>
      <w:marBottom w:val="0"/>
      <w:divBdr>
        <w:top w:val="none" w:sz="0" w:space="0" w:color="auto"/>
        <w:left w:val="none" w:sz="0" w:space="0" w:color="auto"/>
        <w:bottom w:val="none" w:sz="0" w:space="0" w:color="auto"/>
        <w:right w:val="none" w:sz="0" w:space="0" w:color="auto"/>
      </w:divBdr>
    </w:div>
    <w:div w:id="1012728063">
      <w:bodyDiv w:val="1"/>
      <w:marLeft w:val="0"/>
      <w:marRight w:val="0"/>
      <w:marTop w:val="0"/>
      <w:marBottom w:val="0"/>
      <w:divBdr>
        <w:top w:val="none" w:sz="0" w:space="0" w:color="auto"/>
        <w:left w:val="none" w:sz="0" w:space="0" w:color="auto"/>
        <w:bottom w:val="none" w:sz="0" w:space="0" w:color="auto"/>
        <w:right w:val="none" w:sz="0" w:space="0" w:color="auto"/>
      </w:divBdr>
    </w:div>
    <w:div w:id="1025179823">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29767849">
      <w:bodyDiv w:val="1"/>
      <w:marLeft w:val="0"/>
      <w:marRight w:val="0"/>
      <w:marTop w:val="0"/>
      <w:marBottom w:val="0"/>
      <w:divBdr>
        <w:top w:val="none" w:sz="0" w:space="0" w:color="auto"/>
        <w:left w:val="none" w:sz="0" w:space="0" w:color="auto"/>
        <w:bottom w:val="none" w:sz="0" w:space="0" w:color="auto"/>
        <w:right w:val="none" w:sz="0" w:space="0" w:color="auto"/>
      </w:divBdr>
    </w:div>
    <w:div w:id="1063064029">
      <w:bodyDiv w:val="1"/>
      <w:marLeft w:val="0"/>
      <w:marRight w:val="0"/>
      <w:marTop w:val="0"/>
      <w:marBottom w:val="0"/>
      <w:divBdr>
        <w:top w:val="none" w:sz="0" w:space="0" w:color="auto"/>
        <w:left w:val="none" w:sz="0" w:space="0" w:color="auto"/>
        <w:bottom w:val="none" w:sz="0" w:space="0" w:color="auto"/>
        <w:right w:val="none" w:sz="0" w:space="0" w:color="auto"/>
      </w:divBdr>
    </w:div>
    <w:div w:id="1072896765">
      <w:bodyDiv w:val="1"/>
      <w:marLeft w:val="0"/>
      <w:marRight w:val="0"/>
      <w:marTop w:val="0"/>
      <w:marBottom w:val="0"/>
      <w:divBdr>
        <w:top w:val="none" w:sz="0" w:space="0" w:color="auto"/>
        <w:left w:val="none" w:sz="0" w:space="0" w:color="auto"/>
        <w:bottom w:val="none" w:sz="0" w:space="0" w:color="auto"/>
        <w:right w:val="none" w:sz="0" w:space="0" w:color="auto"/>
      </w:divBdr>
    </w:div>
    <w:div w:id="1082989924">
      <w:bodyDiv w:val="1"/>
      <w:marLeft w:val="0"/>
      <w:marRight w:val="0"/>
      <w:marTop w:val="0"/>
      <w:marBottom w:val="0"/>
      <w:divBdr>
        <w:top w:val="none" w:sz="0" w:space="0" w:color="auto"/>
        <w:left w:val="none" w:sz="0" w:space="0" w:color="auto"/>
        <w:bottom w:val="none" w:sz="0" w:space="0" w:color="auto"/>
        <w:right w:val="none" w:sz="0" w:space="0" w:color="auto"/>
      </w:divBdr>
    </w:div>
    <w:div w:id="1087917913">
      <w:bodyDiv w:val="1"/>
      <w:marLeft w:val="0"/>
      <w:marRight w:val="0"/>
      <w:marTop w:val="0"/>
      <w:marBottom w:val="0"/>
      <w:divBdr>
        <w:top w:val="none" w:sz="0" w:space="0" w:color="auto"/>
        <w:left w:val="none" w:sz="0" w:space="0" w:color="auto"/>
        <w:bottom w:val="none" w:sz="0" w:space="0" w:color="auto"/>
        <w:right w:val="none" w:sz="0" w:space="0" w:color="auto"/>
      </w:divBdr>
    </w:div>
    <w:div w:id="1095324486">
      <w:bodyDiv w:val="1"/>
      <w:marLeft w:val="0"/>
      <w:marRight w:val="0"/>
      <w:marTop w:val="0"/>
      <w:marBottom w:val="0"/>
      <w:divBdr>
        <w:top w:val="none" w:sz="0" w:space="0" w:color="auto"/>
        <w:left w:val="none" w:sz="0" w:space="0" w:color="auto"/>
        <w:bottom w:val="none" w:sz="0" w:space="0" w:color="auto"/>
        <w:right w:val="none" w:sz="0" w:space="0" w:color="auto"/>
      </w:divBdr>
    </w:div>
    <w:div w:id="1098020575">
      <w:bodyDiv w:val="1"/>
      <w:marLeft w:val="0"/>
      <w:marRight w:val="0"/>
      <w:marTop w:val="0"/>
      <w:marBottom w:val="0"/>
      <w:divBdr>
        <w:top w:val="none" w:sz="0" w:space="0" w:color="auto"/>
        <w:left w:val="none" w:sz="0" w:space="0" w:color="auto"/>
        <w:bottom w:val="none" w:sz="0" w:space="0" w:color="auto"/>
        <w:right w:val="none" w:sz="0" w:space="0" w:color="auto"/>
      </w:divBdr>
    </w:div>
    <w:div w:id="1114055905">
      <w:bodyDiv w:val="1"/>
      <w:marLeft w:val="0"/>
      <w:marRight w:val="0"/>
      <w:marTop w:val="0"/>
      <w:marBottom w:val="0"/>
      <w:divBdr>
        <w:top w:val="none" w:sz="0" w:space="0" w:color="auto"/>
        <w:left w:val="none" w:sz="0" w:space="0" w:color="auto"/>
        <w:bottom w:val="none" w:sz="0" w:space="0" w:color="auto"/>
        <w:right w:val="none" w:sz="0" w:space="0" w:color="auto"/>
      </w:divBdr>
    </w:div>
    <w:div w:id="1122067147">
      <w:bodyDiv w:val="1"/>
      <w:marLeft w:val="0"/>
      <w:marRight w:val="0"/>
      <w:marTop w:val="0"/>
      <w:marBottom w:val="0"/>
      <w:divBdr>
        <w:top w:val="none" w:sz="0" w:space="0" w:color="auto"/>
        <w:left w:val="none" w:sz="0" w:space="0" w:color="auto"/>
        <w:bottom w:val="none" w:sz="0" w:space="0" w:color="auto"/>
        <w:right w:val="none" w:sz="0" w:space="0" w:color="auto"/>
      </w:divBdr>
    </w:div>
    <w:div w:id="1165514122">
      <w:bodyDiv w:val="1"/>
      <w:marLeft w:val="0"/>
      <w:marRight w:val="0"/>
      <w:marTop w:val="0"/>
      <w:marBottom w:val="0"/>
      <w:divBdr>
        <w:top w:val="none" w:sz="0" w:space="0" w:color="auto"/>
        <w:left w:val="none" w:sz="0" w:space="0" w:color="auto"/>
        <w:bottom w:val="none" w:sz="0" w:space="0" w:color="auto"/>
        <w:right w:val="none" w:sz="0" w:space="0" w:color="auto"/>
      </w:divBdr>
    </w:div>
    <w:div w:id="1205412376">
      <w:bodyDiv w:val="1"/>
      <w:marLeft w:val="0"/>
      <w:marRight w:val="0"/>
      <w:marTop w:val="0"/>
      <w:marBottom w:val="0"/>
      <w:divBdr>
        <w:top w:val="none" w:sz="0" w:space="0" w:color="auto"/>
        <w:left w:val="none" w:sz="0" w:space="0" w:color="auto"/>
        <w:bottom w:val="none" w:sz="0" w:space="0" w:color="auto"/>
        <w:right w:val="none" w:sz="0" w:space="0" w:color="auto"/>
      </w:divBdr>
    </w:div>
    <w:div w:id="1229924899">
      <w:bodyDiv w:val="1"/>
      <w:marLeft w:val="0"/>
      <w:marRight w:val="0"/>
      <w:marTop w:val="0"/>
      <w:marBottom w:val="0"/>
      <w:divBdr>
        <w:top w:val="none" w:sz="0" w:space="0" w:color="auto"/>
        <w:left w:val="none" w:sz="0" w:space="0" w:color="auto"/>
        <w:bottom w:val="none" w:sz="0" w:space="0" w:color="auto"/>
        <w:right w:val="none" w:sz="0" w:space="0" w:color="auto"/>
      </w:divBdr>
    </w:div>
    <w:div w:id="1234512940">
      <w:bodyDiv w:val="1"/>
      <w:marLeft w:val="0"/>
      <w:marRight w:val="0"/>
      <w:marTop w:val="0"/>
      <w:marBottom w:val="0"/>
      <w:divBdr>
        <w:top w:val="none" w:sz="0" w:space="0" w:color="auto"/>
        <w:left w:val="none" w:sz="0" w:space="0" w:color="auto"/>
        <w:bottom w:val="none" w:sz="0" w:space="0" w:color="auto"/>
        <w:right w:val="none" w:sz="0" w:space="0" w:color="auto"/>
      </w:divBdr>
      <w:divsChild>
        <w:div w:id="1127430106">
          <w:marLeft w:val="0"/>
          <w:marRight w:val="0"/>
          <w:marTop w:val="0"/>
          <w:marBottom w:val="0"/>
          <w:divBdr>
            <w:top w:val="none" w:sz="0" w:space="0" w:color="auto"/>
            <w:left w:val="none" w:sz="0" w:space="0" w:color="auto"/>
            <w:bottom w:val="none" w:sz="0" w:space="0" w:color="auto"/>
            <w:right w:val="none" w:sz="0" w:space="0" w:color="auto"/>
          </w:divBdr>
        </w:div>
      </w:divsChild>
    </w:div>
    <w:div w:id="1237472375">
      <w:bodyDiv w:val="1"/>
      <w:marLeft w:val="0"/>
      <w:marRight w:val="0"/>
      <w:marTop w:val="0"/>
      <w:marBottom w:val="0"/>
      <w:divBdr>
        <w:top w:val="none" w:sz="0" w:space="0" w:color="auto"/>
        <w:left w:val="none" w:sz="0" w:space="0" w:color="auto"/>
        <w:bottom w:val="none" w:sz="0" w:space="0" w:color="auto"/>
        <w:right w:val="none" w:sz="0" w:space="0" w:color="auto"/>
      </w:divBdr>
    </w:div>
    <w:div w:id="1239753963">
      <w:bodyDiv w:val="1"/>
      <w:marLeft w:val="0"/>
      <w:marRight w:val="0"/>
      <w:marTop w:val="0"/>
      <w:marBottom w:val="0"/>
      <w:divBdr>
        <w:top w:val="none" w:sz="0" w:space="0" w:color="auto"/>
        <w:left w:val="none" w:sz="0" w:space="0" w:color="auto"/>
        <w:bottom w:val="none" w:sz="0" w:space="0" w:color="auto"/>
        <w:right w:val="none" w:sz="0" w:space="0" w:color="auto"/>
      </w:divBdr>
    </w:div>
    <w:div w:id="1246301700">
      <w:bodyDiv w:val="1"/>
      <w:marLeft w:val="0"/>
      <w:marRight w:val="0"/>
      <w:marTop w:val="0"/>
      <w:marBottom w:val="0"/>
      <w:divBdr>
        <w:top w:val="none" w:sz="0" w:space="0" w:color="auto"/>
        <w:left w:val="none" w:sz="0" w:space="0" w:color="auto"/>
        <w:bottom w:val="none" w:sz="0" w:space="0" w:color="auto"/>
        <w:right w:val="none" w:sz="0" w:space="0" w:color="auto"/>
      </w:divBdr>
    </w:div>
    <w:div w:id="1254631924">
      <w:bodyDiv w:val="1"/>
      <w:marLeft w:val="0"/>
      <w:marRight w:val="0"/>
      <w:marTop w:val="0"/>
      <w:marBottom w:val="0"/>
      <w:divBdr>
        <w:top w:val="none" w:sz="0" w:space="0" w:color="auto"/>
        <w:left w:val="none" w:sz="0" w:space="0" w:color="auto"/>
        <w:bottom w:val="none" w:sz="0" w:space="0" w:color="auto"/>
        <w:right w:val="none" w:sz="0" w:space="0" w:color="auto"/>
      </w:divBdr>
    </w:div>
    <w:div w:id="1262835142">
      <w:bodyDiv w:val="1"/>
      <w:marLeft w:val="0"/>
      <w:marRight w:val="0"/>
      <w:marTop w:val="0"/>
      <w:marBottom w:val="0"/>
      <w:divBdr>
        <w:top w:val="none" w:sz="0" w:space="0" w:color="auto"/>
        <w:left w:val="none" w:sz="0" w:space="0" w:color="auto"/>
        <w:bottom w:val="none" w:sz="0" w:space="0" w:color="auto"/>
        <w:right w:val="none" w:sz="0" w:space="0" w:color="auto"/>
      </w:divBdr>
    </w:div>
    <w:div w:id="1270354743">
      <w:bodyDiv w:val="1"/>
      <w:marLeft w:val="0"/>
      <w:marRight w:val="0"/>
      <w:marTop w:val="0"/>
      <w:marBottom w:val="0"/>
      <w:divBdr>
        <w:top w:val="none" w:sz="0" w:space="0" w:color="auto"/>
        <w:left w:val="none" w:sz="0" w:space="0" w:color="auto"/>
        <w:bottom w:val="none" w:sz="0" w:space="0" w:color="auto"/>
        <w:right w:val="none" w:sz="0" w:space="0" w:color="auto"/>
      </w:divBdr>
    </w:div>
    <w:div w:id="1319533772">
      <w:bodyDiv w:val="1"/>
      <w:marLeft w:val="0"/>
      <w:marRight w:val="0"/>
      <w:marTop w:val="0"/>
      <w:marBottom w:val="0"/>
      <w:divBdr>
        <w:top w:val="none" w:sz="0" w:space="0" w:color="auto"/>
        <w:left w:val="none" w:sz="0" w:space="0" w:color="auto"/>
        <w:bottom w:val="none" w:sz="0" w:space="0" w:color="auto"/>
        <w:right w:val="none" w:sz="0" w:space="0" w:color="auto"/>
      </w:divBdr>
    </w:div>
    <w:div w:id="1339843387">
      <w:bodyDiv w:val="1"/>
      <w:marLeft w:val="0"/>
      <w:marRight w:val="0"/>
      <w:marTop w:val="0"/>
      <w:marBottom w:val="0"/>
      <w:divBdr>
        <w:top w:val="none" w:sz="0" w:space="0" w:color="auto"/>
        <w:left w:val="none" w:sz="0" w:space="0" w:color="auto"/>
        <w:bottom w:val="none" w:sz="0" w:space="0" w:color="auto"/>
        <w:right w:val="none" w:sz="0" w:space="0" w:color="auto"/>
      </w:divBdr>
    </w:div>
    <w:div w:id="1348873079">
      <w:bodyDiv w:val="1"/>
      <w:marLeft w:val="0"/>
      <w:marRight w:val="0"/>
      <w:marTop w:val="0"/>
      <w:marBottom w:val="0"/>
      <w:divBdr>
        <w:top w:val="none" w:sz="0" w:space="0" w:color="auto"/>
        <w:left w:val="none" w:sz="0" w:space="0" w:color="auto"/>
        <w:bottom w:val="none" w:sz="0" w:space="0" w:color="auto"/>
        <w:right w:val="none" w:sz="0" w:space="0" w:color="auto"/>
      </w:divBdr>
    </w:div>
    <w:div w:id="1360280759">
      <w:bodyDiv w:val="1"/>
      <w:marLeft w:val="0"/>
      <w:marRight w:val="0"/>
      <w:marTop w:val="0"/>
      <w:marBottom w:val="0"/>
      <w:divBdr>
        <w:top w:val="none" w:sz="0" w:space="0" w:color="auto"/>
        <w:left w:val="none" w:sz="0" w:space="0" w:color="auto"/>
        <w:bottom w:val="none" w:sz="0" w:space="0" w:color="auto"/>
        <w:right w:val="none" w:sz="0" w:space="0" w:color="auto"/>
      </w:divBdr>
    </w:div>
    <w:div w:id="1361127275">
      <w:bodyDiv w:val="1"/>
      <w:marLeft w:val="0"/>
      <w:marRight w:val="0"/>
      <w:marTop w:val="0"/>
      <w:marBottom w:val="0"/>
      <w:divBdr>
        <w:top w:val="none" w:sz="0" w:space="0" w:color="auto"/>
        <w:left w:val="none" w:sz="0" w:space="0" w:color="auto"/>
        <w:bottom w:val="none" w:sz="0" w:space="0" w:color="auto"/>
        <w:right w:val="none" w:sz="0" w:space="0" w:color="auto"/>
      </w:divBdr>
    </w:div>
    <w:div w:id="1381905219">
      <w:bodyDiv w:val="1"/>
      <w:marLeft w:val="0"/>
      <w:marRight w:val="0"/>
      <w:marTop w:val="0"/>
      <w:marBottom w:val="0"/>
      <w:divBdr>
        <w:top w:val="none" w:sz="0" w:space="0" w:color="auto"/>
        <w:left w:val="none" w:sz="0" w:space="0" w:color="auto"/>
        <w:bottom w:val="none" w:sz="0" w:space="0" w:color="auto"/>
        <w:right w:val="none" w:sz="0" w:space="0" w:color="auto"/>
      </w:divBdr>
      <w:divsChild>
        <w:div w:id="1200388951">
          <w:marLeft w:val="0"/>
          <w:marRight w:val="0"/>
          <w:marTop w:val="0"/>
          <w:marBottom w:val="0"/>
          <w:divBdr>
            <w:top w:val="none" w:sz="0" w:space="0" w:color="auto"/>
            <w:left w:val="none" w:sz="0" w:space="0" w:color="auto"/>
            <w:bottom w:val="none" w:sz="0" w:space="0" w:color="auto"/>
            <w:right w:val="none" w:sz="0" w:space="0" w:color="auto"/>
          </w:divBdr>
          <w:divsChild>
            <w:div w:id="596327253">
              <w:marLeft w:val="0"/>
              <w:marRight w:val="0"/>
              <w:marTop w:val="0"/>
              <w:marBottom w:val="0"/>
              <w:divBdr>
                <w:top w:val="none" w:sz="0" w:space="0" w:color="auto"/>
                <w:left w:val="none" w:sz="0" w:space="0" w:color="auto"/>
                <w:bottom w:val="none" w:sz="0" w:space="0" w:color="auto"/>
                <w:right w:val="none" w:sz="0" w:space="0" w:color="auto"/>
              </w:divBdr>
              <w:divsChild>
                <w:div w:id="1952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396">
      <w:bodyDiv w:val="1"/>
      <w:marLeft w:val="0"/>
      <w:marRight w:val="0"/>
      <w:marTop w:val="0"/>
      <w:marBottom w:val="0"/>
      <w:divBdr>
        <w:top w:val="none" w:sz="0" w:space="0" w:color="auto"/>
        <w:left w:val="none" w:sz="0" w:space="0" w:color="auto"/>
        <w:bottom w:val="none" w:sz="0" w:space="0" w:color="auto"/>
        <w:right w:val="none" w:sz="0" w:space="0" w:color="auto"/>
      </w:divBdr>
    </w:div>
    <w:div w:id="1398867338">
      <w:bodyDiv w:val="1"/>
      <w:marLeft w:val="0"/>
      <w:marRight w:val="0"/>
      <w:marTop w:val="0"/>
      <w:marBottom w:val="0"/>
      <w:divBdr>
        <w:top w:val="none" w:sz="0" w:space="0" w:color="auto"/>
        <w:left w:val="none" w:sz="0" w:space="0" w:color="auto"/>
        <w:bottom w:val="none" w:sz="0" w:space="0" w:color="auto"/>
        <w:right w:val="none" w:sz="0" w:space="0" w:color="auto"/>
      </w:divBdr>
      <w:divsChild>
        <w:div w:id="1447625383">
          <w:marLeft w:val="0"/>
          <w:marRight w:val="0"/>
          <w:marTop w:val="0"/>
          <w:marBottom w:val="0"/>
          <w:divBdr>
            <w:top w:val="none" w:sz="0" w:space="0" w:color="auto"/>
            <w:left w:val="none" w:sz="0" w:space="0" w:color="auto"/>
            <w:bottom w:val="none" w:sz="0" w:space="0" w:color="auto"/>
            <w:right w:val="none" w:sz="0" w:space="0" w:color="auto"/>
          </w:divBdr>
          <w:divsChild>
            <w:div w:id="470175975">
              <w:marLeft w:val="0"/>
              <w:marRight w:val="0"/>
              <w:marTop w:val="0"/>
              <w:marBottom w:val="0"/>
              <w:divBdr>
                <w:top w:val="none" w:sz="0" w:space="0" w:color="auto"/>
                <w:left w:val="none" w:sz="0" w:space="0" w:color="auto"/>
                <w:bottom w:val="none" w:sz="0" w:space="0" w:color="auto"/>
                <w:right w:val="none" w:sz="0" w:space="0" w:color="auto"/>
              </w:divBdr>
            </w:div>
            <w:div w:id="12619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304">
      <w:bodyDiv w:val="1"/>
      <w:marLeft w:val="0"/>
      <w:marRight w:val="0"/>
      <w:marTop w:val="0"/>
      <w:marBottom w:val="0"/>
      <w:divBdr>
        <w:top w:val="none" w:sz="0" w:space="0" w:color="auto"/>
        <w:left w:val="none" w:sz="0" w:space="0" w:color="auto"/>
        <w:bottom w:val="none" w:sz="0" w:space="0" w:color="auto"/>
        <w:right w:val="none" w:sz="0" w:space="0" w:color="auto"/>
      </w:divBdr>
    </w:div>
    <w:div w:id="1433234494">
      <w:bodyDiv w:val="1"/>
      <w:marLeft w:val="0"/>
      <w:marRight w:val="0"/>
      <w:marTop w:val="0"/>
      <w:marBottom w:val="0"/>
      <w:divBdr>
        <w:top w:val="none" w:sz="0" w:space="0" w:color="auto"/>
        <w:left w:val="none" w:sz="0" w:space="0" w:color="auto"/>
        <w:bottom w:val="none" w:sz="0" w:space="0" w:color="auto"/>
        <w:right w:val="none" w:sz="0" w:space="0" w:color="auto"/>
      </w:divBdr>
    </w:div>
    <w:div w:id="1455755397">
      <w:bodyDiv w:val="1"/>
      <w:marLeft w:val="0"/>
      <w:marRight w:val="0"/>
      <w:marTop w:val="0"/>
      <w:marBottom w:val="0"/>
      <w:divBdr>
        <w:top w:val="none" w:sz="0" w:space="0" w:color="auto"/>
        <w:left w:val="none" w:sz="0" w:space="0" w:color="auto"/>
        <w:bottom w:val="none" w:sz="0" w:space="0" w:color="auto"/>
        <w:right w:val="none" w:sz="0" w:space="0" w:color="auto"/>
      </w:divBdr>
    </w:div>
    <w:div w:id="1471434165">
      <w:bodyDiv w:val="1"/>
      <w:marLeft w:val="0"/>
      <w:marRight w:val="0"/>
      <w:marTop w:val="0"/>
      <w:marBottom w:val="0"/>
      <w:divBdr>
        <w:top w:val="none" w:sz="0" w:space="0" w:color="auto"/>
        <w:left w:val="none" w:sz="0" w:space="0" w:color="auto"/>
        <w:bottom w:val="none" w:sz="0" w:space="0" w:color="auto"/>
        <w:right w:val="none" w:sz="0" w:space="0" w:color="auto"/>
      </w:divBdr>
    </w:div>
    <w:div w:id="1473719381">
      <w:bodyDiv w:val="1"/>
      <w:marLeft w:val="0"/>
      <w:marRight w:val="0"/>
      <w:marTop w:val="0"/>
      <w:marBottom w:val="0"/>
      <w:divBdr>
        <w:top w:val="none" w:sz="0" w:space="0" w:color="auto"/>
        <w:left w:val="none" w:sz="0" w:space="0" w:color="auto"/>
        <w:bottom w:val="none" w:sz="0" w:space="0" w:color="auto"/>
        <w:right w:val="none" w:sz="0" w:space="0" w:color="auto"/>
      </w:divBdr>
    </w:div>
    <w:div w:id="1479104117">
      <w:bodyDiv w:val="1"/>
      <w:marLeft w:val="0"/>
      <w:marRight w:val="0"/>
      <w:marTop w:val="0"/>
      <w:marBottom w:val="0"/>
      <w:divBdr>
        <w:top w:val="none" w:sz="0" w:space="0" w:color="auto"/>
        <w:left w:val="none" w:sz="0" w:space="0" w:color="auto"/>
        <w:bottom w:val="none" w:sz="0" w:space="0" w:color="auto"/>
        <w:right w:val="none" w:sz="0" w:space="0" w:color="auto"/>
      </w:divBdr>
    </w:div>
    <w:div w:id="1481188634">
      <w:bodyDiv w:val="1"/>
      <w:marLeft w:val="0"/>
      <w:marRight w:val="0"/>
      <w:marTop w:val="0"/>
      <w:marBottom w:val="0"/>
      <w:divBdr>
        <w:top w:val="none" w:sz="0" w:space="0" w:color="auto"/>
        <w:left w:val="none" w:sz="0" w:space="0" w:color="auto"/>
        <w:bottom w:val="none" w:sz="0" w:space="0" w:color="auto"/>
        <w:right w:val="none" w:sz="0" w:space="0" w:color="auto"/>
      </w:divBdr>
    </w:div>
    <w:div w:id="1482890682">
      <w:bodyDiv w:val="1"/>
      <w:marLeft w:val="0"/>
      <w:marRight w:val="0"/>
      <w:marTop w:val="0"/>
      <w:marBottom w:val="0"/>
      <w:divBdr>
        <w:top w:val="none" w:sz="0" w:space="0" w:color="auto"/>
        <w:left w:val="none" w:sz="0" w:space="0" w:color="auto"/>
        <w:bottom w:val="none" w:sz="0" w:space="0" w:color="auto"/>
        <w:right w:val="none" w:sz="0" w:space="0" w:color="auto"/>
      </w:divBdr>
    </w:div>
    <w:div w:id="1503272946">
      <w:bodyDiv w:val="1"/>
      <w:marLeft w:val="0"/>
      <w:marRight w:val="0"/>
      <w:marTop w:val="0"/>
      <w:marBottom w:val="0"/>
      <w:divBdr>
        <w:top w:val="none" w:sz="0" w:space="0" w:color="auto"/>
        <w:left w:val="none" w:sz="0" w:space="0" w:color="auto"/>
        <w:bottom w:val="none" w:sz="0" w:space="0" w:color="auto"/>
        <w:right w:val="none" w:sz="0" w:space="0" w:color="auto"/>
      </w:divBdr>
    </w:div>
    <w:div w:id="1512328681">
      <w:bodyDiv w:val="1"/>
      <w:marLeft w:val="0"/>
      <w:marRight w:val="0"/>
      <w:marTop w:val="0"/>
      <w:marBottom w:val="0"/>
      <w:divBdr>
        <w:top w:val="none" w:sz="0" w:space="0" w:color="auto"/>
        <w:left w:val="none" w:sz="0" w:space="0" w:color="auto"/>
        <w:bottom w:val="none" w:sz="0" w:space="0" w:color="auto"/>
        <w:right w:val="none" w:sz="0" w:space="0" w:color="auto"/>
      </w:divBdr>
    </w:div>
    <w:div w:id="1516505348">
      <w:bodyDiv w:val="1"/>
      <w:marLeft w:val="0"/>
      <w:marRight w:val="0"/>
      <w:marTop w:val="0"/>
      <w:marBottom w:val="0"/>
      <w:divBdr>
        <w:top w:val="none" w:sz="0" w:space="0" w:color="auto"/>
        <w:left w:val="none" w:sz="0" w:space="0" w:color="auto"/>
        <w:bottom w:val="none" w:sz="0" w:space="0" w:color="auto"/>
        <w:right w:val="none" w:sz="0" w:space="0" w:color="auto"/>
      </w:divBdr>
    </w:div>
    <w:div w:id="1537809405">
      <w:bodyDiv w:val="1"/>
      <w:marLeft w:val="0"/>
      <w:marRight w:val="0"/>
      <w:marTop w:val="0"/>
      <w:marBottom w:val="0"/>
      <w:divBdr>
        <w:top w:val="none" w:sz="0" w:space="0" w:color="auto"/>
        <w:left w:val="none" w:sz="0" w:space="0" w:color="auto"/>
        <w:bottom w:val="none" w:sz="0" w:space="0" w:color="auto"/>
        <w:right w:val="none" w:sz="0" w:space="0" w:color="auto"/>
      </w:divBdr>
    </w:div>
    <w:div w:id="1544368399">
      <w:bodyDiv w:val="1"/>
      <w:marLeft w:val="0"/>
      <w:marRight w:val="0"/>
      <w:marTop w:val="0"/>
      <w:marBottom w:val="0"/>
      <w:divBdr>
        <w:top w:val="none" w:sz="0" w:space="0" w:color="auto"/>
        <w:left w:val="none" w:sz="0" w:space="0" w:color="auto"/>
        <w:bottom w:val="none" w:sz="0" w:space="0" w:color="auto"/>
        <w:right w:val="none" w:sz="0" w:space="0" w:color="auto"/>
      </w:divBdr>
    </w:div>
    <w:div w:id="1552228794">
      <w:bodyDiv w:val="1"/>
      <w:marLeft w:val="0"/>
      <w:marRight w:val="0"/>
      <w:marTop w:val="0"/>
      <w:marBottom w:val="0"/>
      <w:divBdr>
        <w:top w:val="none" w:sz="0" w:space="0" w:color="auto"/>
        <w:left w:val="none" w:sz="0" w:space="0" w:color="auto"/>
        <w:bottom w:val="none" w:sz="0" w:space="0" w:color="auto"/>
        <w:right w:val="none" w:sz="0" w:space="0" w:color="auto"/>
      </w:divBdr>
    </w:div>
    <w:div w:id="1559390371">
      <w:bodyDiv w:val="1"/>
      <w:marLeft w:val="0"/>
      <w:marRight w:val="0"/>
      <w:marTop w:val="0"/>
      <w:marBottom w:val="0"/>
      <w:divBdr>
        <w:top w:val="none" w:sz="0" w:space="0" w:color="auto"/>
        <w:left w:val="none" w:sz="0" w:space="0" w:color="auto"/>
        <w:bottom w:val="none" w:sz="0" w:space="0" w:color="auto"/>
        <w:right w:val="none" w:sz="0" w:space="0" w:color="auto"/>
      </w:divBdr>
    </w:div>
    <w:div w:id="1587307238">
      <w:bodyDiv w:val="1"/>
      <w:marLeft w:val="0"/>
      <w:marRight w:val="0"/>
      <w:marTop w:val="0"/>
      <w:marBottom w:val="0"/>
      <w:divBdr>
        <w:top w:val="none" w:sz="0" w:space="0" w:color="auto"/>
        <w:left w:val="none" w:sz="0" w:space="0" w:color="auto"/>
        <w:bottom w:val="none" w:sz="0" w:space="0" w:color="auto"/>
        <w:right w:val="none" w:sz="0" w:space="0" w:color="auto"/>
      </w:divBdr>
    </w:div>
    <w:div w:id="1588155649">
      <w:bodyDiv w:val="1"/>
      <w:marLeft w:val="0"/>
      <w:marRight w:val="0"/>
      <w:marTop w:val="0"/>
      <w:marBottom w:val="0"/>
      <w:divBdr>
        <w:top w:val="none" w:sz="0" w:space="0" w:color="auto"/>
        <w:left w:val="none" w:sz="0" w:space="0" w:color="auto"/>
        <w:bottom w:val="none" w:sz="0" w:space="0" w:color="auto"/>
        <w:right w:val="none" w:sz="0" w:space="0" w:color="auto"/>
      </w:divBdr>
    </w:div>
    <w:div w:id="1596938590">
      <w:bodyDiv w:val="1"/>
      <w:marLeft w:val="0"/>
      <w:marRight w:val="0"/>
      <w:marTop w:val="0"/>
      <w:marBottom w:val="0"/>
      <w:divBdr>
        <w:top w:val="none" w:sz="0" w:space="0" w:color="auto"/>
        <w:left w:val="none" w:sz="0" w:space="0" w:color="auto"/>
        <w:bottom w:val="none" w:sz="0" w:space="0" w:color="auto"/>
        <w:right w:val="none" w:sz="0" w:space="0" w:color="auto"/>
      </w:divBdr>
    </w:div>
    <w:div w:id="1621691185">
      <w:bodyDiv w:val="1"/>
      <w:marLeft w:val="0"/>
      <w:marRight w:val="0"/>
      <w:marTop w:val="0"/>
      <w:marBottom w:val="0"/>
      <w:divBdr>
        <w:top w:val="none" w:sz="0" w:space="0" w:color="auto"/>
        <w:left w:val="none" w:sz="0" w:space="0" w:color="auto"/>
        <w:bottom w:val="none" w:sz="0" w:space="0" w:color="auto"/>
        <w:right w:val="none" w:sz="0" w:space="0" w:color="auto"/>
      </w:divBdr>
    </w:div>
    <w:div w:id="1621952827">
      <w:bodyDiv w:val="1"/>
      <w:marLeft w:val="0"/>
      <w:marRight w:val="0"/>
      <w:marTop w:val="0"/>
      <w:marBottom w:val="0"/>
      <w:divBdr>
        <w:top w:val="none" w:sz="0" w:space="0" w:color="auto"/>
        <w:left w:val="none" w:sz="0" w:space="0" w:color="auto"/>
        <w:bottom w:val="none" w:sz="0" w:space="0" w:color="auto"/>
        <w:right w:val="none" w:sz="0" w:space="0" w:color="auto"/>
      </w:divBdr>
    </w:div>
    <w:div w:id="1627849200">
      <w:bodyDiv w:val="1"/>
      <w:marLeft w:val="0"/>
      <w:marRight w:val="0"/>
      <w:marTop w:val="0"/>
      <w:marBottom w:val="0"/>
      <w:divBdr>
        <w:top w:val="none" w:sz="0" w:space="0" w:color="auto"/>
        <w:left w:val="none" w:sz="0" w:space="0" w:color="auto"/>
        <w:bottom w:val="none" w:sz="0" w:space="0" w:color="auto"/>
        <w:right w:val="none" w:sz="0" w:space="0" w:color="auto"/>
      </w:divBdr>
    </w:div>
    <w:div w:id="1637836663">
      <w:bodyDiv w:val="1"/>
      <w:marLeft w:val="0"/>
      <w:marRight w:val="0"/>
      <w:marTop w:val="0"/>
      <w:marBottom w:val="0"/>
      <w:divBdr>
        <w:top w:val="none" w:sz="0" w:space="0" w:color="auto"/>
        <w:left w:val="none" w:sz="0" w:space="0" w:color="auto"/>
        <w:bottom w:val="none" w:sz="0" w:space="0" w:color="auto"/>
        <w:right w:val="none" w:sz="0" w:space="0" w:color="auto"/>
      </w:divBdr>
    </w:div>
    <w:div w:id="1638878746">
      <w:bodyDiv w:val="1"/>
      <w:marLeft w:val="0"/>
      <w:marRight w:val="0"/>
      <w:marTop w:val="0"/>
      <w:marBottom w:val="0"/>
      <w:divBdr>
        <w:top w:val="none" w:sz="0" w:space="0" w:color="auto"/>
        <w:left w:val="none" w:sz="0" w:space="0" w:color="auto"/>
        <w:bottom w:val="none" w:sz="0" w:space="0" w:color="auto"/>
        <w:right w:val="none" w:sz="0" w:space="0" w:color="auto"/>
      </w:divBdr>
    </w:div>
    <w:div w:id="1642340668">
      <w:bodyDiv w:val="1"/>
      <w:marLeft w:val="0"/>
      <w:marRight w:val="0"/>
      <w:marTop w:val="0"/>
      <w:marBottom w:val="0"/>
      <w:divBdr>
        <w:top w:val="none" w:sz="0" w:space="0" w:color="auto"/>
        <w:left w:val="none" w:sz="0" w:space="0" w:color="auto"/>
        <w:bottom w:val="none" w:sz="0" w:space="0" w:color="auto"/>
        <w:right w:val="none" w:sz="0" w:space="0" w:color="auto"/>
      </w:divBdr>
    </w:div>
    <w:div w:id="1704331427">
      <w:bodyDiv w:val="1"/>
      <w:marLeft w:val="0"/>
      <w:marRight w:val="0"/>
      <w:marTop w:val="0"/>
      <w:marBottom w:val="0"/>
      <w:divBdr>
        <w:top w:val="none" w:sz="0" w:space="0" w:color="auto"/>
        <w:left w:val="none" w:sz="0" w:space="0" w:color="auto"/>
        <w:bottom w:val="none" w:sz="0" w:space="0" w:color="auto"/>
        <w:right w:val="none" w:sz="0" w:space="0" w:color="auto"/>
      </w:divBdr>
    </w:div>
    <w:div w:id="1705864755">
      <w:bodyDiv w:val="1"/>
      <w:marLeft w:val="0"/>
      <w:marRight w:val="0"/>
      <w:marTop w:val="0"/>
      <w:marBottom w:val="0"/>
      <w:divBdr>
        <w:top w:val="none" w:sz="0" w:space="0" w:color="auto"/>
        <w:left w:val="none" w:sz="0" w:space="0" w:color="auto"/>
        <w:bottom w:val="none" w:sz="0" w:space="0" w:color="auto"/>
        <w:right w:val="none" w:sz="0" w:space="0" w:color="auto"/>
      </w:divBdr>
    </w:div>
    <w:div w:id="1718970100">
      <w:bodyDiv w:val="1"/>
      <w:marLeft w:val="0"/>
      <w:marRight w:val="0"/>
      <w:marTop w:val="0"/>
      <w:marBottom w:val="0"/>
      <w:divBdr>
        <w:top w:val="none" w:sz="0" w:space="0" w:color="auto"/>
        <w:left w:val="none" w:sz="0" w:space="0" w:color="auto"/>
        <w:bottom w:val="none" w:sz="0" w:space="0" w:color="auto"/>
        <w:right w:val="none" w:sz="0" w:space="0" w:color="auto"/>
      </w:divBdr>
    </w:div>
    <w:div w:id="1727875070">
      <w:bodyDiv w:val="1"/>
      <w:marLeft w:val="0"/>
      <w:marRight w:val="0"/>
      <w:marTop w:val="0"/>
      <w:marBottom w:val="0"/>
      <w:divBdr>
        <w:top w:val="none" w:sz="0" w:space="0" w:color="auto"/>
        <w:left w:val="none" w:sz="0" w:space="0" w:color="auto"/>
        <w:bottom w:val="none" w:sz="0" w:space="0" w:color="auto"/>
        <w:right w:val="none" w:sz="0" w:space="0" w:color="auto"/>
      </w:divBdr>
    </w:div>
    <w:div w:id="1762530990">
      <w:bodyDiv w:val="1"/>
      <w:marLeft w:val="0"/>
      <w:marRight w:val="0"/>
      <w:marTop w:val="0"/>
      <w:marBottom w:val="0"/>
      <w:divBdr>
        <w:top w:val="none" w:sz="0" w:space="0" w:color="auto"/>
        <w:left w:val="none" w:sz="0" w:space="0" w:color="auto"/>
        <w:bottom w:val="none" w:sz="0" w:space="0" w:color="auto"/>
        <w:right w:val="none" w:sz="0" w:space="0" w:color="auto"/>
      </w:divBdr>
    </w:div>
    <w:div w:id="1763909359">
      <w:bodyDiv w:val="1"/>
      <w:marLeft w:val="0"/>
      <w:marRight w:val="0"/>
      <w:marTop w:val="0"/>
      <w:marBottom w:val="0"/>
      <w:divBdr>
        <w:top w:val="none" w:sz="0" w:space="0" w:color="auto"/>
        <w:left w:val="none" w:sz="0" w:space="0" w:color="auto"/>
        <w:bottom w:val="none" w:sz="0" w:space="0" w:color="auto"/>
        <w:right w:val="none" w:sz="0" w:space="0" w:color="auto"/>
      </w:divBdr>
    </w:div>
    <w:div w:id="1777165605">
      <w:bodyDiv w:val="1"/>
      <w:marLeft w:val="0"/>
      <w:marRight w:val="0"/>
      <w:marTop w:val="0"/>
      <w:marBottom w:val="0"/>
      <w:divBdr>
        <w:top w:val="none" w:sz="0" w:space="0" w:color="auto"/>
        <w:left w:val="none" w:sz="0" w:space="0" w:color="auto"/>
        <w:bottom w:val="none" w:sz="0" w:space="0" w:color="auto"/>
        <w:right w:val="none" w:sz="0" w:space="0" w:color="auto"/>
      </w:divBdr>
    </w:div>
    <w:div w:id="1780831153">
      <w:bodyDiv w:val="1"/>
      <w:marLeft w:val="0"/>
      <w:marRight w:val="0"/>
      <w:marTop w:val="0"/>
      <w:marBottom w:val="0"/>
      <w:divBdr>
        <w:top w:val="none" w:sz="0" w:space="0" w:color="auto"/>
        <w:left w:val="none" w:sz="0" w:space="0" w:color="auto"/>
        <w:bottom w:val="none" w:sz="0" w:space="0" w:color="auto"/>
        <w:right w:val="none" w:sz="0" w:space="0" w:color="auto"/>
      </w:divBdr>
    </w:div>
    <w:div w:id="1801920337">
      <w:bodyDiv w:val="1"/>
      <w:marLeft w:val="0"/>
      <w:marRight w:val="0"/>
      <w:marTop w:val="0"/>
      <w:marBottom w:val="0"/>
      <w:divBdr>
        <w:top w:val="none" w:sz="0" w:space="0" w:color="auto"/>
        <w:left w:val="none" w:sz="0" w:space="0" w:color="auto"/>
        <w:bottom w:val="none" w:sz="0" w:space="0" w:color="auto"/>
        <w:right w:val="none" w:sz="0" w:space="0" w:color="auto"/>
      </w:divBdr>
    </w:div>
    <w:div w:id="1804301437">
      <w:bodyDiv w:val="1"/>
      <w:marLeft w:val="0"/>
      <w:marRight w:val="0"/>
      <w:marTop w:val="0"/>
      <w:marBottom w:val="0"/>
      <w:divBdr>
        <w:top w:val="none" w:sz="0" w:space="0" w:color="auto"/>
        <w:left w:val="none" w:sz="0" w:space="0" w:color="auto"/>
        <w:bottom w:val="none" w:sz="0" w:space="0" w:color="auto"/>
        <w:right w:val="none" w:sz="0" w:space="0" w:color="auto"/>
      </w:divBdr>
    </w:div>
    <w:div w:id="1815558265">
      <w:bodyDiv w:val="1"/>
      <w:marLeft w:val="0"/>
      <w:marRight w:val="0"/>
      <w:marTop w:val="0"/>
      <w:marBottom w:val="0"/>
      <w:divBdr>
        <w:top w:val="none" w:sz="0" w:space="0" w:color="auto"/>
        <w:left w:val="none" w:sz="0" w:space="0" w:color="auto"/>
        <w:bottom w:val="none" w:sz="0" w:space="0" w:color="auto"/>
        <w:right w:val="none" w:sz="0" w:space="0" w:color="auto"/>
      </w:divBdr>
    </w:div>
    <w:div w:id="1817793855">
      <w:bodyDiv w:val="1"/>
      <w:marLeft w:val="0"/>
      <w:marRight w:val="0"/>
      <w:marTop w:val="0"/>
      <w:marBottom w:val="0"/>
      <w:divBdr>
        <w:top w:val="none" w:sz="0" w:space="0" w:color="auto"/>
        <w:left w:val="none" w:sz="0" w:space="0" w:color="auto"/>
        <w:bottom w:val="none" w:sz="0" w:space="0" w:color="auto"/>
        <w:right w:val="none" w:sz="0" w:space="0" w:color="auto"/>
      </w:divBdr>
    </w:div>
    <w:div w:id="1822305100">
      <w:bodyDiv w:val="1"/>
      <w:marLeft w:val="0"/>
      <w:marRight w:val="0"/>
      <w:marTop w:val="0"/>
      <w:marBottom w:val="0"/>
      <w:divBdr>
        <w:top w:val="none" w:sz="0" w:space="0" w:color="auto"/>
        <w:left w:val="none" w:sz="0" w:space="0" w:color="auto"/>
        <w:bottom w:val="none" w:sz="0" w:space="0" w:color="auto"/>
        <w:right w:val="none" w:sz="0" w:space="0" w:color="auto"/>
      </w:divBdr>
    </w:div>
    <w:div w:id="1824005720">
      <w:bodyDiv w:val="1"/>
      <w:marLeft w:val="0"/>
      <w:marRight w:val="0"/>
      <w:marTop w:val="0"/>
      <w:marBottom w:val="0"/>
      <w:divBdr>
        <w:top w:val="none" w:sz="0" w:space="0" w:color="auto"/>
        <w:left w:val="none" w:sz="0" w:space="0" w:color="auto"/>
        <w:bottom w:val="none" w:sz="0" w:space="0" w:color="auto"/>
        <w:right w:val="none" w:sz="0" w:space="0" w:color="auto"/>
      </w:divBdr>
    </w:div>
    <w:div w:id="1827043844">
      <w:bodyDiv w:val="1"/>
      <w:marLeft w:val="0"/>
      <w:marRight w:val="0"/>
      <w:marTop w:val="0"/>
      <w:marBottom w:val="0"/>
      <w:divBdr>
        <w:top w:val="none" w:sz="0" w:space="0" w:color="auto"/>
        <w:left w:val="none" w:sz="0" w:space="0" w:color="auto"/>
        <w:bottom w:val="none" w:sz="0" w:space="0" w:color="auto"/>
        <w:right w:val="none" w:sz="0" w:space="0" w:color="auto"/>
      </w:divBdr>
    </w:div>
    <w:div w:id="1827866368">
      <w:bodyDiv w:val="1"/>
      <w:marLeft w:val="0"/>
      <w:marRight w:val="0"/>
      <w:marTop w:val="0"/>
      <w:marBottom w:val="0"/>
      <w:divBdr>
        <w:top w:val="none" w:sz="0" w:space="0" w:color="auto"/>
        <w:left w:val="none" w:sz="0" w:space="0" w:color="auto"/>
        <w:bottom w:val="none" w:sz="0" w:space="0" w:color="auto"/>
        <w:right w:val="none" w:sz="0" w:space="0" w:color="auto"/>
      </w:divBdr>
    </w:div>
    <w:div w:id="1841462601">
      <w:bodyDiv w:val="1"/>
      <w:marLeft w:val="0"/>
      <w:marRight w:val="0"/>
      <w:marTop w:val="0"/>
      <w:marBottom w:val="0"/>
      <w:divBdr>
        <w:top w:val="none" w:sz="0" w:space="0" w:color="auto"/>
        <w:left w:val="none" w:sz="0" w:space="0" w:color="auto"/>
        <w:bottom w:val="none" w:sz="0" w:space="0" w:color="auto"/>
        <w:right w:val="none" w:sz="0" w:space="0" w:color="auto"/>
      </w:divBdr>
      <w:divsChild>
        <w:div w:id="115679200">
          <w:marLeft w:val="0"/>
          <w:marRight w:val="0"/>
          <w:marTop w:val="0"/>
          <w:marBottom w:val="0"/>
          <w:divBdr>
            <w:top w:val="none" w:sz="0" w:space="0" w:color="auto"/>
            <w:left w:val="none" w:sz="0" w:space="0" w:color="auto"/>
            <w:bottom w:val="none" w:sz="0" w:space="0" w:color="auto"/>
            <w:right w:val="none" w:sz="0" w:space="0" w:color="auto"/>
          </w:divBdr>
          <w:divsChild>
            <w:div w:id="1028792616">
              <w:marLeft w:val="0"/>
              <w:marRight w:val="0"/>
              <w:marTop w:val="0"/>
              <w:marBottom w:val="0"/>
              <w:divBdr>
                <w:top w:val="none" w:sz="0" w:space="0" w:color="auto"/>
                <w:left w:val="none" w:sz="0" w:space="0" w:color="auto"/>
                <w:bottom w:val="none" w:sz="0" w:space="0" w:color="auto"/>
                <w:right w:val="none" w:sz="0" w:space="0" w:color="auto"/>
              </w:divBdr>
              <w:divsChild>
                <w:div w:id="17614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8014">
      <w:bodyDiv w:val="1"/>
      <w:marLeft w:val="0"/>
      <w:marRight w:val="0"/>
      <w:marTop w:val="0"/>
      <w:marBottom w:val="0"/>
      <w:divBdr>
        <w:top w:val="none" w:sz="0" w:space="0" w:color="auto"/>
        <w:left w:val="none" w:sz="0" w:space="0" w:color="auto"/>
        <w:bottom w:val="none" w:sz="0" w:space="0" w:color="auto"/>
        <w:right w:val="none" w:sz="0" w:space="0" w:color="auto"/>
      </w:divBdr>
    </w:div>
    <w:div w:id="1860970188">
      <w:bodyDiv w:val="1"/>
      <w:marLeft w:val="0"/>
      <w:marRight w:val="0"/>
      <w:marTop w:val="0"/>
      <w:marBottom w:val="0"/>
      <w:divBdr>
        <w:top w:val="none" w:sz="0" w:space="0" w:color="auto"/>
        <w:left w:val="none" w:sz="0" w:space="0" w:color="auto"/>
        <w:bottom w:val="none" w:sz="0" w:space="0" w:color="auto"/>
        <w:right w:val="none" w:sz="0" w:space="0" w:color="auto"/>
      </w:divBdr>
    </w:div>
    <w:div w:id="1874224072">
      <w:bodyDiv w:val="1"/>
      <w:marLeft w:val="0"/>
      <w:marRight w:val="0"/>
      <w:marTop w:val="0"/>
      <w:marBottom w:val="0"/>
      <w:divBdr>
        <w:top w:val="none" w:sz="0" w:space="0" w:color="auto"/>
        <w:left w:val="none" w:sz="0" w:space="0" w:color="auto"/>
        <w:bottom w:val="none" w:sz="0" w:space="0" w:color="auto"/>
        <w:right w:val="none" w:sz="0" w:space="0" w:color="auto"/>
      </w:divBdr>
      <w:divsChild>
        <w:div w:id="1489710523">
          <w:marLeft w:val="547"/>
          <w:marRight w:val="0"/>
          <w:marTop w:val="0"/>
          <w:marBottom w:val="0"/>
          <w:divBdr>
            <w:top w:val="none" w:sz="0" w:space="0" w:color="auto"/>
            <w:left w:val="none" w:sz="0" w:space="0" w:color="auto"/>
            <w:bottom w:val="none" w:sz="0" w:space="0" w:color="auto"/>
            <w:right w:val="none" w:sz="0" w:space="0" w:color="auto"/>
          </w:divBdr>
        </w:div>
      </w:divsChild>
    </w:div>
    <w:div w:id="1883713325">
      <w:bodyDiv w:val="1"/>
      <w:marLeft w:val="0"/>
      <w:marRight w:val="0"/>
      <w:marTop w:val="0"/>
      <w:marBottom w:val="0"/>
      <w:divBdr>
        <w:top w:val="none" w:sz="0" w:space="0" w:color="auto"/>
        <w:left w:val="none" w:sz="0" w:space="0" w:color="auto"/>
        <w:bottom w:val="none" w:sz="0" w:space="0" w:color="auto"/>
        <w:right w:val="none" w:sz="0" w:space="0" w:color="auto"/>
      </w:divBdr>
    </w:div>
    <w:div w:id="1891570846">
      <w:bodyDiv w:val="1"/>
      <w:marLeft w:val="0"/>
      <w:marRight w:val="0"/>
      <w:marTop w:val="0"/>
      <w:marBottom w:val="0"/>
      <w:divBdr>
        <w:top w:val="none" w:sz="0" w:space="0" w:color="auto"/>
        <w:left w:val="none" w:sz="0" w:space="0" w:color="auto"/>
        <w:bottom w:val="none" w:sz="0" w:space="0" w:color="auto"/>
        <w:right w:val="none" w:sz="0" w:space="0" w:color="auto"/>
      </w:divBdr>
    </w:div>
    <w:div w:id="1894537590">
      <w:bodyDiv w:val="1"/>
      <w:marLeft w:val="0"/>
      <w:marRight w:val="0"/>
      <w:marTop w:val="0"/>
      <w:marBottom w:val="0"/>
      <w:divBdr>
        <w:top w:val="none" w:sz="0" w:space="0" w:color="auto"/>
        <w:left w:val="none" w:sz="0" w:space="0" w:color="auto"/>
        <w:bottom w:val="none" w:sz="0" w:space="0" w:color="auto"/>
        <w:right w:val="none" w:sz="0" w:space="0" w:color="auto"/>
      </w:divBdr>
    </w:div>
    <w:div w:id="1898741514">
      <w:bodyDiv w:val="1"/>
      <w:marLeft w:val="0"/>
      <w:marRight w:val="0"/>
      <w:marTop w:val="0"/>
      <w:marBottom w:val="0"/>
      <w:divBdr>
        <w:top w:val="none" w:sz="0" w:space="0" w:color="auto"/>
        <w:left w:val="none" w:sz="0" w:space="0" w:color="auto"/>
        <w:bottom w:val="none" w:sz="0" w:space="0" w:color="auto"/>
        <w:right w:val="none" w:sz="0" w:space="0" w:color="auto"/>
      </w:divBdr>
    </w:div>
    <w:div w:id="1930893349">
      <w:bodyDiv w:val="1"/>
      <w:marLeft w:val="0"/>
      <w:marRight w:val="0"/>
      <w:marTop w:val="0"/>
      <w:marBottom w:val="0"/>
      <w:divBdr>
        <w:top w:val="none" w:sz="0" w:space="0" w:color="auto"/>
        <w:left w:val="none" w:sz="0" w:space="0" w:color="auto"/>
        <w:bottom w:val="none" w:sz="0" w:space="0" w:color="auto"/>
        <w:right w:val="none" w:sz="0" w:space="0" w:color="auto"/>
      </w:divBdr>
    </w:div>
    <w:div w:id="1937592299">
      <w:bodyDiv w:val="1"/>
      <w:marLeft w:val="0"/>
      <w:marRight w:val="0"/>
      <w:marTop w:val="0"/>
      <w:marBottom w:val="0"/>
      <w:divBdr>
        <w:top w:val="none" w:sz="0" w:space="0" w:color="auto"/>
        <w:left w:val="none" w:sz="0" w:space="0" w:color="auto"/>
        <w:bottom w:val="none" w:sz="0" w:space="0" w:color="auto"/>
        <w:right w:val="none" w:sz="0" w:space="0" w:color="auto"/>
      </w:divBdr>
    </w:div>
    <w:div w:id="1939291689">
      <w:bodyDiv w:val="1"/>
      <w:marLeft w:val="0"/>
      <w:marRight w:val="0"/>
      <w:marTop w:val="0"/>
      <w:marBottom w:val="0"/>
      <w:divBdr>
        <w:top w:val="none" w:sz="0" w:space="0" w:color="auto"/>
        <w:left w:val="none" w:sz="0" w:space="0" w:color="auto"/>
        <w:bottom w:val="none" w:sz="0" w:space="0" w:color="auto"/>
        <w:right w:val="none" w:sz="0" w:space="0" w:color="auto"/>
      </w:divBdr>
    </w:div>
    <w:div w:id="1955869689">
      <w:bodyDiv w:val="1"/>
      <w:marLeft w:val="0"/>
      <w:marRight w:val="0"/>
      <w:marTop w:val="0"/>
      <w:marBottom w:val="0"/>
      <w:divBdr>
        <w:top w:val="none" w:sz="0" w:space="0" w:color="auto"/>
        <w:left w:val="none" w:sz="0" w:space="0" w:color="auto"/>
        <w:bottom w:val="none" w:sz="0" w:space="0" w:color="auto"/>
        <w:right w:val="none" w:sz="0" w:space="0" w:color="auto"/>
      </w:divBdr>
      <w:divsChild>
        <w:div w:id="1979605552">
          <w:marLeft w:val="0"/>
          <w:marRight w:val="0"/>
          <w:marTop w:val="0"/>
          <w:marBottom w:val="0"/>
          <w:divBdr>
            <w:top w:val="none" w:sz="0" w:space="0" w:color="auto"/>
            <w:left w:val="none" w:sz="0" w:space="0" w:color="auto"/>
            <w:bottom w:val="none" w:sz="0" w:space="0" w:color="auto"/>
            <w:right w:val="none" w:sz="0" w:space="0" w:color="auto"/>
          </w:divBdr>
          <w:divsChild>
            <w:div w:id="112139986">
              <w:marLeft w:val="0"/>
              <w:marRight w:val="0"/>
              <w:marTop w:val="0"/>
              <w:marBottom w:val="0"/>
              <w:divBdr>
                <w:top w:val="none" w:sz="0" w:space="0" w:color="auto"/>
                <w:left w:val="none" w:sz="0" w:space="0" w:color="auto"/>
                <w:bottom w:val="none" w:sz="0" w:space="0" w:color="auto"/>
                <w:right w:val="none" w:sz="0" w:space="0" w:color="auto"/>
              </w:divBdr>
              <w:divsChild>
                <w:div w:id="407386119">
                  <w:marLeft w:val="0"/>
                  <w:marRight w:val="0"/>
                  <w:marTop w:val="0"/>
                  <w:marBottom w:val="0"/>
                  <w:divBdr>
                    <w:top w:val="none" w:sz="0" w:space="0" w:color="auto"/>
                    <w:left w:val="none" w:sz="0" w:space="0" w:color="auto"/>
                    <w:bottom w:val="none" w:sz="0" w:space="0" w:color="auto"/>
                    <w:right w:val="none" w:sz="0" w:space="0" w:color="auto"/>
                  </w:divBdr>
                  <w:divsChild>
                    <w:div w:id="1313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6120">
      <w:bodyDiv w:val="1"/>
      <w:marLeft w:val="0"/>
      <w:marRight w:val="0"/>
      <w:marTop w:val="0"/>
      <w:marBottom w:val="0"/>
      <w:divBdr>
        <w:top w:val="none" w:sz="0" w:space="0" w:color="auto"/>
        <w:left w:val="none" w:sz="0" w:space="0" w:color="auto"/>
        <w:bottom w:val="none" w:sz="0" w:space="0" w:color="auto"/>
        <w:right w:val="none" w:sz="0" w:space="0" w:color="auto"/>
      </w:divBdr>
    </w:div>
    <w:div w:id="1969167652">
      <w:bodyDiv w:val="1"/>
      <w:marLeft w:val="0"/>
      <w:marRight w:val="0"/>
      <w:marTop w:val="0"/>
      <w:marBottom w:val="0"/>
      <w:divBdr>
        <w:top w:val="none" w:sz="0" w:space="0" w:color="auto"/>
        <w:left w:val="none" w:sz="0" w:space="0" w:color="auto"/>
        <w:bottom w:val="none" w:sz="0" w:space="0" w:color="auto"/>
        <w:right w:val="none" w:sz="0" w:space="0" w:color="auto"/>
      </w:divBdr>
    </w:div>
    <w:div w:id="1984693633">
      <w:bodyDiv w:val="1"/>
      <w:marLeft w:val="0"/>
      <w:marRight w:val="0"/>
      <w:marTop w:val="0"/>
      <w:marBottom w:val="0"/>
      <w:divBdr>
        <w:top w:val="none" w:sz="0" w:space="0" w:color="auto"/>
        <w:left w:val="none" w:sz="0" w:space="0" w:color="auto"/>
        <w:bottom w:val="none" w:sz="0" w:space="0" w:color="auto"/>
        <w:right w:val="none" w:sz="0" w:space="0" w:color="auto"/>
      </w:divBdr>
    </w:div>
    <w:div w:id="1984694661">
      <w:bodyDiv w:val="1"/>
      <w:marLeft w:val="0"/>
      <w:marRight w:val="0"/>
      <w:marTop w:val="0"/>
      <w:marBottom w:val="0"/>
      <w:divBdr>
        <w:top w:val="none" w:sz="0" w:space="0" w:color="auto"/>
        <w:left w:val="none" w:sz="0" w:space="0" w:color="auto"/>
        <w:bottom w:val="none" w:sz="0" w:space="0" w:color="auto"/>
        <w:right w:val="none" w:sz="0" w:space="0" w:color="auto"/>
      </w:divBdr>
    </w:div>
    <w:div w:id="1988582433">
      <w:bodyDiv w:val="1"/>
      <w:marLeft w:val="0"/>
      <w:marRight w:val="0"/>
      <w:marTop w:val="0"/>
      <w:marBottom w:val="0"/>
      <w:divBdr>
        <w:top w:val="none" w:sz="0" w:space="0" w:color="auto"/>
        <w:left w:val="none" w:sz="0" w:space="0" w:color="auto"/>
        <w:bottom w:val="none" w:sz="0" w:space="0" w:color="auto"/>
        <w:right w:val="none" w:sz="0" w:space="0" w:color="auto"/>
      </w:divBdr>
    </w:div>
    <w:div w:id="1992369873">
      <w:bodyDiv w:val="1"/>
      <w:marLeft w:val="0"/>
      <w:marRight w:val="0"/>
      <w:marTop w:val="0"/>
      <w:marBottom w:val="0"/>
      <w:divBdr>
        <w:top w:val="none" w:sz="0" w:space="0" w:color="auto"/>
        <w:left w:val="none" w:sz="0" w:space="0" w:color="auto"/>
        <w:bottom w:val="none" w:sz="0" w:space="0" w:color="auto"/>
        <w:right w:val="none" w:sz="0" w:space="0" w:color="auto"/>
      </w:divBdr>
    </w:div>
    <w:div w:id="2001040593">
      <w:bodyDiv w:val="1"/>
      <w:marLeft w:val="0"/>
      <w:marRight w:val="0"/>
      <w:marTop w:val="0"/>
      <w:marBottom w:val="0"/>
      <w:divBdr>
        <w:top w:val="none" w:sz="0" w:space="0" w:color="auto"/>
        <w:left w:val="none" w:sz="0" w:space="0" w:color="auto"/>
        <w:bottom w:val="none" w:sz="0" w:space="0" w:color="auto"/>
        <w:right w:val="none" w:sz="0" w:space="0" w:color="auto"/>
      </w:divBdr>
    </w:div>
    <w:div w:id="2020540482">
      <w:bodyDiv w:val="1"/>
      <w:marLeft w:val="0"/>
      <w:marRight w:val="0"/>
      <w:marTop w:val="0"/>
      <w:marBottom w:val="0"/>
      <w:divBdr>
        <w:top w:val="none" w:sz="0" w:space="0" w:color="auto"/>
        <w:left w:val="none" w:sz="0" w:space="0" w:color="auto"/>
        <w:bottom w:val="none" w:sz="0" w:space="0" w:color="auto"/>
        <w:right w:val="none" w:sz="0" w:space="0" w:color="auto"/>
      </w:divBdr>
    </w:div>
    <w:div w:id="2044204787">
      <w:bodyDiv w:val="1"/>
      <w:marLeft w:val="0"/>
      <w:marRight w:val="0"/>
      <w:marTop w:val="0"/>
      <w:marBottom w:val="0"/>
      <w:divBdr>
        <w:top w:val="none" w:sz="0" w:space="0" w:color="auto"/>
        <w:left w:val="none" w:sz="0" w:space="0" w:color="auto"/>
        <w:bottom w:val="none" w:sz="0" w:space="0" w:color="auto"/>
        <w:right w:val="none" w:sz="0" w:space="0" w:color="auto"/>
      </w:divBdr>
      <w:divsChild>
        <w:div w:id="758215968">
          <w:marLeft w:val="0"/>
          <w:marRight w:val="0"/>
          <w:marTop w:val="0"/>
          <w:marBottom w:val="0"/>
          <w:divBdr>
            <w:top w:val="none" w:sz="0" w:space="0" w:color="auto"/>
            <w:left w:val="none" w:sz="0" w:space="0" w:color="auto"/>
            <w:bottom w:val="none" w:sz="0" w:space="0" w:color="auto"/>
            <w:right w:val="none" w:sz="0" w:space="0" w:color="auto"/>
          </w:divBdr>
          <w:divsChild>
            <w:div w:id="902063392">
              <w:marLeft w:val="0"/>
              <w:marRight w:val="0"/>
              <w:marTop w:val="0"/>
              <w:marBottom w:val="0"/>
              <w:divBdr>
                <w:top w:val="none" w:sz="0" w:space="0" w:color="auto"/>
                <w:left w:val="none" w:sz="0" w:space="0" w:color="auto"/>
                <w:bottom w:val="none" w:sz="0" w:space="0" w:color="auto"/>
                <w:right w:val="none" w:sz="0" w:space="0" w:color="auto"/>
              </w:divBdr>
              <w:divsChild>
                <w:div w:id="20414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00127">
      <w:bodyDiv w:val="1"/>
      <w:marLeft w:val="0"/>
      <w:marRight w:val="0"/>
      <w:marTop w:val="0"/>
      <w:marBottom w:val="0"/>
      <w:divBdr>
        <w:top w:val="none" w:sz="0" w:space="0" w:color="auto"/>
        <w:left w:val="none" w:sz="0" w:space="0" w:color="auto"/>
        <w:bottom w:val="none" w:sz="0" w:space="0" w:color="auto"/>
        <w:right w:val="none" w:sz="0" w:space="0" w:color="auto"/>
      </w:divBdr>
    </w:div>
    <w:div w:id="2063677304">
      <w:bodyDiv w:val="1"/>
      <w:marLeft w:val="0"/>
      <w:marRight w:val="0"/>
      <w:marTop w:val="0"/>
      <w:marBottom w:val="0"/>
      <w:divBdr>
        <w:top w:val="none" w:sz="0" w:space="0" w:color="auto"/>
        <w:left w:val="none" w:sz="0" w:space="0" w:color="auto"/>
        <w:bottom w:val="none" w:sz="0" w:space="0" w:color="auto"/>
        <w:right w:val="none" w:sz="0" w:space="0" w:color="auto"/>
      </w:divBdr>
    </w:div>
    <w:div w:id="2073845145">
      <w:bodyDiv w:val="1"/>
      <w:marLeft w:val="0"/>
      <w:marRight w:val="0"/>
      <w:marTop w:val="0"/>
      <w:marBottom w:val="0"/>
      <w:divBdr>
        <w:top w:val="none" w:sz="0" w:space="0" w:color="auto"/>
        <w:left w:val="none" w:sz="0" w:space="0" w:color="auto"/>
        <w:bottom w:val="none" w:sz="0" w:space="0" w:color="auto"/>
        <w:right w:val="none" w:sz="0" w:space="0" w:color="auto"/>
      </w:divBdr>
    </w:div>
    <w:div w:id="2096895269">
      <w:bodyDiv w:val="1"/>
      <w:marLeft w:val="0"/>
      <w:marRight w:val="0"/>
      <w:marTop w:val="0"/>
      <w:marBottom w:val="0"/>
      <w:divBdr>
        <w:top w:val="none" w:sz="0" w:space="0" w:color="auto"/>
        <w:left w:val="none" w:sz="0" w:space="0" w:color="auto"/>
        <w:bottom w:val="none" w:sz="0" w:space="0" w:color="auto"/>
        <w:right w:val="none" w:sz="0" w:space="0" w:color="auto"/>
      </w:divBdr>
    </w:div>
    <w:div w:id="2102289353">
      <w:bodyDiv w:val="1"/>
      <w:marLeft w:val="0"/>
      <w:marRight w:val="0"/>
      <w:marTop w:val="0"/>
      <w:marBottom w:val="0"/>
      <w:divBdr>
        <w:top w:val="none" w:sz="0" w:space="0" w:color="auto"/>
        <w:left w:val="none" w:sz="0" w:space="0" w:color="auto"/>
        <w:bottom w:val="none" w:sz="0" w:space="0" w:color="auto"/>
        <w:right w:val="none" w:sz="0" w:space="0" w:color="auto"/>
      </w:divBdr>
    </w:div>
    <w:div w:id="2106145075">
      <w:bodyDiv w:val="1"/>
      <w:marLeft w:val="0"/>
      <w:marRight w:val="0"/>
      <w:marTop w:val="0"/>
      <w:marBottom w:val="0"/>
      <w:divBdr>
        <w:top w:val="none" w:sz="0" w:space="0" w:color="auto"/>
        <w:left w:val="none" w:sz="0" w:space="0" w:color="auto"/>
        <w:bottom w:val="none" w:sz="0" w:space="0" w:color="auto"/>
        <w:right w:val="none" w:sz="0" w:space="0" w:color="auto"/>
      </w:divBdr>
    </w:div>
    <w:div w:id="2108649475">
      <w:bodyDiv w:val="1"/>
      <w:marLeft w:val="0"/>
      <w:marRight w:val="0"/>
      <w:marTop w:val="0"/>
      <w:marBottom w:val="0"/>
      <w:divBdr>
        <w:top w:val="none" w:sz="0" w:space="0" w:color="auto"/>
        <w:left w:val="none" w:sz="0" w:space="0" w:color="auto"/>
        <w:bottom w:val="none" w:sz="0" w:space="0" w:color="auto"/>
        <w:right w:val="none" w:sz="0" w:space="0" w:color="auto"/>
      </w:divBdr>
    </w:div>
    <w:div w:id="21271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mailto:copyright@health.gov.au" TargetMode="External"/><Relationship Id="rId42" Type="http://schemas.openxmlformats.org/officeDocument/2006/relationships/footer" Target="footer9.xml"/><Relationship Id="rId47" Type="http://schemas.openxmlformats.org/officeDocument/2006/relationships/footer" Target="footer12.xml"/><Relationship Id="rId63" Type="http://schemas.openxmlformats.org/officeDocument/2006/relationships/hyperlink" Target="https://www.safeworkaustralia.gov.au/statistics-and-research/statistics" TargetMode="External"/><Relationship Id="rId68" Type="http://schemas.openxmlformats.org/officeDocument/2006/relationships/hyperlink" Target="https://www.aihw.gov.au/reports/injury/hospital-care-for-australian-sports-injury-2012-13/contents/table-of-contents" TargetMode="External"/><Relationship Id="rId84" Type="http://schemas.openxmlformats.org/officeDocument/2006/relationships/hyperlink" Target="https://www.safeworkaustralia.gov.au/system/files/documents/1909/national_return_to_work_strategy_2020-2030.pdf" TargetMode="External"/><Relationship Id="rId89" Type="http://schemas.openxmlformats.org/officeDocument/2006/relationships/header" Target="header13.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s://www.aihw.gov.au/reports/burden-of-disease/abds-2015-interactive-data-disease-burden/contents/burden-of-disease-in-australia" TargetMode="External"/><Relationship Id="rId37" Type="http://schemas.openxmlformats.org/officeDocument/2006/relationships/image" Target="media/image4.png"/><Relationship Id="rId53" Type="http://schemas.openxmlformats.org/officeDocument/2006/relationships/hyperlink" Target="https://www.naccho.org.au/about/aboriginal-health/definitions/" TargetMode="External"/><Relationship Id="rId58" Type="http://schemas.openxmlformats.org/officeDocument/2006/relationships/hyperlink" Target="https://www.aihw.gov.au/reports/burden-of-disease/abds-2015-interactive-data-disease-burden/contents/remoteness-areas" TargetMode="External"/><Relationship Id="rId74" Type="http://schemas.openxmlformats.org/officeDocument/2006/relationships/hyperlink" Target="https://roadsafety.transport.nsw.gov.au/downloads/gls.pdf" TargetMode="External"/><Relationship Id="rId79" Type="http://schemas.openxmlformats.org/officeDocument/2006/relationships/hyperlink" Target="https://webarchive.nla.gov.au/awa/20091015011519/http:/www.nphp.gov.au/publications/a_z.htm"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hyperlink" Target="https://www.aihw.gov.au/reports/life-expectancy-death/deaths-in-australia/contents/leading-causes-of-death" TargetMode="External"/><Relationship Id="rId35" Type="http://schemas.openxmlformats.org/officeDocument/2006/relationships/hyperlink" Target="https://www.safeworkaustralia.gov.au/statistics-and-research/cost-injury-and-illness-occupation" TargetMode="External"/><Relationship Id="rId43" Type="http://schemas.openxmlformats.org/officeDocument/2006/relationships/footer" Target="footer10.xml"/><Relationship Id="rId48" Type="http://schemas.openxmlformats.org/officeDocument/2006/relationships/chart" Target="charts/chart1.xml"/><Relationship Id="rId56" Type="http://schemas.openxmlformats.org/officeDocument/2006/relationships/hyperlink" Target="https://www.cbpatsisp.com.au/wp-content/uploads/2018/09/4th-September-EVALUATION-FRAMEWORK-FOR-INDIGENOUS-SUICIDE-PREVENTION-ACTIVITY-FOR-USE_-030920182.pdf" TargetMode="External"/><Relationship Id="rId64" Type="http://schemas.openxmlformats.org/officeDocument/2006/relationships/hyperlink" Target="https://www.aihw.gov.au/reports/older-people/older-australia-at-a-glance" TargetMode="External"/><Relationship Id="rId69" Type="http://schemas.openxmlformats.org/officeDocument/2006/relationships/hyperlink" Target="https://www.georgeinstitute.org.au/the-national-injury-prevention-strategy-2020-2030" TargetMode="External"/><Relationship Id="rId77" Type="http://schemas.openxmlformats.org/officeDocument/2006/relationships/hyperlink" Target="https://www.environment.gov.au/system/files/resources/3b44e21e-2a78-4809-87c7-a1386e350c29/files/national-climate-resilience-and-adaptation-strategy.pdf" TargetMode="Externa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yperlink" Target="https://www.infrastructureaustralia.gov.au/sites/default/files/2019-06/infrastructure_australia_assessment_framework_2018.pdf" TargetMode="External"/><Relationship Id="rId80" Type="http://schemas.openxmlformats.org/officeDocument/2006/relationships/hyperlink" Target="https://www1.health.gov.au/internet/main/publishing.nsf/Content/94813DA6B8F93C68CA257BF0001C11DB/$File/NatHealth-nov11.pdf" TargetMode="External"/><Relationship Id="rId85" Type="http://schemas.openxmlformats.org/officeDocument/2006/relationships/hyperlink" Target="http://www.coaghealthcouncil.gov.au/Portals/0/Fifth%20National%20Mental%20Health%20and%20Suicide%20Prevention%20Plan.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s://www.aihw.gov.au/reports/injury/trends-in-injury-deaths-australia-1999-00-to-2016/contents/summary" TargetMode="External"/><Relationship Id="rId38" Type="http://schemas.openxmlformats.org/officeDocument/2006/relationships/image" Target="media/image5.png"/><Relationship Id="rId46" Type="http://schemas.openxmlformats.org/officeDocument/2006/relationships/header" Target="header8.xml"/><Relationship Id="rId59" Type="http://schemas.openxmlformats.org/officeDocument/2006/relationships/hyperlink" Target="https://www.ruralhealth.org.au/sites/default/files/publications/nrha-factsheet-climate-change.pdf" TargetMode="External"/><Relationship Id="rId67" Type="http://schemas.openxmlformats.org/officeDocument/2006/relationships/hyperlink" Target="https://www.safeworkaustralia.gov.au/agriculture" TargetMode="External"/><Relationship Id="rId20" Type="http://schemas.openxmlformats.org/officeDocument/2006/relationships/hyperlink" Target="https://creativecommons.org/licenses/by/4.0/legalcode" TargetMode="External"/><Relationship Id="rId41" Type="http://schemas.openxmlformats.org/officeDocument/2006/relationships/header" Target="header6.xml"/><Relationship Id="rId54" Type="http://schemas.openxmlformats.org/officeDocument/2006/relationships/hyperlink" Target="https://www.abs.gov.au/AUSSTATS/abs@.nsf/Lookup/2075.0Main+Features202016?OpenDocument" TargetMode="External"/><Relationship Id="rId62" Type="http://schemas.openxmlformats.org/officeDocument/2006/relationships/hyperlink" Target="https://www.health.gov.au/resources/publications/national-fetal-alcohol-spectrum-disorder-fasd-strategic-action-plan-2018-2028" TargetMode="External"/><Relationship Id="rId70" Type="http://schemas.openxmlformats.org/officeDocument/2006/relationships/header" Target="header10.xml"/><Relationship Id="rId75" Type="http://schemas.openxmlformats.org/officeDocument/2006/relationships/hyperlink" Target="http://www.educationcouncil.edu.au/site/DefaultSite/filesystem/documents/ATSI%20documents/NATSI_EducationStrategy_v3.pdf" TargetMode="External"/><Relationship Id="rId83" Type="http://schemas.openxmlformats.org/officeDocument/2006/relationships/hyperlink" Target="https://www.safeworkaustralia.gov.au/system/files/documents/1804/australian-work-health-safety-strategy-2012-2022v2_1.pdf" TargetMode="External"/><Relationship Id="rId88" Type="http://schemas.openxmlformats.org/officeDocument/2006/relationships/header" Target="header1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yperlink" Target="https://www.aihw.gov.au/reports/health-welfare-expenditure/disease-expenditure-australia/data" TargetMode="External"/><Relationship Id="rId49" Type="http://schemas.openxmlformats.org/officeDocument/2006/relationships/chart" Target="charts/chart2.xml"/><Relationship Id="rId57" Type="http://schemas.openxmlformats.org/officeDocument/2006/relationships/hyperlink" Target="https://www.aihw.gov.au/reports/rural-remote-australians/rural-remote-health/contents/summary" TargetMode="External"/><Relationship Id="rId10" Type="http://schemas.openxmlformats.org/officeDocument/2006/relationships/endnotes" Target="endnotes.xml"/><Relationship Id="rId31" Type="http://schemas.openxmlformats.org/officeDocument/2006/relationships/hyperlink" Target="https://www.aihw.gov.au/reports-data/health-conditions-disability-deaths/injury/overview%203" TargetMode="External"/><Relationship Id="rId44" Type="http://schemas.openxmlformats.org/officeDocument/2006/relationships/header" Target="header7.xml"/><Relationship Id="rId52" Type="http://schemas.openxmlformats.org/officeDocument/2006/relationships/footer" Target="footer13.xml"/><Relationship Id="rId60" Type="http://schemas.openxmlformats.org/officeDocument/2006/relationships/hyperlink" Target="https://www.aihw.gov.au/getmedia/088848dc-906d-4a8b-aa09-79df0f943984/aihw-aus-214-aw17.pdf.aspx?inline=true" TargetMode="External"/><Relationship Id="rId65" Type="http://schemas.openxmlformats.org/officeDocument/2006/relationships/hyperlink" Target="https://www.griffithreview.com/articles/voice-indigenous-data-beyond-disadvantage/" TargetMode="External"/><Relationship Id="rId73" Type="http://schemas.openxmlformats.org/officeDocument/2006/relationships/hyperlink" Target="https://www.homeaffairs.gov.au/emergency/files/australian-disaster-preparedness-framework.pdf" TargetMode="External"/><Relationship Id="rId78" Type="http://schemas.openxmlformats.org/officeDocument/2006/relationships/hyperlink" Target="https://www.homeaffairs.gov.au/emergency/files/national-disaster-risk-reduction-framework.pdf" TargetMode="External"/><Relationship Id="rId81" Type="http://schemas.openxmlformats.org/officeDocument/2006/relationships/hyperlink" Target="https://www.dss.gov.au/sites/default/files/documents/08_2014/national_plan1.pdf" TargetMode="External"/><Relationship Id="rId86" Type="http://schemas.openxmlformats.org/officeDocument/2006/relationships/hyperlink" Target="https://www.coag.gov.au/sites/default/files/communique/The%20Roadmap%20for%20National%20Mental%20Health%20Reform%202012-202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image" Target="media/image6.png"/><Relationship Id="rId34" Type="http://schemas.openxmlformats.org/officeDocument/2006/relationships/hyperlink" Target="https://www.aihw.gov.au/getmedia/ee82bd99-125f-421e-bbdc-32540f336f98/aihw-injcat-207.pdf.aspx?inline=true" TargetMode="External"/><Relationship Id="rId50" Type="http://schemas.openxmlformats.org/officeDocument/2006/relationships/hyperlink" Target="https://www.niaa.gov.au/indigenous-affairs/evaluations-and-evidence/aboriginal-and-torres-strait-islander-health-performance-framework-hpf" TargetMode="External"/><Relationship Id="rId55" Type="http://schemas.openxmlformats.org/officeDocument/2006/relationships/hyperlink" Target="https://www.schn.health.nsw.gov.au/professionals/professional-resources/active-safe-aboriginal-child-injury-prevention-guidelines" TargetMode="External"/><Relationship Id="rId76" Type="http://schemas.openxmlformats.org/officeDocument/2006/relationships/hyperlink" Target="https://agedcare.health.gov.au/sites/default/files/documents/07_2015/dss1582_aged_care_strategy_cald_a4_vaccessible.pdf" TargetMode="External"/><Relationship Id="rId7" Type="http://schemas.openxmlformats.org/officeDocument/2006/relationships/settings" Target="settings.xml"/><Relationship Id="rId71"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header" Target="header4.xml"/><Relationship Id="rId40" Type="http://schemas.openxmlformats.org/officeDocument/2006/relationships/image" Target="media/image7.png"/><Relationship Id="rId45" Type="http://schemas.openxmlformats.org/officeDocument/2006/relationships/footer" Target="footer11.xml"/><Relationship Id="rId66" Type="http://schemas.openxmlformats.org/officeDocument/2006/relationships/hyperlink" Target="https://www.safeworkaustralia.gov.au/statistics-and-research/cost-injury-and-illness-occupation" TargetMode="External"/><Relationship Id="rId87" Type="http://schemas.openxmlformats.org/officeDocument/2006/relationships/hyperlink" Target="https://www.dva.gov.au/sites/default/files/files/publications/health/Veteran%20Mental%20Health%20Strategy.pdf" TargetMode="External"/><Relationship Id="rId61" Type="http://schemas.openxmlformats.org/officeDocument/2006/relationships/hyperlink" Target="https://www.aihw.gov.au/reports/burden-of-disease/abds-2015-interactive-data-disease-burden/contents/socioeconomic-groups" TargetMode="External"/><Relationship Id="rId82" Type="http://schemas.openxmlformats.org/officeDocument/2006/relationships/hyperlink" Target="https://www1.health.gov.au/internet/main/publishing.nsf/Content/A0F1B6D61796CF3DCA257E4D001AD4C4/$File/National%20Strategic%20Framework%20for%20Chronic%20Conditions.pdf" TargetMode="External"/><Relationship Id="rId19" Type="http://schemas.openxmlformats.org/officeDocument/2006/relationships/image" Target="cid:image001.png@01D10CF0.2ACF2D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infonet.ecu.edu.au/uploads/resources/31872_3187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82611548556435"/>
          <c:y val="0.1408472979339121"/>
          <c:w val="0.70034776902887141"/>
          <c:h val="0.7183054041321758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DD-45EA-AA6C-31F3C9C6CB2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FDD-45EA-AA6C-31F3C9C6CB2F}"/>
              </c:ext>
            </c:extLst>
          </c:dPt>
          <c:cat>
            <c:strRef>
              <c:f>Sheet1!$D$14:$E$14</c:f>
              <c:strCache>
                <c:ptCount val="2"/>
                <c:pt idx="0">
                  <c:v>Injury-related burden from alcohol</c:v>
                </c:pt>
                <c:pt idx="1">
                  <c:v>Total</c:v>
                </c:pt>
              </c:strCache>
            </c:strRef>
          </c:cat>
          <c:val>
            <c:numRef>
              <c:f>Sheet1!$D$15:$E$15</c:f>
              <c:numCache>
                <c:formatCode>0%</c:formatCode>
                <c:ptCount val="2"/>
                <c:pt idx="0" formatCode="0.00%">
                  <c:v>0.14000000000000001</c:v>
                </c:pt>
                <c:pt idx="1">
                  <c:v>0.86</c:v>
                </c:pt>
              </c:numCache>
            </c:numRef>
          </c:val>
          <c:extLst>
            <c:ext xmlns:c16="http://schemas.microsoft.com/office/drawing/2014/chart" uri="{C3380CC4-5D6E-409C-BE32-E72D297353CC}">
              <c16:uniqueId val="{00000004-5FDD-45EA-AA6C-31F3C9C6CB2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Sheet1!$D$5:$D$8</c:f>
              <c:strCache>
                <c:ptCount val="4"/>
                <c:pt idx="0">
                  <c:v>Road traffic injury</c:v>
                </c:pt>
                <c:pt idx="1">
                  <c:v>Suicide and self-inflicted injuries</c:v>
                </c:pt>
                <c:pt idx="2">
                  <c:v>Homicide and violence</c:v>
                </c:pt>
                <c:pt idx="3">
                  <c:v>Drowning</c:v>
                </c:pt>
              </c:strCache>
            </c:strRef>
          </c:cat>
          <c:val>
            <c:numRef>
              <c:f>Sheet1!$E$5:$E$8</c:f>
              <c:numCache>
                <c:formatCode>0%</c:formatCode>
                <c:ptCount val="4"/>
                <c:pt idx="0">
                  <c:v>0.224</c:v>
                </c:pt>
                <c:pt idx="1">
                  <c:v>0.14299999999999999</c:v>
                </c:pt>
                <c:pt idx="2">
                  <c:v>0.14000000000000001</c:v>
                </c:pt>
                <c:pt idx="3">
                  <c:v>0.11</c:v>
                </c:pt>
              </c:numCache>
            </c:numRef>
          </c:val>
          <c:extLst>
            <c:ext xmlns:c16="http://schemas.microsoft.com/office/drawing/2014/chart" uri="{C3380CC4-5D6E-409C-BE32-E72D297353CC}">
              <c16:uniqueId val="{00000000-C804-455E-ACD8-440A2467798D}"/>
            </c:ext>
          </c:extLst>
        </c:ser>
        <c:ser>
          <c:idx val="1"/>
          <c:order val="1"/>
          <c:spPr>
            <a:solidFill>
              <a:schemeClr val="accent3"/>
            </a:solidFill>
            <a:ln>
              <a:noFill/>
            </a:ln>
            <a:effectLst/>
          </c:spPr>
          <c:invertIfNegative val="0"/>
          <c:dLbls>
            <c:delete val="1"/>
          </c:dLbls>
          <c:cat>
            <c:strRef>
              <c:f>Sheet1!$D$5:$D$8</c:f>
              <c:strCache>
                <c:ptCount val="4"/>
                <c:pt idx="0">
                  <c:v>Road traffic injury</c:v>
                </c:pt>
                <c:pt idx="1">
                  <c:v>Suicide and self-inflicted injuries</c:v>
                </c:pt>
                <c:pt idx="2">
                  <c:v>Homicide and violence</c:v>
                </c:pt>
                <c:pt idx="3">
                  <c:v>Drowning</c:v>
                </c:pt>
              </c:strCache>
            </c:strRef>
          </c:cat>
          <c:val>
            <c:numRef>
              <c:f>Sheet1!$F$5:$F$8</c:f>
              <c:numCache>
                <c:formatCode>0%</c:formatCode>
                <c:ptCount val="4"/>
                <c:pt idx="0">
                  <c:v>0.78</c:v>
                </c:pt>
                <c:pt idx="1">
                  <c:v>0.86</c:v>
                </c:pt>
                <c:pt idx="2">
                  <c:v>0.86</c:v>
                </c:pt>
                <c:pt idx="3">
                  <c:v>0.89</c:v>
                </c:pt>
              </c:numCache>
            </c:numRef>
          </c:val>
          <c:extLst>
            <c:ext xmlns:c16="http://schemas.microsoft.com/office/drawing/2014/chart" uri="{C3380CC4-5D6E-409C-BE32-E72D297353CC}">
              <c16:uniqueId val="{00000001-C804-455E-ACD8-440A2467798D}"/>
            </c:ext>
          </c:extLst>
        </c:ser>
        <c:dLbls>
          <c:dLblPos val="ctr"/>
          <c:showLegendKey val="0"/>
          <c:showVal val="1"/>
          <c:showCatName val="0"/>
          <c:showSerName val="0"/>
          <c:showPercent val="0"/>
          <c:showBubbleSize val="0"/>
        </c:dLbls>
        <c:gapWidth val="50"/>
        <c:overlap val="100"/>
        <c:axId val="1944313823"/>
        <c:axId val="1943370159"/>
      </c:barChart>
      <c:catAx>
        <c:axId val="1944313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43370159"/>
        <c:crosses val="autoZero"/>
        <c:auto val="0"/>
        <c:lblAlgn val="ctr"/>
        <c:lblOffset val="100"/>
        <c:noMultiLvlLbl val="0"/>
      </c:catAx>
      <c:valAx>
        <c:axId val="1943370159"/>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4313823"/>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E5532D0-D251-42D6-924C-F7E62715BE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6B87AB7E9B5EF4C887C9C9395205717" ma:contentTypeVersion="" ma:contentTypeDescription="PDMS Document Site Content Type" ma:contentTypeScope="" ma:versionID="4106190557e1ca3c80563009a75e7b55">
  <xsd:schema xmlns:xsd="http://www.w3.org/2001/XMLSchema" xmlns:xs="http://www.w3.org/2001/XMLSchema" xmlns:p="http://schemas.microsoft.com/office/2006/metadata/properties" xmlns:ns2="4E5532D0-D251-42D6-924C-F7E62715BE69" targetNamespace="http://schemas.microsoft.com/office/2006/metadata/properties" ma:root="true" ma:fieldsID="0c12da24e33697a373d73be97bd3d50f" ns2:_="">
    <xsd:import namespace="4E5532D0-D251-42D6-924C-F7E62715BE6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532D0-D251-42D6-924C-F7E62715BE6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B787B-9A41-4B4A-85F8-DD735CE52890}">
  <ds:schemaRefs>
    <ds:schemaRef ds:uri="http://schemas.microsoft.com/sharepoint/v3/contenttype/forms"/>
  </ds:schemaRefs>
</ds:datastoreItem>
</file>

<file path=customXml/itemProps2.xml><?xml version="1.0" encoding="utf-8"?>
<ds:datastoreItem xmlns:ds="http://schemas.openxmlformats.org/officeDocument/2006/customXml" ds:itemID="{68446259-BCE8-4CF4-BED7-03DB7A8E48A0}">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4E5532D0-D251-42D6-924C-F7E62715BE69"/>
    <ds:schemaRef ds:uri="http://purl.org/dc/terms/"/>
  </ds:schemaRefs>
</ds:datastoreItem>
</file>

<file path=customXml/itemProps3.xml><?xml version="1.0" encoding="utf-8"?>
<ds:datastoreItem xmlns:ds="http://schemas.openxmlformats.org/officeDocument/2006/customXml" ds:itemID="{CAFA31CD-4C9E-4745-8657-4CC5ED1B6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532D0-D251-42D6-924C-F7E62715B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91BDB-6BC4-45D0-9CB4-B6043786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39866</Words>
  <Characters>227242</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Bestman</dc:creator>
  <cp:keywords/>
  <dc:description/>
  <cp:lastModifiedBy>Amy Bestman</cp:lastModifiedBy>
  <cp:revision>10</cp:revision>
  <cp:lastPrinted>2020-05-15T05:58:00Z</cp:lastPrinted>
  <dcterms:created xsi:type="dcterms:W3CDTF">2020-05-15T06:18:00Z</dcterms:created>
  <dcterms:modified xsi:type="dcterms:W3CDTF">2020-05-18T02:19:00Z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-1027247777</vt:i4>
  </property>
  <property fmtid="{D5CDD505-2E9C-101B-9397-08002B2CF9AE}" pid="3" name="ContentTypeId">
    <vt:lpwstr>0x010100266966F133664895A6EE3632470D45F500F6B87AB7E9B5EF4C887C9C9395205717</vt:lpwstr>
  </property>
</Properties>
</file>