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10" w:rsidRPr="0049273A" w:rsidRDefault="00B96329" w:rsidP="0049273A">
      <w:pPr>
        <w:jc w:val="center"/>
      </w:pPr>
      <w:bookmarkStart w:id="0" w:name="imageHolder"/>
      <w:bookmarkStart w:id="1" w:name="_GoBack"/>
      <w:bookmarkEnd w:id="0"/>
      <w:bookmarkEnd w:id="1"/>
      <w:r w:rsidRPr="00A3466F">
        <w:rPr>
          <w:rFonts w:asciiTheme="majorHAnsi" w:hAnsiTheme="majorHAnsi"/>
          <w:noProof/>
          <w:sz w:val="28"/>
          <w:szCs w:val="28"/>
          <w:lang w:eastAsia="en-AU"/>
        </w:rPr>
        <w:drawing>
          <wp:inline distT="0" distB="0" distL="0" distR="0" wp14:anchorId="5F2A704D" wp14:editId="7A232B09">
            <wp:extent cx="1688400" cy="1119600"/>
            <wp:effectExtent l="0" t="0" r="7620" b="4445"/>
            <wp:docPr id="6" name="Picture 6" descr="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Health Crest"/>
                    <pic:cNvPicPr/>
                  </pic:nvPicPr>
                  <pic:blipFill>
                    <a:blip r:embed="rId9"/>
                    <a:stretch>
                      <a:fillRect/>
                    </a:stretch>
                  </pic:blipFill>
                  <pic:spPr>
                    <a:xfrm>
                      <a:off x="0" y="0"/>
                      <a:ext cx="1688400" cy="1119600"/>
                    </a:xfrm>
                    <a:prstGeom prst="rect">
                      <a:avLst/>
                    </a:prstGeom>
                  </pic:spPr>
                </pic:pic>
              </a:graphicData>
            </a:graphic>
          </wp:inline>
        </w:drawing>
      </w:r>
    </w:p>
    <w:p w:rsidR="00F81B10" w:rsidRDefault="00F81B10" w:rsidP="0049273A"/>
    <w:p w:rsidR="00791CE8" w:rsidRPr="0049273A" w:rsidRDefault="00791CE8" w:rsidP="0049273A"/>
    <w:p w:rsidR="007F4E20" w:rsidRPr="003A0E89" w:rsidRDefault="00D526EF" w:rsidP="0049273A">
      <w:pPr>
        <w:pStyle w:val="Heading1"/>
        <w:jc w:val="center"/>
        <w:rPr>
          <w:sz w:val="56"/>
          <w:szCs w:val="56"/>
        </w:rPr>
      </w:pPr>
      <w:bookmarkStart w:id="2" w:name="_Toc430354788"/>
      <w:bookmarkStart w:id="3" w:name="_Toc444006680"/>
      <w:bookmarkStart w:id="4" w:name="_Toc444242577"/>
      <w:bookmarkStart w:id="5" w:name="_Toc445114733"/>
      <w:bookmarkStart w:id="6" w:name="_Toc445279221"/>
      <w:bookmarkStart w:id="7" w:name="_Toc445824954"/>
      <w:bookmarkStart w:id="8" w:name="_Toc445899306"/>
      <w:r w:rsidRPr="003A0E89">
        <w:rPr>
          <w:sz w:val="56"/>
          <w:szCs w:val="56"/>
        </w:rPr>
        <w:t xml:space="preserve">Supporting pharmacist delivery of </w:t>
      </w:r>
      <w:r w:rsidR="007B7A3D" w:rsidRPr="003A0E89">
        <w:rPr>
          <w:sz w:val="56"/>
          <w:szCs w:val="56"/>
        </w:rPr>
        <w:t>primary health care</w:t>
      </w:r>
      <w:r w:rsidRPr="003A0E89">
        <w:rPr>
          <w:sz w:val="56"/>
          <w:szCs w:val="56"/>
        </w:rPr>
        <w:t xml:space="preserve"> services</w:t>
      </w:r>
      <w:bookmarkEnd w:id="2"/>
      <w:r w:rsidR="00962027" w:rsidRPr="003A0E89">
        <w:rPr>
          <w:sz w:val="56"/>
          <w:szCs w:val="56"/>
        </w:rPr>
        <w:t xml:space="preserve"> through the </w:t>
      </w:r>
      <w:r w:rsidR="005A0E1A">
        <w:rPr>
          <w:sz w:val="56"/>
          <w:szCs w:val="56"/>
        </w:rPr>
        <w:br/>
      </w:r>
      <w:r w:rsidR="00962027" w:rsidRPr="003A0E89">
        <w:rPr>
          <w:sz w:val="56"/>
          <w:szCs w:val="56"/>
        </w:rPr>
        <w:t xml:space="preserve">Pharmacy Trial </w:t>
      </w:r>
      <w:bookmarkEnd w:id="3"/>
      <w:bookmarkEnd w:id="4"/>
      <w:r w:rsidR="00BF3F68">
        <w:rPr>
          <w:sz w:val="56"/>
          <w:szCs w:val="56"/>
        </w:rPr>
        <w:t>Program</w:t>
      </w:r>
      <w:bookmarkEnd w:id="5"/>
      <w:bookmarkEnd w:id="6"/>
      <w:bookmarkEnd w:id="7"/>
      <w:bookmarkEnd w:id="8"/>
    </w:p>
    <w:p w:rsidR="00D526EF" w:rsidRDefault="00D526EF" w:rsidP="00F47FC5"/>
    <w:p w:rsidR="00F47FC5" w:rsidRPr="0049273A" w:rsidRDefault="00F47FC5" w:rsidP="00F47FC5"/>
    <w:p w:rsidR="00B10216" w:rsidRPr="00635A71" w:rsidRDefault="003A0E89" w:rsidP="00635A71">
      <w:pPr>
        <w:jc w:val="center"/>
        <w:rPr>
          <w:rFonts w:asciiTheme="majorHAnsi" w:hAnsiTheme="majorHAnsi"/>
          <w:b/>
          <w:color w:val="1F497D" w:themeColor="text2"/>
          <w:sz w:val="72"/>
          <w:szCs w:val="72"/>
        </w:rPr>
      </w:pPr>
      <w:r>
        <w:rPr>
          <w:rFonts w:asciiTheme="majorHAnsi" w:hAnsiTheme="majorHAnsi"/>
          <w:b/>
          <w:color w:val="1F497D" w:themeColor="text2"/>
          <w:sz w:val="72"/>
          <w:szCs w:val="72"/>
        </w:rPr>
        <w:t xml:space="preserve">Discussion paper </w:t>
      </w:r>
    </w:p>
    <w:p w:rsidR="0049273A" w:rsidRDefault="0049273A" w:rsidP="003C55AA">
      <w:pPr>
        <w:jc w:val="center"/>
      </w:pPr>
    </w:p>
    <w:p w:rsidR="0049273A" w:rsidRPr="0049273A" w:rsidRDefault="0049273A" w:rsidP="0049273A"/>
    <w:p w:rsidR="0049273A" w:rsidRPr="00635A71" w:rsidRDefault="004A4493" w:rsidP="00635A71">
      <w:pPr>
        <w:jc w:val="center"/>
        <w:rPr>
          <w:rFonts w:asciiTheme="majorHAnsi" w:hAnsiTheme="majorHAnsi"/>
          <w:b/>
          <w:color w:val="1F497D" w:themeColor="text2"/>
          <w:sz w:val="72"/>
          <w:szCs w:val="72"/>
        </w:rPr>
      </w:pPr>
      <w:r>
        <w:rPr>
          <w:rFonts w:asciiTheme="majorHAnsi" w:hAnsiTheme="majorHAnsi"/>
          <w:b/>
          <w:color w:val="1F497D" w:themeColor="text2"/>
          <w:sz w:val="72"/>
          <w:szCs w:val="72"/>
        </w:rPr>
        <w:t>March 2016</w:t>
      </w:r>
    </w:p>
    <w:p w:rsidR="003A0E89" w:rsidRDefault="003A0E89" w:rsidP="003F3E9F">
      <w:pPr>
        <w:pStyle w:val="Heading2"/>
        <w:spacing w:before="0"/>
      </w:pPr>
    </w:p>
    <w:p w:rsidR="00062167" w:rsidRDefault="00062167" w:rsidP="003F3E9F">
      <w:pPr>
        <w:pStyle w:val="Heading2"/>
        <w:spacing w:before="0"/>
      </w:pPr>
    </w:p>
    <w:p w:rsidR="00062167" w:rsidRDefault="00062167" w:rsidP="003F3E9F">
      <w:pPr>
        <w:pStyle w:val="Heading2"/>
        <w:spacing w:before="0"/>
      </w:pPr>
    </w:p>
    <w:p w:rsidR="00062167" w:rsidRDefault="00062167" w:rsidP="003F3E9F">
      <w:pPr>
        <w:pStyle w:val="Heading2"/>
        <w:spacing w:before="0"/>
      </w:pPr>
    </w:p>
    <w:p w:rsidR="00ED52F8" w:rsidRDefault="00ED52F8">
      <w:pPr>
        <w:rPr>
          <w:rFonts w:asciiTheme="majorHAnsi" w:eastAsiaTheme="majorEastAsia" w:hAnsiTheme="majorHAnsi" w:cstheme="majorBidi"/>
          <w:b/>
          <w:bCs/>
          <w:color w:val="4F81BD" w:themeColor="accent1"/>
          <w:sz w:val="26"/>
          <w:szCs w:val="26"/>
        </w:rPr>
      </w:pPr>
      <w:r>
        <w:br w:type="page"/>
      </w:r>
    </w:p>
    <w:p w:rsidR="00B527D0" w:rsidRPr="00B527D0" w:rsidRDefault="00A04CE3" w:rsidP="00B527D0">
      <w:pPr>
        <w:pStyle w:val="TOC1"/>
      </w:pPr>
      <w:r w:rsidRPr="00B527D0">
        <w:lastRenderedPageBreak/>
        <w:t>Table of contents</w:t>
      </w:r>
    </w:p>
    <w:p w:rsidR="00DA5107" w:rsidRDefault="00A04CE3">
      <w:pPr>
        <w:pStyle w:val="TOC1"/>
        <w:rPr>
          <w:rFonts w:asciiTheme="minorHAnsi" w:eastAsiaTheme="minorEastAsia" w:hAnsiTheme="minorHAnsi"/>
          <w:b w:val="0"/>
          <w:noProof/>
          <w:sz w:val="22"/>
          <w:szCs w:val="22"/>
          <w:lang w:eastAsia="en-AU"/>
        </w:rPr>
      </w:pPr>
      <w:r>
        <w:fldChar w:fldCharType="begin"/>
      </w:r>
      <w:r>
        <w:instrText xml:space="preserve"> TOC \o "1-3" \h \z \u </w:instrText>
      </w:r>
      <w:r>
        <w:fldChar w:fldCharType="separate"/>
      </w:r>
      <w:hyperlink w:anchor="_Toc445899306" w:history="1"/>
    </w:p>
    <w:p w:rsidR="00DA5107" w:rsidRDefault="000C4BEB">
      <w:pPr>
        <w:pStyle w:val="TOC2"/>
        <w:tabs>
          <w:tab w:val="right" w:leader="dot" w:pos="9016"/>
        </w:tabs>
        <w:rPr>
          <w:rFonts w:asciiTheme="minorHAnsi" w:eastAsiaTheme="minorEastAsia" w:hAnsiTheme="minorHAnsi"/>
          <w:noProof/>
          <w:sz w:val="22"/>
          <w:lang w:eastAsia="en-AU"/>
        </w:rPr>
      </w:pPr>
      <w:hyperlink w:anchor="_Toc445899307" w:history="1">
        <w:r w:rsidR="00DA5107" w:rsidRPr="00D63544">
          <w:rPr>
            <w:rStyle w:val="Hyperlink"/>
            <w:noProof/>
          </w:rPr>
          <w:t>Purpose and Context</w:t>
        </w:r>
        <w:r w:rsidR="00DA5107">
          <w:rPr>
            <w:noProof/>
            <w:webHidden/>
          </w:rPr>
          <w:tab/>
        </w:r>
        <w:r w:rsidR="00DA5107">
          <w:rPr>
            <w:noProof/>
            <w:webHidden/>
          </w:rPr>
          <w:fldChar w:fldCharType="begin"/>
        </w:r>
        <w:r w:rsidR="00DA5107">
          <w:rPr>
            <w:noProof/>
            <w:webHidden/>
          </w:rPr>
          <w:instrText xml:space="preserve"> PAGEREF _Toc445899307 \h </w:instrText>
        </w:r>
        <w:r w:rsidR="00DA5107">
          <w:rPr>
            <w:noProof/>
            <w:webHidden/>
          </w:rPr>
        </w:r>
        <w:r w:rsidR="00DA5107">
          <w:rPr>
            <w:noProof/>
            <w:webHidden/>
          </w:rPr>
          <w:fldChar w:fldCharType="separate"/>
        </w:r>
        <w:r w:rsidR="00DA5107">
          <w:rPr>
            <w:noProof/>
            <w:webHidden/>
          </w:rPr>
          <w:t>3</w:t>
        </w:r>
        <w:r w:rsidR="00DA5107">
          <w:rPr>
            <w:noProof/>
            <w:webHidden/>
          </w:rPr>
          <w:fldChar w:fldCharType="end"/>
        </w:r>
      </w:hyperlink>
    </w:p>
    <w:p w:rsidR="00DA5107" w:rsidRDefault="000C4BEB">
      <w:pPr>
        <w:pStyle w:val="TOC2"/>
        <w:tabs>
          <w:tab w:val="right" w:leader="dot" w:pos="9016"/>
        </w:tabs>
        <w:rPr>
          <w:rFonts w:asciiTheme="minorHAnsi" w:eastAsiaTheme="minorEastAsia" w:hAnsiTheme="minorHAnsi"/>
          <w:noProof/>
          <w:sz w:val="22"/>
          <w:lang w:eastAsia="en-AU"/>
        </w:rPr>
      </w:pPr>
      <w:hyperlink w:anchor="_Toc445899308" w:history="1">
        <w:r w:rsidR="00DA5107" w:rsidRPr="00D63544">
          <w:rPr>
            <w:rStyle w:val="Hyperlink"/>
            <w:noProof/>
          </w:rPr>
          <w:t>Introduction</w:t>
        </w:r>
        <w:r w:rsidR="00DA5107">
          <w:rPr>
            <w:noProof/>
            <w:webHidden/>
          </w:rPr>
          <w:tab/>
        </w:r>
        <w:r w:rsidR="00DA5107">
          <w:rPr>
            <w:noProof/>
            <w:webHidden/>
          </w:rPr>
          <w:fldChar w:fldCharType="begin"/>
        </w:r>
        <w:r w:rsidR="00DA5107">
          <w:rPr>
            <w:noProof/>
            <w:webHidden/>
          </w:rPr>
          <w:instrText xml:space="preserve"> PAGEREF _Toc445899308 \h </w:instrText>
        </w:r>
        <w:r w:rsidR="00DA5107">
          <w:rPr>
            <w:noProof/>
            <w:webHidden/>
          </w:rPr>
        </w:r>
        <w:r w:rsidR="00DA5107">
          <w:rPr>
            <w:noProof/>
            <w:webHidden/>
          </w:rPr>
          <w:fldChar w:fldCharType="separate"/>
        </w:r>
        <w:r w:rsidR="00DA5107">
          <w:rPr>
            <w:noProof/>
            <w:webHidden/>
          </w:rPr>
          <w:t>3</w:t>
        </w:r>
        <w:r w:rsidR="00DA5107">
          <w:rPr>
            <w:noProof/>
            <w:webHidden/>
          </w:rPr>
          <w:fldChar w:fldCharType="end"/>
        </w:r>
      </w:hyperlink>
    </w:p>
    <w:p w:rsidR="00DA5107" w:rsidRDefault="000C4BEB">
      <w:pPr>
        <w:pStyle w:val="TOC2"/>
        <w:tabs>
          <w:tab w:val="right" w:leader="dot" w:pos="9016"/>
        </w:tabs>
        <w:rPr>
          <w:rFonts w:asciiTheme="minorHAnsi" w:eastAsiaTheme="minorEastAsia" w:hAnsiTheme="minorHAnsi"/>
          <w:noProof/>
          <w:sz w:val="22"/>
          <w:lang w:eastAsia="en-AU"/>
        </w:rPr>
      </w:pPr>
      <w:hyperlink w:anchor="_Toc445899309" w:history="1">
        <w:r w:rsidR="00DA5107" w:rsidRPr="00D63544">
          <w:rPr>
            <w:rStyle w:val="Hyperlink"/>
            <w:noProof/>
          </w:rPr>
          <w:t>Primary health care environment and vision for pharmacy</w:t>
        </w:r>
        <w:r w:rsidR="00DA5107">
          <w:rPr>
            <w:noProof/>
            <w:webHidden/>
          </w:rPr>
          <w:tab/>
        </w:r>
        <w:r w:rsidR="00DA5107">
          <w:rPr>
            <w:noProof/>
            <w:webHidden/>
          </w:rPr>
          <w:fldChar w:fldCharType="begin"/>
        </w:r>
        <w:r w:rsidR="00DA5107">
          <w:rPr>
            <w:noProof/>
            <w:webHidden/>
          </w:rPr>
          <w:instrText xml:space="preserve"> PAGEREF _Toc445899309 \h </w:instrText>
        </w:r>
        <w:r w:rsidR="00DA5107">
          <w:rPr>
            <w:noProof/>
            <w:webHidden/>
          </w:rPr>
        </w:r>
        <w:r w:rsidR="00DA5107">
          <w:rPr>
            <w:noProof/>
            <w:webHidden/>
          </w:rPr>
          <w:fldChar w:fldCharType="separate"/>
        </w:r>
        <w:r w:rsidR="00DA5107">
          <w:rPr>
            <w:noProof/>
            <w:webHidden/>
          </w:rPr>
          <w:t>4</w:t>
        </w:r>
        <w:r w:rsidR="00DA5107">
          <w:rPr>
            <w:noProof/>
            <w:webHidden/>
          </w:rPr>
          <w:fldChar w:fldCharType="end"/>
        </w:r>
      </w:hyperlink>
    </w:p>
    <w:p w:rsidR="00DA5107" w:rsidRDefault="000C4BEB">
      <w:pPr>
        <w:pStyle w:val="TOC2"/>
        <w:tabs>
          <w:tab w:val="right" w:leader="dot" w:pos="9016"/>
        </w:tabs>
        <w:rPr>
          <w:rFonts w:asciiTheme="minorHAnsi" w:eastAsiaTheme="minorEastAsia" w:hAnsiTheme="minorHAnsi"/>
          <w:noProof/>
          <w:sz w:val="22"/>
          <w:lang w:eastAsia="en-AU"/>
        </w:rPr>
      </w:pPr>
      <w:hyperlink w:anchor="_Toc445899310" w:history="1">
        <w:r w:rsidR="00DA5107" w:rsidRPr="00D63544">
          <w:rPr>
            <w:rStyle w:val="Hyperlink"/>
            <w:noProof/>
          </w:rPr>
          <w:t>Pharmacy Trial Program principles and priorities</w:t>
        </w:r>
        <w:r w:rsidR="00DA5107">
          <w:rPr>
            <w:noProof/>
            <w:webHidden/>
          </w:rPr>
          <w:tab/>
        </w:r>
        <w:r w:rsidR="00DA5107">
          <w:rPr>
            <w:noProof/>
            <w:webHidden/>
          </w:rPr>
          <w:fldChar w:fldCharType="begin"/>
        </w:r>
        <w:r w:rsidR="00DA5107">
          <w:rPr>
            <w:noProof/>
            <w:webHidden/>
          </w:rPr>
          <w:instrText xml:space="preserve"> PAGEREF _Toc445899310 \h </w:instrText>
        </w:r>
        <w:r w:rsidR="00DA5107">
          <w:rPr>
            <w:noProof/>
            <w:webHidden/>
          </w:rPr>
        </w:r>
        <w:r w:rsidR="00DA5107">
          <w:rPr>
            <w:noProof/>
            <w:webHidden/>
          </w:rPr>
          <w:fldChar w:fldCharType="separate"/>
        </w:r>
        <w:r w:rsidR="00DA5107">
          <w:rPr>
            <w:noProof/>
            <w:webHidden/>
          </w:rPr>
          <w:t>6</w:t>
        </w:r>
        <w:r w:rsidR="00DA5107">
          <w:rPr>
            <w:noProof/>
            <w:webHidden/>
          </w:rPr>
          <w:fldChar w:fldCharType="end"/>
        </w:r>
      </w:hyperlink>
    </w:p>
    <w:p w:rsidR="00DA5107" w:rsidRDefault="000C4BEB">
      <w:pPr>
        <w:pStyle w:val="TOC2"/>
        <w:tabs>
          <w:tab w:val="right" w:leader="dot" w:pos="9016"/>
        </w:tabs>
        <w:rPr>
          <w:rFonts w:asciiTheme="minorHAnsi" w:eastAsiaTheme="minorEastAsia" w:hAnsiTheme="minorHAnsi"/>
          <w:noProof/>
          <w:sz w:val="22"/>
          <w:lang w:eastAsia="en-AU"/>
        </w:rPr>
      </w:pPr>
      <w:hyperlink w:anchor="_Toc445899311" w:history="1">
        <w:r w:rsidR="00DA5107" w:rsidRPr="00D63544">
          <w:rPr>
            <w:rStyle w:val="Hyperlink"/>
            <w:noProof/>
          </w:rPr>
          <w:t>Scope of the PTP</w:t>
        </w:r>
        <w:r w:rsidR="00DA5107">
          <w:rPr>
            <w:noProof/>
            <w:webHidden/>
          </w:rPr>
          <w:tab/>
        </w:r>
        <w:r w:rsidR="00DA5107">
          <w:rPr>
            <w:noProof/>
            <w:webHidden/>
          </w:rPr>
          <w:fldChar w:fldCharType="begin"/>
        </w:r>
        <w:r w:rsidR="00DA5107">
          <w:rPr>
            <w:noProof/>
            <w:webHidden/>
          </w:rPr>
          <w:instrText xml:space="preserve"> PAGEREF _Toc445899311 \h </w:instrText>
        </w:r>
        <w:r w:rsidR="00DA5107">
          <w:rPr>
            <w:noProof/>
            <w:webHidden/>
          </w:rPr>
        </w:r>
        <w:r w:rsidR="00DA5107">
          <w:rPr>
            <w:noProof/>
            <w:webHidden/>
          </w:rPr>
          <w:fldChar w:fldCharType="separate"/>
        </w:r>
        <w:r w:rsidR="00DA5107">
          <w:rPr>
            <w:noProof/>
            <w:webHidden/>
          </w:rPr>
          <w:t>7</w:t>
        </w:r>
        <w:r w:rsidR="00DA5107">
          <w:rPr>
            <w:noProof/>
            <w:webHidden/>
          </w:rPr>
          <w:fldChar w:fldCharType="end"/>
        </w:r>
      </w:hyperlink>
    </w:p>
    <w:p w:rsidR="00DA5107" w:rsidRDefault="000C4BEB">
      <w:pPr>
        <w:pStyle w:val="TOC2"/>
        <w:tabs>
          <w:tab w:val="right" w:leader="dot" w:pos="9016"/>
        </w:tabs>
        <w:rPr>
          <w:rFonts w:asciiTheme="minorHAnsi" w:eastAsiaTheme="minorEastAsia" w:hAnsiTheme="minorHAnsi"/>
          <w:noProof/>
          <w:sz w:val="22"/>
          <w:lang w:eastAsia="en-AU"/>
        </w:rPr>
      </w:pPr>
      <w:hyperlink w:anchor="_Toc445899312" w:history="1">
        <w:r w:rsidR="00DA5107" w:rsidRPr="00D63544">
          <w:rPr>
            <w:rStyle w:val="Hyperlink"/>
            <w:noProof/>
          </w:rPr>
          <w:t>Role of the TAG</w:t>
        </w:r>
        <w:r w:rsidR="00DA5107">
          <w:rPr>
            <w:noProof/>
            <w:webHidden/>
          </w:rPr>
          <w:tab/>
        </w:r>
        <w:r w:rsidR="00DA5107">
          <w:rPr>
            <w:noProof/>
            <w:webHidden/>
          </w:rPr>
          <w:fldChar w:fldCharType="begin"/>
        </w:r>
        <w:r w:rsidR="00DA5107">
          <w:rPr>
            <w:noProof/>
            <w:webHidden/>
          </w:rPr>
          <w:instrText xml:space="preserve"> PAGEREF _Toc445899312 \h </w:instrText>
        </w:r>
        <w:r w:rsidR="00DA5107">
          <w:rPr>
            <w:noProof/>
            <w:webHidden/>
          </w:rPr>
        </w:r>
        <w:r w:rsidR="00DA5107">
          <w:rPr>
            <w:noProof/>
            <w:webHidden/>
          </w:rPr>
          <w:fldChar w:fldCharType="separate"/>
        </w:r>
        <w:r w:rsidR="00DA5107">
          <w:rPr>
            <w:noProof/>
            <w:webHidden/>
          </w:rPr>
          <w:t>8</w:t>
        </w:r>
        <w:r w:rsidR="00DA5107">
          <w:rPr>
            <w:noProof/>
            <w:webHidden/>
          </w:rPr>
          <w:fldChar w:fldCharType="end"/>
        </w:r>
      </w:hyperlink>
    </w:p>
    <w:p w:rsidR="00DA5107" w:rsidRDefault="000C4BEB">
      <w:pPr>
        <w:pStyle w:val="TOC2"/>
        <w:tabs>
          <w:tab w:val="right" w:leader="dot" w:pos="9016"/>
        </w:tabs>
        <w:rPr>
          <w:rFonts w:asciiTheme="minorHAnsi" w:eastAsiaTheme="minorEastAsia" w:hAnsiTheme="minorHAnsi"/>
          <w:noProof/>
          <w:sz w:val="22"/>
          <w:lang w:eastAsia="en-AU"/>
        </w:rPr>
      </w:pPr>
      <w:hyperlink w:anchor="_Toc445899313" w:history="1">
        <w:r w:rsidR="00DA5107" w:rsidRPr="00D63544">
          <w:rPr>
            <w:rStyle w:val="Hyperlink"/>
            <w:noProof/>
          </w:rPr>
          <w:t>Process for identifying trials to be funded</w:t>
        </w:r>
        <w:r w:rsidR="00DA5107">
          <w:rPr>
            <w:noProof/>
            <w:webHidden/>
          </w:rPr>
          <w:tab/>
        </w:r>
        <w:r w:rsidR="00DA5107">
          <w:rPr>
            <w:noProof/>
            <w:webHidden/>
          </w:rPr>
          <w:fldChar w:fldCharType="begin"/>
        </w:r>
        <w:r w:rsidR="00DA5107">
          <w:rPr>
            <w:noProof/>
            <w:webHidden/>
          </w:rPr>
          <w:instrText xml:space="preserve"> PAGEREF _Toc445899313 \h </w:instrText>
        </w:r>
        <w:r w:rsidR="00DA5107">
          <w:rPr>
            <w:noProof/>
            <w:webHidden/>
          </w:rPr>
        </w:r>
        <w:r w:rsidR="00DA5107">
          <w:rPr>
            <w:noProof/>
            <w:webHidden/>
          </w:rPr>
          <w:fldChar w:fldCharType="separate"/>
        </w:r>
        <w:r w:rsidR="00DA5107">
          <w:rPr>
            <w:noProof/>
            <w:webHidden/>
          </w:rPr>
          <w:t>9</w:t>
        </w:r>
        <w:r w:rsidR="00DA5107">
          <w:rPr>
            <w:noProof/>
            <w:webHidden/>
          </w:rPr>
          <w:fldChar w:fldCharType="end"/>
        </w:r>
      </w:hyperlink>
    </w:p>
    <w:p w:rsidR="00DA5107" w:rsidRDefault="000C4BEB">
      <w:pPr>
        <w:pStyle w:val="TOC2"/>
        <w:tabs>
          <w:tab w:val="right" w:leader="dot" w:pos="9016"/>
        </w:tabs>
        <w:rPr>
          <w:rFonts w:asciiTheme="minorHAnsi" w:eastAsiaTheme="minorEastAsia" w:hAnsiTheme="minorHAnsi"/>
          <w:noProof/>
          <w:sz w:val="22"/>
          <w:lang w:eastAsia="en-AU"/>
        </w:rPr>
      </w:pPr>
      <w:hyperlink w:anchor="_Toc445899314" w:history="1">
        <w:r w:rsidR="00DA5107" w:rsidRPr="00D63544">
          <w:rPr>
            <w:rStyle w:val="Hyperlink"/>
            <w:noProof/>
          </w:rPr>
          <w:t>Call for ideas</w:t>
        </w:r>
        <w:r w:rsidR="00DA5107">
          <w:rPr>
            <w:noProof/>
            <w:webHidden/>
          </w:rPr>
          <w:tab/>
        </w:r>
        <w:r w:rsidR="00DA5107">
          <w:rPr>
            <w:noProof/>
            <w:webHidden/>
          </w:rPr>
          <w:fldChar w:fldCharType="begin"/>
        </w:r>
        <w:r w:rsidR="00DA5107">
          <w:rPr>
            <w:noProof/>
            <w:webHidden/>
          </w:rPr>
          <w:instrText xml:space="preserve"> PAGEREF _Toc445899314 \h </w:instrText>
        </w:r>
        <w:r w:rsidR="00DA5107">
          <w:rPr>
            <w:noProof/>
            <w:webHidden/>
          </w:rPr>
        </w:r>
        <w:r w:rsidR="00DA5107">
          <w:rPr>
            <w:noProof/>
            <w:webHidden/>
          </w:rPr>
          <w:fldChar w:fldCharType="separate"/>
        </w:r>
        <w:r w:rsidR="00DA5107">
          <w:rPr>
            <w:noProof/>
            <w:webHidden/>
          </w:rPr>
          <w:t>9</w:t>
        </w:r>
        <w:r w:rsidR="00DA5107">
          <w:rPr>
            <w:noProof/>
            <w:webHidden/>
          </w:rPr>
          <w:fldChar w:fldCharType="end"/>
        </w:r>
      </w:hyperlink>
    </w:p>
    <w:p w:rsidR="00DA5107" w:rsidRDefault="000C4BEB">
      <w:pPr>
        <w:pStyle w:val="TOC2"/>
        <w:tabs>
          <w:tab w:val="left" w:pos="1880"/>
          <w:tab w:val="right" w:leader="dot" w:pos="9016"/>
        </w:tabs>
        <w:rPr>
          <w:rFonts w:asciiTheme="minorHAnsi" w:eastAsiaTheme="minorEastAsia" w:hAnsiTheme="minorHAnsi"/>
          <w:noProof/>
          <w:sz w:val="22"/>
          <w:lang w:eastAsia="en-AU"/>
        </w:rPr>
      </w:pPr>
      <w:hyperlink w:anchor="_Toc445899315" w:history="1">
        <w:r w:rsidR="00DA5107" w:rsidRPr="00D63544">
          <w:rPr>
            <w:rStyle w:val="Hyperlink"/>
            <w:noProof/>
          </w:rPr>
          <w:t>APPENDIX A</w:t>
        </w:r>
        <w:r w:rsidR="00DA5107">
          <w:rPr>
            <w:rFonts w:asciiTheme="minorHAnsi" w:eastAsiaTheme="minorEastAsia" w:hAnsiTheme="minorHAnsi"/>
            <w:noProof/>
            <w:sz w:val="22"/>
            <w:lang w:eastAsia="en-AU"/>
          </w:rPr>
          <w:tab/>
        </w:r>
        <w:r w:rsidR="00DA5107" w:rsidRPr="00D63544">
          <w:rPr>
            <w:rStyle w:val="Hyperlink"/>
            <w:noProof/>
          </w:rPr>
          <w:t>Continuing programs</w:t>
        </w:r>
        <w:r w:rsidR="00DA5107">
          <w:rPr>
            <w:noProof/>
            <w:webHidden/>
          </w:rPr>
          <w:tab/>
        </w:r>
        <w:r w:rsidR="00DA5107">
          <w:rPr>
            <w:noProof/>
            <w:webHidden/>
          </w:rPr>
          <w:fldChar w:fldCharType="begin"/>
        </w:r>
        <w:r w:rsidR="00DA5107">
          <w:rPr>
            <w:noProof/>
            <w:webHidden/>
          </w:rPr>
          <w:instrText xml:space="preserve"> PAGEREF _Toc445899315 \h </w:instrText>
        </w:r>
        <w:r w:rsidR="00DA5107">
          <w:rPr>
            <w:noProof/>
            <w:webHidden/>
          </w:rPr>
        </w:r>
        <w:r w:rsidR="00DA5107">
          <w:rPr>
            <w:noProof/>
            <w:webHidden/>
          </w:rPr>
          <w:fldChar w:fldCharType="separate"/>
        </w:r>
        <w:r w:rsidR="00DA5107">
          <w:rPr>
            <w:noProof/>
            <w:webHidden/>
          </w:rPr>
          <w:t>11</w:t>
        </w:r>
        <w:r w:rsidR="00DA5107">
          <w:rPr>
            <w:noProof/>
            <w:webHidden/>
          </w:rPr>
          <w:fldChar w:fldCharType="end"/>
        </w:r>
      </w:hyperlink>
    </w:p>
    <w:p w:rsidR="00DA5107" w:rsidRDefault="000C4BEB">
      <w:pPr>
        <w:pStyle w:val="TOC2"/>
        <w:tabs>
          <w:tab w:val="left" w:pos="1927"/>
          <w:tab w:val="right" w:leader="dot" w:pos="9016"/>
        </w:tabs>
        <w:rPr>
          <w:rFonts w:asciiTheme="minorHAnsi" w:eastAsiaTheme="minorEastAsia" w:hAnsiTheme="minorHAnsi"/>
          <w:noProof/>
          <w:sz w:val="22"/>
          <w:lang w:eastAsia="en-AU"/>
        </w:rPr>
      </w:pPr>
      <w:hyperlink w:anchor="_Toc445899316" w:history="1">
        <w:r w:rsidR="00DA5107" w:rsidRPr="00D63544">
          <w:rPr>
            <w:rStyle w:val="Hyperlink"/>
            <w:noProof/>
          </w:rPr>
          <w:t xml:space="preserve">APPENDIX B </w:t>
        </w:r>
        <w:r w:rsidR="00DA5107">
          <w:rPr>
            <w:rFonts w:asciiTheme="minorHAnsi" w:eastAsiaTheme="minorEastAsia" w:hAnsiTheme="minorHAnsi"/>
            <w:noProof/>
            <w:sz w:val="22"/>
            <w:lang w:eastAsia="en-AU"/>
          </w:rPr>
          <w:tab/>
        </w:r>
        <w:r w:rsidR="00DA5107" w:rsidRPr="00D63544">
          <w:rPr>
            <w:rStyle w:val="Hyperlink"/>
            <w:noProof/>
          </w:rPr>
          <w:t xml:space="preserve"> Relevant primary health care reforms</w:t>
        </w:r>
        <w:r w:rsidR="00DA5107">
          <w:rPr>
            <w:noProof/>
            <w:webHidden/>
          </w:rPr>
          <w:tab/>
        </w:r>
        <w:r w:rsidR="00DA5107">
          <w:rPr>
            <w:noProof/>
            <w:webHidden/>
          </w:rPr>
          <w:fldChar w:fldCharType="begin"/>
        </w:r>
        <w:r w:rsidR="00DA5107">
          <w:rPr>
            <w:noProof/>
            <w:webHidden/>
          </w:rPr>
          <w:instrText xml:space="preserve"> PAGEREF _Toc445899316 \h </w:instrText>
        </w:r>
        <w:r w:rsidR="00DA5107">
          <w:rPr>
            <w:noProof/>
            <w:webHidden/>
          </w:rPr>
        </w:r>
        <w:r w:rsidR="00DA5107">
          <w:rPr>
            <w:noProof/>
            <w:webHidden/>
          </w:rPr>
          <w:fldChar w:fldCharType="separate"/>
        </w:r>
        <w:r w:rsidR="00DA5107">
          <w:rPr>
            <w:noProof/>
            <w:webHidden/>
          </w:rPr>
          <w:t>13</w:t>
        </w:r>
        <w:r w:rsidR="00DA5107">
          <w:rPr>
            <w:noProof/>
            <w:webHidden/>
          </w:rPr>
          <w:fldChar w:fldCharType="end"/>
        </w:r>
      </w:hyperlink>
    </w:p>
    <w:p w:rsidR="00DA5107" w:rsidRDefault="000C4BEB">
      <w:pPr>
        <w:pStyle w:val="TOC2"/>
        <w:tabs>
          <w:tab w:val="left" w:pos="1927"/>
          <w:tab w:val="right" w:leader="dot" w:pos="9016"/>
        </w:tabs>
        <w:rPr>
          <w:rFonts w:asciiTheme="minorHAnsi" w:eastAsiaTheme="minorEastAsia" w:hAnsiTheme="minorHAnsi"/>
          <w:noProof/>
          <w:sz w:val="22"/>
          <w:lang w:eastAsia="en-AU"/>
        </w:rPr>
      </w:pPr>
      <w:hyperlink w:anchor="_Toc445899317" w:history="1">
        <w:r w:rsidR="00DA5107" w:rsidRPr="00D63544">
          <w:rPr>
            <w:rStyle w:val="Hyperlink"/>
            <w:noProof/>
          </w:rPr>
          <w:t xml:space="preserve">APPENDIX C </w:t>
        </w:r>
        <w:r w:rsidR="00DA5107">
          <w:rPr>
            <w:rFonts w:asciiTheme="minorHAnsi" w:eastAsiaTheme="minorEastAsia" w:hAnsiTheme="minorHAnsi"/>
            <w:noProof/>
            <w:sz w:val="22"/>
            <w:lang w:eastAsia="en-AU"/>
          </w:rPr>
          <w:tab/>
        </w:r>
        <w:r w:rsidR="00DA5107" w:rsidRPr="00D63544">
          <w:rPr>
            <w:rStyle w:val="Hyperlink"/>
            <w:noProof/>
          </w:rPr>
          <w:t xml:space="preserve"> Workflow</w:t>
        </w:r>
        <w:r w:rsidR="00DA5107">
          <w:rPr>
            <w:noProof/>
            <w:webHidden/>
          </w:rPr>
          <w:tab/>
        </w:r>
        <w:r w:rsidR="00DA5107">
          <w:rPr>
            <w:noProof/>
            <w:webHidden/>
          </w:rPr>
          <w:fldChar w:fldCharType="begin"/>
        </w:r>
        <w:r w:rsidR="00DA5107">
          <w:rPr>
            <w:noProof/>
            <w:webHidden/>
          </w:rPr>
          <w:instrText xml:space="preserve"> PAGEREF _Toc445899317 \h </w:instrText>
        </w:r>
        <w:r w:rsidR="00DA5107">
          <w:rPr>
            <w:noProof/>
            <w:webHidden/>
          </w:rPr>
        </w:r>
        <w:r w:rsidR="00DA5107">
          <w:rPr>
            <w:noProof/>
            <w:webHidden/>
          </w:rPr>
          <w:fldChar w:fldCharType="separate"/>
        </w:r>
        <w:r w:rsidR="00DA5107">
          <w:rPr>
            <w:noProof/>
            <w:webHidden/>
          </w:rPr>
          <w:t>16</w:t>
        </w:r>
        <w:r w:rsidR="00DA5107">
          <w:rPr>
            <w:noProof/>
            <w:webHidden/>
          </w:rPr>
          <w:fldChar w:fldCharType="end"/>
        </w:r>
      </w:hyperlink>
    </w:p>
    <w:p w:rsidR="001531F1" w:rsidRDefault="00A04CE3">
      <w:pPr>
        <w:rPr>
          <w:rFonts w:asciiTheme="majorHAnsi" w:eastAsiaTheme="majorEastAsia" w:hAnsiTheme="majorHAnsi" w:cstheme="majorBidi"/>
          <w:b/>
          <w:bCs/>
          <w:color w:val="4F81BD" w:themeColor="accent1"/>
          <w:sz w:val="26"/>
          <w:szCs w:val="26"/>
        </w:rPr>
      </w:pPr>
      <w:r>
        <w:fldChar w:fldCharType="end"/>
      </w:r>
    </w:p>
    <w:p w:rsidR="00A04CE3" w:rsidRDefault="00A04CE3">
      <w:pPr>
        <w:rPr>
          <w:rFonts w:asciiTheme="majorHAnsi" w:eastAsiaTheme="majorEastAsia" w:hAnsiTheme="majorHAnsi" w:cstheme="majorBidi"/>
          <w:b/>
          <w:bCs/>
          <w:color w:val="4F81BD" w:themeColor="accent1"/>
          <w:sz w:val="26"/>
          <w:szCs w:val="26"/>
        </w:rPr>
      </w:pPr>
      <w:r>
        <w:br w:type="page"/>
      </w:r>
    </w:p>
    <w:p w:rsidR="009D6778" w:rsidRDefault="009D6778" w:rsidP="003F3E9F">
      <w:pPr>
        <w:pStyle w:val="Heading2"/>
        <w:spacing w:before="0"/>
      </w:pPr>
      <w:bookmarkStart w:id="9" w:name="_Toc445899307"/>
      <w:r>
        <w:lastRenderedPageBreak/>
        <w:t>Purpose</w:t>
      </w:r>
      <w:r w:rsidR="00DA5107">
        <w:t xml:space="preserve"> and </w:t>
      </w:r>
      <w:r w:rsidR="00CC6BB4">
        <w:t>Context</w:t>
      </w:r>
      <w:bookmarkEnd w:id="9"/>
    </w:p>
    <w:p w:rsidR="00CC6BB4" w:rsidRDefault="00CC6BB4" w:rsidP="0056433F">
      <w:pPr>
        <w:spacing w:after="0" w:line="240" w:lineRule="auto"/>
        <w:rPr>
          <w:rFonts w:asciiTheme="minorHAnsi" w:hAnsiTheme="minorHAnsi" w:cs="Times New Roman"/>
          <w:szCs w:val="24"/>
        </w:rPr>
      </w:pPr>
      <w:r w:rsidRPr="004E5BE9">
        <w:rPr>
          <w:rFonts w:asciiTheme="minorHAnsi" w:hAnsiTheme="minorHAnsi" w:cs="Times New Roman"/>
          <w:szCs w:val="24"/>
        </w:rPr>
        <w:t>Under the Sixth Community Pharmacy Agreement</w:t>
      </w:r>
      <w:r w:rsidR="00BF3F68">
        <w:rPr>
          <w:rFonts w:asciiTheme="minorHAnsi" w:hAnsiTheme="minorHAnsi" w:cs="Times New Roman"/>
          <w:szCs w:val="24"/>
        </w:rPr>
        <w:t xml:space="preserve"> (6CPA)</w:t>
      </w:r>
      <w:r w:rsidRPr="004E5BE9">
        <w:rPr>
          <w:rFonts w:asciiTheme="minorHAnsi" w:hAnsiTheme="minorHAnsi" w:cs="Times New Roman"/>
          <w:szCs w:val="24"/>
        </w:rPr>
        <w:t xml:space="preserve">, $50 million has been allocated for a Pharmacy Trial </w:t>
      </w:r>
      <w:r w:rsidR="00D64C5C">
        <w:rPr>
          <w:rFonts w:asciiTheme="minorHAnsi" w:hAnsiTheme="minorHAnsi" w:cs="Times New Roman"/>
          <w:szCs w:val="24"/>
        </w:rPr>
        <w:t>Program</w:t>
      </w:r>
      <w:r w:rsidRPr="004E5BE9">
        <w:rPr>
          <w:rFonts w:asciiTheme="minorHAnsi" w:hAnsiTheme="minorHAnsi" w:cs="Times New Roman"/>
          <w:szCs w:val="24"/>
        </w:rPr>
        <w:t xml:space="preserve"> (PTP).  The </w:t>
      </w:r>
      <w:r>
        <w:rPr>
          <w:rFonts w:asciiTheme="minorHAnsi" w:hAnsiTheme="minorHAnsi" w:cs="Times New Roman"/>
          <w:szCs w:val="24"/>
        </w:rPr>
        <w:t xml:space="preserve">PTP will trial new and expanded community pharmacy </w:t>
      </w:r>
      <w:r w:rsidR="00D64C5C">
        <w:rPr>
          <w:rFonts w:asciiTheme="minorHAnsi" w:hAnsiTheme="minorHAnsi" w:cs="Times New Roman"/>
          <w:szCs w:val="24"/>
        </w:rPr>
        <w:t>program</w:t>
      </w:r>
      <w:r>
        <w:rPr>
          <w:rFonts w:asciiTheme="minorHAnsi" w:hAnsiTheme="minorHAnsi" w:cs="Times New Roman"/>
          <w:szCs w:val="24"/>
        </w:rPr>
        <w:t xml:space="preserve">s which seek to improve clinical outcomes for consumers </w:t>
      </w:r>
      <w:r w:rsidR="00C322BE">
        <w:rPr>
          <w:rFonts w:asciiTheme="minorHAnsi" w:hAnsiTheme="minorHAnsi" w:cs="Times New Roman"/>
          <w:szCs w:val="24"/>
        </w:rPr>
        <w:t>by</w:t>
      </w:r>
      <w:r>
        <w:rPr>
          <w:rFonts w:asciiTheme="minorHAnsi" w:hAnsiTheme="minorHAnsi" w:cs="Times New Roman"/>
          <w:szCs w:val="24"/>
        </w:rPr>
        <w:t xml:space="preserve"> extend</w:t>
      </w:r>
      <w:r w:rsidR="00C322BE">
        <w:rPr>
          <w:rFonts w:asciiTheme="minorHAnsi" w:hAnsiTheme="minorHAnsi" w:cs="Times New Roman"/>
          <w:szCs w:val="24"/>
        </w:rPr>
        <w:t>ing</w:t>
      </w:r>
      <w:r>
        <w:rPr>
          <w:rFonts w:asciiTheme="minorHAnsi" w:hAnsiTheme="minorHAnsi" w:cs="Times New Roman"/>
          <w:szCs w:val="24"/>
        </w:rPr>
        <w:t xml:space="preserve"> the role of pharmacists in the delivery of primary healthcare services through community pharmacy.  These trial </w:t>
      </w:r>
      <w:r w:rsidR="00D64C5C">
        <w:rPr>
          <w:rFonts w:asciiTheme="minorHAnsi" w:hAnsiTheme="minorHAnsi" w:cs="Times New Roman"/>
          <w:szCs w:val="24"/>
        </w:rPr>
        <w:t>program</w:t>
      </w:r>
      <w:r>
        <w:rPr>
          <w:rFonts w:asciiTheme="minorHAnsi" w:hAnsiTheme="minorHAnsi" w:cs="Times New Roman"/>
          <w:szCs w:val="24"/>
        </w:rPr>
        <w:t>s will be rigorously evaluated by an independent health technology assessment (HTA) committee.</w:t>
      </w:r>
    </w:p>
    <w:p w:rsidR="0056433F" w:rsidRPr="004E5BE9" w:rsidRDefault="0056433F" w:rsidP="0056433F">
      <w:pPr>
        <w:spacing w:after="0" w:line="240" w:lineRule="auto"/>
        <w:rPr>
          <w:rFonts w:asciiTheme="minorHAnsi" w:hAnsiTheme="minorHAnsi" w:cs="Times New Roman"/>
          <w:szCs w:val="24"/>
        </w:rPr>
      </w:pPr>
    </w:p>
    <w:p w:rsidR="00742BA5" w:rsidRDefault="00CC6BB4" w:rsidP="0056433F">
      <w:pPr>
        <w:spacing w:after="0" w:line="240" w:lineRule="auto"/>
        <w:rPr>
          <w:rFonts w:asciiTheme="minorHAnsi" w:hAnsiTheme="minorHAnsi" w:cs="Times New Roman"/>
          <w:szCs w:val="24"/>
        </w:rPr>
      </w:pPr>
      <w:r w:rsidRPr="004E5BE9">
        <w:rPr>
          <w:rFonts w:asciiTheme="minorHAnsi" w:hAnsiTheme="minorHAnsi" w:cs="Times New Roman"/>
          <w:szCs w:val="24"/>
        </w:rPr>
        <w:t xml:space="preserve">The purpose of this consultation paper is to seek the views of interested stakeholders about ideas for services or </w:t>
      </w:r>
      <w:r w:rsidR="00D64C5C">
        <w:rPr>
          <w:rFonts w:asciiTheme="minorHAnsi" w:hAnsiTheme="minorHAnsi" w:cs="Times New Roman"/>
          <w:szCs w:val="24"/>
        </w:rPr>
        <w:t>program</w:t>
      </w:r>
      <w:r w:rsidRPr="004E5BE9">
        <w:rPr>
          <w:rFonts w:asciiTheme="minorHAnsi" w:hAnsiTheme="minorHAnsi" w:cs="Times New Roman"/>
          <w:szCs w:val="24"/>
        </w:rPr>
        <w:t>s that can be delivered to consumers by pharmacists in the pharmacy setting.</w:t>
      </w:r>
      <w:r w:rsidR="00742BA5" w:rsidRPr="004E5BE9">
        <w:rPr>
          <w:rFonts w:asciiTheme="minorHAnsi" w:hAnsiTheme="minorHAnsi" w:cs="Times New Roman"/>
          <w:szCs w:val="24"/>
        </w:rPr>
        <w:t xml:space="preserve"> </w:t>
      </w:r>
    </w:p>
    <w:p w:rsidR="0056433F" w:rsidRDefault="0056433F" w:rsidP="0056433F">
      <w:pPr>
        <w:spacing w:after="0" w:line="240" w:lineRule="auto"/>
        <w:rPr>
          <w:rFonts w:asciiTheme="minorHAnsi" w:hAnsiTheme="minorHAnsi" w:cs="Times New Roman"/>
          <w:szCs w:val="24"/>
        </w:rPr>
      </w:pPr>
    </w:p>
    <w:p w:rsidR="00B42AC2" w:rsidRPr="004E5BE9" w:rsidRDefault="00C17B9F" w:rsidP="0056433F">
      <w:pPr>
        <w:spacing w:after="0" w:line="240" w:lineRule="auto"/>
        <w:rPr>
          <w:rFonts w:asciiTheme="minorHAnsi" w:hAnsiTheme="minorHAnsi" w:cs="Times New Roman"/>
          <w:szCs w:val="24"/>
        </w:rPr>
      </w:pPr>
      <w:r w:rsidRPr="00C17B9F">
        <w:rPr>
          <w:rFonts w:asciiTheme="minorHAnsi" w:hAnsiTheme="minorHAnsi" w:cs="Times New Roman"/>
          <w:szCs w:val="24"/>
        </w:rPr>
        <w:t xml:space="preserve">Pages 9 and 10, and </w:t>
      </w:r>
      <w:r w:rsidRPr="00C17B9F">
        <w:rPr>
          <w:rFonts w:asciiTheme="minorHAnsi" w:hAnsiTheme="minorHAnsi" w:cs="Times New Roman"/>
          <w:b/>
          <w:i/>
          <w:szCs w:val="24"/>
        </w:rPr>
        <w:t>Appendix C</w:t>
      </w:r>
      <w:r w:rsidR="00B42AC2" w:rsidRPr="00C17B9F">
        <w:rPr>
          <w:rFonts w:asciiTheme="minorHAnsi" w:hAnsiTheme="minorHAnsi" w:cs="Times New Roman"/>
          <w:szCs w:val="24"/>
        </w:rPr>
        <w:t xml:space="preserve"> describe how interested individuals and organisations can respond to a call for ideas</w:t>
      </w:r>
      <w:r w:rsidR="00A45A34" w:rsidRPr="00C17B9F">
        <w:rPr>
          <w:rFonts w:asciiTheme="minorHAnsi" w:hAnsiTheme="minorHAnsi" w:cs="Times New Roman"/>
          <w:szCs w:val="24"/>
        </w:rPr>
        <w:t xml:space="preserve"> and the process once ideas are received</w:t>
      </w:r>
      <w:r w:rsidR="00B42AC2" w:rsidRPr="00C17B9F">
        <w:rPr>
          <w:rFonts w:asciiTheme="minorHAnsi" w:hAnsiTheme="minorHAnsi" w:cs="Times New Roman"/>
          <w:szCs w:val="24"/>
        </w:rPr>
        <w:t>.</w:t>
      </w:r>
    </w:p>
    <w:p w:rsidR="0056433F" w:rsidRDefault="0056433F" w:rsidP="003F3E9F">
      <w:pPr>
        <w:pStyle w:val="Heading2"/>
        <w:spacing w:before="0"/>
      </w:pPr>
    </w:p>
    <w:p w:rsidR="00AE1AA1" w:rsidRPr="004A69BE" w:rsidRDefault="00215073" w:rsidP="003F3E9F">
      <w:pPr>
        <w:pStyle w:val="Heading2"/>
        <w:spacing w:before="0"/>
        <w:rPr>
          <w:szCs w:val="28"/>
        </w:rPr>
      </w:pPr>
      <w:bookmarkStart w:id="10" w:name="_Toc445899308"/>
      <w:r>
        <w:t>Introduction</w:t>
      </w:r>
      <w:bookmarkEnd w:id="10"/>
    </w:p>
    <w:p w:rsidR="00215073" w:rsidRDefault="00215073" w:rsidP="00215073">
      <w:pPr>
        <w:spacing w:after="0" w:line="240" w:lineRule="auto"/>
        <w:rPr>
          <w:rFonts w:asciiTheme="minorHAnsi" w:hAnsiTheme="minorHAnsi" w:cs="Times New Roman"/>
          <w:szCs w:val="24"/>
        </w:rPr>
      </w:pPr>
      <w:r w:rsidRPr="00F53D6A">
        <w:rPr>
          <w:rFonts w:asciiTheme="minorHAnsi" w:hAnsiTheme="minorHAnsi" w:cs="Times New Roman"/>
          <w:szCs w:val="24"/>
        </w:rPr>
        <w:t xml:space="preserve">The Australian Government </w:t>
      </w:r>
      <w:r>
        <w:rPr>
          <w:rFonts w:asciiTheme="minorHAnsi" w:hAnsiTheme="minorHAnsi" w:cs="Times New Roman"/>
          <w:szCs w:val="24"/>
        </w:rPr>
        <w:t>recognises the important role that the pharmacy profession</w:t>
      </w:r>
      <w:r w:rsidR="00423B3C">
        <w:rPr>
          <w:rFonts w:asciiTheme="minorHAnsi" w:hAnsiTheme="minorHAnsi" w:cs="Times New Roman"/>
          <w:szCs w:val="24"/>
        </w:rPr>
        <w:t xml:space="preserve"> </w:t>
      </w:r>
      <w:r w:rsidR="00FC04C5">
        <w:rPr>
          <w:rFonts w:asciiTheme="minorHAnsi" w:hAnsiTheme="minorHAnsi" w:cs="Times New Roman"/>
          <w:szCs w:val="24"/>
        </w:rPr>
        <w:t>can play</w:t>
      </w:r>
      <w:r w:rsidR="004A4493">
        <w:rPr>
          <w:rFonts w:asciiTheme="minorHAnsi" w:hAnsiTheme="minorHAnsi" w:cs="Times New Roman"/>
          <w:szCs w:val="24"/>
        </w:rPr>
        <w:t xml:space="preserve"> in primary </w:t>
      </w:r>
      <w:r w:rsidR="007F12E6">
        <w:rPr>
          <w:rFonts w:asciiTheme="minorHAnsi" w:hAnsiTheme="minorHAnsi" w:cs="Times New Roman"/>
          <w:szCs w:val="24"/>
        </w:rPr>
        <w:t xml:space="preserve">health </w:t>
      </w:r>
      <w:r w:rsidR="004A4493">
        <w:rPr>
          <w:rFonts w:asciiTheme="minorHAnsi" w:hAnsiTheme="minorHAnsi" w:cs="Times New Roman"/>
          <w:szCs w:val="24"/>
        </w:rPr>
        <w:t>care and</w:t>
      </w:r>
      <w:r w:rsidR="00FC04C5">
        <w:rPr>
          <w:rFonts w:asciiTheme="minorHAnsi" w:hAnsiTheme="minorHAnsi" w:cs="Times New Roman"/>
          <w:szCs w:val="24"/>
        </w:rPr>
        <w:t xml:space="preserve"> in</w:t>
      </w:r>
      <w:r w:rsidRPr="00F53D6A">
        <w:rPr>
          <w:rFonts w:asciiTheme="minorHAnsi" w:hAnsiTheme="minorHAnsi" w:cs="Times New Roman"/>
          <w:szCs w:val="24"/>
        </w:rPr>
        <w:t xml:space="preserve"> im</w:t>
      </w:r>
      <w:r w:rsidR="00FC04C5">
        <w:rPr>
          <w:rFonts w:asciiTheme="minorHAnsi" w:hAnsiTheme="minorHAnsi" w:cs="Times New Roman"/>
          <w:szCs w:val="24"/>
        </w:rPr>
        <w:t>proving</w:t>
      </w:r>
      <w:r>
        <w:rPr>
          <w:rFonts w:asciiTheme="minorHAnsi" w:hAnsiTheme="minorHAnsi" w:cs="Times New Roman"/>
          <w:szCs w:val="24"/>
        </w:rPr>
        <w:t xml:space="preserve"> patient health outcomes.</w:t>
      </w:r>
    </w:p>
    <w:p w:rsidR="00215073" w:rsidRDefault="00215073" w:rsidP="00215073">
      <w:pPr>
        <w:spacing w:after="0" w:line="240" w:lineRule="auto"/>
        <w:rPr>
          <w:rFonts w:asciiTheme="minorHAnsi" w:hAnsiTheme="minorHAnsi" w:cs="Times New Roman"/>
          <w:szCs w:val="24"/>
        </w:rPr>
      </w:pPr>
    </w:p>
    <w:p w:rsidR="00BF3F68" w:rsidRDefault="00BF3F68" w:rsidP="00BF3F68">
      <w:pPr>
        <w:spacing w:after="0" w:line="240" w:lineRule="auto"/>
        <w:rPr>
          <w:rFonts w:asciiTheme="minorHAnsi" w:hAnsiTheme="minorHAnsi" w:cs="Times New Roman"/>
          <w:szCs w:val="24"/>
        </w:rPr>
      </w:pPr>
      <w:r>
        <w:rPr>
          <w:rFonts w:asciiTheme="minorHAnsi" w:hAnsiTheme="minorHAnsi" w:cs="Times New Roman"/>
          <w:szCs w:val="24"/>
        </w:rPr>
        <w:t xml:space="preserve">Primary health care plays an important role in broader population health.  Primary health care providers, whether general practitioners, Aboriginal health workers, nurses, allied health professionals such as pharmacists, </w:t>
      </w:r>
      <w:r w:rsidR="00641D6E">
        <w:rPr>
          <w:rFonts w:asciiTheme="minorHAnsi" w:hAnsiTheme="minorHAnsi" w:cs="Times New Roman"/>
          <w:szCs w:val="24"/>
        </w:rPr>
        <w:t>dieticians</w:t>
      </w:r>
      <w:r>
        <w:rPr>
          <w:rFonts w:asciiTheme="minorHAnsi" w:hAnsiTheme="minorHAnsi" w:cs="Times New Roman"/>
          <w:szCs w:val="24"/>
        </w:rPr>
        <w:t xml:space="preserve"> or physiotherapists all play an important role in health promotion, prevention of chronic disease, risk assessment and early intervention, ongoing treatment and broader management of patient health.  </w:t>
      </w:r>
    </w:p>
    <w:p w:rsidR="00215073" w:rsidRDefault="00215073" w:rsidP="00215073">
      <w:pPr>
        <w:spacing w:after="0" w:line="240" w:lineRule="auto"/>
        <w:rPr>
          <w:rFonts w:asciiTheme="minorHAnsi" w:hAnsiTheme="minorHAnsi" w:cs="Times New Roman"/>
          <w:szCs w:val="24"/>
        </w:rPr>
      </w:pPr>
      <w:r>
        <w:rPr>
          <w:rFonts w:asciiTheme="minorHAnsi" w:hAnsiTheme="minorHAnsi" w:cs="Times New Roman"/>
          <w:szCs w:val="24"/>
        </w:rPr>
        <w:t xml:space="preserve">  </w:t>
      </w:r>
    </w:p>
    <w:p w:rsidR="00215073" w:rsidRDefault="00215073" w:rsidP="00215073">
      <w:pPr>
        <w:spacing w:after="0" w:line="240" w:lineRule="auto"/>
        <w:rPr>
          <w:rFonts w:asciiTheme="minorHAnsi" w:hAnsiTheme="minorHAnsi" w:cs="Times New Roman"/>
          <w:szCs w:val="24"/>
        </w:rPr>
      </w:pPr>
      <w:r>
        <w:rPr>
          <w:rFonts w:asciiTheme="minorHAnsi" w:hAnsiTheme="minorHAnsi" w:cs="Times New Roman"/>
          <w:szCs w:val="24"/>
        </w:rPr>
        <w:t>Effective care can offer improved he</w:t>
      </w:r>
      <w:r w:rsidR="00ED008F">
        <w:rPr>
          <w:rFonts w:asciiTheme="minorHAnsi" w:hAnsiTheme="minorHAnsi" w:cs="Times New Roman"/>
          <w:szCs w:val="24"/>
        </w:rPr>
        <w:t>alth outcomes for patients,</w:t>
      </w:r>
      <w:r>
        <w:rPr>
          <w:rFonts w:asciiTheme="minorHAnsi" w:hAnsiTheme="minorHAnsi" w:cs="Times New Roman"/>
          <w:szCs w:val="24"/>
        </w:rPr>
        <w:t xml:space="preserve"> in terms of delaying complications associated with poor health status and chronic disease, avoiding hospital admissions, and meeting local need</w:t>
      </w:r>
      <w:r w:rsidR="00ED008F">
        <w:rPr>
          <w:rFonts w:asciiTheme="minorHAnsi" w:hAnsiTheme="minorHAnsi" w:cs="Times New Roman"/>
          <w:szCs w:val="24"/>
        </w:rPr>
        <w:t>s</w:t>
      </w:r>
      <w:r>
        <w:rPr>
          <w:rFonts w:asciiTheme="minorHAnsi" w:hAnsiTheme="minorHAnsi" w:cs="Times New Roman"/>
          <w:szCs w:val="24"/>
        </w:rPr>
        <w:t xml:space="preserve"> in a way that promotes a patient centric approach to care.  </w:t>
      </w:r>
    </w:p>
    <w:p w:rsidR="00215073" w:rsidRDefault="00215073" w:rsidP="00FC7675">
      <w:pPr>
        <w:spacing w:after="0" w:line="240" w:lineRule="auto"/>
        <w:rPr>
          <w:rFonts w:asciiTheme="minorHAnsi" w:hAnsiTheme="minorHAnsi" w:cs="Times New Roman"/>
          <w:szCs w:val="24"/>
        </w:rPr>
      </w:pPr>
    </w:p>
    <w:p w:rsidR="006D1E76" w:rsidRPr="007B6C49" w:rsidRDefault="006D1E76" w:rsidP="00FC7675">
      <w:pPr>
        <w:spacing w:after="0" w:line="240" w:lineRule="auto"/>
        <w:rPr>
          <w:rFonts w:asciiTheme="minorHAnsi" w:hAnsiTheme="minorHAnsi" w:cs="Times New Roman"/>
          <w:szCs w:val="24"/>
          <w:u w:val="single"/>
        </w:rPr>
      </w:pPr>
      <w:r w:rsidRPr="007B6C49">
        <w:rPr>
          <w:rFonts w:asciiTheme="minorHAnsi" w:hAnsiTheme="minorHAnsi" w:cs="Times New Roman"/>
          <w:szCs w:val="24"/>
          <w:u w:val="single"/>
        </w:rPr>
        <w:t xml:space="preserve">Pharmacy Trial </w:t>
      </w:r>
      <w:r w:rsidR="00D64C5C">
        <w:rPr>
          <w:rFonts w:asciiTheme="minorHAnsi" w:hAnsiTheme="minorHAnsi" w:cs="Times New Roman"/>
          <w:szCs w:val="24"/>
          <w:u w:val="single"/>
        </w:rPr>
        <w:t>Program</w:t>
      </w:r>
    </w:p>
    <w:p w:rsidR="00215073" w:rsidRDefault="00215073" w:rsidP="00215073">
      <w:pPr>
        <w:spacing w:after="0" w:line="240" w:lineRule="auto"/>
        <w:rPr>
          <w:rFonts w:asciiTheme="minorHAnsi" w:hAnsiTheme="minorHAnsi" w:cs="Times New Roman"/>
          <w:szCs w:val="24"/>
        </w:rPr>
      </w:pPr>
      <w:r>
        <w:rPr>
          <w:rFonts w:asciiTheme="minorHAnsi" w:hAnsiTheme="minorHAnsi" w:cs="Times New Roman"/>
          <w:szCs w:val="24"/>
        </w:rPr>
        <w:t>Australian Government</w:t>
      </w:r>
      <w:r w:rsidRPr="00A378A2">
        <w:rPr>
          <w:rFonts w:asciiTheme="minorHAnsi" w:hAnsiTheme="minorHAnsi" w:cs="Times New Roman"/>
          <w:szCs w:val="24"/>
        </w:rPr>
        <w:t xml:space="preserve"> funding for professional services delivered by pharmacists is primarily managed through the </w:t>
      </w:r>
      <w:r>
        <w:rPr>
          <w:rFonts w:asciiTheme="minorHAnsi" w:hAnsiTheme="minorHAnsi" w:cs="Times New Roman"/>
          <w:szCs w:val="24"/>
        </w:rPr>
        <w:t>Sixth</w:t>
      </w:r>
      <w:r w:rsidRPr="00A378A2">
        <w:rPr>
          <w:rFonts w:asciiTheme="minorHAnsi" w:hAnsiTheme="minorHAnsi" w:cs="Times New Roman"/>
          <w:szCs w:val="24"/>
        </w:rPr>
        <w:t xml:space="preserve"> Community Pharmacy Agreement (</w:t>
      </w:r>
      <w:r>
        <w:rPr>
          <w:rFonts w:asciiTheme="minorHAnsi" w:hAnsiTheme="minorHAnsi" w:cs="Times New Roman"/>
          <w:szCs w:val="24"/>
        </w:rPr>
        <w:t>Sixth</w:t>
      </w:r>
      <w:r w:rsidRPr="00A378A2">
        <w:rPr>
          <w:rFonts w:asciiTheme="minorHAnsi" w:hAnsiTheme="minorHAnsi" w:cs="Times New Roman"/>
          <w:szCs w:val="24"/>
        </w:rPr>
        <w:t xml:space="preserve"> Agreement)</w:t>
      </w:r>
      <w:r>
        <w:rPr>
          <w:rFonts w:asciiTheme="minorHAnsi" w:hAnsiTheme="minorHAnsi" w:cs="Times New Roman"/>
          <w:szCs w:val="24"/>
        </w:rPr>
        <w:t>,</w:t>
      </w:r>
      <w:r w:rsidRPr="00A378A2">
        <w:rPr>
          <w:rFonts w:asciiTheme="minorHAnsi" w:hAnsiTheme="minorHAnsi" w:cs="Times New Roman"/>
          <w:szCs w:val="24"/>
        </w:rPr>
        <w:t xml:space="preserve"> between the Commonwealth and the Pharmacy Guild of Australia (the Guild).  Th</w:t>
      </w:r>
      <w:r>
        <w:rPr>
          <w:rFonts w:asciiTheme="minorHAnsi" w:hAnsiTheme="minorHAnsi" w:cs="Times New Roman"/>
          <w:szCs w:val="24"/>
        </w:rPr>
        <w:t>e Six</w:t>
      </w:r>
      <w:r w:rsidR="00A51070">
        <w:rPr>
          <w:rFonts w:asciiTheme="minorHAnsi" w:hAnsiTheme="minorHAnsi" w:cs="Times New Roman"/>
          <w:szCs w:val="24"/>
        </w:rPr>
        <w:t>th Agreement, which was signed o</w:t>
      </w:r>
      <w:r>
        <w:rPr>
          <w:rFonts w:asciiTheme="minorHAnsi" w:hAnsiTheme="minorHAnsi" w:cs="Times New Roman"/>
          <w:szCs w:val="24"/>
        </w:rPr>
        <w:t xml:space="preserve">n </w:t>
      </w:r>
      <w:r w:rsidR="00A51070">
        <w:rPr>
          <w:rFonts w:asciiTheme="minorHAnsi" w:hAnsiTheme="minorHAnsi" w:cs="Times New Roman"/>
          <w:szCs w:val="24"/>
        </w:rPr>
        <w:t xml:space="preserve">23 </w:t>
      </w:r>
      <w:r>
        <w:rPr>
          <w:rFonts w:asciiTheme="minorHAnsi" w:hAnsiTheme="minorHAnsi" w:cs="Times New Roman"/>
          <w:szCs w:val="24"/>
        </w:rPr>
        <w:t xml:space="preserve">May 2015, will deliver $50 million for a Pharmacy Trial </w:t>
      </w:r>
      <w:r w:rsidR="00D64C5C">
        <w:rPr>
          <w:rFonts w:asciiTheme="minorHAnsi" w:hAnsiTheme="minorHAnsi" w:cs="Times New Roman"/>
          <w:szCs w:val="24"/>
        </w:rPr>
        <w:t>Program</w:t>
      </w:r>
      <w:r>
        <w:rPr>
          <w:rFonts w:asciiTheme="minorHAnsi" w:hAnsiTheme="minorHAnsi" w:cs="Times New Roman"/>
          <w:szCs w:val="24"/>
        </w:rPr>
        <w:t xml:space="preserve"> (PTP).  The PTP will trial new and expanded community pharmacy </w:t>
      </w:r>
      <w:r w:rsidR="00D64C5C">
        <w:rPr>
          <w:rFonts w:asciiTheme="minorHAnsi" w:hAnsiTheme="minorHAnsi" w:cs="Times New Roman"/>
          <w:szCs w:val="24"/>
        </w:rPr>
        <w:t>program</w:t>
      </w:r>
      <w:r>
        <w:rPr>
          <w:rFonts w:asciiTheme="minorHAnsi" w:hAnsiTheme="minorHAnsi" w:cs="Times New Roman"/>
          <w:szCs w:val="24"/>
        </w:rPr>
        <w:t>s which seek to improve clinical outcomes for consumers and/or extend the role of pharmacists in the delivery of primary health</w:t>
      </w:r>
      <w:r w:rsidR="00C342BA">
        <w:rPr>
          <w:rFonts w:asciiTheme="minorHAnsi" w:hAnsiTheme="minorHAnsi" w:cs="Times New Roman"/>
          <w:szCs w:val="24"/>
        </w:rPr>
        <w:t xml:space="preserve"> </w:t>
      </w:r>
      <w:r>
        <w:rPr>
          <w:rFonts w:asciiTheme="minorHAnsi" w:hAnsiTheme="minorHAnsi" w:cs="Times New Roman"/>
          <w:szCs w:val="24"/>
        </w:rPr>
        <w:t xml:space="preserve">care services through community pharmacy.  </w:t>
      </w:r>
    </w:p>
    <w:p w:rsidR="00F47763" w:rsidRDefault="00F47763" w:rsidP="005809C7">
      <w:pPr>
        <w:spacing w:after="0" w:line="240" w:lineRule="auto"/>
        <w:rPr>
          <w:rFonts w:asciiTheme="minorHAnsi" w:hAnsiTheme="minorHAnsi" w:cs="Times New Roman"/>
          <w:szCs w:val="24"/>
        </w:rPr>
      </w:pPr>
    </w:p>
    <w:p w:rsidR="005809C7" w:rsidRDefault="005809C7" w:rsidP="005809C7">
      <w:pPr>
        <w:spacing w:after="0" w:line="240" w:lineRule="auto"/>
        <w:rPr>
          <w:rFonts w:asciiTheme="minorHAnsi" w:hAnsiTheme="minorHAnsi" w:cs="Times New Roman"/>
          <w:szCs w:val="24"/>
        </w:rPr>
      </w:pPr>
      <w:r>
        <w:rPr>
          <w:rFonts w:asciiTheme="minorHAnsi" w:hAnsiTheme="minorHAnsi" w:cs="Times New Roman"/>
          <w:szCs w:val="24"/>
        </w:rPr>
        <w:t>In addition to the PTP, t</w:t>
      </w:r>
      <w:r w:rsidRPr="00366FC0">
        <w:rPr>
          <w:rFonts w:asciiTheme="minorHAnsi" w:hAnsiTheme="minorHAnsi" w:cs="Times New Roman"/>
          <w:szCs w:val="24"/>
        </w:rPr>
        <w:t>he Sixth Agreement</w:t>
      </w:r>
      <w:r>
        <w:rPr>
          <w:rFonts w:asciiTheme="minorHAnsi" w:hAnsiTheme="minorHAnsi" w:cs="Times New Roman"/>
          <w:szCs w:val="24"/>
        </w:rPr>
        <w:t xml:space="preserve"> provides funds of $613 million to continue</w:t>
      </w:r>
      <w:r w:rsidR="007B6C49">
        <w:rPr>
          <w:rFonts w:asciiTheme="minorHAnsi" w:hAnsiTheme="minorHAnsi" w:cs="Times New Roman"/>
          <w:szCs w:val="24"/>
        </w:rPr>
        <w:t xml:space="preserve"> </w:t>
      </w:r>
      <w:r w:rsidRPr="00366FC0">
        <w:rPr>
          <w:rFonts w:asciiTheme="minorHAnsi" w:hAnsiTheme="minorHAnsi" w:cs="Times New Roman"/>
          <w:szCs w:val="24"/>
        </w:rPr>
        <w:t>a range</w:t>
      </w:r>
      <w:r w:rsidR="007B6C49">
        <w:rPr>
          <w:rFonts w:asciiTheme="minorHAnsi" w:hAnsiTheme="minorHAnsi" w:cs="Times New Roman"/>
          <w:szCs w:val="24"/>
        </w:rPr>
        <w:t xml:space="preserve"> of</w:t>
      </w:r>
      <w:r w:rsidRPr="00366FC0">
        <w:rPr>
          <w:rFonts w:asciiTheme="minorHAnsi" w:hAnsiTheme="minorHAnsi" w:cs="Times New Roman"/>
          <w:szCs w:val="24"/>
        </w:rPr>
        <w:t xml:space="preserve"> professional services and </w:t>
      </w:r>
      <w:r w:rsidR="00D64C5C">
        <w:rPr>
          <w:rFonts w:asciiTheme="minorHAnsi" w:hAnsiTheme="minorHAnsi" w:cs="Times New Roman"/>
          <w:szCs w:val="24"/>
        </w:rPr>
        <w:t>program</w:t>
      </w:r>
      <w:r w:rsidRPr="00366FC0">
        <w:rPr>
          <w:rFonts w:asciiTheme="minorHAnsi" w:hAnsiTheme="minorHAnsi" w:cs="Times New Roman"/>
          <w:szCs w:val="24"/>
        </w:rPr>
        <w:t xml:space="preserve">s aimed at improving medication management and health outcomes for patients, which are outlined at </w:t>
      </w:r>
      <w:r w:rsidRPr="003048BA">
        <w:rPr>
          <w:rFonts w:asciiTheme="minorHAnsi" w:hAnsiTheme="minorHAnsi" w:cs="Times New Roman"/>
          <w:b/>
          <w:i/>
          <w:szCs w:val="24"/>
        </w:rPr>
        <w:t>Appendix A</w:t>
      </w:r>
      <w:r w:rsidRPr="00366FC0">
        <w:rPr>
          <w:rFonts w:asciiTheme="minorHAnsi" w:hAnsiTheme="minorHAnsi" w:cs="Times New Roman"/>
          <w:szCs w:val="24"/>
        </w:rPr>
        <w:t>.</w:t>
      </w:r>
      <w:r>
        <w:rPr>
          <w:rFonts w:asciiTheme="minorHAnsi" w:hAnsiTheme="minorHAnsi" w:cs="Times New Roman"/>
          <w:szCs w:val="24"/>
        </w:rPr>
        <w:t xml:space="preserve">  </w:t>
      </w:r>
    </w:p>
    <w:p w:rsidR="005809C7" w:rsidRDefault="005809C7" w:rsidP="00215073">
      <w:pPr>
        <w:spacing w:after="0" w:line="240" w:lineRule="auto"/>
        <w:rPr>
          <w:rFonts w:asciiTheme="minorHAnsi" w:hAnsiTheme="minorHAnsi" w:cs="Times New Roman"/>
          <w:szCs w:val="24"/>
        </w:rPr>
      </w:pPr>
    </w:p>
    <w:p w:rsidR="00215073" w:rsidRDefault="005809C7" w:rsidP="00215073">
      <w:pPr>
        <w:spacing w:after="0" w:line="240" w:lineRule="auto"/>
        <w:rPr>
          <w:rFonts w:asciiTheme="minorHAnsi" w:hAnsiTheme="minorHAnsi" w:cs="Times New Roman"/>
          <w:szCs w:val="24"/>
        </w:rPr>
      </w:pPr>
      <w:r>
        <w:rPr>
          <w:rFonts w:asciiTheme="minorHAnsi" w:hAnsiTheme="minorHAnsi" w:cs="Times New Roman"/>
          <w:szCs w:val="24"/>
        </w:rPr>
        <w:t xml:space="preserve">Further funding of $600 million has been set aside to support recommendations by an independent health technology assessment committee (HTA) about which new </w:t>
      </w:r>
      <w:r w:rsidR="00D64C5C">
        <w:rPr>
          <w:rFonts w:asciiTheme="minorHAnsi" w:hAnsiTheme="minorHAnsi" w:cs="Times New Roman"/>
          <w:szCs w:val="24"/>
        </w:rPr>
        <w:t>program</w:t>
      </w:r>
      <w:r>
        <w:rPr>
          <w:rFonts w:asciiTheme="minorHAnsi" w:hAnsiTheme="minorHAnsi" w:cs="Times New Roman"/>
          <w:szCs w:val="24"/>
        </w:rPr>
        <w:t xml:space="preserve">s should continue to be funded after trials conclude, and which existing </w:t>
      </w:r>
      <w:r w:rsidR="00D64C5C">
        <w:rPr>
          <w:rFonts w:asciiTheme="minorHAnsi" w:hAnsiTheme="minorHAnsi" w:cs="Times New Roman"/>
          <w:szCs w:val="24"/>
        </w:rPr>
        <w:t>program</w:t>
      </w:r>
      <w:r>
        <w:rPr>
          <w:rFonts w:asciiTheme="minorHAnsi" w:hAnsiTheme="minorHAnsi" w:cs="Times New Roman"/>
          <w:szCs w:val="24"/>
        </w:rPr>
        <w:t xml:space="preserve">s </w:t>
      </w:r>
      <w:r w:rsidR="00F47763">
        <w:rPr>
          <w:rFonts w:asciiTheme="minorHAnsi" w:hAnsiTheme="minorHAnsi" w:cs="Times New Roman"/>
          <w:szCs w:val="24"/>
        </w:rPr>
        <w:br/>
      </w:r>
      <w:r>
        <w:rPr>
          <w:rFonts w:asciiTheme="minorHAnsi" w:hAnsiTheme="minorHAnsi" w:cs="Times New Roman"/>
          <w:szCs w:val="24"/>
        </w:rPr>
        <w:lastRenderedPageBreak/>
        <w:t>(</w:t>
      </w:r>
      <w:r w:rsidRPr="007B6C49">
        <w:rPr>
          <w:rFonts w:asciiTheme="minorHAnsi" w:hAnsiTheme="minorHAnsi" w:cs="Times New Roman"/>
          <w:b/>
          <w:i/>
          <w:szCs w:val="24"/>
        </w:rPr>
        <w:t>Appendix A</w:t>
      </w:r>
      <w:r>
        <w:rPr>
          <w:rFonts w:asciiTheme="minorHAnsi" w:hAnsiTheme="minorHAnsi" w:cs="Times New Roman"/>
          <w:szCs w:val="24"/>
        </w:rPr>
        <w:t>)  should continue, again following</w:t>
      </w:r>
      <w:r w:rsidR="00215073">
        <w:rPr>
          <w:rFonts w:asciiTheme="minorHAnsi" w:hAnsiTheme="minorHAnsi" w:cs="Times New Roman"/>
          <w:szCs w:val="24"/>
        </w:rPr>
        <w:t xml:space="preserve"> a review of the</w:t>
      </w:r>
      <w:r>
        <w:rPr>
          <w:rFonts w:asciiTheme="minorHAnsi" w:hAnsiTheme="minorHAnsi" w:cs="Times New Roman"/>
          <w:szCs w:val="24"/>
        </w:rPr>
        <w:t>se</w:t>
      </w:r>
      <w:r w:rsidR="00215073">
        <w:rPr>
          <w:rFonts w:asciiTheme="minorHAnsi" w:hAnsiTheme="minorHAnsi" w:cs="Times New Roman"/>
          <w:szCs w:val="24"/>
        </w:rPr>
        <w:t xml:space="preserve"> ongoing Sixth Agreement </w:t>
      </w:r>
      <w:r w:rsidR="00D64C5C">
        <w:rPr>
          <w:rFonts w:asciiTheme="minorHAnsi" w:hAnsiTheme="minorHAnsi" w:cs="Times New Roman"/>
          <w:szCs w:val="24"/>
        </w:rPr>
        <w:t>program</w:t>
      </w:r>
      <w:r w:rsidR="00215073">
        <w:rPr>
          <w:rFonts w:asciiTheme="minorHAnsi" w:hAnsiTheme="minorHAnsi" w:cs="Times New Roman"/>
          <w:szCs w:val="24"/>
        </w:rPr>
        <w:t xml:space="preserve">s by an independent HTA </w:t>
      </w:r>
      <w:r w:rsidR="006D1E76">
        <w:rPr>
          <w:rFonts w:asciiTheme="minorHAnsi" w:hAnsiTheme="minorHAnsi" w:cs="Times New Roman"/>
          <w:szCs w:val="24"/>
        </w:rPr>
        <w:t>body</w:t>
      </w:r>
      <w:r w:rsidR="00215073">
        <w:rPr>
          <w:rFonts w:asciiTheme="minorHAnsi" w:hAnsiTheme="minorHAnsi" w:cs="Times New Roman"/>
          <w:szCs w:val="24"/>
        </w:rPr>
        <w:t>.</w:t>
      </w:r>
    </w:p>
    <w:p w:rsidR="00215073" w:rsidRDefault="00215073" w:rsidP="00215073">
      <w:pPr>
        <w:spacing w:after="0" w:line="240" w:lineRule="auto"/>
        <w:rPr>
          <w:rFonts w:asciiTheme="minorHAnsi" w:hAnsiTheme="minorHAnsi" w:cs="Times New Roman"/>
          <w:szCs w:val="24"/>
        </w:rPr>
      </w:pPr>
    </w:p>
    <w:p w:rsidR="00215073" w:rsidRDefault="00215073" w:rsidP="00215073">
      <w:pPr>
        <w:spacing w:after="0" w:line="240" w:lineRule="auto"/>
        <w:rPr>
          <w:rFonts w:asciiTheme="minorHAnsi" w:hAnsiTheme="minorHAnsi" w:cs="Times New Roman"/>
          <w:szCs w:val="24"/>
        </w:rPr>
      </w:pPr>
      <w:r>
        <w:rPr>
          <w:rFonts w:asciiTheme="minorHAnsi" w:hAnsiTheme="minorHAnsi" w:cs="Times New Roman"/>
          <w:szCs w:val="24"/>
        </w:rPr>
        <w:t xml:space="preserve">The Australian Government has committed, through the Sixth Agreement, to an open and transparent consultation process to establish </w:t>
      </w:r>
      <w:r w:rsidR="00D64C5C">
        <w:rPr>
          <w:rFonts w:asciiTheme="minorHAnsi" w:hAnsiTheme="minorHAnsi" w:cs="Times New Roman"/>
          <w:szCs w:val="24"/>
        </w:rPr>
        <w:t>program</w:t>
      </w:r>
      <w:r>
        <w:rPr>
          <w:rFonts w:asciiTheme="minorHAnsi" w:hAnsiTheme="minorHAnsi" w:cs="Times New Roman"/>
          <w:szCs w:val="24"/>
        </w:rPr>
        <w:t>s to be trialled through the PTP.  The first step of this p</w:t>
      </w:r>
      <w:r w:rsidR="00FC04C5">
        <w:rPr>
          <w:rFonts w:asciiTheme="minorHAnsi" w:hAnsiTheme="minorHAnsi" w:cs="Times New Roman"/>
          <w:szCs w:val="24"/>
        </w:rPr>
        <w:t>rocess was</w:t>
      </w:r>
      <w:r>
        <w:rPr>
          <w:rFonts w:asciiTheme="minorHAnsi" w:hAnsiTheme="minorHAnsi" w:cs="Times New Roman"/>
          <w:szCs w:val="24"/>
        </w:rPr>
        <w:t xml:space="preserve"> a consultation</w:t>
      </w:r>
      <w:r w:rsidR="00306F8F">
        <w:rPr>
          <w:rFonts w:asciiTheme="minorHAnsi" w:hAnsiTheme="minorHAnsi" w:cs="Times New Roman"/>
          <w:szCs w:val="24"/>
        </w:rPr>
        <w:t xml:space="preserve"> on 2</w:t>
      </w:r>
      <w:r w:rsidR="005809C7">
        <w:rPr>
          <w:rFonts w:asciiTheme="minorHAnsi" w:hAnsiTheme="minorHAnsi" w:cs="Times New Roman"/>
          <w:szCs w:val="24"/>
        </w:rPr>
        <w:t>6</w:t>
      </w:r>
      <w:r w:rsidR="00306F8F">
        <w:rPr>
          <w:rFonts w:asciiTheme="minorHAnsi" w:hAnsiTheme="minorHAnsi" w:cs="Times New Roman"/>
          <w:szCs w:val="24"/>
        </w:rPr>
        <w:t xml:space="preserve"> October 2015</w:t>
      </w:r>
      <w:r>
        <w:rPr>
          <w:rFonts w:asciiTheme="minorHAnsi" w:hAnsiTheme="minorHAnsi" w:cs="Times New Roman"/>
          <w:szCs w:val="24"/>
        </w:rPr>
        <w:t xml:space="preserve"> with pharmacy, medical and consumer </w:t>
      </w:r>
      <w:r w:rsidR="00FC04C5">
        <w:rPr>
          <w:rFonts w:asciiTheme="minorHAnsi" w:hAnsiTheme="minorHAnsi" w:cs="Times New Roman"/>
          <w:szCs w:val="24"/>
        </w:rPr>
        <w:t>peak bodies and organisations</w:t>
      </w:r>
      <w:r w:rsidR="009D6778">
        <w:rPr>
          <w:rFonts w:asciiTheme="minorHAnsi" w:hAnsiTheme="minorHAnsi" w:cs="Times New Roman"/>
          <w:szCs w:val="24"/>
        </w:rPr>
        <w:t xml:space="preserve"> where stakeholders</w:t>
      </w:r>
      <w:r w:rsidR="00ED008F">
        <w:rPr>
          <w:rFonts w:asciiTheme="minorHAnsi" w:hAnsiTheme="minorHAnsi" w:cs="Times New Roman"/>
          <w:szCs w:val="24"/>
        </w:rPr>
        <w:t xml:space="preserve"> were invited to provide input on</w:t>
      </w:r>
      <w:r>
        <w:rPr>
          <w:rFonts w:asciiTheme="minorHAnsi" w:hAnsiTheme="minorHAnsi" w:cs="Times New Roman"/>
          <w:szCs w:val="24"/>
        </w:rPr>
        <w:t xml:space="preserve"> essential principles and priority areas for funding trial </w:t>
      </w:r>
      <w:r w:rsidR="00D64C5C">
        <w:rPr>
          <w:rFonts w:asciiTheme="minorHAnsi" w:hAnsiTheme="minorHAnsi" w:cs="Times New Roman"/>
          <w:szCs w:val="24"/>
        </w:rPr>
        <w:t>program</w:t>
      </w:r>
      <w:r>
        <w:rPr>
          <w:rFonts w:asciiTheme="minorHAnsi" w:hAnsiTheme="minorHAnsi" w:cs="Times New Roman"/>
          <w:szCs w:val="24"/>
        </w:rPr>
        <w:t>s.</w:t>
      </w:r>
      <w:r w:rsidR="007B6C49">
        <w:rPr>
          <w:rFonts w:asciiTheme="minorHAnsi" w:hAnsiTheme="minorHAnsi" w:cs="Times New Roman"/>
          <w:szCs w:val="24"/>
        </w:rPr>
        <w:t xml:space="preserve">  There have</w:t>
      </w:r>
      <w:r w:rsidR="00423B3C">
        <w:rPr>
          <w:rFonts w:asciiTheme="minorHAnsi" w:hAnsiTheme="minorHAnsi" w:cs="Times New Roman"/>
          <w:szCs w:val="24"/>
        </w:rPr>
        <w:t xml:space="preserve"> been further consultation</w:t>
      </w:r>
      <w:r w:rsidR="009D6778">
        <w:rPr>
          <w:rFonts w:asciiTheme="minorHAnsi" w:hAnsiTheme="minorHAnsi" w:cs="Times New Roman"/>
          <w:szCs w:val="24"/>
        </w:rPr>
        <w:t>s</w:t>
      </w:r>
      <w:r w:rsidR="00423B3C">
        <w:rPr>
          <w:rFonts w:asciiTheme="minorHAnsi" w:hAnsiTheme="minorHAnsi" w:cs="Times New Roman"/>
          <w:szCs w:val="24"/>
        </w:rPr>
        <w:t xml:space="preserve"> since that date with stakeholde</w:t>
      </w:r>
      <w:r w:rsidR="007B6C49">
        <w:rPr>
          <w:rFonts w:asciiTheme="minorHAnsi" w:hAnsiTheme="minorHAnsi" w:cs="Times New Roman"/>
          <w:szCs w:val="24"/>
        </w:rPr>
        <w:t>r groups and peak bodies and a</w:t>
      </w:r>
      <w:r w:rsidR="00423B3C">
        <w:rPr>
          <w:rFonts w:asciiTheme="minorHAnsi" w:hAnsiTheme="minorHAnsi" w:cs="Times New Roman"/>
          <w:szCs w:val="24"/>
        </w:rPr>
        <w:t xml:space="preserve"> recently formed Trials Advisory Group</w:t>
      </w:r>
      <w:r w:rsidR="003B4BFE">
        <w:rPr>
          <w:rFonts w:asciiTheme="minorHAnsi" w:hAnsiTheme="minorHAnsi" w:cs="Times New Roman"/>
          <w:szCs w:val="24"/>
        </w:rPr>
        <w:t xml:space="preserve"> (TAG)</w:t>
      </w:r>
      <w:r w:rsidR="006D1E76">
        <w:rPr>
          <w:rFonts w:asciiTheme="minorHAnsi" w:hAnsiTheme="minorHAnsi" w:cs="Times New Roman"/>
          <w:szCs w:val="24"/>
        </w:rPr>
        <w:t>.  T</w:t>
      </w:r>
      <w:r w:rsidR="00A51070">
        <w:rPr>
          <w:rFonts w:asciiTheme="minorHAnsi" w:hAnsiTheme="minorHAnsi" w:cs="Times New Roman"/>
          <w:szCs w:val="24"/>
        </w:rPr>
        <w:t>hese consultations will continue throughout the life of the PTP</w:t>
      </w:r>
      <w:r w:rsidR="00423B3C">
        <w:rPr>
          <w:rFonts w:asciiTheme="minorHAnsi" w:hAnsiTheme="minorHAnsi" w:cs="Times New Roman"/>
          <w:szCs w:val="24"/>
        </w:rPr>
        <w:t>.</w:t>
      </w:r>
    </w:p>
    <w:p w:rsidR="00215073" w:rsidRDefault="00215073" w:rsidP="00215073">
      <w:pPr>
        <w:spacing w:after="0" w:line="240" w:lineRule="auto"/>
        <w:rPr>
          <w:rFonts w:asciiTheme="minorHAnsi" w:hAnsiTheme="minorHAnsi" w:cs="Times New Roman"/>
          <w:szCs w:val="24"/>
        </w:rPr>
      </w:pPr>
    </w:p>
    <w:p w:rsidR="005C3BE0" w:rsidRDefault="00FC04C5" w:rsidP="00FC04C5">
      <w:pPr>
        <w:spacing w:after="0" w:line="240" w:lineRule="auto"/>
        <w:rPr>
          <w:rFonts w:asciiTheme="minorHAnsi" w:hAnsiTheme="minorHAnsi" w:cs="Times New Roman"/>
          <w:szCs w:val="24"/>
        </w:rPr>
      </w:pPr>
      <w:r>
        <w:rPr>
          <w:rFonts w:asciiTheme="minorHAnsi" w:hAnsiTheme="minorHAnsi" w:cs="Times New Roman"/>
          <w:szCs w:val="24"/>
        </w:rPr>
        <w:t>This paper frame</w:t>
      </w:r>
      <w:r w:rsidR="00774945">
        <w:rPr>
          <w:rFonts w:asciiTheme="minorHAnsi" w:hAnsiTheme="minorHAnsi" w:cs="Times New Roman"/>
          <w:szCs w:val="24"/>
        </w:rPr>
        <w:t>s</w:t>
      </w:r>
      <w:r>
        <w:rPr>
          <w:rFonts w:asciiTheme="minorHAnsi" w:hAnsiTheme="minorHAnsi" w:cs="Times New Roman"/>
          <w:szCs w:val="24"/>
        </w:rPr>
        <w:t xml:space="preserve"> the current</w:t>
      </w:r>
      <w:r w:rsidR="00774945">
        <w:rPr>
          <w:rFonts w:asciiTheme="minorHAnsi" w:hAnsiTheme="minorHAnsi" w:cs="Times New Roman"/>
          <w:szCs w:val="24"/>
        </w:rPr>
        <w:t xml:space="preserve"> primary health</w:t>
      </w:r>
      <w:r w:rsidR="00C342BA">
        <w:rPr>
          <w:rFonts w:asciiTheme="minorHAnsi" w:hAnsiTheme="minorHAnsi" w:cs="Times New Roman"/>
          <w:szCs w:val="24"/>
        </w:rPr>
        <w:t xml:space="preserve"> </w:t>
      </w:r>
      <w:r w:rsidR="00774945">
        <w:rPr>
          <w:rFonts w:asciiTheme="minorHAnsi" w:hAnsiTheme="minorHAnsi" w:cs="Times New Roman"/>
          <w:szCs w:val="24"/>
        </w:rPr>
        <w:t>care</w:t>
      </w:r>
      <w:r>
        <w:rPr>
          <w:rFonts w:asciiTheme="minorHAnsi" w:hAnsiTheme="minorHAnsi" w:cs="Times New Roman"/>
          <w:szCs w:val="24"/>
        </w:rPr>
        <w:t xml:space="preserve"> environment, the challenges that are being faced within primary</w:t>
      </w:r>
      <w:r w:rsidR="007F12E6">
        <w:rPr>
          <w:rFonts w:asciiTheme="minorHAnsi" w:hAnsiTheme="minorHAnsi" w:cs="Times New Roman"/>
          <w:szCs w:val="24"/>
        </w:rPr>
        <w:t xml:space="preserve"> health</w:t>
      </w:r>
      <w:r>
        <w:rPr>
          <w:rFonts w:asciiTheme="minorHAnsi" w:hAnsiTheme="minorHAnsi" w:cs="Times New Roman"/>
          <w:szCs w:val="24"/>
        </w:rPr>
        <w:t xml:space="preserve"> care and pharmacy and </w:t>
      </w:r>
      <w:r w:rsidR="00423B3C">
        <w:rPr>
          <w:rFonts w:asciiTheme="minorHAnsi" w:hAnsiTheme="minorHAnsi" w:cs="Times New Roman"/>
          <w:szCs w:val="24"/>
        </w:rPr>
        <w:t>describe</w:t>
      </w:r>
      <w:r w:rsidR="004C7559">
        <w:rPr>
          <w:rFonts w:asciiTheme="minorHAnsi" w:hAnsiTheme="minorHAnsi" w:cs="Times New Roman"/>
          <w:szCs w:val="24"/>
        </w:rPr>
        <w:t>s</w:t>
      </w:r>
      <w:r w:rsidR="00423B3C">
        <w:rPr>
          <w:rFonts w:asciiTheme="minorHAnsi" w:hAnsiTheme="minorHAnsi" w:cs="Times New Roman"/>
          <w:szCs w:val="24"/>
        </w:rPr>
        <w:t xml:space="preserve"> the processes involved in</w:t>
      </w:r>
      <w:r>
        <w:rPr>
          <w:rFonts w:asciiTheme="minorHAnsi" w:hAnsiTheme="minorHAnsi" w:cs="Times New Roman"/>
          <w:szCs w:val="24"/>
        </w:rPr>
        <w:t xml:space="preserve"> </w:t>
      </w:r>
      <w:r w:rsidR="00423B3C">
        <w:rPr>
          <w:rFonts w:asciiTheme="minorHAnsi" w:hAnsiTheme="minorHAnsi" w:cs="Times New Roman"/>
          <w:szCs w:val="24"/>
        </w:rPr>
        <w:t>determining</w:t>
      </w:r>
      <w:r>
        <w:rPr>
          <w:rFonts w:asciiTheme="minorHAnsi" w:hAnsiTheme="minorHAnsi" w:cs="Times New Roman"/>
          <w:szCs w:val="24"/>
        </w:rPr>
        <w:t xml:space="preserve"> priority areas for tri</w:t>
      </w:r>
      <w:r w:rsidR="00423B3C">
        <w:rPr>
          <w:rFonts w:asciiTheme="minorHAnsi" w:hAnsiTheme="minorHAnsi" w:cs="Times New Roman"/>
          <w:szCs w:val="24"/>
        </w:rPr>
        <w:t xml:space="preserve">al </w:t>
      </w:r>
      <w:r w:rsidR="00D64C5C">
        <w:rPr>
          <w:rFonts w:asciiTheme="minorHAnsi" w:hAnsiTheme="minorHAnsi" w:cs="Times New Roman"/>
          <w:szCs w:val="24"/>
        </w:rPr>
        <w:t>program</w:t>
      </w:r>
      <w:r w:rsidR="00423B3C">
        <w:rPr>
          <w:rFonts w:asciiTheme="minorHAnsi" w:hAnsiTheme="minorHAnsi" w:cs="Times New Roman"/>
          <w:szCs w:val="24"/>
        </w:rPr>
        <w:t>s</w:t>
      </w:r>
      <w:r w:rsidR="007B6C49">
        <w:rPr>
          <w:rFonts w:asciiTheme="minorHAnsi" w:hAnsiTheme="minorHAnsi" w:cs="Times New Roman"/>
          <w:szCs w:val="24"/>
        </w:rPr>
        <w:t xml:space="preserve"> and seeking ideas on </w:t>
      </w:r>
      <w:r w:rsidR="00D64C5C">
        <w:rPr>
          <w:rFonts w:asciiTheme="minorHAnsi" w:hAnsiTheme="minorHAnsi" w:cs="Times New Roman"/>
          <w:szCs w:val="24"/>
        </w:rPr>
        <w:t>program</w:t>
      </w:r>
      <w:r w:rsidR="007B6C49">
        <w:rPr>
          <w:rFonts w:asciiTheme="minorHAnsi" w:hAnsiTheme="minorHAnsi" w:cs="Times New Roman"/>
          <w:szCs w:val="24"/>
        </w:rPr>
        <w:t>s to be funded</w:t>
      </w:r>
      <w:r w:rsidR="00423B3C">
        <w:rPr>
          <w:rFonts w:asciiTheme="minorHAnsi" w:hAnsiTheme="minorHAnsi" w:cs="Times New Roman"/>
          <w:szCs w:val="24"/>
        </w:rPr>
        <w:t xml:space="preserve">.  </w:t>
      </w:r>
    </w:p>
    <w:p w:rsidR="005C3BE0" w:rsidRDefault="005C3BE0" w:rsidP="00FC04C5">
      <w:pPr>
        <w:spacing w:after="0" w:line="240" w:lineRule="auto"/>
        <w:rPr>
          <w:rFonts w:asciiTheme="minorHAnsi" w:hAnsiTheme="minorHAnsi" w:cs="Times New Roman"/>
          <w:szCs w:val="24"/>
        </w:rPr>
      </w:pPr>
    </w:p>
    <w:p w:rsidR="00FC04C5" w:rsidRDefault="009D6778" w:rsidP="00FC04C5">
      <w:pPr>
        <w:spacing w:after="0" w:line="240" w:lineRule="auto"/>
        <w:rPr>
          <w:rFonts w:asciiTheme="minorHAnsi" w:hAnsiTheme="minorHAnsi" w:cs="Times New Roman"/>
          <w:szCs w:val="24"/>
        </w:rPr>
      </w:pPr>
      <w:r>
        <w:rPr>
          <w:rFonts w:asciiTheme="minorHAnsi" w:hAnsiTheme="minorHAnsi" w:cs="Times New Roman"/>
          <w:szCs w:val="24"/>
        </w:rPr>
        <w:t>This paper invites s</w:t>
      </w:r>
      <w:r w:rsidR="00FC04C5">
        <w:rPr>
          <w:rFonts w:asciiTheme="minorHAnsi" w:hAnsiTheme="minorHAnsi" w:cs="Times New Roman"/>
          <w:szCs w:val="24"/>
        </w:rPr>
        <w:t xml:space="preserve">takeholders </w:t>
      </w:r>
      <w:r w:rsidR="00423B3C">
        <w:rPr>
          <w:rFonts w:asciiTheme="minorHAnsi" w:hAnsiTheme="minorHAnsi" w:cs="Times New Roman"/>
          <w:szCs w:val="24"/>
        </w:rPr>
        <w:t xml:space="preserve">to outline any ideas they may have for new pharmacy services and </w:t>
      </w:r>
      <w:r w:rsidR="00D64C5C">
        <w:rPr>
          <w:rFonts w:asciiTheme="minorHAnsi" w:hAnsiTheme="minorHAnsi" w:cs="Times New Roman"/>
          <w:szCs w:val="24"/>
        </w:rPr>
        <w:t>program</w:t>
      </w:r>
      <w:r w:rsidR="00423B3C">
        <w:rPr>
          <w:rFonts w:asciiTheme="minorHAnsi" w:hAnsiTheme="minorHAnsi" w:cs="Times New Roman"/>
          <w:szCs w:val="24"/>
        </w:rPr>
        <w:t>s</w:t>
      </w:r>
      <w:r w:rsidR="00FC04C5">
        <w:rPr>
          <w:rFonts w:asciiTheme="minorHAnsi" w:hAnsiTheme="minorHAnsi" w:cs="Times New Roman"/>
          <w:szCs w:val="24"/>
        </w:rPr>
        <w:t xml:space="preserve"> for consideration </w:t>
      </w:r>
      <w:r w:rsidR="005809C7">
        <w:rPr>
          <w:rFonts w:asciiTheme="minorHAnsi" w:hAnsiTheme="minorHAnsi" w:cs="Times New Roman"/>
          <w:szCs w:val="24"/>
        </w:rPr>
        <w:t xml:space="preserve">under the PTP </w:t>
      </w:r>
      <w:r w:rsidR="00FC04C5">
        <w:rPr>
          <w:rFonts w:asciiTheme="minorHAnsi" w:hAnsiTheme="minorHAnsi" w:cs="Times New Roman"/>
          <w:szCs w:val="24"/>
        </w:rPr>
        <w:t>by the Department</w:t>
      </w:r>
      <w:r w:rsidR="00665661">
        <w:rPr>
          <w:rFonts w:asciiTheme="minorHAnsi" w:hAnsiTheme="minorHAnsi" w:cs="Times New Roman"/>
          <w:szCs w:val="24"/>
        </w:rPr>
        <w:t xml:space="preserve"> of Health</w:t>
      </w:r>
      <w:r w:rsidR="00FC04C5">
        <w:rPr>
          <w:rFonts w:asciiTheme="minorHAnsi" w:hAnsiTheme="minorHAnsi" w:cs="Times New Roman"/>
          <w:szCs w:val="24"/>
        </w:rPr>
        <w:t xml:space="preserve"> and</w:t>
      </w:r>
      <w:r w:rsidR="00665661">
        <w:rPr>
          <w:rFonts w:asciiTheme="minorHAnsi" w:hAnsiTheme="minorHAnsi" w:cs="Times New Roman"/>
          <w:szCs w:val="24"/>
        </w:rPr>
        <w:t xml:space="preserve"> the</w:t>
      </w:r>
      <w:r w:rsidR="00FC04C5">
        <w:rPr>
          <w:rFonts w:asciiTheme="minorHAnsi" w:hAnsiTheme="minorHAnsi" w:cs="Times New Roman"/>
          <w:szCs w:val="24"/>
        </w:rPr>
        <w:t xml:space="preserve"> Government.</w:t>
      </w:r>
    </w:p>
    <w:p w:rsidR="00A51070" w:rsidRDefault="00A51070" w:rsidP="00FC04C5">
      <w:pPr>
        <w:spacing w:after="0" w:line="240" w:lineRule="auto"/>
        <w:rPr>
          <w:rFonts w:asciiTheme="minorHAnsi" w:hAnsiTheme="minorHAnsi" w:cs="Times New Roman"/>
          <w:szCs w:val="24"/>
        </w:rPr>
      </w:pPr>
    </w:p>
    <w:p w:rsidR="00D526EF" w:rsidRDefault="00200850" w:rsidP="003F3E9F">
      <w:pPr>
        <w:pStyle w:val="Heading2"/>
        <w:spacing w:before="0"/>
      </w:pPr>
      <w:bookmarkStart w:id="11" w:name="_Toc445899309"/>
      <w:r>
        <w:t xml:space="preserve">Primary </w:t>
      </w:r>
      <w:r w:rsidR="007F12E6">
        <w:t xml:space="preserve">health </w:t>
      </w:r>
      <w:r>
        <w:t>care e</w:t>
      </w:r>
      <w:r w:rsidR="00A949F0">
        <w:t>nvironment and vision</w:t>
      </w:r>
      <w:r>
        <w:t xml:space="preserve"> for pharmacy</w:t>
      </w:r>
      <w:bookmarkEnd w:id="11"/>
    </w:p>
    <w:p w:rsidR="00AD13C7" w:rsidRDefault="00A949F0" w:rsidP="00AD13C7">
      <w:pPr>
        <w:spacing w:after="0" w:line="240" w:lineRule="auto"/>
        <w:rPr>
          <w:rFonts w:asciiTheme="minorHAnsi" w:hAnsiTheme="minorHAnsi" w:cs="Times New Roman"/>
          <w:szCs w:val="24"/>
        </w:rPr>
      </w:pPr>
      <w:r>
        <w:rPr>
          <w:rFonts w:asciiTheme="minorHAnsi" w:hAnsiTheme="minorHAnsi" w:cs="Times New Roman"/>
          <w:szCs w:val="24"/>
        </w:rPr>
        <w:t>Pharmacy</w:t>
      </w:r>
      <w:r w:rsidR="00E5525A">
        <w:rPr>
          <w:rFonts w:asciiTheme="minorHAnsi" w:hAnsiTheme="minorHAnsi" w:cs="Times New Roman"/>
          <w:szCs w:val="24"/>
        </w:rPr>
        <w:t xml:space="preserve"> and pharmacists</w:t>
      </w:r>
      <w:r>
        <w:rPr>
          <w:rFonts w:asciiTheme="minorHAnsi" w:hAnsiTheme="minorHAnsi" w:cs="Times New Roman"/>
          <w:szCs w:val="24"/>
        </w:rPr>
        <w:t xml:space="preserve"> in Australia </w:t>
      </w:r>
      <w:r w:rsidR="00E5525A">
        <w:rPr>
          <w:rFonts w:asciiTheme="minorHAnsi" w:hAnsiTheme="minorHAnsi" w:cs="Times New Roman"/>
          <w:szCs w:val="24"/>
        </w:rPr>
        <w:t>are</w:t>
      </w:r>
      <w:r>
        <w:rPr>
          <w:rFonts w:asciiTheme="minorHAnsi" w:hAnsiTheme="minorHAnsi" w:cs="Times New Roman"/>
          <w:szCs w:val="24"/>
        </w:rPr>
        <w:t xml:space="preserve"> in</w:t>
      </w:r>
      <w:r w:rsidR="005A440F">
        <w:rPr>
          <w:rFonts w:asciiTheme="minorHAnsi" w:hAnsiTheme="minorHAnsi" w:cs="Times New Roman"/>
          <w:szCs w:val="24"/>
        </w:rPr>
        <w:t xml:space="preserve"> a transitional phase between </w:t>
      </w:r>
      <w:r w:rsidR="00090356">
        <w:rPr>
          <w:rFonts w:asciiTheme="minorHAnsi" w:hAnsiTheme="minorHAnsi" w:cs="Times New Roman"/>
          <w:szCs w:val="24"/>
        </w:rPr>
        <w:t>a</w:t>
      </w:r>
      <w:r w:rsidR="005C3BE0">
        <w:rPr>
          <w:rFonts w:asciiTheme="minorHAnsi" w:hAnsiTheme="minorHAnsi" w:cs="Times New Roman"/>
          <w:szCs w:val="24"/>
        </w:rPr>
        <w:t xml:space="preserve"> </w:t>
      </w:r>
      <w:r w:rsidR="00090356">
        <w:rPr>
          <w:rFonts w:asciiTheme="minorHAnsi" w:hAnsiTheme="minorHAnsi" w:cs="Times New Roman"/>
          <w:szCs w:val="24"/>
        </w:rPr>
        <w:t xml:space="preserve">past </w:t>
      </w:r>
      <w:r w:rsidR="005C3BE0">
        <w:rPr>
          <w:rFonts w:asciiTheme="minorHAnsi" w:hAnsiTheme="minorHAnsi" w:cs="Times New Roman"/>
          <w:szCs w:val="24"/>
        </w:rPr>
        <w:t xml:space="preserve">focus on being </w:t>
      </w:r>
      <w:r w:rsidR="005A440F">
        <w:rPr>
          <w:rFonts w:asciiTheme="minorHAnsi" w:hAnsiTheme="minorHAnsi" w:cs="Times New Roman"/>
          <w:szCs w:val="24"/>
        </w:rPr>
        <w:t>compounder</w:t>
      </w:r>
      <w:r w:rsidR="00ED008F">
        <w:rPr>
          <w:rFonts w:asciiTheme="minorHAnsi" w:hAnsiTheme="minorHAnsi" w:cs="Times New Roman"/>
          <w:szCs w:val="24"/>
        </w:rPr>
        <w:t>s</w:t>
      </w:r>
      <w:r w:rsidR="005A440F">
        <w:rPr>
          <w:rFonts w:asciiTheme="minorHAnsi" w:hAnsiTheme="minorHAnsi" w:cs="Times New Roman"/>
          <w:szCs w:val="24"/>
        </w:rPr>
        <w:t xml:space="preserve"> and dispenser</w:t>
      </w:r>
      <w:r w:rsidR="00ED008F">
        <w:rPr>
          <w:rFonts w:asciiTheme="minorHAnsi" w:hAnsiTheme="minorHAnsi" w:cs="Times New Roman"/>
          <w:szCs w:val="24"/>
        </w:rPr>
        <w:t>s</w:t>
      </w:r>
      <w:r w:rsidR="00090356">
        <w:rPr>
          <w:rFonts w:asciiTheme="minorHAnsi" w:hAnsiTheme="minorHAnsi" w:cs="Times New Roman"/>
          <w:szCs w:val="24"/>
        </w:rPr>
        <w:t xml:space="preserve"> of medicines and</w:t>
      </w:r>
      <w:r w:rsidR="005A440F">
        <w:rPr>
          <w:rFonts w:asciiTheme="minorHAnsi" w:hAnsiTheme="minorHAnsi" w:cs="Times New Roman"/>
          <w:szCs w:val="24"/>
        </w:rPr>
        <w:t xml:space="preserve"> a </w:t>
      </w:r>
      <w:r w:rsidR="005C3BE0">
        <w:rPr>
          <w:rFonts w:asciiTheme="minorHAnsi" w:hAnsiTheme="minorHAnsi" w:cs="Times New Roman"/>
          <w:szCs w:val="24"/>
        </w:rPr>
        <w:t>greater involvement</w:t>
      </w:r>
      <w:r w:rsidR="005A440F">
        <w:rPr>
          <w:rFonts w:asciiTheme="minorHAnsi" w:hAnsiTheme="minorHAnsi" w:cs="Times New Roman"/>
          <w:szCs w:val="24"/>
        </w:rPr>
        <w:t xml:space="preserve"> in directed medicines-related services and collaboration in the primary health care system.</w:t>
      </w:r>
    </w:p>
    <w:p w:rsidR="005A440F" w:rsidRDefault="005A440F" w:rsidP="00AD13C7">
      <w:pPr>
        <w:spacing w:after="0" w:line="240" w:lineRule="auto"/>
        <w:rPr>
          <w:rFonts w:asciiTheme="minorHAnsi" w:hAnsiTheme="minorHAnsi" w:cs="Times New Roman"/>
          <w:szCs w:val="24"/>
        </w:rPr>
      </w:pPr>
    </w:p>
    <w:p w:rsidR="00005B86" w:rsidRDefault="000B48F4" w:rsidP="00AD13C7">
      <w:pPr>
        <w:spacing w:after="0" w:line="240" w:lineRule="auto"/>
        <w:rPr>
          <w:rFonts w:asciiTheme="minorHAnsi" w:hAnsiTheme="minorHAnsi" w:cs="Times New Roman"/>
          <w:szCs w:val="24"/>
        </w:rPr>
      </w:pPr>
      <w:r>
        <w:rPr>
          <w:rFonts w:asciiTheme="minorHAnsi" w:hAnsiTheme="minorHAnsi" w:cs="Times New Roman"/>
          <w:szCs w:val="24"/>
        </w:rPr>
        <w:t>Since 1990, s</w:t>
      </w:r>
      <w:r w:rsidR="00E5525A">
        <w:rPr>
          <w:rFonts w:asciiTheme="minorHAnsi" w:hAnsiTheme="minorHAnsi" w:cs="Times New Roman"/>
          <w:szCs w:val="24"/>
        </w:rPr>
        <w:t>uccessive Community Pharmacy Agreements have expanded the range, scope and location</w:t>
      </w:r>
      <w:r w:rsidR="005C3BE0">
        <w:rPr>
          <w:rFonts w:asciiTheme="minorHAnsi" w:hAnsiTheme="minorHAnsi" w:cs="Times New Roman"/>
          <w:szCs w:val="24"/>
        </w:rPr>
        <w:t>s</w:t>
      </w:r>
      <w:r w:rsidR="00E5525A">
        <w:rPr>
          <w:rFonts w:asciiTheme="minorHAnsi" w:hAnsiTheme="minorHAnsi" w:cs="Times New Roman"/>
          <w:szCs w:val="24"/>
        </w:rPr>
        <w:t xml:space="preserve"> of </w:t>
      </w:r>
      <w:r w:rsidR="00B66CFB">
        <w:rPr>
          <w:rFonts w:asciiTheme="minorHAnsi" w:hAnsiTheme="minorHAnsi" w:cs="Times New Roman"/>
          <w:szCs w:val="24"/>
        </w:rPr>
        <w:t xml:space="preserve">funded </w:t>
      </w:r>
      <w:r w:rsidR="00E5525A">
        <w:rPr>
          <w:rFonts w:asciiTheme="minorHAnsi" w:hAnsiTheme="minorHAnsi" w:cs="Times New Roman"/>
          <w:szCs w:val="24"/>
        </w:rPr>
        <w:t xml:space="preserve">services that pharmacists can provide.  </w:t>
      </w:r>
      <w:r>
        <w:rPr>
          <w:rFonts w:asciiTheme="minorHAnsi" w:hAnsiTheme="minorHAnsi" w:cs="Times New Roman"/>
          <w:szCs w:val="24"/>
        </w:rPr>
        <w:t>This has</w:t>
      </w:r>
      <w:r w:rsidR="00E5525A">
        <w:rPr>
          <w:rFonts w:asciiTheme="minorHAnsi" w:hAnsiTheme="minorHAnsi" w:cs="Times New Roman"/>
          <w:szCs w:val="24"/>
        </w:rPr>
        <w:t xml:space="preserve"> included</w:t>
      </w:r>
      <w:r>
        <w:rPr>
          <w:rFonts w:asciiTheme="minorHAnsi" w:hAnsiTheme="minorHAnsi" w:cs="Times New Roman"/>
          <w:szCs w:val="24"/>
        </w:rPr>
        <w:t xml:space="preserve"> the introduction of funding for</w:t>
      </w:r>
      <w:r w:rsidR="00E5525A" w:rsidRPr="00CE332F">
        <w:rPr>
          <w:rFonts w:asciiTheme="minorHAnsi" w:hAnsiTheme="minorHAnsi" w:cs="Times New Roman"/>
          <w:szCs w:val="24"/>
        </w:rPr>
        <w:t xml:space="preserve"> medication reviews</w:t>
      </w:r>
      <w:r w:rsidR="00E5525A">
        <w:rPr>
          <w:rFonts w:asciiTheme="minorHAnsi" w:hAnsiTheme="minorHAnsi" w:cs="Times New Roman"/>
          <w:szCs w:val="24"/>
        </w:rPr>
        <w:t>, activities aimed at improving patient understanding of a medication regimen,</w:t>
      </w:r>
      <w:r w:rsidR="00E5525A" w:rsidRPr="00CE332F">
        <w:rPr>
          <w:rFonts w:asciiTheme="minorHAnsi" w:hAnsiTheme="minorHAnsi" w:cs="Times New Roman"/>
          <w:szCs w:val="24"/>
        </w:rPr>
        <w:t xml:space="preserve"> and support for to</w:t>
      </w:r>
      <w:r w:rsidR="00E5525A">
        <w:rPr>
          <w:rFonts w:asciiTheme="minorHAnsi" w:hAnsiTheme="minorHAnsi" w:cs="Times New Roman"/>
          <w:szCs w:val="24"/>
        </w:rPr>
        <w:t>o</w:t>
      </w:r>
      <w:r w:rsidR="00E5525A" w:rsidRPr="00CE332F">
        <w:rPr>
          <w:rFonts w:asciiTheme="minorHAnsi" w:hAnsiTheme="minorHAnsi" w:cs="Times New Roman"/>
          <w:szCs w:val="24"/>
        </w:rPr>
        <w:t xml:space="preserve">ls to assist with medication adherence and compliance </w:t>
      </w:r>
      <w:r w:rsidR="00E5525A">
        <w:rPr>
          <w:rFonts w:asciiTheme="minorHAnsi" w:hAnsiTheme="minorHAnsi" w:cs="Times New Roman"/>
          <w:szCs w:val="24"/>
        </w:rPr>
        <w:t xml:space="preserve">such as Dose Administration Aids.  </w:t>
      </w:r>
    </w:p>
    <w:p w:rsidR="00005B86" w:rsidRDefault="00005B86" w:rsidP="00AD13C7">
      <w:pPr>
        <w:spacing w:after="0" w:line="240" w:lineRule="auto"/>
        <w:rPr>
          <w:rFonts w:asciiTheme="minorHAnsi" w:hAnsiTheme="minorHAnsi" w:cs="Times New Roman"/>
          <w:szCs w:val="24"/>
        </w:rPr>
      </w:pPr>
    </w:p>
    <w:p w:rsidR="005A440F" w:rsidRDefault="009D6778" w:rsidP="00AD13C7">
      <w:pPr>
        <w:spacing w:after="0" w:line="240" w:lineRule="auto"/>
        <w:rPr>
          <w:rFonts w:asciiTheme="minorHAnsi" w:hAnsiTheme="minorHAnsi" w:cs="Times New Roman"/>
          <w:szCs w:val="24"/>
        </w:rPr>
      </w:pPr>
      <w:r>
        <w:rPr>
          <w:rFonts w:asciiTheme="minorHAnsi" w:hAnsiTheme="minorHAnsi" w:cs="Times New Roman"/>
          <w:szCs w:val="24"/>
        </w:rPr>
        <w:t>Pharmacy s</w:t>
      </w:r>
      <w:r w:rsidR="00E5525A">
        <w:rPr>
          <w:rFonts w:asciiTheme="minorHAnsi" w:hAnsiTheme="minorHAnsi" w:cs="Times New Roman"/>
          <w:szCs w:val="24"/>
        </w:rPr>
        <w:t>ervices have extended beyond the pharmacy as a shop front and dispensary into the homes of patients and aged care facilities.</w:t>
      </w:r>
      <w:r w:rsidR="00005B86">
        <w:rPr>
          <w:rFonts w:asciiTheme="minorHAnsi" w:hAnsiTheme="minorHAnsi" w:cs="Times New Roman"/>
          <w:szCs w:val="24"/>
        </w:rPr>
        <w:t xml:space="preserve">  This recognises the </w:t>
      </w:r>
      <w:r w:rsidR="005C3BE0">
        <w:rPr>
          <w:rFonts w:asciiTheme="minorHAnsi" w:hAnsiTheme="minorHAnsi" w:cs="Times New Roman"/>
          <w:szCs w:val="24"/>
        </w:rPr>
        <w:t xml:space="preserve">potential value of extending pharmacy services </w:t>
      </w:r>
      <w:r w:rsidR="00005B86">
        <w:rPr>
          <w:rFonts w:asciiTheme="minorHAnsi" w:hAnsiTheme="minorHAnsi" w:cs="Times New Roman"/>
          <w:szCs w:val="24"/>
        </w:rPr>
        <w:t>into active medicines management interventions</w:t>
      </w:r>
      <w:r w:rsidR="00E233DD">
        <w:rPr>
          <w:rFonts w:asciiTheme="minorHAnsi" w:hAnsiTheme="minorHAnsi" w:cs="Times New Roman"/>
          <w:szCs w:val="24"/>
        </w:rPr>
        <w:t xml:space="preserve"> with the aim of improving consumer health outcomes</w:t>
      </w:r>
      <w:r w:rsidR="00005B86">
        <w:rPr>
          <w:rFonts w:asciiTheme="minorHAnsi" w:hAnsiTheme="minorHAnsi" w:cs="Times New Roman"/>
          <w:szCs w:val="24"/>
        </w:rPr>
        <w:t>.</w:t>
      </w:r>
    </w:p>
    <w:p w:rsidR="00ED008F" w:rsidRDefault="00ED008F" w:rsidP="00AD13C7">
      <w:pPr>
        <w:spacing w:after="0" w:line="240" w:lineRule="auto"/>
        <w:rPr>
          <w:rFonts w:asciiTheme="minorHAnsi" w:hAnsiTheme="minorHAnsi" w:cs="Times New Roman"/>
          <w:szCs w:val="24"/>
        </w:rPr>
      </w:pPr>
    </w:p>
    <w:p w:rsidR="00ED008F" w:rsidRDefault="00ED008F" w:rsidP="00ED008F">
      <w:pPr>
        <w:spacing w:after="0" w:line="240" w:lineRule="auto"/>
        <w:rPr>
          <w:rFonts w:asciiTheme="minorHAnsi" w:hAnsiTheme="minorHAnsi" w:cs="Times New Roman"/>
          <w:szCs w:val="24"/>
        </w:rPr>
      </w:pPr>
      <w:r>
        <w:rPr>
          <w:rFonts w:asciiTheme="minorHAnsi" w:hAnsiTheme="minorHAnsi" w:cs="Times New Roman"/>
          <w:szCs w:val="24"/>
        </w:rPr>
        <w:t>The Fifth Agreement introduced</w:t>
      </w:r>
      <w:r w:rsidRPr="00CE332F">
        <w:rPr>
          <w:rFonts w:asciiTheme="minorHAnsi" w:hAnsiTheme="minorHAnsi" w:cs="Times New Roman"/>
          <w:szCs w:val="24"/>
        </w:rPr>
        <w:t xml:space="preserve"> two new medication management services within pharmacy</w:t>
      </w:r>
      <w:r>
        <w:rPr>
          <w:rFonts w:asciiTheme="minorHAnsi" w:hAnsiTheme="minorHAnsi" w:cs="Times New Roman"/>
          <w:szCs w:val="24"/>
        </w:rPr>
        <w:t xml:space="preserve"> (MedsCheck and Diabetes MedsCheck)</w:t>
      </w:r>
      <w:r w:rsidRPr="00CE332F">
        <w:rPr>
          <w:rFonts w:asciiTheme="minorHAnsi" w:hAnsiTheme="minorHAnsi" w:cs="Times New Roman"/>
          <w:szCs w:val="24"/>
        </w:rPr>
        <w:t xml:space="preserve">, </w:t>
      </w:r>
      <w:r>
        <w:rPr>
          <w:rFonts w:asciiTheme="minorHAnsi" w:hAnsiTheme="minorHAnsi" w:cs="Times New Roman"/>
          <w:szCs w:val="24"/>
        </w:rPr>
        <w:t xml:space="preserve">which </w:t>
      </w:r>
      <w:r w:rsidR="005809C7">
        <w:rPr>
          <w:rFonts w:asciiTheme="minorHAnsi" w:hAnsiTheme="minorHAnsi" w:cs="Times New Roman"/>
          <w:szCs w:val="24"/>
        </w:rPr>
        <w:t>a</w:t>
      </w:r>
      <w:r>
        <w:rPr>
          <w:rFonts w:asciiTheme="minorHAnsi" w:hAnsiTheme="minorHAnsi" w:cs="Times New Roman"/>
          <w:szCs w:val="24"/>
        </w:rPr>
        <w:t xml:space="preserve">re </w:t>
      </w:r>
      <w:r w:rsidRPr="00CE332F">
        <w:rPr>
          <w:rFonts w:asciiTheme="minorHAnsi" w:hAnsiTheme="minorHAnsi" w:cs="Times New Roman"/>
          <w:szCs w:val="24"/>
        </w:rPr>
        <w:t xml:space="preserve">designed to provide education and support for patients, and seek to improve </w:t>
      </w:r>
      <w:r w:rsidR="009D6778">
        <w:rPr>
          <w:rFonts w:asciiTheme="minorHAnsi" w:hAnsiTheme="minorHAnsi" w:cs="Times New Roman"/>
          <w:szCs w:val="24"/>
        </w:rPr>
        <w:t xml:space="preserve">patients </w:t>
      </w:r>
      <w:r w:rsidRPr="00CE332F">
        <w:rPr>
          <w:rFonts w:asciiTheme="minorHAnsi" w:hAnsiTheme="minorHAnsi" w:cs="Times New Roman"/>
          <w:szCs w:val="24"/>
        </w:rPr>
        <w:t xml:space="preserve">understanding of </w:t>
      </w:r>
      <w:r w:rsidR="009D6778">
        <w:rPr>
          <w:rFonts w:asciiTheme="minorHAnsi" w:hAnsiTheme="minorHAnsi" w:cs="Times New Roman"/>
          <w:szCs w:val="24"/>
        </w:rPr>
        <w:t xml:space="preserve">their </w:t>
      </w:r>
      <w:r>
        <w:rPr>
          <w:rFonts w:asciiTheme="minorHAnsi" w:hAnsiTheme="minorHAnsi" w:cs="Times New Roman"/>
          <w:szCs w:val="24"/>
        </w:rPr>
        <w:t>medication regimen.  The Fifth Agreement</w:t>
      </w:r>
      <w:r w:rsidRPr="00CE332F">
        <w:rPr>
          <w:rFonts w:asciiTheme="minorHAnsi" w:hAnsiTheme="minorHAnsi" w:cs="Times New Roman"/>
          <w:szCs w:val="24"/>
        </w:rPr>
        <w:t xml:space="preserve"> also </w:t>
      </w:r>
      <w:r>
        <w:rPr>
          <w:rFonts w:asciiTheme="minorHAnsi" w:hAnsiTheme="minorHAnsi" w:cs="Times New Roman"/>
          <w:szCs w:val="24"/>
        </w:rPr>
        <w:t>i</w:t>
      </w:r>
      <w:r w:rsidRPr="00CE332F">
        <w:rPr>
          <w:rFonts w:asciiTheme="minorHAnsi" w:hAnsiTheme="minorHAnsi" w:cs="Times New Roman"/>
          <w:szCs w:val="24"/>
        </w:rPr>
        <w:t>ntroduc</w:t>
      </w:r>
      <w:r>
        <w:rPr>
          <w:rFonts w:asciiTheme="minorHAnsi" w:hAnsiTheme="minorHAnsi" w:cs="Times New Roman"/>
          <w:szCs w:val="24"/>
        </w:rPr>
        <w:t>ed support for the delivery</w:t>
      </w:r>
      <w:r w:rsidRPr="00CE332F">
        <w:rPr>
          <w:rFonts w:asciiTheme="minorHAnsi" w:hAnsiTheme="minorHAnsi" w:cs="Times New Roman"/>
          <w:szCs w:val="24"/>
        </w:rPr>
        <w:t xml:space="preserve"> of clinical interventions by pharmacists, recognising </w:t>
      </w:r>
      <w:r w:rsidR="00B66CFB">
        <w:rPr>
          <w:rFonts w:asciiTheme="minorHAnsi" w:hAnsiTheme="minorHAnsi" w:cs="Times New Roman"/>
          <w:szCs w:val="24"/>
        </w:rPr>
        <w:t xml:space="preserve">the important </w:t>
      </w:r>
      <w:r w:rsidRPr="00CE332F">
        <w:rPr>
          <w:rFonts w:asciiTheme="minorHAnsi" w:hAnsiTheme="minorHAnsi" w:cs="Times New Roman"/>
          <w:szCs w:val="24"/>
        </w:rPr>
        <w:t>role</w:t>
      </w:r>
      <w:r w:rsidR="00B66CFB">
        <w:rPr>
          <w:rFonts w:asciiTheme="minorHAnsi" w:hAnsiTheme="minorHAnsi" w:cs="Times New Roman"/>
          <w:szCs w:val="24"/>
        </w:rPr>
        <w:t xml:space="preserve"> of</w:t>
      </w:r>
      <w:r w:rsidRPr="00CE332F">
        <w:rPr>
          <w:rFonts w:asciiTheme="minorHAnsi" w:hAnsiTheme="minorHAnsi" w:cs="Times New Roman"/>
          <w:szCs w:val="24"/>
        </w:rPr>
        <w:t xml:space="preserve"> identification and manag</w:t>
      </w:r>
      <w:r>
        <w:rPr>
          <w:rFonts w:asciiTheme="minorHAnsi" w:hAnsiTheme="minorHAnsi" w:cs="Times New Roman"/>
          <w:szCs w:val="24"/>
        </w:rPr>
        <w:t>ement of drug-related problems</w:t>
      </w:r>
      <w:r w:rsidR="00B66CFB">
        <w:rPr>
          <w:rFonts w:asciiTheme="minorHAnsi" w:hAnsiTheme="minorHAnsi" w:cs="Times New Roman"/>
          <w:szCs w:val="24"/>
        </w:rPr>
        <w:t xml:space="preserve"> as part of medicines dispensing activities</w:t>
      </w:r>
      <w:r>
        <w:rPr>
          <w:rFonts w:asciiTheme="minorHAnsi" w:hAnsiTheme="minorHAnsi" w:cs="Times New Roman"/>
          <w:szCs w:val="24"/>
        </w:rPr>
        <w:t>.</w:t>
      </w:r>
      <w:r w:rsidRPr="00CE332F">
        <w:rPr>
          <w:rFonts w:asciiTheme="minorHAnsi" w:hAnsiTheme="minorHAnsi" w:cs="Times New Roman"/>
          <w:szCs w:val="24"/>
        </w:rPr>
        <w:t xml:space="preserve"> </w:t>
      </w:r>
    </w:p>
    <w:p w:rsidR="00090356" w:rsidRDefault="00090356" w:rsidP="00ED008F">
      <w:pPr>
        <w:spacing w:after="0" w:line="240" w:lineRule="auto"/>
        <w:rPr>
          <w:rFonts w:asciiTheme="minorHAnsi" w:hAnsiTheme="minorHAnsi" w:cs="Times New Roman"/>
          <w:szCs w:val="24"/>
        </w:rPr>
      </w:pPr>
    </w:p>
    <w:p w:rsidR="00BE11B7" w:rsidRDefault="00ED008F" w:rsidP="00ED008F">
      <w:pPr>
        <w:spacing w:after="0" w:line="240" w:lineRule="auto"/>
        <w:rPr>
          <w:rFonts w:asciiTheme="minorHAnsi" w:hAnsiTheme="minorHAnsi" w:cs="Times New Roman"/>
          <w:szCs w:val="24"/>
        </w:rPr>
      </w:pPr>
      <w:r w:rsidRPr="00F834A0">
        <w:rPr>
          <w:rFonts w:asciiTheme="minorHAnsi" w:hAnsiTheme="minorHAnsi" w:cs="Times New Roman"/>
          <w:szCs w:val="24"/>
        </w:rPr>
        <w:t xml:space="preserve">These services </w:t>
      </w:r>
      <w:r w:rsidR="005809C7">
        <w:rPr>
          <w:rFonts w:asciiTheme="minorHAnsi" w:hAnsiTheme="minorHAnsi" w:cs="Times New Roman"/>
          <w:szCs w:val="24"/>
        </w:rPr>
        <w:t>are</w:t>
      </w:r>
      <w:r w:rsidR="005809C7" w:rsidRPr="00F834A0">
        <w:rPr>
          <w:rFonts w:asciiTheme="minorHAnsi" w:hAnsiTheme="minorHAnsi" w:cs="Times New Roman"/>
          <w:szCs w:val="24"/>
        </w:rPr>
        <w:t xml:space="preserve"> </w:t>
      </w:r>
      <w:r w:rsidRPr="00F834A0">
        <w:rPr>
          <w:rFonts w:asciiTheme="minorHAnsi" w:hAnsiTheme="minorHAnsi" w:cs="Times New Roman"/>
          <w:szCs w:val="24"/>
        </w:rPr>
        <w:t>aimed at supporting a wider range of medication management services to meet the needs of patients without the need for an accredited pharmacist to visit a patient’s home</w:t>
      </w:r>
      <w:r w:rsidR="00200850">
        <w:rPr>
          <w:rFonts w:asciiTheme="minorHAnsi" w:hAnsiTheme="minorHAnsi" w:cs="Times New Roman"/>
          <w:szCs w:val="24"/>
        </w:rPr>
        <w:t xml:space="preserve"> and with the aim of reducing medicines misadventure</w:t>
      </w:r>
      <w:r w:rsidRPr="00F834A0">
        <w:rPr>
          <w:rFonts w:asciiTheme="minorHAnsi" w:hAnsiTheme="minorHAnsi" w:cs="Times New Roman"/>
          <w:szCs w:val="24"/>
        </w:rPr>
        <w:t xml:space="preserve">.  </w:t>
      </w:r>
      <w:r w:rsidR="005C3BE0">
        <w:rPr>
          <w:rFonts w:asciiTheme="minorHAnsi" w:hAnsiTheme="minorHAnsi" w:cs="Times New Roman"/>
          <w:szCs w:val="24"/>
        </w:rPr>
        <w:t>T</w:t>
      </w:r>
      <w:r w:rsidR="000B48F4">
        <w:rPr>
          <w:rFonts w:asciiTheme="minorHAnsi" w:hAnsiTheme="minorHAnsi" w:cs="Times New Roman"/>
          <w:szCs w:val="24"/>
        </w:rPr>
        <w:t xml:space="preserve">hese interventions </w:t>
      </w:r>
      <w:r w:rsidR="005809C7">
        <w:rPr>
          <w:rFonts w:asciiTheme="minorHAnsi" w:hAnsiTheme="minorHAnsi" w:cs="Times New Roman"/>
          <w:szCs w:val="24"/>
        </w:rPr>
        <w:t xml:space="preserve">are </w:t>
      </w:r>
      <w:r w:rsidR="000B48F4">
        <w:rPr>
          <w:rFonts w:asciiTheme="minorHAnsi" w:hAnsiTheme="minorHAnsi" w:cs="Times New Roman"/>
          <w:szCs w:val="24"/>
        </w:rPr>
        <w:t>aimed at exploring</w:t>
      </w:r>
      <w:r w:rsidRPr="00F834A0">
        <w:rPr>
          <w:rFonts w:asciiTheme="minorHAnsi" w:hAnsiTheme="minorHAnsi" w:cs="Times New Roman"/>
          <w:szCs w:val="24"/>
        </w:rPr>
        <w:t xml:space="preserve"> new pathways of service delivery within pharmacy</w:t>
      </w:r>
      <w:r w:rsidR="005C3BE0">
        <w:rPr>
          <w:rFonts w:asciiTheme="minorHAnsi" w:hAnsiTheme="minorHAnsi" w:cs="Times New Roman"/>
          <w:szCs w:val="24"/>
        </w:rPr>
        <w:t xml:space="preserve"> and are </w:t>
      </w:r>
      <w:r w:rsidR="00BE11B7">
        <w:rPr>
          <w:rFonts w:asciiTheme="minorHAnsi" w:hAnsiTheme="minorHAnsi" w:cs="Times New Roman"/>
          <w:szCs w:val="24"/>
        </w:rPr>
        <w:t xml:space="preserve">only a few </w:t>
      </w:r>
      <w:r w:rsidR="00BE11B7">
        <w:rPr>
          <w:rFonts w:asciiTheme="minorHAnsi" w:hAnsiTheme="minorHAnsi" w:cs="Times New Roman"/>
          <w:szCs w:val="24"/>
        </w:rPr>
        <w:lastRenderedPageBreak/>
        <w:t xml:space="preserve">examples of changes to the scope of pharmacy and pharmacist services that have been facilitated through </w:t>
      </w:r>
      <w:r w:rsidR="00B42AC2">
        <w:rPr>
          <w:rFonts w:asciiTheme="minorHAnsi" w:hAnsiTheme="minorHAnsi" w:cs="Times New Roman"/>
          <w:szCs w:val="24"/>
        </w:rPr>
        <w:t xml:space="preserve">successive </w:t>
      </w:r>
      <w:r w:rsidR="00BE11B7">
        <w:rPr>
          <w:rFonts w:asciiTheme="minorHAnsi" w:hAnsiTheme="minorHAnsi" w:cs="Times New Roman"/>
          <w:szCs w:val="24"/>
        </w:rPr>
        <w:t>Community Pharmacy Agreement</w:t>
      </w:r>
      <w:r w:rsidR="00B42AC2">
        <w:rPr>
          <w:rFonts w:asciiTheme="minorHAnsi" w:hAnsiTheme="minorHAnsi" w:cs="Times New Roman"/>
          <w:szCs w:val="24"/>
        </w:rPr>
        <w:t>s</w:t>
      </w:r>
      <w:r w:rsidR="00BE11B7">
        <w:rPr>
          <w:rFonts w:asciiTheme="minorHAnsi" w:hAnsiTheme="minorHAnsi" w:cs="Times New Roman"/>
          <w:szCs w:val="24"/>
        </w:rPr>
        <w:t>.</w:t>
      </w:r>
    </w:p>
    <w:p w:rsidR="00ED008F" w:rsidRDefault="00ED008F" w:rsidP="00ED008F">
      <w:pPr>
        <w:spacing w:after="0" w:line="240" w:lineRule="auto"/>
        <w:rPr>
          <w:rFonts w:asciiTheme="minorHAnsi" w:hAnsiTheme="minorHAnsi" w:cs="Times New Roman"/>
          <w:szCs w:val="24"/>
        </w:rPr>
      </w:pPr>
    </w:p>
    <w:p w:rsidR="00817093" w:rsidRPr="00817093" w:rsidRDefault="00817093" w:rsidP="00817093">
      <w:pPr>
        <w:spacing w:after="0" w:line="240" w:lineRule="auto"/>
        <w:rPr>
          <w:rFonts w:asciiTheme="majorHAnsi" w:eastAsiaTheme="majorEastAsia" w:hAnsiTheme="majorHAnsi" w:cstheme="majorBidi"/>
          <w:b/>
          <w:bCs/>
          <w:color w:val="4F81BD" w:themeColor="accent1"/>
          <w:sz w:val="26"/>
          <w:szCs w:val="26"/>
        </w:rPr>
      </w:pPr>
      <w:r w:rsidRPr="00817093">
        <w:rPr>
          <w:rFonts w:asciiTheme="majorHAnsi" w:eastAsiaTheme="majorEastAsia" w:hAnsiTheme="majorHAnsi" w:cstheme="majorBidi"/>
          <w:b/>
          <w:bCs/>
          <w:color w:val="4F81BD" w:themeColor="accent1"/>
          <w:sz w:val="26"/>
          <w:szCs w:val="26"/>
        </w:rPr>
        <w:t>The changing primary</w:t>
      </w:r>
      <w:r w:rsidR="007F12E6">
        <w:rPr>
          <w:rFonts w:asciiTheme="majorHAnsi" w:eastAsiaTheme="majorEastAsia" w:hAnsiTheme="majorHAnsi" w:cstheme="majorBidi"/>
          <w:b/>
          <w:bCs/>
          <w:color w:val="4F81BD" w:themeColor="accent1"/>
          <w:sz w:val="26"/>
          <w:szCs w:val="26"/>
        </w:rPr>
        <w:t xml:space="preserve"> health </w:t>
      </w:r>
      <w:r w:rsidRPr="00817093">
        <w:rPr>
          <w:rFonts w:asciiTheme="majorHAnsi" w:eastAsiaTheme="majorEastAsia" w:hAnsiTheme="majorHAnsi" w:cstheme="majorBidi"/>
          <w:b/>
          <w:bCs/>
          <w:color w:val="4F81BD" w:themeColor="accent1"/>
          <w:sz w:val="26"/>
          <w:szCs w:val="26"/>
        </w:rPr>
        <w:t>care environment</w:t>
      </w:r>
    </w:p>
    <w:p w:rsidR="00817093" w:rsidRDefault="00817093" w:rsidP="00817093">
      <w:pPr>
        <w:spacing w:after="0" w:line="240" w:lineRule="auto"/>
        <w:rPr>
          <w:rFonts w:asciiTheme="minorHAnsi" w:hAnsiTheme="minorHAnsi" w:cs="Times New Roman"/>
          <w:szCs w:val="24"/>
        </w:rPr>
      </w:pPr>
      <w:r>
        <w:rPr>
          <w:rFonts w:asciiTheme="minorHAnsi" w:hAnsiTheme="minorHAnsi" w:cs="Times New Roman"/>
          <w:szCs w:val="24"/>
        </w:rPr>
        <w:t xml:space="preserve">Primary </w:t>
      </w:r>
      <w:r w:rsidR="007F12E6">
        <w:rPr>
          <w:rFonts w:asciiTheme="minorHAnsi" w:hAnsiTheme="minorHAnsi" w:cs="Times New Roman"/>
          <w:szCs w:val="24"/>
        </w:rPr>
        <w:t xml:space="preserve">health </w:t>
      </w:r>
      <w:r>
        <w:rPr>
          <w:rFonts w:asciiTheme="minorHAnsi" w:hAnsiTheme="minorHAnsi" w:cs="Times New Roman"/>
          <w:szCs w:val="24"/>
        </w:rPr>
        <w:t>care is also changing.  There are a number of reforms in primary</w:t>
      </w:r>
      <w:r w:rsidR="007F12E6">
        <w:rPr>
          <w:rFonts w:asciiTheme="minorHAnsi" w:hAnsiTheme="minorHAnsi" w:cs="Times New Roman"/>
          <w:szCs w:val="24"/>
        </w:rPr>
        <w:t xml:space="preserve"> health</w:t>
      </w:r>
      <w:r>
        <w:rPr>
          <w:rFonts w:asciiTheme="minorHAnsi" w:hAnsiTheme="minorHAnsi" w:cs="Times New Roman"/>
          <w:szCs w:val="24"/>
        </w:rPr>
        <w:t xml:space="preserve"> care that are aimed at changing or refining the way health care is funded and managed, in response to changing demographics and an increasing burden of chronic disease.  </w:t>
      </w:r>
    </w:p>
    <w:p w:rsidR="00817093" w:rsidRDefault="00817093" w:rsidP="00817093">
      <w:pPr>
        <w:spacing w:after="0" w:line="240" w:lineRule="auto"/>
        <w:rPr>
          <w:rFonts w:asciiTheme="minorHAnsi" w:hAnsiTheme="minorHAnsi" w:cs="Times New Roman"/>
          <w:szCs w:val="24"/>
        </w:rPr>
      </w:pPr>
    </w:p>
    <w:p w:rsidR="00817093" w:rsidRDefault="00817093" w:rsidP="00817093">
      <w:pPr>
        <w:spacing w:after="0" w:line="240" w:lineRule="auto"/>
        <w:rPr>
          <w:rFonts w:asciiTheme="minorHAnsi" w:hAnsiTheme="minorHAnsi" w:cs="Times New Roman"/>
          <w:szCs w:val="24"/>
        </w:rPr>
      </w:pPr>
      <w:r>
        <w:rPr>
          <w:rFonts w:asciiTheme="minorHAnsi" w:hAnsiTheme="minorHAnsi" w:cs="Times New Roman"/>
          <w:szCs w:val="24"/>
        </w:rPr>
        <w:t xml:space="preserve">The Government is increasingly requiring ongoing evaluation of existing services and an improved evidence base for funding future services.  This is evidenced, for example, through the introduction of the PTP and the review of the Medicare Benefits Schedule.  The Government is also considering new ways to manage funding, as evidenced by the work of the Primary Health Care Advisory Group </w:t>
      </w:r>
      <w:r w:rsidR="00BF3F68">
        <w:rPr>
          <w:rFonts w:asciiTheme="minorHAnsi" w:hAnsiTheme="minorHAnsi" w:cs="Times New Roman"/>
          <w:szCs w:val="24"/>
        </w:rPr>
        <w:t xml:space="preserve">(PHCAG) </w:t>
      </w:r>
      <w:r>
        <w:rPr>
          <w:rFonts w:asciiTheme="minorHAnsi" w:hAnsiTheme="minorHAnsi" w:cs="Times New Roman"/>
          <w:szCs w:val="24"/>
        </w:rPr>
        <w:t xml:space="preserve">on potential changes to the way care is </w:t>
      </w:r>
      <w:r w:rsidR="00C342BA">
        <w:rPr>
          <w:rFonts w:asciiTheme="minorHAnsi" w:hAnsiTheme="minorHAnsi" w:cs="Times New Roman"/>
          <w:szCs w:val="24"/>
        </w:rPr>
        <w:t xml:space="preserve">delivered and </w:t>
      </w:r>
      <w:r>
        <w:rPr>
          <w:rFonts w:asciiTheme="minorHAnsi" w:hAnsiTheme="minorHAnsi" w:cs="Times New Roman"/>
          <w:szCs w:val="24"/>
        </w:rPr>
        <w:t>funded for consumers with chronic and complex conditions.</w:t>
      </w:r>
    </w:p>
    <w:p w:rsidR="00817093" w:rsidRDefault="00817093" w:rsidP="00817093">
      <w:pPr>
        <w:spacing w:after="0" w:line="240" w:lineRule="auto"/>
        <w:rPr>
          <w:rFonts w:asciiTheme="minorHAnsi" w:hAnsiTheme="minorHAnsi" w:cs="Times New Roman"/>
          <w:szCs w:val="24"/>
        </w:rPr>
      </w:pPr>
    </w:p>
    <w:p w:rsidR="00817093" w:rsidRDefault="00817093" w:rsidP="00817093">
      <w:pPr>
        <w:spacing w:after="0" w:line="240" w:lineRule="auto"/>
        <w:rPr>
          <w:rFonts w:asciiTheme="minorHAnsi" w:hAnsiTheme="minorHAnsi" w:cs="Times New Roman"/>
          <w:szCs w:val="24"/>
        </w:rPr>
      </w:pPr>
      <w:r>
        <w:rPr>
          <w:rFonts w:asciiTheme="minorHAnsi" w:hAnsiTheme="minorHAnsi" w:cs="Times New Roman"/>
          <w:szCs w:val="24"/>
        </w:rPr>
        <w:t xml:space="preserve">These initiatives are being </w:t>
      </w:r>
      <w:r w:rsidR="00BF3F68">
        <w:rPr>
          <w:rFonts w:asciiTheme="minorHAnsi" w:hAnsiTheme="minorHAnsi" w:cs="Times New Roman"/>
          <w:szCs w:val="24"/>
        </w:rPr>
        <w:t>considered</w:t>
      </w:r>
      <w:r w:rsidR="00BF3F68" w:rsidDel="00BF3F68">
        <w:rPr>
          <w:rFonts w:asciiTheme="minorHAnsi" w:hAnsiTheme="minorHAnsi" w:cs="Times New Roman"/>
          <w:szCs w:val="24"/>
        </w:rPr>
        <w:t xml:space="preserve"> </w:t>
      </w:r>
      <w:r>
        <w:rPr>
          <w:rFonts w:asciiTheme="minorHAnsi" w:hAnsiTheme="minorHAnsi" w:cs="Times New Roman"/>
          <w:szCs w:val="24"/>
        </w:rPr>
        <w:t>in response to the changing demographics and ageing of the population, an increase in chronic disease and related healthcare needs, and funding constraints created through external financial pressures on the Australian Budget.  It is vital to consider innovative ways to address health needs and improve the value and cost-effectiveness of all services, whether delivered through pharmacy or other areas of primary</w:t>
      </w:r>
      <w:r w:rsidR="007F12E6">
        <w:rPr>
          <w:rFonts w:asciiTheme="minorHAnsi" w:hAnsiTheme="minorHAnsi" w:cs="Times New Roman"/>
          <w:szCs w:val="24"/>
        </w:rPr>
        <w:t xml:space="preserve"> health</w:t>
      </w:r>
      <w:r>
        <w:rPr>
          <w:rFonts w:asciiTheme="minorHAnsi" w:hAnsiTheme="minorHAnsi" w:cs="Times New Roman"/>
          <w:szCs w:val="24"/>
        </w:rPr>
        <w:t xml:space="preserve"> care.</w:t>
      </w:r>
    </w:p>
    <w:p w:rsidR="00817093" w:rsidRDefault="00817093" w:rsidP="00817093">
      <w:pPr>
        <w:spacing w:after="0" w:line="240" w:lineRule="auto"/>
        <w:rPr>
          <w:rFonts w:asciiTheme="minorHAnsi" w:hAnsiTheme="minorHAnsi" w:cs="Times New Roman"/>
          <w:szCs w:val="24"/>
        </w:rPr>
      </w:pPr>
    </w:p>
    <w:p w:rsidR="00817093" w:rsidRDefault="00817093" w:rsidP="00817093">
      <w:pPr>
        <w:spacing w:after="0" w:line="240" w:lineRule="auto"/>
        <w:rPr>
          <w:rFonts w:asciiTheme="minorHAnsi" w:hAnsiTheme="minorHAnsi" w:cs="Times New Roman"/>
          <w:szCs w:val="24"/>
        </w:rPr>
      </w:pPr>
      <w:r>
        <w:rPr>
          <w:rFonts w:asciiTheme="minorHAnsi" w:hAnsiTheme="minorHAnsi" w:cs="Times New Roman"/>
          <w:szCs w:val="24"/>
        </w:rPr>
        <w:t>The implementation of P</w:t>
      </w:r>
      <w:r w:rsidR="00E25418">
        <w:rPr>
          <w:rFonts w:asciiTheme="minorHAnsi" w:hAnsiTheme="minorHAnsi" w:cs="Times New Roman"/>
          <w:szCs w:val="24"/>
        </w:rPr>
        <w:t xml:space="preserve">rimary </w:t>
      </w:r>
      <w:r>
        <w:rPr>
          <w:rFonts w:asciiTheme="minorHAnsi" w:hAnsiTheme="minorHAnsi" w:cs="Times New Roman"/>
          <w:szCs w:val="24"/>
        </w:rPr>
        <w:t>H</w:t>
      </w:r>
      <w:r w:rsidR="00E25418">
        <w:rPr>
          <w:rFonts w:asciiTheme="minorHAnsi" w:hAnsiTheme="minorHAnsi" w:cs="Times New Roman"/>
          <w:szCs w:val="24"/>
        </w:rPr>
        <w:t xml:space="preserve">ealth </w:t>
      </w:r>
      <w:r>
        <w:rPr>
          <w:rFonts w:asciiTheme="minorHAnsi" w:hAnsiTheme="minorHAnsi" w:cs="Times New Roman"/>
          <w:szCs w:val="24"/>
        </w:rPr>
        <w:t>N</w:t>
      </w:r>
      <w:r w:rsidR="00E25418">
        <w:rPr>
          <w:rFonts w:asciiTheme="minorHAnsi" w:hAnsiTheme="minorHAnsi" w:cs="Times New Roman"/>
          <w:szCs w:val="24"/>
        </w:rPr>
        <w:t>etwork</w:t>
      </w:r>
      <w:r>
        <w:rPr>
          <w:rFonts w:asciiTheme="minorHAnsi" w:hAnsiTheme="minorHAnsi" w:cs="Times New Roman"/>
          <w:szCs w:val="24"/>
        </w:rPr>
        <w:t>s</w:t>
      </w:r>
      <w:r w:rsidR="00B35C21" w:rsidRPr="00DA34A7">
        <w:rPr>
          <w:rFonts w:asciiTheme="minorHAnsi" w:hAnsiTheme="minorHAnsi" w:cs="Times New Roman"/>
          <w:szCs w:val="24"/>
        </w:rPr>
        <w:t>, digital health reforms</w:t>
      </w:r>
      <w:r>
        <w:rPr>
          <w:rFonts w:asciiTheme="minorHAnsi" w:hAnsiTheme="minorHAnsi" w:cs="Times New Roman"/>
          <w:szCs w:val="24"/>
        </w:rPr>
        <w:t xml:space="preserve"> and a number of other initiatives reflects an increasing Government focus on the facilitation and improvement of services through </w:t>
      </w:r>
      <w:r w:rsidR="00B35C21" w:rsidRPr="00DA34A7">
        <w:rPr>
          <w:rFonts w:asciiTheme="minorHAnsi" w:hAnsiTheme="minorHAnsi" w:cs="Times New Roman"/>
          <w:szCs w:val="24"/>
        </w:rPr>
        <w:t xml:space="preserve">improved </w:t>
      </w:r>
      <w:r w:rsidR="00E25418">
        <w:rPr>
          <w:rFonts w:asciiTheme="minorHAnsi" w:hAnsiTheme="minorHAnsi" w:cs="Times New Roman"/>
          <w:szCs w:val="24"/>
        </w:rPr>
        <w:t>coordinat</w:t>
      </w:r>
      <w:r w:rsidR="00B35C21" w:rsidRPr="00DA34A7">
        <w:rPr>
          <w:rFonts w:asciiTheme="minorHAnsi" w:hAnsiTheme="minorHAnsi" w:cs="Times New Roman"/>
          <w:szCs w:val="24"/>
        </w:rPr>
        <w:t>ion</w:t>
      </w:r>
      <w:r w:rsidR="00B35C21">
        <w:rPr>
          <w:rFonts w:asciiTheme="minorHAnsi" w:hAnsiTheme="minorHAnsi" w:cs="Times New Roman"/>
          <w:szCs w:val="24"/>
        </w:rPr>
        <w:t xml:space="preserve"> and integration</w:t>
      </w:r>
      <w:r w:rsidR="00B35C21" w:rsidRPr="00DA34A7">
        <w:rPr>
          <w:rFonts w:asciiTheme="minorHAnsi" w:hAnsiTheme="minorHAnsi" w:cs="Times New Roman"/>
          <w:szCs w:val="24"/>
        </w:rPr>
        <w:t xml:space="preserve"> of </w:t>
      </w:r>
      <w:r w:rsidR="00B35C21">
        <w:rPr>
          <w:rFonts w:asciiTheme="minorHAnsi" w:hAnsiTheme="minorHAnsi" w:cs="Times New Roman"/>
          <w:szCs w:val="24"/>
        </w:rPr>
        <w:t>care</w:t>
      </w:r>
      <w:r w:rsidR="00B35C21" w:rsidRPr="00827027">
        <w:rPr>
          <w:rFonts w:asciiTheme="minorHAnsi" w:hAnsiTheme="minorHAnsi" w:cs="Times New Roman"/>
          <w:szCs w:val="24"/>
        </w:rPr>
        <w:t>.</w:t>
      </w:r>
      <w:r w:rsidR="00B35C21">
        <w:rPr>
          <w:rFonts w:asciiTheme="minorHAnsi" w:hAnsiTheme="minorHAnsi" w:cs="Times New Roman"/>
          <w:szCs w:val="24"/>
        </w:rPr>
        <w:t xml:space="preserve">  Examples of digital health reforms </w:t>
      </w:r>
      <w:r>
        <w:rPr>
          <w:rFonts w:asciiTheme="minorHAnsi" w:hAnsiTheme="minorHAnsi" w:cs="Times New Roman"/>
          <w:szCs w:val="24"/>
        </w:rPr>
        <w:t>include initiatives to incentivise the uptake of elec</w:t>
      </w:r>
      <w:r w:rsidR="00A417B3">
        <w:rPr>
          <w:rFonts w:asciiTheme="minorHAnsi" w:hAnsiTheme="minorHAnsi" w:cs="Times New Roman"/>
          <w:szCs w:val="24"/>
        </w:rPr>
        <w:t xml:space="preserve">tronic scripts in pharmacy, </w:t>
      </w:r>
      <w:r>
        <w:rPr>
          <w:rFonts w:asciiTheme="minorHAnsi" w:hAnsiTheme="minorHAnsi" w:cs="Times New Roman"/>
          <w:szCs w:val="24"/>
        </w:rPr>
        <w:t xml:space="preserve">the </w:t>
      </w:r>
      <w:r w:rsidR="00B35C21">
        <w:rPr>
          <w:rFonts w:asciiTheme="minorHAnsi" w:hAnsiTheme="minorHAnsi" w:cs="Times New Roman"/>
          <w:szCs w:val="24"/>
        </w:rPr>
        <w:t xml:space="preserve">current </w:t>
      </w:r>
      <w:r>
        <w:rPr>
          <w:rFonts w:asciiTheme="minorHAnsi" w:hAnsiTheme="minorHAnsi" w:cs="Times New Roman"/>
          <w:szCs w:val="24"/>
        </w:rPr>
        <w:t>trial of an opt-out MyHealth record</w:t>
      </w:r>
      <w:r w:rsidR="00A417B3">
        <w:rPr>
          <w:rFonts w:asciiTheme="minorHAnsi" w:hAnsiTheme="minorHAnsi" w:cs="Times New Roman"/>
          <w:szCs w:val="24"/>
        </w:rPr>
        <w:t xml:space="preserve">, and the introduction of the </w:t>
      </w:r>
      <w:r w:rsidR="00A417B3">
        <w:rPr>
          <w:rFonts w:asciiTheme="minorHAnsi" w:hAnsiTheme="minorHAnsi" w:cs="Times New Roman"/>
          <w:szCs w:val="24"/>
        </w:rPr>
        <w:br/>
      </w:r>
      <w:r w:rsidR="00A417B3" w:rsidRPr="00A417B3">
        <w:rPr>
          <w:rFonts w:asciiTheme="minorHAnsi" w:hAnsiTheme="minorHAnsi" w:cs="Times New Roman"/>
          <w:i/>
          <w:szCs w:val="24"/>
        </w:rPr>
        <w:t>My Aged Care</w:t>
      </w:r>
      <w:r w:rsidR="00A417B3">
        <w:rPr>
          <w:rFonts w:asciiTheme="minorHAnsi" w:hAnsiTheme="minorHAnsi" w:cs="Times New Roman"/>
          <w:szCs w:val="24"/>
        </w:rPr>
        <w:t xml:space="preserve"> portal</w:t>
      </w:r>
      <w:r>
        <w:rPr>
          <w:rFonts w:asciiTheme="minorHAnsi" w:hAnsiTheme="minorHAnsi" w:cs="Times New Roman"/>
          <w:szCs w:val="24"/>
        </w:rPr>
        <w:t>.</w:t>
      </w:r>
    </w:p>
    <w:p w:rsidR="00817093" w:rsidRDefault="00817093" w:rsidP="00817093">
      <w:pPr>
        <w:spacing w:after="0" w:line="240" w:lineRule="auto"/>
        <w:rPr>
          <w:rFonts w:asciiTheme="minorHAnsi" w:hAnsiTheme="minorHAnsi" w:cs="Times New Roman"/>
          <w:szCs w:val="24"/>
        </w:rPr>
      </w:pPr>
    </w:p>
    <w:p w:rsidR="00817093" w:rsidRDefault="00817093" w:rsidP="00817093">
      <w:pPr>
        <w:spacing w:after="0" w:line="240" w:lineRule="auto"/>
        <w:rPr>
          <w:rFonts w:asciiTheme="minorHAnsi" w:hAnsiTheme="minorHAnsi" w:cs="Times New Roman"/>
          <w:szCs w:val="24"/>
        </w:rPr>
      </w:pPr>
      <w:r>
        <w:rPr>
          <w:rFonts w:asciiTheme="minorHAnsi" w:hAnsiTheme="minorHAnsi" w:cs="Times New Roman"/>
          <w:szCs w:val="24"/>
        </w:rPr>
        <w:t xml:space="preserve">Collaboration is a key facet of both digital health and many other </w:t>
      </w:r>
      <w:r w:rsidR="00D64C5C">
        <w:rPr>
          <w:rFonts w:asciiTheme="minorHAnsi" w:hAnsiTheme="minorHAnsi" w:cs="Times New Roman"/>
          <w:szCs w:val="24"/>
        </w:rPr>
        <w:t>program</w:t>
      </w:r>
      <w:r>
        <w:rPr>
          <w:rFonts w:asciiTheme="minorHAnsi" w:hAnsiTheme="minorHAnsi" w:cs="Times New Roman"/>
          <w:szCs w:val="24"/>
        </w:rPr>
        <w:t xml:space="preserve">s being funded by the Australian Government.  These </w:t>
      </w:r>
      <w:r w:rsidR="00D64C5C">
        <w:rPr>
          <w:rFonts w:asciiTheme="minorHAnsi" w:hAnsiTheme="minorHAnsi" w:cs="Times New Roman"/>
          <w:szCs w:val="24"/>
        </w:rPr>
        <w:t>program</w:t>
      </w:r>
      <w:r>
        <w:rPr>
          <w:rFonts w:asciiTheme="minorHAnsi" w:hAnsiTheme="minorHAnsi" w:cs="Times New Roman"/>
          <w:szCs w:val="24"/>
        </w:rPr>
        <w:t>s seek to improve consumer health outcomes by ensuring better communication and seamless care across the primary and acute health care sectors.  The interface of these sectors is commonly highlighted as a point of risk for consumers where decisions about medicines, or other care, can have significant impacts on patient outcomes.</w:t>
      </w:r>
      <w:r w:rsidR="00C342BA">
        <w:rPr>
          <w:rFonts w:asciiTheme="minorHAnsi" w:hAnsiTheme="minorHAnsi" w:cs="Times New Roman"/>
          <w:szCs w:val="24"/>
        </w:rPr>
        <w:t xml:space="preserve">  For example, there are a significant number of medication related hospitalisations per year, particularly amongst the elderly.</w:t>
      </w:r>
      <w:r>
        <w:rPr>
          <w:rFonts w:asciiTheme="minorHAnsi" w:hAnsiTheme="minorHAnsi" w:cs="Times New Roman"/>
          <w:szCs w:val="24"/>
        </w:rPr>
        <w:t xml:space="preserve">  There may be further opportunities through the PTP to improve the consumer experience when transitioning between primary and acute care sectors, particularly through collaboration.</w:t>
      </w:r>
    </w:p>
    <w:p w:rsidR="00817093" w:rsidRDefault="00817093" w:rsidP="00817093">
      <w:pPr>
        <w:spacing w:after="0" w:line="240" w:lineRule="auto"/>
        <w:rPr>
          <w:rFonts w:asciiTheme="minorHAnsi" w:hAnsiTheme="minorHAnsi" w:cs="Times New Roman"/>
          <w:szCs w:val="24"/>
        </w:rPr>
      </w:pPr>
    </w:p>
    <w:p w:rsidR="00817093" w:rsidRDefault="00817093" w:rsidP="00817093">
      <w:pPr>
        <w:spacing w:after="0" w:line="240" w:lineRule="auto"/>
        <w:rPr>
          <w:rFonts w:asciiTheme="minorHAnsi" w:hAnsiTheme="minorHAnsi" w:cs="Times New Roman"/>
          <w:szCs w:val="24"/>
        </w:rPr>
      </w:pPr>
      <w:r>
        <w:rPr>
          <w:rFonts w:asciiTheme="minorHAnsi" w:hAnsiTheme="minorHAnsi" w:cs="Times New Roman"/>
          <w:szCs w:val="24"/>
        </w:rPr>
        <w:t>Funding for services under the PTP needs to reflect the centrality of community pharmacy within the Sixth Agreement and also as a key point of care for consumers.  However, the involvement of pharmacy can potentially take a number of forms, including where the community pharmacy is a participant in a broader care model.</w:t>
      </w:r>
    </w:p>
    <w:p w:rsidR="00817093" w:rsidRDefault="00817093" w:rsidP="00817093">
      <w:pPr>
        <w:spacing w:after="0" w:line="240" w:lineRule="auto"/>
        <w:rPr>
          <w:rFonts w:asciiTheme="minorHAnsi" w:hAnsiTheme="minorHAnsi" w:cs="Times New Roman"/>
          <w:szCs w:val="24"/>
        </w:rPr>
      </w:pPr>
    </w:p>
    <w:p w:rsidR="00817093" w:rsidRDefault="00817093" w:rsidP="00817093">
      <w:pPr>
        <w:spacing w:after="0" w:line="240" w:lineRule="auto"/>
        <w:rPr>
          <w:rFonts w:asciiTheme="minorHAnsi" w:hAnsiTheme="minorHAnsi" w:cs="Times New Roman"/>
          <w:szCs w:val="24"/>
        </w:rPr>
      </w:pPr>
      <w:r>
        <w:rPr>
          <w:rFonts w:asciiTheme="minorHAnsi" w:hAnsiTheme="minorHAnsi" w:cs="Times New Roman"/>
          <w:szCs w:val="24"/>
        </w:rPr>
        <w:t>In future, the Government has stated its intention to fund pharmacy and pharmacist services which are high quality, evidence-based</w:t>
      </w:r>
      <w:r w:rsidR="00C322BE">
        <w:rPr>
          <w:rFonts w:asciiTheme="minorHAnsi" w:hAnsiTheme="minorHAnsi" w:cs="Times New Roman"/>
          <w:szCs w:val="24"/>
        </w:rPr>
        <w:t xml:space="preserve"> cost-effective</w:t>
      </w:r>
      <w:r>
        <w:rPr>
          <w:rFonts w:asciiTheme="minorHAnsi" w:hAnsiTheme="minorHAnsi" w:cs="Times New Roman"/>
          <w:szCs w:val="24"/>
        </w:rPr>
        <w:t xml:space="preserve">, tailored to the needs of the person receiving them and integrated within a responsive primary health care system.  These services will address the changing needs of the population and provide opportunities </w:t>
      </w:r>
      <w:r>
        <w:rPr>
          <w:rFonts w:asciiTheme="minorHAnsi" w:hAnsiTheme="minorHAnsi" w:cs="Times New Roman"/>
          <w:szCs w:val="24"/>
        </w:rPr>
        <w:lastRenderedPageBreak/>
        <w:t>to enter into partnerships between consumers, pharmacists and other health professionals with the ultimate benefit of improved health outcomes</w:t>
      </w:r>
      <w:r w:rsidR="00C322BE">
        <w:rPr>
          <w:rFonts w:asciiTheme="minorHAnsi" w:hAnsiTheme="minorHAnsi" w:cs="Times New Roman"/>
          <w:szCs w:val="24"/>
        </w:rPr>
        <w:t xml:space="preserve"> for Australiana</w:t>
      </w:r>
      <w:r>
        <w:rPr>
          <w:rFonts w:asciiTheme="minorHAnsi" w:hAnsiTheme="minorHAnsi" w:cs="Times New Roman"/>
          <w:szCs w:val="24"/>
        </w:rPr>
        <w:t xml:space="preserve"> through better integration of services and the health care team.</w:t>
      </w:r>
    </w:p>
    <w:p w:rsidR="00B42AC2" w:rsidRDefault="00B42AC2" w:rsidP="00817093">
      <w:pPr>
        <w:spacing w:after="0" w:line="240" w:lineRule="auto"/>
        <w:rPr>
          <w:rFonts w:asciiTheme="minorHAnsi" w:hAnsiTheme="minorHAnsi" w:cs="Times New Roman"/>
          <w:szCs w:val="24"/>
        </w:rPr>
      </w:pPr>
    </w:p>
    <w:p w:rsidR="00817093" w:rsidRPr="006D1E76" w:rsidRDefault="00817093" w:rsidP="00F47763">
      <w:pPr>
        <w:spacing w:after="0"/>
      </w:pPr>
      <w:r>
        <w:rPr>
          <w:rFonts w:asciiTheme="minorHAnsi" w:hAnsiTheme="minorHAnsi" w:cs="Times New Roman"/>
          <w:szCs w:val="24"/>
        </w:rPr>
        <w:t>Further information relating to current initiatives that should be considered in conjuncti</w:t>
      </w:r>
      <w:r w:rsidR="00F5056F">
        <w:rPr>
          <w:rFonts w:asciiTheme="minorHAnsi" w:hAnsiTheme="minorHAnsi" w:cs="Times New Roman"/>
          <w:szCs w:val="24"/>
        </w:rPr>
        <w:t>o</w:t>
      </w:r>
      <w:r>
        <w:rPr>
          <w:rFonts w:asciiTheme="minorHAnsi" w:hAnsiTheme="minorHAnsi" w:cs="Times New Roman"/>
          <w:szCs w:val="24"/>
        </w:rPr>
        <w:t xml:space="preserve">n with the PTP is at </w:t>
      </w:r>
      <w:r w:rsidRPr="00C17B9F">
        <w:rPr>
          <w:rFonts w:asciiTheme="minorHAnsi" w:hAnsiTheme="minorHAnsi" w:cs="Times New Roman"/>
          <w:b/>
          <w:i/>
          <w:szCs w:val="24"/>
        </w:rPr>
        <w:t>Appendix B</w:t>
      </w:r>
      <w:r w:rsidR="00DB2354" w:rsidRPr="00D64C5C">
        <w:rPr>
          <w:rFonts w:asciiTheme="minorHAnsi" w:hAnsiTheme="minorHAnsi" w:cs="Times New Roman"/>
          <w:szCs w:val="24"/>
        </w:rPr>
        <w:t>.</w:t>
      </w:r>
    </w:p>
    <w:p w:rsidR="00D30C6C" w:rsidRDefault="00D30C6C" w:rsidP="002D5FEB">
      <w:pPr>
        <w:pStyle w:val="Heading2"/>
        <w:spacing w:before="0"/>
      </w:pPr>
    </w:p>
    <w:p w:rsidR="00214E67" w:rsidRPr="002D5FEB" w:rsidRDefault="000D06FB" w:rsidP="002D5FEB">
      <w:pPr>
        <w:pStyle w:val="Heading2"/>
        <w:spacing w:before="0"/>
      </w:pPr>
      <w:bookmarkStart w:id="12" w:name="_Toc445899310"/>
      <w:r>
        <w:t xml:space="preserve">Pharmacy Trial </w:t>
      </w:r>
      <w:r w:rsidR="00D64C5C">
        <w:t>Program</w:t>
      </w:r>
      <w:r>
        <w:t xml:space="preserve"> p</w:t>
      </w:r>
      <w:r w:rsidR="002D5FEB" w:rsidRPr="002D5FEB">
        <w:t>rinciples and priorities</w:t>
      </w:r>
      <w:bookmarkEnd w:id="12"/>
      <w:r w:rsidR="002D5FEB" w:rsidRPr="002D5FEB">
        <w:t xml:space="preserve"> </w:t>
      </w:r>
    </w:p>
    <w:p w:rsidR="00660450" w:rsidRDefault="00660450" w:rsidP="00660450">
      <w:pPr>
        <w:spacing w:after="0" w:line="240" w:lineRule="auto"/>
        <w:rPr>
          <w:rFonts w:asciiTheme="minorHAnsi" w:hAnsiTheme="minorHAnsi" w:cs="Times New Roman"/>
          <w:szCs w:val="24"/>
        </w:rPr>
      </w:pPr>
      <w:r>
        <w:rPr>
          <w:rFonts w:asciiTheme="minorHAnsi" w:hAnsiTheme="minorHAnsi" w:cs="Times New Roman"/>
          <w:szCs w:val="24"/>
        </w:rPr>
        <w:t xml:space="preserve">Under a potential future model of </w:t>
      </w:r>
      <w:r w:rsidR="000D06FB">
        <w:rPr>
          <w:rFonts w:asciiTheme="minorHAnsi" w:hAnsiTheme="minorHAnsi" w:cs="Times New Roman"/>
          <w:szCs w:val="24"/>
        </w:rPr>
        <w:t xml:space="preserve">pharmacy </w:t>
      </w:r>
      <w:r>
        <w:rPr>
          <w:rFonts w:asciiTheme="minorHAnsi" w:hAnsiTheme="minorHAnsi" w:cs="Times New Roman"/>
          <w:szCs w:val="24"/>
        </w:rPr>
        <w:t>service delivery, the ability to tailor interventions to best meet patient needs is vital.  However, patient needs, and how to best structure a service to address these, can differ significantly.  The most effective approach will depend on a number of factors including the type and size of the problem</w:t>
      </w:r>
      <w:r w:rsidR="004A4493">
        <w:rPr>
          <w:rFonts w:asciiTheme="minorHAnsi" w:hAnsiTheme="minorHAnsi" w:cs="Times New Roman"/>
          <w:szCs w:val="24"/>
        </w:rPr>
        <w:t xml:space="preserve"> or gap in healthcare services</w:t>
      </w:r>
      <w:r>
        <w:rPr>
          <w:rFonts w:asciiTheme="minorHAnsi" w:hAnsiTheme="minorHAnsi" w:cs="Times New Roman"/>
          <w:szCs w:val="24"/>
        </w:rPr>
        <w:t>, the t</w:t>
      </w:r>
      <w:r w:rsidR="008B6825">
        <w:rPr>
          <w:rFonts w:asciiTheme="minorHAnsi" w:hAnsiTheme="minorHAnsi" w:cs="Times New Roman"/>
          <w:szCs w:val="24"/>
        </w:rPr>
        <w:t>arget group and the evidence supporting</w:t>
      </w:r>
      <w:r>
        <w:rPr>
          <w:rFonts w:asciiTheme="minorHAnsi" w:hAnsiTheme="minorHAnsi" w:cs="Times New Roman"/>
          <w:szCs w:val="24"/>
        </w:rPr>
        <w:t xml:space="preserve"> the proposed intervention.  </w:t>
      </w:r>
    </w:p>
    <w:p w:rsidR="004A4493" w:rsidRDefault="004A4493" w:rsidP="00660450">
      <w:pPr>
        <w:spacing w:after="0" w:line="240" w:lineRule="auto"/>
        <w:rPr>
          <w:rFonts w:asciiTheme="minorHAnsi" w:hAnsiTheme="minorHAnsi" w:cs="Times New Roman"/>
          <w:szCs w:val="24"/>
        </w:rPr>
      </w:pPr>
    </w:p>
    <w:p w:rsidR="004A4493" w:rsidRDefault="004A4493" w:rsidP="00660450">
      <w:pPr>
        <w:spacing w:after="0" w:line="240" w:lineRule="auto"/>
        <w:rPr>
          <w:rFonts w:asciiTheme="minorHAnsi" w:hAnsiTheme="minorHAnsi" w:cs="Times New Roman"/>
          <w:szCs w:val="24"/>
        </w:rPr>
      </w:pPr>
      <w:r>
        <w:rPr>
          <w:rFonts w:asciiTheme="minorHAnsi" w:hAnsiTheme="minorHAnsi" w:cs="Times New Roman"/>
          <w:szCs w:val="24"/>
        </w:rPr>
        <w:t>The</w:t>
      </w:r>
      <w:r w:rsidR="00CD2129">
        <w:rPr>
          <w:rFonts w:asciiTheme="minorHAnsi" w:hAnsiTheme="minorHAnsi" w:cs="Times New Roman"/>
          <w:szCs w:val="24"/>
        </w:rPr>
        <w:t xml:space="preserve"> following principles </w:t>
      </w:r>
      <w:r w:rsidR="000D06FB">
        <w:rPr>
          <w:rFonts w:asciiTheme="minorHAnsi" w:hAnsiTheme="minorHAnsi" w:cs="Times New Roman"/>
          <w:szCs w:val="24"/>
        </w:rPr>
        <w:t xml:space="preserve">will </w:t>
      </w:r>
      <w:r w:rsidR="00CD2129">
        <w:rPr>
          <w:rFonts w:asciiTheme="minorHAnsi" w:hAnsiTheme="minorHAnsi" w:cs="Times New Roman"/>
          <w:szCs w:val="24"/>
        </w:rPr>
        <w:t xml:space="preserve">underpin </w:t>
      </w:r>
      <w:r w:rsidR="000D06FB">
        <w:rPr>
          <w:rFonts w:asciiTheme="minorHAnsi" w:hAnsiTheme="minorHAnsi" w:cs="Times New Roman"/>
          <w:szCs w:val="24"/>
        </w:rPr>
        <w:t>trials under the PTP</w:t>
      </w:r>
      <w:r w:rsidR="00CD2129">
        <w:rPr>
          <w:rFonts w:asciiTheme="minorHAnsi" w:hAnsiTheme="minorHAnsi" w:cs="Times New Roman"/>
          <w:szCs w:val="24"/>
        </w:rPr>
        <w:t>:</w:t>
      </w:r>
    </w:p>
    <w:p w:rsidR="00CD2129" w:rsidRDefault="00CD2129" w:rsidP="00CD2129">
      <w:pPr>
        <w:spacing w:after="0" w:line="240" w:lineRule="auto"/>
        <w:rPr>
          <w:rFonts w:asciiTheme="minorHAnsi" w:hAnsiTheme="minorHAnsi" w:cs="Times New Roman"/>
          <w:szCs w:val="24"/>
        </w:rPr>
      </w:pPr>
    </w:p>
    <w:p w:rsidR="00CD2129" w:rsidRPr="00E233DD" w:rsidRDefault="00CD2129" w:rsidP="00CD2129">
      <w:pPr>
        <w:pStyle w:val="ListParagraph"/>
        <w:numPr>
          <w:ilvl w:val="0"/>
          <w:numId w:val="21"/>
        </w:numPr>
        <w:autoSpaceDE w:val="0"/>
        <w:autoSpaceDN w:val="0"/>
        <w:adjustRightInd w:val="0"/>
        <w:spacing w:after="0" w:line="240" w:lineRule="auto"/>
        <w:ind w:left="426" w:hanging="426"/>
        <w:rPr>
          <w:rFonts w:asciiTheme="minorHAnsi" w:hAnsiTheme="minorHAnsi" w:cs="Times New Roman"/>
          <w:i/>
          <w:szCs w:val="24"/>
        </w:rPr>
      </w:pPr>
      <w:r w:rsidRPr="00E233DD">
        <w:rPr>
          <w:rFonts w:asciiTheme="minorHAnsi" w:hAnsiTheme="minorHAnsi" w:cs="Times New Roman"/>
          <w:i/>
          <w:szCs w:val="24"/>
        </w:rPr>
        <w:t xml:space="preserve">Established patient need </w:t>
      </w:r>
    </w:p>
    <w:p w:rsidR="00CD2129" w:rsidRPr="00CD2129" w:rsidRDefault="00CD2129" w:rsidP="00CD2129">
      <w:pPr>
        <w:pStyle w:val="ListParagraph"/>
        <w:autoSpaceDE w:val="0"/>
        <w:autoSpaceDN w:val="0"/>
        <w:adjustRightInd w:val="0"/>
        <w:spacing w:after="0" w:line="240" w:lineRule="auto"/>
        <w:ind w:left="426"/>
        <w:rPr>
          <w:rFonts w:asciiTheme="minorHAnsi" w:hAnsiTheme="minorHAnsi" w:cs="Times New Roman"/>
          <w:szCs w:val="24"/>
        </w:rPr>
      </w:pPr>
    </w:p>
    <w:p w:rsidR="00CD2129" w:rsidRPr="00CD2129" w:rsidRDefault="00CD2129" w:rsidP="00CD2129">
      <w:pPr>
        <w:pStyle w:val="ListParagraph"/>
        <w:numPr>
          <w:ilvl w:val="0"/>
          <w:numId w:val="23"/>
        </w:numPr>
        <w:autoSpaceDE w:val="0"/>
        <w:autoSpaceDN w:val="0"/>
        <w:adjustRightInd w:val="0"/>
        <w:spacing w:after="0" w:line="240" w:lineRule="auto"/>
        <w:ind w:left="851" w:hanging="425"/>
        <w:rPr>
          <w:rFonts w:asciiTheme="minorHAnsi" w:hAnsiTheme="minorHAnsi" w:cs="Times New Roman"/>
          <w:szCs w:val="24"/>
        </w:rPr>
      </w:pPr>
      <w:r w:rsidRPr="00CD2129">
        <w:rPr>
          <w:rFonts w:asciiTheme="minorHAnsi" w:hAnsiTheme="minorHAnsi" w:cs="Times New Roman"/>
          <w:szCs w:val="24"/>
        </w:rPr>
        <w:t>Proposal</w:t>
      </w:r>
      <w:r w:rsidR="00295220">
        <w:rPr>
          <w:rFonts w:asciiTheme="minorHAnsi" w:hAnsiTheme="minorHAnsi" w:cs="Times New Roman"/>
          <w:szCs w:val="24"/>
        </w:rPr>
        <w:t>s</w:t>
      </w:r>
      <w:r w:rsidRPr="00CD2129">
        <w:rPr>
          <w:rFonts w:asciiTheme="minorHAnsi" w:hAnsiTheme="minorHAnsi" w:cs="Times New Roman"/>
          <w:szCs w:val="24"/>
        </w:rPr>
        <w:t xml:space="preserve"> must be patient-focussed and demonstrate that there is a gap in services or a gap in accessing a particular service, i.e. it would not duplicate an existing service or create demand for a service which doesn’t deliver health value. </w:t>
      </w:r>
    </w:p>
    <w:p w:rsidR="00CD2129" w:rsidRPr="00CD2129" w:rsidRDefault="00CD2129" w:rsidP="00CD2129">
      <w:pPr>
        <w:pStyle w:val="ListParagraph"/>
        <w:numPr>
          <w:ilvl w:val="0"/>
          <w:numId w:val="23"/>
        </w:numPr>
        <w:autoSpaceDE w:val="0"/>
        <w:autoSpaceDN w:val="0"/>
        <w:adjustRightInd w:val="0"/>
        <w:spacing w:after="0" w:line="240" w:lineRule="auto"/>
        <w:ind w:left="851" w:hanging="425"/>
        <w:rPr>
          <w:rFonts w:asciiTheme="minorHAnsi" w:hAnsiTheme="minorHAnsi" w:cs="Times New Roman"/>
          <w:szCs w:val="24"/>
        </w:rPr>
      </w:pPr>
      <w:r w:rsidRPr="00CD2129">
        <w:rPr>
          <w:rFonts w:asciiTheme="minorHAnsi" w:hAnsiTheme="minorHAnsi" w:cs="Times New Roman"/>
          <w:szCs w:val="24"/>
        </w:rPr>
        <w:t>Proposals should not further accentuate inequities in care (e</w:t>
      </w:r>
      <w:r>
        <w:rPr>
          <w:rFonts w:asciiTheme="minorHAnsi" w:hAnsiTheme="minorHAnsi" w:cs="Times New Roman"/>
          <w:szCs w:val="24"/>
        </w:rPr>
        <w:t>.</w:t>
      </w:r>
      <w:r w:rsidRPr="00CD2129">
        <w:rPr>
          <w:rFonts w:asciiTheme="minorHAnsi" w:hAnsiTheme="minorHAnsi" w:cs="Times New Roman"/>
          <w:szCs w:val="24"/>
        </w:rPr>
        <w:t>g</w:t>
      </w:r>
      <w:r>
        <w:rPr>
          <w:rFonts w:asciiTheme="minorHAnsi" w:hAnsiTheme="minorHAnsi" w:cs="Times New Roman"/>
          <w:szCs w:val="24"/>
        </w:rPr>
        <w:t>.</w:t>
      </w:r>
      <w:r w:rsidRPr="00CD2129">
        <w:rPr>
          <w:rFonts w:asciiTheme="minorHAnsi" w:hAnsiTheme="minorHAnsi" w:cs="Times New Roman"/>
          <w:szCs w:val="24"/>
        </w:rPr>
        <w:t xml:space="preserve"> by delivering </w:t>
      </w:r>
      <w:r w:rsidR="00E233DD">
        <w:rPr>
          <w:rFonts w:asciiTheme="minorHAnsi" w:hAnsiTheme="minorHAnsi" w:cs="Times New Roman"/>
          <w:szCs w:val="24"/>
        </w:rPr>
        <w:t>small</w:t>
      </w:r>
      <w:r w:rsidRPr="00CD2129">
        <w:rPr>
          <w:rFonts w:asciiTheme="minorHAnsi" w:hAnsiTheme="minorHAnsi" w:cs="Times New Roman"/>
          <w:szCs w:val="24"/>
        </w:rPr>
        <w:t xml:space="preserve"> improvements for a group of patients where</w:t>
      </w:r>
      <w:r w:rsidR="00E233DD">
        <w:rPr>
          <w:rFonts w:asciiTheme="minorHAnsi" w:hAnsiTheme="minorHAnsi" w:cs="Times New Roman"/>
          <w:szCs w:val="24"/>
        </w:rPr>
        <w:t xml:space="preserve"> the</w:t>
      </w:r>
      <w:r w:rsidRPr="00CD2129">
        <w:rPr>
          <w:rFonts w:asciiTheme="minorHAnsi" w:hAnsiTheme="minorHAnsi" w:cs="Times New Roman"/>
          <w:szCs w:val="24"/>
        </w:rPr>
        <w:t xml:space="preserve"> need is low).</w:t>
      </w:r>
    </w:p>
    <w:p w:rsidR="00CD2129" w:rsidRPr="00CD2129" w:rsidRDefault="00CD2129" w:rsidP="00CD2129">
      <w:pPr>
        <w:pStyle w:val="ListParagraph"/>
        <w:autoSpaceDE w:val="0"/>
        <w:autoSpaceDN w:val="0"/>
        <w:adjustRightInd w:val="0"/>
        <w:spacing w:after="0" w:line="240" w:lineRule="auto"/>
        <w:ind w:left="851"/>
        <w:rPr>
          <w:rFonts w:asciiTheme="minorHAnsi" w:hAnsiTheme="minorHAnsi" w:cs="Times New Roman"/>
          <w:szCs w:val="24"/>
        </w:rPr>
      </w:pPr>
    </w:p>
    <w:p w:rsidR="00CD2129" w:rsidRPr="00E233DD" w:rsidRDefault="00CD2129" w:rsidP="00CD2129">
      <w:pPr>
        <w:pStyle w:val="ListParagraph"/>
        <w:numPr>
          <w:ilvl w:val="0"/>
          <w:numId w:val="20"/>
        </w:numPr>
        <w:autoSpaceDE w:val="0"/>
        <w:autoSpaceDN w:val="0"/>
        <w:adjustRightInd w:val="0"/>
        <w:spacing w:after="0" w:line="240" w:lineRule="auto"/>
        <w:ind w:left="426" w:hanging="426"/>
        <w:rPr>
          <w:rFonts w:asciiTheme="minorHAnsi" w:hAnsiTheme="minorHAnsi" w:cs="Times New Roman"/>
          <w:i/>
          <w:szCs w:val="24"/>
        </w:rPr>
      </w:pPr>
      <w:r w:rsidRPr="00E233DD">
        <w:rPr>
          <w:rFonts w:asciiTheme="minorHAnsi" w:hAnsiTheme="minorHAnsi" w:cs="Times New Roman"/>
          <w:i/>
          <w:szCs w:val="24"/>
        </w:rPr>
        <w:t>Scientific rigour and accuracy</w:t>
      </w:r>
    </w:p>
    <w:p w:rsidR="00CD2129" w:rsidRPr="00CD2129" w:rsidRDefault="00CD2129" w:rsidP="00CD2129">
      <w:pPr>
        <w:pStyle w:val="ListParagraph"/>
        <w:autoSpaceDE w:val="0"/>
        <w:autoSpaceDN w:val="0"/>
        <w:adjustRightInd w:val="0"/>
        <w:spacing w:after="0" w:line="240" w:lineRule="auto"/>
        <w:rPr>
          <w:rFonts w:asciiTheme="minorHAnsi" w:hAnsiTheme="minorHAnsi" w:cs="Times New Roman"/>
          <w:szCs w:val="24"/>
        </w:rPr>
      </w:pPr>
    </w:p>
    <w:p w:rsidR="00CD2129" w:rsidRPr="00CD2129" w:rsidRDefault="00F47763" w:rsidP="00CD2129">
      <w:pPr>
        <w:pStyle w:val="ListParagraph"/>
        <w:numPr>
          <w:ilvl w:val="0"/>
          <w:numId w:val="27"/>
        </w:numPr>
        <w:autoSpaceDE w:val="0"/>
        <w:autoSpaceDN w:val="0"/>
        <w:adjustRightInd w:val="0"/>
        <w:spacing w:after="0" w:line="240" w:lineRule="auto"/>
        <w:ind w:left="851" w:hanging="425"/>
        <w:rPr>
          <w:rFonts w:asciiTheme="minorHAnsi" w:hAnsiTheme="minorHAnsi" w:cs="Times New Roman"/>
          <w:szCs w:val="24"/>
        </w:rPr>
      </w:pPr>
      <w:r>
        <w:rPr>
          <w:rFonts w:asciiTheme="minorHAnsi" w:hAnsiTheme="minorHAnsi" w:cs="Times New Roman"/>
          <w:szCs w:val="24"/>
        </w:rPr>
        <w:t>The e</w:t>
      </w:r>
      <w:r w:rsidR="00CD2129" w:rsidRPr="00CD2129">
        <w:rPr>
          <w:rFonts w:asciiTheme="minorHAnsi" w:hAnsiTheme="minorHAnsi" w:cs="Times New Roman"/>
          <w:szCs w:val="24"/>
        </w:rPr>
        <w:t xml:space="preserve">vidence base </w:t>
      </w:r>
      <w:r>
        <w:rPr>
          <w:rFonts w:asciiTheme="minorHAnsi" w:hAnsiTheme="minorHAnsi" w:cs="Times New Roman"/>
          <w:szCs w:val="24"/>
        </w:rPr>
        <w:t>should be</w:t>
      </w:r>
      <w:r w:rsidR="00CD2129" w:rsidRPr="00CD2129">
        <w:rPr>
          <w:rFonts w:asciiTheme="minorHAnsi" w:hAnsiTheme="minorHAnsi" w:cs="Times New Roman"/>
          <w:szCs w:val="24"/>
        </w:rPr>
        <w:t xml:space="preserve"> relevant to</w:t>
      </w:r>
      <w:r>
        <w:rPr>
          <w:rFonts w:asciiTheme="minorHAnsi" w:hAnsiTheme="minorHAnsi" w:cs="Times New Roman"/>
          <w:szCs w:val="24"/>
        </w:rPr>
        <w:t xml:space="preserve"> the</w:t>
      </w:r>
      <w:r w:rsidR="00CD2129" w:rsidRPr="00CD2129">
        <w:rPr>
          <w:rFonts w:asciiTheme="minorHAnsi" w:hAnsiTheme="minorHAnsi" w:cs="Times New Roman"/>
          <w:szCs w:val="24"/>
        </w:rPr>
        <w:t xml:space="preserve"> Australian context and trial setting;</w:t>
      </w:r>
    </w:p>
    <w:p w:rsidR="00CD2129" w:rsidRPr="00CD2129" w:rsidRDefault="00F47763" w:rsidP="00CD2129">
      <w:pPr>
        <w:pStyle w:val="ListParagraph"/>
        <w:numPr>
          <w:ilvl w:val="0"/>
          <w:numId w:val="27"/>
        </w:numPr>
        <w:autoSpaceDE w:val="0"/>
        <w:autoSpaceDN w:val="0"/>
        <w:adjustRightInd w:val="0"/>
        <w:spacing w:after="0" w:line="240" w:lineRule="auto"/>
        <w:ind w:left="851" w:hanging="425"/>
        <w:rPr>
          <w:rFonts w:asciiTheme="minorHAnsi" w:hAnsiTheme="minorHAnsi" w:cs="Times New Roman"/>
          <w:szCs w:val="24"/>
        </w:rPr>
      </w:pPr>
      <w:r>
        <w:rPr>
          <w:rFonts w:asciiTheme="minorHAnsi" w:hAnsiTheme="minorHAnsi" w:cs="Times New Roman"/>
          <w:szCs w:val="24"/>
        </w:rPr>
        <w:t>Proposals should i</w:t>
      </w:r>
      <w:r w:rsidR="00CD2129" w:rsidRPr="00CD2129">
        <w:rPr>
          <w:rFonts w:asciiTheme="minorHAnsi" w:hAnsiTheme="minorHAnsi" w:cs="Times New Roman"/>
          <w:szCs w:val="24"/>
        </w:rPr>
        <w:t>dentify measurable patient-relevant outcomes that the service will provide;</w:t>
      </w:r>
    </w:p>
    <w:p w:rsidR="00CD2129" w:rsidRPr="00CD2129" w:rsidRDefault="00CD2129" w:rsidP="00CD2129">
      <w:pPr>
        <w:pStyle w:val="ListParagraph"/>
        <w:numPr>
          <w:ilvl w:val="0"/>
          <w:numId w:val="23"/>
        </w:numPr>
        <w:autoSpaceDE w:val="0"/>
        <w:autoSpaceDN w:val="0"/>
        <w:adjustRightInd w:val="0"/>
        <w:spacing w:after="0" w:line="240" w:lineRule="auto"/>
        <w:ind w:left="851" w:hanging="425"/>
        <w:rPr>
          <w:rFonts w:asciiTheme="minorHAnsi" w:hAnsiTheme="minorHAnsi" w:cs="Times New Roman"/>
          <w:szCs w:val="24"/>
        </w:rPr>
      </w:pPr>
      <w:r w:rsidRPr="00CD2129">
        <w:rPr>
          <w:rFonts w:asciiTheme="minorHAnsi" w:hAnsiTheme="minorHAnsi" w:cs="Times New Roman"/>
          <w:szCs w:val="24"/>
        </w:rPr>
        <w:t>Total budget impact analysis (includes new costs and any savings)</w:t>
      </w:r>
      <w:r w:rsidR="006D79B0">
        <w:rPr>
          <w:rFonts w:asciiTheme="minorHAnsi" w:hAnsiTheme="minorHAnsi" w:cs="Times New Roman"/>
          <w:szCs w:val="24"/>
        </w:rPr>
        <w:t xml:space="preserve"> </w:t>
      </w:r>
      <w:r w:rsidR="00F47763">
        <w:rPr>
          <w:rFonts w:asciiTheme="minorHAnsi" w:hAnsiTheme="minorHAnsi" w:cs="Times New Roman"/>
          <w:szCs w:val="24"/>
        </w:rPr>
        <w:t>should be</w:t>
      </w:r>
      <w:r w:rsidR="006D79B0">
        <w:rPr>
          <w:rFonts w:asciiTheme="minorHAnsi" w:hAnsiTheme="minorHAnsi" w:cs="Times New Roman"/>
          <w:szCs w:val="24"/>
        </w:rPr>
        <w:t xml:space="preserve"> undertaken</w:t>
      </w:r>
      <w:r w:rsidRPr="00CD2129">
        <w:rPr>
          <w:rFonts w:asciiTheme="minorHAnsi" w:hAnsiTheme="minorHAnsi" w:cs="Times New Roman"/>
          <w:szCs w:val="24"/>
        </w:rPr>
        <w:t xml:space="preserve">, including </w:t>
      </w:r>
    </w:p>
    <w:p w:rsidR="00CD2129" w:rsidRPr="00CD2129" w:rsidRDefault="00CD2129" w:rsidP="00CD2129">
      <w:pPr>
        <w:pStyle w:val="ListParagraph"/>
        <w:autoSpaceDE w:val="0"/>
        <w:autoSpaceDN w:val="0"/>
        <w:adjustRightInd w:val="0"/>
        <w:spacing w:after="0" w:line="240" w:lineRule="auto"/>
        <w:ind w:left="1436" w:hanging="585"/>
        <w:rPr>
          <w:rFonts w:asciiTheme="minorHAnsi" w:hAnsiTheme="minorHAnsi" w:cs="Times New Roman"/>
          <w:szCs w:val="24"/>
        </w:rPr>
      </w:pPr>
      <w:r w:rsidRPr="00CD2129">
        <w:rPr>
          <w:rFonts w:asciiTheme="minorHAnsi" w:hAnsiTheme="minorHAnsi" w:cs="Times New Roman"/>
          <w:szCs w:val="24"/>
        </w:rPr>
        <w:t>.</w:t>
      </w:r>
      <w:r w:rsidRPr="00CD2129">
        <w:rPr>
          <w:rFonts w:asciiTheme="minorHAnsi" w:hAnsiTheme="minorHAnsi" w:cs="Times New Roman"/>
          <w:szCs w:val="24"/>
        </w:rPr>
        <w:tab/>
        <w:t>infrastructure and implementation costs – workforce issues, including capacity, training/</w:t>
      </w:r>
      <w:r w:rsidR="006D1E76" w:rsidRPr="00CD2129">
        <w:rPr>
          <w:rFonts w:asciiTheme="minorHAnsi" w:hAnsiTheme="minorHAnsi" w:cs="Times New Roman"/>
          <w:szCs w:val="24"/>
        </w:rPr>
        <w:t>credentialing</w:t>
      </w:r>
      <w:r w:rsidRPr="00CD2129">
        <w:rPr>
          <w:rFonts w:asciiTheme="minorHAnsi" w:hAnsiTheme="minorHAnsi" w:cs="Times New Roman"/>
          <w:szCs w:val="24"/>
        </w:rPr>
        <w:t xml:space="preserve"> requirements, context in which the service will be provided (e</w:t>
      </w:r>
      <w:r w:rsidR="00641D6E">
        <w:rPr>
          <w:rFonts w:asciiTheme="minorHAnsi" w:hAnsiTheme="minorHAnsi" w:cs="Times New Roman"/>
          <w:szCs w:val="24"/>
        </w:rPr>
        <w:t>.</w:t>
      </w:r>
      <w:r w:rsidRPr="00CD2129">
        <w:rPr>
          <w:rFonts w:asciiTheme="minorHAnsi" w:hAnsiTheme="minorHAnsi" w:cs="Times New Roman"/>
          <w:szCs w:val="24"/>
        </w:rPr>
        <w:t>g</w:t>
      </w:r>
      <w:r w:rsidR="00641D6E">
        <w:rPr>
          <w:rFonts w:asciiTheme="minorHAnsi" w:hAnsiTheme="minorHAnsi" w:cs="Times New Roman"/>
          <w:szCs w:val="24"/>
        </w:rPr>
        <w:t>.</w:t>
      </w:r>
      <w:r w:rsidRPr="00CD2129">
        <w:rPr>
          <w:rFonts w:asciiTheme="minorHAnsi" w:hAnsiTheme="minorHAnsi" w:cs="Times New Roman"/>
          <w:szCs w:val="24"/>
        </w:rPr>
        <w:t xml:space="preserve"> in the home, rural); </w:t>
      </w:r>
      <w:r w:rsidR="002B008B">
        <w:rPr>
          <w:rFonts w:asciiTheme="minorHAnsi" w:hAnsiTheme="minorHAnsi" w:cs="Times New Roman"/>
          <w:szCs w:val="24"/>
        </w:rPr>
        <w:t>and</w:t>
      </w:r>
    </w:p>
    <w:p w:rsidR="00CD2129" w:rsidRPr="00CD2129" w:rsidRDefault="002B008B" w:rsidP="00CD2129">
      <w:pPr>
        <w:pStyle w:val="ListParagraph"/>
        <w:autoSpaceDE w:val="0"/>
        <w:autoSpaceDN w:val="0"/>
        <w:adjustRightInd w:val="0"/>
        <w:spacing w:after="0" w:line="240" w:lineRule="auto"/>
        <w:ind w:left="851"/>
        <w:rPr>
          <w:rFonts w:asciiTheme="minorHAnsi" w:hAnsiTheme="minorHAnsi" w:cs="Times New Roman"/>
          <w:szCs w:val="24"/>
        </w:rPr>
      </w:pPr>
      <w:r>
        <w:rPr>
          <w:rFonts w:asciiTheme="minorHAnsi" w:hAnsiTheme="minorHAnsi" w:cs="Times New Roman"/>
          <w:szCs w:val="24"/>
        </w:rPr>
        <w:t>.</w:t>
      </w:r>
      <w:r>
        <w:rPr>
          <w:rFonts w:asciiTheme="minorHAnsi" w:hAnsiTheme="minorHAnsi" w:cs="Times New Roman"/>
          <w:szCs w:val="24"/>
        </w:rPr>
        <w:tab/>
        <w:t>consideration of utilisation estimates.</w:t>
      </w:r>
    </w:p>
    <w:p w:rsidR="00CD2129" w:rsidRPr="00CD2129" w:rsidRDefault="00295220" w:rsidP="00CD2129">
      <w:pPr>
        <w:pStyle w:val="ListParagraph"/>
        <w:numPr>
          <w:ilvl w:val="0"/>
          <w:numId w:val="23"/>
        </w:numPr>
        <w:autoSpaceDE w:val="0"/>
        <w:autoSpaceDN w:val="0"/>
        <w:adjustRightInd w:val="0"/>
        <w:spacing w:after="0" w:line="240" w:lineRule="auto"/>
        <w:ind w:left="851" w:hanging="425"/>
        <w:rPr>
          <w:rFonts w:asciiTheme="minorHAnsi" w:hAnsiTheme="minorHAnsi" w:cs="Times New Roman"/>
          <w:szCs w:val="24"/>
        </w:rPr>
      </w:pPr>
      <w:r>
        <w:rPr>
          <w:rFonts w:asciiTheme="minorHAnsi" w:hAnsiTheme="minorHAnsi" w:cs="Times New Roman"/>
          <w:szCs w:val="24"/>
        </w:rPr>
        <w:t>Appropriate</w:t>
      </w:r>
      <w:r w:rsidR="00CD2129" w:rsidRPr="00CD2129">
        <w:rPr>
          <w:rFonts w:asciiTheme="minorHAnsi" w:hAnsiTheme="minorHAnsi" w:cs="Times New Roman"/>
          <w:szCs w:val="24"/>
        </w:rPr>
        <w:t xml:space="preserve"> data</w:t>
      </w:r>
      <w:r>
        <w:rPr>
          <w:rFonts w:asciiTheme="minorHAnsi" w:hAnsiTheme="minorHAnsi" w:cs="Times New Roman"/>
          <w:szCs w:val="24"/>
        </w:rPr>
        <w:t xml:space="preserve"> should be collected</w:t>
      </w:r>
      <w:r w:rsidR="00CD2129" w:rsidRPr="00CD2129">
        <w:rPr>
          <w:rFonts w:asciiTheme="minorHAnsi" w:hAnsiTheme="minorHAnsi" w:cs="Times New Roman"/>
          <w:szCs w:val="24"/>
        </w:rPr>
        <w:t xml:space="preserve"> to enable evaluation of cost-effectiveness.</w:t>
      </w:r>
    </w:p>
    <w:p w:rsidR="00CD2129" w:rsidRPr="00CD2129" w:rsidRDefault="00CD2129" w:rsidP="00CD2129">
      <w:pPr>
        <w:autoSpaceDE w:val="0"/>
        <w:autoSpaceDN w:val="0"/>
        <w:adjustRightInd w:val="0"/>
        <w:spacing w:after="0" w:line="240" w:lineRule="auto"/>
        <w:rPr>
          <w:rFonts w:asciiTheme="minorHAnsi" w:hAnsiTheme="minorHAnsi" w:cs="Times New Roman"/>
          <w:szCs w:val="24"/>
        </w:rPr>
      </w:pPr>
    </w:p>
    <w:p w:rsidR="00CD2129" w:rsidRPr="00E233DD" w:rsidRDefault="00CD2129" w:rsidP="00CD2129">
      <w:pPr>
        <w:pStyle w:val="ListParagraph"/>
        <w:numPr>
          <w:ilvl w:val="0"/>
          <w:numId w:val="20"/>
        </w:numPr>
        <w:autoSpaceDE w:val="0"/>
        <w:autoSpaceDN w:val="0"/>
        <w:adjustRightInd w:val="0"/>
        <w:spacing w:after="0" w:line="240" w:lineRule="auto"/>
        <w:ind w:left="426" w:hanging="426"/>
        <w:rPr>
          <w:rFonts w:asciiTheme="minorHAnsi" w:hAnsiTheme="minorHAnsi" w:cs="Times New Roman"/>
          <w:i/>
          <w:szCs w:val="24"/>
        </w:rPr>
      </w:pPr>
      <w:r w:rsidRPr="00E233DD">
        <w:rPr>
          <w:rFonts w:asciiTheme="minorHAnsi" w:hAnsiTheme="minorHAnsi" w:cs="Times New Roman"/>
          <w:i/>
          <w:szCs w:val="24"/>
        </w:rPr>
        <w:t>Applicability and context</w:t>
      </w:r>
    </w:p>
    <w:p w:rsidR="00CD2129" w:rsidRPr="00CD2129" w:rsidRDefault="00CD2129" w:rsidP="00CD2129">
      <w:pPr>
        <w:pStyle w:val="ListParagraph"/>
        <w:autoSpaceDE w:val="0"/>
        <w:autoSpaceDN w:val="0"/>
        <w:adjustRightInd w:val="0"/>
        <w:spacing w:after="0" w:line="240" w:lineRule="auto"/>
        <w:rPr>
          <w:rFonts w:asciiTheme="minorHAnsi" w:hAnsiTheme="minorHAnsi" w:cs="Times New Roman"/>
          <w:szCs w:val="24"/>
        </w:rPr>
      </w:pPr>
    </w:p>
    <w:p w:rsidR="00CD2129" w:rsidRPr="00CD2129" w:rsidRDefault="00CD2129" w:rsidP="00CD2129">
      <w:pPr>
        <w:pStyle w:val="ListParagraph"/>
        <w:numPr>
          <w:ilvl w:val="0"/>
          <w:numId w:val="22"/>
        </w:numPr>
        <w:spacing w:after="0" w:line="240" w:lineRule="auto"/>
        <w:ind w:left="851" w:hanging="425"/>
        <w:rPr>
          <w:rFonts w:asciiTheme="minorHAnsi" w:hAnsiTheme="minorHAnsi" w:cs="Times New Roman"/>
          <w:szCs w:val="24"/>
        </w:rPr>
      </w:pPr>
      <w:r w:rsidRPr="00CD2129">
        <w:rPr>
          <w:rFonts w:asciiTheme="minorHAnsi" w:hAnsiTheme="minorHAnsi" w:cs="Times New Roman"/>
          <w:szCs w:val="24"/>
        </w:rPr>
        <w:t>The proposed service must streamline the patient journey;</w:t>
      </w:r>
    </w:p>
    <w:p w:rsidR="00CD2129" w:rsidRPr="00CD2129" w:rsidRDefault="00F47763" w:rsidP="00CD2129">
      <w:pPr>
        <w:pStyle w:val="ListParagraph"/>
        <w:numPr>
          <w:ilvl w:val="0"/>
          <w:numId w:val="22"/>
        </w:numPr>
        <w:spacing w:after="0" w:line="240" w:lineRule="auto"/>
        <w:ind w:left="851" w:hanging="425"/>
        <w:rPr>
          <w:rFonts w:asciiTheme="minorHAnsi" w:hAnsiTheme="minorHAnsi" w:cs="Times New Roman"/>
          <w:szCs w:val="24"/>
        </w:rPr>
      </w:pPr>
      <w:r>
        <w:rPr>
          <w:rFonts w:asciiTheme="minorHAnsi" w:hAnsiTheme="minorHAnsi" w:cs="Times New Roman"/>
          <w:szCs w:val="24"/>
        </w:rPr>
        <w:t>The p</w:t>
      </w:r>
      <w:r w:rsidR="00CD2129" w:rsidRPr="00CD2129">
        <w:rPr>
          <w:rFonts w:asciiTheme="minorHAnsi" w:hAnsiTheme="minorHAnsi" w:cs="Times New Roman"/>
          <w:szCs w:val="24"/>
        </w:rPr>
        <w:t>otential for implementation on</w:t>
      </w:r>
      <w:r>
        <w:rPr>
          <w:rFonts w:asciiTheme="minorHAnsi" w:hAnsiTheme="minorHAnsi" w:cs="Times New Roman"/>
          <w:szCs w:val="24"/>
        </w:rPr>
        <w:t xml:space="preserve"> a</w:t>
      </w:r>
      <w:r w:rsidR="00CD2129" w:rsidRPr="00CD2129">
        <w:rPr>
          <w:rFonts w:asciiTheme="minorHAnsi" w:hAnsiTheme="minorHAnsi" w:cs="Times New Roman"/>
          <w:szCs w:val="24"/>
        </w:rPr>
        <w:t xml:space="preserve"> broad scale</w:t>
      </w:r>
      <w:r>
        <w:rPr>
          <w:rFonts w:asciiTheme="minorHAnsi" w:hAnsiTheme="minorHAnsi" w:cs="Times New Roman"/>
          <w:szCs w:val="24"/>
        </w:rPr>
        <w:t xml:space="preserve"> should be examined</w:t>
      </w:r>
      <w:r w:rsidR="00CD2129" w:rsidRPr="00CD2129">
        <w:rPr>
          <w:rFonts w:asciiTheme="minorHAnsi" w:hAnsiTheme="minorHAnsi" w:cs="Times New Roman"/>
          <w:szCs w:val="24"/>
        </w:rPr>
        <w:t>: any factors that may impact on extrapolating the service to a wider setting, for delivery across a range of jurisdictions, locations and patient groups,</w:t>
      </w:r>
      <w:r>
        <w:rPr>
          <w:rFonts w:asciiTheme="minorHAnsi" w:hAnsiTheme="minorHAnsi" w:cs="Times New Roman"/>
          <w:szCs w:val="24"/>
        </w:rPr>
        <w:t xml:space="preserve"> should be</w:t>
      </w:r>
      <w:r w:rsidR="006D79B0">
        <w:rPr>
          <w:rFonts w:asciiTheme="minorHAnsi" w:hAnsiTheme="minorHAnsi" w:cs="Times New Roman"/>
          <w:szCs w:val="24"/>
        </w:rPr>
        <w:t xml:space="preserve"> considered,</w:t>
      </w:r>
      <w:r w:rsidR="00CD2129" w:rsidRPr="00CD2129">
        <w:rPr>
          <w:rFonts w:asciiTheme="minorHAnsi" w:hAnsiTheme="minorHAnsi" w:cs="Times New Roman"/>
          <w:szCs w:val="24"/>
        </w:rPr>
        <w:t xml:space="preserve"> including whether the proposed participants have the capacity to implement the service;</w:t>
      </w:r>
    </w:p>
    <w:p w:rsidR="00CD2129" w:rsidRPr="00CD2129" w:rsidRDefault="00CD2129" w:rsidP="00CD2129">
      <w:pPr>
        <w:pStyle w:val="ListParagraph"/>
        <w:numPr>
          <w:ilvl w:val="0"/>
          <w:numId w:val="22"/>
        </w:numPr>
        <w:spacing w:after="0" w:line="240" w:lineRule="auto"/>
        <w:ind w:left="851" w:hanging="425"/>
        <w:rPr>
          <w:rFonts w:asciiTheme="minorHAnsi" w:hAnsiTheme="minorHAnsi" w:cs="Times New Roman"/>
          <w:szCs w:val="24"/>
        </w:rPr>
      </w:pPr>
      <w:r w:rsidRPr="00CD2129">
        <w:rPr>
          <w:rFonts w:asciiTheme="minorHAnsi" w:hAnsiTheme="minorHAnsi" w:cs="Times New Roman"/>
          <w:szCs w:val="24"/>
        </w:rPr>
        <w:lastRenderedPageBreak/>
        <w:t>Any barriers to implementation</w:t>
      </w:r>
      <w:r w:rsidR="006D79B0">
        <w:rPr>
          <w:rFonts w:asciiTheme="minorHAnsi" w:hAnsiTheme="minorHAnsi" w:cs="Times New Roman"/>
          <w:szCs w:val="24"/>
        </w:rPr>
        <w:t xml:space="preserve"> </w:t>
      </w:r>
      <w:r w:rsidR="00F47763">
        <w:rPr>
          <w:rFonts w:asciiTheme="minorHAnsi" w:hAnsiTheme="minorHAnsi" w:cs="Times New Roman"/>
          <w:szCs w:val="24"/>
        </w:rPr>
        <w:t>should be</w:t>
      </w:r>
      <w:r w:rsidR="006D79B0">
        <w:rPr>
          <w:rFonts w:asciiTheme="minorHAnsi" w:hAnsiTheme="minorHAnsi" w:cs="Times New Roman"/>
          <w:szCs w:val="24"/>
        </w:rPr>
        <w:t xml:space="preserve"> considered</w:t>
      </w:r>
      <w:r w:rsidRPr="00CD2129">
        <w:rPr>
          <w:rFonts w:asciiTheme="minorHAnsi" w:hAnsiTheme="minorHAnsi" w:cs="Times New Roman"/>
          <w:szCs w:val="24"/>
        </w:rPr>
        <w:t>, e</w:t>
      </w:r>
      <w:r w:rsidR="006D79B0">
        <w:rPr>
          <w:rFonts w:asciiTheme="minorHAnsi" w:hAnsiTheme="minorHAnsi" w:cs="Times New Roman"/>
          <w:szCs w:val="24"/>
        </w:rPr>
        <w:t>.</w:t>
      </w:r>
      <w:r w:rsidRPr="00CD2129">
        <w:rPr>
          <w:rFonts w:asciiTheme="minorHAnsi" w:hAnsiTheme="minorHAnsi" w:cs="Times New Roman"/>
          <w:szCs w:val="24"/>
        </w:rPr>
        <w:t>g</w:t>
      </w:r>
      <w:r w:rsidR="006D79B0">
        <w:rPr>
          <w:rFonts w:asciiTheme="minorHAnsi" w:hAnsiTheme="minorHAnsi" w:cs="Times New Roman"/>
          <w:szCs w:val="24"/>
        </w:rPr>
        <w:t>.</w:t>
      </w:r>
      <w:r w:rsidRPr="00CD2129">
        <w:rPr>
          <w:rFonts w:asciiTheme="minorHAnsi" w:hAnsiTheme="minorHAnsi" w:cs="Times New Roman"/>
          <w:szCs w:val="24"/>
        </w:rPr>
        <w:t xml:space="preserve"> regulatory</w:t>
      </w:r>
      <w:r w:rsidR="006D79B0">
        <w:rPr>
          <w:rFonts w:asciiTheme="minorHAnsi" w:hAnsiTheme="minorHAnsi" w:cs="Times New Roman"/>
          <w:szCs w:val="24"/>
        </w:rPr>
        <w:t xml:space="preserve"> requirements,</w:t>
      </w:r>
      <w:r w:rsidRPr="00CD2129">
        <w:rPr>
          <w:rFonts w:asciiTheme="minorHAnsi" w:hAnsiTheme="minorHAnsi" w:cs="Times New Roman"/>
          <w:szCs w:val="24"/>
        </w:rPr>
        <w:t xml:space="preserve"> scope of practice issues.</w:t>
      </w:r>
    </w:p>
    <w:p w:rsidR="00CD2129" w:rsidRDefault="00CD2129" w:rsidP="00CD2129">
      <w:pPr>
        <w:pStyle w:val="ListParagraph"/>
        <w:spacing w:after="0" w:line="240" w:lineRule="auto"/>
        <w:ind w:left="851"/>
        <w:rPr>
          <w:rFonts w:asciiTheme="minorHAnsi" w:hAnsiTheme="minorHAnsi" w:cs="Times New Roman"/>
          <w:szCs w:val="24"/>
        </w:rPr>
      </w:pPr>
    </w:p>
    <w:p w:rsidR="00CD2129" w:rsidRPr="00E233DD" w:rsidRDefault="00CD2129" w:rsidP="00CD2129">
      <w:pPr>
        <w:pStyle w:val="ListParagraph"/>
        <w:numPr>
          <w:ilvl w:val="0"/>
          <w:numId w:val="20"/>
        </w:numPr>
        <w:autoSpaceDE w:val="0"/>
        <w:autoSpaceDN w:val="0"/>
        <w:adjustRightInd w:val="0"/>
        <w:spacing w:after="0" w:line="240" w:lineRule="auto"/>
        <w:ind w:left="426" w:hanging="426"/>
        <w:rPr>
          <w:rFonts w:asciiTheme="minorHAnsi" w:hAnsiTheme="minorHAnsi" w:cs="Times New Roman"/>
          <w:i/>
          <w:szCs w:val="24"/>
        </w:rPr>
      </w:pPr>
      <w:r w:rsidRPr="00E233DD">
        <w:rPr>
          <w:rFonts w:asciiTheme="minorHAnsi" w:hAnsiTheme="minorHAnsi" w:cs="Times New Roman"/>
          <w:i/>
          <w:szCs w:val="24"/>
        </w:rPr>
        <w:t>Integration with existing programs, services and systems</w:t>
      </w:r>
    </w:p>
    <w:p w:rsidR="00CD2129" w:rsidRPr="00CD2129" w:rsidRDefault="00CD2129" w:rsidP="00CD2129">
      <w:pPr>
        <w:pStyle w:val="ListParagraph"/>
        <w:autoSpaceDE w:val="0"/>
        <w:autoSpaceDN w:val="0"/>
        <w:adjustRightInd w:val="0"/>
        <w:spacing w:after="0" w:line="240" w:lineRule="auto"/>
        <w:rPr>
          <w:rFonts w:asciiTheme="minorHAnsi" w:hAnsiTheme="minorHAnsi" w:cs="Times New Roman"/>
          <w:szCs w:val="24"/>
        </w:rPr>
      </w:pPr>
    </w:p>
    <w:p w:rsidR="00CD2129" w:rsidRPr="00CD2129" w:rsidRDefault="00F47763" w:rsidP="00CD2129">
      <w:pPr>
        <w:pStyle w:val="ListParagraph"/>
        <w:numPr>
          <w:ilvl w:val="0"/>
          <w:numId w:val="25"/>
        </w:numPr>
        <w:spacing w:after="0" w:line="240" w:lineRule="auto"/>
        <w:ind w:left="851" w:hanging="425"/>
        <w:rPr>
          <w:rFonts w:asciiTheme="minorHAnsi" w:hAnsiTheme="minorHAnsi" w:cs="Times New Roman"/>
          <w:szCs w:val="24"/>
        </w:rPr>
      </w:pPr>
      <w:r>
        <w:rPr>
          <w:rFonts w:asciiTheme="minorHAnsi" w:hAnsiTheme="minorHAnsi" w:cs="Times New Roman"/>
          <w:szCs w:val="24"/>
        </w:rPr>
        <w:t>There must be d</w:t>
      </w:r>
      <w:r w:rsidR="00CD2129" w:rsidRPr="00CD2129">
        <w:rPr>
          <w:rFonts w:asciiTheme="minorHAnsi" w:hAnsiTheme="minorHAnsi" w:cs="Times New Roman"/>
          <w:szCs w:val="24"/>
        </w:rPr>
        <w:t>emonstrated ‘buy-in’ from those health professionals who will be involved in/affected by the trial;</w:t>
      </w:r>
    </w:p>
    <w:p w:rsidR="00CD2129" w:rsidRPr="00CD2129" w:rsidRDefault="00F47763" w:rsidP="00CD2129">
      <w:pPr>
        <w:pStyle w:val="ListParagraph"/>
        <w:numPr>
          <w:ilvl w:val="0"/>
          <w:numId w:val="25"/>
        </w:numPr>
        <w:spacing w:after="0" w:line="240" w:lineRule="auto"/>
        <w:ind w:left="851" w:hanging="425"/>
        <w:rPr>
          <w:rFonts w:asciiTheme="minorHAnsi" w:hAnsiTheme="minorHAnsi" w:cs="Times New Roman"/>
          <w:szCs w:val="24"/>
        </w:rPr>
      </w:pPr>
      <w:r>
        <w:rPr>
          <w:rFonts w:asciiTheme="minorHAnsi" w:hAnsiTheme="minorHAnsi" w:cs="Times New Roman"/>
          <w:szCs w:val="24"/>
        </w:rPr>
        <w:t>Trials should identify ways to facilitate c</w:t>
      </w:r>
      <w:r w:rsidR="00CD2129" w:rsidRPr="00CD2129">
        <w:rPr>
          <w:rFonts w:asciiTheme="minorHAnsi" w:hAnsiTheme="minorHAnsi" w:cs="Times New Roman"/>
          <w:szCs w:val="24"/>
        </w:rPr>
        <w:t>ommunication and collaboration across professions and sectors to sustain the team approach;</w:t>
      </w:r>
    </w:p>
    <w:p w:rsidR="00CD2129" w:rsidRPr="00CD2129" w:rsidRDefault="00F47763" w:rsidP="00CD2129">
      <w:pPr>
        <w:pStyle w:val="ListParagraph"/>
        <w:numPr>
          <w:ilvl w:val="0"/>
          <w:numId w:val="25"/>
        </w:numPr>
        <w:spacing w:after="0" w:line="240" w:lineRule="auto"/>
        <w:ind w:left="851" w:hanging="425"/>
        <w:rPr>
          <w:rFonts w:asciiTheme="minorHAnsi" w:hAnsiTheme="minorHAnsi" w:cs="Times New Roman"/>
          <w:szCs w:val="24"/>
        </w:rPr>
      </w:pPr>
      <w:r>
        <w:rPr>
          <w:rFonts w:asciiTheme="minorHAnsi" w:hAnsiTheme="minorHAnsi" w:cs="Times New Roman"/>
          <w:szCs w:val="24"/>
        </w:rPr>
        <w:t>There should be a</w:t>
      </w:r>
      <w:r w:rsidR="00CD2129" w:rsidRPr="00CD2129">
        <w:rPr>
          <w:rFonts w:asciiTheme="minorHAnsi" w:hAnsiTheme="minorHAnsi" w:cs="Times New Roman"/>
          <w:szCs w:val="24"/>
        </w:rPr>
        <w:t xml:space="preserve">greement on scope of </w:t>
      </w:r>
      <w:r>
        <w:rPr>
          <w:rFonts w:asciiTheme="minorHAnsi" w:hAnsiTheme="minorHAnsi" w:cs="Times New Roman"/>
          <w:szCs w:val="24"/>
        </w:rPr>
        <w:t>practice to prevent duplication and</w:t>
      </w:r>
      <w:r w:rsidR="00CD2129" w:rsidRPr="00CD2129">
        <w:rPr>
          <w:rFonts w:asciiTheme="minorHAnsi" w:hAnsiTheme="minorHAnsi" w:cs="Times New Roman"/>
          <w:szCs w:val="24"/>
        </w:rPr>
        <w:t xml:space="preserve"> minimise harm;</w:t>
      </w:r>
    </w:p>
    <w:p w:rsidR="00CD2129" w:rsidRPr="00CD2129" w:rsidRDefault="00CD2129" w:rsidP="00CD2129">
      <w:pPr>
        <w:pStyle w:val="ListParagraph"/>
        <w:numPr>
          <w:ilvl w:val="0"/>
          <w:numId w:val="25"/>
        </w:numPr>
        <w:spacing w:after="0" w:line="240" w:lineRule="auto"/>
        <w:ind w:left="851" w:hanging="425"/>
        <w:rPr>
          <w:rFonts w:asciiTheme="minorHAnsi" w:hAnsiTheme="minorHAnsi" w:cs="Times New Roman"/>
          <w:szCs w:val="24"/>
        </w:rPr>
      </w:pPr>
      <w:r w:rsidRPr="00CD2129">
        <w:rPr>
          <w:rFonts w:asciiTheme="minorHAnsi" w:hAnsiTheme="minorHAnsi" w:cs="Times New Roman"/>
          <w:szCs w:val="24"/>
        </w:rPr>
        <w:t>Interaction and alignment with other health services/systems and existing infrastructure, e</w:t>
      </w:r>
      <w:r w:rsidR="002B008B">
        <w:rPr>
          <w:rFonts w:asciiTheme="minorHAnsi" w:hAnsiTheme="minorHAnsi" w:cs="Times New Roman"/>
          <w:szCs w:val="24"/>
        </w:rPr>
        <w:t>.</w:t>
      </w:r>
      <w:r w:rsidR="006D79B0">
        <w:rPr>
          <w:rFonts w:asciiTheme="minorHAnsi" w:hAnsiTheme="minorHAnsi" w:cs="Times New Roman"/>
          <w:szCs w:val="24"/>
        </w:rPr>
        <w:t>g</w:t>
      </w:r>
      <w:r w:rsidR="002B008B">
        <w:rPr>
          <w:rFonts w:asciiTheme="minorHAnsi" w:hAnsiTheme="minorHAnsi" w:cs="Times New Roman"/>
          <w:szCs w:val="24"/>
        </w:rPr>
        <w:t>.</w:t>
      </w:r>
      <w:r w:rsidR="006D79B0">
        <w:rPr>
          <w:rFonts w:asciiTheme="minorHAnsi" w:hAnsiTheme="minorHAnsi" w:cs="Times New Roman"/>
          <w:szCs w:val="24"/>
        </w:rPr>
        <w:t xml:space="preserve"> </w:t>
      </w:r>
      <w:r w:rsidR="00B35C21">
        <w:rPr>
          <w:rFonts w:asciiTheme="minorHAnsi" w:hAnsiTheme="minorHAnsi" w:cs="Times New Roman"/>
          <w:szCs w:val="24"/>
        </w:rPr>
        <w:t xml:space="preserve">Primary Health Networks </w:t>
      </w:r>
      <w:r w:rsidR="006D79B0">
        <w:rPr>
          <w:rFonts w:asciiTheme="minorHAnsi" w:hAnsiTheme="minorHAnsi" w:cs="Times New Roman"/>
          <w:szCs w:val="24"/>
        </w:rPr>
        <w:t xml:space="preserve">and digital </w:t>
      </w:r>
      <w:r w:rsidRPr="00CD2129">
        <w:rPr>
          <w:rFonts w:asciiTheme="minorHAnsi" w:hAnsiTheme="minorHAnsi" w:cs="Times New Roman"/>
          <w:szCs w:val="24"/>
        </w:rPr>
        <w:t>health records</w:t>
      </w:r>
      <w:r w:rsidR="00F47763">
        <w:rPr>
          <w:rFonts w:asciiTheme="minorHAnsi" w:hAnsiTheme="minorHAnsi" w:cs="Times New Roman"/>
          <w:szCs w:val="24"/>
        </w:rPr>
        <w:t>, should be examined</w:t>
      </w:r>
      <w:r w:rsidRPr="00CD2129">
        <w:rPr>
          <w:rFonts w:asciiTheme="minorHAnsi" w:hAnsiTheme="minorHAnsi" w:cs="Times New Roman"/>
          <w:szCs w:val="24"/>
        </w:rPr>
        <w:t>.</w:t>
      </w:r>
    </w:p>
    <w:p w:rsidR="00CD2129" w:rsidRPr="00CD2129" w:rsidRDefault="00CD2129" w:rsidP="00CD2129">
      <w:pPr>
        <w:pStyle w:val="ListParagraph"/>
        <w:autoSpaceDE w:val="0"/>
        <w:autoSpaceDN w:val="0"/>
        <w:adjustRightInd w:val="0"/>
        <w:spacing w:after="0" w:line="240" w:lineRule="auto"/>
        <w:ind w:left="426"/>
        <w:rPr>
          <w:rFonts w:asciiTheme="minorHAnsi" w:hAnsiTheme="minorHAnsi" w:cs="Times New Roman"/>
          <w:szCs w:val="24"/>
        </w:rPr>
      </w:pPr>
    </w:p>
    <w:p w:rsidR="00CD2129" w:rsidRPr="00E233DD" w:rsidRDefault="00CD2129" w:rsidP="00CD2129">
      <w:pPr>
        <w:pStyle w:val="ListParagraph"/>
        <w:numPr>
          <w:ilvl w:val="0"/>
          <w:numId w:val="20"/>
        </w:numPr>
        <w:autoSpaceDE w:val="0"/>
        <w:autoSpaceDN w:val="0"/>
        <w:adjustRightInd w:val="0"/>
        <w:spacing w:after="0" w:line="240" w:lineRule="auto"/>
        <w:ind w:left="426" w:hanging="426"/>
        <w:rPr>
          <w:rFonts w:asciiTheme="minorHAnsi" w:hAnsiTheme="minorHAnsi" w:cs="Times New Roman"/>
          <w:i/>
          <w:szCs w:val="24"/>
        </w:rPr>
      </w:pPr>
      <w:r w:rsidRPr="00E233DD">
        <w:rPr>
          <w:rFonts w:asciiTheme="minorHAnsi" w:hAnsiTheme="minorHAnsi" w:cs="Times New Roman"/>
          <w:i/>
          <w:szCs w:val="24"/>
        </w:rPr>
        <w:t>Utility</w:t>
      </w:r>
      <w:r w:rsidR="00E233DD">
        <w:rPr>
          <w:rFonts w:asciiTheme="minorHAnsi" w:hAnsiTheme="minorHAnsi" w:cs="Times New Roman"/>
          <w:i/>
          <w:szCs w:val="24"/>
        </w:rPr>
        <w:t xml:space="preserve"> and feasibility</w:t>
      </w:r>
    </w:p>
    <w:p w:rsidR="00CD2129" w:rsidRPr="00CD2129" w:rsidRDefault="00CD2129" w:rsidP="00CD2129">
      <w:pPr>
        <w:pStyle w:val="ListParagraph"/>
        <w:autoSpaceDE w:val="0"/>
        <w:autoSpaceDN w:val="0"/>
        <w:adjustRightInd w:val="0"/>
        <w:spacing w:after="0" w:line="240" w:lineRule="auto"/>
        <w:ind w:left="426"/>
        <w:rPr>
          <w:rFonts w:asciiTheme="minorHAnsi" w:hAnsiTheme="minorHAnsi" w:cs="Times New Roman"/>
          <w:szCs w:val="24"/>
        </w:rPr>
      </w:pPr>
    </w:p>
    <w:p w:rsidR="00CD2129" w:rsidRDefault="00CD2129" w:rsidP="00CD2129">
      <w:pPr>
        <w:pStyle w:val="ListParagraph"/>
        <w:numPr>
          <w:ilvl w:val="0"/>
          <w:numId w:val="26"/>
        </w:numPr>
        <w:autoSpaceDE w:val="0"/>
        <w:autoSpaceDN w:val="0"/>
        <w:adjustRightInd w:val="0"/>
        <w:spacing w:after="0" w:line="240" w:lineRule="auto"/>
        <w:ind w:left="851" w:hanging="425"/>
        <w:rPr>
          <w:rFonts w:asciiTheme="minorHAnsi" w:hAnsiTheme="minorHAnsi" w:cs="Times New Roman"/>
          <w:szCs w:val="24"/>
        </w:rPr>
      </w:pPr>
      <w:r w:rsidRPr="00CD2129">
        <w:rPr>
          <w:rFonts w:asciiTheme="minorHAnsi" w:hAnsiTheme="minorHAnsi" w:cs="Times New Roman"/>
          <w:szCs w:val="24"/>
        </w:rPr>
        <w:t xml:space="preserve">The trial </w:t>
      </w:r>
      <w:r w:rsidR="00F47763">
        <w:rPr>
          <w:rFonts w:asciiTheme="minorHAnsi" w:hAnsiTheme="minorHAnsi" w:cs="Times New Roman"/>
          <w:szCs w:val="24"/>
        </w:rPr>
        <w:t>must collect</w:t>
      </w:r>
      <w:r w:rsidRPr="00CD2129">
        <w:rPr>
          <w:rFonts w:asciiTheme="minorHAnsi" w:hAnsiTheme="minorHAnsi" w:cs="Times New Roman"/>
          <w:szCs w:val="24"/>
        </w:rPr>
        <w:t xml:space="preserve"> useful and timely information to inform decision making</w:t>
      </w:r>
      <w:r w:rsidR="00E233DD">
        <w:rPr>
          <w:rFonts w:asciiTheme="minorHAnsi" w:hAnsiTheme="minorHAnsi" w:cs="Times New Roman"/>
          <w:szCs w:val="24"/>
        </w:rPr>
        <w:t>;</w:t>
      </w:r>
    </w:p>
    <w:p w:rsidR="00E233DD" w:rsidRPr="00CD2129" w:rsidRDefault="00F47763" w:rsidP="00CD2129">
      <w:pPr>
        <w:pStyle w:val="ListParagraph"/>
        <w:numPr>
          <w:ilvl w:val="0"/>
          <w:numId w:val="26"/>
        </w:numPr>
        <w:autoSpaceDE w:val="0"/>
        <w:autoSpaceDN w:val="0"/>
        <w:adjustRightInd w:val="0"/>
        <w:spacing w:after="0" w:line="240" w:lineRule="auto"/>
        <w:ind w:left="851" w:hanging="425"/>
        <w:rPr>
          <w:rFonts w:asciiTheme="minorHAnsi" w:hAnsiTheme="minorHAnsi" w:cs="Times New Roman"/>
          <w:szCs w:val="24"/>
        </w:rPr>
      </w:pPr>
      <w:r>
        <w:rPr>
          <w:rFonts w:asciiTheme="minorHAnsi" w:hAnsiTheme="minorHAnsi" w:cs="Times New Roman"/>
          <w:szCs w:val="24"/>
        </w:rPr>
        <w:t>It should be demonstrated that t</w:t>
      </w:r>
      <w:r w:rsidR="00E233DD">
        <w:rPr>
          <w:rFonts w:asciiTheme="minorHAnsi" w:hAnsiTheme="minorHAnsi" w:cs="Times New Roman"/>
          <w:szCs w:val="24"/>
        </w:rPr>
        <w:t xml:space="preserve">he trial can be conducted at the selected sites without unduly disrupting other </w:t>
      </w:r>
      <w:r w:rsidR="00D64C5C">
        <w:rPr>
          <w:rFonts w:asciiTheme="minorHAnsi" w:hAnsiTheme="minorHAnsi" w:cs="Times New Roman"/>
          <w:szCs w:val="24"/>
        </w:rPr>
        <w:t>program</w:t>
      </w:r>
      <w:r w:rsidR="00E233DD">
        <w:rPr>
          <w:rFonts w:asciiTheme="minorHAnsi" w:hAnsiTheme="minorHAnsi" w:cs="Times New Roman"/>
          <w:szCs w:val="24"/>
        </w:rPr>
        <w:t>s and trials.</w:t>
      </w:r>
    </w:p>
    <w:p w:rsidR="00CD2129" w:rsidRPr="00CD2129" w:rsidRDefault="00CD2129" w:rsidP="00CD2129">
      <w:pPr>
        <w:pStyle w:val="ListParagraph"/>
        <w:autoSpaceDE w:val="0"/>
        <w:autoSpaceDN w:val="0"/>
        <w:adjustRightInd w:val="0"/>
        <w:spacing w:after="0" w:line="240" w:lineRule="auto"/>
        <w:rPr>
          <w:rFonts w:asciiTheme="minorHAnsi" w:hAnsiTheme="minorHAnsi" w:cs="Times New Roman"/>
          <w:szCs w:val="24"/>
        </w:rPr>
      </w:pPr>
    </w:p>
    <w:p w:rsidR="00CD2129" w:rsidRPr="0088603E" w:rsidRDefault="00CD2129" w:rsidP="00CD2129">
      <w:pPr>
        <w:pStyle w:val="ListParagraph"/>
        <w:numPr>
          <w:ilvl w:val="0"/>
          <w:numId w:val="20"/>
        </w:numPr>
        <w:autoSpaceDE w:val="0"/>
        <w:autoSpaceDN w:val="0"/>
        <w:adjustRightInd w:val="0"/>
        <w:spacing w:after="0" w:line="240" w:lineRule="auto"/>
        <w:ind w:left="426" w:hanging="426"/>
        <w:rPr>
          <w:rFonts w:asciiTheme="minorHAnsi" w:hAnsiTheme="minorHAnsi" w:cs="Times New Roman"/>
          <w:i/>
          <w:szCs w:val="24"/>
        </w:rPr>
      </w:pPr>
      <w:r w:rsidRPr="0088603E">
        <w:rPr>
          <w:rFonts w:asciiTheme="minorHAnsi" w:hAnsiTheme="minorHAnsi" w:cs="Times New Roman"/>
          <w:i/>
          <w:szCs w:val="24"/>
        </w:rPr>
        <w:t>Conduct</w:t>
      </w:r>
    </w:p>
    <w:p w:rsidR="00CD2129" w:rsidRPr="00CD2129" w:rsidRDefault="00CD2129" w:rsidP="00CD2129">
      <w:pPr>
        <w:pStyle w:val="ListParagraph"/>
        <w:autoSpaceDE w:val="0"/>
        <w:autoSpaceDN w:val="0"/>
        <w:adjustRightInd w:val="0"/>
        <w:spacing w:after="0" w:line="240" w:lineRule="auto"/>
        <w:rPr>
          <w:rFonts w:asciiTheme="minorHAnsi" w:hAnsiTheme="minorHAnsi" w:cs="Times New Roman"/>
          <w:szCs w:val="24"/>
        </w:rPr>
      </w:pPr>
    </w:p>
    <w:p w:rsidR="00CD2129" w:rsidRPr="00CD2129" w:rsidRDefault="00CD2129" w:rsidP="00CD2129">
      <w:pPr>
        <w:pStyle w:val="ListParagraph"/>
        <w:numPr>
          <w:ilvl w:val="0"/>
          <w:numId w:val="24"/>
        </w:numPr>
        <w:spacing w:after="0" w:line="240" w:lineRule="auto"/>
        <w:ind w:left="851" w:hanging="425"/>
        <w:rPr>
          <w:rFonts w:asciiTheme="minorHAnsi" w:hAnsiTheme="minorHAnsi" w:cs="Times New Roman"/>
          <w:szCs w:val="24"/>
        </w:rPr>
      </w:pPr>
      <w:r w:rsidRPr="00CD2129">
        <w:rPr>
          <w:rFonts w:asciiTheme="minorHAnsi" w:hAnsiTheme="minorHAnsi" w:cs="Times New Roman"/>
          <w:szCs w:val="24"/>
        </w:rPr>
        <w:t>Approval of trials will be needed from a human research ethics committee (this includes obtaining site specific governance approvals for conduct of the study);</w:t>
      </w:r>
    </w:p>
    <w:p w:rsidR="00CD2129" w:rsidRPr="00CD2129" w:rsidRDefault="00F47763" w:rsidP="00CD2129">
      <w:pPr>
        <w:pStyle w:val="ListParagraph"/>
        <w:numPr>
          <w:ilvl w:val="0"/>
          <w:numId w:val="24"/>
        </w:numPr>
        <w:spacing w:after="0" w:line="240" w:lineRule="auto"/>
        <w:ind w:left="851" w:hanging="425"/>
        <w:rPr>
          <w:rFonts w:asciiTheme="minorHAnsi" w:hAnsiTheme="minorHAnsi" w:cs="Times New Roman"/>
          <w:szCs w:val="24"/>
        </w:rPr>
      </w:pPr>
      <w:r>
        <w:rPr>
          <w:rFonts w:asciiTheme="minorHAnsi" w:hAnsiTheme="minorHAnsi" w:cs="Times New Roman"/>
          <w:szCs w:val="24"/>
        </w:rPr>
        <w:t>Consumers will need to</w:t>
      </w:r>
      <w:r w:rsidR="00CD2129" w:rsidRPr="00CD2129">
        <w:rPr>
          <w:rFonts w:asciiTheme="minorHAnsi" w:hAnsiTheme="minorHAnsi" w:cs="Times New Roman"/>
          <w:szCs w:val="24"/>
        </w:rPr>
        <w:t xml:space="preserve"> be involved at all stages of trial</w:t>
      </w:r>
      <w:r>
        <w:rPr>
          <w:rFonts w:asciiTheme="minorHAnsi" w:hAnsiTheme="minorHAnsi" w:cs="Times New Roman"/>
          <w:szCs w:val="24"/>
        </w:rPr>
        <w:t>ling</w:t>
      </w:r>
      <w:r w:rsidR="00CD2129" w:rsidRPr="00CD2129">
        <w:rPr>
          <w:rFonts w:asciiTheme="minorHAnsi" w:hAnsiTheme="minorHAnsi" w:cs="Times New Roman"/>
          <w:szCs w:val="24"/>
        </w:rPr>
        <w:t>.</w:t>
      </w:r>
    </w:p>
    <w:p w:rsidR="00660450" w:rsidRDefault="00660450" w:rsidP="00660450">
      <w:pPr>
        <w:spacing w:after="0" w:line="240" w:lineRule="auto"/>
        <w:rPr>
          <w:rFonts w:asciiTheme="minorHAnsi" w:hAnsiTheme="minorHAnsi" w:cs="Times New Roman"/>
          <w:szCs w:val="24"/>
        </w:rPr>
      </w:pPr>
    </w:p>
    <w:p w:rsidR="00660450" w:rsidRDefault="008B7AEB" w:rsidP="00660450">
      <w:pPr>
        <w:spacing w:after="0" w:line="240" w:lineRule="auto"/>
        <w:rPr>
          <w:rFonts w:asciiTheme="minorHAnsi" w:hAnsiTheme="minorHAnsi" w:cs="Times New Roman"/>
          <w:szCs w:val="24"/>
        </w:rPr>
      </w:pPr>
      <w:r>
        <w:rPr>
          <w:rFonts w:asciiTheme="minorHAnsi" w:hAnsiTheme="minorHAnsi" w:cs="Times New Roman"/>
          <w:szCs w:val="24"/>
        </w:rPr>
        <w:t>In short,</w:t>
      </w:r>
      <w:r w:rsidR="00CD2129">
        <w:rPr>
          <w:rFonts w:asciiTheme="minorHAnsi" w:hAnsiTheme="minorHAnsi" w:cs="Times New Roman"/>
          <w:szCs w:val="24"/>
        </w:rPr>
        <w:t xml:space="preserve"> trials should make</w:t>
      </w:r>
      <w:r w:rsidR="00660450" w:rsidRPr="005A581D">
        <w:rPr>
          <w:rFonts w:asciiTheme="minorHAnsi" w:hAnsiTheme="minorHAnsi" w:cs="Times New Roman"/>
          <w:szCs w:val="24"/>
        </w:rPr>
        <w:t xml:space="preserve"> effective use of pharmacists’ unique skills and knowledge in a manner that </w:t>
      </w:r>
      <w:r>
        <w:rPr>
          <w:rFonts w:asciiTheme="minorHAnsi" w:hAnsiTheme="minorHAnsi" w:cs="Times New Roman"/>
          <w:szCs w:val="24"/>
        </w:rPr>
        <w:t>improves health outcomes and</w:t>
      </w:r>
      <w:r w:rsidR="00660450" w:rsidRPr="005A581D">
        <w:rPr>
          <w:rFonts w:asciiTheme="minorHAnsi" w:hAnsiTheme="minorHAnsi" w:cs="Times New Roman"/>
          <w:szCs w:val="24"/>
        </w:rPr>
        <w:t xml:space="preserve"> provides value for money to the individual and the wider community.</w:t>
      </w:r>
    </w:p>
    <w:p w:rsidR="004653A7" w:rsidRDefault="004653A7" w:rsidP="00E7753C">
      <w:pPr>
        <w:spacing w:after="0" w:line="240" w:lineRule="auto"/>
        <w:rPr>
          <w:rFonts w:asciiTheme="minorHAnsi" w:hAnsiTheme="minorHAnsi" w:cs="Times New Roman"/>
          <w:szCs w:val="24"/>
        </w:rPr>
      </w:pPr>
      <w:bookmarkStart w:id="13" w:name="_Toc430354805"/>
    </w:p>
    <w:p w:rsidR="004653A7" w:rsidRDefault="004653A7" w:rsidP="00E7753C">
      <w:pPr>
        <w:spacing w:after="0" w:line="240" w:lineRule="auto"/>
        <w:rPr>
          <w:rFonts w:asciiTheme="minorHAnsi" w:hAnsiTheme="minorHAnsi" w:cs="Times New Roman"/>
          <w:szCs w:val="24"/>
        </w:rPr>
      </w:pPr>
      <w:r>
        <w:rPr>
          <w:rFonts w:asciiTheme="minorHAnsi" w:hAnsiTheme="minorHAnsi" w:cs="Times New Roman"/>
          <w:szCs w:val="24"/>
        </w:rPr>
        <w:t xml:space="preserve">The Government has also indicated a strong commitment, through the Sixth Agreement, to </w:t>
      </w:r>
      <w:r w:rsidR="000B48F4">
        <w:rPr>
          <w:rFonts w:asciiTheme="minorHAnsi" w:hAnsiTheme="minorHAnsi" w:cs="Times New Roman"/>
          <w:szCs w:val="24"/>
        </w:rPr>
        <w:t xml:space="preserve">funding services in the areas of Aboriginal and Torres Strait Islander health and for </w:t>
      </w:r>
      <w:r w:rsidR="006D1E76">
        <w:rPr>
          <w:rFonts w:asciiTheme="minorHAnsi" w:hAnsiTheme="minorHAnsi" w:cs="Times New Roman"/>
          <w:szCs w:val="24"/>
        </w:rPr>
        <w:t xml:space="preserve">consumers in </w:t>
      </w:r>
      <w:r w:rsidR="000B48F4">
        <w:rPr>
          <w:rFonts w:asciiTheme="minorHAnsi" w:hAnsiTheme="minorHAnsi" w:cs="Times New Roman"/>
          <w:szCs w:val="24"/>
        </w:rPr>
        <w:t>rural and remote areas.</w:t>
      </w:r>
    </w:p>
    <w:p w:rsidR="001C5E1E" w:rsidRDefault="001C5E1E" w:rsidP="00E7753C">
      <w:pPr>
        <w:spacing w:after="0" w:line="240" w:lineRule="auto"/>
        <w:rPr>
          <w:rFonts w:asciiTheme="minorHAnsi" w:hAnsiTheme="minorHAnsi" w:cs="Times New Roman"/>
          <w:szCs w:val="24"/>
        </w:rPr>
      </w:pPr>
    </w:p>
    <w:p w:rsidR="004653A7" w:rsidRDefault="001C5E1E" w:rsidP="00E7753C">
      <w:pPr>
        <w:spacing w:after="0" w:line="240" w:lineRule="auto"/>
        <w:rPr>
          <w:rFonts w:asciiTheme="minorHAnsi" w:hAnsiTheme="minorHAnsi" w:cs="Times New Roman"/>
          <w:szCs w:val="24"/>
        </w:rPr>
      </w:pPr>
      <w:r>
        <w:rPr>
          <w:rFonts w:asciiTheme="minorHAnsi" w:hAnsiTheme="minorHAnsi" w:cs="Times New Roman"/>
          <w:szCs w:val="24"/>
        </w:rPr>
        <w:t>These principles and priority areas should b</w:t>
      </w:r>
      <w:r w:rsidR="00CD2129">
        <w:rPr>
          <w:rFonts w:asciiTheme="minorHAnsi" w:hAnsiTheme="minorHAnsi" w:cs="Times New Roman"/>
          <w:szCs w:val="24"/>
        </w:rPr>
        <w:t>e considered in any response to the call</w:t>
      </w:r>
      <w:r w:rsidR="00817093">
        <w:rPr>
          <w:rFonts w:asciiTheme="minorHAnsi" w:hAnsiTheme="minorHAnsi" w:cs="Times New Roman"/>
          <w:szCs w:val="24"/>
        </w:rPr>
        <w:t xml:space="preserve"> for ideas later in this paper.</w:t>
      </w:r>
    </w:p>
    <w:p w:rsidR="004653A7" w:rsidRDefault="004653A7" w:rsidP="004653A7">
      <w:pPr>
        <w:spacing w:after="0" w:line="240" w:lineRule="auto"/>
        <w:rPr>
          <w:rFonts w:asciiTheme="minorHAnsi" w:hAnsiTheme="minorHAnsi" w:cs="Times New Roman"/>
          <w:szCs w:val="24"/>
        </w:rPr>
      </w:pPr>
    </w:p>
    <w:p w:rsidR="004653A7" w:rsidRPr="002D5FEB" w:rsidRDefault="00CD2129" w:rsidP="004653A7">
      <w:pPr>
        <w:pStyle w:val="Heading2"/>
        <w:spacing w:before="0" w:line="240" w:lineRule="auto"/>
      </w:pPr>
      <w:bookmarkStart w:id="14" w:name="_Toc445899311"/>
      <w:r>
        <w:t xml:space="preserve">Scope </w:t>
      </w:r>
      <w:r w:rsidR="00AE2DD0">
        <w:t>of</w:t>
      </w:r>
      <w:r w:rsidR="004653A7">
        <w:t xml:space="preserve"> the PTP</w:t>
      </w:r>
      <w:bookmarkEnd w:id="14"/>
    </w:p>
    <w:p w:rsidR="004C7559" w:rsidRDefault="004C7559" w:rsidP="004653A7">
      <w:pPr>
        <w:spacing w:after="0" w:line="240" w:lineRule="auto"/>
        <w:rPr>
          <w:rFonts w:asciiTheme="minorHAnsi" w:hAnsiTheme="minorHAnsi" w:cs="Times New Roman"/>
          <w:szCs w:val="24"/>
        </w:rPr>
      </w:pPr>
    </w:p>
    <w:p w:rsidR="006D79B0" w:rsidRDefault="006D79B0" w:rsidP="004653A7">
      <w:pPr>
        <w:spacing w:after="0" w:line="240" w:lineRule="auto"/>
        <w:rPr>
          <w:rFonts w:asciiTheme="minorHAnsi" w:hAnsiTheme="minorHAnsi" w:cs="Times New Roman"/>
          <w:szCs w:val="24"/>
        </w:rPr>
      </w:pPr>
      <w:r>
        <w:rPr>
          <w:rFonts w:asciiTheme="minorHAnsi" w:hAnsiTheme="minorHAnsi" w:cs="Times New Roman"/>
          <w:szCs w:val="24"/>
        </w:rPr>
        <w:t xml:space="preserve">The PTP </w:t>
      </w:r>
      <w:r w:rsidR="006A3D93">
        <w:rPr>
          <w:rFonts w:asciiTheme="minorHAnsi" w:hAnsiTheme="minorHAnsi" w:cs="Times New Roman"/>
          <w:szCs w:val="24"/>
        </w:rPr>
        <w:t>will</w:t>
      </w:r>
      <w:r>
        <w:rPr>
          <w:rFonts w:asciiTheme="minorHAnsi" w:hAnsiTheme="minorHAnsi" w:cs="Times New Roman"/>
          <w:szCs w:val="24"/>
        </w:rPr>
        <w:t>:</w:t>
      </w:r>
    </w:p>
    <w:p w:rsidR="006D79B0" w:rsidRDefault="006D79B0" w:rsidP="004653A7">
      <w:pPr>
        <w:spacing w:after="0" w:line="240" w:lineRule="auto"/>
        <w:rPr>
          <w:rFonts w:asciiTheme="minorHAnsi" w:hAnsiTheme="minorHAnsi" w:cs="Times New Roman"/>
          <w:szCs w:val="24"/>
        </w:rPr>
      </w:pPr>
    </w:p>
    <w:p w:rsidR="000D06FB" w:rsidRDefault="000D06FB" w:rsidP="00295220">
      <w:pPr>
        <w:pStyle w:val="ListParagraph"/>
        <w:numPr>
          <w:ilvl w:val="0"/>
          <w:numId w:val="20"/>
        </w:numPr>
        <w:spacing w:after="120" w:line="240" w:lineRule="auto"/>
        <w:ind w:left="714" w:hanging="357"/>
        <w:contextualSpacing w:val="0"/>
        <w:rPr>
          <w:rFonts w:asciiTheme="minorHAnsi" w:hAnsiTheme="minorHAnsi" w:cs="Times New Roman"/>
          <w:szCs w:val="24"/>
        </w:rPr>
      </w:pPr>
      <w:r>
        <w:rPr>
          <w:rFonts w:asciiTheme="minorHAnsi" w:hAnsiTheme="minorHAnsi" w:cs="Times New Roman"/>
          <w:szCs w:val="24"/>
        </w:rPr>
        <w:t>Benefit consumers and lead to improved health outcomes</w:t>
      </w:r>
      <w:r w:rsidR="00E25418">
        <w:rPr>
          <w:rFonts w:asciiTheme="minorHAnsi" w:hAnsiTheme="minorHAnsi" w:cs="Times New Roman"/>
          <w:szCs w:val="24"/>
        </w:rPr>
        <w:t>.</w:t>
      </w:r>
    </w:p>
    <w:p w:rsidR="000D06FB" w:rsidRDefault="000D06FB" w:rsidP="00295220">
      <w:pPr>
        <w:pStyle w:val="ListParagraph"/>
        <w:numPr>
          <w:ilvl w:val="0"/>
          <w:numId w:val="20"/>
        </w:numPr>
        <w:spacing w:after="120" w:line="240" w:lineRule="auto"/>
        <w:ind w:left="714" w:hanging="357"/>
        <w:contextualSpacing w:val="0"/>
        <w:rPr>
          <w:rFonts w:asciiTheme="minorHAnsi" w:hAnsiTheme="minorHAnsi" w:cs="Times New Roman"/>
          <w:szCs w:val="24"/>
        </w:rPr>
      </w:pPr>
      <w:r>
        <w:rPr>
          <w:rFonts w:asciiTheme="minorHAnsi" w:hAnsiTheme="minorHAnsi" w:cs="Times New Roman"/>
          <w:szCs w:val="24"/>
        </w:rPr>
        <w:t>Take an integrated care approach in the context of other healt</w:t>
      </w:r>
      <w:r w:rsidR="00E25418">
        <w:rPr>
          <w:rFonts w:asciiTheme="minorHAnsi" w:hAnsiTheme="minorHAnsi" w:cs="Times New Roman"/>
          <w:szCs w:val="24"/>
        </w:rPr>
        <w:t>h system priorities and reforms.</w:t>
      </w:r>
    </w:p>
    <w:p w:rsidR="00207886" w:rsidRDefault="00207886" w:rsidP="00295220">
      <w:pPr>
        <w:pStyle w:val="ListParagraph"/>
        <w:numPr>
          <w:ilvl w:val="0"/>
          <w:numId w:val="20"/>
        </w:numPr>
        <w:spacing w:after="120" w:line="240" w:lineRule="auto"/>
        <w:ind w:left="714" w:hanging="357"/>
        <w:contextualSpacing w:val="0"/>
        <w:rPr>
          <w:rFonts w:asciiTheme="minorHAnsi" w:hAnsiTheme="minorHAnsi" w:cs="Times New Roman"/>
          <w:szCs w:val="24"/>
        </w:rPr>
      </w:pPr>
      <w:r>
        <w:rPr>
          <w:rFonts w:asciiTheme="minorHAnsi" w:hAnsiTheme="minorHAnsi" w:cs="Times New Roman"/>
          <w:szCs w:val="24"/>
        </w:rPr>
        <w:t xml:space="preserve">Support innovation in </w:t>
      </w:r>
      <w:r w:rsidR="00B42AC2">
        <w:rPr>
          <w:rFonts w:asciiTheme="minorHAnsi" w:hAnsiTheme="minorHAnsi" w:cs="Times New Roman"/>
          <w:szCs w:val="24"/>
        </w:rPr>
        <w:t xml:space="preserve">community </w:t>
      </w:r>
      <w:r>
        <w:rPr>
          <w:rFonts w:asciiTheme="minorHAnsi" w:hAnsiTheme="minorHAnsi" w:cs="Times New Roman"/>
          <w:szCs w:val="24"/>
        </w:rPr>
        <w:t>pharmacy.</w:t>
      </w:r>
    </w:p>
    <w:p w:rsidR="006D79B0" w:rsidRDefault="006D79B0" w:rsidP="00295220">
      <w:pPr>
        <w:pStyle w:val="ListParagraph"/>
        <w:numPr>
          <w:ilvl w:val="0"/>
          <w:numId w:val="20"/>
        </w:numPr>
        <w:spacing w:after="120" w:line="240" w:lineRule="auto"/>
        <w:ind w:left="714" w:hanging="357"/>
        <w:contextualSpacing w:val="0"/>
        <w:rPr>
          <w:rFonts w:asciiTheme="minorHAnsi" w:hAnsiTheme="minorHAnsi" w:cs="Times New Roman"/>
          <w:szCs w:val="24"/>
        </w:rPr>
      </w:pPr>
      <w:r>
        <w:rPr>
          <w:rFonts w:asciiTheme="minorHAnsi" w:hAnsiTheme="minorHAnsi" w:cs="Times New Roman"/>
          <w:szCs w:val="24"/>
        </w:rPr>
        <w:lastRenderedPageBreak/>
        <w:t>Provide funding for a range of potential services, incenti</w:t>
      </w:r>
      <w:r w:rsidR="00295220">
        <w:rPr>
          <w:rFonts w:asciiTheme="minorHAnsi" w:hAnsiTheme="minorHAnsi" w:cs="Times New Roman"/>
          <w:szCs w:val="24"/>
        </w:rPr>
        <w:t>ves and workforce initiatives</w:t>
      </w:r>
      <w:r w:rsidR="00A2152C">
        <w:rPr>
          <w:rFonts w:asciiTheme="minorHAnsi" w:hAnsiTheme="minorHAnsi" w:cs="Times New Roman"/>
          <w:szCs w:val="24"/>
        </w:rPr>
        <w:t>, focusing on community pharmacy but possibly involving</w:t>
      </w:r>
      <w:r w:rsidR="00295220">
        <w:rPr>
          <w:rFonts w:asciiTheme="minorHAnsi" w:hAnsiTheme="minorHAnsi" w:cs="Times New Roman"/>
          <w:szCs w:val="24"/>
        </w:rPr>
        <w:t xml:space="preserve"> a range of settings.</w:t>
      </w:r>
    </w:p>
    <w:p w:rsidR="00295220" w:rsidRDefault="00207886" w:rsidP="00295220">
      <w:pPr>
        <w:pStyle w:val="ListParagraph"/>
        <w:numPr>
          <w:ilvl w:val="0"/>
          <w:numId w:val="20"/>
        </w:numPr>
        <w:spacing w:after="120" w:line="240" w:lineRule="auto"/>
        <w:ind w:left="714" w:hanging="357"/>
        <w:contextualSpacing w:val="0"/>
        <w:rPr>
          <w:rFonts w:asciiTheme="minorHAnsi" w:hAnsiTheme="minorHAnsi" w:cs="Times New Roman"/>
          <w:szCs w:val="24"/>
        </w:rPr>
      </w:pPr>
      <w:r>
        <w:rPr>
          <w:rFonts w:asciiTheme="minorHAnsi" w:hAnsiTheme="minorHAnsi" w:cs="Times New Roman"/>
          <w:szCs w:val="24"/>
        </w:rPr>
        <w:t xml:space="preserve">Fund activities which </w:t>
      </w:r>
      <w:r w:rsidR="00D87BA6">
        <w:rPr>
          <w:rFonts w:asciiTheme="minorHAnsi" w:hAnsiTheme="minorHAnsi" w:cs="Times New Roman"/>
          <w:szCs w:val="24"/>
        </w:rPr>
        <w:t>facilitate</w:t>
      </w:r>
      <w:r>
        <w:rPr>
          <w:rFonts w:asciiTheme="minorHAnsi" w:hAnsiTheme="minorHAnsi" w:cs="Times New Roman"/>
          <w:szCs w:val="24"/>
        </w:rPr>
        <w:t xml:space="preserve"> change</w:t>
      </w:r>
      <w:r w:rsidR="00D87BA6">
        <w:rPr>
          <w:rFonts w:asciiTheme="minorHAnsi" w:hAnsiTheme="minorHAnsi" w:cs="Times New Roman"/>
          <w:szCs w:val="24"/>
        </w:rPr>
        <w:t>s</w:t>
      </w:r>
      <w:r>
        <w:rPr>
          <w:rFonts w:asciiTheme="minorHAnsi" w:hAnsiTheme="minorHAnsi" w:cs="Times New Roman"/>
          <w:szCs w:val="24"/>
        </w:rPr>
        <w:t xml:space="preserve"> in the role</w:t>
      </w:r>
      <w:r w:rsidR="00D87BA6">
        <w:rPr>
          <w:rFonts w:asciiTheme="minorHAnsi" w:hAnsiTheme="minorHAnsi" w:cs="Times New Roman"/>
          <w:szCs w:val="24"/>
        </w:rPr>
        <w:t>s</w:t>
      </w:r>
      <w:r>
        <w:rPr>
          <w:rFonts w:asciiTheme="minorHAnsi" w:hAnsiTheme="minorHAnsi" w:cs="Times New Roman"/>
          <w:szCs w:val="24"/>
        </w:rPr>
        <w:t xml:space="preserve"> of pharmacy or pharmacists, expand on the range of</w:t>
      </w:r>
      <w:r w:rsidR="007F12E6">
        <w:rPr>
          <w:rFonts w:asciiTheme="minorHAnsi" w:hAnsiTheme="minorHAnsi" w:cs="Times New Roman"/>
          <w:szCs w:val="24"/>
        </w:rPr>
        <w:t xml:space="preserve"> available primary health care services</w:t>
      </w:r>
      <w:r w:rsidR="00D87BA6">
        <w:rPr>
          <w:rFonts w:asciiTheme="minorHAnsi" w:hAnsiTheme="minorHAnsi" w:cs="Times New Roman"/>
          <w:szCs w:val="24"/>
        </w:rPr>
        <w:t xml:space="preserve"> and which pharmacists have, or can obtain appropriate training and skills to deliver</w:t>
      </w:r>
      <w:r>
        <w:rPr>
          <w:rFonts w:asciiTheme="minorHAnsi" w:hAnsiTheme="minorHAnsi" w:cs="Times New Roman"/>
          <w:szCs w:val="24"/>
        </w:rPr>
        <w:t>.</w:t>
      </w:r>
    </w:p>
    <w:p w:rsidR="008B7AEB" w:rsidRDefault="008B7AEB" w:rsidP="00295220">
      <w:pPr>
        <w:pStyle w:val="ListParagraph"/>
        <w:numPr>
          <w:ilvl w:val="0"/>
          <w:numId w:val="20"/>
        </w:numPr>
        <w:spacing w:after="120" w:line="240" w:lineRule="auto"/>
        <w:ind w:left="714" w:hanging="357"/>
        <w:contextualSpacing w:val="0"/>
        <w:rPr>
          <w:rFonts w:asciiTheme="minorHAnsi" w:hAnsiTheme="minorHAnsi" w:cs="Times New Roman"/>
          <w:szCs w:val="24"/>
        </w:rPr>
      </w:pPr>
      <w:r>
        <w:rPr>
          <w:rFonts w:asciiTheme="minorHAnsi" w:hAnsiTheme="minorHAnsi" w:cs="Times New Roman"/>
          <w:szCs w:val="24"/>
        </w:rPr>
        <w:t>Focus on</w:t>
      </w:r>
      <w:r w:rsidR="00FE20F6">
        <w:rPr>
          <w:rFonts w:asciiTheme="minorHAnsi" w:hAnsiTheme="minorHAnsi" w:cs="Times New Roman"/>
          <w:szCs w:val="24"/>
        </w:rPr>
        <w:t xml:space="preserve"> activities and </w:t>
      </w:r>
      <w:r w:rsidR="00D64C5C">
        <w:rPr>
          <w:rFonts w:asciiTheme="minorHAnsi" w:hAnsiTheme="minorHAnsi" w:cs="Times New Roman"/>
          <w:szCs w:val="24"/>
        </w:rPr>
        <w:t>program</w:t>
      </w:r>
      <w:r w:rsidR="00FE20F6">
        <w:rPr>
          <w:rFonts w:asciiTheme="minorHAnsi" w:hAnsiTheme="minorHAnsi" w:cs="Times New Roman"/>
          <w:szCs w:val="24"/>
        </w:rPr>
        <w:t xml:space="preserve">s which can be </w:t>
      </w:r>
      <w:r w:rsidR="00CE4722">
        <w:rPr>
          <w:rFonts w:asciiTheme="minorHAnsi" w:hAnsiTheme="minorHAnsi" w:cs="Times New Roman"/>
          <w:szCs w:val="24"/>
        </w:rPr>
        <w:t>rolled out to</w:t>
      </w:r>
      <w:r>
        <w:rPr>
          <w:rFonts w:asciiTheme="minorHAnsi" w:hAnsiTheme="minorHAnsi" w:cs="Times New Roman"/>
          <w:szCs w:val="24"/>
        </w:rPr>
        <w:t xml:space="preserve"> the community setting and are likely to be translatable to national </w:t>
      </w:r>
      <w:r w:rsidR="00D64C5C">
        <w:rPr>
          <w:rFonts w:asciiTheme="minorHAnsi" w:hAnsiTheme="minorHAnsi" w:cs="Times New Roman"/>
          <w:szCs w:val="24"/>
        </w:rPr>
        <w:t>program</w:t>
      </w:r>
      <w:r>
        <w:rPr>
          <w:rFonts w:asciiTheme="minorHAnsi" w:hAnsiTheme="minorHAnsi" w:cs="Times New Roman"/>
          <w:szCs w:val="24"/>
        </w:rPr>
        <w:t>s.</w:t>
      </w:r>
    </w:p>
    <w:p w:rsidR="006D79B0" w:rsidRDefault="00295220" w:rsidP="00295220">
      <w:pPr>
        <w:pStyle w:val="ListParagraph"/>
        <w:numPr>
          <w:ilvl w:val="0"/>
          <w:numId w:val="20"/>
        </w:numPr>
        <w:spacing w:after="120" w:line="240" w:lineRule="auto"/>
        <w:ind w:left="714" w:hanging="357"/>
        <w:contextualSpacing w:val="0"/>
        <w:rPr>
          <w:rFonts w:asciiTheme="minorHAnsi" w:hAnsiTheme="minorHAnsi" w:cs="Times New Roman"/>
          <w:szCs w:val="24"/>
        </w:rPr>
      </w:pPr>
      <w:r>
        <w:rPr>
          <w:rFonts w:asciiTheme="minorHAnsi" w:hAnsiTheme="minorHAnsi" w:cs="Times New Roman"/>
          <w:szCs w:val="24"/>
        </w:rPr>
        <w:t xml:space="preserve">Provide opportunities for existing Sixth Agreement </w:t>
      </w:r>
      <w:r w:rsidR="00D64C5C">
        <w:rPr>
          <w:rFonts w:asciiTheme="minorHAnsi" w:hAnsiTheme="minorHAnsi" w:cs="Times New Roman"/>
          <w:szCs w:val="24"/>
        </w:rPr>
        <w:t>program</w:t>
      </w:r>
      <w:r>
        <w:rPr>
          <w:rFonts w:asciiTheme="minorHAnsi" w:hAnsiTheme="minorHAnsi" w:cs="Times New Roman"/>
          <w:szCs w:val="24"/>
        </w:rPr>
        <w:t>s and services to be expanded or changed to either ensure a greater chance of the intervention being</w:t>
      </w:r>
      <w:r w:rsidR="00207886">
        <w:rPr>
          <w:rFonts w:asciiTheme="minorHAnsi" w:hAnsiTheme="minorHAnsi" w:cs="Times New Roman"/>
          <w:szCs w:val="24"/>
        </w:rPr>
        <w:t xml:space="preserve"> </w:t>
      </w:r>
      <w:r>
        <w:rPr>
          <w:rFonts w:asciiTheme="minorHAnsi" w:hAnsiTheme="minorHAnsi" w:cs="Times New Roman"/>
          <w:szCs w:val="24"/>
        </w:rPr>
        <w:t xml:space="preserve">found to be </w:t>
      </w:r>
      <w:r w:rsidR="00623276">
        <w:rPr>
          <w:rFonts w:asciiTheme="minorHAnsi" w:hAnsiTheme="minorHAnsi" w:cs="Times New Roman"/>
          <w:szCs w:val="24"/>
        </w:rPr>
        <w:t xml:space="preserve">clinically effective and </w:t>
      </w:r>
      <w:r>
        <w:rPr>
          <w:rFonts w:asciiTheme="minorHAnsi" w:hAnsiTheme="minorHAnsi" w:cs="Times New Roman"/>
          <w:szCs w:val="24"/>
        </w:rPr>
        <w:t>cost-effective or to allow opportunities for further innovation.</w:t>
      </w:r>
    </w:p>
    <w:p w:rsidR="00207886" w:rsidRDefault="00207886" w:rsidP="006D79B0">
      <w:pPr>
        <w:pStyle w:val="ListParagraph"/>
        <w:numPr>
          <w:ilvl w:val="0"/>
          <w:numId w:val="20"/>
        </w:numPr>
        <w:spacing w:after="0" w:line="240" w:lineRule="auto"/>
        <w:rPr>
          <w:rFonts w:asciiTheme="minorHAnsi" w:hAnsiTheme="minorHAnsi" w:cs="Times New Roman"/>
          <w:szCs w:val="24"/>
        </w:rPr>
      </w:pPr>
      <w:r>
        <w:rPr>
          <w:rFonts w:asciiTheme="minorHAnsi" w:hAnsiTheme="minorHAnsi" w:cs="Times New Roman"/>
          <w:szCs w:val="24"/>
        </w:rPr>
        <w:t xml:space="preserve">Be undertaken as an iterative process, allowing opportunities for the </w:t>
      </w:r>
      <w:r w:rsidR="00D64C5C">
        <w:rPr>
          <w:rFonts w:asciiTheme="minorHAnsi" w:hAnsiTheme="minorHAnsi" w:cs="Times New Roman"/>
          <w:szCs w:val="24"/>
        </w:rPr>
        <w:t>program</w:t>
      </w:r>
      <w:r>
        <w:rPr>
          <w:rFonts w:asciiTheme="minorHAnsi" w:hAnsiTheme="minorHAnsi" w:cs="Times New Roman"/>
          <w:szCs w:val="24"/>
        </w:rPr>
        <w:t xml:space="preserve"> itself to be improved through consultation</w:t>
      </w:r>
      <w:r w:rsidR="00F63985">
        <w:rPr>
          <w:rFonts w:asciiTheme="minorHAnsi" w:hAnsiTheme="minorHAnsi" w:cs="Times New Roman"/>
          <w:szCs w:val="24"/>
        </w:rPr>
        <w:t xml:space="preserve"> but also for </w:t>
      </w:r>
      <w:r w:rsidR="00D64C5C">
        <w:rPr>
          <w:rFonts w:asciiTheme="minorHAnsi" w:hAnsiTheme="minorHAnsi" w:cs="Times New Roman"/>
          <w:szCs w:val="24"/>
        </w:rPr>
        <w:t>program</w:t>
      </w:r>
      <w:r w:rsidR="00F63985">
        <w:rPr>
          <w:rFonts w:asciiTheme="minorHAnsi" w:hAnsiTheme="minorHAnsi" w:cs="Times New Roman"/>
          <w:szCs w:val="24"/>
        </w:rPr>
        <w:t>s to be improved based on learnings throughout the trials.</w:t>
      </w:r>
    </w:p>
    <w:p w:rsidR="00E25418" w:rsidRPr="00E25418" w:rsidRDefault="00E25418" w:rsidP="00E25418">
      <w:pPr>
        <w:spacing w:after="0" w:line="240" w:lineRule="auto"/>
        <w:rPr>
          <w:rFonts w:asciiTheme="minorHAnsi" w:hAnsiTheme="minorHAnsi" w:cs="Times New Roman"/>
          <w:szCs w:val="24"/>
        </w:rPr>
      </w:pPr>
    </w:p>
    <w:p w:rsidR="00555D9B" w:rsidRPr="00830887" w:rsidRDefault="00E25418" w:rsidP="00830887">
      <w:pPr>
        <w:spacing w:after="0" w:line="240" w:lineRule="auto"/>
        <w:rPr>
          <w:rFonts w:asciiTheme="minorHAnsi" w:hAnsiTheme="minorHAnsi" w:cs="Times New Roman"/>
          <w:szCs w:val="24"/>
        </w:rPr>
      </w:pPr>
      <w:r>
        <w:rPr>
          <w:rFonts w:asciiTheme="minorHAnsi" w:hAnsiTheme="minorHAnsi" w:cs="Times New Roman"/>
          <w:szCs w:val="24"/>
        </w:rPr>
        <w:t>The Department has</w:t>
      </w:r>
      <w:r w:rsidR="00CF4D97">
        <w:rPr>
          <w:rFonts w:asciiTheme="minorHAnsi" w:hAnsiTheme="minorHAnsi" w:cs="Times New Roman"/>
          <w:szCs w:val="24"/>
        </w:rPr>
        <w:t xml:space="preserve"> overall responsibil</w:t>
      </w:r>
      <w:r>
        <w:rPr>
          <w:rFonts w:asciiTheme="minorHAnsi" w:hAnsiTheme="minorHAnsi" w:cs="Times New Roman"/>
          <w:szCs w:val="24"/>
        </w:rPr>
        <w:t xml:space="preserve">ity for managing the </w:t>
      </w:r>
      <w:r w:rsidR="00D64C5C">
        <w:rPr>
          <w:rFonts w:asciiTheme="minorHAnsi" w:hAnsiTheme="minorHAnsi" w:cs="Times New Roman"/>
          <w:szCs w:val="24"/>
        </w:rPr>
        <w:t>program</w:t>
      </w:r>
      <w:r>
        <w:rPr>
          <w:rFonts w:asciiTheme="minorHAnsi" w:hAnsiTheme="minorHAnsi" w:cs="Times New Roman"/>
          <w:szCs w:val="24"/>
        </w:rPr>
        <w:t xml:space="preserve">, but there will be significant involvement from advisory bodies such as the </w:t>
      </w:r>
      <w:r w:rsidR="003B4BFE">
        <w:rPr>
          <w:rFonts w:asciiTheme="minorHAnsi" w:hAnsiTheme="minorHAnsi" w:cs="Times New Roman"/>
          <w:szCs w:val="24"/>
        </w:rPr>
        <w:t>TAG</w:t>
      </w:r>
      <w:r>
        <w:rPr>
          <w:rFonts w:asciiTheme="minorHAnsi" w:hAnsiTheme="minorHAnsi" w:cs="Times New Roman"/>
          <w:szCs w:val="24"/>
        </w:rPr>
        <w:t xml:space="preserve"> and extensive</w:t>
      </w:r>
      <w:r w:rsidR="008652AC">
        <w:rPr>
          <w:rFonts w:asciiTheme="minorHAnsi" w:hAnsiTheme="minorHAnsi" w:cs="Times New Roman"/>
          <w:szCs w:val="24"/>
        </w:rPr>
        <w:t xml:space="preserve"> and culturally appropriate</w:t>
      </w:r>
      <w:r>
        <w:rPr>
          <w:rFonts w:asciiTheme="minorHAnsi" w:hAnsiTheme="minorHAnsi" w:cs="Times New Roman"/>
          <w:szCs w:val="24"/>
        </w:rPr>
        <w:t xml:space="preserve"> consultation undertaken as part of the development and implementation of trials</w:t>
      </w:r>
      <w:r w:rsidR="006E4FF6">
        <w:rPr>
          <w:rFonts w:asciiTheme="minorHAnsi" w:hAnsiTheme="minorHAnsi" w:cs="Times New Roman"/>
          <w:szCs w:val="24"/>
        </w:rPr>
        <w:t>.</w:t>
      </w:r>
    </w:p>
    <w:p w:rsidR="00555D9B" w:rsidRDefault="00555D9B" w:rsidP="00830887">
      <w:pPr>
        <w:spacing w:after="0" w:line="240" w:lineRule="auto"/>
        <w:rPr>
          <w:rFonts w:asciiTheme="minorHAnsi" w:hAnsiTheme="minorHAnsi" w:cs="Times New Roman"/>
          <w:szCs w:val="24"/>
        </w:rPr>
      </w:pPr>
    </w:p>
    <w:p w:rsidR="00AE2DD0" w:rsidRDefault="00AE2DD0" w:rsidP="00AE2DD0">
      <w:pPr>
        <w:pStyle w:val="Heading2"/>
        <w:spacing w:before="0"/>
      </w:pPr>
      <w:bookmarkStart w:id="15" w:name="_Toc445899312"/>
      <w:r>
        <w:t>Role of the T</w:t>
      </w:r>
      <w:r w:rsidR="003B4BFE">
        <w:t>AG</w:t>
      </w:r>
      <w:bookmarkEnd w:id="15"/>
    </w:p>
    <w:p w:rsidR="00AE2DD0" w:rsidRDefault="00AE2DD0" w:rsidP="00AE2DD0">
      <w:pPr>
        <w:spacing w:after="0" w:line="240" w:lineRule="auto"/>
        <w:rPr>
          <w:rFonts w:asciiTheme="minorHAnsi" w:hAnsiTheme="minorHAnsi" w:cs="Times New Roman"/>
          <w:szCs w:val="24"/>
        </w:rPr>
      </w:pPr>
      <w:r>
        <w:rPr>
          <w:rFonts w:asciiTheme="minorHAnsi" w:hAnsiTheme="minorHAnsi" w:cs="Times New Roman"/>
          <w:szCs w:val="24"/>
        </w:rPr>
        <w:t>The TAG has been established by the Department of Health as an expert advisory body to provide:</w:t>
      </w:r>
    </w:p>
    <w:p w:rsidR="00AE2DD0" w:rsidRDefault="00AE2DD0" w:rsidP="00AE2DD0">
      <w:pPr>
        <w:spacing w:after="0" w:line="240" w:lineRule="auto"/>
        <w:rPr>
          <w:rFonts w:asciiTheme="minorHAnsi" w:hAnsiTheme="minorHAnsi" w:cs="Times New Roman"/>
          <w:szCs w:val="24"/>
        </w:rPr>
      </w:pPr>
    </w:p>
    <w:p w:rsidR="00AE2DD0" w:rsidRDefault="00AE2DD0" w:rsidP="00AE2DD0">
      <w:pPr>
        <w:pStyle w:val="ListParagraph"/>
        <w:numPr>
          <w:ilvl w:val="0"/>
          <w:numId w:val="36"/>
        </w:numPr>
        <w:spacing w:after="120" w:line="240" w:lineRule="auto"/>
        <w:ind w:left="714" w:hanging="357"/>
        <w:contextualSpacing w:val="0"/>
        <w:rPr>
          <w:rFonts w:asciiTheme="minorHAnsi" w:hAnsiTheme="minorHAnsi" w:cs="Times New Roman"/>
          <w:szCs w:val="24"/>
        </w:rPr>
      </w:pPr>
      <w:r>
        <w:rPr>
          <w:rFonts w:asciiTheme="minorHAnsi" w:hAnsiTheme="minorHAnsi" w:cs="Times New Roman"/>
          <w:szCs w:val="24"/>
        </w:rPr>
        <w:t>Advice on the preferred topics to commence as trials, taking into account policy objectives under the PTP, any preferences for trial topics the Minister for Health</w:t>
      </w:r>
      <w:r w:rsidR="005A61C5">
        <w:rPr>
          <w:rFonts w:asciiTheme="minorHAnsi" w:hAnsiTheme="minorHAnsi" w:cs="Times New Roman"/>
          <w:szCs w:val="24"/>
        </w:rPr>
        <w:t>, Aged Care and Sport,</w:t>
      </w:r>
      <w:r>
        <w:rPr>
          <w:rFonts w:asciiTheme="minorHAnsi" w:hAnsiTheme="minorHAnsi" w:cs="Times New Roman"/>
          <w:szCs w:val="24"/>
        </w:rPr>
        <w:t xml:space="preserve"> or</w:t>
      </w:r>
      <w:r w:rsidR="005A61C5">
        <w:rPr>
          <w:rFonts w:asciiTheme="minorHAnsi" w:hAnsiTheme="minorHAnsi" w:cs="Times New Roman"/>
          <w:szCs w:val="24"/>
        </w:rPr>
        <w:t xml:space="preserve"> the</w:t>
      </w:r>
      <w:r>
        <w:rPr>
          <w:rFonts w:asciiTheme="minorHAnsi" w:hAnsiTheme="minorHAnsi" w:cs="Times New Roman"/>
          <w:szCs w:val="24"/>
        </w:rPr>
        <w:t xml:space="preserve"> Government may identify, and the feasibility of proposed trials being able to deliver outcomes ‘on the ground’.  Recommendations on these matters will be made to the Minister through the Department;</w:t>
      </w:r>
    </w:p>
    <w:p w:rsidR="00AE2DD0" w:rsidRDefault="00AE2DD0" w:rsidP="00AE2DD0">
      <w:pPr>
        <w:pStyle w:val="ListParagraph"/>
        <w:numPr>
          <w:ilvl w:val="0"/>
          <w:numId w:val="36"/>
        </w:numPr>
        <w:spacing w:after="120" w:line="240" w:lineRule="auto"/>
        <w:ind w:left="714" w:hanging="357"/>
        <w:contextualSpacing w:val="0"/>
        <w:rPr>
          <w:rFonts w:asciiTheme="minorHAnsi" w:hAnsiTheme="minorHAnsi" w:cs="Times New Roman"/>
          <w:szCs w:val="24"/>
        </w:rPr>
      </w:pPr>
      <w:r>
        <w:rPr>
          <w:rFonts w:asciiTheme="minorHAnsi" w:hAnsiTheme="minorHAnsi" w:cs="Times New Roman"/>
          <w:szCs w:val="24"/>
        </w:rPr>
        <w:t xml:space="preserve">Advice and assistance to organisations that may be developing proposed trials, on the methodology for conducting the trial and gathering evidence throughout the trial.  </w:t>
      </w:r>
      <w:r w:rsidR="0088603E">
        <w:rPr>
          <w:rFonts w:asciiTheme="minorHAnsi" w:hAnsiTheme="minorHAnsi" w:cs="Times New Roman"/>
          <w:szCs w:val="24"/>
        </w:rPr>
        <w:t xml:space="preserve">The National Health and Medical Research Council will be assisting with calling for future proposals (see further details on next page).  </w:t>
      </w:r>
      <w:r>
        <w:rPr>
          <w:rFonts w:asciiTheme="minorHAnsi" w:hAnsiTheme="minorHAnsi" w:cs="Times New Roman"/>
          <w:szCs w:val="24"/>
        </w:rPr>
        <w:t>The Medical Services Advisory Committee, through its Protocol Advisory Sub</w:t>
      </w:r>
      <w:r w:rsidR="00641D6E">
        <w:rPr>
          <w:rFonts w:asciiTheme="minorHAnsi" w:hAnsiTheme="minorHAnsi" w:cs="Times New Roman"/>
          <w:szCs w:val="24"/>
        </w:rPr>
        <w:t xml:space="preserve"> </w:t>
      </w:r>
      <w:r>
        <w:rPr>
          <w:rFonts w:asciiTheme="minorHAnsi" w:hAnsiTheme="minorHAnsi" w:cs="Times New Roman"/>
          <w:szCs w:val="24"/>
        </w:rPr>
        <w:t>Committee, will also have a significant involvement in the refinement of trial methodologies, to ensure that appropriate evidence is gathered throughout trials to inform evaluations of cost-effectiveness for ongoing funding.</w:t>
      </w:r>
    </w:p>
    <w:p w:rsidR="00AE2DD0" w:rsidRPr="00665661" w:rsidRDefault="00AE2DD0" w:rsidP="00AE2DD0">
      <w:pPr>
        <w:pStyle w:val="ListParagraph"/>
        <w:numPr>
          <w:ilvl w:val="0"/>
          <w:numId w:val="36"/>
        </w:numPr>
        <w:spacing w:after="0" w:line="240" w:lineRule="auto"/>
        <w:rPr>
          <w:rFonts w:asciiTheme="minorHAnsi" w:hAnsiTheme="minorHAnsi" w:cs="Times New Roman"/>
          <w:szCs w:val="24"/>
        </w:rPr>
      </w:pPr>
      <w:r>
        <w:rPr>
          <w:rFonts w:asciiTheme="minorHAnsi" w:hAnsiTheme="minorHAnsi" w:cs="Times New Roman"/>
          <w:szCs w:val="24"/>
        </w:rPr>
        <w:t xml:space="preserve">Any advice required on reviews of existing 6CPA </w:t>
      </w:r>
      <w:r w:rsidR="00D64C5C">
        <w:rPr>
          <w:rFonts w:asciiTheme="minorHAnsi" w:hAnsiTheme="minorHAnsi" w:cs="Times New Roman"/>
          <w:szCs w:val="24"/>
        </w:rPr>
        <w:t>program</w:t>
      </w:r>
      <w:r>
        <w:rPr>
          <w:rFonts w:asciiTheme="minorHAnsi" w:hAnsiTheme="minorHAnsi" w:cs="Times New Roman"/>
          <w:szCs w:val="24"/>
        </w:rPr>
        <w:t>s, which will be undertaken in parallel with the roll-out of the PTP.</w:t>
      </w:r>
    </w:p>
    <w:p w:rsidR="00AE2DD0" w:rsidRDefault="00AE2DD0" w:rsidP="00AE2DD0">
      <w:pPr>
        <w:spacing w:after="0" w:line="240" w:lineRule="auto"/>
        <w:rPr>
          <w:rFonts w:asciiTheme="minorHAnsi" w:hAnsiTheme="minorHAnsi" w:cs="Times New Roman"/>
          <w:szCs w:val="24"/>
        </w:rPr>
      </w:pPr>
    </w:p>
    <w:p w:rsidR="00AE2DD0" w:rsidRDefault="00AE2DD0" w:rsidP="00AE2DD0">
      <w:pPr>
        <w:spacing w:after="0" w:line="240" w:lineRule="auto"/>
        <w:rPr>
          <w:rFonts w:asciiTheme="minorHAnsi" w:hAnsiTheme="minorHAnsi" w:cs="Times New Roman"/>
          <w:szCs w:val="24"/>
        </w:rPr>
      </w:pPr>
      <w:r>
        <w:rPr>
          <w:rFonts w:asciiTheme="minorHAnsi" w:hAnsiTheme="minorHAnsi" w:cs="Times New Roman"/>
          <w:szCs w:val="24"/>
        </w:rPr>
        <w:t>Further information on the PTP and the TAG, including its Terms of Reference and membership, can be found on the Department’s web site at:</w:t>
      </w:r>
    </w:p>
    <w:p w:rsidR="00AE2DD0" w:rsidRPr="00DA5107" w:rsidRDefault="000C4BEB" w:rsidP="00AE2DD0">
      <w:pPr>
        <w:rPr>
          <w:rFonts w:asciiTheme="minorHAnsi" w:hAnsiTheme="minorHAnsi" w:cs="Arial"/>
          <w:color w:val="1F497D"/>
          <w:szCs w:val="20"/>
        </w:rPr>
      </w:pPr>
      <w:hyperlink r:id="rId10" w:history="1">
        <w:r w:rsidR="00AE2DD0" w:rsidRPr="00DA5107">
          <w:rPr>
            <w:rStyle w:val="Hyperlink"/>
            <w:rFonts w:asciiTheme="minorHAnsi" w:hAnsiTheme="minorHAnsi" w:cs="Arial"/>
            <w:szCs w:val="20"/>
          </w:rPr>
          <w:t>www.health.gov.au/internet/main/publishing.nsf/Content/pharmacy-trial-</w:t>
        </w:r>
        <w:r w:rsidR="00D64C5C" w:rsidRPr="00DA5107">
          <w:rPr>
            <w:rStyle w:val="Hyperlink"/>
            <w:rFonts w:asciiTheme="minorHAnsi" w:hAnsiTheme="minorHAnsi" w:cs="Arial"/>
            <w:szCs w:val="20"/>
          </w:rPr>
          <w:t>program</w:t>
        </w:r>
      </w:hyperlink>
    </w:p>
    <w:p w:rsidR="00AE2DD0" w:rsidRPr="002D5FEB" w:rsidRDefault="00AE2DD0" w:rsidP="00AE2DD0">
      <w:pPr>
        <w:pStyle w:val="Heading2"/>
        <w:spacing w:before="0" w:line="240" w:lineRule="auto"/>
      </w:pPr>
      <w:bookmarkStart w:id="16" w:name="_Toc445899313"/>
      <w:r>
        <w:lastRenderedPageBreak/>
        <w:t>Proc</w:t>
      </w:r>
      <w:r w:rsidR="003B4BFE">
        <w:t>ess</w:t>
      </w:r>
      <w:r>
        <w:t xml:space="preserve"> for identifying trials to be funded</w:t>
      </w:r>
      <w:bookmarkEnd w:id="16"/>
    </w:p>
    <w:p w:rsidR="00AE2DD0" w:rsidRDefault="00AE2DD0" w:rsidP="00830887">
      <w:pPr>
        <w:spacing w:after="0" w:line="240" w:lineRule="auto"/>
        <w:rPr>
          <w:rFonts w:asciiTheme="minorHAnsi" w:hAnsiTheme="minorHAnsi" w:cs="Times New Roman"/>
          <w:szCs w:val="24"/>
        </w:rPr>
      </w:pPr>
    </w:p>
    <w:p w:rsidR="00E233DD" w:rsidRDefault="00F63985" w:rsidP="00830887">
      <w:pPr>
        <w:spacing w:after="0" w:line="240" w:lineRule="auto"/>
        <w:rPr>
          <w:rFonts w:asciiTheme="minorHAnsi" w:hAnsiTheme="minorHAnsi" w:cs="Times New Roman"/>
          <w:szCs w:val="24"/>
        </w:rPr>
      </w:pPr>
      <w:r>
        <w:rPr>
          <w:rFonts w:asciiTheme="minorHAnsi" w:hAnsiTheme="minorHAnsi" w:cs="Times New Roman"/>
          <w:szCs w:val="24"/>
        </w:rPr>
        <w:t xml:space="preserve">A diagram of the process for the PTP is at </w:t>
      </w:r>
      <w:r w:rsidR="003B4BFE">
        <w:rPr>
          <w:rFonts w:asciiTheme="minorHAnsi" w:hAnsiTheme="minorHAnsi" w:cs="Times New Roman"/>
          <w:b/>
          <w:i/>
          <w:szCs w:val="24"/>
        </w:rPr>
        <w:t>Appendix C</w:t>
      </w:r>
      <w:r>
        <w:rPr>
          <w:rFonts w:asciiTheme="minorHAnsi" w:hAnsiTheme="minorHAnsi" w:cs="Times New Roman"/>
          <w:szCs w:val="24"/>
        </w:rPr>
        <w:t>.</w:t>
      </w:r>
      <w:r w:rsidR="00E233DD">
        <w:rPr>
          <w:rFonts w:asciiTheme="minorHAnsi" w:hAnsiTheme="minorHAnsi" w:cs="Times New Roman"/>
          <w:szCs w:val="24"/>
        </w:rPr>
        <w:t xml:space="preserve">  As the diagram outlines, it is expected that trials will be run in several tranches</w:t>
      </w:r>
      <w:r w:rsidR="00817093">
        <w:rPr>
          <w:rFonts w:asciiTheme="minorHAnsi" w:hAnsiTheme="minorHAnsi" w:cs="Times New Roman"/>
          <w:szCs w:val="24"/>
        </w:rPr>
        <w:t xml:space="preserve"> or ph</w:t>
      </w:r>
      <w:r w:rsidR="002C2DC7">
        <w:rPr>
          <w:rFonts w:asciiTheme="minorHAnsi" w:hAnsiTheme="minorHAnsi" w:cs="Times New Roman"/>
          <w:szCs w:val="24"/>
        </w:rPr>
        <w:t>ases</w:t>
      </w:r>
      <w:r w:rsidR="00E233DD">
        <w:rPr>
          <w:rFonts w:asciiTheme="minorHAnsi" w:hAnsiTheme="minorHAnsi" w:cs="Times New Roman"/>
          <w:szCs w:val="24"/>
        </w:rPr>
        <w:t>.</w:t>
      </w:r>
      <w:r w:rsidR="002C2DC7">
        <w:rPr>
          <w:rFonts w:asciiTheme="minorHAnsi" w:hAnsiTheme="minorHAnsi" w:cs="Times New Roman"/>
          <w:szCs w:val="24"/>
        </w:rPr>
        <w:t xml:space="preserve">  </w:t>
      </w:r>
      <w:r w:rsidR="00555D9B" w:rsidRPr="00830887">
        <w:rPr>
          <w:rFonts w:asciiTheme="minorHAnsi" w:hAnsiTheme="minorHAnsi" w:cs="Times New Roman"/>
          <w:szCs w:val="24"/>
        </w:rPr>
        <w:t>The first tranche of the Trials,</w:t>
      </w:r>
      <w:r w:rsidR="005809C7">
        <w:rPr>
          <w:rFonts w:asciiTheme="minorHAnsi" w:hAnsiTheme="minorHAnsi" w:cs="Times New Roman"/>
          <w:szCs w:val="24"/>
        </w:rPr>
        <w:t xml:space="preserve"> as described in further detail below,</w:t>
      </w:r>
      <w:r w:rsidR="00555D9B" w:rsidRPr="00830887">
        <w:rPr>
          <w:rFonts w:asciiTheme="minorHAnsi" w:hAnsiTheme="minorHAnsi" w:cs="Times New Roman"/>
          <w:szCs w:val="24"/>
        </w:rPr>
        <w:t xml:space="preserve"> </w:t>
      </w:r>
      <w:r w:rsidR="0051225A">
        <w:rPr>
          <w:rFonts w:asciiTheme="minorHAnsi" w:hAnsiTheme="minorHAnsi" w:cs="Times New Roman"/>
          <w:szCs w:val="24"/>
        </w:rPr>
        <w:t>will involve</w:t>
      </w:r>
      <w:r w:rsidR="00555D9B" w:rsidRPr="00830887">
        <w:rPr>
          <w:rFonts w:asciiTheme="minorHAnsi" w:hAnsiTheme="minorHAnsi" w:cs="Times New Roman"/>
          <w:szCs w:val="24"/>
        </w:rPr>
        <w:t xml:space="preserve"> topics</w:t>
      </w:r>
      <w:r w:rsidR="00774945">
        <w:rPr>
          <w:rFonts w:asciiTheme="minorHAnsi" w:hAnsiTheme="minorHAnsi" w:cs="Times New Roman"/>
          <w:szCs w:val="24"/>
        </w:rPr>
        <w:t xml:space="preserve"> identified from previous research and development work in prior Agreements or through </w:t>
      </w:r>
      <w:r w:rsidR="00555D9B" w:rsidRPr="00830887">
        <w:rPr>
          <w:rFonts w:asciiTheme="minorHAnsi" w:hAnsiTheme="minorHAnsi" w:cs="Times New Roman"/>
          <w:szCs w:val="24"/>
        </w:rPr>
        <w:t xml:space="preserve">discussions and negotiations on the Pharmaceutical Benefits Scheme (PBS) </w:t>
      </w:r>
      <w:r w:rsidR="000D06FB">
        <w:rPr>
          <w:rFonts w:asciiTheme="minorHAnsi" w:hAnsiTheme="minorHAnsi" w:cs="Times New Roman"/>
          <w:szCs w:val="24"/>
        </w:rPr>
        <w:t>A</w:t>
      </w:r>
      <w:r w:rsidR="006E4FF6">
        <w:rPr>
          <w:rFonts w:asciiTheme="minorHAnsi" w:hAnsiTheme="minorHAnsi" w:cs="Times New Roman"/>
          <w:szCs w:val="24"/>
        </w:rPr>
        <w:t xml:space="preserve">ccess and </w:t>
      </w:r>
      <w:r w:rsidR="000D06FB">
        <w:rPr>
          <w:rFonts w:asciiTheme="minorHAnsi" w:hAnsiTheme="minorHAnsi" w:cs="Times New Roman"/>
          <w:szCs w:val="24"/>
        </w:rPr>
        <w:t>S</w:t>
      </w:r>
      <w:r w:rsidR="00555D9B" w:rsidRPr="00830887">
        <w:rPr>
          <w:rFonts w:asciiTheme="minorHAnsi" w:hAnsiTheme="minorHAnsi" w:cs="Times New Roman"/>
          <w:szCs w:val="24"/>
        </w:rPr>
        <w:t>ustainability Measure.</w:t>
      </w:r>
      <w:r w:rsidR="00E233DD">
        <w:rPr>
          <w:rFonts w:asciiTheme="minorHAnsi" w:hAnsiTheme="minorHAnsi" w:cs="Times New Roman"/>
          <w:szCs w:val="24"/>
        </w:rPr>
        <w:t xml:space="preserve">  Th</w:t>
      </w:r>
      <w:r w:rsidR="000D06FB">
        <w:rPr>
          <w:rFonts w:asciiTheme="minorHAnsi" w:hAnsiTheme="minorHAnsi" w:cs="Times New Roman"/>
          <w:szCs w:val="24"/>
        </w:rPr>
        <w:t>ese</w:t>
      </w:r>
      <w:r w:rsidR="00E233DD">
        <w:rPr>
          <w:rFonts w:asciiTheme="minorHAnsi" w:hAnsiTheme="minorHAnsi" w:cs="Times New Roman"/>
          <w:szCs w:val="24"/>
        </w:rPr>
        <w:t xml:space="preserve"> activities are consistent with the principles</w:t>
      </w:r>
      <w:r w:rsidR="004C7559">
        <w:rPr>
          <w:rFonts w:asciiTheme="minorHAnsi" w:hAnsiTheme="minorHAnsi" w:cs="Times New Roman"/>
          <w:szCs w:val="24"/>
        </w:rPr>
        <w:t xml:space="preserve"> above and </w:t>
      </w:r>
      <w:r w:rsidR="00E233DD">
        <w:rPr>
          <w:rFonts w:asciiTheme="minorHAnsi" w:hAnsiTheme="minorHAnsi" w:cs="Times New Roman"/>
          <w:szCs w:val="24"/>
        </w:rPr>
        <w:t xml:space="preserve">represent the potential to be </w:t>
      </w:r>
      <w:r w:rsidR="004C7559">
        <w:rPr>
          <w:rFonts w:asciiTheme="minorHAnsi" w:hAnsiTheme="minorHAnsi" w:cs="Times New Roman"/>
          <w:szCs w:val="24"/>
        </w:rPr>
        <w:t xml:space="preserve">evaluated </w:t>
      </w:r>
      <w:r w:rsidR="000D06FB">
        <w:rPr>
          <w:rFonts w:asciiTheme="minorHAnsi" w:hAnsiTheme="minorHAnsi" w:cs="Times New Roman"/>
          <w:szCs w:val="24"/>
        </w:rPr>
        <w:t xml:space="preserve">for their </w:t>
      </w:r>
      <w:r w:rsidR="00E233DD">
        <w:rPr>
          <w:rFonts w:asciiTheme="minorHAnsi" w:hAnsiTheme="minorHAnsi" w:cs="Times New Roman"/>
          <w:szCs w:val="24"/>
        </w:rPr>
        <w:t>cost-effective</w:t>
      </w:r>
      <w:r w:rsidR="000D06FB">
        <w:rPr>
          <w:rFonts w:asciiTheme="minorHAnsi" w:hAnsiTheme="minorHAnsi" w:cs="Times New Roman"/>
          <w:szCs w:val="24"/>
        </w:rPr>
        <w:t>ness</w:t>
      </w:r>
      <w:r w:rsidR="00E233DD">
        <w:rPr>
          <w:rFonts w:asciiTheme="minorHAnsi" w:hAnsiTheme="minorHAnsi" w:cs="Times New Roman"/>
          <w:szCs w:val="24"/>
        </w:rPr>
        <w:t>.</w:t>
      </w:r>
      <w:r w:rsidR="00555D9B" w:rsidRPr="00830887">
        <w:rPr>
          <w:rFonts w:asciiTheme="minorHAnsi" w:hAnsiTheme="minorHAnsi" w:cs="Times New Roman"/>
          <w:szCs w:val="24"/>
        </w:rPr>
        <w:t xml:space="preserve">  </w:t>
      </w:r>
    </w:p>
    <w:p w:rsidR="00E233DD" w:rsidRDefault="00E233DD" w:rsidP="00830887">
      <w:pPr>
        <w:spacing w:after="0" w:line="240" w:lineRule="auto"/>
        <w:rPr>
          <w:rFonts w:asciiTheme="minorHAnsi" w:hAnsiTheme="minorHAnsi" w:cs="Times New Roman"/>
          <w:szCs w:val="24"/>
        </w:rPr>
      </w:pPr>
    </w:p>
    <w:p w:rsidR="00555D9B" w:rsidRPr="00830887" w:rsidRDefault="00555D9B" w:rsidP="00830887">
      <w:pPr>
        <w:spacing w:after="0" w:line="240" w:lineRule="auto"/>
        <w:rPr>
          <w:rFonts w:asciiTheme="minorHAnsi" w:hAnsiTheme="minorHAnsi" w:cs="Times New Roman"/>
          <w:szCs w:val="24"/>
        </w:rPr>
      </w:pPr>
      <w:r w:rsidRPr="00830887">
        <w:rPr>
          <w:rFonts w:asciiTheme="minorHAnsi" w:hAnsiTheme="minorHAnsi" w:cs="Times New Roman"/>
          <w:szCs w:val="24"/>
        </w:rPr>
        <w:t>Second and furt</w:t>
      </w:r>
      <w:r w:rsidR="002C2DC7">
        <w:rPr>
          <w:rFonts w:asciiTheme="minorHAnsi" w:hAnsiTheme="minorHAnsi" w:cs="Times New Roman"/>
          <w:szCs w:val="24"/>
        </w:rPr>
        <w:t>her tranches are expected to be managed through formal calls for submissions with each submission be</w:t>
      </w:r>
      <w:r w:rsidR="00AE2DD0">
        <w:rPr>
          <w:rFonts w:asciiTheme="minorHAnsi" w:hAnsiTheme="minorHAnsi" w:cs="Times New Roman"/>
          <w:szCs w:val="24"/>
        </w:rPr>
        <w:t>ing</w:t>
      </w:r>
      <w:r w:rsidR="002C2DC7">
        <w:rPr>
          <w:rFonts w:asciiTheme="minorHAnsi" w:hAnsiTheme="minorHAnsi" w:cs="Times New Roman"/>
          <w:szCs w:val="24"/>
        </w:rPr>
        <w:t xml:space="preserve"> assessed competitively for funding</w:t>
      </w:r>
      <w:r w:rsidRPr="00830887">
        <w:rPr>
          <w:rFonts w:asciiTheme="minorHAnsi" w:hAnsiTheme="minorHAnsi" w:cs="Times New Roman"/>
          <w:szCs w:val="24"/>
        </w:rPr>
        <w:t>.</w:t>
      </w:r>
    </w:p>
    <w:p w:rsidR="00555D9B" w:rsidRPr="00830887" w:rsidRDefault="00555D9B" w:rsidP="00830887">
      <w:pPr>
        <w:spacing w:after="0" w:line="240" w:lineRule="auto"/>
        <w:rPr>
          <w:rFonts w:asciiTheme="minorHAnsi" w:hAnsiTheme="minorHAnsi" w:cs="Times New Roman"/>
          <w:szCs w:val="24"/>
        </w:rPr>
      </w:pPr>
    </w:p>
    <w:p w:rsidR="00555D9B" w:rsidRPr="00774945" w:rsidRDefault="00555D9B" w:rsidP="00830887">
      <w:pPr>
        <w:spacing w:after="0" w:line="240" w:lineRule="auto"/>
        <w:rPr>
          <w:rFonts w:asciiTheme="minorHAnsi" w:hAnsiTheme="minorHAnsi" w:cs="Times New Roman"/>
          <w:i/>
          <w:szCs w:val="24"/>
        </w:rPr>
      </w:pPr>
      <w:r w:rsidRPr="00774945">
        <w:rPr>
          <w:rFonts w:asciiTheme="minorHAnsi" w:hAnsiTheme="minorHAnsi" w:cs="Times New Roman"/>
          <w:i/>
          <w:szCs w:val="24"/>
        </w:rPr>
        <w:t>First tranche of the Trials</w:t>
      </w:r>
    </w:p>
    <w:p w:rsidR="00555D9B" w:rsidRPr="00830887" w:rsidRDefault="00555D9B" w:rsidP="00830887">
      <w:pPr>
        <w:spacing w:after="0" w:line="240" w:lineRule="auto"/>
        <w:rPr>
          <w:rFonts w:asciiTheme="minorHAnsi" w:hAnsiTheme="minorHAnsi" w:cs="Times New Roman"/>
          <w:szCs w:val="24"/>
        </w:rPr>
      </w:pPr>
    </w:p>
    <w:p w:rsidR="00555D9B" w:rsidRPr="00830887" w:rsidRDefault="00774945" w:rsidP="00830887">
      <w:pPr>
        <w:spacing w:after="0" w:line="240" w:lineRule="auto"/>
        <w:rPr>
          <w:rFonts w:asciiTheme="minorHAnsi" w:hAnsiTheme="minorHAnsi" w:cs="Times New Roman"/>
          <w:szCs w:val="24"/>
        </w:rPr>
      </w:pPr>
      <w:r>
        <w:rPr>
          <w:rFonts w:asciiTheme="minorHAnsi" w:hAnsiTheme="minorHAnsi" w:cs="Times New Roman"/>
          <w:szCs w:val="24"/>
        </w:rPr>
        <w:t>The Government</w:t>
      </w:r>
      <w:r w:rsidR="009E6325">
        <w:rPr>
          <w:rFonts w:asciiTheme="minorHAnsi" w:hAnsiTheme="minorHAnsi" w:cs="Times New Roman"/>
          <w:szCs w:val="24"/>
        </w:rPr>
        <w:t xml:space="preserve"> has</w:t>
      </w:r>
      <w:r>
        <w:rPr>
          <w:rFonts w:asciiTheme="minorHAnsi" w:hAnsiTheme="minorHAnsi" w:cs="Times New Roman"/>
          <w:szCs w:val="24"/>
        </w:rPr>
        <w:t xml:space="preserve"> agreed </w:t>
      </w:r>
      <w:r w:rsidR="00C7053E">
        <w:rPr>
          <w:rFonts w:asciiTheme="minorHAnsi" w:hAnsiTheme="minorHAnsi" w:cs="Times New Roman"/>
          <w:szCs w:val="24"/>
        </w:rPr>
        <w:t>to</w:t>
      </w:r>
      <w:r>
        <w:rPr>
          <w:rFonts w:asciiTheme="minorHAnsi" w:hAnsiTheme="minorHAnsi" w:cs="Times New Roman"/>
          <w:szCs w:val="24"/>
        </w:rPr>
        <w:t xml:space="preserve"> </w:t>
      </w:r>
      <w:r w:rsidR="00C17B9F">
        <w:rPr>
          <w:rFonts w:asciiTheme="minorHAnsi" w:hAnsiTheme="minorHAnsi" w:cs="Times New Roman"/>
          <w:szCs w:val="24"/>
        </w:rPr>
        <w:t xml:space="preserve">trials in </w:t>
      </w:r>
      <w:r>
        <w:rPr>
          <w:rFonts w:asciiTheme="minorHAnsi" w:hAnsiTheme="minorHAnsi" w:cs="Times New Roman"/>
          <w:szCs w:val="24"/>
        </w:rPr>
        <w:t xml:space="preserve">the following three </w:t>
      </w:r>
      <w:r w:rsidR="00C17B9F">
        <w:rPr>
          <w:rFonts w:asciiTheme="minorHAnsi" w:hAnsiTheme="minorHAnsi" w:cs="Times New Roman"/>
          <w:szCs w:val="24"/>
        </w:rPr>
        <w:t>topic areas</w:t>
      </w:r>
      <w:r w:rsidR="00555D9B" w:rsidRPr="00830887">
        <w:rPr>
          <w:rFonts w:asciiTheme="minorHAnsi" w:hAnsiTheme="minorHAnsi" w:cs="Times New Roman"/>
          <w:szCs w:val="24"/>
        </w:rPr>
        <w:t>:</w:t>
      </w:r>
    </w:p>
    <w:p w:rsidR="00555D9B" w:rsidRPr="00830887" w:rsidRDefault="00555D9B" w:rsidP="00830887">
      <w:pPr>
        <w:spacing w:after="0" w:line="240" w:lineRule="auto"/>
        <w:rPr>
          <w:rFonts w:asciiTheme="minorHAnsi" w:hAnsiTheme="minorHAnsi" w:cs="Times New Roman"/>
          <w:szCs w:val="24"/>
        </w:rPr>
      </w:pPr>
    </w:p>
    <w:p w:rsidR="00C17B9F" w:rsidRPr="00C17B9F" w:rsidRDefault="00C17B9F" w:rsidP="00C17B9F">
      <w:pPr>
        <w:pStyle w:val="ListParagraph"/>
        <w:numPr>
          <w:ilvl w:val="0"/>
          <w:numId w:val="39"/>
        </w:numPr>
        <w:spacing w:after="120" w:line="240" w:lineRule="auto"/>
        <w:ind w:left="714" w:hanging="357"/>
        <w:contextualSpacing w:val="0"/>
        <w:rPr>
          <w:rFonts w:asciiTheme="minorHAnsi" w:hAnsiTheme="minorHAnsi" w:cs="Times New Roman"/>
          <w:szCs w:val="24"/>
        </w:rPr>
      </w:pPr>
      <w:r w:rsidRPr="00C17B9F">
        <w:rPr>
          <w:rFonts w:asciiTheme="minorHAnsi" w:hAnsiTheme="minorHAnsi" w:cs="Times New Roman"/>
          <w:szCs w:val="24"/>
        </w:rPr>
        <w:t>Improved medication management for Aboriginal and Torres Strait Islanders through pharmacist advice and culturally appropriate services;</w:t>
      </w:r>
    </w:p>
    <w:p w:rsidR="00C17B9F" w:rsidRPr="00C17B9F" w:rsidRDefault="003D7D4C" w:rsidP="00C17B9F">
      <w:pPr>
        <w:pStyle w:val="ListParagraph"/>
        <w:numPr>
          <w:ilvl w:val="0"/>
          <w:numId w:val="39"/>
        </w:numPr>
        <w:spacing w:after="120" w:line="240" w:lineRule="auto"/>
        <w:ind w:left="714" w:hanging="357"/>
        <w:contextualSpacing w:val="0"/>
        <w:rPr>
          <w:rFonts w:asciiTheme="minorHAnsi" w:hAnsiTheme="minorHAnsi" w:cs="Times New Roman"/>
          <w:szCs w:val="24"/>
        </w:rPr>
      </w:pPr>
      <w:r>
        <w:rPr>
          <w:rFonts w:asciiTheme="minorHAnsi" w:hAnsiTheme="minorHAnsi" w:cs="Times New Roman"/>
          <w:szCs w:val="24"/>
        </w:rPr>
        <w:t>P</w:t>
      </w:r>
      <w:r w:rsidRPr="003D7D4C">
        <w:rPr>
          <w:rFonts w:asciiTheme="minorHAnsi" w:hAnsiTheme="minorHAnsi" w:cs="Times New Roman"/>
          <w:szCs w:val="24"/>
        </w:rPr>
        <w:t>harmacy-based screening and referral for diabetes</w:t>
      </w:r>
      <w:r w:rsidR="00C17B9F" w:rsidRPr="00C17B9F">
        <w:rPr>
          <w:rFonts w:asciiTheme="minorHAnsi" w:hAnsiTheme="minorHAnsi" w:cs="Times New Roman"/>
          <w:szCs w:val="24"/>
        </w:rPr>
        <w:t xml:space="preserve">; and </w:t>
      </w:r>
    </w:p>
    <w:p w:rsidR="00C17B9F" w:rsidRPr="00C17B9F" w:rsidRDefault="00C17B9F" w:rsidP="00C17B9F">
      <w:pPr>
        <w:pStyle w:val="ListParagraph"/>
        <w:numPr>
          <w:ilvl w:val="0"/>
          <w:numId w:val="39"/>
        </w:numPr>
        <w:spacing w:after="0" w:line="240" w:lineRule="auto"/>
        <w:rPr>
          <w:rFonts w:asciiTheme="minorHAnsi" w:hAnsiTheme="minorHAnsi" w:cs="Times New Roman"/>
          <w:szCs w:val="24"/>
        </w:rPr>
      </w:pPr>
      <w:r w:rsidRPr="00C17B9F">
        <w:rPr>
          <w:rFonts w:asciiTheme="minorHAnsi" w:hAnsiTheme="minorHAnsi" w:cs="Times New Roman"/>
          <w:szCs w:val="24"/>
        </w:rPr>
        <w:t xml:space="preserve">Improved continuity in the management of patients’ medications when they are discharged from hospital. </w:t>
      </w:r>
    </w:p>
    <w:p w:rsidR="00B42AC2" w:rsidRDefault="00B42AC2" w:rsidP="00830887">
      <w:pPr>
        <w:spacing w:after="0" w:line="240" w:lineRule="auto"/>
        <w:rPr>
          <w:rFonts w:asciiTheme="minorHAnsi" w:hAnsiTheme="minorHAnsi" w:cs="Times New Roman"/>
          <w:szCs w:val="24"/>
        </w:rPr>
      </w:pPr>
    </w:p>
    <w:p w:rsidR="009E6325" w:rsidRDefault="00555D9B" w:rsidP="00830887">
      <w:pPr>
        <w:spacing w:after="0" w:line="240" w:lineRule="auto"/>
        <w:rPr>
          <w:rFonts w:asciiTheme="minorHAnsi" w:hAnsiTheme="minorHAnsi" w:cs="Times New Roman"/>
          <w:szCs w:val="24"/>
        </w:rPr>
      </w:pPr>
      <w:r w:rsidRPr="00830887">
        <w:rPr>
          <w:rFonts w:asciiTheme="minorHAnsi" w:hAnsiTheme="minorHAnsi" w:cs="Times New Roman"/>
          <w:szCs w:val="24"/>
        </w:rPr>
        <w:t>Th</w:t>
      </w:r>
      <w:r w:rsidR="00FA3A31">
        <w:rPr>
          <w:rFonts w:asciiTheme="minorHAnsi" w:hAnsiTheme="minorHAnsi" w:cs="Times New Roman"/>
          <w:szCs w:val="24"/>
        </w:rPr>
        <w:t>ese first</w:t>
      </w:r>
      <w:r w:rsidR="003A0E89">
        <w:rPr>
          <w:rFonts w:asciiTheme="minorHAnsi" w:hAnsiTheme="minorHAnsi" w:cs="Times New Roman"/>
          <w:szCs w:val="24"/>
        </w:rPr>
        <w:t xml:space="preserve"> trial topics have been</w:t>
      </w:r>
      <w:r w:rsidRPr="00830887">
        <w:rPr>
          <w:rFonts w:asciiTheme="minorHAnsi" w:hAnsiTheme="minorHAnsi" w:cs="Times New Roman"/>
          <w:szCs w:val="24"/>
        </w:rPr>
        <w:t xml:space="preserve"> </w:t>
      </w:r>
      <w:r w:rsidR="009E6325">
        <w:rPr>
          <w:rFonts w:asciiTheme="minorHAnsi" w:hAnsiTheme="minorHAnsi" w:cs="Times New Roman"/>
          <w:szCs w:val="24"/>
        </w:rPr>
        <w:t>provided to the TAG and the Protocol Advisory Sub</w:t>
      </w:r>
      <w:r w:rsidR="00AE2DD0">
        <w:rPr>
          <w:rFonts w:asciiTheme="minorHAnsi" w:hAnsiTheme="minorHAnsi" w:cs="Times New Roman"/>
          <w:szCs w:val="24"/>
        </w:rPr>
        <w:t xml:space="preserve"> </w:t>
      </w:r>
      <w:r w:rsidR="009E6325">
        <w:rPr>
          <w:rFonts w:asciiTheme="minorHAnsi" w:hAnsiTheme="minorHAnsi" w:cs="Times New Roman"/>
          <w:szCs w:val="24"/>
        </w:rPr>
        <w:t xml:space="preserve">Committee of the Medical Services Advisory Committee for </w:t>
      </w:r>
      <w:r w:rsidR="0088603E">
        <w:rPr>
          <w:rFonts w:asciiTheme="minorHAnsi" w:hAnsiTheme="minorHAnsi" w:cs="Times New Roman"/>
          <w:szCs w:val="24"/>
        </w:rPr>
        <w:t xml:space="preserve">comment on </w:t>
      </w:r>
      <w:r w:rsidR="009E6325">
        <w:rPr>
          <w:rFonts w:asciiTheme="minorHAnsi" w:hAnsiTheme="minorHAnsi" w:cs="Times New Roman"/>
          <w:szCs w:val="24"/>
        </w:rPr>
        <w:t>the trial protocols</w:t>
      </w:r>
      <w:r w:rsidRPr="00830887">
        <w:rPr>
          <w:rFonts w:asciiTheme="minorHAnsi" w:hAnsiTheme="minorHAnsi" w:cs="Times New Roman"/>
          <w:szCs w:val="24"/>
        </w:rPr>
        <w:t xml:space="preserve">.  </w:t>
      </w:r>
    </w:p>
    <w:p w:rsidR="00FA3A31" w:rsidRDefault="00FA3A31" w:rsidP="003A0E89">
      <w:pPr>
        <w:spacing w:after="0" w:line="240" w:lineRule="auto"/>
        <w:rPr>
          <w:rFonts w:asciiTheme="minorHAnsi" w:hAnsiTheme="minorHAnsi" w:cs="Times New Roman"/>
          <w:i/>
          <w:szCs w:val="24"/>
        </w:rPr>
      </w:pPr>
    </w:p>
    <w:p w:rsidR="003A0E89" w:rsidRPr="003A0E89" w:rsidRDefault="003A0E89" w:rsidP="003A0E89">
      <w:pPr>
        <w:spacing w:after="0" w:line="240" w:lineRule="auto"/>
        <w:rPr>
          <w:rFonts w:asciiTheme="minorHAnsi" w:hAnsiTheme="minorHAnsi" w:cs="Times New Roman"/>
          <w:i/>
          <w:szCs w:val="24"/>
        </w:rPr>
      </w:pPr>
      <w:r w:rsidRPr="003A0E89">
        <w:rPr>
          <w:rFonts w:asciiTheme="minorHAnsi" w:hAnsiTheme="minorHAnsi" w:cs="Times New Roman"/>
          <w:i/>
          <w:szCs w:val="24"/>
        </w:rPr>
        <w:t>Second and future tranches of the Trials</w:t>
      </w:r>
    </w:p>
    <w:p w:rsidR="003A0E89" w:rsidRDefault="003A0E89" w:rsidP="00830887">
      <w:pPr>
        <w:spacing w:after="0" w:line="240" w:lineRule="auto"/>
        <w:rPr>
          <w:rFonts w:asciiTheme="minorHAnsi" w:hAnsiTheme="minorHAnsi" w:cs="Times New Roman"/>
          <w:szCs w:val="24"/>
        </w:rPr>
      </w:pPr>
    </w:p>
    <w:p w:rsidR="00555D9B" w:rsidRPr="00830887" w:rsidRDefault="003A0E89" w:rsidP="00830887">
      <w:pPr>
        <w:spacing w:after="0" w:line="240" w:lineRule="auto"/>
        <w:rPr>
          <w:rFonts w:asciiTheme="minorHAnsi" w:hAnsiTheme="minorHAnsi" w:cs="Times New Roman"/>
          <w:szCs w:val="24"/>
        </w:rPr>
      </w:pPr>
      <w:r>
        <w:rPr>
          <w:rFonts w:asciiTheme="minorHAnsi" w:hAnsiTheme="minorHAnsi" w:cs="Times New Roman"/>
          <w:szCs w:val="24"/>
        </w:rPr>
        <w:t xml:space="preserve">As the diagram at </w:t>
      </w:r>
      <w:r w:rsidR="003B4BFE">
        <w:rPr>
          <w:rFonts w:asciiTheme="minorHAnsi" w:hAnsiTheme="minorHAnsi" w:cs="Times New Roman"/>
          <w:b/>
          <w:i/>
          <w:szCs w:val="24"/>
        </w:rPr>
        <w:t>Appendix C</w:t>
      </w:r>
      <w:r>
        <w:rPr>
          <w:rFonts w:asciiTheme="minorHAnsi" w:hAnsiTheme="minorHAnsi" w:cs="Times New Roman"/>
          <w:szCs w:val="24"/>
        </w:rPr>
        <w:t xml:space="preserve"> outline</w:t>
      </w:r>
      <w:r w:rsidR="00FA3A31">
        <w:rPr>
          <w:rFonts w:asciiTheme="minorHAnsi" w:hAnsiTheme="minorHAnsi" w:cs="Times New Roman"/>
          <w:szCs w:val="24"/>
        </w:rPr>
        <w:t>s</w:t>
      </w:r>
      <w:r>
        <w:rPr>
          <w:rFonts w:asciiTheme="minorHAnsi" w:hAnsiTheme="minorHAnsi" w:cs="Times New Roman"/>
          <w:szCs w:val="24"/>
        </w:rPr>
        <w:t>, f</w:t>
      </w:r>
      <w:r w:rsidR="00555D9B" w:rsidRPr="00830887">
        <w:rPr>
          <w:rFonts w:asciiTheme="minorHAnsi" w:hAnsiTheme="minorHAnsi" w:cs="Times New Roman"/>
          <w:szCs w:val="24"/>
        </w:rPr>
        <w:t>or the second tranche</w:t>
      </w:r>
      <w:r>
        <w:rPr>
          <w:rFonts w:asciiTheme="minorHAnsi" w:hAnsiTheme="minorHAnsi" w:cs="Times New Roman"/>
          <w:szCs w:val="24"/>
        </w:rPr>
        <w:t xml:space="preserve"> of trials and moving forward</w:t>
      </w:r>
      <w:r w:rsidR="00555D9B" w:rsidRPr="00830887">
        <w:rPr>
          <w:rFonts w:asciiTheme="minorHAnsi" w:hAnsiTheme="minorHAnsi" w:cs="Times New Roman"/>
          <w:szCs w:val="24"/>
        </w:rPr>
        <w:t xml:space="preserve">, </w:t>
      </w:r>
      <w:r w:rsidR="0088603E">
        <w:rPr>
          <w:rFonts w:asciiTheme="minorHAnsi" w:hAnsiTheme="minorHAnsi" w:cs="Times New Roman"/>
          <w:szCs w:val="24"/>
        </w:rPr>
        <w:t xml:space="preserve">assessments by the PASC and NHMRC will be provided to </w:t>
      </w:r>
      <w:r w:rsidR="00555D9B" w:rsidRPr="00830887">
        <w:rPr>
          <w:rFonts w:asciiTheme="minorHAnsi" w:hAnsiTheme="minorHAnsi" w:cs="Times New Roman"/>
          <w:szCs w:val="24"/>
        </w:rPr>
        <w:t xml:space="preserve">the TAG </w:t>
      </w:r>
      <w:r w:rsidR="0088603E">
        <w:rPr>
          <w:rFonts w:asciiTheme="minorHAnsi" w:hAnsiTheme="minorHAnsi" w:cs="Times New Roman"/>
          <w:szCs w:val="24"/>
        </w:rPr>
        <w:t>for consideration and for recommendations to Government about programmes meriting funding</w:t>
      </w:r>
      <w:r w:rsidR="00555D9B" w:rsidRPr="00830887">
        <w:rPr>
          <w:rFonts w:asciiTheme="minorHAnsi" w:hAnsiTheme="minorHAnsi" w:cs="Times New Roman"/>
          <w:szCs w:val="24"/>
        </w:rPr>
        <w:t>.</w:t>
      </w:r>
    </w:p>
    <w:p w:rsidR="00555D9B" w:rsidRPr="00830887" w:rsidRDefault="00555D9B" w:rsidP="00830887">
      <w:pPr>
        <w:spacing w:after="0" w:line="240" w:lineRule="auto"/>
        <w:rPr>
          <w:rFonts w:asciiTheme="minorHAnsi" w:hAnsiTheme="minorHAnsi" w:cs="Times New Roman"/>
          <w:szCs w:val="24"/>
        </w:rPr>
      </w:pPr>
    </w:p>
    <w:p w:rsidR="00555D9B" w:rsidRPr="00830887" w:rsidRDefault="002C2DC7" w:rsidP="00830887">
      <w:pPr>
        <w:spacing w:after="0" w:line="240" w:lineRule="auto"/>
        <w:rPr>
          <w:rFonts w:asciiTheme="minorHAnsi" w:hAnsiTheme="minorHAnsi" w:cs="Times New Roman"/>
          <w:szCs w:val="24"/>
        </w:rPr>
      </w:pPr>
      <w:r>
        <w:rPr>
          <w:rFonts w:asciiTheme="minorHAnsi" w:hAnsiTheme="minorHAnsi" w:cs="Times New Roman"/>
          <w:szCs w:val="24"/>
        </w:rPr>
        <w:t xml:space="preserve">These processes </w:t>
      </w:r>
      <w:r w:rsidR="0088603E">
        <w:rPr>
          <w:rFonts w:asciiTheme="minorHAnsi" w:hAnsiTheme="minorHAnsi" w:cs="Times New Roman"/>
          <w:szCs w:val="24"/>
        </w:rPr>
        <w:t>are still in development but is it expected, for example, that there will be some opportunity for facilitating expert assistance to organisations proposing trials, with the purpose of</w:t>
      </w:r>
      <w:r w:rsidR="00AE2DD0">
        <w:rPr>
          <w:rFonts w:asciiTheme="minorHAnsi" w:hAnsiTheme="minorHAnsi" w:cs="Times New Roman"/>
          <w:szCs w:val="24"/>
        </w:rPr>
        <w:t xml:space="preserve"> developing proposals</w:t>
      </w:r>
      <w:r w:rsidR="00555D9B" w:rsidRPr="00830887">
        <w:rPr>
          <w:rFonts w:asciiTheme="minorHAnsi" w:hAnsiTheme="minorHAnsi" w:cs="Times New Roman"/>
          <w:szCs w:val="24"/>
        </w:rPr>
        <w:t xml:space="preserve"> to the point of being robust and researchable.  </w:t>
      </w:r>
      <w:r w:rsidR="006E4FF6">
        <w:rPr>
          <w:rFonts w:asciiTheme="minorHAnsi" w:hAnsiTheme="minorHAnsi" w:cs="Times New Roman"/>
          <w:szCs w:val="24"/>
        </w:rPr>
        <w:t xml:space="preserve">This would be considered on a case-by-case basis as part of a formal call for submissions.  Prior to a call for submissions, as the diagram notes, </w:t>
      </w:r>
      <w:r w:rsidR="007C5261">
        <w:rPr>
          <w:rFonts w:asciiTheme="minorHAnsi" w:hAnsiTheme="minorHAnsi" w:cs="Times New Roman"/>
          <w:szCs w:val="24"/>
        </w:rPr>
        <w:t>the Department is</w:t>
      </w:r>
      <w:r w:rsidR="00062167">
        <w:rPr>
          <w:rFonts w:asciiTheme="minorHAnsi" w:hAnsiTheme="minorHAnsi" w:cs="Times New Roman"/>
          <w:szCs w:val="24"/>
        </w:rPr>
        <w:t xml:space="preserve"> </w:t>
      </w:r>
      <w:r w:rsidR="007C5261">
        <w:rPr>
          <w:rFonts w:asciiTheme="minorHAnsi" w:hAnsiTheme="minorHAnsi" w:cs="Times New Roman"/>
          <w:szCs w:val="24"/>
        </w:rPr>
        <w:t>seeking</w:t>
      </w:r>
      <w:r w:rsidR="00370824">
        <w:rPr>
          <w:rFonts w:asciiTheme="minorHAnsi" w:hAnsiTheme="minorHAnsi" w:cs="Times New Roman"/>
          <w:szCs w:val="24"/>
        </w:rPr>
        <w:t xml:space="preserve"> high level</w:t>
      </w:r>
      <w:r w:rsidR="00062167">
        <w:rPr>
          <w:rFonts w:asciiTheme="minorHAnsi" w:hAnsiTheme="minorHAnsi" w:cs="Times New Roman"/>
          <w:szCs w:val="24"/>
        </w:rPr>
        <w:t xml:space="preserve"> ideas</w:t>
      </w:r>
      <w:r w:rsidR="007C5261">
        <w:rPr>
          <w:rFonts w:asciiTheme="minorHAnsi" w:hAnsiTheme="minorHAnsi" w:cs="Times New Roman"/>
          <w:szCs w:val="24"/>
        </w:rPr>
        <w:t>.</w:t>
      </w:r>
      <w:r>
        <w:rPr>
          <w:rFonts w:asciiTheme="minorHAnsi" w:hAnsiTheme="minorHAnsi" w:cs="Times New Roman"/>
          <w:szCs w:val="24"/>
        </w:rPr>
        <w:t xml:space="preserve"> </w:t>
      </w:r>
    </w:p>
    <w:p w:rsidR="003A0E89" w:rsidRDefault="003A0E89" w:rsidP="00830887">
      <w:pPr>
        <w:pStyle w:val="Heading3"/>
        <w:spacing w:before="0" w:line="240" w:lineRule="auto"/>
        <w:ind w:left="360" w:hanging="360"/>
        <w:rPr>
          <w:rFonts w:asciiTheme="minorHAnsi" w:eastAsiaTheme="minorHAnsi" w:hAnsiTheme="minorHAnsi" w:cs="Times New Roman"/>
          <w:b w:val="0"/>
          <w:bCs w:val="0"/>
          <w:color w:val="auto"/>
          <w:szCs w:val="24"/>
        </w:rPr>
      </w:pPr>
    </w:p>
    <w:p w:rsidR="00817093" w:rsidRDefault="00817093" w:rsidP="00FA3A31">
      <w:pPr>
        <w:pStyle w:val="Heading2"/>
        <w:spacing w:before="0" w:line="240" w:lineRule="auto"/>
      </w:pPr>
    </w:p>
    <w:p w:rsidR="00FA3A31" w:rsidRPr="00FA3A31" w:rsidRDefault="003A0E89" w:rsidP="00FA3A31">
      <w:pPr>
        <w:pStyle w:val="Heading2"/>
        <w:spacing w:before="0" w:line="240" w:lineRule="auto"/>
      </w:pPr>
      <w:bookmarkStart w:id="17" w:name="_Toc445899314"/>
      <w:r>
        <w:t>Call for ideas</w:t>
      </w:r>
      <w:bookmarkEnd w:id="17"/>
    </w:p>
    <w:p w:rsidR="0000652F" w:rsidRDefault="003D7D4C" w:rsidP="003A0E89">
      <w:pPr>
        <w:spacing w:after="0" w:line="240" w:lineRule="auto"/>
        <w:rPr>
          <w:rFonts w:asciiTheme="minorHAnsi" w:hAnsiTheme="minorHAnsi" w:cs="Times New Roman"/>
          <w:szCs w:val="24"/>
        </w:rPr>
      </w:pPr>
      <w:r>
        <w:rPr>
          <w:rFonts w:asciiTheme="minorHAnsi" w:hAnsiTheme="minorHAnsi" w:cs="Times New Roman"/>
          <w:szCs w:val="24"/>
        </w:rPr>
        <w:t>In addition to the above three trial topics, t</w:t>
      </w:r>
      <w:r w:rsidR="00FA3A31">
        <w:rPr>
          <w:rFonts w:asciiTheme="minorHAnsi" w:hAnsiTheme="minorHAnsi" w:cs="Times New Roman"/>
          <w:szCs w:val="24"/>
        </w:rPr>
        <w:t>he Department is seeking high level ideas from stakeholders on</w:t>
      </w:r>
      <w:r w:rsidR="0088584E">
        <w:rPr>
          <w:rFonts w:asciiTheme="minorHAnsi" w:hAnsiTheme="minorHAnsi" w:cs="Times New Roman"/>
          <w:szCs w:val="24"/>
        </w:rPr>
        <w:t xml:space="preserve"> transformative </w:t>
      </w:r>
      <w:r w:rsidR="000C27A2">
        <w:rPr>
          <w:rFonts w:asciiTheme="minorHAnsi" w:hAnsiTheme="minorHAnsi" w:cs="Times New Roman"/>
          <w:szCs w:val="24"/>
        </w:rPr>
        <w:t>activities</w:t>
      </w:r>
      <w:r w:rsidR="00FA3A31">
        <w:rPr>
          <w:rFonts w:asciiTheme="minorHAnsi" w:hAnsiTheme="minorHAnsi" w:cs="Times New Roman"/>
          <w:szCs w:val="24"/>
        </w:rPr>
        <w:t xml:space="preserve"> that could be funded</w:t>
      </w:r>
      <w:r w:rsidR="0000652F">
        <w:rPr>
          <w:rFonts w:asciiTheme="minorHAnsi" w:hAnsiTheme="minorHAnsi" w:cs="Times New Roman"/>
          <w:szCs w:val="24"/>
        </w:rPr>
        <w:t xml:space="preserve"> through the PTP.</w:t>
      </w:r>
      <w:r w:rsidR="006C7700">
        <w:rPr>
          <w:rFonts w:asciiTheme="minorHAnsi" w:hAnsiTheme="minorHAnsi" w:cs="Times New Roman"/>
          <w:szCs w:val="24"/>
        </w:rPr>
        <w:t xml:space="preserve">  These ideas can be in any area, including the broad areas listed above as part of the first tranche of trials.</w:t>
      </w:r>
    </w:p>
    <w:p w:rsidR="0088584E" w:rsidRDefault="0088584E" w:rsidP="003A0E89">
      <w:pPr>
        <w:spacing w:after="0" w:line="240" w:lineRule="auto"/>
        <w:rPr>
          <w:rFonts w:asciiTheme="minorHAnsi" w:hAnsiTheme="minorHAnsi" w:cs="Times New Roman"/>
          <w:szCs w:val="24"/>
        </w:rPr>
      </w:pPr>
    </w:p>
    <w:p w:rsidR="00FA3A31" w:rsidRDefault="0000652F" w:rsidP="003A0E89">
      <w:pPr>
        <w:spacing w:after="0" w:line="240" w:lineRule="auto"/>
        <w:rPr>
          <w:rFonts w:asciiTheme="minorHAnsi" w:hAnsiTheme="minorHAnsi" w:cs="Times New Roman"/>
          <w:szCs w:val="24"/>
        </w:rPr>
      </w:pPr>
      <w:r>
        <w:rPr>
          <w:rFonts w:asciiTheme="minorHAnsi" w:hAnsiTheme="minorHAnsi" w:cs="Times New Roman"/>
          <w:szCs w:val="24"/>
        </w:rPr>
        <w:t>This cal</w:t>
      </w:r>
      <w:r w:rsidR="00370824">
        <w:rPr>
          <w:rFonts w:asciiTheme="minorHAnsi" w:hAnsiTheme="minorHAnsi" w:cs="Times New Roman"/>
          <w:szCs w:val="24"/>
        </w:rPr>
        <w:t>l for ideas will be analysed and used to develop high level</w:t>
      </w:r>
      <w:r>
        <w:rPr>
          <w:rFonts w:asciiTheme="minorHAnsi" w:hAnsiTheme="minorHAnsi" w:cs="Times New Roman"/>
          <w:szCs w:val="24"/>
        </w:rPr>
        <w:t xml:space="preserve"> theme</w:t>
      </w:r>
      <w:r w:rsidR="00370824">
        <w:rPr>
          <w:rFonts w:asciiTheme="minorHAnsi" w:hAnsiTheme="minorHAnsi" w:cs="Times New Roman"/>
          <w:szCs w:val="24"/>
        </w:rPr>
        <w:t>s (for example, rural and remote health)</w:t>
      </w:r>
      <w:r>
        <w:rPr>
          <w:rFonts w:asciiTheme="minorHAnsi" w:hAnsiTheme="minorHAnsi" w:cs="Times New Roman"/>
          <w:szCs w:val="24"/>
        </w:rPr>
        <w:t xml:space="preserve"> cover</w:t>
      </w:r>
      <w:r w:rsidR="00370824">
        <w:rPr>
          <w:rFonts w:asciiTheme="minorHAnsi" w:hAnsiTheme="minorHAnsi" w:cs="Times New Roman"/>
          <w:szCs w:val="24"/>
        </w:rPr>
        <w:t>ing the range of ideas presented and indicating whether there are particular theme areas that generated greater interest than others</w:t>
      </w:r>
      <w:r w:rsidR="006D1E76">
        <w:rPr>
          <w:rFonts w:asciiTheme="minorHAnsi" w:hAnsiTheme="minorHAnsi" w:cs="Times New Roman"/>
          <w:szCs w:val="24"/>
        </w:rPr>
        <w:t>,</w:t>
      </w:r>
      <w:r w:rsidR="006C7700">
        <w:rPr>
          <w:rFonts w:asciiTheme="minorHAnsi" w:hAnsiTheme="minorHAnsi" w:cs="Times New Roman"/>
          <w:szCs w:val="24"/>
        </w:rPr>
        <w:t xml:space="preserve"> have a likelihood of delivering more robust research,</w:t>
      </w:r>
      <w:r w:rsidR="006D1E76">
        <w:rPr>
          <w:rFonts w:asciiTheme="minorHAnsi" w:hAnsiTheme="minorHAnsi" w:cs="Times New Roman"/>
          <w:szCs w:val="24"/>
        </w:rPr>
        <w:t xml:space="preserve"> or that </w:t>
      </w:r>
      <w:r w:rsidR="00623276">
        <w:rPr>
          <w:rFonts w:asciiTheme="minorHAnsi" w:hAnsiTheme="minorHAnsi" w:cs="Times New Roman"/>
          <w:szCs w:val="24"/>
        </w:rPr>
        <w:t>address identified</w:t>
      </w:r>
      <w:r w:rsidR="006D1E76">
        <w:rPr>
          <w:rFonts w:asciiTheme="minorHAnsi" w:hAnsiTheme="minorHAnsi" w:cs="Times New Roman"/>
          <w:szCs w:val="24"/>
        </w:rPr>
        <w:t xml:space="preserve"> gaps in services and health</w:t>
      </w:r>
      <w:r w:rsidR="00F624A4">
        <w:rPr>
          <w:rFonts w:asciiTheme="minorHAnsi" w:hAnsiTheme="minorHAnsi" w:cs="Times New Roman"/>
          <w:szCs w:val="24"/>
        </w:rPr>
        <w:t xml:space="preserve"> </w:t>
      </w:r>
      <w:r w:rsidR="006D1E76">
        <w:rPr>
          <w:rFonts w:asciiTheme="minorHAnsi" w:hAnsiTheme="minorHAnsi" w:cs="Times New Roman"/>
          <w:szCs w:val="24"/>
        </w:rPr>
        <w:t>care for consumers</w:t>
      </w:r>
      <w:r w:rsidR="00370824">
        <w:rPr>
          <w:rFonts w:asciiTheme="minorHAnsi" w:hAnsiTheme="minorHAnsi" w:cs="Times New Roman"/>
          <w:szCs w:val="24"/>
        </w:rPr>
        <w:t xml:space="preserve">.  </w:t>
      </w:r>
    </w:p>
    <w:p w:rsidR="002C2DC7" w:rsidRDefault="002C2DC7" w:rsidP="003A0E89">
      <w:pPr>
        <w:spacing w:after="0" w:line="240" w:lineRule="auto"/>
        <w:rPr>
          <w:rFonts w:asciiTheme="minorHAnsi" w:hAnsiTheme="minorHAnsi" w:cs="Times New Roman"/>
          <w:szCs w:val="24"/>
        </w:rPr>
      </w:pPr>
    </w:p>
    <w:p w:rsidR="0000652F" w:rsidRDefault="007C5261" w:rsidP="003A0E89">
      <w:pPr>
        <w:spacing w:after="0" w:line="240" w:lineRule="auto"/>
        <w:rPr>
          <w:rFonts w:asciiTheme="minorHAnsi" w:hAnsiTheme="minorHAnsi" w:cs="Times New Roman"/>
          <w:szCs w:val="24"/>
        </w:rPr>
      </w:pPr>
      <w:r>
        <w:rPr>
          <w:rFonts w:asciiTheme="minorHAnsi" w:hAnsiTheme="minorHAnsi" w:cs="Times New Roman"/>
          <w:szCs w:val="24"/>
        </w:rPr>
        <w:t xml:space="preserve">Individuals </w:t>
      </w:r>
      <w:r w:rsidR="00391640">
        <w:rPr>
          <w:rFonts w:asciiTheme="minorHAnsi" w:hAnsiTheme="minorHAnsi" w:cs="Times New Roman"/>
          <w:szCs w:val="24"/>
        </w:rPr>
        <w:t xml:space="preserve">and organisations </w:t>
      </w:r>
      <w:r>
        <w:rPr>
          <w:rFonts w:asciiTheme="minorHAnsi" w:hAnsiTheme="minorHAnsi" w:cs="Times New Roman"/>
          <w:szCs w:val="24"/>
        </w:rPr>
        <w:t>are</w:t>
      </w:r>
      <w:r w:rsidR="006C7700">
        <w:rPr>
          <w:rFonts w:asciiTheme="minorHAnsi" w:hAnsiTheme="minorHAnsi" w:cs="Times New Roman"/>
          <w:szCs w:val="24"/>
        </w:rPr>
        <w:t xml:space="preserve"> </w:t>
      </w:r>
      <w:r w:rsidR="000C27A2">
        <w:rPr>
          <w:rFonts w:asciiTheme="minorHAnsi" w:hAnsiTheme="minorHAnsi" w:cs="Times New Roman"/>
          <w:szCs w:val="24"/>
        </w:rPr>
        <w:t xml:space="preserve">encouraged </w:t>
      </w:r>
      <w:r>
        <w:rPr>
          <w:rFonts w:asciiTheme="minorHAnsi" w:hAnsiTheme="minorHAnsi" w:cs="Times New Roman"/>
          <w:szCs w:val="24"/>
        </w:rPr>
        <w:t xml:space="preserve">to put forward ideas for </w:t>
      </w:r>
      <w:r w:rsidR="000C27A2">
        <w:rPr>
          <w:rFonts w:asciiTheme="minorHAnsi" w:hAnsiTheme="minorHAnsi" w:cs="Times New Roman"/>
          <w:szCs w:val="24"/>
        </w:rPr>
        <w:t xml:space="preserve">activities </w:t>
      </w:r>
      <w:r>
        <w:rPr>
          <w:rFonts w:asciiTheme="minorHAnsi" w:hAnsiTheme="minorHAnsi" w:cs="Times New Roman"/>
          <w:szCs w:val="24"/>
        </w:rPr>
        <w:t xml:space="preserve">to be considered as part of this </w:t>
      </w:r>
      <w:r w:rsidR="000C27A2">
        <w:rPr>
          <w:rFonts w:asciiTheme="minorHAnsi" w:hAnsiTheme="minorHAnsi" w:cs="Times New Roman"/>
          <w:szCs w:val="24"/>
        </w:rPr>
        <w:t>discussion paper</w:t>
      </w:r>
      <w:r>
        <w:rPr>
          <w:rFonts w:asciiTheme="minorHAnsi" w:hAnsiTheme="minorHAnsi" w:cs="Times New Roman"/>
          <w:szCs w:val="24"/>
        </w:rPr>
        <w:t xml:space="preserve">.  </w:t>
      </w:r>
    </w:p>
    <w:p w:rsidR="007C5261" w:rsidRDefault="007C5261" w:rsidP="003A0E89">
      <w:pPr>
        <w:spacing w:after="0" w:line="240" w:lineRule="auto"/>
        <w:rPr>
          <w:rFonts w:asciiTheme="minorHAnsi" w:hAnsiTheme="minorHAnsi" w:cs="Times New Roman"/>
          <w:szCs w:val="24"/>
        </w:rPr>
      </w:pPr>
    </w:p>
    <w:p w:rsidR="000C27A2" w:rsidRDefault="000C27A2" w:rsidP="003A0E89">
      <w:pPr>
        <w:spacing w:after="0" w:line="240" w:lineRule="auto"/>
        <w:rPr>
          <w:rFonts w:asciiTheme="minorHAnsi" w:hAnsiTheme="minorHAnsi" w:cs="Times New Roman"/>
          <w:szCs w:val="24"/>
        </w:rPr>
      </w:pPr>
      <w:r>
        <w:rPr>
          <w:rFonts w:asciiTheme="minorHAnsi" w:hAnsiTheme="minorHAnsi" w:cs="Times New Roman"/>
          <w:szCs w:val="24"/>
        </w:rPr>
        <w:t xml:space="preserve">This is not a call for </w:t>
      </w:r>
      <w:r w:rsidR="00B42AC2">
        <w:rPr>
          <w:rFonts w:asciiTheme="minorHAnsi" w:hAnsiTheme="minorHAnsi" w:cs="Times New Roman"/>
          <w:szCs w:val="24"/>
        </w:rPr>
        <w:t xml:space="preserve">proposals for </w:t>
      </w:r>
      <w:r>
        <w:rPr>
          <w:rFonts w:asciiTheme="minorHAnsi" w:hAnsiTheme="minorHAnsi" w:cs="Times New Roman"/>
          <w:szCs w:val="24"/>
        </w:rPr>
        <w:t>funding</w:t>
      </w:r>
      <w:r w:rsidR="00B42AC2">
        <w:rPr>
          <w:rFonts w:asciiTheme="minorHAnsi" w:hAnsiTheme="minorHAnsi" w:cs="Times New Roman"/>
          <w:szCs w:val="24"/>
        </w:rPr>
        <w:t xml:space="preserve"> or trials to commence</w:t>
      </w:r>
      <w:r>
        <w:rPr>
          <w:rFonts w:asciiTheme="minorHAnsi" w:hAnsiTheme="minorHAnsi" w:cs="Times New Roman"/>
          <w:szCs w:val="24"/>
        </w:rPr>
        <w:t>.  The information gained through this consultation process will inform setting of priorities for the next stage.</w:t>
      </w:r>
      <w:r w:rsidR="002C2DC7">
        <w:rPr>
          <w:rFonts w:asciiTheme="minorHAnsi" w:hAnsiTheme="minorHAnsi" w:cs="Times New Roman"/>
          <w:szCs w:val="24"/>
        </w:rPr>
        <w:t xml:space="preserve">  It is not a requirement of any future call for submissions that a respondent must have responded to this call for ideas.</w:t>
      </w:r>
    </w:p>
    <w:p w:rsidR="000C27A2" w:rsidRDefault="000C27A2" w:rsidP="003A0E89">
      <w:pPr>
        <w:spacing w:after="0" w:line="240" w:lineRule="auto"/>
        <w:rPr>
          <w:rFonts w:asciiTheme="minorHAnsi" w:hAnsiTheme="minorHAnsi" w:cs="Times New Roman"/>
          <w:szCs w:val="24"/>
        </w:rPr>
      </w:pPr>
    </w:p>
    <w:p w:rsidR="00370824" w:rsidRDefault="00111405" w:rsidP="00370824">
      <w:pPr>
        <w:spacing w:after="0" w:line="240" w:lineRule="auto"/>
        <w:rPr>
          <w:rFonts w:asciiTheme="minorHAnsi" w:hAnsiTheme="minorHAnsi" w:cs="Times New Roman"/>
          <w:szCs w:val="24"/>
        </w:rPr>
      </w:pPr>
      <w:r>
        <w:rPr>
          <w:rFonts w:asciiTheme="minorHAnsi" w:hAnsiTheme="minorHAnsi" w:cs="Times New Roman"/>
          <w:szCs w:val="24"/>
        </w:rPr>
        <w:t>While t</w:t>
      </w:r>
      <w:r w:rsidR="00370824">
        <w:rPr>
          <w:rFonts w:asciiTheme="minorHAnsi" w:hAnsiTheme="minorHAnsi" w:cs="Times New Roman"/>
          <w:szCs w:val="24"/>
        </w:rPr>
        <w:t xml:space="preserve">his call for ideas is not limited to any particular type of service or intervention, </w:t>
      </w:r>
      <w:r>
        <w:rPr>
          <w:rFonts w:asciiTheme="minorHAnsi" w:hAnsiTheme="minorHAnsi" w:cs="Times New Roman"/>
          <w:szCs w:val="24"/>
        </w:rPr>
        <w:t>a key foc</w:t>
      </w:r>
      <w:r w:rsidR="00370824">
        <w:rPr>
          <w:rFonts w:asciiTheme="minorHAnsi" w:hAnsiTheme="minorHAnsi" w:cs="Times New Roman"/>
          <w:szCs w:val="24"/>
        </w:rPr>
        <w:t>us of the PTP is to fund new activities that will be undertaken through community pharmacy; and the Government has identified interventions that will provide benefit to Aboriginal and Torres Strait Islanders and people living in rural and remote areas as particular focus areas for the PTP.</w:t>
      </w:r>
    </w:p>
    <w:p w:rsidR="00370824" w:rsidRDefault="00370824" w:rsidP="00370824">
      <w:pPr>
        <w:spacing w:after="0" w:line="240" w:lineRule="auto"/>
        <w:rPr>
          <w:rFonts w:asciiTheme="minorHAnsi" w:hAnsiTheme="minorHAnsi" w:cs="Times New Roman"/>
          <w:szCs w:val="24"/>
        </w:rPr>
      </w:pPr>
    </w:p>
    <w:p w:rsidR="004454A8" w:rsidRDefault="00294B43" w:rsidP="00370824">
      <w:pPr>
        <w:spacing w:after="0" w:line="240" w:lineRule="auto"/>
        <w:rPr>
          <w:rFonts w:asciiTheme="minorHAnsi" w:hAnsiTheme="minorHAnsi" w:cs="Times New Roman"/>
          <w:szCs w:val="24"/>
        </w:rPr>
      </w:pPr>
      <w:r>
        <w:rPr>
          <w:rFonts w:asciiTheme="minorHAnsi" w:hAnsiTheme="minorHAnsi" w:cs="Times New Roman"/>
          <w:szCs w:val="24"/>
        </w:rPr>
        <w:t>I</w:t>
      </w:r>
      <w:r w:rsidR="00370824">
        <w:rPr>
          <w:rFonts w:asciiTheme="minorHAnsi" w:hAnsiTheme="minorHAnsi" w:cs="Times New Roman"/>
          <w:szCs w:val="24"/>
        </w:rPr>
        <w:t xml:space="preserve">deas should </w:t>
      </w:r>
      <w:r w:rsidR="00C7053E">
        <w:rPr>
          <w:rFonts w:asciiTheme="minorHAnsi" w:hAnsiTheme="minorHAnsi" w:cs="Times New Roman"/>
          <w:szCs w:val="24"/>
        </w:rPr>
        <w:t>take into account the principles described on page</w:t>
      </w:r>
      <w:r w:rsidR="002C2DC7">
        <w:rPr>
          <w:rFonts w:asciiTheme="minorHAnsi" w:hAnsiTheme="minorHAnsi" w:cs="Times New Roman"/>
          <w:szCs w:val="24"/>
        </w:rPr>
        <w:t>s</w:t>
      </w:r>
      <w:r w:rsidR="00C7053E">
        <w:rPr>
          <w:rFonts w:asciiTheme="minorHAnsi" w:hAnsiTheme="minorHAnsi" w:cs="Times New Roman"/>
          <w:szCs w:val="24"/>
        </w:rPr>
        <w:t xml:space="preserve"> </w:t>
      </w:r>
      <w:r w:rsidR="002C2DC7">
        <w:rPr>
          <w:rFonts w:asciiTheme="minorHAnsi" w:hAnsiTheme="minorHAnsi" w:cs="Times New Roman"/>
          <w:szCs w:val="24"/>
        </w:rPr>
        <w:t>6-7</w:t>
      </w:r>
      <w:r w:rsidR="00C7053E">
        <w:rPr>
          <w:rFonts w:asciiTheme="minorHAnsi" w:hAnsiTheme="minorHAnsi" w:cs="Times New Roman"/>
          <w:szCs w:val="24"/>
        </w:rPr>
        <w:t xml:space="preserve">, and </w:t>
      </w:r>
      <w:r w:rsidR="00370824">
        <w:rPr>
          <w:rFonts w:asciiTheme="minorHAnsi" w:hAnsiTheme="minorHAnsi" w:cs="Times New Roman"/>
          <w:szCs w:val="24"/>
        </w:rPr>
        <w:t>comprise a high level description outlining any evidence of a gap in current services</w:t>
      </w:r>
      <w:r w:rsidR="004454A8">
        <w:rPr>
          <w:rFonts w:asciiTheme="minorHAnsi" w:hAnsiTheme="minorHAnsi" w:cs="Times New Roman"/>
          <w:szCs w:val="24"/>
        </w:rPr>
        <w:t xml:space="preserve"> or issues with consumer health outcomes</w:t>
      </w:r>
      <w:r w:rsidR="00370824">
        <w:rPr>
          <w:rFonts w:asciiTheme="minorHAnsi" w:hAnsiTheme="minorHAnsi" w:cs="Times New Roman"/>
          <w:szCs w:val="24"/>
        </w:rPr>
        <w:t xml:space="preserve">, the proposed service </w:t>
      </w:r>
      <w:r w:rsidR="004454A8">
        <w:rPr>
          <w:rFonts w:asciiTheme="minorHAnsi" w:hAnsiTheme="minorHAnsi" w:cs="Times New Roman"/>
          <w:szCs w:val="24"/>
        </w:rPr>
        <w:t>or intervention, a précis of a</w:t>
      </w:r>
      <w:r w:rsidR="00370824">
        <w:rPr>
          <w:rFonts w:asciiTheme="minorHAnsi" w:hAnsiTheme="minorHAnsi" w:cs="Times New Roman"/>
          <w:szCs w:val="24"/>
        </w:rPr>
        <w:t xml:space="preserve"> trial approach (if useful and relevant) and </w:t>
      </w:r>
      <w:r w:rsidR="004454A8">
        <w:rPr>
          <w:rFonts w:asciiTheme="minorHAnsi" w:hAnsiTheme="minorHAnsi" w:cs="Times New Roman"/>
          <w:szCs w:val="24"/>
        </w:rPr>
        <w:t>any other considerations or limitations that should be considered</w:t>
      </w:r>
      <w:r w:rsidR="00370824">
        <w:rPr>
          <w:rFonts w:asciiTheme="minorHAnsi" w:hAnsiTheme="minorHAnsi" w:cs="Times New Roman"/>
          <w:szCs w:val="24"/>
        </w:rPr>
        <w:t>.</w:t>
      </w:r>
      <w:r w:rsidR="004454A8">
        <w:rPr>
          <w:rFonts w:asciiTheme="minorHAnsi" w:hAnsiTheme="minorHAnsi" w:cs="Times New Roman"/>
          <w:szCs w:val="24"/>
        </w:rPr>
        <w:t xml:space="preserve">  This might include, for example, the relevance of the particular service to a particular geographical location or health sector.</w:t>
      </w:r>
      <w:r w:rsidR="00370824">
        <w:rPr>
          <w:rFonts w:asciiTheme="minorHAnsi" w:hAnsiTheme="minorHAnsi" w:cs="Times New Roman"/>
          <w:szCs w:val="24"/>
        </w:rPr>
        <w:t xml:space="preserve">  </w:t>
      </w:r>
    </w:p>
    <w:p w:rsidR="004454A8" w:rsidRDefault="004454A8" w:rsidP="00370824">
      <w:pPr>
        <w:spacing w:after="0" w:line="240" w:lineRule="auto"/>
        <w:rPr>
          <w:rFonts w:asciiTheme="minorHAnsi" w:hAnsiTheme="minorHAnsi" w:cs="Times New Roman"/>
          <w:szCs w:val="24"/>
        </w:rPr>
      </w:pPr>
    </w:p>
    <w:p w:rsidR="000A34D9" w:rsidRDefault="00294B43" w:rsidP="00370824">
      <w:pPr>
        <w:spacing w:after="0" w:line="240" w:lineRule="auto"/>
        <w:rPr>
          <w:rFonts w:asciiTheme="minorHAnsi" w:hAnsiTheme="minorHAnsi" w:cs="Times New Roman"/>
          <w:szCs w:val="24"/>
        </w:rPr>
      </w:pPr>
      <w:r>
        <w:rPr>
          <w:rFonts w:asciiTheme="minorHAnsi" w:hAnsiTheme="minorHAnsi" w:cs="Times New Roman"/>
          <w:szCs w:val="24"/>
        </w:rPr>
        <w:t>I</w:t>
      </w:r>
      <w:r w:rsidR="00370824">
        <w:rPr>
          <w:rFonts w:asciiTheme="minorHAnsi" w:hAnsiTheme="minorHAnsi" w:cs="Times New Roman"/>
          <w:szCs w:val="24"/>
        </w:rPr>
        <w:t xml:space="preserve">deas should be </w:t>
      </w:r>
      <w:r w:rsidR="00370824" w:rsidRPr="004454A8">
        <w:rPr>
          <w:rFonts w:asciiTheme="minorHAnsi" w:hAnsiTheme="minorHAnsi" w:cs="Times New Roman"/>
          <w:szCs w:val="24"/>
          <w:u w:val="single"/>
        </w:rPr>
        <w:t xml:space="preserve">no more than </w:t>
      </w:r>
      <w:r w:rsidR="0088584E">
        <w:rPr>
          <w:rFonts w:asciiTheme="minorHAnsi" w:hAnsiTheme="minorHAnsi" w:cs="Times New Roman"/>
          <w:szCs w:val="24"/>
          <w:u w:val="single"/>
        </w:rPr>
        <w:t>one</w:t>
      </w:r>
      <w:r w:rsidR="00F03BA0">
        <w:rPr>
          <w:rFonts w:asciiTheme="minorHAnsi" w:hAnsiTheme="minorHAnsi" w:cs="Times New Roman"/>
          <w:szCs w:val="24"/>
          <w:u w:val="single"/>
        </w:rPr>
        <w:t xml:space="preserve"> to two</w:t>
      </w:r>
      <w:r w:rsidR="0088584E">
        <w:rPr>
          <w:rFonts w:asciiTheme="minorHAnsi" w:hAnsiTheme="minorHAnsi" w:cs="Times New Roman"/>
          <w:szCs w:val="24"/>
          <w:u w:val="single"/>
        </w:rPr>
        <w:t xml:space="preserve"> page</w:t>
      </w:r>
      <w:r w:rsidR="00F03BA0">
        <w:rPr>
          <w:rFonts w:asciiTheme="minorHAnsi" w:hAnsiTheme="minorHAnsi" w:cs="Times New Roman"/>
          <w:szCs w:val="24"/>
          <w:u w:val="single"/>
        </w:rPr>
        <w:t>s</w:t>
      </w:r>
      <w:r w:rsidR="00370824" w:rsidRPr="004454A8">
        <w:rPr>
          <w:rFonts w:asciiTheme="minorHAnsi" w:hAnsiTheme="minorHAnsi" w:cs="Times New Roman"/>
          <w:szCs w:val="24"/>
          <w:u w:val="single"/>
        </w:rPr>
        <w:t xml:space="preserve"> in length</w:t>
      </w:r>
      <w:r w:rsidR="00F03BA0">
        <w:rPr>
          <w:rFonts w:asciiTheme="minorHAnsi" w:hAnsiTheme="minorHAnsi" w:cs="Times New Roman"/>
          <w:szCs w:val="24"/>
        </w:rPr>
        <w:t xml:space="preserve"> and can be entered into a pro forma on a consultation page on Citizen Space or attached directly in responding (see below for details of how to access the consultation page)</w:t>
      </w:r>
      <w:r w:rsidR="00370824">
        <w:rPr>
          <w:rFonts w:asciiTheme="minorHAnsi" w:hAnsiTheme="minorHAnsi" w:cs="Times New Roman"/>
          <w:szCs w:val="24"/>
        </w:rPr>
        <w:t>.  Stakeholders are welcome to submit more than one idea</w:t>
      </w:r>
      <w:r w:rsidR="004454A8">
        <w:rPr>
          <w:rFonts w:asciiTheme="minorHAnsi" w:hAnsiTheme="minorHAnsi" w:cs="Times New Roman"/>
          <w:szCs w:val="24"/>
        </w:rPr>
        <w:t xml:space="preserve">, noting that </w:t>
      </w:r>
      <w:r w:rsidR="00C7053E">
        <w:rPr>
          <w:rFonts w:asciiTheme="minorHAnsi" w:hAnsiTheme="minorHAnsi" w:cs="Times New Roman"/>
          <w:szCs w:val="24"/>
        </w:rPr>
        <w:t>this is not a call for funding</w:t>
      </w:r>
      <w:r w:rsidR="00370824">
        <w:rPr>
          <w:rFonts w:asciiTheme="minorHAnsi" w:hAnsiTheme="minorHAnsi" w:cs="Times New Roman"/>
          <w:szCs w:val="24"/>
        </w:rPr>
        <w:t>.</w:t>
      </w:r>
      <w:r w:rsidR="004454A8">
        <w:rPr>
          <w:rFonts w:asciiTheme="minorHAnsi" w:hAnsiTheme="minorHAnsi" w:cs="Times New Roman"/>
          <w:szCs w:val="24"/>
        </w:rPr>
        <w:t xml:space="preserve"> </w:t>
      </w:r>
      <w:r w:rsidR="00F03BA0">
        <w:rPr>
          <w:rFonts w:asciiTheme="minorHAnsi" w:hAnsiTheme="minorHAnsi" w:cs="Times New Roman"/>
          <w:szCs w:val="24"/>
        </w:rPr>
        <w:t xml:space="preserve"> </w:t>
      </w:r>
      <w:r w:rsidR="00F624A4">
        <w:rPr>
          <w:rFonts w:asciiTheme="minorHAnsi" w:hAnsiTheme="minorHAnsi" w:cs="Times New Roman"/>
          <w:szCs w:val="24"/>
        </w:rPr>
        <w:t>Ideas</w:t>
      </w:r>
      <w:r w:rsidR="000A34D9">
        <w:rPr>
          <w:rFonts w:asciiTheme="minorHAnsi" w:hAnsiTheme="minorHAnsi" w:cs="Times New Roman"/>
          <w:szCs w:val="24"/>
        </w:rPr>
        <w:t xml:space="preserve"> should be put forward based on</w:t>
      </w:r>
      <w:r w:rsidR="00F624A4">
        <w:rPr>
          <w:rFonts w:asciiTheme="minorHAnsi" w:hAnsiTheme="minorHAnsi" w:cs="Times New Roman"/>
          <w:szCs w:val="24"/>
        </w:rPr>
        <w:t xml:space="preserve"> sound evidence, or demonstrated knowledge of consumer need</w:t>
      </w:r>
      <w:r w:rsidR="0088584E">
        <w:rPr>
          <w:rFonts w:asciiTheme="minorHAnsi" w:hAnsiTheme="minorHAnsi" w:cs="Times New Roman"/>
          <w:szCs w:val="24"/>
        </w:rPr>
        <w:t>, but do not need to include detailed accompanying data or evidence</w:t>
      </w:r>
      <w:r w:rsidR="00F624A4">
        <w:rPr>
          <w:rFonts w:asciiTheme="minorHAnsi" w:hAnsiTheme="minorHAnsi" w:cs="Times New Roman"/>
          <w:szCs w:val="24"/>
        </w:rPr>
        <w:t xml:space="preserve">. </w:t>
      </w:r>
      <w:r w:rsidR="00F03BA0">
        <w:rPr>
          <w:rFonts w:asciiTheme="minorHAnsi" w:hAnsiTheme="minorHAnsi" w:cs="Times New Roman"/>
          <w:szCs w:val="24"/>
        </w:rPr>
        <w:t xml:space="preserve"> </w:t>
      </w:r>
      <w:r w:rsidR="00F624A4">
        <w:rPr>
          <w:rFonts w:asciiTheme="minorHAnsi" w:hAnsiTheme="minorHAnsi" w:cs="Times New Roman"/>
          <w:szCs w:val="24"/>
        </w:rPr>
        <w:t>O</w:t>
      </w:r>
      <w:r w:rsidR="004454A8">
        <w:rPr>
          <w:rFonts w:asciiTheme="minorHAnsi" w:hAnsiTheme="minorHAnsi" w:cs="Times New Roman"/>
          <w:szCs w:val="24"/>
        </w:rPr>
        <w:t xml:space="preserve">nce themes for health areas and interventions have been considered by the Minister, there will be a formal call for submissions.  The Government is committed to encouraging innovation through the PTP.  </w:t>
      </w:r>
    </w:p>
    <w:p w:rsidR="00294B43" w:rsidRDefault="00294B43" w:rsidP="00370824">
      <w:pPr>
        <w:spacing w:after="0" w:line="240" w:lineRule="auto"/>
        <w:rPr>
          <w:rFonts w:asciiTheme="minorHAnsi" w:hAnsiTheme="minorHAnsi" w:cs="Times New Roman"/>
          <w:szCs w:val="24"/>
        </w:rPr>
      </w:pPr>
    </w:p>
    <w:p w:rsidR="00370824" w:rsidRDefault="00370824" w:rsidP="00370824">
      <w:pPr>
        <w:spacing w:after="0" w:line="240" w:lineRule="auto"/>
        <w:rPr>
          <w:rFonts w:asciiTheme="minorHAnsi" w:hAnsiTheme="minorHAnsi" w:cs="Times New Roman"/>
          <w:szCs w:val="24"/>
        </w:rPr>
      </w:pPr>
      <w:r>
        <w:rPr>
          <w:rFonts w:asciiTheme="minorHAnsi" w:hAnsiTheme="minorHAnsi" w:cs="Times New Roman"/>
          <w:szCs w:val="24"/>
        </w:rPr>
        <w:t>Responses</w:t>
      </w:r>
      <w:r w:rsidR="004454A8">
        <w:rPr>
          <w:rFonts w:asciiTheme="minorHAnsi" w:hAnsiTheme="minorHAnsi" w:cs="Times New Roman"/>
          <w:szCs w:val="24"/>
        </w:rPr>
        <w:t xml:space="preserve"> to this call for ideas</w:t>
      </w:r>
      <w:r w:rsidR="00F03BA0">
        <w:rPr>
          <w:rFonts w:asciiTheme="minorHAnsi" w:hAnsiTheme="minorHAnsi" w:cs="Times New Roman"/>
          <w:szCs w:val="24"/>
        </w:rPr>
        <w:t xml:space="preserve"> should be provided</w:t>
      </w:r>
      <w:r w:rsidR="00946670">
        <w:rPr>
          <w:rFonts w:asciiTheme="minorHAnsi" w:hAnsiTheme="minorHAnsi" w:cs="Times New Roman"/>
          <w:szCs w:val="24"/>
        </w:rPr>
        <w:t xml:space="preserve"> through Citizen Space.  There is a link to the consultation page on the Pharmacy Trial Programme web page:</w:t>
      </w:r>
    </w:p>
    <w:p w:rsidR="00946670" w:rsidRDefault="00946670" w:rsidP="00370824">
      <w:pPr>
        <w:spacing w:after="0" w:line="240" w:lineRule="auto"/>
        <w:rPr>
          <w:rFonts w:asciiTheme="minorHAnsi" w:hAnsiTheme="minorHAnsi" w:cs="Times New Roman"/>
          <w:szCs w:val="24"/>
        </w:rPr>
      </w:pPr>
    </w:p>
    <w:p w:rsidR="00946670" w:rsidRDefault="000C4BEB" w:rsidP="00370824">
      <w:pPr>
        <w:spacing w:after="0" w:line="240" w:lineRule="auto"/>
        <w:rPr>
          <w:rFonts w:asciiTheme="minorHAnsi" w:hAnsiTheme="minorHAnsi" w:cs="Times New Roman"/>
          <w:szCs w:val="24"/>
        </w:rPr>
      </w:pPr>
      <w:hyperlink r:id="rId11" w:history="1">
        <w:r w:rsidR="00F03BA0" w:rsidRPr="00143060">
          <w:rPr>
            <w:rStyle w:val="Hyperlink"/>
            <w:rFonts w:asciiTheme="minorHAnsi" w:hAnsiTheme="minorHAnsi" w:cs="Times New Roman"/>
            <w:szCs w:val="24"/>
          </w:rPr>
          <w:t>http://www.health.gov.au/internet/main/publishing.nsf/Content/pharmacy-trial-programme</w:t>
        </w:r>
      </w:hyperlink>
      <w:r w:rsidR="00F03BA0">
        <w:rPr>
          <w:rFonts w:asciiTheme="minorHAnsi" w:hAnsiTheme="minorHAnsi" w:cs="Times New Roman"/>
          <w:szCs w:val="24"/>
        </w:rPr>
        <w:t xml:space="preserve"> </w:t>
      </w:r>
    </w:p>
    <w:p w:rsidR="00370824" w:rsidRDefault="00370824" w:rsidP="00370824">
      <w:pPr>
        <w:spacing w:after="0" w:line="240" w:lineRule="auto"/>
        <w:rPr>
          <w:rFonts w:asciiTheme="minorHAnsi" w:hAnsiTheme="minorHAnsi" w:cs="Times New Roman"/>
          <w:szCs w:val="24"/>
        </w:rPr>
      </w:pPr>
    </w:p>
    <w:p w:rsidR="00946670" w:rsidRDefault="00946670" w:rsidP="00370824">
      <w:pPr>
        <w:spacing w:after="0" w:line="240" w:lineRule="auto"/>
        <w:rPr>
          <w:rFonts w:asciiTheme="minorHAnsi" w:hAnsiTheme="minorHAnsi" w:cs="Times New Roman"/>
          <w:szCs w:val="24"/>
        </w:rPr>
      </w:pPr>
      <w:r>
        <w:rPr>
          <w:rFonts w:asciiTheme="minorHAnsi" w:hAnsiTheme="minorHAnsi" w:cs="Times New Roman"/>
          <w:szCs w:val="24"/>
        </w:rPr>
        <w:t>The consultation page can also be accessed directly at:</w:t>
      </w:r>
    </w:p>
    <w:p w:rsidR="00946670" w:rsidRDefault="00946670" w:rsidP="001A2E7A">
      <w:pPr>
        <w:spacing w:after="0" w:line="240" w:lineRule="auto"/>
        <w:rPr>
          <w:rFonts w:asciiTheme="minorHAnsi" w:hAnsiTheme="minorHAnsi" w:cs="Times New Roman"/>
          <w:szCs w:val="24"/>
        </w:rPr>
      </w:pPr>
    </w:p>
    <w:p w:rsidR="00946670" w:rsidRPr="00946670" w:rsidRDefault="000C4BEB" w:rsidP="001A2E7A">
      <w:pPr>
        <w:shd w:val="clear" w:color="auto" w:fill="FFFFFF"/>
        <w:spacing w:after="0" w:line="240" w:lineRule="auto"/>
        <w:rPr>
          <w:rFonts w:asciiTheme="minorHAnsi" w:hAnsiTheme="minorHAnsi" w:cs="Times New Roman"/>
          <w:szCs w:val="24"/>
        </w:rPr>
      </w:pPr>
      <w:hyperlink r:id="rId12" w:history="1">
        <w:r w:rsidR="00946670" w:rsidRPr="002C065E">
          <w:rPr>
            <w:rStyle w:val="Hyperlink"/>
            <w:rFonts w:asciiTheme="minorHAnsi" w:hAnsiTheme="minorHAnsi" w:cs="Times New Roman"/>
            <w:szCs w:val="24"/>
          </w:rPr>
          <w:t>https://consultations.health.gov.au/pharmaceutical-access-branch/ptp</w:t>
        </w:r>
      </w:hyperlink>
      <w:r w:rsidR="00946670" w:rsidRPr="00946670">
        <w:rPr>
          <w:rFonts w:asciiTheme="minorHAnsi" w:hAnsiTheme="minorHAnsi" w:cs="Times New Roman"/>
          <w:szCs w:val="24"/>
        </w:rPr>
        <w:t> </w:t>
      </w:r>
    </w:p>
    <w:p w:rsidR="001A2E7A" w:rsidRDefault="001A2E7A" w:rsidP="001A2E7A">
      <w:pPr>
        <w:spacing w:after="0" w:line="240" w:lineRule="auto"/>
        <w:rPr>
          <w:rFonts w:asciiTheme="minorHAnsi" w:hAnsiTheme="minorHAnsi" w:cs="Times New Roman"/>
          <w:szCs w:val="24"/>
          <w:highlight w:val="yellow"/>
        </w:rPr>
      </w:pPr>
    </w:p>
    <w:p w:rsidR="00370824" w:rsidRPr="00370824" w:rsidRDefault="00D4527A" w:rsidP="00370824">
      <w:pPr>
        <w:spacing w:after="0" w:line="240" w:lineRule="auto"/>
        <w:rPr>
          <w:rFonts w:asciiTheme="minorHAnsi" w:hAnsiTheme="minorHAnsi" w:cs="Times New Roman"/>
          <w:szCs w:val="24"/>
        </w:rPr>
      </w:pPr>
      <w:r w:rsidRPr="00F03BA0">
        <w:rPr>
          <w:rFonts w:asciiTheme="minorHAnsi" w:hAnsiTheme="minorHAnsi" w:cs="Times New Roman"/>
          <w:szCs w:val="24"/>
        </w:rPr>
        <w:t>Responses to this ca</w:t>
      </w:r>
      <w:r w:rsidR="00F03BA0" w:rsidRPr="00F03BA0">
        <w:rPr>
          <w:rFonts w:asciiTheme="minorHAnsi" w:hAnsiTheme="minorHAnsi" w:cs="Times New Roman"/>
          <w:szCs w:val="24"/>
        </w:rPr>
        <w:t xml:space="preserve">ll for ideas are requested by </w:t>
      </w:r>
      <w:r w:rsidR="00B1501E" w:rsidRPr="00B1501E">
        <w:rPr>
          <w:rFonts w:asciiTheme="minorHAnsi" w:hAnsiTheme="minorHAnsi" w:cs="Times New Roman"/>
          <w:b/>
          <w:szCs w:val="24"/>
          <w:u w:val="single"/>
        </w:rPr>
        <w:t xml:space="preserve">Friday </w:t>
      </w:r>
      <w:r w:rsidR="00827D96" w:rsidRPr="00827D96">
        <w:rPr>
          <w:rFonts w:asciiTheme="minorHAnsi" w:hAnsiTheme="minorHAnsi" w:cs="Times New Roman"/>
          <w:b/>
          <w:szCs w:val="24"/>
          <w:u w:val="single"/>
        </w:rPr>
        <w:t>29</w:t>
      </w:r>
      <w:r w:rsidRPr="00F03BA0">
        <w:rPr>
          <w:rFonts w:asciiTheme="minorHAnsi" w:hAnsiTheme="minorHAnsi" w:cs="Times New Roman"/>
          <w:b/>
          <w:szCs w:val="24"/>
          <w:u w:val="single"/>
        </w:rPr>
        <w:t xml:space="preserve"> April 2016</w:t>
      </w:r>
      <w:r w:rsidRPr="00F03BA0">
        <w:rPr>
          <w:rFonts w:asciiTheme="minorHAnsi" w:hAnsiTheme="minorHAnsi" w:cs="Times New Roman"/>
          <w:szCs w:val="24"/>
        </w:rPr>
        <w:t>.</w:t>
      </w:r>
    </w:p>
    <w:p w:rsidR="00866BC2" w:rsidRDefault="00866BC2">
      <w:pPr>
        <w:rPr>
          <w:rFonts w:asciiTheme="majorHAnsi" w:eastAsiaTheme="majorEastAsia" w:hAnsiTheme="majorHAnsi" w:cstheme="majorBidi"/>
          <w:b/>
          <w:bCs/>
          <w:color w:val="4F81BD" w:themeColor="accent1"/>
          <w:sz w:val="26"/>
          <w:szCs w:val="26"/>
        </w:rPr>
      </w:pPr>
      <w:r>
        <w:br w:type="page"/>
      </w:r>
    </w:p>
    <w:p w:rsidR="00956C6B" w:rsidRPr="00366FC0" w:rsidRDefault="00366FC0" w:rsidP="00F267F4">
      <w:pPr>
        <w:pStyle w:val="Heading2"/>
      </w:pPr>
      <w:bookmarkStart w:id="18" w:name="_Toc445899315"/>
      <w:r w:rsidRPr="00366FC0">
        <w:t>APPENDIX A</w:t>
      </w:r>
      <w:r>
        <w:tab/>
        <w:t xml:space="preserve">Continuing </w:t>
      </w:r>
      <w:r w:rsidR="00D64C5C">
        <w:t>program</w:t>
      </w:r>
      <w:r>
        <w:t>s</w:t>
      </w:r>
      <w:bookmarkEnd w:id="13"/>
      <w:bookmarkEnd w:id="18"/>
    </w:p>
    <w:p w:rsidR="00366FC0" w:rsidRPr="000951A0" w:rsidRDefault="000951A0" w:rsidP="000951A0">
      <w:pPr>
        <w:spacing w:before="120" w:after="0"/>
        <w:rPr>
          <w:rFonts w:asciiTheme="minorHAnsi" w:hAnsiTheme="minorHAnsi" w:cs="Times New Roman"/>
          <w:i/>
          <w:szCs w:val="24"/>
        </w:rPr>
      </w:pPr>
      <w:r>
        <w:rPr>
          <w:rFonts w:asciiTheme="minorHAnsi" w:hAnsiTheme="minorHAnsi" w:cs="Times New Roman"/>
          <w:i/>
          <w:szCs w:val="24"/>
        </w:rPr>
        <w:t>NOTE</w:t>
      </w:r>
      <w:r w:rsidRPr="000951A0">
        <w:rPr>
          <w:rFonts w:asciiTheme="minorHAnsi" w:hAnsiTheme="minorHAnsi" w:cs="Times New Roman"/>
          <w:i/>
          <w:szCs w:val="24"/>
        </w:rPr>
        <w:t>: there are several programs that aim to improve access to medicines that are not listed here as they are not funded through the Sixth Community Pharmacy Agreement.  These include the Pharmaceutical Benefits Scheme Co-payment Measure, and the Remote Area Aboriginal Health Services Program.</w:t>
      </w:r>
    </w:p>
    <w:p w:rsidR="000951A0" w:rsidRDefault="000951A0" w:rsidP="00956C6B">
      <w:pPr>
        <w:spacing w:before="120" w:after="0"/>
        <w:ind w:left="709" w:hanging="567"/>
        <w:rPr>
          <w:rFonts w:asciiTheme="minorHAnsi" w:hAnsiTheme="minorHAnsi" w:cs="Times New Roman"/>
          <w:szCs w:val="24"/>
        </w:rPr>
      </w:pPr>
    </w:p>
    <w:p w:rsidR="00366FC0" w:rsidRDefault="00366FC0" w:rsidP="00366FC0">
      <w:pPr>
        <w:spacing w:after="0"/>
        <w:rPr>
          <w:rFonts w:asciiTheme="minorHAnsi" w:hAnsiTheme="minorHAnsi" w:cs="Times New Roman"/>
          <w:szCs w:val="24"/>
          <w:u w:val="single"/>
        </w:rPr>
      </w:pPr>
      <w:r>
        <w:rPr>
          <w:rFonts w:asciiTheme="minorHAnsi" w:hAnsiTheme="minorHAnsi" w:cs="Times New Roman"/>
          <w:szCs w:val="24"/>
          <w:u w:val="single"/>
        </w:rPr>
        <w:t>Medication Management Services</w:t>
      </w:r>
    </w:p>
    <w:p w:rsidR="00366FC0" w:rsidRPr="00A378A2" w:rsidRDefault="00366FC0" w:rsidP="00366FC0">
      <w:pPr>
        <w:pStyle w:val="ListParagraph"/>
        <w:numPr>
          <w:ilvl w:val="0"/>
          <w:numId w:val="1"/>
        </w:numPr>
        <w:spacing w:before="120" w:after="0"/>
        <w:ind w:left="714" w:hanging="357"/>
        <w:rPr>
          <w:rFonts w:asciiTheme="minorHAnsi" w:hAnsiTheme="minorHAnsi" w:cs="Times New Roman"/>
          <w:szCs w:val="24"/>
        </w:rPr>
      </w:pPr>
      <w:r w:rsidRPr="00A378A2">
        <w:rPr>
          <w:rFonts w:asciiTheme="minorHAnsi" w:hAnsiTheme="minorHAnsi" w:cs="Times New Roman"/>
          <w:b/>
          <w:szCs w:val="24"/>
        </w:rPr>
        <w:t>Home Medicines Reviews (HMR)</w:t>
      </w:r>
      <w:r w:rsidRPr="00A378A2">
        <w:rPr>
          <w:rFonts w:asciiTheme="minorHAnsi" w:hAnsiTheme="minorHAnsi" w:cs="Times New Roman"/>
          <w:szCs w:val="24"/>
        </w:rPr>
        <w:t xml:space="preserve">, </w:t>
      </w:r>
      <w:r>
        <w:rPr>
          <w:rFonts w:asciiTheme="minorHAnsi" w:hAnsiTheme="minorHAnsi" w:cs="Times New Roman"/>
          <w:szCs w:val="24"/>
        </w:rPr>
        <w:t>which is a GP-initiated service involving</w:t>
      </w:r>
      <w:r w:rsidRPr="00A378A2">
        <w:rPr>
          <w:rFonts w:asciiTheme="minorHAnsi" w:hAnsiTheme="minorHAnsi" w:cs="Times New Roman"/>
          <w:szCs w:val="24"/>
        </w:rPr>
        <w:t xml:space="preserve"> a detailed appraisal of </w:t>
      </w:r>
      <w:r>
        <w:rPr>
          <w:rFonts w:asciiTheme="minorHAnsi" w:hAnsiTheme="minorHAnsi" w:cs="Times New Roman"/>
          <w:szCs w:val="24"/>
        </w:rPr>
        <w:t>a</w:t>
      </w:r>
      <w:r w:rsidRPr="00A378A2">
        <w:rPr>
          <w:rFonts w:asciiTheme="minorHAnsi" w:hAnsiTheme="minorHAnsi" w:cs="Times New Roman"/>
          <w:szCs w:val="24"/>
        </w:rPr>
        <w:t xml:space="preserve"> patient's medications</w:t>
      </w:r>
      <w:r w:rsidR="00DB2354">
        <w:rPr>
          <w:rFonts w:asciiTheme="minorHAnsi" w:hAnsiTheme="minorHAnsi" w:cs="Times New Roman"/>
          <w:szCs w:val="24"/>
        </w:rPr>
        <w:t xml:space="preserve"> by a pharmacist</w:t>
      </w:r>
      <w:r w:rsidRPr="00A378A2">
        <w:rPr>
          <w:rFonts w:asciiTheme="minorHAnsi" w:hAnsiTheme="minorHAnsi" w:cs="Times New Roman"/>
          <w:szCs w:val="24"/>
        </w:rPr>
        <w:t xml:space="preserve"> in the home setting (due to the home-based nature of the service, travel is involved)</w:t>
      </w:r>
      <w:r>
        <w:rPr>
          <w:rFonts w:asciiTheme="minorHAnsi" w:hAnsiTheme="minorHAnsi" w:cs="Times New Roman"/>
          <w:szCs w:val="24"/>
        </w:rPr>
        <w:t>.</w:t>
      </w:r>
    </w:p>
    <w:p w:rsidR="00366FC0" w:rsidRPr="00A378A2" w:rsidRDefault="00366FC0" w:rsidP="00366FC0">
      <w:pPr>
        <w:pStyle w:val="ListParagraph"/>
        <w:numPr>
          <w:ilvl w:val="0"/>
          <w:numId w:val="1"/>
        </w:numPr>
        <w:spacing w:after="0"/>
        <w:rPr>
          <w:rFonts w:asciiTheme="minorHAnsi" w:hAnsiTheme="minorHAnsi" w:cs="Times New Roman"/>
          <w:szCs w:val="24"/>
        </w:rPr>
      </w:pPr>
      <w:r w:rsidRPr="00A378A2">
        <w:rPr>
          <w:rFonts w:asciiTheme="minorHAnsi" w:hAnsiTheme="minorHAnsi" w:cs="Times New Roman"/>
          <w:b/>
          <w:szCs w:val="24"/>
        </w:rPr>
        <w:t>Residential Medication Management Reviews (RMMR)</w:t>
      </w:r>
      <w:r w:rsidRPr="00A378A2">
        <w:rPr>
          <w:rFonts w:asciiTheme="minorHAnsi" w:hAnsiTheme="minorHAnsi" w:cs="Times New Roman"/>
          <w:szCs w:val="24"/>
        </w:rPr>
        <w:t xml:space="preserve">, </w:t>
      </w:r>
      <w:r>
        <w:rPr>
          <w:rFonts w:asciiTheme="minorHAnsi" w:hAnsiTheme="minorHAnsi" w:cs="Times New Roman"/>
          <w:szCs w:val="24"/>
        </w:rPr>
        <w:t>which is a GP-initiated service involving</w:t>
      </w:r>
      <w:r w:rsidRPr="00A378A2">
        <w:rPr>
          <w:rFonts w:asciiTheme="minorHAnsi" w:hAnsiTheme="minorHAnsi" w:cs="Times New Roman"/>
          <w:szCs w:val="24"/>
        </w:rPr>
        <w:t xml:space="preserve"> a similar review to the HMR but in an aged care facility for permanent residents</w:t>
      </w:r>
      <w:r>
        <w:rPr>
          <w:rFonts w:asciiTheme="minorHAnsi" w:hAnsiTheme="minorHAnsi" w:cs="Times New Roman"/>
          <w:szCs w:val="24"/>
        </w:rPr>
        <w:t>.</w:t>
      </w:r>
    </w:p>
    <w:p w:rsidR="00366FC0" w:rsidRPr="00A378A2" w:rsidRDefault="00B35C21" w:rsidP="00366FC0">
      <w:pPr>
        <w:pStyle w:val="ListParagraph"/>
        <w:numPr>
          <w:ilvl w:val="0"/>
          <w:numId w:val="1"/>
        </w:numPr>
        <w:spacing w:after="0"/>
        <w:rPr>
          <w:rFonts w:asciiTheme="minorHAnsi" w:hAnsiTheme="minorHAnsi" w:cs="Times New Roman"/>
          <w:szCs w:val="24"/>
        </w:rPr>
      </w:pPr>
      <w:r w:rsidRPr="00A378A2">
        <w:rPr>
          <w:rFonts w:asciiTheme="minorHAnsi" w:hAnsiTheme="minorHAnsi" w:cs="Times New Roman"/>
          <w:b/>
          <w:szCs w:val="24"/>
        </w:rPr>
        <w:t>Quality Use of Medicines services</w:t>
      </w:r>
      <w:r w:rsidR="00366FC0" w:rsidRPr="00A378A2">
        <w:rPr>
          <w:rFonts w:asciiTheme="minorHAnsi" w:hAnsiTheme="minorHAnsi" w:cs="Times New Roman"/>
          <w:szCs w:val="24"/>
        </w:rPr>
        <w:t>, which are funded under the RMMR program and provide for facility-wide education services targeted towards broad improvements in the quality of how medications are managed</w:t>
      </w:r>
      <w:r w:rsidR="00366FC0">
        <w:rPr>
          <w:rFonts w:asciiTheme="minorHAnsi" w:hAnsiTheme="minorHAnsi" w:cs="Times New Roman"/>
          <w:szCs w:val="24"/>
        </w:rPr>
        <w:t>.</w:t>
      </w:r>
    </w:p>
    <w:p w:rsidR="00366FC0" w:rsidRPr="00A378A2" w:rsidRDefault="00366FC0" w:rsidP="00366FC0">
      <w:pPr>
        <w:pStyle w:val="ListParagraph"/>
        <w:numPr>
          <w:ilvl w:val="0"/>
          <w:numId w:val="1"/>
        </w:numPr>
        <w:spacing w:after="0"/>
        <w:rPr>
          <w:rFonts w:asciiTheme="minorHAnsi" w:hAnsiTheme="minorHAnsi" w:cs="Times New Roman"/>
          <w:szCs w:val="24"/>
        </w:rPr>
      </w:pPr>
      <w:r w:rsidRPr="00A378A2">
        <w:rPr>
          <w:rFonts w:asciiTheme="minorHAnsi" w:hAnsiTheme="minorHAnsi" w:cs="Times New Roman"/>
          <w:b/>
          <w:szCs w:val="24"/>
        </w:rPr>
        <w:t>MedsChecks</w:t>
      </w:r>
      <w:r w:rsidRPr="00A378A2">
        <w:rPr>
          <w:rFonts w:asciiTheme="minorHAnsi" w:hAnsiTheme="minorHAnsi" w:cs="Times New Roman"/>
          <w:szCs w:val="24"/>
        </w:rPr>
        <w:t xml:space="preserve">, which involve an in-pharmacy review of </w:t>
      </w:r>
      <w:r>
        <w:rPr>
          <w:rFonts w:asciiTheme="minorHAnsi" w:hAnsiTheme="minorHAnsi" w:cs="Times New Roman"/>
          <w:szCs w:val="24"/>
        </w:rPr>
        <w:t>a</w:t>
      </w:r>
      <w:r w:rsidRPr="00A378A2">
        <w:rPr>
          <w:rFonts w:asciiTheme="minorHAnsi" w:hAnsiTheme="minorHAnsi" w:cs="Times New Roman"/>
          <w:szCs w:val="24"/>
        </w:rPr>
        <w:t xml:space="preserve"> patient's medications</w:t>
      </w:r>
      <w:r>
        <w:rPr>
          <w:rFonts w:asciiTheme="minorHAnsi" w:hAnsiTheme="minorHAnsi" w:cs="Times New Roman"/>
          <w:szCs w:val="24"/>
        </w:rPr>
        <w:t xml:space="preserve"> with a focus on improving medication adherence and are expected to be of</w:t>
      </w:r>
      <w:r w:rsidRPr="00A378A2">
        <w:rPr>
          <w:rFonts w:asciiTheme="minorHAnsi" w:hAnsiTheme="minorHAnsi" w:cs="Times New Roman"/>
          <w:szCs w:val="24"/>
        </w:rPr>
        <w:t xml:space="preserve"> 15-30 minute</w:t>
      </w:r>
      <w:r>
        <w:rPr>
          <w:rFonts w:asciiTheme="minorHAnsi" w:hAnsiTheme="minorHAnsi" w:cs="Times New Roman"/>
          <w:szCs w:val="24"/>
        </w:rPr>
        <w:t>s in</w:t>
      </w:r>
      <w:r w:rsidRPr="00A378A2">
        <w:rPr>
          <w:rFonts w:asciiTheme="minorHAnsi" w:hAnsiTheme="minorHAnsi" w:cs="Times New Roman"/>
          <w:szCs w:val="24"/>
        </w:rPr>
        <w:t xml:space="preserve"> duration</w:t>
      </w:r>
      <w:r>
        <w:rPr>
          <w:rFonts w:asciiTheme="minorHAnsi" w:hAnsiTheme="minorHAnsi" w:cs="Times New Roman"/>
          <w:szCs w:val="24"/>
        </w:rPr>
        <w:t>.</w:t>
      </w:r>
    </w:p>
    <w:p w:rsidR="00366FC0" w:rsidRDefault="00366FC0" w:rsidP="00366FC0">
      <w:pPr>
        <w:pStyle w:val="ListParagraph"/>
        <w:numPr>
          <w:ilvl w:val="0"/>
          <w:numId w:val="1"/>
        </w:numPr>
        <w:spacing w:after="0"/>
        <w:rPr>
          <w:rFonts w:asciiTheme="minorHAnsi" w:hAnsiTheme="minorHAnsi" w:cs="Times New Roman"/>
          <w:szCs w:val="24"/>
        </w:rPr>
      </w:pPr>
      <w:r w:rsidRPr="00A378A2">
        <w:rPr>
          <w:rFonts w:asciiTheme="minorHAnsi" w:hAnsiTheme="minorHAnsi" w:cs="Times New Roman"/>
          <w:b/>
          <w:szCs w:val="24"/>
        </w:rPr>
        <w:t>Diabetes MedsChecks</w:t>
      </w:r>
      <w:r w:rsidRPr="00A378A2">
        <w:rPr>
          <w:rFonts w:asciiTheme="minorHAnsi" w:hAnsiTheme="minorHAnsi" w:cs="Times New Roman"/>
          <w:szCs w:val="24"/>
        </w:rPr>
        <w:t xml:space="preserve">, </w:t>
      </w:r>
      <w:r>
        <w:rPr>
          <w:rFonts w:asciiTheme="minorHAnsi" w:hAnsiTheme="minorHAnsi" w:cs="Times New Roman"/>
          <w:szCs w:val="24"/>
        </w:rPr>
        <w:t xml:space="preserve">which involve </w:t>
      </w:r>
      <w:r w:rsidRPr="00A378A2">
        <w:rPr>
          <w:rFonts w:asciiTheme="minorHAnsi" w:hAnsiTheme="minorHAnsi" w:cs="Times New Roman"/>
          <w:szCs w:val="24"/>
        </w:rPr>
        <w:t xml:space="preserve">an extended version of a MedsCheck service, specifically targeted </w:t>
      </w:r>
      <w:r>
        <w:rPr>
          <w:rFonts w:asciiTheme="minorHAnsi" w:hAnsiTheme="minorHAnsi" w:cs="Times New Roman"/>
          <w:szCs w:val="24"/>
        </w:rPr>
        <w:t>at</w:t>
      </w:r>
      <w:r w:rsidRPr="00A378A2">
        <w:rPr>
          <w:rFonts w:asciiTheme="minorHAnsi" w:hAnsiTheme="minorHAnsi" w:cs="Times New Roman"/>
          <w:szCs w:val="24"/>
        </w:rPr>
        <w:t xml:space="preserve"> </w:t>
      </w:r>
      <w:r>
        <w:rPr>
          <w:rFonts w:asciiTheme="minorHAnsi" w:hAnsiTheme="minorHAnsi" w:cs="Times New Roman"/>
          <w:szCs w:val="24"/>
        </w:rPr>
        <w:t>patients</w:t>
      </w:r>
      <w:r w:rsidRPr="00A378A2">
        <w:rPr>
          <w:rFonts w:asciiTheme="minorHAnsi" w:hAnsiTheme="minorHAnsi" w:cs="Times New Roman"/>
          <w:szCs w:val="24"/>
        </w:rPr>
        <w:t xml:space="preserve"> with recently diagnosed or poorly controlled Type 2 diabetes</w:t>
      </w:r>
      <w:r>
        <w:rPr>
          <w:rFonts w:asciiTheme="minorHAnsi" w:hAnsiTheme="minorHAnsi" w:cs="Times New Roman"/>
          <w:szCs w:val="24"/>
        </w:rPr>
        <w:t>.</w:t>
      </w:r>
    </w:p>
    <w:p w:rsidR="00366FC0" w:rsidRPr="00FD5245" w:rsidRDefault="00366FC0" w:rsidP="00366FC0"/>
    <w:p w:rsidR="00366FC0" w:rsidRPr="00366FC0" w:rsidRDefault="00366FC0" w:rsidP="00366FC0">
      <w:pPr>
        <w:spacing w:after="0"/>
        <w:rPr>
          <w:rFonts w:asciiTheme="minorHAnsi" w:hAnsiTheme="minorHAnsi" w:cs="Times New Roman"/>
          <w:szCs w:val="24"/>
          <w:u w:val="single"/>
        </w:rPr>
      </w:pPr>
      <w:r w:rsidRPr="00366FC0">
        <w:rPr>
          <w:rFonts w:asciiTheme="minorHAnsi" w:hAnsiTheme="minorHAnsi" w:cs="Times New Roman"/>
          <w:szCs w:val="24"/>
          <w:u w:val="single"/>
        </w:rPr>
        <w:t xml:space="preserve">Pharmacy Practice Incentive </w:t>
      </w:r>
      <w:r w:rsidR="00D64C5C">
        <w:rPr>
          <w:rFonts w:asciiTheme="minorHAnsi" w:hAnsiTheme="minorHAnsi" w:cs="Times New Roman"/>
          <w:szCs w:val="24"/>
          <w:u w:val="single"/>
        </w:rPr>
        <w:t>Program</w:t>
      </w:r>
      <w:r w:rsidRPr="00366FC0">
        <w:rPr>
          <w:rFonts w:asciiTheme="minorHAnsi" w:hAnsiTheme="minorHAnsi" w:cs="Times New Roman"/>
          <w:szCs w:val="24"/>
          <w:u w:val="single"/>
        </w:rPr>
        <w:t xml:space="preserve"> </w:t>
      </w:r>
    </w:p>
    <w:p w:rsidR="00366FC0" w:rsidRDefault="00366FC0" w:rsidP="00366FC0">
      <w:pPr>
        <w:spacing w:after="0"/>
        <w:rPr>
          <w:rFonts w:asciiTheme="minorHAnsi" w:hAnsiTheme="minorHAnsi" w:cs="Times New Roman"/>
          <w:szCs w:val="24"/>
        </w:rPr>
      </w:pPr>
      <w:r>
        <w:rPr>
          <w:rFonts w:asciiTheme="minorHAnsi" w:hAnsiTheme="minorHAnsi" w:cs="Times New Roman"/>
          <w:szCs w:val="24"/>
        </w:rPr>
        <w:t xml:space="preserve">Three components of this </w:t>
      </w:r>
      <w:r w:rsidR="00D64C5C">
        <w:rPr>
          <w:rFonts w:asciiTheme="minorHAnsi" w:hAnsiTheme="minorHAnsi" w:cs="Times New Roman"/>
          <w:szCs w:val="24"/>
        </w:rPr>
        <w:t>program</w:t>
      </w:r>
      <w:r>
        <w:rPr>
          <w:rFonts w:asciiTheme="minorHAnsi" w:hAnsiTheme="minorHAnsi" w:cs="Times New Roman"/>
          <w:szCs w:val="24"/>
        </w:rPr>
        <w:t xml:space="preserve"> are continuing under the Sixth Agreement.  Payments are made to eligible</w:t>
      </w:r>
      <w:r>
        <w:rPr>
          <w:rStyle w:val="FootnoteReference"/>
          <w:rFonts w:asciiTheme="minorHAnsi" w:hAnsiTheme="minorHAnsi" w:cs="Times New Roman"/>
          <w:szCs w:val="24"/>
        </w:rPr>
        <w:footnoteReference w:id="1"/>
      </w:r>
      <w:r>
        <w:rPr>
          <w:rFonts w:asciiTheme="minorHAnsi" w:hAnsiTheme="minorHAnsi" w:cs="Times New Roman"/>
          <w:szCs w:val="24"/>
        </w:rPr>
        <w:t xml:space="preserve"> pharmacies and funding aims to support the quality delivery of services that improve health outcomes for patients:</w:t>
      </w:r>
    </w:p>
    <w:p w:rsidR="00366FC0" w:rsidRPr="007A283B" w:rsidRDefault="00366FC0" w:rsidP="00366FC0">
      <w:pPr>
        <w:pStyle w:val="ListParagraph"/>
        <w:numPr>
          <w:ilvl w:val="0"/>
          <w:numId w:val="2"/>
        </w:numPr>
        <w:spacing w:after="0"/>
        <w:rPr>
          <w:rFonts w:asciiTheme="minorHAnsi" w:hAnsiTheme="minorHAnsi" w:cs="Times New Roman"/>
          <w:szCs w:val="24"/>
        </w:rPr>
      </w:pPr>
      <w:r w:rsidRPr="007A283B">
        <w:rPr>
          <w:rFonts w:asciiTheme="minorHAnsi" w:hAnsiTheme="minorHAnsi" w:cs="Times New Roman"/>
          <w:b/>
          <w:szCs w:val="24"/>
        </w:rPr>
        <w:t>Clinical Interventions</w:t>
      </w:r>
      <w:r w:rsidRPr="005E3847">
        <w:rPr>
          <w:rFonts w:asciiTheme="minorHAnsi" w:hAnsiTheme="minorHAnsi" w:cs="Times New Roman"/>
          <w:szCs w:val="24"/>
        </w:rPr>
        <w:t>,</w:t>
      </w:r>
      <w:r w:rsidRPr="007A283B">
        <w:rPr>
          <w:rFonts w:asciiTheme="minorHAnsi" w:hAnsiTheme="minorHAnsi" w:cs="Times New Roman"/>
          <w:szCs w:val="24"/>
        </w:rPr>
        <w:t xml:space="preserve"> </w:t>
      </w:r>
      <w:r>
        <w:rPr>
          <w:rFonts w:asciiTheme="minorHAnsi" w:hAnsiTheme="minorHAnsi" w:cs="Times New Roman"/>
          <w:szCs w:val="24"/>
        </w:rPr>
        <w:t xml:space="preserve">provide periodic payments for </w:t>
      </w:r>
      <w:r w:rsidRPr="007A283B">
        <w:rPr>
          <w:rFonts w:asciiTheme="minorHAnsi" w:hAnsiTheme="minorHAnsi" w:cs="Times New Roman"/>
          <w:szCs w:val="24"/>
        </w:rPr>
        <w:t xml:space="preserve">a service involving a pharmacist identifying and helping a consumer about a drug related problem; </w:t>
      </w:r>
    </w:p>
    <w:p w:rsidR="00366FC0" w:rsidRPr="007A283B" w:rsidRDefault="00366FC0" w:rsidP="00366FC0">
      <w:pPr>
        <w:pStyle w:val="ListParagraph"/>
        <w:numPr>
          <w:ilvl w:val="0"/>
          <w:numId w:val="2"/>
        </w:numPr>
        <w:spacing w:after="0"/>
        <w:rPr>
          <w:rFonts w:asciiTheme="minorHAnsi" w:hAnsiTheme="minorHAnsi" w:cs="Times New Roman"/>
          <w:szCs w:val="24"/>
        </w:rPr>
      </w:pPr>
      <w:r w:rsidRPr="007A283B">
        <w:rPr>
          <w:rFonts w:asciiTheme="minorHAnsi" w:hAnsiTheme="minorHAnsi" w:cs="Times New Roman"/>
          <w:b/>
          <w:szCs w:val="24"/>
        </w:rPr>
        <w:t>Dose Administration Aids</w:t>
      </w:r>
      <w:r w:rsidRPr="005E3847">
        <w:rPr>
          <w:rFonts w:asciiTheme="minorHAnsi" w:hAnsiTheme="minorHAnsi" w:cs="Times New Roman"/>
          <w:szCs w:val="24"/>
        </w:rPr>
        <w:t>, p</w:t>
      </w:r>
      <w:r w:rsidRPr="005144C3">
        <w:rPr>
          <w:rFonts w:asciiTheme="minorHAnsi" w:hAnsiTheme="minorHAnsi" w:cs="Times New Roman"/>
          <w:szCs w:val="24"/>
        </w:rPr>
        <w:t>rovide</w:t>
      </w:r>
      <w:r>
        <w:rPr>
          <w:rFonts w:asciiTheme="minorHAnsi" w:hAnsiTheme="minorHAnsi" w:cs="Times New Roman"/>
          <w:b/>
          <w:szCs w:val="24"/>
        </w:rPr>
        <w:t xml:space="preserve"> </w:t>
      </w:r>
      <w:r>
        <w:rPr>
          <w:rFonts w:asciiTheme="minorHAnsi" w:hAnsiTheme="minorHAnsi" w:cs="Times New Roman"/>
          <w:szCs w:val="24"/>
        </w:rPr>
        <w:t>periodic payments for the delivery of</w:t>
      </w:r>
      <w:r w:rsidRPr="007A283B">
        <w:rPr>
          <w:rFonts w:asciiTheme="minorHAnsi" w:hAnsiTheme="minorHAnsi" w:cs="Times New Roman"/>
          <w:szCs w:val="24"/>
        </w:rPr>
        <w:t xml:space="preserve"> sealed, tamper-evident device</w:t>
      </w:r>
      <w:r>
        <w:rPr>
          <w:rFonts w:asciiTheme="minorHAnsi" w:hAnsiTheme="minorHAnsi" w:cs="Times New Roman"/>
          <w:szCs w:val="24"/>
        </w:rPr>
        <w:t>s</w:t>
      </w:r>
      <w:r w:rsidRPr="007A283B">
        <w:rPr>
          <w:rFonts w:asciiTheme="minorHAnsi" w:hAnsiTheme="minorHAnsi" w:cs="Times New Roman"/>
          <w:szCs w:val="24"/>
        </w:rPr>
        <w:t xml:space="preserve"> that allow individual medicine doses to be organised according to a patient’s prescribed dosing schedule, with the aim of improving medicine adherence; and</w:t>
      </w:r>
    </w:p>
    <w:p w:rsidR="00366FC0" w:rsidRPr="007A283B" w:rsidRDefault="00366FC0" w:rsidP="00366FC0">
      <w:pPr>
        <w:pStyle w:val="ListParagraph"/>
        <w:numPr>
          <w:ilvl w:val="0"/>
          <w:numId w:val="2"/>
        </w:numPr>
        <w:spacing w:after="0"/>
        <w:rPr>
          <w:rFonts w:asciiTheme="minorHAnsi" w:hAnsiTheme="minorHAnsi" w:cs="Times New Roman"/>
          <w:szCs w:val="24"/>
        </w:rPr>
      </w:pPr>
      <w:r w:rsidRPr="007A283B">
        <w:rPr>
          <w:rFonts w:asciiTheme="minorHAnsi" w:hAnsiTheme="minorHAnsi" w:cs="Times New Roman"/>
          <w:b/>
          <w:szCs w:val="24"/>
        </w:rPr>
        <w:t>Staged Supply</w:t>
      </w:r>
      <w:r w:rsidRPr="005E3847">
        <w:rPr>
          <w:rFonts w:asciiTheme="minorHAnsi" w:hAnsiTheme="minorHAnsi" w:cs="Times New Roman"/>
          <w:szCs w:val="24"/>
        </w:rPr>
        <w:t>, p</w:t>
      </w:r>
      <w:r>
        <w:rPr>
          <w:rFonts w:asciiTheme="minorHAnsi" w:hAnsiTheme="minorHAnsi" w:cs="Times New Roman"/>
          <w:szCs w:val="24"/>
        </w:rPr>
        <w:t xml:space="preserve">rovides a flat annual payment for </w:t>
      </w:r>
      <w:r w:rsidRPr="007A283B">
        <w:rPr>
          <w:rFonts w:asciiTheme="minorHAnsi" w:hAnsiTheme="minorHAnsi" w:cs="Times New Roman"/>
          <w:szCs w:val="24"/>
        </w:rPr>
        <w:t>the supply of PBS</w:t>
      </w:r>
      <w:r>
        <w:rPr>
          <w:rFonts w:asciiTheme="minorHAnsi" w:hAnsiTheme="minorHAnsi" w:cs="Times New Roman"/>
          <w:szCs w:val="24"/>
        </w:rPr>
        <w:t xml:space="preserve"> </w:t>
      </w:r>
      <w:r w:rsidRPr="007A283B">
        <w:rPr>
          <w:rFonts w:asciiTheme="minorHAnsi" w:hAnsiTheme="minorHAnsi" w:cs="Times New Roman"/>
          <w:szCs w:val="24"/>
        </w:rPr>
        <w:t>medicines in instalments wh</w:t>
      </w:r>
      <w:r>
        <w:rPr>
          <w:rFonts w:asciiTheme="minorHAnsi" w:hAnsiTheme="minorHAnsi" w:cs="Times New Roman"/>
          <w:szCs w:val="24"/>
        </w:rPr>
        <w:t>ere requested by the prescriber.</w:t>
      </w:r>
    </w:p>
    <w:p w:rsidR="00366FC0" w:rsidRDefault="00366FC0" w:rsidP="00366FC0">
      <w:pPr>
        <w:spacing w:after="0"/>
        <w:rPr>
          <w:rFonts w:asciiTheme="minorHAnsi" w:hAnsiTheme="minorHAnsi" w:cs="Times New Roman"/>
          <w:szCs w:val="24"/>
        </w:rPr>
      </w:pPr>
    </w:p>
    <w:p w:rsidR="00366FC0" w:rsidRDefault="00366FC0" w:rsidP="00366FC0">
      <w:pPr>
        <w:rPr>
          <w:rFonts w:asciiTheme="minorHAnsi" w:hAnsiTheme="minorHAnsi" w:cs="Times New Roman"/>
          <w:szCs w:val="24"/>
          <w:u w:val="single"/>
        </w:rPr>
      </w:pPr>
      <w:r>
        <w:rPr>
          <w:rFonts w:asciiTheme="minorHAnsi" w:hAnsiTheme="minorHAnsi" w:cs="Times New Roman"/>
          <w:szCs w:val="24"/>
          <w:u w:val="single"/>
        </w:rPr>
        <w:br w:type="page"/>
      </w:r>
    </w:p>
    <w:p w:rsidR="00366FC0" w:rsidRDefault="00366FC0" w:rsidP="00366FC0">
      <w:pPr>
        <w:spacing w:after="0"/>
        <w:rPr>
          <w:rFonts w:asciiTheme="minorHAnsi" w:hAnsiTheme="minorHAnsi" w:cs="Times New Roman"/>
          <w:szCs w:val="24"/>
          <w:u w:val="single"/>
        </w:rPr>
      </w:pPr>
      <w:r>
        <w:rPr>
          <w:rFonts w:asciiTheme="minorHAnsi" w:hAnsiTheme="minorHAnsi" w:cs="Times New Roman"/>
          <w:szCs w:val="24"/>
          <w:u w:val="single"/>
        </w:rPr>
        <w:t xml:space="preserve">Workforce, Access, and Quality Use of Medicines </w:t>
      </w:r>
      <w:r w:rsidR="00D64C5C">
        <w:rPr>
          <w:rFonts w:asciiTheme="minorHAnsi" w:hAnsiTheme="minorHAnsi" w:cs="Times New Roman"/>
          <w:szCs w:val="24"/>
          <w:u w:val="single"/>
        </w:rPr>
        <w:t>program</w:t>
      </w:r>
      <w:r>
        <w:rPr>
          <w:rFonts w:asciiTheme="minorHAnsi" w:hAnsiTheme="minorHAnsi" w:cs="Times New Roman"/>
          <w:szCs w:val="24"/>
          <w:u w:val="single"/>
        </w:rPr>
        <w:t>s</w:t>
      </w:r>
    </w:p>
    <w:p w:rsidR="00366FC0" w:rsidRDefault="00366FC0" w:rsidP="00366FC0">
      <w:pPr>
        <w:spacing w:after="0"/>
        <w:rPr>
          <w:rFonts w:asciiTheme="minorHAnsi" w:hAnsiTheme="minorHAnsi" w:cs="Times New Roman"/>
          <w:szCs w:val="24"/>
        </w:rPr>
      </w:pPr>
      <w:r w:rsidRPr="00FD10D8">
        <w:rPr>
          <w:rFonts w:asciiTheme="minorHAnsi" w:hAnsiTheme="minorHAnsi" w:cs="Times New Roman"/>
          <w:szCs w:val="24"/>
        </w:rPr>
        <w:t xml:space="preserve">The </w:t>
      </w:r>
      <w:r>
        <w:rPr>
          <w:rFonts w:asciiTheme="minorHAnsi" w:hAnsiTheme="minorHAnsi" w:cs="Times New Roman"/>
          <w:szCs w:val="24"/>
        </w:rPr>
        <w:t xml:space="preserve">Sixth Agreement also funds a number of </w:t>
      </w:r>
      <w:r w:rsidR="00D64C5C">
        <w:rPr>
          <w:rFonts w:asciiTheme="minorHAnsi" w:hAnsiTheme="minorHAnsi" w:cs="Times New Roman"/>
          <w:szCs w:val="24"/>
        </w:rPr>
        <w:t>program</w:t>
      </w:r>
      <w:r>
        <w:rPr>
          <w:rFonts w:asciiTheme="minorHAnsi" w:hAnsiTheme="minorHAnsi" w:cs="Times New Roman"/>
          <w:szCs w:val="24"/>
        </w:rPr>
        <w:t>s which support access to pharmacies, provide undergraduate and postgraduate scholarships and more broadly support the pharmacy workforce:</w:t>
      </w:r>
    </w:p>
    <w:p w:rsidR="00366FC0" w:rsidRPr="00C8076F" w:rsidRDefault="00366FC0" w:rsidP="00366FC0">
      <w:pPr>
        <w:pStyle w:val="ListParagraph"/>
        <w:numPr>
          <w:ilvl w:val="0"/>
          <w:numId w:val="3"/>
        </w:numPr>
        <w:spacing w:before="120" w:after="0"/>
        <w:ind w:left="714" w:hanging="357"/>
        <w:rPr>
          <w:rFonts w:asciiTheme="minorHAnsi" w:hAnsiTheme="minorHAnsi" w:cs="Times New Roman"/>
          <w:b/>
          <w:szCs w:val="24"/>
        </w:rPr>
      </w:pPr>
      <w:r w:rsidRPr="00D56AF0">
        <w:rPr>
          <w:rFonts w:asciiTheme="minorHAnsi" w:hAnsiTheme="minorHAnsi" w:cs="Times New Roman"/>
          <w:b/>
          <w:szCs w:val="24"/>
        </w:rPr>
        <w:t>Rural Pharmacy Maintenance Allowance</w:t>
      </w:r>
      <w:r w:rsidRPr="005E3847">
        <w:rPr>
          <w:rFonts w:asciiTheme="minorHAnsi" w:hAnsiTheme="minorHAnsi" w:cs="Times New Roman"/>
          <w:szCs w:val="24"/>
        </w:rPr>
        <w:t>,</w:t>
      </w:r>
      <w:r>
        <w:rPr>
          <w:rFonts w:asciiTheme="minorHAnsi" w:hAnsiTheme="minorHAnsi" w:cs="Times New Roman"/>
          <w:b/>
          <w:szCs w:val="24"/>
        </w:rPr>
        <w:t xml:space="preserve"> </w:t>
      </w:r>
      <w:r>
        <w:rPr>
          <w:rFonts w:asciiTheme="minorHAnsi" w:hAnsiTheme="minorHAnsi" w:cs="Times New Roman"/>
          <w:szCs w:val="24"/>
        </w:rPr>
        <w:t>which provides funding to support access to pharmacies in rural and remote areas;</w:t>
      </w:r>
    </w:p>
    <w:p w:rsidR="00366FC0" w:rsidRDefault="00366FC0" w:rsidP="00366FC0">
      <w:pPr>
        <w:pStyle w:val="ListParagraph"/>
        <w:numPr>
          <w:ilvl w:val="0"/>
          <w:numId w:val="3"/>
        </w:numPr>
        <w:spacing w:after="0"/>
        <w:rPr>
          <w:rFonts w:asciiTheme="minorHAnsi" w:hAnsiTheme="minorHAnsi" w:cs="Times New Roman"/>
          <w:szCs w:val="24"/>
        </w:rPr>
      </w:pPr>
      <w:r w:rsidRPr="00D56AF0">
        <w:rPr>
          <w:rFonts w:asciiTheme="minorHAnsi" w:hAnsiTheme="minorHAnsi" w:cs="Times New Roman"/>
          <w:b/>
          <w:szCs w:val="24"/>
        </w:rPr>
        <w:t xml:space="preserve">Rural Pharmacy Workforce </w:t>
      </w:r>
      <w:r w:rsidR="00D64C5C">
        <w:rPr>
          <w:rFonts w:asciiTheme="minorHAnsi" w:hAnsiTheme="minorHAnsi" w:cs="Times New Roman"/>
          <w:b/>
          <w:szCs w:val="24"/>
        </w:rPr>
        <w:t>Program</w:t>
      </w:r>
      <w:r w:rsidRPr="005E3847">
        <w:rPr>
          <w:rFonts w:asciiTheme="minorHAnsi" w:hAnsiTheme="minorHAnsi" w:cs="Times New Roman"/>
          <w:szCs w:val="24"/>
        </w:rPr>
        <w:t xml:space="preserve">, </w:t>
      </w:r>
      <w:r>
        <w:rPr>
          <w:rFonts w:asciiTheme="minorHAnsi" w:hAnsiTheme="minorHAnsi" w:cs="Times New Roman"/>
          <w:szCs w:val="24"/>
        </w:rPr>
        <w:t xml:space="preserve">which comprises 10 discrete initiatives that aim to support pharmacists and pharmacies in rural and remote Australia.  These include rural scholarships, emergency locum support, and support to </w:t>
      </w:r>
      <w:r w:rsidRPr="00E53901">
        <w:rPr>
          <w:rFonts w:asciiTheme="minorHAnsi" w:hAnsiTheme="minorHAnsi" w:cs="Times New Roman"/>
          <w:szCs w:val="24"/>
        </w:rPr>
        <w:t>practising rural community pharmacies and pharmacy students undertaking placements in rural areas</w:t>
      </w:r>
      <w:r>
        <w:rPr>
          <w:rFonts w:asciiTheme="minorHAnsi" w:hAnsiTheme="minorHAnsi" w:cs="Times New Roman"/>
          <w:szCs w:val="24"/>
        </w:rPr>
        <w:t>;</w:t>
      </w:r>
    </w:p>
    <w:p w:rsidR="00366FC0" w:rsidRPr="00D56AF0" w:rsidRDefault="00366FC0" w:rsidP="00366FC0">
      <w:pPr>
        <w:pStyle w:val="ListParagraph"/>
        <w:numPr>
          <w:ilvl w:val="0"/>
          <w:numId w:val="3"/>
        </w:numPr>
        <w:spacing w:after="0"/>
        <w:ind w:right="-472"/>
        <w:rPr>
          <w:rFonts w:asciiTheme="minorHAnsi" w:hAnsiTheme="minorHAnsi" w:cs="Times New Roman"/>
          <w:b/>
          <w:szCs w:val="24"/>
        </w:rPr>
      </w:pPr>
      <w:r w:rsidRPr="00D56AF0">
        <w:rPr>
          <w:rFonts w:asciiTheme="minorHAnsi" w:hAnsiTheme="minorHAnsi" w:cs="Times New Roman"/>
          <w:b/>
          <w:szCs w:val="24"/>
        </w:rPr>
        <w:t xml:space="preserve">Aboriginal and Torres Strait Islander Workforce </w:t>
      </w:r>
      <w:r w:rsidR="00D64C5C">
        <w:rPr>
          <w:rFonts w:asciiTheme="minorHAnsi" w:hAnsiTheme="minorHAnsi" w:cs="Times New Roman"/>
          <w:b/>
          <w:szCs w:val="24"/>
        </w:rPr>
        <w:t>Program</w:t>
      </w:r>
      <w:r w:rsidRPr="005E3847">
        <w:rPr>
          <w:rFonts w:asciiTheme="minorHAnsi" w:hAnsiTheme="minorHAnsi" w:cs="Times New Roman"/>
          <w:szCs w:val="24"/>
        </w:rPr>
        <w:t xml:space="preserve">, </w:t>
      </w:r>
      <w:r>
        <w:rPr>
          <w:rFonts w:asciiTheme="minorHAnsi" w:hAnsiTheme="minorHAnsi" w:cs="Times New Roman"/>
          <w:szCs w:val="24"/>
        </w:rPr>
        <w:t>which comprises scholarships for Aboriginal and Torres Strait Islander peoples who undertake undergraduate or postgraduate studies in pharmacy, and traineeships for pharmacy assistants;</w:t>
      </w:r>
    </w:p>
    <w:p w:rsidR="00366FC0" w:rsidRPr="00C8076F" w:rsidRDefault="00366FC0" w:rsidP="00366FC0">
      <w:pPr>
        <w:pStyle w:val="ListParagraph"/>
        <w:numPr>
          <w:ilvl w:val="0"/>
          <w:numId w:val="3"/>
        </w:numPr>
        <w:spacing w:after="0"/>
        <w:rPr>
          <w:rFonts w:asciiTheme="minorHAnsi" w:hAnsiTheme="minorHAnsi" w:cs="Times New Roman"/>
          <w:b/>
          <w:szCs w:val="24"/>
        </w:rPr>
      </w:pPr>
      <w:r w:rsidRPr="00C8076F">
        <w:rPr>
          <w:rFonts w:asciiTheme="minorHAnsi" w:hAnsiTheme="minorHAnsi" w:cs="Times New Roman"/>
          <w:b/>
          <w:szCs w:val="24"/>
        </w:rPr>
        <w:t>Section 100 Support Allowance</w:t>
      </w:r>
      <w:r w:rsidRPr="005E3847">
        <w:rPr>
          <w:rFonts w:asciiTheme="minorHAnsi" w:hAnsiTheme="minorHAnsi" w:cs="Times New Roman"/>
          <w:szCs w:val="24"/>
        </w:rPr>
        <w:t xml:space="preserve">, </w:t>
      </w:r>
      <w:r w:rsidRPr="00D71C0D">
        <w:rPr>
          <w:rFonts w:asciiTheme="minorHAnsi" w:hAnsiTheme="minorHAnsi" w:cs="Times New Roman"/>
          <w:szCs w:val="24"/>
        </w:rPr>
        <w:t>which is</w:t>
      </w:r>
      <w:r>
        <w:rPr>
          <w:rFonts w:asciiTheme="minorHAnsi" w:hAnsiTheme="minorHAnsi" w:cs="Times New Roman"/>
          <w:b/>
          <w:szCs w:val="24"/>
        </w:rPr>
        <w:t xml:space="preserve"> </w:t>
      </w:r>
      <w:r w:rsidRPr="00C8076F">
        <w:rPr>
          <w:rFonts w:asciiTheme="minorHAnsi" w:hAnsiTheme="minorHAnsi" w:cs="Times New Roman"/>
          <w:szCs w:val="24"/>
        </w:rPr>
        <w:t xml:space="preserve">paid to </w:t>
      </w:r>
      <w:r>
        <w:rPr>
          <w:rFonts w:asciiTheme="minorHAnsi" w:hAnsiTheme="minorHAnsi" w:cs="Times New Roman"/>
          <w:szCs w:val="24"/>
        </w:rPr>
        <w:t xml:space="preserve">eligible </w:t>
      </w:r>
      <w:r w:rsidRPr="00C8076F">
        <w:rPr>
          <w:rFonts w:asciiTheme="minorHAnsi" w:hAnsiTheme="minorHAnsi" w:cs="Times New Roman"/>
          <w:szCs w:val="24"/>
        </w:rPr>
        <w:t>approved pharmacies and approved hospital authorities for the provision of a range of Quality Use of Medicines (QUM)</w:t>
      </w:r>
      <w:r>
        <w:rPr>
          <w:rFonts w:asciiTheme="minorHAnsi" w:hAnsiTheme="minorHAnsi" w:cs="Times New Roman"/>
          <w:szCs w:val="24"/>
        </w:rPr>
        <w:t xml:space="preserve"> activities (such as education for other health professionals)</w:t>
      </w:r>
      <w:r w:rsidRPr="00C8076F">
        <w:rPr>
          <w:rFonts w:asciiTheme="minorHAnsi" w:hAnsiTheme="minorHAnsi" w:cs="Times New Roman"/>
          <w:szCs w:val="24"/>
        </w:rPr>
        <w:t xml:space="preserve"> and services to patients in approved remote area Aboriginal Health Services (AHSs) participating </w:t>
      </w:r>
      <w:r>
        <w:rPr>
          <w:rFonts w:asciiTheme="minorHAnsi" w:hAnsiTheme="minorHAnsi" w:cs="Times New Roman"/>
          <w:szCs w:val="24"/>
        </w:rPr>
        <w:t>under</w:t>
      </w:r>
      <w:r w:rsidRPr="00C8076F">
        <w:rPr>
          <w:rFonts w:asciiTheme="minorHAnsi" w:hAnsiTheme="minorHAnsi" w:cs="Times New Roman"/>
          <w:szCs w:val="24"/>
        </w:rPr>
        <w:t xml:space="preserve"> S100 supply arrangements</w:t>
      </w:r>
      <w:r>
        <w:rPr>
          <w:rFonts w:asciiTheme="minorHAnsi" w:hAnsiTheme="minorHAnsi" w:cs="Times New Roman"/>
          <w:szCs w:val="24"/>
        </w:rPr>
        <w:t>; and</w:t>
      </w:r>
    </w:p>
    <w:p w:rsidR="00366FC0" w:rsidRPr="00D56AF0" w:rsidRDefault="00366FC0" w:rsidP="00366FC0">
      <w:pPr>
        <w:pStyle w:val="ListParagraph"/>
        <w:numPr>
          <w:ilvl w:val="0"/>
          <w:numId w:val="3"/>
        </w:numPr>
        <w:spacing w:after="0"/>
        <w:rPr>
          <w:rFonts w:asciiTheme="minorHAnsi" w:hAnsiTheme="minorHAnsi" w:cs="Times New Roman"/>
          <w:b/>
          <w:szCs w:val="24"/>
        </w:rPr>
      </w:pPr>
      <w:r w:rsidRPr="00D56AF0">
        <w:rPr>
          <w:rFonts w:asciiTheme="minorHAnsi" w:hAnsiTheme="minorHAnsi" w:cs="Times New Roman"/>
          <w:b/>
          <w:szCs w:val="24"/>
        </w:rPr>
        <w:t>Q</w:t>
      </w:r>
      <w:r>
        <w:rPr>
          <w:rFonts w:asciiTheme="minorHAnsi" w:hAnsiTheme="minorHAnsi" w:cs="Times New Roman"/>
          <w:b/>
          <w:szCs w:val="24"/>
        </w:rPr>
        <w:t xml:space="preserve">uality </w:t>
      </w:r>
      <w:r w:rsidRPr="00D56AF0">
        <w:rPr>
          <w:rFonts w:asciiTheme="minorHAnsi" w:hAnsiTheme="minorHAnsi" w:cs="Times New Roman"/>
          <w:b/>
          <w:szCs w:val="24"/>
        </w:rPr>
        <w:t>U</w:t>
      </w:r>
      <w:r>
        <w:rPr>
          <w:rFonts w:asciiTheme="minorHAnsi" w:hAnsiTheme="minorHAnsi" w:cs="Times New Roman"/>
          <w:b/>
          <w:szCs w:val="24"/>
        </w:rPr>
        <w:t xml:space="preserve">se of </w:t>
      </w:r>
      <w:r w:rsidRPr="00D56AF0">
        <w:rPr>
          <w:rFonts w:asciiTheme="minorHAnsi" w:hAnsiTheme="minorHAnsi" w:cs="Times New Roman"/>
          <w:b/>
          <w:szCs w:val="24"/>
        </w:rPr>
        <w:t>M</w:t>
      </w:r>
      <w:r>
        <w:rPr>
          <w:rFonts w:asciiTheme="minorHAnsi" w:hAnsiTheme="minorHAnsi" w:cs="Times New Roman"/>
          <w:b/>
          <w:szCs w:val="24"/>
        </w:rPr>
        <w:t>edicines Maximised for Aboriginal and Torres Strait Islander Peoples (QUMAX)</w:t>
      </w:r>
      <w:r w:rsidRPr="005E3847">
        <w:rPr>
          <w:rFonts w:asciiTheme="minorHAnsi" w:hAnsiTheme="minorHAnsi" w:cs="Times New Roman"/>
          <w:szCs w:val="24"/>
        </w:rPr>
        <w:t xml:space="preserve">, </w:t>
      </w:r>
      <w:r w:rsidRPr="00C8076F">
        <w:rPr>
          <w:rFonts w:asciiTheme="minorHAnsi" w:hAnsiTheme="minorHAnsi" w:cs="Times New Roman"/>
          <w:szCs w:val="24"/>
        </w:rPr>
        <w:t>which aims to improve QUM through a range of support services</w:t>
      </w:r>
      <w:r>
        <w:rPr>
          <w:rFonts w:asciiTheme="minorHAnsi" w:hAnsiTheme="minorHAnsi" w:cs="Times New Roman"/>
          <w:szCs w:val="24"/>
        </w:rPr>
        <w:t xml:space="preserve"> (such as Dose Administration Aids, cultural awareness activities and local models to support the delivery of HMR services)</w:t>
      </w:r>
      <w:r w:rsidRPr="00C8076F">
        <w:rPr>
          <w:rFonts w:asciiTheme="minorHAnsi" w:hAnsiTheme="minorHAnsi" w:cs="Times New Roman"/>
          <w:szCs w:val="24"/>
        </w:rPr>
        <w:t xml:space="preserve">, </w:t>
      </w:r>
      <w:r>
        <w:rPr>
          <w:rFonts w:asciiTheme="minorHAnsi" w:hAnsiTheme="minorHAnsi" w:cs="Times New Roman"/>
          <w:szCs w:val="24"/>
        </w:rPr>
        <w:t xml:space="preserve">and </w:t>
      </w:r>
      <w:r w:rsidRPr="00C8076F">
        <w:rPr>
          <w:rFonts w:asciiTheme="minorHAnsi" w:hAnsiTheme="minorHAnsi" w:cs="Times New Roman"/>
          <w:szCs w:val="24"/>
        </w:rPr>
        <w:t>which are provided by participating Aboriginal Community Controlled Health Services (ACCHSs) and pharmacies in rural and urban Australia</w:t>
      </w:r>
      <w:r>
        <w:rPr>
          <w:rFonts w:asciiTheme="minorHAnsi" w:hAnsiTheme="minorHAnsi" w:cs="Times New Roman"/>
          <w:szCs w:val="24"/>
        </w:rPr>
        <w:t>.</w:t>
      </w:r>
    </w:p>
    <w:p w:rsidR="00366FC0" w:rsidRPr="00681D87" w:rsidRDefault="00366FC0" w:rsidP="00366FC0">
      <w:pPr>
        <w:spacing w:after="0"/>
        <w:rPr>
          <w:rFonts w:asciiTheme="minorHAnsi" w:hAnsiTheme="minorHAnsi" w:cs="Times New Roman"/>
          <w:szCs w:val="24"/>
        </w:rPr>
      </w:pPr>
    </w:p>
    <w:p w:rsidR="00366FC0" w:rsidRDefault="00366FC0" w:rsidP="00366FC0">
      <w:pPr>
        <w:spacing w:after="0"/>
        <w:rPr>
          <w:rFonts w:asciiTheme="minorHAnsi" w:hAnsiTheme="minorHAnsi" w:cs="Times New Roman"/>
          <w:szCs w:val="24"/>
          <w:u w:val="single"/>
        </w:rPr>
      </w:pPr>
      <w:r>
        <w:rPr>
          <w:rFonts w:asciiTheme="minorHAnsi" w:hAnsiTheme="minorHAnsi" w:cs="Times New Roman"/>
          <w:szCs w:val="24"/>
          <w:u w:val="single"/>
        </w:rPr>
        <w:t>Other initiatives</w:t>
      </w:r>
    </w:p>
    <w:p w:rsidR="00366FC0" w:rsidRPr="00B54F5C" w:rsidRDefault="00366FC0" w:rsidP="00623276">
      <w:pPr>
        <w:spacing w:after="0"/>
        <w:rPr>
          <w:rFonts w:asciiTheme="minorHAnsi" w:hAnsiTheme="minorHAnsi" w:cs="Times New Roman"/>
          <w:b/>
          <w:szCs w:val="24"/>
        </w:rPr>
      </w:pPr>
      <w:r>
        <w:rPr>
          <w:rFonts w:asciiTheme="minorHAnsi" w:hAnsiTheme="minorHAnsi" w:cs="Times New Roman"/>
          <w:szCs w:val="24"/>
        </w:rPr>
        <w:t xml:space="preserve">In addition, </w:t>
      </w:r>
      <w:r w:rsidR="00623276">
        <w:rPr>
          <w:rFonts w:asciiTheme="minorHAnsi" w:hAnsiTheme="minorHAnsi" w:cs="Times New Roman"/>
          <w:szCs w:val="24"/>
        </w:rPr>
        <w:t xml:space="preserve">the </w:t>
      </w:r>
      <w:r w:rsidRPr="00B54F5C">
        <w:rPr>
          <w:rFonts w:asciiTheme="minorHAnsi" w:hAnsiTheme="minorHAnsi" w:cs="Times New Roman"/>
          <w:b/>
          <w:szCs w:val="24"/>
        </w:rPr>
        <w:t>Electronic Prescription Fee</w:t>
      </w:r>
      <w:r w:rsidR="00623276">
        <w:rPr>
          <w:rFonts w:asciiTheme="minorHAnsi" w:hAnsiTheme="minorHAnsi" w:cs="Times New Roman"/>
          <w:b/>
          <w:szCs w:val="24"/>
        </w:rPr>
        <w:t xml:space="preserve"> </w:t>
      </w:r>
      <w:r w:rsidR="00623276">
        <w:rPr>
          <w:rFonts w:asciiTheme="minorHAnsi" w:hAnsiTheme="minorHAnsi" w:cs="Times New Roman"/>
          <w:szCs w:val="24"/>
        </w:rPr>
        <w:t>is continuing as part of the Sixth Agreement.  This</w:t>
      </w:r>
      <w:r w:rsidRPr="00B54F5C">
        <w:rPr>
          <w:rFonts w:asciiTheme="minorHAnsi" w:hAnsiTheme="minorHAnsi" w:cs="Times New Roman"/>
          <w:szCs w:val="24"/>
        </w:rPr>
        <w:t xml:space="preserve"> supports pharmacy use of prescription exchange software, </w:t>
      </w:r>
      <w:r w:rsidR="00C0774A">
        <w:rPr>
          <w:rFonts w:asciiTheme="minorHAnsi" w:hAnsiTheme="minorHAnsi" w:cs="Times New Roman"/>
          <w:szCs w:val="24"/>
        </w:rPr>
        <w:t xml:space="preserve">and </w:t>
      </w:r>
      <w:r w:rsidRPr="00330E93">
        <w:rPr>
          <w:rFonts w:asciiTheme="minorHAnsi" w:hAnsiTheme="minorHAnsi"/>
          <w:szCs w:val="24"/>
        </w:rPr>
        <w:t>promote</w:t>
      </w:r>
      <w:r w:rsidR="00C0774A">
        <w:rPr>
          <w:rFonts w:asciiTheme="minorHAnsi" w:hAnsiTheme="minorHAnsi"/>
          <w:szCs w:val="24"/>
        </w:rPr>
        <w:t>s</w:t>
      </w:r>
      <w:r w:rsidRPr="00330E93">
        <w:rPr>
          <w:rFonts w:asciiTheme="minorHAnsi" w:hAnsiTheme="minorHAnsi"/>
          <w:szCs w:val="24"/>
        </w:rPr>
        <w:t xml:space="preserve"> the </w:t>
      </w:r>
      <w:r>
        <w:rPr>
          <w:rFonts w:asciiTheme="minorHAnsi" w:hAnsiTheme="minorHAnsi"/>
          <w:szCs w:val="24"/>
        </w:rPr>
        <w:t xml:space="preserve">download and dispensing of </w:t>
      </w:r>
      <w:r w:rsidRPr="00330E93">
        <w:rPr>
          <w:rFonts w:asciiTheme="minorHAnsi" w:hAnsiTheme="minorHAnsi"/>
          <w:szCs w:val="24"/>
        </w:rPr>
        <w:t xml:space="preserve">electronic prescriptions as </w:t>
      </w:r>
      <w:r>
        <w:rPr>
          <w:rFonts w:asciiTheme="minorHAnsi" w:hAnsiTheme="minorHAnsi"/>
          <w:szCs w:val="24"/>
        </w:rPr>
        <w:t xml:space="preserve">a regular </w:t>
      </w:r>
      <w:r w:rsidRPr="00330E93">
        <w:rPr>
          <w:rFonts w:asciiTheme="minorHAnsi" w:hAnsiTheme="minorHAnsi"/>
          <w:szCs w:val="24"/>
        </w:rPr>
        <w:t>part of community pharmacy practice</w:t>
      </w:r>
      <w:r w:rsidR="00623276">
        <w:rPr>
          <w:rFonts w:asciiTheme="minorHAnsi" w:hAnsiTheme="minorHAnsi" w:cs="Times New Roman"/>
          <w:szCs w:val="24"/>
        </w:rPr>
        <w:t>.</w:t>
      </w:r>
    </w:p>
    <w:p w:rsidR="00366FC0" w:rsidRDefault="00366FC0" w:rsidP="00366FC0">
      <w:pPr>
        <w:spacing w:after="0"/>
        <w:rPr>
          <w:rFonts w:asciiTheme="minorHAnsi" w:hAnsiTheme="minorHAnsi" w:cs="Times New Roman"/>
          <w:b/>
          <w:szCs w:val="24"/>
        </w:rPr>
      </w:pPr>
    </w:p>
    <w:p w:rsidR="00817093" w:rsidRDefault="00817093" w:rsidP="00366FC0">
      <w:pPr>
        <w:spacing w:after="0"/>
        <w:rPr>
          <w:rFonts w:asciiTheme="minorHAnsi" w:hAnsiTheme="minorHAnsi" w:cs="Times New Roman"/>
          <w:b/>
          <w:szCs w:val="24"/>
        </w:rPr>
      </w:pPr>
    </w:p>
    <w:p w:rsidR="00623276" w:rsidRDefault="00623276" w:rsidP="00366FC0">
      <w:pPr>
        <w:spacing w:after="0"/>
        <w:rPr>
          <w:rFonts w:asciiTheme="minorHAnsi" w:hAnsiTheme="minorHAnsi" w:cs="Times New Roman"/>
          <w:b/>
          <w:szCs w:val="24"/>
        </w:rPr>
      </w:pPr>
    </w:p>
    <w:p w:rsidR="00817093" w:rsidRDefault="00817093" w:rsidP="00366FC0">
      <w:pPr>
        <w:spacing w:after="0"/>
        <w:rPr>
          <w:rFonts w:asciiTheme="minorHAnsi" w:hAnsiTheme="minorHAnsi" w:cs="Times New Roman"/>
          <w:b/>
          <w:szCs w:val="24"/>
        </w:rPr>
      </w:pPr>
    </w:p>
    <w:p w:rsidR="00817093" w:rsidRDefault="00817093" w:rsidP="00366FC0">
      <w:pPr>
        <w:spacing w:after="0"/>
        <w:rPr>
          <w:rFonts w:asciiTheme="minorHAnsi" w:hAnsiTheme="minorHAnsi" w:cs="Times New Roman"/>
          <w:b/>
          <w:szCs w:val="24"/>
        </w:rPr>
      </w:pPr>
    </w:p>
    <w:p w:rsidR="00817093" w:rsidRDefault="00817093" w:rsidP="00366FC0">
      <w:pPr>
        <w:spacing w:after="0"/>
        <w:rPr>
          <w:rFonts w:asciiTheme="minorHAnsi" w:hAnsiTheme="minorHAnsi" w:cs="Times New Roman"/>
          <w:b/>
          <w:szCs w:val="24"/>
        </w:rPr>
      </w:pPr>
    </w:p>
    <w:p w:rsidR="00817093" w:rsidRDefault="00817093" w:rsidP="00366FC0">
      <w:pPr>
        <w:spacing w:after="0"/>
        <w:rPr>
          <w:rFonts w:asciiTheme="minorHAnsi" w:hAnsiTheme="minorHAnsi" w:cs="Times New Roman"/>
          <w:b/>
          <w:szCs w:val="24"/>
        </w:rPr>
      </w:pPr>
    </w:p>
    <w:p w:rsidR="00817093" w:rsidRDefault="00817093" w:rsidP="00366FC0">
      <w:pPr>
        <w:spacing w:after="0"/>
        <w:rPr>
          <w:rFonts w:asciiTheme="minorHAnsi" w:hAnsiTheme="minorHAnsi" w:cs="Times New Roman"/>
          <w:b/>
          <w:szCs w:val="24"/>
        </w:rPr>
      </w:pPr>
    </w:p>
    <w:p w:rsidR="00817093" w:rsidRDefault="00817093" w:rsidP="00366FC0">
      <w:pPr>
        <w:spacing w:after="0"/>
        <w:rPr>
          <w:rFonts w:asciiTheme="minorHAnsi" w:hAnsiTheme="minorHAnsi" w:cs="Times New Roman"/>
          <w:b/>
          <w:szCs w:val="24"/>
        </w:rPr>
      </w:pPr>
    </w:p>
    <w:p w:rsidR="00817093" w:rsidRDefault="00817093" w:rsidP="00366FC0">
      <w:pPr>
        <w:spacing w:after="0"/>
        <w:rPr>
          <w:rFonts w:asciiTheme="minorHAnsi" w:hAnsiTheme="minorHAnsi" w:cs="Times New Roman"/>
          <w:b/>
          <w:szCs w:val="24"/>
        </w:rPr>
      </w:pPr>
    </w:p>
    <w:p w:rsidR="00817093" w:rsidRPr="00007056" w:rsidRDefault="00817093" w:rsidP="00817093">
      <w:pPr>
        <w:pStyle w:val="Heading2"/>
        <w:spacing w:before="0"/>
      </w:pPr>
      <w:bookmarkStart w:id="19" w:name="_Toc445899316"/>
      <w:r>
        <w:t>A</w:t>
      </w:r>
      <w:r w:rsidR="003B4BFE">
        <w:t>PPENDIX</w:t>
      </w:r>
      <w:r>
        <w:t xml:space="preserve"> B </w:t>
      </w:r>
      <w:r>
        <w:tab/>
      </w:r>
      <w:r>
        <w:tab/>
        <w:t>Relevant</w:t>
      </w:r>
      <w:r w:rsidRPr="00007056">
        <w:t xml:space="preserve"> primary health</w:t>
      </w:r>
      <w:r w:rsidR="00C342BA">
        <w:t xml:space="preserve"> </w:t>
      </w:r>
      <w:r w:rsidRPr="00007056">
        <w:t xml:space="preserve">care </w:t>
      </w:r>
      <w:r w:rsidR="005D0393">
        <w:t>reforms</w:t>
      </w:r>
      <w:bookmarkEnd w:id="19"/>
    </w:p>
    <w:p w:rsidR="00817093" w:rsidRDefault="00817093" w:rsidP="00817093">
      <w:pPr>
        <w:spacing w:after="0" w:line="240" w:lineRule="auto"/>
        <w:rPr>
          <w:rFonts w:asciiTheme="minorHAnsi" w:hAnsiTheme="minorHAnsi" w:cs="Times New Roman"/>
          <w:szCs w:val="24"/>
        </w:rPr>
      </w:pPr>
    </w:p>
    <w:p w:rsidR="00817093" w:rsidRDefault="00817093" w:rsidP="00817093">
      <w:pPr>
        <w:spacing w:after="0" w:line="240" w:lineRule="auto"/>
        <w:rPr>
          <w:rFonts w:asciiTheme="minorHAnsi" w:hAnsiTheme="minorHAnsi" w:cs="Times New Roman"/>
          <w:szCs w:val="24"/>
        </w:rPr>
      </w:pPr>
      <w:r>
        <w:rPr>
          <w:rFonts w:asciiTheme="minorHAnsi" w:hAnsiTheme="minorHAnsi" w:cs="Times New Roman"/>
          <w:szCs w:val="24"/>
        </w:rPr>
        <w:t xml:space="preserve">Following is a brief </w:t>
      </w:r>
      <w:r w:rsidR="00C838E4">
        <w:rPr>
          <w:rFonts w:asciiTheme="minorHAnsi" w:hAnsiTheme="minorHAnsi" w:cs="Times New Roman"/>
          <w:szCs w:val="24"/>
        </w:rPr>
        <w:t>list of other Government</w:t>
      </w:r>
      <w:r>
        <w:rPr>
          <w:rFonts w:asciiTheme="minorHAnsi" w:hAnsiTheme="minorHAnsi" w:cs="Times New Roman"/>
          <w:szCs w:val="24"/>
        </w:rPr>
        <w:t xml:space="preserve"> initiatives with aspects that relate to the PTP.</w:t>
      </w:r>
    </w:p>
    <w:p w:rsidR="00817093" w:rsidRDefault="00817093" w:rsidP="00817093">
      <w:pPr>
        <w:spacing w:after="0" w:line="240" w:lineRule="auto"/>
        <w:rPr>
          <w:rFonts w:asciiTheme="minorHAnsi" w:hAnsiTheme="minorHAnsi" w:cs="Times New Roman"/>
          <w:szCs w:val="24"/>
        </w:rPr>
      </w:pPr>
    </w:p>
    <w:p w:rsidR="00817093" w:rsidRPr="00D30C6C" w:rsidRDefault="00817093" w:rsidP="00817093">
      <w:pPr>
        <w:pStyle w:val="ListParagraph"/>
        <w:spacing w:after="0" w:line="240" w:lineRule="auto"/>
        <w:ind w:left="0"/>
        <w:contextualSpacing w:val="0"/>
        <w:rPr>
          <w:rFonts w:asciiTheme="minorHAnsi" w:hAnsiTheme="minorHAnsi" w:cs="Times New Roman"/>
          <w:szCs w:val="24"/>
          <w:u w:val="single"/>
        </w:rPr>
      </w:pPr>
      <w:r>
        <w:rPr>
          <w:rFonts w:asciiTheme="minorHAnsi" w:hAnsiTheme="minorHAnsi" w:cs="Times New Roman"/>
          <w:szCs w:val="24"/>
          <w:u w:val="single"/>
        </w:rPr>
        <w:t>T</w:t>
      </w:r>
      <w:r w:rsidRPr="00D30C6C">
        <w:rPr>
          <w:rFonts w:asciiTheme="minorHAnsi" w:hAnsiTheme="minorHAnsi" w:cs="Times New Roman"/>
          <w:szCs w:val="24"/>
          <w:u w:val="single"/>
        </w:rPr>
        <w:t xml:space="preserve">he Primary Health Care Advisory Group (PHCAG) </w:t>
      </w:r>
    </w:p>
    <w:p w:rsidR="00817093" w:rsidRPr="00D30C6C" w:rsidRDefault="00817093" w:rsidP="00817093">
      <w:pPr>
        <w:spacing w:after="0" w:line="240" w:lineRule="auto"/>
        <w:rPr>
          <w:rFonts w:asciiTheme="minorHAnsi" w:hAnsiTheme="minorHAnsi" w:cs="Times New Roman"/>
          <w:szCs w:val="24"/>
        </w:rPr>
      </w:pPr>
    </w:p>
    <w:p w:rsidR="00817093" w:rsidRDefault="00817093" w:rsidP="00817093">
      <w:pPr>
        <w:spacing w:after="0" w:line="240" w:lineRule="auto"/>
        <w:rPr>
          <w:rFonts w:asciiTheme="minorHAnsi" w:hAnsiTheme="minorHAnsi" w:cs="Times New Roman"/>
          <w:szCs w:val="24"/>
        </w:rPr>
      </w:pPr>
      <w:r w:rsidRPr="00D30C6C">
        <w:rPr>
          <w:rFonts w:asciiTheme="minorHAnsi" w:hAnsiTheme="minorHAnsi" w:cs="Times New Roman"/>
          <w:szCs w:val="24"/>
        </w:rPr>
        <w:t>Chaired by Dr Steve Hambleton,</w:t>
      </w:r>
      <w:r>
        <w:rPr>
          <w:rFonts w:asciiTheme="minorHAnsi" w:hAnsiTheme="minorHAnsi" w:cs="Times New Roman"/>
          <w:szCs w:val="24"/>
        </w:rPr>
        <w:t xml:space="preserve"> the</w:t>
      </w:r>
      <w:r w:rsidRPr="00D30C6C">
        <w:rPr>
          <w:rFonts w:asciiTheme="minorHAnsi" w:hAnsiTheme="minorHAnsi" w:cs="Times New Roman"/>
          <w:szCs w:val="24"/>
        </w:rPr>
        <w:t xml:space="preserve"> PHCAG has been established to develop advice to Government on short, medium and long term opportunities to reform the primary health care system, with a particular focus on:</w:t>
      </w:r>
    </w:p>
    <w:p w:rsidR="00817093" w:rsidRPr="00D30C6C" w:rsidRDefault="00817093" w:rsidP="00817093">
      <w:pPr>
        <w:spacing w:after="0" w:line="240" w:lineRule="auto"/>
        <w:rPr>
          <w:rFonts w:asciiTheme="minorHAnsi" w:hAnsiTheme="minorHAnsi" w:cs="Times New Roman"/>
          <w:szCs w:val="24"/>
        </w:rPr>
      </w:pPr>
    </w:p>
    <w:p w:rsidR="00817093" w:rsidRPr="00D30C6C" w:rsidRDefault="00817093" w:rsidP="00817093">
      <w:pPr>
        <w:pStyle w:val="ListParagraph"/>
        <w:numPr>
          <w:ilvl w:val="0"/>
          <w:numId w:val="32"/>
        </w:numPr>
        <w:spacing w:after="120" w:line="240" w:lineRule="auto"/>
        <w:ind w:left="567" w:hanging="567"/>
        <w:contextualSpacing w:val="0"/>
        <w:rPr>
          <w:rFonts w:asciiTheme="minorHAnsi" w:hAnsiTheme="minorHAnsi" w:cs="Times New Roman"/>
          <w:szCs w:val="24"/>
        </w:rPr>
      </w:pPr>
      <w:r>
        <w:rPr>
          <w:rFonts w:asciiTheme="minorHAnsi" w:hAnsiTheme="minorHAnsi" w:cs="Times New Roman"/>
          <w:szCs w:val="24"/>
        </w:rPr>
        <w:t xml:space="preserve">The interface between primary and </w:t>
      </w:r>
      <w:r w:rsidRPr="00D30C6C">
        <w:rPr>
          <w:rFonts w:asciiTheme="minorHAnsi" w:hAnsiTheme="minorHAnsi" w:cs="Times New Roman"/>
          <w:szCs w:val="24"/>
        </w:rPr>
        <w:t>acute</w:t>
      </w:r>
      <w:r>
        <w:rPr>
          <w:rFonts w:asciiTheme="minorHAnsi" w:hAnsiTheme="minorHAnsi" w:cs="Times New Roman"/>
          <w:szCs w:val="24"/>
        </w:rPr>
        <w:t xml:space="preserve"> health</w:t>
      </w:r>
      <w:r w:rsidRPr="00D30C6C">
        <w:rPr>
          <w:rFonts w:asciiTheme="minorHAnsi" w:hAnsiTheme="minorHAnsi" w:cs="Times New Roman"/>
          <w:szCs w:val="24"/>
        </w:rPr>
        <w:t xml:space="preserve"> care, including the proposed and potential roles of PHNs;</w:t>
      </w:r>
    </w:p>
    <w:p w:rsidR="00817093" w:rsidRPr="00D30C6C" w:rsidRDefault="00817093" w:rsidP="00817093">
      <w:pPr>
        <w:pStyle w:val="ListParagraph"/>
        <w:numPr>
          <w:ilvl w:val="0"/>
          <w:numId w:val="32"/>
        </w:numPr>
        <w:spacing w:after="120" w:line="240" w:lineRule="auto"/>
        <w:ind w:left="567" w:hanging="567"/>
        <w:contextualSpacing w:val="0"/>
        <w:rPr>
          <w:rFonts w:asciiTheme="minorHAnsi" w:hAnsiTheme="minorHAnsi" w:cs="Times New Roman"/>
          <w:szCs w:val="24"/>
        </w:rPr>
      </w:pPr>
      <w:r w:rsidRPr="00D30C6C">
        <w:rPr>
          <w:rFonts w:asciiTheme="minorHAnsi" w:hAnsiTheme="minorHAnsi" w:cs="Times New Roman"/>
          <w:szCs w:val="24"/>
        </w:rPr>
        <w:t>Innovative care models for target groups such as those with complex, chronic diseases;</w:t>
      </w:r>
    </w:p>
    <w:p w:rsidR="00817093" w:rsidRPr="00D30C6C" w:rsidRDefault="00817093" w:rsidP="00817093">
      <w:pPr>
        <w:pStyle w:val="ListParagraph"/>
        <w:numPr>
          <w:ilvl w:val="0"/>
          <w:numId w:val="32"/>
        </w:numPr>
        <w:spacing w:after="120" w:line="240" w:lineRule="auto"/>
        <w:ind w:left="567" w:hanging="567"/>
        <w:contextualSpacing w:val="0"/>
        <w:rPr>
          <w:rFonts w:asciiTheme="minorHAnsi" w:hAnsiTheme="minorHAnsi" w:cs="Times New Roman"/>
          <w:szCs w:val="24"/>
        </w:rPr>
      </w:pPr>
      <w:r w:rsidRPr="00D30C6C">
        <w:rPr>
          <w:rFonts w:asciiTheme="minorHAnsi" w:hAnsiTheme="minorHAnsi" w:cs="Times New Roman"/>
          <w:szCs w:val="24"/>
        </w:rPr>
        <w:t>Funding models that best support proposed service improvements;</w:t>
      </w:r>
    </w:p>
    <w:p w:rsidR="00817093" w:rsidRPr="00D30C6C" w:rsidRDefault="00817093" w:rsidP="00817093">
      <w:pPr>
        <w:pStyle w:val="ListParagraph"/>
        <w:numPr>
          <w:ilvl w:val="0"/>
          <w:numId w:val="32"/>
        </w:numPr>
        <w:spacing w:after="120" w:line="240" w:lineRule="auto"/>
        <w:ind w:left="567" w:hanging="567"/>
        <w:contextualSpacing w:val="0"/>
        <w:rPr>
          <w:rFonts w:asciiTheme="minorHAnsi" w:hAnsiTheme="minorHAnsi" w:cs="Times New Roman"/>
          <w:szCs w:val="24"/>
        </w:rPr>
      </w:pPr>
      <w:r w:rsidRPr="00D30C6C">
        <w:rPr>
          <w:rFonts w:asciiTheme="minorHAnsi" w:hAnsiTheme="minorHAnsi" w:cs="Times New Roman"/>
          <w:szCs w:val="24"/>
        </w:rPr>
        <w:t>Potential revised roles for existing players in the health system that support proposed service improvements; and</w:t>
      </w:r>
    </w:p>
    <w:p w:rsidR="00817093" w:rsidRPr="00D30C6C" w:rsidRDefault="00817093" w:rsidP="00817093">
      <w:pPr>
        <w:pStyle w:val="ListParagraph"/>
        <w:numPr>
          <w:ilvl w:val="0"/>
          <w:numId w:val="32"/>
        </w:numPr>
        <w:spacing w:after="0" w:line="240" w:lineRule="auto"/>
        <w:ind w:left="567" w:hanging="567"/>
        <w:contextualSpacing w:val="0"/>
        <w:rPr>
          <w:rFonts w:asciiTheme="minorHAnsi" w:hAnsiTheme="minorHAnsi" w:cs="Times New Roman"/>
          <w:szCs w:val="24"/>
        </w:rPr>
      </w:pPr>
      <w:r w:rsidRPr="00D30C6C">
        <w:rPr>
          <w:rFonts w:asciiTheme="minorHAnsi" w:hAnsiTheme="minorHAnsi" w:cs="Times New Roman"/>
          <w:szCs w:val="24"/>
        </w:rPr>
        <w:t>Better recognition and treatment of mental illness.</w:t>
      </w:r>
    </w:p>
    <w:p w:rsidR="00817093" w:rsidRPr="00D30C6C" w:rsidRDefault="00817093" w:rsidP="00817093">
      <w:pPr>
        <w:spacing w:after="0" w:line="240" w:lineRule="auto"/>
        <w:rPr>
          <w:rFonts w:asciiTheme="minorHAnsi" w:hAnsiTheme="minorHAnsi" w:cs="Times New Roman"/>
          <w:szCs w:val="24"/>
        </w:rPr>
      </w:pPr>
    </w:p>
    <w:p w:rsidR="000021DD" w:rsidRDefault="000021DD" w:rsidP="000021DD">
      <w:pPr>
        <w:tabs>
          <w:tab w:val="left" w:pos="0"/>
        </w:tabs>
        <w:spacing w:before="120" w:after="0" w:line="240" w:lineRule="auto"/>
        <w:rPr>
          <w:rFonts w:asciiTheme="minorHAnsi" w:hAnsiTheme="minorHAnsi" w:cs="Times New Roman"/>
          <w:szCs w:val="24"/>
          <w:u w:val="single"/>
        </w:rPr>
      </w:pPr>
      <w:r w:rsidRPr="00D30C6C">
        <w:rPr>
          <w:rFonts w:asciiTheme="minorHAnsi" w:hAnsiTheme="minorHAnsi" w:cs="Times New Roman"/>
          <w:szCs w:val="24"/>
          <w:u w:val="single"/>
        </w:rPr>
        <w:t>Primary Health Networks (PHNs)</w:t>
      </w:r>
    </w:p>
    <w:p w:rsidR="00701758" w:rsidRDefault="00701758" w:rsidP="00701758">
      <w:pPr>
        <w:tabs>
          <w:tab w:val="left" w:pos="0"/>
        </w:tabs>
        <w:spacing w:after="0" w:line="240" w:lineRule="auto"/>
        <w:rPr>
          <w:rFonts w:asciiTheme="minorHAnsi" w:hAnsiTheme="minorHAnsi" w:cs="Times New Roman"/>
          <w:szCs w:val="24"/>
        </w:rPr>
      </w:pPr>
    </w:p>
    <w:p w:rsidR="000021DD" w:rsidRDefault="000021DD" w:rsidP="00701758">
      <w:pPr>
        <w:tabs>
          <w:tab w:val="left" w:pos="0"/>
        </w:tabs>
        <w:spacing w:after="0" w:line="240" w:lineRule="auto"/>
        <w:rPr>
          <w:rFonts w:eastAsia="Times New Roman"/>
          <w:szCs w:val="24"/>
        </w:rPr>
      </w:pPr>
      <w:r w:rsidRPr="00D30C6C">
        <w:rPr>
          <w:rFonts w:asciiTheme="minorHAnsi" w:hAnsiTheme="minorHAnsi" w:cs="Times New Roman"/>
          <w:szCs w:val="24"/>
        </w:rPr>
        <w:t xml:space="preserve">PHNs </w:t>
      </w:r>
      <w:r>
        <w:rPr>
          <w:rFonts w:asciiTheme="minorHAnsi" w:hAnsiTheme="minorHAnsi" w:cs="Times New Roman"/>
          <w:szCs w:val="24"/>
        </w:rPr>
        <w:t>have been established to increase the efficiency and effectiveness of medical services for patients, particularly those at risk of poor health outcomes and to improve coordination of care to</w:t>
      </w:r>
      <w:r w:rsidRPr="00D30C6C">
        <w:rPr>
          <w:rFonts w:asciiTheme="minorHAnsi" w:hAnsiTheme="minorHAnsi" w:cs="Times New Roman"/>
          <w:szCs w:val="24"/>
        </w:rPr>
        <w:t xml:space="preserve"> ensur</w:t>
      </w:r>
      <w:r>
        <w:rPr>
          <w:rFonts w:asciiTheme="minorHAnsi" w:hAnsiTheme="minorHAnsi" w:cs="Times New Roman"/>
          <w:szCs w:val="24"/>
        </w:rPr>
        <w:t>e</w:t>
      </w:r>
      <w:r w:rsidRPr="00D30C6C">
        <w:rPr>
          <w:rFonts w:asciiTheme="minorHAnsi" w:hAnsiTheme="minorHAnsi" w:cs="Times New Roman"/>
          <w:szCs w:val="24"/>
        </w:rPr>
        <w:t xml:space="preserve"> </w:t>
      </w:r>
      <w:r>
        <w:rPr>
          <w:rFonts w:asciiTheme="minorHAnsi" w:hAnsiTheme="minorHAnsi" w:cs="Times New Roman"/>
          <w:szCs w:val="24"/>
        </w:rPr>
        <w:t xml:space="preserve">patients receive </w:t>
      </w:r>
      <w:r w:rsidRPr="00D30C6C">
        <w:rPr>
          <w:rFonts w:asciiTheme="minorHAnsi" w:hAnsiTheme="minorHAnsi" w:cs="Times New Roman"/>
          <w:szCs w:val="24"/>
        </w:rPr>
        <w:t xml:space="preserve">the right care, in the right place, and at the right time. </w:t>
      </w:r>
      <w:r w:rsidRPr="00DA34A7">
        <w:rPr>
          <w:rFonts w:asciiTheme="minorHAnsi" w:hAnsiTheme="minorHAnsi" w:cs="Times New Roman"/>
          <w:szCs w:val="24"/>
        </w:rPr>
        <w:t>PHNs will achieve these objectives by working directly with general practitioners, other primary health care providers</w:t>
      </w:r>
      <w:r>
        <w:rPr>
          <w:rFonts w:asciiTheme="minorHAnsi" w:hAnsiTheme="minorHAnsi" w:cs="Times New Roman"/>
          <w:szCs w:val="24"/>
        </w:rPr>
        <w:t xml:space="preserve"> including pharmacists</w:t>
      </w:r>
      <w:r w:rsidRPr="00DA34A7">
        <w:rPr>
          <w:rFonts w:asciiTheme="minorHAnsi" w:hAnsiTheme="minorHAnsi" w:cs="Times New Roman"/>
          <w:szCs w:val="24"/>
        </w:rPr>
        <w:t>, secondary care providers and hospitals to facilitate improved outcomes for patients.</w:t>
      </w:r>
    </w:p>
    <w:p w:rsidR="000021DD" w:rsidRDefault="000021DD" w:rsidP="000021DD">
      <w:pPr>
        <w:spacing w:after="0" w:line="240" w:lineRule="auto"/>
        <w:rPr>
          <w:rFonts w:asciiTheme="minorHAnsi" w:hAnsiTheme="minorHAnsi" w:cs="Times New Roman"/>
          <w:szCs w:val="24"/>
        </w:rPr>
      </w:pPr>
    </w:p>
    <w:p w:rsidR="000021DD" w:rsidRDefault="000021DD" w:rsidP="000021DD">
      <w:pPr>
        <w:spacing w:after="0" w:line="240" w:lineRule="auto"/>
        <w:rPr>
          <w:rFonts w:asciiTheme="minorHAnsi" w:hAnsiTheme="minorHAnsi" w:cs="Times New Roman"/>
          <w:szCs w:val="24"/>
        </w:rPr>
      </w:pPr>
      <w:r w:rsidRPr="00DA34A7">
        <w:rPr>
          <w:rFonts w:asciiTheme="minorHAnsi" w:hAnsiTheme="minorHAnsi" w:cs="Times New Roman"/>
          <w:szCs w:val="24"/>
        </w:rPr>
        <w:t xml:space="preserve">PHNs will be informed at a regional level by GP-led Clinical Councils and consumer involvement in Community Advisory Committees.  These governance structures will provide a direct link between the PHN Board, clinicians and community representatives to ensure decision making is focused on the health needs of communities within PHN boundaries.  </w:t>
      </w:r>
    </w:p>
    <w:p w:rsidR="00817093" w:rsidRDefault="00817093" w:rsidP="00817093">
      <w:pPr>
        <w:spacing w:after="0" w:line="240" w:lineRule="auto"/>
        <w:rPr>
          <w:rFonts w:asciiTheme="minorHAnsi" w:hAnsiTheme="minorHAnsi" w:cs="Times New Roman"/>
          <w:szCs w:val="24"/>
        </w:rPr>
      </w:pPr>
    </w:p>
    <w:p w:rsidR="00817093" w:rsidRPr="00D30C6C" w:rsidRDefault="00817093" w:rsidP="00817093">
      <w:pPr>
        <w:spacing w:after="0" w:line="240" w:lineRule="auto"/>
        <w:rPr>
          <w:rFonts w:asciiTheme="minorHAnsi" w:hAnsiTheme="minorHAnsi" w:cs="Times New Roman"/>
          <w:szCs w:val="24"/>
          <w:u w:val="single"/>
        </w:rPr>
      </w:pPr>
      <w:r w:rsidRPr="00D30C6C">
        <w:rPr>
          <w:rFonts w:asciiTheme="minorHAnsi" w:hAnsiTheme="minorHAnsi" w:cs="Times New Roman"/>
          <w:szCs w:val="24"/>
          <w:u w:val="single"/>
        </w:rPr>
        <w:t>Digital health initiatives</w:t>
      </w:r>
    </w:p>
    <w:p w:rsidR="00817093" w:rsidRPr="00D30C6C" w:rsidRDefault="00817093" w:rsidP="00817093">
      <w:pPr>
        <w:spacing w:after="0" w:line="240" w:lineRule="auto"/>
        <w:rPr>
          <w:rFonts w:asciiTheme="minorHAnsi" w:hAnsiTheme="minorHAnsi" w:cs="Times New Roman"/>
          <w:szCs w:val="24"/>
        </w:rPr>
      </w:pPr>
    </w:p>
    <w:p w:rsidR="003104E4" w:rsidRPr="00D30C6C" w:rsidRDefault="003104E4" w:rsidP="003104E4">
      <w:pPr>
        <w:tabs>
          <w:tab w:val="num" w:pos="426"/>
        </w:tabs>
        <w:spacing w:after="0" w:line="240" w:lineRule="auto"/>
        <w:rPr>
          <w:rFonts w:asciiTheme="minorHAnsi" w:hAnsiTheme="minorHAnsi" w:cs="Times New Roman"/>
          <w:szCs w:val="24"/>
        </w:rPr>
      </w:pPr>
      <w:r w:rsidRPr="00D30C6C">
        <w:rPr>
          <w:rFonts w:asciiTheme="minorHAnsi" w:hAnsiTheme="minorHAnsi" w:cs="Times New Roman"/>
          <w:szCs w:val="24"/>
        </w:rPr>
        <w:t xml:space="preserve">As part of the Government’s National Digital Economy Strategy, primary health care providers and organisations are being encouraged to </w:t>
      </w:r>
      <w:r>
        <w:rPr>
          <w:rFonts w:asciiTheme="minorHAnsi" w:hAnsiTheme="minorHAnsi" w:cs="Times New Roman"/>
          <w:szCs w:val="24"/>
        </w:rPr>
        <w:t>make use of digital technology</w:t>
      </w:r>
      <w:r w:rsidRPr="00D30C6C">
        <w:rPr>
          <w:rFonts w:asciiTheme="minorHAnsi" w:hAnsiTheme="minorHAnsi" w:cs="Times New Roman"/>
          <w:szCs w:val="24"/>
        </w:rPr>
        <w:t xml:space="preserve"> such as </w:t>
      </w:r>
      <w:r>
        <w:rPr>
          <w:rFonts w:asciiTheme="minorHAnsi" w:hAnsiTheme="minorHAnsi" w:cs="Times New Roman"/>
          <w:szCs w:val="24"/>
        </w:rPr>
        <w:t xml:space="preserve">My Health Record – Australia’s national digital health record system - </w:t>
      </w:r>
      <w:r w:rsidRPr="00D30C6C">
        <w:rPr>
          <w:rFonts w:asciiTheme="minorHAnsi" w:hAnsiTheme="minorHAnsi" w:cs="Times New Roman"/>
          <w:szCs w:val="24"/>
        </w:rPr>
        <w:t>and tele-health to improve the delivery, safety and quality of health services.</w:t>
      </w:r>
      <w:r>
        <w:rPr>
          <w:rFonts w:asciiTheme="minorHAnsi" w:hAnsiTheme="minorHAnsi" w:cs="Times New Roman"/>
          <w:szCs w:val="24"/>
        </w:rPr>
        <w:t xml:space="preserve">  For example:</w:t>
      </w:r>
    </w:p>
    <w:p w:rsidR="003104E4" w:rsidRPr="00D30C6C" w:rsidRDefault="003104E4" w:rsidP="003104E4">
      <w:pPr>
        <w:pStyle w:val="ListParagraph"/>
        <w:spacing w:after="0" w:line="240" w:lineRule="auto"/>
        <w:ind w:left="426"/>
        <w:contextualSpacing w:val="0"/>
        <w:rPr>
          <w:rFonts w:asciiTheme="minorHAnsi" w:hAnsiTheme="minorHAnsi" w:cs="Times New Roman"/>
          <w:szCs w:val="24"/>
        </w:rPr>
      </w:pPr>
    </w:p>
    <w:p w:rsidR="003104E4" w:rsidRDefault="003104E4" w:rsidP="003104E4">
      <w:pPr>
        <w:pStyle w:val="ListParagraph"/>
        <w:numPr>
          <w:ilvl w:val="0"/>
          <w:numId w:val="33"/>
        </w:numPr>
        <w:tabs>
          <w:tab w:val="num" w:pos="426"/>
        </w:tabs>
        <w:spacing w:after="0" w:line="240" w:lineRule="auto"/>
        <w:ind w:left="426" w:hanging="426"/>
        <w:contextualSpacing w:val="0"/>
        <w:rPr>
          <w:rFonts w:asciiTheme="minorHAnsi" w:hAnsiTheme="minorHAnsi" w:cs="Times New Roman"/>
          <w:szCs w:val="24"/>
        </w:rPr>
      </w:pPr>
      <w:r w:rsidRPr="00F75DD6">
        <w:rPr>
          <w:rFonts w:asciiTheme="minorHAnsi" w:hAnsiTheme="minorHAnsi"/>
          <w:color w:val="000000"/>
        </w:rPr>
        <w:t xml:space="preserve">A pharmacy connected to the </w:t>
      </w:r>
      <w:r w:rsidRPr="00F75DD6">
        <w:rPr>
          <w:rFonts w:asciiTheme="minorHAnsi" w:hAnsiTheme="minorHAnsi"/>
          <w:i/>
          <w:iCs/>
          <w:color w:val="000000"/>
        </w:rPr>
        <w:t>My Health Record</w:t>
      </w:r>
      <w:r w:rsidRPr="00F75DD6">
        <w:rPr>
          <w:rFonts w:asciiTheme="minorHAnsi" w:hAnsiTheme="minorHAnsi"/>
          <w:color w:val="000000"/>
        </w:rPr>
        <w:t xml:space="preserve"> system is able to view a patient’s health information, like current medications, prescriptions or adverse reactions.  </w:t>
      </w:r>
      <w:r w:rsidRPr="00F75DD6">
        <w:rPr>
          <w:rFonts w:asciiTheme="minorHAnsi" w:hAnsiTheme="minorHAnsi"/>
          <w:i/>
          <w:iCs/>
          <w:color w:val="000000"/>
        </w:rPr>
        <w:t>My Health Record</w:t>
      </w:r>
      <w:r w:rsidRPr="00F75DD6">
        <w:rPr>
          <w:rFonts w:asciiTheme="minorHAnsi" w:hAnsiTheme="minorHAnsi"/>
          <w:color w:val="000000"/>
        </w:rPr>
        <w:t xml:space="preserve"> can be useful in supporting pharmacists to conduct effective, accurate and timely medication reconciliation, which can decrease medication errors and adverse events.  </w:t>
      </w:r>
      <w:r>
        <w:rPr>
          <w:rFonts w:asciiTheme="minorHAnsi" w:hAnsiTheme="minorHAnsi" w:cs="Times New Roman"/>
          <w:szCs w:val="24"/>
        </w:rPr>
        <w:t>In the 2015-16 Budget, the Government announced funding for the redevelopment and continued operation of the My Health Record system; for trials of new participation arrangements for individuals, including an opt-out system; and for strengthened national digital health governance arrangements.  The opt-out trials commenced in mid-March in North Queensland and the Nepean Blue Mountains region of New South Wales and are expected to lead to around one million new records being created across both regions by mid-June.  These records will be accessible by the healthcare providers involved in the patient’s care, including pharmacists, by mid-July.</w:t>
      </w:r>
    </w:p>
    <w:p w:rsidR="00A01313" w:rsidRDefault="00A01313" w:rsidP="00A01313">
      <w:pPr>
        <w:pStyle w:val="ListParagraph"/>
        <w:spacing w:after="0" w:line="240" w:lineRule="auto"/>
        <w:ind w:left="426"/>
        <w:contextualSpacing w:val="0"/>
        <w:rPr>
          <w:rFonts w:asciiTheme="minorHAnsi" w:hAnsiTheme="minorHAnsi" w:cs="Times New Roman"/>
          <w:szCs w:val="24"/>
        </w:rPr>
      </w:pPr>
    </w:p>
    <w:p w:rsidR="00817093" w:rsidRPr="00A01313" w:rsidRDefault="00A01313" w:rsidP="00A01313">
      <w:pPr>
        <w:pStyle w:val="ListParagraph"/>
        <w:numPr>
          <w:ilvl w:val="0"/>
          <w:numId w:val="33"/>
        </w:numPr>
        <w:tabs>
          <w:tab w:val="num" w:pos="426"/>
        </w:tabs>
        <w:spacing w:after="0" w:line="240" w:lineRule="auto"/>
        <w:ind w:left="426" w:hanging="426"/>
        <w:contextualSpacing w:val="0"/>
        <w:rPr>
          <w:rFonts w:asciiTheme="minorHAnsi" w:hAnsiTheme="minorHAnsi" w:cs="Times New Roman"/>
          <w:szCs w:val="24"/>
        </w:rPr>
      </w:pPr>
      <w:r w:rsidRPr="00A01313">
        <w:rPr>
          <w:rFonts w:asciiTheme="minorHAnsi" w:hAnsiTheme="minorHAnsi" w:cs="Times New Roman"/>
          <w:szCs w:val="24"/>
        </w:rPr>
        <w:t>Medicare funded telehealth is used to overcome some of the geographic barriers faced by Australians living in regional, rural and remote areas in accessing specialist services. Medicare rebates are available for video consultations with medical specialists for patients</w:t>
      </w:r>
      <w:r>
        <w:rPr>
          <w:rFonts w:asciiTheme="minorHAnsi" w:hAnsiTheme="minorHAnsi" w:cs="Times New Roman"/>
          <w:szCs w:val="24"/>
        </w:rPr>
        <w:t xml:space="preserve"> in telehealth-eligible areas. </w:t>
      </w:r>
      <w:r w:rsidRPr="00A01313">
        <w:rPr>
          <w:rFonts w:asciiTheme="minorHAnsi" w:hAnsiTheme="minorHAnsi" w:cs="Times New Roman"/>
          <w:szCs w:val="24"/>
        </w:rPr>
        <w:t xml:space="preserve"> Rebates are available for clients of Aboriginal Medical Services and residents of aged care facilities in all areas, including inner metropolitan.</w:t>
      </w:r>
    </w:p>
    <w:p w:rsidR="00817093" w:rsidRPr="00D30C6C" w:rsidRDefault="00817093" w:rsidP="00817093">
      <w:pPr>
        <w:tabs>
          <w:tab w:val="num" w:pos="426"/>
        </w:tabs>
        <w:spacing w:after="0" w:line="240" w:lineRule="auto"/>
        <w:rPr>
          <w:rFonts w:asciiTheme="minorHAnsi" w:hAnsiTheme="minorHAnsi" w:cs="Times New Roman"/>
          <w:szCs w:val="24"/>
        </w:rPr>
      </w:pPr>
    </w:p>
    <w:p w:rsidR="00817093" w:rsidRPr="00D30C6C" w:rsidRDefault="00817093" w:rsidP="00817093">
      <w:pPr>
        <w:spacing w:after="0" w:line="240" w:lineRule="auto"/>
        <w:rPr>
          <w:rFonts w:asciiTheme="minorHAnsi" w:hAnsiTheme="minorHAnsi" w:cs="Times New Roman"/>
          <w:szCs w:val="24"/>
          <w:u w:val="single"/>
        </w:rPr>
      </w:pPr>
      <w:r w:rsidRPr="00D30C6C">
        <w:rPr>
          <w:rFonts w:asciiTheme="minorHAnsi" w:hAnsiTheme="minorHAnsi" w:cs="Times New Roman"/>
          <w:szCs w:val="24"/>
          <w:u w:val="single"/>
        </w:rPr>
        <w:t>The Medicare Review Taskforce</w:t>
      </w:r>
    </w:p>
    <w:p w:rsidR="00817093" w:rsidRPr="00D30C6C" w:rsidRDefault="00817093" w:rsidP="00817093">
      <w:pPr>
        <w:pStyle w:val="ListParagraph"/>
        <w:spacing w:after="0" w:line="240" w:lineRule="auto"/>
        <w:contextualSpacing w:val="0"/>
        <w:rPr>
          <w:rFonts w:asciiTheme="minorHAnsi" w:hAnsiTheme="minorHAnsi" w:cs="Times New Roman"/>
          <w:szCs w:val="24"/>
        </w:rPr>
      </w:pPr>
    </w:p>
    <w:p w:rsidR="00817093" w:rsidRPr="00D30C6C" w:rsidRDefault="00817093" w:rsidP="00817093">
      <w:pPr>
        <w:pStyle w:val="ListParagraph"/>
        <w:spacing w:after="0" w:line="240" w:lineRule="auto"/>
        <w:ind w:left="0"/>
        <w:contextualSpacing w:val="0"/>
        <w:rPr>
          <w:rFonts w:asciiTheme="minorHAnsi" w:hAnsiTheme="minorHAnsi" w:cs="Times New Roman"/>
          <w:szCs w:val="24"/>
        </w:rPr>
      </w:pPr>
      <w:r w:rsidRPr="00D30C6C">
        <w:rPr>
          <w:rFonts w:asciiTheme="minorHAnsi" w:hAnsiTheme="minorHAnsi" w:cs="Times New Roman"/>
          <w:szCs w:val="24"/>
        </w:rPr>
        <w:t>The roles and responsibilities of the Taskforce, chaired by Professor Bruce Robinson, include the following:</w:t>
      </w:r>
    </w:p>
    <w:p w:rsidR="00817093" w:rsidRPr="00D30C6C" w:rsidRDefault="00817093" w:rsidP="00817093">
      <w:pPr>
        <w:pStyle w:val="ListParagraph"/>
        <w:spacing w:after="0" w:line="240" w:lineRule="auto"/>
        <w:ind w:left="0"/>
        <w:contextualSpacing w:val="0"/>
        <w:rPr>
          <w:rFonts w:asciiTheme="minorHAnsi" w:hAnsiTheme="minorHAnsi" w:cs="Times New Roman"/>
          <w:szCs w:val="24"/>
        </w:rPr>
      </w:pPr>
    </w:p>
    <w:p w:rsidR="00817093" w:rsidRPr="00D30C6C" w:rsidRDefault="00817093" w:rsidP="00817093">
      <w:pPr>
        <w:pStyle w:val="ListParagraph"/>
        <w:numPr>
          <w:ilvl w:val="0"/>
          <w:numId w:val="34"/>
        </w:numPr>
        <w:spacing w:after="0" w:line="240" w:lineRule="auto"/>
        <w:ind w:left="426" w:hanging="426"/>
        <w:contextualSpacing w:val="0"/>
        <w:rPr>
          <w:rFonts w:asciiTheme="minorHAnsi" w:hAnsiTheme="minorHAnsi" w:cs="Times New Roman"/>
          <w:szCs w:val="24"/>
        </w:rPr>
      </w:pPr>
      <w:r w:rsidRPr="00D30C6C">
        <w:rPr>
          <w:rFonts w:asciiTheme="minorHAnsi" w:hAnsiTheme="minorHAnsi" w:cs="Times New Roman"/>
          <w:szCs w:val="24"/>
        </w:rPr>
        <w:t>Undertake a high level review of the Medicare Benefits Schedule (MBS) as a whole to identify priority areas, taking account of factors including concerns about safety, clinically unnecessary service provision and accepted clinical guidelines;</w:t>
      </w:r>
    </w:p>
    <w:p w:rsidR="00817093" w:rsidRPr="00D30C6C" w:rsidRDefault="00817093" w:rsidP="00817093">
      <w:pPr>
        <w:spacing w:after="0" w:line="240" w:lineRule="auto"/>
        <w:rPr>
          <w:rFonts w:asciiTheme="minorHAnsi" w:hAnsiTheme="minorHAnsi" w:cs="Times New Roman"/>
          <w:szCs w:val="24"/>
        </w:rPr>
      </w:pPr>
    </w:p>
    <w:p w:rsidR="00817093" w:rsidRPr="00D30C6C" w:rsidRDefault="00817093" w:rsidP="00817093">
      <w:pPr>
        <w:pStyle w:val="ListParagraph"/>
        <w:numPr>
          <w:ilvl w:val="0"/>
          <w:numId w:val="34"/>
        </w:numPr>
        <w:spacing w:after="0" w:line="240" w:lineRule="auto"/>
        <w:ind w:left="426" w:hanging="426"/>
        <w:contextualSpacing w:val="0"/>
        <w:rPr>
          <w:rFonts w:asciiTheme="minorHAnsi" w:hAnsiTheme="minorHAnsi" w:cs="Times New Roman"/>
          <w:szCs w:val="24"/>
        </w:rPr>
      </w:pPr>
      <w:r w:rsidRPr="00D30C6C">
        <w:rPr>
          <w:rFonts w:asciiTheme="minorHAnsi" w:hAnsiTheme="minorHAnsi" w:cs="Times New Roman"/>
          <w:szCs w:val="24"/>
        </w:rPr>
        <w:t xml:space="preserve">From this high level review, identify Review topics and assign priority to nominated topics; </w:t>
      </w:r>
    </w:p>
    <w:p w:rsidR="00817093" w:rsidRPr="00D30C6C" w:rsidRDefault="00817093" w:rsidP="00817093">
      <w:pPr>
        <w:pStyle w:val="ListParagraph"/>
        <w:spacing w:after="0" w:line="240" w:lineRule="auto"/>
        <w:contextualSpacing w:val="0"/>
        <w:rPr>
          <w:rFonts w:asciiTheme="minorHAnsi" w:hAnsiTheme="minorHAnsi" w:cs="Times New Roman"/>
          <w:szCs w:val="24"/>
        </w:rPr>
      </w:pPr>
    </w:p>
    <w:p w:rsidR="00817093" w:rsidRPr="00D30C6C" w:rsidRDefault="00817093" w:rsidP="00817093">
      <w:pPr>
        <w:pStyle w:val="ListParagraph"/>
        <w:numPr>
          <w:ilvl w:val="0"/>
          <w:numId w:val="34"/>
        </w:numPr>
        <w:spacing w:after="0" w:line="240" w:lineRule="auto"/>
        <w:ind w:left="426" w:hanging="426"/>
        <w:contextualSpacing w:val="0"/>
        <w:rPr>
          <w:rFonts w:asciiTheme="minorHAnsi" w:hAnsiTheme="minorHAnsi" w:cs="Times New Roman"/>
          <w:szCs w:val="24"/>
        </w:rPr>
      </w:pPr>
      <w:r w:rsidRPr="00D30C6C">
        <w:rPr>
          <w:rFonts w:asciiTheme="minorHAnsi" w:hAnsiTheme="minorHAnsi" w:cs="Times New Roman"/>
          <w:szCs w:val="24"/>
        </w:rPr>
        <w:t xml:space="preserve">Commission evidence-based reviews that rely on assessment of literature and data by Working Groups; and </w:t>
      </w:r>
    </w:p>
    <w:p w:rsidR="00817093" w:rsidRPr="00D30C6C" w:rsidRDefault="00817093" w:rsidP="00817093">
      <w:pPr>
        <w:pStyle w:val="ListParagraph"/>
        <w:spacing w:after="0" w:line="240" w:lineRule="auto"/>
        <w:contextualSpacing w:val="0"/>
        <w:rPr>
          <w:rFonts w:asciiTheme="minorHAnsi" w:hAnsiTheme="minorHAnsi" w:cs="Times New Roman"/>
          <w:szCs w:val="24"/>
        </w:rPr>
      </w:pPr>
    </w:p>
    <w:p w:rsidR="00817093" w:rsidRPr="00D30C6C" w:rsidRDefault="00817093" w:rsidP="00817093">
      <w:pPr>
        <w:pStyle w:val="ListParagraph"/>
        <w:numPr>
          <w:ilvl w:val="0"/>
          <w:numId w:val="34"/>
        </w:numPr>
        <w:spacing w:after="0" w:line="240" w:lineRule="auto"/>
        <w:ind w:left="426" w:hanging="426"/>
        <w:contextualSpacing w:val="0"/>
        <w:rPr>
          <w:rFonts w:asciiTheme="minorHAnsi" w:hAnsiTheme="minorHAnsi" w:cs="Times New Roman"/>
          <w:szCs w:val="24"/>
        </w:rPr>
      </w:pPr>
      <w:r w:rsidRPr="00D30C6C">
        <w:rPr>
          <w:rFonts w:asciiTheme="minorHAnsi" w:hAnsiTheme="minorHAnsi" w:cs="Times New Roman"/>
          <w:szCs w:val="24"/>
        </w:rPr>
        <w:t>Analyse the advice from the Working Groups and, in turn, provide advice to the Minister, including advice on the evidence for services, appropriateness, best practice options, levels and frequency of support through Medicare.</w:t>
      </w:r>
    </w:p>
    <w:p w:rsidR="00817093" w:rsidRPr="00D30C6C" w:rsidRDefault="00817093" w:rsidP="00817093">
      <w:pPr>
        <w:pStyle w:val="ListParagraph"/>
        <w:spacing w:after="0" w:line="240" w:lineRule="auto"/>
        <w:ind w:left="426"/>
        <w:contextualSpacing w:val="0"/>
        <w:rPr>
          <w:rFonts w:asciiTheme="minorHAnsi" w:hAnsiTheme="minorHAnsi" w:cs="Times New Roman"/>
          <w:szCs w:val="24"/>
        </w:rPr>
      </w:pPr>
    </w:p>
    <w:p w:rsidR="00817093" w:rsidRPr="00D30C6C" w:rsidRDefault="00817093" w:rsidP="00817093">
      <w:pPr>
        <w:spacing w:after="0" w:line="240" w:lineRule="auto"/>
        <w:rPr>
          <w:rFonts w:asciiTheme="minorHAnsi" w:hAnsiTheme="minorHAnsi" w:cs="Times New Roman"/>
          <w:szCs w:val="24"/>
          <w:u w:val="single"/>
        </w:rPr>
      </w:pPr>
      <w:r w:rsidRPr="00D30C6C">
        <w:rPr>
          <w:rFonts w:asciiTheme="minorHAnsi" w:hAnsiTheme="minorHAnsi" w:cs="Times New Roman"/>
          <w:szCs w:val="24"/>
          <w:u w:val="single"/>
        </w:rPr>
        <w:t>The Review of Pharmacy Remuneration and Regulation</w:t>
      </w:r>
    </w:p>
    <w:p w:rsidR="00817093" w:rsidRPr="00D30C6C" w:rsidRDefault="00817093" w:rsidP="00817093">
      <w:pPr>
        <w:pStyle w:val="ListParagraph"/>
        <w:spacing w:after="0" w:line="240" w:lineRule="auto"/>
        <w:contextualSpacing w:val="0"/>
        <w:rPr>
          <w:rFonts w:asciiTheme="minorHAnsi" w:hAnsiTheme="minorHAnsi" w:cs="Times New Roman"/>
          <w:szCs w:val="24"/>
        </w:rPr>
      </w:pPr>
    </w:p>
    <w:p w:rsidR="00817093" w:rsidRPr="00D30C6C" w:rsidRDefault="00817093" w:rsidP="00817093">
      <w:pPr>
        <w:pStyle w:val="ListParagraph"/>
        <w:spacing w:after="0" w:line="240" w:lineRule="auto"/>
        <w:ind w:left="0"/>
        <w:contextualSpacing w:val="0"/>
        <w:rPr>
          <w:rFonts w:asciiTheme="minorHAnsi" w:hAnsiTheme="minorHAnsi" w:cs="Times New Roman"/>
          <w:szCs w:val="24"/>
        </w:rPr>
      </w:pPr>
      <w:r w:rsidRPr="00D30C6C">
        <w:rPr>
          <w:rFonts w:asciiTheme="minorHAnsi" w:hAnsiTheme="minorHAnsi" w:cs="Times New Roman"/>
          <w:szCs w:val="24"/>
        </w:rPr>
        <w:t>This Review, chaired by Professor Stephen King, will provide recommendations on future pharmacy remuneration, regulation including pharmacy location rules, and other arrangements that apply to pharmacy and wholesalers for the dispensing of medicines and other services.</w:t>
      </w:r>
    </w:p>
    <w:p w:rsidR="00817093" w:rsidRPr="00D30C6C" w:rsidRDefault="00817093" w:rsidP="00817093">
      <w:pPr>
        <w:spacing w:after="0" w:line="240" w:lineRule="auto"/>
        <w:rPr>
          <w:rFonts w:asciiTheme="minorHAnsi" w:hAnsiTheme="minorHAnsi" w:cs="Times New Roman"/>
          <w:szCs w:val="24"/>
        </w:rPr>
      </w:pPr>
    </w:p>
    <w:p w:rsidR="00817093" w:rsidRPr="00D30C6C" w:rsidRDefault="00817093" w:rsidP="00817093">
      <w:pPr>
        <w:spacing w:after="0" w:line="240" w:lineRule="auto"/>
        <w:rPr>
          <w:rFonts w:asciiTheme="minorHAnsi" w:hAnsiTheme="minorHAnsi" w:cs="Times New Roman"/>
          <w:szCs w:val="24"/>
        </w:rPr>
      </w:pPr>
      <w:r w:rsidRPr="00D30C6C">
        <w:rPr>
          <w:rFonts w:asciiTheme="minorHAnsi" w:hAnsiTheme="minorHAnsi" w:cs="Times New Roman"/>
          <w:szCs w:val="24"/>
        </w:rPr>
        <w:t>The Review’s recommendations will be directed toward achieving arrangements which are transparently cost-effective for Government and consumers, financially sustainable, considerate of current and future expectations for the community pharmacy sector, and effective in delivering quality health outcomes and promoting access and quality use of medicines, in the context of Australia’s National Medicines Policy and the broader Australian health sector.</w:t>
      </w:r>
    </w:p>
    <w:p w:rsidR="00817093" w:rsidRPr="00D30C6C" w:rsidRDefault="00817093" w:rsidP="00817093">
      <w:pPr>
        <w:spacing w:after="0" w:line="240" w:lineRule="auto"/>
        <w:rPr>
          <w:rFonts w:asciiTheme="minorHAnsi" w:hAnsiTheme="minorHAnsi" w:cs="Times New Roman"/>
          <w:szCs w:val="24"/>
        </w:rPr>
      </w:pPr>
      <w:r w:rsidRPr="00D30C6C">
        <w:rPr>
          <w:rFonts w:asciiTheme="minorHAnsi" w:hAnsiTheme="minorHAnsi" w:cs="Times New Roman"/>
          <w:szCs w:val="24"/>
        </w:rPr>
        <w:t>The Review will provide a report to the Minister for Health by 1 March 2017.</w:t>
      </w:r>
    </w:p>
    <w:p w:rsidR="00817093" w:rsidRDefault="00817093" w:rsidP="00817093">
      <w:pPr>
        <w:spacing w:after="0" w:line="240" w:lineRule="auto"/>
        <w:rPr>
          <w:rFonts w:asciiTheme="minorHAnsi" w:hAnsiTheme="minorHAnsi" w:cs="Times New Roman"/>
          <w:szCs w:val="24"/>
        </w:rPr>
      </w:pPr>
    </w:p>
    <w:p w:rsidR="00817093" w:rsidRPr="00D30C6C" w:rsidRDefault="00817093" w:rsidP="00817093">
      <w:pPr>
        <w:spacing w:after="0" w:line="240" w:lineRule="auto"/>
        <w:rPr>
          <w:rFonts w:asciiTheme="minorHAnsi" w:hAnsiTheme="minorHAnsi" w:cs="Times New Roman"/>
          <w:szCs w:val="24"/>
          <w:u w:val="single"/>
        </w:rPr>
      </w:pPr>
      <w:r w:rsidRPr="00D30C6C">
        <w:rPr>
          <w:rFonts w:asciiTheme="minorHAnsi" w:hAnsiTheme="minorHAnsi" w:cs="Times New Roman"/>
          <w:szCs w:val="24"/>
          <w:u w:val="single"/>
        </w:rPr>
        <w:t>The Expert Review of Medicines and Medical Devices Regulation</w:t>
      </w:r>
    </w:p>
    <w:p w:rsidR="00817093" w:rsidRDefault="00817093" w:rsidP="00817093">
      <w:pPr>
        <w:pStyle w:val="ListParagraph"/>
        <w:spacing w:after="0" w:line="240" w:lineRule="auto"/>
        <w:ind w:left="0"/>
        <w:contextualSpacing w:val="0"/>
        <w:rPr>
          <w:rFonts w:asciiTheme="minorHAnsi" w:hAnsiTheme="minorHAnsi" w:cs="Times New Roman"/>
          <w:szCs w:val="24"/>
        </w:rPr>
      </w:pPr>
    </w:p>
    <w:p w:rsidR="00817093" w:rsidRPr="00D30C6C" w:rsidRDefault="00817093" w:rsidP="00817093">
      <w:pPr>
        <w:pStyle w:val="ListParagraph"/>
        <w:spacing w:after="0" w:line="240" w:lineRule="auto"/>
        <w:ind w:left="0"/>
        <w:contextualSpacing w:val="0"/>
        <w:rPr>
          <w:rFonts w:asciiTheme="minorHAnsi" w:hAnsiTheme="minorHAnsi" w:cs="Times New Roman"/>
          <w:szCs w:val="24"/>
        </w:rPr>
      </w:pPr>
      <w:r>
        <w:rPr>
          <w:rFonts w:asciiTheme="minorHAnsi" w:hAnsiTheme="minorHAnsi" w:cs="Times New Roman"/>
          <w:szCs w:val="24"/>
        </w:rPr>
        <w:t xml:space="preserve">Emeritus </w:t>
      </w:r>
      <w:r w:rsidRPr="00D30C6C">
        <w:rPr>
          <w:rFonts w:asciiTheme="minorHAnsi" w:hAnsiTheme="minorHAnsi" w:cs="Times New Roman"/>
          <w:szCs w:val="24"/>
        </w:rPr>
        <w:t>Professor Lloyd Sansom</w:t>
      </w:r>
      <w:r>
        <w:rPr>
          <w:rFonts w:asciiTheme="minorHAnsi" w:hAnsiTheme="minorHAnsi" w:cs="Times New Roman"/>
          <w:szCs w:val="24"/>
        </w:rPr>
        <w:t xml:space="preserve"> AO</w:t>
      </w:r>
      <w:r w:rsidRPr="00D30C6C">
        <w:rPr>
          <w:rFonts w:asciiTheme="minorHAnsi" w:hAnsiTheme="minorHAnsi" w:cs="Times New Roman"/>
          <w:szCs w:val="24"/>
        </w:rPr>
        <w:t xml:space="preserve"> chaired this Review, which examined Australia’s medicines and medical devices regulatory framework and processes with a view to identifying:</w:t>
      </w:r>
    </w:p>
    <w:p w:rsidR="00817093" w:rsidRPr="00D30C6C" w:rsidRDefault="00817093" w:rsidP="00817093">
      <w:pPr>
        <w:pStyle w:val="ListParagraph"/>
        <w:spacing w:after="0" w:line="240" w:lineRule="auto"/>
        <w:ind w:left="0"/>
        <w:contextualSpacing w:val="0"/>
        <w:rPr>
          <w:rFonts w:asciiTheme="minorHAnsi" w:hAnsiTheme="minorHAnsi" w:cs="Times New Roman"/>
          <w:szCs w:val="24"/>
        </w:rPr>
      </w:pPr>
    </w:p>
    <w:p w:rsidR="00817093" w:rsidRPr="00D30C6C" w:rsidRDefault="00817093" w:rsidP="00817093">
      <w:pPr>
        <w:pStyle w:val="ListParagraph"/>
        <w:numPr>
          <w:ilvl w:val="0"/>
          <w:numId w:val="35"/>
        </w:numPr>
        <w:spacing w:after="0" w:line="240" w:lineRule="auto"/>
        <w:ind w:left="426" w:hanging="426"/>
        <w:contextualSpacing w:val="0"/>
        <w:rPr>
          <w:rFonts w:asciiTheme="minorHAnsi" w:hAnsiTheme="minorHAnsi" w:cs="Times New Roman"/>
          <w:szCs w:val="24"/>
        </w:rPr>
      </w:pPr>
      <w:r w:rsidRPr="00D30C6C">
        <w:rPr>
          <w:rFonts w:asciiTheme="minorHAnsi" w:hAnsiTheme="minorHAnsi" w:cs="Times New Roman"/>
          <w:szCs w:val="24"/>
        </w:rPr>
        <w:t xml:space="preserve">Areas of unnecessary, duplicative, or ineffective regulation that could be removed or streamlined without undermining the safety or quality of therapeutic goods available in Australia; and </w:t>
      </w:r>
    </w:p>
    <w:p w:rsidR="00817093" w:rsidRPr="00D30C6C" w:rsidRDefault="00817093" w:rsidP="00817093">
      <w:pPr>
        <w:pStyle w:val="ListParagraph"/>
        <w:spacing w:after="0" w:line="240" w:lineRule="auto"/>
        <w:ind w:left="426"/>
        <w:contextualSpacing w:val="0"/>
        <w:rPr>
          <w:rFonts w:asciiTheme="minorHAnsi" w:hAnsiTheme="minorHAnsi" w:cs="Times New Roman"/>
          <w:szCs w:val="24"/>
        </w:rPr>
      </w:pPr>
    </w:p>
    <w:p w:rsidR="00817093" w:rsidRPr="00D30C6C" w:rsidRDefault="00817093" w:rsidP="00817093">
      <w:pPr>
        <w:pStyle w:val="ListParagraph"/>
        <w:numPr>
          <w:ilvl w:val="0"/>
          <w:numId w:val="35"/>
        </w:numPr>
        <w:spacing w:after="0" w:line="240" w:lineRule="auto"/>
        <w:ind w:left="426" w:hanging="426"/>
        <w:contextualSpacing w:val="0"/>
        <w:rPr>
          <w:rFonts w:asciiTheme="minorHAnsi" w:hAnsiTheme="minorHAnsi" w:cs="Times New Roman"/>
          <w:szCs w:val="24"/>
        </w:rPr>
      </w:pPr>
      <w:r w:rsidRPr="00D30C6C">
        <w:rPr>
          <w:rFonts w:asciiTheme="minorHAnsi" w:hAnsiTheme="minorHAnsi" w:cs="Times New Roman"/>
          <w:szCs w:val="24"/>
        </w:rPr>
        <w:t>Opportunities to enhance the regulatory framework so that Australia continues to be well positioned to respond effectively to global trends in the development, manufacture, marketing and regulation of therapeutic goods.</w:t>
      </w:r>
    </w:p>
    <w:p w:rsidR="00817093" w:rsidRPr="00D30C6C" w:rsidRDefault="00817093" w:rsidP="00817093">
      <w:pPr>
        <w:pStyle w:val="ListParagraph"/>
        <w:spacing w:after="0" w:line="240" w:lineRule="auto"/>
        <w:ind w:left="426"/>
        <w:contextualSpacing w:val="0"/>
        <w:rPr>
          <w:rFonts w:asciiTheme="minorHAnsi" w:hAnsiTheme="minorHAnsi" w:cs="Times New Roman"/>
          <w:szCs w:val="24"/>
        </w:rPr>
      </w:pPr>
    </w:p>
    <w:p w:rsidR="00817093" w:rsidRPr="00D30C6C" w:rsidRDefault="00817093" w:rsidP="00817093">
      <w:pPr>
        <w:pStyle w:val="ListParagraph"/>
        <w:spacing w:after="0" w:line="240" w:lineRule="auto"/>
        <w:ind w:left="0"/>
        <w:contextualSpacing w:val="0"/>
        <w:rPr>
          <w:rFonts w:asciiTheme="minorHAnsi" w:hAnsiTheme="minorHAnsi" w:cs="Times New Roman"/>
          <w:szCs w:val="24"/>
        </w:rPr>
      </w:pPr>
      <w:r w:rsidRPr="00D30C6C">
        <w:rPr>
          <w:rFonts w:asciiTheme="minorHAnsi" w:hAnsiTheme="minorHAnsi" w:cs="Times New Roman"/>
          <w:szCs w:val="24"/>
        </w:rPr>
        <w:t>The Panel has provided the Government with its reports, which make a total of 58</w:t>
      </w:r>
      <w:r w:rsidR="00DA5107">
        <w:rPr>
          <w:rFonts w:asciiTheme="minorHAnsi" w:hAnsiTheme="minorHAnsi" w:cs="Times New Roman"/>
          <w:szCs w:val="24"/>
        </w:rPr>
        <w:t> </w:t>
      </w:r>
      <w:r w:rsidRPr="00D30C6C">
        <w:rPr>
          <w:rFonts w:asciiTheme="minorHAnsi" w:hAnsiTheme="minorHAnsi" w:cs="Times New Roman"/>
          <w:szCs w:val="24"/>
        </w:rPr>
        <w:t>recommendations.  It does not make recommendations regarding reimbursement schemes.</w:t>
      </w:r>
    </w:p>
    <w:p w:rsidR="00333745" w:rsidRDefault="00333745">
      <w:pPr>
        <w:rPr>
          <w:rFonts w:asciiTheme="minorHAnsi" w:hAnsiTheme="minorHAnsi" w:cs="Times New Roman"/>
          <w:szCs w:val="24"/>
        </w:rPr>
      </w:pPr>
      <w:r>
        <w:rPr>
          <w:rFonts w:asciiTheme="minorHAnsi" w:hAnsiTheme="minorHAnsi" w:cs="Times New Roman"/>
          <w:szCs w:val="24"/>
        </w:rPr>
        <w:br w:type="page"/>
      </w:r>
    </w:p>
    <w:p w:rsidR="00333745" w:rsidRPr="00007056" w:rsidRDefault="00333745" w:rsidP="00333745">
      <w:pPr>
        <w:pStyle w:val="Heading2"/>
        <w:spacing w:before="0"/>
      </w:pPr>
      <w:bookmarkStart w:id="20" w:name="_Toc445899317"/>
      <w:r>
        <w:t xml:space="preserve">APPENDIX </w:t>
      </w:r>
      <w:r w:rsidR="00601F3E">
        <w:t>C</w:t>
      </w:r>
      <w:r>
        <w:t xml:space="preserve"> </w:t>
      </w:r>
      <w:r>
        <w:tab/>
      </w:r>
      <w:r>
        <w:tab/>
        <w:t>Workflow</w:t>
      </w:r>
      <w:bookmarkEnd w:id="20"/>
    </w:p>
    <w:p w:rsidR="00333745" w:rsidRDefault="00DA5107" w:rsidP="00817093">
      <w:pPr>
        <w:spacing w:before="120" w:after="0"/>
        <w:rPr>
          <w:rFonts w:asciiTheme="minorHAnsi" w:hAnsiTheme="minorHAnsi" w:cs="Times New Roman"/>
          <w:szCs w:val="24"/>
        </w:rPr>
      </w:pPr>
      <w:r w:rsidRPr="00DA5107">
        <w:rPr>
          <w:rFonts w:asciiTheme="minorHAnsi" w:hAnsiTheme="minorHAnsi" w:cs="Times New Roman"/>
          <w:szCs w:val="24"/>
        </w:rPr>
        <w:object w:dxaOrig="15218" w:dyaOrig="22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5pt;height:670.6pt" o:ole="">
            <v:imagedata r:id="rId13" o:title=""/>
          </v:shape>
          <o:OLEObject Type="Embed" ProgID="Visio.Drawing.11" ShapeID="_x0000_i1025" DrawAspect="Content" ObjectID="_1519643570" r:id="rId14"/>
        </w:object>
      </w:r>
    </w:p>
    <w:sectPr w:rsidR="00333745" w:rsidSect="0081758F">
      <w:footerReference w:type="default" r:id="rId15"/>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BEB" w:rsidRDefault="000C4BEB" w:rsidP="007A283B">
      <w:pPr>
        <w:spacing w:after="0" w:line="240" w:lineRule="auto"/>
      </w:pPr>
      <w:r>
        <w:separator/>
      </w:r>
    </w:p>
  </w:endnote>
  <w:endnote w:type="continuationSeparator" w:id="0">
    <w:p w:rsidR="000C4BEB" w:rsidRDefault="000C4BEB" w:rsidP="007A2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352264"/>
      <w:docPartObj>
        <w:docPartGallery w:val="Page Numbers (Bottom of Page)"/>
        <w:docPartUnique/>
      </w:docPartObj>
    </w:sdtPr>
    <w:sdtEndPr/>
    <w:sdtContent>
      <w:sdt>
        <w:sdtPr>
          <w:id w:val="-574740337"/>
          <w:docPartObj>
            <w:docPartGallery w:val="Page Numbers (Top of Page)"/>
            <w:docPartUnique/>
          </w:docPartObj>
        </w:sdtPr>
        <w:sdtEndPr/>
        <w:sdtContent>
          <w:p w:rsidR="006D1E76" w:rsidRDefault="006D1E76">
            <w:pPr>
              <w:pStyle w:val="Footer"/>
              <w:jc w:val="right"/>
            </w:pPr>
            <w:r w:rsidRPr="00460D20">
              <w:rPr>
                <w:rFonts w:asciiTheme="minorHAnsi" w:hAnsiTheme="minorHAnsi"/>
                <w:szCs w:val="24"/>
              </w:rPr>
              <w:t xml:space="preserve">Page </w:t>
            </w:r>
            <w:r w:rsidRPr="00460D20">
              <w:rPr>
                <w:rFonts w:asciiTheme="minorHAnsi" w:hAnsiTheme="minorHAnsi"/>
                <w:bCs/>
                <w:szCs w:val="24"/>
              </w:rPr>
              <w:fldChar w:fldCharType="begin"/>
            </w:r>
            <w:r w:rsidRPr="00460D20">
              <w:rPr>
                <w:rFonts w:asciiTheme="minorHAnsi" w:hAnsiTheme="minorHAnsi"/>
                <w:bCs/>
                <w:szCs w:val="24"/>
              </w:rPr>
              <w:instrText xml:space="preserve"> PAGE </w:instrText>
            </w:r>
            <w:r w:rsidRPr="00460D20">
              <w:rPr>
                <w:rFonts w:asciiTheme="minorHAnsi" w:hAnsiTheme="minorHAnsi"/>
                <w:bCs/>
                <w:szCs w:val="24"/>
              </w:rPr>
              <w:fldChar w:fldCharType="separate"/>
            </w:r>
            <w:r w:rsidR="00003989">
              <w:rPr>
                <w:rFonts w:asciiTheme="minorHAnsi" w:hAnsiTheme="minorHAnsi"/>
                <w:bCs/>
                <w:noProof/>
                <w:szCs w:val="24"/>
              </w:rPr>
              <w:t>2</w:t>
            </w:r>
            <w:r w:rsidRPr="00460D20">
              <w:rPr>
                <w:rFonts w:asciiTheme="minorHAnsi" w:hAnsiTheme="minorHAnsi"/>
                <w:bCs/>
                <w:szCs w:val="24"/>
              </w:rPr>
              <w:fldChar w:fldCharType="end"/>
            </w:r>
            <w:r w:rsidRPr="00460D20">
              <w:rPr>
                <w:rFonts w:asciiTheme="minorHAnsi" w:hAnsiTheme="minorHAnsi"/>
                <w:szCs w:val="24"/>
              </w:rPr>
              <w:t xml:space="preserve"> of </w:t>
            </w:r>
            <w:r w:rsidRPr="00460D20">
              <w:rPr>
                <w:rFonts w:asciiTheme="minorHAnsi" w:hAnsiTheme="minorHAnsi"/>
                <w:bCs/>
                <w:szCs w:val="24"/>
              </w:rPr>
              <w:fldChar w:fldCharType="begin"/>
            </w:r>
            <w:r w:rsidRPr="00460D20">
              <w:rPr>
                <w:rFonts w:asciiTheme="minorHAnsi" w:hAnsiTheme="minorHAnsi"/>
                <w:bCs/>
                <w:szCs w:val="24"/>
              </w:rPr>
              <w:instrText xml:space="preserve"> NUMPAGES  </w:instrText>
            </w:r>
            <w:r w:rsidRPr="00460D20">
              <w:rPr>
                <w:rFonts w:asciiTheme="minorHAnsi" w:hAnsiTheme="minorHAnsi"/>
                <w:bCs/>
                <w:szCs w:val="24"/>
              </w:rPr>
              <w:fldChar w:fldCharType="separate"/>
            </w:r>
            <w:r w:rsidR="00003989">
              <w:rPr>
                <w:rFonts w:asciiTheme="minorHAnsi" w:hAnsiTheme="minorHAnsi"/>
                <w:bCs/>
                <w:noProof/>
                <w:szCs w:val="24"/>
              </w:rPr>
              <w:t>9</w:t>
            </w:r>
            <w:r w:rsidRPr="00460D20">
              <w:rPr>
                <w:rFonts w:asciiTheme="minorHAnsi" w:hAnsiTheme="minorHAnsi"/>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BEB" w:rsidRDefault="000C4BEB" w:rsidP="007A283B">
      <w:pPr>
        <w:spacing w:after="0" w:line="240" w:lineRule="auto"/>
      </w:pPr>
      <w:r>
        <w:separator/>
      </w:r>
    </w:p>
  </w:footnote>
  <w:footnote w:type="continuationSeparator" w:id="0">
    <w:p w:rsidR="000C4BEB" w:rsidRDefault="000C4BEB" w:rsidP="007A283B">
      <w:pPr>
        <w:spacing w:after="0" w:line="240" w:lineRule="auto"/>
      </w:pPr>
      <w:r>
        <w:continuationSeparator/>
      </w:r>
    </w:p>
  </w:footnote>
  <w:footnote w:id="1">
    <w:p w:rsidR="006D1E76" w:rsidRPr="00681D87" w:rsidRDefault="006D1E76" w:rsidP="00366FC0">
      <w:pPr>
        <w:pStyle w:val="FootnoteText"/>
        <w:rPr>
          <w:rFonts w:asciiTheme="minorHAnsi" w:hAnsiTheme="minorHAnsi"/>
        </w:rPr>
      </w:pPr>
      <w:r w:rsidRPr="00681D87">
        <w:rPr>
          <w:rStyle w:val="FootnoteReference"/>
          <w:rFonts w:asciiTheme="minorHAnsi" w:hAnsiTheme="minorHAnsi"/>
        </w:rPr>
        <w:footnoteRef/>
      </w:r>
      <w:r w:rsidRPr="00681D87">
        <w:rPr>
          <w:rFonts w:asciiTheme="minorHAnsi" w:hAnsiTheme="minorHAnsi"/>
        </w:rPr>
        <w:t xml:space="preserve"> Approved Section 90 pharmacies are required to be accredited through an approved pharmacy accreditation </w:t>
      </w:r>
      <w:r w:rsidR="00D64C5C">
        <w:rPr>
          <w:rFonts w:asciiTheme="minorHAnsi" w:hAnsiTheme="minorHAnsi"/>
        </w:rPr>
        <w:t>program</w:t>
      </w:r>
      <w:r w:rsidRPr="00681D87">
        <w:rPr>
          <w:rFonts w:asciiTheme="minorHAnsi" w:hAnsiTheme="minorHAnsi"/>
        </w:rPr>
        <w:t xml:space="preserve">, display and adhere with the Community Pharmacy Service Charter and display a Customer Service Statement.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6D33"/>
    <w:multiLevelType w:val="hybridMultilevel"/>
    <w:tmpl w:val="F5A21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932524"/>
    <w:multiLevelType w:val="hybridMultilevel"/>
    <w:tmpl w:val="E354C654"/>
    <w:lvl w:ilvl="0" w:tplc="90FCB558">
      <w:start w:val="1"/>
      <w:numFmt w:val="decimal"/>
      <w:lvlText w:val="1.%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E04F38"/>
    <w:multiLevelType w:val="multilevel"/>
    <w:tmpl w:val="C5E2E6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F92F2D"/>
    <w:multiLevelType w:val="hybridMultilevel"/>
    <w:tmpl w:val="2CECA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C0365F"/>
    <w:multiLevelType w:val="hybridMultilevel"/>
    <w:tmpl w:val="55169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7716A3"/>
    <w:multiLevelType w:val="hybridMultilevel"/>
    <w:tmpl w:val="5DEA53FA"/>
    <w:lvl w:ilvl="0" w:tplc="D76ABBD4">
      <w:start w:val="100"/>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8CC4E21"/>
    <w:multiLevelType w:val="multilevel"/>
    <w:tmpl w:val="F69C6AE6"/>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28D5345A"/>
    <w:multiLevelType w:val="hybridMultilevel"/>
    <w:tmpl w:val="604EF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6234EC"/>
    <w:multiLevelType w:val="hybridMultilevel"/>
    <w:tmpl w:val="5F629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27277B9"/>
    <w:multiLevelType w:val="hybridMultilevel"/>
    <w:tmpl w:val="DC3ED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AD1295E"/>
    <w:multiLevelType w:val="hybridMultilevel"/>
    <w:tmpl w:val="6E74D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0C47B2"/>
    <w:multiLevelType w:val="hybridMultilevel"/>
    <w:tmpl w:val="8EB2EA88"/>
    <w:lvl w:ilvl="0" w:tplc="0C090001">
      <w:start w:val="1"/>
      <w:numFmt w:val="bullet"/>
      <w:lvlText w:val=""/>
      <w:lvlJc w:val="left"/>
      <w:pPr>
        <w:ind w:left="837" w:hanging="360"/>
      </w:pPr>
      <w:rPr>
        <w:rFonts w:ascii="Symbol" w:hAnsi="Symbol" w:hint="default"/>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12">
    <w:nsid w:val="3F090628"/>
    <w:multiLevelType w:val="hybridMultilevel"/>
    <w:tmpl w:val="9B7ED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15B14C3"/>
    <w:multiLevelType w:val="hybridMultilevel"/>
    <w:tmpl w:val="0DB2A292"/>
    <w:lvl w:ilvl="0" w:tplc="D76ABBD4">
      <w:start w:val="100"/>
      <w:numFmt w:val="bullet"/>
      <w:lvlText w:val="-"/>
      <w:lvlJc w:val="left"/>
      <w:pPr>
        <w:ind w:left="1146" w:hanging="360"/>
      </w:pPr>
      <w:rPr>
        <w:rFonts w:ascii="Times New Roman" w:eastAsia="Times New Roman" w:hAnsi="Times New Roman" w:cs="Times New Roman"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nsid w:val="444F3E4F"/>
    <w:multiLevelType w:val="hybridMultilevel"/>
    <w:tmpl w:val="309A0238"/>
    <w:lvl w:ilvl="0" w:tplc="D76ABBD4">
      <w:start w:val="100"/>
      <w:numFmt w:val="bullet"/>
      <w:lvlText w:val="-"/>
      <w:lvlJc w:val="left"/>
      <w:pPr>
        <w:ind w:left="1146" w:hanging="360"/>
      </w:pPr>
      <w:rPr>
        <w:rFonts w:ascii="Times New Roman" w:eastAsia="Times New Roman" w:hAnsi="Times New Roman" w:cs="Times New Roman"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nsid w:val="4577290B"/>
    <w:multiLevelType w:val="hybridMultilevel"/>
    <w:tmpl w:val="DC38E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6D50F07"/>
    <w:multiLevelType w:val="hybridMultilevel"/>
    <w:tmpl w:val="E354C654"/>
    <w:lvl w:ilvl="0" w:tplc="90FCB558">
      <w:start w:val="1"/>
      <w:numFmt w:val="decimal"/>
      <w:lvlText w:val="1.%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BAC4552"/>
    <w:multiLevelType w:val="hybridMultilevel"/>
    <w:tmpl w:val="51A8FF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4CEA7F22"/>
    <w:multiLevelType w:val="hybridMultilevel"/>
    <w:tmpl w:val="FAC03B48"/>
    <w:lvl w:ilvl="0" w:tplc="D76ABBD4">
      <w:start w:val="100"/>
      <w:numFmt w:val="bullet"/>
      <w:lvlText w:val="-"/>
      <w:lvlJc w:val="left"/>
      <w:pPr>
        <w:ind w:left="1146" w:hanging="360"/>
      </w:pPr>
      <w:rPr>
        <w:rFonts w:ascii="Times New Roman" w:eastAsia="Times New Roman" w:hAnsi="Times New Roman" w:cs="Times New Roman"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nsid w:val="50685970"/>
    <w:multiLevelType w:val="hybridMultilevel"/>
    <w:tmpl w:val="C00C1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1BC6FE0"/>
    <w:multiLevelType w:val="hybridMultilevel"/>
    <w:tmpl w:val="6F661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40767E8"/>
    <w:multiLevelType w:val="multilevel"/>
    <w:tmpl w:val="C5E2E6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CF734D"/>
    <w:multiLevelType w:val="hybridMultilevel"/>
    <w:tmpl w:val="40460D56"/>
    <w:lvl w:ilvl="0" w:tplc="D76ABBD4">
      <w:start w:val="100"/>
      <w:numFmt w:val="bullet"/>
      <w:lvlText w:val="-"/>
      <w:lvlJc w:val="left"/>
      <w:pPr>
        <w:ind w:left="1146" w:hanging="360"/>
      </w:pPr>
      <w:rPr>
        <w:rFonts w:ascii="Times New Roman" w:eastAsia="Times New Roman" w:hAnsi="Times New Roman" w:cs="Times New Roman"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nsid w:val="584C149B"/>
    <w:multiLevelType w:val="hybridMultilevel"/>
    <w:tmpl w:val="5A8AC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9A5537B"/>
    <w:multiLevelType w:val="hybridMultilevel"/>
    <w:tmpl w:val="CB668F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D0B32AC"/>
    <w:multiLevelType w:val="hybridMultilevel"/>
    <w:tmpl w:val="28EC3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3655E49"/>
    <w:multiLevelType w:val="multilevel"/>
    <w:tmpl w:val="CEA2A8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9F6D88"/>
    <w:multiLevelType w:val="hybridMultilevel"/>
    <w:tmpl w:val="6F56D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53E3CA6"/>
    <w:multiLevelType w:val="multilevel"/>
    <w:tmpl w:val="C5E2E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8EC6F6E"/>
    <w:multiLevelType w:val="hybridMultilevel"/>
    <w:tmpl w:val="44A87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92C074F"/>
    <w:multiLevelType w:val="multilevel"/>
    <w:tmpl w:val="16B20D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94E1D0B"/>
    <w:multiLevelType w:val="hybridMultilevel"/>
    <w:tmpl w:val="AAEE0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A3E2B29"/>
    <w:multiLevelType w:val="hybridMultilevel"/>
    <w:tmpl w:val="51302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C1476C0"/>
    <w:multiLevelType w:val="hybridMultilevel"/>
    <w:tmpl w:val="E2C8B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CA5503D"/>
    <w:multiLevelType w:val="hybridMultilevel"/>
    <w:tmpl w:val="E56E5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F87603C"/>
    <w:multiLevelType w:val="hybridMultilevel"/>
    <w:tmpl w:val="30209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5645B2E"/>
    <w:multiLevelType w:val="hybridMultilevel"/>
    <w:tmpl w:val="6E46F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5BB67F9"/>
    <w:multiLevelType w:val="hybridMultilevel"/>
    <w:tmpl w:val="01743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ACE7D33"/>
    <w:multiLevelType w:val="hybridMultilevel"/>
    <w:tmpl w:val="E2C413CE"/>
    <w:lvl w:ilvl="0" w:tplc="D76ABBD4">
      <w:start w:val="100"/>
      <w:numFmt w:val="bullet"/>
      <w:lvlText w:val="-"/>
      <w:lvlJc w:val="left"/>
      <w:pPr>
        <w:ind w:left="1146" w:hanging="360"/>
      </w:pPr>
      <w:rPr>
        <w:rFonts w:ascii="Times New Roman" w:eastAsia="Times New Roman" w:hAnsi="Times New Roman" w:cs="Times New Roman"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24"/>
  </w:num>
  <w:num w:numId="2">
    <w:abstractNumId w:val="32"/>
  </w:num>
  <w:num w:numId="3">
    <w:abstractNumId w:val="29"/>
  </w:num>
  <w:num w:numId="4">
    <w:abstractNumId w:val="34"/>
  </w:num>
  <w:num w:numId="5">
    <w:abstractNumId w:val="31"/>
  </w:num>
  <w:num w:numId="6">
    <w:abstractNumId w:val="3"/>
  </w:num>
  <w:num w:numId="7">
    <w:abstractNumId w:val="11"/>
  </w:num>
  <w:num w:numId="8">
    <w:abstractNumId w:val="4"/>
  </w:num>
  <w:num w:numId="9">
    <w:abstractNumId w:val="16"/>
  </w:num>
  <w:num w:numId="10">
    <w:abstractNumId w:val="20"/>
  </w:num>
  <w:num w:numId="11">
    <w:abstractNumId w:val="28"/>
  </w:num>
  <w:num w:numId="12">
    <w:abstractNumId w:val="21"/>
  </w:num>
  <w:num w:numId="13">
    <w:abstractNumId w:val="2"/>
  </w:num>
  <w:num w:numId="14">
    <w:abstractNumId w:val="6"/>
  </w:num>
  <w:num w:numId="15">
    <w:abstractNumId w:val="10"/>
  </w:num>
  <w:num w:numId="16">
    <w:abstractNumId w:val="0"/>
  </w:num>
  <w:num w:numId="17">
    <w:abstractNumId w:val="30"/>
  </w:num>
  <w:num w:numId="18">
    <w:abstractNumId w:val="1"/>
  </w:num>
  <w:num w:numId="19">
    <w:abstractNumId w:val="26"/>
  </w:num>
  <w:num w:numId="20">
    <w:abstractNumId w:val="15"/>
  </w:num>
  <w:num w:numId="21">
    <w:abstractNumId w:val="37"/>
  </w:num>
  <w:num w:numId="22">
    <w:abstractNumId w:val="14"/>
  </w:num>
  <w:num w:numId="23">
    <w:abstractNumId w:val="13"/>
  </w:num>
  <w:num w:numId="24">
    <w:abstractNumId w:val="22"/>
  </w:num>
  <w:num w:numId="25">
    <w:abstractNumId w:val="5"/>
  </w:num>
  <w:num w:numId="26">
    <w:abstractNumId w:val="18"/>
  </w:num>
  <w:num w:numId="27">
    <w:abstractNumId w:val="38"/>
  </w:num>
  <w:num w:numId="28">
    <w:abstractNumId w:val="23"/>
  </w:num>
  <w:num w:numId="29">
    <w:abstractNumId w:val="8"/>
  </w:num>
  <w:num w:numId="30">
    <w:abstractNumId w:val="27"/>
  </w:num>
  <w:num w:numId="31">
    <w:abstractNumId w:val="17"/>
  </w:num>
  <w:num w:numId="32">
    <w:abstractNumId w:val="36"/>
  </w:num>
  <w:num w:numId="33">
    <w:abstractNumId w:val="7"/>
  </w:num>
  <w:num w:numId="34">
    <w:abstractNumId w:val="9"/>
  </w:num>
  <w:num w:numId="35">
    <w:abstractNumId w:val="25"/>
  </w:num>
  <w:num w:numId="36">
    <w:abstractNumId w:val="35"/>
  </w:num>
  <w:num w:numId="37">
    <w:abstractNumId w:val="12"/>
  </w:num>
  <w:num w:numId="38">
    <w:abstractNumId w:val="19"/>
  </w:num>
  <w:num w:numId="39">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EF"/>
    <w:rsid w:val="000021DD"/>
    <w:rsid w:val="00003989"/>
    <w:rsid w:val="00005B86"/>
    <w:rsid w:val="0000652F"/>
    <w:rsid w:val="00007056"/>
    <w:rsid w:val="000151EB"/>
    <w:rsid w:val="00016208"/>
    <w:rsid w:val="000269C4"/>
    <w:rsid w:val="0003541B"/>
    <w:rsid w:val="0004088B"/>
    <w:rsid w:val="00054F82"/>
    <w:rsid w:val="000604C4"/>
    <w:rsid w:val="00062167"/>
    <w:rsid w:val="00065B49"/>
    <w:rsid w:val="00077960"/>
    <w:rsid w:val="00077F75"/>
    <w:rsid w:val="00085F8E"/>
    <w:rsid w:val="00090356"/>
    <w:rsid w:val="00091ACE"/>
    <w:rsid w:val="00094AE7"/>
    <w:rsid w:val="000951A0"/>
    <w:rsid w:val="0009621E"/>
    <w:rsid w:val="000A300F"/>
    <w:rsid w:val="000A34D9"/>
    <w:rsid w:val="000A7C96"/>
    <w:rsid w:val="000B3CE8"/>
    <w:rsid w:val="000B48F4"/>
    <w:rsid w:val="000C17B4"/>
    <w:rsid w:val="000C27A2"/>
    <w:rsid w:val="000C4BEB"/>
    <w:rsid w:val="000C7035"/>
    <w:rsid w:val="000D06FB"/>
    <w:rsid w:val="000D4108"/>
    <w:rsid w:val="000E3A37"/>
    <w:rsid w:val="000E535D"/>
    <w:rsid w:val="000F1355"/>
    <w:rsid w:val="000F4312"/>
    <w:rsid w:val="00111405"/>
    <w:rsid w:val="00123041"/>
    <w:rsid w:val="001260E2"/>
    <w:rsid w:val="00130BDD"/>
    <w:rsid w:val="00131542"/>
    <w:rsid w:val="00133D4F"/>
    <w:rsid w:val="00137C78"/>
    <w:rsid w:val="00151A11"/>
    <w:rsid w:val="001531F1"/>
    <w:rsid w:val="00173E9D"/>
    <w:rsid w:val="00175562"/>
    <w:rsid w:val="001778C4"/>
    <w:rsid w:val="00180A89"/>
    <w:rsid w:val="001820CC"/>
    <w:rsid w:val="00184714"/>
    <w:rsid w:val="0018538E"/>
    <w:rsid w:val="00185901"/>
    <w:rsid w:val="0019337A"/>
    <w:rsid w:val="00195F89"/>
    <w:rsid w:val="001974A7"/>
    <w:rsid w:val="001A2817"/>
    <w:rsid w:val="001A2E7A"/>
    <w:rsid w:val="001B2787"/>
    <w:rsid w:val="001C1370"/>
    <w:rsid w:val="001C5E1E"/>
    <w:rsid w:val="001D3DFA"/>
    <w:rsid w:val="001D5018"/>
    <w:rsid w:val="001E12A2"/>
    <w:rsid w:val="001E7CE9"/>
    <w:rsid w:val="001F7CE9"/>
    <w:rsid w:val="00200850"/>
    <w:rsid w:val="00207886"/>
    <w:rsid w:val="00210E42"/>
    <w:rsid w:val="00214E67"/>
    <w:rsid w:val="00215073"/>
    <w:rsid w:val="002236E4"/>
    <w:rsid w:val="0022409E"/>
    <w:rsid w:val="00227AE2"/>
    <w:rsid w:val="00233A9A"/>
    <w:rsid w:val="00245DF1"/>
    <w:rsid w:val="00245EC5"/>
    <w:rsid w:val="0024687B"/>
    <w:rsid w:val="00265F42"/>
    <w:rsid w:val="002668E1"/>
    <w:rsid w:val="00275EE4"/>
    <w:rsid w:val="00280466"/>
    <w:rsid w:val="002900E5"/>
    <w:rsid w:val="00294B43"/>
    <w:rsid w:val="00295220"/>
    <w:rsid w:val="00297CF0"/>
    <w:rsid w:val="002A5B73"/>
    <w:rsid w:val="002B008B"/>
    <w:rsid w:val="002C09DB"/>
    <w:rsid w:val="002C10ED"/>
    <w:rsid w:val="002C17DD"/>
    <w:rsid w:val="002C2DC7"/>
    <w:rsid w:val="002C7D27"/>
    <w:rsid w:val="002D5FEB"/>
    <w:rsid w:val="002E0912"/>
    <w:rsid w:val="002E6801"/>
    <w:rsid w:val="002F06FB"/>
    <w:rsid w:val="002F20EF"/>
    <w:rsid w:val="002F556C"/>
    <w:rsid w:val="00300B81"/>
    <w:rsid w:val="00303142"/>
    <w:rsid w:val="003048BA"/>
    <w:rsid w:val="0030599D"/>
    <w:rsid w:val="00306A9F"/>
    <w:rsid w:val="00306F8F"/>
    <w:rsid w:val="003104E4"/>
    <w:rsid w:val="00330E93"/>
    <w:rsid w:val="00333745"/>
    <w:rsid w:val="00335414"/>
    <w:rsid w:val="003624C8"/>
    <w:rsid w:val="00366FC0"/>
    <w:rsid w:val="00370824"/>
    <w:rsid w:val="0038427B"/>
    <w:rsid w:val="00387F57"/>
    <w:rsid w:val="00391640"/>
    <w:rsid w:val="003A0E89"/>
    <w:rsid w:val="003B4BA6"/>
    <w:rsid w:val="003B4BFE"/>
    <w:rsid w:val="003B4CFF"/>
    <w:rsid w:val="003B5579"/>
    <w:rsid w:val="003C55AA"/>
    <w:rsid w:val="003D37FD"/>
    <w:rsid w:val="003D6D7D"/>
    <w:rsid w:val="003D7167"/>
    <w:rsid w:val="003D7D4C"/>
    <w:rsid w:val="003E3629"/>
    <w:rsid w:val="003E7C4B"/>
    <w:rsid w:val="003F1DF4"/>
    <w:rsid w:val="003F3E9F"/>
    <w:rsid w:val="00402A17"/>
    <w:rsid w:val="00405125"/>
    <w:rsid w:val="00423B3C"/>
    <w:rsid w:val="00432409"/>
    <w:rsid w:val="0043457F"/>
    <w:rsid w:val="00434AE5"/>
    <w:rsid w:val="00436BC8"/>
    <w:rsid w:val="00440679"/>
    <w:rsid w:val="004454A8"/>
    <w:rsid w:val="00452634"/>
    <w:rsid w:val="004538FB"/>
    <w:rsid w:val="00455E8C"/>
    <w:rsid w:val="00460D20"/>
    <w:rsid w:val="004653A7"/>
    <w:rsid w:val="00466D6F"/>
    <w:rsid w:val="004678A1"/>
    <w:rsid w:val="0048166B"/>
    <w:rsid w:val="0049273A"/>
    <w:rsid w:val="00496D92"/>
    <w:rsid w:val="004A4493"/>
    <w:rsid w:val="004A69BE"/>
    <w:rsid w:val="004B331D"/>
    <w:rsid w:val="004B6953"/>
    <w:rsid w:val="004C3645"/>
    <w:rsid w:val="004C7559"/>
    <w:rsid w:val="004C7B07"/>
    <w:rsid w:val="004E5BE9"/>
    <w:rsid w:val="004E6C7F"/>
    <w:rsid w:val="004F2CBD"/>
    <w:rsid w:val="004F6C01"/>
    <w:rsid w:val="0050505B"/>
    <w:rsid w:val="0051225A"/>
    <w:rsid w:val="005144C3"/>
    <w:rsid w:val="00521A03"/>
    <w:rsid w:val="0053252C"/>
    <w:rsid w:val="005347D3"/>
    <w:rsid w:val="0054248E"/>
    <w:rsid w:val="00555D9B"/>
    <w:rsid w:val="005625CF"/>
    <w:rsid w:val="0056433F"/>
    <w:rsid w:val="005809C7"/>
    <w:rsid w:val="0058367A"/>
    <w:rsid w:val="00584587"/>
    <w:rsid w:val="00584A67"/>
    <w:rsid w:val="00593604"/>
    <w:rsid w:val="005A0E1A"/>
    <w:rsid w:val="005A3DB0"/>
    <w:rsid w:val="005A440F"/>
    <w:rsid w:val="005A581D"/>
    <w:rsid w:val="005A61C5"/>
    <w:rsid w:val="005A6C5B"/>
    <w:rsid w:val="005B106B"/>
    <w:rsid w:val="005B7142"/>
    <w:rsid w:val="005B7790"/>
    <w:rsid w:val="005C3BE0"/>
    <w:rsid w:val="005D0393"/>
    <w:rsid w:val="005D475E"/>
    <w:rsid w:val="005E3847"/>
    <w:rsid w:val="005F4A15"/>
    <w:rsid w:val="005F535F"/>
    <w:rsid w:val="005F5713"/>
    <w:rsid w:val="005F793C"/>
    <w:rsid w:val="00600CF2"/>
    <w:rsid w:val="00601F3E"/>
    <w:rsid w:val="00610755"/>
    <w:rsid w:val="00610B33"/>
    <w:rsid w:val="00616556"/>
    <w:rsid w:val="00623276"/>
    <w:rsid w:val="00623D50"/>
    <w:rsid w:val="00633BAA"/>
    <w:rsid w:val="00635068"/>
    <w:rsid w:val="00635A03"/>
    <w:rsid w:val="00635A71"/>
    <w:rsid w:val="00636939"/>
    <w:rsid w:val="00641D6E"/>
    <w:rsid w:val="006427F6"/>
    <w:rsid w:val="00660450"/>
    <w:rsid w:val="006648A3"/>
    <w:rsid w:val="00665661"/>
    <w:rsid w:val="0067169C"/>
    <w:rsid w:val="00681D87"/>
    <w:rsid w:val="0069421E"/>
    <w:rsid w:val="00694593"/>
    <w:rsid w:val="006A3D93"/>
    <w:rsid w:val="006A5FD1"/>
    <w:rsid w:val="006B6218"/>
    <w:rsid w:val="006B79BE"/>
    <w:rsid w:val="006C1D19"/>
    <w:rsid w:val="006C7134"/>
    <w:rsid w:val="006C7700"/>
    <w:rsid w:val="006D0EDB"/>
    <w:rsid w:val="006D1E76"/>
    <w:rsid w:val="006D2656"/>
    <w:rsid w:val="006D79B0"/>
    <w:rsid w:val="006E130B"/>
    <w:rsid w:val="006E4FF6"/>
    <w:rsid w:val="006E53AE"/>
    <w:rsid w:val="006E5438"/>
    <w:rsid w:val="006F21B2"/>
    <w:rsid w:val="006F491B"/>
    <w:rsid w:val="006F786F"/>
    <w:rsid w:val="00701758"/>
    <w:rsid w:val="007018A1"/>
    <w:rsid w:val="00706853"/>
    <w:rsid w:val="007131F6"/>
    <w:rsid w:val="007142D9"/>
    <w:rsid w:val="007144CA"/>
    <w:rsid w:val="007148CB"/>
    <w:rsid w:val="007209D2"/>
    <w:rsid w:val="00723032"/>
    <w:rsid w:val="00726E87"/>
    <w:rsid w:val="00726EB0"/>
    <w:rsid w:val="00734733"/>
    <w:rsid w:val="00742BA5"/>
    <w:rsid w:val="00753948"/>
    <w:rsid w:val="00755819"/>
    <w:rsid w:val="00761B3D"/>
    <w:rsid w:val="00764413"/>
    <w:rsid w:val="007646AF"/>
    <w:rsid w:val="00772285"/>
    <w:rsid w:val="00772D7A"/>
    <w:rsid w:val="00774945"/>
    <w:rsid w:val="00776C7B"/>
    <w:rsid w:val="00791CE8"/>
    <w:rsid w:val="007960D8"/>
    <w:rsid w:val="007A0555"/>
    <w:rsid w:val="007A283B"/>
    <w:rsid w:val="007A5D23"/>
    <w:rsid w:val="007A7262"/>
    <w:rsid w:val="007B6C49"/>
    <w:rsid w:val="007B7A3D"/>
    <w:rsid w:val="007C38A8"/>
    <w:rsid w:val="007C5261"/>
    <w:rsid w:val="007C6444"/>
    <w:rsid w:val="007D65C2"/>
    <w:rsid w:val="007E438F"/>
    <w:rsid w:val="007E587E"/>
    <w:rsid w:val="007F12E6"/>
    <w:rsid w:val="007F2924"/>
    <w:rsid w:val="007F4E20"/>
    <w:rsid w:val="008001B6"/>
    <w:rsid w:val="008004CB"/>
    <w:rsid w:val="00801BF2"/>
    <w:rsid w:val="0080541D"/>
    <w:rsid w:val="00816216"/>
    <w:rsid w:val="00817093"/>
    <w:rsid w:val="0081758F"/>
    <w:rsid w:val="0082384B"/>
    <w:rsid w:val="00827D96"/>
    <w:rsid w:val="00830887"/>
    <w:rsid w:val="008353A8"/>
    <w:rsid w:val="0083626A"/>
    <w:rsid w:val="0083674B"/>
    <w:rsid w:val="00857833"/>
    <w:rsid w:val="008652AC"/>
    <w:rsid w:val="00866BC2"/>
    <w:rsid w:val="00867D95"/>
    <w:rsid w:val="00876DCB"/>
    <w:rsid w:val="0088584E"/>
    <w:rsid w:val="0088603E"/>
    <w:rsid w:val="0088696D"/>
    <w:rsid w:val="00893F45"/>
    <w:rsid w:val="00895D86"/>
    <w:rsid w:val="008A39B3"/>
    <w:rsid w:val="008A6BF1"/>
    <w:rsid w:val="008B142C"/>
    <w:rsid w:val="008B2D3B"/>
    <w:rsid w:val="008B4A8E"/>
    <w:rsid w:val="008B6825"/>
    <w:rsid w:val="008B7124"/>
    <w:rsid w:val="008B7AEB"/>
    <w:rsid w:val="008D0CB0"/>
    <w:rsid w:val="008D3B33"/>
    <w:rsid w:val="008D6459"/>
    <w:rsid w:val="008E1817"/>
    <w:rsid w:val="008E58A9"/>
    <w:rsid w:val="008E59D3"/>
    <w:rsid w:val="008E75BA"/>
    <w:rsid w:val="008F1714"/>
    <w:rsid w:val="00901043"/>
    <w:rsid w:val="00917FB9"/>
    <w:rsid w:val="00923433"/>
    <w:rsid w:val="009323EC"/>
    <w:rsid w:val="00934D8A"/>
    <w:rsid w:val="00946670"/>
    <w:rsid w:val="00956C6B"/>
    <w:rsid w:val="00962027"/>
    <w:rsid w:val="009723E5"/>
    <w:rsid w:val="00973584"/>
    <w:rsid w:val="009809EE"/>
    <w:rsid w:val="00985877"/>
    <w:rsid w:val="009A544D"/>
    <w:rsid w:val="009A6C5B"/>
    <w:rsid w:val="009B2D22"/>
    <w:rsid w:val="009B2F1E"/>
    <w:rsid w:val="009B55D4"/>
    <w:rsid w:val="009B734F"/>
    <w:rsid w:val="009D2675"/>
    <w:rsid w:val="009D6778"/>
    <w:rsid w:val="009E53B6"/>
    <w:rsid w:val="009E6325"/>
    <w:rsid w:val="009F6726"/>
    <w:rsid w:val="00A01313"/>
    <w:rsid w:val="00A01B88"/>
    <w:rsid w:val="00A04CE3"/>
    <w:rsid w:val="00A071F7"/>
    <w:rsid w:val="00A11E69"/>
    <w:rsid w:val="00A12EF3"/>
    <w:rsid w:val="00A14C55"/>
    <w:rsid w:val="00A2152C"/>
    <w:rsid w:val="00A227D4"/>
    <w:rsid w:val="00A251B0"/>
    <w:rsid w:val="00A378A2"/>
    <w:rsid w:val="00A417B3"/>
    <w:rsid w:val="00A45A34"/>
    <w:rsid w:val="00A51070"/>
    <w:rsid w:val="00A52F00"/>
    <w:rsid w:val="00A52FD4"/>
    <w:rsid w:val="00A6395B"/>
    <w:rsid w:val="00A7721E"/>
    <w:rsid w:val="00A77D60"/>
    <w:rsid w:val="00A8445D"/>
    <w:rsid w:val="00A84FB1"/>
    <w:rsid w:val="00A87113"/>
    <w:rsid w:val="00A87917"/>
    <w:rsid w:val="00A92BA8"/>
    <w:rsid w:val="00A949F0"/>
    <w:rsid w:val="00A95343"/>
    <w:rsid w:val="00AA6245"/>
    <w:rsid w:val="00AA7A97"/>
    <w:rsid w:val="00AB0F64"/>
    <w:rsid w:val="00AB4D11"/>
    <w:rsid w:val="00AC39A8"/>
    <w:rsid w:val="00AC4F61"/>
    <w:rsid w:val="00AD13C7"/>
    <w:rsid w:val="00AD54F5"/>
    <w:rsid w:val="00AD6E31"/>
    <w:rsid w:val="00AE1AA1"/>
    <w:rsid w:val="00AE2DD0"/>
    <w:rsid w:val="00B00999"/>
    <w:rsid w:val="00B10216"/>
    <w:rsid w:val="00B1501E"/>
    <w:rsid w:val="00B15211"/>
    <w:rsid w:val="00B2512F"/>
    <w:rsid w:val="00B32981"/>
    <w:rsid w:val="00B35C21"/>
    <w:rsid w:val="00B37A44"/>
    <w:rsid w:val="00B42AC2"/>
    <w:rsid w:val="00B433D3"/>
    <w:rsid w:val="00B46DED"/>
    <w:rsid w:val="00B520A4"/>
    <w:rsid w:val="00B527D0"/>
    <w:rsid w:val="00B5489E"/>
    <w:rsid w:val="00B54D27"/>
    <w:rsid w:val="00B54F5C"/>
    <w:rsid w:val="00B642AC"/>
    <w:rsid w:val="00B66A04"/>
    <w:rsid w:val="00B66CFB"/>
    <w:rsid w:val="00B70AF5"/>
    <w:rsid w:val="00B83E9E"/>
    <w:rsid w:val="00B86D74"/>
    <w:rsid w:val="00B87879"/>
    <w:rsid w:val="00B94B1D"/>
    <w:rsid w:val="00B96329"/>
    <w:rsid w:val="00BA03E1"/>
    <w:rsid w:val="00BA6483"/>
    <w:rsid w:val="00BB0063"/>
    <w:rsid w:val="00BB1E4B"/>
    <w:rsid w:val="00BB2EE1"/>
    <w:rsid w:val="00BC418A"/>
    <w:rsid w:val="00BC6605"/>
    <w:rsid w:val="00BE11B7"/>
    <w:rsid w:val="00BE2F3F"/>
    <w:rsid w:val="00BE462A"/>
    <w:rsid w:val="00BF3F68"/>
    <w:rsid w:val="00BF5D1B"/>
    <w:rsid w:val="00C06869"/>
    <w:rsid w:val="00C0774A"/>
    <w:rsid w:val="00C11795"/>
    <w:rsid w:val="00C12A59"/>
    <w:rsid w:val="00C13A64"/>
    <w:rsid w:val="00C147AF"/>
    <w:rsid w:val="00C15138"/>
    <w:rsid w:val="00C15637"/>
    <w:rsid w:val="00C17B9F"/>
    <w:rsid w:val="00C26312"/>
    <w:rsid w:val="00C272EF"/>
    <w:rsid w:val="00C3173A"/>
    <w:rsid w:val="00C3227B"/>
    <w:rsid w:val="00C322BE"/>
    <w:rsid w:val="00C342BA"/>
    <w:rsid w:val="00C4240C"/>
    <w:rsid w:val="00C539C2"/>
    <w:rsid w:val="00C55A60"/>
    <w:rsid w:val="00C64C10"/>
    <w:rsid w:val="00C7053E"/>
    <w:rsid w:val="00C80055"/>
    <w:rsid w:val="00C8076F"/>
    <w:rsid w:val="00C82329"/>
    <w:rsid w:val="00C838E4"/>
    <w:rsid w:val="00C8676F"/>
    <w:rsid w:val="00C901FD"/>
    <w:rsid w:val="00CA0ED5"/>
    <w:rsid w:val="00CA3D89"/>
    <w:rsid w:val="00CB43BD"/>
    <w:rsid w:val="00CC3929"/>
    <w:rsid w:val="00CC6BB4"/>
    <w:rsid w:val="00CD2129"/>
    <w:rsid w:val="00CE332F"/>
    <w:rsid w:val="00CE4722"/>
    <w:rsid w:val="00CE54E2"/>
    <w:rsid w:val="00CE58EE"/>
    <w:rsid w:val="00CF2F10"/>
    <w:rsid w:val="00CF4D97"/>
    <w:rsid w:val="00D015C5"/>
    <w:rsid w:val="00D01767"/>
    <w:rsid w:val="00D02D07"/>
    <w:rsid w:val="00D03A8A"/>
    <w:rsid w:val="00D21904"/>
    <w:rsid w:val="00D21C20"/>
    <w:rsid w:val="00D231B0"/>
    <w:rsid w:val="00D25CDA"/>
    <w:rsid w:val="00D30C6C"/>
    <w:rsid w:val="00D312B1"/>
    <w:rsid w:val="00D355C2"/>
    <w:rsid w:val="00D4527A"/>
    <w:rsid w:val="00D478C6"/>
    <w:rsid w:val="00D526EF"/>
    <w:rsid w:val="00D56AF0"/>
    <w:rsid w:val="00D60421"/>
    <w:rsid w:val="00D64A84"/>
    <w:rsid w:val="00D64C5C"/>
    <w:rsid w:val="00D6697B"/>
    <w:rsid w:val="00D67A94"/>
    <w:rsid w:val="00D71C0D"/>
    <w:rsid w:val="00D83963"/>
    <w:rsid w:val="00D845D5"/>
    <w:rsid w:val="00D8597C"/>
    <w:rsid w:val="00D87BA6"/>
    <w:rsid w:val="00DA5107"/>
    <w:rsid w:val="00DA6037"/>
    <w:rsid w:val="00DA61F1"/>
    <w:rsid w:val="00DB01BD"/>
    <w:rsid w:val="00DB2354"/>
    <w:rsid w:val="00DB4994"/>
    <w:rsid w:val="00DC54C2"/>
    <w:rsid w:val="00DD202D"/>
    <w:rsid w:val="00DD3CD6"/>
    <w:rsid w:val="00DD4D62"/>
    <w:rsid w:val="00DE0289"/>
    <w:rsid w:val="00DF1AD9"/>
    <w:rsid w:val="00DF1CB3"/>
    <w:rsid w:val="00E0143E"/>
    <w:rsid w:val="00E0623B"/>
    <w:rsid w:val="00E068E6"/>
    <w:rsid w:val="00E07F53"/>
    <w:rsid w:val="00E21F6B"/>
    <w:rsid w:val="00E233DD"/>
    <w:rsid w:val="00E25418"/>
    <w:rsid w:val="00E349F4"/>
    <w:rsid w:val="00E35193"/>
    <w:rsid w:val="00E4664D"/>
    <w:rsid w:val="00E511A8"/>
    <w:rsid w:val="00E53901"/>
    <w:rsid w:val="00E5525A"/>
    <w:rsid w:val="00E648BB"/>
    <w:rsid w:val="00E7753C"/>
    <w:rsid w:val="00E77A33"/>
    <w:rsid w:val="00E809A6"/>
    <w:rsid w:val="00E95724"/>
    <w:rsid w:val="00E96911"/>
    <w:rsid w:val="00E977E4"/>
    <w:rsid w:val="00EB13B1"/>
    <w:rsid w:val="00EB3806"/>
    <w:rsid w:val="00EB51C3"/>
    <w:rsid w:val="00EB7A03"/>
    <w:rsid w:val="00EC3493"/>
    <w:rsid w:val="00EC4110"/>
    <w:rsid w:val="00EC6BF8"/>
    <w:rsid w:val="00ED008F"/>
    <w:rsid w:val="00ED03D3"/>
    <w:rsid w:val="00ED52F8"/>
    <w:rsid w:val="00ED5741"/>
    <w:rsid w:val="00ED5B8B"/>
    <w:rsid w:val="00EE1213"/>
    <w:rsid w:val="00EE242D"/>
    <w:rsid w:val="00EE570F"/>
    <w:rsid w:val="00EE6109"/>
    <w:rsid w:val="00EF0921"/>
    <w:rsid w:val="00EF10BA"/>
    <w:rsid w:val="00EF3FAB"/>
    <w:rsid w:val="00F03BA0"/>
    <w:rsid w:val="00F05D75"/>
    <w:rsid w:val="00F07B1E"/>
    <w:rsid w:val="00F11B4A"/>
    <w:rsid w:val="00F11EA3"/>
    <w:rsid w:val="00F12E55"/>
    <w:rsid w:val="00F165F3"/>
    <w:rsid w:val="00F20895"/>
    <w:rsid w:val="00F21D8F"/>
    <w:rsid w:val="00F267F4"/>
    <w:rsid w:val="00F400C1"/>
    <w:rsid w:val="00F47763"/>
    <w:rsid w:val="00F47FC5"/>
    <w:rsid w:val="00F5056F"/>
    <w:rsid w:val="00F50FAC"/>
    <w:rsid w:val="00F53D6A"/>
    <w:rsid w:val="00F55B50"/>
    <w:rsid w:val="00F6227D"/>
    <w:rsid w:val="00F624A4"/>
    <w:rsid w:val="00F62BB5"/>
    <w:rsid w:val="00F62FAF"/>
    <w:rsid w:val="00F63985"/>
    <w:rsid w:val="00F71568"/>
    <w:rsid w:val="00F73A38"/>
    <w:rsid w:val="00F73A57"/>
    <w:rsid w:val="00F763ED"/>
    <w:rsid w:val="00F81B10"/>
    <w:rsid w:val="00F82A89"/>
    <w:rsid w:val="00F82D23"/>
    <w:rsid w:val="00F834A0"/>
    <w:rsid w:val="00F94110"/>
    <w:rsid w:val="00FA14BE"/>
    <w:rsid w:val="00FA3A31"/>
    <w:rsid w:val="00FA62D5"/>
    <w:rsid w:val="00FA70B9"/>
    <w:rsid w:val="00FB6E09"/>
    <w:rsid w:val="00FC04C5"/>
    <w:rsid w:val="00FC7675"/>
    <w:rsid w:val="00FD10D8"/>
    <w:rsid w:val="00FD1B58"/>
    <w:rsid w:val="00FD5245"/>
    <w:rsid w:val="00FE20F6"/>
    <w:rsid w:val="00FE2D3C"/>
    <w:rsid w:val="00FE37DE"/>
    <w:rsid w:val="00FF15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02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02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3E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5819"/>
    <w:pPr>
      <w:outlineLvl w:val="3"/>
    </w:pPr>
    <w:rPr>
      <w:rFonts w:asciiTheme="minorHAnsi" w:hAnsiTheme="minorHAnsi"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2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021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102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021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209D2"/>
    <w:rPr>
      <w:color w:val="0000FF" w:themeColor="hyperlink"/>
      <w:u w:val="single"/>
    </w:rPr>
  </w:style>
  <w:style w:type="paragraph" w:styleId="ListParagraph">
    <w:name w:val="List Paragraph"/>
    <w:basedOn w:val="Normal"/>
    <w:uiPriority w:val="34"/>
    <w:qFormat/>
    <w:rsid w:val="00A378A2"/>
    <w:pPr>
      <w:ind w:left="720"/>
      <w:contextualSpacing/>
    </w:pPr>
  </w:style>
  <w:style w:type="paragraph" w:styleId="FootnoteText">
    <w:name w:val="footnote text"/>
    <w:basedOn w:val="Normal"/>
    <w:link w:val="FootnoteTextChar"/>
    <w:uiPriority w:val="99"/>
    <w:semiHidden/>
    <w:unhideWhenUsed/>
    <w:rsid w:val="007A28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83B"/>
    <w:rPr>
      <w:sz w:val="20"/>
      <w:szCs w:val="20"/>
    </w:rPr>
  </w:style>
  <w:style w:type="character" w:styleId="FootnoteReference">
    <w:name w:val="footnote reference"/>
    <w:basedOn w:val="DefaultParagraphFont"/>
    <w:uiPriority w:val="99"/>
    <w:semiHidden/>
    <w:unhideWhenUsed/>
    <w:rsid w:val="007A283B"/>
    <w:rPr>
      <w:vertAlign w:val="superscript"/>
    </w:rPr>
  </w:style>
  <w:style w:type="paragraph" w:styleId="NormalWeb">
    <w:name w:val="Normal (Web)"/>
    <w:basedOn w:val="Normal"/>
    <w:uiPriority w:val="99"/>
    <w:semiHidden/>
    <w:unhideWhenUsed/>
    <w:rsid w:val="00C8076F"/>
    <w:pPr>
      <w:spacing w:after="300" w:line="240" w:lineRule="auto"/>
    </w:pPr>
    <w:rPr>
      <w:rFonts w:eastAsia="Times New Roman" w:cs="Times New Roman"/>
      <w:szCs w:val="24"/>
      <w:lang w:eastAsia="en-AU"/>
    </w:rPr>
  </w:style>
  <w:style w:type="paragraph" w:styleId="BalloonText">
    <w:name w:val="Balloon Text"/>
    <w:basedOn w:val="Normal"/>
    <w:link w:val="BalloonTextChar"/>
    <w:uiPriority w:val="99"/>
    <w:semiHidden/>
    <w:unhideWhenUsed/>
    <w:rsid w:val="004B6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53"/>
    <w:rPr>
      <w:rFonts w:ascii="Tahoma" w:hAnsi="Tahoma" w:cs="Tahoma"/>
      <w:sz w:val="16"/>
      <w:szCs w:val="16"/>
    </w:rPr>
  </w:style>
  <w:style w:type="paragraph" w:customStyle="1" w:styleId="fulltextcitation">
    <w:name w:val="fulltextcitation"/>
    <w:basedOn w:val="Normal"/>
    <w:rsid w:val="00DF1CB3"/>
    <w:pPr>
      <w:spacing w:before="100" w:beforeAutospacing="1" w:after="100" w:afterAutospacing="1" w:line="240" w:lineRule="auto"/>
    </w:pPr>
    <w:rPr>
      <w:rFonts w:eastAsia="Times New Roman" w:cs="Times New Roman"/>
      <w:sz w:val="21"/>
      <w:szCs w:val="21"/>
      <w:lang w:eastAsia="en-AU"/>
    </w:rPr>
  </w:style>
  <w:style w:type="character" w:customStyle="1" w:styleId="apple-converted-space">
    <w:name w:val="apple-converted-space"/>
    <w:basedOn w:val="DefaultParagraphFont"/>
    <w:rsid w:val="0024687B"/>
  </w:style>
  <w:style w:type="character" w:styleId="CommentReference">
    <w:name w:val="annotation reference"/>
    <w:basedOn w:val="DefaultParagraphFont"/>
    <w:uiPriority w:val="99"/>
    <w:semiHidden/>
    <w:unhideWhenUsed/>
    <w:rsid w:val="007A5D23"/>
    <w:rPr>
      <w:sz w:val="16"/>
      <w:szCs w:val="16"/>
    </w:rPr>
  </w:style>
  <w:style w:type="paragraph" w:styleId="CommentText">
    <w:name w:val="annotation text"/>
    <w:basedOn w:val="Normal"/>
    <w:link w:val="CommentTextChar"/>
    <w:uiPriority w:val="99"/>
    <w:semiHidden/>
    <w:unhideWhenUsed/>
    <w:rsid w:val="007A5D23"/>
    <w:pPr>
      <w:spacing w:line="240" w:lineRule="auto"/>
    </w:pPr>
    <w:rPr>
      <w:sz w:val="20"/>
      <w:szCs w:val="20"/>
    </w:rPr>
  </w:style>
  <w:style w:type="character" w:customStyle="1" w:styleId="CommentTextChar">
    <w:name w:val="Comment Text Char"/>
    <w:basedOn w:val="DefaultParagraphFont"/>
    <w:link w:val="CommentText"/>
    <w:uiPriority w:val="99"/>
    <w:semiHidden/>
    <w:rsid w:val="007A5D23"/>
    <w:rPr>
      <w:sz w:val="20"/>
      <w:szCs w:val="20"/>
    </w:rPr>
  </w:style>
  <w:style w:type="paragraph" w:styleId="CommentSubject">
    <w:name w:val="annotation subject"/>
    <w:basedOn w:val="CommentText"/>
    <w:next w:val="CommentText"/>
    <w:link w:val="CommentSubjectChar"/>
    <w:uiPriority w:val="99"/>
    <w:semiHidden/>
    <w:unhideWhenUsed/>
    <w:rsid w:val="007A5D23"/>
    <w:rPr>
      <w:b/>
      <w:bCs/>
    </w:rPr>
  </w:style>
  <w:style w:type="character" w:customStyle="1" w:styleId="CommentSubjectChar">
    <w:name w:val="Comment Subject Char"/>
    <w:basedOn w:val="CommentTextChar"/>
    <w:link w:val="CommentSubject"/>
    <w:uiPriority w:val="99"/>
    <w:semiHidden/>
    <w:rsid w:val="007A5D23"/>
    <w:rPr>
      <w:b/>
      <w:bCs/>
      <w:sz w:val="20"/>
      <w:szCs w:val="20"/>
    </w:rPr>
  </w:style>
  <w:style w:type="paragraph" w:styleId="Revision">
    <w:name w:val="Revision"/>
    <w:hidden/>
    <w:uiPriority w:val="99"/>
    <w:semiHidden/>
    <w:rsid w:val="00D21904"/>
    <w:pPr>
      <w:spacing w:after="0" w:line="240" w:lineRule="auto"/>
    </w:pPr>
  </w:style>
  <w:style w:type="character" w:styleId="FollowedHyperlink">
    <w:name w:val="FollowedHyperlink"/>
    <w:basedOn w:val="DefaultParagraphFont"/>
    <w:uiPriority w:val="99"/>
    <w:semiHidden/>
    <w:unhideWhenUsed/>
    <w:rsid w:val="000B3CE8"/>
    <w:rPr>
      <w:color w:val="800080" w:themeColor="followedHyperlink"/>
      <w:u w:val="single"/>
    </w:rPr>
  </w:style>
  <w:style w:type="paragraph" w:styleId="Header">
    <w:name w:val="header"/>
    <w:basedOn w:val="Normal"/>
    <w:link w:val="HeaderChar"/>
    <w:uiPriority w:val="99"/>
    <w:unhideWhenUsed/>
    <w:rsid w:val="00A11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E69"/>
  </w:style>
  <w:style w:type="paragraph" w:styleId="Footer">
    <w:name w:val="footer"/>
    <w:basedOn w:val="Normal"/>
    <w:link w:val="FooterChar"/>
    <w:uiPriority w:val="99"/>
    <w:unhideWhenUsed/>
    <w:rsid w:val="00A11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E69"/>
  </w:style>
  <w:style w:type="character" w:customStyle="1" w:styleId="Heading3Char">
    <w:name w:val="Heading 3 Char"/>
    <w:basedOn w:val="DefaultParagraphFont"/>
    <w:link w:val="Heading3"/>
    <w:uiPriority w:val="9"/>
    <w:rsid w:val="003F3E9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455E8C"/>
    <w:rPr>
      <w:i/>
      <w:iCs/>
    </w:rPr>
  </w:style>
  <w:style w:type="paragraph" w:styleId="TOCHeading">
    <w:name w:val="TOC Heading"/>
    <w:basedOn w:val="Heading1"/>
    <w:next w:val="Normal"/>
    <w:uiPriority w:val="39"/>
    <w:unhideWhenUsed/>
    <w:qFormat/>
    <w:rsid w:val="00B46DED"/>
    <w:pPr>
      <w:outlineLvl w:val="9"/>
    </w:pPr>
    <w:rPr>
      <w:lang w:val="en-US" w:eastAsia="ja-JP"/>
    </w:rPr>
  </w:style>
  <w:style w:type="paragraph" w:styleId="TOC1">
    <w:name w:val="toc 1"/>
    <w:basedOn w:val="Normal"/>
    <w:next w:val="Normal"/>
    <w:autoRedefine/>
    <w:uiPriority w:val="39"/>
    <w:unhideWhenUsed/>
    <w:qFormat/>
    <w:rsid w:val="00B527D0"/>
    <w:pPr>
      <w:tabs>
        <w:tab w:val="right" w:leader="dot" w:pos="9016"/>
      </w:tabs>
      <w:spacing w:after="100"/>
      <w:jc w:val="center"/>
    </w:pPr>
    <w:rPr>
      <w:b/>
      <w:sz w:val="32"/>
      <w:szCs w:val="32"/>
    </w:rPr>
  </w:style>
  <w:style w:type="paragraph" w:styleId="TOC2">
    <w:name w:val="toc 2"/>
    <w:basedOn w:val="Normal"/>
    <w:next w:val="Normal"/>
    <w:autoRedefine/>
    <w:uiPriority w:val="39"/>
    <w:unhideWhenUsed/>
    <w:qFormat/>
    <w:rsid w:val="00B46DED"/>
    <w:pPr>
      <w:spacing w:after="100"/>
      <w:ind w:left="240"/>
    </w:pPr>
  </w:style>
  <w:style w:type="paragraph" w:styleId="TOC3">
    <w:name w:val="toc 3"/>
    <w:basedOn w:val="Normal"/>
    <w:next w:val="Normal"/>
    <w:autoRedefine/>
    <w:uiPriority w:val="39"/>
    <w:unhideWhenUsed/>
    <w:qFormat/>
    <w:rsid w:val="00094AE7"/>
    <w:pPr>
      <w:tabs>
        <w:tab w:val="left" w:pos="851"/>
        <w:tab w:val="right" w:leader="dot" w:pos="9016"/>
      </w:tabs>
      <w:spacing w:after="100"/>
      <w:ind w:left="480"/>
    </w:pPr>
  </w:style>
  <w:style w:type="character" w:customStyle="1" w:styleId="Heading4Char">
    <w:name w:val="Heading 4 Char"/>
    <w:basedOn w:val="DefaultParagraphFont"/>
    <w:link w:val="Heading4"/>
    <w:uiPriority w:val="9"/>
    <w:rsid w:val="00755819"/>
    <w:rPr>
      <w:rFonts w:asciiTheme="minorHAnsi" w:hAnsiTheme="minorHAnsi" w:cs="Times New Roman"/>
      <w:szCs w:val="24"/>
      <w:u w:val="single"/>
    </w:rPr>
  </w:style>
  <w:style w:type="paragraph" w:styleId="Quote">
    <w:name w:val="Quote"/>
    <w:basedOn w:val="Heading1"/>
    <w:next w:val="Normal"/>
    <w:link w:val="QuoteChar"/>
    <w:uiPriority w:val="29"/>
    <w:qFormat/>
    <w:rsid w:val="00635A71"/>
    <w:pPr>
      <w:jc w:val="center"/>
    </w:pPr>
    <w:rPr>
      <w:sz w:val="72"/>
      <w:szCs w:val="72"/>
    </w:rPr>
  </w:style>
  <w:style w:type="character" w:customStyle="1" w:styleId="QuoteChar">
    <w:name w:val="Quote Char"/>
    <w:basedOn w:val="DefaultParagraphFont"/>
    <w:link w:val="Quote"/>
    <w:uiPriority w:val="29"/>
    <w:rsid w:val="00635A71"/>
    <w:rPr>
      <w:rFonts w:asciiTheme="majorHAnsi" w:eastAsiaTheme="majorEastAsia" w:hAnsiTheme="majorHAnsi" w:cstheme="majorBidi"/>
      <w:b/>
      <w:bCs/>
      <w:color w:val="365F91" w:themeColor="accent1" w:themeShade="BF"/>
      <w:sz w:val="72"/>
      <w:szCs w:val="72"/>
    </w:rPr>
  </w:style>
  <w:style w:type="paragraph" w:styleId="Caption">
    <w:name w:val="caption"/>
    <w:basedOn w:val="Normal"/>
    <w:next w:val="Normal"/>
    <w:uiPriority w:val="35"/>
    <w:unhideWhenUsed/>
    <w:qFormat/>
    <w:rsid w:val="00C64C1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02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02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3E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5819"/>
    <w:pPr>
      <w:outlineLvl w:val="3"/>
    </w:pPr>
    <w:rPr>
      <w:rFonts w:asciiTheme="minorHAnsi" w:hAnsiTheme="minorHAnsi"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2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021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102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021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209D2"/>
    <w:rPr>
      <w:color w:val="0000FF" w:themeColor="hyperlink"/>
      <w:u w:val="single"/>
    </w:rPr>
  </w:style>
  <w:style w:type="paragraph" w:styleId="ListParagraph">
    <w:name w:val="List Paragraph"/>
    <w:basedOn w:val="Normal"/>
    <w:uiPriority w:val="34"/>
    <w:qFormat/>
    <w:rsid w:val="00A378A2"/>
    <w:pPr>
      <w:ind w:left="720"/>
      <w:contextualSpacing/>
    </w:pPr>
  </w:style>
  <w:style w:type="paragraph" w:styleId="FootnoteText">
    <w:name w:val="footnote text"/>
    <w:basedOn w:val="Normal"/>
    <w:link w:val="FootnoteTextChar"/>
    <w:uiPriority w:val="99"/>
    <w:semiHidden/>
    <w:unhideWhenUsed/>
    <w:rsid w:val="007A28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83B"/>
    <w:rPr>
      <w:sz w:val="20"/>
      <w:szCs w:val="20"/>
    </w:rPr>
  </w:style>
  <w:style w:type="character" w:styleId="FootnoteReference">
    <w:name w:val="footnote reference"/>
    <w:basedOn w:val="DefaultParagraphFont"/>
    <w:uiPriority w:val="99"/>
    <w:semiHidden/>
    <w:unhideWhenUsed/>
    <w:rsid w:val="007A283B"/>
    <w:rPr>
      <w:vertAlign w:val="superscript"/>
    </w:rPr>
  </w:style>
  <w:style w:type="paragraph" w:styleId="NormalWeb">
    <w:name w:val="Normal (Web)"/>
    <w:basedOn w:val="Normal"/>
    <w:uiPriority w:val="99"/>
    <w:semiHidden/>
    <w:unhideWhenUsed/>
    <w:rsid w:val="00C8076F"/>
    <w:pPr>
      <w:spacing w:after="300" w:line="240" w:lineRule="auto"/>
    </w:pPr>
    <w:rPr>
      <w:rFonts w:eastAsia="Times New Roman" w:cs="Times New Roman"/>
      <w:szCs w:val="24"/>
      <w:lang w:eastAsia="en-AU"/>
    </w:rPr>
  </w:style>
  <w:style w:type="paragraph" w:styleId="BalloonText">
    <w:name w:val="Balloon Text"/>
    <w:basedOn w:val="Normal"/>
    <w:link w:val="BalloonTextChar"/>
    <w:uiPriority w:val="99"/>
    <w:semiHidden/>
    <w:unhideWhenUsed/>
    <w:rsid w:val="004B6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53"/>
    <w:rPr>
      <w:rFonts w:ascii="Tahoma" w:hAnsi="Tahoma" w:cs="Tahoma"/>
      <w:sz w:val="16"/>
      <w:szCs w:val="16"/>
    </w:rPr>
  </w:style>
  <w:style w:type="paragraph" w:customStyle="1" w:styleId="fulltextcitation">
    <w:name w:val="fulltextcitation"/>
    <w:basedOn w:val="Normal"/>
    <w:rsid w:val="00DF1CB3"/>
    <w:pPr>
      <w:spacing w:before="100" w:beforeAutospacing="1" w:after="100" w:afterAutospacing="1" w:line="240" w:lineRule="auto"/>
    </w:pPr>
    <w:rPr>
      <w:rFonts w:eastAsia="Times New Roman" w:cs="Times New Roman"/>
      <w:sz w:val="21"/>
      <w:szCs w:val="21"/>
      <w:lang w:eastAsia="en-AU"/>
    </w:rPr>
  </w:style>
  <w:style w:type="character" w:customStyle="1" w:styleId="apple-converted-space">
    <w:name w:val="apple-converted-space"/>
    <w:basedOn w:val="DefaultParagraphFont"/>
    <w:rsid w:val="0024687B"/>
  </w:style>
  <w:style w:type="character" w:styleId="CommentReference">
    <w:name w:val="annotation reference"/>
    <w:basedOn w:val="DefaultParagraphFont"/>
    <w:uiPriority w:val="99"/>
    <w:semiHidden/>
    <w:unhideWhenUsed/>
    <w:rsid w:val="007A5D23"/>
    <w:rPr>
      <w:sz w:val="16"/>
      <w:szCs w:val="16"/>
    </w:rPr>
  </w:style>
  <w:style w:type="paragraph" w:styleId="CommentText">
    <w:name w:val="annotation text"/>
    <w:basedOn w:val="Normal"/>
    <w:link w:val="CommentTextChar"/>
    <w:uiPriority w:val="99"/>
    <w:semiHidden/>
    <w:unhideWhenUsed/>
    <w:rsid w:val="007A5D23"/>
    <w:pPr>
      <w:spacing w:line="240" w:lineRule="auto"/>
    </w:pPr>
    <w:rPr>
      <w:sz w:val="20"/>
      <w:szCs w:val="20"/>
    </w:rPr>
  </w:style>
  <w:style w:type="character" w:customStyle="1" w:styleId="CommentTextChar">
    <w:name w:val="Comment Text Char"/>
    <w:basedOn w:val="DefaultParagraphFont"/>
    <w:link w:val="CommentText"/>
    <w:uiPriority w:val="99"/>
    <w:semiHidden/>
    <w:rsid w:val="007A5D23"/>
    <w:rPr>
      <w:sz w:val="20"/>
      <w:szCs w:val="20"/>
    </w:rPr>
  </w:style>
  <w:style w:type="paragraph" w:styleId="CommentSubject">
    <w:name w:val="annotation subject"/>
    <w:basedOn w:val="CommentText"/>
    <w:next w:val="CommentText"/>
    <w:link w:val="CommentSubjectChar"/>
    <w:uiPriority w:val="99"/>
    <w:semiHidden/>
    <w:unhideWhenUsed/>
    <w:rsid w:val="007A5D23"/>
    <w:rPr>
      <w:b/>
      <w:bCs/>
    </w:rPr>
  </w:style>
  <w:style w:type="character" w:customStyle="1" w:styleId="CommentSubjectChar">
    <w:name w:val="Comment Subject Char"/>
    <w:basedOn w:val="CommentTextChar"/>
    <w:link w:val="CommentSubject"/>
    <w:uiPriority w:val="99"/>
    <w:semiHidden/>
    <w:rsid w:val="007A5D23"/>
    <w:rPr>
      <w:b/>
      <w:bCs/>
      <w:sz w:val="20"/>
      <w:szCs w:val="20"/>
    </w:rPr>
  </w:style>
  <w:style w:type="paragraph" w:styleId="Revision">
    <w:name w:val="Revision"/>
    <w:hidden/>
    <w:uiPriority w:val="99"/>
    <w:semiHidden/>
    <w:rsid w:val="00D21904"/>
    <w:pPr>
      <w:spacing w:after="0" w:line="240" w:lineRule="auto"/>
    </w:pPr>
  </w:style>
  <w:style w:type="character" w:styleId="FollowedHyperlink">
    <w:name w:val="FollowedHyperlink"/>
    <w:basedOn w:val="DefaultParagraphFont"/>
    <w:uiPriority w:val="99"/>
    <w:semiHidden/>
    <w:unhideWhenUsed/>
    <w:rsid w:val="000B3CE8"/>
    <w:rPr>
      <w:color w:val="800080" w:themeColor="followedHyperlink"/>
      <w:u w:val="single"/>
    </w:rPr>
  </w:style>
  <w:style w:type="paragraph" w:styleId="Header">
    <w:name w:val="header"/>
    <w:basedOn w:val="Normal"/>
    <w:link w:val="HeaderChar"/>
    <w:uiPriority w:val="99"/>
    <w:unhideWhenUsed/>
    <w:rsid w:val="00A11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E69"/>
  </w:style>
  <w:style w:type="paragraph" w:styleId="Footer">
    <w:name w:val="footer"/>
    <w:basedOn w:val="Normal"/>
    <w:link w:val="FooterChar"/>
    <w:uiPriority w:val="99"/>
    <w:unhideWhenUsed/>
    <w:rsid w:val="00A11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E69"/>
  </w:style>
  <w:style w:type="character" w:customStyle="1" w:styleId="Heading3Char">
    <w:name w:val="Heading 3 Char"/>
    <w:basedOn w:val="DefaultParagraphFont"/>
    <w:link w:val="Heading3"/>
    <w:uiPriority w:val="9"/>
    <w:rsid w:val="003F3E9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455E8C"/>
    <w:rPr>
      <w:i/>
      <w:iCs/>
    </w:rPr>
  </w:style>
  <w:style w:type="paragraph" w:styleId="TOCHeading">
    <w:name w:val="TOC Heading"/>
    <w:basedOn w:val="Heading1"/>
    <w:next w:val="Normal"/>
    <w:uiPriority w:val="39"/>
    <w:unhideWhenUsed/>
    <w:qFormat/>
    <w:rsid w:val="00B46DED"/>
    <w:pPr>
      <w:outlineLvl w:val="9"/>
    </w:pPr>
    <w:rPr>
      <w:lang w:val="en-US" w:eastAsia="ja-JP"/>
    </w:rPr>
  </w:style>
  <w:style w:type="paragraph" w:styleId="TOC1">
    <w:name w:val="toc 1"/>
    <w:basedOn w:val="Normal"/>
    <w:next w:val="Normal"/>
    <w:autoRedefine/>
    <w:uiPriority w:val="39"/>
    <w:unhideWhenUsed/>
    <w:qFormat/>
    <w:rsid w:val="00B527D0"/>
    <w:pPr>
      <w:tabs>
        <w:tab w:val="right" w:leader="dot" w:pos="9016"/>
      </w:tabs>
      <w:spacing w:after="100"/>
      <w:jc w:val="center"/>
    </w:pPr>
    <w:rPr>
      <w:b/>
      <w:sz w:val="32"/>
      <w:szCs w:val="32"/>
    </w:rPr>
  </w:style>
  <w:style w:type="paragraph" w:styleId="TOC2">
    <w:name w:val="toc 2"/>
    <w:basedOn w:val="Normal"/>
    <w:next w:val="Normal"/>
    <w:autoRedefine/>
    <w:uiPriority w:val="39"/>
    <w:unhideWhenUsed/>
    <w:qFormat/>
    <w:rsid w:val="00B46DED"/>
    <w:pPr>
      <w:spacing w:after="100"/>
      <w:ind w:left="240"/>
    </w:pPr>
  </w:style>
  <w:style w:type="paragraph" w:styleId="TOC3">
    <w:name w:val="toc 3"/>
    <w:basedOn w:val="Normal"/>
    <w:next w:val="Normal"/>
    <w:autoRedefine/>
    <w:uiPriority w:val="39"/>
    <w:unhideWhenUsed/>
    <w:qFormat/>
    <w:rsid w:val="00094AE7"/>
    <w:pPr>
      <w:tabs>
        <w:tab w:val="left" w:pos="851"/>
        <w:tab w:val="right" w:leader="dot" w:pos="9016"/>
      </w:tabs>
      <w:spacing w:after="100"/>
      <w:ind w:left="480"/>
    </w:pPr>
  </w:style>
  <w:style w:type="character" w:customStyle="1" w:styleId="Heading4Char">
    <w:name w:val="Heading 4 Char"/>
    <w:basedOn w:val="DefaultParagraphFont"/>
    <w:link w:val="Heading4"/>
    <w:uiPriority w:val="9"/>
    <w:rsid w:val="00755819"/>
    <w:rPr>
      <w:rFonts w:asciiTheme="minorHAnsi" w:hAnsiTheme="minorHAnsi" w:cs="Times New Roman"/>
      <w:szCs w:val="24"/>
      <w:u w:val="single"/>
    </w:rPr>
  </w:style>
  <w:style w:type="paragraph" w:styleId="Quote">
    <w:name w:val="Quote"/>
    <w:basedOn w:val="Heading1"/>
    <w:next w:val="Normal"/>
    <w:link w:val="QuoteChar"/>
    <w:uiPriority w:val="29"/>
    <w:qFormat/>
    <w:rsid w:val="00635A71"/>
    <w:pPr>
      <w:jc w:val="center"/>
    </w:pPr>
    <w:rPr>
      <w:sz w:val="72"/>
      <w:szCs w:val="72"/>
    </w:rPr>
  </w:style>
  <w:style w:type="character" w:customStyle="1" w:styleId="QuoteChar">
    <w:name w:val="Quote Char"/>
    <w:basedOn w:val="DefaultParagraphFont"/>
    <w:link w:val="Quote"/>
    <w:uiPriority w:val="29"/>
    <w:rsid w:val="00635A71"/>
    <w:rPr>
      <w:rFonts w:asciiTheme="majorHAnsi" w:eastAsiaTheme="majorEastAsia" w:hAnsiTheme="majorHAnsi" w:cstheme="majorBidi"/>
      <w:b/>
      <w:bCs/>
      <w:color w:val="365F91" w:themeColor="accent1" w:themeShade="BF"/>
      <w:sz w:val="72"/>
      <w:szCs w:val="72"/>
    </w:rPr>
  </w:style>
  <w:style w:type="paragraph" w:styleId="Caption">
    <w:name w:val="caption"/>
    <w:basedOn w:val="Normal"/>
    <w:next w:val="Normal"/>
    <w:uiPriority w:val="35"/>
    <w:unhideWhenUsed/>
    <w:qFormat/>
    <w:rsid w:val="00C64C1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1466">
      <w:bodyDiv w:val="1"/>
      <w:marLeft w:val="0"/>
      <w:marRight w:val="0"/>
      <w:marTop w:val="0"/>
      <w:marBottom w:val="0"/>
      <w:divBdr>
        <w:top w:val="none" w:sz="0" w:space="0" w:color="auto"/>
        <w:left w:val="none" w:sz="0" w:space="0" w:color="auto"/>
        <w:bottom w:val="none" w:sz="0" w:space="0" w:color="auto"/>
        <w:right w:val="none" w:sz="0" w:space="0" w:color="auto"/>
      </w:divBdr>
      <w:divsChild>
        <w:div w:id="557479798">
          <w:marLeft w:val="0"/>
          <w:marRight w:val="0"/>
          <w:marTop w:val="0"/>
          <w:marBottom w:val="0"/>
          <w:divBdr>
            <w:top w:val="none" w:sz="0" w:space="0" w:color="auto"/>
            <w:left w:val="none" w:sz="0" w:space="0" w:color="auto"/>
            <w:bottom w:val="none" w:sz="0" w:space="0" w:color="auto"/>
            <w:right w:val="none" w:sz="0" w:space="0" w:color="auto"/>
          </w:divBdr>
          <w:divsChild>
            <w:div w:id="8103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4193">
      <w:bodyDiv w:val="1"/>
      <w:marLeft w:val="0"/>
      <w:marRight w:val="0"/>
      <w:marTop w:val="0"/>
      <w:marBottom w:val="0"/>
      <w:divBdr>
        <w:top w:val="none" w:sz="0" w:space="0" w:color="auto"/>
        <w:left w:val="none" w:sz="0" w:space="0" w:color="auto"/>
        <w:bottom w:val="none" w:sz="0" w:space="0" w:color="auto"/>
        <w:right w:val="none" w:sz="0" w:space="0" w:color="auto"/>
      </w:divBdr>
      <w:divsChild>
        <w:div w:id="1792213212">
          <w:marLeft w:val="0"/>
          <w:marRight w:val="0"/>
          <w:marTop w:val="0"/>
          <w:marBottom w:val="0"/>
          <w:divBdr>
            <w:top w:val="none" w:sz="0" w:space="0" w:color="auto"/>
            <w:left w:val="none" w:sz="0" w:space="0" w:color="auto"/>
            <w:bottom w:val="none" w:sz="0" w:space="0" w:color="auto"/>
            <w:right w:val="none" w:sz="0" w:space="0" w:color="auto"/>
          </w:divBdr>
          <w:divsChild>
            <w:div w:id="1418097254">
              <w:marLeft w:val="0"/>
              <w:marRight w:val="0"/>
              <w:marTop w:val="0"/>
              <w:marBottom w:val="0"/>
              <w:divBdr>
                <w:top w:val="none" w:sz="0" w:space="0" w:color="auto"/>
                <w:left w:val="none" w:sz="0" w:space="0" w:color="auto"/>
                <w:bottom w:val="none" w:sz="0" w:space="0" w:color="auto"/>
                <w:right w:val="none" w:sz="0" w:space="0" w:color="auto"/>
              </w:divBdr>
              <w:divsChild>
                <w:div w:id="586764829">
                  <w:marLeft w:val="0"/>
                  <w:marRight w:val="0"/>
                  <w:marTop w:val="0"/>
                  <w:marBottom w:val="0"/>
                  <w:divBdr>
                    <w:top w:val="none" w:sz="0" w:space="0" w:color="auto"/>
                    <w:left w:val="none" w:sz="0" w:space="0" w:color="auto"/>
                    <w:bottom w:val="none" w:sz="0" w:space="0" w:color="auto"/>
                    <w:right w:val="none" w:sz="0" w:space="0" w:color="auto"/>
                  </w:divBdr>
                  <w:divsChild>
                    <w:div w:id="306512643">
                      <w:marLeft w:val="0"/>
                      <w:marRight w:val="0"/>
                      <w:marTop w:val="0"/>
                      <w:marBottom w:val="0"/>
                      <w:divBdr>
                        <w:top w:val="none" w:sz="0" w:space="0" w:color="auto"/>
                        <w:left w:val="none" w:sz="0" w:space="0" w:color="auto"/>
                        <w:bottom w:val="none" w:sz="0" w:space="0" w:color="auto"/>
                        <w:right w:val="none" w:sz="0" w:space="0" w:color="auto"/>
                      </w:divBdr>
                      <w:divsChild>
                        <w:div w:id="5769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04514">
      <w:bodyDiv w:val="1"/>
      <w:marLeft w:val="0"/>
      <w:marRight w:val="0"/>
      <w:marTop w:val="0"/>
      <w:marBottom w:val="0"/>
      <w:divBdr>
        <w:top w:val="none" w:sz="0" w:space="0" w:color="auto"/>
        <w:left w:val="none" w:sz="0" w:space="0" w:color="auto"/>
        <w:bottom w:val="none" w:sz="0" w:space="0" w:color="auto"/>
        <w:right w:val="none" w:sz="0" w:space="0" w:color="auto"/>
      </w:divBdr>
      <w:divsChild>
        <w:div w:id="106512869">
          <w:marLeft w:val="0"/>
          <w:marRight w:val="0"/>
          <w:marTop w:val="0"/>
          <w:marBottom w:val="600"/>
          <w:divBdr>
            <w:top w:val="none" w:sz="0" w:space="0" w:color="auto"/>
            <w:left w:val="none" w:sz="0" w:space="0" w:color="auto"/>
            <w:bottom w:val="none" w:sz="0" w:space="0" w:color="auto"/>
            <w:right w:val="none" w:sz="0" w:space="0" w:color="auto"/>
          </w:divBdr>
          <w:divsChild>
            <w:div w:id="1172063107">
              <w:marLeft w:val="0"/>
              <w:marRight w:val="0"/>
              <w:marTop w:val="0"/>
              <w:marBottom w:val="0"/>
              <w:divBdr>
                <w:top w:val="none" w:sz="0" w:space="0" w:color="auto"/>
                <w:left w:val="none" w:sz="0" w:space="0" w:color="auto"/>
                <w:bottom w:val="none" w:sz="0" w:space="0" w:color="auto"/>
                <w:right w:val="none" w:sz="0" w:space="0" w:color="auto"/>
              </w:divBdr>
              <w:divsChild>
                <w:div w:id="1516766313">
                  <w:marLeft w:val="-3"/>
                  <w:marRight w:val="0"/>
                  <w:marTop w:val="0"/>
                  <w:marBottom w:val="0"/>
                  <w:divBdr>
                    <w:top w:val="none" w:sz="0" w:space="0" w:color="auto"/>
                    <w:left w:val="none" w:sz="0" w:space="0" w:color="auto"/>
                    <w:bottom w:val="none" w:sz="0" w:space="0" w:color="auto"/>
                    <w:right w:val="none" w:sz="0" w:space="0" w:color="auto"/>
                  </w:divBdr>
                  <w:divsChild>
                    <w:div w:id="827483716">
                      <w:marLeft w:val="3"/>
                      <w:marRight w:val="0"/>
                      <w:marTop w:val="0"/>
                      <w:marBottom w:val="0"/>
                      <w:divBdr>
                        <w:top w:val="none" w:sz="0" w:space="0" w:color="auto"/>
                        <w:left w:val="none" w:sz="0" w:space="0" w:color="auto"/>
                        <w:bottom w:val="none" w:sz="0" w:space="0" w:color="auto"/>
                        <w:right w:val="none" w:sz="0" w:space="0" w:color="auto"/>
                      </w:divBdr>
                      <w:divsChild>
                        <w:div w:id="14258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005310">
      <w:bodyDiv w:val="1"/>
      <w:marLeft w:val="0"/>
      <w:marRight w:val="0"/>
      <w:marTop w:val="0"/>
      <w:marBottom w:val="0"/>
      <w:divBdr>
        <w:top w:val="none" w:sz="0" w:space="0" w:color="auto"/>
        <w:left w:val="none" w:sz="0" w:space="0" w:color="auto"/>
        <w:bottom w:val="none" w:sz="0" w:space="0" w:color="auto"/>
        <w:right w:val="none" w:sz="0" w:space="0" w:color="auto"/>
      </w:divBdr>
      <w:divsChild>
        <w:div w:id="568999918">
          <w:marLeft w:val="0"/>
          <w:marRight w:val="0"/>
          <w:marTop w:val="0"/>
          <w:marBottom w:val="600"/>
          <w:divBdr>
            <w:top w:val="none" w:sz="0" w:space="0" w:color="auto"/>
            <w:left w:val="none" w:sz="0" w:space="0" w:color="auto"/>
            <w:bottom w:val="none" w:sz="0" w:space="0" w:color="auto"/>
            <w:right w:val="none" w:sz="0" w:space="0" w:color="auto"/>
          </w:divBdr>
          <w:divsChild>
            <w:div w:id="1817331911">
              <w:marLeft w:val="0"/>
              <w:marRight w:val="0"/>
              <w:marTop w:val="0"/>
              <w:marBottom w:val="0"/>
              <w:divBdr>
                <w:top w:val="none" w:sz="0" w:space="0" w:color="auto"/>
                <w:left w:val="none" w:sz="0" w:space="0" w:color="auto"/>
                <w:bottom w:val="none" w:sz="0" w:space="0" w:color="auto"/>
                <w:right w:val="none" w:sz="0" w:space="0" w:color="auto"/>
              </w:divBdr>
              <w:divsChild>
                <w:div w:id="1009139796">
                  <w:marLeft w:val="-3"/>
                  <w:marRight w:val="0"/>
                  <w:marTop w:val="0"/>
                  <w:marBottom w:val="0"/>
                  <w:divBdr>
                    <w:top w:val="none" w:sz="0" w:space="0" w:color="auto"/>
                    <w:left w:val="none" w:sz="0" w:space="0" w:color="auto"/>
                    <w:bottom w:val="none" w:sz="0" w:space="0" w:color="auto"/>
                    <w:right w:val="none" w:sz="0" w:space="0" w:color="auto"/>
                  </w:divBdr>
                  <w:divsChild>
                    <w:div w:id="845942266">
                      <w:marLeft w:val="3"/>
                      <w:marRight w:val="0"/>
                      <w:marTop w:val="0"/>
                      <w:marBottom w:val="0"/>
                      <w:divBdr>
                        <w:top w:val="none" w:sz="0" w:space="0" w:color="auto"/>
                        <w:left w:val="none" w:sz="0" w:space="0" w:color="auto"/>
                        <w:bottom w:val="none" w:sz="0" w:space="0" w:color="auto"/>
                        <w:right w:val="none" w:sz="0" w:space="0" w:color="auto"/>
                      </w:divBdr>
                      <w:divsChild>
                        <w:div w:id="15683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316133">
      <w:bodyDiv w:val="1"/>
      <w:marLeft w:val="0"/>
      <w:marRight w:val="0"/>
      <w:marTop w:val="0"/>
      <w:marBottom w:val="0"/>
      <w:divBdr>
        <w:top w:val="none" w:sz="0" w:space="0" w:color="auto"/>
        <w:left w:val="none" w:sz="0" w:space="0" w:color="auto"/>
        <w:bottom w:val="none" w:sz="0" w:space="0" w:color="auto"/>
        <w:right w:val="none" w:sz="0" w:space="0" w:color="auto"/>
      </w:divBdr>
      <w:divsChild>
        <w:div w:id="1527908370">
          <w:marLeft w:val="0"/>
          <w:marRight w:val="0"/>
          <w:marTop w:val="0"/>
          <w:marBottom w:val="0"/>
          <w:divBdr>
            <w:top w:val="none" w:sz="0" w:space="0" w:color="auto"/>
            <w:left w:val="none" w:sz="0" w:space="0" w:color="auto"/>
            <w:bottom w:val="none" w:sz="0" w:space="0" w:color="auto"/>
            <w:right w:val="none" w:sz="0" w:space="0" w:color="auto"/>
          </w:divBdr>
          <w:divsChild>
            <w:div w:id="487014363">
              <w:marLeft w:val="0"/>
              <w:marRight w:val="0"/>
              <w:marTop w:val="0"/>
              <w:marBottom w:val="0"/>
              <w:divBdr>
                <w:top w:val="none" w:sz="0" w:space="0" w:color="auto"/>
                <w:left w:val="none" w:sz="0" w:space="0" w:color="auto"/>
                <w:bottom w:val="none" w:sz="0" w:space="0" w:color="auto"/>
                <w:right w:val="none" w:sz="0" w:space="0" w:color="auto"/>
              </w:divBdr>
              <w:divsChild>
                <w:div w:id="1063413067">
                  <w:marLeft w:val="0"/>
                  <w:marRight w:val="0"/>
                  <w:marTop w:val="0"/>
                  <w:marBottom w:val="0"/>
                  <w:divBdr>
                    <w:top w:val="none" w:sz="0" w:space="0" w:color="auto"/>
                    <w:left w:val="none" w:sz="0" w:space="0" w:color="auto"/>
                    <w:bottom w:val="none" w:sz="0" w:space="0" w:color="auto"/>
                    <w:right w:val="none" w:sz="0" w:space="0" w:color="auto"/>
                  </w:divBdr>
                  <w:divsChild>
                    <w:div w:id="12970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26177">
      <w:bodyDiv w:val="1"/>
      <w:marLeft w:val="0"/>
      <w:marRight w:val="0"/>
      <w:marTop w:val="0"/>
      <w:marBottom w:val="0"/>
      <w:divBdr>
        <w:top w:val="none" w:sz="0" w:space="0" w:color="auto"/>
        <w:left w:val="none" w:sz="0" w:space="0" w:color="auto"/>
        <w:bottom w:val="none" w:sz="0" w:space="0" w:color="auto"/>
        <w:right w:val="none" w:sz="0" w:space="0" w:color="auto"/>
      </w:divBdr>
    </w:div>
    <w:div w:id="1038316179">
      <w:bodyDiv w:val="1"/>
      <w:marLeft w:val="0"/>
      <w:marRight w:val="0"/>
      <w:marTop w:val="0"/>
      <w:marBottom w:val="0"/>
      <w:divBdr>
        <w:top w:val="none" w:sz="0" w:space="0" w:color="auto"/>
        <w:left w:val="none" w:sz="0" w:space="0" w:color="auto"/>
        <w:bottom w:val="none" w:sz="0" w:space="0" w:color="auto"/>
        <w:right w:val="none" w:sz="0" w:space="0" w:color="auto"/>
      </w:divBdr>
      <w:divsChild>
        <w:div w:id="697969345">
          <w:marLeft w:val="0"/>
          <w:marRight w:val="0"/>
          <w:marTop w:val="0"/>
          <w:marBottom w:val="0"/>
          <w:divBdr>
            <w:top w:val="none" w:sz="0" w:space="0" w:color="auto"/>
            <w:left w:val="none" w:sz="0" w:space="0" w:color="auto"/>
            <w:bottom w:val="none" w:sz="0" w:space="0" w:color="auto"/>
            <w:right w:val="none" w:sz="0" w:space="0" w:color="auto"/>
          </w:divBdr>
          <w:divsChild>
            <w:div w:id="21314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4699">
      <w:bodyDiv w:val="1"/>
      <w:marLeft w:val="0"/>
      <w:marRight w:val="0"/>
      <w:marTop w:val="0"/>
      <w:marBottom w:val="0"/>
      <w:divBdr>
        <w:top w:val="none" w:sz="0" w:space="0" w:color="auto"/>
        <w:left w:val="none" w:sz="0" w:space="0" w:color="auto"/>
        <w:bottom w:val="none" w:sz="0" w:space="0" w:color="auto"/>
        <w:right w:val="none" w:sz="0" w:space="0" w:color="auto"/>
      </w:divBdr>
    </w:div>
    <w:div w:id="1227455840">
      <w:bodyDiv w:val="1"/>
      <w:marLeft w:val="0"/>
      <w:marRight w:val="0"/>
      <w:marTop w:val="0"/>
      <w:marBottom w:val="0"/>
      <w:divBdr>
        <w:top w:val="none" w:sz="0" w:space="0" w:color="auto"/>
        <w:left w:val="none" w:sz="0" w:space="0" w:color="auto"/>
        <w:bottom w:val="none" w:sz="0" w:space="0" w:color="auto"/>
        <w:right w:val="none" w:sz="0" w:space="0" w:color="auto"/>
      </w:divBdr>
      <w:divsChild>
        <w:div w:id="1031883166">
          <w:marLeft w:val="0"/>
          <w:marRight w:val="0"/>
          <w:marTop w:val="0"/>
          <w:marBottom w:val="0"/>
          <w:divBdr>
            <w:top w:val="none" w:sz="0" w:space="0" w:color="auto"/>
            <w:left w:val="none" w:sz="0" w:space="0" w:color="auto"/>
            <w:bottom w:val="none" w:sz="0" w:space="0" w:color="auto"/>
            <w:right w:val="none" w:sz="0" w:space="0" w:color="auto"/>
          </w:divBdr>
          <w:divsChild>
            <w:div w:id="1823814030">
              <w:marLeft w:val="0"/>
              <w:marRight w:val="0"/>
              <w:marTop w:val="0"/>
              <w:marBottom w:val="0"/>
              <w:divBdr>
                <w:top w:val="none" w:sz="0" w:space="0" w:color="auto"/>
                <w:left w:val="none" w:sz="0" w:space="0" w:color="auto"/>
                <w:bottom w:val="none" w:sz="0" w:space="0" w:color="auto"/>
                <w:right w:val="none" w:sz="0" w:space="0" w:color="auto"/>
              </w:divBdr>
              <w:divsChild>
                <w:div w:id="1172182167">
                  <w:marLeft w:val="0"/>
                  <w:marRight w:val="0"/>
                  <w:marTop w:val="0"/>
                  <w:marBottom w:val="0"/>
                  <w:divBdr>
                    <w:top w:val="none" w:sz="0" w:space="0" w:color="auto"/>
                    <w:left w:val="none" w:sz="0" w:space="0" w:color="auto"/>
                    <w:bottom w:val="none" w:sz="0" w:space="0" w:color="auto"/>
                    <w:right w:val="none" w:sz="0" w:space="0" w:color="auto"/>
                  </w:divBdr>
                  <w:divsChild>
                    <w:div w:id="15692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7833">
      <w:bodyDiv w:val="1"/>
      <w:marLeft w:val="0"/>
      <w:marRight w:val="0"/>
      <w:marTop w:val="0"/>
      <w:marBottom w:val="0"/>
      <w:divBdr>
        <w:top w:val="none" w:sz="0" w:space="0" w:color="auto"/>
        <w:left w:val="none" w:sz="0" w:space="0" w:color="auto"/>
        <w:bottom w:val="none" w:sz="0" w:space="0" w:color="auto"/>
        <w:right w:val="none" w:sz="0" w:space="0" w:color="auto"/>
      </w:divBdr>
      <w:divsChild>
        <w:div w:id="2014793762">
          <w:marLeft w:val="0"/>
          <w:marRight w:val="0"/>
          <w:marTop w:val="0"/>
          <w:marBottom w:val="600"/>
          <w:divBdr>
            <w:top w:val="none" w:sz="0" w:space="0" w:color="auto"/>
            <w:left w:val="none" w:sz="0" w:space="0" w:color="auto"/>
            <w:bottom w:val="none" w:sz="0" w:space="0" w:color="auto"/>
            <w:right w:val="none" w:sz="0" w:space="0" w:color="auto"/>
          </w:divBdr>
          <w:divsChild>
            <w:div w:id="431902198">
              <w:marLeft w:val="0"/>
              <w:marRight w:val="0"/>
              <w:marTop w:val="0"/>
              <w:marBottom w:val="0"/>
              <w:divBdr>
                <w:top w:val="none" w:sz="0" w:space="0" w:color="auto"/>
                <w:left w:val="none" w:sz="0" w:space="0" w:color="auto"/>
                <w:bottom w:val="none" w:sz="0" w:space="0" w:color="auto"/>
                <w:right w:val="none" w:sz="0" w:space="0" w:color="auto"/>
              </w:divBdr>
              <w:divsChild>
                <w:div w:id="629089150">
                  <w:marLeft w:val="-3"/>
                  <w:marRight w:val="0"/>
                  <w:marTop w:val="0"/>
                  <w:marBottom w:val="0"/>
                  <w:divBdr>
                    <w:top w:val="none" w:sz="0" w:space="0" w:color="auto"/>
                    <w:left w:val="none" w:sz="0" w:space="0" w:color="auto"/>
                    <w:bottom w:val="none" w:sz="0" w:space="0" w:color="auto"/>
                    <w:right w:val="none" w:sz="0" w:space="0" w:color="auto"/>
                  </w:divBdr>
                  <w:divsChild>
                    <w:div w:id="1256136347">
                      <w:marLeft w:val="3"/>
                      <w:marRight w:val="0"/>
                      <w:marTop w:val="0"/>
                      <w:marBottom w:val="0"/>
                      <w:divBdr>
                        <w:top w:val="none" w:sz="0" w:space="0" w:color="auto"/>
                        <w:left w:val="none" w:sz="0" w:space="0" w:color="auto"/>
                        <w:bottom w:val="none" w:sz="0" w:space="0" w:color="auto"/>
                        <w:right w:val="none" w:sz="0" w:space="0" w:color="auto"/>
                      </w:divBdr>
                      <w:divsChild>
                        <w:div w:id="13879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174312">
      <w:bodyDiv w:val="1"/>
      <w:marLeft w:val="0"/>
      <w:marRight w:val="0"/>
      <w:marTop w:val="0"/>
      <w:marBottom w:val="0"/>
      <w:divBdr>
        <w:top w:val="none" w:sz="0" w:space="0" w:color="auto"/>
        <w:left w:val="none" w:sz="0" w:space="0" w:color="auto"/>
        <w:bottom w:val="none" w:sz="0" w:space="0" w:color="auto"/>
        <w:right w:val="none" w:sz="0" w:space="0" w:color="auto"/>
      </w:divBdr>
      <w:divsChild>
        <w:div w:id="1221402088">
          <w:marLeft w:val="0"/>
          <w:marRight w:val="0"/>
          <w:marTop w:val="0"/>
          <w:marBottom w:val="600"/>
          <w:divBdr>
            <w:top w:val="none" w:sz="0" w:space="0" w:color="auto"/>
            <w:left w:val="none" w:sz="0" w:space="0" w:color="auto"/>
            <w:bottom w:val="none" w:sz="0" w:space="0" w:color="auto"/>
            <w:right w:val="none" w:sz="0" w:space="0" w:color="auto"/>
          </w:divBdr>
          <w:divsChild>
            <w:div w:id="255943248">
              <w:marLeft w:val="0"/>
              <w:marRight w:val="0"/>
              <w:marTop w:val="0"/>
              <w:marBottom w:val="0"/>
              <w:divBdr>
                <w:top w:val="none" w:sz="0" w:space="0" w:color="auto"/>
                <w:left w:val="none" w:sz="0" w:space="0" w:color="auto"/>
                <w:bottom w:val="none" w:sz="0" w:space="0" w:color="auto"/>
                <w:right w:val="none" w:sz="0" w:space="0" w:color="auto"/>
              </w:divBdr>
              <w:divsChild>
                <w:div w:id="1754014169">
                  <w:marLeft w:val="-3"/>
                  <w:marRight w:val="0"/>
                  <w:marTop w:val="0"/>
                  <w:marBottom w:val="0"/>
                  <w:divBdr>
                    <w:top w:val="none" w:sz="0" w:space="0" w:color="auto"/>
                    <w:left w:val="none" w:sz="0" w:space="0" w:color="auto"/>
                    <w:bottom w:val="none" w:sz="0" w:space="0" w:color="auto"/>
                    <w:right w:val="none" w:sz="0" w:space="0" w:color="auto"/>
                  </w:divBdr>
                  <w:divsChild>
                    <w:div w:id="1867911519">
                      <w:marLeft w:val="3"/>
                      <w:marRight w:val="0"/>
                      <w:marTop w:val="0"/>
                      <w:marBottom w:val="0"/>
                      <w:divBdr>
                        <w:top w:val="none" w:sz="0" w:space="0" w:color="auto"/>
                        <w:left w:val="none" w:sz="0" w:space="0" w:color="auto"/>
                        <w:bottom w:val="none" w:sz="0" w:space="0" w:color="auto"/>
                        <w:right w:val="none" w:sz="0" w:space="0" w:color="auto"/>
                      </w:divBdr>
                      <w:divsChild>
                        <w:div w:id="688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775956">
      <w:bodyDiv w:val="1"/>
      <w:marLeft w:val="0"/>
      <w:marRight w:val="0"/>
      <w:marTop w:val="0"/>
      <w:marBottom w:val="0"/>
      <w:divBdr>
        <w:top w:val="none" w:sz="0" w:space="0" w:color="auto"/>
        <w:left w:val="none" w:sz="0" w:space="0" w:color="auto"/>
        <w:bottom w:val="none" w:sz="0" w:space="0" w:color="auto"/>
        <w:right w:val="none" w:sz="0" w:space="0" w:color="auto"/>
      </w:divBdr>
    </w:div>
    <w:div w:id="1660421024">
      <w:bodyDiv w:val="1"/>
      <w:marLeft w:val="0"/>
      <w:marRight w:val="0"/>
      <w:marTop w:val="0"/>
      <w:marBottom w:val="0"/>
      <w:divBdr>
        <w:top w:val="none" w:sz="0" w:space="0" w:color="auto"/>
        <w:left w:val="none" w:sz="0" w:space="0" w:color="auto"/>
        <w:bottom w:val="none" w:sz="0" w:space="0" w:color="auto"/>
        <w:right w:val="none" w:sz="0" w:space="0" w:color="auto"/>
      </w:divBdr>
    </w:div>
    <w:div w:id="1668705401">
      <w:bodyDiv w:val="1"/>
      <w:marLeft w:val="0"/>
      <w:marRight w:val="0"/>
      <w:marTop w:val="0"/>
      <w:marBottom w:val="0"/>
      <w:divBdr>
        <w:top w:val="none" w:sz="0" w:space="0" w:color="auto"/>
        <w:left w:val="none" w:sz="0" w:space="0" w:color="auto"/>
        <w:bottom w:val="none" w:sz="0" w:space="0" w:color="auto"/>
        <w:right w:val="none" w:sz="0" w:space="0" w:color="auto"/>
      </w:divBdr>
      <w:divsChild>
        <w:div w:id="2068413191">
          <w:marLeft w:val="0"/>
          <w:marRight w:val="0"/>
          <w:marTop w:val="0"/>
          <w:marBottom w:val="0"/>
          <w:divBdr>
            <w:top w:val="none" w:sz="0" w:space="0" w:color="auto"/>
            <w:left w:val="none" w:sz="0" w:space="0" w:color="auto"/>
            <w:bottom w:val="none" w:sz="0" w:space="0" w:color="auto"/>
            <w:right w:val="none" w:sz="0" w:space="0" w:color="auto"/>
          </w:divBdr>
          <w:divsChild>
            <w:div w:id="732898600">
              <w:marLeft w:val="0"/>
              <w:marRight w:val="0"/>
              <w:marTop w:val="0"/>
              <w:marBottom w:val="0"/>
              <w:divBdr>
                <w:top w:val="none" w:sz="0" w:space="0" w:color="auto"/>
                <w:left w:val="none" w:sz="0" w:space="0" w:color="auto"/>
                <w:bottom w:val="none" w:sz="0" w:space="0" w:color="auto"/>
                <w:right w:val="none" w:sz="0" w:space="0" w:color="auto"/>
              </w:divBdr>
              <w:divsChild>
                <w:div w:id="15724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27373">
      <w:bodyDiv w:val="1"/>
      <w:marLeft w:val="0"/>
      <w:marRight w:val="0"/>
      <w:marTop w:val="0"/>
      <w:marBottom w:val="0"/>
      <w:divBdr>
        <w:top w:val="none" w:sz="0" w:space="0" w:color="auto"/>
        <w:left w:val="none" w:sz="0" w:space="0" w:color="auto"/>
        <w:bottom w:val="none" w:sz="0" w:space="0" w:color="auto"/>
        <w:right w:val="none" w:sz="0" w:space="0" w:color="auto"/>
      </w:divBdr>
      <w:divsChild>
        <w:div w:id="404424280">
          <w:marLeft w:val="0"/>
          <w:marRight w:val="0"/>
          <w:marTop w:val="0"/>
          <w:marBottom w:val="0"/>
          <w:divBdr>
            <w:top w:val="none" w:sz="0" w:space="0" w:color="auto"/>
            <w:left w:val="none" w:sz="0" w:space="0" w:color="auto"/>
            <w:bottom w:val="none" w:sz="0" w:space="0" w:color="auto"/>
            <w:right w:val="none" w:sz="0" w:space="0" w:color="auto"/>
          </w:divBdr>
          <w:divsChild>
            <w:div w:id="1727025035">
              <w:marLeft w:val="0"/>
              <w:marRight w:val="0"/>
              <w:marTop w:val="0"/>
              <w:marBottom w:val="0"/>
              <w:divBdr>
                <w:top w:val="none" w:sz="0" w:space="0" w:color="auto"/>
                <w:left w:val="none" w:sz="0" w:space="0" w:color="auto"/>
                <w:bottom w:val="none" w:sz="0" w:space="0" w:color="auto"/>
                <w:right w:val="none" w:sz="0" w:space="0" w:color="auto"/>
              </w:divBdr>
              <w:divsChild>
                <w:div w:id="397675086">
                  <w:marLeft w:val="0"/>
                  <w:marRight w:val="0"/>
                  <w:marTop w:val="0"/>
                  <w:marBottom w:val="0"/>
                  <w:divBdr>
                    <w:top w:val="none" w:sz="0" w:space="0" w:color="auto"/>
                    <w:left w:val="none" w:sz="0" w:space="0" w:color="auto"/>
                    <w:bottom w:val="none" w:sz="0" w:space="0" w:color="auto"/>
                    <w:right w:val="none" w:sz="0" w:space="0" w:color="auto"/>
                  </w:divBdr>
                  <w:divsChild>
                    <w:div w:id="4389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nsultations.health.gov.au/pharmaceutical-access-branch/pt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au/internet/main/publishing.nsf/Content/pharmacy-trial-programm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ealth.gov.au/internet/main/publishing.nsf/Content/pharmacy-trial-program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19A85-97BE-4A48-B3EA-8DCA82EE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4437</Words>
  <Characters>28888</Characters>
  <Application>Microsoft Office Word</Application>
  <DocSecurity>0</DocSecurity>
  <Lines>760</Lines>
  <Paragraphs>354</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Dunlop Steve</dc:creator>
  <cp:lastModifiedBy>Meddemmen Jenna</cp:lastModifiedBy>
  <cp:revision>2</cp:revision>
  <cp:lastPrinted>2016-03-15T21:31:00Z</cp:lastPrinted>
  <dcterms:created xsi:type="dcterms:W3CDTF">2016-03-16T03:26:00Z</dcterms:created>
  <dcterms:modified xsi:type="dcterms:W3CDTF">2016-03-16T03:26:00Z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