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E40A06" w:rsidRPr="00055166" w14:paraId="002934A1" w14:textId="77777777">
        <w:trPr>
          <w:trHeight w:val="2880"/>
          <w:jc w:val="center"/>
        </w:trPr>
        <w:tc>
          <w:tcPr>
            <w:tcW w:w="5000" w:type="pct"/>
          </w:tcPr>
          <w:p w14:paraId="6DD136D8" w14:textId="40F357B2" w:rsidR="00956DC4" w:rsidRDefault="00956DC4" w:rsidP="00956DC4">
            <w:pPr>
              <w:rPr>
                <w:noProof/>
              </w:rPr>
            </w:pPr>
            <w:r>
              <w:rPr>
                <w:noProof/>
              </w:rPr>
              <w:t xml:space="preserve"> </w:t>
            </w:r>
          </w:p>
          <w:p w14:paraId="1DA93A2B" w14:textId="72987FEB" w:rsidR="006A5D94" w:rsidRPr="00055166" w:rsidRDefault="00AB3202" w:rsidP="003E0BE8">
            <w:pPr>
              <w:rPr>
                <w:rFonts w:eastAsiaTheme="majorEastAsia" w:cstheme="minorHAnsi"/>
                <w:caps/>
              </w:rPr>
            </w:pPr>
            <w:r w:rsidRPr="00AB3202">
              <w:rPr>
                <w:noProof/>
              </w:rPr>
              <w:drawing>
                <wp:inline distT="0" distB="0" distL="0" distR="0" wp14:anchorId="356389C2" wp14:editId="5B1F4812">
                  <wp:extent cx="5697141" cy="733425"/>
                  <wp:effectExtent l="0" t="0" r="0" b="0"/>
                  <wp:docPr id="16" name="Picture 16" descr="Australian government department of health – Australian government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cument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923" cy="734556"/>
                          </a:xfrm>
                          <a:prstGeom prst="rect">
                            <a:avLst/>
                          </a:prstGeom>
                          <a:noFill/>
                          <a:ln>
                            <a:noFill/>
                          </a:ln>
                        </pic:spPr>
                      </pic:pic>
                    </a:graphicData>
                  </a:graphic>
                </wp:inline>
              </w:drawing>
            </w:r>
          </w:p>
        </w:tc>
      </w:tr>
      <w:tr w:rsidR="00E40A06" w:rsidRPr="00055166" w14:paraId="472ADA43" w14:textId="77777777">
        <w:trPr>
          <w:trHeight w:val="1440"/>
          <w:jc w:val="center"/>
        </w:trPr>
        <w:tc>
          <w:tcPr>
            <w:tcW w:w="5000" w:type="pct"/>
            <w:tcBorders>
              <w:bottom w:val="single" w:sz="4" w:space="0" w:color="5B9BD5" w:themeColor="accent1"/>
            </w:tcBorders>
            <w:vAlign w:val="center"/>
          </w:tcPr>
          <w:p w14:paraId="47D4BB86" w14:textId="1B516F96" w:rsidR="00E40A06" w:rsidRPr="00823FF3" w:rsidRDefault="00E40A06" w:rsidP="00823FF3">
            <w:pPr>
              <w:rPr>
                <w:sz w:val="26"/>
                <w:szCs w:val="26"/>
              </w:rPr>
            </w:pPr>
            <w:r w:rsidRPr="00823FF3">
              <w:rPr>
                <w:sz w:val="26"/>
                <w:szCs w:val="26"/>
              </w:rPr>
              <w:t>Consultation Paper</w:t>
            </w:r>
          </w:p>
        </w:tc>
      </w:tr>
      <w:tr w:rsidR="00E40A06" w:rsidRPr="00055166" w14:paraId="0072244B" w14:textId="77777777">
        <w:trPr>
          <w:trHeight w:val="720"/>
          <w:jc w:val="center"/>
        </w:trPr>
        <w:tc>
          <w:tcPr>
            <w:tcW w:w="5000" w:type="pct"/>
            <w:tcBorders>
              <w:top w:val="single" w:sz="4" w:space="0" w:color="5B9BD5" w:themeColor="accent1"/>
            </w:tcBorders>
            <w:vAlign w:val="center"/>
          </w:tcPr>
          <w:p w14:paraId="52040CF6" w14:textId="7AAE6B3B" w:rsidR="00E40A06" w:rsidRPr="00055166" w:rsidRDefault="00E40A06" w:rsidP="000942A1">
            <w:pPr>
              <w:pStyle w:val="Title"/>
            </w:pPr>
            <w:r w:rsidRPr="00055166">
              <w:t>Australia’s Antimicrobial Resistance Strategy – 2020 and beyond</w:t>
            </w:r>
          </w:p>
        </w:tc>
      </w:tr>
      <w:tr w:rsidR="00E40A06" w:rsidRPr="00055166" w14:paraId="7BD5118E" w14:textId="77777777">
        <w:trPr>
          <w:trHeight w:val="360"/>
          <w:jc w:val="center"/>
        </w:trPr>
        <w:tc>
          <w:tcPr>
            <w:tcW w:w="5000" w:type="pct"/>
            <w:vAlign w:val="center"/>
          </w:tcPr>
          <w:p w14:paraId="35E70C71" w14:textId="77777777" w:rsidR="00E40A06" w:rsidRPr="00055166" w:rsidRDefault="00E40A06" w:rsidP="0053652E">
            <w:pPr>
              <w:pStyle w:val="NoSpacing"/>
              <w:spacing w:after="120"/>
              <w:jc w:val="center"/>
              <w:rPr>
                <w:rFonts w:cstheme="minorHAnsi"/>
              </w:rPr>
            </w:pPr>
          </w:p>
        </w:tc>
      </w:tr>
      <w:tr w:rsidR="00E40A06" w:rsidRPr="00055166" w14:paraId="4547EC63" w14:textId="77777777">
        <w:trPr>
          <w:trHeight w:val="360"/>
          <w:jc w:val="center"/>
        </w:trPr>
        <w:tc>
          <w:tcPr>
            <w:tcW w:w="5000" w:type="pct"/>
            <w:vAlign w:val="center"/>
          </w:tcPr>
          <w:p w14:paraId="380F7D55" w14:textId="01681672" w:rsidR="00E40A06" w:rsidRPr="00055166" w:rsidRDefault="00E40A06" w:rsidP="0053652E">
            <w:pPr>
              <w:pStyle w:val="NoSpacing"/>
              <w:spacing w:after="120"/>
              <w:jc w:val="center"/>
              <w:rPr>
                <w:rFonts w:cstheme="minorHAnsi"/>
                <w:b/>
                <w:bCs/>
              </w:rPr>
            </w:pPr>
          </w:p>
        </w:tc>
      </w:tr>
      <w:tr w:rsidR="00E40A06" w:rsidRPr="00055166" w14:paraId="2278748E" w14:textId="77777777">
        <w:trPr>
          <w:trHeight w:val="360"/>
          <w:jc w:val="center"/>
        </w:trPr>
        <w:tc>
          <w:tcPr>
            <w:tcW w:w="5000" w:type="pct"/>
            <w:vAlign w:val="center"/>
          </w:tcPr>
          <w:p w14:paraId="734468E1" w14:textId="4E03F05F" w:rsidR="00E40A06" w:rsidRPr="005373D1" w:rsidRDefault="00A30827" w:rsidP="000942A1">
            <w:r w:rsidRPr="005373D1">
              <w:t>June 2019</w:t>
            </w:r>
          </w:p>
        </w:tc>
      </w:tr>
    </w:tbl>
    <w:p w14:paraId="021C25F6" w14:textId="77777777" w:rsidR="00E40A06" w:rsidRPr="00055166" w:rsidRDefault="00E40A06" w:rsidP="0053652E">
      <w:pPr>
        <w:spacing w:after="120" w:line="240" w:lineRule="auto"/>
        <w:rPr>
          <w:rFonts w:cstheme="minorHAnsi"/>
        </w:rPr>
      </w:pPr>
    </w:p>
    <w:p w14:paraId="0CE8EE97" w14:textId="77777777" w:rsidR="00E40A06" w:rsidRPr="00055166" w:rsidRDefault="00E40A06" w:rsidP="0053652E">
      <w:pPr>
        <w:spacing w:after="120" w:line="240" w:lineRule="auto"/>
        <w:rPr>
          <w:rFonts w:cstheme="minorHAnsi"/>
        </w:rPr>
      </w:pPr>
    </w:p>
    <w:p w14:paraId="79089CFD" w14:textId="77777777" w:rsidR="00E40A06" w:rsidRPr="00055166" w:rsidRDefault="00E40A06" w:rsidP="0053652E">
      <w:pPr>
        <w:spacing w:after="120" w:line="240" w:lineRule="auto"/>
        <w:rPr>
          <w:rFonts w:cstheme="minorHAnsi"/>
        </w:rPr>
      </w:pPr>
    </w:p>
    <w:p w14:paraId="01365D62" w14:textId="60CF0DBD" w:rsidR="00E40A06" w:rsidRPr="00045EEC" w:rsidRDefault="00E40A06" w:rsidP="0053652E">
      <w:pPr>
        <w:spacing w:after="120" w:line="240" w:lineRule="auto"/>
        <w:rPr>
          <w:rFonts w:eastAsiaTheme="majorEastAsia" w:cstheme="minorHAnsi"/>
          <w:color w:val="FF0000"/>
          <w:spacing w:val="5"/>
          <w:sz w:val="24"/>
          <w:szCs w:val="24"/>
        </w:rPr>
      </w:pPr>
      <w:r w:rsidRPr="00055166">
        <w:rPr>
          <w:rFonts w:cstheme="minorHAnsi"/>
          <w:color w:val="FF0000"/>
          <w:sz w:val="24"/>
          <w:szCs w:val="24"/>
        </w:rPr>
        <w:br w:type="page"/>
      </w:r>
    </w:p>
    <w:bookmarkStart w:id="0" w:name="_Toc9112677" w:displacedByCustomXml="next"/>
    <w:sdt>
      <w:sdtPr>
        <w:rPr>
          <w:rFonts w:asciiTheme="minorHAnsi" w:eastAsiaTheme="minorEastAsia" w:hAnsiTheme="minorHAnsi" w:cstheme="minorHAnsi"/>
          <w:b w:val="0"/>
          <w:bCs w:val="0"/>
          <w:sz w:val="22"/>
          <w:szCs w:val="22"/>
          <w:lang w:bidi="ar-SA"/>
        </w:rPr>
        <w:id w:val="335728790"/>
        <w:docPartObj>
          <w:docPartGallery w:val="Table of Contents"/>
          <w:docPartUnique/>
        </w:docPartObj>
      </w:sdtPr>
      <w:sdtEndPr>
        <w:rPr>
          <w:noProof/>
        </w:rPr>
      </w:sdtEndPr>
      <w:sdtContent>
        <w:p w14:paraId="059C9B24" w14:textId="0FE61D5D" w:rsidR="00253009" w:rsidRPr="00055166" w:rsidRDefault="00253009" w:rsidP="0053652E">
          <w:pPr>
            <w:pStyle w:val="TOCHeading"/>
            <w:spacing w:before="0" w:after="120" w:line="240" w:lineRule="auto"/>
            <w:contextualSpacing w:val="0"/>
            <w:rPr>
              <w:rFonts w:asciiTheme="minorHAnsi" w:hAnsiTheme="minorHAnsi" w:cstheme="minorHAnsi"/>
            </w:rPr>
          </w:pPr>
          <w:r w:rsidRPr="00055166">
            <w:rPr>
              <w:rFonts w:asciiTheme="minorHAnsi" w:hAnsiTheme="minorHAnsi" w:cstheme="minorHAnsi"/>
            </w:rPr>
            <w:t>Table of Contents</w:t>
          </w:r>
        </w:p>
        <w:p w14:paraId="1C0AB1C2" w14:textId="28EEF453" w:rsidR="00763905" w:rsidRDefault="00253009">
          <w:pPr>
            <w:pStyle w:val="TOC1"/>
            <w:tabs>
              <w:tab w:val="left" w:pos="440"/>
              <w:tab w:val="right" w:leader="dot" w:pos="9016"/>
            </w:tabs>
            <w:rPr>
              <w:noProof/>
            </w:rPr>
          </w:pPr>
          <w:r w:rsidRPr="00045EEC">
            <w:rPr>
              <w:rFonts w:cstheme="minorHAnsi"/>
            </w:rPr>
            <w:fldChar w:fldCharType="begin"/>
          </w:r>
          <w:r w:rsidRPr="00055166">
            <w:rPr>
              <w:rFonts w:cstheme="minorHAnsi"/>
            </w:rPr>
            <w:instrText xml:space="preserve"> TOC \o "1-3" \h \z \u </w:instrText>
          </w:r>
          <w:r w:rsidRPr="00045EEC">
            <w:rPr>
              <w:rFonts w:cstheme="minorHAnsi"/>
            </w:rPr>
            <w:fldChar w:fldCharType="separate"/>
          </w:r>
          <w:hyperlink w:anchor="_Toc10812302" w:history="1">
            <w:r w:rsidR="00763905" w:rsidRPr="00CA78A4">
              <w:rPr>
                <w:rStyle w:val="Hyperlink"/>
                <w:rFonts w:cstheme="minorHAnsi"/>
                <w:noProof/>
              </w:rPr>
              <w:t>1.</w:t>
            </w:r>
            <w:r w:rsidR="00763905">
              <w:rPr>
                <w:noProof/>
              </w:rPr>
              <w:tab/>
            </w:r>
            <w:r w:rsidR="00763905" w:rsidRPr="00CA78A4">
              <w:rPr>
                <w:rStyle w:val="Hyperlink"/>
                <w:rFonts w:cstheme="minorHAnsi"/>
                <w:noProof/>
              </w:rPr>
              <w:t>Context</w:t>
            </w:r>
            <w:r w:rsidR="00763905">
              <w:rPr>
                <w:noProof/>
                <w:webHidden/>
              </w:rPr>
              <w:tab/>
            </w:r>
            <w:r w:rsidR="00763905">
              <w:rPr>
                <w:noProof/>
                <w:webHidden/>
              </w:rPr>
              <w:fldChar w:fldCharType="begin"/>
            </w:r>
            <w:r w:rsidR="00763905">
              <w:rPr>
                <w:noProof/>
                <w:webHidden/>
              </w:rPr>
              <w:instrText xml:space="preserve"> PAGEREF _Toc10812302 \h </w:instrText>
            </w:r>
            <w:r w:rsidR="00763905">
              <w:rPr>
                <w:noProof/>
                <w:webHidden/>
              </w:rPr>
            </w:r>
            <w:r w:rsidR="00763905">
              <w:rPr>
                <w:noProof/>
                <w:webHidden/>
              </w:rPr>
              <w:fldChar w:fldCharType="separate"/>
            </w:r>
            <w:r w:rsidR="00763905">
              <w:rPr>
                <w:noProof/>
                <w:webHidden/>
              </w:rPr>
              <w:t>1</w:t>
            </w:r>
            <w:r w:rsidR="00763905">
              <w:rPr>
                <w:noProof/>
                <w:webHidden/>
              </w:rPr>
              <w:fldChar w:fldCharType="end"/>
            </w:r>
          </w:hyperlink>
        </w:p>
        <w:p w14:paraId="615231F9" w14:textId="7072A591" w:rsidR="00763905" w:rsidRDefault="00763905">
          <w:pPr>
            <w:pStyle w:val="TOC1"/>
            <w:tabs>
              <w:tab w:val="left" w:pos="440"/>
              <w:tab w:val="right" w:leader="dot" w:pos="9016"/>
            </w:tabs>
            <w:rPr>
              <w:noProof/>
            </w:rPr>
          </w:pPr>
          <w:hyperlink w:anchor="_Toc10812303" w:history="1">
            <w:r w:rsidRPr="00CA78A4">
              <w:rPr>
                <w:rStyle w:val="Hyperlink"/>
                <w:rFonts w:cstheme="minorHAnsi"/>
                <w:noProof/>
              </w:rPr>
              <w:t>2.</w:t>
            </w:r>
            <w:r>
              <w:rPr>
                <w:noProof/>
              </w:rPr>
              <w:tab/>
            </w:r>
            <w:r w:rsidRPr="00CA78A4">
              <w:rPr>
                <w:rStyle w:val="Hyperlink"/>
                <w:rFonts w:cstheme="minorHAnsi"/>
                <w:noProof/>
              </w:rPr>
              <w:t>Purpose</w:t>
            </w:r>
            <w:r>
              <w:rPr>
                <w:noProof/>
                <w:webHidden/>
              </w:rPr>
              <w:tab/>
            </w:r>
            <w:r>
              <w:rPr>
                <w:noProof/>
                <w:webHidden/>
              </w:rPr>
              <w:fldChar w:fldCharType="begin"/>
            </w:r>
            <w:r>
              <w:rPr>
                <w:noProof/>
                <w:webHidden/>
              </w:rPr>
              <w:instrText xml:space="preserve"> PAGEREF _Toc10812303 \h </w:instrText>
            </w:r>
            <w:r>
              <w:rPr>
                <w:noProof/>
                <w:webHidden/>
              </w:rPr>
            </w:r>
            <w:r>
              <w:rPr>
                <w:noProof/>
                <w:webHidden/>
              </w:rPr>
              <w:fldChar w:fldCharType="separate"/>
            </w:r>
            <w:r>
              <w:rPr>
                <w:noProof/>
                <w:webHidden/>
              </w:rPr>
              <w:t>1</w:t>
            </w:r>
            <w:r>
              <w:rPr>
                <w:noProof/>
                <w:webHidden/>
              </w:rPr>
              <w:fldChar w:fldCharType="end"/>
            </w:r>
          </w:hyperlink>
        </w:p>
        <w:p w14:paraId="2953F6C6" w14:textId="1DE2A12E" w:rsidR="00763905" w:rsidRDefault="00763905">
          <w:pPr>
            <w:pStyle w:val="TOC1"/>
            <w:tabs>
              <w:tab w:val="left" w:pos="440"/>
              <w:tab w:val="right" w:leader="dot" w:pos="9016"/>
            </w:tabs>
            <w:rPr>
              <w:noProof/>
            </w:rPr>
          </w:pPr>
          <w:hyperlink w:anchor="_Toc10812304" w:history="1">
            <w:r w:rsidRPr="00CA78A4">
              <w:rPr>
                <w:rStyle w:val="Hyperlink"/>
                <w:rFonts w:cstheme="minorHAnsi"/>
                <w:noProof/>
              </w:rPr>
              <w:t>3.</w:t>
            </w:r>
            <w:r>
              <w:rPr>
                <w:noProof/>
              </w:rPr>
              <w:tab/>
            </w:r>
            <w:r w:rsidRPr="00CA78A4">
              <w:rPr>
                <w:rStyle w:val="Hyperlink"/>
                <w:rFonts w:cstheme="minorHAnsi"/>
                <w:noProof/>
              </w:rPr>
              <w:t>Providing a Submission</w:t>
            </w:r>
            <w:r>
              <w:rPr>
                <w:noProof/>
                <w:webHidden/>
              </w:rPr>
              <w:tab/>
            </w:r>
            <w:r>
              <w:rPr>
                <w:noProof/>
                <w:webHidden/>
              </w:rPr>
              <w:fldChar w:fldCharType="begin"/>
            </w:r>
            <w:r>
              <w:rPr>
                <w:noProof/>
                <w:webHidden/>
              </w:rPr>
              <w:instrText xml:space="preserve"> PAGEREF _Toc10812304 \h </w:instrText>
            </w:r>
            <w:r>
              <w:rPr>
                <w:noProof/>
                <w:webHidden/>
              </w:rPr>
            </w:r>
            <w:r>
              <w:rPr>
                <w:noProof/>
                <w:webHidden/>
              </w:rPr>
              <w:fldChar w:fldCharType="separate"/>
            </w:r>
            <w:r>
              <w:rPr>
                <w:noProof/>
                <w:webHidden/>
              </w:rPr>
              <w:t>2</w:t>
            </w:r>
            <w:r>
              <w:rPr>
                <w:noProof/>
                <w:webHidden/>
              </w:rPr>
              <w:fldChar w:fldCharType="end"/>
            </w:r>
          </w:hyperlink>
        </w:p>
        <w:p w14:paraId="152ED130" w14:textId="45FC5114" w:rsidR="00763905" w:rsidRDefault="00763905">
          <w:pPr>
            <w:pStyle w:val="TOC2"/>
            <w:tabs>
              <w:tab w:val="right" w:leader="dot" w:pos="9016"/>
            </w:tabs>
            <w:rPr>
              <w:noProof/>
            </w:rPr>
          </w:pPr>
          <w:hyperlink w:anchor="_Toc10812305" w:history="1">
            <w:r w:rsidRPr="00CA78A4">
              <w:rPr>
                <w:rStyle w:val="Hyperlink"/>
                <w:rFonts w:cstheme="minorHAnsi"/>
                <w:noProof/>
              </w:rPr>
              <w:t>Questions Relating to Submissions</w:t>
            </w:r>
            <w:r>
              <w:rPr>
                <w:noProof/>
                <w:webHidden/>
              </w:rPr>
              <w:tab/>
            </w:r>
            <w:r>
              <w:rPr>
                <w:noProof/>
                <w:webHidden/>
              </w:rPr>
              <w:fldChar w:fldCharType="begin"/>
            </w:r>
            <w:r>
              <w:rPr>
                <w:noProof/>
                <w:webHidden/>
              </w:rPr>
              <w:instrText xml:space="preserve"> PAGEREF _Toc10812305 \h </w:instrText>
            </w:r>
            <w:r>
              <w:rPr>
                <w:noProof/>
                <w:webHidden/>
              </w:rPr>
            </w:r>
            <w:r>
              <w:rPr>
                <w:noProof/>
                <w:webHidden/>
              </w:rPr>
              <w:fldChar w:fldCharType="separate"/>
            </w:r>
            <w:r>
              <w:rPr>
                <w:noProof/>
                <w:webHidden/>
              </w:rPr>
              <w:t>2</w:t>
            </w:r>
            <w:r>
              <w:rPr>
                <w:noProof/>
                <w:webHidden/>
              </w:rPr>
              <w:fldChar w:fldCharType="end"/>
            </w:r>
          </w:hyperlink>
        </w:p>
        <w:p w14:paraId="401BEE50" w14:textId="15FADAAD" w:rsidR="00763905" w:rsidRDefault="00763905">
          <w:pPr>
            <w:pStyle w:val="TOC2"/>
            <w:tabs>
              <w:tab w:val="right" w:leader="dot" w:pos="9016"/>
            </w:tabs>
            <w:rPr>
              <w:noProof/>
            </w:rPr>
          </w:pPr>
          <w:hyperlink w:anchor="_Toc10812306" w:history="1">
            <w:r w:rsidRPr="00CA78A4">
              <w:rPr>
                <w:rStyle w:val="Hyperlink"/>
                <w:rFonts w:cstheme="minorHAnsi"/>
                <w:noProof/>
              </w:rPr>
              <w:t>Important Information - Privacy and Your Personal Information</w:t>
            </w:r>
            <w:r>
              <w:rPr>
                <w:noProof/>
                <w:webHidden/>
              </w:rPr>
              <w:tab/>
            </w:r>
            <w:r>
              <w:rPr>
                <w:noProof/>
                <w:webHidden/>
              </w:rPr>
              <w:fldChar w:fldCharType="begin"/>
            </w:r>
            <w:r>
              <w:rPr>
                <w:noProof/>
                <w:webHidden/>
              </w:rPr>
              <w:instrText xml:space="preserve"> PAGEREF _Toc10812306 \h </w:instrText>
            </w:r>
            <w:r>
              <w:rPr>
                <w:noProof/>
                <w:webHidden/>
              </w:rPr>
            </w:r>
            <w:r>
              <w:rPr>
                <w:noProof/>
                <w:webHidden/>
              </w:rPr>
              <w:fldChar w:fldCharType="separate"/>
            </w:r>
            <w:r>
              <w:rPr>
                <w:noProof/>
                <w:webHidden/>
              </w:rPr>
              <w:t>2</w:t>
            </w:r>
            <w:r>
              <w:rPr>
                <w:noProof/>
                <w:webHidden/>
              </w:rPr>
              <w:fldChar w:fldCharType="end"/>
            </w:r>
          </w:hyperlink>
        </w:p>
        <w:p w14:paraId="0A923EAB" w14:textId="7DA17E4B" w:rsidR="00763905" w:rsidRDefault="00763905">
          <w:pPr>
            <w:pStyle w:val="TOC1"/>
            <w:tabs>
              <w:tab w:val="left" w:pos="440"/>
              <w:tab w:val="right" w:leader="dot" w:pos="9016"/>
            </w:tabs>
            <w:rPr>
              <w:noProof/>
            </w:rPr>
          </w:pPr>
          <w:hyperlink w:anchor="_Toc10812307" w:history="1">
            <w:r w:rsidRPr="00CA78A4">
              <w:rPr>
                <w:rStyle w:val="Hyperlink"/>
                <w:rFonts w:cstheme="minorHAnsi"/>
                <w:noProof/>
              </w:rPr>
              <w:t>4.</w:t>
            </w:r>
            <w:r>
              <w:rPr>
                <w:noProof/>
              </w:rPr>
              <w:tab/>
            </w:r>
            <w:r w:rsidRPr="00CA78A4">
              <w:rPr>
                <w:rStyle w:val="Hyperlink"/>
                <w:rFonts w:cstheme="minorHAnsi"/>
                <w:noProof/>
              </w:rPr>
              <w:t>ASTAG Consultation</w:t>
            </w:r>
            <w:r>
              <w:rPr>
                <w:noProof/>
                <w:webHidden/>
              </w:rPr>
              <w:tab/>
            </w:r>
            <w:r>
              <w:rPr>
                <w:noProof/>
                <w:webHidden/>
              </w:rPr>
              <w:fldChar w:fldCharType="begin"/>
            </w:r>
            <w:r>
              <w:rPr>
                <w:noProof/>
                <w:webHidden/>
              </w:rPr>
              <w:instrText xml:space="preserve"> PAGEREF _Toc10812307 \h </w:instrText>
            </w:r>
            <w:r>
              <w:rPr>
                <w:noProof/>
                <w:webHidden/>
              </w:rPr>
            </w:r>
            <w:r>
              <w:rPr>
                <w:noProof/>
                <w:webHidden/>
              </w:rPr>
              <w:fldChar w:fldCharType="separate"/>
            </w:r>
            <w:r>
              <w:rPr>
                <w:noProof/>
                <w:webHidden/>
              </w:rPr>
              <w:t>3</w:t>
            </w:r>
            <w:r>
              <w:rPr>
                <w:noProof/>
                <w:webHidden/>
              </w:rPr>
              <w:fldChar w:fldCharType="end"/>
            </w:r>
          </w:hyperlink>
        </w:p>
        <w:p w14:paraId="277AE42A" w14:textId="4EE88A1C" w:rsidR="00763905" w:rsidRDefault="00763905">
          <w:pPr>
            <w:pStyle w:val="TOC1"/>
            <w:tabs>
              <w:tab w:val="left" w:pos="440"/>
              <w:tab w:val="right" w:leader="dot" w:pos="9016"/>
            </w:tabs>
            <w:rPr>
              <w:noProof/>
            </w:rPr>
          </w:pPr>
          <w:hyperlink w:anchor="_Toc10812308" w:history="1">
            <w:r w:rsidRPr="00CA78A4">
              <w:rPr>
                <w:rStyle w:val="Hyperlink"/>
                <w:rFonts w:cstheme="minorHAnsi"/>
                <w:noProof/>
              </w:rPr>
              <w:t>5.</w:t>
            </w:r>
            <w:r>
              <w:rPr>
                <w:noProof/>
              </w:rPr>
              <w:tab/>
            </w:r>
            <w:r w:rsidRPr="00CA78A4">
              <w:rPr>
                <w:rStyle w:val="Hyperlink"/>
                <w:rFonts w:cstheme="minorHAnsi"/>
                <w:noProof/>
              </w:rPr>
              <w:t>Future Direction of the Strategy</w:t>
            </w:r>
            <w:r>
              <w:rPr>
                <w:noProof/>
                <w:webHidden/>
              </w:rPr>
              <w:tab/>
            </w:r>
            <w:r>
              <w:rPr>
                <w:noProof/>
                <w:webHidden/>
              </w:rPr>
              <w:fldChar w:fldCharType="begin"/>
            </w:r>
            <w:r>
              <w:rPr>
                <w:noProof/>
                <w:webHidden/>
              </w:rPr>
              <w:instrText xml:space="preserve"> PAGEREF _Toc10812308 \h </w:instrText>
            </w:r>
            <w:r>
              <w:rPr>
                <w:noProof/>
                <w:webHidden/>
              </w:rPr>
            </w:r>
            <w:r>
              <w:rPr>
                <w:noProof/>
                <w:webHidden/>
              </w:rPr>
              <w:fldChar w:fldCharType="separate"/>
            </w:r>
            <w:r>
              <w:rPr>
                <w:noProof/>
                <w:webHidden/>
              </w:rPr>
              <w:t>4</w:t>
            </w:r>
            <w:r>
              <w:rPr>
                <w:noProof/>
                <w:webHidden/>
              </w:rPr>
              <w:fldChar w:fldCharType="end"/>
            </w:r>
          </w:hyperlink>
        </w:p>
        <w:p w14:paraId="308FE205" w14:textId="1468350D" w:rsidR="00763905" w:rsidRDefault="00763905">
          <w:pPr>
            <w:pStyle w:val="TOC2"/>
            <w:tabs>
              <w:tab w:val="right" w:leader="dot" w:pos="9016"/>
            </w:tabs>
            <w:rPr>
              <w:noProof/>
            </w:rPr>
          </w:pPr>
          <w:hyperlink w:anchor="_Toc10812309" w:history="1">
            <w:r w:rsidRPr="00CA78A4">
              <w:rPr>
                <w:rStyle w:val="Hyperlink"/>
                <w:noProof/>
              </w:rPr>
              <w:t>Incorporating Environment into the next AMR Strategy</w:t>
            </w:r>
            <w:r>
              <w:rPr>
                <w:noProof/>
                <w:webHidden/>
              </w:rPr>
              <w:tab/>
            </w:r>
            <w:r>
              <w:rPr>
                <w:noProof/>
                <w:webHidden/>
              </w:rPr>
              <w:fldChar w:fldCharType="begin"/>
            </w:r>
            <w:r>
              <w:rPr>
                <w:noProof/>
                <w:webHidden/>
              </w:rPr>
              <w:instrText xml:space="preserve"> PAGEREF _Toc10812309 \h </w:instrText>
            </w:r>
            <w:r>
              <w:rPr>
                <w:noProof/>
                <w:webHidden/>
              </w:rPr>
            </w:r>
            <w:r>
              <w:rPr>
                <w:noProof/>
                <w:webHidden/>
              </w:rPr>
              <w:fldChar w:fldCharType="separate"/>
            </w:r>
            <w:r>
              <w:rPr>
                <w:noProof/>
                <w:webHidden/>
              </w:rPr>
              <w:t>5</w:t>
            </w:r>
            <w:r>
              <w:rPr>
                <w:noProof/>
                <w:webHidden/>
              </w:rPr>
              <w:fldChar w:fldCharType="end"/>
            </w:r>
          </w:hyperlink>
        </w:p>
        <w:p w14:paraId="1ADEAD97" w14:textId="2E74DD93" w:rsidR="00763905" w:rsidRDefault="00763905">
          <w:pPr>
            <w:pStyle w:val="TOC1"/>
            <w:tabs>
              <w:tab w:val="left" w:pos="440"/>
              <w:tab w:val="right" w:leader="dot" w:pos="9016"/>
            </w:tabs>
            <w:rPr>
              <w:noProof/>
            </w:rPr>
          </w:pPr>
          <w:hyperlink w:anchor="_Toc10812310" w:history="1">
            <w:r w:rsidRPr="00CA78A4">
              <w:rPr>
                <w:rStyle w:val="Hyperlink"/>
                <w:rFonts w:cstheme="minorHAnsi"/>
                <w:noProof/>
              </w:rPr>
              <w:t>6.</w:t>
            </w:r>
            <w:r>
              <w:rPr>
                <w:noProof/>
              </w:rPr>
              <w:tab/>
            </w:r>
            <w:r w:rsidRPr="00CA78A4">
              <w:rPr>
                <w:rStyle w:val="Hyperlink"/>
                <w:rFonts w:cstheme="minorHAnsi"/>
                <w:noProof/>
              </w:rPr>
              <w:t>Vision &amp; Goal</w:t>
            </w:r>
            <w:r>
              <w:rPr>
                <w:noProof/>
                <w:webHidden/>
              </w:rPr>
              <w:tab/>
            </w:r>
            <w:r>
              <w:rPr>
                <w:noProof/>
                <w:webHidden/>
              </w:rPr>
              <w:fldChar w:fldCharType="begin"/>
            </w:r>
            <w:r>
              <w:rPr>
                <w:noProof/>
                <w:webHidden/>
              </w:rPr>
              <w:instrText xml:space="preserve"> PAGEREF _Toc10812310 \h </w:instrText>
            </w:r>
            <w:r>
              <w:rPr>
                <w:noProof/>
                <w:webHidden/>
              </w:rPr>
            </w:r>
            <w:r>
              <w:rPr>
                <w:noProof/>
                <w:webHidden/>
              </w:rPr>
              <w:fldChar w:fldCharType="separate"/>
            </w:r>
            <w:r>
              <w:rPr>
                <w:noProof/>
                <w:webHidden/>
              </w:rPr>
              <w:t>6</w:t>
            </w:r>
            <w:r>
              <w:rPr>
                <w:noProof/>
                <w:webHidden/>
              </w:rPr>
              <w:fldChar w:fldCharType="end"/>
            </w:r>
          </w:hyperlink>
        </w:p>
        <w:p w14:paraId="6BB6302D" w14:textId="205D7748" w:rsidR="00763905" w:rsidRDefault="00763905">
          <w:pPr>
            <w:pStyle w:val="TOC1"/>
            <w:tabs>
              <w:tab w:val="left" w:pos="440"/>
              <w:tab w:val="right" w:leader="dot" w:pos="9016"/>
            </w:tabs>
            <w:rPr>
              <w:noProof/>
            </w:rPr>
          </w:pPr>
          <w:hyperlink w:anchor="_Toc10812311" w:history="1">
            <w:r w:rsidRPr="00CA78A4">
              <w:rPr>
                <w:rStyle w:val="Hyperlink"/>
                <w:rFonts w:cstheme="minorHAnsi"/>
                <w:noProof/>
              </w:rPr>
              <w:t>7.</w:t>
            </w:r>
            <w:r>
              <w:rPr>
                <w:noProof/>
              </w:rPr>
              <w:tab/>
            </w:r>
            <w:r w:rsidRPr="00CA78A4">
              <w:rPr>
                <w:rStyle w:val="Hyperlink"/>
                <w:rFonts w:cstheme="minorHAnsi"/>
                <w:noProof/>
              </w:rPr>
              <w:t>Objectives</w:t>
            </w:r>
            <w:r>
              <w:rPr>
                <w:noProof/>
                <w:webHidden/>
              </w:rPr>
              <w:tab/>
            </w:r>
            <w:r>
              <w:rPr>
                <w:noProof/>
                <w:webHidden/>
              </w:rPr>
              <w:fldChar w:fldCharType="begin"/>
            </w:r>
            <w:r>
              <w:rPr>
                <w:noProof/>
                <w:webHidden/>
              </w:rPr>
              <w:instrText xml:space="preserve"> PAGEREF _Toc10812311 \h </w:instrText>
            </w:r>
            <w:r>
              <w:rPr>
                <w:noProof/>
                <w:webHidden/>
              </w:rPr>
            </w:r>
            <w:r>
              <w:rPr>
                <w:noProof/>
                <w:webHidden/>
              </w:rPr>
              <w:fldChar w:fldCharType="separate"/>
            </w:r>
            <w:r>
              <w:rPr>
                <w:noProof/>
                <w:webHidden/>
              </w:rPr>
              <w:t>6</w:t>
            </w:r>
            <w:r>
              <w:rPr>
                <w:noProof/>
                <w:webHidden/>
              </w:rPr>
              <w:fldChar w:fldCharType="end"/>
            </w:r>
          </w:hyperlink>
        </w:p>
        <w:p w14:paraId="476322A3" w14:textId="1443E0F4" w:rsidR="00763905" w:rsidRDefault="00763905">
          <w:pPr>
            <w:pStyle w:val="TOC2"/>
            <w:tabs>
              <w:tab w:val="right" w:leader="dot" w:pos="9016"/>
            </w:tabs>
            <w:rPr>
              <w:noProof/>
            </w:rPr>
          </w:pPr>
          <w:hyperlink w:anchor="_Toc10812312" w:history="1">
            <w:r w:rsidRPr="00CA78A4">
              <w:rPr>
                <w:rStyle w:val="Hyperlink"/>
                <w:noProof/>
              </w:rPr>
              <w:t>Objective One: Increase awareness and understanding of antimicrobial resistance, its implications and actions to combat it, through effective communication, education and training.</w:t>
            </w:r>
            <w:r>
              <w:rPr>
                <w:noProof/>
                <w:webHidden/>
              </w:rPr>
              <w:tab/>
            </w:r>
            <w:r>
              <w:rPr>
                <w:noProof/>
                <w:webHidden/>
              </w:rPr>
              <w:fldChar w:fldCharType="begin"/>
            </w:r>
            <w:r>
              <w:rPr>
                <w:noProof/>
                <w:webHidden/>
              </w:rPr>
              <w:instrText xml:space="preserve"> PAGEREF _Toc10812312 \h </w:instrText>
            </w:r>
            <w:r>
              <w:rPr>
                <w:noProof/>
                <w:webHidden/>
              </w:rPr>
            </w:r>
            <w:r>
              <w:rPr>
                <w:noProof/>
                <w:webHidden/>
              </w:rPr>
              <w:fldChar w:fldCharType="separate"/>
            </w:r>
            <w:r>
              <w:rPr>
                <w:noProof/>
                <w:webHidden/>
              </w:rPr>
              <w:t>7</w:t>
            </w:r>
            <w:r>
              <w:rPr>
                <w:noProof/>
                <w:webHidden/>
              </w:rPr>
              <w:fldChar w:fldCharType="end"/>
            </w:r>
          </w:hyperlink>
        </w:p>
        <w:p w14:paraId="41349D75" w14:textId="65609F57" w:rsidR="00763905" w:rsidRDefault="00763905">
          <w:pPr>
            <w:pStyle w:val="TOC3"/>
            <w:tabs>
              <w:tab w:val="right" w:leader="dot" w:pos="9016"/>
            </w:tabs>
            <w:rPr>
              <w:noProof/>
            </w:rPr>
          </w:pPr>
          <w:hyperlink w:anchor="_Toc10812313"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_Toc10812313 \h </w:instrText>
            </w:r>
            <w:r>
              <w:rPr>
                <w:noProof/>
                <w:webHidden/>
              </w:rPr>
            </w:r>
            <w:r>
              <w:rPr>
                <w:noProof/>
                <w:webHidden/>
              </w:rPr>
              <w:fldChar w:fldCharType="separate"/>
            </w:r>
            <w:r>
              <w:rPr>
                <w:noProof/>
                <w:webHidden/>
              </w:rPr>
              <w:t>7</w:t>
            </w:r>
            <w:r>
              <w:rPr>
                <w:noProof/>
                <w:webHidden/>
              </w:rPr>
              <w:fldChar w:fldCharType="end"/>
            </w:r>
          </w:hyperlink>
        </w:p>
        <w:p w14:paraId="1A896DF8" w14:textId="405B3421" w:rsidR="00763905" w:rsidRDefault="00763905">
          <w:pPr>
            <w:pStyle w:val="TOC3"/>
            <w:tabs>
              <w:tab w:val="right" w:leader="dot" w:pos="9016"/>
            </w:tabs>
            <w:rPr>
              <w:noProof/>
            </w:rPr>
          </w:pPr>
          <w:hyperlink w:anchor="_Toc10812314"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_Toc10812314 \h </w:instrText>
            </w:r>
            <w:r>
              <w:rPr>
                <w:noProof/>
                <w:webHidden/>
              </w:rPr>
            </w:r>
            <w:r>
              <w:rPr>
                <w:noProof/>
                <w:webHidden/>
              </w:rPr>
              <w:fldChar w:fldCharType="separate"/>
            </w:r>
            <w:r>
              <w:rPr>
                <w:noProof/>
                <w:webHidden/>
              </w:rPr>
              <w:t>8</w:t>
            </w:r>
            <w:r>
              <w:rPr>
                <w:noProof/>
                <w:webHidden/>
              </w:rPr>
              <w:fldChar w:fldCharType="end"/>
            </w:r>
          </w:hyperlink>
        </w:p>
        <w:p w14:paraId="254C7C1E" w14:textId="174571F0" w:rsidR="00763905" w:rsidRDefault="00763905">
          <w:pPr>
            <w:pStyle w:val="TOC3"/>
            <w:tabs>
              <w:tab w:val="right" w:leader="dot" w:pos="9016"/>
            </w:tabs>
            <w:rPr>
              <w:noProof/>
            </w:rPr>
          </w:pPr>
          <w:hyperlink w:anchor="_Toc10812315" w:history="1">
            <w:r w:rsidRPr="00CA78A4">
              <w:rPr>
                <w:rStyle w:val="Hyperlink"/>
                <w:noProof/>
              </w:rPr>
              <w:t>Where to next?</w:t>
            </w:r>
            <w:r>
              <w:rPr>
                <w:noProof/>
                <w:webHidden/>
              </w:rPr>
              <w:tab/>
            </w:r>
            <w:r>
              <w:rPr>
                <w:noProof/>
                <w:webHidden/>
              </w:rPr>
              <w:fldChar w:fldCharType="begin"/>
            </w:r>
            <w:r>
              <w:rPr>
                <w:noProof/>
                <w:webHidden/>
              </w:rPr>
              <w:instrText xml:space="preserve"> PAGEREF _Toc10812315 \h </w:instrText>
            </w:r>
            <w:r>
              <w:rPr>
                <w:noProof/>
                <w:webHidden/>
              </w:rPr>
            </w:r>
            <w:r>
              <w:rPr>
                <w:noProof/>
                <w:webHidden/>
              </w:rPr>
              <w:fldChar w:fldCharType="separate"/>
            </w:r>
            <w:r>
              <w:rPr>
                <w:noProof/>
                <w:webHidden/>
              </w:rPr>
              <w:t>9</w:t>
            </w:r>
            <w:r>
              <w:rPr>
                <w:noProof/>
                <w:webHidden/>
              </w:rPr>
              <w:fldChar w:fldCharType="end"/>
            </w:r>
          </w:hyperlink>
        </w:p>
        <w:p w14:paraId="02424725" w14:textId="0648AFC7" w:rsidR="00763905" w:rsidRDefault="00763905">
          <w:pPr>
            <w:pStyle w:val="TOC2"/>
            <w:tabs>
              <w:tab w:val="right" w:leader="dot" w:pos="9016"/>
            </w:tabs>
            <w:rPr>
              <w:noProof/>
            </w:rPr>
          </w:pPr>
          <w:hyperlink w:anchor="_Toc10812316" w:history="1">
            <w:r w:rsidRPr="00CA78A4">
              <w:rPr>
                <w:rStyle w:val="Hyperlink"/>
                <w:noProof/>
              </w:rPr>
              <w:t>Objective Two: Implement effective antimicrobial stewardship practices across human health and animal care settings to ensure the appropriate and judicious prescribing, dispensing and administering of antimicrobials</w:t>
            </w:r>
            <w:r>
              <w:rPr>
                <w:noProof/>
                <w:webHidden/>
              </w:rPr>
              <w:tab/>
            </w:r>
            <w:r>
              <w:rPr>
                <w:noProof/>
                <w:webHidden/>
              </w:rPr>
              <w:fldChar w:fldCharType="begin"/>
            </w:r>
            <w:r>
              <w:rPr>
                <w:noProof/>
                <w:webHidden/>
              </w:rPr>
              <w:instrText xml:space="preserve"> PAGEREF _Toc10812316 \h </w:instrText>
            </w:r>
            <w:r>
              <w:rPr>
                <w:noProof/>
                <w:webHidden/>
              </w:rPr>
            </w:r>
            <w:r>
              <w:rPr>
                <w:noProof/>
                <w:webHidden/>
              </w:rPr>
              <w:fldChar w:fldCharType="separate"/>
            </w:r>
            <w:r>
              <w:rPr>
                <w:noProof/>
                <w:webHidden/>
              </w:rPr>
              <w:t>9</w:t>
            </w:r>
            <w:r>
              <w:rPr>
                <w:noProof/>
                <w:webHidden/>
              </w:rPr>
              <w:fldChar w:fldCharType="end"/>
            </w:r>
          </w:hyperlink>
        </w:p>
        <w:p w14:paraId="43B00B6A" w14:textId="2C033506" w:rsidR="00763905" w:rsidRDefault="00763905">
          <w:pPr>
            <w:pStyle w:val="TOC3"/>
            <w:tabs>
              <w:tab w:val="right" w:leader="dot" w:pos="9016"/>
            </w:tabs>
            <w:rPr>
              <w:noProof/>
            </w:rPr>
          </w:pPr>
          <w:hyperlink w:anchor="_Toc10812317"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_Toc10812317 \h </w:instrText>
            </w:r>
            <w:r>
              <w:rPr>
                <w:noProof/>
                <w:webHidden/>
              </w:rPr>
            </w:r>
            <w:r>
              <w:rPr>
                <w:noProof/>
                <w:webHidden/>
              </w:rPr>
              <w:fldChar w:fldCharType="separate"/>
            </w:r>
            <w:r>
              <w:rPr>
                <w:noProof/>
                <w:webHidden/>
              </w:rPr>
              <w:t>10</w:t>
            </w:r>
            <w:r>
              <w:rPr>
                <w:noProof/>
                <w:webHidden/>
              </w:rPr>
              <w:fldChar w:fldCharType="end"/>
            </w:r>
          </w:hyperlink>
        </w:p>
        <w:p w14:paraId="53B2CB75" w14:textId="02A68B1C" w:rsidR="00763905" w:rsidRDefault="00763905">
          <w:pPr>
            <w:pStyle w:val="TOC3"/>
            <w:tabs>
              <w:tab w:val="right" w:leader="dot" w:pos="9016"/>
            </w:tabs>
            <w:rPr>
              <w:noProof/>
            </w:rPr>
          </w:pPr>
          <w:hyperlink w:anchor="_Toc10812318"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_Toc10812318 \h </w:instrText>
            </w:r>
            <w:r>
              <w:rPr>
                <w:noProof/>
                <w:webHidden/>
              </w:rPr>
            </w:r>
            <w:r>
              <w:rPr>
                <w:noProof/>
                <w:webHidden/>
              </w:rPr>
              <w:fldChar w:fldCharType="separate"/>
            </w:r>
            <w:r>
              <w:rPr>
                <w:noProof/>
                <w:webHidden/>
              </w:rPr>
              <w:t>11</w:t>
            </w:r>
            <w:r>
              <w:rPr>
                <w:noProof/>
                <w:webHidden/>
              </w:rPr>
              <w:fldChar w:fldCharType="end"/>
            </w:r>
          </w:hyperlink>
        </w:p>
        <w:p w14:paraId="0D343235" w14:textId="274AF362" w:rsidR="00763905" w:rsidRDefault="00763905">
          <w:pPr>
            <w:pStyle w:val="TOC3"/>
            <w:tabs>
              <w:tab w:val="right" w:leader="dot" w:pos="9016"/>
            </w:tabs>
            <w:rPr>
              <w:noProof/>
            </w:rPr>
          </w:pPr>
          <w:hyperlink w:anchor="_Toc10812319" w:history="1">
            <w:r w:rsidRPr="00CA78A4">
              <w:rPr>
                <w:rStyle w:val="Hyperlink"/>
                <w:noProof/>
              </w:rPr>
              <w:t>Where to next?</w:t>
            </w:r>
            <w:r>
              <w:rPr>
                <w:noProof/>
                <w:webHidden/>
              </w:rPr>
              <w:tab/>
            </w:r>
            <w:r>
              <w:rPr>
                <w:noProof/>
                <w:webHidden/>
              </w:rPr>
              <w:fldChar w:fldCharType="begin"/>
            </w:r>
            <w:r>
              <w:rPr>
                <w:noProof/>
                <w:webHidden/>
              </w:rPr>
              <w:instrText xml:space="preserve"> PAGEREF _Toc10812319 \h </w:instrText>
            </w:r>
            <w:r>
              <w:rPr>
                <w:noProof/>
                <w:webHidden/>
              </w:rPr>
            </w:r>
            <w:r>
              <w:rPr>
                <w:noProof/>
                <w:webHidden/>
              </w:rPr>
              <w:fldChar w:fldCharType="separate"/>
            </w:r>
            <w:r>
              <w:rPr>
                <w:noProof/>
                <w:webHidden/>
              </w:rPr>
              <w:t>11</w:t>
            </w:r>
            <w:r>
              <w:rPr>
                <w:noProof/>
                <w:webHidden/>
              </w:rPr>
              <w:fldChar w:fldCharType="end"/>
            </w:r>
          </w:hyperlink>
        </w:p>
        <w:p w14:paraId="2676C18B" w14:textId="5D28BA97" w:rsidR="00763905" w:rsidRDefault="00763905">
          <w:pPr>
            <w:pStyle w:val="TOC2"/>
            <w:tabs>
              <w:tab w:val="right" w:leader="dot" w:pos="9016"/>
            </w:tabs>
            <w:rPr>
              <w:noProof/>
            </w:rPr>
          </w:pPr>
          <w:hyperlink w:anchor="_Toc10812320" w:history="1">
            <w:r w:rsidRPr="00CA78A4">
              <w:rPr>
                <w:rStyle w:val="Hyperlink"/>
                <w:rFonts w:cstheme="minorHAnsi"/>
                <w:noProof/>
              </w:rPr>
              <w:t>Objective Three: Develop nationally coordinated One Health surveillance of antimicrobial resistance and antimicrobial usage.</w:t>
            </w:r>
            <w:r>
              <w:rPr>
                <w:noProof/>
                <w:webHidden/>
              </w:rPr>
              <w:tab/>
            </w:r>
            <w:r>
              <w:rPr>
                <w:noProof/>
                <w:webHidden/>
              </w:rPr>
              <w:fldChar w:fldCharType="begin"/>
            </w:r>
            <w:r>
              <w:rPr>
                <w:noProof/>
                <w:webHidden/>
              </w:rPr>
              <w:instrText xml:space="preserve"> PAGEREF _Toc10812320 \h </w:instrText>
            </w:r>
            <w:r>
              <w:rPr>
                <w:noProof/>
                <w:webHidden/>
              </w:rPr>
            </w:r>
            <w:r>
              <w:rPr>
                <w:noProof/>
                <w:webHidden/>
              </w:rPr>
              <w:fldChar w:fldCharType="separate"/>
            </w:r>
            <w:r>
              <w:rPr>
                <w:noProof/>
                <w:webHidden/>
              </w:rPr>
              <w:t>12</w:t>
            </w:r>
            <w:r>
              <w:rPr>
                <w:noProof/>
                <w:webHidden/>
              </w:rPr>
              <w:fldChar w:fldCharType="end"/>
            </w:r>
          </w:hyperlink>
        </w:p>
        <w:p w14:paraId="34EBC45E" w14:textId="27033E41" w:rsidR="00763905" w:rsidRDefault="00763905">
          <w:pPr>
            <w:pStyle w:val="TOC3"/>
            <w:tabs>
              <w:tab w:val="right" w:leader="dot" w:pos="9016"/>
            </w:tabs>
            <w:rPr>
              <w:noProof/>
            </w:rPr>
          </w:pPr>
          <w:hyperlink w:anchor="_Toc10812321"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_Toc10812321 \h </w:instrText>
            </w:r>
            <w:r>
              <w:rPr>
                <w:noProof/>
                <w:webHidden/>
              </w:rPr>
            </w:r>
            <w:r>
              <w:rPr>
                <w:noProof/>
                <w:webHidden/>
              </w:rPr>
              <w:fldChar w:fldCharType="separate"/>
            </w:r>
            <w:r>
              <w:rPr>
                <w:noProof/>
                <w:webHidden/>
              </w:rPr>
              <w:t>12</w:t>
            </w:r>
            <w:r>
              <w:rPr>
                <w:noProof/>
                <w:webHidden/>
              </w:rPr>
              <w:fldChar w:fldCharType="end"/>
            </w:r>
          </w:hyperlink>
        </w:p>
        <w:p w14:paraId="53D91FF1" w14:textId="1B1D6EDC" w:rsidR="00763905" w:rsidRDefault="00763905">
          <w:pPr>
            <w:pStyle w:val="TOC3"/>
            <w:tabs>
              <w:tab w:val="right" w:leader="dot" w:pos="9016"/>
            </w:tabs>
            <w:rPr>
              <w:noProof/>
            </w:rPr>
          </w:pPr>
          <w:hyperlink w:anchor="_Toc10812322"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_Toc10812322 \h </w:instrText>
            </w:r>
            <w:r>
              <w:rPr>
                <w:noProof/>
                <w:webHidden/>
              </w:rPr>
            </w:r>
            <w:r>
              <w:rPr>
                <w:noProof/>
                <w:webHidden/>
              </w:rPr>
              <w:fldChar w:fldCharType="separate"/>
            </w:r>
            <w:r>
              <w:rPr>
                <w:noProof/>
                <w:webHidden/>
              </w:rPr>
              <w:t>13</w:t>
            </w:r>
            <w:r>
              <w:rPr>
                <w:noProof/>
                <w:webHidden/>
              </w:rPr>
              <w:fldChar w:fldCharType="end"/>
            </w:r>
          </w:hyperlink>
        </w:p>
        <w:p w14:paraId="4BAB3991" w14:textId="6A5EF950" w:rsidR="00763905" w:rsidRDefault="00763905">
          <w:pPr>
            <w:pStyle w:val="TOC3"/>
            <w:tabs>
              <w:tab w:val="right" w:leader="dot" w:pos="9016"/>
            </w:tabs>
            <w:rPr>
              <w:noProof/>
            </w:rPr>
          </w:pPr>
          <w:hyperlink w:anchor="_Toc10812323" w:history="1">
            <w:r w:rsidRPr="00CA78A4">
              <w:rPr>
                <w:rStyle w:val="Hyperlink"/>
                <w:noProof/>
              </w:rPr>
              <w:t>Where to next?</w:t>
            </w:r>
            <w:r>
              <w:rPr>
                <w:noProof/>
                <w:webHidden/>
              </w:rPr>
              <w:tab/>
            </w:r>
            <w:r>
              <w:rPr>
                <w:noProof/>
                <w:webHidden/>
              </w:rPr>
              <w:fldChar w:fldCharType="begin"/>
            </w:r>
            <w:r>
              <w:rPr>
                <w:noProof/>
                <w:webHidden/>
              </w:rPr>
              <w:instrText xml:space="preserve"> PAGEREF _Toc10812323 \h </w:instrText>
            </w:r>
            <w:r>
              <w:rPr>
                <w:noProof/>
                <w:webHidden/>
              </w:rPr>
            </w:r>
            <w:r>
              <w:rPr>
                <w:noProof/>
                <w:webHidden/>
              </w:rPr>
              <w:fldChar w:fldCharType="separate"/>
            </w:r>
            <w:r>
              <w:rPr>
                <w:noProof/>
                <w:webHidden/>
              </w:rPr>
              <w:t>14</w:t>
            </w:r>
            <w:r>
              <w:rPr>
                <w:noProof/>
                <w:webHidden/>
              </w:rPr>
              <w:fldChar w:fldCharType="end"/>
            </w:r>
          </w:hyperlink>
        </w:p>
        <w:p w14:paraId="02CC416D" w14:textId="56769ACD" w:rsidR="00763905" w:rsidRDefault="00763905">
          <w:pPr>
            <w:pStyle w:val="TOC2"/>
            <w:tabs>
              <w:tab w:val="right" w:leader="dot" w:pos="9016"/>
            </w:tabs>
            <w:rPr>
              <w:noProof/>
            </w:rPr>
          </w:pPr>
          <w:hyperlink w:anchor="_Toc10812324" w:history="1">
            <w:r w:rsidRPr="00CA78A4">
              <w:rPr>
                <w:rStyle w:val="Hyperlink"/>
                <w:noProof/>
              </w:rPr>
              <w:t>Objective Four: Improve infection prevention and control measures across human health and animal care settings to help prevent infections and the spread of resistance.</w:t>
            </w:r>
            <w:r>
              <w:rPr>
                <w:noProof/>
                <w:webHidden/>
              </w:rPr>
              <w:tab/>
            </w:r>
            <w:r>
              <w:rPr>
                <w:noProof/>
                <w:webHidden/>
              </w:rPr>
              <w:fldChar w:fldCharType="begin"/>
            </w:r>
            <w:r>
              <w:rPr>
                <w:noProof/>
                <w:webHidden/>
              </w:rPr>
              <w:instrText xml:space="preserve"> PAGEREF _Toc10812324 \h </w:instrText>
            </w:r>
            <w:r>
              <w:rPr>
                <w:noProof/>
                <w:webHidden/>
              </w:rPr>
            </w:r>
            <w:r>
              <w:rPr>
                <w:noProof/>
                <w:webHidden/>
              </w:rPr>
              <w:fldChar w:fldCharType="separate"/>
            </w:r>
            <w:r>
              <w:rPr>
                <w:noProof/>
                <w:webHidden/>
              </w:rPr>
              <w:t>15</w:t>
            </w:r>
            <w:r>
              <w:rPr>
                <w:noProof/>
                <w:webHidden/>
              </w:rPr>
              <w:fldChar w:fldCharType="end"/>
            </w:r>
          </w:hyperlink>
        </w:p>
        <w:p w14:paraId="70F6AC97" w14:textId="679463D9" w:rsidR="00763905" w:rsidRDefault="00763905">
          <w:pPr>
            <w:pStyle w:val="TOC3"/>
            <w:tabs>
              <w:tab w:val="right" w:leader="dot" w:pos="9016"/>
            </w:tabs>
            <w:rPr>
              <w:noProof/>
            </w:rPr>
          </w:pPr>
          <w:hyperlink w:anchor="_Toc10812325"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_Toc10812325 \h </w:instrText>
            </w:r>
            <w:r>
              <w:rPr>
                <w:noProof/>
                <w:webHidden/>
              </w:rPr>
            </w:r>
            <w:r>
              <w:rPr>
                <w:noProof/>
                <w:webHidden/>
              </w:rPr>
              <w:fldChar w:fldCharType="separate"/>
            </w:r>
            <w:r>
              <w:rPr>
                <w:noProof/>
                <w:webHidden/>
              </w:rPr>
              <w:t>15</w:t>
            </w:r>
            <w:r>
              <w:rPr>
                <w:noProof/>
                <w:webHidden/>
              </w:rPr>
              <w:fldChar w:fldCharType="end"/>
            </w:r>
          </w:hyperlink>
        </w:p>
        <w:p w14:paraId="42480D53" w14:textId="18F465EC" w:rsidR="00763905" w:rsidRDefault="00763905">
          <w:pPr>
            <w:pStyle w:val="TOC3"/>
            <w:tabs>
              <w:tab w:val="right" w:leader="dot" w:pos="9016"/>
            </w:tabs>
            <w:rPr>
              <w:noProof/>
            </w:rPr>
          </w:pPr>
          <w:hyperlink w:anchor="_Toc10812326"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_Toc10812326 \h </w:instrText>
            </w:r>
            <w:r>
              <w:rPr>
                <w:noProof/>
                <w:webHidden/>
              </w:rPr>
            </w:r>
            <w:r>
              <w:rPr>
                <w:noProof/>
                <w:webHidden/>
              </w:rPr>
              <w:fldChar w:fldCharType="separate"/>
            </w:r>
            <w:r>
              <w:rPr>
                <w:noProof/>
                <w:webHidden/>
              </w:rPr>
              <w:t>16</w:t>
            </w:r>
            <w:r>
              <w:rPr>
                <w:noProof/>
                <w:webHidden/>
              </w:rPr>
              <w:fldChar w:fldCharType="end"/>
            </w:r>
          </w:hyperlink>
        </w:p>
        <w:p w14:paraId="61340C48" w14:textId="2AD0D014" w:rsidR="00763905" w:rsidRDefault="00763905">
          <w:pPr>
            <w:pStyle w:val="TOC3"/>
            <w:tabs>
              <w:tab w:val="right" w:leader="dot" w:pos="9016"/>
            </w:tabs>
            <w:rPr>
              <w:noProof/>
            </w:rPr>
          </w:pPr>
          <w:hyperlink w:anchor="_Toc10812327" w:history="1">
            <w:r w:rsidRPr="00CA78A4">
              <w:rPr>
                <w:rStyle w:val="Hyperlink"/>
                <w:noProof/>
              </w:rPr>
              <w:t>Where to next?</w:t>
            </w:r>
            <w:r>
              <w:rPr>
                <w:noProof/>
                <w:webHidden/>
              </w:rPr>
              <w:tab/>
            </w:r>
            <w:r>
              <w:rPr>
                <w:noProof/>
                <w:webHidden/>
              </w:rPr>
              <w:fldChar w:fldCharType="begin"/>
            </w:r>
            <w:r>
              <w:rPr>
                <w:noProof/>
                <w:webHidden/>
              </w:rPr>
              <w:instrText xml:space="preserve"> PAGEREF _Toc10812327 \h </w:instrText>
            </w:r>
            <w:r>
              <w:rPr>
                <w:noProof/>
                <w:webHidden/>
              </w:rPr>
            </w:r>
            <w:r>
              <w:rPr>
                <w:noProof/>
                <w:webHidden/>
              </w:rPr>
              <w:fldChar w:fldCharType="separate"/>
            </w:r>
            <w:r>
              <w:rPr>
                <w:noProof/>
                <w:webHidden/>
              </w:rPr>
              <w:t>16</w:t>
            </w:r>
            <w:r>
              <w:rPr>
                <w:noProof/>
                <w:webHidden/>
              </w:rPr>
              <w:fldChar w:fldCharType="end"/>
            </w:r>
          </w:hyperlink>
        </w:p>
        <w:p w14:paraId="24C80BE9" w14:textId="448BFD01" w:rsidR="00763905" w:rsidRDefault="00763905">
          <w:pPr>
            <w:pStyle w:val="TOC2"/>
            <w:tabs>
              <w:tab w:val="right" w:leader="dot" w:pos="9016"/>
            </w:tabs>
            <w:rPr>
              <w:noProof/>
            </w:rPr>
          </w:pPr>
          <w:hyperlink w:anchor="_Toc10812328" w:history="1">
            <w:r w:rsidRPr="00CA78A4">
              <w:rPr>
                <w:rStyle w:val="Hyperlink"/>
                <w:noProof/>
              </w:rPr>
              <w:t>Objective Five: Agree a national research agenda and promote investment in the discovery and development of new products and approaches to prevent, detect and contain antimicrobial resistance.</w:t>
            </w:r>
            <w:r>
              <w:rPr>
                <w:noProof/>
                <w:webHidden/>
              </w:rPr>
              <w:tab/>
            </w:r>
            <w:r>
              <w:rPr>
                <w:noProof/>
                <w:webHidden/>
              </w:rPr>
              <w:fldChar w:fldCharType="begin"/>
            </w:r>
            <w:r>
              <w:rPr>
                <w:noProof/>
                <w:webHidden/>
              </w:rPr>
              <w:instrText xml:space="preserve"> PAGEREF _Toc10812328 \h </w:instrText>
            </w:r>
            <w:r>
              <w:rPr>
                <w:noProof/>
                <w:webHidden/>
              </w:rPr>
            </w:r>
            <w:r>
              <w:rPr>
                <w:noProof/>
                <w:webHidden/>
              </w:rPr>
              <w:fldChar w:fldCharType="separate"/>
            </w:r>
            <w:r>
              <w:rPr>
                <w:noProof/>
                <w:webHidden/>
              </w:rPr>
              <w:t>17</w:t>
            </w:r>
            <w:r>
              <w:rPr>
                <w:noProof/>
                <w:webHidden/>
              </w:rPr>
              <w:fldChar w:fldCharType="end"/>
            </w:r>
          </w:hyperlink>
        </w:p>
        <w:p w14:paraId="297DB6BF" w14:textId="55EF1B8A" w:rsidR="00763905" w:rsidRDefault="00763905">
          <w:pPr>
            <w:pStyle w:val="TOC3"/>
            <w:tabs>
              <w:tab w:val="right" w:leader="dot" w:pos="9016"/>
            </w:tabs>
            <w:rPr>
              <w:noProof/>
            </w:rPr>
          </w:pPr>
          <w:hyperlink w:anchor="_Toc10812329"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_Toc10812329 \h </w:instrText>
            </w:r>
            <w:r>
              <w:rPr>
                <w:noProof/>
                <w:webHidden/>
              </w:rPr>
            </w:r>
            <w:r>
              <w:rPr>
                <w:noProof/>
                <w:webHidden/>
              </w:rPr>
              <w:fldChar w:fldCharType="separate"/>
            </w:r>
            <w:r>
              <w:rPr>
                <w:noProof/>
                <w:webHidden/>
              </w:rPr>
              <w:t>17</w:t>
            </w:r>
            <w:r>
              <w:rPr>
                <w:noProof/>
                <w:webHidden/>
              </w:rPr>
              <w:fldChar w:fldCharType="end"/>
            </w:r>
          </w:hyperlink>
        </w:p>
        <w:p w14:paraId="56D893B4" w14:textId="5451DCB4" w:rsidR="00763905" w:rsidRDefault="00763905">
          <w:pPr>
            <w:pStyle w:val="TOC3"/>
            <w:tabs>
              <w:tab w:val="right" w:leader="dot" w:pos="9016"/>
            </w:tabs>
            <w:rPr>
              <w:noProof/>
            </w:rPr>
          </w:pPr>
          <w:hyperlink w:anchor="_Toc10812330"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_Toc10812330 \h </w:instrText>
            </w:r>
            <w:r>
              <w:rPr>
                <w:noProof/>
                <w:webHidden/>
              </w:rPr>
            </w:r>
            <w:r>
              <w:rPr>
                <w:noProof/>
                <w:webHidden/>
              </w:rPr>
              <w:fldChar w:fldCharType="separate"/>
            </w:r>
            <w:r>
              <w:rPr>
                <w:noProof/>
                <w:webHidden/>
              </w:rPr>
              <w:t>18</w:t>
            </w:r>
            <w:r>
              <w:rPr>
                <w:noProof/>
                <w:webHidden/>
              </w:rPr>
              <w:fldChar w:fldCharType="end"/>
            </w:r>
          </w:hyperlink>
        </w:p>
        <w:p w14:paraId="4DA743D2" w14:textId="39E6281C" w:rsidR="00763905" w:rsidRDefault="00763905">
          <w:pPr>
            <w:pStyle w:val="TOC3"/>
            <w:tabs>
              <w:tab w:val="right" w:leader="dot" w:pos="9016"/>
            </w:tabs>
            <w:rPr>
              <w:noProof/>
            </w:rPr>
          </w:pPr>
          <w:hyperlink w:anchor="_Toc10812331" w:history="1">
            <w:r w:rsidRPr="00CA78A4">
              <w:rPr>
                <w:rStyle w:val="Hyperlink"/>
                <w:noProof/>
              </w:rPr>
              <w:t>Where to next?</w:t>
            </w:r>
            <w:r>
              <w:rPr>
                <w:noProof/>
                <w:webHidden/>
              </w:rPr>
              <w:tab/>
            </w:r>
            <w:r>
              <w:rPr>
                <w:noProof/>
                <w:webHidden/>
              </w:rPr>
              <w:fldChar w:fldCharType="begin"/>
            </w:r>
            <w:r>
              <w:rPr>
                <w:noProof/>
                <w:webHidden/>
              </w:rPr>
              <w:instrText xml:space="preserve"> PAGEREF _Toc10812331 \h </w:instrText>
            </w:r>
            <w:r>
              <w:rPr>
                <w:noProof/>
                <w:webHidden/>
              </w:rPr>
            </w:r>
            <w:r>
              <w:rPr>
                <w:noProof/>
                <w:webHidden/>
              </w:rPr>
              <w:fldChar w:fldCharType="separate"/>
            </w:r>
            <w:r>
              <w:rPr>
                <w:noProof/>
                <w:webHidden/>
              </w:rPr>
              <w:t>18</w:t>
            </w:r>
            <w:r>
              <w:rPr>
                <w:noProof/>
                <w:webHidden/>
              </w:rPr>
              <w:fldChar w:fldCharType="end"/>
            </w:r>
          </w:hyperlink>
        </w:p>
        <w:p w14:paraId="24E1AA8E" w14:textId="71915AA3" w:rsidR="00763905" w:rsidRDefault="00763905">
          <w:pPr>
            <w:pStyle w:val="TOC2"/>
            <w:tabs>
              <w:tab w:val="right" w:leader="dot" w:pos="9016"/>
            </w:tabs>
            <w:rPr>
              <w:noProof/>
            </w:rPr>
          </w:pPr>
          <w:hyperlink w:anchor="_Toc10812332" w:history="1">
            <w:r w:rsidRPr="00CA78A4">
              <w:rPr>
                <w:rStyle w:val="Hyperlink"/>
                <w:noProof/>
              </w:rPr>
              <w:t>Objective Six: Strengthen international partnerships and collaboration on regional and global efforts to respond to antimicrobial resistance.</w:t>
            </w:r>
            <w:r>
              <w:rPr>
                <w:noProof/>
                <w:webHidden/>
              </w:rPr>
              <w:tab/>
            </w:r>
            <w:r>
              <w:rPr>
                <w:noProof/>
                <w:webHidden/>
              </w:rPr>
              <w:fldChar w:fldCharType="begin"/>
            </w:r>
            <w:r>
              <w:rPr>
                <w:noProof/>
                <w:webHidden/>
              </w:rPr>
              <w:instrText xml:space="preserve"> PAGEREF _Toc10812332 \h </w:instrText>
            </w:r>
            <w:r>
              <w:rPr>
                <w:noProof/>
                <w:webHidden/>
              </w:rPr>
            </w:r>
            <w:r>
              <w:rPr>
                <w:noProof/>
                <w:webHidden/>
              </w:rPr>
              <w:fldChar w:fldCharType="separate"/>
            </w:r>
            <w:r>
              <w:rPr>
                <w:noProof/>
                <w:webHidden/>
              </w:rPr>
              <w:t>20</w:t>
            </w:r>
            <w:r>
              <w:rPr>
                <w:noProof/>
                <w:webHidden/>
              </w:rPr>
              <w:fldChar w:fldCharType="end"/>
            </w:r>
          </w:hyperlink>
        </w:p>
        <w:p w14:paraId="0058C635" w14:textId="41C76FEF" w:rsidR="00763905" w:rsidRDefault="00763905">
          <w:pPr>
            <w:pStyle w:val="TOC3"/>
            <w:tabs>
              <w:tab w:val="right" w:leader="dot" w:pos="9016"/>
            </w:tabs>
            <w:rPr>
              <w:noProof/>
            </w:rPr>
          </w:pPr>
          <w:hyperlink w:anchor="_Toc10812333"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_Toc10812333 \h </w:instrText>
            </w:r>
            <w:r>
              <w:rPr>
                <w:noProof/>
                <w:webHidden/>
              </w:rPr>
            </w:r>
            <w:r>
              <w:rPr>
                <w:noProof/>
                <w:webHidden/>
              </w:rPr>
              <w:fldChar w:fldCharType="separate"/>
            </w:r>
            <w:r>
              <w:rPr>
                <w:noProof/>
                <w:webHidden/>
              </w:rPr>
              <w:t>20</w:t>
            </w:r>
            <w:r>
              <w:rPr>
                <w:noProof/>
                <w:webHidden/>
              </w:rPr>
              <w:fldChar w:fldCharType="end"/>
            </w:r>
          </w:hyperlink>
        </w:p>
        <w:p w14:paraId="68B890B4" w14:textId="5284E210" w:rsidR="00763905" w:rsidRDefault="00763905">
          <w:pPr>
            <w:pStyle w:val="TOC3"/>
            <w:tabs>
              <w:tab w:val="right" w:leader="dot" w:pos="9016"/>
            </w:tabs>
            <w:rPr>
              <w:noProof/>
            </w:rPr>
          </w:pPr>
          <w:hyperlink w:anchor="_Toc10812334"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_Toc10812334 \h </w:instrText>
            </w:r>
            <w:r>
              <w:rPr>
                <w:noProof/>
                <w:webHidden/>
              </w:rPr>
            </w:r>
            <w:r>
              <w:rPr>
                <w:noProof/>
                <w:webHidden/>
              </w:rPr>
              <w:fldChar w:fldCharType="separate"/>
            </w:r>
            <w:r>
              <w:rPr>
                <w:noProof/>
                <w:webHidden/>
              </w:rPr>
              <w:t>21</w:t>
            </w:r>
            <w:r>
              <w:rPr>
                <w:noProof/>
                <w:webHidden/>
              </w:rPr>
              <w:fldChar w:fldCharType="end"/>
            </w:r>
          </w:hyperlink>
        </w:p>
        <w:p w14:paraId="0B94451A" w14:textId="7030CD09" w:rsidR="00763905" w:rsidRDefault="00763905">
          <w:pPr>
            <w:pStyle w:val="TOC3"/>
            <w:tabs>
              <w:tab w:val="right" w:leader="dot" w:pos="9016"/>
            </w:tabs>
            <w:rPr>
              <w:noProof/>
            </w:rPr>
          </w:pPr>
          <w:hyperlink w:anchor="_Toc10812335" w:history="1">
            <w:r w:rsidRPr="00CA78A4">
              <w:rPr>
                <w:rStyle w:val="Hyperlink"/>
                <w:noProof/>
              </w:rPr>
              <w:t>Where to next?</w:t>
            </w:r>
            <w:r>
              <w:rPr>
                <w:noProof/>
                <w:webHidden/>
              </w:rPr>
              <w:tab/>
            </w:r>
            <w:r>
              <w:rPr>
                <w:noProof/>
                <w:webHidden/>
              </w:rPr>
              <w:fldChar w:fldCharType="begin"/>
            </w:r>
            <w:r>
              <w:rPr>
                <w:noProof/>
                <w:webHidden/>
              </w:rPr>
              <w:instrText xml:space="preserve"> PAGEREF _Toc10812335 \h </w:instrText>
            </w:r>
            <w:r>
              <w:rPr>
                <w:noProof/>
                <w:webHidden/>
              </w:rPr>
            </w:r>
            <w:r>
              <w:rPr>
                <w:noProof/>
                <w:webHidden/>
              </w:rPr>
              <w:fldChar w:fldCharType="separate"/>
            </w:r>
            <w:r>
              <w:rPr>
                <w:noProof/>
                <w:webHidden/>
              </w:rPr>
              <w:t>22</w:t>
            </w:r>
            <w:r>
              <w:rPr>
                <w:noProof/>
                <w:webHidden/>
              </w:rPr>
              <w:fldChar w:fldCharType="end"/>
            </w:r>
          </w:hyperlink>
        </w:p>
        <w:p w14:paraId="522BB409" w14:textId="76F17277" w:rsidR="00763905" w:rsidRDefault="00763905">
          <w:pPr>
            <w:pStyle w:val="TOC2"/>
            <w:tabs>
              <w:tab w:val="right" w:leader="dot" w:pos="9016"/>
            </w:tabs>
            <w:rPr>
              <w:noProof/>
            </w:rPr>
          </w:pPr>
          <w:hyperlink w:anchor="_Toc10812336" w:history="1">
            <w:r w:rsidRPr="00CA78A4">
              <w:rPr>
                <w:rStyle w:val="Hyperlink"/>
                <w:noProof/>
              </w:rPr>
              <w:t>Objective Seven: Establish and support clear governance arrangements at the local, jurisdictional, national and international levels to ensure leadership, engagement and accountability for actions to combat antimicrobial resistance.</w:t>
            </w:r>
            <w:r>
              <w:rPr>
                <w:noProof/>
                <w:webHidden/>
              </w:rPr>
              <w:tab/>
            </w:r>
            <w:r>
              <w:rPr>
                <w:noProof/>
                <w:webHidden/>
              </w:rPr>
              <w:fldChar w:fldCharType="begin"/>
            </w:r>
            <w:r>
              <w:rPr>
                <w:noProof/>
                <w:webHidden/>
              </w:rPr>
              <w:instrText xml:space="preserve"> PAGEREF _Toc10812336 \h </w:instrText>
            </w:r>
            <w:r>
              <w:rPr>
                <w:noProof/>
                <w:webHidden/>
              </w:rPr>
            </w:r>
            <w:r>
              <w:rPr>
                <w:noProof/>
                <w:webHidden/>
              </w:rPr>
              <w:fldChar w:fldCharType="separate"/>
            </w:r>
            <w:r>
              <w:rPr>
                <w:noProof/>
                <w:webHidden/>
              </w:rPr>
              <w:t>22</w:t>
            </w:r>
            <w:r>
              <w:rPr>
                <w:noProof/>
                <w:webHidden/>
              </w:rPr>
              <w:fldChar w:fldCharType="end"/>
            </w:r>
          </w:hyperlink>
        </w:p>
        <w:p w14:paraId="71A6A2F2" w14:textId="3D33A31A" w:rsidR="00763905" w:rsidRDefault="00763905">
          <w:pPr>
            <w:pStyle w:val="TOC3"/>
            <w:tabs>
              <w:tab w:val="right" w:leader="dot" w:pos="9016"/>
            </w:tabs>
            <w:rPr>
              <w:noProof/>
            </w:rPr>
          </w:pPr>
          <w:hyperlink w:anchor="_Toc10812337" w:history="1">
            <w:r w:rsidRPr="00CA78A4">
              <w:rPr>
                <w:rStyle w:val="Hyperlink"/>
                <w:noProof/>
              </w:rPr>
              <w:t>What have we achieved?</w:t>
            </w:r>
            <w:r>
              <w:rPr>
                <w:noProof/>
                <w:webHidden/>
              </w:rPr>
              <w:tab/>
            </w:r>
            <w:r>
              <w:rPr>
                <w:noProof/>
                <w:webHidden/>
              </w:rPr>
              <w:fldChar w:fldCharType="begin"/>
            </w:r>
            <w:r>
              <w:rPr>
                <w:noProof/>
                <w:webHidden/>
              </w:rPr>
              <w:instrText xml:space="preserve"> PAGEREF _Toc10812337 \h </w:instrText>
            </w:r>
            <w:r>
              <w:rPr>
                <w:noProof/>
                <w:webHidden/>
              </w:rPr>
            </w:r>
            <w:r>
              <w:rPr>
                <w:noProof/>
                <w:webHidden/>
              </w:rPr>
              <w:fldChar w:fldCharType="separate"/>
            </w:r>
            <w:r>
              <w:rPr>
                <w:noProof/>
                <w:webHidden/>
              </w:rPr>
              <w:t>23</w:t>
            </w:r>
            <w:r>
              <w:rPr>
                <w:noProof/>
                <w:webHidden/>
              </w:rPr>
              <w:fldChar w:fldCharType="end"/>
            </w:r>
          </w:hyperlink>
        </w:p>
        <w:p w14:paraId="20C60A6A" w14:textId="3CB22263" w:rsidR="00763905" w:rsidRDefault="00763905">
          <w:pPr>
            <w:pStyle w:val="TOC3"/>
            <w:tabs>
              <w:tab w:val="right" w:leader="dot" w:pos="9016"/>
            </w:tabs>
            <w:rPr>
              <w:noProof/>
            </w:rPr>
          </w:pPr>
          <w:hyperlink w:anchor="_Toc10812338" w:history="1">
            <w:r w:rsidRPr="00CA78A4">
              <w:rPr>
                <w:rStyle w:val="Hyperlink"/>
                <w:noProof/>
              </w:rPr>
              <w:t>What are our challenges?</w:t>
            </w:r>
            <w:r>
              <w:rPr>
                <w:noProof/>
                <w:webHidden/>
              </w:rPr>
              <w:tab/>
            </w:r>
            <w:r>
              <w:rPr>
                <w:noProof/>
                <w:webHidden/>
              </w:rPr>
              <w:fldChar w:fldCharType="begin"/>
            </w:r>
            <w:r>
              <w:rPr>
                <w:noProof/>
                <w:webHidden/>
              </w:rPr>
              <w:instrText xml:space="preserve"> PAGEREF _Toc10812338 \h </w:instrText>
            </w:r>
            <w:r>
              <w:rPr>
                <w:noProof/>
                <w:webHidden/>
              </w:rPr>
            </w:r>
            <w:r>
              <w:rPr>
                <w:noProof/>
                <w:webHidden/>
              </w:rPr>
              <w:fldChar w:fldCharType="separate"/>
            </w:r>
            <w:r>
              <w:rPr>
                <w:noProof/>
                <w:webHidden/>
              </w:rPr>
              <w:t>23</w:t>
            </w:r>
            <w:r>
              <w:rPr>
                <w:noProof/>
                <w:webHidden/>
              </w:rPr>
              <w:fldChar w:fldCharType="end"/>
            </w:r>
          </w:hyperlink>
        </w:p>
        <w:p w14:paraId="688A3895" w14:textId="440EB002" w:rsidR="00763905" w:rsidRDefault="00763905">
          <w:pPr>
            <w:pStyle w:val="TOC3"/>
            <w:tabs>
              <w:tab w:val="right" w:leader="dot" w:pos="9016"/>
            </w:tabs>
            <w:rPr>
              <w:noProof/>
            </w:rPr>
          </w:pPr>
          <w:hyperlink w:anchor="_Toc10812339" w:history="1">
            <w:r w:rsidRPr="00CA78A4">
              <w:rPr>
                <w:rStyle w:val="Hyperlink"/>
                <w:noProof/>
              </w:rPr>
              <w:t>Where to next?</w:t>
            </w:r>
            <w:r>
              <w:rPr>
                <w:noProof/>
                <w:webHidden/>
              </w:rPr>
              <w:tab/>
            </w:r>
            <w:r>
              <w:rPr>
                <w:noProof/>
                <w:webHidden/>
              </w:rPr>
              <w:fldChar w:fldCharType="begin"/>
            </w:r>
            <w:r>
              <w:rPr>
                <w:noProof/>
                <w:webHidden/>
              </w:rPr>
              <w:instrText xml:space="preserve"> PAGEREF _Toc10812339 \h </w:instrText>
            </w:r>
            <w:r>
              <w:rPr>
                <w:noProof/>
                <w:webHidden/>
              </w:rPr>
            </w:r>
            <w:r>
              <w:rPr>
                <w:noProof/>
                <w:webHidden/>
              </w:rPr>
              <w:fldChar w:fldCharType="separate"/>
            </w:r>
            <w:r>
              <w:rPr>
                <w:noProof/>
                <w:webHidden/>
              </w:rPr>
              <w:t>23</w:t>
            </w:r>
            <w:r>
              <w:rPr>
                <w:noProof/>
                <w:webHidden/>
              </w:rPr>
              <w:fldChar w:fldCharType="end"/>
            </w:r>
          </w:hyperlink>
        </w:p>
        <w:p w14:paraId="19A98F30" w14:textId="0E5BA60E" w:rsidR="00763905" w:rsidRDefault="00763905">
          <w:pPr>
            <w:pStyle w:val="TOC1"/>
            <w:tabs>
              <w:tab w:val="left" w:pos="440"/>
              <w:tab w:val="right" w:leader="dot" w:pos="9016"/>
            </w:tabs>
            <w:rPr>
              <w:noProof/>
            </w:rPr>
          </w:pPr>
          <w:hyperlink w:anchor="_Toc10812340" w:history="1">
            <w:r w:rsidRPr="00CA78A4">
              <w:rPr>
                <w:rStyle w:val="Hyperlink"/>
                <w:rFonts w:cstheme="minorHAnsi"/>
                <w:noProof/>
              </w:rPr>
              <w:t>8.</w:t>
            </w:r>
            <w:r>
              <w:rPr>
                <w:noProof/>
              </w:rPr>
              <w:tab/>
            </w:r>
            <w:r w:rsidRPr="00CA78A4">
              <w:rPr>
                <w:rStyle w:val="Hyperlink"/>
                <w:rFonts w:cstheme="minorHAnsi"/>
                <w:noProof/>
              </w:rPr>
              <w:t>Sector Specific Roles and Responsibilities</w:t>
            </w:r>
            <w:r>
              <w:rPr>
                <w:noProof/>
                <w:webHidden/>
              </w:rPr>
              <w:tab/>
            </w:r>
            <w:r>
              <w:rPr>
                <w:noProof/>
                <w:webHidden/>
              </w:rPr>
              <w:fldChar w:fldCharType="begin"/>
            </w:r>
            <w:r>
              <w:rPr>
                <w:noProof/>
                <w:webHidden/>
              </w:rPr>
              <w:instrText xml:space="preserve"> PAGEREF _Toc10812340 \h </w:instrText>
            </w:r>
            <w:r>
              <w:rPr>
                <w:noProof/>
                <w:webHidden/>
              </w:rPr>
            </w:r>
            <w:r>
              <w:rPr>
                <w:noProof/>
                <w:webHidden/>
              </w:rPr>
              <w:fldChar w:fldCharType="separate"/>
            </w:r>
            <w:r>
              <w:rPr>
                <w:noProof/>
                <w:webHidden/>
              </w:rPr>
              <w:t>24</w:t>
            </w:r>
            <w:r>
              <w:rPr>
                <w:noProof/>
                <w:webHidden/>
              </w:rPr>
              <w:fldChar w:fldCharType="end"/>
            </w:r>
          </w:hyperlink>
        </w:p>
        <w:p w14:paraId="18E6DCDC" w14:textId="111E33AA" w:rsidR="00763905" w:rsidRDefault="00763905">
          <w:pPr>
            <w:pStyle w:val="TOC2"/>
            <w:tabs>
              <w:tab w:val="right" w:leader="dot" w:pos="9016"/>
            </w:tabs>
            <w:rPr>
              <w:noProof/>
            </w:rPr>
          </w:pPr>
          <w:hyperlink w:anchor="_Toc10812341" w:history="1">
            <w:r w:rsidRPr="00CA78A4">
              <w:rPr>
                <w:rStyle w:val="Hyperlink"/>
                <w:noProof/>
              </w:rPr>
              <w:t>The Public Sector</w:t>
            </w:r>
            <w:r>
              <w:rPr>
                <w:noProof/>
                <w:webHidden/>
              </w:rPr>
              <w:tab/>
            </w:r>
            <w:r>
              <w:rPr>
                <w:noProof/>
                <w:webHidden/>
              </w:rPr>
              <w:fldChar w:fldCharType="begin"/>
            </w:r>
            <w:r>
              <w:rPr>
                <w:noProof/>
                <w:webHidden/>
              </w:rPr>
              <w:instrText xml:space="preserve"> PAGEREF _Toc10812341 \h </w:instrText>
            </w:r>
            <w:r>
              <w:rPr>
                <w:noProof/>
                <w:webHidden/>
              </w:rPr>
            </w:r>
            <w:r>
              <w:rPr>
                <w:noProof/>
                <w:webHidden/>
              </w:rPr>
              <w:fldChar w:fldCharType="separate"/>
            </w:r>
            <w:r>
              <w:rPr>
                <w:noProof/>
                <w:webHidden/>
              </w:rPr>
              <w:t>24</w:t>
            </w:r>
            <w:r>
              <w:rPr>
                <w:noProof/>
                <w:webHidden/>
              </w:rPr>
              <w:fldChar w:fldCharType="end"/>
            </w:r>
          </w:hyperlink>
        </w:p>
        <w:p w14:paraId="6BB3B524" w14:textId="6670A7E2" w:rsidR="00763905" w:rsidRDefault="00763905">
          <w:pPr>
            <w:pStyle w:val="TOC2"/>
            <w:tabs>
              <w:tab w:val="right" w:leader="dot" w:pos="9016"/>
            </w:tabs>
            <w:rPr>
              <w:noProof/>
            </w:rPr>
          </w:pPr>
          <w:hyperlink w:anchor="_Toc10812342" w:history="1">
            <w:r w:rsidRPr="00CA78A4">
              <w:rPr>
                <w:rStyle w:val="Hyperlink"/>
                <w:noProof/>
              </w:rPr>
              <w:t>The Private Sector</w:t>
            </w:r>
            <w:r>
              <w:rPr>
                <w:noProof/>
                <w:webHidden/>
              </w:rPr>
              <w:tab/>
            </w:r>
            <w:r>
              <w:rPr>
                <w:noProof/>
                <w:webHidden/>
              </w:rPr>
              <w:fldChar w:fldCharType="begin"/>
            </w:r>
            <w:r>
              <w:rPr>
                <w:noProof/>
                <w:webHidden/>
              </w:rPr>
              <w:instrText xml:space="preserve"> PAGEREF _Toc10812342 \h </w:instrText>
            </w:r>
            <w:r>
              <w:rPr>
                <w:noProof/>
                <w:webHidden/>
              </w:rPr>
            </w:r>
            <w:r>
              <w:rPr>
                <w:noProof/>
                <w:webHidden/>
              </w:rPr>
              <w:fldChar w:fldCharType="separate"/>
            </w:r>
            <w:r>
              <w:rPr>
                <w:noProof/>
                <w:webHidden/>
              </w:rPr>
              <w:t>24</w:t>
            </w:r>
            <w:r>
              <w:rPr>
                <w:noProof/>
                <w:webHidden/>
              </w:rPr>
              <w:fldChar w:fldCharType="end"/>
            </w:r>
          </w:hyperlink>
        </w:p>
        <w:p w14:paraId="68392262" w14:textId="7AD493CA" w:rsidR="00763905" w:rsidRDefault="00763905">
          <w:pPr>
            <w:pStyle w:val="TOC2"/>
            <w:tabs>
              <w:tab w:val="right" w:leader="dot" w:pos="9016"/>
            </w:tabs>
            <w:rPr>
              <w:noProof/>
            </w:rPr>
          </w:pPr>
          <w:hyperlink w:anchor="_Toc10812343" w:history="1">
            <w:r w:rsidRPr="00CA78A4">
              <w:rPr>
                <w:rStyle w:val="Hyperlink"/>
                <w:noProof/>
              </w:rPr>
              <w:t>The Research Community</w:t>
            </w:r>
            <w:r>
              <w:rPr>
                <w:noProof/>
                <w:webHidden/>
              </w:rPr>
              <w:tab/>
            </w:r>
            <w:r>
              <w:rPr>
                <w:noProof/>
                <w:webHidden/>
              </w:rPr>
              <w:fldChar w:fldCharType="begin"/>
            </w:r>
            <w:r>
              <w:rPr>
                <w:noProof/>
                <w:webHidden/>
              </w:rPr>
              <w:instrText xml:space="preserve"> PAGEREF _Toc10812343 \h </w:instrText>
            </w:r>
            <w:r>
              <w:rPr>
                <w:noProof/>
                <w:webHidden/>
              </w:rPr>
            </w:r>
            <w:r>
              <w:rPr>
                <w:noProof/>
                <w:webHidden/>
              </w:rPr>
              <w:fldChar w:fldCharType="separate"/>
            </w:r>
            <w:r>
              <w:rPr>
                <w:noProof/>
                <w:webHidden/>
              </w:rPr>
              <w:t>24</w:t>
            </w:r>
            <w:r>
              <w:rPr>
                <w:noProof/>
                <w:webHidden/>
              </w:rPr>
              <w:fldChar w:fldCharType="end"/>
            </w:r>
          </w:hyperlink>
        </w:p>
        <w:p w14:paraId="72E8F0A0" w14:textId="5C077B46" w:rsidR="00763905" w:rsidRDefault="00763905">
          <w:pPr>
            <w:pStyle w:val="TOC2"/>
            <w:tabs>
              <w:tab w:val="right" w:leader="dot" w:pos="9016"/>
            </w:tabs>
            <w:rPr>
              <w:noProof/>
            </w:rPr>
          </w:pPr>
          <w:hyperlink w:anchor="_Toc10812344" w:history="1">
            <w:r w:rsidRPr="00CA78A4">
              <w:rPr>
                <w:rStyle w:val="Hyperlink"/>
                <w:noProof/>
              </w:rPr>
              <w:t>Professionals</w:t>
            </w:r>
            <w:r>
              <w:rPr>
                <w:noProof/>
                <w:webHidden/>
              </w:rPr>
              <w:tab/>
            </w:r>
            <w:r>
              <w:rPr>
                <w:noProof/>
                <w:webHidden/>
              </w:rPr>
              <w:fldChar w:fldCharType="begin"/>
            </w:r>
            <w:r>
              <w:rPr>
                <w:noProof/>
                <w:webHidden/>
              </w:rPr>
              <w:instrText xml:space="preserve"> PAGEREF _Toc10812344 \h </w:instrText>
            </w:r>
            <w:r>
              <w:rPr>
                <w:noProof/>
                <w:webHidden/>
              </w:rPr>
            </w:r>
            <w:r>
              <w:rPr>
                <w:noProof/>
                <w:webHidden/>
              </w:rPr>
              <w:fldChar w:fldCharType="separate"/>
            </w:r>
            <w:r>
              <w:rPr>
                <w:noProof/>
                <w:webHidden/>
              </w:rPr>
              <w:t>25</w:t>
            </w:r>
            <w:r>
              <w:rPr>
                <w:noProof/>
                <w:webHidden/>
              </w:rPr>
              <w:fldChar w:fldCharType="end"/>
            </w:r>
          </w:hyperlink>
        </w:p>
        <w:p w14:paraId="6D6420F5" w14:textId="7E24BEA3" w:rsidR="00763905" w:rsidRDefault="00763905">
          <w:pPr>
            <w:pStyle w:val="TOC2"/>
            <w:tabs>
              <w:tab w:val="right" w:leader="dot" w:pos="9016"/>
            </w:tabs>
            <w:rPr>
              <w:noProof/>
            </w:rPr>
          </w:pPr>
          <w:hyperlink w:anchor="_Toc10812345" w:history="1">
            <w:r w:rsidRPr="00CA78A4">
              <w:rPr>
                <w:rStyle w:val="Hyperlink"/>
                <w:noProof/>
              </w:rPr>
              <w:t>Society</w:t>
            </w:r>
            <w:r>
              <w:rPr>
                <w:noProof/>
                <w:webHidden/>
              </w:rPr>
              <w:tab/>
            </w:r>
            <w:r>
              <w:rPr>
                <w:noProof/>
                <w:webHidden/>
              </w:rPr>
              <w:fldChar w:fldCharType="begin"/>
            </w:r>
            <w:r>
              <w:rPr>
                <w:noProof/>
                <w:webHidden/>
              </w:rPr>
              <w:instrText xml:space="preserve"> PAGEREF _Toc10812345 \h </w:instrText>
            </w:r>
            <w:r>
              <w:rPr>
                <w:noProof/>
                <w:webHidden/>
              </w:rPr>
            </w:r>
            <w:r>
              <w:rPr>
                <w:noProof/>
                <w:webHidden/>
              </w:rPr>
              <w:fldChar w:fldCharType="separate"/>
            </w:r>
            <w:r>
              <w:rPr>
                <w:noProof/>
                <w:webHidden/>
              </w:rPr>
              <w:t>25</w:t>
            </w:r>
            <w:r>
              <w:rPr>
                <w:noProof/>
                <w:webHidden/>
              </w:rPr>
              <w:fldChar w:fldCharType="end"/>
            </w:r>
          </w:hyperlink>
        </w:p>
        <w:p w14:paraId="35515A81" w14:textId="7BF705AC" w:rsidR="00763905" w:rsidRDefault="00763905">
          <w:pPr>
            <w:pStyle w:val="TOC1"/>
            <w:tabs>
              <w:tab w:val="left" w:pos="440"/>
              <w:tab w:val="right" w:leader="dot" w:pos="9016"/>
            </w:tabs>
            <w:rPr>
              <w:noProof/>
            </w:rPr>
          </w:pPr>
          <w:hyperlink w:anchor="_Toc10812346" w:history="1">
            <w:r w:rsidRPr="00CA78A4">
              <w:rPr>
                <w:rStyle w:val="Hyperlink"/>
                <w:rFonts w:cstheme="minorHAnsi"/>
                <w:noProof/>
              </w:rPr>
              <w:t>9.</w:t>
            </w:r>
            <w:r>
              <w:rPr>
                <w:noProof/>
              </w:rPr>
              <w:tab/>
            </w:r>
            <w:r w:rsidRPr="00CA78A4">
              <w:rPr>
                <w:rStyle w:val="Hyperlink"/>
                <w:rFonts w:cstheme="minorHAnsi"/>
                <w:noProof/>
              </w:rPr>
              <w:t>Stocktake of Activities</w:t>
            </w:r>
            <w:r>
              <w:rPr>
                <w:noProof/>
                <w:webHidden/>
              </w:rPr>
              <w:tab/>
            </w:r>
            <w:r>
              <w:rPr>
                <w:noProof/>
                <w:webHidden/>
              </w:rPr>
              <w:fldChar w:fldCharType="begin"/>
            </w:r>
            <w:r>
              <w:rPr>
                <w:noProof/>
                <w:webHidden/>
              </w:rPr>
              <w:instrText xml:space="preserve"> PAGEREF _Toc10812346 \h </w:instrText>
            </w:r>
            <w:r>
              <w:rPr>
                <w:noProof/>
                <w:webHidden/>
              </w:rPr>
            </w:r>
            <w:r>
              <w:rPr>
                <w:noProof/>
                <w:webHidden/>
              </w:rPr>
              <w:fldChar w:fldCharType="separate"/>
            </w:r>
            <w:r>
              <w:rPr>
                <w:noProof/>
                <w:webHidden/>
              </w:rPr>
              <w:t>25</w:t>
            </w:r>
            <w:r>
              <w:rPr>
                <w:noProof/>
                <w:webHidden/>
              </w:rPr>
              <w:fldChar w:fldCharType="end"/>
            </w:r>
          </w:hyperlink>
        </w:p>
        <w:p w14:paraId="111D044E" w14:textId="6C83EC3C" w:rsidR="00077C9B" w:rsidRPr="00077C9B" w:rsidRDefault="00253009" w:rsidP="0053652E">
          <w:pPr>
            <w:spacing w:after="120" w:line="240" w:lineRule="auto"/>
          </w:pPr>
          <w:r w:rsidRPr="00045EEC">
            <w:rPr>
              <w:rFonts w:cstheme="minorHAnsi"/>
              <w:b/>
              <w:bCs/>
              <w:noProof/>
            </w:rPr>
            <w:fldChar w:fldCharType="end"/>
          </w:r>
        </w:p>
      </w:sdtContent>
    </w:sdt>
    <w:p w14:paraId="39FFD6A2" w14:textId="77777777" w:rsidR="00D26045" w:rsidRDefault="00D26045" w:rsidP="00B15041">
      <w:pPr>
        <w:spacing w:after="120" w:line="240" w:lineRule="auto"/>
        <w:jc w:val="center"/>
        <w:rPr>
          <w:rFonts w:cstheme="minorHAnsi"/>
          <w:b/>
          <w:sz w:val="32"/>
          <w:szCs w:val="32"/>
        </w:rPr>
        <w:sectPr w:rsidR="00D26045" w:rsidSect="00763905">
          <w:footerReference w:type="first" r:id="rId10"/>
          <w:pgSz w:w="11906" w:h="16838"/>
          <w:pgMar w:top="1440" w:right="1440" w:bottom="1440" w:left="1440" w:header="708" w:footer="708" w:gutter="0"/>
          <w:pgNumType w:start="0"/>
          <w:cols w:space="708"/>
          <w:docGrid w:linePitch="360"/>
        </w:sectPr>
      </w:pPr>
    </w:p>
    <w:p w14:paraId="4F9C1D8B" w14:textId="24465A38" w:rsidR="00F019B8" w:rsidRPr="001552E1" w:rsidRDefault="00F019B8" w:rsidP="001552E1">
      <w:pPr>
        <w:jc w:val="center"/>
        <w:rPr>
          <w:b/>
          <w:sz w:val="32"/>
          <w:szCs w:val="32"/>
        </w:rPr>
      </w:pPr>
      <w:r w:rsidRPr="001552E1">
        <w:rPr>
          <w:b/>
          <w:sz w:val="32"/>
          <w:szCs w:val="32"/>
        </w:rPr>
        <w:lastRenderedPageBreak/>
        <w:t>Australia’s Antimicrobial Resistance Strategy – 2020 and beyond</w:t>
      </w:r>
    </w:p>
    <w:p w14:paraId="0B1AF757" w14:textId="77777777" w:rsidR="00F019B8" w:rsidRPr="001552E1" w:rsidRDefault="00F019B8" w:rsidP="001552E1">
      <w:pPr>
        <w:jc w:val="center"/>
        <w:rPr>
          <w:b/>
          <w:sz w:val="32"/>
          <w:szCs w:val="32"/>
        </w:rPr>
      </w:pPr>
      <w:r w:rsidRPr="001552E1">
        <w:rPr>
          <w:b/>
          <w:sz w:val="32"/>
          <w:szCs w:val="32"/>
        </w:rPr>
        <w:t>Consultation Paper</w:t>
      </w:r>
    </w:p>
    <w:p w14:paraId="7629B39D" w14:textId="4C92AA16" w:rsidR="00F01D7A" w:rsidRPr="00055166" w:rsidRDefault="00F01D7A" w:rsidP="0053652E">
      <w:pPr>
        <w:pStyle w:val="Heading1"/>
        <w:numPr>
          <w:ilvl w:val="0"/>
          <w:numId w:val="16"/>
        </w:numPr>
        <w:spacing w:before="0" w:after="120" w:line="240" w:lineRule="auto"/>
        <w:contextualSpacing w:val="0"/>
        <w:rPr>
          <w:rFonts w:asciiTheme="minorHAnsi" w:hAnsiTheme="minorHAnsi" w:cstheme="minorHAnsi"/>
        </w:rPr>
      </w:pPr>
      <w:bookmarkStart w:id="1" w:name="_Toc10812302"/>
      <w:r w:rsidRPr="00055166">
        <w:rPr>
          <w:rFonts w:asciiTheme="minorHAnsi" w:hAnsiTheme="minorHAnsi" w:cstheme="minorHAnsi"/>
        </w:rPr>
        <w:t>Context</w:t>
      </w:r>
      <w:bookmarkEnd w:id="0"/>
      <w:bookmarkEnd w:id="1"/>
    </w:p>
    <w:p w14:paraId="64EEB42C" w14:textId="6935D053" w:rsidR="00597262" w:rsidRDefault="00F01D7A" w:rsidP="004373F3">
      <w:r w:rsidRPr="00045EEC">
        <w:t>In June 2015, the Australian Government released Australia’s First National Antimicrobial Resistance Strategy 2015-</w:t>
      </w:r>
      <w:r w:rsidR="00AB1FE6" w:rsidRPr="00045EEC">
        <w:t>20</w:t>
      </w:r>
      <w:r w:rsidRPr="00045EEC">
        <w:t xml:space="preserve">19 (the </w:t>
      </w:r>
      <w:r w:rsidR="00F778F4" w:rsidRPr="00045EEC">
        <w:t xml:space="preserve">First </w:t>
      </w:r>
      <w:r w:rsidRPr="00045EEC">
        <w:t>Strategy)</w:t>
      </w:r>
      <w:r w:rsidR="00F778F4" w:rsidRPr="00703059">
        <w:t xml:space="preserve"> </w:t>
      </w:r>
      <w:r w:rsidR="005A3200" w:rsidRPr="00703059">
        <w:t>which</w:t>
      </w:r>
      <w:r w:rsidR="00F778F4" w:rsidRPr="00703059">
        <w:t xml:space="preserve"> is closely aligned with the World Health Organi</w:t>
      </w:r>
      <w:r w:rsidR="00BA0CC3">
        <w:t>z</w:t>
      </w:r>
      <w:r w:rsidR="00F778F4" w:rsidRPr="00703059">
        <w:t>ation’s (WHO) Global Action Plan on Antimicrobial Resistance.</w:t>
      </w:r>
      <w:r w:rsidRPr="00703059">
        <w:t xml:space="preserve"> </w:t>
      </w:r>
    </w:p>
    <w:p w14:paraId="12AC5CD7" w14:textId="5F7122C2" w:rsidR="00400F8A" w:rsidRPr="00703059" w:rsidRDefault="00400F8A" w:rsidP="004373F3">
      <w:r w:rsidRPr="00D8079D">
        <w:t>Australia’s response to AMR recognises the need for action in all sectors where antimicrobials</w:t>
      </w:r>
      <w:r w:rsidRPr="00703059">
        <w:t xml:space="preserve"> are used – a One Health approach. The One Health concept recognises that human, animal and ecosystem health are inextricably linked and that achieving optimal health outcomes for people and animals requires the cooperation of the human heath, veterinary health, and environmental health communities.</w:t>
      </w:r>
    </w:p>
    <w:p w14:paraId="2D0CFAC6" w14:textId="77777777" w:rsidR="004373F3" w:rsidRDefault="00CA6184" w:rsidP="004373F3">
      <w:r w:rsidRPr="00045EEC">
        <w:rPr>
          <w:noProof/>
        </w:rPr>
        <mc:AlternateContent>
          <mc:Choice Requires="wps">
            <w:drawing>
              <wp:inline distT="0" distB="0" distL="0" distR="0" wp14:anchorId="5A4F3660" wp14:editId="4CF4352B">
                <wp:extent cx="5715000" cy="1054100"/>
                <wp:effectExtent l="0" t="0" r="1905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54100"/>
                        </a:xfrm>
                        <a:prstGeom prst="rect">
                          <a:avLst/>
                        </a:prstGeom>
                        <a:solidFill>
                          <a:srgbClr val="FFFFFF"/>
                        </a:solidFill>
                        <a:ln w="3175">
                          <a:solidFill>
                            <a:srgbClr val="000000"/>
                          </a:solidFill>
                          <a:miter lim="800000"/>
                          <a:headEnd/>
                          <a:tailEnd/>
                        </a:ln>
                      </wps:spPr>
                      <wps:txbx>
                        <w:txbxContent>
                          <w:p w14:paraId="19057FEB" w14:textId="77777777" w:rsidR="0050772D" w:rsidRPr="00F778F4" w:rsidRDefault="0050772D" w:rsidP="00597262">
                            <w:pPr>
                              <w:spacing w:after="0"/>
                              <w:jc w:val="center"/>
                              <w:rPr>
                                <w:rFonts w:cstheme="minorHAnsi"/>
                                <w:b/>
                                <w:bCs/>
                                <w:color w:val="333333"/>
                                <w:shd w:val="clear" w:color="auto" w:fill="FFFFFF"/>
                              </w:rPr>
                            </w:pPr>
                            <w:r w:rsidRPr="00F778F4">
                              <w:rPr>
                                <w:rFonts w:cstheme="minorHAnsi"/>
                                <w:b/>
                                <w:bCs/>
                                <w:color w:val="333333"/>
                                <w:shd w:val="clear" w:color="auto" w:fill="FFFFFF"/>
                              </w:rPr>
                              <w:t>Antimicrobial resistance (AMR)</w:t>
                            </w:r>
                          </w:p>
                          <w:p w14:paraId="03092587" w14:textId="0EA14B42" w:rsidR="0050772D" w:rsidRPr="00F778F4" w:rsidRDefault="0050772D" w:rsidP="00597262">
                            <w:pPr>
                              <w:jc w:val="center"/>
                              <w:rPr>
                                <w:rFonts w:cstheme="minorHAnsi"/>
                              </w:rPr>
                            </w:pPr>
                            <w:r w:rsidRPr="00597262">
                              <w:rPr>
                                <w:rFonts w:cstheme="minorHAnsi"/>
                                <w:bCs/>
                                <w:color w:val="333333"/>
                                <w:shd w:val="clear" w:color="auto" w:fill="FFFFFF"/>
                              </w:rPr>
                              <w:t xml:space="preserve">“Antimicrobial resistance happens when microorganisms (such as bacteria, fungi, viruses, and parasites) change when they are exposed to antimicrobial drugs (such as antibiotics, antifungals, antivirals, antimalarials, and anthelmintics). Microorganisms that develop antimicrobial resistance are sometimes referred to as “superbugs”. </w:t>
                            </w:r>
                            <w:r>
                              <w:rPr>
                                <w:rFonts w:cstheme="minorHAnsi"/>
                                <w:bCs/>
                                <w:color w:val="333333"/>
                                <w:shd w:val="clear" w:color="auto" w:fill="FFFFFF"/>
                              </w:rPr>
                              <w:t>(</w:t>
                            </w:r>
                            <w:r w:rsidRPr="00597262">
                              <w:rPr>
                                <w:rFonts w:cstheme="minorHAnsi"/>
                                <w:bCs/>
                                <w:i/>
                                <w:color w:val="333333"/>
                                <w:shd w:val="clear" w:color="auto" w:fill="FFFFFF"/>
                              </w:rPr>
                              <w:t>World Health Organization</w:t>
                            </w:r>
                            <w:r>
                              <w:rPr>
                                <w:rFonts w:cstheme="minorHAnsi"/>
                                <w:bCs/>
                                <w:color w:val="333333"/>
                                <w:shd w:val="clear" w:color="auto" w:fill="FFFFFF"/>
                              </w:rPr>
                              <w:t>)</w:t>
                            </w:r>
                          </w:p>
                        </w:txbxContent>
                      </wps:txbx>
                      <wps:bodyPr rot="0" vert="horz" wrap="square" lIns="91440" tIns="45720" rIns="91440" bIns="45720" anchor="t" anchorCtr="0">
                        <a:noAutofit/>
                      </wps:bodyPr>
                    </wps:wsp>
                  </a:graphicData>
                </a:graphic>
              </wp:inline>
            </w:drawing>
          </mc:Choice>
          <mc:Fallback>
            <w:pict>
              <v:shapetype w14:anchorId="5A4F3660" id="_x0000_t202" coordsize="21600,21600" o:spt="202" path="m,l,21600r21600,l21600,xe">
                <v:stroke joinstyle="miter"/>
                <v:path gradientshapeok="t" o:connecttype="rect"/>
              </v:shapetype>
              <v:shape id="Text Box 2" o:spid="_x0000_s1026" type="#_x0000_t202" style="width:450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" strokeweight=".25pt">
                <v:textbox>
                  <w:txbxContent>
                    <w:p w14:paraId="19057FEB" w14:textId="77777777" w:rsidR="0050772D" w:rsidRPr="00F778F4" w:rsidRDefault="0050772D" w:rsidP="00597262">
                      <w:pPr>
                        <w:spacing w:after="0"/>
                        <w:jc w:val="center"/>
                        <w:rPr>
                          <w:rFonts w:cstheme="minorHAnsi"/>
                          <w:b/>
                          <w:bCs/>
                          <w:color w:val="333333"/>
                          <w:shd w:val="clear" w:color="auto" w:fill="FFFFFF"/>
                        </w:rPr>
                      </w:pPr>
                      <w:r w:rsidRPr="00F778F4">
                        <w:rPr>
                          <w:rFonts w:cstheme="minorHAnsi"/>
                          <w:b/>
                          <w:bCs/>
                          <w:color w:val="333333"/>
                          <w:shd w:val="clear" w:color="auto" w:fill="FFFFFF"/>
                        </w:rPr>
                        <w:t>Antimicrobial resistance (AMR)</w:t>
                      </w:r>
                    </w:p>
                    <w:p w14:paraId="03092587" w14:textId="0EA14B42" w:rsidR="0050772D" w:rsidRPr="00F778F4" w:rsidRDefault="0050772D" w:rsidP="00597262">
                      <w:pPr>
                        <w:jc w:val="center"/>
                        <w:rPr>
                          <w:rFonts w:cstheme="minorHAnsi"/>
                        </w:rPr>
                      </w:pPr>
                      <w:r w:rsidRPr="00597262">
                        <w:rPr>
                          <w:rFonts w:cstheme="minorHAnsi"/>
                          <w:bCs/>
                          <w:color w:val="333333"/>
                          <w:shd w:val="clear" w:color="auto" w:fill="FFFFFF"/>
                        </w:rPr>
                        <w:t xml:space="preserve">“Antimicrobial resistance happens when microorganisms (such as bacteria, fungi, viruses, and parasites) change when they are exposed to antimicrobial drugs (such as antibiotics, antifungals, antivirals, antimalarials, and anthelmintics). Microorganisms that develop antimicrobial resistance are sometimes referred to as “superbugs”. </w:t>
                      </w:r>
                      <w:r>
                        <w:rPr>
                          <w:rFonts w:cstheme="minorHAnsi"/>
                          <w:bCs/>
                          <w:color w:val="333333"/>
                          <w:shd w:val="clear" w:color="auto" w:fill="FFFFFF"/>
                        </w:rPr>
                        <w:t>(</w:t>
                      </w:r>
                      <w:r w:rsidRPr="00597262">
                        <w:rPr>
                          <w:rFonts w:cstheme="minorHAnsi"/>
                          <w:bCs/>
                          <w:i/>
                          <w:color w:val="333333"/>
                          <w:shd w:val="clear" w:color="auto" w:fill="FFFFFF"/>
                        </w:rPr>
                        <w:t>World Health Organization</w:t>
                      </w:r>
                      <w:r>
                        <w:rPr>
                          <w:rFonts w:cstheme="minorHAnsi"/>
                          <w:bCs/>
                          <w:color w:val="333333"/>
                          <w:shd w:val="clear" w:color="auto" w:fill="FFFFFF"/>
                        </w:rPr>
                        <w:t>)</w:t>
                      </w:r>
                    </w:p>
                  </w:txbxContent>
                </v:textbox>
                <w10:anchorlock/>
              </v:shape>
            </w:pict>
          </mc:Fallback>
        </mc:AlternateContent>
      </w:r>
    </w:p>
    <w:p w14:paraId="6DA30BE2" w14:textId="105F24A1" w:rsidR="004731A3" w:rsidRPr="00045EEC" w:rsidRDefault="004731A3" w:rsidP="004373F3">
      <w:r w:rsidRPr="00703059">
        <w:t>The Implementation Plan</w:t>
      </w:r>
      <w:r w:rsidRPr="00045EEC">
        <w:t xml:space="preserve"> (the Plan) to support the </w:t>
      </w:r>
      <w:r w:rsidR="00597262" w:rsidRPr="00AE4EBF">
        <w:t xml:space="preserve">First </w:t>
      </w:r>
      <w:r w:rsidRPr="00AE4EBF">
        <w:t>Strategy</w:t>
      </w:r>
      <w:r w:rsidRPr="00045EEC">
        <w:t xml:space="preserve"> was released in November 2016. The Plan outlines specific focus areas for action, and include</w:t>
      </w:r>
      <w:r w:rsidR="00597262">
        <w:t>d</w:t>
      </w:r>
      <w:r w:rsidRPr="00045EEC">
        <w:t xml:space="preserve"> a stocktake of activities being undertaken by stakeholders that contribute to the achievement of the objectives. </w:t>
      </w:r>
    </w:p>
    <w:p w14:paraId="40E68478" w14:textId="6DF7E6D4" w:rsidR="004731A3" w:rsidRDefault="004731A3" w:rsidP="004373F3">
      <w:r w:rsidRPr="00703059">
        <w:t>Published in November 2017, the first Progress Report</w:t>
      </w:r>
      <w:r w:rsidRPr="00045EEC">
        <w:t xml:space="preserve"> highlights some of the activities undertaken in Australia in the first two years of the Strategy (2015‐2017), as well as challenges and areas for continued or future action. </w:t>
      </w:r>
    </w:p>
    <w:p w14:paraId="59D8D678" w14:textId="43DE0303" w:rsidR="00FB48F9" w:rsidRDefault="00FB48F9" w:rsidP="004373F3">
      <w:r>
        <w:t xml:space="preserve">The work to address AMR in Australia is being jointly led by the Department of Health and the Department of Agriculture and Water Resources on behalf of the Australian Government. The Australian Government is supported by the </w:t>
      </w:r>
      <w:r w:rsidRPr="00FB48F9">
        <w:t>Australian Strategic and Technical Advisory Group (ASTAG)</w:t>
      </w:r>
      <w:r>
        <w:t xml:space="preserve">. </w:t>
      </w:r>
      <w:r w:rsidRPr="00FB48F9">
        <w:t xml:space="preserve">The ASTAG includes representatives from across the fields of human health, animal health, food, agriculture and the environment. </w:t>
      </w:r>
    </w:p>
    <w:p w14:paraId="37265312" w14:textId="31C575F5" w:rsidR="00FB48F9" w:rsidRDefault="00FB48F9" w:rsidP="004373F3">
      <w:r>
        <w:t xml:space="preserve">More information on Australia’s response to AMR can be found at </w:t>
      </w:r>
      <w:hyperlink r:id="rId11" w:history="1">
        <w:r w:rsidRPr="00BA0CC3">
          <w:rPr>
            <w:rStyle w:val="Hyperlink"/>
            <w:rFonts w:cstheme="minorHAnsi"/>
          </w:rPr>
          <w:t>amr.gov.au</w:t>
        </w:r>
      </w:hyperlink>
      <w:r>
        <w:t xml:space="preserve">. </w:t>
      </w:r>
    </w:p>
    <w:p w14:paraId="7A7C696A" w14:textId="3E887996" w:rsidR="00A505B8" w:rsidRPr="001C6B26" w:rsidRDefault="008A2FD2" w:rsidP="0053652E">
      <w:pPr>
        <w:pStyle w:val="Heading1"/>
        <w:numPr>
          <w:ilvl w:val="0"/>
          <w:numId w:val="16"/>
        </w:numPr>
        <w:spacing w:before="0" w:after="120" w:line="240" w:lineRule="auto"/>
        <w:contextualSpacing w:val="0"/>
        <w:rPr>
          <w:rFonts w:asciiTheme="minorHAnsi" w:hAnsiTheme="minorHAnsi" w:cstheme="minorHAnsi"/>
        </w:rPr>
      </w:pPr>
      <w:bookmarkStart w:id="2" w:name="_Toc9112678"/>
      <w:bookmarkStart w:id="3" w:name="_Toc10812303"/>
      <w:r w:rsidRPr="001C6B26">
        <w:rPr>
          <w:rFonts w:asciiTheme="minorHAnsi" w:hAnsiTheme="minorHAnsi" w:cstheme="minorHAnsi"/>
        </w:rPr>
        <w:t>Purpose</w:t>
      </w:r>
      <w:bookmarkEnd w:id="2"/>
      <w:bookmarkEnd w:id="3"/>
    </w:p>
    <w:p w14:paraId="4C0D2F23" w14:textId="60E4395A" w:rsidR="00ED0067" w:rsidRPr="00ED0067" w:rsidRDefault="00EE12F2" w:rsidP="002F5FF6">
      <w:pPr>
        <w:rPr>
          <w:i/>
        </w:rPr>
      </w:pPr>
      <w:r w:rsidRPr="00045EEC">
        <w:t xml:space="preserve">The purpose of this consultation paper is to seek stakeholder feedback to inform both the preparation of a final progress report under the </w:t>
      </w:r>
      <w:r w:rsidRPr="00045EEC">
        <w:rPr>
          <w:i/>
        </w:rPr>
        <w:t>First Strategy</w:t>
      </w:r>
      <w:r w:rsidRPr="00045EEC">
        <w:t>, and the drafting of Australia’s next AMR Strategy for 2020 and</w:t>
      </w:r>
      <w:r w:rsidRPr="00703059">
        <w:t xml:space="preserve"> beyond. </w:t>
      </w:r>
    </w:p>
    <w:p w14:paraId="46158F4F" w14:textId="77777777" w:rsidR="00EE23E2" w:rsidRDefault="00F03E26" w:rsidP="002F5FF6">
      <w:r w:rsidRPr="001C6B26">
        <w:t>This consultation paper seeks stakeholder feedback on</w:t>
      </w:r>
      <w:r w:rsidR="00EE23E2">
        <w:t>:</w:t>
      </w:r>
    </w:p>
    <w:p w14:paraId="29D5AD25" w14:textId="77777777" w:rsidR="00EE23E2" w:rsidRPr="002F5FF6" w:rsidRDefault="00F03E26" w:rsidP="002F5FF6">
      <w:pPr>
        <w:pStyle w:val="ListParagraph"/>
        <w:numPr>
          <w:ilvl w:val="0"/>
          <w:numId w:val="41"/>
        </w:numPr>
        <w:spacing w:after="120" w:line="240" w:lineRule="auto"/>
        <w:rPr>
          <w:rFonts w:cstheme="minorHAnsi"/>
        </w:rPr>
      </w:pPr>
      <w:r w:rsidRPr="002F5FF6">
        <w:rPr>
          <w:rFonts w:cstheme="minorHAnsi"/>
        </w:rPr>
        <w:t>Australia’s current vision and goal</w:t>
      </w:r>
      <w:r w:rsidR="00EE23E2" w:rsidRPr="002F5FF6">
        <w:rPr>
          <w:rFonts w:cstheme="minorHAnsi"/>
        </w:rPr>
        <w:t>;</w:t>
      </w:r>
    </w:p>
    <w:p w14:paraId="4FBA411C" w14:textId="5AA3BB1A" w:rsidR="00EE23E2" w:rsidRPr="002F5FF6" w:rsidRDefault="00EE23E2" w:rsidP="002F5FF6">
      <w:pPr>
        <w:pStyle w:val="ListParagraph"/>
        <w:numPr>
          <w:ilvl w:val="0"/>
          <w:numId w:val="41"/>
        </w:numPr>
        <w:spacing w:after="120" w:line="240" w:lineRule="auto"/>
        <w:rPr>
          <w:rFonts w:cstheme="minorHAnsi"/>
        </w:rPr>
      </w:pPr>
      <w:r w:rsidRPr="002F5FF6">
        <w:rPr>
          <w:rFonts w:cstheme="minorHAnsi"/>
        </w:rPr>
        <w:lastRenderedPageBreak/>
        <w:t xml:space="preserve">each of the seven current objectives to determine Australia’s achievements, challenges and next steps; </w:t>
      </w:r>
    </w:p>
    <w:p w14:paraId="06DB3000" w14:textId="1EEF888C" w:rsidR="00EE23E2" w:rsidRPr="002F5FF6" w:rsidRDefault="00EE23E2" w:rsidP="002F5FF6">
      <w:pPr>
        <w:pStyle w:val="ListParagraph"/>
        <w:numPr>
          <w:ilvl w:val="0"/>
          <w:numId w:val="41"/>
        </w:numPr>
        <w:spacing w:after="120" w:line="240" w:lineRule="auto"/>
        <w:rPr>
          <w:rFonts w:cstheme="minorHAnsi"/>
        </w:rPr>
      </w:pPr>
      <w:r w:rsidRPr="002F5FF6">
        <w:rPr>
          <w:rFonts w:cstheme="minorHAnsi"/>
        </w:rPr>
        <w:t>a stocktake of activities under each of the objective</w:t>
      </w:r>
      <w:r w:rsidR="00E13CC3" w:rsidRPr="002F5FF6">
        <w:rPr>
          <w:rFonts w:cstheme="minorHAnsi"/>
        </w:rPr>
        <w:t>s</w:t>
      </w:r>
      <w:r w:rsidRPr="002F5FF6">
        <w:rPr>
          <w:rFonts w:cstheme="minorHAnsi"/>
        </w:rPr>
        <w:t xml:space="preserve">; and </w:t>
      </w:r>
    </w:p>
    <w:p w14:paraId="3EB9F394" w14:textId="0523F6CE" w:rsidR="00155F80" w:rsidRPr="002F5FF6" w:rsidRDefault="00EE23E2" w:rsidP="002F5FF6">
      <w:pPr>
        <w:pStyle w:val="ListParagraph"/>
        <w:numPr>
          <w:ilvl w:val="0"/>
          <w:numId w:val="41"/>
        </w:numPr>
        <w:spacing w:after="120" w:line="240" w:lineRule="auto"/>
        <w:rPr>
          <w:rFonts w:cstheme="minorHAnsi"/>
        </w:rPr>
      </w:pPr>
      <w:r w:rsidRPr="002F5FF6">
        <w:rPr>
          <w:rFonts w:cstheme="minorHAnsi"/>
        </w:rPr>
        <w:t xml:space="preserve">sector </w:t>
      </w:r>
      <w:r w:rsidR="00F03E26" w:rsidRPr="002F5FF6">
        <w:rPr>
          <w:rFonts w:cstheme="minorHAnsi"/>
        </w:rPr>
        <w:t xml:space="preserve">specific </w:t>
      </w:r>
      <w:r w:rsidR="00E45477" w:rsidRPr="002F5FF6">
        <w:rPr>
          <w:rFonts w:cstheme="minorHAnsi"/>
        </w:rPr>
        <w:t>roles and r</w:t>
      </w:r>
      <w:r w:rsidR="00F03E26" w:rsidRPr="002F5FF6">
        <w:rPr>
          <w:rFonts w:cstheme="minorHAnsi"/>
        </w:rPr>
        <w:t xml:space="preserve">esponsibilities. </w:t>
      </w:r>
    </w:p>
    <w:p w14:paraId="7FC3ABD1" w14:textId="5BC2DD50" w:rsidR="00AE4EBF" w:rsidRDefault="00AE4EBF" w:rsidP="00B746EA">
      <w:r>
        <w:t>S</w:t>
      </w:r>
      <w:r w:rsidRPr="00AE4EBF">
        <w:t xml:space="preserve">pecific questions are included throughout the </w:t>
      </w:r>
      <w:r>
        <w:t>consultation</w:t>
      </w:r>
      <w:r w:rsidRPr="00AE4EBF">
        <w:t xml:space="preserve"> paper. These are intended as a guide to stimulate your thinking but do not limit the feedback that you may provide.</w:t>
      </w:r>
    </w:p>
    <w:p w14:paraId="471A858B" w14:textId="46149DEA" w:rsidR="00E45477" w:rsidRDefault="00BF4E8E" w:rsidP="00B746EA">
      <w:r>
        <w:t xml:space="preserve">Following the consultation process, </w:t>
      </w:r>
      <w:r w:rsidR="00547D45">
        <w:t xml:space="preserve">the Department of Health and Department of Agriculture and Water Resources will jointly: prepare the </w:t>
      </w:r>
      <w:r w:rsidR="00EE23E2">
        <w:t xml:space="preserve">final </w:t>
      </w:r>
      <w:r w:rsidR="00EE23E2" w:rsidRPr="00045EEC">
        <w:t xml:space="preserve">progress report under the </w:t>
      </w:r>
      <w:r w:rsidR="00EE23E2" w:rsidRPr="00045EEC">
        <w:rPr>
          <w:i/>
        </w:rPr>
        <w:t>First Strategy</w:t>
      </w:r>
      <w:r w:rsidR="00EE23E2">
        <w:t xml:space="preserve"> </w:t>
      </w:r>
      <w:r w:rsidR="00547D45">
        <w:t xml:space="preserve">for publication at </w:t>
      </w:r>
      <w:hyperlink r:id="rId12" w:history="1">
        <w:r w:rsidR="00EE23E2" w:rsidRPr="0092785D">
          <w:rPr>
            <w:rStyle w:val="Hyperlink"/>
            <w:rFonts w:cstheme="minorHAnsi"/>
          </w:rPr>
          <w:t>amr.gov.au</w:t>
        </w:r>
      </w:hyperlink>
      <w:r>
        <w:t xml:space="preserve">; and </w:t>
      </w:r>
      <w:r w:rsidR="00EE23E2">
        <w:t xml:space="preserve">progress </w:t>
      </w:r>
      <w:r w:rsidR="00E45477" w:rsidRPr="00ED0067">
        <w:t xml:space="preserve">Australia’s next AMR Strategy to the Council of Australian Governments (COAG), through its relevant subcommittees, for national endorsement. </w:t>
      </w:r>
    </w:p>
    <w:p w14:paraId="3792ED2B" w14:textId="77777777" w:rsidR="00AE4EBF" w:rsidRPr="00703059" w:rsidRDefault="00AE4EBF" w:rsidP="00B746EA">
      <w:r w:rsidRPr="00703059">
        <w:t>It is recommended that this consultation paper is read in conjunction with:</w:t>
      </w:r>
    </w:p>
    <w:p w14:paraId="1AA161B1" w14:textId="77777777" w:rsidR="00AE4EBF" w:rsidRPr="00B746EA" w:rsidRDefault="00AE4EBF" w:rsidP="00B746EA">
      <w:pPr>
        <w:pStyle w:val="ListParagraph"/>
        <w:numPr>
          <w:ilvl w:val="0"/>
          <w:numId w:val="42"/>
        </w:numPr>
        <w:spacing w:after="120" w:line="240" w:lineRule="auto"/>
        <w:rPr>
          <w:rFonts w:cstheme="minorHAnsi"/>
        </w:rPr>
      </w:pPr>
      <w:r w:rsidRPr="00B746EA">
        <w:rPr>
          <w:rFonts w:cstheme="minorHAnsi"/>
          <w:i/>
        </w:rPr>
        <w:t xml:space="preserve">Australia’s First National Antimicrobial Resistance Strategy 2015-2019 </w:t>
      </w:r>
      <w:r w:rsidRPr="00B746EA">
        <w:rPr>
          <w:rFonts w:cstheme="minorHAnsi"/>
        </w:rPr>
        <w:t>(2015);</w:t>
      </w:r>
    </w:p>
    <w:p w14:paraId="3C2D7953" w14:textId="77777777" w:rsidR="00AE4EBF" w:rsidRPr="00B746EA" w:rsidRDefault="00AE4EBF" w:rsidP="00B746EA">
      <w:pPr>
        <w:pStyle w:val="ListParagraph"/>
        <w:numPr>
          <w:ilvl w:val="0"/>
          <w:numId w:val="42"/>
        </w:numPr>
        <w:spacing w:after="120" w:line="240" w:lineRule="auto"/>
        <w:rPr>
          <w:rFonts w:cstheme="minorHAnsi"/>
        </w:rPr>
      </w:pPr>
      <w:r w:rsidRPr="00B746EA">
        <w:rPr>
          <w:rFonts w:cstheme="minorHAnsi"/>
          <w:i/>
        </w:rPr>
        <w:t xml:space="preserve">Implementation Plan: Australia’s First National Antimicrobial Resistance Strategy 2015-2019 </w:t>
      </w:r>
      <w:r w:rsidRPr="00B746EA">
        <w:rPr>
          <w:rFonts w:cstheme="minorHAnsi"/>
        </w:rPr>
        <w:t xml:space="preserve">(2016); </w:t>
      </w:r>
    </w:p>
    <w:p w14:paraId="37943D92" w14:textId="77777777" w:rsidR="00AE4EBF" w:rsidRPr="00B746EA" w:rsidRDefault="00AE4EBF" w:rsidP="00B746EA">
      <w:pPr>
        <w:pStyle w:val="ListParagraph"/>
        <w:numPr>
          <w:ilvl w:val="0"/>
          <w:numId w:val="42"/>
        </w:numPr>
        <w:spacing w:after="120" w:line="240" w:lineRule="auto"/>
        <w:rPr>
          <w:rFonts w:cstheme="minorHAnsi"/>
        </w:rPr>
      </w:pPr>
      <w:r w:rsidRPr="00B746EA">
        <w:rPr>
          <w:rFonts w:cstheme="minorHAnsi"/>
          <w:i/>
        </w:rPr>
        <w:t xml:space="preserve">Progress Report: Australia’s First National Antimicrobial Resistance Strategy 2015‐2019 </w:t>
      </w:r>
      <w:r w:rsidRPr="00B746EA">
        <w:rPr>
          <w:rFonts w:cstheme="minorHAnsi"/>
        </w:rPr>
        <w:t>(2017); and</w:t>
      </w:r>
    </w:p>
    <w:p w14:paraId="4D0ACA67" w14:textId="77777777" w:rsidR="00AE4EBF" w:rsidRPr="00B746EA" w:rsidRDefault="00AE4EBF" w:rsidP="00B746EA">
      <w:pPr>
        <w:pStyle w:val="ListParagraph"/>
        <w:numPr>
          <w:ilvl w:val="0"/>
          <w:numId w:val="42"/>
        </w:numPr>
        <w:spacing w:after="120" w:line="240" w:lineRule="auto"/>
        <w:rPr>
          <w:rFonts w:cstheme="minorHAnsi"/>
          <w:i/>
        </w:rPr>
      </w:pPr>
      <w:r w:rsidRPr="00B746EA">
        <w:rPr>
          <w:rFonts w:cstheme="minorHAnsi"/>
          <w:i/>
        </w:rPr>
        <w:t>AURA 2019 Third Australian report on antimicrobial use and resistance in human health (2019).</w:t>
      </w:r>
    </w:p>
    <w:p w14:paraId="4A6B52EE" w14:textId="77777777" w:rsidR="00846EAA" w:rsidRPr="00ED0067" w:rsidRDefault="00D10E72" w:rsidP="0053652E">
      <w:pPr>
        <w:pStyle w:val="Heading1"/>
        <w:numPr>
          <w:ilvl w:val="0"/>
          <w:numId w:val="16"/>
        </w:numPr>
        <w:spacing w:before="0" w:after="120" w:line="240" w:lineRule="auto"/>
        <w:contextualSpacing w:val="0"/>
        <w:rPr>
          <w:rFonts w:asciiTheme="minorHAnsi" w:hAnsiTheme="minorHAnsi" w:cstheme="minorHAnsi"/>
        </w:rPr>
      </w:pPr>
      <w:bookmarkStart w:id="4" w:name="_Toc9112680"/>
      <w:bookmarkStart w:id="5" w:name="_Toc10812304"/>
      <w:r w:rsidRPr="00ED0067">
        <w:rPr>
          <w:rFonts w:asciiTheme="minorHAnsi" w:hAnsiTheme="minorHAnsi" w:cstheme="minorHAnsi"/>
        </w:rPr>
        <w:t>Provid</w:t>
      </w:r>
      <w:r w:rsidR="000C53B1" w:rsidRPr="00ED0067">
        <w:rPr>
          <w:rFonts w:asciiTheme="minorHAnsi" w:hAnsiTheme="minorHAnsi" w:cstheme="minorHAnsi"/>
        </w:rPr>
        <w:t>ing</w:t>
      </w:r>
      <w:r w:rsidRPr="00ED0067">
        <w:rPr>
          <w:rFonts w:asciiTheme="minorHAnsi" w:hAnsiTheme="minorHAnsi" w:cstheme="minorHAnsi"/>
        </w:rPr>
        <w:t xml:space="preserve"> </w:t>
      </w:r>
      <w:r w:rsidR="000C53B1" w:rsidRPr="00ED0067">
        <w:rPr>
          <w:rFonts w:asciiTheme="minorHAnsi" w:hAnsiTheme="minorHAnsi" w:cstheme="minorHAnsi"/>
        </w:rPr>
        <w:t>a Submission</w:t>
      </w:r>
      <w:bookmarkEnd w:id="4"/>
      <w:bookmarkEnd w:id="5"/>
    </w:p>
    <w:p w14:paraId="76463C4E" w14:textId="3728E1B4" w:rsidR="00547D45" w:rsidRDefault="00547D45" w:rsidP="0053652E">
      <w:pPr>
        <w:spacing w:after="120" w:line="240" w:lineRule="auto"/>
        <w:rPr>
          <w:rFonts w:cstheme="minorHAnsi"/>
        </w:rPr>
      </w:pPr>
      <w:r w:rsidRPr="001470BC">
        <w:rPr>
          <w:rFonts w:cstheme="minorHAnsi"/>
        </w:rPr>
        <w:t xml:space="preserve">Submissions are due by </w:t>
      </w:r>
      <w:r w:rsidR="00CD5F68">
        <w:rPr>
          <w:rFonts w:cstheme="minorHAnsi"/>
        </w:rPr>
        <w:t>Friday</w:t>
      </w:r>
      <w:r w:rsidR="00D06BAB" w:rsidRPr="001470BC">
        <w:rPr>
          <w:rFonts w:cstheme="minorHAnsi"/>
        </w:rPr>
        <w:t xml:space="preserve"> </w:t>
      </w:r>
      <w:r w:rsidRPr="001470BC">
        <w:rPr>
          <w:rFonts w:cstheme="minorHAnsi"/>
        </w:rPr>
        <w:t>2</w:t>
      </w:r>
      <w:r w:rsidR="00CD5F68">
        <w:rPr>
          <w:rFonts w:cstheme="minorHAnsi"/>
        </w:rPr>
        <w:t>8</w:t>
      </w:r>
      <w:r w:rsidRPr="001470BC">
        <w:rPr>
          <w:rFonts w:cstheme="minorHAnsi"/>
        </w:rPr>
        <w:t xml:space="preserve"> June 2019 and can be provided using the Department of Health’s Consultation Hub (</w:t>
      </w:r>
      <w:hyperlink r:id="rId13" w:tooltip="Consultation Hub" w:history="1">
        <w:r w:rsidRPr="001470BC">
          <w:rPr>
            <w:rStyle w:val="Hyperlink"/>
            <w:rFonts w:cstheme="minorHAnsi"/>
          </w:rPr>
          <w:t>https://consultations.health.gov.au/</w:t>
        </w:r>
      </w:hyperlink>
      <w:r w:rsidRPr="001470BC">
        <w:rPr>
          <w:rFonts w:cstheme="minorHAnsi"/>
        </w:rPr>
        <w:t>).</w:t>
      </w:r>
      <w:r w:rsidRPr="00547D45">
        <w:rPr>
          <w:rFonts w:cstheme="minorHAnsi"/>
        </w:rPr>
        <w:t xml:space="preserve"> </w:t>
      </w:r>
    </w:p>
    <w:p w14:paraId="024BE08C" w14:textId="77777777" w:rsidR="005B0521" w:rsidRPr="00ED0067" w:rsidRDefault="005B0521" w:rsidP="0053652E">
      <w:pPr>
        <w:pStyle w:val="Heading2"/>
        <w:spacing w:before="0" w:after="120" w:line="240" w:lineRule="auto"/>
        <w:rPr>
          <w:rFonts w:asciiTheme="minorHAnsi" w:hAnsiTheme="minorHAnsi" w:cstheme="minorHAnsi"/>
        </w:rPr>
      </w:pPr>
      <w:bookmarkStart w:id="6" w:name="_Toc9112682"/>
      <w:bookmarkStart w:id="7" w:name="_Toc10812305"/>
      <w:r w:rsidRPr="00ED0067">
        <w:rPr>
          <w:rFonts w:asciiTheme="minorHAnsi" w:hAnsiTheme="minorHAnsi" w:cstheme="minorHAnsi"/>
        </w:rPr>
        <w:t>Questions Relating to Submissions</w:t>
      </w:r>
      <w:bookmarkEnd w:id="6"/>
      <w:bookmarkEnd w:id="7"/>
      <w:r w:rsidRPr="00ED0067">
        <w:rPr>
          <w:rFonts w:asciiTheme="minorHAnsi" w:hAnsiTheme="minorHAnsi" w:cstheme="minorHAnsi"/>
        </w:rPr>
        <w:t xml:space="preserve"> </w:t>
      </w:r>
    </w:p>
    <w:p w14:paraId="33F21F92" w14:textId="57ECDC34" w:rsidR="005B0521" w:rsidRDefault="005B0521" w:rsidP="0053652E">
      <w:pPr>
        <w:spacing w:after="120" w:line="240" w:lineRule="auto"/>
        <w:rPr>
          <w:rFonts w:cstheme="minorHAnsi"/>
        </w:rPr>
      </w:pPr>
      <w:r w:rsidRPr="00045EEC">
        <w:rPr>
          <w:rFonts w:cstheme="minorHAnsi"/>
        </w:rPr>
        <w:t xml:space="preserve">Any questions relating to submissions should be directed to </w:t>
      </w:r>
      <w:hyperlink r:id="rId14" w:history="1">
        <w:r w:rsidRPr="00045EEC">
          <w:rPr>
            <w:rStyle w:val="Hyperlink"/>
            <w:rFonts w:cstheme="minorHAnsi"/>
          </w:rPr>
          <w:t>amr@health.gov.au</w:t>
        </w:r>
      </w:hyperlink>
      <w:r w:rsidR="00547D45">
        <w:rPr>
          <w:rStyle w:val="Hyperlink"/>
          <w:rFonts w:cstheme="minorHAnsi"/>
        </w:rPr>
        <w:t>.</w:t>
      </w:r>
      <w:r w:rsidRPr="00045EEC">
        <w:rPr>
          <w:rFonts w:cstheme="minorHAnsi"/>
        </w:rPr>
        <w:t xml:space="preserve"> </w:t>
      </w:r>
    </w:p>
    <w:p w14:paraId="50846497" w14:textId="77777777" w:rsidR="00547D45" w:rsidRPr="00632342" w:rsidRDefault="00547D45" w:rsidP="0053652E">
      <w:pPr>
        <w:pStyle w:val="Heading2"/>
        <w:spacing w:before="0" w:after="120" w:line="240" w:lineRule="auto"/>
        <w:rPr>
          <w:rFonts w:asciiTheme="minorHAnsi" w:hAnsiTheme="minorHAnsi" w:cstheme="minorHAnsi"/>
        </w:rPr>
      </w:pPr>
      <w:bookmarkStart w:id="8" w:name="_Toc10812306"/>
      <w:r w:rsidRPr="00632342">
        <w:rPr>
          <w:rFonts w:asciiTheme="minorHAnsi" w:hAnsiTheme="minorHAnsi" w:cstheme="minorHAnsi"/>
        </w:rPr>
        <w:t>Important Information - Privacy and Your Personal Information</w:t>
      </w:r>
      <w:bookmarkEnd w:id="8"/>
      <w:r w:rsidRPr="00632342">
        <w:rPr>
          <w:rFonts w:asciiTheme="minorHAnsi" w:hAnsiTheme="minorHAnsi" w:cstheme="minorHAnsi"/>
        </w:rPr>
        <w:t xml:space="preserve"> </w:t>
      </w:r>
    </w:p>
    <w:p w14:paraId="70B54681" w14:textId="084FDB8A" w:rsidR="00A34BF0" w:rsidRPr="00547D45" w:rsidRDefault="00A34BF0" w:rsidP="00FC6274">
      <w:pPr>
        <w:rPr>
          <w:i/>
          <w:lang w:val="en"/>
        </w:rPr>
      </w:pPr>
      <w:r w:rsidRPr="00547D45">
        <w:rPr>
          <w:lang w:val="en"/>
        </w:rPr>
        <w:t xml:space="preserve">Your personal information is protected by law, including the </w:t>
      </w:r>
      <w:r w:rsidRPr="00547D45">
        <w:rPr>
          <w:i/>
          <w:iCs/>
          <w:lang w:val="en"/>
        </w:rPr>
        <w:t>Privacy Act 1988</w:t>
      </w:r>
      <w:r w:rsidRPr="00547D45">
        <w:rPr>
          <w:lang w:val="en"/>
        </w:rPr>
        <w:t xml:space="preserve"> and the Australian Privacy Principles (APP), and is being collected by the Department</w:t>
      </w:r>
      <w:r w:rsidR="00FB3D00">
        <w:rPr>
          <w:lang w:val="en"/>
        </w:rPr>
        <w:t xml:space="preserve"> of Health</w:t>
      </w:r>
      <w:r w:rsidRPr="00547D45">
        <w:rPr>
          <w:lang w:val="en"/>
        </w:rPr>
        <w:t xml:space="preserve">, via the Consultation Hub, for the purposes of conducting a consultation process in relation to the draft </w:t>
      </w:r>
      <w:r w:rsidR="00B46C14" w:rsidRPr="00547D45">
        <w:rPr>
          <w:i/>
          <w:lang w:val="en"/>
        </w:rPr>
        <w:t xml:space="preserve">Australia’s Antimicrobial Resistance </w:t>
      </w:r>
      <w:r w:rsidRPr="00547D45">
        <w:rPr>
          <w:i/>
          <w:lang w:val="en"/>
        </w:rPr>
        <w:t>Strategy</w:t>
      </w:r>
      <w:r w:rsidR="00B46C14" w:rsidRPr="00547D45">
        <w:rPr>
          <w:i/>
          <w:lang w:val="en"/>
        </w:rPr>
        <w:t xml:space="preserve"> 2020 and beyond</w:t>
      </w:r>
      <w:r w:rsidRPr="00547D45">
        <w:rPr>
          <w:i/>
          <w:lang w:val="en"/>
        </w:rPr>
        <w:t xml:space="preserve">. </w:t>
      </w:r>
    </w:p>
    <w:p w14:paraId="755EC995" w14:textId="7FE05605" w:rsidR="00A34BF0" w:rsidRPr="00547D45" w:rsidRDefault="00A34BF0" w:rsidP="00FC6274">
      <w:pPr>
        <w:rPr>
          <w:lang w:val="en"/>
        </w:rPr>
      </w:pPr>
      <w:r w:rsidRPr="00547D45">
        <w:rPr>
          <w:lang w:val="en"/>
        </w:rPr>
        <w:t>The Department</w:t>
      </w:r>
      <w:r w:rsidR="00B7594A">
        <w:rPr>
          <w:lang w:val="en"/>
        </w:rPr>
        <w:t xml:space="preserve"> of Health</w:t>
      </w:r>
      <w:r w:rsidR="00276183">
        <w:rPr>
          <w:lang w:val="en"/>
        </w:rPr>
        <w:t xml:space="preserve"> </w:t>
      </w:r>
      <w:r w:rsidRPr="00547D45">
        <w:rPr>
          <w:lang w:val="en"/>
        </w:rPr>
        <w:t>will collect your personal information at the time that you provide a submission, unless you choose to make a submission anonymously, and you are not reasonably identifiable from the information provided in your submission.</w:t>
      </w:r>
    </w:p>
    <w:p w14:paraId="506849BF" w14:textId="0EECFBEF" w:rsidR="00A34BF0" w:rsidRPr="00547D45" w:rsidRDefault="00A34BF0" w:rsidP="00FC6274">
      <w:pPr>
        <w:rPr>
          <w:lang w:val="en"/>
        </w:rPr>
      </w:pPr>
      <w:r w:rsidRPr="00547D45">
        <w:rPr>
          <w:lang w:val="en"/>
        </w:rPr>
        <w:t>If you consent, the Department</w:t>
      </w:r>
      <w:r w:rsidR="00B7594A">
        <w:rPr>
          <w:lang w:val="en"/>
        </w:rPr>
        <w:t xml:space="preserve"> of Health</w:t>
      </w:r>
      <w:r w:rsidRPr="00547D45">
        <w:rPr>
          <w:lang w:val="en"/>
        </w:rPr>
        <w:t xml:space="preserve"> may, at its discretion, publish part or all of your submission on the Department</w:t>
      </w:r>
      <w:r w:rsidR="00B7594A">
        <w:rPr>
          <w:lang w:val="en"/>
        </w:rPr>
        <w:t xml:space="preserve"> of Health</w:t>
      </w:r>
      <w:r w:rsidRPr="00547D45">
        <w:rPr>
          <w:rFonts w:hint="eastAsia"/>
          <w:lang w:val="en"/>
        </w:rPr>
        <w:t>’</w:t>
      </w:r>
      <w:r w:rsidRPr="00547D45">
        <w:rPr>
          <w:lang w:val="en"/>
        </w:rPr>
        <w:t xml:space="preserve">s website. If your submission is published, the Department </w:t>
      </w:r>
      <w:r w:rsidR="00B7594A">
        <w:rPr>
          <w:lang w:val="en"/>
        </w:rPr>
        <w:t xml:space="preserve">of Health </w:t>
      </w:r>
      <w:r w:rsidRPr="00547D45">
        <w:rPr>
          <w:lang w:val="en"/>
        </w:rPr>
        <w:t>may identify you as the author of the submission, if you consent to being identified.</w:t>
      </w:r>
      <w:r w:rsidRPr="00547D45">
        <w:rPr>
          <w:rFonts w:hint="eastAsia"/>
          <w:lang w:val="en"/>
        </w:rPr>
        <w:t> </w:t>
      </w:r>
      <w:r w:rsidRPr="00547D45">
        <w:rPr>
          <w:lang w:val="en"/>
        </w:rPr>
        <w:t xml:space="preserve"> </w:t>
      </w:r>
    </w:p>
    <w:p w14:paraId="4BE1FE86" w14:textId="77777777" w:rsidR="00A34BF0" w:rsidRPr="00547D45" w:rsidRDefault="00A34BF0" w:rsidP="00FC6274">
      <w:pPr>
        <w:rPr>
          <w:lang w:val="en"/>
        </w:rPr>
      </w:pPr>
      <w:r w:rsidRPr="00547D45">
        <w:rPr>
          <w:lang w:val="en"/>
        </w:rPr>
        <w:t>Submissions which have been published on the Department</w:t>
      </w:r>
      <w:r w:rsidRPr="00547D45">
        <w:rPr>
          <w:rFonts w:hint="eastAsia"/>
          <w:lang w:val="en"/>
        </w:rPr>
        <w:t>’</w:t>
      </w:r>
      <w:r w:rsidRPr="00547D45">
        <w:rPr>
          <w:lang w:val="en"/>
        </w:rPr>
        <w:t>s website can be accessed by the general public, including people overseas.</w:t>
      </w:r>
      <w:r w:rsidRPr="00547D45">
        <w:rPr>
          <w:rFonts w:hint="eastAsia"/>
          <w:lang w:val="en"/>
        </w:rPr>
        <w:t>  </w:t>
      </w:r>
    </w:p>
    <w:p w14:paraId="37EE483A" w14:textId="663CD48B" w:rsidR="00A34BF0" w:rsidRPr="00547D45" w:rsidRDefault="00A34BF0" w:rsidP="00FC6274">
      <w:pPr>
        <w:rPr>
          <w:lang w:val="en"/>
        </w:rPr>
      </w:pPr>
      <w:r w:rsidRPr="00547D45">
        <w:rPr>
          <w:lang w:val="en"/>
        </w:rPr>
        <w:t xml:space="preserve">You should not include information in your submission about another individual who is identified, or reasonably identifiable. If you need to include information about another individual in your </w:t>
      </w:r>
      <w:r w:rsidRPr="00547D45">
        <w:rPr>
          <w:lang w:val="en"/>
        </w:rPr>
        <w:lastRenderedPageBreak/>
        <w:t>submission, you will need to inform that individual of the contents of this notice, and obtain their consent to the Department</w:t>
      </w:r>
      <w:r w:rsidR="00B7594A">
        <w:rPr>
          <w:lang w:val="en"/>
        </w:rPr>
        <w:t xml:space="preserve"> of Health</w:t>
      </w:r>
      <w:r w:rsidRPr="00547D45">
        <w:rPr>
          <w:lang w:val="en"/>
        </w:rPr>
        <w:t xml:space="preserve"> collecting their personal information. </w:t>
      </w:r>
    </w:p>
    <w:p w14:paraId="75DAAF06" w14:textId="41AD1234" w:rsidR="001A24B2" w:rsidRPr="00FC6274" w:rsidRDefault="00A34BF0" w:rsidP="00FC6274">
      <w:pPr>
        <w:rPr>
          <w:rFonts w:ascii="Lato" w:hAnsi="Lato" w:cs="Arial"/>
          <w:sz w:val="29"/>
          <w:szCs w:val="29"/>
          <w:lang w:val="en"/>
        </w:rPr>
      </w:pPr>
      <w:r w:rsidRPr="00547D45">
        <w:rPr>
          <w:lang w:val="en"/>
        </w:rPr>
        <w:t xml:space="preserve">You can get more information about the way in which the Department </w:t>
      </w:r>
      <w:r w:rsidR="00B7594A">
        <w:rPr>
          <w:lang w:val="en"/>
        </w:rPr>
        <w:t xml:space="preserve">of Health </w:t>
      </w:r>
      <w:r w:rsidRPr="00547D45">
        <w:rPr>
          <w:lang w:val="en"/>
        </w:rPr>
        <w:t xml:space="preserve">will manage your personal information, including our privacy policy, at </w:t>
      </w:r>
      <w:hyperlink r:id="rId15" w:tooltip="Department of Health Australian Privacy Policy" w:history="1">
        <w:r w:rsidRPr="00547D45">
          <w:rPr>
            <w:rStyle w:val="Hyperlink"/>
            <w:rFonts w:eastAsiaTheme="majorEastAsia" w:cstheme="minorHAnsi"/>
            <w:lang w:val="en"/>
          </w:rPr>
          <w:t>http://www.health.gov.au/internet/main/publishing.nsf/Content/privacy-policy</w:t>
        </w:r>
      </w:hyperlink>
      <w:r>
        <w:rPr>
          <w:rFonts w:ascii="Lato" w:hAnsi="Lato" w:cs="Arial"/>
          <w:sz w:val="29"/>
          <w:szCs w:val="29"/>
          <w:lang w:val="en"/>
        </w:rPr>
        <w:t>.</w:t>
      </w:r>
      <w:r w:rsidR="00FC6274">
        <w:rPr>
          <w:rFonts w:ascii="Lato" w:hAnsi="Lato" w:cs="Arial"/>
          <w:sz w:val="29"/>
          <w:szCs w:val="29"/>
          <w:lang w:val="en"/>
        </w:rPr>
        <w:t xml:space="preserve">  </w:t>
      </w:r>
    </w:p>
    <w:p w14:paraId="19869DEE" w14:textId="77777777" w:rsidR="004A5CBD" w:rsidRPr="004A5CBD" w:rsidRDefault="004A5CBD" w:rsidP="0053652E">
      <w:pPr>
        <w:pStyle w:val="Heading1"/>
        <w:numPr>
          <w:ilvl w:val="0"/>
          <w:numId w:val="16"/>
        </w:numPr>
        <w:spacing w:before="0" w:after="120" w:line="240" w:lineRule="auto"/>
        <w:contextualSpacing w:val="0"/>
      </w:pPr>
      <w:bookmarkStart w:id="9" w:name="_Toc10812307"/>
      <w:r w:rsidRPr="004A5CBD">
        <w:rPr>
          <w:rStyle w:val="Heading2Char"/>
          <w:rFonts w:asciiTheme="minorHAnsi" w:hAnsiTheme="minorHAnsi" w:cstheme="minorHAnsi"/>
          <w:b/>
          <w:bCs/>
          <w:sz w:val="28"/>
          <w:szCs w:val="28"/>
        </w:rPr>
        <w:t>ASTAG Consultation</w:t>
      </w:r>
      <w:bookmarkEnd w:id="9"/>
      <w:r w:rsidRPr="004A5CBD">
        <w:rPr>
          <w:rStyle w:val="Heading2Char"/>
          <w:rFonts w:asciiTheme="minorHAnsi" w:hAnsiTheme="minorHAnsi" w:cstheme="minorHAnsi"/>
          <w:b/>
          <w:bCs/>
          <w:sz w:val="28"/>
          <w:szCs w:val="28"/>
        </w:rPr>
        <w:t xml:space="preserve"> </w:t>
      </w:r>
    </w:p>
    <w:p w14:paraId="02344645" w14:textId="04BDE697" w:rsidR="001A24B2" w:rsidRDefault="004A5CBD" w:rsidP="0053652E">
      <w:pPr>
        <w:spacing w:after="120" w:line="240" w:lineRule="auto"/>
        <w:rPr>
          <w:rFonts w:cstheme="minorHAnsi"/>
        </w:rPr>
      </w:pPr>
      <w:r w:rsidRPr="001C6B26">
        <w:rPr>
          <w:rFonts w:cstheme="minorHAnsi"/>
        </w:rPr>
        <w:t xml:space="preserve">In </w:t>
      </w:r>
      <w:r w:rsidR="00206235">
        <w:rPr>
          <w:rFonts w:cstheme="minorHAnsi"/>
        </w:rPr>
        <w:t>August</w:t>
      </w:r>
      <w:r w:rsidRPr="001C6B26">
        <w:rPr>
          <w:rFonts w:cstheme="minorHAnsi"/>
        </w:rPr>
        <w:t xml:space="preserve"> 2018, a workshop was held to seek initial feedback from ASTAG on the </w:t>
      </w:r>
      <w:r w:rsidRPr="00ED0067">
        <w:rPr>
          <w:rFonts w:cstheme="minorHAnsi"/>
        </w:rPr>
        <w:t>next AMR Strategy</w:t>
      </w:r>
      <w:r>
        <w:rPr>
          <w:rFonts w:cstheme="minorHAnsi"/>
        </w:rPr>
        <w:t xml:space="preserve">. </w:t>
      </w:r>
    </w:p>
    <w:p w14:paraId="61F4900A" w14:textId="3B0268DA" w:rsidR="00DB5500" w:rsidRDefault="004A5CBD" w:rsidP="0053652E">
      <w:pPr>
        <w:spacing w:after="120" w:line="240" w:lineRule="auto"/>
        <w:rPr>
          <w:rFonts w:cstheme="minorHAnsi"/>
        </w:rPr>
      </w:pPr>
      <w:r>
        <w:rPr>
          <w:rFonts w:cstheme="minorHAnsi"/>
        </w:rPr>
        <w:t>The purpose of the workshop was to gain ASTAG members’ direction on the scope and priorities for the next Strategy with a focus on what should continue and what should change from the current Strategy.</w:t>
      </w:r>
      <w:r w:rsidRPr="00E51641">
        <w:rPr>
          <w:rFonts w:cstheme="minorHAnsi"/>
        </w:rPr>
        <w:t xml:space="preserve"> </w:t>
      </w:r>
      <w:r>
        <w:rPr>
          <w:rFonts w:cstheme="minorHAnsi"/>
        </w:rPr>
        <w:t xml:space="preserve">The ASTAG workshop was an important step in developing this consultation paper and setting the direction for the next AMR Strategy. </w:t>
      </w:r>
    </w:p>
    <w:p w14:paraId="3A8F46D3" w14:textId="682EAECB" w:rsidR="004A5CBD" w:rsidRDefault="00923B98" w:rsidP="0053652E">
      <w:pPr>
        <w:spacing w:after="120" w:line="240" w:lineRule="auto"/>
        <w:rPr>
          <w:rFonts w:cstheme="minorHAnsi"/>
        </w:rPr>
      </w:pPr>
      <w:r>
        <w:rPr>
          <w:rFonts w:cstheme="minorHAnsi"/>
        </w:rPr>
        <w:t xml:space="preserve">A summary of the feedback received from ASTAG is as follows: </w:t>
      </w:r>
    </w:p>
    <w:p w14:paraId="07CF5A16" w14:textId="0B37528B" w:rsidR="00C30CEE" w:rsidRPr="00C30CEE" w:rsidRDefault="00B53D27" w:rsidP="0053652E">
      <w:pPr>
        <w:pStyle w:val="ListParagraph"/>
        <w:numPr>
          <w:ilvl w:val="0"/>
          <w:numId w:val="17"/>
        </w:numPr>
        <w:spacing w:after="120" w:line="240" w:lineRule="auto"/>
        <w:ind w:left="426" w:hanging="426"/>
        <w:contextualSpacing w:val="0"/>
        <w:rPr>
          <w:rFonts w:cstheme="minorHAnsi"/>
        </w:rPr>
      </w:pPr>
      <w:r>
        <w:rPr>
          <w:rFonts w:cstheme="minorHAnsi"/>
        </w:rPr>
        <w:t>T</w:t>
      </w:r>
      <w:r w:rsidR="00C30CEE" w:rsidRPr="00C30CEE">
        <w:rPr>
          <w:rFonts w:cstheme="minorHAnsi"/>
        </w:rPr>
        <w:t>he Strategy should have a clear 20 year aspirational vision</w:t>
      </w:r>
      <w:r w:rsidR="00732A1D">
        <w:rPr>
          <w:rFonts w:cstheme="minorHAnsi"/>
        </w:rPr>
        <w:t>, with shorter-term action plans</w:t>
      </w:r>
      <w:r w:rsidR="00C30CEE" w:rsidRPr="00C30CEE">
        <w:rPr>
          <w:rFonts w:cstheme="minorHAnsi"/>
        </w:rPr>
        <w:t xml:space="preserve"> that align with Commonwealth and state and territory budget cycles (3-4 years).</w:t>
      </w:r>
    </w:p>
    <w:p w14:paraId="25982ED3" w14:textId="07D1383A" w:rsidR="0063478F" w:rsidRDefault="00B53D27" w:rsidP="0053652E">
      <w:pPr>
        <w:pStyle w:val="ListParagraph"/>
        <w:numPr>
          <w:ilvl w:val="0"/>
          <w:numId w:val="17"/>
        </w:numPr>
        <w:spacing w:after="120" w:line="240" w:lineRule="auto"/>
        <w:ind w:left="426" w:hanging="426"/>
        <w:contextualSpacing w:val="0"/>
        <w:rPr>
          <w:rFonts w:cstheme="minorHAnsi"/>
        </w:rPr>
      </w:pPr>
      <w:r>
        <w:rPr>
          <w:rFonts w:cstheme="minorHAnsi"/>
        </w:rPr>
        <w:t>I</w:t>
      </w:r>
      <w:r w:rsidR="00923B98">
        <w:rPr>
          <w:rFonts w:cstheme="minorHAnsi"/>
        </w:rPr>
        <w:t xml:space="preserve">n general the seven objectives outlined in the </w:t>
      </w:r>
      <w:r w:rsidR="00923B98">
        <w:rPr>
          <w:rFonts w:cstheme="minorHAnsi"/>
          <w:i/>
        </w:rPr>
        <w:t xml:space="preserve">First Strategy </w:t>
      </w:r>
      <w:r w:rsidR="00923B98">
        <w:rPr>
          <w:rFonts w:cstheme="minorHAnsi"/>
        </w:rPr>
        <w:t>are still relevant and appropriate</w:t>
      </w:r>
      <w:r w:rsidR="0063478F">
        <w:rPr>
          <w:rFonts w:cstheme="minorHAnsi"/>
        </w:rPr>
        <w:t xml:space="preserve"> with the following suggestions:</w:t>
      </w:r>
    </w:p>
    <w:p w14:paraId="4F433897" w14:textId="703880F7" w:rsidR="0063478F" w:rsidRPr="0063478F" w:rsidRDefault="0063478F" w:rsidP="00B7594A">
      <w:pPr>
        <w:pStyle w:val="ListParagraph"/>
        <w:numPr>
          <w:ilvl w:val="0"/>
          <w:numId w:val="34"/>
        </w:numPr>
        <w:spacing w:after="120" w:line="240" w:lineRule="auto"/>
        <w:contextualSpacing w:val="0"/>
        <w:rPr>
          <w:rFonts w:cstheme="minorHAnsi"/>
        </w:rPr>
      </w:pPr>
      <w:r w:rsidRPr="0063478F">
        <w:rPr>
          <w:rFonts w:cstheme="minorHAnsi"/>
        </w:rPr>
        <w:t>Emphasise</w:t>
      </w:r>
      <w:r>
        <w:rPr>
          <w:rFonts w:cstheme="minorHAnsi"/>
        </w:rPr>
        <w:t xml:space="preserve"> the importance of</w:t>
      </w:r>
      <w:r w:rsidRPr="0063478F">
        <w:rPr>
          <w:rFonts w:cstheme="minorHAnsi"/>
        </w:rPr>
        <w:t xml:space="preserve"> </w:t>
      </w:r>
      <w:r>
        <w:rPr>
          <w:rFonts w:cstheme="minorHAnsi"/>
        </w:rPr>
        <w:t xml:space="preserve">the </w:t>
      </w:r>
      <w:r w:rsidRPr="0063478F">
        <w:rPr>
          <w:rFonts w:cstheme="minorHAnsi"/>
        </w:rPr>
        <w:t>national coordination of efforts under all objectives</w:t>
      </w:r>
      <w:r>
        <w:rPr>
          <w:rFonts w:cstheme="minorHAnsi"/>
        </w:rPr>
        <w:t>.</w:t>
      </w:r>
    </w:p>
    <w:p w14:paraId="2BBEA5C3" w14:textId="77777777" w:rsidR="0063478F" w:rsidRDefault="0063478F" w:rsidP="00B7594A">
      <w:pPr>
        <w:pStyle w:val="ListParagraph"/>
        <w:numPr>
          <w:ilvl w:val="0"/>
          <w:numId w:val="34"/>
        </w:numPr>
        <w:spacing w:after="120" w:line="240" w:lineRule="auto"/>
        <w:contextualSpacing w:val="0"/>
        <w:rPr>
          <w:rFonts w:cstheme="minorHAnsi"/>
        </w:rPr>
      </w:pPr>
      <w:r>
        <w:rPr>
          <w:rFonts w:cstheme="minorHAnsi"/>
        </w:rPr>
        <w:t xml:space="preserve">Incorporate </w:t>
      </w:r>
      <w:r w:rsidR="004A5CBD" w:rsidRPr="0063478F">
        <w:rPr>
          <w:rFonts w:cstheme="minorHAnsi"/>
        </w:rPr>
        <w:t>response to outbreaks</w:t>
      </w:r>
      <w:r>
        <w:rPr>
          <w:rFonts w:cstheme="minorHAnsi"/>
        </w:rPr>
        <w:t xml:space="preserve">, </w:t>
      </w:r>
      <w:r w:rsidR="004A5CBD" w:rsidRPr="0063478F">
        <w:rPr>
          <w:rFonts w:cstheme="minorHAnsi"/>
        </w:rPr>
        <w:t>clusters</w:t>
      </w:r>
      <w:r>
        <w:rPr>
          <w:rFonts w:cstheme="minorHAnsi"/>
        </w:rPr>
        <w:t xml:space="preserve"> and e</w:t>
      </w:r>
      <w:r w:rsidR="004A5CBD" w:rsidRPr="0063478F">
        <w:rPr>
          <w:rFonts w:cstheme="minorHAnsi"/>
        </w:rPr>
        <w:t xml:space="preserve">mergent threats of critically important drug resistant organisms under </w:t>
      </w:r>
      <w:r>
        <w:rPr>
          <w:rFonts w:cstheme="minorHAnsi"/>
        </w:rPr>
        <w:t>the surveillance objective (Objective 3).</w:t>
      </w:r>
    </w:p>
    <w:p w14:paraId="297026A9" w14:textId="3084E7BB" w:rsidR="0063478F" w:rsidRDefault="004A5CBD" w:rsidP="00B7594A">
      <w:pPr>
        <w:pStyle w:val="ListParagraph"/>
        <w:numPr>
          <w:ilvl w:val="0"/>
          <w:numId w:val="34"/>
        </w:numPr>
        <w:spacing w:after="120" w:line="240" w:lineRule="auto"/>
        <w:contextualSpacing w:val="0"/>
        <w:rPr>
          <w:rFonts w:cstheme="minorHAnsi"/>
        </w:rPr>
      </w:pPr>
      <w:r w:rsidRPr="0063478F">
        <w:rPr>
          <w:rFonts w:cstheme="minorHAnsi"/>
        </w:rPr>
        <w:t xml:space="preserve">Combine infection prevention and control </w:t>
      </w:r>
      <w:r w:rsidR="0063478F">
        <w:rPr>
          <w:rFonts w:cstheme="minorHAnsi"/>
        </w:rPr>
        <w:t xml:space="preserve">(Objective 4) </w:t>
      </w:r>
      <w:r w:rsidRPr="0063478F">
        <w:rPr>
          <w:rFonts w:cstheme="minorHAnsi"/>
        </w:rPr>
        <w:t>with communication, education and training</w:t>
      </w:r>
      <w:r w:rsidR="0063478F">
        <w:rPr>
          <w:rFonts w:cstheme="minorHAnsi"/>
        </w:rPr>
        <w:t xml:space="preserve"> (O</w:t>
      </w:r>
      <w:r w:rsidR="00C30CEE">
        <w:rPr>
          <w:rFonts w:cstheme="minorHAnsi"/>
        </w:rPr>
        <w:t>bjective 1).</w:t>
      </w:r>
      <w:r w:rsidR="0063478F">
        <w:rPr>
          <w:rFonts w:cstheme="minorHAnsi"/>
        </w:rPr>
        <w:t xml:space="preserve"> </w:t>
      </w:r>
    </w:p>
    <w:p w14:paraId="19065F59" w14:textId="77777777" w:rsidR="00C30CEE" w:rsidRPr="00C30CEE" w:rsidRDefault="00C30CEE" w:rsidP="00B7594A">
      <w:pPr>
        <w:pStyle w:val="ListParagraph"/>
        <w:numPr>
          <w:ilvl w:val="0"/>
          <w:numId w:val="34"/>
        </w:numPr>
        <w:spacing w:after="120" w:line="240" w:lineRule="auto"/>
        <w:contextualSpacing w:val="0"/>
        <w:rPr>
          <w:rFonts w:cstheme="minorHAnsi"/>
        </w:rPr>
      </w:pPr>
      <w:r w:rsidRPr="00C30CEE">
        <w:rPr>
          <w:rFonts w:cstheme="minorHAnsi"/>
        </w:rPr>
        <w:t>Include language that is applicable to animal health e.g. ‘biosecurity’ in addition to i</w:t>
      </w:r>
      <w:r>
        <w:rPr>
          <w:rFonts w:cstheme="minorHAnsi"/>
        </w:rPr>
        <w:t>nfection prevention and control (Objective 4).</w:t>
      </w:r>
    </w:p>
    <w:p w14:paraId="7A01998C" w14:textId="77777777" w:rsidR="00C30CEE" w:rsidRDefault="004A5CBD" w:rsidP="00B7594A">
      <w:pPr>
        <w:pStyle w:val="ListParagraph"/>
        <w:numPr>
          <w:ilvl w:val="0"/>
          <w:numId w:val="34"/>
        </w:numPr>
        <w:spacing w:after="120" w:line="240" w:lineRule="auto"/>
        <w:contextualSpacing w:val="0"/>
        <w:rPr>
          <w:rFonts w:cstheme="minorHAnsi"/>
        </w:rPr>
      </w:pPr>
      <w:r w:rsidRPr="0063478F">
        <w:rPr>
          <w:rFonts w:cstheme="minorHAnsi"/>
        </w:rPr>
        <w:t>Include inter</w:t>
      </w:r>
      <w:r w:rsidR="0063478F" w:rsidRPr="0063478F">
        <w:rPr>
          <w:rFonts w:cstheme="minorHAnsi"/>
        </w:rPr>
        <w:t>-</w:t>
      </w:r>
      <w:r w:rsidRPr="0063478F">
        <w:rPr>
          <w:rFonts w:cstheme="minorHAnsi"/>
        </w:rPr>
        <w:t>jurisdictional partnerships with international partnerships</w:t>
      </w:r>
      <w:r w:rsidR="0063478F">
        <w:rPr>
          <w:rFonts w:cstheme="minorHAnsi"/>
        </w:rPr>
        <w:t xml:space="preserve"> (Objective 6).</w:t>
      </w:r>
    </w:p>
    <w:p w14:paraId="6429F2A8" w14:textId="2C143429" w:rsidR="00C30CEE" w:rsidRDefault="00B53D27" w:rsidP="0053652E">
      <w:pPr>
        <w:pStyle w:val="ListParagraph"/>
        <w:numPr>
          <w:ilvl w:val="0"/>
          <w:numId w:val="17"/>
        </w:numPr>
        <w:spacing w:after="120" w:line="240" w:lineRule="auto"/>
        <w:ind w:left="426" w:hanging="426"/>
        <w:contextualSpacing w:val="0"/>
        <w:rPr>
          <w:rFonts w:cstheme="minorHAnsi"/>
        </w:rPr>
      </w:pPr>
      <w:r>
        <w:rPr>
          <w:rFonts w:cstheme="minorHAnsi"/>
        </w:rPr>
        <w:t>T</w:t>
      </w:r>
      <w:r w:rsidR="00C30CEE" w:rsidRPr="00C30CEE">
        <w:rPr>
          <w:rFonts w:cstheme="minorHAnsi"/>
        </w:rPr>
        <w:t xml:space="preserve">he next </w:t>
      </w:r>
      <w:r w:rsidR="008B3B84">
        <w:rPr>
          <w:rFonts w:cstheme="minorHAnsi"/>
        </w:rPr>
        <w:t>S</w:t>
      </w:r>
      <w:r w:rsidR="004A5CBD" w:rsidRPr="00C30CEE">
        <w:rPr>
          <w:rFonts w:cstheme="minorHAnsi"/>
        </w:rPr>
        <w:t>trategy should be supported by a communication strategy with simple and consistent messages and should include sector specific targets and key performance indicators beneath the objectives to make them actionable</w:t>
      </w:r>
      <w:r w:rsidR="00C30CEE">
        <w:rPr>
          <w:rFonts w:cstheme="minorHAnsi"/>
        </w:rPr>
        <w:t xml:space="preserve"> (Action P</w:t>
      </w:r>
      <w:r w:rsidR="00C30CEE" w:rsidRPr="00C30CEE">
        <w:rPr>
          <w:rFonts w:cstheme="minorHAnsi"/>
        </w:rPr>
        <w:t>lans)</w:t>
      </w:r>
      <w:r w:rsidR="004A5CBD" w:rsidRPr="00C30CEE">
        <w:rPr>
          <w:rFonts w:cstheme="minorHAnsi"/>
        </w:rPr>
        <w:t>.</w:t>
      </w:r>
    </w:p>
    <w:p w14:paraId="67BDBE18" w14:textId="11D3BCB3" w:rsidR="00C30CEE" w:rsidRDefault="00B53D27" w:rsidP="0053652E">
      <w:pPr>
        <w:pStyle w:val="ListParagraph"/>
        <w:numPr>
          <w:ilvl w:val="0"/>
          <w:numId w:val="17"/>
        </w:numPr>
        <w:spacing w:after="120" w:line="240" w:lineRule="auto"/>
        <w:ind w:left="426" w:hanging="426"/>
        <w:contextualSpacing w:val="0"/>
        <w:rPr>
          <w:rFonts w:cstheme="minorHAnsi"/>
        </w:rPr>
      </w:pPr>
      <w:r>
        <w:rPr>
          <w:rFonts w:cstheme="minorHAnsi"/>
        </w:rPr>
        <w:t>The</w:t>
      </w:r>
      <w:r w:rsidR="004A5CBD" w:rsidRPr="00C30CEE">
        <w:rPr>
          <w:rFonts w:cstheme="minorHAnsi"/>
        </w:rPr>
        <w:t xml:space="preserve"> next </w:t>
      </w:r>
      <w:r w:rsidR="008B3B84">
        <w:rPr>
          <w:rFonts w:cstheme="minorHAnsi"/>
        </w:rPr>
        <w:t>S</w:t>
      </w:r>
      <w:r w:rsidR="004A5CBD" w:rsidRPr="00C30CEE">
        <w:rPr>
          <w:rFonts w:cstheme="minorHAnsi"/>
        </w:rPr>
        <w:t>trategy, while maintaining a focus on antibiotics, should be flexible to include any antimicrobial-resistant organism that is considered a priority</w:t>
      </w:r>
      <w:r w:rsidR="00C30CEE">
        <w:rPr>
          <w:rFonts w:cstheme="minorHAnsi"/>
        </w:rPr>
        <w:t>.</w:t>
      </w:r>
    </w:p>
    <w:p w14:paraId="48CA8709" w14:textId="2557A335" w:rsidR="00B53D27" w:rsidRDefault="00B53D27" w:rsidP="0053652E">
      <w:pPr>
        <w:pStyle w:val="ListParagraph"/>
        <w:numPr>
          <w:ilvl w:val="0"/>
          <w:numId w:val="17"/>
        </w:numPr>
        <w:spacing w:after="120" w:line="240" w:lineRule="auto"/>
        <w:ind w:left="426" w:hanging="426"/>
        <w:contextualSpacing w:val="0"/>
        <w:rPr>
          <w:rFonts w:cstheme="minorHAnsi"/>
        </w:rPr>
      </w:pPr>
      <w:r>
        <w:rPr>
          <w:rFonts w:cstheme="minorHAnsi"/>
        </w:rPr>
        <w:t>The</w:t>
      </w:r>
      <w:r w:rsidR="00C30CEE">
        <w:rPr>
          <w:rFonts w:cstheme="minorHAnsi"/>
        </w:rPr>
        <w:t xml:space="preserve"> next </w:t>
      </w:r>
      <w:r w:rsidR="004A5CBD" w:rsidRPr="00C30CEE">
        <w:rPr>
          <w:rFonts w:cstheme="minorHAnsi"/>
        </w:rPr>
        <w:t>Strategy should also begin to explore</w:t>
      </w:r>
      <w:r w:rsidR="00C30CEE">
        <w:rPr>
          <w:rFonts w:cstheme="minorHAnsi"/>
        </w:rPr>
        <w:t xml:space="preserve"> further</w:t>
      </w:r>
      <w:r w:rsidR="004A5CBD" w:rsidRPr="00C30CEE">
        <w:rPr>
          <w:rFonts w:cstheme="minorHAnsi"/>
        </w:rPr>
        <w:t xml:space="preserve"> AMR in the environment (including wildlife)</w:t>
      </w:r>
      <w:r w:rsidR="00C30CEE">
        <w:rPr>
          <w:rFonts w:cstheme="minorHAnsi"/>
        </w:rPr>
        <w:t xml:space="preserve"> and food supply.  </w:t>
      </w:r>
    </w:p>
    <w:p w14:paraId="261CFB1C" w14:textId="7FF8DC5F" w:rsidR="007E34B5" w:rsidRPr="007E34B5" w:rsidRDefault="00B53D27" w:rsidP="0053652E">
      <w:pPr>
        <w:pStyle w:val="ListParagraph"/>
        <w:numPr>
          <w:ilvl w:val="0"/>
          <w:numId w:val="17"/>
        </w:numPr>
        <w:spacing w:after="120" w:line="240" w:lineRule="auto"/>
        <w:ind w:left="426" w:hanging="426"/>
        <w:contextualSpacing w:val="0"/>
      </w:pPr>
      <w:r w:rsidRPr="0052675C">
        <w:rPr>
          <w:rFonts w:cstheme="minorHAnsi"/>
        </w:rPr>
        <w:t>The</w:t>
      </w:r>
      <w:r w:rsidR="0052675C" w:rsidRPr="0052675C">
        <w:rPr>
          <w:rFonts w:cstheme="minorHAnsi"/>
        </w:rPr>
        <w:t xml:space="preserve"> objectives of the</w:t>
      </w:r>
      <w:r w:rsidRPr="0052675C">
        <w:rPr>
          <w:rFonts w:cstheme="minorHAnsi"/>
        </w:rPr>
        <w:t xml:space="preserve"> next </w:t>
      </w:r>
      <w:r w:rsidR="0052675C" w:rsidRPr="0052675C">
        <w:rPr>
          <w:rFonts w:cstheme="minorHAnsi"/>
        </w:rPr>
        <w:t xml:space="preserve">Strategy could fit within an overarching framework that recognises that </w:t>
      </w:r>
      <w:r w:rsidR="0052675C">
        <w:rPr>
          <w:rFonts w:cstheme="minorHAnsi"/>
        </w:rPr>
        <w:t>w</w:t>
      </w:r>
      <w:r w:rsidR="0052675C" w:rsidRPr="0052675C">
        <w:rPr>
          <w:rFonts w:cstheme="minorHAnsi"/>
        </w:rPr>
        <w:t xml:space="preserve">hile each </w:t>
      </w:r>
      <w:r w:rsidR="0052675C">
        <w:rPr>
          <w:rFonts w:cstheme="minorHAnsi"/>
        </w:rPr>
        <w:t>sector has</w:t>
      </w:r>
      <w:r w:rsidR="0052675C" w:rsidRPr="0052675C">
        <w:rPr>
          <w:rFonts w:cstheme="minorHAnsi"/>
        </w:rPr>
        <w:t xml:space="preserve"> common areas of focus and all contribute to the AMR outcomes, they also have unique stakeholders, drivers and considerations that require </w:t>
      </w:r>
      <w:r w:rsidR="008C4426">
        <w:rPr>
          <w:rFonts w:cstheme="minorHAnsi"/>
        </w:rPr>
        <w:t xml:space="preserve">sector </w:t>
      </w:r>
      <w:r w:rsidR="0052675C" w:rsidRPr="0052675C">
        <w:rPr>
          <w:rFonts w:cstheme="minorHAnsi"/>
        </w:rPr>
        <w:t>specific plans if real change is to be achieved</w:t>
      </w:r>
      <w:r w:rsidR="008C4426">
        <w:rPr>
          <w:rFonts w:cstheme="minorHAnsi"/>
        </w:rPr>
        <w:t xml:space="preserve"> (</w:t>
      </w:r>
      <w:r w:rsidR="00280417">
        <w:t xml:space="preserve">Figure </w:t>
      </w:r>
      <w:r w:rsidR="00280417">
        <w:rPr>
          <w:noProof/>
        </w:rPr>
        <w:t>1</w:t>
      </w:r>
      <w:r w:rsidR="008C4426">
        <w:rPr>
          <w:rFonts w:cstheme="minorHAnsi"/>
        </w:rPr>
        <w:t>)</w:t>
      </w:r>
      <w:r w:rsidR="0052675C" w:rsidRPr="0052675C">
        <w:rPr>
          <w:rFonts w:cstheme="minorHAnsi"/>
        </w:rPr>
        <w:t>.</w:t>
      </w:r>
      <w:r w:rsidR="008C4426">
        <w:rPr>
          <w:rFonts w:cstheme="minorHAnsi"/>
        </w:rPr>
        <w:t xml:space="preserve"> </w:t>
      </w:r>
    </w:p>
    <w:p w14:paraId="64FE1E9C" w14:textId="74FF1EA8" w:rsidR="00B53D27" w:rsidRDefault="007A2CC6" w:rsidP="0053652E">
      <w:pPr>
        <w:spacing w:after="120" w:line="240" w:lineRule="auto"/>
      </w:pPr>
      <w:r>
        <w:rPr>
          <w:noProof/>
        </w:rPr>
        <w:lastRenderedPageBreak/>
        <w:drawing>
          <wp:inline distT="0" distB="0" distL="0" distR="0" wp14:anchorId="7A480358" wp14:editId="6FA5D201">
            <wp:extent cx="5731510" cy="3678555"/>
            <wp:effectExtent l="0" t="0" r="2540" b="0"/>
            <wp:docPr id="15" name="Picture 15" descr="This table has five horizontal rows.&#10;The first horizontal row has three vertical dot points that say:&#10;• Sector specific actions to be developed and prioritised&#10;• Monitoring &amp; measurement to be defined, with gaps informing research needs&#10;• Accountable stakeholders identified for each priority action&#10;The second horizontal row is split into four boxes, numbered one to four, with the following text in each box.&#10;Box 1 - Increase awareness and understanding of antimicrobial resistance, its implications, and actions to combat it through effective communication, education and training. &#10;Box 2 – Implement effective antimicrobial stewardship practices across human health and animal care settings to ensure the appropriate and judicious prescribing, dispensing and administering of antimicrobials.&#10;Box 3 – Develop nationally coordinated One Health surveillance of antimicrobial resistance and antimicrobial usage and response to outbreaks/clusters/emergent threats of critically important drug resistant organisms.&#10;Box 4 – Improve infection prevention and control measures across human health and animal care settings to help prevent infections and the spread of antimicrobial resistance.&#10;The third horizontal row is numbered five and contains the following text – Agree a national research agenda and promote investment in the discovery and development of new products and approaches to prevent, detect and contain antimicrobial resistance.&#10;The fourth horizontal row is numbered six and contains the following text –Strengthen interjurisdictional and international partnerships and collaboration on domestic, regional and global efforts to respond to antimicrobial resistance.&#10;The fifth horizontal row is numbered seven and contains the following text – Establish and support clear governance arrangements at the local, jurisdictional, national and international levels to ensure leadership, engagement and accountability for actions to combat antimicrobial resistance.&#10;On the left hand side of this table, written vertically and spanning the top three rows, is the following text – Strategic initiatives: sector specific.&#10;On the left hand side of this table, written vertically and spanning the bottom two rows, is the following text – Integration initiatives&#10;At the bottom of the table, horizontally there is some text that says – Figure 1: Proposed overarching framework for the next AMR Strateg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678555"/>
                    </a:xfrm>
                    <a:prstGeom prst="rect">
                      <a:avLst/>
                    </a:prstGeom>
                  </pic:spPr>
                </pic:pic>
              </a:graphicData>
            </a:graphic>
          </wp:inline>
        </w:drawing>
      </w:r>
    </w:p>
    <w:p w14:paraId="5A12ADA3" w14:textId="4A21368C" w:rsidR="00B53D27" w:rsidRPr="00C7142A" w:rsidRDefault="00B53D27" w:rsidP="00C000C0">
      <w:pPr>
        <w:pStyle w:val="CDIFigures"/>
      </w:pPr>
      <w:bookmarkStart w:id="10" w:name="_Ref10031189"/>
      <w:r w:rsidRPr="00C7142A">
        <w:t xml:space="preserve">Figure </w:t>
      </w:r>
      <w:r w:rsidR="009F6CA8" w:rsidRPr="00C7142A">
        <w:rPr>
          <w:noProof/>
        </w:rPr>
        <w:fldChar w:fldCharType="begin"/>
      </w:r>
      <w:r w:rsidR="009F6CA8" w:rsidRPr="00C7142A">
        <w:rPr>
          <w:noProof/>
        </w:rPr>
        <w:instrText xml:space="preserve"> SEQ Figure \* ARABIC </w:instrText>
      </w:r>
      <w:r w:rsidR="009F6CA8" w:rsidRPr="00C7142A">
        <w:rPr>
          <w:noProof/>
        </w:rPr>
        <w:fldChar w:fldCharType="separate"/>
      </w:r>
      <w:r w:rsidR="00280417" w:rsidRPr="00C7142A">
        <w:rPr>
          <w:noProof/>
        </w:rPr>
        <w:t>1</w:t>
      </w:r>
      <w:r w:rsidR="009F6CA8" w:rsidRPr="00C7142A">
        <w:rPr>
          <w:noProof/>
        </w:rPr>
        <w:fldChar w:fldCharType="end"/>
      </w:r>
      <w:bookmarkEnd w:id="10"/>
      <w:r w:rsidRPr="00C7142A">
        <w:t>: Proposed</w:t>
      </w:r>
      <w:r w:rsidR="007A2CC6" w:rsidRPr="00C7142A">
        <w:t xml:space="preserve"> overarching f</w:t>
      </w:r>
      <w:r w:rsidRPr="00C7142A">
        <w:t xml:space="preserve">ramework for </w:t>
      </w:r>
      <w:r w:rsidR="007A2CC6" w:rsidRPr="00C7142A">
        <w:t>the next</w:t>
      </w:r>
      <w:r w:rsidRPr="00C7142A">
        <w:t xml:space="preserve"> AMR Strategy</w:t>
      </w:r>
    </w:p>
    <w:p w14:paraId="773685F4" w14:textId="77777777" w:rsidR="009F6CA8" w:rsidRDefault="009F6CA8" w:rsidP="0053652E">
      <w:pPr>
        <w:spacing w:after="120" w:line="240" w:lineRule="auto"/>
        <w:jc w:val="center"/>
        <w:rPr>
          <w:rFonts w:cstheme="minorHAnsi"/>
          <w:i/>
        </w:rPr>
      </w:pPr>
    </w:p>
    <w:p w14:paraId="669546A7" w14:textId="77777777" w:rsidR="00207098" w:rsidRPr="00ED0067" w:rsidRDefault="00D31C9D" w:rsidP="0053652E">
      <w:pPr>
        <w:pStyle w:val="Heading1"/>
        <w:numPr>
          <w:ilvl w:val="0"/>
          <w:numId w:val="16"/>
        </w:numPr>
        <w:spacing w:before="0" w:after="120" w:line="240" w:lineRule="auto"/>
        <w:contextualSpacing w:val="0"/>
        <w:rPr>
          <w:rFonts w:asciiTheme="minorHAnsi" w:hAnsiTheme="minorHAnsi" w:cstheme="minorHAnsi"/>
        </w:rPr>
      </w:pPr>
      <w:bookmarkStart w:id="11" w:name="_Toc9112684"/>
      <w:bookmarkStart w:id="12" w:name="_Toc10812308"/>
      <w:r w:rsidRPr="00ED0067">
        <w:rPr>
          <w:rFonts w:asciiTheme="minorHAnsi" w:hAnsiTheme="minorHAnsi" w:cstheme="minorHAnsi"/>
        </w:rPr>
        <w:t xml:space="preserve">Future Direction of the </w:t>
      </w:r>
      <w:r w:rsidR="00207098" w:rsidRPr="00ED0067">
        <w:rPr>
          <w:rFonts w:asciiTheme="minorHAnsi" w:hAnsiTheme="minorHAnsi" w:cstheme="minorHAnsi"/>
        </w:rPr>
        <w:t>Strategy</w:t>
      </w:r>
      <w:bookmarkEnd w:id="11"/>
      <w:bookmarkEnd w:id="12"/>
    </w:p>
    <w:p w14:paraId="703A7142" w14:textId="669F490B" w:rsidR="00E777C1" w:rsidRPr="00703059" w:rsidRDefault="00E777C1" w:rsidP="00C000C0">
      <w:r w:rsidRPr="00703059">
        <w:t xml:space="preserve">Since the publication of the </w:t>
      </w:r>
      <w:r w:rsidRPr="00ED0067">
        <w:rPr>
          <w:i/>
        </w:rPr>
        <w:t>First Strategy</w:t>
      </w:r>
      <w:r w:rsidRPr="00045EEC">
        <w:t>, significant progress and achievements have been made across sectors in Australia’s response to AMR</w:t>
      </w:r>
      <w:r w:rsidR="00DF1F26">
        <w:t xml:space="preserve">; however, we must continue to collaborate across sectors </w:t>
      </w:r>
      <w:r w:rsidRPr="00045EEC">
        <w:t xml:space="preserve">to identify and fill gaps, </w:t>
      </w:r>
      <w:r w:rsidR="00DF1F26">
        <w:t xml:space="preserve">and regularly review and </w:t>
      </w:r>
      <w:r w:rsidRPr="00045EEC">
        <w:t xml:space="preserve">refine </w:t>
      </w:r>
      <w:r w:rsidR="00DF1F26">
        <w:t xml:space="preserve">systems and processes </w:t>
      </w:r>
      <w:r w:rsidRPr="00045EEC">
        <w:t xml:space="preserve">to ensure we continue to effectively combat AMR and achieve our goal to “minimise </w:t>
      </w:r>
      <w:r w:rsidRPr="00703059">
        <w:t xml:space="preserve">the development and spread of antimicrobial resistance and ensure the continued availability of effective antimicrobials”. </w:t>
      </w:r>
    </w:p>
    <w:p w14:paraId="6C333953" w14:textId="4F83179D" w:rsidR="00991061" w:rsidRDefault="00991061" w:rsidP="00C000C0">
      <w:r w:rsidRPr="00703059">
        <w:t>Due to the complexities and long-term goals associated with a number of the objective</w:t>
      </w:r>
      <w:r w:rsidR="006E4FAC">
        <w:t>s and priority areas for action and in accordance with ASTAG’s recommendation,</w:t>
      </w:r>
      <w:r w:rsidRPr="00703059">
        <w:t xml:space="preserve"> the next Strategy will include a 20 year vision and be flexible enough to adapt to changing priorities over time. A longer-term vision will allow more appropriate timeframes to achieve complex activities such as the development of a fully integrated One Health AMR surveillance system across sectors. The next AMR Strategy will be supported by shorter term sector-specific Action Plans (e.g. 3-5 years), which can be developed collaboratively or individually by sectors to address relevant objectives and priority areas. Action Plans will include monitoring and evaluation plans to promote regular progress reporting and allow for a more stepped approach towards achieving the long-term objectives and priority areas of the</w:t>
      </w:r>
      <w:r w:rsidR="00FE20B3">
        <w:t> </w:t>
      </w:r>
      <w:r w:rsidRPr="00703059">
        <w:t>Strategy.</w:t>
      </w:r>
    </w:p>
    <w:p w14:paraId="6F5D9A4F" w14:textId="313F3116" w:rsidR="006E4FAC" w:rsidRDefault="006E4FAC" w:rsidP="00C000C0">
      <w:r w:rsidRPr="00045EEC">
        <w:t xml:space="preserve">The </w:t>
      </w:r>
      <w:r w:rsidRPr="00ED0067">
        <w:rPr>
          <w:i/>
        </w:rPr>
        <w:t>First Strategy</w:t>
      </w:r>
      <w:r w:rsidRPr="00045EEC">
        <w:t xml:space="preserve"> focused predominantly on bacterial resistance and AMR issues in human and animal health. To ensure a complete One Health approach and effective AMR control in the future, Australia will need to expand its focus to include the environment, food and other antimicrobials beyond antibiotics.  </w:t>
      </w:r>
    </w:p>
    <w:p w14:paraId="73D84104" w14:textId="1E58B9F7" w:rsidR="006E4FAC" w:rsidRPr="00703059" w:rsidRDefault="006E4FAC" w:rsidP="0053652E">
      <w:pPr>
        <w:spacing w:after="120" w:line="240" w:lineRule="auto"/>
        <w:rPr>
          <w:rFonts w:cstheme="minorHAnsi"/>
        </w:rPr>
      </w:pPr>
      <w:r w:rsidRPr="00045EEC">
        <w:rPr>
          <w:rFonts w:cstheme="minorHAnsi"/>
          <w:noProof/>
        </w:rPr>
        <w:lastRenderedPageBreak/>
        <mc:AlternateContent>
          <mc:Choice Requires="wps">
            <w:drawing>
              <wp:inline distT="0" distB="0" distL="0" distR="0" wp14:anchorId="4CE303CF" wp14:editId="00D855CD">
                <wp:extent cx="5731510" cy="1368383"/>
                <wp:effectExtent l="0" t="0" r="2159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8383"/>
                        </a:xfrm>
                        <a:prstGeom prst="rect">
                          <a:avLst/>
                        </a:prstGeom>
                        <a:solidFill>
                          <a:schemeClr val="bg1">
                            <a:lumMod val="95000"/>
                          </a:schemeClr>
                        </a:solidFill>
                        <a:ln w="3175">
                          <a:solidFill>
                            <a:schemeClr val="bg1">
                              <a:lumMod val="50000"/>
                            </a:schemeClr>
                          </a:solidFill>
                          <a:miter lim="800000"/>
                          <a:headEnd/>
                          <a:tailEnd/>
                        </a:ln>
                      </wps:spPr>
                      <wps:txbx>
                        <w:txbxContent>
                          <w:p w14:paraId="1BC17A5A" w14:textId="4DFA6D44" w:rsidR="0050772D" w:rsidRPr="00A43942" w:rsidRDefault="0050772D" w:rsidP="006E4FAC">
                            <w:pPr>
                              <w:spacing w:after="120" w:line="240" w:lineRule="auto"/>
                              <w:rPr>
                                <w:b/>
                              </w:rPr>
                            </w:pPr>
                            <w:r w:rsidRPr="00A43942">
                              <w:rPr>
                                <w:b/>
                              </w:rPr>
                              <w:t xml:space="preserve">Questions for </w:t>
                            </w:r>
                            <w:r>
                              <w:rPr>
                                <w:b/>
                              </w:rPr>
                              <w:t xml:space="preserve">Consideration </w:t>
                            </w:r>
                          </w:p>
                          <w:p w14:paraId="69BD4DA6" w14:textId="09CC4155" w:rsidR="0050772D" w:rsidRDefault="0050772D" w:rsidP="00B80478">
                            <w:pPr>
                              <w:pStyle w:val="ListParagraph"/>
                              <w:numPr>
                                <w:ilvl w:val="0"/>
                                <w:numId w:val="20"/>
                              </w:numPr>
                              <w:spacing w:after="120" w:line="240" w:lineRule="auto"/>
                            </w:pPr>
                            <w:r>
                              <w:t>Are there other focus areas beyond</w:t>
                            </w:r>
                            <w:r w:rsidRPr="00CF6DDF">
                              <w:rPr>
                                <w:rFonts w:cstheme="minorHAnsi"/>
                              </w:rPr>
                              <w:t xml:space="preserve"> environment, food and other antimicrobials</w:t>
                            </w:r>
                            <w:r>
                              <w:t xml:space="preserve"> which should also be included in the next Strategy? If so, please explain?</w:t>
                            </w:r>
                          </w:p>
                          <w:p w14:paraId="2BA9F3F6" w14:textId="38B8A2F1" w:rsidR="0050772D" w:rsidRDefault="0050772D" w:rsidP="00B80478">
                            <w:pPr>
                              <w:pStyle w:val="ListParagraph"/>
                              <w:numPr>
                                <w:ilvl w:val="0"/>
                                <w:numId w:val="20"/>
                              </w:numPr>
                              <w:spacing w:after="120" w:line="240" w:lineRule="auto"/>
                            </w:pPr>
                            <w:r>
                              <w:rPr>
                                <w:rFonts w:cstheme="minorHAnsi"/>
                              </w:rPr>
                              <w:t xml:space="preserve">Do you agree with the </w:t>
                            </w:r>
                            <w:r w:rsidRPr="0052675C">
                              <w:rPr>
                                <w:rFonts w:cstheme="minorHAnsi"/>
                              </w:rPr>
                              <w:t>overarching framework</w:t>
                            </w:r>
                            <w:r>
                              <w:rPr>
                                <w:rFonts w:cstheme="minorHAnsi"/>
                              </w:rPr>
                              <w:t xml:space="preserve"> considered by ASTAG (Figure 1)? Please explain your answer.  </w:t>
                            </w:r>
                          </w:p>
                        </w:txbxContent>
                      </wps:txbx>
                      <wps:bodyPr rot="0" vert="horz" wrap="square" lIns="91440" tIns="45720" rIns="91440" bIns="45720" anchor="t" anchorCtr="0">
                        <a:spAutoFit/>
                      </wps:bodyPr>
                    </wps:wsp>
                  </a:graphicData>
                </a:graphic>
              </wp:inline>
            </w:drawing>
          </mc:Choice>
          <mc:Fallback>
            <w:pict>
              <v:shape w14:anchorId="4CE303CF" id="_x0000_s1027" type="#_x0000_t202" style="width:451.3pt;height:1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" fillcolor="#f2f2f2 [3052]" strokecolor="#7f7f7f [1612]" strokeweight=".25pt">
                <v:textbox style="mso-fit-shape-to-text:t">
                  <w:txbxContent>
                    <w:p w14:paraId="1BC17A5A" w14:textId="4DFA6D44" w:rsidR="0050772D" w:rsidRPr="00A43942" w:rsidRDefault="0050772D" w:rsidP="006E4FAC">
                      <w:pPr>
                        <w:spacing w:after="120" w:line="240" w:lineRule="auto"/>
                        <w:rPr>
                          <w:b/>
                        </w:rPr>
                      </w:pPr>
                      <w:r w:rsidRPr="00A43942">
                        <w:rPr>
                          <w:b/>
                        </w:rPr>
                        <w:t xml:space="preserve">Questions for </w:t>
                      </w:r>
                      <w:r>
                        <w:rPr>
                          <w:b/>
                        </w:rPr>
                        <w:t xml:space="preserve">Consideration </w:t>
                      </w:r>
                    </w:p>
                    <w:p w14:paraId="69BD4DA6" w14:textId="09CC4155" w:rsidR="0050772D" w:rsidRDefault="0050772D" w:rsidP="00B80478">
                      <w:pPr>
                        <w:pStyle w:val="ListParagraph"/>
                        <w:numPr>
                          <w:ilvl w:val="0"/>
                          <w:numId w:val="20"/>
                        </w:numPr>
                        <w:spacing w:after="120" w:line="240" w:lineRule="auto"/>
                      </w:pPr>
                      <w:r>
                        <w:t>Are there other focus areas beyond</w:t>
                      </w:r>
                      <w:r w:rsidRPr="00CF6DDF">
                        <w:rPr>
                          <w:rFonts w:cstheme="minorHAnsi"/>
                        </w:rPr>
                        <w:t xml:space="preserve"> environment, food and other antimicrobials</w:t>
                      </w:r>
                      <w:r>
                        <w:t xml:space="preserve"> which should also be included in the next Strategy? If so, please explain?</w:t>
                      </w:r>
                    </w:p>
                    <w:p w14:paraId="2BA9F3F6" w14:textId="38B8A2F1" w:rsidR="0050772D" w:rsidRDefault="0050772D" w:rsidP="00B80478">
                      <w:pPr>
                        <w:pStyle w:val="ListParagraph"/>
                        <w:numPr>
                          <w:ilvl w:val="0"/>
                          <w:numId w:val="20"/>
                        </w:numPr>
                        <w:spacing w:after="120" w:line="240" w:lineRule="auto"/>
                      </w:pPr>
                      <w:r>
                        <w:rPr>
                          <w:rFonts w:cstheme="minorHAnsi"/>
                        </w:rPr>
                        <w:t xml:space="preserve">Do you agree with the </w:t>
                      </w:r>
                      <w:r w:rsidRPr="0052675C">
                        <w:rPr>
                          <w:rFonts w:cstheme="minorHAnsi"/>
                        </w:rPr>
                        <w:t>overarching framework</w:t>
                      </w:r>
                      <w:r>
                        <w:rPr>
                          <w:rFonts w:cstheme="minorHAnsi"/>
                        </w:rPr>
                        <w:t xml:space="preserve"> considered by ASTAG (Figure 1)? Please explain your answer.  </w:t>
                      </w:r>
                    </w:p>
                  </w:txbxContent>
                </v:textbox>
                <w10:anchorlock/>
              </v:shape>
            </w:pict>
          </mc:Fallback>
        </mc:AlternateContent>
      </w:r>
    </w:p>
    <w:p w14:paraId="24A1B522" w14:textId="77777777" w:rsidR="00DF1F26" w:rsidRPr="00630D5C" w:rsidRDefault="00DF1F26" w:rsidP="00630D5C">
      <w:pPr>
        <w:pStyle w:val="Heading2"/>
      </w:pPr>
      <w:bookmarkStart w:id="13" w:name="_Toc10812309"/>
      <w:r w:rsidRPr="00630D5C">
        <w:t>Incorporating Environment into the next AMR Strategy</w:t>
      </w:r>
      <w:bookmarkEnd w:id="13"/>
    </w:p>
    <w:p w14:paraId="6AAEA720" w14:textId="578398D5" w:rsidR="00DF1F26" w:rsidRPr="00B7594A" w:rsidRDefault="00DF1F26" w:rsidP="00630D5C">
      <w:r w:rsidRPr="00B7594A">
        <w:t>The expanded focus of the next Strategy to include the environment keeps Australia’s response in step with the international response to AMR, and is ultimately re</w:t>
      </w:r>
      <w:r w:rsidR="00D06BAB" w:rsidRPr="00B7594A">
        <w:t>quired to achieve a One Health</w:t>
      </w:r>
      <w:r w:rsidR="00245E5B">
        <w:t> </w:t>
      </w:r>
      <w:r w:rsidRPr="00B7594A">
        <w:t xml:space="preserve">response. </w:t>
      </w:r>
    </w:p>
    <w:p w14:paraId="0340D4CC" w14:textId="688537F5" w:rsidR="008F0727" w:rsidRPr="00B7594A" w:rsidRDefault="00DF1F26" w:rsidP="00630D5C">
      <w:r w:rsidRPr="00B7594A">
        <w:t xml:space="preserve">Although not </w:t>
      </w:r>
      <w:r w:rsidR="006E4FAC" w:rsidRPr="00B7594A">
        <w:t xml:space="preserve">specifically </w:t>
      </w:r>
      <w:r w:rsidRPr="00B7594A">
        <w:t xml:space="preserve">addressed in the </w:t>
      </w:r>
      <w:r w:rsidRPr="00B7594A">
        <w:rPr>
          <w:i/>
        </w:rPr>
        <w:t>First Strategy</w:t>
      </w:r>
      <w:r w:rsidRPr="00B7594A">
        <w:t xml:space="preserve">, there is increasing acknowledgement </w:t>
      </w:r>
      <w:r w:rsidR="006E4FAC" w:rsidRPr="00B7594A">
        <w:t xml:space="preserve">globally </w:t>
      </w:r>
      <w:r w:rsidRPr="00B7594A">
        <w:t>that the various environmental issues associated with the emergence and spread of AMR need closer consideration. Internationally, this is demonstrated by the Food and Agriculture Organization of the Un</w:t>
      </w:r>
      <w:r w:rsidR="00BA0CC3" w:rsidRPr="00B7594A">
        <w:t>ited Nations (FAO)/World Organis</w:t>
      </w:r>
      <w:r w:rsidRPr="00B7594A">
        <w:t xml:space="preserve">ation for Animal Health (OIE)/World Health Organization (WHO) tripartite partnership’s increased collaboration with the United Nations Environment Programme (UNEP), to strengthen the integration of </w:t>
      </w:r>
      <w:r w:rsidR="004052D3" w:rsidRPr="00B7594A">
        <w:t xml:space="preserve">the </w:t>
      </w:r>
      <w:r w:rsidRPr="00B7594A">
        <w:t>environment in its collective</w:t>
      </w:r>
      <w:r w:rsidR="00245E5B">
        <w:t> </w:t>
      </w:r>
      <w:r w:rsidRPr="00B7594A">
        <w:t xml:space="preserve">work. </w:t>
      </w:r>
    </w:p>
    <w:p w14:paraId="6BE1F487" w14:textId="452156FB" w:rsidR="008F0727" w:rsidRPr="00B7594A" w:rsidRDefault="008F0727" w:rsidP="00630D5C">
      <w:r w:rsidRPr="00B7594A">
        <w:t xml:space="preserve">Emerging research indicates that biologically active pharmaceuticals are contaminating surface waters globally, especially close to population centres. These pharmaceuticals are entering aquatic food webs, potentially posing risk to the environment and human health for those who utilise segments of these webs for food. These pharmaceuticals include anti-bacterials (such as quinolones, </w:t>
      </w:r>
      <w:r w:rsidR="00D13981" w:rsidRPr="00B7594A">
        <w:t>fluoroquinolones</w:t>
      </w:r>
      <w:r w:rsidRPr="00B7594A">
        <w:t>, macrolides and tetracyclines). The presence of these in aquatic food webs and their associated long-term risks/impacts to ecosystems and humans appears to be largely unknown.</w:t>
      </w:r>
    </w:p>
    <w:p w14:paraId="42B444CF" w14:textId="501F052E" w:rsidR="008F0727" w:rsidRPr="00B7594A" w:rsidRDefault="008F0727" w:rsidP="00630D5C">
      <w:r w:rsidRPr="00B7594A">
        <w:t xml:space="preserve">A common challenge underlying all Strategy objectives is that we need </w:t>
      </w:r>
      <w:r w:rsidR="00D06BAB" w:rsidRPr="00B7594A">
        <w:t xml:space="preserve">to </w:t>
      </w:r>
      <w:r w:rsidRPr="00B7594A">
        <w:t>undertake further work to better understand the risks posed by AMR in the environment and to develop sustainable mitigation technologies.</w:t>
      </w:r>
    </w:p>
    <w:p w14:paraId="7DC08DA3" w14:textId="62A51883" w:rsidR="008F0727" w:rsidRPr="00B7594A" w:rsidRDefault="008F0727" w:rsidP="00630D5C">
      <w:r w:rsidRPr="00B7594A">
        <w:t>Therefore, first steps in thinking about integrating the environment into the next Strategy may be preliminary in nature. In terms of governance this may be to identify, and incorporate, environment experts into current AMR committees. In terms of surveillance, this may be to conduct further assessment to determine what AMR data from the environment is required to inform future policy. In terms of research and development, this may be to identify current research experts and</w:t>
      </w:r>
      <w:r w:rsidR="00411DF5">
        <w:t> </w:t>
      </w:r>
      <w:r w:rsidRPr="00B7594A">
        <w:t>activities.</w:t>
      </w:r>
    </w:p>
    <w:p w14:paraId="5F5DD8BA" w14:textId="60DC8CCF" w:rsidR="008F0727" w:rsidRPr="00B7594A" w:rsidRDefault="008F0727" w:rsidP="00630D5C">
      <w:r w:rsidRPr="00B7594A">
        <w:t>The following should also be consider</w:t>
      </w:r>
      <w:r w:rsidR="001470BC" w:rsidRPr="00B7594A">
        <w:t>ed</w:t>
      </w:r>
      <w:r w:rsidRPr="00B7594A">
        <w:t xml:space="preserve"> when developing the next Strategy:</w:t>
      </w:r>
    </w:p>
    <w:p w14:paraId="16179F24" w14:textId="5BBC20BD" w:rsidR="008F0727" w:rsidRPr="00630D5C" w:rsidRDefault="008F0727" w:rsidP="00630D5C">
      <w:pPr>
        <w:pStyle w:val="ListParagraph"/>
        <w:numPr>
          <w:ilvl w:val="0"/>
          <w:numId w:val="43"/>
        </w:numPr>
        <w:spacing w:after="120" w:line="240" w:lineRule="auto"/>
        <w:rPr>
          <w:rFonts w:cstheme="minorHAnsi"/>
        </w:rPr>
      </w:pPr>
      <w:r w:rsidRPr="00630D5C">
        <w:rPr>
          <w:rFonts w:cstheme="minorHAnsi"/>
        </w:rPr>
        <w:t>In the review of legislation</w:t>
      </w:r>
      <w:r w:rsidR="00D06BAB" w:rsidRPr="00630D5C">
        <w:rPr>
          <w:rFonts w:cstheme="minorHAnsi"/>
        </w:rPr>
        <w:t>,</w:t>
      </w:r>
      <w:r w:rsidRPr="00630D5C">
        <w:rPr>
          <w:rFonts w:cstheme="minorHAnsi"/>
        </w:rPr>
        <w:t xml:space="preserve"> other potential drivers of antimicrobial resistance (AMR) such as industrial biocides and heavy metals should also be considered. Industrial biocides are used on a large scale in Australia. Focusing on clinical and agricultural antimicrobials may not address the breadth of the problem.</w:t>
      </w:r>
    </w:p>
    <w:p w14:paraId="0259C554" w14:textId="77777777" w:rsidR="008F0727" w:rsidRPr="00630D5C" w:rsidRDefault="008F0727" w:rsidP="00630D5C">
      <w:pPr>
        <w:pStyle w:val="ListParagraph"/>
        <w:numPr>
          <w:ilvl w:val="0"/>
          <w:numId w:val="43"/>
        </w:numPr>
        <w:spacing w:after="120" w:line="240" w:lineRule="auto"/>
        <w:rPr>
          <w:rFonts w:cstheme="minorHAnsi"/>
        </w:rPr>
      </w:pPr>
      <w:r w:rsidRPr="00630D5C">
        <w:rPr>
          <w:rFonts w:cstheme="minorHAnsi"/>
        </w:rPr>
        <w:t>A priority is to ensure that all relevant stakeholders are informed about exposure pathways that lead to or promote antimicrobial resistance.</w:t>
      </w:r>
    </w:p>
    <w:p w14:paraId="66256566" w14:textId="3D5FF6ED" w:rsidR="002B0788" w:rsidRPr="00630D5C" w:rsidRDefault="008F0727" w:rsidP="00630D5C">
      <w:pPr>
        <w:pStyle w:val="ListParagraph"/>
        <w:numPr>
          <w:ilvl w:val="0"/>
          <w:numId w:val="43"/>
        </w:numPr>
        <w:spacing w:after="120" w:line="240" w:lineRule="auto"/>
        <w:rPr>
          <w:rFonts w:cstheme="minorHAnsi"/>
        </w:rPr>
      </w:pPr>
      <w:r w:rsidRPr="00630D5C">
        <w:rPr>
          <w:rFonts w:cstheme="minorHAnsi"/>
        </w:rPr>
        <w:t>In addition to the work to manage the use of antimicrobials directly in agriculture, aquaculture and human health</w:t>
      </w:r>
      <w:r w:rsidR="00276183" w:rsidRPr="00630D5C">
        <w:rPr>
          <w:rFonts w:cstheme="minorHAnsi"/>
        </w:rPr>
        <w:t>,</w:t>
      </w:r>
      <w:r w:rsidRPr="00630D5C">
        <w:rPr>
          <w:rFonts w:cstheme="minorHAnsi"/>
        </w:rPr>
        <w:t xml:space="preserve"> the entry of antimicrobials into the environment from other </w:t>
      </w:r>
      <w:r w:rsidRPr="00630D5C">
        <w:rPr>
          <w:rFonts w:cstheme="minorHAnsi"/>
        </w:rPr>
        <w:lastRenderedPageBreak/>
        <w:t>sources, such as from sewage treatment plants into water ways, should also be considered and risk proportionate measures developed.</w:t>
      </w:r>
    </w:p>
    <w:p w14:paraId="7FD31160" w14:textId="75F4EB3A" w:rsidR="008F0727" w:rsidRPr="00630D5C" w:rsidRDefault="008F0727" w:rsidP="00630D5C">
      <w:pPr>
        <w:pStyle w:val="ListParagraph"/>
        <w:numPr>
          <w:ilvl w:val="0"/>
          <w:numId w:val="43"/>
        </w:numPr>
        <w:spacing w:after="120" w:line="240" w:lineRule="auto"/>
        <w:rPr>
          <w:rFonts w:cstheme="minorHAnsi"/>
        </w:rPr>
      </w:pPr>
      <w:r w:rsidRPr="00630D5C">
        <w:rPr>
          <w:rFonts w:cstheme="minorHAnsi"/>
        </w:rPr>
        <w:t>Possible controls or guidance for the application of products from sewage treatment plants (e.g. biosolids and recycled water) as well as agricultural waste (e.g. sludge) onto land should be carefully considered in the context of AMR.</w:t>
      </w:r>
      <w:r w:rsidR="001470BC" w:rsidRPr="00630D5C">
        <w:rPr>
          <w:rFonts w:cstheme="minorHAnsi"/>
        </w:rPr>
        <w:t xml:space="preserve"> </w:t>
      </w:r>
      <w:r w:rsidRPr="00630D5C">
        <w:rPr>
          <w:rFonts w:cstheme="minorHAnsi"/>
        </w:rPr>
        <w:t>This should also take account of potential pathways to aquatic receptors, such as from aquaculture facilities. This issue is complex and progressing it would require identification of potential unintended consequences.</w:t>
      </w:r>
    </w:p>
    <w:p w14:paraId="65083A72" w14:textId="3591D548" w:rsidR="00DF1F26" w:rsidRPr="00630D5C" w:rsidRDefault="00F075E9" w:rsidP="0053652E">
      <w:pPr>
        <w:spacing w:after="120" w:line="240" w:lineRule="auto"/>
        <w:rPr>
          <w:highlight w:val="yellow"/>
        </w:rPr>
      </w:pPr>
      <w:r w:rsidRPr="00045EEC">
        <w:rPr>
          <w:rFonts w:cstheme="minorHAnsi"/>
          <w:noProof/>
        </w:rPr>
        <mc:AlternateContent>
          <mc:Choice Requires="wps">
            <w:drawing>
              <wp:inline distT="0" distB="0" distL="0" distR="0" wp14:anchorId="0C713356" wp14:editId="0A8F502F">
                <wp:extent cx="5731510" cy="1971675"/>
                <wp:effectExtent l="0" t="0" r="2159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71675"/>
                        </a:xfrm>
                        <a:prstGeom prst="rect">
                          <a:avLst/>
                        </a:prstGeom>
                        <a:solidFill>
                          <a:schemeClr val="bg1">
                            <a:lumMod val="95000"/>
                          </a:schemeClr>
                        </a:solidFill>
                        <a:ln w="3175">
                          <a:solidFill>
                            <a:schemeClr val="bg1">
                              <a:lumMod val="50000"/>
                            </a:schemeClr>
                          </a:solidFill>
                          <a:miter lim="800000"/>
                          <a:headEnd/>
                          <a:tailEnd/>
                        </a:ln>
                      </wps:spPr>
                      <wps:txbx>
                        <w:txbxContent>
                          <w:p w14:paraId="6C6C0F82" w14:textId="77777777" w:rsidR="0050772D" w:rsidRDefault="0050772D" w:rsidP="00F075E9">
                            <w:pPr>
                              <w:spacing w:after="120" w:line="240" w:lineRule="auto"/>
                              <w:rPr>
                                <w:b/>
                              </w:rPr>
                            </w:pPr>
                            <w:r w:rsidRPr="00A43942">
                              <w:rPr>
                                <w:b/>
                              </w:rPr>
                              <w:t xml:space="preserve">Questions for </w:t>
                            </w:r>
                            <w:r>
                              <w:rPr>
                                <w:b/>
                              </w:rPr>
                              <w:t xml:space="preserve">Consideration </w:t>
                            </w:r>
                          </w:p>
                          <w:p w14:paraId="089BCF1D" w14:textId="67CE59F6" w:rsidR="0050772D" w:rsidRDefault="0050772D" w:rsidP="00F075E9">
                            <w:pPr>
                              <w:pStyle w:val="ListParagraph"/>
                              <w:numPr>
                                <w:ilvl w:val="0"/>
                                <w:numId w:val="24"/>
                              </w:numPr>
                              <w:spacing w:after="240" w:line="288" w:lineRule="auto"/>
                              <w:rPr>
                                <w:rFonts w:ascii="Calibri" w:hAnsi="Calibri" w:cs="Calibri"/>
                                <w:lang w:val="en-GB"/>
                              </w:rPr>
                            </w:pPr>
                            <w:r>
                              <w:rPr>
                                <w:rFonts w:ascii="Calibri" w:hAnsi="Calibri" w:cs="Calibri"/>
                                <w:lang w:val="en-GB"/>
                              </w:rPr>
                              <w:t>How do we best incorporate environment into the next AMR Strategy, which will extend over the next 20 years?</w:t>
                            </w:r>
                          </w:p>
                          <w:p w14:paraId="5C6539C4" w14:textId="77777777" w:rsidR="0050772D"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What are the current challenges to incorporate the environment into the next Strategy?</w:t>
                            </w:r>
                          </w:p>
                          <w:p w14:paraId="3265F0D1" w14:textId="77777777" w:rsidR="0050772D"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Are you aware of any organisations or experts that would be relevant to AMR and the environment context?</w:t>
                            </w:r>
                          </w:p>
                          <w:p w14:paraId="0BD448E3" w14:textId="77096B5C" w:rsidR="0050772D"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 xml:space="preserve">What </w:t>
                            </w:r>
                            <w:r>
                              <w:rPr>
                                <w:rFonts w:ascii="Calibri" w:hAnsi="Calibri" w:cs="Calibri"/>
                                <w:lang w:val="en-GB"/>
                              </w:rPr>
                              <w:t>do</w:t>
                            </w:r>
                            <w:r w:rsidRPr="008F0727">
                              <w:rPr>
                                <w:rFonts w:ascii="Calibri" w:hAnsi="Calibri" w:cs="Calibri"/>
                                <w:lang w:val="en-GB"/>
                              </w:rPr>
                              <w:t xml:space="preserve"> you consider the priority areas for action in relation to </w:t>
                            </w:r>
                            <w:r>
                              <w:rPr>
                                <w:rFonts w:ascii="Calibri" w:hAnsi="Calibri" w:cs="Calibri"/>
                                <w:lang w:val="en-GB"/>
                              </w:rPr>
                              <w:t xml:space="preserve">AMR and the </w:t>
                            </w:r>
                            <w:r w:rsidRPr="008F0727">
                              <w:rPr>
                                <w:rFonts w:ascii="Calibri" w:hAnsi="Calibri" w:cs="Calibri"/>
                                <w:lang w:val="en-GB"/>
                              </w:rPr>
                              <w:t xml:space="preserve">environment? </w:t>
                            </w:r>
                          </w:p>
                          <w:p w14:paraId="69FCE076" w14:textId="77777777" w:rsidR="0050772D" w:rsidRPr="008F0727"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Are there any existing programs/projects/policies that could provide an ‘entry point’ for deeper environmental impact?</w:t>
                            </w:r>
                          </w:p>
                        </w:txbxContent>
                      </wps:txbx>
                      <wps:bodyPr rot="0" vert="horz" wrap="square" lIns="91440" tIns="45720" rIns="91440" bIns="45720" anchor="t" anchorCtr="0">
                        <a:noAutofit/>
                      </wps:bodyPr>
                    </wps:wsp>
                  </a:graphicData>
                </a:graphic>
              </wp:inline>
            </w:drawing>
          </mc:Choice>
          <mc:Fallback>
            <w:pict>
              <v:shape w14:anchorId="0C713356" id="_x0000_s1028" type="#_x0000_t202" style="width:451.3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" fillcolor="#f2f2f2 [3052]" strokecolor="#7f7f7f [1612]" strokeweight=".25pt">
                <v:textbox>
                  <w:txbxContent>
                    <w:p w14:paraId="6C6C0F82" w14:textId="77777777" w:rsidR="0050772D" w:rsidRDefault="0050772D" w:rsidP="00F075E9">
                      <w:pPr>
                        <w:spacing w:after="120" w:line="240" w:lineRule="auto"/>
                        <w:rPr>
                          <w:b/>
                        </w:rPr>
                      </w:pPr>
                      <w:r w:rsidRPr="00A43942">
                        <w:rPr>
                          <w:b/>
                        </w:rPr>
                        <w:t xml:space="preserve">Questions for </w:t>
                      </w:r>
                      <w:r>
                        <w:rPr>
                          <w:b/>
                        </w:rPr>
                        <w:t xml:space="preserve">Consideration </w:t>
                      </w:r>
                    </w:p>
                    <w:p w14:paraId="089BCF1D" w14:textId="67CE59F6" w:rsidR="0050772D" w:rsidRDefault="0050772D" w:rsidP="00F075E9">
                      <w:pPr>
                        <w:pStyle w:val="ListParagraph"/>
                        <w:numPr>
                          <w:ilvl w:val="0"/>
                          <w:numId w:val="24"/>
                        </w:numPr>
                        <w:spacing w:after="240" w:line="288" w:lineRule="auto"/>
                        <w:rPr>
                          <w:rFonts w:ascii="Calibri" w:hAnsi="Calibri" w:cs="Calibri"/>
                          <w:lang w:val="en-GB"/>
                        </w:rPr>
                      </w:pPr>
                      <w:r>
                        <w:rPr>
                          <w:rFonts w:ascii="Calibri" w:hAnsi="Calibri" w:cs="Calibri"/>
                          <w:lang w:val="en-GB"/>
                        </w:rPr>
                        <w:t>How do we best incorporate environment into the next AMR Strategy, which will extend over the next 20 years?</w:t>
                      </w:r>
                    </w:p>
                    <w:p w14:paraId="5C6539C4" w14:textId="77777777" w:rsidR="0050772D"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What are the current challenges to incorporate the environment into the next Strategy?</w:t>
                      </w:r>
                    </w:p>
                    <w:p w14:paraId="3265F0D1" w14:textId="77777777" w:rsidR="0050772D"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Are you aware of any organisations or experts that would be relevant to AMR and the environment context?</w:t>
                      </w:r>
                    </w:p>
                    <w:p w14:paraId="0BD448E3" w14:textId="77096B5C" w:rsidR="0050772D"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 xml:space="preserve">What </w:t>
                      </w:r>
                      <w:r>
                        <w:rPr>
                          <w:rFonts w:ascii="Calibri" w:hAnsi="Calibri" w:cs="Calibri"/>
                          <w:lang w:val="en-GB"/>
                        </w:rPr>
                        <w:t>do</w:t>
                      </w:r>
                      <w:r w:rsidRPr="008F0727">
                        <w:rPr>
                          <w:rFonts w:ascii="Calibri" w:hAnsi="Calibri" w:cs="Calibri"/>
                          <w:lang w:val="en-GB"/>
                        </w:rPr>
                        <w:t xml:space="preserve"> you consider the priority areas for action in relation to </w:t>
                      </w:r>
                      <w:r>
                        <w:rPr>
                          <w:rFonts w:ascii="Calibri" w:hAnsi="Calibri" w:cs="Calibri"/>
                          <w:lang w:val="en-GB"/>
                        </w:rPr>
                        <w:t xml:space="preserve">AMR and the </w:t>
                      </w:r>
                      <w:r w:rsidRPr="008F0727">
                        <w:rPr>
                          <w:rFonts w:ascii="Calibri" w:hAnsi="Calibri" w:cs="Calibri"/>
                          <w:lang w:val="en-GB"/>
                        </w:rPr>
                        <w:t xml:space="preserve">environment? </w:t>
                      </w:r>
                    </w:p>
                    <w:p w14:paraId="69FCE076" w14:textId="77777777" w:rsidR="0050772D" w:rsidRPr="008F0727" w:rsidRDefault="0050772D" w:rsidP="00F075E9">
                      <w:pPr>
                        <w:pStyle w:val="ListParagraph"/>
                        <w:numPr>
                          <w:ilvl w:val="0"/>
                          <w:numId w:val="24"/>
                        </w:numPr>
                        <w:spacing w:after="240" w:line="288" w:lineRule="auto"/>
                        <w:rPr>
                          <w:rFonts w:ascii="Calibri" w:hAnsi="Calibri" w:cs="Calibri"/>
                          <w:lang w:val="en-GB"/>
                        </w:rPr>
                      </w:pPr>
                      <w:r w:rsidRPr="008F0727">
                        <w:rPr>
                          <w:rFonts w:ascii="Calibri" w:hAnsi="Calibri" w:cs="Calibri"/>
                          <w:lang w:val="en-GB"/>
                        </w:rPr>
                        <w:t>Are there any existing programs/projects/policies that could provide an ‘entry point’ for deeper environmental impact?</w:t>
                      </w:r>
                    </w:p>
                  </w:txbxContent>
                </v:textbox>
                <w10:anchorlock/>
              </v:shape>
            </w:pict>
          </mc:Fallback>
        </mc:AlternateContent>
      </w:r>
    </w:p>
    <w:p w14:paraId="01DCF34A" w14:textId="32EAED92" w:rsidR="00362B90" w:rsidRPr="00330A3C" w:rsidRDefault="00900840" w:rsidP="0053652E">
      <w:pPr>
        <w:pStyle w:val="Heading1"/>
        <w:numPr>
          <w:ilvl w:val="0"/>
          <w:numId w:val="16"/>
        </w:numPr>
        <w:spacing w:before="0" w:after="120" w:line="240" w:lineRule="auto"/>
        <w:contextualSpacing w:val="0"/>
        <w:rPr>
          <w:rFonts w:asciiTheme="minorHAnsi" w:hAnsiTheme="minorHAnsi" w:cstheme="minorHAnsi"/>
        </w:rPr>
      </w:pPr>
      <w:bookmarkStart w:id="14" w:name="_Toc9112685"/>
      <w:bookmarkStart w:id="15" w:name="_Toc10812310"/>
      <w:r w:rsidRPr="00330A3C">
        <w:rPr>
          <w:rFonts w:asciiTheme="minorHAnsi" w:hAnsiTheme="minorHAnsi" w:cstheme="minorHAnsi"/>
        </w:rPr>
        <w:t>V</w:t>
      </w:r>
      <w:r w:rsidR="00021ACC" w:rsidRPr="00330A3C">
        <w:rPr>
          <w:rFonts w:asciiTheme="minorHAnsi" w:hAnsiTheme="minorHAnsi" w:cstheme="minorHAnsi"/>
        </w:rPr>
        <w:t>ision</w:t>
      </w:r>
      <w:r w:rsidR="002810D2" w:rsidRPr="00330A3C">
        <w:rPr>
          <w:rFonts w:asciiTheme="minorHAnsi" w:hAnsiTheme="minorHAnsi" w:cstheme="minorHAnsi"/>
        </w:rPr>
        <w:t xml:space="preserve"> &amp; Goal</w:t>
      </w:r>
      <w:bookmarkEnd w:id="14"/>
      <w:bookmarkEnd w:id="15"/>
    </w:p>
    <w:p w14:paraId="77958E20" w14:textId="6BF8ED6F" w:rsidR="00E16B75" w:rsidRPr="00045EEC" w:rsidRDefault="00E16B75" w:rsidP="0053652E">
      <w:pPr>
        <w:spacing w:after="120" w:line="240" w:lineRule="auto"/>
        <w:rPr>
          <w:rFonts w:cstheme="minorHAnsi"/>
        </w:rPr>
      </w:pPr>
      <w:r w:rsidRPr="00045EEC">
        <w:rPr>
          <w:rFonts w:cstheme="minorHAnsi"/>
          <w:b/>
          <w:noProof/>
        </w:rPr>
        <mc:AlternateContent>
          <mc:Choice Requires="wps">
            <w:drawing>
              <wp:inline distT="0" distB="0" distL="0" distR="0" wp14:anchorId="47B99C48" wp14:editId="63B6FEB2">
                <wp:extent cx="5981700" cy="18573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57375"/>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F7A64E6" w14:textId="77777777" w:rsidR="0050772D" w:rsidRPr="00E16B75" w:rsidRDefault="0050772D" w:rsidP="00E16B75">
                            <w:pPr>
                              <w:spacing w:after="120" w:line="240" w:lineRule="auto"/>
                              <w:jc w:val="both"/>
                              <w:rPr>
                                <w:b/>
                              </w:rPr>
                            </w:pPr>
                            <w:r w:rsidRPr="00E16B75">
                              <w:rPr>
                                <w:b/>
                                <w:i/>
                              </w:rPr>
                              <w:t>Australia’s First National Antimicrobial Resistance Strategy 2015-2019</w:t>
                            </w:r>
                          </w:p>
                          <w:p w14:paraId="557DAE62" w14:textId="77777777" w:rsidR="0050772D" w:rsidRPr="003E7631" w:rsidRDefault="0050772D" w:rsidP="00E16B75">
                            <w:pPr>
                              <w:spacing w:after="120" w:line="240" w:lineRule="auto"/>
                              <w:jc w:val="both"/>
                              <w:rPr>
                                <w:b/>
                              </w:rPr>
                            </w:pPr>
                            <w:r w:rsidRPr="003E7631">
                              <w:rPr>
                                <w:b/>
                              </w:rPr>
                              <w:t>Vision</w:t>
                            </w:r>
                          </w:p>
                          <w:p w14:paraId="5197D5D8" w14:textId="77777777" w:rsidR="0050772D" w:rsidRDefault="0050772D" w:rsidP="00E16B75">
                            <w:pPr>
                              <w:spacing w:after="120" w:line="240" w:lineRule="auto"/>
                              <w:jc w:val="both"/>
                            </w:pPr>
                            <w:r>
                              <w:t>A</w:t>
                            </w:r>
                            <w:r w:rsidRPr="00407468">
                              <w:t xml:space="preserve"> society in which antimicrobials are recognised and managed as a valuable shared resource, maintaining their efficacy so that infections to humans and animals remain treatable and communities continue to benefit from the advances that antimicrobials enable.</w:t>
                            </w:r>
                          </w:p>
                          <w:p w14:paraId="48F39D0E" w14:textId="77777777" w:rsidR="0050772D" w:rsidRPr="003E7631" w:rsidRDefault="0050772D" w:rsidP="00E16B75">
                            <w:pPr>
                              <w:spacing w:after="120" w:line="240" w:lineRule="auto"/>
                              <w:jc w:val="both"/>
                              <w:rPr>
                                <w:b/>
                              </w:rPr>
                            </w:pPr>
                            <w:r w:rsidRPr="003E7631">
                              <w:rPr>
                                <w:b/>
                              </w:rPr>
                              <w:t>Goal</w:t>
                            </w:r>
                          </w:p>
                          <w:p w14:paraId="44DCF6E8" w14:textId="77777777" w:rsidR="0050772D" w:rsidRDefault="0050772D" w:rsidP="00E16B75">
                            <w:pPr>
                              <w:spacing w:after="120" w:line="240" w:lineRule="auto"/>
                              <w:jc w:val="both"/>
                            </w:pPr>
                            <w:r w:rsidRPr="00407468">
                              <w:t>Minimise the development and spread of antimicrobial resistance and ensure the continued availability of effective antimicrobials</w:t>
                            </w:r>
                            <w:r>
                              <w:t>.</w:t>
                            </w:r>
                          </w:p>
                        </w:txbxContent>
                      </wps:txbx>
                      <wps:bodyPr rot="0" vert="horz" wrap="square" lIns="91440" tIns="45720" rIns="91440" bIns="45720" anchor="t" anchorCtr="0">
                        <a:noAutofit/>
                      </wps:bodyPr>
                    </wps:wsp>
                  </a:graphicData>
                </a:graphic>
              </wp:inline>
            </w:drawing>
          </mc:Choice>
          <mc:Fallback>
            <w:pict>
              <v:shape w14:anchorId="47B99C48" id="_x0000_s1029" type="#_x0000_t202" style="width:471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" fillcolor="white [3201]" strokecolor="#c45911 [2405]" strokeweight=".25pt">
                <v:textbox>
                  <w:txbxContent>
                    <w:p w14:paraId="3F7A64E6" w14:textId="77777777" w:rsidR="0050772D" w:rsidRPr="00E16B75" w:rsidRDefault="0050772D" w:rsidP="00E16B75">
                      <w:pPr>
                        <w:spacing w:after="120" w:line="240" w:lineRule="auto"/>
                        <w:jc w:val="both"/>
                        <w:rPr>
                          <w:b/>
                        </w:rPr>
                      </w:pPr>
                      <w:r w:rsidRPr="00E16B75">
                        <w:rPr>
                          <w:b/>
                          <w:i/>
                        </w:rPr>
                        <w:t>Australia’s First National Antimicrobial Resistance Strategy 2015-2019</w:t>
                      </w:r>
                    </w:p>
                    <w:p w14:paraId="557DAE62" w14:textId="77777777" w:rsidR="0050772D" w:rsidRPr="003E7631" w:rsidRDefault="0050772D" w:rsidP="00E16B75">
                      <w:pPr>
                        <w:spacing w:after="120" w:line="240" w:lineRule="auto"/>
                        <w:jc w:val="both"/>
                        <w:rPr>
                          <w:b/>
                        </w:rPr>
                      </w:pPr>
                      <w:r w:rsidRPr="003E7631">
                        <w:rPr>
                          <w:b/>
                        </w:rPr>
                        <w:t>Vision</w:t>
                      </w:r>
                    </w:p>
                    <w:p w14:paraId="5197D5D8" w14:textId="77777777" w:rsidR="0050772D" w:rsidRDefault="0050772D" w:rsidP="00E16B75">
                      <w:pPr>
                        <w:spacing w:after="120" w:line="240" w:lineRule="auto"/>
                        <w:jc w:val="both"/>
                      </w:pPr>
                      <w:r>
                        <w:t>A</w:t>
                      </w:r>
                      <w:r w:rsidRPr="00407468">
                        <w:t xml:space="preserve"> society in which antimicrobials are recognised and managed as a valuable shared resource, maintaining their efficacy so that infections to humans and animals remain treatable and communities continue to benefit from the advances that antimicrobials enable.</w:t>
                      </w:r>
                    </w:p>
                    <w:p w14:paraId="48F39D0E" w14:textId="77777777" w:rsidR="0050772D" w:rsidRPr="003E7631" w:rsidRDefault="0050772D" w:rsidP="00E16B75">
                      <w:pPr>
                        <w:spacing w:after="120" w:line="240" w:lineRule="auto"/>
                        <w:jc w:val="both"/>
                        <w:rPr>
                          <w:b/>
                        </w:rPr>
                      </w:pPr>
                      <w:r w:rsidRPr="003E7631">
                        <w:rPr>
                          <w:b/>
                        </w:rPr>
                        <w:t>Goal</w:t>
                      </w:r>
                    </w:p>
                    <w:p w14:paraId="44DCF6E8" w14:textId="77777777" w:rsidR="0050772D" w:rsidRDefault="0050772D" w:rsidP="00E16B75">
                      <w:pPr>
                        <w:spacing w:after="120" w:line="240" w:lineRule="auto"/>
                        <w:jc w:val="both"/>
                      </w:pPr>
                      <w:r w:rsidRPr="00407468">
                        <w:t>Minimise the development and spread of antimicrobial resistance and ensure the continued availability of effective antimicrobials</w:t>
                      </w:r>
                      <w:r>
                        <w:t>.</w:t>
                      </w:r>
                    </w:p>
                  </w:txbxContent>
                </v:textbox>
                <w10:anchorlock/>
              </v:shape>
            </w:pict>
          </mc:Fallback>
        </mc:AlternateContent>
      </w:r>
    </w:p>
    <w:p w14:paraId="3D79BB32" w14:textId="3E9D1963" w:rsidR="00DE1D63" w:rsidRDefault="003E7631" w:rsidP="00630D5C">
      <w:pPr>
        <w:rPr>
          <w:i/>
        </w:rPr>
      </w:pPr>
      <w:r w:rsidRPr="00703059">
        <w:t xml:space="preserve">In developing the next Strategy, </w:t>
      </w:r>
      <w:r w:rsidR="00AC7DD9" w:rsidRPr="00703059">
        <w:t xml:space="preserve">it </w:t>
      </w:r>
      <w:r w:rsidRPr="00703059">
        <w:t>is important to consider</w:t>
      </w:r>
      <w:r w:rsidR="00AC7DD9" w:rsidRPr="00703059">
        <w:t xml:space="preserve"> whether</w:t>
      </w:r>
      <w:r w:rsidRPr="00703059">
        <w:t xml:space="preserve"> Australia’s long-term vision and goal</w:t>
      </w:r>
      <w:r w:rsidR="00E16B75" w:rsidRPr="00703059">
        <w:t xml:space="preserve"> </w:t>
      </w:r>
      <w:r w:rsidRPr="00703059">
        <w:t>for the future is still appropriate</w:t>
      </w:r>
      <w:r w:rsidR="00FC2BD0" w:rsidRPr="00055166">
        <w:t xml:space="preserve"> and attainable. Above is Australia’s current vision and goal as </w:t>
      </w:r>
      <w:r w:rsidR="00DE1D63" w:rsidRPr="000A181F">
        <w:t>published in</w:t>
      </w:r>
      <w:r w:rsidR="00DE1D63" w:rsidRPr="000A181F">
        <w:rPr>
          <w:b/>
          <w:i/>
        </w:rPr>
        <w:t xml:space="preserve"> </w:t>
      </w:r>
      <w:r w:rsidR="00DE1D63" w:rsidRPr="000A181F">
        <w:rPr>
          <w:i/>
        </w:rPr>
        <w:t>Australia’s First National Antimicrobial Resistance Strategy 2015-2019.</w:t>
      </w:r>
    </w:p>
    <w:p w14:paraId="0550D333" w14:textId="2DBF76E5" w:rsidR="00F075E9" w:rsidRPr="00630D5C" w:rsidRDefault="00F075E9" w:rsidP="00630D5C">
      <w:pPr>
        <w:spacing w:after="120" w:line="240" w:lineRule="auto"/>
        <w:jc w:val="both"/>
        <w:rPr>
          <w:rFonts w:cstheme="minorHAnsi"/>
          <w:b/>
        </w:rPr>
      </w:pPr>
      <w:r w:rsidRPr="00045EEC">
        <w:rPr>
          <w:rFonts w:cstheme="minorHAnsi"/>
          <w:noProof/>
        </w:rPr>
        <mc:AlternateContent>
          <mc:Choice Requires="wps">
            <w:drawing>
              <wp:inline distT="0" distB="0" distL="0" distR="0" wp14:anchorId="43682837" wp14:editId="4993DF83">
                <wp:extent cx="5731510" cy="1393937"/>
                <wp:effectExtent l="0" t="0" r="2159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93937"/>
                        </a:xfrm>
                        <a:prstGeom prst="rect">
                          <a:avLst/>
                        </a:prstGeom>
                        <a:solidFill>
                          <a:schemeClr val="bg1">
                            <a:lumMod val="95000"/>
                          </a:schemeClr>
                        </a:solidFill>
                        <a:ln w="3175">
                          <a:solidFill>
                            <a:schemeClr val="bg1">
                              <a:lumMod val="50000"/>
                            </a:schemeClr>
                          </a:solidFill>
                          <a:miter lim="800000"/>
                          <a:headEnd/>
                          <a:tailEnd/>
                        </a:ln>
                      </wps:spPr>
                      <wps:txbx>
                        <w:txbxContent>
                          <w:p w14:paraId="5CBB9EDD" w14:textId="77777777" w:rsidR="0050772D" w:rsidRPr="00A43942" w:rsidRDefault="0050772D" w:rsidP="00F075E9">
                            <w:pPr>
                              <w:spacing w:after="120" w:line="240" w:lineRule="auto"/>
                              <w:rPr>
                                <w:b/>
                              </w:rPr>
                            </w:pPr>
                            <w:r w:rsidRPr="00A43942">
                              <w:rPr>
                                <w:b/>
                              </w:rPr>
                              <w:t xml:space="preserve">Questions for </w:t>
                            </w:r>
                            <w:r>
                              <w:rPr>
                                <w:b/>
                              </w:rPr>
                              <w:t xml:space="preserve">Consideration </w:t>
                            </w:r>
                          </w:p>
                          <w:p w14:paraId="24CA6F0F" w14:textId="77777777" w:rsidR="0050772D" w:rsidRDefault="0050772D" w:rsidP="00F075E9">
                            <w:pPr>
                              <w:pStyle w:val="ListParagraph"/>
                              <w:numPr>
                                <w:ilvl w:val="0"/>
                                <w:numId w:val="19"/>
                              </w:numPr>
                            </w:pPr>
                            <w:r>
                              <w:t>Does the Vision remain appropriate for the next longer term Strategy? If not, do you have any suggestions for a revised 20 year vision?</w:t>
                            </w:r>
                          </w:p>
                          <w:p w14:paraId="05136613" w14:textId="77777777" w:rsidR="0050772D" w:rsidRDefault="0050772D" w:rsidP="00F075E9">
                            <w:pPr>
                              <w:pStyle w:val="ListParagraph"/>
                              <w:numPr>
                                <w:ilvl w:val="0"/>
                                <w:numId w:val="19"/>
                              </w:numPr>
                            </w:pPr>
                            <w:r>
                              <w:t>Is a Vision and a Goal still required? If both are required, does the Goal remain appropriate, or if not, what are your suggestions for a revised goal?</w:t>
                            </w:r>
                          </w:p>
                          <w:p w14:paraId="543F8F4A" w14:textId="773717E1" w:rsidR="0050772D" w:rsidRDefault="0050772D" w:rsidP="00F075E9">
                            <w:pPr>
                              <w:pStyle w:val="ListParagraph"/>
                              <w:numPr>
                                <w:ilvl w:val="0"/>
                                <w:numId w:val="19"/>
                              </w:numPr>
                            </w:pPr>
                            <w:r>
                              <w:t>W</w:t>
                            </w:r>
                            <w:r w:rsidRPr="006D46C8">
                              <w:t>hat does success look like</w:t>
                            </w:r>
                            <w:r>
                              <w:t xml:space="preserve"> for Australia in responding to the threat of AMR</w:t>
                            </w:r>
                            <w:r w:rsidRPr="006D46C8">
                              <w:t>?</w:t>
                            </w:r>
                          </w:p>
                        </w:txbxContent>
                      </wps:txbx>
                      <wps:bodyPr rot="0" vert="horz" wrap="square" lIns="91440" tIns="45720" rIns="91440" bIns="45720" anchor="t" anchorCtr="0">
                        <a:spAutoFit/>
                      </wps:bodyPr>
                    </wps:wsp>
                  </a:graphicData>
                </a:graphic>
              </wp:inline>
            </w:drawing>
          </mc:Choice>
          <mc:Fallback>
            <w:pict>
              <v:shape w14:anchorId="43682837" id="_x0000_s1030" type="#_x0000_t202" style="width:451.3pt;height:1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" fillcolor="#f2f2f2 [3052]" strokecolor="#7f7f7f [1612]" strokeweight=".25pt">
                <v:textbox style="mso-fit-shape-to-text:t">
                  <w:txbxContent>
                    <w:p w14:paraId="5CBB9EDD" w14:textId="77777777" w:rsidR="0050772D" w:rsidRPr="00A43942" w:rsidRDefault="0050772D" w:rsidP="00F075E9">
                      <w:pPr>
                        <w:spacing w:after="120" w:line="240" w:lineRule="auto"/>
                        <w:rPr>
                          <w:b/>
                        </w:rPr>
                      </w:pPr>
                      <w:r w:rsidRPr="00A43942">
                        <w:rPr>
                          <w:b/>
                        </w:rPr>
                        <w:t xml:space="preserve">Questions for </w:t>
                      </w:r>
                      <w:r>
                        <w:rPr>
                          <w:b/>
                        </w:rPr>
                        <w:t xml:space="preserve">Consideration </w:t>
                      </w:r>
                    </w:p>
                    <w:p w14:paraId="24CA6F0F" w14:textId="77777777" w:rsidR="0050772D" w:rsidRDefault="0050772D" w:rsidP="00F075E9">
                      <w:pPr>
                        <w:pStyle w:val="ListParagraph"/>
                        <w:numPr>
                          <w:ilvl w:val="0"/>
                          <w:numId w:val="19"/>
                        </w:numPr>
                      </w:pPr>
                      <w:r>
                        <w:t>Does the Vision remain appropriate for the next longer term Strategy? If not, do you have any suggestions for a revised 20 year vision?</w:t>
                      </w:r>
                    </w:p>
                    <w:p w14:paraId="05136613" w14:textId="77777777" w:rsidR="0050772D" w:rsidRDefault="0050772D" w:rsidP="00F075E9">
                      <w:pPr>
                        <w:pStyle w:val="ListParagraph"/>
                        <w:numPr>
                          <w:ilvl w:val="0"/>
                          <w:numId w:val="19"/>
                        </w:numPr>
                      </w:pPr>
                      <w:r>
                        <w:t>Is a Vision and a Goal still required? If both are required, does the Goal remain appropriate, or if not, what are your suggestions for a revised goal?</w:t>
                      </w:r>
                    </w:p>
                    <w:p w14:paraId="543F8F4A" w14:textId="773717E1" w:rsidR="0050772D" w:rsidRDefault="0050772D" w:rsidP="00F075E9">
                      <w:pPr>
                        <w:pStyle w:val="ListParagraph"/>
                        <w:numPr>
                          <w:ilvl w:val="0"/>
                          <w:numId w:val="19"/>
                        </w:numPr>
                      </w:pPr>
                      <w:r>
                        <w:t>W</w:t>
                      </w:r>
                      <w:r w:rsidRPr="006D46C8">
                        <w:t>hat does success look like</w:t>
                      </w:r>
                      <w:r>
                        <w:t xml:space="preserve"> for Australia in responding to the threat of AMR</w:t>
                      </w:r>
                      <w:r w:rsidRPr="006D46C8">
                        <w:t>?</w:t>
                      </w:r>
                    </w:p>
                  </w:txbxContent>
                </v:textbox>
                <w10:anchorlock/>
              </v:shape>
            </w:pict>
          </mc:Fallback>
        </mc:AlternateContent>
      </w:r>
    </w:p>
    <w:p w14:paraId="66AF3DEC" w14:textId="77777777" w:rsidR="00207098" w:rsidRPr="00330A3C" w:rsidRDefault="002246D5" w:rsidP="0053652E">
      <w:pPr>
        <w:pStyle w:val="Heading1"/>
        <w:numPr>
          <w:ilvl w:val="0"/>
          <w:numId w:val="16"/>
        </w:numPr>
        <w:spacing w:before="0" w:after="120" w:line="240" w:lineRule="auto"/>
        <w:contextualSpacing w:val="0"/>
        <w:rPr>
          <w:rFonts w:asciiTheme="minorHAnsi" w:hAnsiTheme="minorHAnsi" w:cstheme="minorHAnsi"/>
        </w:rPr>
      </w:pPr>
      <w:bookmarkStart w:id="16" w:name="_Toc9112686"/>
      <w:bookmarkStart w:id="17" w:name="_Toc10812311"/>
      <w:r w:rsidRPr="00330A3C">
        <w:rPr>
          <w:rFonts w:asciiTheme="minorHAnsi" w:hAnsiTheme="minorHAnsi" w:cstheme="minorHAnsi"/>
        </w:rPr>
        <w:t>Objectives</w:t>
      </w:r>
      <w:bookmarkEnd w:id="16"/>
      <w:bookmarkEnd w:id="17"/>
    </w:p>
    <w:p w14:paraId="6BE77720" w14:textId="28A43761" w:rsidR="008B5BC4" w:rsidRPr="00703059" w:rsidRDefault="005C285D" w:rsidP="00630D5C">
      <w:r w:rsidRPr="00045EEC">
        <w:t>The</w:t>
      </w:r>
      <w:r w:rsidR="00272971" w:rsidRPr="00045EEC">
        <w:t xml:space="preserve"> </w:t>
      </w:r>
      <w:r w:rsidR="00272971" w:rsidRPr="00A32864">
        <w:rPr>
          <w:i/>
        </w:rPr>
        <w:t xml:space="preserve">First </w:t>
      </w:r>
      <w:r w:rsidRPr="00A32864">
        <w:rPr>
          <w:i/>
        </w:rPr>
        <w:t>Strategy’s</w:t>
      </w:r>
      <w:r w:rsidRPr="00045EEC">
        <w:t xml:space="preserve"> seven objectives and priority areas for action were informed by a review of national and international literature, expert advice and consultations with sector stakeholders. They are also consistent with the objectives of the WHO’s </w:t>
      </w:r>
      <w:r w:rsidRPr="00703059">
        <w:rPr>
          <w:i/>
        </w:rPr>
        <w:t>Global Action Plan on Antimicrobial Resistance</w:t>
      </w:r>
      <w:r w:rsidRPr="00703059">
        <w:t xml:space="preserve">. </w:t>
      </w:r>
    </w:p>
    <w:p w14:paraId="41232A1F" w14:textId="5B1B6191" w:rsidR="00272971" w:rsidRDefault="005C285D" w:rsidP="00630D5C">
      <w:r w:rsidRPr="00703059">
        <w:lastRenderedPageBreak/>
        <w:t xml:space="preserve">Each objective and its priority areas for action under the Strategy are discussed below, including </w:t>
      </w:r>
      <w:r w:rsidR="007558DD">
        <w:t xml:space="preserve">a high level summary of </w:t>
      </w:r>
      <w:r w:rsidRPr="00703059">
        <w:t xml:space="preserve">what has been achieved, what the challenges </w:t>
      </w:r>
      <w:r w:rsidR="007558DD">
        <w:t>have</w:t>
      </w:r>
      <w:r w:rsidRPr="00703059">
        <w:t xml:space="preserve"> been </w:t>
      </w:r>
      <w:r w:rsidR="00331062" w:rsidRPr="00703059">
        <w:t>and proposed next steps towards achieving the objectives</w:t>
      </w:r>
      <w:r w:rsidR="003649FE">
        <w:t xml:space="preserve"> to promote discussion</w:t>
      </w:r>
      <w:r w:rsidR="00AF4446">
        <w:t xml:space="preserve"> on the objectives.</w:t>
      </w:r>
    </w:p>
    <w:p w14:paraId="76436874" w14:textId="1D617A2D" w:rsidR="005C285D" w:rsidRDefault="00331062" w:rsidP="00630D5C">
      <w:r w:rsidRPr="00703059">
        <w:t>Stake</w:t>
      </w:r>
      <w:r w:rsidRPr="00055166">
        <w:t>holders are invited to provide their input on their own achievements, challenges and next steps for relevant objectives</w:t>
      </w:r>
      <w:r w:rsidR="007558DD">
        <w:t xml:space="preserve">, provide feedback on the appropriateness of the current objectives </w:t>
      </w:r>
      <w:r w:rsidRPr="00055166">
        <w:t xml:space="preserve">and </w:t>
      </w:r>
      <w:r w:rsidR="004052D3">
        <w:t xml:space="preserve">suggest </w:t>
      </w:r>
      <w:r w:rsidRPr="00055166">
        <w:t>priority areas for action for</w:t>
      </w:r>
      <w:r w:rsidR="007558DD">
        <w:t xml:space="preserve"> consideration in</w:t>
      </w:r>
      <w:r w:rsidRPr="00055166">
        <w:t xml:space="preserve"> the next Strategy</w:t>
      </w:r>
      <w:r w:rsidR="007558DD">
        <w:t>.</w:t>
      </w:r>
    </w:p>
    <w:p w14:paraId="4E8BBE18" w14:textId="77777777" w:rsidR="001A24B2" w:rsidRDefault="001A24B2" w:rsidP="0053652E">
      <w:pPr>
        <w:spacing w:after="120" w:line="240" w:lineRule="auto"/>
        <w:rPr>
          <w:rFonts w:cstheme="minorHAnsi"/>
        </w:rPr>
      </w:pPr>
    </w:p>
    <w:p w14:paraId="36E390F9" w14:textId="6180BBE4" w:rsidR="00BD4B8B" w:rsidRDefault="00BD4B8B" w:rsidP="0053652E">
      <w:pPr>
        <w:spacing w:after="120" w:line="240" w:lineRule="auto"/>
        <w:rPr>
          <w:rStyle w:val="Heading2Char"/>
          <w:rFonts w:asciiTheme="minorHAnsi" w:hAnsiTheme="minorHAnsi" w:cstheme="minorHAnsi"/>
        </w:rPr>
      </w:pPr>
      <w:bookmarkStart w:id="18" w:name="_Toc9112687"/>
      <w:r w:rsidRPr="00045EEC">
        <w:rPr>
          <w:rFonts w:cstheme="minorHAnsi"/>
          <w:noProof/>
        </w:rPr>
        <mc:AlternateContent>
          <mc:Choice Requires="wps">
            <w:drawing>
              <wp:inline distT="0" distB="0" distL="0" distR="0" wp14:anchorId="1D5BF631" wp14:editId="39C597E7">
                <wp:extent cx="5981700" cy="1404620"/>
                <wp:effectExtent l="0" t="0" r="19050" b="266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chemeClr val="bg1">
                            <a:lumMod val="95000"/>
                          </a:schemeClr>
                        </a:solidFill>
                        <a:ln w="3175">
                          <a:solidFill>
                            <a:schemeClr val="bg1">
                              <a:lumMod val="50000"/>
                            </a:schemeClr>
                          </a:solidFill>
                          <a:miter lim="800000"/>
                          <a:headEnd/>
                          <a:tailEnd/>
                        </a:ln>
                      </wps:spPr>
                      <wps:txbx>
                        <w:txbxContent>
                          <w:p w14:paraId="2ADD1DB4" w14:textId="026C59F6" w:rsidR="0050772D" w:rsidRPr="00A43942" w:rsidRDefault="0050772D" w:rsidP="00BD4B8B">
                            <w:pPr>
                              <w:spacing w:after="120" w:line="240" w:lineRule="auto"/>
                              <w:rPr>
                                <w:b/>
                              </w:rPr>
                            </w:pPr>
                            <w:r w:rsidRPr="00A43942">
                              <w:rPr>
                                <w:b/>
                              </w:rPr>
                              <w:t xml:space="preserve">Questions for </w:t>
                            </w:r>
                            <w:r>
                              <w:rPr>
                                <w:b/>
                              </w:rPr>
                              <w:t xml:space="preserve">Consideration </w:t>
                            </w:r>
                          </w:p>
                          <w:p w14:paraId="7FC94EF7" w14:textId="1492E5C3" w:rsidR="0050772D" w:rsidRDefault="0050772D" w:rsidP="00100826">
                            <w:pPr>
                              <w:spacing w:after="120"/>
                              <w:contextualSpacing/>
                            </w:pPr>
                            <w:r>
                              <w:t>For each of the seven objectives:</w:t>
                            </w:r>
                          </w:p>
                          <w:p w14:paraId="3D868CBC" w14:textId="43E2CFD2" w:rsidR="0050772D" w:rsidRDefault="0050772D" w:rsidP="00B80478">
                            <w:pPr>
                              <w:pStyle w:val="ListParagraph"/>
                              <w:numPr>
                                <w:ilvl w:val="0"/>
                                <w:numId w:val="4"/>
                              </w:numPr>
                            </w:pPr>
                            <w:r>
                              <w:t>For your organisation/sector, please describe your achievements, challenges and what you see as your next steps.</w:t>
                            </w:r>
                          </w:p>
                          <w:p w14:paraId="7DEDB768" w14:textId="213ED1C9" w:rsidR="0050772D" w:rsidRDefault="0050772D" w:rsidP="00B80478">
                            <w:pPr>
                              <w:pStyle w:val="ListParagraph"/>
                              <w:numPr>
                                <w:ilvl w:val="0"/>
                                <w:numId w:val="4"/>
                              </w:numPr>
                            </w:pPr>
                            <w:r>
                              <w:t>Is the o</w:t>
                            </w:r>
                            <w:r w:rsidRPr="00FF3D64">
                              <w:t>bjective</w:t>
                            </w:r>
                            <w:r>
                              <w:t xml:space="preserve"> </w:t>
                            </w:r>
                            <w:r w:rsidRPr="00FF3D64">
                              <w:t>still appropriate</w:t>
                            </w:r>
                            <w:r>
                              <w:t xml:space="preserve"> for Australia’s next AMR Strategy for 2020 and beyond? If not, how would you refine it? Please consider the ASTAG consultation outcomes in your answer. </w:t>
                            </w:r>
                          </w:p>
                          <w:p w14:paraId="6C2D28D0" w14:textId="4F30B5B4" w:rsidR="0050772D" w:rsidRDefault="0050772D" w:rsidP="00B80478">
                            <w:pPr>
                              <w:pStyle w:val="ListParagraph"/>
                              <w:numPr>
                                <w:ilvl w:val="0"/>
                                <w:numId w:val="4"/>
                              </w:numPr>
                            </w:pPr>
                            <w:r>
                              <w:t xml:space="preserve">Are the current </w:t>
                            </w:r>
                            <w:r w:rsidRPr="00365057">
                              <w:t xml:space="preserve">Priority Areas for Action </w:t>
                            </w:r>
                            <w:r>
                              <w:t xml:space="preserve">under each Objective still relevant for 2020 and beyond? If not, what else would you include? </w:t>
                            </w:r>
                          </w:p>
                        </w:txbxContent>
                      </wps:txbx>
                      <wps:bodyPr rot="0" vert="horz" wrap="square" lIns="91440" tIns="45720" rIns="91440" bIns="45720" anchor="t" anchorCtr="0">
                        <a:spAutoFit/>
                      </wps:bodyPr>
                    </wps:wsp>
                  </a:graphicData>
                </a:graphic>
              </wp:inline>
            </w:drawing>
          </mc:Choice>
          <mc:Fallback>
            <w:pict>
              <v:shape w14:anchorId="1D5BF631" id="_x0000_s1031" type="#_x0000_t202" style="width:4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" fillcolor="#f2f2f2 [3052]" strokecolor="#7f7f7f [1612]" strokeweight=".25pt">
                <v:textbox style="mso-fit-shape-to-text:t">
                  <w:txbxContent>
                    <w:p w14:paraId="2ADD1DB4" w14:textId="026C59F6" w:rsidR="0050772D" w:rsidRPr="00A43942" w:rsidRDefault="0050772D" w:rsidP="00BD4B8B">
                      <w:pPr>
                        <w:spacing w:after="120" w:line="240" w:lineRule="auto"/>
                        <w:rPr>
                          <w:b/>
                        </w:rPr>
                      </w:pPr>
                      <w:r w:rsidRPr="00A43942">
                        <w:rPr>
                          <w:b/>
                        </w:rPr>
                        <w:t xml:space="preserve">Questions for </w:t>
                      </w:r>
                      <w:r>
                        <w:rPr>
                          <w:b/>
                        </w:rPr>
                        <w:t xml:space="preserve">Consideration </w:t>
                      </w:r>
                    </w:p>
                    <w:p w14:paraId="7FC94EF7" w14:textId="1492E5C3" w:rsidR="0050772D" w:rsidRDefault="0050772D" w:rsidP="00100826">
                      <w:pPr>
                        <w:spacing w:after="120"/>
                        <w:contextualSpacing/>
                      </w:pPr>
                      <w:r>
                        <w:t>For each of the seven objectives:</w:t>
                      </w:r>
                    </w:p>
                    <w:p w14:paraId="3D868CBC" w14:textId="43E2CFD2" w:rsidR="0050772D" w:rsidRDefault="0050772D" w:rsidP="00B80478">
                      <w:pPr>
                        <w:pStyle w:val="ListParagraph"/>
                        <w:numPr>
                          <w:ilvl w:val="0"/>
                          <w:numId w:val="4"/>
                        </w:numPr>
                      </w:pPr>
                      <w:r>
                        <w:t>For your organisation/sector, please describe your achievements, challenges and what you see as your next steps.</w:t>
                      </w:r>
                    </w:p>
                    <w:p w14:paraId="7DEDB768" w14:textId="213ED1C9" w:rsidR="0050772D" w:rsidRDefault="0050772D" w:rsidP="00B80478">
                      <w:pPr>
                        <w:pStyle w:val="ListParagraph"/>
                        <w:numPr>
                          <w:ilvl w:val="0"/>
                          <w:numId w:val="4"/>
                        </w:numPr>
                      </w:pPr>
                      <w:r>
                        <w:t>Is the o</w:t>
                      </w:r>
                      <w:r w:rsidRPr="00FF3D64">
                        <w:t>bjective</w:t>
                      </w:r>
                      <w:r>
                        <w:t xml:space="preserve"> </w:t>
                      </w:r>
                      <w:r w:rsidRPr="00FF3D64">
                        <w:t>still appropriate</w:t>
                      </w:r>
                      <w:r>
                        <w:t xml:space="preserve"> for Australia’s next AMR Strategy for 2020 and beyond? If not, how would you refine it? Please consider the ASTAG consultation outcomes in your answer. </w:t>
                      </w:r>
                    </w:p>
                    <w:p w14:paraId="6C2D28D0" w14:textId="4F30B5B4" w:rsidR="0050772D" w:rsidRDefault="0050772D" w:rsidP="00B80478">
                      <w:pPr>
                        <w:pStyle w:val="ListParagraph"/>
                        <w:numPr>
                          <w:ilvl w:val="0"/>
                          <w:numId w:val="4"/>
                        </w:numPr>
                      </w:pPr>
                      <w:r>
                        <w:t xml:space="preserve">Are the current </w:t>
                      </w:r>
                      <w:r w:rsidRPr="00365057">
                        <w:t xml:space="preserve">Priority Areas for Action </w:t>
                      </w:r>
                      <w:r>
                        <w:t xml:space="preserve">under each Objective still relevant for 2020 and beyond? If not, what else would you include? </w:t>
                      </w:r>
                    </w:p>
                  </w:txbxContent>
                </v:textbox>
                <w10:anchorlock/>
              </v:shape>
            </w:pict>
          </mc:Fallback>
        </mc:AlternateContent>
      </w:r>
    </w:p>
    <w:p w14:paraId="22B4FF95" w14:textId="77777777" w:rsidR="00B1243E" w:rsidRPr="00330A3C" w:rsidRDefault="00B1243E" w:rsidP="0053652E">
      <w:pPr>
        <w:spacing w:after="120" w:line="240" w:lineRule="auto"/>
        <w:rPr>
          <w:rStyle w:val="Heading2Char"/>
          <w:rFonts w:asciiTheme="minorHAnsi" w:hAnsiTheme="minorHAnsi" w:cstheme="minorHAnsi"/>
        </w:rPr>
      </w:pPr>
    </w:p>
    <w:p w14:paraId="0A4A7BA0" w14:textId="136464F2" w:rsidR="001E12AE" w:rsidRPr="00630D5C" w:rsidRDefault="00B30115" w:rsidP="00630D5C">
      <w:pPr>
        <w:pStyle w:val="Heading2"/>
        <w:rPr>
          <w:rStyle w:val="Heading2Char"/>
          <w:b/>
          <w:bCs/>
        </w:rPr>
      </w:pPr>
      <w:bookmarkStart w:id="19" w:name="_Toc10812312"/>
      <w:r w:rsidRPr="00630D5C">
        <w:rPr>
          <w:rStyle w:val="Heading2Char"/>
          <w:b/>
          <w:bCs/>
        </w:rPr>
        <w:t>Objective One</w:t>
      </w:r>
      <w:r w:rsidR="001E12AE" w:rsidRPr="00630D5C">
        <w:rPr>
          <w:rStyle w:val="Heading2Char"/>
          <w:b/>
          <w:bCs/>
        </w:rPr>
        <w:t>: Increase awareness and understanding of antimicrobial resistance, its implications and actions to combat it, through effective communication, education and training.</w:t>
      </w:r>
      <w:bookmarkEnd w:id="18"/>
      <w:bookmarkEnd w:id="19"/>
    </w:p>
    <w:p w14:paraId="634462F5" w14:textId="18F4727A" w:rsidR="002E74FA" w:rsidRPr="00045EEC" w:rsidRDefault="002E74FA" w:rsidP="0053652E">
      <w:pPr>
        <w:spacing w:after="120" w:line="240" w:lineRule="auto"/>
        <w:rPr>
          <w:rFonts w:cstheme="minorHAnsi"/>
          <w:lang w:val="en-US"/>
        </w:rPr>
      </w:pPr>
      <w:r w:rsidRPr="00045EEC">
        <w:rPr>
          <w:rFonts w:cstheme="minorHAnsi"/>
          <w:noProof/>
        </w:rPr>
        <mc:AlternateContent>
          <mc:Choice Requires="wps">
            <w:drawing>
              <wp:inline distT="0" distB="0" distL="0" distR="0" wp14:anchorId="74D869B0" wp14:editId="001510DA">
                <wp:extent cx="5981700" cy="20478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47875"/>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51954345" w14:textId="77777777" w:rsidR="0050772D" w:rsidRPr="00BD4B8B" w:rsidRDefault="0050772D" w:rsidP="00BD4B8B">
                            <w:pPr>
                              <w:spacing w:after="120" w:line="240" w:lineRule="auto"/>
                              <w:rPr>
                                <w:b/>
                              </w:rPr>
                            </w:pPr>
                            <w:bookmarkStart w:id="20" w:name="_Toc9112688"/>
                            <w:bookmarkStart w:id="21" w:name="_Toc9116410"/>
                            <w:r w:rsidRPr="00BD4B8B">
                              <w:rPr>
                                <w:b/>
                              </w:rPr>
                              <w:t>Priority Areas for Action</w:t>
                            </w:r>
                            <w:bookmarkEnd w:id="20"/>
                            <w:bookmarkEnd w:id="21"/>
                            <w:r w:rsidRPr="00BD4B8B">
                              <w:rPr>
                                <w:b/>
                              </w:rPr>
                              <w:t xml:space="preserve"> </w:t>
                            </w:r>
                          </w:p>
                          <w:p w14:paraId="664287FA" w14:textId="77777777" w:rsidR="0050772D" w:rsidRPr="00BD4B8B" w:rsidRDefault="0050772D" w:rsidP="00BD4B8B">
                            <w:pPr>
                              <w:spacing w:after="120" w:line="240" w:lineRule="auto"/>
                            </w:pPr>
                            <w:r w:rsidRPr="00BD4B8B">
                              <w:t>1.1: Strengthen consumer awareness initiatives to improve understanding of antimicrobial resistance and the importance of using antibiotics appropriately.</w:t>
                            </w:r>
                          </w:p>
                          <w:p w14:paraId="216780D3" w14:textId="77777777" w:rsidR="0050772D" w:rsidRPr="00BD4B8B" w:rsidRDefault="0050772D" w:rsidP="00BD4B8B">
                            <w:pPr>
                              <w:spacing w:after="120" w:line="240" w:lineRule="auto"/>
                            </w:pPr>
                            <w:r w:rsidRPr="00BD4B8B">
                              <w:t>1.2: Increase support for human and animal health professionals in reinforcing key messages with patients and clients.</w:t>
                            </w:r>
                          </w:p>
                          <w:p w14:paraId="1AC5F3EC" w14:textId="77777777" w:rsidR="0050772D" w:rsidRPr="00BD4B8B" w:rsidRDefault="0050772D" w:rsidP="00BD4B8B">
                            <w:pPr>
                              <w:spacing w:after="120" w:line="240" w:lineRule="auto"/>
                            </w:pPr>
                            <w:r w:rsidRPr="00BD4B8B">
                              <w:t>1.3: Strengthen communication and education initiatives for health professionals and health care team members.</w:t>
                            </w:r>
                          </w:p>
                          <w:p w14:paraId="372B7356" w14:textId="77777777" w:rsidR="0050772D" w:rsidRPr="00BD4B8B" w:rsidRDefault="0050772D" w:rsidP="00BD4B8B">
                            <w:pPr>
                              <w:spacing w:after="120" w:line="240" w:lineRule="auto"/>
                            </w:pPr>
                            <w:r w:rsidRPr="00BD4B8B">
                              <w:t>1.4: Develop a stakeholder engagement and communication plan to support whole-of-society awareness of, and participation in implementing the Strategy.</w:t>
                            </w:r>
                          </w:p>
                        </w:txbxContent>
                      </wps:txbx>
                      <wps:bodyPr rot="0" vert="horz" wrap="square" lIns="91440" tIns="45720" rIns="91440" bIns="45720" anchor="t" anchorCtr="0">
                        <a:noAutofit/>
                      </wps:bodyPr>
                    </wps:wsp>
                  </a:graphicData>
                </a:graphic>
              </wp:inline>
            </w:drawing>
          </mc:Choice>
          <mc:Fallback>
            <w:pict>
              <v:shape w14:anchorId="74D869B0" id="_x0000_s1032" type="#_x0000_t202" style="width:471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" fillcolor="white [3201]" strokecolor="#c45911 [2405]" strokeweight=".25pt">
                <v:textbox>
                  <w:txbxContent>
                    <w:p w14:paraId="51954345" w14:textId="77777777" w:rsidR="0050772D" w:rsidRPr="00BD4B8B" w:rsidRDefault="0050772D" w:rsidP="00BD4B8B">
                      <w:pPr>
                        <w:spacing w:after="120" w:line="240" w:lineRule="auto"/>
                        <w:rPr>
                          <w:b/>
                        </w:rPr>
                      </w:pPr>
                      <w:bookmarkStart w:id="22" w:name="_Toc9112688"/>
                      <w:bookmarkStart w:id="23" w:name="_Toc9116410"/>
                      <w:r w:rsidRPr="00BD4B8B">
                        <w:rPr>
                          <w:b/>
                        </w:rPr>
                        <w:t>Priority Areas for Action</w:t>
                      </w:r>
                      <w:bookmarkEnd w:id="22"/>
                      <w:bookmarkEnd w:id="23"/>
                      <w:r w:rsidRPr="00BD4B8B">
                        <w:rPr>
                          <w:b/>
                        </w:rPr>
                        <w:t xml:space="preserve"> </w:t>
                      </w:r>
                    </w:p>
                    <w:p w14:paraId="664287FA" w14:textId="77777777" w:rsidR="0050772D" w:rsidRPr="00BD4B8B" w:rsidRDefault="0050772D" w:rsidP="00BD4B8B">
                      <w:pPr>
                        <w:spacing w:after="120" w:line="240" w:lineRule="auto"/>
                      </w:pPr>
                      <w:r w:rsidRPr="00BD4B8B">
                        <w:t>1.1: Strengthen consumer awareness initiatives to improve understanding of antimicrobial resistance and the importance of using antibiotics appropriately.</w:t>
                      </w:r>
                    </w:p>
                    <w:p w14:paraId="216780D3" w14:textId="77777777" w:rsidR="0050772D" w:rsidRPr="00BD4B8B" w:rsidRDefault="0050772D" w:rsidP="00BD4B8B">
                      <w:pPr>
                        <w:spacing w:after="120" w:line="240" w:lineRule="auto"/>
                      </w:pPr>
                      <w:r w:rsidRPr="00BD4B8B">
                        <w:t>1.2: Increase support for human and animal health professionals in reinforcing key messages with patients and clients.</w:t>
                      </w:r>
                    </w:p>
                    <w:p w14:paraId="1AC5F3EC" w14:textId="77777777" w:rsidR="0050772D" w:rsidRPr="00BD4B8B" w:rsidRDefault="0050772D" w:rsidP="00BD4B8B">
                      <w:pPr>
                        <w:spacing w:after="120" w:line="240" w:lineRule="auto"/>
                      </w:pPr>
                      <w:r w:rsidRPr="00BD4B8B">
                        <w:t>1.3: Strengthen communication and education initiatives for health professionals and health care team members.</w:t>
                      </w:r>
                    </w:p>
                    <w:p w14:paraId="372B7356" w14:textId="77777777" w:rsidR="0050772D" w:rsidRPr="00BD4B8B" w:rsidRDefault="0050772D" w:rsidP="00BD4B8B">
                      <w:pPr>
                        <w:spacing w:after="120" w:line="240" w:lineRule="auto"/>
                      </w:pPr>
                      <w:r w:rsidRPr="00BD4B8B">
                        <w:t>1.4: Develop a stakeholder engagement and communication plan to support whole-of-society awareness of, and participation in implementing the Strategy.</w:t>
                      </w:r>
                    </w:p>
                  </w:txbxContent>
                </v:textbox>
                <w10:anchorlock/>
              </v:shape>
            </w:pict>
          </mc:Fallback>
        </mc:AlternateContent>
      </w:r>
    </w:p>
    <w:p w14:paraId="00ECBCA0" w14:textId="76ED3C7B" w:rsidR="00F075E9" w:rsidRPr="00630D5C" w:rsidRDefault="00530D63" w:rsidP="00630D5C">
      <w:pPr>
        <w:rPr>
          <w:lang w:val="en-US"/>
        </w:rPr>
      </w:pPr>
      <w:r w:rsidRPr="00703059">
        <w:rPr>
          <w:lang w:val="en-US"/>
        </w:rPr>
        <w:t>Effective communication, education and training remains crucial to raise awareness and understanding amongst prescribers and dispensers across human and animal health, consumers and the general public about what can be done to combat AMR and the importance of taking action</w:t>
      </w:r>
      <w:r w:rsidR="005625E6">
        <w:rPr>
          <w:lang w:val="en-US"/>
        </w:rPr>
        <w:t> </w:t>
      </w:r>
      <w:r w:rsidRPr="00703059">
        <w:rPr>
          <w:lang w:val="en-US"/>
        </w:rPr>
        <w:t>now.</w:t>
      </w:r>
    </w:p>
    <w:p w14:paraId="144C625E" w14:textId="71F0F011" w:rsidR="008D1215" w:rsidRPr="00703059" w:rsidRDefault="008D1215" w:rsidP="00630D5C">
      <w:pPr>
        <w:pStyle w:val="Heading3"/>
      </w:pPr>
      <w:bookmarkStart w:id="24" w:name="_Toc9112689"/>
      <w:bookmarkStart w:id="25" w:name="_Toc10812313"/>
      <w:r w:rsidRPr="00703059">
        <w:t>What have we achieved?</w:t>
      </w:r>
      <w:bookmarkEnd w:id="24"/>
      <w:bookmarkEnd w:id="25"/>
    </w:p>
    <w:p w14:paraId="22FD545D" w14:textId="3F1F8F82" w:rsidR="00400F8A" w:rsidRPr="00703059" w:rsidRDefault="00400F8A" w:rsidP="00630D5C">
      <w:r w:rsidRPr="00045EEC">
        <w:t>Australia has improved awareness and understanding of antimicrobial resis</w:t>
      </w:r>
      <w:r w:rsidRPr="00703059">
        <w:t xml:space="preserve">tance across sectors through a variety of activities, some of which have </w:t>
      </w:r>
      <w:r w:rsidR="00F54D66" w:rsidRPr="00703059">
        <w:t xml:space="preserve">already </w:t>
      </w:r>
      <w:r w:rsidRPr="00703059">
        <w:t xml:space="preserve">resulted in measurable improvements. </w:t>
      </w:r>
      <w:r w:rsidR="007D1B2F" w:rsidRPr="00703059">
        <w:t>For example:</w:t>
      </w:r>
      <w:r w:rsidR="00630D5C" w:rsidRPr="00630D5C">
        <w:rPr>
          <w:bCs/>
          <w:noProof/>
        </w:rPr>
        <w:t xml:space="preserve"> </w:t>
      </w:r>
    </w:p>
    <w:p w14:paraId="721E2CF0" w14:textId="72A8F5B7" w:rsidR="00F54D66" w:rsidRPr="000A181F" w:rsidRDefault="72692AA5" w:rsidP="00B7594A">
      <w:pPr>
        <w:pStyle w:val="ListParagraph"/>
        <w:numPr>
          <w:ilvl w:val="0"/>
          <w:numId w:val="6"/>
        </w:numPr>
        <w:spacing w:after="120" w:line="240" w:lineRule="auto"/>
        <w:ind w:left="426" w:hanging="426"/>
        <w:contextualSpacing w:val="0"/>
        <w:rPr>
          <w:rFonts w:cstheme="minorHAnsi"/>
        </w:rPr>
      </w:pPr>
      <w:bookmarkStart w:id="26" w:name="_Toc9112691"/>
      <w:r w:rsidRPr="00703059">
        <w:rPr>
          <w:rFonts w:cstheme="minorHAnsi"/>
        </w:rPr>
        <w:lastRenderedPageBreak/>
        <w:t>The Australian Government has established a One Health AMR website as a central repository for trusted information and resources related to antibiotic use and AMR.</w:t>
      </w:r>
      <w:bookmarkStart w:id="27" w:name="_Toc9112692"/>
      <w:bookmarkEnd w:id="26"/>
    </w:p>
    <w:p w14:paraId="4DC53933" w14:textId="7473E99A" w:rsidR="00945EDF" w:rsidRDefault="72692AA5" w:rsidP="00B7594A">
      <w:pPr>
        <w:pStyle w:val="ListParagraph"/>
        <w:numPr>
          <w:ilvl w:val="0"/>
          <w:numId w:val="6"/>
        </w:numPr>
        <w:spacing w:after="120" w:line="240" w:lineRule="auto"/>
        <w:ind w:left="426" w:hanging="426"/>
        <w:contextualSpacing w:val="0"/>
        <w:rPr>
          <w:rFonts w:cstheme="minorHAnsi"/>
        </w:rPr>
      </w:pPr>
      <w:r w:rsidRPr="001C6B26">
        <w:rPr>
          <w:rFonts w:cstheme="minorHAnsi"/>
        </w:rPr>
        <w:t xml:space="preserve">Across sectors, the profile of AMR has been increased through opportunities for media campaigns and advocacy, such as Antibiotic Awareness Week (AAW) and using planned events such as the agricultural field days to disseminate information. </w:t>
      </w:r>
    </w:p>
    <w:p w14:paraId="23D5C905" w14:textId="35EE8A49" w:rsidR="00E82F4E" w:rsidRPr="00ED0067" w:rsidRDefault="00276183" w:rsidP="00B7594A">
      <w:pPr>
        <w:pStyle w:val="ListParagraph"/>
        <w:numPr>
          <w:ilvl w:val="0"/>
          <w:numId w:val="6"/>
        </w:numPr>
        <w:spacing w:after="120" w:line="240" w:lineRule="auto"/>
        <w:ind w:left="426" w:hanging="426"/>
        <w:contextualSpacing w:val="0"/>
        <w:rPr>
          <w:rFonts w:cstheme="minorHAnsi"/>
        </w:rPr>
      </w:pPr>
      <w:r>
        <w:rPr>
          <w:rFonts w:cstheme="minorHAnsi"/>
        </w:rPr>
        <w:t>The Australian</w:t>
      </w:r>
      <w:r w:rsidR="00E82F4E">
        <w:rPr>
          <w:rFonts w:cstheme="minorHAnsi"/>
        </w:rPr>
        <w:t xml:space="preserve"> Chief Veterinary Officer (CVO) (and current President of the World Organisation for Animal Health (OIE) World Assembly) opened the inaugural Australian Veterinary Antimicrobial Stewardship Conference 2018, and promoted simple actions to take to reduce the threat of AMR through a jointly released communique by the Australian Government Chief Medical Officer (CMO)</w:t>
      </w:r>
      <w:r w:rsidR="0087581A">
        <w:rPr>
          <w:rFonts w:cstheme="minorHAnsi"/>
        </w:rPr>
        <w:t xml:space="preserve"> and the Australian CVO.</w:t>
      </w:r>
    </w:p>
    <w:p w14:paraId="3D16248F" w14:textId="7F8F9F70" w:rsidR="008D1215" w:rsidRPr="00ED0067" w:rsidRDefault="72692AA5" w:rsidP="00B7594A">
      <w:pPr>
        <w:pStyle w:val="ListParagraph"/>
        <w:numPr>
          <w:ilvl w:val="0"/>
          <w:numId w:val="6"/>
        </w:numPr>
        <w:spacing w:after="120" w:line="240" w:lineRule="auto"/>
        <w:ind w:left="426" w:hanging="426"/>
        <w:contextualSpacing w:val="0"/>
        <w:rPr>
          <w:rFonts w:cstheme="minorHAnsi"/>
        </w:rPr>
      </w:pPr>
      <w:r w:rsidRPr="00ED0067">
        <w:rPr>
          <w:rFonts w:cstheme="minorHAnsi"/>
        </w:rPr>
        <w:t xml:space="preserve">Data from the Antimicrobial Use and Resistance in Australia (AURA) surveillance system is being used to inform public health actions such as education campaigns, National Safety and Quality Health Service (NSQHS) Standards and the systems and processes that support clinicians, hospitals, aged care homes and primary healthcare providers to prevent and control AMR in their settings. </w:t>
      </w:r>
      <w:bookmarkStart w:id="28" w:name="_Toc9112693"/>
      <w:bookmarkEnd w:id="27"/>
      <w:bookmarkEnd w:id="28"/>
    </w:p>
    <w:p w14:paraId="1D564FFE" w14:textId="048AFCB0" w:rsidR="007D1B2F" w:rsidRPr="00ED0067" w:rsidRDefault="72692AA5" w:rsidP="00B7594A">
      <w:pPr>
        <w:pStyle w:val="ListParagraph"/>
        <w:numPr>
          <w:ilvl w:val="0"/>
          <w:numId w:val="6"/>
        </w:numPr>
        <w:spacing w:after="120" w:line="240" w:lineRule="auto"/>
        <w:ind w:left="426" w:hanging="426"/>
        <w:contextualSpacing w:val="0"/>
        <w:rPr>
          <w:rFonts w:cstheme="minorHAnsi"/>
        </w:rPr>
      </w:pPr>
      <w:r w:rsidRPr="00ED0067">
        <w:rPr>
          <w:rFonts w:cstheme="minorHAnsi"/>
        </w:rPr>
        <w:t>The</w:t>
      </w:r>
      <w:r w:rsidR="00E82F4E">
        <w:rPr>
          <w:rFonts w:cstheme="minorHAnsi"/>
        </w:rPr>
        <w:t xml:space="preserve"> CMO</w:t>
      </w:r>
      <w:r w:rsidR="00CE3EF0">
        <w:rPr>
          <w:rFonts w:cstheme="minorHAnsi"/>
        </w:rPr>
        <w:t xml:space="preserve"> and</w:t>
      </w:r>
      <w:r w:rsidR="00E82F4E">
        <w:rPr>
          <w:rFonts w:cstheme="minorHAnsi"/>
        </w:rPr>
        <w:t xml:space="preserve"> CVO</w:t>
      </w:r>
      <w:r w:rsidRPr="00ED0067">
        <w:rPr>
          <w:rFonts w:cstheme="minorHAnsi"/>
        </w:rPr>
        <w:t xml:space="preserve"> have directly communicated with general practitioners and veterinarians to encourage the prudent use of antimicrobials and to integrate good stewardship into their practices. </w:t>
      </w:r>
      <w:bookmarkStart w:id="29" w:name="_Toc9112697"/>
    </w:p>
    <w:p w14:paraId="4ADDA78B" w14:textId="373221E1" w:rsidR="009502C1" w:rsidRDefault="72692AA5" w:rsidP="00B7594A">
      <w:pPr>
        <w:pStyle w:val="ListParagraph"/>
        <w:numPr>
          <w:ilvl w:val="0"/>
          <w:numId w:val="6"/>
        </w:numPr>
        <w:spacing w:after="120" w:line="240" w:lineRule="auto"/>
        <w:ind w:left="426" w:hanging="426"/>
        <w:contextualSpacing w:val="0"/>
        <w:rPr>
          <w:rFonts w:cstheme="minorHAnsi"/>
        </w:rPr>
      </w:pPr>
      <w:r w:rsidRPr="00ED0067">
        <w:rPr>
          <w:rFonts w:cstheme="minorHAnsi"/>
        </w:rPr>
        <w:t>A number of non-government organisations and researchers a</w:t>
      </w:r>
      <w:r w:rsidR="005A3200" w:rsidRPr="00ED0067">
        <w:rPr>
          <w:rFonts w:cstheme="minorHAnsi"/>
        </w:rPr>
        <w:t>re</w:t>
      </w:r>
      <w:r w:rsidRPr="00ED0067">
        <w:rPr>
          <w:rFonts w:cstheme="minorHAnsi"/>
        </w:rPr>
        <w:t xml:space="preserve"> undertaking activities to better understand the behavioural factors that influence antibiotic use, and conduct training activities t</w:t>
      </w:r>
      <w:r w:rsidRPr="00330A3C">
        <w:rPr>
          <w:rFonts w:cstheme="minorHAnsi"/>
        </w:rPr>
        <w:t xml:space="preserve">hat include education seminars, workshops and practice audits. </w:t>
      </w:r>
    </w:p>
    <w:p w14:paraId="194A7A33" w14:textId="1EBF0F97" w:rsidR="00630D5C" w:rsidRPr="00630D5C" w:rsidRDefault="00630D5C" w:rsidP="00630D5C">
      <w:pPr>
        <w:spacing w:after="120" w:line="240" w:lineRule="auto"/>
        <w:rPr>
          <w:rFonts w:cstheme="minorHAnsi"/>
        </w:rPr>
      </w:pPr>
      <w:r w:rsidRPr="00B7594A">
        <w:rPr>
          <w:bCs/>
          <w:noProof/>
        </w:rPr>
        <mc:AlternateContent>
          <mc:Choice Requires="wps">
            <w:drawing>
              <wp:inline distT="0" distB="0" distL="0" distR="0" wp14:anchorId="22C5E5FB" wp14:editId="5D882BAF">
                <wp:extent cx="5822950" cy="819150"/>
                <wp:effectExtent l="0" t="0" r="254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19150"/>
                        </a:xfrm>
                        <a:prstGeom prst="rect">
                          <a:avLst/>
                        </a:prstGeom>
                        <a:solidFill>
                          <a:srgbClr val="FFFFFF"/>
                        </a:solidFill>
                        <a:ln w="3175">
                          <a:solidFill>
                            <a:srgbClr val="000000"/>
                          </a:solidFill>
                          <a:miter lim="800000"/>
                          <a:headEnd/>
                          <a:tailEnd/>
                        </a:ln>
                      </wps:spPr>
                      <wps:txbx>
                        <w:txbxContent>
                          <w:p w14:paraId="32AFD65A" w14:textId="77777777" w:rsidR="0050772D" w:rsidRPr="00330A3C" w:rsidRDefault="0050772D" w:rsidP="00630D5C">
                            <w:r w:rsidRPr="00330A3C">
                              <w:t xml:space="preserve">In </w:t>
                            </w:r>
                            <w:r w:rsidRPr="0072488B">
                              <w:t>2017, The Australian Government Chief Medical Officer wrote to general practitioners in the top 30% of prescribers to seek their assistance in reducing unnecessary antibiotic prescribing. This resulted in a 12% reduction in antibiotic prescriptions filled or approximately 126,000 fewer scripts over an initial six month period.</w:t>
                            </w:r>
                          </w:p>
                        </w:txbxContent>
                      </wps:txbx>
                      <wps:bodyPr rot="0" vert="horz" wrap="square" lIns="91440" tIns="45720" rIns="91440" bIns="45720" anchor="t" anchorCtr="0">
                        <a:noAutofit/>
                      </wps:bodyPr>
                    </wps:wsp>
                  </a:graphicData>
                </a:graphic>
              </wp:inline>
            </w:drawing>
          </mc:Choice>
          <mc:Fallback>
            <w:pict>
              <v:shape w14:anchorId="22C5E5FB" id="_x0000_s1033" type="#_x0000_t202" style="width:458.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ENJA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" strokeweight=".25pt">
                <v:textbox>
                  <w:txbxContent>
                    <w:p w14:paraId="32AFD65A" w14:textId="77777777" w:rsidR="0050772D" w:rsidRPr="00330A3C" w:rsidRDefault="0050772D" w:rsidP="00630D5C">
                      <w:r w:rsidRPr="00330A3C">
                        <w:t xml:space="preserve">In </w:t>
                      </w:r>
                      <w:r w:rsidRPr="0072488B">
                        <w:t>2017, The Australian Government Chief Medical Officer wrote to general practitioners in the top 30% of prescribers to seek their assistance in reducing unnecessary antibiotic prescribing. This resulted in a 12% reduction in antibiotic prescriptions filled or approximately 126,000 fewer scripts over an initial six month period.</w:t>
                      </w:r>
                    </w:p>
                  </w:txbxContent>
                </v:textbox>
                <w10:anchorlock/>
              </v:shape>
            </w:pict>
          </mc:Fallback>
        </mc:AlternateContent>
      </w:r>
    </w:p>
    <w:p w14:paraId="14735F6A" w14:textId="77777777" w:rsidR="008D1215" w:rsidRPr="00330A3C" w:rsidRDefault="008D1215" w:rsidP="006D6E85">
      <w:pPr>
        <w:pStyle w:val="Heading3"/>
      </w:pPr>
      <w:bookmarkStart w:id="30" w:name="_Toc9112698"/>
      <w:bookmarkStart w:id="31" w:name="_Toc10812314"/>
      <w:bookmarkEnd w:id="29"/>
      <w:r w:rsidRPr="00330A3C">
        <w:t>What are our challenges?</w:t>
      </w:r>
      <w:bookmarkEnd w:id="30"/>
      <w:bookmarkEnd w:id="31"/>
    </w:p>
    <w:p w14:paraId="142DEB19" w14:textId="509C57E8" w:rsidR="00FF6882" w:rsidRDefault="00FF6882" w:rsidP="006D6E85">
      <w:bookmarkStart w:id="32" w:name="_Toc9112699"/>
      <w:r w:rsidRPr="00330A3C">
        <w:t>We must</w:t>
      </w:r>
      <w:r w:rsidR="008D1215" w:rsidRPr="00330A3C">
        <w:t xml:space="preserve"> </w:t>
      </w:r>
      <w:r w:rsidRPr="00330A3C">
        <w:t xml:space="preserve">maintain </w:t>
      </w:r>
      <w:r w:rsidR="008D1215" w:rsidRPr="00330A3C">
        <w:t xml:space="preserve">momentum </w:t>
      </w:r>
      <w:r w:rsidR="00206226" w:rsidRPr="00330A3C">
        <w:t>and continue to raise</w:t>
      </w:r>
      <w:r w:rsidR="008D1215" w:rsidRPr="00330A3C">
        <w:t xml:space="preserve"> awareness of AMR </w:t>
      </w:r>
      <w:r w:rsidR="00206226" w:rsidRPr="00330A3C">
        <w:t>across sectors</w:t>
      </w:r>
      <w:r w:rsidRPr="00330A3C">
        <w:t xml:space="preserve"> in a way that results in behavioural changes and concrete actions to reduce antibiotic misuse and the spread of resistant organisms. </w:t>
      </w:r>
    </w:p>
    <w:p w14:paraId="2F17918D" w14:textId="77777777" w:rsidR="00A34514" w:rsidRDefault="00A34514" w:rsidP="00A34514">
      <w:pPr>
        <w:spacing w:after="120" w:line="240" w:lineRule="auto"/>
        <w:rPr>
          <w:rFonts w:cstheme="minorHAnsi"/>
        </w:rPr>
      </w:pPr>
      <w:r>
        <w:rPr>
          <w:rFonts w:cstheme="minorHAnsi"/>
        </w:rPr>
        <w:t xml:space="preserve">The United Nations Interagency Co-ordination Group on AMR has recently highlighted the absence of a significant civil society movement as an area of future action. Australia, like other countries could benefit from an active civil society movement which may effect change in consumer behaviour and demands in both the human and animal sectors. How to engage and mobilise civil society is a significant challenge. </w:t>
      </w:r>
    </w:p>
    <w:p w14:paraId="73DCA093" w14:textId="3637AAE9" w:rsidR="001946AA" w:rsidRPr="00703059" w:rsidRDefault="001946AA" w:rsidP="006D6E85">
      <w:r w:rsidRPr="000A181F">
        <w:t xml:space="preserve">Understanding of </w:t>
      </w:r>
      <w:r>
        <w:t xml:space="preserve">the variety of </w:t>
      </w:r>
      <w:r w:rsidRPr="000A181F">
        <w:t xml:space="preserve">factors that influence prescribing and antibiotic use behaviours </w:t>
      </w:r>
      <w:r w:rsidR="00CE3EF0">
        <w:t xml:space="preserve">in both the human and animal sectors </w:t>
      </w:r>
      <w:r w:rsidRPr="000A181F">
        <w:t xml:space="preserve">remains challenging. More consideration of what drives decision making, </w:t>
      </w:r>
      <w:r w:rsidRPr="00330A3C">
        <w:t>particularly by consumers</w:t>
      </w:r>
      <w:r w:rsidRPr="00045EEC">
        <w:t>, such</w:t>
      </w:r>
      <w:r w:rsidRPr="00703059">
        <w:t xml:space="preserve"> as cultural</w:t>
      </w:r>
      <w:r w:rsidR="00CE3EF0">
        <w:t xml:space="preserve"> conventions and health beliefs</w:t>
      </w:r>
      <w:r w:rsidRPr="00703059">
        <w:t xml:space="preserve"> is required. </w:t>
      </w:r>
    </w:p>
    <w:p w14:paraId="6E357413" w14:textId="262B2FDE" w:rsidR="0087581A" w:rsidRDefault="0087581A" w:rsidP="006D6E85">
      <w:r>
        <w:t xml:space="preserve">We need to identify further opportunities to improve </w:t>
      </w:r>
      <w:r w:rsidR="005757FA">
        <w:t xml:space="preserve">AMR related </w:t>
      </w:r>
      <w:r>
        <w:t xml:space="preserve">education of animal health professionals and prescribers throughout their careers such as through analysis of course content offered by </w:t>
      </w:r>
      <w:r w:rsidR="005757FA">
        <w:t>t</w:t>
      </w:r>
      <w:r>
        <w:t>raining providers and continuing professional development programs.</w:t>
      </w:r>
    </w:p>
    <w:p w14:paraId="0C2FD929" w14:textId="49B2FF5C" w:rsidR="0087581A" w:rsidRPr="00330A3C" w:rsidRDefault="0087581A" w:rsidP="006D6E85">
      <w:r>
        <w:lastRenderedPageBreak/>
        <w:t xml:space="preserve">We must develop options to ensure pet owners, farmers and the general community have access to relevant reliable and targeted information about AMR, </w:t>
      </w:r>
      <w:r w:rsidR="005757FA">
        <w:t>including risks and their roles and responsibilities.</w:t>
      </w:r>
    </w:p>
    <w:p w14:paraId="038A3BC3" w14:textId="2CF85DF6" w:rsidR="00FF6882" w:rsidRDefault="00E35E6B" w:rsidP="006D6E85">
      <w:bookmarkStart w:id="33" w:name="_Toc9112702"/>
      <w:r w:rsidRPr="00703059">
        <w:t>We must encourage g</w:t>
      </w:r>
      <w:r w:rsidR="00FF6882" w:rsidRPr="00703059">
        <w:t xml:space="preserve">reater collaboration across professional colleges and peak groups </w:t>
      </w:r>
      <w:r w:rsidRPr="00703059">
        <w:t>to</w:t>
      </w:r>
      <w:r w:rsidR="00330A3C">
        <w:t xml:space="preserve"> </w:t>
      </w:r>
      <w:r w:rsidR="00FF6882" w:rsidRPr="000A181F">
        <w:t>assist in promoting consistent AMR public health messages</w:t>
      </w:r>
      <w:r w:rsidR="00DD4D51" w:rsidRPr="000A181F">
        <w:t>.</w:t>
      </w:r>
      <w:bookmarkEnd w:id="33"/>
    </w:p>
    <w:p w14:paraId="042D86DB" w14:textId="77777777" w:rsidR="008D1215" w:rsidRPr="00045EEC" w:rsidRDefault="008D1215" w:rsidP="006D6E85">
      <w:pPr>
        <w:pStyle w:val="Heading3"/>
      </w:pPr>
      <w:bookmarkStart w:id="34" w:name="_Toc9112703"/>
      <w:bookmarkStart w:id="35" w:name="_Toc10812315"/>
      <w:bookmarkEnd w:id="32"/>
      <w:r w:rsidRPr="00045EEC">
        <w:t>Where to next?</w:t>
      </w:r>
      <w:bookmarkEnd w:id="34"/>
      <w:bookmarkEnd w:id="35"/>
    </w:p>
    <w:p w14:paraId="378A3AF9" w14:textId="3C80F485" w:rsidR="00CE3EF0" w:rsidRPr="00CA6184" w:rsidRDefault="00992786" w:rsidP="006D6E85">
      <w:bookmarkStart w:id="36" w:name="_Toc9112706"/>
      <w:r w:rsidRPr="00CA6184">
        <w:t xml:space="preserve">The next strategy (beyond 2020) will build on the </w:t>
      </w:r>
      <w:r w:rsidR="00CE3EF0" w:rsidRPr="00CA6184">
        <w:t xml:space="preserve">achievements of the </w:t>
      </w:r>
      <w:r w:rsidR="00CE3EF0" w:rsidRPr="00CA6184">
        <w:rPr>
          <w:i/>
        </w:rPr>
        <w:t>First Strategy</w:t>
      </w:r>
      <w:r w:rsidRPr="00CA6184">
        <w:t xml:space="preserve"> with enhanced engagement between the Commonwealth and </w:t>
      </w:r>
      <w:r w:rsidR="00CE3EF0" w:rsidRPr="00CA6184">
        <w:t>State and Territory G</w:t>
      </w:r>
      <w:r w:rsidRPr="00CA6184">
        <w:t xml:space="preserve">overnments and </w:t>
      </w:r>
      <w:r w:rsidR="00CE3EF0" w:rsidRPr="00CA6184">
        <w:t>relevant sectors</w:t>
      </w:r>
      <w:r w:rsidRPr="00CA6184">
        <w:t xml:space="preserve">. </w:t>
      </w:r>
    </w:p>
    <w:p w14:paraId="2067F9D6" w14:textId="77777777" w:rsidR="005E6759" w:rsidRPr="00CA6184" w:rsidRDefault="005E6759" w:rsidP="006D6E85">
      <w:r w:rsidRPr="00CA6184">
        <w:t>It is important to capitalise on the opportunities presented by the establishment of the One Health AMR website to better reach target audiences and explore further channels and links for communicating key AMR messages to support regular, consistent and effective information flows.</w:t>
      </w:r>
    </w:p>
    <w:p w14:paraId="201E663F" w14:textId="241787CA" w:rsidR="005757FA" w:rsidRPr="00CA6184" w:rsidRDefault="005E6759" w:rsidP="006D6E85">
      <w:r w:rsidRPr="00CA6184">
        <w:t>A</w:t>
      </w:r>
      <w:r w:rsidR="00992786" w:rsidRPr="00CA6184">
        <w:t xml:space="preserve"> communication strategy </w:t>
      </w:r>
      <w:r w:rsidRPr="00CA6184">
        <w:t xml:space="preserve">will be developed </w:t>
      </w:r>
      <w:r w:rsidR="00992786" w:rsidRPr="00CA6184">
        <w:t xml:space="preserve">with simple and consistent </w:t>
      </w:r>
      <w:r w:rsidR="00D03ABC">
        <w:t xml:space="preserve">messages and </w:t>
      </w:r>
      <w:r w:rsidR="00CE3EF0" w:rsidRPr="00CA6184">
        <w:t>identifies t</w:t>
      </w:r>
      <w:r w:rsidR="005757FA" w:rsidRPr="00CA6184">
        <w:t xml:space="preserve">arget </w:t>
      </w:r>
      <w:r w:rsidR="00133175" w:rsidRPr="00CA6184">
        <w:t>au</w:t>
      </w:r>
      <w:r w:rsidR="00320245" w:rsidRPr="00CA6184">
        <w:t xml:space="preserve">diences across human and animal health including </w:t>
      </w:r>
      <w:r w:rsidR="005757FA" w:rsidRPr="00CA6184">
        <w:t xml:space="preserve">the companion and performance animal sectors, livestock sector, </w:t>
      </w:r>
      <w:r w:rsidR="00133175" w:rsidRPr="00CA6184">
        <w:t>aquatic and marine animal sectors</w:t>
      </w:r>
      <w:r w:rsidR="00320245" w:rsidRPr="00CA6184">
        <w:t>, consumers and the general public.</w:t>
      </w:r>
      <w:r w:rsidRPr="00CA6184">
        <w:t xml:space="preserve"> This strategy will focus on increasing awareness of AMR and the importance of appropriate antibiotic use across sectors.</w:t>
      </w:r>
      <w:r w:rsidR="006F1D84">
        <w:t xml:space="preserve"> </w:t>
      </w:r>
      <w:r w:rsidR="006F1D84">
        <w:rPr>
          <w:rFonts w:cstheme="minorHAnsi"/>
        </w:rPr>
        <w:t>A specific civil society engag</w:t>
      </w:r>
      <w:bookmarkStart w:id="37" w:name="_GoBack"/>
      <w:bookmarkEnd w:id="37"/>
      <w:r w:rsidR="006F1D84">
        <w:rPr>
          <w:rFonts w:cstheme="minorHAnsi"/>
        </w:rPr>
        <w:t>ement strategy will be required.</w:t>
      </w:r>
    </w:p>
    <w:p w14:paraId="7AFCD8FF" w14:textId="7CB541F0" w:rsidR="00AE4DDD" w:rsidRPr="00CA6184" w:rsidRDefault="00992786" w:rsidP="006D6E85">
      <w:bookmarkStart w:id="38" w:name="_Toc9112707"/>
      <w:bookmarkEnd w:id="36"/>
      <w:r w:rsidRPr="00CA6184">
        <w:t>We should continue to i</w:t>
      </w:r>
      <w:r w:rsidR="00D03ABC">
        <w:t xml:space="preserve">mprove engagement with </w:t>
      </w:r>
      <w:r w:rsidR="005E6759" w:rsidRPr="00CA6184">
        <w:t>health professional</w:t>
      </w:r>
      <w:r w:rsidR="00D03ABC">
        <w:t>s</w:t>
      </w:r>
      <w:r w:rsidR="005E6759" w:rsidRPr="00CA6184">
        <w:t xml:space="preserve"> in the community setting a</w:t>
      </w:r>
      <w:r w:rsidR="008D1215" w:rsidRPr="00CA6184">
        <w:t>nd explore the need for tailored resources and tools that might better support their role in areas such as antimicrobial stewardship, infection prevention and control, and patient education.</w:t>
      </w:r>
      <w:bookmarkStart w:id="39" w:name="_Toc9112708"/>
      <w:bookmarkEnd w:id="38"/>
    </w:p>
    <w:p w14:paraId="7AA0C4AA" w14:textId="6ED33D12" w:rsidR="003649FE" w:rsidRPr="00CA6184" w:rsidRDefault="005E6759" w:rsidP="006D6E85">
      <w:r w:rsidRPr="00CA6184">
        <w:t xml:space="preserve">We should develop and implement programs to encourage ongoing animal health stakeholder engagement and feedback. </w:t>
      </w:r>
      <w:bookmarkEnd w:id="39"/>
    </w:p>
    <w:p w14:paraId="718E456C" w14:textId="77777777" w:rsidR="00EC45B1" w:rsidRDefault="00EC45B1" w:rsidP="0053652E">
      <w:pPr>
        <w:spacing w:after="120" w:line="240" w:lineRule="auto"/>
        <w:rPr>
          <w:rFonts w:cstheme="minorHAnsi"/>
        </w:rPr>
      </w:pPr>
    </w:p>
    <w:p w14:paraId="04A59636" w14:textId="60DDA913" w:rsidR="003A16AB" w:rsidRPr="006A6790" w:rsidRDefault="72692AA5" w:rsidP="006A6790">
      <w:pPr>
        <w:pStyle w:val="Heading2"/>
      </w:pPr>
      <w:bookmarkStart w:id="40" w:name="_Toc10812316"/>
      <w:r w:rsidRPr="006A6790">
        <w:t xml:space="preserve">Objective Two: </w:t>
      </w:r>
      <w:r w:rsidR="00D64110" w:rsidRPr="006A6790">
        <w:t>Implement effective antimicrobial stewardship practices across human health and animal care settings to ensure the appropriate and judicious prescribing, dispensing and administering of antimicrobials</w:t>
      </w:r>
      <w:bookmarkEnd w:id="40"/>
    </w:p>
    <w:p w14:paraId="3DF60136" w14:textId="073F4A75" w:rsidR="00F12E76" w:rsidRDefault="00F12E76" w:rsidP="0053652E">
      <w:pPr>
        <w:spacing w:after="120" w:line="240" w:lineRule="auto"/>
      </w:pPr>
      <w:r w:rsidRPr="00045EEC">
        <w:rPr>
          <w:rFonts w:cstheme="minorHAnsi"/>
          <w:noProof/>
        </w:rPr>
        <mc:AlternateContent>
          <mc:Choice Requires="wps">
            <w:drawing>
              <wp:inline distT="0" distB="0" distL="0" distR="0" wp14:anchorId="570E4CCA" wp14:editId="4AE95F44">
                <wp:extent cx="5731510" cy="2228850"/>
                <wp:effectExtent l="0" t="0" r="2159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28850"/>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0401D933" w14:textId="77777777" w:rsidR="0050772D" w:rsidRPr="00BD4B8B" w:rsidRDefault="0050772D" w:rsidP="00F12E76">
                            <w:pPr>
                              <w:spacing w:after="120" w:line="240" w:lineRule="auto"/>
                              <w:rPr>
                                <w:b/>
                              </w:rPr>
                            </w:pPr>
                            <w:r w:rsidRPr="00BD4B8B">
                              <w:rPr>
                                <w:b/>
                              </w:rPr>
                              <w:t xml:space="preserve">Priority Areas for Action </w:t>
                            </w:r>
                          </w:p>
                          <w:p w14:paraId="782E89AA" w14:textId="272725D9" w:rsidR="0050772D" w:rsidRDefault="0050772D" w:rsidP="00F12E76">
                            <w:pPr>
                              <w:spacing w:after="120" w:line="240" w:lineRule="auto"/>
                            </w:pPr>
                            <w:r w:rsidRPr="00D64110">
                              <w:t>2.1</w:t>
                            </w:r>
                            <w:r>
                              <w:t xml:space="preserve">: </w:t>
                            </w:r>
                            <w:r w:rsidRPr="00D64110">
                              <w:t>Ensure that tailored, evidence-based antibiotic prescribing guidelines are available for all sectors</w:t>
                            </w:r>
                            <w:r>
                              <w:t>.</w:t>
                            </w:r>
                            <w:r w:rsidRPr="00D64110">
                              <w:t xml:space="preserve"> </w:t>
                            </w:r>
                          </w:p>
                          <w:p w14:paraId="753CEAF0" w14:textId="59D677DA" w:rsidR="0050772D" w:rsidRDefault="0050772D" w:rsidP="00F12E76">
                            <w:pPr>
                              <w:spacing w:after="120" w:line="240" w:lineRule="auto"/>
                            </w:pPr>
                            <w:r w:rsidRPr="00D64110">
                              <w:t>2.2</w:t>
                            </w:r>
                            <w:r>
                              <w:t xml:space="preserve">: </w:t>
                            </w:r>
                            <w:r w:rsidRPr="00D64110">
                              <w:t>Ensure the availability of evidence-based, best-practice and nationally consistent approaches to AMS across human health and animal care settings</w:t>
                            </w:r>
                            <w:r>
                              <w:t>.</w:t>
                            </w:r>
                            <w:r w:rsidRPr="00D64110">
                              <w:t xml:space="preserve"> </w:t>
                            </w:r>
                          </w:p>
                          <w:p w14:paraId="3F97FCBA" w14:textId="149C7DD7" w:rsidR="0050772D" w:rsidRPr="00D64110" w:rsidRDefault="0050772D" w:rsidP="00D64110">
                            <w:pPr>
                              <w:spacing w:after="120" w:line="240" w:lineRule="auto"/>
                            </w:pPr>
                            <w:r>
                              <w:t>2</w:t>
                            </w:r>
                            <w:r w:rsidRPr="00BD4B8B">
                              <w:t xml:space="preserve">.3: </w:t>
                            </w:r>
                            <w:r w:rsidRPr="00D64110">
                              <w:t>Develop tailored, evidence-based resources to support the implementation of AMS programmes</w:t>
                            </w:r>
                            <w:r>
                              <w:t>.</w:t>
                            </w:r>
                          </w:p>
                          <w:p w14:paraId="44C738E5" w14:textId="4EABC11F" w:rsidR="0050772D" w:rsidRDefault="0050772D" w:rsidP="00D64110">
                            <w:pPr>
                              <w:spacing w:after="120" w:line="240" w:lineRule="auto"/>
                            </w:pPr>
                            <w:r>
                              <w:t>2</w:t>
                            </w:r>
                            <w:r w:rsidRPr="00BD4B8B">
                              <w:t xml:space="preserve">.4: </w:t>
                            </w:r>
                            <w:r w:rsidRPr="00D64110">
                              <w:t>Review existing accreditation and quality assurance programmes to ensure they appropriately support and encourage compliance with best practice AMS approaches</w:t>
                            </w:r>
                            <w:r>
                              <w:t>.</w:t>
                            </w:r>
                          </w:p>
                          <w:p w14:paraId="2E1C92E3" w14:textId="1587F332" w:rsidR="0050772D" w:rsidRPr="00D64110" w:rsidRDefault="0050772D" w:rsidP="00D64110">
                            <w:pPr>
                              <w:spacing w:after="120" w:line="240" w:lineRule="auto"/>
                            </w:pPr>
                            <w:r>
                              <w:t>2</w:t>
                            </w:r>
                            <w:r w:rsidRPr="00BD4B8B">
                              <w:t>.</w:t>
                            </w:r>
                            <w:r>
                              <w:t>5</w:t>
                            </w:r>
                            <w:r w:rsidRPr="00BD4B8B">
                              <w:t xml:space="preserve">: </w:t>
                            </w:r>
                            <w:r w:rsidRPr="00D64110">
                              <w:t>Strengthen existing measures to better support appropriate and judicious use</w:t>
                            </w:r>
                            <w:r>
                              <w:t>.</w:t>
                            </w:r>
                          </w:p>
                        </w:txbxContent>
                      </wps:txbx>
                      <wps:bodyPr rot="0" vert="horz" wrap="square" lIns="91440" tIns="45720" rIns="91440" bIns="45720" anchor="t" anchorCtr="0">
                        <a:noAutofit/>
                      </wps:bodyPr>
                    </wps:wsp>
                  </a:graphicData>
                </a:graphic>
              </wp:inline>
            </w:drawing>
          </mc:Choice>
          <mc:Fallback>
            <w:pict>
              <v:shape w14:anchorId="570E4CCA" id="_x0000_s1034" type="#_x0000_t202" style="width:451.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" fillcolor="white [3201]" strokecolor="#c45911 [2405]" strokeweight=".25pt">
                <v:textbox>
                  <w:txbxContent>
                    <w:p w14:paraId="0401D933" w14:textId="77777777" w:rsidR="0050772D" w:rsidRPr="00BD4B8B" w:rsidRDefault="0050772D" w:rsidP="00F12E76">
                      <w:pPr>
                        <w:spacing w:after="120" w:line="240" w:lineRule="auto"/>
                        <w:rPr>
                          <w:b/>
                        </w:rPr>
                      </w:pPr>
                      <w:r w:rsidRPr="00BD4B8B">
                        <w:rPr>
                          <w:b/>
                        </w:rPr>
                        <w:t xml:space="preserve">Priority Areas for Action </w:t>
                      </w:r>
                    </w:p>
                    <w:p w14:paraId="782E89AA" w14:textId="272725D9" w:rsidR="0050772D" w:rsidRDefault="0050772D" w:rsidP="00F12E76">
                      <w:pPr>
                        <w:spacing w:after="120" w:line="240" w:lineRule="auto"/>
                      </w:pPr>
                      <w:r w:rsidRPr="00D64110">
                        <w:t>2.1</w:t>
                      </w:r>
                      <w:r>
                        <w:t xml:space="preserve">: </w:t>
                      </w:r>
                      <w:r w:rsidRPr="00D64110">
                        <w:t>Ensure that tailored, evidence-based antibiotic prescribing guidelines are available for all sectors</w:t>
                      </w:r>
                      <w:r>
                        <w:t>.</w:t>
                      </w:r>
                      <w:r w:rsidRPr="00D64110">
                        <w:t xml:space="preserve"> </w:t>
                      </w:r>
                    </w:p>
                    <w:p w14:paraId="753CEAF0" w14:textId="59D677DA" w:rsidR="0050772D" w:rsidRDefault="0050772D" w:rsidP="00F12E76">
                      <w:pPr>
                        <w:spacing w:after="120" w:line="240" w:lineRule="auto"/>
                      </w:pPr>
                      <w:r w:rsidRPr="00D64110">
                        <w:t>2.2</w:t>
                      </w:r>
                      <w:r>
                        <w:t xml:space="preserve">: </w:t>
                      </w:r>
                      <w:r w:rsidRPr="00D64110">
                        <w:t>Ensure the availability of evidence-based, best-practice and nationally consistent approaches to AMS across human health and animal care settings</w:t>
                      </w:r>
                      <w:r>
                        <w:t>.</w:t>
                      </w:r>
                      <w:r w:rsidRPr="00D64110">
                        <w:t xml:space="preserve"> </w:t>
                      </w:r>
                    </w:p>
                    <w:p w14:paraId="3F97FCBA" w14:textId="149C7DD7" w:rsidR="0050772D" w:rsidRPr="00D64110" w:rsidRDefault="0050772D" w:rsidP="00D64110">
                      <w:pPr>
                        <w:spacing w:after="120" w:line="240" w:lineRule="auto"/>
                      </w:pPr>
                      <w:r>
                        <w:t>2</w:t>
                      </w:r>
                      <w:r w:rsidRPr="00BD4B8B">
                        <w:t xml:space="preserve">.3: </w:t>
                      </w:r>
                      <w:r w:rsidRPr="00D64110">
                        <w:t>Develop tailored, evidence-based resources to support the implementation of AMS programmes</w:t>
                      </w:r>
                      <w:r>
                        <w:t>.</w:t>
                      </w:r>
                    </w:p>
                    <w:p w14:paraId="44C738E5" w14:textId="4EABC11F" w:rsidR="0050772D" w:rsidRDefault="0050772D" w:rsidP="00D64110">
                      <w:pPr>
                        <w:spacing w:after="120" w:line="240" w:lineRule="auto"/>
                      </w:pPr>
                      <w:r>
                        <w:t>2</w:t>
                      </w:r>
                      <w:r w:rsidRPr="00BD4B8B">
                        <w:t xml:space="preserve">.4: </w:t>
                      </w:r>
                      <w:r w:rsidRPr="00D64110">
                        <w:t>Review existing accreditation and quality assurance programmes to ensure they appropriately support and encourage compliance with best practice AMS approaches</w:t>
                      </w:r>
                      <w:r>
                        <w:t>.</w:t>
                      </w:r>
                    </w:p>
                    <w:p w14:paraId="2E1C92E3" w14:textId="1587F332" w:rsidR="0050772D" w:rsidRPr="00D64110" w:rsidRDefault="0050772D" w:rsidP="00D64110">
                      <w:pPr>
                        <w:spacing w:after="120" w:line="240" w:lineRule="auto"/>
                      </w:pPr>
                      <w:r>
                        <w:t>2</w:t>
                      </w:r>
                      <w:r w:rsidRPr="00BD4B8B">
                        <w:t>.</w:t>
                      </w:r>
                      <w:r>
                        <w:t>5</w:t>
                      </w:r>
                      <w:r w:rsidRPr="00BD4B8B">
                        <w:t xml:space="preserve">: </w:t>
                      </w:r>
                      <w:r w:rsidRPr="00D64110">
                        <w:t>Strengthen existing measures to better support appropriate and judicious use</w:t>
                      </w:r>
                      <w:r>
                        <w:t>.</w:t>
                      </w:r>
                    </w:p>
                  </w:txbxContent>
                </v:textbox>
                <w10:anchorlock/>
              </v:shape>
            </w:pict>
          </mc:Fallback>
        </mc:AlternateContent>
      </w:r>
    </w:p>
    <w:p w14:paraId="58A13D27" w14:textId="1E505192" w:rsidR="00B40096" w:rsidRPr="0071176E" w:rsidRDefault="72692AA5" w:rsidP="0071176E">
      <w:r w:rsidRPr="00703059">
        <w:rPr>
          <w:lang w:val="en-US"/>
        </w:rPr>
        <w:lastRenderedPageBreak/>
        <w:t>While resistance to antimicrobials develops naturally in microorganisms, antimicrobial use accelerates this process and</w:t>
      </w:r>
      <w:r w:rsidR="00D46195">
        <w:rPr>
          <w:lang w:val="en-US"/>
        </w:rPr>
        <w:t xml:space="preserve"> the inappropriate use of antibiotics</w:t>
      </w:r>
      <w:r w:rsidRPr="00703059">
        <w:rPr>
          <w:lang w:val="en-US"/>
        </w:rPr>
        <w:t xml:space="preserve"> is one of the main drivers for antimicrobial resistance. </w:t>
      </w:r>
      <w:r w:rsidR="006546F0">
        <w:rPr>
          <w:lang w:val="en-US"/>
        </w:rPr>
        <w:tab/>
      </w:r>
    </w:p>
    <w:p w14:paraId="4B66FBB0" w14:textId="77777777" w:rsidR="00164C1D" w:rsidRDefault="00B40096" w:rsidP="0053652E">
      <w:pPr>
        <w:spacing w:after="120" w:line="240" w:lineRule="auto"/>
        <w:rPr>
          <w:rFonts w:cstheme="minorHAnsi"/>
          <w:lang w:val="en-US"/>
        </w:rPr>
      </w:pPr>
      <w:r w:rsidRPr="00B40096">
        <w:rPr>
          <w:rFonts w:cstheme="minorHAnsi"/>
          <w:noProof/>
        </w:rPr>
        <mc:AlternateContent>
          <mc:Choice Requires="wps">
            <w:drawing>
              <wp:inline distT="0" distB="0" distL="0" distR="0" wp14:anchorId="4EEBA1CA" wp14:editId="5EF598B2">
                <wp:extent cx="5731510" cy="749300"/>
                <wp:effectExtent l="0" t="0" r="2159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9300"/>
                        </a:xfrm>
                        <a:prstGeom prst="rect">
                          <a:avLst/>
                        </a:prstGeom>
                        <a:solidFill>
                          <a:srgbClr val="FFFFFF"/>
                        </a:solidFill>
                        <a:ln w="3175">
                          <a:solidFill>
                            <a:srgbClr val="000000"/>
                          </a:solidFill>
                          <a:miter lim="800000"/>
                          <a:headEnd/>
                          <a:tailEnd/>
                        </a:ln>
                      </wps:spPr>
                      <wps:txbx>
                        <w:txbxContent>
                          <w:p w14:paraId="1EC48955" w14:textId="3FE6FB7B" w:rsidR="0050772D" w:rsidRPr="008D089A" w:rsidRDefault="0050772D">
                            <w:r w:rsidRPr="008D089A">
                              <w:t xml:space="preserve">Australia remains in the top 25% of countries with the highest community antibiotic use, compared with European countries and Canada. </w:t>
                            </w:r>
                          </w:p>
                          <w:p w14:paraId="1B4A6671" w14:textId="6AD1CA7B" w:rsidR="0050772D" w:rsidRPr="00B40096" w:rsidRDefault="0050772D">
                            <w:pPr>
                              <w:rPr>
                                <w:i/>
                                <w:sz w:val="18"/>
                                <w:szCs w:val="18"/>
                              </w:rPr>
                            </w:pPr>
                            <w:r w:rsidRPr="008D089A">
                              <w:rPr>
                                <w:i/>
                                <w:sz w:val="18"/>
                                <w:szCs w:val="18"/>
                              </w:rPr>
                              <w:t>AURA 2019 Third Australian report on antimicrobial use and resistance in human health.</w:t>
                            </w:r>
                          </w:p>
                        </w:txbxContent>
                      </wps:txbx>
                      <wps:bodyPr rot="0" vert="horz" wrap="square" lIns="91440" tIns="45720" rIns="91440" bIns="45720" anchor="t" anchorCtr="0">
                        <a:noAutofit/>
                      </wps:bodyPr>
                    </wps:wsp>
                  </a:graphicData>
                </a:graphic>
              </wp:inline>
            </w:drawing>
          </mc:Choice>
          <mc:Fallback>
            <w:pict>
              <v:shape w14:anchorId="4EEBA1CA" id="_x0000_s1035" type="#_x0000_t202" style="width:451.3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" strokeweight=".25pt">
                <v:textbox>
                  <w:txbxContent>
                    <w:p w14:paraId="1EC48955" w14:textId="3FE6FB7B" w:rsidR="0050772D" w:rsidRPr="008D089A" w:rsidRDefault="0050772D">
                      <w:r w:rsidRPr="008D089A">
                        <w:t xml:space="preserve">Australia remains in the top 25% of countries with the highest community antibiotic use, compared with European countries and Canada. </w:t>
                      </w:r>
                    </w:p>
                    <w:p w14:paraId="1B4A6671" w14:textId="6AD1CA7B" w:rsidR="0050772D" w:rsidRPr="00B40096" w:rsidRDefault="0050772D">
                      <w:pPr>
                        <w:rPr>
                          <w:i/>
                          <w:sz w:val="18"/>
                          <w:szCs w:val="18"/>
                        </w:rPr>
                      </w:pPr>
                      <w:r w:rsidRPr="008D089A">
                        <w:rPr>
                          <w:i/>
                          <w:sz w:val="18"/>
                          <w:szCs w:val="18"/>
                        </w:rPr>
                        <w:t>AURA 2019 Third Australian report on antimicrobial use and resistance in human health.</w:t>
                      </w:r>
                    </w:p>
                  </w:txbxContent>
                </v:textbox>
                <w10:anchorlock/>
              </v:shape>
            </w:pict>
          </mc:Fallback>
        </mc:AlternateContent>
      </w:r>
    </w:p>
    <w:p w14:paraId="493950FE" w14:textId="67127D8A" w:rsidR="72692AA5" w:rsidRDefault="72692AA5" w:rsidP="0053652E">
      <w:pPr>
        <w:spacing w:after="120" w:line="240" w:lineRule="auto"/>
        <w:rPr>
          <w:rFonts w:cstheme="minorHAnsi"/>
          <w:lang w:val="en-US"/>
        </w:rPr>
      </w:pPr>
      <w:r w:rsidRPr="00703059">
        <w:rPr>
          <w:rFonts w:cstheme="minorHAnsi"/>
          <w:lang w:val="en-US"/>
        </w:rPr>
        <w:t>In Australia, we remain high users of antibiotics, particularly in the human health community setting. We are also seeing increasing levels of AMR</w:t>
      </w:r>
      <w:r w:rsidR="0088294C">
        <w:rPr>
          <w:rFonts w:cstheme="minorHAnsi"/>
          <w:lang w:val="en-US"/>
        </w:rPr>
        <w:t xml:space="preserve"> in some organisms</w:t>
      </w:r>
      <w:r w:rsidR="00D46195">
        <w:rPr>
          <w:rFonts w:cstheme="minorHAnsi"/>
          <w:lang w:val="en-US"/>
        </w:rPr>
        <w:t>;</w:t>
      </w:r>
      <w:r w:rsidR="00624269" w:rsidRPr="00703059">
        <w:rPr>
          <w:rFonts w:cstheme="minorHAnsi"/>
          <w:lang w:val="en-US"/>
        </w:rPr>
        <w:t xml:space="preserve"> </w:t>
      </w:r>
      <w:r w:rsidR="00D46195" w:rsidRPr="00703059">
        <w:rPr>
          <w:rFonts w:cstheme="minorHAnsi"/>
          <w:lang w:val="en-US"/>
        </w:rPr>
        <w:t>therefore</w:t>
      </w:r>
      <w:r w:rsidR="00D46195">
        <w:rPr>
          <w:rFonts w:cstheme="minorHAnsi"/>
          <w:lang w:val="en-US"/>
        </w:rPr>
        <w:t>,</w:t>
      </w:r>
      <w:r w:rsidR="00D46195" w:rsidRPr="000A181F">
        <w:rPr>
          <w:rFonts w:cstheme="minorHAnsi"/>
        </w:rPr>
        <w:t xml:space="preserve"> antimicrobial</w:t>
      </w:r>
      <w:r w:rsidR="00A966C2" w:rsidRPr="000A181F">
        <w:rPr>
          <w:rFonts w:cstheme="minorHAnsi"/>
        </w:rPr>
        <w:t xml:space="preserve"> stewardship is important to promote and increase the appropriate use of antimicrobials.</w:t>
      </w:r>
      <w:r w:rsidR="00B40096">
        <w:rPr>
          <w:rFonts w:cstheme="minorHAnsi"/>
        </w:rPr>
        <w:t xml:space="preserve"> </w:t>
      </w:r>
      <w:r w:rsidR="00EF58CE" w:rsidRPr="001C6B26">
        <w:rPr>
          <w:rFonts w:cstheme="minorHAnsi"/>
        </w:rPr>
        <w:t xml:space="preserve">Antimicrobial stewardship (AMS) refers to </w:t>
      </w:r>
      <w:r w:rsidR="00EF58CE" w:rsidRPr="00ED0067">
        <w:rPr>
          <w:rFonts w:cstheme="minorHAnsi"/>
        </w:rPr>
        <w:t>coordinated actions designed to promote an increase in the appropriate use of antimicrobials and is a key strategy to conserve the effectiveness of antibiotics.</w:t>
      </w:r>
      <w:r w:rsidRPr="00ED0067">
        <w:rPr>
          <w:rFonts w:cstheme="minorHAnsi"/>
          <w:lang w:val="en-US"/>
        </w:rPr>
        <w:t xml:space="preserve"> </w:t>
      </w:r>
    </w:p>
    <w:p w14:paraId="0D564288" w14:textId="44773EF2" w:rsidR="00237783" w:rsidRPr="00330A3C" w:rsidRDefault="00B40096" w:rsidP="0053652E">
      <w:pPr>
        <w:spacing w:after="120" w:line="240" w:lineRule="auto"/>
        <w:rPr>
          <w:rFonts w:cstheme="minorHAnsi"/>
          <w:lang w:val="en-US"/>
        </w:rPr>
      </w:pPr>
      <w:r>
        <w:rPr>
          <w:rFonts w:cstheme="minorHAnsi"/>
          <w:lang w:val="en-US"/>
        </w:rPr>
        <w:t>C</w:t>
      </w:r>
      <w:r w:rsidR="00237783">
        <w:rPr>
          <w:rFonts w:cstheme="minorHAnsi"/>
          <w:lang w:val="en-US"/>
        </w:rPr>
        <w:t xml:space="preserve">onversely, </w:t>
      </w:r>
      <w:r w:rsidR="00237783" w:rsidRPr="00237783">
        <w:rPr>
          <w:rFonts w:cstheme="minorHAnsi"/>
          <w:lang w:val="en-US"/>
        </w:rPr>
        <w:t>Australia is recognised as the fifth lowest country for antibiotic use in agriculture amongst countries examined by the United Kingdom’s Review on AMR (2015).</w:t>
      </w:r>
    </w:p>
    <w:p w14:paraId="16ED0DB4" w14:textId="21A2A015" w:rsidR="004E4E3B" w:rsidRPr="00EF0B72" w:rsidRDefault="72692AA5" w:rsidP="002501D5">
      <w:pPr>
        <w:pStyle w:val="Heading3"/>
      </w:pPr>
      <w:bookmarkStart w:id="41" w:name="_Toc10812317"/>
      <w:r w:rsidRPr="00330A3C">
        <w:t>What have we achieved?</w:t>
      </w:r>
      <w:bookmarkEnd w:id="41"/>
    </w:p>
    <w:p w14:paraId="1815DD0C" w14:textId="14FB1511" w:rsidR="00EF0B72" w:rsidRDefault="00EF0B72" w:rsidP="002501D5">
      <w:r>
        <w:t xml:space="preserve">Across both human and animal health, multiple sectors have already contributed to improving the use of antimicrobials through a variety of activities. For example: </w:t>
      </w:r>
    </w:p>
    <w:p w14:paraId="63E03EBC" w14:textId="5FFF3E6B" w:rsidR="007A0EB0" w:rsidRPr="002501D5" w:rsidRDefault="72692AA5" w:rsidP="002501D5">
      <w:pPr>
        <w:pStyle w:val="ListParagraph"/>
        <w:numPr>
          <w:ilvl w:val="0"/>
          <w:numId w:val="44"/>
        </w:numPr>
        <w:spacing w:after="120" w:line="240" w:lineRule="auto"/>
        <w:rPr>
          <w:rFonts w:cstheme="minorHAnsi"/>
        </w:rPr>
      </w:pPr>
      <w:r w:rsidRPr="002501D5">
        <w:rPr>
          <w:rFonts w:cstheme="minorHAnsi"/>
        </w:rPr>
        <w:t xml:space="preserve">In the human health setting, antibiotic prescribing </w:t>
      </w:r>
      <w:r w:rsidR="007A0EB0" w:rsidRPr="002501D5">
        <w:rPr>
          <w:rFonts w:cstheme="minorHAnsi"/>
        </w:rPr>
        <w:t xml:space="preserve">guidelines are available to assist prescribers to optimise selection, dosing, route of administration, duration and timing of antimicrobial treatment, e.g. </w:t>
      </w:r>
      <w:hyperlink r:id="rId17">
        <w:r w:rsidR="007A0EB0" w:rsidRPr="002501D5">
          <w:rPr>
            <w:rFonts w:cstheme="minorHAnsi"/>
          </w:rPr>
          <w:t>Therapeutic Guidelines: Antibiotic</w:t>
        </w:r>
      </w:hyperlink>
      <w:r w:rsidR="007A0EB0" w:rsidRPr="002501D5">
        <w:rPr>
          <w:rFonts w:cstheme="minorHAnsi"/>
        </w:rPr>
        <w:t xml:space="preserve"> and Australian Medicines Handbook. </w:t>
      </w:r>
    </w:p>
    <w:p w14:paraId="357173FB" w14:textId="77777777" w:rsidR="00237783" w:rsidRPr="002501D5" w:rsidRDefault="00237783" w:rsidP="002501D5">
      <w:pPr>
        <w:pStyle w:val="ListParagraph"/>
        <w:numPr>
          <w:ilvl w:val="0"/>
          <w:numId w:val="44"/>
        </w:numPr>
        <w:spacing w:after="120" w:line="240" w:lineRule="auto"/>
        <w:rPr>
          <w:rFonts w:cstheme="minorHAnsi"/>
        </w:rPr>
      </w:pPr>
      <w:r w:rsidRPr="002501D5">
        <w:rPr>
          <w:rFonts w:cstheme="minorHAnsi"/>
        </w:rPr>
        <w:t>A review of antibiotic listings on the Pharmaceutical Benefits Scheme (PBS) is underway to look for opportunities to support appropriate antibiotic prescribing by proposing changes to restrict or remove repeats where they are not clinically indicated.</w:t>
      </w:r>
    </w:p>
    <w:p w14:paraId="4CCB2BA9" w14:textId="318E6AEB" w:rsidR="007A0EB0" w:rsidRPr="002501D5" w:rsidRDefault="007A0EB0" w:rsidP="002501D5">
      <w:pPr>
        <w:pStyle w:val="ListParagraph"/>
        <w:numPr>
          <w:ilvl w:val="0"/>
          <w:numId w:val="44"/>
        </w:numPr>
        <w:spacing w:after="120" w:line="240" w:lineRule="auto"/>
        <w:rPr>
          <w:rFonts w:cstheme="minorHAnsi"/>
        </w:rPr>
      </w:pPr>
      <w:r w:rsidRPr="002501D5">
        <w:rPr>
          <w:rFonts w:cstheme="minorHAnsi"/>
        </w:rPr>
        <w:t xml:space="preserve">Tailored, evidence based resources have been developed by organisations such as the National Centre for Antimicrobial Stewardship and NPS MedicineWise, to support the implementation of stewardship programs into </w:t>
      </w:r>
      <w:r w:rsidR="00237783" w:rsidRPr="002501D5">
        <w:rPr>
          <w:rFonts w:cstheme="minorHAnsi"/>
        </w:rPr>
        <w:t xml:space="preserve">human health clinical </w:t>
      </w:r>
      <w:r w:rsidRPr="002501D5">
        <w:rPr>
          <w:rFonts w:cstheme="minorHAnsi"/>
        </w:rPr>
        <w:t xml:space="preserve">practice. </w:t>
      </w:r>
    </w:p>
    <w:p w14:paraId="7CD4674E" w14:textId="1CB2D9DA" w:rsidR="00237783" w:rsidRPr="002501D5" w:rsidRDefault="00624269" w:rsidP="002501D5">
      <w:pPr>
        <w:pStyle w:val="ListParagraph"/>
        <w:numPr>
          <w:ilvl w:val="0"/>
          <w:numId w:val="44"/>
        </w:numPr>
        <w:spacing w:after="120" w:line="240" w:lineRule="auto"/>
        <w:rPr>
          <w:rFonts w:cstheme="minorHAnsi"/>
        </w:rPr>
      </w:pPr>
      <w:r w:rsidRPr="002501D5">
        <w:rPr>
          <w:rFonts w:cstheme="minorHAnsi"/>
        </w:rPr>
        <w:t xml:space="preserve">A GP AMR Expert Group has been established to identify </w:t>
      </w:r>
      <w:r w:rsidR="00237783" w:rsidRPr="002501D5">
        <w:rPr>
          <w:rFonts w:cstheme="minorHAnsi"/>
        </w:rPr>
        <w:t xml:space="preserve">and develop </w:t>
      </w:r>
      <w:r w:rsidRPr="002501D5">
        <w:rPr>
          <w:rFonts w:cstheme="minorHAnsi"/>
        </w:rPr>
        <w:t xml:space="preserve">initiatives </w:t>
      </w:r>
      <w:r w:rsidR="00237783" w:rsidRPr="002501D5">
        <w:rPr>
          <w:rFonts w:cstheme="minorHAnsi"/>
        </w:rPr>
        <w:t xml:space="preserve">to enhance antimicrobial stewardship in the </w:t>
      </w:r>
      <w:r w:rsidRPr="002501D5">
        <w:rPr>
          <w:rFonts w:cstheme="minorHAnsi"/>
        </w:rPr>
        <w:t xml:space="preserve">community </w:t>
      </w:r>
      <w:r w:rsidR="00237783" w:rsidRPr="002501D5">
        <w:rPr>
          <w:rFonts w:cstheme="minorHAnsi"/>
        </w:rPr>
        <w:t xml:space="preserve">health </w:t>
      </w:r>
      <w:r w:rsidRPr="002501D5">
        <w:rPr>
          <w:rFonts w:cstheme="minorHAnsi"/>
        </w:rPr>
        <w:t>setting</w:t>
      </w:r>
      <w:r w:rsidR="00237783" w:rsidRPr="002501D5">
        <w:rPr>
          <w:rFonts w:cstheme="minorHAnsi"/>
        </w:rPr>
        <w:t>.</w:t>
      </w:r>
    </w:p>
    <w:p w14:paraId="5C0B6C79" w14:textId="77777777" w:rsidR="00237783" w:rsidRPr="002501D5" w:rsidRDefault="72692AA5" w:rsidP="002501D5">
      <w:pPr>
        <w:pStyle w:val="ListParagraph"/>
        <w:numPr>
          <w:ilvl w:val="0"/>
          <w:numId w:val="44"/>
        </w:numPr>
        <w:spacing w:after="120" w:line="240" w:lineRule="auto"/>
        <w:rPr>
          <w:rFonts w:cstheme="minorHAnsi"/>
        </w:rPr>
      </w:pPr>
      <w:r w:rsidRPr="002501D5">
        <w:rPr>
          <w:rFonts w:cstheme="minorHAnsi"/>
        </w:rPr>
        <w:t>Strong stewardship practices in hospital settings are mandated through accreditation standards and supported by a range of resources</w:t>
      </w:r>
      <w:r w:rsidR="00237783" w:rsidRPr="002501D5">
        <w:rPr>
          <w:rFonts w:cstheme="minorHAnsi"/>
        </w:rPr>
        <w:t xml:space="preserve"> to initiate and sustain AMS activities</w:t>
      </w:r>
      <w:r w:rsidRPr="002501D5">
        <w:rPr>
          <w:rFonts w:cstheme="minorHAnsi"/>
        </w:rPr>
        <w:t>, including</w:t>
      </w:r>
      <w:r w:rsidR="00237783" w:rsidRPr="002501D5">
        <w:rPr>
          <w:rFonts w:cstheme="minorHAnsi"/>
        </w:rPr>
        <w:t xml:space="preserve"> t</w:t>
      </w:r>
      <w:r w:rsidRPr="002501D5">
        <w:rPr>
          <w:rFonts w:cstheme="minorHAnsi"/>
        </w:rPr>
        <w:t>he Antimicrobial Stewardship Clinical Care Standard</w:t>
      </w:r>
      <w:r w:rsidR="00237783" w:rsidRPr="002501D5">
        <w:rPr>
          <w:rFonts w:cstheme="minorHAnsi"/>
        </w:rPr>
        <w:t xml:space="preserve">, the </w:t>
      </w:r>
      <w:r w:rsidRPr="002501D5">
        <w:rPr>
          <w:rFonts w:cstheme="minorHAnsi"/>
        </w:rPr>
        <w:t>Antimicrobial Stewardship Initiative</w:t>
      </w:r>
      <w:r w:rsidR="00237783" w:rsidRPr="002501D5">
        <w:rPr>
          <w:rFonts w:cstheme="minorHAnsi"/>
        </w:rPr>
        <w:t xml:space="preserve"> and the Antimicrobial Stewardship in Australian Health Care 2018 guidance.</w:t>
      </w:r>
    </w:p>
    <w:p w14:paraId="41D37868" w14:textId="77777777" w:rsidR="00237783" w:rsidRPr="002501D5" w:rsidRDefault="001B67E9" w:rsidP="002501D5">
      <w:pPr>
        <w:pStyle w:val="ListParagraph"/>
        <w:numPr>
          <w:ilvl w:val="0"/>
          <w:numId w:val="44"/>
        </w:numPr>
        <w:spacing w:after="120" w:line="240" w:lineRule="auto"/>
        <w:rPr>
          <w:rFonts w:cstheme="minorHAnsi"/>
        </w:rPr>
      </w:pPr>
      <w:r w:rsidRPr="002501D5">
        <w:rPr>
          <w:rFonts w:cstheme="minorHAnsi"/>
        </w:rPr>
        <w:t>Australia has developed a Veterinary Antimicrobial Stewardship Online Training Program on effective AMS practices for clinical veterinarians. Its extension, promotion and evaluation of education modules is currently underway.</w:t>
      </w:r>
    </w:p>
    <w:p w14:paraId="649D5AB3" w14:textId="7723CA7B" w:rsidR="001B67E9" w:rsidRPr="002501D5" w:rsidRDefault="001B67E9" w:rsidP="002501D5">
      <w:pPr>
        <w:pStyle w:val="ListParagraph"/>
        <w:numPr>
          <w:ilvl w:val="0"/>
          <w:numId w:val="44"/>
        </w:numPr>
        <w:spacing w:after="120" w:line="240" w:lineRule="auto"/>
        <w:rPr>
          <w:rFonts w:cstheme="minorHAnsi"/>
        </w:rPr>
      </w:pPr>
      <w:r w:rsidRPr="002501D5">
        <w:rPr>
          <w:rFonts w:cstheme="minorHAnsi"/>
        </w:rPr>
        <w:t>Australia is undertaking national harmonisation of minimum veterinary prescribing and compounding regulatory requirements for veterinary practitioners treating livestock.</w:t>
      </w:r>
    </w:p>
    <w:p w14:paraId="416F5694" w14:textId="23D5FFE0" w:rsidR="001C7B09" w:rsidRPr="002501D5" w:rsidRDefault="001C7B09" w:rsidP="002501D5">
      <w:pPr>
        <w:pStyle w:val="ListParagraph"/>
        <w:numPr>
          <w:ilvl w:val="0"/>
          <w:numId w:val="44"/>
        </w:numPr>
        <w:spacing w:after="120" w:line="240" w:lineRule="auto"/>
        <w:rPr>
          <w:rFonts w:cstheme="minorHAnsi"/>
        </w:rPr>
      </w:pPr>
      <w:r w:rsidRPr="002501D5">
        <w:rPr>
          <w:rFonts w:cstheme="minorHAnsi"/>
        </w:rPr>
        <w:t xml:space="preserve">Animal industry partners have published best practice prescribing guidelines for some animals and implemented antimicrobial stewardship programs, for example: </w:t>
      </w:r>
    </w:p>
    <w:p w14:paraId="19154189" w14:textId="1855E6DC" w:rsidR="001C7B09" w:rsidRPr="002501D5" w:rsidRDefault="001C7B09" w:rsidP="002501D5">
      <w:pPr>
        <w:pStyle w:val="ListParagraph"/>
        <w:numPr>
          <w:ilvl w:val="1"/>
          <w:numId w:val="44"/>
        </w:numPr>
        <w:spacing w:after="120" w:line="240" w:lineRule="auto"/>
        <w:rPr>
          <w:rFonts w:cstheme="minorHAnsi"/>
        </w:rPr>
      </w:pPr>
      <w:r w:rsidRPr="002501D5">
        <w:rPr>
          <w:rFonts w:cstheme="minorHAnsi"/>
        </w:rPr>
        <w:t>The Antimicrobial prescribing guidelines for pigs (2019), published by the Australian Veterinary Association and Animal Medicines Australia in partnership with Australian Pork.</w:t>
      </w:r>
    </w:p>
    <w:p w14:paraId="6DA84A4F" w14:textId="77777777" w:rsidR="00EB1CC0" w:rsidRPr="002501D5" w:rsidRDefault="001C7B09" w:rsidP="002501D5">
      <w:pPr>
        <w:pStyle w:val="ListParagraph"/>
        <w:numPr>
          <w:ilvl w:val="1"/>
          <w:numId w:val="44"/>
        </w:numPr>
        <w:spacing w:after="120" w:line="240" w:lineRule="auto"/>
        <w:rPr>
          <w:rFonts w:cstheme="minorHAnsi"/>
        </w:rPr>
      </w:pPr>
      <w:r w:rsidRPr="002501D5">
        <w:rPr>
          <w:rFonts w:cstheme="minorHAnsi"/>
        </w:rPr>
        <w:t xml:space="preserve">The Antimicrobial Stewardship Guidelines for the Australian Cattle Feedlot Industry </w:t>
      </w:r>
      <w:r w:rsidR="00EB1CC0" w:rsidRPr="002501D5">
        <w:rPr>
          <w:rFonts w:cstheme="minorHAnsi"/>
        </w:rPr>
        <w:t xml:space="preserve">(2018) </w:t>
      </w:r>
      <w:r w:rsidRPr="002501D5">
        <w:rPr>
          <w:rFonts w:cstheme="minorHAnsi"/>
        </w:rPr>
        <w:t xml:space="preserve">published by the Australian Lot Feeders Association (ALFA) in partnership with Meat and Livestock Australia. </w:t>
      </w:r>
    </w:p>
    <w:p w14:paraId="5C14D065" w14:textId="502319F9" w:rsidR="00EB1CC0" w:rsidRPr="002501D5" w:rsidRDefault="00EB1CC0" w:rsidP="002501D5">
      <w:pPr>
        <w:pStyle w:val="ListParagraph"/>
        <w:numPr>
          <w:ilvl w:val="0"/>
          <w:numId w:val="44"/>
        </w:numPr>
        <w:spacing w:after="120" w:line="240" w:lineRule="auto"/>
        <w:rPr>
          <w:rFonts w:cstheme="minorHAnsi"/>
        </w:rPr>
      </w:pPr>
      <w:r w:rsidRPr="002501D5">
        <w:rPr>
          <w:rFonts w:cstheme="minorHAnsi"/>
        </w:rPr>
        <w:lastRenderedPageBreak/>
        <w:t>The Australian Veterinary Association has released factsheets, developed in conjunction with Animal Medicines Australia, about responsible antibiotic use—one for companion animals and one for livestock and horses.</w:t>
      </w:r>
    </w:p>
    <w:p w14:paraId="1F3364D2" w14:textId="77777777" w:rsidR="004E4E3B" w:rsidRPr="00ED0067" w:rsidRDefault="72692AA5" w:rsidP="00CE07F0">
      <w:pPr>
        <w:pStyle w:val="Heading3"/>
      </w:pPr>
      <w:bookmarkStart w:id="42" w:name="_Toc10812318"/>
      <w:r w:rsidRPr="00ED0067">
        <w:t>What are our challenges?</w:t>
      </w:r>
      <w:bookmarkEnd w:id="42"/>
    </w:p>
    <w:p w14:paraId="0B3D1F85" w14:textId="399584CB" w:rsidR="001C314C" w:rsidRPr="001C314C" w:rsidRDefault="004808E0" w:rsidP="004326CD">
      <w:pPr>
        <w:rPr>
          <w:rFonts w:eastAsia="Calibri"/>
        </w:rPr>
      </w:pPr>
      <w:r>
        <w:rPr>
          <w:rFonts w:eastAsia="Calibri"/>
          <w:lang w:val="en-US"/>
        </w:rPr>
        <w:t>M</w:t>
      </w:r>
      <w:r w:rsidR="001C314C" w:rsidRPr="001C314C">
        <w:rPr>
          <w:rFonts w:eastAsia="Calibri"/>
        </w:rPr>
        <w:t xml:space="preserve">any of the strategies used in hospital antimicrobial stewardship programs are not transferrable to </w:t>
      </w:r>
      <w:r w:rsidR="001C314C">
        <w:rPr>
          <w:rFonts w:eastAsia="Calibri"/>
        </w:rPr>
        <w:t>community health settings</w:t>
      </w:r>
      <w:r w:rsidR="00C87660">
        <w:rPr>
          <w:rFonts w:eastAsia="Calibri" w:cstheme="minorHAnsi"/>
          <w:color w:val="000000" w:themeColor="text1"/>
        </w:rPr>
        <w:t xml:space="preserve">, including residential aged care. </w:t>
      </w:r>
      <w:r w:rsidR="00C87660">
        <w:rPr>
          <w:rFonts w:eastAsia="Calibri" w:cstheme="minorHAnsi"/>
        </w:rPr>
        <w:t xml:space="preserve">The absence of the strong accreditation driver (which accelerated change in the hospital sector) and the economics of primary care are significant barriers. </w:t>
      </w:r>
      <w:r w:rsidR="001C314C" w:rsidRPr="001C314C">
        <w:rPr>
          <w:rFonts w:eastAsia="Calibri"/>
        </w:rPr>
        <w:t xml:space="preserve">Innovative approaches to address the barriers to best practice prescribing </w:t>
      </w:r>
      <w:r w:rsidR="001C314C">
        <w:rPr>
          <w:rFonts w:eastAsia="Calibri"/>
        </w:rPr>
        <w:t xml:space="preserve">and sustain antimicrobial stewardship </w:t>
      </w:r>
      <w:r w:rsidR="001C314C" w:rsidRPr="001C314C">
        <w:rPr>
          <w:rFonts w:eastAsia="Calibri"/>
        </w:rPr>
        <w:t>in these settings are needed.</w:t>
      </w:r>
    </w:p>
    <w:p w14:paraId="30E5EDBE" w14:textId="34EA70AF" w:rsidR="007934CE" w:rsidRPr="00EB1CC0" w:rsidRDefault="007934CE" w:rsidP="004326CD">
      <w:pPr>
        <w:rPr>
          <w:rFonts w:eastAsia="Calibri"/>
        </w:rPr>
      </w:pPr>
      <w:r w:rsidRPr="00EB1CC0">
        <w:rPr>
          <w:rFonts w:eastAsia="Calibri"/>
        </w:rPr>
        <w:t>In hospitals the</w:t>
      </w:r>
      <w:r w:rsidR="00DF3CEC" w:rsidRPr="00EB1CC0">
        <w:rPr>
          <w:rFonts w:eastAsia="Calibri"/>
        </w:rPr>
        <w:t>re are areas of antibiotic use tha</w:t>
      </w:r>
      <w:r w:rsidRPr="00EB1CC0">
        <w:rPr>
          <w:rFonts w:eastAsia="Calibri"/>
        </w:rPr>
        <w:t xml:space="preserve">t need further attention, for example, </w:t>
      </w:r>
      <w:r w:rsidR="00EB1CC0">
        <w:rPr>
          <w:rFonts w:eastAsia="Calibri"/>
        </w:rPr>
        <w:t xml:space="preserve">continuing work towards </w:t>
      </w:r>
      <w:r w:rsidRPr="00EB1CC0">
        <w:rPr>
          <w:rFonts w:eastAsia="Calibri"/>
        </w:rPr>
        <w:t>improving the appropriateness of antibiotic prescribing in surgical prophylaxis.</w:t>
      </w:r>
    </w:p>
    <w:p w14:paraId="36DAA84E" w14:textId="3AEA4F2C" w:rsidR="00EB1CC0" w:rsidRDefault="00F00DD5" w:rsidP="004326CD">
      <w:pPr>
        <w:rPr>
          <w:rFonts w:eastAsia="Calibri"/>
        </w:rPr>
      </w:pPr>
      <w:r w:rsidRPr="00EB1CC0">
        <w:rPr>
          <w:rFonts w:eastAsia="Calibri"/>
        </w:rPr>
        <w:t xml:space="preserve">Compliance with antibiotic prescribing guidelines in all human health settings continues to be an issue and </w:t>
      </w:r>
      <w:r w:rsidR="00EB1CC0">
        <w:rPr>
          <w:rFonts w:eastAsia="Calibri"/>
        </w:rPr>
        <w:t xml:space="preserve">barriers to their accessibility and use must continue to be explored and remedied. </w:t>
      </w:r>
    </w:p>
    <w:p w14:paraId="06865903" w14:textId="62DA1F58" w:rsidR="001C314C" w:rsidRPr="001C314C" w:rsidRDefault="00621A0A" w:rsidP="00CA2D96">
      <w:pPr>
        <w:rPr>
          <w:rFonts w:eastAsia="Calibri"/>
        </w:rPr>
      </w:pPr>
      <w:r>
        <w:rPr>
          <w:rFonts w:eastAsia="Calibri"/>
        </w:rPr>
        <w:t xml:space="preserve">In the animal health </w:t>
      </w:r>
      <w:r w:rsidR="00052663">
        <w:rPr>
          <w:rFonts w:eastAsia="Calibri"/>
        </w:rPr>
        <w:t>sector,</w:t>
      </w:r>
      <w:r w:rsidR="00052663">
        <w:rPr>
          <w:rFonts w:eastAsia="Calibri" w:cstheme="minorHAnsi"/>
          <w:color w:val="000000" w:themeColor="text1"/>
        </w:rPr>
        <w:t xml:space="preserve"> there</w:t>
      </w:r>
      <w:r>
        <w:rPr>
          <w:rFonts w:eastAsia="Calibri" w:cstheme="minorHAnsi"/>
          <w:color w:val="000000" w:themeColor="text1"/>
        </w:rPr>
        <w:t xml:space="preserve"> has been increased </w:t>
      </w:r>
      <w:r w:rsidR="001C314C" w:rsidRPr="001C314C">
        <w:rPr>
          <w:rFonts w:eastAsia="Calibri"/>
        </w:rPr>
        <w:t xml:space="preserve">availability of evidence-based and standardised best practice prescribing guidelines for the use of antimicrobials in animal health in Australia to complement other AMS </w:t>
      </w:r>
      <w:r w:rsidR="00CA2D96" w:rsidRPr="001C314C">
        <w:rPr>
          <w:rFonts w:eastAsia="Calibri"/>
        </w:rPr>
        <w:t>initiatives</w:t>
      </w:r>
      <w:r w:rsidR="00CA2D96">
        <w:rPr>
          <w:rFonts w:eastAsia="Calibri"/>
        </w:rPr>
        <w:t xml:space="preserve">. </w:t>
      </w:r>
      <w:r w:rsidR="00CA2D96">
        <w:rPr>
          <w:rFonts w:eastAsia="Calibri" w:cstheme="minorHAnsi"/>
          <w:color w:val="000000" w:themeColor="text1"/>
        </w:rPr>
        <w:t>Awareness and adoption of these guidelines remains, however, a significant challenge, particularly in companion animal sector.</w:t>
      </w:r>
    </w:p>
    <w:p w14:paraId="6B11841B" w14:textId="31A04203" w:rsidR="001C314C" w:rsidRDefault="001C314C" w:rsidP="004326CD">
      <w:pPr>
        <w:rPr>
          <w:rFonts w:eastAsia="Calibri"/>
        </w:rPr>
      </w:pPr>
      <w:r w:rsidRPr="001C314C">
        <w:rPr>
          <w:rFonts w:eastAsia="Calibri"/>
        </w:rPr>
        <w:t xml:space="preserve">Clear prescribing guidelines </w:t>
      </w:r>
      <w:r>
        <w:rPr>
          <w:rFonts w:eastAsia="Calibri"/>
        </w:rPr>
        <w:t xml:space="preserve">are required </w:t>
      </w:r>
      <w:r w:rsidRPr="001C314C">
        <w:rPr>
          <w:rFonts w:eastAsia="Calibri"/>
        </w:rPr>
        <w:t>to ensure responsible use in animal health, and provide a framework for auditable record keeping, which is aligned with OIE data reporting requirements to demonstrate responsible use.</w:t>
      </w:r>
    </w:p>
    <w:p w14:paraId="7052C641" w14:textId="687AF2B3" w:rsidR="001C314C" w:rsidRPr="001C314C" w:rsidRDefault="00400B6B" w:rsidP="004326CD">
      <w:pPr>
        <w:rPr>
          <w:rFonts w:eastAsia="Calibri"/>
        </w:rPr>
      </w:pPr>
      <w:r>
        <w:rPr>
          <w:rFonts w:eastAsia="Calibri"/>
        </w:rPr>
        <w:t>There are still some animal health sectors that don’t have e</w:t>
      </w:r>
      <w:r w:rsidR="001C314C" w:rsidRPr="001C314C">
        <w:rPr>
          <w:rFonts w:eastAsia="Calibri"/>
        </w:rPr>
        <w:t>stablish</w:t>
      </w:r>
      <w:r>
        <w:rPr>
          <w:rFonts w:eastAsia="Calibri"/>
        </w:rPr>
        <w:t xml:space="preserve">ed </w:t>
      </w:r>
      <w:r w:rsidR="001C314C" w:rsidRPr="001C314C">
        <w:rPr>
          <w:rFonts w:eastAsia="Calibri"/>
        </w:rPr>
        <w:t>AMS programs</w:t>
      </w:r>
      <w:r>
        <w:rPr>
          <w:rFonts w:eastAsia="Calibri"/>
        </w:rPr>
        <w:t>. These need to be established and consideration needs to be given to ensuring uptake and compliance. For example, i</w:t>
      </w:r>
      <w:r w:rsidR="001C314C" w:rsidRPr="001C314C">
        <w:rPr>
          <w:rFonts w:eastAsia="Calibri"/>
        </w:rPr>
        <w:t>ncentivising the implementation of AMS programs by veterinary practices to ensure widespread uptake.</w:t>
      </w:r>
    </w:p>
    <w:p w14:paraId="1207A3F6" w14:textId="632DBC6B" w:rsidR="00E87D15" w:rsidRPr="00400B6B" w:rsidRDefault="00E87D15" w:rsidP="004326CD">
      <w:pPr>
        <w:rPr>
          <w:rFonts w:eastAsia="Calibri"/>
        </w:rPr>
      </w:pPr>
      <w:r>
        <w:rPr>
          <w:rFonts w:eastAsia="Calibri"/>
        </w:rPr>
        <w:t>There are some challenges around the accreditation of veterinary practices to demonstrate how they are implementing the Codes of Practice and appropriate use of antimicrobials. They include identifying triggers for investigating individuals or practices and determining how stewardship and non-compliance would be measured.</w:t>
      </w:r>
    </w:p>
    <w:p w14:paraId="11AF8922" w14:textId="77777777" w:rsidR="004E4E3B" w:rsidRPr="00045EEC" w:rsidRDefault="5D98DED8" w:rsidP="004326CD">
      <w:pPr>
        <w:pStyle w:val="Heading3"/>
      </w:pPr>
      <w:bookmarkStart w:id="43" w:name="_Toc10812319"/>
      <w:r w:rsidRPr="00045EEC">
        <w:t>Where to next?</w:t>
      </w:r>
      <w:bookmarkEnd w:id="43"/>
    </w:p>
    <w:p w14:paraId="67A616D6" w14:textId="036DF6A9" w:rsidR="5D98DED8" w:rsidRPr="00CA6184" w:rsidRDefault="00B276D8" w:rsidP="004326CD">
      <w:pPr>
        <w:rPr>
          <w:color w:val="000000" w:themeColor="text1"/>
        </w:rPr>
      </w:pPr>
      <w:r>
        <w:rPr>
          <w:lang w:val="en-US"/>
        </w:rPr>
        <w:t>We should e</w:t>
      </w:r>
      <w:r w:rsidR="5D98DED8" w:rsidRPr="00CA6184">
        <w:rPr>
          <w:lang w:val="en-US"/>
        </w:rPr>
        <w:t>xplore options to improve point of care access to, and use of, prescribing guidelines in human health settings particularly the community setting.</w:t>
      </w:r>
      <w:r w:rsidR="00C00BEB">
        <w:rPr>
          <w:lang w:val="en-US"/>
        </w:rPr>
        <w:t xml:space="preserve"> </w:t>
      </w:r>
      <w:r w:rsidR="00C00BEB">
        <w:rPr>
          <w:rFonts w:cstheme="minorHAnsi"/>
          <w:lang w:val="en-US"/>
        </w:rPr>
        <w:t>In particular, the use of expert systems to guide electronic prescribing will be an important initiative.</w:t>
      </w:r>
    </w:p>
    <w:p w14:paraId="2F75D170" w14:textId="4CB1AC65" w:rsidR="5D98DED8" w:rsidRPr="00CA6184" w:rsidRDefault="00BD57B4" w:rsidP="004326CD">
      <w:pPr>
        <w:rPr>
          <w:color w:val="000000" w:themeColor="text1"/>
        </w:rPr>
      </w:pPr>
      <w:r>
        <w:rPr>
          <w:lang w:val="en-US"/>
        </w:rPr>
        <w:t>O</w:t>
      </w:r>
      <w:r w:rsidR="5D98DED8" w:rsidRPr="00CA6184">
        <w:rPr>
          <w:lang w:val="en-US"/>
        </w:rPr>
        <w:t>ptions to obtain better information on appropriateness of antibiot</w:t>
      </w:r>
      <w:r>
        <w:rPr>
          <w:lang w:val="en-US"/>
        </w:rPr>
        <w:t>ic use in the community setting should be explored.</w:t>
      </w:r>
    </w:p>
    <w:p w14:paraId="20799C21" w14:textId="5A2E82F0" w:rsidR="5D98DED8" w:rsidRPr="00B276D8" w:rsidRDefault="00B276D8" w:rsidP="004326CD">
      <w:pPr>
        <w:rPr>
          <w:color w:val="000000" w:themeColor="text1"/>
        </w:rPr>
      </w:pPr>
      <w:r>
        <w:t>It is important to c</w:t>
      </w:r>
      <w:r w:rsidR="5D98DED8" w:rsidRPr="00B276D8">
        <w:t>ontinue to work with the GP AMR Expert Group and key stakeholders to identify opportunities to better support appropriate prescribing and dispensing in the community setting.</w:t>
      </w:r>
    </w:p>
    <w:p w14:paraId="0B68D7D1" w14:textId="09355981" w:rsidR="5D98DED8" w:rsidRDefault="00BD57B4" w:rsidP="004326CD">
      <w:r>
        <w:t>We should l</w:t>
      </w:r>
      <w:r w:rsidR="5D98DED8" w:rsidRPr="00B276D8">
        <w:t>ook for opportunities to support appropriate antibiotic prescribing in surgical prophylaxis.</w:t>
      </w:r>
    </w:p>
    <w:p w14:paraId="5EB74CB4" w14:textId="1735794A" w:rsidR="00ED76FE" w:rsidRPr="00ED76FE" w:rsidRDefault="00ED76FE" w:rsidP="00ED76FE">
      <w:pPr>
        <w:spacing w:after="120" w:line="240" w:lineRule="auto"/>
        <w:rPr>
          <w:rFonts w:cstheme="minorHAnsi"/>
          <w:color w:val="000000" w:themeColor="text1"/>
        </w:rPr>
      </w:pPr>
      <w:r>
        <w:rPr>
          <w:rFonts w:cstheme="minorHAnsi"/>
        </w:rPr>
        <w:lastRenderedPageBreak/>
        <w:t>Alternative models of financing and registration of new or repurposed antibiotics should be explored to remove the commercial incentive to promote use.</w:t>
      </w:r>
    </w:p>
    <w:p w14:paraId="1037FE07" w14:textId="15BFFE79" w:rsidR="00733B54" w:rsidRPr="00B276D8" w:rsidRDefault="00BD57B4" w:rsidP="004326CD">
      <w:pPr>
        <w:rPr>
          <w:color w:val="000000" w:themeColor="text1"/>
        </w:rPr>
      </w:pPr>
      <w:r>
        <w:t>Options should be explored</w:t>
      </w:r>
      <w:r w:rsidR="00733B54" w:rsidRPr="00B276D8">
        <w:t xml:space="preserve"> to support the implementation of AMS programs and best-practice </w:t>
      </w:r>
      <w:r w:rsidR="00676794">
        <w:t xml:space="preserve">antimicrobial use </w:t>
      </w:r>
      <w:r w:rsidR="00733B54" w:rsidRPr="00B276D8">
        <w:t>policies through accreditation of, and developing standards for, veterinary practices and supporting animal industries.</w:t>
      </w:r>
    </w:p>
    <w:p w14:paraId="0EEE8A04" w14:textId="6B4A2C8C" w:rsidR="00733B54" w:rsidRPr="00B276D8" w:rsidRDefault="00B276D8" w:rsidP="004326CD">
      <w:pPr>
        <w:rPr>
          <w:color w:val="000000" w:themeColor="text1"/>
        </w:rPr>
      </w:pPr>
      <w:r>
        <w:t>We should s</w:t>
      </w:r>
      <w:r w:rsidR="00733B54" w:rsidRPr="00B276D8">
        <w:t xml:space="preserve">upport current efforts to harmonise national veterinary compounding and prescribing rights to enable </w:t>
      </w:r>
      <w:r w:rsidR="00676794">
        <w:t>more effective regulation of antimicrobial use</w:t>
      </w:r>
      <w:r w:rsidR="00733B54" w:rsidRPr="00B276D8">
        <w:t>.</w:t>
      </w:r>
    </w:p>
    <w:p w14:paraId="2B7B2B57" w14:textId="243B127D" w:rsidR="00CF205E" w:rsidRPr="004326CD" w:rsidRDefault="00BD57B4" w:rsidP="004326CD">
      <w:pPr>
        <w:rPr>
          <w:color w:val="000000" w:themeColor="text1"/>
        </w:rPr>
      </w:pPr>
      <w:r>
        <w:t>A</w:t>
      </w:r>
      <w:r w:rsidR="00B276D8">
        <w:t xml:space="preserve"> f</w:t>
      </w:r>
      <w:r w:rsidR="00733B54" w:rsidRPr="00B276D8">
        <w:t xml:space="preserve">ocus </w:t>
      </w:r>
      <w:r>
        <w:t xml:space="preserve">will be </w:t>
      </w:r>
      <w:r w:rsidR="00733B54" w:rsidRPr="00B276D8">
        <w:t>on behaviour change approaches for</w:t>
      </w:r>
      <w:r w:rsidR="00415432" w:rsidRPr="00B276D8">
        <w:t xml:space="preserve"> health and animal sector prescribers, food </w:t>
      </w:r>
      <w:r w:rsidR="00687ABC" w:rsidRPr="00B276D8">
        <w:t>producers</w:t>
      </w:r>
      <w:r w:rsidR="00415432" w:rsidRPr="00B276D8">
        <w:t xml:space="preserve">, and the general public </w:t>
      </w:r>
      <w:r w:rsidR="00687ABC" w:rsidRPr="00B276D8">
        <w:t>to reduce demand and use</w:t>
      </w:r>
      <w:r w:rsidR="00415432" w:rsidRPr="00B276D8">
        <w:t xml:space="preserve"> in both humans and animals. </w:t>
      </w:r>
    </w:p>
    <w:p w14:paraId="5DF8EB54" w14:textId="34612B10" w:rsidR="00795A71" w:rsidRPr="00415432" w:rsidRDefault="00795A71" w:rsidP="0053652E">
      <w:pPr>
        <w:pStyle w:val="Heading2"/>
        <w:spacing w:before="0" w:after="120" w:line="240" w:lineRule="auto"/>
        <w:rPr>
          <w:rFonts w:asciiTheme="minorHAnsi" w:hAnsiTheme="minorHAnsi" w:cstheme="minorHAnsi"/>
        </w:rPr>
      </w:pPr>
      <w:bookmarkStart w:id="44" w:name="_Toc10812320"/>
      <w:r w:rsidRPr="00415432">
        <w:rPr>
          <w:rFonts w:asciiTheme="minorHAnsi" w:hAnsiTheme="minorHAnsi" w:cstheme="minorHAnsi"/>
        </w:rPr>
        <w:t xml:space="preserve">Objective </w:t>
      </w:r>
      <w:r w:rsidR="00B30115" w:rsidRPr="00415432">
        <w:rPr>
          <w:rFonts w:asciiTheme="minorHAnsi" w:hAnsiTheme="minorHAnsi" w:cstheme="minorHAnsi"/>
        </w:rPr>
        <w:t>Three</w:t>
      </w:r>
      <w:r w:rsidRPr="00415432">
        <w:rPr>
          <w:rFonts w:asciiTheme="minorHAnsi" w:hAnsiTheme="minorHAnsi" w:cstheme="minorHAnsi"/>
        </w:rPr>
        <w:t>: Develop nationally coordinated One Health surveillance of antimicrobial resistance and antimicrobial usage.</w:t>
      </w:r>
      <w:bookmarkEnd w:id="44"/>
    </w:p>
    <w:p w14:paraId="49BFE012" w14:textId="6153DA88" w:rsidR="002E74FA" w:rsidRPr="00045EEC" w:rsidRDefault="006E3F4C" w:rsidP="0053652E">
      <w:pPr>
        <w:spacing w:after="120" w:line="240" w:lineRule="auto"/>
        <w:rPr>
          <w:rFonts w:cstheme="minorHAnsi"/>
        </w:rPr>
      </w:pPr>
      <w:r w:rsidRPr="00045EEC">
        <w:rPr>
          <w:rFonts w:cstheme="minorHAnsi"/>
          <w:noProof/>
        </w:rPr>
        <mc:AlternateContent>
          <mc:Choice Requires="wps">
            <w:drawing>
              <wp:inline distT="0" distB="0" distL="0" distR="0" wp14:anchorId="68F37436" wp14:editId="721A42E1">
                <wp:extent cx="5981700" cy="24003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00300"/>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5360AB2C" w14:textId="77777777" w:rsidR="0050772D" w:rsidRPr="00253009" w:rsidRDefault="0050772D" w:rsidP="00253009">
                            <w:pPr>
                              <w:spacing w:after="120" w:line="240" w:lineRule="auto"/>
                              <w:rPr>
                                <w:b/>
                              </w:rPr>
                            </w:pPr>
                            <w:bookmarkStart w:id="45" w:name="_Toc9112709"/>
                            <w:bookmarkStart w:id="46" w:name="_Toc9116433"/>
                            <w:bookmarkStart w:id="47" w:name="_Toc9169876"/>
                            <w:r w:rsidRPr="00253009">
                              <w:rPr>
                                <w:b/>
                              </w:rPr>
                              <w:t>Priority Areas for Action</w:t>
                            </w:r>
                            <w:bookmarkEnd w:id="45"/>
                            <w:bookmarkEnd w:id="46"/>
                            <w:bookmarkEnd w:id="47"/>
                            <w:r w:rsidRPr="00253009">
                              <w:rPr>
                                <w:b/>
                              </w:rPr>
                              <w:t xml:space="preserve"> </w:t>
                            </w:r>
                          </w:p>
                          <w:p w14:paraId="3E939B9D" w14:textId="77777777" w:rsidR="0050772D" w:rsidRPr="00253009" w:rsidRDefault="0050772D" w:rsidP="00253009">
                            <w:pPr>
                              <w:spacing w:after="120" w:line="240" w:lineRule="auto"/>
                            </w:pPr>
                            <w:r w:rsidRPr="00253009">
                              <w:t>3.1: Establish the foundations for national One Health surveillance.</w:t>
                            </w:r>
                          </w:p>
                          <w:p w14:paraId="3FC5ADB4" w14:textId="77777777" w:rsidR="0050772D" w:rsidRPr="00253009" w:rsidRDefault="0050772D" w:rsidP="00253009">
                            <w:pPr>
                              <w:spacing w:after="120" w:line="240" w:lineRule="auto"/>
                            </w:pPr>
                            <w:r w:rsidRPr="00253009">
                              <w:t>3.2: Agree the objectives of surveillance for each sector, ensuring they align with the overarching objectives for the national One Health surveillance system.</w:t>
                            </w:r>
                          </w:p>
                          <w:p w14:paraId="1DA599CD" w14:textId="77777777" w:rsidR="0050772D" w:rsidRPr="00253009" w:rsidRDefault="0050772D" w:rsidP="00253009">
                            <w:pPr>
                              <w:spacing w:after="120" w:line="240" w:lineRule="auto"/>
                            </w:pPr>
                            <w:r w:rsidRPr="00253009">
                              <w:t>3.3: Develop lists of priority organisms and associated antimicrobials for national reporting.</w:t>
                            </w:r>
                          </w:p>
                          <w:p w14:paraId="750A04EB" w14:textId="77777777" w:rsidR="0050772D" w:rsidRPr="00253009" w:rsidRDefault="0050772D" w:rsidP="00253009">
                            <w:pPr>
                              <w:spacing w:after="120" w:line="240" w:lineRule="auto"/>
                            </w:pPr>
                            <w:r w:rsidRPr="00253009">
                              <w:t>3.4: Agree and implement a uniform standard for laboratory testing methods for antibacterial susceptibility.</w:t>
                            </w:r>
                          </w:p>
                          <w:p w14:paraId="1C6B9519" w14:textId="77777777" w:rsidR="0050772D" w:rsidRPr="00253009" w:rsidRDefault="0050772D" w:rsidP="00253009">
                            <w:pPr>
                              <w:spacing w:after="120" w:line="240" w:lineRule="auto"/>
                            </w:pPr>
                            <w:r w:rsidRPr="00253009">
                              <w:t>3.5: Improve human health surveillance.</w:t>
                            </w:r>
                          </w:p>
                          <w:p w14:paraId="66439EF2" w14:textId="77777777" w:rsidR="0050772D" w:rsidRPr="00253009" w:rsidRDefault="0050772D" w:rsidP="00253009">
                            <w:pPr>
                              <w:spacing w:after="120" w:line="240" w:lineRule="auto"/>
                            </w:pPr>
                            <w:r w:rsidRPr="00253009">
                              <w:t>3.6: Improve animal health and agriculture surveillance</w:t>
                            </w:r>
                          </w:p>
                          <w:p w14:paraId="4B3592F7" w14:textId="77777777" w:rsidR="0050772D" w:rsidRPr="00253009" w:rsidRDefault="0050772D" w:rsidP="00253009">
                            <w:pPr>
                              <w:spacing w:after="120" w:line="240" w:lineRule="auto"/>
                            </w:pPr>
                            <w:r w:rsidRPr="00253009">
                              <w:t>3.7: Investigate requirements for surveillance in food</w:t>
                            </w:r>
                          </w:p>
                        </w:txbxContent>
                      </wps:txbx>
                      <wps:bodyPr rot="0" vert="horz" wrap="square" lIns="91440" tIns="45720" rIns="91440" bIns="45720" anchor="t" anchorCtr="0">
                        <a:noAutofit/>
                      </wps:bodyPr>
                    </wps:wsp>
                  </a:graphicData>
                </a:graphic>
              </wp:inline>
            </w:drawing>
          </mc:Choice>
          <mc:Fallback>
            <w:pict>
              <v:shape w14:anchorId="68F37436" id="_x0000_s1036" type="#_x0000_t202" style="width:471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" fillcolor="white [3201]" strokecolor="#c45911 [2405]" strokeweight=".25pt">
                <v:textbox>
                  <w:txbxContent>
                    <w:p w14:paraId="5360AB2C" w14:textId="77777777" w:rsidR="0050772D" w:rsidRPr="00253009" w:rsidRDefault="0050772D" w:rsidP="00253009">
                      <w:pPr>
                        <w:spacing w:after="120" w:line="240" w:lineRule="auto"/>
                        <w:rPr>
                          <w:b/>
                        </w:rPr>
                      </w:pPr>
                      <w:bookmarkStart w:id="48" w:name="_Toc9112709"/>
                      <w:bookmarkStart w:id="49" w:name="_Toc9116433"/>
                      <w:bookmarkStart w:id="50" w:name="_Toc9169876"/>
                      <w:r w:rsidRPr="00253009">
                        <w:rPr>
                          <w:b/>
                        </w:rPr>
                        <w:t>Priority Areas for Action</w:t>
                      </w:r>
                      <w:bookmarkEnd w:id="48"/>
                      <w:bookmarkEnd w:id="49"/>
                      <w:bookmarkEnd w:id="50"/>
                      <w:r w:rsidRPr="00253009">
                        <w:rPr>
                          <w:b/>
                        </w:rPr>
                        <w:t xml:space="preserve"> </w:t>
                      </w:r>
                    </w:p>
                    <w:p w14:paraId="3E939B9D" w14:textId="77777777" w:rsidR="0050772D" w:rsidRPr="00253009" w:rsidRDefault="0050772D" w:rsidP="00253009">
                      <w:pPr>
                        <w:spacing w:after="120" w:line="240" w:lineRule="auto"/>
                      </w:pPr>
                      <w:r w:rsidRPr="00253009">
                        <w:t>3.1: Establish the foundations for national One Health surveillance.</w:t>
                      </w:r>
                    </w:p>
                    <w:p w14:paraId="3FC5ADB4" w14:textId="77777777" w:rsidR="0050772D" w:rsidRPr="00253009" w:rsidRDefault="0050772D" w:rsidP="00253009">
                      <w:pPr>
                        <w:spacing w:after="120" w:line="240" w:lineRule="auto"/>
                      </w:pPr>
                      <w:r w:rsidRPr="00253009">
                        <w:t>3.2: Agree the objectives of surveillance for each sector, ensuring they align with the overarching objectives for the national One Health surveillance system.</w:t>
                      </w:r>
                    </w:p>
                    <w:p w14:paraId="1DA599CD" w14:textId="77777777" w:rsidR="0050772D" w:rsidRPr="00253009" w:rsidRDefault="0050772D" w:rsidP="00253009">
                      <w:pPr>
                        <w:spacing w:after="120" w:line="240" w:lineRule="auto"/>
                      </w:pPr>
                      <w:r w:rsidRPr="00253009">
                        <w:t>3.3: Develop lists of priority organisms and associated antimicrobials for national reporting.</w:t>
                      </w:r>
                    </w:p>
                    <w:p w14:paraId="750A04EB" w14:textId="77777777" w:rsidR="0050772D" w:rsidRPr="00253009" w:rsidRDefault="0050772D" w:rsidP="00253009">
                      <w:pPr>
                        <w:spacing w:after="120" w:line="240" w:lineRule="auto"/>
                      </w:pPr>
                      <w:r w:rsidRPr="00253009">
                        <w:t>3.4: Agree and implement a uniform standard for laboratory testing methods for antibacterial susceptibility.</w:t>
                      </w:r>
                    </w:p>
                    <w:p w14:paraId="1C6B9519" w14:textId="77777777" w:rsidR="0050772D" w:rsidRPr="00253009" w:rsidRDefault="0050772D" w:rsidP="00253009">
                      <w:pPr>
                        <w:spacing w:after="120" w:line="240" w:lineRule="auto"/>
                      </w:pPr>
                      <w:r w:rsidRPr="00253009">
                        <w:t>3.5: Improve human health surveillance.</w:t>
                      </w:r>
                    </w:p>
                    <w:p w14:paraId="66439EF2" w14:textId="77777777" w:rsidR="0050772D" w:rsidRPr="00253009" w:rsidRDefault="0050772D" w:rsidP="00253009">
                      <w:pPr>
                        <w:spacing w:after="120" w:line="240" w:lineRule="auto"/>
                      </w:pPr>
                      <w:r w:rsidRPr="00253009">
                        <w:t>3.6: Improve animal health and agriculture surveillance</w:t>
                      </w:r>
                    </w:p>
                    <w:p w14:paraId="4B3592F7" w14:textId="77777777" w:rsidR="0050772D" w:rsidRPr="00253009" w:rsidRDefault="0050772D" w:rsidP="00253009">
                      <w:pPr>
                        <w:spacing w:after="120" w:line="240" w:lineRule="auto"/>
                      </w:pPr>
                      <w:r w:rsidRPr="00253009">
                        <w:t>3.7: Investigate requirements for surveillance in food</w:t>
                      </w:r>
                    </w:p>
                  </w:txbxContent>
                </v:textbox>
                <w10:anchorlock/>
              </v:shape>
            </w:pict>
          </mc:Fallback>
        </mc:AlternateContent>
      </w:r>
    </w:p>
    <w:p w14:paraId="1DF392DD" w14:textId="60C2799C" w:rsidR="00FD7741" w:rsidRPr="00703059" w:rsidRDefault="004221C9" w:rsidP="004A21EA">
      <w:pPr>
        <w:rPr>
          <w:lang w:val="en-US"/>
        </w:rPr>
      </w:pPr>
      <w:r w:rsidRPr="00703059">
        <w:rPr>
          <w:lang w:val="en-US"/>
        </w:rPr>
        <w:t xml:space="preserve">Nationally </w:t>
      </w:r>
      <w:r w:rsidRPr="00E23FF1">
        <w:t>harmonised</w:t>
      </w:r>
      <w:r w:rsidRPr="00703059">
        <w:rPr>
          <w:lang w:val="en-US"/>
        </w:rPr>
        <w:t xml:space="preserve"> and coordinated surveillance of antimicrobial resistance (AMR) and antimicrobial usage (AU) is essential to understand the magnitude, distribution and impact of resistant organisms and antimicrobial usage, identify emerging resistance and trends, and determine associations between usage and resistance.  Surveillance is needed</w:t>
      </w:r>
      <w:r w:rsidR="00276183">
        <w:rPr>
          <w:lang w:val="en-US"/>
        </w:rPr>
        <w:t xml:space="preserve"> </w:t>
      </w:r>
      <w:r w:rsidRPr="00703059">
        <w:rPr>
          <w:lang w:val="en-US"/>
        </w:rPr>
        <w:t>to inform and support local strategies to improve AU, prevent and contain AMR, and improve patient outcomes by providing Australia-specific data</w:t>
      </w:r>
      <w:r w:rsidR="00FD7741" w:rsidRPr="00703059">
        <w:rPr>
          <w:lang w:val="en-US"/>
        </w:rPr>
        <w:t>.</w:t>
      </w:r>
    </w:p>
    <w:p w14:paraId="70537F24" w14:textId="14E82C5A" w:rsidR="004221C9" w:rsidRPr="000A181F" w:rsidRDefault="004221C9" w:rsidP="004A21EA">
      <w:r w:rsidRPr="00703059">
        <w:rPr>
          <w:lang w:val="en-US"/>
        </w:rPr>
        <w:t xml:space="preserve">Surveillance data provide evidence to evaluate policies, set priorities and identify where immediate action is required and where resources need to be targeted.  While Australia’s </w:t>
      </w:r>
      <w:r w:rsidRPr="001655D1">
        <w:rPr>
          <w:i/>
          <w:lang w:val="en-US"/>
        </w:rPr>
        <w:t xml:space="preserve">First </w:t>
      </w:r>
      <w:r w:rsidR="001655D1" w:rsidRPr="001655D1">
        <w:rPr>
          <w:i/>
          <w:lang w:val="en-US"/>
        </w:rPr>
        <w:t>Strategy</w:t>
      </w:r>
      <w:r w:rsidR="001655D1">
        <w:rPr>
          <w:lang w:val="en-US"/>
        </w:rPr>
        <w:t xml:space="preserve"> </w:t>
      </w:r>
      <w:r w:rsidRPr="00703059">
        <w:rPr>
          <w:lang w:val="en-US"/>
        </w:rPr>
        <w:t>outlined actions to guide the development of national surveillance programs across human health, animal health and animal and agriculture sectors, this objective will now consider to what extent food and environment components could be incorporated into national surveillance. The long term goal is to esta</w:t>
      </w:r>
      <w:r w:rsidRPr="000A181F">
        <w:rPr>
          <w:lang w:val="en-US"/>
        </w:rPr>
        <w:t>blish an integrated One Health surveillance system</w:t>
      </w:r>
      <w:r w:rsidRPr="000A181F">
        <w:t xml:space="preserve">. </w:t>
      </w:r>
    </w:p>
    <w:p w14:paraId="54A747CF" w14:textId="77777777" w:rsidR="004221C9" w:rsidRPr="00045EEC" w:rsidRDefault="004221C9" w:rsidP="004A21EA">
      <w:pPr>
        <w:pStyle w:val="Heading3"/>
      </w:pPr>
      <w:bookmarkStart w:id="51" w:name="_Toc9112710"/>
      <w:bookmarkStart w:id="52" w:name="_Toc10812321"/>
      <w:r w:rsidRPr="000A181F">
        <w:t>What have we achieved?</w:t>
      </w:r>
      <w:bookmarkEnd w:id="51"/>
      <w:bookmarkEnd w:id="52"/>
    </w:p>
    <w:p w14:paraId="51324C50" w14:textId="24E8DDF4" w:rsidR="005877A6" w:rsidRPr="004A21EA" w:rsidRDefault="005877A6" w:rsidP="004A21EA">
      <w:pPr>
        <w:pStyle w:val="ListParagraph"/>
        <w:numPr>
          <w:ilvl w:val="0"/>
          <w:numId w:val="45"/>
        </w:numPr>
        <w:spacing w:after="120" w:line="240" w:lineRule="auto"/>
        <w:rPr>
          <w:rFonts w:cstheme="minorHAnsi"/>
        </w:rPr>
      </w:pPr>
      <w:r w:rsidRPr="004A21EA">
        <w:rPr>
          <w:rFonts w:cstheme="minorHAnsi"/>
        </w:rPr>
        <w:t xml:space="preserve">Governance arrangements have been put in place to ensure cross-sector collaboration and sharing of expertise to improve One Health surveillance data across </w:t>
      </w:r>
      <w:r w:rsidR="00817DC9" w:rsidRPr="004A21EA">
        <w:rPr>
          <w:rFonts w:cstheme="minorHAnsi"/>
        </w:rPr>
        <w:t>Australia</w:t>
      </w:r>
      <w:r w:rsidRPr="004A21EA">
        <w:rPr>
          <w:rFonts w:cstheme="minorHAnsi"/>
        </w:rPr>
        <w:t xml:space="preserve">. This is facilitated through members’ updates at meetings of the </w:t>
      </w:r>
      <w:r w:rsidR="00817DC9" w:rsidRPr="004A21EA">
        <w:rPr>
          <w:rFonts w:cstheme="minorHAnsi"/>
        </w:rPr>
        <w:t>ASTAG and their working groups.</w:t>
      </w:r>
    </w:p>
    <w:p w14:paraId="05591DC9" w14:textId="6D0B39E7" w:rsidR="00FF04D4" w:rsidRPr="004A21EA" w:rsidRDefault="00FF04D4" w:rsidP="004A21EA">
      <w:pPr>
        <w:pStyle w:val="ListParagraph"/>
        <w:numPr>
          <w:ilvl w:val="0"/>
          <w:numId w:val="45"/>
        </w:numPr>
        <w:spacing w:after="120" w:line="240" w:lineRule="auto"/>
        <w:rPr>
          <w:rFonts w:cstheme="minorHAnsi"/>
        </w:rPr>
      </w:pPr>
      <w:r w:rsidRPr="004A21EA">
        <w:rPr>
          <w:rFonts w:cstheme="minorHAnsi"/>
        </w:rPr>
        <w:t>Australia has developed a list of priority organisms for human health and associated antimicrobials for national reporting.</w:t>
      </w:r>
    </w:p>
    <w:p w14:paraId="67866C6E" w14:textId="01EB67C4" w:rsidR="005877A6" w:rsidRPr="004A21EA" w:rsidRDefault="005877A6" w:rsidP="004A21EA">
      <w:pPr>
        <w:pStyle w:val="ListParagraph"/>
        <w:numPr>
          <w:ilvl w:val="0"/>
          <w:numId w:val="45"/>
        </w:numPr>
        <w:spacing w:after="120" w:line="240" w:lineRule="auto"/>
        <w:rPr>
          <w:rFonts w:cstheme="minorHAnsi"/>
        </w:rPr>
      </w:pPr>
      <w:r w:rsidRPr="004A21EA">
        <w:rPr>
          <w:rFonts w:cstheme="minorHAnsi"/>
        </w:rPr>
        <w:lastRenderedPageBreak/>
        <w:t xml:space="preserve">Australia, through the Australian Commission on Safety and Quality in Health Care (the Commission), has </w:t>
      </w:r>
      <w:r w:rsidR="00071048" w:rsidRPr="004A21EA">
        <w:rPr>
          <w:rFonts w:cstheme="minorHAnsi"/>
        </w:rPr>
        <w:t xml:space="preserve">established the Antimicrobial Use and Resistance in Australia (AURA) Surveillance System. AURA collects and reports human health data from partner programs across acute and community healthcare settings, and provides integrated reporting on priority organisms and antimicrobial use, and appropriateness of use, at a national level. </w:t>
      </w:r>
    </w:p>
    <w:p w14:paraId="581B2B55" w14:textId="28A6A7A4" w:rsidR="005877A6" w:rsidRPr="004A21EA" w:rsidRDefault="005A3681" w:rsidP="004A21EA">
      <w:pPr>
        <w:pStyle w:val="ListParagraph"/>
        <w:numPr>
          <w:ilvl w:val="0"/>
          <w:numId w:val="45"/>
        </w:numPr>
        <w:spacing w:after="120" w:line="240" w:lineRule="auto"/>
        <w:rPr>
          <w:rFonts w:cstheme="minorHAnsi"/>
        </w:rPr>
      </w:pPr>
      <w:r w:rsidRPr="004A21EA">
        <w:rPr>
          <w:rFonts w:cstheme="minorHAnsi"/>
        </w:rPr>
        <w:t>The Commission has also established CARAlert, which collects data on nationally agreed priority organisms</w:t>
      </w:r>
      <w:r w:rsidR="00D13981" w:rsidRPr="004A21EA">
        <w:rPr>
          <w:rFonts w:cstheme="minorHAnsi"/>
        </w:rPr>
        <w:t xml:space="preserve"> that are resistant to last-line </w:t>
      </w:r>
      <w:r w:rsidRPr="004A21EA">
        <w:rPr>
          <w:rFonts w:cstheme="minorHAnsi"/>
        </w:rPr>
        <w:t xml:space="preserve">antimicrobial agents, known as critical antimicrobial resistances (CARs). AURA reports are currently published on an annual basis. </w:t>
      </w:r>
    </w:p>
    <w:p w14:paraId="6A85C527" w14:textId="4F540A38" w:rsidR="005877A6" w:rsidRPr="004A21EA" w:rsidRDefault="005A3681" w:rsidP="004A21EA">
      <w:pPr>
        <w:pStyle w:val="ListParagraph"/>
        <w:numPr>
          <w:ilvl w:val="0"/>
          <w:numId w:val="45"/>
        </w:numPr>
        <w:spacing w:after="120" w:line="240" w:lineRule="auto"/>
        <w:rPr>
          <w:rFonts w:cstheme="minorHAnsi"/>
        </w:rPr>
      </w:pPr>
      <w:r w:rsidRPr="004A21EA">
        <w:rPr>
          <w:rFonts w:cstheme="minorHAnsi"/>
        </w:rPr>
        <w:t xml:space="preserve">Four core surveillance programs provide the foundations of AURA: </w:t>
      </w:r>
      <w:r w:rsidR="005A3200" w:rsidRPr="004A21EA">
        <w:rPr>
          <w:rFonts w:cstheme="minorHAnsi"/>
        </w:rPr>
        <w:t>the Australian Group on Antimicrobial Resistance (</w:t>
      </w:r>
      <w:r w:rsidRPr="004A21EA">
        <w:rPr>
          <w:rFonts w:cstheme="minorHAnsi"/>
        </w:rPr>
        <w:t>AGAR</w:t>
      </w:r>
      <w:r w:rsidR="005A3200" w:rsidRPr="004A21EA">
        <w:rPr>
          <w:rFonts w:cstheme="minorHAnsi"/>
        </w:rPr>
        <w:t>)</w:t>
      </w:r>
      <w:r w:rsidRPr="004A21EA">
        <w:rPr>
          <w:rFonts w:cstheme="minorHAnsi"/>
        </w:rPr>
        <w:t>;</w:t>
      </w:r>
      <w:r w:rsidR="00FA1770" w:rsidRPr="004A21EA">
        <w:rPr>
          <w:rFonts w:cstheme="minorHAnsi"/>
        </w:rPr>
        <w:t xml:space="preserve"> </w:t>
      </w:r>
      <w:r w:rsidR="005A3200" w:rsidRPr="004A21EA">
        <w:rPr>
          <w:rFonts w:cstheme="minorHAnsi"/>
        </w:rPr>
        <w:t>the National Antimicrobial Utilisation Surveillance Program (</w:t>
      </w:r>
      <w:r w:rsidRPr="004A21EA">
        <w:rPr>
          <w:rFonts w:cstheme="minorHAnsi"/>
        </w:rPr>
        <w:t>NAUSP</w:t>
      </w:r>
      <w:r w:rsidR="005A3200" w:rsidRPr="004A21EA">
        <w:rPr>
          <w:rFonts w:cstheme="minorHAnsi"/>
        </w:rPr>
        <w:t>)</w:t>
      </w:r>
      <w:r w:rsidRPr="004A21EA">
        <w:rPr>
          <w:rFonts w:cstheme="minorHAnsi"/>
        </w:rPr>
        <w:t xml:space="preserve">; </w:t>
      </w:r>
      <w:r w:rsidR="005A3200" w:rsidRPr="004A21EA">
        <w:rPr>
          <w:rFonts w:cstheme="minorHAnsi"/>
        </w:rPr>
        <w:t>the National Antimicrobial Prescribing Survey (</w:t>
      </w:r>
      <w:r w:rsidRPr="004A21EA">
        <w:rPr>
          <w:rFonts w:cstheme="minorHAnsi"/>
        </w:rPr>
        <w:t>NAPS</w:t>
      </w:r>
      <w:r w:rsidR="005A3200" w:rsidRPr="004A21EA">
        <w:rPr>
          <w:rFonts w:cstheme="minorHAnsi"/>
        </w:rPr>
        <w:t>)</w:t>
      </w:r>
      <w:r w:rsidRPr="004A21EA">
        <w:rPr>
          <w:rFonts w:cstheme="minorHAnsi"/>
        </w:rPr>
        <w:t xml:space="preserve">; and the Australian Passive AMR Surveillance system (using the OrgTrx IT platform). </w:t>
      </w:r>
    </w:p>
    <w:p w14:paraId="455FA371" w14:textId="77777777" w:rsidR="005877A6" w:rsidRPr="004A21EA" w:rsidRDefault="0095393B" w:rsidP="004A21EA">
      <w:pPr>
        <w:pStyle w:val="ListParagraph"/>
        <w:numPr>
          <w:ilvl w:val="0"/>
          <w:numId w:val="45"/>
        </w:numPr>
        <w:spacing w:after="120" w:line="240" w:lineRule="auto"/>
        <w:rPr>
          <w:rFonts w:cstheme="minorHAnsi"/>
        </w:rPr>
      </w:pPr>
      <w:r w:rsidRPr="004A21EA">
        <w:rPr>
          <w:rFonts w:cstheme="minorHAnsi"/>
        </w:rPr>
        <w:t xml:space="preserve">The Australian Government Department of Agriculture and Water Resources has </w:t>
      </w:r>
      <w:r w:rsidR="00A062A9" w:rsidRPr="004A21EA">
        <w:rPr>
          <w:rFonts w:cstheme="minorHAnsi"/>
        </w:rPr>
        <w:t>completed three</w:t>
      </w:r>
      <w:r w:rsidRPr="004A21EA">
        <w:rPr>
          <w:rFonts w:cstheme="minorHAnsi"/>
        </w:rPr>
        <w:t xml:space="preserve"> proof-of-concept AMR surveillance projects in</w:t>
      </w:r>
      <w:r w:rsidR="00A062A9" w:rsidRPr="004A21EA">
        <w:rPr>
          <w:rFonts w:cstheme="minorHAnsi"/>
        </w:rPr>
        <w:t xml:space="preserve"> the</w:t>
      </w:r>
      <w:r w:rsidRPr="004A21EA">
        <w:rPr>
          <w:rFonts w:cstheme="minorHAnsi"/>
        </w:rPr>
        <w:t xml:space="preserve"> pig, chicken meat,</w:t>
      </w:r>
      <w:r w:rsidR="00A062A9" w:rsidRPr="004A21EA">
        <w:rPr>
          <w:rFonts w:cstheme="minorHAnsi"/>
        </w:rPr>
        <w:t xml:space="preserve"> and layer chicken</w:t>
      </w:r>
      <w:r w:rsidRPr="004A21EA">
        <w:rPr>
          <w:rFonts w:cstheme="minorHAnsi"/>
        </w:rPr>
        <w:t xml:space="preserve"> industries</w:t>
      </w:r>
      <w:r w:rsidR="0082080B" w:rsidRPr="004A21EA">
        <w:rPr>
          <w:rFonts w:cstheme="minorHAnsi"/>
        </w:rPr>
        <w:t xml:space="preserve"> in mid-</w:t>
      </w:r>
      <w:r w:rsidR="00A062A9" w:rsidRPr="004A21EA">
        <w:rPr>
          <w:rFonts w:cstheme="minorHAnsi"/>
        </w:rPr>
        <w:t>2018. These have shown good results about the current prevalence of resistance against specified antimicrobials in one or more indicator organisms.</w:t>
      </w:r>
    </w:p>
    <w:p w14:paraId="6DBDB146" w14:textId="3FDDD795" w:rsidR="00A062A9" w:rsidRPr="004A21EA" w:rsidRDefault="00A062A9" w:rsidP="004A21EA">
      <w:pPr>
        <w:pStyle w:val="ListParagraph"/>
        <w:numPr>
          <w:ilvl w:val="0"/>
          <w:numId w:val="45"/>
        </w:numPr>
        <w:spacing w:after="120" w:line="240" w:lineRule="auto"/>
        <w:rPr>
          <w:rFonts w:cstheme="minorHAnsi"/>
        </w:rPr>
      </w:pPr>
      <w:r w:rsidRPr="004A21EA">
        <w:rPr>
          <w:rFonts w:cstheme="minorHAnsi"/>
        </w:rPr>
        <w:t xml:space="preserve">The </w:t>
      </w:r>
      <w:r w:rsidR="00817DC9" w:rsidRPr="004A21EA">
        <w:rPr>
          <w:rFonts w:cstheme="minorHAnsi"/>
        </w:rPr>
        <w:t xml:space="preserve">Australian Government Department of Agriculture and Water Resources </w:t>
      </w:r>
      <w:r w:rsidR="0082080B" w:rsidRPr="004A21EA">
        <w:rPr>
          <w:rFonts w:cstheme="minorHAnsi"/>
        </w:rPr>
        <w:t xml:space="preserve">has </w:t>
      </w:r>
      <w:r w:rsidRPr="004A21EA">
        <w:rPr>
          <w:rFonts w:cstheme="minorHAnsi"/>
        </w:rPr>
        <w:t>progressed a</w:t>
      </w:r>
      <w:r w:rsidR="005877A6" w:rsidRPr="004A21EA">
        <w:rPr>
          <w:rFonts w:cstheme="minorHAnsi"/>
        </w:rPr>
        <w:t>n AMR</w:t>
      </w:r>
      <w:r w:rsidRPr="004A21EA">
        <w:rPr>
          <w:rFonts w:cstheme="minorHAnsi"/>
        </w:rPr>
        <w:t xml:space="preserve"> survey in the Tasmania salmon industry</w:t>
      </w:r>
      <w:r w:rsidR="0082080B" w:rsidRPr="004A21EA">
        <w:rPr>
          <w:rFonts w:cstheme="minorHAnsi"/>
        </w:rPr>
        <w:t xml:space="preserve"> as well as commencing activity towards AMR survey</w:t>
      </w:r>
      <w:r w:rsidR="005877A6" w:rsidRPr="004A21EA">
        <w:rPr>
          <w:rFonts w:cstheme="minorHAnsi"/>
        </w:rPr>
        <w:t>s</w:t>
      </w:r>
      <w:r w:rsidR="0082080B" w:rsidRPr="004A21EA">
        <w:rPr>
          <w:rFonts w:cstheme="minorHAnsi"/>
        </w:rPr>
        <w:t xml:space="preserve"> in the Australian barramundi</w:t>
      </w:r>
      <w:r w:rsidR="005877A6" w:rsidRPr="004A21EA">
        <w:rPr>
          <w:rFonts w:cstheme="minorHAnsi"/>
        </w:rPr>
        <w:t xml:space="preserve">, and Australian chicken egg </w:t>
      </w:r>
      <w:r w:rsidR="0082080B" w:rsidRPr="004A21EA">
        <w:rPr>
          <w:rFonts w:cstheme="minorHAnsi"/>
        </w:rPr>
        <w:t>industr</w:t>
      </w:r>
      <w:r w:rsidR="005877A6" w:rsidRPr="004A21EA">
        <w:rPr>
          <w:rFonts w:cstheme="minorHAnsi"/>
        </w:rPr>
        <w:t xml:space="preserve">ies. </w:t>
      </w:r>
    </w:p>
    <w:p w14:paraId="06582E42" w14:textId="48A202F0" w:rsidR="005877A6" w:rsidRPr="004A21EA" w:rsidRDefault="005877A6" w:rsidP="004A21EA">
      <w:pPr>
        <w:pStyle w:val="ListParagraph"/>
        <w:numPr>
          <w:ilvl w:val="0"/>
          <w:numId w:val="45"/>
        </w:numPr>
        <w:spacing w:after="120" w:line="240" w:lineRule="auto"/>
        <w:rPr>
          <w:rFonts w:cstheme="minorHAnsi"/>
        </w:rPr>
      </w:pPr>
      <w:r w:rsidRPr="004A21EA">
        <w:rPr>
          <w:rFonts w:cstheme="minorHAnsi"/>
        </w:rPr>
        <w:t xml:space="preserve">The Imported Food Inspection Scheme tests for residues of specific antimicrobials in imported farmed seafood (nitrofurans, malachite green and fluoroquinolones) and, as of </w:t>
      </w:r>
      <w:r w:rsidR="00817DC9" w:rsidRPr="004A21EA">
        <w:rPr>
          <w:rFonts w:cstheme="minorHAnsi"/>
        </w:rPr>
        <w:br/>
      </w:r>
      <w:r w:rsidRPr="004A21EA">
        <w:rPr>
          <w:rFonts w:cstheme="minorHAnsi"/>
        </w:rPr>
        <w:t>26 April 2018, in raw meat products (fluoroquinolones, ceftiofur and virginiamycin).</w:t>
      </w:r>
    </w:p>
    <w:p w14:paraId="27C59B85" w14:textId="298071F9" w:rsidR="00DF10CE" w:rsidRPr="004A21EA" w:rsidRDefault="00DF10CE" w:rsidP="004A21EA">
      <w:pPr>
        <w:pStyle w:val="ListParagraph"/>
        <w:numPr>
          <w:ilvl w:val="0"/>
          <w:numId w:val="45"/>
        </w:numPr>
        <w:spacing w:after="120" w:line="240" w:lineRule="auto"/>
        <w:rPr>
          <w:rFonts w:cstheme="minorHAnsi"/>
        </w:rPr>
      </w:pPr>
      <w:r w:rsidRPr="004A21EA">
        <w:rPr>
          <w:rFonts w:cstheme="minorHAnsi"/>
        </w:rPr>
        <w:t>The Australian Government Department of Health is funding a literature review to determine the extent to which AMR is present in food, the extent to which food is a route of transmission of AMR and to identify gaps to inform decision making about the extent of surveillance required and future work.</w:t>
      </w:r>
    </w:p>
    <w:p w14:paraId="3FA118E0" w14:textId="182E7C37" w:rsidR="00DF10CE" w:rsidRPr="004A21EA" w:rsidRDefault="00DF10CE" w:rsidP="004A21EA">
      <w:pPr>
        <w:pStyle w:val="ListParagraph"/>
        <w:numPr>
          <w:ilvl w:val="0"/>
          <w:numId w:val="45"/>
        </w:numPr>
        <w:spacing w:after="120" w:line="240" w:lineRule="auto"/>
        <w:rPr>
          <w:rFonts w:cstheme="minorHAnsi"/>
        </w:rPr>
      </w:pPr>
      <w:r w:rsidRPr="004A21EA">
        <w:rPr>
          <w:rFonts w:cstheme="minorHAnsi"/>
        </w:rPr>
        <w:t>Food Standards Australia New Zealand (FSANZ) has initiated a project on AMR in the food supply chain</w:t>
      </w:r>
      <w:r w:rsidR="00710708" w:rsidRPr="004A21EA">
        <w:rPr>
          <w:rFonts w:cstheme="minorHAnsi"/>
        </w:rPr>
        <w:t>, which aims to clarify the role of FSANZ in assessing AMR in a multiagency One Health regulatory environment, and establish</w:t>
      </w:r>
      <w:r w:rsidR="00C7098F">
        <w:rPr>
          <w:rFonts w:cstheme="minorHAnsi"/>
        </w:rPr>
        <w:t>ed</w:t>
      </w:r>
      <w:r w:rsidR="00710708" w:rsidRPr="004A21EA">
        <w:rPr>
          <w:rFonts w:cstheme="minorHAnsi"/>
        </w:rPr>
        <w:t xml:space="preserve"> a framework to assess the risks of AMR in the food supply </w:t>
      </w:r>
      <w:r w:rsidR="005A3200" w:rsidRPr="004A21EA">
        <w:rPr>
          <w:rFonts w:cstheme="minorHAnsi"/>
        </w:rPr>
        <w:t>f</w:t>
      </w:r>
      <w:r w:rsidR="00710708" w:rsidRPr="004A21EA">
        <w:rPr>
          <w:rFonts w:cstheme="minorHAnsi"/>
        </w:rPr>
        <w:t>or Australian consumers.</w:t>
      </w:r>
    </w:p>
    <w:p w14:paraId="0154C237" w14:textId="0F305993" w:rsidR="00772F11" w:rsidRPr="004A21EA" w:rsidRDefault="00FF04D4" w:rsidP="004A21EA">
      <w:pPr>
        <w:pStyle w:val="ListParagraph"/>
        <w:numPr>
          <w:ilvl w:val="0"/>
          <w:numId w:val="45"/>
        </w:numPr>
        <w:spacing w:after="120" w:line="240" w:lineRule="auto"/>
        <w:rPr>
          <w:rFonts w:cstheme="minorHAnsi"/>
        </w:rPr>
      </w:pPr>
      <w:r w:rsidRPr="004A21EA">
        <w:rPr>
          <w:rFonts w:cstheme="minorHAnsi"/>
        </w:rPr>
        <w:t>In both the human and animal health secto</w:t>
      </w:r>
      <w:r w:rsidR="00676794" w:rsidRPr="004A21EA">
        <w:rPr>
          <w:rFonts w:cstheme="minorHAnsi"/>
        </w:rPr>
        <w:t xml:space="preserve">rs, work is underway </w:t>
      </w:r>
      <w:r w:rsidRPr="004A21EA">
        <w:rPr>
          <w:rFonts w:cstheme="minorHAnsi"/>
        </w:rPr>
        <w:t xml:space="preserve">to </w:t>
      </w:r>
      <w:r w:rsidR="00772F11" w:rsidRPr="004A21EA">
        <w:rPr>
          <w:rFonts w:cstheme="minorHAnsi"/>
        </w:rPr>
        <w:t xml:space="preserve">determine laboratory capacities in bacterial isolation, characterisation and </w:t>
      </w:r>
      <w:r w:rsidRPr="004A21EA">
        <w:rPr>
          <w:rFonts w:cstheme="minorHAnsi"/>
        </w:rPr>
        <w:t xml:space="preserve">uniform </w:t>
      </w:r>
      <w:r w:rsidR="00772F11" w:rsidRPr="004A21EA">
        <w:rPr>
          <w:rFonts w:cstheme="minorHAnsi"/>
        </w:rPr>
        <w:t>susceptibility testing</w:t>
      </w:r>
      <w:r w:rsidRPr="004A21EA">
        <w:rPr>
          <w:rFonts w:cstheme="minorHAnsi"/>
        </w:rPr>
        <w:t xml:space="preserve">. </w:t>
      </w:r>
    </w:p>
    <w:p w14:paraId="6DCD5DF5" w14:textId="77777777" w:rsidR="004221C9" w:rsidRPr="00045EEC" w:rsidRDefault="004221C9" w:rsidP="004A21EA">
      <w:pPr>
        <w:pStyle w:val="Heading3"/>
      </w:pPr>
      <w:bookmarkStart w:id="53" w:name="_Toc9112711"/>
      <w:bookmarkStart w:id="54" w:name="_Toc10812322"/>
      <w:r w:rsidRPr="00045EEC">
        <w:t>What are our challenges?</w:t>
      </w:r>
      <w:bookmarkEnd w:id="53"/>
      <w:bookmarkEnd w:id="54"/>
    </w:p>
    <w:p w14:paraId="55A84881" w14:textId="588F871A" w:rsidR="00DA4383" w:rsidRDefault="00ED7D22" w:rsidP="004A21EA">
      <w:pPr>
        <w:rPr>
          <w:lang w:val="en-US"/>
        </w:rPr>
      </w:pPr>
      <w:r w:rsidRPr="00703059">
        <w:rPr>
          <w:lang w:val="en-US"/>
        </w:rPr>
        <w:t>Current gaps</w:t>
      </w:r>
      <w:r w:rsidR="00817DC9">
        <w:rPr>
          <w:lang w:val="en-US"/>
        </w:rPr>
        <w:t xml:space="preserve"> </w:t>
      </w:r>
      <w:r w:rsidRPr="00703059">
        <w:rPr>
          <w:lang w:val="en-US"/>
        </w:rPr>
        <w:t>in surveillance</w:t>
      </w:r>
      <w:r w:rsidR="00817DC9">
        <w:rPr>
          <w:lang w:val="en-US"/>
        </w:rPr>
        <w:t xml:space="preserve"> and monitoring</w:t>
      </w:r>
      <w:r w:rsidRPr="00703059">
        <w:rPr>
          <w:lang w:val="en-US"/>
        </w:rPr>
        <w:t xml:space="preserve"> coverage, jurisdictional</w:t>
      </w:r>
      <w:r w:rsidR="00DA4383" w:rsidRPr="00703059">
        <w:rPr>
          <w:lang w:val="en-US"/>
        </w:rPr>
        <w:t xml:space="preserve"> differences in data collection, analysis and reporting, and the use of different diagnostic systems for undertaking susceptibility testing have resulted in a fragmented picture of antimicrobial resistance and usage in Australia.</w:t>
      </w:r>
    </w:p>
    <w:p w14:paraId="2977EF6E" w14:textId="77777777" w:rsidR="00E13238" w:rsidRDefault="00E13238" w:rsidP="00E13238">
      <w:pPr>
        <w:spacing w:after="120" w:line="240" w:lineRule="auto"/>
        <w:rPr>
          <w:rFonts w:cstheme="minorHAnsi"/>
          <w:lang w:val="en-US"/>
        </w:rPr>
      </w:pPr>
      <w:r>
        <w:rPr>
          <w:rFonts w:cstheme="minorHAnsi"/>
          <w:lang w:val="en-US"/>
        </w:rPr>
        <w:t>Human health AMR surveillance is not real time and not consistently linked to a public health response in jurisdictions. There is a clear need to incorporate the surveillance and response network for important resistant organisms into the national communicable diseases surveillance framework.</w:t>
      </w:r>
    </w:p>
    <w:p w14:paraId="153EE8DC" w14:textId="11F211D9" w:rsidR="00E13238" w:rsidRPr="00E13238" w:rsidRDefault="00E13238" w:rsidP="00E13238">
      <w:pPr>
        <w:spacing w:after="120" w:line="240" w:lineRule="auto"/>
        <w:rPr>
          <w:rFonts w:cstheme="minorHAnsi"/>
          <w:lang w:val="en-US"/>
        </w:rPr>
      </w:pPr>
      <w:r>
        <w:rPr>
          <w:rFonts w:cstheme="minorHAnsi"/>
          <w:lang w:val="en-US"/>
        </w:rPr>
        <w:t>This will require a reframing of the current AMR surveillance systems and consistent national commitment to the appropriate public health responses.</w:t>
      </w:r>
    </w:p>
    <w:p w14:paraId="7A9A7723" w14:textId="4C28B5A9" w:rsidR="004221C9" w:rsidRPr="00045EEC" w:rsidRDefault="004221C9" w:rsidP="004A21EA">
      <w:pPr>
        <w:rPr>
          <w:lang w:val="en-US"/>
        </w:rPr>
      </w:pPr>
      <w:r w:rsidRPr="000A181F">
        <w:rPr>
          <w:lang w:val="en-US"/>
        </w:rPr>
        <w:t xml:space="preserve">Establishing a national, integrated, funded, sustainable and ongoing One Health surveillance system that also caters for the notification of AMR isolates in companion animals, food and the environment </w:t>
      </w:r>
      <w:r w:rsidR="007E7363" w:rsidRPr="00045EEC">
        <w:rPr>
          <w:lang w:val="en-US"/>
        </w:rPr>
        <w:t>remains a challenge and requires a</w:t>
      </w:r>
      <w:r w:rsidR="00817DC9">
        <w:rPr>
          <w:lang w:val="en-US"/>
        </w:rPr>
        <w:t xml:space="preserve"> progressive</w:t>
      </w:r>
      <w:r w:rsidRPr="00045EEC">
        <w:rPr>
          <w:lang w:val="en-US"/>
        </w:rPr>
        <w:t xml:space="preserve"> approach.</w:t>
      </w:r>
      <w:r w:rsidR="007E7363" w:rsidRPr="00045EEC">
        <w:rPr>
          <w:lang w:val="en-US"/>
        </w:rPr>
        <w:t xml:space="preserve"> Specific challenges include:</w:t>
      </w:r>
    </w:p>
    <w:p w14:paraId="12D972BA" w14:textId="535EC9EB" w:rsidR="004221C9" w:rsidRPr="00B7594A" w:rsidRDefault="004221C9" w:rsidP="004A21EA">
      <w:pPr>
        <w:pStyle w:val="ListParagraph"/>
        <w:numPr>
          <w:ilvl w:val="0"/>
          <w:numId w:val="46"/>
        </w:numPr>
        <w:spacing w:after="120" w:line="240" w:lineRule="auto"/>
        <w:contextualSpacing w:val="0"/>
        <w:rPr>
          <w:rFonts w:cstheme="minorHAnsi"/>
        </w:rPr>
      </w:pPr>
      <w:r w:rsidRPr="00B7594A">
        <w:rPr>
          <w:rFonts w:cstheme="minorHAnsi"/>
        </w:rPr>
        <w:t>The current lack of quantitative data on antibiotic usage per animal species and sector, as well as uncertainty about data availability and needs in the food and environment sectors.</w:t>
      </w:r>
    </w:p>
    <w:p w14:paraId="7305683B" w14:textId="41D4B31C" w:rsidR="007E7363" w:rsidRPr="00B7594A" w:rsidRDefault="007E7363" w:rsidP="004A21EA">
      <w:pPr>
        <w:pStyle w:val="ListParagraph"/>
        <w:numPr>
          <w:ilvl w:val="0"/>
          <w:numId w:val="46"/>
        </w:numPr>
        <w:spacing w:after="120" w:line="240" w:lineRule="auto"/>
        <w:contextualSpacing w:val="0"/>
        <w:rPr>
          <w:rFonts w:cstheme="minorHAnsi"/>
        </w:rPr>
      </w:pPr>
      <w:r w:rsidRPr="00B7594A">
        <w:rPr>
          <w:rFonts w:cstheme="minorHAnsi"/>
        </w:rPr>
        <w:lastRenderedPageBreak/>
        <w:t xml:space="preserve">Surveillance of AMR and </w:t>
      </w:r>
      <w:r w:rsidR="00C56586">
        <w:rPr>
          <w:rFonts w:cstheme="minorHAnsi"/>
        </w:rPr>
        <w:t>AU</w:t>
      </w:r>
      <w:r w:rsidRPr="00B7594A">
        <w:rPr>
          <w:rFonts w:cstheme="minorHAnsi"/>
        </w:rPr>
        <w:t xml:space="preserve"> in animal health is not yet centrally coordinated and consists of ad hoc projects rather th</w:t>
      </w:r>
      <w:r w:rsidR="00091210">
        <w:rPr>
          <w:rFonts w:cstheme="minorHAnsi"/>
        </w:rPr>
        <w:t>an</w:t>
      </w:r>
      <w:r w:rsidRPr="00B7594A">
        <w:rPr>
          <w:rFonts w:cstheme="minorHAnsi"/>
        </w:rPr>
        <w:t xml:space="preserve"> systematic and ongoing surveillance. </w:t>
      </w:r>
    </w:p>
    <w:p w14:paraId="6053B80A" w14:textId="05ED37BA" w:rsidR="0097394A" w:rsidRPr="00B7594A" w:rsidRDefault="007E7363" w:rsidP="004A21EA">
      <w:pPr>
        <w:pStyle w:val="ListParagraph"/>
        <w:numPr>
          <w:ilvl w:val="0"/>
          <w:numId w:val="46"/>
        </w:numPr>
        <w:spacing w:after="120" w:line="240" w:lineRule="auto"/>
        <w:contextualSpacing w:val="0"/>
        <w:rPr>
          <w:rFonts w:cstheme="minorHAnsi"/>
        </w:rPr>
      </w:pPr>
      <w:r w:rsidRPr="00B7594A">
        <w:rPr>
          <w:rFonts w:cstheme="minorHAnsi"/>
        </w:rPr>
        <w:t>The extent which AMR surveillance data are comparable in human an</w:t>
      </w:r>
      <w:r w:rsidR="00FD1228" w:rsidRPr="00B7594A">
        <w:rPr>
          <w:rFonts w:cstheme="minorHAnsi"/>
        </w:rPr>
        <w:t>d</w:t>
      </w:r>
      <w:r w:rsidRPr="00B7594A">
        <w:rPr>
          <w:rFonts w:cstheme="minorHAnsi"/>
        </w:rPr>
        <w:t xml:space="preserve"> animal health is limited</w:t>
      </w:r>
      <w:r w:rsidR="0097394A" w:rsidRPr="00B7594A">
        <w:rPr>
          <w:rFonts w:cstheme="minorHAnsi"/>
        </w:rPr>
        <w:t xml:space="preserve"> for a number of reasons including</w:t>
      </w:r>
      <w:r w:rsidR="005A3200" w:rsidRPr="00B7594A">
        <w:rPr>
          <w:rFonts w:cstheme="minorHAnsi"/>
        </w:rPr>
        <w:t>:</w:t>
      </w:r>
    </w:p>
    <w:p w14:paraId="016599F9" w14:textId="086BBE83" w:rsidR="007E7363" w:rsidRPr="00B7594A" w:rsidRDefault="0097394A" w:rsidP="004A21EA">
      <w:pPr>
        <w:pStyle w:val="ListParagraph"/>
        <w:numPr>
          <w:ilvl w:val="1"/>
          <w:numId w:val="46"/>
        </w:numPr>
        <w:spacing w:after="120" w:line="240" w:lineRule="auto"/>
        <w:contextualSpacing w:val="0"/>
        <w:rPr>
          <w:rFonts w:cstheme="minorHAnsi"/>
        </w:rPr>
      </w:pPr>
      <w:r w:rsidRPr="00B7594A">
        <w:rPr>
          <w:rFonts w:cstheme="minorHAnsi"/>
        </w:rPr>
        <w:t xml:space="preserve">Variability in antibacterial susceptibility testing methods, interpretation and reporting standards across laboratories. </w:t>
      </w:r>
    </w:p>
    <w:p w14:paraId="6152A2A6" w14:textId="77777777" w:rsidR="0097394A" w:rsidRPr="00B7594A" w:rsidRDefault="0097394A" w:rsidP="004A21EA">
      <w:pPr>
        <w:pStyle w:val="ListParagraph"/>
        <w:numPr>
          <w:ilvl w:val="1"/>
          <w:numId w:val="46"/>
        </w:numPr>
        <w:spacing w:after="120" w:line="240" w:lineRule="auto"/>
        <w:contextualSpacing w:val="0"/>
        <w:rPr>
          <w:rFonts w:cstheme="minorHAnsi"/>
        </w:rPr>
      </w:pPr>
      <w:r w:rsidRPr="00B7594A">
        <w:rPr>
          <w:rFonts w:cstheme="minorHAnsi"/>
        </w:rPr>
        <w:t>Fit for purpose IT infrastructure to deliver real-time access to data across all sectors (human health, food and animal health) would enable appropriate interventions and responses.</w:t>
      </w:r>
    </w:p>
    <w:p w14:paraId="0B443B05" w14:textId="77777777" w:rsidR="001A24B2" w:rsidRDefault="004221C9" w:rsidP="004A21EA">
      <w:pPr>
        <w:rPr>
          <w:lang w:val="en-US"/>
        </w:rPr>
      </w:pPr>
      <w:r w:rsidRPr="00045EEC">
        <w:rPr>
          <w:lang w:val="en-US"/>
        </w:rPr>
        <w:t>Widespread use of multiplex polymerase chain reaction for diagnostic testing in human health will mean that, without reflex organism culture and resistance testing, information about AMR is not collected. This lack of data has implications for individual patient care as well as for surveillance and public health action.</w:t>
      </w:r>
    </w:p>
    <w:p w14:paraId="71D41445" w14:textId="653A280B" w:rsidR="004221C9" w:rsidRDefault="00A1443A" w:rsidP="004A21EA">
      <w:pPr>
        <w:rPr>
          <w:lang w:val="en-US"/>
        </w:rPr>
      </w:pPr>
      <w:r>
        <w:rPr>
          <w:lang w:val="en-US"/>
        </w:rPr>
        <w:t>In human health, w</w:t>
      </w:r>
      <w:r w:rsidR="004221C9" w:rsidRPr="00045EEC">
        <w:rPr>
          <w:lang w:val="en-US"/>
        </w:rPr>
        <w:t>hole genome sequencing could provide AMR information in terms of the presence of resistance mechanisms, but may not always reflect the phenotypic characterist</w:t>
      </w:r>
      <w:r w:rsidR="001C2E5C">
        <w:rPr>
          <w:lang w:val="en-US"/>
        </w:rPr>
        <w:t>ics necessary for patient care.</w:t>
      </w:r>
    </w:p>
    <w:p w14:paraId="031F2BE1" w14:textId="53AC5B50" w:rsidR="001C2E5C" w:rsidRPr="001C2E5C" w:rsidRDefault="001C2E5C" w:rsidP="001C2E5C">
      <w:pPr>
        <w:spacing w:after="120" w:line="240" w:lineRule="auto"/>
        <w:rPr>
          <w:rFonts w:cstheme="minorHAnsi"/>
          <w:lang w:val="en-US"/>
        </w:rPr>
      </w:pPr>
      <w:r>
        <w:rPr>
          <w:rFonts w:cstheme="minorHAnsi"/>
          <w:lang w:val="en-US"/>
        </w:rPr>
        <w:t>However the potential for ‘pathogenomics’ to help rapidly track resistant organisms across sectors and geographical areas is immense.</w:t>
      </w:r>
    </w:p>
    <w:p w14:paraId="701A9A5E" w14:textId="77777777" w:rsidR="004221C9" w:rsidRPr="00045EEC" w:rsidRDefault="004221C9" w:rsidP="004A21EA">
      <w:pPr>
        <w:pStyle w:val="Heading3"/>
      </w:pPr>
      <w:bookmarkStart w:id="55" w:name="_Toc9112712"/>
      <w:bookmarkStart w:id="56" w:name="_Toc10812323"/>
      <w:r w:rsidRPr="001C6B26">
        <w:t>Where to next?</w:t>
      </w:r>
      <w:bookmarkEnd w:id="55"/>
      <w:bookmarkEnd w:id="56"/>
    </w:p>
    <w:p w14:paraId="47A0F95D" w14:textId="77777777" w:rsidR="004221C9" w:rsidRPr="00045EEC" w:rsidRDefault="004221C9" w:rsidP="004A21EA">
      <w:bookmarkStart w:id="57" w:name="_Toc9112713"/>
      <w:r w:rsidRPr="00045EEC">
        <w:t>The evolution of AMR and AU surveillance is being informed by recommendations of recent reviews, pilot programs</w:t>
      </w:r>
      <w:bookmarkEnd w:id="57"/>
      <w:r w:rsidRPr="00045EEC">
        <w:t xml:space="preserve"> and reports. This includes exploring options to ensure surveillance systems inform action at a local level, and that appropriate response capacity and coordination is in place.</w:t>
      </w:r>
    </w:p>
    <w:p w14:paraId="058B5050" w14:textId="0BDFA1E8" w:rsidR="004221C9" w:rsidRPr="004A21EA" w:rsidRDefault="004221C9" w:rsidP="004A21EA">
      <w:pPr>
        <w:pStyle w:val="ListParagraph"/>
        <w:numPr>
          <w:ilvl w:val="0"/>
          <w:numId w:val="47"/>
        </w:numPr>
        <w:spacing w:after="120" w:line="240" w:lineRule="auto"/>
        <w:rPr>
          <w:rFonts w:cstheme="minorHAnsi"/>
        </w:rPr>
      </w:pPr>
      <w:bookmarkStart w:id="58" w:name="_Toc9112714"/>
      <w:r w:rsidRPr="004A21EA">
        <w:rPr>
          <w:rFonts w:cstheme="minorHAnsi"/>
        </w:rPr>
        <w:t>Further explore capability for real-time aggregation, analysis and reporting of AMR and AU.</w:t>
      </w:r>
      <w:bookmarkEnd w:id="58"/>
    </w:p>
    <w:p w14:paraId="11E98B4D" w14:textId="37907826" w:rsidR="00D3034A" w:rsidRPr="004A21EA" w:rsidRDefault="00D3034A" w:rsidP="004A21EA">
      <w:pPr>
        <w:pStyle w:val="ListParagraph"/>
        <w:numPr>
          <w:ilvl w:val="0"/>
          <w:numId w:val="47"/>
        </w:numPr>
        <w:spacing w:after="120" w:line="240" w:lineRule="auto"/>
        <w:rPr>
          <w:rFonts w:cstheme="minorHAnsi"/>
        </w:rPr>
      </w:pPr>
      <w:r w:rsidRPr="004A21EA">
        <w:rPr>
          <w:rFonts w:cstheme="minorHAnsi"/>
        </w:rPr>
        <w:t>Use recommendations from recent reviews a</w:t>
      </w:r>
      <w:r w:rsidR="00676794" w:rsidRPr="004A21EA">
        <w:rPr>
          <w:rFonts w:cstheme="minorHAnsi"/>
        </w:rPr>
        <w:t>nd reports to inform AMR and antimicrobial use</w:t>
      </w:r>
      <w:r w:rsidRPr="004A21EA">
        <w:rPr>
          <w:rFonts w:cstheme="minorHAnsi"/>
        </w:rPr>
        <w:t xml:space="preserve"> surveillance in animal health.</w:t>
      </w:r>
    </w:p>
    <w:p w14:paraId="3E4F4683" w14:textId="76FD69C8" w:rsidR="00D3034A" w:rsidRPr="004A21EA" w:rsidRDefault="00D3034A" w:rsidP="004A21EA">
      <w:pPr>
        <w:pStyle w:val="ListParagraph"/>
        <w:numPr>
          <w:ilvl w:val="0"/>
          <w:numId w:val="47"/>
        </w:numPr>
        <w:spacing w:after="120" w:line="240" w:lineRule="auto"/>
        <w:rPr>
          <w:rFonts w:cstheme="minorHAnsi"/>
        </w:rPr>
      </w:pPr>
      <w:r w:rsidRPr="004A21EA">
        <w:rPr>
          <w:rFonts w:cstheme="minorHAnsi"/>
        </w:rPr>
        <w:t>Explore funding options and governance arrangements for an animal health surveillance system.</w:t>
      </w:r>
    </w:p>
    <w:p w14:paraId="4C94B347" w14:textId="77777777" w:rsidR="004221C9" w:rsidRPr="004A21EA" w:rsidRDefault="004221C9" w:rsidP="004A21EA">
      <w:pPr>
        <w:pStyle w:val="ListParagraph"/>
        <w:numPr>
          <w:ilvl w:val="0"/>
          <w:numId w:val="47"/>
        </w:numPr>
        <w:spacing w:after="120" w:line="240" w:lineRule="auto"/>
        <w:rPr>
          <w:rFonts w:cstheme="minorHAnsi"/>
        </w:rPr>
      </w:pPr>
      <w:bookmarkStart w:id="59" w:name="_Toc9112715"/>
      <w:r w:rsidRPr="004A21EA">
        <w:rPr>
          <w:rFonts w:cstheme="minorHAnsi"/>
        </w:rPr>
        <w:t>Progress the alignment of antimicrobial susceptibility testing methodology and reporting across the country. This will involve addressing the barriers for implementing consistent methods and promoting the benefits of a national approach, as well as balancing testing by genomic sequencing and polymerase chain reaction (PCR) with traditional culture and sensitivity testing.</w:t>
      </w:r>
      <w:bookmarkEnd w:id="59"/>
    </w:p>
    <w:p w14:paraId="7FAE76B1" w14:textId="77777777" w:rsidR="004221C9" w:rsidRPr="004A21EA" w:rsidRDefault="004221C9" w:rsidP="004A21EA">
      <w:pPr>
        <w:pStyle w:val="ListParagraph"/>
        <w:numPr>
          <w:ilvl w:val="0"/>
          <w:numId w:val="47"/>
        </w:numPr>
        <w:spacing w:after="120" w:line="240" w:lineRule="auto"/>
        <w:rPr>
          <w:rFonts w:cstheme="minorHAnsi"/>
        </w:rPr>
      </w:pPr>
      <w:r w:rsidRPr="004A21EA">
        <w:rPr>
          <w:rFonts w:cstheme="minorHAnsi"/>
        </w:rPr>
        <w:t>Further assessment is needed to determine what AMR and AU data from the environment and food are needed to inform policy and action in Australia, and a plan developed for the staged collection and contribution of these data to a One Health surveillance system in the future.</w:t>
      </w:r>
    </w:p>
    <w:p w14:paraId="630C6494" w14:textId="508583B8" w:rsidR="004221C9" w:rsidRPr="004A21EA" w:rsidRDefault="004221C9" w:rsidP="004A21EA">
      <w:pPr>
        <w:pStyle w:val="ListParagraph"/>
        <w:numPr>
          <w:ilvl w:val="0"/>
          <w:numId w:val="47"/>
        </w:numPr>
        <w:spacing w:after="120" w:line="240" w:lineRule="auto"/>
        <w:rPr>
          <w:rFonts w:cstheme="minorHAnsi"/>
        </w:rPr>
      </w:pPr>
      <w:bookmarkStart w:id="60" w:name="_Toc9112716"/>
      <w:r w:rsidRPr="004A21EA">
        <w:rPr>
          <w:rFonts w:cstheme="minorHAnsi"/>
        </w:rPr>
        <w:t>Develop the use of genomic surveillance to better understand the spread of AMR</w:t>
      </w:r>
      <w:bookmarkEnd w:id="60"/>
      <w:r w:rsidRPr="004A21EA">
        <w:rPr>
          <w:rFonts w:cstheme="minorHAnsi"/>
        </w:rPr>
        <w:t xml:space="preserve">. </w:t>
      </w:r>
    </w:p>
    <w:p w14:paraId="6D7B5A67" w14:textId="0CB2941B" w:rsidR="004221C9" w:rsidRPr="004A21EA" w:rsidRDefault="004221C9" w:rsidP="004A21EA">
      <w:pPr>
        <w:pStyle w:val="ListParagraph"/>
        <w:numPr>
          <w:ilvl w:val="0"/>
          <w:numId w:val="47"/>
        </w:numPr>
        <w:spacing w:after="120" w:line="240" w:lineRule="auto"/>
        <w:rPr>
          <w:rFonts w:cstheme="minorHAnsi"/>
        </w:rPr>
      </w:pPr>
      <w:bookmarkStart w:id="61" w:name="_Toc9112717"/>
      <w:r w:rsidRPr="004A21EA">
        <w:rPr>
          <w:rFonts w:cstheme="minorHAnsi"/>
        </w:rPr>
        <w:t>In relation to international surveillance, we need to continue to work to ensure that Australian surveillance systems have capacity to expand Australia’s con</w:t>
      </w:r>
      <w:r w:rsidR="009A70B7" w:rsidRPr="004A21EA">
        <w:rPr>
          <w:rFonts w:cstheme="minorHAnsi"/>
        </w:rPr>
        <w:t xml:space="preserve">tribution to the global body of </w:t>
      </w:r>
      <w:r w:rsidRPr="004A21EA">
        <w:rPr>
          <w:rFonts w:cstheme="minorHAnsi"/>
        </w:rPr>
        <w:t>surveillance data, via the WHO Global AMR Surveillance System (GLASS</w:t>
      </w:r>
      <w:r w:rsidR="005A3200" w:rsidRPr="004A21EA">
        <w:rPr>
          <w:rFonts w:cstheme="minorHAnsi"/>
        </w:rPr>
        <w:t>)</w:t>
      </w:r>
      <w:r w:rsidRPr="004A21EA">
        <w:rPr>
          <w:rFonts w:cstheme="minorHAnsi"/>
        </w:rPr>
        <w:t xml:space="preserve"> </w:t>
      </w:r>
      <w:r w:rsidR="005A3200" w:rsidRPr="004A21EA">
        <w:rPr>
          <w:rFonts w:cstheme="minorHAnsi"/>
        </w:rPr>
        <w:t>(</w:t>
      </w:r>
      <w:r w:rsidRPr="004A21EA">
        <w:rPr>
          <w:rFonts w:cstheme="minorHAnsi"/>
        </w:rPr>
        <w:t>Australia is currently only contributing data on a single priority pathogen-specimen combination) and the World Organi</w:t>
      </w:r>
      <w:r w:rsidR="001113BA" w:rsidRPr="004A21EA">
        <w:rPr>
          <w:rFonts w:cstheme="minorHAnsi"/>
        </w:rPr>
        <w:t>z</w:t>
      </w:r>
      <w:r w:rsidRPr="004A21EA">
        <w:rPr>
          <w:rFonts w:cstheme="minorHAnsi"/>
        </w:rPr>
        <w:t>ation for Animal Health (OIE) global database on the use of antimicrobial agents in animals (under development)</w:t>
      </w:r>
      <w:bookmarkEnd w:id="61"/>
      <w:r w:rsidRPr="004A21EA">
        <w:rPr>
          <w:rFonts w:cstheme="minorHAnsi"/>
        </w:rPr>
        <w:t>.</w:t>
      </w:r>
    </w:p>
    <w:p w14:paraId="30481D0D" w14:textId="77777777" w:rsidR="004221C9" w:rsidRPr="004A21EA" w:rsidRDefault="004221C9" w:rsidP="004A21EA">
      <w:pPr>
        <w:pStyle w:val="ListParagraph"/>
        <w:numPr>
          <w:ilvl w:val="0"/>
          <w:numId w:val="47"/>
        </w:numPr>
        <w:spacing w:after="120" w:line="240" w:lineRule="auto"/>
        <w:rPr>
          <w:rFonts w:cstheme="minorHAnsi"/>
        </w:rPr>
      </w:pPr>
      <w:r w:rsidRPr="004A21EA">
        <w:rPr>
          <w:rFonts w:cstheme="minorHAnsi"/>
        </w:rPr>
        <w:t>Analyse the relationship between environmental, animal, food and human isolates for emerging AMR organisms through the collection of surveillance data.</w:t>
      </w:r>
    </w:p>
    <w:p w14:paraId="2AEF4914" w14:textId="682EE2D7" w:rsidR="001A24B2" w:rsidRPr="004A21EA" w:rsidRDefault="004221C9" w:rsidP="0053652E">
      <w:pPr>
        <w:pStyle w:val="ListParagraph"/>
        <w:numPr>
          <w:ilvl w:val="0"/>
          <w:numId w:val="47"/>
        </w:numPr>
        <w:spacing w:after="120" w:line="240" w:lineRule="auto"/>
        <w:rPr>
          <w:rFonts w:cstheme="minorHAnsi"/>
        </w:rPr>
      </w:pPr>
      <w:r w:rsidRPr="004A21EA">
        <w:rPr>
          <w:rFonts w:cstheme="minorHAnsi"/>
        </w:rPr>
        <w:lastRenderedPageBreak/>
        <w:t>Improve understanding risk posed to human health by resistant bacteria in the food chain.</w:t>
      </w:r>
    </w:p>
    <w:p w14:paraId="5F44D31E" w14:textId="2349F66B" w:rsidR="00920483" w:rsidRPr="004A21EA" w:rsidRDefault="00920483" w:rsidP="004A21EA">
      <w:pPr>
        <w:pStyle w:val="Heading2"/>
      </w:pPr>
      <w:bookmarkStart w:id="62" w:name="_Toc10812324"/>
      <w:r w:rsidRPr="004A21EA">
        <w:t xml:space="preserve">Objective Four: </w:t>
      </w:r>
      <w:r w:rsidR="00795A71" w:rsidRPr="004A21EA">
        <w:t>Improve infection prevention and control measures across human health and animal care settings to help prevent infections and the spread of resistance.</w:t>
      </w:r>
      <w:bookmarkEnd w:id="62"/>
    </w:p>
    <w:p w14:paraId="6E640967" w14:textId="4F496CEC" w:rsidR="00346076" w:rsidRPr="00045EEC" w:rsidRDefault="002E74FA" w:rsidP="0053652E">
      <w:pPr>
        <w:spacing w:after="120" w:line="240" w:lineRule="auto"/>
        <w:rPr>
          <w:rFonts w:cstheme="minorHAnsi"/>
        </w:rPr>
      </w:pPr>
      <w:r w:rsidRPr="00045EEC">
        <w:rPr>
          <w:rFonts w:cstheme="minorHAnsi"/>
          <w:noProof/>
        </w:rPr>
        <mc:AlternateContent>
          <mc:Choice Requires="wps">
            <w:drawing>
              <wp:inline distT="0" distB="0" distL="0" distR="0" wp14:anchorId="4EE479F2" wp14:editId="2174CB9C">
                <wp:extent cx="5981700" cy="2129883"/>
                <wp:effectExtent l="0" t="0" r="1905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29883"/>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D579350" w14:textId="77777777" w:rsidR="0050772D" w:rsidRPr="00FC019A" w:rsidRDefault="0050772D" w:rsidP="00FC019A">
                            <w:pPr>
                              <w:spacing w:after="120" w:line="240" w:lineRule="auto"/>
                              <w:rPr>
                                <w:b/>
                              </w:rPr>
                            </w:pPr>
                            <w:bookmarkStart w:id="63" w:name="_Toc9112718"/>
                            <w:bookmarkStart w:id="64" w:name="_Toc9116443"/>
                            <w:bookmarkStart w:id="65" w:name="_Toc9169886"/>
                            <w:r w:rsidRPr="00FC019A">
                              <w:rPr>
                                <w:b/>
                              </w:rPr>
                              <w:t>Priority Areas for Action</w:t>
                            </w:r>
                            <w:bookmarkEnd w:id="63"/>
                            <w:bookmarkEnd w:id="64"/>
                            <w:bookmarkEnd w:id="65"/>
                            <w:r w:rsidRPr="00FC019A">
                              <w:rPr>
                                <w:b/>
                              </w:rPr>
                              <w:t xml:space="preserve"> </w:t>
                            </w:r>
                          </w:p>
                          <w:p w14:paraId="63BB3D86" w14:textId="77777777" w:rsidR="0050772D" w:rsidRPr="00FC019A" w:rsidRDefault="0050772D" w:rsidP="00FC019A">
                            <w:pPr>
                              <w:spacing w:after="120" w:line="240" w:lineRule="auto"/>
                            </w:pPr>
                            <w:bookmarkStart w:id="66" w:name="_Toc9112719"/>
                            <w:bookmarkStart w:id="67" w:name="_Toc9116444"/>
                            <w:bookmarkStart w:id="68" w:name="_Toc9169887"/>
                            <w:r w:rsidRPr="00FC019A">
                              <w:t>4.1: Ensure the availability of evidence-based, best-practice and nationally consistent standards for IPC across human health and animal care settings.</w:t>
                            </w:r>
                            <w:bookmarkEnd w:id="66"/>
                            <w:bookmarkEnd w:id="67"/>
                            <w:bookmarkEnd w:id="68"/>
                          </w:p>
                          <w:p w14:paraId="2134393D" w14:textId="77777777" w:rsidR="0050772D" w:rsidRPr="00FC019A" w:rsidRDefault="0050772D" w:rsidP="00FC019A">
                            <w:pPr>
                              <w:spacing w:after="120" w:line="240" w:lineRule="auto"/>
                            </w:pPr>
                            <w:bookmarkStart w:id="69" w:name="_Toc9112720"/>
                            <w:bookmarkStart w:id="70" w:name="_Toc9116445"/>
                            <w:bookmarkStart w:id="71" w:name="_Toc9169888"/>
                            <w:r w:rsidRPr="00FC019A">
                              <w:t>4.2: Review existing accreditation and quality assurance programmes to ensure they appropriately support and encourage compliance with best practice IPC measures.</w:t>
                            </w:r>
                            <w:bookmarkEnd w:id="69"/>
                            <w:bookmarkEnd w:id="70"/>
                            <w:bookmarkEnd w:id="71"/>
                            <w:r w:rsidRPr="00FC019A">
                              <w:t xml:space="preserve"> </w:t>
                            </w:r>
                          </w:p>
                          <w:p w14:paraId="6B84A0CA" w14:textId="77777777" w:rsidR="0050772D" w:rsidRPr="00FC019A" w:rsidRDefault="0050772D" w:rsidP="00FC019A">
                            <w:pPr>
                              <w:spacing w:after="120" w:line="240" w:lineRule="auto"/>
                            </w:pPr>
                            <w:bookmarkStart w:id="72" w:name="_Toc9112721"/>
                            <w:bookmarkStart w:id="73" w:name="_Toc9116446"/>
                            <w:bookmarkStart w:id="74" w:name="_Toc9169889"/>
                            <w:r w:rsidRPr="00FC019A">
                              <w:t>4.3: Develop additional initiatives and resources to strengthen IPC in all human health care settings.</w:t>
                            </w:r>
                            <w:bookmarkEnd w:id="72"/>
                            <w:bookmarkEnd w:id="73"/>
                            <w:bookmarkEnd w:id="74"/>
                          </w:p>
                          <w:p w14:paraId="5A195819" w14:textId="77777777" w:rsidR="0050772D" w:rsidRPr="00FC019A" w:rsidRDefault="0050772D" w:rsidP="00FC019A">
                            <w:pPr>
                              <w:spacing w:after="120" w:line="240" w:lineRule="auto"/>
                            </w:pPr>
                            <w:bookmarkStart w:id="75" w:name="_Toc9112722"/>
                            <w:bookmarkStart w:id="76" w:name="_Toc9116447"/>
                            <w:bookmarkStart w:id="77" w:name="_Toc9169890"/>
                            <w:r w:rsidRPr="00FC019A">
                              <w:t>4.4: Further develop initiatives and resources to strengthen IPC in the livestock industry.</w:t>
                            </w:r>
                            <w:bookmarkEnd w:id="75"/>
                            <w:bookmarkEnd w:id="76"/>
                            <w:bookmarkEnd w:id="77"/>
                          </w:p>
                          <w:p w14:paraId="19559485" w14:textId="77777777" w:rsidR="0050772D" w:rsidRPr="00FC019A" w:rsidRDefault="0050772D" w:rsidP="00FC019A">
                            <w:pPr>
                              <w:spacing w:after="120" w:line="240" w:lineRule="auto"/>
                            </w:pPr>
                            <w:bookmarkStart w:id="78" w:name="_Toc9112723"/>
                            <w:bookmarkStart w:id="79" w:name="_Toc9116448"/>
                            <w:bookmarkStart w:id="80" w:name="_Toc9169891"/>
                            <w:r w:rsidRPr="00FC019A">
                              <w:t>4.5 Further develop resources to strengthen IPC in veterinary practice.</w:t>
                            </w:r>
                            <w:bookmarkEnd w:id="78"/>
                            <w:bookmarkEnd w:id="79"/>
                            <w:bookmarkEnd w:id="80"/>
                          </w:p>
                          <w:p w14:paraId="032F7934" w14:textId="77777777" w:rsidR="0050772D" w:rsidRPr="00FC019A" w:rsidRDefault="0050772D" w:rsidP="00FC019A">
                            <w:pPr>
                              <w:spacing w:after="120" w:line="240" w:lineRule="auto"/>
                            </w:pPr>
                            <w:bookmarkStart w:id="81" w:name="_Toc9112724"/>
                            <w:bookmarkStart w:id="82" w:name="_Toc9116449"/>
                            <w:bookmarkStart w:id="83" w:name="_Toc9169892"/>
                            <w:r w:rsidRPr="00FC019A">
                              <w:t>4.6 Encourage continued increases in vaccination rates to prevent infections.</w:t>
                            </w:r>
                            <w:bookmarkEnd w:id="81"/>
                            <w:bookmarkEnd w:id="82"/>
                            <w:bookmarkEnd w:id="83"/>
                          </w:p>
                        </w:txbxContent>
                      </wps:txbx>
                      <wps:bodyPr rot="0" vert="horz" wrap="square" lIns="91440" tIns="45720" rIns="91440" bIns="45720" anchor="t" anchorCtr="0">
                        <a:noAutofit/>
                      </wps:bodyPr>
                    </wps:wsp>
                  </a:graphicData>
                </a:graphic>
              </wp:inline>
            </w:drawing>
          </mc:Choice>
          <mc:Fallback>
            <w:pict>
              <v:shape w14:anchorId="4EE479F2" id="_x0000_s1037" type="#_x0000_t202" style="width:471pt;height:1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" fillcolor="white [3201]" strokecolor="#c45911 [2405]" strokeweight=".25pt">
                <v:textbox>
                  <w:txbxContent>
                    <w:p w14:paraId="3D579350" w14:textId="77777777" w:rsidR="0050772D" w:rsidRPr="00FC019A" w:rsidRDefault="0050772D" w:rsidP="00FC019A">
                      <w:pPr>
                        <w:spacing w:after="120" w:line="240" w:lineRule="auto"/>
                        <w:rPr>
                          <w:b/>
                        </w:rPr>
                      </w:pPr>
                      <w:bookmarkStart w:id="84" w:name="_Toc9112718"/>
                      <w:bookmarkStart w:id="85" w:name="_Toc9116443"/>
                      <w:bookmarkStart w:id="86" w:name="_Toc9169886"/>
                      <w:r w:rsidRPr="00FC019A">
                        <w:rPr>
                          <w:b/>
                        </w:rPr>
                        <w:t>Priority Areas for Action</w:t>
                      </w:r>
                      <w:bookmarkEnd w:id="84"/>
                      <w:bookmarkEnd w:id="85"/>
                      <w:bookmarkEnd w:id="86"/>
                      <w:r w:rsidRPr="00FC019A">
                        <w:rPr>
                          <w:b/>
                        </w:rPr>
                        <w:t xml:space="preserve"> </w:t>
                      </w:r>
                    </w:p>
                    <w:p w14:paraId="63BB3D86" w14:textId="77777777" w:rsidR="0050772D" w:rsidRPr="00FC019A" w:rsidRDefault="0050772D" w:rsidP="00FC019A">
                      <w:pPr>
                        <w:spacing w:after="120" w:line="240" w:lineRule="auto"/>
                      </w:pPr>
                      <w:bookmarkStart w:id="87" w:name="_Toc9112719"/>
                      <w:bookmarkStart w:id="88" w:name="_Toc9116444"/>
                      <w:bookmarkStart w:id="89" w:name="_Toc9169887"/>
                      <w:r w:rsidRPr="00FC019A">
                        <w:t>4.1: Ensure the availability of evidence-based, best-practice and nationally consistent standards for IPC across human health and animal care settings.</w:t>
                      </w:r>
                      <w:bookmarkEnd w:id="87"/>
                      <w:bookmarkEnd w:id="88"/>
                      <w:bookmarkEnd w:id="89"/>
                    </w:p>
                    <w:p w14:paraId="2134393D" w14:textId="77777777" w:rsidR="0050772D" w:rsidRPr="00FC019A" w:rsidRDefault="0050772D" w:rsidP="00FC019A">
                      <w:pPr>
                        <w:spacing w:after="120" w:line="240" w:lineRule="auto"/>
                      </w:pPr>
                      <w:bookmarkStart w:id="90" w:name="_Toc9112720"/>
                      <w:bookmarkStart w:id="91" w:name="_Toc9116445"/>
                      <w:bookmarkStart w:id="92" w:name="_Toc9169888"/>
                      <w:r w:rsidRPr="00FC019A">
                        <w:t>4.2: Review existing accreditation and quality assurance programmes to ensure they appropriately support and encourage compliance with best practice IPC measures.</w:t>
                      </w:r>
                      <w:bookmarkEnd w:id="90"/>
                      <w:bookmarkEnd w:id="91"/>
                      <w:bookmarkEnd w:id="92"/>
                      <w:r w:rsidRPr="00FC019A">
                        <w:t xml:space="preserve"> </w:t>
                      </w:r>
                    </w:p>
                    <w:p w14:paraId="6B84A0CA" w14:textId="77777777" w:rsidR="0050772D" w:rsidRPr="00FC019A" w:rsidRDefault="0050772D" w:rsidP="00FC019A">
                      <w:pPr>
                        <w:spacing w:after="120" w:line="240" w:lineRule="auto"/>
                      </w:pPr>
                      <w:bookmarkStart w:id="93" w:name="_Toc9112721"/>
                      <w:bookmarkStart w:id="94" w:name="_Toc9116446"/>
                      <w:bookmarkStart w:id="95" w:name="_Toc9169889"/>
                      <w:r w:rsidRPr="00FC019A">
                        <w:t>4.3: Develop additional initiatives and resources to strengthen IPC in all human health care settings.</w:t>
                      </w:r>
                      <w:bookmarkEnd w:id="93"/>
                      <w:bookmarkEnd w:id="94"/>
                      <w:bookmarkEnd w:id="95"/>
                    </w:p>
                    <w:p w14:paraId="5A195819" w14:textId="77777777" w:rsidR="0050772D" w:rsidRPr="00FC019A" w:rsidRDefault="0050772D" w:rsidP="00FC019A">
                      <w:pPr>
                        <w:spacing w:after="120" w:line="240" w:lineRule="auto"/>
                      </w:pPr>
                      <w:bookmarkStart w:id="96" w:name="_Toc9112722"/>
                      <w:bookmarkStart w:id="97" w:name="_Toc9116447"/>
                      <w:bookmarkStart w:id="98" w:name="_Toc9169890"/>
                      <w:r w:rsidRPr="00FC019A">
                        <w:t>4.4: Further develop initiatives and resources to strengthen IPC in the livestock industry.</w:t>
                      </w:r>
                      <w:bookmarkEnd w:id="96"/>
                      <w:bookmarkEnd w:id="97"/>
                      <w:bookmarkEnd w:id="98"/>
                    </w:p>
                    <w:p w14:paraId="19559485" w14:textId="77777777" w:rsidR="0050772D" w:rsidRPr="00FC019A" w:rsidRDefault="0050772D" w:rsidP="00FC019A">
                      <w:pPr>
                        <w:spacing w:after="120" w:line="240" w:lineRule="auto"/>
                      </w:pPr>
                      <w:bookmarkStart w:id="99" w:name="_Toc9112723"/>
                      <w:bookmarkStart w:id="100" w:name="_Toc9116448"/>
                      <w:bookmarkStart w:id="101" w:name="_Toc9169891"/>
                      <w:r w:rsidRPr="00FC019A">
                        <w:t>4.5 Further develop resources to strengthen IPC in veterinary practice.</w:t>
                      </w:r>
                      <w:bookmarkEnd w:id="99"/>
                      <w:bookmarkEnd w:id="100"/>
                      <w:bookmarkEnd w:id="101"/>
                    </w:p>
                    <w:p w14:paraId="032F7934" w14:textId="77777777" w:rsidR="0050772D" w:rsidRPr="00FC019A" w:rsidRDefault="0050772D" w:rsidP="00FC019A">
                      <w:pPr>
                        <w:spacing w:after="120" w:line="240" w:lineRule="auto"/>
                      </w:pPr>
                      <w:bookmarkStart w:id="102" w:name="_Toc9112724"/>
                      <w:bookmarkStart w:id="103" w:name="_Toc9116449"/>
                      <w:bookmarkStart w:id="104" w:name="_Toc9169892"/>
                      <w:r w:rsidRPr="00FC019A">
                        <w:t>4.6 Encourage continued increases in vaccination rates to prevent infections.</w:t>
                      </w:r>
                      <w:bookmarkEnd w:id="102"/>
                      <w:bookmarkEnd w:id="103"/>
                      <w:bookmarkEnd w:id="104"/>
                    </w:p>
                  </w:txbxContent>
                </v:textbox>
                <w10:anchorlock/>
              </v:shape>
            </w:pict>
          </mc:Fallback>
        </mc:AlternateContent>
      </w:r>
    </w:p>
    <w:p w14:paraId="66A53D3D" w14:textId="3C0D240A" w:rsidR="004221C9" w:rsidRPr="00703059" w:rsidRDefault="004221C9" w:rsidP="004711A9">
      <w:pPr>
        <w:rPr>
          <w:lang w:val="en-US"/>
        </w:rPr>
      </w:pPr>
      <w:r w:rsidRPr="00703059">
        <w:rPr>
          <w:lang w:val="en-US"/>
        </w:rPr>
        <w:t>Infection prevention and control (IPC) is critical in the control of all infectious organisms. Preventing infection and its spread reduces the need for antibiotics and the opportunity for organisms to develop resistance</w:t>
      </w:r>
      <w:r w:rsidR="00CF205E">
        <w:rPr>
          <w:lang w:val="en-US"/>
        </w:rPr>
        <w:t>.</w:t>
      </w:r>
    </w:p>
    <w:p w14:paraId="4E088A2F" w14:textId="6A0CE2E4" w:rsidR="004221C9" w:rsidRPr="00ED0067" w:rsidRDefault="004221C9" w:rsidP="004711A9">
      <w:pPr>
        <w:rPr>
          <w:lang w:val="en-US"/>
        </w:rPr>
      </w:pPr>
      <w:r w:rsidRPr="001C6B26">
        <w:rPr>
          <w:lang w:val="en-US"/>
        </w:rPr>
        <w:t>This objective aims to develop additional initiatives and resources to strengthen IPC in all human care settings as well as in the livestock industry and veterinary practice</w:t>
      </w:r>
      <w:r w:rsidR="005A3200" w:rsidRPr="00ED0067">
        <w:rPr>
          <w:lang w:val="en-US"/>
        </w:rPr>
        <w:t>.</w:t>
      </w:r>
    </w:p>
    <w:p w14:paraId="38AA1CDE" w14:textId="793DC681" w:rsidR="004221C9" w:rsidRPr="00ED0067" w:rsidRDefault="004221C9" w:rsidP="004711A9">
      <w:pPr>
        <w:rPr>
          <w:lang w:val="en-US"/>
        </w:rPr>
      </w:pPr>
      <w:r w:rsidRPr="00ED0067">
        <w:rPr>
          <w:lang w:val="en-US"/>
        </w:rPr>
        <w:t xml:space="preserve">Australia’s quarantine and biosecurity laws underpin the Australian agricultural sector and protect animals from a variety of exotic pests and diseases. The introduction of food safety requirements throughout the supply chain together with industry-led national quality assurance </w:t>
      </w:r>
      <w:r w:rsidR="00CF205E" w:rsidRPr="00ED0067">
        <w:rPr>
          <w:lang w:val="en-US"/>
        </w:rPr>
        <w:t>programs</w:t>
      </w:r>
      <w:r w:rsidRPr="00ED0067">
        <w:rPr>
          <w:lang w:val="en-US"/>
        </w:rPr>
        <w:t xml:space="preserve"> ensure that meat from farms has been produced safely. </w:t>
      </w:r>
    </w:p>
    <w:p w14:paraId="71224AC9" w14:textId="4DD7D334" w:rsidR="004221C9" w:rsidRPr="00330A3C" w:rsidRDefault="004221C9" w:rsidP="004711A9">
      <w:pPr>
        <w:rPr>
          <w:lang w:val="en-US"/>
        </w:rPr>
      </w:pPr>
      <w:r w:rsidRPr="00ED0067">
        <w:rPr>
          <w:lang w:val="en-US"/>
        </w:rPr>
        <w:t>Vaccines also offer potential to reduce AMR in humans and animals by preventing infection and assisting in the eradication of some diseases and eliminating the need for some antibiotics</w:t>
      </w:r>
      <w:r w:rsidR="005A3200" w:rsidRPr="00ED0067">
        <w:rPr>
          <w:lang w:val="en-US"/>
        </w:rPr>
        <w:t>.</w:t>
      </w:r>
    </w:p>
    <w:p w14:paraId="381BF9BB" w14:textId="77777777" w:rsidR="004221C9" w:rsidRPr="00330A3C" w:rsidRDefault="004221C9" w:rsidP="004711A9">
      <w:pPr>
        <w:pStyle w:val="Heading3"/>
      </w:pPr>
      <w:bookmarkStart w:id="105" w:name="_Toc9112725"/>
      <w:bookmarkStart w:id="106" w:name="_Toc10812325"/>
      <w:r w:rsidRPr="00330A3C">
        <w:t>What have we achieved?</w:t>
      </w:r>
      <w:bookmarkEnd w:id="105"/>
      <w:bookmarkEnd w:id="106"/>
    </w:p>
    <w:p w14:paraId="44463577" w14:textId="77777777" w:rsidR="0045331E" w:rsidRPr="004711A9" w:rsidRDefault="0045331E" w:rsidP="004711A9">
      <w:pPr>
        <w:pStyle w:val="ListParagraph"/>
        <w:numPr>
          <w:ilvl w:val="0"/>
          <w:numId w:val="48"/>
        </w:numPr>
        <w:spacing w:after="120" w:line="240" w:lineRule="auto"/>
        <w:rPr>
          <w:rFonts w:cstheme="minorHAnsi"/>
        </w:rPr>
      </w:pPr>
      <w:bookmarkStart w:id="107" w:name="_Toc9112726"/>
      <w:r w:rsidRPr="004711A9">
        <w:rPr>
          <w:rFonts w:cstheme="minorHAnsi"/>
        </w:rPr>
        <w:t xml:space="preserve">The Australian Guidelines for the Prevention and Control of Infection in Healthcare were developed in 2010 to provide a coordinated approach to the prevention and management of healthcare-associated infections in Australia. </w:t>
      </w:r>
    </w:p>
    <w:p w14:paraId="24485899" w14:textId="2B2752C4" w:rsidR="004221C9" w:rsidRPr="004711A9" w:rsidRDefault="004221C9" w:rsidP="004711A9">
      <w:pPr>
        <w:pStyle w:val="ListParagraph"/>
        <w:numPr>
          <w:ilvl w:val="0"/>
          <w:numId w:val="48"/>
        </w:numPr>
        <w:spacing w:after="120" w:line="240" w:lineRule="auto"/>
        <w:rPr>
          <w:rFonts w:cstheme="minorHAnsi"/>
        </w:rPr>
      </w:pPr>
      <w:r w:rsidRPr="004711A9">
        <w:rPr>
          <w:rFonts w:cstheme="minorHAnsi"/>
        </w:rPr>
        <w:t>All jurisdictions have shown strong leadership in implementing hospital hand hygiene guidelines, and compliance is consistently improving. The average compliance rate in June 2017 (based on nationally collected data) was 84.3%.</w:t>
      </w:r>
      <w:bookmarkEnd w:id="107"/>
    </w:p>
    <w:p w14:paraId="4EF662C2" w14:textId="77777777" w:rsidR="004221C9" w:rsidRPr="004711A9" w:rsidRDefault="004221C9" w:rsidP="004711A9">
      <w:pPr>
        <w:pStyle w:val="ListParagraph"/>
        <w:numPr>
          <w:ilvl w:val="0"/>
          <w:numId w:val="48"/>
        </w:numPr>
        <w:spacing w:after="120" w:line="240" w:lineRule="auto"/>
        <w:rPr>
          <w:rFonts w:cstheme="minorHAnsi"/>
        </w:rPr>
      </w:pPr>
      <w:bookmarkStart w:id="108" w:name="_Toc9112728"/>
      <w:r w:rsidRPr="004711A9">
        <w:rPr>
          <w:rFonts w:cstheme="minorHAnsi"/>
        </w:rPr>
        <w:t>The National Safety and Quality Health Service (NSQHS) has released a range of resources to support health service organisations to implement and prepare for assessment against the Standards.</w:t>
      </w:r>
      <w:bookmarkEnd w:id="108"/>
    </w:p>
    <w:p w14:paraId="5D378DCF" w14:textId="77777777" w:rsidR="004221C9" w:rsidRPr="004711A9" w:rsidRDefault="004221C9" w:rsidP="004711A9">
      <w:pPr>
        <w:pStyle w:val="ListParagraph"/>
        <w:numPr>
          <w:ilvl w:val="0"/>
          <w:numId w:val="48"/>
        </w:numPr>
        <w:spacing w:after="120" w:line="240" w:lineRule="auto"/>
        <w:rPr>
          <w:rFonts w:cstheme="minorHAnsi"/>
        </w:rPr>
      </w:pPr>
      <w:bookmarkStart w:id="109" w:name="_Toc9112729"/>
      <w:r w:rsidRPr="004711A9">
        <w:rPr>
          <w:rFonts w:cstheme="minorHAnsi"/>
        </w:rPr>
        <w:t>In the animal health and agriculture sectors, the Australian Veterinary Association provides guidelines with the latest information about infection control and how to deal with high risk situations.</w:t>
      </w:r>
      <w:bookmarkEnd w:id="109"/>
    </w:p>
    <w:p w14:paraId="3748162A" w14:textId="53DCF4FC" w:rsidR="004221C9" w:rsidRPr="004711A9" w:rsidRDefault="004221C9" w:rsidP="004711A9">
      <w:pPr>
        <w:pStyle w:val="ListParagraph"/>
        <w:numPr>
          <w:ilvl w:val="0"/>
          <w:numId w:val="48"/>
        </w:numPr>
        <w:spacing w:after="120" w:line="240" w:lineRule="auto"/>
        <w:rPr>
          <w:rFonts w:cstheme="minorHAnsi"/>
        </w:rPr>
      </w:pPr>
      <w:bookmarkStart w:id="110" w:name="_Toc9112730"/>
      <w:r w:rsidRPr="004711A9">
        <w:rPr>
          <w:rFonts w:cstheme="minorHAnsi"/>
        </w:rPr>
        <w:t>Meat and Livestock Australia has been involved in a project to research and develop evidence-based IPC measure</w:t>
      </w:r>
      <w:r w:rsidR="00695E18" w:rsidRPr="004711A9">
        <w:rPr>
          <w:rFonts w:cstheme="minorHAnsi"/>
        </w:rPr>
        <w:t>s</w:t>
      </w:r>
      <w:r w:rsidRPr="004711A9">
        <w:rPr>
          <w:rFonts w:cstheme="minorHAnsi"/>
        </w:rPr>
        <w:t xml:space="preserve"> for adoption into industry standards for managing infectious cattle diseases. It has also been involved in a project to assess the efficacy of different vaccination regimes in cattle.</w:t>
      </w:r>
      <w:bookmarkEnd w:id="110"/>
    </w:p>
    <w:p w14:paraId="63872C89" w14:textId="77777777" w:rsidR="004221C9" w:rsidRPr="004711A9" w:rsidRDefault="004221C9" w:rsidP="004711A9">
      <w:pPr>
        <w:pStyle w:val="ListParagraph"/>
        <w:numPr>
          <w:ilvl w:val="0"/>
          <w:numId w:val="48"/>
        </w:numPr>
        <w:spacing w:after="120" w:line="240" w:lineRule="auto"/>
        <w:rPr>
          <w:rFonts w:cstheme="minorHAnsi"/>
        </w:rPr>
      </w:pPr>
      <w:bookmarkStart w:id="111" w:name="_Toc9112731"/>
      <w:r w:rsidRPr="004711A9">
        <w:rPr>
          <w:rFonts w:cstheme="minorHAnsi"/>
        </w:rPr>
        <w:lastRenderedPageBreak/>
        <w:t>The University of Sydney has undertaken studies to inform infection prevention and control in veterinary practice and, together with the Centre for Veterinary Education and the Australian and New Zealand College of Veterinary Scientists, is developing eLearning resources on this issue.</w:t>
      </w:r>
      <w:bookmarkEnd w:id="111"/>
    </w:p>
    <w:p w14:paraId="53C47775" w14:textId="77777777" w:rsidR="004221C9" w:rsidRPr="004711A9" w:rsidRDefault="004221C9" w:rsidP="004711A9">
      <w:pPr>
        <w:pStyle w:val="ListParagraph"/>
        <w:numPr>
          <w:ilvl w:val="0"/>
          <w:numId w:val="48"/>
        </w:numPr>
        <w:spacing w:after="120" w:line="240" w:lineRule="auto"/>
        <w:rPr>
          <w:rFonts w:cstheme="minorHAnsi"/>
        </w:rPr>
      </w:pPr>
      <w:bookmarkStart w:id="112" w:name="_Toc9112732"/>
      <w:r w:rsidRPr="004711A9">
        <w:rPr>
          <w:rFonts w:cstheme="minorHAnsi"/>
        </w:rPr>
        <w:t>A new vaccine on the Australian market is used to treat a common cattle disease, infectious bovine kerato-conjunctivitis which has reduced the need for tetracyclines and other antibiotics in its treatment.</w:t>
      </w:r>
      <w:bookmarkEnd w:id="112"/>
    </w:p>
    <w:p w14:paraId="3327AEBA" w14:textId="213E91EB" w:rsidR="004221C9" w:rsidRPr="004711A9" w:rsidRDefault="004221C9" w:rsidP="004711A9">
      <w:pPr>
        <w:pStyle w:val="ListParagraph"/>
        <w:numPr>
          <w:ilvl w:val="0"/>
          <w:numId w:val="48"/>
        </w:numPr>
        <w:spacing w:after="120" w:line="240" w:lineRule="auto"/>
        <w:rPr>
          <w:rFonts w:cstheme="minorHAnsi"/>
        </w:rPr>
      </w:pPr>
      <w:bookmarkStart w:id="113" w:name="_Toc9112733"/>
      <w:r w:rsidRPr="004711A9">
        <w:rPr>
          <w:rFonts w:cstheme="minorHAnsi"/>
        </w:rPr>
        <w:t>Successes have also been reported in aquaculture. The Tasmanian aquaculture industry has achieved a major reduction in antibiotic use due to the availability of new vaccines.</w:t>
      </w:r>
      <w:bookmarkEnd w:id="113"/>
    </w:p>
    <w:p w14:paraId="78709F30" w14:textId="4CACB553" w:rsidR="00F975EA" w:rsidRPr="004711A9" w:rsidRDefault="00F975EA" w:rsidP="004711A9">
      <w:pPr>
        <w:pStyle w:val="ListParagraph"/>
        <w:numPr>
          <w:ilvl w:val="0"/>
          <w:numId w:val="48"/>
        </w:numPr>
        <w:spacing w:after="120" w:line="240" w:lineRule="auto"/>
        <w:rPr>
          <w:rFonts w:cstheme="minorHAnsi"/>
        </w:rPr>
      </w:pPr>
      <w:r w:rsidRPr="004711A9">
        <w:rPr>
          <w:rFonts w:cstheme="minorHAnsi"/>
        </w:rPr>
        <w:t>Over time, the availability of surveillance data, findings from research and the development of new technologies will inform new approaches and improvements in IPC.</w:t>
      </w:r>
    </w:p>
    <w:p w14:paraId="4B91059A" w14:textId="77777777" w:rsidR="004221C9" w:rsidRPr="00E82F4E" w:rsidRDefault="004221C9" w:rsidP="004711A9">
      <w:pPr>
        <w:pStyle w:val="Heading3"/>
      </w:pPr>
      <w:bookmarkStart w:id="114" w:name="_Toc9112734"/>
      <w:bookmarkStart w:id="115" w:name="_Toc10812326"/>
      <w:r w:rsidRPr="00E82F4E">
        <w:t>What are our challenges?</w:t>
      </w:r>
      <w:bookmarkEnd w:id="114"/>
      <w:bookmarkEnd w:id="115"/>
    </w:p>
    <w:p w14:paraId="4F70C1A1" w14:textId="77777777" w:rsidR="00F975EA" w:rsidRPr="0087581A" w:rsidRDefault="00F975EA" w:rsidP="004711A9">
      <w:bookmarkStart w:id="116" w:name="_Toc9112735"/>
      <w:r w:rsidRPr="0087581A">
        <w:t>One challenge is in ensuring that surveillance is available, timely and identifies potential outbreaks.</w:t>
      </w:r>
    </w:p>
    <w:p w14:paraId="6CBD5925" w14:textId="1C717F0A" w:rsidR="004221C9" w:rsidRPr="00B67325" w:rsidRDefault="004221C9" w:rsidP="004711A9">
      <w:bookmarkStart w:id="117" w:name="_Toc9112736"/>
      <w:bookmarkEnd w:id="116"/>
      <w:r w:rsidRPr="00F44A47">
        <w:t>There is limited data available on IPC in community settings such as general practices and aged care homes on compliance. Standards are not as prescriptive as those for hospitals and do not specifically refer to the management of resistant organisms.</w:t>
      </w:r>
      <w:bookmarkEnd w:id="117"/>
      <w:r w:rsidR="009A0C55">
        <w:t xml:space="preserve"> </w:t>
      </w:r>
      <w:r w:rsidR="009A0C55">
        <w:rPr>
          <w:rFonts w:cstheme="minorHAnsi"/>
        </w:rPr>
        <w:t>Again, the absence of an accreditation driver for change (as in the hospital sector) is a significant disadvantage.</w:t>
      </w:r>
    </w:p>
    <w:p w14:paraId="3311FDD8" w14:textId="77777777" w:rsidR="00F975EA" w:rsidRPr="00B67325" w:rsidRDefault="00F975EA" w:rsidP="004711A9">
      <w:r w:rsidRPr="00B67325">
        <w:t>Data collected through AURA show that the prevalence of community-acquired resistant bacteria is increasing but we have limited understanding how transmission occurs.</w:t>
      </w:r>
    </w:p>
    <w:p w14:paraId="3711E1C5" w14:textId="462642F8" w:rsidR="004221C9" w:rsidRPr="00F44A47" w:rsidRDefault="00E513C9" w:rsidP="004711A9">
      <w:r>
        <w:t>The lack of substantial progress in applying existing initiatives used in human healthcare settings to animal care, and vice versa, to enhance current infection prevention and control/biosecurity approaches.</w:t>
      </w:r>
      <w:bookmarkStart w:id="118" w:name="_Toc9112737"/>
      <w:r w:rsidR="00CF205E">
        <w:t xml:space="preserve"> </w:t>
      </w:r>
      <w:r w:rsidR="004221C9" w:rsidRPr="00F44A47">
        <w:t>Good progress has not yet been made in applying initiatives used in human healthcare settings to animal healthcare and agriculture and vice versa to enhance current IPC approaches.</w:t>
      </w:r>
      <w:bookmarkEnd w:id="118"/>
    </w:p>
    <w:p w14:paraId="0FF8B387" w14:textId="3DA28646" w:rsidR="004221C9" w:rsidRPr="00CC2C6D" w:rsidRDefault="004221C9" w:rsidP="004711A9">
      <w:bookmarkStart w:id="119" w:name="_Toc9112738"/>
      <w:r w:rsidRPr="00B67325">
        <w:t>Vaccines are also key in the prevention of infection but for food producing animals there is a lack of vaccine availability to prevent diseases. Australia’s animal population is small and the revenue generated fr</w:t>
      </w:r>
      <w:r w:rsidRPr="00A27FA9">
        <w:t>om potential vaccine sales would also be small. This limits access to new vaccines.</w:t>
      </w:r>
      <w:bookmarkEnd w:id="119"/>
    </w:p>
    <w:p w14:paraId="530C0DA5" w14:textId="77777777" w:rsidR="004221C9" w:rsidRPr="00EA3691" w:rsidRDefault="004221C9" w:rsidP="004711A9">
      <w:pPr>
        <w:pStyle w:val="Heading3"/>
      </w:pPr>
      <w:bookmarkStart w:id="120" w:name="_Toc9112740"/>
      <w:bookmarkStart w:id="121" w:name="_Toc10812327"/>
      <w:r w:rsidRPr="00EA3691">
        <w:t>Where to next?</w:t>
      </w:r>
      <w:bookmarkEnd w:id="120"/>
      <w:bookmarkEnd w:id="121"/>
    </w:p>
    <w:p w14:paraId="10745759" w14:textId="6B05F3AF" w:rsidR="004221C9" w:rsidRPr="00E853A2" w:rsidRDefault="004221C9" w:rsidP="00E853A2">
      <w:pPr>
        <w:spacing w:after="120" w:line="240" w:lineRule="auto"/>
        <w:rPr>
          <w:rFonts w:cstheme="minorHAnsi"/>
        </w:rPr>
      </w:pPr>
      <w:bookmarkStart w:id="122" w:name="_Toc9112741"/>
      <w:r w:rsidRPr="00EF20FE">
        <w:t>There is a need to identify and implement innovative ways to maximise best practice IPC, consistent with the Australian Guidelines for the Prevention and Control of Infection in Healthcare.</w:t>
      </w:r>
      <w:bookmarkEnd w:id="122"/>
      <w:r w:rsidR="00E853A2">
        <w:t xml:space="preserve"> </w:t>
      </w:r>
      <w:r w:rsidR="00E853A2">
        <w:rPr>
          <w:rFonts w:cstheme="minorHAnsi"/>
        </w:rPr>
        <w:t>These could be incorporated more strongly into accreditation standards for primary care and residential aged care.</w:t>
      </w:r>
    </w:p>
    <w:p w14:paraId="741457ED" w14:textId="6F2E8CE7" w:rsidR="00EF20FE" w:rsidRDefault="00EF20FE" w:rsidP="004711A9">
      <w:r w:rsidRPr="00F44A47">
        <w:t xml:space="preserve">Strengthened coordination and information sharing is required between the human and </w:t>
      </w:r>
      <w:r w:rsidRPr="00B67325">
        <w:t>animal health sectors in terms of surveillance, prevention and management</w:t>
      </w:r>
      <w:r>
        <w:t>.</w:t>
      </w:r>
    </w:p>
    <w:p w14:paraId="32758B08" w14:textId="23B5D8A1" w:rsidR="00E513C9" w:rsidRDefault="00EF20FE" w:rsidP="004711A9">
      <w:r>
        <w:t xml:space="preserve">We should explore the </w:t>
      </w:r>
      <w:r w:rsidR="00E513C9">
        <w:t xml:space="preserve">accreditation of veterinary practices, animal </w:t>
      </w:r>
      <w:r>
        <w:t xml:space="preserve">shelters and wildlife hospitals to ensure </w:t>
      </w:r>
      <w:r w:rsidRPr="00EF20FE">
        <w:t>best practice IPC</w:t>
      </w:r>
      <w:r>
        <w:t xml:space="preserve"> is implemented. </w:t>
      </w:r>
    </w:p>
    <w:p w14:paraId="12444CB7" w14:textId="4914FE8C" w:rsidR="00EF20FE" w:rsidRPr="00E513C9" w:rsidRDefault="00EF20FE" w:rsidP="004711A9">
      <w:r>
        <w:t xml:space="preserve">Consider incentives to improve access to, and manufacture of, animal vaccines and encourage the use of vaccines in both human and animal health as a prevention measure. </w:t>
      </w:r>
    </w:p>
    <w:p w14:paraId="43A460CE" w14:textId="77777777" w:rsidR="00EF20FE" w:rsidRDefault="004221C9" w:rsidP="004711A9">
      <w:bookmarkStart w:id="123" w:name="_Toc9112744"/>
      <w:r w:rsidRPr="00EF20FE">
        <w:t>We should continue to improve</w:t>
      </w:r>
      <w:r w:rsidR="00EF20FE">
        <w:t xml:space="preserve"> quality and timeliness of </w:t>
      </w:r>
      <w:r w:rsidRPr="00EF20FE">
        <w:t>surveillance data to enable the implementation of targeted and effective IPC measures, where needed.</w:t>
      </w:r>
      <w:bookmarkEnd w:id="123"/>
    </w:p>
    <w:p w14:paraId="3AE57889" w14:textId="44F0B11E" w:rsidR="00E513C9" w:rsidRDefault="00E513C9" w:rsidP="004711A9">
      <w:r w:rsidRPr="00EF20FE">
        <w:lastRenderedPageBreak/>
        <w:t>Conduct a stocktake of current initiatives/programs supporting the implementation of animal sector specific IPC/biosecurity measures to prevent disease (</w:t>
      </w:r>
      <w:r w:rsidR="00EF20FE" w:rsidRPr="00EF20FE">
        <w:t>e.g.</w:t>
      </w:r>
      <w:r w:rsidRPr="00EF20FE">
        <w:t xml:space="preserve"> national feedlot accreditation scheme; quality assurance programs for feedlot cattle and pigs).</w:t>
      </w:r>
    </w:p>
    <w:p w14:paraId="60C7B3D3" w14:textId="77777777" w:rsidR="00EF20FE" w:rsidRPr="00EF20FE" w:rsidRDefault="00EF20FE" w:rsidP="0053652E">
      <w:pPr>
        <w:spacing w:after="120" w:line="240" w:lineRule="auto"/>
        <w:rPr>
          <w:rFonts w:cstheme="minorHAnsi"/>
        </w:rPr>
      </w:pPr>
    </w:p>
    <w:p w14:paraId="59ACC3F8" w14:textId="51D54863" w:rsidR="00920483" w:rsidRPr="004711A9" w:rsidRDefault="00920483" w:rsidP="004711A9">
      <w:pPr>
        <w:pStyle w:val="Heading2"/>
      </w:pPr>
      <w:bookmarkStart w:id="124" w:name="_Toc10812328"/>
      <w:r w:rsidRPr="004711A9">
        <w:t xml:space="preserve">Objective Five: </w:t>
      </w:r>
      <w:r w:rsidR="00F177C2" w:rsidRPr="004711A9">
        <w:t>Agree a national research agenda and promote investment in the discovery and development of new products and approaches to prevent, detect and contain antimicrobial resistance.</w:t>
      </w:r>
      <w:bookmarkEnd w:id="124"/>
    </w:p>
    <w:p w14:paraId="53E6DD8E" w14:textId="37C58676" w:rsidR="004221C9" w:rsidRPr="00045EEC" w:rsidRDefault="00F177C2" w:rsidP="0053652E">
      <w:pPr>
        <w:spacing w:after="120" w:line="240" w:lineRule="auto"/>
        <w:rPr>
          <w:rFonts w:cstheme="minorHAnsi"/>
        </w:rPr>
      </w:pPr>
      <w:r w:rsidRPr="00045EEC">
        <w:rPr>
          <w:rFonts w:cstheme="minorHAnsi"/>
          <w:noProof/>
        </w:rPr>
        <mc:AlternateContent>
          <mc:Choice Requires="wps">
            <w:drawing>
              <wp:inline distT="0" distB="0" distL="0" distR="0" wp14:anchorId="2FC4282C" wp14:editId="1D582C04">
                <wp:extent cx="5981700" cy="1616927"/>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6927"/>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1EB70335" w14:textId="77777777" w:rsidR="0050772D" w:rsidRPr="007A2152" w:rsidRDefault="0050772D" w:rsidP="007A2152">
                            <w:pPr>
                              <w:spacing w:after="120" w:line="240" w:lineRule="auto"/>
                              <w:rPr>
                                <w:b/>
                              </w:rPr>
                            </w:pPr>
                            <w:bookmarkStart w:id="125" w:name="_Toc9112745"/>
                            <w:bookmarkStart w:id="126" w:name="_Toc9116470"/>
                            <w:bookmarkStart w:id="127" w:name="_Toc9169913"/>
                            <w:r w:rsidRPr="007A2152">
                              <w:rPr>
                                <w:b/>
                              </w:rPr>
                              <w:t>Priority Areas for Action</w:t>
                            </w:r>
                            <w:bookmarkEnd w:id="125"/>
                            <w:bookmarkEnd w:id="126"/>
                            <w:bookmarkEnd w:id="127"/>
                            <w:r w:rsidRPr="007A2152">
                              <w:rPr>
                                <w:b/>
                              </w:rPr>
                              <w:t xml:space="preserve"> </w:t>
                            </w:r>
                          </w:p>
                          <w:p w14:paraId="6E02C518" w14:textId="77777777" w:rsidR="0050772D" w:rsidRPr="007A2152" w:rsidRDefault="0050772D" w:rsidP="007A2152">
                            <w:pPr>
                              <w:spacing w:after="120" w:line="240" w:lineRule="auto"/>
                            </w:pPr>
                            <w:bookmarkStart w:id="128" w:name="_Toc9112746"/>
                            <w:bookmarkStart w:id="129" w:name="_Toc9116471"/>
                            <w:bookmarkStart w:id="130" w:name="_Toc9169914"/>
                            <w:r w:rsidRPr="007A2152">
                              <w:t>5.1: Identify current gaps and agree national research and development priorities.</w:t>
                            </w:r>
                            <w:bookmarkEnd w:id="128"/>
                            <w:bookmarkEnd w:id="129"/>
                            <w:bookmarkEnd w:id="130"/>
                          </w:p>
                          <w:p w14:paraId="7B501670" w14:textId="77777777" w:rsidR="0050772D" w:rsidRPr="007A2152" w:rsidRDefault="0050772D" w:rsidP="007A2152">
                            <w:pPr>
                              <w:spacing w:after="120" w:line="240" w:lineRule="auto"/>
                            </w:pPr>
                            <w:bookmarkStart w:id="131" w:name="_Toc9112747"/>
                            <w:bookmarkStart w:id="132" w:name="_Toc9116472"/>
                            <w:bookmarkStart w:id="133" w:name="_Toc9169915"/>
                            <w:r w:rsidRPr="007A2152">
                              <w:t>5.2: Coordinate national research activities and the sharing of information.</w:t>
                            </w:r>
                            <w:bookmarkEnd w:id="131"/>
                            <w:bookmarkEnd w:id="132"/>
                            <w:bookmarkEnd w:id="133"/>
                          </w:p>
                          <w:p w14:paraId="4A79B61B" w14:textId="77777777" w:rsidR="0050772D" w:rsidRPr="007A2152" w:rsidRDefault="0050772D" w:rsidP="007A2152">
                            <w:pPr>
                              <w:spacing w:after="120" w:line="240" w:lineRule="auto"/>
                            </w:pPr>
                            <w:bookmarkStart w:id="134" w:name="_Toc9112748"/>
                            <w:bookmarkStart w:id="135" w:name="_Toc9116473"/>
                            <w:bookmarkStart w:id="136" w:name="_Toc9169916"/>
                            <w:r w:rsidRPr="007A2152">
                              <w:t>5.3: Explore opportunities to increase support for research and development, including incentives for greater private sector investment.</w:t>
                            </w:r>
                            <w:bookmarkEnd w:id="134"/>
                            <w:bookmarkEnd w:id="135"/>
                            <w:bookmarkEnd w:id="136"/>
                          </w:p>
                          <w:p w14:paraId="019477D3" w14:textId="3A4C078B" w:rsidR="0050772D" w:rsidRPr="007A2152" w:rsidRDefault="0050772D" w:rsidP="007A2152">
                            <w:pPr>
                              <w:spacing w:after="120" w:line="240" w:lineRule="auto"/>
                            </w:pPr>
                            <w:bookmarkStart w:id="137" w:name="_Toc9112749"/>
                            <w:bookmarkStart w:id="138" w:name="_Toc9116474"/>
                            <w:bookmarkStart w:id="139" w:name="_Toc9169917"/>
                            <w:r w:rsidRPr="007A2152">
                              <w:t>5.4: Explore opportunities to support the translation of promising research finding into new products, policies and approaches.</w:t>
                            </w:r>
                            <w:bookmarkEnd w:id="137"/>
                            <w:bookmarkEnd w:id="138"/>
                            <w:bookmarkEnd w:id="139"/>
                          </w:p>
                        </w:txbxContent>
                      </wps:txbx>
                      <wps:bodyPr rot="0" vert="horz" wrap="square" lIns="91440" tIns="45720" rIns="91440" bIns="45720" anchor="t" anchorCtr="0">
                        <a:noAutofit/>
                      </wps:bodyPr>
                    </wps:wsp>
                  </a:graphicData>
                </a:graphic>
              </wp:inline>
            </w:drawing>
          </mc:Choice>
          <mc:Fallback>
            <w:pict>
              <v:shape w14:anchorId="2FC4282C" id="_x0000_s1038" type="#_x0000_t202" style="width:471pt;height:1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" fillcolor="white [3201]" strokecolor="#c45911 [2405]" strokeweight=".25pt">
                <v:textbox>
                  <w:txbxContent>
                    <w:p w14:paraId="1EB70335" w14:textId="77777777" w:rsidR="0050772D" w:rsidRPr="007A2152" w:rsidRDefault="0050772D" w:rsidP="007A2152">
                      <w:pPr>
                        <w:spacing w:after="120" w:line="240" w:lineRule="auto"/>
                        <w:rPr>
                          <w:b/>
                        </w:rPr>
                      </w:pPr>
                      <w:bookmarkStart w:id="140" w:name="_Toc9112745"/>
                      <w:bookmarkStart w:id="141" w:name="_Toc9116470"/>
                      <w:bookmarkStart w:id="142" w:name="_Toc9169913"/>
                      <w:r w:rsidRPr="007A2152">
                        <w:rPr>
                          <w:b/>
                        </w:rPr>
                        <w:t>Priority Areas for Action</w:t>
                      </w:r>
                      <w:bookmarkEnd w:id="140"/>
                      <w:bookmarkEnd w:id="141"/>
                      <w:bookmarkEnd w:id="142"/>
                      <w:r w:rsidRPr="007A2152">
                        <w:rPr>
                          <w:b/>
                        </w:rPr>
                        <w:t xml:space="preserve"> </w:t>
                      </w:r>
                    </w:p>
                    <w:p w14:paraId="6E02C518" w14:textId="77777777" w:rsidR="0050772D" w:rsidRPr="007A2152" w:rsidRDefault="0050772D" w:rsidP="007A2152">
                      <w:pPr>
                        <w:spacing w:after="120" w:line="240" w:lineRule="auto"/>
                      </w:pPr>
                      <w:bookmarkStart w:id="143" w:name="_Toc9112746"/>
                      <w:bookmarkStart w:id="144" w:name="_Toc9116471"/>
                      <w:bookmarkStart w:id="145" w:name="_Toc9169914"/>
                      <w:r w:rsidRPr="007A2152">
                        <w:t>5.1: Identify current gaps and agree national research and development priorities.</w:t>
                      </w:r>
                      <w:bookmarkEnd w:id="143"/>
                      <w:bookmarkEnd w:id="144"/>
                      <w:bookmarkEnd w:id="145"/>
                    </w:p>
                    <w:p w14:paraId="7B501670" w14:textId="77777777" w:rsidR="0050772D" w:rsidRPr="007A2152" w:rsidRDefault="0050772D" w:rsidP="007A2152">
                      <w:pPr>
                        <w:spacing w:after="120" w:line="240" w:lineRule="auto"/>
                      </w:pPr>
                      <w:bookmarkStart w:id="146" w:name="_Toc9112747"/>
                      <w:bookmarkStart w:id="147" w:name="_Toc9116472"/>
                      <w:bookmarkStart w:id="148" w:name="_Toc9169915"/>
                      <w:r w:rsidRPr="007A2152">
                        <w:t>5.2: Coordinate national research activities and the sharing of information.</w:t>
                      </w:r>
                      <w:bookmarkEnd w:id="146"/>
                      <w:bookmarkEnd w:id="147"/>
                      <w:bookmarkEnd w:id="148"/>
                    </w:p>
                    <w:p w14:paraId="4A79B61B" w14:textId="77777777" w:rsidR="0050772D" w:rsidRPr="007A2152" w:rsidRDefault="0050772D" w:rsidP="007A2152">
                      <w:pPr>
                        <w:spacing w:after="120" w:line="240" w:lineRule="auto"/>
                      </w:pPr>
                      <w:bookmarkStart w:id="149" w:name="_Toc9112748"/>
                      <w:bookmarkStart w:id="150" w:name="_Toc9116473"/>
                      <w:bookmarkStart w:id="151" w:name="_Toc9169916"/>
                      <w:r w:rsidRPr="007A2152">
                        <w:t>5.3: Explore opportunities to increase support for research and development, including incentives for greater private sector investment.</w:t>
                      </w:r>
                      <w:bookmarkEnd w:id="149"/>
                      <w:bookmarkEnd w:id="150"/>
                      <w:bookmarkEnd w:id="151"/>
                    </w:p>
                    <w:p w14:paraId="019477D3" w14:textId="3A4C078B" w:rsidR="0050772D" w:rsidRPr="007A2152" w:rsidRDefault="0050772D" w:rsidP="007A2152">
                      <w:pPr>
                        <w:spacing w:after="120" w:line="240" w:lineRule="auto"/>
                      </w:pPr>
                      <w:bookmarkStart w:id="152" w:name="_Toc9112749"/>
                      <w:bookmarkStart w:id="153" w:name="_Toc9116474"/>
                      <w:bookmarkStart w:id="154" w:name="_Toc9169917"/>
                      <w:r w:rsidRPr="007A2152">
                        <w:t>5.4: Explore opportunities to support the translation of promising research finding into new products, policies and approaches.</w:t>
                      </w:r>
                      <w:bookmarkEnd w:id="152"/>
                      <w:bookmarkEnd w:id="153"/>
                      <w:bookmarkEnd w:id="154"/>
                    </w:p>
                  </w:txbxContent>
                </v:textbox>
                <w10:anchorlock/>
              </v:shape>
            </w:pict>
          </mc:Fallback>
        </mc:AlternateContent>
      </w:r>
    </w:p>
    <w:p w14:paraId="06D05F37" w14:textId="77777777" w:rsidR="00D30B0C" w:rsidRPr="00703059" w:rsidRDefault="00D30B0C" w:rsidP="00B10DFF">
      <w:pPr>
        <w:rPr>
          <w:lang w:val="en-US"/>
        </w:rPr>
      </w:pPr>
      <w:r w:rsidRPr="00703059">
        <w:rPr>
          <w:lang w:val="en-US"/>
        </w:rPr>
        <w:t xml:space="preserve">A strong research and development agenda is required to advance the discovery of new therapies and diagnostic technologies to better </w:t>
      </w:r>
      <w:r w:rsidRPr="00703059">
        <w:rPr>
          <w:iCs/>
        </w:rPr>
        <w:t>prevent infectious disease, treat resistant infections and support the development, refinement and implementation of evidence-based practices to limit the emergence and spread of AMR.</w:t>
      </w:r>
    </w:p>
    <w:p w14:paraId="0709216C" w14:textId="6EA32F3A" w:rsidR="00D30B0C" w:rsidRPr="00045EEC" w:rsidRDefault="00D30B0C" w:rsidP="00B10DFF">
      <w:pPr>
        <w:rPr>
          <w:lang w:val="en-US"/>
        </w:rPr>
      </w:pPr>
      <w:r w:rsidRPr="00703059">
        <w:rPr>
          <w:lang w:val="en-US"/>
        </w:rPr>
        <w:t>An integrated research</w:t>
      </w:r>
      <w:r w:rsidRPr="000A181F">
        <w:rPr>
          <w:lang w:val="en-US"/>
        </w:rPr>
        <w:t xml:space="preserve"> approach is required to identify and address gaps in evidence, cultivate collaboration and </w:t>
      </w:r>
      <w:r w:rsidRPr="00045EEC">
        <w:rPr>
          <w:lang w:val="en-US"/>
        </w:rPr>
        <w:t>information sharing and ensure the most effective use of research and de</w:t>
      </w:r>
      <w:r w:rsidR="00D03CF8" w:rsidRPr="00045EEC">
        <w:rPr>
          <w:lang w:val="en-US"/>
        </w:rPr>
        <w:t>velopment</w:t>
      </w:r>
      <w:r w:rsidRPr="00045EEC">
        <w:rPr>
          <w:lang w:val="en-US"/>
        </w:rPr>
        <w:t xml:space="preserve"> resources.</w:t>
      </w:r>
    </w:p>
    <w:p w14:paraId="76494E23" w14:textId="60FEBF5F" w:rsidR="004221C9" w:rsidRPr="006E5C9F" w:rsidRDefault="004221C9" w:rsidP="00B10DFF">
      <w:pPr>
        <w:pStyle w:val="Heading3"/>
      </w:pPr>
      <w:bookmarkStart w:id="155" w:name="_Toc10812329"/>
      <w:r w:rsidRPr="006E5C9F">
        <w:t>What have we achieved?</w:t>
      </w:r>
      <w:bookmarkEnd w:id="155"/>
    </w:p>
    <w:p w14:paraId="14BD9F0E" w14:textId="6B4E2472" w:rsidR="00077C9B" w:rsidRPr="00B10DFF" w:rsidRDefault="00077C9B" w:rsidP="00B10DFF">
      <w:pPr>
        <w:pStyle w:val="ListParagraph"/>
        <w:numPr>
          <w:ilvl w:val="0"/>
          <w:numId w:val="49"/>
        </w:numPr>
        <w:spacing w:after="120" w:line="240" w:lineRule="auto"/>
        <w:rPr>
          <w:rFonts w:cstheme="minorHAnsi"/>
        </w:rPr>
      </w:pPr>
      <w:r w:rsidRPr="00B10DFF">
        <w:rPr>
          <w:rFonts w:cstheme="minorHAnsi"/>
        </w:rPr>
        <w:t xml:space="preserve">Recognising that a strong research and development agenda is needed to advance the discovery of new therapies and diagnostic technologies, the Australian Government invests in AMR research and development through National Health and Medical Research Council </w:t>
      </w:r>
      <w:r w:rsidR="00695E18" w:rsidRPr="00B10DFF">
        <w:rPr>
          <w:rFonts w:cstheme="minorHAnsi"/>
        </w:rPr>
        <w:t xml:space="preserve">(NHMRC) </w:t>
      </w:r>
      <w:r w:rsidRPr="00B10DFF">
        <w:rPr>
          <w:rFonts w:cstheme="minorHAnsi"/>
        </w:rPr>
        <w:t>grants, the Medical Research Future Fund (MRFF) and the Cooperative Research Centres (CRC) Program.</w:t>
      </w:r>
    </w:p>
    <w:p w14:paraId="498B987A" w14:textId="77777777" w:rsidR="00077C9B" w:rsidRPr="00B10DFF" w:rsidRDefault="00077C9B" w:rsidP="00B10DFF">
      <w:pPr>
        <w:pStyle w:val="ListParagraph"/>
        <w:numPr>
          <w:ilvl w:val="0"/>
          <w:numId w:val="49"/>
        </w:numPr>
        <w:spacing w:after="120" w:line="240" w:lineRule="auto"/>
        <w:rPr>
          <w:rFonts w:cstheme="minorHAnsi"/>
        </w:rPr>
      </w:pPr>
      <w:r w:rsidRPr="00B10DFF">
        <w:rPr>
          <w:rFonts w:cstheme="minorHAnsi"/>
        </w:rPr>
        <w:t>AMR was identified as a priority area by the Australian Medical Research Advisory Board in the Australian Medical Research and Innovation Priorities 2016-18 following extensive public consultation in 2016. The Tackling Antimicrobial Resistance initiative was subsequently established and involved a targeted call for research worth $5.9 million. The resulting four projects were announced in 2018 and focused on the use of metagenomics to understand carriage and transmission of antimicrobial resistance and antimicrobial use in the elderly and in residential aged care settings.</w:t>
      </w:r>
    </w:p>
    <w:p w14:paraId="0B656999" w14:textId="77777777" w:rsidR="00077C9B" w:rsidRPr="00B10DFF" w:rsidRDefault="00077C9B" w:rsidP="00B10DFF">
      <w:pPr>
        <w:pStyle w:val="ListParagraph"/>
        <w:numPr>
          <w:ilvl w:val="0"/>
          <w:numId w:val="49"/>
        </w:numPr>
        <w:spacing w:after="120" w:line="240" w:lineRule="auto"/>
        <w:rPr>
          <w:rFonts w:cstheme="minorHAnsi"/>
        </w:rPr>
      </w:pPr>
      <w:r w:rsidRPr="00B10DFF">
        <w:rPr>
          <w:rFonts w:cstheme="minorHAnsi"/>
        </w:rPr>
        <w:t xml:space="preserve">AMR continues to be a priority of the MRFF, with One Health – Antimicrobial Resistance identified as a priority area for funding in the updated Australian Medical Research and Innovation Priorities 2018-2020. </w:t>
      </w:r>
    </w:p>
    <w:p w14:paraId="4C90CDED" w14:textId="77777777" w:rsidR="00077C9B" w:rsidRPr="00B10DFF" w:rsidRDefault="00077C9B" w:rsidP="00B10DFF">
      <w:pPr>
        <w:pStyle w:val="ListParagraph"/>
        <w:numPr>
          <w:ilvl w:val="0"/>
          <w:numId w:val="49"/>
        </w:numPr>
        <w:spacing w:after="120" w:line="240" w:lineRule="auto"/>
        <w:rPr>
          <w:rFonts w:cstheme="minorHAnsi"/>
        </w:rPr>
      </w:pPr>
      <w:r w:rsidRPr="00B10DFF">
        <w:rPr>
          <w:rFonts w:cstheme="minorHAnsi"/>
        </w:rPr>
        <w:t xml:space="preserve">The Government has also announced a $28.4 million Global Health – Tackling Antimicrobial Resistance and Drug Resistant Tuberculosis initiative with further details expected to be made available in the 2019-20 financial year. </w:t>
      </w:r>
    </w:p>
    <w:p w14:paraId="5A1B743F" w14:textId="7892E1EB" w:rsidR="00DF6BA8" w:rsidRPr="00B10DFF" w:rsidRDefault="00DF6BA8" w:rsidP="00B10DFF">
      <w:pPr>
        <w:pStyle w:val="ListParagraph"/>
        <w:numPr>
          <w:ilvl w:val="0"/>
          <w:numId w:val="49"/>
        </w:numPr>
        <w:spacing w:after="120" w:line="240" w:lineRule="auto"/>
        <w:rPr>
          <w:rFonts w:cstheme="minorHAnsi"/>
        </w:rPr>
      </w:pPr>
      <w:r w:rsidRPr="00B10DFF">
        <w:rPr>
          <w:rFonts w:cstheme="minorHAnsi"/>
        </w:rPr>
        <w:t>In the ten year perio</w:t>
      </w:r>
      <w:r w:rsidR="007B192F" w:rsidRPr="00B10DFF">
        <w:rPr>
          <w:rFonts w:cstheme="minorHAnsi"/>
        </w:rPr>
        <w:t xml:space="preserve">d from 2009 to 2018, </w:t>
      </w:r>
      <w:r w:rsidRPr="00B10DFF">
        <w:rPr>
          <w:rFonts w:cstheme="minorHAnsi"/>
        </w:rPr>
        <w:t>299 active NHMRC grants</w:t>
      </w:r>
      <w:r w:rsidR="007B192F" w:rsidRPr="00B10DFF">
        <w:rPr>
          <w:rFonts w:cstheme="minorHAnsi"/>
        </w:rPr>
        <w:t xml:space="preserve"> were</w:t>
      </w:r>
      <w:r w:rsidRPr="00B10DFF">
        <w:rPr>
          <w:rFonts w:cstheme="minorHAnsi"/>
        </w:rPr>
        <w:t xml:space="preserve"> made</w:t>
      </w:r>
      <w:r w:rsidR="007B192F" w:rsidRPr="00B10DFF">
        <w:rPr>
          <w:rFonts w:cstheme="minorHAnsi"/>
        </w:rPr>
        <w:t xml:space="preserve"> that were</w:t>
      </w:r>
      <w:r w:rsidRPr="00B10DFF">
        <w:rPr>
          <w:rFonts w:cstheme="minorHAnsi"/>
        </w:rPr>
        <w:t xml:space="preserve"> relevant to AMR totaling over $201.3 million when they are all completed.</w:t>
      </w:r>
      <w:r w:rsidR="007B192F" w:rsidRPr="00B10DFF">
        <w:rPr>
          <w:rFonts w:cstheme="minorHAnsi"/>
        </w:rPr>
        <w:t xml:space="preserve"> Categories for </w:t>
      </w:r>
      <w:r w:rsidR="007B192F" w:rsidRPr="00B10DFF">
        <w:rPr>
          <w:rFonts w:cstheme="minorHAnsi"/>
        </w:rPr>
        <w:lastRenderedPageBreak/>
        <w:t xml:space="preserve">grants included </w:t>
      </w:r>
      <w:r w:rsidR="005F46C4" w:rsidRPr="00B10DFF">
        <w:rPr>
          <w:rFonts w:cstheme="minorHAnsi"/>
        </w:rPr>
        <w:t xml:space="preserve">development and biology of AMR, spread and surveillance, </w:t>
      </w:r>
      <w:r w:rsidR="007B192F" w:rsidRPr="00B10DFF">
        <w:rPr>
          <w:rFonts w:cstheme="minorHAnsi"/>
        </w:rPr>
        <w:t>antimicrobial stewardship as well as the development of new antimicrobials and/or novel therapies.</w:t>
      </w:r>
    </w:p>
    <w:p w14:paraId="317EFAE7" w14:textId="2E30A4BE" w:rsidR="00E35A8A" w:rsidRPr="00B10DFF" w:rsidRDefault="00DF6BA8" w:rsidP="00B10DFF">
      <w:pPr>
        <w:pStyle w:val="ListParagraph"/>
        <w:numPr>
          <w:ilvl w:val="0"/>
          <w:numId w:val="49"/>
        </w:numPr>
        <w:spacing w:after="120" w:line="240" w:lineRule="auto"/>
        <w:rPr>
          <w:rFonts w:cstheme="minorHAnsi"/>
        </w:rPr>
      </w:pPr>
      <w:r w:rsidRPr="00B10DFF">
        <w:rPr>
          <w:rFonts w:cstheme="minorHAnsi"/>
        </w:rPr>
        <w:t>The NHMRC’s Centre of Research Excellence</w:t>
      </w:r>
      <w:r w:rsidR="007B192F" w:rsidRPr="00B10DFF">
        <w:rPr>
          <w:rFonts w:cstheme="minorHAnsi"/>
        </w:rPr>
        <w:t xml:space="preserve"> (CRE) scheme is providing support for teams of researchers to pursue collaborative research and development capacity in different aspects of the AMR response. These include</w:t>
      </w:r>
      <w:r w:rsidR="0053652E" w:rsidRPr="00B10DFF">
        <w:rPr>
          <w:rFonts w:cstheme="minorHAnsi"/>
        </w:rPr>
        <w:t xml:space="preserve"> the CRE in Tuberculosis Control, CRE in Minimising Antibiotic Resistance in the Community (CRE-MARC) and the CRE in Malaria Elimination.</w:t>
      </w:r>
    </w:p>
    <w:p w14:paraId="37F6D8FF" w14:textId="77777777" w:rsidR="00945FAA" w:rsidRPr="00B10DFF" w:rsidRDefault="00866705" w:rsidP="00B10DFF">
      <w:pPr>
        <w:pStyle w:val="ListParagraph"/>
        <w:numPr>
          <w:ilvl w:val="0"/>
          <w:numId w:val="49"/>
        </w:numPr>
        <w:spacing w:after="120" w:line="240" w:lineRule="auto"/>
        <w:rPr>
          <w:rFonts w:cstheme="minorHAnsi"/>
        </w:rPr>
      </w:pPr>
      <w:r w:rsidRPr="00B10DFF">
        <w:rPr>
          <w:rFonts w:cstheme="minorHAnsi"/>
        </w:rPr>
        <w:t>Australia remains an active collaborator in advancing global research and development relating to AMR through international initiatives including the Global Antibiotic Research and Development Partnership (GAR</w:t>
      </w:r>
      <w:r w:rsidR="00D22B5E" w:rsidRPr="00B10DFF">
        <w:rPr>
          <w:rFonts w:cstheme="minorHAnsi"/>
        </w:rPr>
        <w:t>D-P) and the Global AMR R&amp;D Hub.</w:t>
      </w:r>
    </w:p>
    <w:p w14:paraId="3A2F3331" w14:textId="06A3F964" w:rsidR="00866705" w:rsidRPr="00B10DFF" w:rsidRDefault="00866705" w:rsidP="00B10DFF">
      <w:pPr>
        <w:pStyle w:val="ListParagraph"/>
        <w:numPr>
          <w:ilvl w:val="0"/>
          <w:numId w:val="49"/>
        </w:numPr>
        <w:spacing w:after="120" w:line="240" w:lineRule="auto"/>
        <w:rPr>
          <w:rFonts w:cstheme="minorHAnsi"/>
        </w:rPr>
      </w:pPr>
      <w:r w:rsidRPr="00B10DFF">
        <w:rPr>
          <w:rFonts w:cstheme="minorHAnsi"/>
        </w:rPr>
        <w:t xml:space="preserve">The </w:t>
      </w:r>
      <w:hyperlink r:id="rId18" w:tooltip="Antimicrobial resistance" w:history="1">
        <w:r w:rsidR="00945FAA" w:rsidRPr="00D85EC8">
          <w:rPr>
            <w:rStyle w:val="Hyperlink"/>
          </w:rPr>
          <w:t>amr.gov.au</w:t>
        </w:r>
      </w:hyperlink>
      <w:r w:rsidR="00945FAA" w:rsidRPr="00B10DFF">
        <w:rPr>
          <w:rFonts w:cstheme="minorHAnsi"/>
        </w:rPr>
        <w:t xml:space="preserve"> website</w:t>
      </w:r>
      <w:r w:rsidRPr="00B10DFF">
        <w:rPr>
          <w:rFonts w:cstheme="minorHAnsi"/>
        </w:rPr>
        <w:t xml:space="preserve"> includes an AMR activity and research directory, providing a space for researchers and organisations to share information. The directory helps build Australia’s information on AMR, which in turn will help target our efforts to strengthen Australia’s response to AMR. </w:t>
      </w:r>
    </w:p>
    <w:p w14:paraId="00428A27" w14:textId="1EAD7502" w:rsidR="00C14199" w:rsidRPr="00B10DFF" w:rsidRDefault="00C14199" w:rsidP="00B10DFF">
      <w:pPr>
        <w:pStyle w:val="ListParagraph"/>
        <w:numPr>
          <w:ilvl w:val="0"/>
          <w:numId w:val="49"/>
        </w:numPr>
        <w:spacing w:after="120" w:line="240" w:lineRule="auto"/>
        <w:rPr>
          <w:rFonts w:cstheme="minorHAnsi"/>
        </w:rPr>
      </w:pPr>
      <w:r w:rsidRPr="00B10DFF">
        <w:rPr>
          <w:rFonts w:cstheme="minorHAnsi"/>
        </w:rPr>
        <w:t>A number of Australian Universities continue to undertake AMR research in areas such as the health and economic impacts of five key drug-resistant infections in Australia; the discovery of new compounds with antimicrobial properties and determining the usefulness of disinfectants in eliminating germs and bad bacteria.</w:t>
      </w:r>
    </w:p>
    <w:p w14:paraId="7F6E8FBC" w14:textId="081EAF50" w:rsidR="00F44A47" w:rsidRPr="00B10DFF" w:rsidRDefault="00945FAA" w:rsidP="00B10DFF">
      <w:pPr>
        <w:pStyle w:val="ListParagraph"/>
        <w:numPr>
          <w:ilvl w:val="0"/>
          <w:numId w:val="49"/>
        </w:numPr>
        <w:spacing w:after="120" w:line="240" w:lineRule="auto"/>
        <w:rPr>
          <w:rFonts w:cstheme="minorHAnsi"/>
        </w:rPr>
      </w:pPr>
      <w:r w:rsidRPr="00B10DFF">
        <w:rPr>
          <w:rFonts w:cstheme="minorHAnsi"/>
        </w:rPr>
        <w:t xml:space="preserve">The </w:t>
      </w:r>
      <w:r w:rsidR="00F44A47" w:rsidRPr="00B10DFF">
        <w:rPr>
          <w:rFonts w:cstheme="minorHAnsi"/>
        </w:rPr>
        <w:t>Murdoch University is currently undertaking a project about risk management of critical antimicrobial resistant bacteria in food producing animals, which aims to optimise</w:t>
      </w:r>
      <w:r w:rsidR="00B67325" w:rsidRPr="00B10DFF">
        <w:rPr>
          <w:rFonts w:cstheme="minorHAnsi"/>
        </w:rPr>
        <w:t xml:space="preserve"> a microbiological enumeration a</w:t>
      </w:r>
      <w:r w:rsidR="00F44A47" w:rsidRPr="00B10DFF">
        <w:rPr>
          <w:rFonts w:cstheme="minorHAnsi"/>
        </w:rPr>
        <w:t>ss</w:t>
      </w:r>
      <w:r w:rsidR="00B67325" w:rsidRPr="00B10DFF">
        <w:rPr>
          <w:rFonts w:cstheme="minorHAnsi"/>
        </w:rPr>
        <w:t>a</w:t>
      </w:r>
      <w:r w:rsidR="00F44A47" w:rsidRPr="00B10DFF">
        <w:rPr>
          <w:rFonts w:cstheme="minorHAnsi"/>
        </w:rPr>
        <w:t xml:space="preserve">y and </w:t>
      </w:r>
      <w:r w:rsidR="00D76E26" w:rsidRPr="00B10DFF">
        <w:rPr>
          <w:rFonts w:cstheme="minorHAnsi"/>
        </w:rPr>
        <w:t>quantify its detection of critical</w:t>
      </w:r>
      <w:r w:rsidR="00D93270" w:rsidRPr="00B10DFF">
        <w:rPr>
          <w:rFonts w:cstheme="minorHAnsi"/>
        </w:rPr>
        <w:t xml:space="preserve"> AMR ba</w:t>
      </w:r>
      <w:r w:rsidR="00D76E26" w:rsidRPr="00B10DFF">
        <w:rPr>
          <w:rFonts w:cstheme="minorHAnsi"/>
        </w:rPr>
        <w:t>cteria.</w:t>
      </w:r>
    </w:p>
    <w:p w14:paraId="58265F8D" w14:textId="51F236B3" w:rsidR="00D93270" w:rsidRPr="00B10DFF" w:rsidRDefault="004504A2" w:rsidP="00B10DFF">
      <w:pPr>
        <w:pStyle w:val="ListParagraph"/>
        <w:numPr>
          <w:ilvl w:val="0"/>
          <w:numId w:val="49"/>
        </w:numPr>
        <w:spacing w:after="120" w:line="240" w:lineRule="auto"/>
        <w:rPr>
          <w:rFonts w:cstheme="minorHAnsi"/>
        </w:rPr>
      </w:pPr>
      <w:r w:rsidRPr="00B10DFF">
        <w:rPr>
          <w:rFonts w:cstheme="minorHAnsi"/>
        </w:rPr>
        <w:t>Funded under the Australian Government</w:t>
      </w:r>
      <w:r w:rsidR="00606F5C" w:rsidRPr="00B10DFF">
        <w:rPr>
          <w:rFonts w:cstheme="minorHAnsi"/>
        </w:rPr>
        <w:t xml:space="preserve">’s Rural Research and Development for Profit program, </w:t>
      </w:r>
      <w:r w:rsidR="00D93270" w:rsidRPr="00B10DFF">
        <w:rPr>
          <w:rFonts w:cstheme="minorHAnsi"/>
        </w:rPr>
        <w:t>Australian Pork Limited is working with partners AgriFutures Australia, Murdoch University</w:t>
      </w:r>
      <w:r w:rsidRPr="00B10DFF">
        <w:rPr>
          <w:rFonts w:cstheme="minorHAnsi"/>
        </w:rPr>
        <w:t>, the University o</w:t>
      </w:r>
      <w:r w:rsidR="00606F5C" w:rsidRPr="00B10DFF">
        <w:rPr>
          <w:rFonts w:cstheme="minorHAnsi"/>
        </w:rPr>
        <w:t>f Adel</w:t>
      </w:r>
      <w:r w:rsidRPr="00B10DFF">
        <w:rPr>
          <w:rFonts w:cstheme="minorHAnsi"/>
        </w:rPr>
        <w:t>a</w:t>
      </w:r>
      <w:r w:rsidR="00606F5C" w:rsidRPr="00B10DFF">
        <w:rPr>
          <w:rFonts w:cstheme="minorHAnsi"/>
        </w:rPr>
        <w:t>i</w:t>
      </w:r>
      <w:r w:rsidRPr="00B10DFF">
        <w:rPr>
          <w:rFonts w:cstheme="minorHAnsi"/>
        </w:rPr>
        <w:t xml:space="preserve">de, </w:t>
      </w:r>
      <w:r w:rsidR="00606F5C" w:rsidRPr="00B10DFF">
        <w:rPr>
          <w:rFonts w:cstheme="minorHAnsi"/>
        </w:rPr>
        <w:t>Tecan Australia, Thermo</w:t>
      </w:r>
      <w:r w:rsidR="00D13981" w:rsidRPr="00B10DFF">
        <w:rPr>
          <w:rFonts w:cstheme="minorHAnsi"/>
        </w:rPr>
        <w:t xml:space="preserve"> </w:t>
      </w:r>
      <w:r w:rsidR="00606F5C" w:rsidRPr="00B10DFF">
        <w:rPr>
          <w:rFonts w:cstheme="minorHAnsi"/>
        </w:rPr>
        <w:t>Fisher S</w:t>
      </w:r>
      <w:r w:rsidRPr="00B10DFF">
        <w:rPr>
          <w:rFonts w:cstheme="minorHAnsi"/>
        </w:rPr>
        <w:t xml:space="preserve">cientific, Illumina and NSW Department of Primary Industries to deliver high throughput technology for defining </w:t>
      </w:r>
      <w:r w:rsidR="00606F5C" w:rsidRPr="00B10DFF">
        <w:rPr>
          <w:rFonts w:cstheme="minorHAnsi"/>
        </w:rPr>
        <w:t>antimicrobial</w:t>
      </w:r>
      <w:r w:rsidRPr="00B10DFF">
        <w:rPr>
          <w:rFonts w:cstheme="minorHAnsi"/>
        </w:rPr>
        <w:t xml:space="preserve"> resistance </w:t>
      </w:r>
      <w:r w:rsidR="00606F5C" w:rsidRPr="00B10DFF">
        <w:rPr>
          <w:rFonts w:cstheme="minorHAnsi"/>
        </w:rPr>
        <w:t>status</w:t>
      </w:r>
      <w:r w:rsidRPr="00B10DFF">
        <w:rPr>
          <w:rFonts w:cstheme="minorHAnsi"/>
        </w:rPr>
        <w:t xml:space="preserve"> in pork and chicken</w:t>
      </w:r>
      <w:r w:rsidR="00606F5C" w:rsidRPr="00B10DFF">
        <w:rPr>
          <w:rFonts w:cstheme="minorHAnsi"/>
        </w:rPr>
        <w:t xml:space="preserve"> project.</w:t>
      </w:r>
    </w:p>
    <w:p w14:paraId="3419123C" w14:textId="77777777" w:rsidR="004221C9" w:rsidRPr="00945FAA" w:rsidRDefault="004221C9" w:rsidP="00B10DFF">
      <w:pPr>
        <w:pStyle w:val="Heading3"/>
      </w:pPr>
      <w:bookmarkStart w:id="156" w:name="_Toc10812330"/>
      <w:r w:rsidRPr="00945FAA">
        <w:t>What are our challenges?</w:t>
      </w:r>
      <w:bookmarkEnd w:id="156"/>
    </w:p>
    <w:p w14:paraId="40DD5101" w14:textId="074E2134" w:rsidR="004221C9" w:rsidRDefault="00C14199" w:rsidP="00B10DFF">
      <w:pPr>
        <w:rPr>
          <w:lang w:val="en-US"/>
        </w:rPr>
      </w:pPr>
      <w:r w:rsidRPr="00045EEC">
        <w:rPr>
          <w:lang w:val="en-US"/>
        </w:rPr>
        <w:t>While progress has</w:t>
      </w:r>
      <w:r w:rsidR="005A3200" w:rsidRPr="00045EEC">
        <w:rPr>
          <w:lang w:val="en-US"/>
        </w:rPr>
        <w:t xml:space="preserve"> </w:t>
      </w:r>
      <w:r w:rsidR="004221C9" w:rsidRPr="00045EEC">
        <w:rPr>
          <w:lang w:val="en-US"/>
        </w:rPr>
        <w:t>been made in</w:t>
      </w:r>
      <w:r w:rsidRPr="00045EEC">
        <w:rPr>
          <w:lang w:val="en-US"/>
        </w:rPr>
        <w:t xml:space="preserve"> increasing</w:t>
      </w:r>
      <w:r w:rsidR="004221C9" w:rsidRPr="00045EEC">
        <w:rPr>
          <w:lang w:val="en-US"/>
        </w:rPr>
        <w:t xml:space="preserve"> the level of information sharing and collaboration between Australia’s research institutes</w:t>
      </w:r>
      <w:r w:rsidR="00945FAA" w:rsidRPr="00045EEC">
        <w:rPr>
          <w:lang w:val="en-US"/>
        </w:rPr>
        <w:t>, Australia</w:t>
      </w:r>
      <w:r w:rsidR="004221C9" w:rsidRPr="00045EEC">
        <w:rPr>
          <w:lang w:val="en-US"/>
        </w:rPr>
        <w:t xml:space="preserve"> lacks a national AMR research agenda</w:t>
      </w:r>
      <w:r w:rsidR="00945FAA">
        <w:rPr>
          <w:lang w:val="en-US"/>
        </w:rPr>
        <w:t xml:space="preserve">, with dedicated funding, </w:t>
      </w:r>
      <w:r w:rsidR="004221C9" w:rsidRPr="00045EEC">
        <w:rPr>
          <w:lang w:val="en-US"/>
        </w:rPr>
        <w:t xml:space="preserve">that identifies agreed research and development priorities to which institutes lend their expertise and work collaboratively to fill knowledge gaps. </w:t>
      </w:r>
    </w:p>
    <w:p w14:paraId="0579589A" w14:textId="77777777" w:rsidR="004221C9" w:rsidRPr="00045EEC" w:rsidRDefault="004221C9" w:rsidP="00B10DFF">
      <w:pPr>
        <w:rPr>
          <w:lang w:val="en-US"/>
        </w:rPr>
      </w:pPr>
      <w:r w:rsidRPr="00045EEC">
        <w:rPr>
          <w:lang w:val="en-US"/>
        </w:rPr>
        <w:t xml:space="preserve">Research and development need to be mapped against current AMR efforts. Such crosschecking will provide guidance on the gaps and where the greatest impacts of new research and development investment could be achieved. </w:t>
      </w:r>
    </w:p>
    <w:p w14:paraId="1B48B921" w14:textId="147C2C0A" w:rsidR="004221C9" w:rsidRPr="00045EEC" w:rsidRDefault="004221C9" w:rsidP="00B10DFF">
      <w:pPr>
        <w:rPr>
          <w:lang w:val="en-US"/>
        </w:rPr>
      </w:pPr>
      <w:r w:rsidRPr="00045EEC">
        <w:rPr>
          <w:lang w:val="en-US"/>
        </w:rPr>
        <w:t xml:space="preserve">Although the AMR Activity and Research Directory on the </w:t>
      </w:r>
      <w:hyperlink r:id="rId19" w:tooltip="Antimicrobial resistance" w:history="1">
        <w:r w:rsidR="003A1667" w:rsidRPr="00695E18">
          <w:rPr>
            <w:rStyle w:val="Hyperlink"/>
            <w:rFonts w:cstheme="minorHAnsi"/>
            <w:lang w:val="en-US"/>
          </w:rPr>
          <w:t>amr.gov.au</w:t>
        </w:r>
      </w:hyperlink>
      <w:r w:rsidR="003A1667" w:rsidRPr="003A1667">
        <w:rPr>
          <w:lang w:val="en-US"/>
        </w:rPr>
        <w:t xml:space="preserve"> website </w:t>
      </w:r>
      <w:r w:rsidRPr="00045EEC">
        <w:rPr>
          <w:lang w:val="en-US"/>
        </w:rPr>
        <w:t>provided a start for collaboration and information sharing</w:t>
      </w:r>
      <w:r w:rsidR="003A1667">
        <w:rPr>
          <w:lang w:val="en-US"/>
        </w:rPr>
        <w:t xml:space="preserve">, our efforts can be improved. </w:t>
      </w:r>
      <w:r w:rsidRPr="00045EEC">
        <w:rPr>
          <w:lang w:val="en-US"/>
        </w:rPr>
        <w:t xml:space="preserve">Such efforts are required to promote efficient use of resources and </w:t>
      </w:r>
      <w:r w:rsidRPr="00F27149">
        <w:t>minimise</w:t>
      </w:r>
      <w:r w:rsidRPr="00045EEC">
        <w:rPr>
          <w:lang w:val="en-US"/>
        </w:rPr>
        <w:t xml:space="preserve"> duplication of effort within and between all sectors (One Health), including the Australian Government, state and territory governments, non-government organisations, professional bodies and research organisations. The next Strategy will encourage the development and implementation of sector-specific action plans to ensure clear accountability and </w:t>
      </w:r>
      <w:r w:rsidR="003A1667">
        <w:rPr>
          <w:lang w:val="en-US"/>
        </w:rPr>
        <w:t xml:space="preserve">unique </w:t>
      </w:r>
      <w:r w:rsidRPr="00045EEC">
        <w:rPr>
          <w:lang w:val="en-US"/>
        </w:rPr>
        <w:t>plans</w:t>
      </w:r>
      <w:r w:rsidR="005A3200" w:rsidRPr="00045EEC">
        <w:rPr>
          <w:lang w:val="en-US"/>
        </w:rPr>
        <w:t xml:space="preserve"> for minimising AMR.</w:t>
      </w:r>
    </w:p>
    <w:p w14:paraId="4FF2EEC5" w14:textId="77777777" w:rsidR="004221C9" w:rsidRPr="00945FAA" w:rsidRDefault="004221C9" w:rsidP="008C5EAB">
      <w:pPr>
        <w:pStyle w:val="Heading3"/>
      </w:pPr>
      <w:bookmarkStart w:id="157" w:name="_Toc10812331"/>
      <w:r w:rsidRPr="00945FAA">
        <w:t>Where to next?</w:t>
      </w:r>
      <w:bookmarkEnd w:id="157"/>
    </w:p>
    <w:p w14:paraId="6D62A426" w14:textId="1C590721" w:rsidR="00E41B1E" w:rsidRDefault="00E41B1E" w:rsidP="00605999">
      <w:pPr>
        <w:rPr>
          <w:lang w:val="en-US"/>
        </w:rPr>
      </w:pPr>
      <w:r>
        <w:rPr>
          <w:lang w:val="en-US"/>
        </w:rPr>
        <w:t xml:space="preserve">Explore the development of a national One </w:t>
      </w:r>
      <w:r w:rsidRPr="00D95955">
        <w:t>Health</w:t>
      </w:r>
      <w:r>
        <w:rPr>
          <w:lang w:val="en-US"/>
        </w:rPr>
        <w:t xml:space="preserve"> </w:t>
      </w:r>
      <w:r w:rsidRPr="00045EEC">
        <w:rPr>
          <w:lang w:val="en-US"/>
        </w:rPr>
        <w:t>AMR research agenda</w:t>
      </w:r>
      <w:r>
        <w:rPr>
          <w:lang w:val="en-US"/>
        </w:rPr>
        <w:t>.</w:t>
      </w:r>
    </w:p>
    <w:p w14:paraId="09B2D6B4" w14:textId="7CA526FD" w:rsidR="00B33C6B" w:rsidRDefault="00B33C6B" w:rsidP="00605999">
      <w:pPr>
        <w:rPr>
          <w:lang w:val="en-US"/>
        </w:rPr>
      </w:pPr>
      <w:r w:rsidRPr="00E553D7">
        <w:rPr>
          <w:lang w:val="en-US"/>
        </w:rPr>
        <w:t>Better explore opportuniti</w:t>
      </w:r>
      <w:r w:rsidR="0065298F">
        <w:rPr>
          <w:lang w:val="en-US"/>
        </w:rPr>
        <w:t>es to increase support for research and development</w:t>
      </w:r>
      <w:r w:rsidRPr="00E553D7">
        <w:rPr>
          <w:lang w:val="en-US"/>
        </w:rPr>
        <w:t xml:space="preserve"> through innovative models such as push and pull incentives, fast tracking clinical trials and </w:t>
      </w:r>
      <w:r w:rsidR="005F46C4" w:rsidRPr="00E553D7">
        <w:rPr>
          <w:lang w:val="en-US"/>
        </w:rPr>
        <w:t xml:space="preserve">consideration of </w:t>
      </w:r>
      <w:r w:rsidRPr="00E553D7">
        <w:rPr>
          <w:lang w:val="en-US"/>
        </w:rPr>
        <w:t>alternative approaches to economic evaluation</w:t>
      </w:r>
      <w:r w:rsidR="005F46C4" w:rsidRPr="00E553D7">
        <w:rPr>
          <w:lang w:val="en-US"/>
        </w:rPr>
        <w:t>.</w:t>
      </w:r>
    </w:p>
    <w:p w14:paraId="09108A4B" w14:textId="3DE156E7" w:rsidR="00DA7932" w:rsidRDefault="00DA7932" w:rsidP="00605999">
      <w:pPr>
        <w:rPr>
          <w:lang w:val="en-US"/>
        </w:rPr>
      </w:pPr>
      <w:r w:rsidRPr="00AF4446">
        <w:rPr>
          <w:lang w:val="en-US"/>
        </w:rPr>
        <w:lastRenderedPageBreak/>
        <w:t>E</w:t>
      </w:r>
      <w:r>
        <w:rPr>
          <w:lang w:val="en-US"/>
        </w:rPr>
        <w:t>x</w:t>
      </w:r>
      <w:r w:rsidRPr="00AF4446">
        <w:rPr>
          <w:lang w:val="en-US"/>
        </w:rPr>
        <w:t>plore funding models to secure dedicated funding</w:t>
      </w:r>
      <w:r w:rsidR="003A1667">
        <w:rPr>
          <w:lang w:val="en-US"/>
        </w:rPr>
        <w:t xml:space="preserve"> to address AMR, particularly in the animal health sector.</w:t>
      </w:r>
    </w:p>
    <w:p w14:paraId="3AE3EF2D" w14:textId="39B829E1" w:rsidR="00FB0374" w:rsidRPr="00AF4446" w:rsidRDefault="003A1667" w:rsidP="00605999">
      <w:pPr>
        <w:rPr>
          <w:lang w:val="en-US"/>
        </w:rPr>
      </w:pPr>
      <w:r>
        <w:rPr>
          <w:lang w:val="en-US"/>
        </w:rPr>
        <w:t xml:space="preserve">Promote and measure progress against the </w:t>
      </w:r>
      <w:r w:rsidR="00FB0374">
        <w:rPr>
          <w:lang w:val="en-US"/>
        </w:rPr>
        <w:t>‘Australian animal sector national AMR plan 2018’ and agree on future activities.</w:t>
      </w:r>
    </w:p>
    <w:p w14:paraId="751F07AD" w14:textId="77777777" w:rsidR="004221C9" w:rsidRPr="00703059" w:rsidRDefault="004221C9" w:rsidP="00605999">
      <w:pPr>
        <w:rPr>
          <w:lang w:val="en-US"/>
        </w:rPr>
      </w:pPr>
      <w:r w:rsidRPr="00703059">
        <w:rPr>
          <w:lang w:val="en-US"/>
        </w:rPr>
        <w:t>Australia will continue to support and encourage centres of research excellence, research institutes and national research funding bodies such as the NHMRC, MRFF and the Australian Research Council to work in concert to establish agreed national AMR research priorities.</w:t>
      </w:r>
    </w:p>
    <w:p w14:paraId="188F99EF" w14:textId="7AA4C9D6" w:rsidR="007A2152" w:rsidRPr="00605999" w:rsidRDefault="004221C9" w:rsidP="00605999">
      <w:pPr>
        <w:rPr>
          <w:lang w:val="en-US"/>
        </w:rPr>
      </w:pPr>
      <w:r w:rsidRPr="00703059">
        <w:rPr>
          <w:lang w:val="en-US"/>
        </w:rPr>
        <w:t xml:space="preserve">Australia will continue to engage in various international research and development bodies such as the Global AMR Research and Development Hub, the Global Antibiotic Research and Development Partnership and the Global AMR Innovation Fund. Australia will collaborate with such research groups to minimise duplication and maximise efficiency of global AMR </w:t>
      </w:r>
      <w:r w:rsidR="003A1667">
        <w:rPr>
          <w:lang w:val="en-US"/>
        </w:rPr>
        <w:t>research,</w:t>
      </w:r>
      <w:r w:rsidR="00090276">
        <w:rPr>
          <w:lang w:val="en-US"/>
        </w:rPr>
        <w:t xml:space="preserve"> including animal health </w:t>
      </w:r>
      <w:r w:rsidR="003A1667">
        <w:rPr>
          <w:lang w:val="en-US"/>
        </w:rPr>
        <w:t xml:space="preserve">research </w:t>
      </w:r>
      <w:r w:rsidR="00090276">
        <w:rPr>
          <w:lang w:val="en-US"/>
        </w:rPr>
        <w:t>and development initiatives.</w:t>
      </w:r>
    </w:p>
    <w:p w14:paraId="38D42D5F" w14:textId="77777777" w:rsidR="00605999" w:rsidRDefault="00605999">
      <w:pPr>
        <w:rPr>
          <w:rFonts w:asciiTheme="majorHAnsi" w:eastAsiaTheme="majorEastAsia" w:hAnsiTheme="majorHAnsi" w:cstheme="majorBidi"/>
          <w:b/>
          <w:bCs/>
          <w:sz w:val="26"/>
          <w:szCs w:val="26"/>
        </w:rPr>
      </w:pPr>
      <w:r>
        <w:br w:type="page"/>
      </w:r>
    </w:p>
    <w:p w14:paraId="11C54CB1" w14:textId="20B41D49" w:rsidR="00920483" w:rsidRPr="00AF4446" w:rsidRDefault="00920483" w:rsidP="00605999">
      <w:pPr>
        <w:pStyle w:val="Heading2"/>
      </w:pPr>
      <w:bookmarkStart w:id="158" w:name="_Toc10812332"/>
      <w:r w:rsidRPr="00AF4446">
        <w:lastRenderedPageBreak/>
        <w:t xml:space="preserve">Objective Six: </w:t>
      </w:r>
      <w:r w:rsidR="00F034DE" w:rsidRPr="00AF4446">
        <w:t>Strengthen international partnerships and collaboration on regional and global efforts to respond to antimicrobial resistance.</w:t>
      </w:r>
      <w:bookmarkEnd w:id="158"/>
    </w:p>
    <w:p w14:paraId="227A5DBF" w14:textId="78A55A6F" w:rsidR="00E111BC" w:rsidRPr="00045EEC" w:rsidRDefault="00E111BC" w:rsidP="0053652E">
      <w:pPr>
        <w:spacing w:after="120" w:line="240" w:lineRule="auto"/>
        <w:rPr>
          <w:rFonts w:cstheme="minorHAnsi"/>
        </w:rPr>
      </w:pPr>
      <w:r w:rsidRPr="00045EEC">
        <w:rPr>
          <w:rFonts w:cstheme="minorHAnsi"/>
          <w:noProof/>
        </w:rPr>
        <mc:AlternateContent>
          <mc:Choice Requires="wps">
            <w:drawing>
              <wp:inline distT="0" distB="0" distL="0" distR="0" wp14:anchorId="7A8B3A60" wp14:editId="6CD7A22A">
                <wp:extent cx="5981700" cy="1914525"/>
                <wp:effectExtent l="0" t="0" r="1905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14525"/>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34A4176" w14:textId="77777777" w:rsidR="0050772D" w:rsidRPr="007A2152" w:rsidRDefault="0050772D" w:rsidP="007A2152">
                            <w:pPr>
                              <w:spacing w:after="120" w:line="240" w:lineRule="auto"/>
                              <w:rPr>
                                <w:b/>
                              </w:rPr>
                            </w:pPr>
                            <w:bookmarkStart w:id="159" w:name="_Toc9112750"/>
                            <w:bookmarkStart w:id="160" w:name="_Toc9116475"/>
                            <w:bookmarkStart w:id="161" w:name="_Toc9169919"/>
                            <w:r w:rsidRPr="007A2152">
                              <w:rPr>
                                <w:b/>
                              </w:rPr>
                              <w:t>Priority Areas for Action</w:t>
                            </w:r>
                            <w:bookmarkEnd w:id="159"/>
                            <w:bookmarkEnd w:id="160"/>
                            <w:bookmarkEnd w:id="161"/>
                            <w:r w:rsidRPr="007A2152">
                              <w:rPr>
                                <w:b/>
                              </w:rPr>
                              <w:t xml:space="preserve"> </w:t>
                            </w:r>
                          </w:p>
                          <w:p w14:paraId="02BE4F25" w14:textId="77777777" w:rsidR="0050772D" w:rsidRPr="007A2152" w:rsidRDefault="0050772D" w:rsidP="007A2152">
                            <w:pPr>
                              <w:spacing w:after="120" w:line="240" w:lineRule="auto"/>
                            </w:pPr>
                            <w:bookmarkStart w:id="162" w:name="_Toc9112751"/>
                            <w:bookmarkStart w:id="163" w:name="_Toc9116476"/>
                            <w:bookmarkStart w:id="164" w:name="_Toc9169920"/>
                            <w:r w:rsidRPr="007A2152">
                              <w:t>6.1: Active engagement with multilateral organisations and relevant forums to contribute to regional and global action on antimicrobial resistance.</w:t>
                            </w:r>
                            <w:bookmarkEnd w:id="162"/>
                            <w:bookmarkEnd w:id="163"/>
                            <w:bookmarkEnd w:id="164"/>
                          </w:p>
                          <w:p w14:paraId="59EEFAE8" w14:textId="77777777" w:rsidR="0050772D" w:rsidRPr="007A2152" w:rsidRDefault="0050772D" w:rsidP="007A2152">
                            <w:pPr>
                              <w:spacing w:after="120" w:line="240" w:lineRule="auto"/>
                            </w:pPr>
                            <w:bookmarkStart w:id="165" w:name="_Toc9112752"/>
                            <w:bookmarkStart w:id="166" w:name="_Toc9116477"/>
                            <w:bookmarkStart w:id="167" w:name="_Toc9169921"/>
                            <w:r w:rsidRPr="007A2152">
                              <w:t>6.2: Lead regional initiatives to increase capacity to respond to antimicrobial resistance.</w:t>
                            </w:r>
                            <w:bookmarkEnd w:id="165"/>
                            <w:bookmarkEnd w:id="166"/>
                            <w:bookmarkEnd w:id="167"/>
                          </w:p>
                          <w:p w14:paraId="401C8687" w14:textId="77777777" w:rsidR="0050772D" w:rsidRPr="007A2152" w:rsidRDefault="0050772D" w:rsidP="007A2152">
                            <w:pPr>
                              <w:spacing w:after="120" w:line="240" w:lineRule="auto"/>
                            </w:pPr>
                            <w:bookmarkStart w:id="168" w:name="_Toc9112753"/>
                            <w:bookmarkStart w:id="169" w:name="_Toc9116478"/>
                            <w:bookmarkStart w:id="170" w:name="_Toc9169922"/>
                            <w:r w:rsidRPr="007A2152">
                              <w:t>6.3: Learn from international best practice.</w:t>
                            </w:r>
                            <w:bookmarkEnd w:id="168"/>
                            <w:bookmarkEnd w:id="169"/>
                            <w:bookmarkEnd w:id="170"/>
                          </w:p>
                          <w:p w14:paraId="2161B745" w14:textId="77777777" w:rsidR="0050772D" w:rsidRPr="007A2152" w:rsidRDefault="0050772D" w:rsidP="007A2152">
                            <w:pPr>
                              <w:spacing w:after="120" w:line="240" w:lineRule="auto"/>
                            </w:pPr>
                            <w:bookmarkStart w:id="171" w:name="_Toc9112754"/>
                            <w:bookmarkStart w:id="172" w:name="_Toc9116479"/>
                            <w:bookmarkStart w:id="173" w:name="_Toc9169923"/>
                            <w:r w:rsidRPr="007A2152">
                              <w:t>6.4: Participate in international surveillance initiatives.</w:t>
                            </w:r>
                            <w:bookmarkEnd w:id="171"/>
                            <w:bookmarkEnd w:id="172"/>
                            <w:bookmarkEnd w:id="173"/>
                          </w:p>
                          <w:p w14:paraId="641E4762" w14:textId="3CC09DD2" w:rsidR="0050772D" w:rsidRPr="007A2152" w:rsidRDefault="0050772D" w:rsidP="007A2152">
                            <w:pPr>
                              <w:spacing w:after="120" w:line="240" w:lineRule="auto"/>
                            </w:pPr>
                            <w:bookmarkStart w:id="174" w:name="_Toc9112755"/>
                            <w:bookmarkStart w:id="175" w:name="_Toc9116480"/>
                            <w:bookmarkStart w:id="176" w:name="_Toc9169924"/>
                            <w:r w:rsidRPr="007A2152">
                              <w:t>6.5: Establish closer ties with international collaborations to link Australia’s national research agenda with what is happening internationally.</w:t>
                            </w:r>
                            <w:bookmarkEnd w:id="174"/>
                            <w:bookmarkEnd w:id="175"/>
                            <w:bookmarkEnd w:id="176"/>
                          </w:p>
                        </w:txbxContent>
                      </wps:txbx>
                      <wps:bodyPr rot="0" vert="horz" wrap="square" lIns="91440" tIns="45720" rIns="91440" bIns="45720" anchor="t" anchorCtr="0">
                        <a:noAutofit/>
                      </wps:bodyPr>
                    </wps:wsp>
                  </a:graphicData>
                </a:graphic>
              </wp:inline>
            </w:drawing>
          </mc:Choice>
          <mc:Fallback>
            <w:pict>
              <v:shape w14:anchorId="7A8B3A60" id="_x0000_s1039" type="#_x0000_t202" style="width:471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" fillcolor="white [3201]" strokecolor="#c45911 [2405]" strokeweight=".25pt">
                <v:textbox>
                  <w:txbxContent>
                    <w:p w14:paraId="734A4176" w14:textId="77777777" w:rsidR="0050772D" w:rsidRPr="007A2152" w:rsidRDefault="0050772D" w:rsidP="007A2152">
                      <w:pPr>
                        <w:spacing w:after="120" w:line="240" w:lineRule="auto"/>
                        <w:rPr>
                          <w:b/>
                        </w:rPr>
                      </w:pPr>
                      <w:bookmarkStart w:id="177" w:name="_Toc9112750"/>
                      <w:bookmarkStart w:id="178" w:name="_Toc9116475"/>
                      <w:bookmarkStart w:id="179" w:name="_Toc9169919"/>
                      <w:r w:rsidRPr="007A2152">
                        <w:rPr>
                          <w:b/>
                        </w:rPr>
                        <w:t>Priority Areas for Action</w:t>
                      </w:r>
                      <w:bookmarkEnd w:id="177"/>
                      <w:bookmarkEnd w:id="178"/>
                      <w:bookmarkEnd w:id="179"/>
                      <w:r w:rsidRPr="007A2152">
                        <w:rPr>
                          <w:b/>
                        </w:rPr>
                        <w:t xml:space="preserve"> </w:t>
                      </w:r>
                    </w:p>
                    <w:p w14:paraId="02BE4F25" w14:textId="77777777" w:rsidR="0050772D" w:rsidRPr="007A2152" w:rsidRDefault="0050772D" w:rsidP="007A2152">
                      <w:pPr>
                        <w:spacing w:after="120" w:line="240" w:lineRule="auto"/>
                      </w:pPr>
                      <w:bookmarkStart w:id="180" w:name="_Toc9112751"/>
                      <w:bookmarkStart w:id="181" w:name="_Toc9116476"/>
                      <w:bookmarkStart w:id="182" w:name="_Toc9169920"/>
                      <w:r w:rsidRPr="007A2152">
                        <w:t>6.1: Active engagement with multilateral organisations and relevant forums to contribute to regional and global action on antimicrobial resistance.</w:t>
                      </w:r>
                      <w:bookmarkEnd w:id="180"/>
                      <w:bookmarkEnd w:id="181"/>
                      <w:bookmarkEnd w:id="182"/>
                    </w:p>
                    <w:p w14:paraId="59EEFAE8" w14:textId="77777777" w:rsidR="0050772D" w:rsidRPr="007A2152" w:rsidRDefault="0050772D" w:rsidP="007A2152">
                      <w:pPr>
                        <w:spacing w:after="120" w:line="240" w:lineRule="auto"/>
                      </w:pPr>
                      <w:bookmarkStart w:id="183" w:name="_Toc9112752"/>
                      <w:bookmarkStart w:id="184" w:name="_Toc9116477"/>
                      <w:bookmarkStart w:id="185" w:name="_Toc9169921"/>
                      <w:r w:rsidRPr="007A2152">
                        <w:t>6.2: Lead regional initiatives to increase capacity to respond to antimicrobial resistance.</w:t>
                      </w:r>
                      <w:bookmarkEnd w:id="183"/>
                      <w:bookmarkEnd w:id="184"/>
                      <w:bookmarkEnd w:id="185"/>
                    </w:p>
                    <w:p w14:paraId="401C8687" w14:textId="77777777" w:rsidR="0050772D" w:rsidRPr="007A2152" w:rsidRDefault="0050772D" w:rsidP="007A2152">
                      <w:pPr>
                        <w:spacing w:after="120" w:line="240" w:lineRule="auto"/>
                      </w:pPr>
                      <w:bookmarkStart w:id="186" w:name="_Toc9112753"/>
                      <w:bookmarkStart w:id="187" w:name="_Toc9116478"/>
                      <w:bookmarkStart w:id="188" w:name="_Toc9169922"/>
                      <w:r w:rsidRPr="007A2152">
                        <w:t>6.3: Learn from international best practice.</w:t>
                      </w:r>
                      <w:bookmarkEnd w:id="186"/>
                      <w:bookmarkEnd w:id="187"/>
                      <w:bookmarkEnd w:id="188"/>
                    </w:p>
                    <w:p w14:paraId="2161B745" w14:textId="77777777" w:rsidR="0050772D" w:rsidRPr="007A2152" w:rsidRDefault="0050772D" w:rsidP="007A2152">
                      <w:pPr>
                        <w:spacing w:after="120" w:line="240" w:lineRule="auto"/>
                      </w:pPr>
                      <w:bookmarkStart w:id="189" w:name="_Toc9112754"/>
                      <w:bookmarkStart w:id="190" w:name="_Toc9116479"/>
                      <w:bookmarkStart w:id="191" w:name="_Toc9169923"/>
                      <w:r w:rsidRPr="007A2152">
                        <w:t>6.4: Participate in international surveillance initiatives.</w:t>
                      </w:r>
                      <w:bookmarkEnd w:id="189"/>
                      <w:bookmarkEnd w:id="190"/>
                      <w:bookmarkEnd w:id="191"/>
                    </w:p>
                    <w:p w14:paraId="641E4762" w14:textId="3CC09DD2" w:rsidR="0050772D" w:rsidRPr="007A2152" w:rsidRDefault="0050772D" w:rsidP="007A2152">
                      <w:pPr>
                        <w:spacing w:after="120" w:line="240" w:lineRule="auto"/>
                      </w:pPr>
                      <w:bookmarkStart w:id="192" w:name="_Toc9112755"/>
                      <w:bookmarkStart w:id="193" w:name="_Toc9116480"/>
                      <w:bookmarkStart w:id="194" w:name="_Toc9169924"/>
                      <w:r w:rsidRPr="007A2152">
                        <w:t>6.5: Establish closer ties with international collaborations to link Australia’s national research agenda with what is happening internationally.</w:t>
                      </w:r>
                      <w:bookmarkEnd w:id="192"/>
                      <w:bookmarkEnd w:id="193"/>
                      <w:bookmarkEnd w:id="194"/>
                    </w:p>
                  </w:txbxContent>
                </v:textbox>
                <w10:anchorlock/>
              </v:shape>
            </w:pict>
          </mc:Fallback>
        </mc:AlternateContent>
      </w:r>
    </w:p>
    <w:p w14:paraId="4B71ABD8" w14:textId="179223FC" w:rsidR="00335A37" w:rsidRPr="00703059" w:rsidRDefault="00DA1B46" w:rsidP="00605999">
      <w:pPr>
        <w:rPr>
          <w:i/>
          <w:lang w:val="en-US"/>
        </w:rPr>
      </w:pPr>
      <w:r>
        <w:rPr>
          <w:lang w:val="en-US"/>
        </w:rPr>
        <w:t>AMR</w:t>
      </w:r>
      <w:r w:rsidR="00335A37" w:rsidRPr="00703059">
        <w:rPr>
          <w:lang w:val="en-US"/>
        </w:rPr>
        <w:t xml:space="preserve"> is a global issue that requires a global response. AMR potentially affects everyone, regardless of where they live, their health or economic circumstances. The increasing international movement of people, animals, food and other products increases the potential for AMR to spread rapidly across the world. Without international collaboration, the efforts of individual countries to combat AMR will be of limited value.</w:t>
      </w:r>
    </w:p>
    <w:p w14:paraId="62DA6086" w14:textId="77777777" w:rsidR="00335A37" w:rsidRPr="000A181F" w:rsidRDefault="00335A37" w:rsidP="00605999">
      <w:pPr>
        <w:rPr>
          <w:lang w:val="en-US"/>
        </w:rPr>
      </w:pPr>
      <w:r w:rsidRPr="00703059">
        <w:rPr>
          <w:lang w:val="en-US"/>
        </w:rPr>
        <w:t>The objective to strengthen international partnerships and collaboration on regional and global efforts to respond to AMR is therefore integral to Australia’s National AMR Strategy. Australia must continue to align its</w:t>
      </w:r>
      <w:r w:rsidRPr="000A181F">
        <w:rPr>
          <w:lang w:val="en-US"/>
        </w:rPr>
        <w:t xml:space="preserve"> efforts, wherever possible, and actively engage with other countries and multilateral organisations, particularly in the Asia-Pacific region. </w:t>
      </w:r>
    </w:p>
    <w:p w14:paraId="6EB5D376" w14:textId="44547F1B" w:rsidR="00335A37" w:rsidRPr="002943EE" w:rsidRDefault="00335A37" w:rsidP="00605999">
      <w:pPr>
        <w:pStyle w:val="Heading3"/>
      </w:pPr>
      <w:bookmarkStart w:id="195" w:name="_Toc10812333"/>
      <w:r w:rsidRPr="002943EE">
        <w:t>What have we achieved?</w:t>
      </w:r>
      <w:bookmarkEnd w:id="195"/>
    </w:p>
    <w:p w14:paraId="507E4D74" w14:textId="2DB0D53C" w:rsidR="00335A37" w:rsidRPr="00387562" w:rsidRDefault="00335A37" w:rsidP="00387562">
      <w:pPr>
        <w:pStyle w:val="ListParagraph"/>
        <w:numPr>
          <w:ilvl w:val="0"/>
          <w:numId w:val="8"/>
        </w:numPr>
        <w:spacing w:after="120" w:line="240" w:lineRule="auto"/>
        <w:ind w:left="426" w:hanging="426"/>
        <w:contextualSpacing w:val="0"/>
        <w:rPr>
          <w:rFonts w:cstheme="minorHAnsi"/>
        </w:rPr>
      </w:pPr>
      <w:r w:rsidRPr="00387562">
        <w:rPr>
          <w:rFonts w:cstheme="minorHAnsi"/>
        </w:rPr>
        <w:t xml:space="preserve">Australia has aligned its response to AMR with the WHO Global Action Plan on AMR (GAP), and is a regular participant and contributor to the international response to </w:t>
      </w:r>
      <w:r w:rsidR="00B74088" w:rsidRPr="00387562">
        <w:rPr>
          <w:rFonts w:cstheme="minorHAnsi"/>
        </w:rPr>
        <w:t>AMR</w:t>
      </w:r>
      <w:r w:rsidRPr="00387562">
        <w:rPr>
          <w:rFonts w:cstheme="minorHAnsi"/>
        </w:rPr>
        <w:t>. Examples of Australia’s international engagement on AMR include, but are not limited to:</w:t>
      </w:r>
    </w:p>
    <w:p w14:paraId="141CEB18" w14:textId="4F9DF947" w:rsidR="00DF2E41" w:rsidRDefault="00335A37" w:rsidP="00387562">
      <w:pPr>
        <w:pStyle w:val="ListParagraph"/>
        <w:numPr>
          <w:ilvl w:val="1"/>
          <w:numId w:val="8"/>
        </w:numPr>
        <w:spacing w:after="120" w:line="240" w:lineRule="auto"/>
        <w:ind w:left="720"/>
        <w:contextualSpacing w:val="0"/>
        <w:rPr>
          <w:rFonts w:cstheme="minorHAnsi"/>
          <w:lang w:val="en-US"/>
        </w:rPr>
      </w:pPr>
      <w:r w:rsidRPr="00045EEC">
        <w:rPr>
          <w:rFonts w:cstheme="minorHAnsi"/>
          <w:lang w:val="en-US"/>
        </w:rPr>
        <w:t xml:space="preserve">The Australian Chief Veterinary Officer – who is the current President of the </w:t>
      </w:r>
      <w:r w:rsidR="006C50F3" w:rsidRPr="00045EEC">
        <w:rPr>
          <w:rFonts w:cstheme="minorHAnsi"/>
          <w:lang w:val="en-US"/>
        </w:rPr>
        <w:t>World Organization for Animal Health (</w:t>
      </w:r>
      <w:r w:rsidRPr="00045EEC">
        <w:rPr>
          <w:rFonts w:cstheme="minorHAnsi"/>
          <w:lang w:val="en-US"/>
        </w:rPr>
        <w:t>OIE</w:t>
      </w:r>
      <w:r w:rsidR="006C50F3" w:rsidRPr="00045EEC">
        <w:rPr>
          <w:rFonts w:cstheme="minorHAnsi"/>
          <w:lang w:val="en-US"/>
        </w:rPr>
        <w:t>)</w:t>
      </w:r>
      <w:r w:rsidRPr="00045EEC">
        <w:rPr>
          <w:rFonts w:cstheme="minorHAnsi"/>
          <w:lang w:val="en-US"/>
        </w:rPr>
        <w:t xml:space="preserve"> World Assembly of Delegates – coordinates Australia’s</w:t>
      </w:r>
      <w:r w:rsidR="001113BA" w:rsidRPr="00045EEC">
        <w:rPr>
          <w:rFonts w:cstheme="minorHAnsi"/>
          <w:lang w:val="en-US"/>
        </w:rPr>
        <w:t xml:space="preserve"> </w:t>
      </w:r>
      <w:r w:rsidRPr="00045EEC">
        <w:rPr>
          <w:rFonts w:cstheme="minorHAnsi"/>
          <w:lang w:val="en-US"/>
        </w:rPr>
        <w:t>OIE work and provides regular disease reporting to improve gl</w:t>
      </w:r>
      <w:r w:rsidR="009A70B7">
        <w:rPr>
          <w:rFonts w:cstheme="minorHAnsi"/>
          <w:lang w:val="en-US"/>
        </w:rPr>
        <w:t>obal capability;</w:t>
      </w:r>
    </w:p>
    <w:p w14:paraId="7A7102D0" w14:textId="0F563D67" w:rsidR="009A70B7" w:rsidRPr="00045EEC" w:rsidRDefault="009A70B7" w:rsidP="00387562">
      <w:pPr>
        <w:pStyle w:val="ListParagraph"/>
        <w:numPr>
          <w:ilvl w:val="1"/>
          <w:numId w:val="8"/>
        </w:numPr>
        <w:spacing w:after="120" w:line="240" w:lineRule="auto"/>
        <w:ind w:left="720"/>
        <w:contextualSpacing w:val="0"/>
        <w:rPr>
          <w:rFonts w:cstheme="minorHAnsi"/>
          <w:lang w:val="en-US"/>
        </w:rPr>
      </w:pPr>
      <w:r w:rsidRPr="00387562">
        <w:rPr>
          <w:rFonts w:cstheme="minorHAnsi"/>
          <w:lang w:val="en-US"/>
        </w:rPr>
        <w:t>Australia’s participation in the OIE’s annual data collection on antimicrobial usage in animals since 2015;</w:t>
      </w:r>
    </w:p>
    <w:p w14:paraId="38A5F13A" w14:textId="77777777" w:rsidR="00DF2E41" w:rsidRPr="00045EEC" w:rsidRDefault="00335A37" w:rsidP="00387562">
      <w:pPr>
        <w:pStyle w:val="ListParagraph"/>
        <w:numPr>
          <w:ilvl w:val="1"/>
          <w:numId w:val="8"/>
        </w:numPr>
        <w:spacing w:after="120" w:line="240" w:lineRule="auto"/>
        <w:ind w:left="720"/>
        <w:contextualSpacing w:val="0"/>
        <w:rPr>
          <w:rFonts w:cstheme="minorHAnsi"/>
          <w:lang w:val="en-US"/>
        </w:rPr>
      </w:pPr>
      <w:r w:rsidRPr="00045EEC">
        <w:rPr>
          <w:rFonts w:cstheme="minorHAnsi"/>
          <w:lang w:val="en-US"/>
        </w:rPr>
        <w:t xml:space="preserve">Australia’s membership of the Global AMR R&amp;D Hub. This initiative brings together governments and foundations from different world regions, with different research potential and funding priorities, to address the global health threat of AMR; and </w:t>
      </w:r>
    </w:p>
    <w:p w14:paraId="2D1911F6" w14:textId="3EFF25F8" w:rsidR="00335A37" w:rsidRPr="00045EEC" w:rsidRDefault="00335A37" w:rsidP="00387562">
      <w:pPr>
        <w:pStyle w:val="ListParagraph"/>
        <w:numPr>
          <w:ilvl w:val="1"/>
          <w:numId w:val="8"/>
        </w:numPr>
        <w:spacing w:after="120" w:line="240" w:lineRule="auto"/>
        <w:ind w:left="720"/>
        <w:contextualSpacing w:val="0"/>
        <w:rPr>
          <w:rFonts w:cstheme="minorHAnsi"/>
          <w:lang w:val="en-US"/>
        </w:rPr>
      </w:pPr>
      <w:r w:rsidRPr="00045EEC">
        <w:rPr>
          <w:rFonts w:cstheme="minorHAnsi"/>
          <w:lang w:val="en-US"/>
        </w:rPr>
        <w:t xml:space="preserve">Australia’s championing of international frameworks such as the </w:t>
      </w:r>
      <w:r w:rsidR="00A27FA9">
        <w:rPr>
          <w:rFonts w:cstheme="minorHAnsi"/>
          <w:lang w:val="en-US"/>
        </w:rPr>
        <w:t xml:space="preserve">WHO </w:t>
      </w:r>
      <w:r w:rsidRPr="00045EEC">
        <w:rPr>
          <w:rFonts w:cstheme="minorHAnsi"/>
          <w:lang w:val="en-US"/>
        </w:rPr>
        <w:t>GAP</w:t>
      </w:r>
      <w:r w:rsidR="00A27FA9" w:rsidRPr="009A70B7">
        <w:rPr>
          <w:rFonts w:cstheme="minorHAnsi"/>
          <w:lang w:val="en-US"/>
        </w:rPr>
        <w:t xml:space="preserve"> and</w:t>
      </w:r>
      <w:r w:rsidRPr="009A70B7">
        <w:rPr>
          <w:rFonts w:cstheme="minorHAnsi"/>
          <w:lang w:val="en-US"/>
        </w:rPr>
        <w:t xml:space="preserve"> </w:t>
      </w:r>
      <w:r w:rsidRPr="00045EEC">
        <w:rPr>
          <w:rFonts w:cstheme="minorHAnsi"/>
          <w:lang w:val="en-US"/>
        </w:rPr>
        <w:t xml:space="preserve">the </w:t>
      </w:r>
      <w:r w:rsidRPr="009A70B7">
        <w:rPr>
          <w:rFonts w:cstheme="minorHAnsi"/>
          <w:lang w:val="en-US"/>
        </w:rPr>
        <w:t>Draft Global Framework for Development and Stewardship to Combat Antimicrobial Resistance</w:t>
      </w:r>
      <w:r w:rsidR="00A27FA9" w:rsidRPr="009A70B7">
        <w:rPr>
          <w:rFonts w:cstheme="minorHAnsi"/>
          <w:lang w:val="en-US"/>
        </w:rPr>
        <w:t>,</w:t>
      </w:r>
      <w:r w:rsidRPr="009A70B7">
        <w:rPr>
          <w:rFonts w:cstheme="minorHAnsi"/>
          <w:lang w:val="en-US"/>
        </w:rPr>
        <w:t xml:space="preserve"> </w:t>
      </w:r>
      <w:r w:rsidRPr="00045EEC">
        <w:rPr>
          <w:rFonts w:cstheme="minorHAnsi"/>
          <w:lang w:val="en-US"/>
        </w:rPr>
        <w:t xml:space="preserve">and </w:t>
      </w:r>
      <w:r w:rsidR="00A27FA9">
        <w:rPr>
          <w:rFonts w:cstheme="minorHAnsi"/>
          <w:lang w:val="en-US"/>
        </w:rPr>
        <w:t xml:space="preserve">contribution to </w:t>
      </w:r>
      <w:r w:rsidRPr="00045EEC">
        <w:rPr>
          <w:rFonts w:cstheme="minorHAnsi"/>
          <w:lang w:val="en-US"/>
        </w:rPr>
        <w:t>the</w:t>
      </w:r>
      <w:r w:rsidRPr="009A70B7">
        <w:rPr>
          <w:rFonts w:cstheme="minorHAnsi"/>
          <w:lang w:val="en-US"/>
        </w:rPr>
        <w:t xml:space="preserve"> Codex Alimentarius</w:t>
      </w:r>
      <w:r w:rsidR="00A27FA9" w:rsidRPr="009A70B7">
        <w:rPr>
          <w:rFonts w:cstheme="minorHAnsi"/>
          <w:lang w:val="en-US"/>
        </w:rPr>
        <w:t xml:space="preserve"> Commission’s Ad hoc Codex Intergovernmental Task Force on AMR</w:t>
      </w:r>
      <w:r w:rsidRPr="009A70B7">
        <w:rPr>
          <w:rFonts w:cstheme="minorHAnsi"/>
          <w:lang w:val="en-US"/>
        </w:rPr>
        <w:t>.</w:t>
      </w:r>
    </w:p>
    <w:p w14:paraId="35D2CD6E" w14:textId="77777777" w:rsidR="00335A37" w:rsidRPr="00387562" w:rsidRDefault="00335A37" w:rsidP="00387562">
      <w:pPr>
        <w:pStyle w:val="ListParagraph"/>
        <w:numPr>
          <w:ilvl w:val="0"/>
          <w:numId w:val="8"/>
        </w:numPr>
        <w:spacing w:after="120" w:line="240" w:lineRule="auto"/>
        <w:ind w:left="426" w:hanging="426"/>
        <w:contextualSpacing w:val="0"/>
        <w:rPr>
          <w:rFonts w:cstheme="minorHAnsi"/>
        </w:rPr>
      </w:pPr>
      <w:r w:rsidRPr="00387562">
        <w:rPr>
          <w:rFonts w:cstheme="minorHAnsi"/>
        </w:rPr>
        <w:t>Australia has taken a leadership role in the Western Pacific Region, sharing information and resources with our neighbors to support regional priority actions outlined in the Action Agenda for Antimicrobial Resistance in the Western Pacific Region. For example:</w:t>
      </w:r>
    </w:p>
    <w:p w14:paraId="731FBE3D" w14:textId="39BBC031" w:rsidR="00335A37" w:rsidRPr="00387562" w:rsidRDefault="00335A37" w:rsidP="00387562">
      <w:pPr>
        <w:pStyle w:val="ListParagraph"/>
        <w:numPr>
          <w:ilvl w:val="1"/>
          <w:numId w:val="8"/>
        </w:numPr>
        <w:spacing w:after="120" w:line="240" w:lineRule="auto"/>
        <w:ind w:left="720"/>
        <w:contextualSpacing w:val="0"/>
        <w:rPr>
          <w:rFonts w:cstheme="minorHAnsi"/>
        </w:rPr>
      </w:pPr>
      <w:r w:rsidRPr="00045EEC">
        <w:rPr>
          <w:rFonts w:cstheme="minorHAnsi"/>
          <w:lang w:val="en-US"/>
        </w:rPr>
        <w:t xml:space="preserve">The National Centre for Antimicrobial Stewardship (NCAS) has undertaken various regional initiatives including conducting antimicrobial stewardship gap analyses for Laos, </w:t>
      </w:r>
      <w:r w:rsidRPr="00387562">
        <w:rPr>
          <w:rFonts w:cstheme="minorHAnsi"/>
        </w:rPr>
        <w:t xml:space="preserve">Mongolia, Vietnam and the Philippines. It has also worked with the WHO to create an antimicrobial </w:t>
      </w:r>
      <w:r w:rsidRPr="00387562">
        <w:rPr>
          <w:rFonts w:cstheme="minorHAnsi"/>
        </w:rPr>
        <w:lastRenderedPageBreak/>
        <w:t xml:space="preserve">stewardship training framework for low and middle income countries in the Asia-Pacific region. </w:t>
      </w:r>
    </w:p>
    <w:p w14:paraId="23D21CBA" w14:textId="0BDA0A56" w:rsidR="00335A37" w:rsidRPr="00387562" w:rsidRDefault="00335A37" w:rsidP="00387562">
      <w:pPr>
        <w:pStyle w:val="ListParagraph"/>
        <w:numPr>
          <w:ilvl w:val="1"/>
          <w:numId w:val="8"/>
        </w:numPr>
        <w:spacing w:after="120" w:line="240" w:lineRule="auto"/>
        <w:ind w:left="720"/>
        <w:contextualSpacing w:val="0"/>
        <w:rPr>
          <w:rFonts w:cstheme="minorHAnsi"/>
        </w:rPr>
      </w:pPr>
      <w:r w:rsidRPr="00387562">
        <w:rPr>
          <w:rFonts w:cstheme="minorHAnsi"/>
        </w:rPr>
        <w:t xml:space="preserve">In 2017 Australia </w:t>
      </w:r>
      <w:r w:rsidR="007E1F1F">
        <w:rPr>
          <w:rFonts w:cstheme="minorHAnsi"/>
        </w:rPr>
        <w:t>underwent a</w:t>
      </w:r>
      <w:r w:rsidRPr="00387562">
        <w:rPr>
          <w:rFonts w:cstheme="minorHAnsi"/>
        </w:rPr>
        <w:t xml:space="preserve"> WHO Joint External Evaluation (JEE), which aim</w:t>
      </w:r>
      <w:r w:rsidR="002D1E18">
        <w:rPr>
          <w:rFonts w:cstheme="minorHAnsi"/>
        </w:rPr>
        <w:t>ed</w:t>
      </w:r>
      <w:r w:rsidRPr="00387562">
        <w:rPr>
          <w:rFonts w:cstheme="minorHAnsi"/>
        </w:rPr>
        <w:t xml:space="preserve"> to evaluate existing gaps in health systems and preparedness. Australia used the recommendations from the JEE to produce Australia’s National Action Plan for Health Security 2019-2023 (NAPHS), and provides expertise and experience to JEEs in other countries within the immediate region.  </w:t>
      </w:r>
    </w:p>
    <w:p w14:paraId="4EA4DB12" w14:textId="77777777" w:rsidR="00335A37" w:rsidRPr="00387562" w:rsidRDefault="00335A37" w:rsidP="00387562">
      <w:pPr>
        <w:pStyle w:val="ListParagraph"/>
        <w:numPr>
          <w:ilvl w:val="0"/>
          <w:numId w:val="8"/>
        </w:numPr>
        <w:spacing w:after="120" w:line="240" w:lineRule="auto"/>
        <w:ind w:left="426" w:hanging="426"/>
        <w:contextualSpacing w:val="0"/>
        <w:rPr>
          <w:rFonts w:cstheme="minorHAnsi"/>
        </w:rPr>
      </w:pPr>
      <w:r w:rsidRPr="00387562">
        <w:rPr>
          <w:rFonts w:cstheme="minorHAnsi"/>
        </w:rPr>
        <w:t xml:space="preserve">The Australian Government supports international AMR surveillance efforts, and has enrolled in the Global Antimicrobial Resistance Surveillance System (GLASS). </w:t>
      </w:r>
    </w:p>
    <w:p w14:paraId="257510AA" w14:textId="77777777" w:rsidR="00335A37" w:rsidRPr="00387562" w:rsidRDefault="00335A37" w:rsidP="00387562">
      <w:pPr>
        <w:pStyle w:val="ListParagraph"/>
        <w:numPr>
          <w:ilvl w:val="0"/>
          <w:numId w:val="8"/>
        </w:numPr>
        <w:spacing w:after="120" w:line="240" w:lineRule="auto"/>
        <w:ind w:left="426" w:hanging="426"/>
        <w:contextualSpacing w:val="0"/>
        <w:rPr>
          <w:rFonts w:cstheme="minorHAnsi"/>
        </w:rPr>
      </w:pPr>
      <w:r w:rsidRPr="00387562">
        <w:rPr>
          <w:rFonts w:cstheme="minorHAnsi"/>
        </w:rPr>
        <w:t xml:space="preserve">Australia recognises that a strong research and development agenda is needed to advance the discovery of new therapies and diagnostic technologies. The Australian Government has committed over AUD$4 million to fund two major research grants focused on AMR: </w:t>
      </w:r>
    </w:p>
    <w:p w14:paraId="170D1C68" w14:textId="77777777" w:rsidR="00335A37" w:rsidRPr="00045EEC" w:rsidRDefault="00335A37" w:rsidP="00387562">
      <w:pPr>
        <w:pStyle w:val="ListParagraph"/>
        <w:numPr>
          <w:ilvl w:val="1"/>
          <w:numId w:val="8"/>
        </w:numPr>
        <w:spacing w:after="120" w:line="240" w:lineRule="auto"/>
        <w:ind w:left="720"/>
        <w:contextualSpacing w:val="0"/>
        <w:rPr>
          <w:rFonts w:cstheme="minorHAnsi"/>
          <w:lang w:val="en-US"/>
        </w:rPr>
      </w:pPr>
      <w:r w:rsidRPr="00045EEC">
        <w:rPr>
          <w:rFonts w:cstheme="minorHAnsi"/>
          <w:lang w:val="en-US"/>
        </w:rPr>
        <w:t xml:space="preserve">the ‘Protecting Indonesia from the Threat of Antibiotic Resistance’ (PINTAR) project will provide timely evidence on the current operations and motivations of private for-profit drug sellers in Indonesia to inform the design and implementation of a multifaceted intervention to reduce inappropriate dispensing of antibiotics without prescription; and </w:t>
      </w:r>
    </w:p>
    <w:p w14:paraId="6D0782AB" w14:textId="77777777" w:rsidR="00335A37" w:rsidRPr="00045EEC" w:rsidRDefault="00335A37" w:rsidP="00387562">
      <w:pPr>
        <w:pStyle w:val="ListParagraph"/>
        <w:numPr>
          <w:ilvl w:val="1"/>
          <w:numId w:val="8"/>
        </w:numPr>
        <w:spacing w:after="120" w:line="240" w:lineRule="auto"/>
        <w:ind w:left="720"/>
        <w:contextualSpacing w:val="0"/>
        <w:rPr>
          <w:rFonts w:cstheme="minorHAnsi"/>
          <w:lang w:val="en-US"/>
        </w:rPr>
      </w:pPr>
      <w:r w:rsidRPr="00045EEC">
        <w:rPr>
          <w:rFonts w:cstheme="minorHAnsi"/>
          <w:lang w:val="en-US"/>
        </w:rPr>
        <w:t xml:space="preserve">the ‘V-RESIST’ project will evaluate a package of interventions to reduce inappropriate use of antibiotics in Vietnam. </w:t>
      </w:r>
    </w:p>
    <w:p w14:paraId="542CBF80" w14:textId="77777777" w:rsidR="00335A37" w:rsidRPr="002943EE" w:rsidRDefault="00335A37" w:rsidP="00605999">
      <w:pPr>
        <w:pStyle w:val="Heading3"/>
      </w:pPr>
      <w:bookmarkStart w:id="196" w:name="_Toc10812334"/>
      <w:r w:rsidRPr="002943EE">
        <w:t>What are our challenges?</w:t>
      </w:r>
      <w:bookmarkEnd w:id="196"/>
    </w:p>
    <w:p w14:paraId="39838FD9" w14:textId="77777777" w:rsidR="00390370" w:rsidRDefault="00A5054D" w:rsidP="00605999">
      <w:pPr>
        <w:rPr>
          <w:lang w:val="en-US"/>
        </w:rPr>
      </w:pPr>
      <w:r w:rsidRPr="00045EEC">
        <w:rPr>
          <w:lang w:val="en-US"/>
        </w:rPr>
        <w:t xml:space="preserve">There are many international groups and organisations that have an interest in the issue of AMR, however, many efforts and initiatives are progressing in parallel. </w:t>
      </w:r>
    </w:p>
    <w:p w14:paraId="7BD67886" w14:textId="1A98BA3E" w:rsidR="00A5054D" w:rsidRPr="00045EEC" w:rsidRDefault="00A5054D" w:rsidP="00605999">
      <w:pPr>
        <w:rPr>
          <w:lang w:val="en-US"/>
        </w:rPr>
      </w:pPr>
      <w:r w:rsidRPr="00045EEC">
        <w:rPr>
          <w:lang w:val="en-US"/>
        </w:rPr>
        <w:t xml:space="preserve">The challenge for Australia and the wider international community is to ensure that duplication of effort is minimised and that appropriate links are made to maximise effort. This is why engagement and collaboration with stakeholders across all levels and sectors is vital. The next Strategy will encourage the development and implementation of sector-specific action plans to ensure clear accountability and plans for </w:t>
      </w:r>
      <w:r w:rsidR="008E7664">
        <w:rPr>
          <w:lang w:val="en-US"/>
        </w:rPr>
        <w:t>addressing</w:t>
      </w:r>
      <w:r w:rsidRPr="00045EEC">
        <w:rPr>
          <w:lang w:val="en-US"/>
        </w:rPr>
        <w:t xml:space="preserve"> AMR. </w:t>
      </w:r>
    </w:p>
    <w:p w14:paraId="53BB6232" w14:textId="5FEFCAC8" w:rsidR="00335A37" w:rsidRPr="00045EEC" w:rsidRDefault="00CC158A" w:rsidP="00605999">
      <w:pPr>
        <w:rPr>
          <w:lang w:val="en-US"/>
        </w:rPr>
      </w:pPr>
      <w:r w:rsidRPr="00045EEC">
        <w:rPr>
          <w:lang w:val="en-US"/>
        </w:rPr>
        <w:t xml:space="preserve">A challenge for the development and implementation of AMR National Action plans in our immediate region has been the limited resources to fund them.  Some countries in the </w:t>
      </w:r>
      <w:r w:rsidR="008E7664" w:rsidRPr="00045EEC">
        <w:rPr>
          <w:lang w:val="en-US"/>
        </w:rPr>
        <w:t>Western Pacific</w:t>
      </w:r>
      <w:r w:rsidRPr="00045EEC">
        <w:rPr>
          <w:lang w:val="en-US"/>
        </w:rPr>
        <w:t xml:space="preserve"> look to Australia to provide best practice approaches and leadership to combat AMR and Australia’s in-kind contributions of best practice resources and expertise are highly valued.</w:t>
      </w:r>
    </w:p>
    <w:p w14:paraId="56B30A0E" w14:textId="77777777" w:rsidR="00335A37" w:rsidRPr="00045EEC" w:rsidRDefault="00335A37" w:rsidP="00605999">
      <w:pPr>
        <w:rPr>
          <w:lang w:val="en-US"/>
        </w:rPr>
      </w:pPr>
      <w:r w:rsidRPr="00045EEC">
        <w:rPr>
          <w:lang w:val="en-US"/>
        </w:rPr>
        <w:t xml:space="preserve">Australia’s enrolment in GLASS will initially see data for </w:t>
      </w:r>
      <w:r w:rsidRPr="00045EEC">
        <w:rPr>
          <w:i/>
          <w:lang w:val="en-US"/>
        </w:rPr>
        <w:t>Neisseria gonorrhoeae</w:t>
      </w:r>
      <w:r w:rsidRPr="00045EEC">
        <w:rPr>
          <w:lang w:val="en-US"/>
        </w:rPr>
        <w:t xml:space="preserve"> submitted to the 2019 data call. Further work is needed to determine Australia's capacity to contribute data on other priority pathogen-specimen combinations and to work with data custodians to facilitate the incremental contribution of these data to GLASS.</w:t>
      </w:r>
    </w:p>
    <w:p w14:paraId="672DA95F" w14:textId="2E5540CD" w:rsidR="00B349FE" w:rsidRPr="00AF4446" w:rsidRDefault="00B349FE" w:rsidP="00605999">
      <w:pPr>
        <w:rPr>
          <w:lang w:val="en-US"/>
        </w:rPr>
      </w:pPr>
      <w:r w:rsidRPr="00AF4446">
        <w:rPr>
          <w:lang w:val="en-US"/>
        </w:rPr>
        <w:t>Australia ne</w:t>
      </w:r>
      <w:r w:rsidRPr="00B349FE">
        <w:rPr>
          <w:lang w:val="en-US"/>
        </w:rPr>
        <w:t>eds</w:t>
      </w:r>
      <w:r w:rsidR="00FD2A74">
        <w:rPr>
          <w:lang w:val="en-US"/>
        </w:rPr>
        <w:t xml:space="preserve"> to meet international reporting obligations to support global AMR mitigation. A national animal health approach is n</w:t>
      </w:r>
      <w:r w:rsidR="00676794">
        <w:rPr>
          <w:lang w:val="en-US"/>
        </w:rPr>
        <w:t xml:space="preserve">eeded to collate and analyse </w:t>
      </w:r>
      <w:r w:rsidR="00676794">
        <w:t>antimicrobial use</w:t>
      </w:r>
      <w:r w:rsidR="00676794">
        <w:rPr>
          <w:lang w:val="en-US"/>
        </w:rPr>
        <w:t xml:space="preserve"> </w:t>
      </w:r>
      <w:r w:rsidR="00FD2A74">
        <w:rPr>
          <w:lang w:val="en-US"/>
        </w:rPr>
        <w:t>and AMR surveillance data to contribute to the OIE global surveillance system.</w:t>
      </w:r>
    </w:p>
    <w:p w14:paraId="62421F81" w14:textId="77777777" w:rsidR="00605999" w:rsidRDefault="00605999">
      <w:pPr>
        <w:rPr>
          <w:rFonts w:asciiTheme="majorHAnsi" w:eastAsiaTheme="majorEastAsia" w:hAnsiTheme="majorHAnsi" w:cstheme="majorBidi"/>
          <w:b/>
          <w:bCs/>
        </w:rPr>
      </w:pPr>
      <w:r>
        <w:br w:type="page"/>
      </w:r>
    </w:p>
    <w:p w14:paraId="7A404EB4" w14:textId="14C19A1E" w:rsidR="00335A37" w:rsidRPr="002943EE" w:rsidRDefault="00335A37" w:rsidP="00605999">
      <w:pPr>
        <w:pStyle w:val="Heading3"/>
      </w:pPr>
      <w:bookmarkStart w:id="197" w:name="_Toc10812335"/>
      <w:r w:rsidRPr="002943EE">
        <w:lastRenderedPageBreak/>
        <w:t>Where to next?</w:t>
      </w:r>
      <w:bookmarkEnd w:id="197"/>
    </w:p>
    <w:p w14:paraId="101855F7" w14:textId="7F83388E" w:rsidR="00335A37" w:rsidRPr="008E7664" w:rsidRDefault="00335A37" w:rsidP="00605999">
      <w:pPr>
        <w:rPr>
          <w:lang w:val="en-US"/>
        </w:rPr>
      </w:pPr>
      <w:r w:rsidRPr="008E7664">
        <w:rPr>
          <w:lang w:val="en-US"/>
        </w:rPr>
        <w:t>The Australian Government strongly supports global action on AMR underpinned b</w:t>
      </w:r>
      <w:r w:rsidR="003B0A32">
        <w:rPr>
          <w:lang w:val="en-US"/>
        </w:rPr>
        <w:t xml:space="preserve">y a One </w:t>
      </w:r>
      <w:r w:rsidRPr="008E7664">
        <w:rPr>
          <w:lang w:val="en-US"/>
        </w:rPr>
        <w:t>Health approach and will continue its active engagement with the tripartite agencies (WHO, OIE and FAO) and other relevant international fora, to progress global and regional action on AMR.</w:t>
      </w:r>
    </w:p>
    <w:p w14:paraId="10A6A0E7" w14:textId="6A3B8715" w:rsidR="00335A37" w:rsidRPr="008E7664" w:rsidRDefault="00335A37" w:rsidP="00605999">
      <w:pPr>
        <w:rPr>
          <w:lang w:val="en-US"/>
        </w:rPr>
      </w:pPr>
      <w:r w:rsidRPr="008E7664">
        <w:rPr>
          <w:lang w:val="en-US"/>
        </w:rPr>
        <w:t xml:space="preserve">Australia continues to fully support the </w:t>
      </w:r>
      <w:r w:rsidR="003657E7" w:rsidRPr="008E7664">
        <w:rPr>
          <w:lang w:val="en-US"/>
        </w:rPr>
        <w:t xml:space="preserve">WHO </w:t>
      </w:r>
      <w:r w:rsidRPr="008E7664">
        <w:rPr>
          <w:lang w:val="en-US"/>
        </w:rPr>
        <w:t xml:space="preserve">JEE process and use of the JEE Tool, particularly now that Australia has undergone a JEE. Australia will continue to provide expertise and experience to JEEs in other countries within the immediate region.  </w:t>
      </w:r>
    </w:p>
    <w:p w14:paraId="660B5354" w14:textId="77777777" w:rsidR="009354C1" w:rsidRDefault="00335A37" w:rsidP="00605999">
      <w:pPr>
        <w:rPr>
          <w:lang w:val="en-US"/>
        </w:rPr>
      </w:pPr>
      <w:r w:rsidRPr="009354C1">
        <w:rPr>
          <w:lang w:val="en-US"/>
        </w:rPr>
        <w:t>Australia will continue working towards being able to participate in intern</w:t>
      </w:r>
      <w:r w:rsidR="009354C1" w:rsidRPr="009354C1">
        <w:rPr>
          <w:lang w:val="en-US"/>
        </w:rPr>
        <w:t xml:space="preserve">ational surveillance activities and </w:t>
      </w:r>
      <w:r w:rsidR="009354C1">
        <w:rPr>
          <w:lang w:val="en-US"/>
        </w:rPr>
        <w:t>i</w:t>
      </w:r>
      <w:r w:rsidR="009354C1" w:rsidRPr="009354C1">
        <w:rPr>
          <w:lang w:val="en-US"/>
        </w:rPr>
        <w:t>dentify additional forums to share animal health activities and initiatives at the international level.</w:t>
      </w:r>
    </w:p>
    <w:p w14:paraId="77742ACD" w14:textId="0DF0B2E2" w:rsidR="00335A37" w:rsidRPr="009354C1" w:rsidRDefault="00335A37" w:rsidP="00605999">
      <w:pPr>
        <w:rPr>
          <w:lang w:val="en-US"/>
        </w:rPr>
      </w:pPr>
      <w:r w:rsidRPr="009354C1">
        <w:rPr>
          <w:lang w:val="en-US"/>
        </w:rPr>
        <w:t xml:space="preserve">With regard to GLASS, the Australian Government will workshop with data custodians late in 2019 to determine a process for the incremental contribution of other organisms or antimicrobial combinations. </w:t>
      </w:r>
    </w:p>
    <w:p w14:paraId="59957BC5" w14:textId="67227850" w:rsidR="00920483" w:rsidRDefault="009354C1" w:rsidP="00605999">
      <w:pPr>
        <w:rPr>
          <w:lang w:val="en-US"/>
        </w:rPr>
      </w:pPr>
      <w:r w:rsidRPr="009354C1">
        <w:rPr>
          <w:lang w:val="en-US"/>
        </w:rPr>
        <w:t>Continue contributions, support to and collaboration with, regional governments on capacity building and development of policies, AMS and surveillance programs to address AMR in animal sectors. This will help with addressing international trade and market access issues, and create opportunities for education and training.</w:t>
      </w:r>
    </w:p>
    <w:p w14:paraId="306E72E0" w14:textId="77777777" w:rsidR="009354C1" w:rsidRPr="001C6B26" w:rsidRDefault="009354C1" w:rsidP="0053652E">
      <w:pPr>
        <w:spacing w:after="120" w:line="240" w:lineRule="auto"/>
        <w:rPr>
          <w:rFonts w:cstheme="minorHAnsi"/>
        </w:rPr>
      </w:pPr>
    </w:p>
    <w:p w14:paraId="56BA1B38" w14:textId="48C3AB51" w:rsidR="00920483" w:rsidRPr="00605999" w:rsidRDefault="00920483" w:rsidP="00605999">
      <w:pPr>
        <w:pStyle w:val="Heading2"/>
      </w:pPr>
      <w:bookmarkStart w:id="198" w:name="_Toc10812336"/>
      <w:r w:rsidRPr="00605999">
        <w:t xml:space="preserve">Objective Seven: </w:t>
      </w:r>
      <w:r w:rsidR="00E111BC" w:rsidRPr="00605999">
        <w:t>Establish and support clear governance arrangements at the local, jurisdictional, national and international levels to ensure leadership, engagement and accountability for actions to combat antimicrobial resistance.</w:t>
      </w:r>
      <w:bookmarkEnd w:id="198"/>
    </w:p>
    <w:p w14:paraId="3CB30757" w14:textId="216B346D" w:rsidR="00920483" w:rsidRPr="00045EEC" w:rsidRDefault="00E111BC" w:rsidP="0053652E">
      <w:pPr>
        <w:spacing w:after="120" w:line="240" w:lineRule="auto"/>
        <w:rPr>
          <w:rFonts w:cstheme="minorHAnsi"/>
        </w:rPr>
      </w:pPr>
      <w:r w:rsidRPr="00045EEC">
        <w:rPr>
          <w:rFonts w:cstheme="minorHAnsi"/>
          <w:noProof/>
        </w:rPr>
        <mc:AlternateContent>
          <mc:Choice Requires="wps">
            <w:drawing>
              <wp:inline distT="0" distB="0" distL="0" distR="0" wp14:anchorId="28C6F817" wp14:editId="2EF8DF5A">
                <wp:extent cx="5981700" cy="1343025"/>
                <wp:effectExtent l="0" t="0" r="19050"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43025"/>
                        </a:xfrm>
                        <a:prstGeom prst="rect">
                          <a:avLst/>
                        </a:prstGeom>
                        <a:ln w="3175">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1E11C7E8" w14:textId="77777777" w:rsidR="0050772D" w:rsidRPr="008B499C" w:rsidRDefault="0050772D" w:rsidP="008B499C">
                            <w:pPr>
                              <w:spacing w:after="120" w:line="240" w:lineRule="auto"/>
                            </w:pPr>
                            <w:bookmarkStart w:id="199" w:name="_Toc9112756"/>
                            <w:bookmarkStart w:id="200" w:name="_Toc9116481"/>
                            <w:bookmarkStart w:id="201" w:name="_Toc9169926"/>
                            <w:r w:rsidRPr="008B499C">
                              <w:t>Priority Areas for Action</w:t>
                            </w:r>
                            <w:bookmarkEnd w:id="199"/>
                            <w:bookmarkEnd w:id="200"/>
                            <w:bookmarkEnd w:id="201"/>
                            <w:r w:rsidRPr="008B499C">
                              <w:t xml:space="preserve"> </w:t>
                            </w:r>
                          </w:p>
                          <w:p w14:paraId="2B2EDCAF" w14:textId="77777777" w:rsidR="0050772D" w:rsidRPr="008B499C" w:rsidRDefault="0050772D" w:rsidP="008B499C">
                            <w:pPr>
                              <w:spacing w:after="120" w:line="240" w:lineRule="auto"/>
                            </w:pPr>
                            <w:bookmarkStart w:id="202" w:name="_Toc9112757"/>
                            <w:bookmarkStart w:id="203" w:name="_Toc9116482"/>
                            <w:bookmarkStart w:id="204" w:name="_Toc9169927"/>
                            <w:r w:rsidRPr="008B499C">
                              <w:t>7.1: Identify, establish and maintain linkages between implementation partners across all sectors.</w:t>
                            </w:r>
                            <w:bookmarkEnd w:id="202"/>
                            <w:bookmarkEnd w:id="203"/>
                            <w:bookmarkEnd w:id="204"/>
                          </w:p>
                          <w:p w14:paraId="3FD4F167" w14:textId="77777777" w:rsidR="0050772D" w:rsidRPr="008B499C" w:rsidRDefault="0050772D" w:rsidP="008B499C">
                            <w:pPr>
                              <w:spacing w:after="120" w:line="240" w:lineRule="auto"/>
                            </w:pPr>
                            <w:bookmarkStart w:id="205" w:name="_Toc9112758"/>
                            <w:bookmarkStart w:id="206" w:name="_Toc9116483"/>
                            <w:bookmarkStart w:id="207" w:name="_Toc9169928"/>
                            <w:r w:rsidRPr="008B499C">
                              <w:t>7.2: Work with stakeholders to develop an Implementation Plan for the Strategy.</w:t>
                            </w:r>
                            <w:bookmarkEnd w:id="205"/>
                            <w:bookmarkEnd w:id="206"/>
                            <w:bookmarkEnd w:id="207"/>
                          </w:p>
                          <w:p w14:paraId="673DCF5D" w14:textId="77777777" w:rsidR="0050772D" w:rsidRPr="008B499C" w:rsidRDefault="0050772D" w:rsidP="008B499C">
                            <w:pPr>
                              <w:spacing w:after="120" w:line="240" w:lineRule="auto"/>
                            </w:pPr>
                            <w:bookmarkStart w:id="208" w:name="_Toc9112759"/>
                            <w:bookmarkStart w:id="209" w:name="_Toc9116484"/>
                            <w:bookmarkStart w:id="210" w:name="_Toc9169929"/>
                            <w:r w:rsidRPr="008B499C">
                              <w:t>7.3: Establish baseline measures to inform monitoring and evaluation of the Strategy.</w:t>
                            </w:r>
                            <w:bookmarkEnd w:id="208"/>
                            <w:bookmarkEnd w:id="209"/>
                            <w:bookmarkEnd w:id="210"/>
                          </w:p>
                          <w:p w14:paraId="22654094" w14:textId="4948FF8C" w:rsidR="0050772D" w:rsidRPr="008B499C" w:rsidRDefault="0050772D" w:rsidP="008B499C">
                            <w:pPr>
                              <w:spacing w:after="120" w:line="240" w:lineRule="auto"/>
                            </w:pPr>
                            <w:bookmarkStart w:id="211" w:name="_Toc9112760"/>
                            <w:bookmarkStart w:id="212" w:name="_Toc9116485"/>
                            <w:bookmarkStart w:id="213" w:name="_Toc9169930"/>
                            <w:r w:rsidRPr="008B499C">
                              <w:t>7.4: Review regulation (legislated and other) relevant to antimicrobial resistance and antibiotic usage.</w:t>
                            </w:r>
                            <w:bookmarkEnd w:id="211"/>
                            <w:bookmarkEnd w:id="212"/>
                            <w:bookmarkEnd w:id="213"/>
                          </w:p>
                        </w:txbxContent>
                      </wps:txbx>
                      <wps:bodyPr rot="0" vert="horz" wrap="square" lIns="91440" tIns="45720" rIns="91440" bIns="45720" anchor="t" anchorCtr="0">
                        <a:noAutofit/>
                      </wps:bodyPr>
                    </wps:wsp>
                  </a:graphicData>
                </a:graphic>
              </wp:inline>
            </w:drawing>
          </mc:Choice>
          <mc:Fallback>
            <w:pict>
              <v:shape w14:anchorId="28C6F817" id="_x0000_s1040" type="#_x0000_t202" style="width:471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" fillcolor="white [3201]" strokecolor="#c45911 [2405]" strokeweight=".25pt">
                <v:textbox>
                  <w:txbxContent>
                    <w:p w14:paraId="1E11C7E8" w14:textId="77777777" w:rsidR="0050772D" w:rsidRPr="008B499C" w:rsidRDefault="0050772D" w:rsidP="008B499C">
                      <w:pPr>
                        <w:spacing w:after="120" w:line="240" w:lineRule="auto"/>
                      </w:pPr>
                      <w:bookmarkStart w:id="214" w:name="_Toc9112756"/>
                      <w:bookmarkStart w:id="215" w:name="_Toc9116481"/>
                      <w:bookmarkStart w:id="216" w:name="_Toc9169926"/>
                      <w:r w:rsidRPr="008B499C">
                        <w:t>Priority Areas for Action</w:t>
                      </w:r>
                      <w:bookmarkEnd w:id="214"/>
                      <w:bookmarkEnd w:id="215"/>
                      <w:bookmarkEnd w:id="216"/>
                      <w:r w:rsidRPr="008B499C">
                        <w:t xml:space="preserve"> </w:t>
                      </w:r>
                    </w:p>
                    <w:p w14:paraId="2B2EDCAF" w14:textId="77777777" w:rsidR="0050772D" w:rsidRPr="008B499C" w:rsidRDefault="0050772D" w:rsidP="008B499C">
                      <w:pPr>
                        <w:spacing w:after="120" w:line="240" w:lineRule="auto"/>
                      </w:pPr>
                      <w:bookmarkStart w:id="217" w:name="_Toc9112757"/>
                      <w:bookmarkStart w:id="218" w:name="_Toc9116482"/>
                      <w:bookmarkStart w:id="219" w:name="_Toc9169927"/>
                      <w:r w:rsidRPr="008B499C">
                        <w:t>7.1: Identify, establish and maintain linkages between implementation partners across all sectors.</w:t>
                      </w:r>
                      <w:bookmarkEnd w:id="217"/>
                      <w:bookmarkEnd w:id="218"/>
                      <w:bookmarkEnd w:id="219"/>
                    </w:p>
                    <w:p w14:paraId="3FD4F167" w14:textId="77777777" w:rsidR="0050772D" w:rsidRPr="008B499C" w:rsidRDefault="0050772D" w:rsidP="008B499C">
                      <w:pPr>
                        <w:spacing w:after="120" w:line="240" w:lineRule="auto"/>
                      </w:pPr>
                      <w:bookmarkStart w:id="220" w:name="_Toc9112758"/>
                      <w:bookmarkStart w:id="221" w:name="_Toc9116483"/>
                      <w:bookmarkStart w:id="222" w:name="_Toc9169928"/>
                      <w:r w:rsidRPr="008B499C">
                        <w:t>7.2: Work with stakeholders to develop an Implementation Plan for the Strategy.</w:t>
                      </w:r>
                      <w:bookmarkEnd w:id="220"/>
                      <w:bookmarkEnd w:id="221"/>
                      <w:bookmarkEnd w:id="222"/>
                    </w:p>
                    <w:p w14:paraId="673DCF5D" w14:textId="77777777" w:rsidR="0050772D" w:rsidRPr="008B499C" w:rsidRDefault="0050772D" w:rsidP="008B499C">
                      <w:pPr>
                        <w:spacing w:after="120" w:line="240" w:lineRule="auto"/>
                      </w:pPr>
                      <w:bookmarkStart w:id="223" w:name="_Toc9112759"/>
                      <w:bookmarkStart w:id="224" w:name="_Toc9116484"/>
                      <w:bookmarkStart w:id="225" w:name="_Toc9169929"/>
                      <w:r w:rsidRPr="008B499C">
                        <w:t>7.3: Establish baseline measures to inform monitoring and evaluation of the Strategy.</w:t>
                      </w:r>
                      <w:bookmarkEnd w:id="223"/>
                      <w:bookmarkEnd w:id="224"/>
                      <w:bookmarkEnd w:id="225"/>
                    </w:p>
                    <w:p w14:paraId="22654094" w14:textId="4948FF8C" w:rsidR="0050772D" w:rsidRPr="008B499C" w:rsidRDefault="0050772D" w:rsidP="008B499C">
                      <w:pPr>
                        <w:spacing w:after="120" w:line="240" w:lineRule="auto"/>
                      </w:pPr>
                      <w:bookmarkStart w:id="226" w:name="_Toc9112760"/>
                      <w:bookmarkStart w:id="227" w:name="_Toc9116485"/>
                      <w:bookmarkStart w:id="228" w:name="_Toc9169930"/>
                      <w:r w:rsidRPr="008B499C">
                        <w:t>7.4: Review regulation (legislated and other) relevant to antimicrobial resistance and antibiotic usage.</w:t>
                      </w:r>
                      <w:bookmarkEnd w:id="226"/>
                      <w:bookmarkEnd w:id="227"/>
                      <w:bookmarkEnd w:id="228"/>
                    </w:p>
                  </w:txbxContent>
                </v:textbox>
                <w10:anchorlock/>
              </v:shape>
            </w:pict>
          </mc:Fallback>
        </mc:AlternateContent>
      </w:r>
    </w:p>
    <w:p w14:paraId="23B4E4AB" w14:textId="4AB43ECB" w:rsidR="001C7F87" w:rsidRDefault="00BC3C35" w:rsidP="00605999">
      <w:r>
        <w:t xml:space="preserve">Achievement of the Strategy objectives requires a coordinated effort from a wide range of implementation partners.  </w:t>
      </w:r>
      <w:r w:rsidR="001C7F87" w:rsidRPr="00045EEC">
        <w:t xml:space="preserve">Stakeholders from across the Australian and state and territory governments, regulators, hospital administrators, standard-setting and accreditation bodies, the pharmaceutical industry, food animal producers and food manufacturers, agriculture, health and veterinary professionals, researchers, educators, professional bodies and consumers all have a role in ensuring actions under the Strategy are effectively implemented. </w:t>
      </w:r>
    </w:p>
    <w:p w14:paraId="54D74B94" w14:textId="5C4887F5" w:rsidR="00BC3C35" w:rsidRDefault="00BC3C35" w:rsidP="00605999">
      <w:r>
        <w:t xml:space="preserve">To </w:t>
      </w:r>
      <w:r w:rsidR="00B74B48">
        <w:t>support progress</w:t>
      </w:r>
      <w:r>
        <w:t>, clear lines of responsibility will</w:t>
      </w:r>
      <w:r w:rsidR="00AE1C56">
        <w:t xml:space="preserve"> be needed</w:t>
      </w:r>
      <w:r>
        <w:t xml:space="preserve"> at the national and local levels. In addition, to foster a global approach of responsibility and accountability on combatting AMR, Australia will continue</w:t>
      </w:r>
      <w:r w:rsidR="00214376">
        <w:t xml:space="preserve"> to support relevant multilateral organisations such as the W</w:t>
      </w:r>
      <w:r w:rsidR="00B74B48">
        <w:t xml:space="preserve">HO, </w:t>
      </w:r>
      <w:r w:rsidR="00214376">
        <w:t>OIE and FAO.</w:t>
      </w:r>
    </w:p>
    <w:p w14:paraId="6C0C55CB" w14:textId="77777777" w:rsidR="00F075E9" w:rsidRDefault="00F075E9" w:rsidP="0053652E">
      <w:pPr>
        <w:spacing w:after="120" w:line="240" w:lineRule="auto"/>
        <w:rPr>
          <w:rFonts w:cstheme="minorHAnsi"/>
          <w:b/>
        </w:rPr>
      </w:pPr>
      <w:bookmarkStart w:id="229" w:name="_Toc9112761"/>
    </w:p>
    <w:p w14:paraId="592E5C49" w14:textId="64AA159F" w:rsidR="00335A37" w:rsidRPr="001C6B26" w:rsidRDefault="00335A37" w:rsidP="00605999">
      <w:pPr>
        <w:pStyle w:val="Heading3"/>
      </w:pPr>
      <w:bookmarkStart w:id="230" w:name="_Toc10812337"/>
      <w:r w:rsidRPr="001C6B26">
        <w:lastRenderedPageBreak/>
        <w:t>What have we achieved?</w:t>
      </w:r>
      <w:bookmarkEnd w:id="229"/>
      <w:bookmarkEnd w:id="230"/>
    </w:p>
    <w:p w14:paraId="62974AE3" w14:textId="59651148" w:rsidR="00335A37" w:rsidRPr="00605999" w:rsidRDefault="00A40390" w:rsidP="00605999">
      <w:pPr>
        <w:pStyle w:val="ListParagraph"/>
        <w:numPr>
          <w:ilvl w:val="0"/>
          <w:numId w:val="50"/>
        </w:numPr>
        <w:spacing w:after="120" w:line="240" w:lineRule="auto"/>
        <w:rPr>
          <w:rFonts w:cstheme="minorHAnsi"/>
        </w:rPr>
      </w:pPr>
      <w:r w:rsidRPr="00605999">
        <w:rPr>
          <w:rFonts w:cstheme="minorHAnsi"/>
        </w:rPr>
        <w:t xml:space="preserve">Australia has established </w:t>
      </w:r>
      <w:r w:rsidR="00335A37" w:rsidRPr="00605999">
        <w:rPr>
          <w:rFonts w:cstheme="minorHAnsi"/>
        </w:rPr>
        <w:t xml:space="preserve">the AMR Prevention and Containment Steering Group (AMRPC Steering Group) </w:t>
      </w:r>
      <w:r w:rsidR="001C7F87" w:rsidRPr="00605999">
        <w:rPr>
          <w:rFonts w:cstheme="minorHAnsi"/>
        </w:rPr>
        <w:t xml:space="preserve">and the Australian Strategic and Technical Advisory Group on AMR (ASTAG) </w:t>
      </w:r>
      <w:r w:rsidRPr="00605999">
        <w:rPr>
          <w:rFonts w:cstheme="minorHAnsi"/>
        </w:rPr>
        <w:t xml:space="preserve">which </w:t>
      </w:r>
      <w:r w:rsidR="00335A37" w:rsidRPr="00605999">
        <w:rPr>
          <w:rFonts w:cstheme="minorHAnsi"/>
        </w:rPr>
        <w:t>remain central to the national governance arrangements for AMR.</w:t>
      </w:r>
    </w:p>
    <w:p w14:paraId="6120D5A8" w14:textId="1136BF2D" w:rsidR="00335A37" w:rsidRPr="00605999" w:rsidRDefault="00335A37" w:rsidP="00605999">
      <w:pPr>
        <w:pStyle w:val="ListParagraph"/>
        <w:numPr>
          <w:ilvl w:val="0"/>
          <w:numId w:val="50"/>
        </w:numPr>
        <w:spacing w:after="120" w:line="240" w:lineRule="auto"/>
        <w:rPr>
          <w:rFonts w:cstheme="minorHAnsi"/>
        </w:rPr>
      </w:pPr>
      <w:r w:rsidRPr="00605999">
        <w:rPr>
          <w:rFonts w:cstheme="minorHAnsi"/>
        </w:rPr>
        <w:t>ASTAG continues to meet twice yearly to develop and provide expert advice to the AMRPC Steering Group on current and emerging issues, research priorities and implementation approaches to support the Strategy. Through its membership, ASTAG strengthens linkages between governments, industry, professional bodies and other key stakeholders to support a ‘One Health’ response to AMR.</w:t>
      </w:r>
    </w:p>
    <w:p w14:paraId="43B17D26" w14:textId="6DCD1FE0" w:rsidR="00335A37" w:rsidRPr="00605999" w:rsidRDefault="001C7F87" w:rsidP="00605999">
      <w:pPr>
        <w:pStyle w:val="ListParagraph"/>
        <w:numPr>
          <w:ilvl w:val="0"/>
          <w:numId w:val="50"/>
        </w:numPr>
        <w:spacing w:after="120" w:line="240" w:lineRule="auto"/>
        <w:rPr>
          <w:rFonts w:cstheme="minorHAnsi"/>
        </w:rPr>
      </w:pPr>
      <w:r w:rsidRPr="00605999">
        <w:rPr>
          <w:rFonts w:cstheme="minorHAnsi"/>
        </w:rPr>
        <w:t>The AMPRC Steering Group was</w:t>
      </w:r>
      <w:r w:rsidR="004E37A1" w:rsidRPr="00605999">
        <w:rPr>
          <w:rFonts w:cstheme="minorHAnsi"/>
        </w:rPr>
        <w:t xml:space="preserve"> responsible for the development and implementation of the</w:t>
      </w:r>
      <w:r w:rsidRPr="00605999">
        <w:rPr>
          <w:rFonts w:cstheme="minorHAnsi"/>
        </w:rPr>
        <w:t xml:space="preserve"> First Strategy and oversaw the release of the Australian Government’s 2016 Implementation Plan. </w:t>
      </w:r>
    </w:p>
    <w:p w14:paraId="264D36EA" w14:textId="47CD79FD" w:rsidR="00335A37" w:rsidRPr="00605999" w:rsidRDefault="00335A37" w:rsidP="00605999">
      <w:pPr>
        <w:pStyle w:val="ListParagraph"/>
        <w:numPr>
          <w:ilvl w:val="0"/>
          <w:numId w:val="50"/>
        </w:numPr>
        <w:spacing w:after="120" w:line="240" w:lineRule="auto"/>
        <w:rPr>
          <w:rFonts w:cstheme="minorHAnsi"/>
        </w:rPr>
      </w:pPr>
      <w:r w:rsidRPr="00605999">
        <w:rPr>
          <w:rFonts w:cstheme="minorHAnsi"/>
        </w:rPr>
        <w:t xml:space="preserve">In May 2019, the third Australian report on Antimicrobial Use and Resistance in Australia (AURA) in human health was published. Although the series of national reports is relatively immature, these initial reports provide a benchmark to inform future monitoring and evaluation of the Strategy. </w:t>
      </w:r>
    </w:p>
    <w:p w14:paraId="30CDAAE4" w14:textId="77F2CC92" w:rsidR="00E77D29" w:rsidRPr="00605999" w:rsidRDefault="00E77D29" w:rsidP="00605999">
      <w:pPr>
        <w:pStyle w:val="ListParagraph"/>
        <w:numPr>
          <w:ilvl w:val="0"/>
          <w:numId w:val="50"/>
        </w:numPr>
        <w:spacing w:after="120" w:line="240" w:lineRule="auto"/>
        <w:rPr>
          <w:rFonts w:cstheme="minorHAnsi"/>
        </w:rPr>
      </w:pPr>
      <w:r w:rsidRPr="00605999">
        <w:rPr>
          <w:rFonts w:cstheme="minorHAnsi"/>
        </w:rPr>
        <w:t>Within jurisdictions, Queensland and South Australia are developing AMR strategies. New South Wales has prepared a draft biosecurity policy on AMR</w:t>
      </w:r>
      <w:r w:rsidR="001C7F87" w:rsidRPr="00605999">
        <w:rPr>
          <w:rFonts w:cstheme="minorHAnsi"/>
        </w:rPr>
        <w:t xml:space="preserve">, </w:t>
      </w:r>
      <w:r w:rsidRPr="00605999">
        <w:rPr>
          <w:rFonts w:cstheme="minorHAnsi"/>
        </w:rPr>
        <w:t>Victoria has specific state AMR webpages and undertakes advocacy work</w:t>
      </w:r>
      <w:r w:rsidR="001C7F87" w:rsidRPr="00605999">
        <w:rPr>
          <w:rFonts w:cstheme="minorHAnsi"/>
        </w:rPr>
        <w:t>,</w:t>
      </w:r>
      <w:r w:rsidRPr="00605999">
        <w:rPr>
          <w:rFonts w:cstheme="minorHAnsi"/>
        </w:rPr>
        <w:t xml:space="preserve"> and Western Australia held an AMR workshop in February 2019.</w:t>
      </w:r>
    </w:p>
    <w:p w14:paraId="7BA21E08" w14:textId="477C28A7" w:rsidR="001C7F87" w:rsidRPr="00605999" w:rsidRDefault="001C7F87" w:rsidP="00605999">
      <w:pPr>
        <w:pStyle w:val="ListParagraph"/>
        <w:numPr>
          <w:ilvl w:val="0"/>
          <w:numId w:val="50"/>
        </w:numPr>
        <w:spacing w:after="120" w:line="240" w:lineRule="auto"/>
        <w:rPr>
          <w:rFonts w:cstheme="minorHAnsi"/>
        </w:rPr>
      </w:pPr>
      <w:r w:rsidRPr="00605999">
        <w:rPr>
          <w:rFonts w:cstheme="minorHAnsi"/>
        </w:rPr>
        <w:t xml:space="preserve">On 12 October 2018, the Council of Australian Governments (COAG) Health Council </w:t>
      </w:r>
      <w:r w:rsidR="000330E5" w:rsidRPr="00605999">
        <w:rPr>
          <w:rFonts w:cstheme="minorHAnsi"/>
        </w:rPr>
        <w:t xml:space="preserve">agreed </w:t>
      </w:r>
      <w:r w:rsidRPr="00605999">
        <w:rPr>
          <w:rFonts w:cstheme="minorHAnsi"/>
        </w:rPr>
        <w:t>to move AMR from Tier 2 to Tier 1, which makes AMR “Highest Priority - Issues of national significance require cooperation of all jurisdictions” for 2019-20</w:t>
      </w:r>
      <w:r w:rsidR="000330E5" w:rsidRPr="00605999">
        <w:rPr>
          <w:rFonts w:cstheme="minorHAnsi"/>
        </w:rPr>
        <w:t>. This</w:t>
      </w:r>
      <w:r w:rsidRPr="00605999">
        <w:rPr>
          <w:rFonts w:cstheme="minorHAnsi"/>
        </w:rPr>
        <w:t xml:space="preserve"> signifies the importance of a fully national approach to decision making and action.  The challenge will be in ensuring clear lines of responsibility and coordinated effort across jurisdictions.</w:t>
      </w:r>
    </w:p>
    <w:p w14:paraId="7B40748A" w14:textId="77777777" w:rsidR="00335A37" w:rsidRPr="001C6B26" w:rsidRDefault="00335A37" w:rsidP="00D41F43">
      <w:pPr>
        <w:pStyle w:val="Heading3"/>
      </w:pPr>
      <w:bookmarkStart w:id="231" w:name="_Toc9112762"/>
      <w:bookmarkStart w:id="232" w:name="_Toc10812338"/>
      <w:r w:rsidRPr="001C6B26">
        <w:t>What are our challenges?</w:t>
      </w:r>
      <w:bookmarkEnd w:id="231"/>
      <w:bookmarkEnd w:id="232"/>
    </w:p>
    <w:p w14:paraId="31CC7B87" w14:textId="64446797" w:rsidR="001C7F87" w:rsidRDefault="00335A37" w:rsidP="00D41F43">
      <w:pPr>
        <w:rPr>
          <w:lang w:val="en-US"/>
        </w:rPr>
      </w:pPr>
      <w:r w:rsidRPr="00045EEC">
        <w:rPr>
          <w:lang w:val="en-US"/>
        </w:rPr>
        <w:t>Responding to AMR crosses multiple levels (international, national, jurisdictional and local)</w:t>
      </w:r>
      <w:r w:rsidR="000330E5">
        <w:rPr>
          <w:lang w:val="en-US"/>
        </w:rPr>
        <w:t xml:space="preserve"> and</w:t>
      </w:r>
      <w:r w:rsidRPr="00045EEC">
        <w:rPr>
          <w:lang w:val="en-US"/>
        </w:rPr>
        <w:t xml:space="preserve"> multiple </w:t>
      </w:r>
      <w:r w:rsidR="000330E5">
        <w:rPr>
          <w:lang w:val="en-US"/>
        </w:rPr>
        <w:t xml:space="preserve">sectors, and </w:t>
      </w:r>
      <w:r w:rsidR="000330E5" w:rsidRPr="00045EEC">
        <w:rPr>
          <w:lang w:val="en-US"/>
        </w:rPr>
        <w:t>ensuring clear lines of responsibility</w:t>
      </w:r>
      <w:r w:rsidR="000330E5">
        <w:rPr>
          <w:lang w:val="en-US"/>
        </w:rPr>
        <w:t xml:space="preserve">, a </w:t>
      </w:r>
      <w:r w:rsidR="000330E5" w:rsidRPr="00045EEC">
        <w:rPr>
          <w:lang w:val="en-US"/>
        </w:rPr>
        <w:t xml:space="preserve">coordinated effort </w:t>
      </w:r>
      <w:r w:rsidR="000330E5">
        <w:rPr>
          <w:lang w:val="en-US"/>
        </w:rPr>
        <w:t xml:space="preserve">across sectors and managing commercial sensitivities will </w:t>
      </w:r>
      <w:r w:rsidR="001C7F87">
        <w:rPr>
          <w:lang w:val="en-US"/>
        </w:rPr>
        <w:t>continue to be</w:t>
      </w:r>
      <w:r w:rsidR="000330E5">
        <w:rPr>
          <w:lang w:val="en-US"/>
        </w:rPr>
        <w:t xml:space="preserve"> challenging</w:t>
      </w:r>
      <w:r w:rsidRPr="00045EEC">
        <w:rPr>
          <w:lang w:val="en-US"/>
        </w:rPr>
        <w:t xml:space="preserve">. Enhanced involvement and accountability is required at all levels and by all stakeholders to achieve Strategy objectives. </w:t>
      </w:r>
    </w:p>
    <w:p w14:paraId="00B8A3A0" w14:textId="7E075C30" w:rsidR="00335A37" w:rsidRDefault="00335A37" w:rsidP="00D41F43">
      <w:pPr>
        <w:rPr>
          <w:lang w:val="en-US"/>
        </w:rPr>
      </w:pPr>
      <w:r w:rsidRPr="00045EEC">
        <w:rPr>
          <w:lang w:val="en-US"/>
        </w:rPr>
        <w:t xml:space="preserve">Better understanding of current regulatory arrangements and the economic impact of AMR in Australia is required to identify and prioritise areas for action. </w:t>
      </w:r>
    </w:p>
    <w:p w14:paraId="3B4E7BFC" w14:textId="0369A5BD" w:rsidR="000F4C61" w:rsidRDefault="000F4C61" w:rsidP="00D41F43">
      <w:pPr>
        <w:rPr>
          <w:lang w:val="en-US"/>
        </w:rPr>
      </w:pPr>
      <w:r>
        <w:rPr>
          <w:lang w:val="en-US"/>
        </w:rPr>
        <w:t>There is a need to map the current regulatory framework against the an</w:t>
      </w:r>
      <w:r w:rsidR="00676794">
        <w:rPr>
          <w:lang w:val="en-US"/>
        </w:rPr>
        <w:t xml:space="preserve">timicrobial supply chain and </w:t>
      </w:r>
      <w:r w:rsidR="00676794">
        <w:t>antimicrobial use</w:t>
      </w:r>
      <w:r>
        <w:rPr>
          <w:lang w:val="en-US"/>
        </w:rPr>
        <w:t>/AMR trends in human and animal health to identify areas where regulation could be applied or streamlined to support efforts to reduce AMR and promote the appropriate use of antimicrobials.</w:t>
      </w:r>
    </w:p>
    <w:p w14:paraId="35E30498" w14:textId="62DF50E8" w:rsidR="000F4C61" w:rsidRPr="00045EEC" w:rsidRDefault="000F4C61" w:rsidP="00D41F43">
      <w:pPr>
        <w:rPr>
          <w:lang w:val="en-US"/>
        </w:rPr>
      </w:pPr>
      <w:r>
        <w:rPr>
          <w:lang w:val="en-US"/>
        </w:rPr>
        <w:t>Changes in government priorities require revision of governance arrangements to ensure effectiveness in driving change and supporting the implementation of priority AMR activities.</w:t>
      </w:r>
    </w:p>
    <w:p w14:paraId="68037326" w14:textId="77777777" w:rsidR="00335A37" w:rsidRPr="001C6B26" w:rsidRDefault="00335A37" w:rsidP="00D41F43">
      <w:pPr>
        <w:pStyle w:val="Heading3"/>
      </w:pPr>
      <w:bookmarkStart w:id="233" w:name="_Toc9112763"/>
      <w:bookmarkStart w:id="234" w:name="_Toc10812339"/>
      <w:r w:rsidRPr="001C6B26">
        <w:t>Where to next?</w:t>
      </w:r>
      <w:bookmarkEnd w:id="233"/>
      <w:bookmarkEnd w:id="234"/>
    </w:p>
    <w:p w14:paraId="613F490A" w14:textId="77777777" w:rsidR="001C7F87" w:rsidRDefault="001C7F87" w:rsidP="00D41F43">
      <w:r w:rsidRPr="00703059">
        <w:t xml:space="preserve">Australia will continue to support relevant multilateral organisations such as the WHO, OIE and FAO to foster a global approach of responsibility and accountability on combatting antimicrobial resistance. </w:t>
      </w:r>
      <w:r w:rsidRPr="000A181F">
        <w:t xml:space="preserve"> This calls for clear lines of responsibility and accountability at</w:t>
      </w:r>
      <w:r w:rsidRPr="00045EEC">
        <w:t xml:space="preserve"> the national, jurisdictional and local levels to support progress and requires a coordinated effort from a wide range of implementation partners to achieve the Strategy objectives.</w:t>
      </w:r>
    </w:p>
    <w:p w14:paraId="3A6478F6" w14:textId="660C8494" w:rsidR="00335A37" w:rsidRPr="00045EEC" w:rsidRDefault="00335A37" w:rsidP="00D41F43">
      <w:pPr>
        <w:rPr>
          <w:lang w:val="en-US"/>
        </w:rPr>
      </w:pPr>
      <w:r w:rsidRPr="000330E5">
        <w:rPr>
          <w:lang w:val="en-US"/>
        </w:rPr>
        <w:lastRenderedPageBreak/>
        <w:t>Recognising the need for a unified national approach to addressing AMR, the next Strategy will include enhanced collaboration between the Commonwealth and states and territories.</w:t>
      </w:r>
      <w:r w:rsidR="000330E5">
        <w:rPr>
          <w:lang w:val="en-US"/>
        </w:rPr>
        <w:t xml:space="preserve"> I</w:t>
      </w:r>
      <w:r w:rsidRPr="00045EEC">
        <w:rPr>
          <w:lang w:val="en-US"/>
        </w:rPr>
        <w:t>t is expected that the next Strategy will be provided to COAG for endorsement in late 2019 via responsible committees.</w:t>
      </w:r>
    </w:p>
    <w:p w14:paraId="335936E1" w14:textId="7A2B077E" w:rsidR="00335A37" w:rsidRPr="00045EEC" w:rsidRDefault="00335A37" w:rsidP="00D41F43">
      <w:pPr>
        <w:rPr>
          <w:lang w:val="en-US"/>
        </w:rPr>
      </w:pPr>
      <w:r w:rsidRPr="000330E5">
        <w:rPr>
          <w:lang w:val="en-US"/>
        </w:rPr>
        <w:t>A monitoring and evaluation framework will accompany the next Strategy to drive accountability</w:t>
      </w:r>
      <w:r w:rsidR="000330E5">
        <w:rPr>
          <w:lang w:val="en-US"/>
        </w:rPr>
        <w:t xml:space="preserve"> and s</w:t>
      </w:r>
      <w:r w:rsidRPr="00045EEC">
        <w:rPr>
          <w:lang w:val="en-US"/>
        </w:rPr>
        <w:t xml:space="preserve">takeholders across human health, animal health, agriculture and environment sectors, will all be encouraged to develop and implement sector specific action plans, which will provide clear accountability and plans for minimising AMR.  </w:t>
      </w:r>
    </w:p>
    <w:p w14:paraId="009B32CE" w14:textId="78D67311" w:rsidR="00335A37" w:rsidRDefault="00335A37" w:rsidP="00D41F43">
      <w:pPr>
        <w:rPr>
          <w:lang w:val="en-US"/>
        </w:rPr>
      </w:pPr>
      <w:r w:rsidRPr="000330E5">
        <w:rPr>
          <w:lang w:val="en-US"/>
        </w:rPr>
        <w:t xml:space="preserve">The Australian Government has commissioned projects to assess the economic impacts of AMR in Australia, and to review regulation (legislated and other) relevant to AMR and antibiotic usage. Once completed, the outcomes of these projects will be important to consider when developing future AMR action plans. </w:t>
      </w:r>
    </w:p>
    <w:p w14:paraId="7C640ABA" w14:textId="6E2BCCD3" w:rsidR="00F075E9" w:rsidRPr="00D41F43" w:rsidRDefault="000330E5" w:rsidP="00D41F43">
      <w:pPr>
        <w:rPr>
          <w:lang w:val="en-US"/>
        </w:rPr>
      </w:pPr>
      <w:r>
        <w:rPr>
          <w:lang w:val="en-US"/>
        </w:rPr>
        <w:t>ASTAG membership will be reviewed to ensure it includes ad</w:t>
      </w:r>
      <w:r w:rsidRPr="000330E5">
        <w:rPr>
          <w:lang w:val="en-US"/>
        </w:rPr>
        <w:t>equate representation from all sectors, including food and environment.</w:t>
      </w:r>
    </w:p>
    <w:p w14:paraId="4B0CF560" w14:textId="1BCA3889" w:rsidR="005F6D81" w:rsidRPr="00AF4446" w:rsidRDefault="00B177E6" w:rsidP="0053652E">
      <w:pPr>
        <w:pStyle w:val="Heading1"/>
        <w:numPr>
          <w:ilvl w:val="0"/>
          <w:numId w:val="16"/>
        </w:numPr>
        <w:spacing w:before="0" w:after="120" w:line="240" w:lineRule="auto"/>
        <w:contextualSpacing w:val="0"/>
        <w:rPr>
          <w:rFonts w:asciiTheme="minorHAnsi" w:hAnsiTheme="minorHAnsi" w:cstheme="minorHAnsi"/>
        </w:rPr>
      </w:pPr>
      <w:bookmarkStart w:id="235" w:name="_Toc9112764"/>
      <w:bookmarkStart w:id="236" w:name="_Toc10812340"/>
      <w:r w:rsidRPr="00AF4446">
        <w:rPr>
          <w:rFonts w:asciiTheme="minorHAnsi" w:hAnsiTheme="minorHAnsi" w:cstheme="minorHAnsi"/>
        </w:rPr>
        <w:t>Sector Specific R</w:t>
      </w:r>
      <w:r w:rsidR="00C16A0F" w:rsidRPr="00AF4446">
        <w:rPr>
          <w:rFonts w:asciiTheme="minorHAnsi" w:hAnsiTheme="minorHAnsi" w:cstheme="minorHAnsi"/>
        </w:rPr>
        <w:t>oles</w:t>
      </w:r>
      <w:r w:rsidR="00445693" w:rsidRPr="00AF4446">
        <w:rPr>
          <w:rFonts w:asciiTheme="minorHAnsi" w:hAnsiTheme="minorHAnsi" w:cstheme="minorHAnsi"/>
        </w:rPr>
        <w:t xml:space="preserve"> and Responsibilities</w:t>
      </w:r>
      <w:bookmarkEnd w:id="235"/>
      <w:bookmarkEnd w:id="236"/>
      <w:r w:rsidR="00445693" w:rsidRPr="00AF4446">
        <w:rPr>
          <w:rFonts w:asciiTheme="minorHAnsi" w:hAnsiTheme="minorHAnsi" w:cstheme="minorHAnsi"/>
        </w:rPr>
        <w:t xml:space="preserve"> </w:t>
      </w:r>
    </w:p>
    <w:p w14:paraId="54FBEBB6" w14:textId="77777777" w:rsidR="00580882" w:rsidRPr="00580882" w:rsidRDefault="00580882" w:rsidP="00D41F43">
      <w:pPr>
        <w:rPr>
          <w:rFonts w:eastAsiaTheme="majorEastAsia"/>
        </w:rPr>
      </w:pPr>
      <w:r w:rsidRPr="00580882">
        <w:rPr>
          <w:rFonts w:eastAsiaTheme="majorEastAsia"/>
        </w:rPr>
        <w:t>The success of Australia’s response to AMR, and continued progress towards the objectives of the current Strategy and the next, requires a multisectoral effort. AMR is a complex issue that must be addressed in a coordinated manner, taking into account the social, economic and health needs of Australians. It is only by working together across jurisdictions and across sectors that we will be able to implement a strong national response to AMR.</w:t>
      </w:r>
    </w:p>
    <w:p w14:paraId="5F8E8B78" w14:textId="77777777" w:rsidR="00580882" w:rsidRPr="00580882" w:rsidRDefault="00580882" w:rsidP="00D41F43">
      <w:pPr>
        <w:rPr>
          <w:rFonts w:eastAsiaTheme="majorEastAsia"/>
        </w:rPr>
      </w:pPr>
      <w:r w:rsidRPr="00580882">
        <w:rPr>
          <w:rFonts w:eastAsiaTheme="majorEastAsia"/>
        </w:rPr>
        <w:t>The next AMR Strategy will identify sector specific roles and the objectives and priority areas for action relevant to each sector. Sectors can develop their own sector specific action plans under the next strategy, with some potential roles for individual sectors identified below.</w:t>
      </w:r>
    </w:p>
    <w:p w14:paraId="7A895913" w14:textId="77777777" w:rsidR="00580882" w:rsidRPr="00580882" w:rsidRDefault="00580882" w:rsidP="00D41F43">
      <w:pPr>
        <w:pStyle w:val="Heading2"/>
      </w:pPr>
      <w:bookmarkStart w:id="237" w:name="_Toc10812341"/>
      <w:r w:rsidRPr="00580882">
        <w:t>The Public Sector</w:t>
      </w:r>
      <w:bookmarkEnd w:id="237"/>
    </w:p>
    <w:p w14:paraId="022B2FFB" w14:textId="77777777" w:rsidR="00580882" w:rsidRPr="00580882" w:rsidRDefault="00580882" w:rsidP="0053652E">
      <w:pPr>
        <w:spacing w:after="120" w:line="240" w:lineRule="auto"/>
        <w:rPr>
          <w:rFonts w:eastAsiaTheme="majorEastAsia" w:cstheme="minorHAnsi"/>
        </w:rPr>
      </w:pPr>
      <w:r w:rsidRPr="00580882">
        <w:rPr>
          <w:rFonts w:eastAsiaTheme="majorEastAsia" w:cstheme="minorHAnsi"/>
        </w:rPr>
        <w:t>The public sector includes all levels of government. The Australian Government can provide leadership in bringing together commonwealth, state and territory jurisdictions and industry stakeholders to collaborate and contribute to an inclusive national strategy to address AMR. The Australian Government collaborates on international initiatives and shares in the exchange of expertise and best practise policy with global partners on AMR. Actions resulting from the national Strategy are generally implemented at the state and territory level.</w:t>
      </w:r>
    </w:p>
    <w:p w14:paraId="4DDC703F" w14:textId="77777777" w:rsidR="00580882" w:rsidRPr="00580882" w:rsidRDefault="00580882" w:rsidP="00D41F43">
      <w:pPr>
        <w:pStyle w:val="Heading2"/>
      </w:pPr>
      <w:bookmarkStart w:id="238" w:name="_Toc10812342"/>
      <w:r w:rsidRPr="00580882">
        <w:t>The Private Sector</w:t>
      </w:r>
      <w:bookmarkEnd w:id="238"/>
    </w:p>
    <w:p w14:paraId="1CCB0658" w14:textId="77777777" w:rsidR="00580882" w:rsidRPr="00580882" w:rsidRDefault="00580882" w:rsidP="00D41F43">
      <w:pPr>
        <w:rPr>
          <w:rFonts w:eastAsiaTheme="majorEastAsia"/>
        </w:rPr>
      </w:pPr>
      <w:r w:rsidRPr="00580882">
        <w:rPr>
          <w:rFonts w:eastAsiaTheme="majorEastAsia"/>
        </w:rPr>
        <w:t>The private sector can assist as ambassadors for promoting preventative measures such as promoting the correct use of antimicrobials through product labelling by drug sponsors. Private companies can also ensure an effective supply of antimicrobial treatments and diagnostic tools.</w:t>
      </w:r>
    </w:p>
    <w:p w14:paraId="33BF2633" w14:textId="77777777" w:rsidR="00580882" w:rsidRPr="00580882" w:rsidRDefault="00580882" w:rsidP="00D41F43">
      <w:pPr>
        <w:pStyle w:val="Heading2"/>
      </w:pPr>
      <w:bookmarkStart w:id="239" w:name="_Toc10812343"/>
      <w:r w:rsidRPr="00580882">
        <w:t>The Research Community</w:t>
      </w:r>
      <w:bookmarkEnd w:id="239"/>
    </w:p>
    <w:p w14:paraId="47295043" w14:textId="0802F026" w:rsidR="00580882" w:rsidRPr="00580882" w:rsidRDefault="00580882" w:rsidP="00D41F43">
      <w:pPr>
        <w:rPr>
          <w:rFonts w:eastAsiaTheme="majorEastAsia"/>
        </w:rPr>
      </w:pPr>
      <w:r w:rsidRPr="00580882">
        <w:rPr>
          <w:rFonts w:eastAsiaTheme="majorEastAsia"/>
        </w:rPr>
        <w:t>Research and development are key factors in a comprehensive, multisectoral approach to AMR through their role in conducting research to expand the knowledge base on AMR. Researchers can improve our understanding of antimicrobial resistance and develop new</w:t>
      </w:r>
      <w:r w:rsidR="003B0A32">
        <w:rPr>
          <w:rFonts w:eastAsiaTheme="majorEastAsia"/>
        </w:rPr>
        <w:t>,</w:t>
      </w:r>
      <w:r w:rsidRPr="00580882">
        <w:rPr>
          <w:rFonts w:eastAsiaTheme="majorEastAsia"/>
        </w:rPr>
        <w:t xml:space="preserve"> safe and effective treatments.</w:t>
      </w:r>
    </w:p>
    <w:p w14:paraId="16F8FD19" w14:textId="77777777" w:rsidR="00580882" w:rsidRPr="00580882" w:rsidRDefault="00580882" w:rsidP="00D41F43">
      <w:pPr>
        <w:pStyle w:val="Heading2"/>
      </w:pPr>
      <w:bookmarkStart w:id="240" w:name="_Toc10812344"/>
      <w:r w:rsidRPr="00580882">
        <w:lastRenderedPageBreak/>
        <w:t>Professionals</w:t>
      </w:r>
      <w:bookmarkEnd w:id="240"/>
    </w:p>
    <w:p w14:paraId="69126AFE" w14:textId="77777777" w:rsidR="00580882" w:rsidRPr="00580882" w:rsidRDefault="00580882" w:rsidP="00D41F43">
      <w:pPr>
        <w:rPr>
          <w:rFonts w:eastAsiaTheme="majorEastAsia"/>
        </w:rPr>
      </w:pPr>
      <w:r w:rsidRPr="00580882">
        <w:rPr>
          <w:rFonts w:eastAsiaTheme="majorEastAsia"/>
        </w:rPr>
        <w:t>Professionals can engage in and promote best practice and stewardship across the human, animal, food and environmental health sectors. They can also promote best practice infection prevention and control and antimicrobial use by health workers, veterinarians, farmers and throughout the food chain.</w:t>
      </w:r>
    </w:p>
    <w:p w14:paraId="029F73FC" w14:textId="77777777" w:rsidR="00580882" w:rsidRPr="00580882" w:rsidRDefault="00580882" w:rsidP="00D41F43">
      <w:pPr>
        <w:pStyle w:val="Heading2"/>
      </w:pPr>
      <w:bookmarkStart w:id="241" w:name="_Toc10812345"/>
      <w:r w:rsidRPr="00580882">
        <w:t>Society</w:t>
      </w:r>
      <w:bookmarkEnd w:id="241"/>
    </w:p>
    <w:p w14:paraId="669462D6" w14:textId="6B7B48CE" w:rsidR="00580882" w:rsidRDefault="00580882" w:rsidP="00D41F43">
      <w:pPr>
        <w:rPr>
          <w:rFonts w:eastAsiaTheme="majorEastAsia"/>
        </w:rPr>
      </w:pPr>
      <w:r w:rsidRPr="00580882">
        <w:rPr>
          <w:rFonts w:eastAsiaTheme="majorEastAsia"/>
        </w:rPr>
        <w:t>To reduce the need for, and use of, antimicrobials members of society including patients, animal owners and consumers need to gain greater understanding of AMR issues and take preventative measures. This includes understanding the risks and benefits of antimicrobials and using them only as directed as well as taking responsibility for good personal and food hygiene and infection control at home or when travelling abroad.</w:t>
      </w:r>
    </w:p>
    <w:p w14:paraId="73A5040A" w14:textId="54784688" w:rsidR="00F075E9" w:rsidRDefault="00F075E9" w:rsidP="0053652E">
      <w:pPr>
        <w:spacing w:after="120" w:line="240" w:lineRule="auto"/>
        <w:rPr>
          <w:rFonts w:eastAsiaTheme="majorEastAsia" w:cstheme="minorHAnsi"/>
        </w:rPr>
      </w:pPr>
      <w:r w:rsidRPr="00045EEC">
        <w:rPr>
          <w:rFonts w:cstheme="minorHAnsi"/>
          <w:noProof/>
        </w:rPr>
        <mc:AlternateContent>
          <mc:Choice Requires="wps">
            <w:drawing>
              <wp:inline distT="0" distB="0" distL="0" distR="0" wp14:anchorId="2536B144" wp14:editId="563C3C26">
                <wp:extent cx="5731510" cy="1282700"/>
                <wp:effectExtent l="0" t="0" r="2159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82700"/>
                        </a:xfrm>
                        <a:prstGeom prst="rect">
                          <a:avLst/>
                        </a:prstGeom>
                        <a:solidFill>
                          <a:schemeClr val="bg1">
                            <a:lumMod val="95000"/>
                          </a:schemeClr>
                        </a:solidFill>
                        <a:ln w="3175">
                          <a:solidFill>
                            <a:schemeClr val="bg1">
                              <a:lumMod val="50000"/>
                            </a:schemeClr>
                          </a:solidFill>
                          <a:miter lim="800000"/>
                          <a:headEnd/>
                          <a:tailEnd/>
                        </a:ln>
                      </wps:spPr>
                      <wps:txbx>
                        <w:txbxContent>
                          <w:p w14:paraId="5184C28D" w14:textId="77777777" w:rsidR="0050772D" w:rsidRPr="00A43942" w:rsidRDefault="0050772D" w:rsidP="00F075E9">
                            <w:pPr>
                              <w:spacing w:after="120" w:line="240" w:lineRule="auto"/>
                              <w:rPr>
                                <w:b/>
                              </w:rPr>
                            </w:pPr>
                            <w:r w:rsidRPr="00A43942">
                              <w:rPr>
                                <w:b/>
                              </w:rPr>
                              <w:t xml:space="preserve">Questions for </w:t>
                            </w:r>
                            <w:r>
                              <w:rPr>
                                <w:b/>
                              </w:rPr>
                              <w:t xml:space="preserve">Consideration </w:t>
                            </w:r>
                          </w:p>
                          <w:p w14:paraId="6D28858B" w14:textId="77777777" w:rsidR="0050772D" w:rsidRDefault="0050772D" w:rsidP="00F075E9">
                            <w:pPr>
                              <w:pStyle w:val="ListParagraph"/>
                              <w:numPr>
                                <w:ilvl w:val="0"/>
                                <w:numId w:val="21"/>
                              </w:numPr>
                            </w:pPr>
                            <w:r>
                              <w:t>Are there other sectors that need to be considered as part of the next strategy?</w:t>
                            </w:r>
                          </w:p>
                          <w:p w14:paraId="46981C08" w14:textId="49C8A773" w:rsidR="0050772D" w:rsidRDefault="0050772D" w:rsidP="00F075E9">
                            <w:pPr>
                              <w:pStyle w:val="ListParagraph"/>
                              <w:numPr>
                                <w:ilvl w:val="0"/>
                                <w:numId w:val="21"/>
                              </w:numPr>
                            </w:pPr>
                            <w:r>
                              <w:t>What do you see as your sector’s role and responsibilities in Australia’s response to AMR?</w:t>
                            </w:r>
                          </w:p>
                          <w:p w14:paraId="1992C1B7" w14:textId="77777777" w:rsidR="00284647" w:rsidRPr="00284647" w:rsidRDefault="00284647" w:rsidP="00284647">
                            <w:pPr>
                              <w:rPr>
                                <w:i/>
                              </w:rPr>
                            </w:pPr>
                            <w:r w:rsidRPr="00284647">
                              <w:rPr>
                                <w:i/>
                              </w:rPr>
                              <w:t>Note: These questions are listed as questions 32 and 33 in the public consultation submission template and survey.</w:t>
                            </w:r>
                          </w:p>
                          <w:p w14:paraId="31CCD1A0" w14:textId="77777777" w:rsidR="00284647" w:rsidRDefault="00284647" w:rsidP="00284647">
                            <w:pPr>
                              <w:pStyle w:val="ListParagraph"/>
                              <w:ind w:left="360"/>
                            </w:pPr>
                          </w:p>
                          <w:p w14:paraId="3C08CF81" w14:textId="77777777" w:rsidR="00284647" w:rsidRDefault="00284647" w:rsidP="00284647"/>
                        </w:txbxContent>
                      </wps:txbx>
                      <wps:bodyPr rot="0" vert="horz" wrap="square" lIns="91440" tIns="45720" rIns="91440" bIns="45720" anchor="t" anchorCtr="0">
                        <a:noAutofit/>
                      </wps:bodyPr>
                    </wps:wsp>
                  </a:graphicData>
                </a:graphic>
              </wp:inline>
            </w:drawing>
          </mc:Choice>
          <mc:Fallback>
            <w:pict>
              <v:shape w14:anchorId="2536B144" id="_x0000_s1041" type="#_x0000_t202" style="width:451.3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" fillcolor="#f2f2f2 [3052]" strokecolor="#7f7f7f [1612]" strokeweight=".25pt">
                <v:textbox>
                  <w:txbxContent>
                    <w:p w14:paraId="5184C28D" w14:textId="77777777" w:rsidR="0050772D" w:rsidRPr="00A43942" w:rsidRDefault="0050772D" w:rsidP="00F075E9">
                      <w:pPr>
                        <w:spacing w:after="120" w:line="240" w:lineRule="auto"/>
                        <w:rPr>
                          <w:b/>
                        </w:rPr>
                      </w:pPr>
                      <w:r w:rsidRPr="00A43942">
                        <w:rPr>
                          <w:b/>
                        </w:rPr>
                        <w:t xml:space="preserve">Questions for </w:t>
                      </w:r>
                      <w:r>
                        <w:rPr>
                          <w:b/>
                        </w:rPr>
                        <w:t xml:space="preserve">Consideration </w:t>
                      </w:r>
                    </w:p>
                    <w:p w14:paraId="6D28858B" w14:textId="77777777" w:rsidR="0050772D" w:rsidRDefault="0050772D" w:rsidP="00F075E9">
                      <w:pPr>
                        <w:pStyle w:val="ListParagraph"/>
                        <w:numPr>
                          <w:ilvl w:val="0"/>
                          <w:numId w:val="21"/>
                        </w:numPr>
                      </w:pPr>
                      <w:r>
                        <w:t>Are there other sectors that need to be considered as part of the next strategy?</w:t>
                      </w:r>
                    </w:p>
                    <w:p w14:paraId="46981C08" w14:textId="49C8A773" w:rsidR="0050772D" w:rsidRDefault="0050772D" w:rsidP="00F075E9">
                      <w:pPr>
                        <w:pStyle w:val="ListParagraph"/>
                        <w:numPr>
                          <w:ilvl w:val="0"/>
                          <w:numId w:val="21"/>
                        </w:numPr>
                      </w:pPr>
                      <w:r>
                        <w:t>What do you see as your sector’s role and responsibilities in Australia’s response to AMR?</w:t>
                      </w:r>
                    </w:p>
                    <w:p w14:paraId="1992C1B7" w14:textId="77777777" w:rsidR="00284647" w:rsidRPr="00284647" w:rsidRDefault="00284647" w:rsidP="00284647">
                      <w:pPr>
                        <w:rPr>
                          <w:i/>
                        </w:rPr>
                      </w:pPr>
                      <w:r w:rsidRPr="00284647">
                        <w:rPr>
                          <w:i/>
                        </w:rPr>
                        <w:t>Note: These questions are listed as questions 32 and 33 in the public consultation submission template and survey.</w:t>
                      </w:r>
                    </w:p>
                    <w:p w14:paraId="31CCD1A0" w14:textId="77777777" w:rsidR="00284647" w:rsidRDefault="00284647" w:rsidP="00284647">
                      <w:pPr>
                        <w:pStyle w:val="ListParagraph"/>
                        <w:ind w:left="360"/>
                      </w:pPr>
                    </w:p>
                    <w:p w14:paraId="3C08CF81" w14:textId="77777777" w:rsidR="00284647" w:rsidRDefault="00284647" w:rsidP="00284647"/>
                  </w:txbxContent>
                </v:textbox>
                <w10:anchorlock/>
              </v:shape>
            </w:pict>
          </mc:Fallback>
        </mc:AlternateContent>
      </w:r>
    </w:p>
    <w:p w14:paraId="7A7701C0" w14:textId="2BFCC975" w:rsidR="00F8276A" w:rsidRPr="00045EEC" w:rsidRDefault="00F8276A" w:rsidP="0053652E">
      <w:pPr>
        <w:spacing w:after="120" w:line="240" w:lineRule="auto"/>
        <w:rPr>
          <w:rFonts w:eastAsiaTheme="majorEastAsia" w:cstheme="minorHAnsi"/>
        </w:rPr>
      </w:pPr>
    </w:p>
    <w:p w14:paraId="6DEC9C3A" w14:textId="20BB485B" w:rsidR="00397E5F" w:rsidRPr="00E27198" w:rsidRDefault="00397E5F" w:rsidP="0053652E">
      <w:pPr>
        <w:pStyle w:val="Heading1"/>
        <w:numPr>
          <w:ilvl w:val="0"/>
          <w:numId w:val="16"/>
        </w:numPr>
        <w:spacing w:before="0" w:after="120" w:line="240" w:lineRule="auto"/>
        <w:rPr>
          <w:rFonts w:asciiTheme="minorHAnsi" w:hAnsiTheme="minorHAnsi" w:cstheme="minorHAnsi"/>
        </w:rPr>
      </w:pPr>
      <w:bookmarkStart w:id="242" w:name="_Toc10812346"/>
      <w:r w:rsidRPr="00E27198">
        <w:rPr>
          <w:rFonts w:asciiTheme="minorHAnsi" w:hAnsiTheme="minorHAnsi" w:cstheme="minorHAnsi"/>
        </w:rPr>
        <w:t>Stocktake of Activities</w:t>
      </w:r>
      <w:bookmarkEnd w:id="242"/>
    </w:p>
    <w:p w14:paraId="1F33BCE4" w14:textId="77777777" w:rsidR="00AD16FD" w:rsidRDefault="00397E5F" w:rsidP="00D41F43">
      <w:pPr>
        <w:rPr>
          <w:rFonts w:ascii="Calibri" w:eastAsia="Calibri" w:hAnsi="Calibri"/>
        </w:rPr>
      </w:pPr>
      <w:r w:rsidRPr="00E27198">
        <w:rPr>
          <w:rFonts w:eastAsiaTheme="majorEastAsia"/>
        </w:rPr>
        <w:t xml:space="preserve">Where relevant, please complete the Stocktake of Activities table to assist us to capture the huge amount of activity being undertaken </w:t>
      </w:r>
      <w:r w:rsidR="00AD16FD">
        <w:rPr>
          <w:rFonts w:ascii="Calibri" w:eastAsia="Calibri" w:hAnsi="Calibri"/>
        </w:rPr>
        <w:t>by a wide range of organisations and sectors to address the priority areas of action outlined in the Strategy.</w:t>
      </w:r>
    </w:p>
    <w:p w14:paraId="6CDAA7B3" w14:textId="07B3FE69" w:rsidR="005950C4" w:rsidRDefault="00397E5F" w:rsidP="00D41F43">
      <w:pPr>
        <w:sectPr w:rsidR="005950C4" w:rsidSect="00D26045">
          <w:pgSz w:w="11906" w:h="16838"/>
          <w:pgMar w:top="1440" w:right="1440" w:bottom="1440" w:left="1440" w:header="708" w:footer="708" w:gutter="0"/>
          <w:pgNumType w:start="1"/>
          <w:cols w:space="708"/>
          <w:titlePg/>
          <w:docGrid w:linePitch="360"/>
        </w:sectPr>
      </w:pPr>
      <w:r w:rsidRPr="00E27198">
        <w:rPr>
          <w:rFonts w:eastAsiaTheme="majorEastAsia"/>
        </w:rPr>
        <w:t xml:space="preserve">This information will be published in the final progress report under the </w:t>
      </w:r>
      <w:r w:rsidRPr="00811FFB">
        <w:rPr>
          <w:rFonts w:eastAsiaTheme="majorEastAsia"/>
          <w:i/>
        </w:rPr>
        <w:t>First Strategy</w:t>
      </w:r>
      <w:r w:rsidRPr="00E27198">
        <w:rPr>
          <w:rFonts w:eastAsiaTheme="majorEastAsia"/>
        </w:rPr>
        <w:t xml:space="preserve"> and </w:t>
      </w:r>
      <w:r>
        <w:rPr>
          <w:rFonts w:eastAsiaTheme="majorEastAsia"/>
        </w:rPr>
        <w:t xml:space="preserve">assist with </w:t>
      </w:r>
      <w:r w:rsidRPr="00E27198">
        <w:rPr>
          <w:rFonts w:eastAsiaTheme="majorEastAsia"/>
        </w:rPr>
        <w:t>inform</w:t>
      </w:r>
      <w:r>
        <w:rPr>
          <w:rFonts w:eastAsiaTheme="majorEastAsia"/>
        </w:rPr>
        <w:t>ing</w:t>
      </w:r>
      <w:r w:rsidRPr="00E27198">
        <w:rPr>
          <w:rFonts w:eastAsiaTheme="majorEastAsia"/>
        </w:rPr>
        <w:t xml:space="preserve"> future action plans.</w:t>
      </w:r>
      <w:r w:rsidR="00AD16FD">
        <w:rPr>
          <w:rFonts w:eastAsiaTheme="majorEastAsia"/>
        </w:rPr>
        <w:t xml:space="preserv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1: Increase awareness and understanding of antimicrobial resistance, its implications and actions to combat it, through effective communication, education and training.&#10;Under the main heading there are six columns with the following headings:&#10;Activity&#10;Responsibility – Lead&#10;Key Partners (include role)&#10;Milestones&#10;Expected Outcome/s&#10;Links with other Strategy Objectives&#10;There are subheadings of four priority action areas.&#10;Priority Action Area 1.1 – Strengthen consumer awareness initiatives to improve understanding of antimicrobial resistance and the importance of using antibiotics appropriately.&#10;Priority Action Area 1.2 – Increase support for human and animal health professionals in reinforcing key messages with patients and clients.&#10;Priority Action Area 1.3 – Strengthen communication and education initiatives for health professionals and team members.&#10;Priority Action Area 1.4 – Develop a stakeholder engagement and communication plan to support whole-of-society awareness of, and participation in, implementation of the Strategy.&#10;"/>
      </w:tblPr>
      <w:tblGrid>
        <w:gridCol w:w="2977"/>
        <w:gridCol w:w="2410"/>
        <w:gridCol w:w="2552"/>
        <w:gridCol w:w="2126"/>
        <w:gridCol w:w="2693"/>
        <w:gridCol w:w="1418"/>
      </w:tblGrid>
      <w:tr w:rsidR="00397E5F" w:rsidRPr="00644385" w14:paraId="6B3C0ECA" w14:textId="77777777" w:rsidTr="00280417">
        <w:trPr>
          <w:tblHeader/>
        </w:trPr>
        <w:tc>
          <w:tcPr>
            <w:tcW w:w="14176" w:type="dxa"/>
            <w:gridSpan w:val="6"/>
            <w:tcBorders>
              <w:bottom w:val="single" w:sz="8" w:space="0" w:color="auto"/>
            </w:tcBorders>
            <w:shd w:val="clear" w:color="auto" w:fill="31849B"/>
          </w:tcPr>
          <w:p w14:paraId="1F611A56" w14:textId="77777777" w:rsidR="00397E5F" w:rsidRPr="00CC6927" w:rsidRDefault="00397E5F" w:rsidP="0053652E">
            <w:pPr>
              <w:spacing w:after="120" w:line="240" w:lineRule="auto"/>
              <w:rPr>
                <w:rFonts w:ascii="Calibri" w:hAnsi="Calibri"/>
                <w:color w:val="FFFFFF"/>
                <w:sz w:val="28"/>
                <w:szCs w:val="28"/>
              </w:rPr>
            </w:pPr>
            <w:r w:rsidRPr="00A2662F">
              <w:rPr>
                <w:rFonts w:ascii="Calibri" w:eastAsia="Calibri" w:hAnsi="Calibri"/>
                <w:color w:val="31849B"/>
              </w:rPr>
              <w:lastRenderedPageBreak/>
              <w:t xml:space="preserve">  </w:t>
            </w:r>
            <w:r w:rsidRPr="00CC6927">
              <w:rPr>
                <w:rFonts w:ascii="Calibri" w:hAnsi="Calibri"/>
                <w:b/>
                <w:color w:val="FFFFFF"/>
                <w:sz w:val="28"/>
                <w:szCs w:val="28"/>
              </w:rPr>
              <w:t xml:space="preserve">Objective </w:t>
            </w:r>
            <w:r>
              <w:rPr>
                <w:rFonts w:ascii="Calibri" w:hAnsi="Calibri"/>
                <w:b/>
                <w:color w:val="FFFFFF"/>
                <w:sz w:val="28"/>
                <w:szCs w:val="28"/>
              </w:rPr>
              <w:t>1</w:t>
            </w:r>
            <w:r w:rsidRPr="00CC6927">
              <w:rPr>
                <w:rFonts w:ascii="Calibri" w:hAnsi="Calibri"/>
                <w:b/>
                <w:color w:val="FFFFFF"/>
                <w:sz w:val="28"/>
                <w:szCs w:val="28"/>
              </w:rPr>
              <w:t xml:space="preserve">: </w:t>
            </w:r>
            <w:r w:rsidRPr="00CC6927">
              <w:rPr>
                <w:rFonts w:ascii="Calibri" w:hAnsi="Calibri"/>
                <w:color w:val="FFFFFF"/>
                <w:sz w:val="28"/>
                <w:szCs w:val="28"/>
              </w:rPr>
              <w:t>Increase awareness and understanding of antimicrobial resistance, its implications and actions to combat it, through effective communication, education and training</w:t>
            </w:r>
          </w:p>
        </w:tc>
      </w:tr>
      <w:tr w:rsidR="00397E5F" w:rsidRPr="00644385" w14:paraId="4E62E386" w14:textId="77777777" w:rsidTr="00280417">
        <w:trPr>
          <w:tblHeader/>
        </w:trPr>
        <w:tc>
          <w:tcPr>
            <w:tcW w:w="2977" w:type="dxa"/>
            <w:tcBorders>
              <w:bottom w:val="single" w:sz="8" w:space="0" w:color="auto"/>
            </w:tcBorders>
            <w:shd w:val="clear" w:color="auto" w:fill="92CDDC"/>
          </w:tcPr>
          <w:p w14:paraId="7A10390A" w14:textId="77777777" w:rsidR="00397E5F" w:rsidRPr="00653EF4" w:rsidRDefault="00397E5F" w:rsidP="0053652E">
            <w:pPr>
              <w:spacing w:after="120" w:line="240" w:lineRule="auto"/>
              <w:rPr>
                <w:rFonts w:ascii="Calibri" w:hAnsi="Calibri"/>
                <w:b/>
                <w:color w:val="215868"/>
                <w:vertAlign w:val="superscript"/>
              </w:rPr>
            </w:pPr>
            <w:r w:rsidRPr="00653EF4">
              <w:rPr>
                <w:rFonts w:ascii="Calibri" w:hAnsi="Calibri"/>
                <w:b/>
                <w:color w:val="215868"/>
              </w:rPr>
              <w:t>Activity</w:t>
            </w:r>
          </w:p>
        </w:tc>
        <w:tc>
          <w:tcPr>
            <w:tcW w:w="2410" w:type="dxa"/>
            <w:tcBorders>
              <w:bottom w:val="single" w:sz="8" w:space="0" w:color="auto"/>
            </w:tcBorders>
            <w:shd w:val="clear" w:color="auto" w:fill="92CDDC"/>
          </w:tcPr>
          <w:p w14:paraId="5B6936EF"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Responsibility – Lead</w:t>
            </w:r>
          </w:p>
        </w:tc>
        <w:tc>
          <w:tcPr>
            <w:tcW w:w="2552" w:type="dxa"/>
            <w:tcBorders>
              <w:bottom w:val="single" w:sz="8" w:space="0" w:color="auto"/>
            </w:tcBorders>
            <w:shd w:val="clear" w:color="auto" w:fill="92CDDC"/>
          </w:tcPr>
          <w:p w14:paraId="6E6D43D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Key partners (include role)</w:t>
            </w:r>
          </w:p>
        </w:tc>
        <w:tc>
          <w:tcPr>
            <w:tcW w:w="2126" w:type="dxa"/>
            <w:tcBorders>
              <w:bottom w:val="single" w:sz="8" w:space="0" w:color="auto"/>
            </w:tcBorders>
            <w:shd w:val="clear" w:color="auto" w:fill="92CDDC"/>
          </w:tcPr>
          <w:p w14:paraId="70D17BB4"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Milestones</w:t>
            </w:r>
          </w:p>
        </w:tc>
        <w:tc>
          <w:tcPr>
            <w:tcW w:w="2693" w:type="dxa"/>
            <w:tcBorders>
              <w:bottom w:val="single" w:sz="8" w:space="0" w:color="auto"/>
            </w:tcBorders>
            <w:shd w:val="clear" w:color="auto" w:fill="92CDDC"/>
          </w:tcPr>
          <w:p w14:paraId="2F83A380"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Expected Outcome/s</w:t>
            </w:r>
          </w:p>
        </w:tc>
        <w:tc>
          <w:tcPr>
            <w:tcW w:w="1418" w:type="dxa"/>
            <w:tcBorders>
              <w:bottom w:val="single" w:sz="8" w:space="0" w:color="auto"/>
            </w:tcBorders>
            <w:shd w:val="clear" w:color="auto" w:fill="92CDDC"/>
          </w:tcPr>
          <w:p w14:paraId="682429C2"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Links with other Strategy Objectives</w:t>
            </w:r>
          </w:p>
        </w:tc>
      </w:tr>
      <w:tr w:rsidR="00397E5F" w:rsidRPr="00FF5AE8" w14:paraId="433935E7" w14:textId="77777777" w:rsidTr="00280417">
        <w:tc>
          <w:tcPr>
            <w:tcW w:w="14176" w:type="dxa"/>
            <w:gridSpan w:val="6"/>
            <w:shd w:val="clear" w:color="auto" w:fill="DAEEF3"/>
          </w:tcPr>
          <w:p w14:paraId="42BF62AC" w14:textId="77777777" w:rsidR="00397E5F" w:rsidRPr="00653EF4" w:rsidRDefault="00397E5F" w:rsidP="0053652E">
            <w:pPr>
              <w:spacing w:after="120" w:line="240" w:lineRule="auto"/>
              <w:rPr>
                <w:rFonts w:ascii="Calibri" w:hAnsi="Calibri"/>
              </w:rPr>
            </w:pPr>
            <w:r w:rsidRPr="00653EF4">
              <w:rPr>
                <w:rFonts w:ascii="Calibri" w:hAnsi="Calibri"/>
                <w:b/>
                <w:i/>
                <w:color w:val="215868"/>
              </w:rPr>
              <w:t>Priority Action Area 1.1 – Strengthen consumer awareness initiatives to improve understanding of antimicrobial resistance and the importance of using antibiotics appropriately</w:t>
            </w:r>
          </w:p>
        </w:tc>
      </w:tr>
      <w:tr w:rsidR="00397E5F" w:rsidRPr="00FF5AE8" w14:paraId="2E84B8C1" w14:textId="77777777" w:rsidTr="00280417">
        <w:tc>
          <w:tcPr>
            <w:tcW w:w="2977" w:type="dxa"/>
            <w:shd w:val="clear" w:color="auto" w:fill="FFFFFF"/>
          </w:tcPr>
          <w:p w14:paraId="04D5BB75" w14:textId="77777777" w:rsidR="00397E5F" w:rsidRPr="00653EF4" w:rsidRDefault="00397E5F" w:rsidP="0053652E">
            <w:pPr>
              <w:spacing w:after="120" w:line="240" w:lineRule="auto"/>
              <w:rPr>
                <w:rFonts w:ascii="Calibri" w:hAnsi="Calibri"/>
              </w:rPr>
            </w:pPr>
          </w:p>
        </w:tc>
        <w:tc>
          <w:tcPr>
            <w:tcW w:w="2410" w:type="dxa"/>
            <w:shd w:val="clear" w:color="auto" w:fill="auto"/>
          </w:tcPr>
          <w:p w14:paraId="1685377F"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0FAEBB43" w14:textId="77777777" w:rsidR="00397E5F" w:rsidRPr="00653EF4" w:rsidRDefault="00397E5F" w:rsidP="0053652E">
            <w:pPr>
              <w:spacing w:after="120" w:line="240" w:lineRule="auto"/>
              <w:rPr>
                <w:rFonts w:ascii="Calibri" w:hAnsi="Calibri"/>
              </w:rPr>
            </w:pPr>
          </w:p>
        </w:tc>
        <w:tc>
          <w:tcPr>
            <w:tcW w:w="2126" w:type="dxa"/>
            <w:shd w:val="clear" w:color="auto" w:fill="auto"/>
          </w:tcPr>
          <w:p w14:paraId="3D52AEB0" w14:textId="77777777" w:rsidR="00397E5F" w:rsidRPr="00653EF4" w:rsidRDefault="00397E5F" w:rsidP="0053652E">
            <w:pPr>
              <w:spacing w:after="120" w:line="240" w:lineRule="auto"/>
              <w:rPr>
                <w:rFonts w:ascii="Calibri" w:hAnsi="Calibri"/>
              </w:rPr>
            </w:pPr>
          </w:p>
        </w:tc>
        <w:tc>
          <w:tcPr>
            <w:tcW w:w="2693" w:type="dxa"/>
            <w:shd w:val="clear" w:color="auto" w:fill="auto"/>
          </w:tcPr>
          <w:p w14:paraId="28047C5E" w14:textId="77777777" w:rsidR="00397E5F" w:rsidRPr="00653EF4" w:rsidRDefault="00397E5F" w:rsidP="0053652E">
            <w:pPr>
              <w:spacing w:after="120" w:line="240" w:lineRule="auto"/>
              <w:rPr>
                <w:rFonts w:ascii="Calibri" w:hAnsi="Calibri"/>
              </w:rPr>
            </w:pPr>
          </w:p>
        </w:tc>
        <w:tc>
          <w:tcPr>
            <w:tcW w:w="1418" w:type="dxa"/>
            <w:shd w:val="clear" w:color="auto" w:fill="auto"/>
          </w:tcPr>
          <w:p w14:paraId="4F23E13D" w14:textId="77777777" w:rsidR="00397E5F" w:rsidRPr="00653EF4" w:rsidRDefault="00397E5F" w:rsidP="0053652E">
            <w:pPr>
              <w:spacing w:after="120" w:line="240" w:lineRule="auto"/>
              <w:rPr>
                <w:rFonts w:ascii="Calibri" w:hAnsi="Calibri"/>
              </w:rPr>
            </w:pPr>
          </w:p>
        </w:tc>
      </w:tr>
      <w:tr w:rsidR="00397E5F" w:rsidRPr="00FF5AE8" w14:paraId="5B4AE11E" w14:textId="77777777" w:rsidTr="00280417">
        <w:tc>
          <w:tcPr>
            <w:tcW w:w="2977" w:type="dxa"/>
            <w:shd w:val="clear" w:color="auto" w:fill="FFFFFF"/>
          </w:tcPr>
          <w:p w14:paraId="34B0848D" w14:textId="77777777" w:rsidR="00397E5F" w:rsidRPr="00653EF4" w:rsidRDefault="00397E5F" w:rsidP="0053652E">
            <w:pPr>
              <w:spacing w:after="120" w:line="240" w:lineRule="auto"/>
              <w:rPr>
                <w:rFonts w:ascii="Calibri" w:hAnsi="Calibri"/>
              </w:rPr>
            </w:pPr>
          </w:p>
        </w:tc>
        <w:tc>
          <w:tcPr>
            <w:tcW w:w="2410" w:type="dxa"/>
            <w:shd w:val="clear" w:color="auto" w:fill="auto"/>
          </w:tcPr>
          <w:p w14:paraId="72D9F727"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2EEB7C85" w14:textId="77777777" w:rsidR="00397E5F" w:rsidRPr="00653EF4" w:rsidRDefault="00397E5F" w:rsidP="0053652E">
            <w:pPr>
              <w:spacing w:after="120" w:line="240" w:lineRule="auto"/>
              <w:rPr>
                <w:rFonts w:ascii="Calibri" w:hAnsi="Calibri"/>
              </w:rPr>
            </w:pPr>
          </w:p>
        </w:tc>
        <w:tc>
          <w:tcPr>
            <w:tcW w:w="2126" w:type="dxa"/>
            <w:shd w:val="clear" w:color="auto" w:fill="auto"/>
          </w:tcPr>
          <w:p w14:paraId="1B14BCC8" w14:textId="77777777" w:rsidR="00397E5F" w:rsidRPr="00653EF4" w:rsidRDefault="00397E5F" w:rsidP="0053652E">
            <w:pPr>
              <w:spacing w:after="120" w:line="240" w:lineRule="auto"/>
              <w:rPr>
                <w:rFonts w:ascii="Calibri" w:hAnsi="Calibri"/>
              </w:rPr>
            </w:pPr>
          </w:p>
        </w:tc>
        <w:tc>
          <w:tcPr>
            <w:tcW w:w="2693" w:type="dxa"/>
            <w:shd w:val="clear" w:color="auto" w:fill="auto"/>
          </w:tcPr>
          <w:p w14:paraId="059AFC8F" w14:textId="77777777" w:rsidR="00397E5F" w:rsidRPr="00653EF4" w:rsidRDefault="00397E5F" w:rsidP="0053652E">
            <w:pPr>
              <w:spacing w:after="120" w:line="240" w:lineRule="auto"/>
              <w:rPr>
                <w:rFonts w:ascii="Calibri" w:hAnsi="Calibri"/>
              </w:rPr>
            </w:pPr>
          </w:p>
        </w:tc>
        <w:tc>
          <w:tcPr>
            <w:tcW w:w="1418" w:type="dxa"/>
            <w:shd w:val="clear" w:color="auto" w:fill="auto"/>
          </w:tcPr>
          <w:p w14:paraId="25D79A65" w14:textId="77777777" w:rsidR="00397E5F" w:rsidRPr="00653EF4" w:rsidRDefault="00397E5F" w:rsidP="0053652E">
            <w:pPr>
              <w:spacing w:after="120" w:line="240" w:lineRule="auto"/>
              <w:rPr>
                <w:rFonts w:ascii="Calibri" w:hAnsi="Calibri"/>
              </w:rPr>
            </w:pPr>
          </w:p>
        </w:tc>
      </w:tr>
      <w:tr w:rsidR="00397E5F" w:rsidRPr="00FF5AE8" w14:paraId="06BBD8DF" w14:textId="77777777" w:rsidTr="00280417">
        <w:tc>
          <w:tcPr>
            <w:tcW w:w="2977" w:type="dxa"/>
            <w:shd w:val="clear" w:color="auto" w:fill="FFFFFF"/>
          </w:tcPr>
          <w:p w14:paraId="62AB203A" w14:textId="77777777" w:rsidR="00397E5F" w:rsidRPr="00653EF4" w:rsidRDefault="00397E5F" w:rsidP="0053652E">
            <w:pPr>
              <w:spacing w:after="120" w:line="240" w:lineRule="auto"/>
              <w:rPr>
                <w:rFonts w:ascii="Calibri" w:hAnsi="Calibri"/>
              </w:rPr>
            </w:pPr>
          </w:p>
        </w:tc>
        <w:tc>
          <w:tcPr>
            <w:tcW w:w="2410" w:type="dxa"/>
            <w:shd w:val="clear" w:color="auto" w:fill="auto"/>
          </w:tcPr>
          <w:p w14:paraId="5A00333A"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54BA0FF6" w14:textId="77777777" w:rsidR="00397E5F" w:rsidRPr="00653EF4" w:rsidRDefault="00397E5F" w:rsidP="0053652E">
            <w:pPr>
              <w:spacing w:after="120" w:line="240" w:lineRule="auto"/>
              <w:rPr>
                <w:rFonts w:ascii="Calibri" w:hAnsi="Calibri"/>
              </w:rPr>
            </w:pPr>
          </w:p>
        </w:tc>
        <w:tc>
          <w:tcPr>
            <w:tcW w:w="2126" w:type="dxa"/>
            <w:shd w:val="clear" w:color="auto" w:fill="auto"/>
          </w:tcPr>
          <w:p w14:paraId="01032CAF" w14:textId="77777777" w:rsidR="00397E5F" w:rsidRPr="00653EF4" w:rsidRDefault="00397E5F" w:rsidP="0053652E">
            <w:pPr>
              <w:spacing w:after="120" w:line="240" w:lineRule="auto"/>
              <w:rPr>
                <w:rFonts w:ascii="Calibri" w:hAnsi="Calibri"/>
              </w:rPr>
            </w:pPr>
          </w:p>
        </w:tc>
        <w:tc>
          <w:tcPr>
            <w:tcW w:w="2693" w:type="dxa"/>
            <w:shd w:val="clear" w:color="auto" w:fill="auto"/>
          </w:tcPr>
          <w:p w14:paraId="71D5E0A8" w14:textId="77777777" w:rsidR="00397E5F" w:rsidRPr="00653EF4" w:rsidRDefault="00397E5F" w:rsidP="0053652E">
            <w:pPr>
              <w:spacing w:after="120" w:line="240" w:lineRule="auto"/>
              <w:rPr>
                <w:rFonts w:ascii="Calibri" w:hAnsi="Calibri"/>
              </w:rPr>
            </w:pPr>
          </w:p>
        </w:tc>
        <w:tc>
          <w:tcPr>
            <w:tcW w:w="1418" w:type="dxa"/>
            <w:shd w:val="clear" w:color="auto" w:fill="auto"/>
          </w:tcPr>
          <w:p w14:paraId="351877E2" w14:textId="77777777" w:rsidR="00397E5F" w:rsidRPr="00653EF4" w:rsidRDefault="00397E5F" w:rsidP="0053652E">
            <w:pPr>
              <w:spacing w:after="120" w:line="240" w:lineRule="auto"/>
              <w:rPr>
                <w:rFonts w:ascii="Calibri" w:hAnsi="Calibri"/>
              </w:rPr>
            </w:pPr>
          </w:p>
        </w:tc>
      </w:tr>
      <w:tr w:rsidR="00397E5F" w:rsidRPr="00FF5AE8" w14:paraId="79719094" w14:textId="77777777" w:rsidTr="00280417">
        <w:tc>
          <w:tcPr>
            <w:tcW w:w="2977" w:type="dxa"/>
            <w:shd w:val="clear" w:color="auto" w:fill="FFFFFF"/>
          </w:tcPr>
          <w:p w14:paraId="6F7B863A" w14:textId="77777777" w:rsidR="00397E5F" w:rsidRPr="00653EF4" w:rsidRDefault="00397E5F" w:rsidP="0053652E">
            <w:pPr>
              <w:spacing w:after="120" w:line="240" w:lineRule="auto"/>
              <w:rPr>
                <w:rFonts w:ascii="Calibri" w:hAnsi="Calibri"/>
              </w:rPr>
            </w:pPr>
          </w:p>
        </w:tc>
        <w:tc>
          <w:tcPr>
            <w:tcW w:w="2410" w:type="dxa"/>
            <w:shd w:val="clear" w:color="auto" w:fill="auto"/>
          </w:tcPr>
          <w:p w14:paraId="70D94725"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5A8B3BD1" w14:textId="77777777" w:rsidR="00397E5F" w:rsidRPr="00653EF4" w:rsidRDefault="00397E5F" w:rsidP="0053652E">
            <w:pPr>
              <w:spacing w:after="120" w:line="240" w:lineRule="auto"/>
              <w:rPr>
                <w:rFonts w:ascii="Calibri" w:hAnsi="Calibri"/>
              </w:rPr>
            </w:pPr>
          </w:p>
        </w:tc>
        <w:tc>
          <w:tcPr>
            <w:tcW w:w="2126" w:type="dxa"/>
            <w:shd w:val="clear" w:color="auto" w:fill="auto"/>
          </w:tcPr>
          <w:p w14:paraId="2A82B7FD" w14:textId="77777777" w:rsidR="00397E5F" w:rsidRPr="00653EF4" w:rsidRDefault="00397E5F" w:rsidP="0053652E">
            <w:pPr>
              <w:spacing w:after="120" w:line="240" w:lineRule="auto"/>
              <w:rPr>
                <w:rFonts w:ascii="Calibri" w:hAnsi="Calibri"/>
              </w:rPr>
            </w:pPr>
          </w:p>
        </w:tc>
        <w:tc>
          <w:tcPr>
            <w:tcW w:w="2693" w:type="dxa"/>
            <w:shd w:val="clear" w:color="auto" w:fill="auto"/>
          </w:tcPr>
          <w:p w14:paraId="73D9306F" w14:textId="77777777" w:rsidR="00397E5F" w:rsidRPr="00653EF4" w:rsidRDefault="00397E5F" w:rsidP="0053652E">
            <w:pPr>
              <w:spacing w:after="120" w:line="240" w:lineRule="auto"/>
              <w:rPr>
                <w:rFonts w:ascii="Calibri" w:hAnsi="Calibri"/>
              </w:rPr>
            </w:pPr>
          </w:p>
        </w:tc>
        <w:tc>
          <w:tcPr>
            <w:tcW w:w="1418" w:type="dxa"/>
            <w:shd w:val="clear" w:color="auto" w:fill="auto"/>
          </w:tcPr>
          <w:p w14:paraId="6E24161F" w14:textId="77777777" w:rsidR="00397E5F" w:rsidRPr="00653EF4" w:rsidRDefault="00397E5F" w:rsidP="0053652E">
            <w:pPr>
              <w:spacing w:after="120" w:line="240" w:lineRule="auto"/>
              <w:rPr>
                <w:rFonts w:ascii="Calibri" w:hAnsi="Calibri"/>
              </w:rPr>
            </w:pPr>
          </w:p>
        </w:tc>
      </w:tr>
      <w:tr w:rsidR="00397E5F" w:rsidRPr="00FF5AE8" w14:paraId="513863CE" w14:textId="77777777" w:rsidTr="00280417">
        <w:tc>
          <w:tcPr>
            <w:tcW w:w="14176" w:type="dxa"/>
            <w:gridSpan w:val="6"/>
            <w:shd w:val="clear" w:color="auto" w:fill="DAEEF3"/>
          </w:tcPr>
          <w:p w14:paraId="14C47E92"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1.2 – Increase support for human and animal health professionals in reinforcing key messages with patients and clients</w:t>
            </w:r>
          </w:p>
        </w:tc>
      </w:tr>
      <w:tr w:rsidR="00397E5F" w:rsidRPr="00FF5AE8" w14:paraId="2FB6F038" w14:textId="77777777" w:rsidTr="00280417">
        <w:tc>
          <w:tcPr>
            <w:tcW w:w="2977" w:type="dxa"/>
            <w:shd w:val="clear" w:color="auto" w:fill="FFFFFF"/>
          </w:tcPr>
          <w:p w14:paraId="7B59BB96"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C7E5CF5" w14:textId="77777777" w:rsidR="00397E5F" w:rsidRPr="00653EF4" w:rsidRDefault="00397E5F" w:rsidP="0053652E">
            <w:pPr>
              <w:spacing w:after="120" w:line="240" w:lineRule="auto"/>
              <w:rPr>
                <w:rFonts w:ascii="Calibri" w:hAnsi="Calibri"/>
              </w:rPr>
            </w:pPr>
          </w:p>
        </w:tc>
        <w:tc>
          <w:tcPr>
            <w:tcW w:w="2552" w:type="dxa"/>
            <w:shd w:val="clear" w:color="auto" w:fill="auto"/>
          </w:tcPr>
          <w:p w14:paraId="56C0F965" w14:textId="77777777" w:rsidR="00397E5F" w:rsidRPr="00653EF4" w:rsidRDefault="00397E5F" w:rsidP="0053652E">
            <w:pPr>
              <w:spacing w:after="120" w:line="240" w:lineRule="auto"/>
              <w:rPr>
                <w:rFonts w:ascii="Calibri" w:hAnsi="Calibri"/>
              </w:rPr>
            </w:pPr>
          </w:p>
        </w:tc>
        <w:tc>
          <w:tcPr>
            <w:tcW w:w="2126" w:type="dxa"/>
            <w:shd w:val="clear" w:color="auto" w:fill="auto"/>
          </w:tcPr>
          <w:p w14:paraId="442C8217" w14:textId="77777777" w:rsidR="00397E5F" w:rsidRPr="00653EF4" w:rsidRDefault="00397E5F" w:rsidP="0053652E">
            <w:pPr>
              <w:spacing w:after="120" w:line="240" w:lineRule="auto"/>
              <w:rPr>
                <w:rFonts w:ascii="Calibri" w:hAnsi="Calibri"/>
              </w:rPr>
            </w:pPr>
          </w:p>
        </w:tc>
        <w:tc>
          <w:tcPr>
            <w:tcW w:w="2693" w:type="dxa"/>
            <w:shd w:val="clear" w:color="auto" w:fill="auto"/>
          </w:tcPr>
          <w:p w14:paraId="7A87837E" w14:textId="77777777" w:rsidR="00397E5F" w:rsidRPr="00653EF4" w:rsidRDefault="00397E5F" w:rsidP="0053652E">
            <w:pPr>
              <w:spacing w:after="120" w:line="240" w:lineRule="auto"/>
              <w:rPr>
                <w:rFonts w:ascii="Calibri" w:hAnsi="Calibri"/>
              </w:rPr>
            </w:pPr>
          </w:p>
        </w:tc>
        <w:tc>
          <w:tcPr>
            <w:tcW w:w="1418" w:type="dxa"/>
            <w:shd w:val="clear" w:color="auto" w:fill="auto"/>
          </w:tcPr>
          <w:p w14:paraId="3BCC827E" w14:textId="5AD35AE8" w:rsidR="00397E5F" w:rsidRPr="00653EF4" w:rsidRDefault="00397E5F" w:rsidP="0053652E">
            <w:pPr>
              <w:spacing w:after="120" w:line="240" w:lineRule="auto"/>
              <w:rPr>
                <w:rFonts w:ascii="Calibri" w:hAnsi="Calibri"/>
              </w:rPr>
            </w:pPr>
          </w:p>
        </w:tc>
      </w:tr>
      <w:tr w:rsidR="00397E5F" w:rsidRPr="00FF5AE8" w14:paraId="10D523D3" w14:textId="77777777" w:rsidTr="00280417">
        <w:tc>
          <w:tcPr>
            <w:tcW w:w="2977" w:type="dxa"/>
            <w:shd w:val="clear" w:color="auto" w:fill="FFFFFF"/>
          </w:tcPr>
          <w:p w14:paraId="182A6305" w14:textId="77777777" w:rsidR="00397E5F" w:rsidRPr="00653EF4" w:rsidRDefault="00397E5F" w:rsidP="0053652E">
            <w:pPr>
              <w:spacing w:after="120" w:line="240" w:lineRule="auto"/>
              <w:rPr>
                <w:rFonts w:ascii="Calibri" w:hAnsi="Calibri"/>
              </w:rPr>
            </w:pPr>
          </w:p>
        </w:tc>
        <w:tc>
          <w:tcPr>
            <w:tcW w:w="2410" w:type="dxa"/>
            <w:shd w:val="clear" w:color="auto" w:fill="auto"/>
          </w:tcPr>
          <w:p w14:paraId="2D258604" w14:textId="77777777" w:rsidR="00397E5F" w:rsidRPr="00653EF4" w:rsidRDefault="00397E5F" w:rsidP="0053652E">
            <w:pPr>
              <w:spacing w:after="120" w:line="240" w:lineRule="auto"/>
              <w:rPr>
                <w:rFonts w:ascii="Calibri" w:hAnsi="Calibri"/>
              </w:rPr>
            </w:pPr>
          </w:p>
        </w:tc>
        <w:tc>
          <w:tcPr>
            <w:tcW w:w="2552" w:type="dxa"/>
            <w:shd w:val="clear" w:color="auto" w:fill="auto"/>
          </w:tcPr>
          <w:p w14:paraId="13932112" w14:textId="77777777" w:rsidR="00397E5F" w:rsidRPr="00653EF4" w:rsidRDefault="00397E5F" w:rsidP="0053652E">
            <w:pPr>
              <w:spacing w:after="120" w:line="240" w:lineRule="auto"/>
              <w:rPr>
                <w:rFonts w:ascii="Calibri" w:hAnsi="Calibri"/>
              </w:rPr>
            </w:pPr>
          </w:p>
        </w:tc>
        <w:tc>
          <w:tcPr>
            <w:tcW w:w="2126" w:type="dxa"/>
            <w:shd w:val="clear" w:color="auto" w:fill="auto"/>
          </w:tcPr>
          <w:p w14:paraId="0E686C4F" w14:textId="77777777" w:rsidR="00397E5F" w:rsidRPr="00653EF4" w:rsidRDefault="00397E5F" w:rsidP="0053652E">
            <w:pPr>
              <w:spacing w:after="120" w:line="240" w:lineRule="auto"/>
              <w:rPr>
                <w:rFonts w:ascii="Calibri" w:hAnsi="Calibri"/>
              </w:rPr>
            </w:pPr>
          </w:p>
        </w:tc>
        <w:tc>
          <w:tcPr>
            <w:tcW w:w="2693" w:type="dxa"/>
            <w:shd w:val="clear" w:color="auto" w:fill="auto"/>
          </w:tcPr>
          <w:p w14:paraId="570FD216" w14:textId="77777777" w:rsidR="00397E5F" w:rsidRPr="00653EF4" w:rsidRDefault="00397E5F" w:rsidP="0053652E">
            <w:pPr>
              <w:spacing w:after="120" w:line="240" w:lineRule="auto"/>
              <w:rPr>
                <w:rFonts w:ascii="Calibri" w:hAnsi="Calibri"/>
              </w:rPr>
            </w:pPr>
          </w:p>
        </w:tc>
        <w:tc>
          <w:tcPr>
            <w:tcW w:w="1418" w:type="dxa"/>
            <w:shd w:val="clear" w:color="auto" w:fill="auto"/>
          </w:tcPr>
          <w:p w14:paraId="14FB8976" w14:textId="77777777" w:rsidR="00397E5F" w:rsidRPr="00653EF4" w:rsidRDefault="00397E5F" w:rsidP="0053652E">
            <w:pPr>
              <w:spacing w:after="120" w:line="240" w:lineRule="auto"/>
              <w:rPr>
                <w:rFonts w:ascii="Calibri" w:hAnsi="Calibri"/>
              </w:rPr>
            </w:pPr>
          </w:p>
        </w:tc>
      </w:tr>
      <w:tr w:rsidR="00397E5F" w:rsidRPr="00FF5AE8" w14:paraId="7EAFD03C" w14:textId="77777777" w:rsidTr="00280417">
        <w:tc>
          <w:tcPr>
            <w:tcW w:w="2977" w:type="dxa"/>
            <w:shd w:val="clear" w:color="auto" w:fill="FFFFFF"/>
          </w:tcPr>
          <w:p w14:paraId="5BCC12B8" w14:textId="77777777" w:rsidR="00397E5F" w:rsidRPr="00653EF4" w:rsidRDefault="00397E5F" w:rsidP="0053652E">
            <w:pPr>
              <w:spacing w:after="120" w:line="240" w:lineRule="auto"/>
              <w:jc w:val="center"/>
              <w:rPr>
                <w:rFonts w:ascii="Calibri" w:hAnsi="Calibri"/>
                <w:color w:val="215868"/>
              </w:rPr>
            </w:pPr>
          </w:p>
        </w:tc>
        <w:tc>
          <w:tcPr>
            <w:tcW w:w="2410" w:type="dxa"/>
            <w:shd w:val="clear" w:color="auto" w:fill="auto"/>
          </w:tcPr>
          <w:p w14:paraId="3EF6F81B" w14:textId="77777777" w:rsidR="00397E5F" w:rsidRPr="00653EF4" w:rsidRDefault="00397E5F" w:rsidP="0053652E">
            <w:pPr>
              <w:spacing w:after="120" w:line="240" w:lineRule="auto"/>
              <w:rPr>
                <w:rFonts w:ascii="Calibri" w:hAnsi="Calibri"/>
              </w:rPr>
            </w:pPr>
          </w:p>
        </w:tc>
        <w:tc>
          <w:tcPr>
            <w:tcW w:w="2552" w:type="dxa"/>
            <w:shd w:val="clear" w:color="auto" w:fill="auto"/>
          </w:tcPr>
          <w:p w14:paraId="239906CA" w14:textId="77777777" w:rsidR="00397E5F" w:rsidRPr="00653EF4" w:rsidRDefault="00397E5F" w:rsidP="0053652E">
            <w:pPr>
              <w:spacing w:after="120" w:line="240" w:lineRule="auto"/>
              <w:rPr>
                <w:rFonts w:ascii="Calibri" w:hAnsi="Calibri"/>
              </w:rPr>
            </w:pPr>
          </w:p>
        </w:tc>
        <w:tc>
          <w:tcPr>
            <w:tcW w:w="2126" w:type="dxa"/>
            <w:shd w:val="clear" w:color="auto" w:fill="auto"/>
          </w:tcPr>
          <w:p w14:paraId="40A64B33" w14:textId="77777777" w:rsidR="00397E5F" w:rsidRPr="00653EF4" w:rsidRDefault="00397E5F" w:rsidP="0053652E">
            <w:pPr>
              <w:spacing w:after="120" w:line="240" w:lineRule="auto"/>
              <w:rPr>
                <w:rFonts w:ascii="Calibri" w:hAnsi="Calibri"/>
              </w:rPr>
            </w:pPr>
          </w:p>
        </w:tc>
        <w:tc>
          <w:tcPr>
            <w:tcW w:w="2693" w:type="dxa"/>
            <w:shd w:val="clear" w:color="auto" w:fill="auto"/>
          </w:tcPr>
          <w:p w14:paraId="469FB8DF" w14:textId="77777777" w:rsidR="00397E5F" w:rsidRPr="00653EF4" w:rsidRDefault="00397E5F" w:rsidP="0053652E">
            <w:pPr>
              <w:spacing w:after="120" w:line="240" w:lineRule="auto"/>
              <w:rPr>
                <w:rFonts w:ascii="Calibri" w:hAnsi="Calibri"/>
              </w:rPr>
            </w:pPr>
          </w:p>
        </w:tc>
        <w:tc>
          <w:tcPr>
            <w:tcW w:w="1418" w:type="dxa"/>
            <w:shd w:val="clear" w:color="auto" w:fill="auto"/>
          </w:tcPr>
          <w:p w14:paraId="78841894" w14:textId="77777777" w:rsidR="00397E5F" w:rsidRPr="00653EF4" w:rsidRDefault="00397E5F" w:rsidP="0053652E">
            <w:pPr>
              <w:spacing w:after="120" w:line="240" w:lineRule="auto"/>
              <w:rPr>
                <w:rFonts w:ascii="Calibri" w:hAnsi="Calibri"/>
              </w:rPr>
            </w:pPr>
          </w:p>
        </w:tc>
      </w:tr>
      <w:tr w:rsidR="00397E5F" w:rsidRPr="00FF5AE8" w14:paraId="760EB21C" w14:textId="77777777" w:rsidTr="00280417">
        <w:tc>
          <w:tcPr>
            <w:tcW w:w="2977" w:type="dxa"/>
            <w:shd w:val="clear" w:color="auto" w:fill="FFFFFF"/>
          </w:tcPr>
          <w:p w14:paraId="39D49259" w14:textId="77777777" w:rsidR="00397E5F" w:rsidRPr="00653EF4" w:rsidRDefault="00397E5F" w:rsidP="0053652E">
            <w:pPr>
              <w:spacing w:after="120" w:line="240" w:lineRule="auto"/>
              <w:jc w:val="center"/>
              <w:rPr>
                <w:rFonts w:ascii="Calibri" w:hAnsi="Calibri"/>
                <w:color w:val="215868"/>
              </w:rPr>
            </w:pPr>
          </w:p>
        </w:tc>
        <w:tc>
          <w:tcPr>
            <w:tcW w:w="2410" w:type="dxa"/>
            <w:shd w:val="clear" w:color="auto" w:fill="auto"/>
          </w:tcPr>
          <w:p w14:paraId="2AFF203F" w14:textId="77777777" w:rsidR="00397E5F" w:rsidRPr="00653EF4" w:rsidRDefault="00397E5F" w:rsidP="0053652E">
            <w:pPr>
              <w:spacing w:after="120" w:line="240" w:lineRule="auto"/>
              <w:rPr>
                <w:rFonts w:ascii="Calibri" w:hAnsi="Calibri"/>
              </w:rPr>
            </w:pPr>
          </w:p>
        </w:tc>
        <w:tc>
          <w:tcPr>
            <w:tcW w:w="2552" w:type="dxa"/>
            <w:shd w:val="clear" w:color="auto" w:fill="auto"/>
          </w:tcPr>
          <w:p w14:paraId="1884E868" w14:textId="77777777" w:rsidR="00397E5F" w:rsidRPr="00653EF4" w:rsidRDefault="00397E5F" w:rsidP="0053652E">
            <w:pPr>
              <w:spacing w:after="120" w:line="240" w:lineRule="auto"/>
              <w:rPr>
                <w:rFonts w:ascii="Calibri" w:hAnsi="Calibri"/>
              </w:rPr>
            </w:pPr>
          </w:p>
        </w:tc>
        <w:tc>
          <w:tcPr>
            <w:tcW w:w="2126" w:type="dxa"/>
            <w:shd w:val="clear" w:color="auto" w:fill="auto"/>
          </w:tcPr>
          <w:p w14:paraId="3DD49740" w14:textId="77777777" w:rsidR="00397E5F" w:rsidRPr="00653EF4" w:rsidRDefault="00397E5F" w:rsidP="0053652E">
            <w:pPr>
              <w:spacing w:after="120" w:line="240" w:lineRule="auto"/>
              <w:rPr>
                <w:rFonts w:ascii="Calibri" w:hAnsi="Calibri"/>
              </w:rPr>
            </w:pPr>
          </w:p>
        </w:tc>
        <w:tc>
          <w:tcPr>
            <w:tcW w:w="2693" w:type="dxa"/>
            <w:shd w:val="clear" w:color="auto" w:fill="auto"/>
          </w:tcPr>
          <w:p w14:paraId="1FBB584E" w14:textId="77777777" w:rsidR="00397E5F" w:rsidRPr="00653EF4" w:rsidRDefault="00397E5F" w:rsidP="0053652E">
            <w:pPr>
              <w:spacing w:after="120" w:line="240" w:lineRule="auto"/>
              <w:rPr>
                <w:rFonts w:ascii="Calibri" w:hAnsi="Calibri"/>
              </w:rPr>
            </w:pPr>
          </w:p>
        </w:tc>
        <w:tc>
          <w:tcPr>
            <w:tcW w:w="1418" w:type="dxa"/>
            <w:shd w:val="clear" w:color="auto" w:fill="auto"/>
          </w:tcPr>
          <w:p w14:paraId="71376AF2" w14:textId="77777777" w:rsidR="00397E5F" w:rsidRPr="00653EF4" w:rsidRDefault="00397E5F" w:rsidP="0053652E">
            <w:pPr>
              <w:spacing w:after="120" w:line="240" w:lineRule="auto"/>
              <w:rPr>
                <w:rFonts w:ascii="Calibri" w:hAnsi="Calibri"/>
              </w:rPr>
            </w:pPr>
          </w:p>
        </w:tc>
      </w:tr>
      <w:tr w:rsidR="00397E5F" w:rsidRPr="00FF5AE8" w14:paraId="52A3CFB2" w14:textId="77777777" w:rsidTr="00280417">
        <w:tc>
          <w:tcPr>
            <w:tcW w:w="14176" w:type="dxa"/>
            <w:gridSpan w:val="6"/>
            <w:shd w:val="clear" w:color="auto" w:fill="DAEEF3"/>
          </w:tcPr>
          <w:p w14:paraId="2CD3C11A"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1.3 – Strengthen communication and education initiatives for health professionals and team members</w:t>
            </w:r>
          </w:p>
        </w:tc>
      </w:tr>
      <w:tr w:rsidR="00397E5F" w:rsidRPr="00FF5AE8" w14:paraId="4C3322AE" w14:textId="77777777" w:rsidTr="00280417">
        <w:tc>
          <w:tcPr>
            <w:tcW w:w="2977" w:type="dxa"/>
            <w:shd w:val="clear" w:color="auto" w:fill="FFFFFF"/>
          </w:tcPr>
          <w:p w14:paraId="7163C3E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1B5FE990" w14:textId="77777777" w:rsidR="00397E5F" w:rsidRPr="00653EF4" w:rsidRDefault="00397E5F" w:rsidP="0053652E">
            <w:pPr>
              <w:spacing w:after="120" w:line="240" w:lineRule="auto"/>
              <w:rPr>
                <w:rFonts w:ascii="Calibri" w:hAnsi="Calibri"/>
              </w:rPr>
            </w:pPr>
          </w:p>
        </w:tc>
        <w:tc>
          <w:tcPr>
            <w:tcW w:w="2552" w:type="dxa"/>
            <w:shd w:val="clear" w:color="auto" w:fill="auto"/>
          </w:tcPr>
          <w:p w14:paraId="498FEF09"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31D20F2D" w14:textId="77777777" w:rsidR="00397E5F" w:rsidRPr="00653EF4" w:rsidRDefault="00397E5F" w:rsidP="0053652E">
            <w:pPr>
              <w:spacing w:after="120" w:line="240" w:lineRule="auto"/>
              <w:rPr>
                <w:rFonts w:ascii="Calibri" w:hAnsi="Calibri"/>
              </w:rPr>
            </w:pPr>
          </w:p>
        </w:tc>
        <w:tc>
          <w:tcPr>
            <w:tcW w:w="2693" w:type="dxa"/>
            <w:shd w:val="clear" w:color="auto" w:fill="auto"/>
          </w:tcPr>
          <w:p w14:paraId="629D0232"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3C6A11A1" w14:textId="77777777" w:rsidR="00397E5F" w:rsidRPr="00653EF4" w:rsidRDefault="00397E5F" w:rsidP="0053652E">
            <w:pPr>
              <w:spacing w:after="120" w:line="240" w:lineRule="auto"/>
              <w:rPr>
                <w:rFonts w:ascii="Calibri" w:hAnsi="Calibri"/>
                <w:highlight w:val="yellow"/>
              </w:rPr>
            </w:pPr>
          </w:p>
        </w:tc>
      </w:tr>
      <w:tr w:rsidR="00397E5F" w:rsidRPr="00FF5AE8" w14:paraId="53797223" w14:textId="77777777" w:rsidTr="00280417">
        <w:tc>
          <w:tcPr>
            <w:tcW w:w="2977" w:type="dxa"/>
            <w:shd w:val="clear" w:color="auto" w:fill="FFFFFF"/>
          </w:tcPr>
          <w:p w14:paraId="60C65B34"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4A5CC9B" w14:textId="77777777" w:rsidR="00397E5F" w:rsidRPr="00653EF4" w:rsidRDefault="00397E5F" w:rsidP="0053652E">
            <w:pPr>
              <w:spacing w:after="120" w:line="240" w:lineRule="auto"/>
              <w:rPr>
                <w:rFonts w:ascii="Calibri" w:hAnsi="Calibri"/>
              </w:rPr>
            </w:pPr>
          </w:p>
        </w:tc>
        <w:tc>
          <w:tcPr>
            <w:tcW w:w="2552" w:type="dxa"/>
            <w:shd w:val="clear" w:color="auto" w:fill="auto"/>
          </w:tcPr>
          <w:p w14:paraId="57A733AB" w14:textId="77777777" w:rsidR="00397E5F" w:rsidRPr="00653EF4" w:rsidRDefault="00397E5F" w:rsidP="0053652E">
            <w:pPr>
              <w:spacing w:after="120" w:line="240" w:lineRule="auto"/>
              <w:rPr>
                <w:rFonts w:ascii="Calibri" w:hAnsi="Calibri"/>
              </w:rPr>
            </w:pPr>
          </w:p>
        </w:tc>
        <w:tc>
          <w:tcPr>
            <w:tcW w:w="2126" w:type="dxa"/>
            <w:shd w:val="clear" w:color="auto" w:fill="auto"/>
          </w:tcPr>
          <w:p w14:paraId="44760D66" w14:textId="77777777" w:rsidR="00397E5F" w:rsidRPr="00653EF4" w:rsidRDefault="00397E5F" w:rsidP="0053652E">
            <w:pPr>
              <w:spacing w:after="120" w:line="240" w:lineRule="auto"/>
              <w:rPr>
                <w:rFonts w:ascii="Calibri" w:hAnsi="Calibri"/>
              </w:rPr>
            </w:pPr>
          </w:p>
        </w:tc>
        <w:tc>
          <w:tcPr>
            <w:tcW w:w="2693" w:type="dxa"/>
            <w:shd w:val="clear" w:color="auto" w:fill="auto"/>
          </w:tcPr>
          <w:p w14:paraId="7FECD991" w14:textId="77777777" w:rsidR="00397E5F" w:rsidRPr="00653EF4" w:rsidRDefault="00397E5F" w:rsidP="0053652E">
            <w:pPr>
              <w:spacing w:after="120" w:line="240" w:lineRule="auto"/>
              <w:rPr>
                <w:rFonts w:ascii="Calibri" w:hAnsi="Calibri"/>
              </w:rPr>
            </w:pPr>
          </w:p>
        </w:tc>
        <w:tc>
          <w:tcPr>
            <w:tcW w:w="1418" w:type="dxa"/>
            <w:shd w:val="clear" w:color="auto" w:fill="auto"/>
          </w:tcPr>
          <w:p w14:paraId="3C6395DF" w14:textId="77777777" w:rsidR="00397E5F" w:rsidRPr="00653EF4" w:rsidRDefault="00397E5F" w:rsidP="0053652E">
            <w:pPr>
              <w:spacing w:after="120" w:line="240" w:lineRule="auto"/>
              <w:rPr>
                <w:rFonts w:ascii="Calibri" w:hAnsi="Calibri"/>
              </w:rPr>
            </w:pPr>
          </w:p>
        </w:tc>
      </w:tr>
      <w:tr w:rsidR="00397E5F" w:rsidRPr="00FF5AE8" w14:paraId="1D024CEB" w14:textId="77777777" w:rsidTr="00280417">
        <w:tc>
          <w:tcPr>
            <w:tcW w:w="2977" w:type="dxa"/>
            <w:shd w:val="clear" w:color="auto" w:fill="FFFFFF"/>
          </w:tcPr>
          <w:p w14:paraId="751C98A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65194D1B" w14:textId="77777777" w:rsidR="00397E5F" w:rsidRPr="00653EF4" w:rsidRDefault="00397E5F" w:rsidP="0053652E">
            <w:pPr>
              <w:spacing w:after="120" w:line="240" w:lineRule="auto"/>
              <w:rPr>
                <w:rFonts w:ascii="Calibri" w:hAnsi="Calibri"/>
              </w:rPr>
            </w:pPr>
          </w:p>
        </w:tc>
        <w:tc>
          <w:tcPr>
            <w:tcW w:w="2552" w:type="dxa"/>
            <w:shd w:val="clear" w:color="auto" w:fill="auto"/>
          </w:tcPr>
          <w:p w14:paraId="16AFEA30"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75B8040F" w14:textId="77777777" w:rsidR="00397E5F" w:rsidRPr="00653EF4" w:rsidRDefault="00397E5F" w:rsidP="0053652E">
            <w:pPr>
              <w:spacing w:after="120" w:line="240" w:lineRule="auto"/>
              <w:rPr>
                <w:rFonts w:ascii="Calibri" w:hAnsi="Calibri"/>
              </w:rPr>
            </w:pPr>
          </w:p>
        </w:tc>
        <w:tc>
          <w:tcPr>
            <w:tcW w:w="2693" w:type="dxa"/>
            <w:shd w:val="clear" w:color="auto" w:fill="auto"/>
          </w:tcPr>
          <w:p w14:paraId="2F809E60"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74488424" w14:textId="77777777" w:rsidR="00397E5F" w:rsidRPr="00653EF4" w:rsidRDefault="00397E5F" w:rsidP="0053652E">
            <w:pPr>
              <w:spacing w:after="120" w:line="240" w:lineRule="auto"/>
              <w:rPr>
                <w:rFonts w:ascii="Calibri" w:hAnsi="Calibri"/>
                <w:highlight w:val="yellow"/>
              </w:rPr>
            </w:pPr>
          </w:p>
        </w:tc>
      </w:tr>
      <w:tr w:rsidR="00397E5F" w:rsidRPr="00FF5AE8" w14:paraId="1F8C46D5" w14:textId="77777777" w:rsidTr="00280417">
        <w:tc>
          <w:tcPr>
            <w:tcW w:w="2977" w:type="dxa"/>
            <w:shd w:val="clear" w:color="auto" w:fill="FFFFFF"/>
          </w:tcPr>
          <w:p w14:paraId="7C4DA650"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49F24E30" w14:textId="77777777" w:rsidR="00397E5F" w:rsidRPr="00653EF4" w:rsidRDefault="00397E5F" w:rsidP="0053652E">
            <w:pPr>
              <w:spacing w:after="120" w:line="240" w:lineRule="auto"/>
              <w:rPr>
                <w:rFonts w:ascii="Calibri" w:hAnsi="Calibri"/>
              </w:rPr>
            </w:pPr>
          </w:p>
        </w:tc>
        <w:tc>
          <w:tcPr>
            <w:tcW w:w="2552" w:type="dxa"/>
            <w:shd w:val="clear" w:color="auto" w:fill="auto"/>
          </w:tcPr>
          <w:p w14:paraId="6FAE5C7B" w14:textId="77777777" w:rsidR="00397E5F" w:rsidRPr="00653EF4" w:rsidRDefault="00397E5F" w:rsidP="0053652E">
            <w:pPr>
              <w:spacing w:after="120" w:line="240" w:lineRule="auto"/>
              <w:rPr>
                <w:rFonts w:ascii="Calibri" w:hAnsi="Calibri"/>
              </w:rPr>
            </w:pPr>
          </w:p>
        </w:tc>
        <w:tc>
          <w:tcPr>
            <w:tcW w:w="2126" w:type="dxa"/>
            <w:shd w:val="clear" w:color="auto" w:fill="auto"/>
          </w:tcPr>
          <w:p w14:paraId="0F1EBABF" w14:textId="77777777" w:rsidR="00397E5F" w:rsidRPr="00653EF4" w:rsidRDefault="00397E5F" w:rsidP="0053652E">
            <w:pPr>
              <w:spacing w:after="120" w:line="240" w:lineRule="auto"/>
              <w:rPr>
                <w:rFonts w:ascii="Calibri" w:hAnsi="Calibri"/>
              </w:rPr>
            </w:pPr>
          </w:p>
        </w:tc>
        <w:tc>
          <w:tcPr>
            <w:tcW w:w="2693" w:type="dxa"/>
            <w:shd w:val="clear" w:color="auto" w:fill="auto"/>
          </w:tcPr>
          <w:p w14:paraId="28EEDFC5" w14:textId="77777777" w:rsidR="00397E5F" w:rsidRPr="00653EF4" w:rsidRDefault="00397E5F" w:rsidP="0053652E">
            <w:pPr>
              <w:spacing w:after="120" w:line="240" w:lineRule="auto"/>
              <w:rPr>
                <w:rFonts w:ascii="Calibri" w:hAnsi="Calibri"/>
              </w:rPr>
            </w:pPr>
          </w:p>
        </w:tc>
        <w:tc>
          <w:tcPr>
            <w:tcW w:w="1418" w:type="dxa"/>
            <w:shd w:val="clear" w:color="auto" w:fill="auto"/>
          </w:tcPr>
          <w:p w14:paraId="6F0B4CC0" w14:textId="77777777" w:rsidR="00397E5F" w:rsidRPr="00653EF4" w:rsidRDefault="00397E5F" w:rsidP="0053652E">
            <w:pPr>
              <w:spacing w:after="120" w:line="240" w:lineRule="auto"/>
              <w:rPr>
                <w:rFonts w:ascii="Calibri" w:hAnsi="Calibri"/>
              </w:rPr>
            </w:pPr>
          </w:p>
        </w:tc>
      </w:tr>
      <w:tr w:rsidR="00397E5F" w:rsidRPr="00FF5AE8" w14:paraId="28DBBCE8" w14:textId="77777777" w:rsidTr="00280417">
        <w:tc>
          <w:tcPr>
            <w:tcW w:w="14176" w:type="dxa"/>
            <w:gridSpan w:val="6"/>
            <w:shd w:val="clear" w:color="auto" w:fill="DAEEF3"/>
          </w:tcPr>
          <w:p w14:paraId="63860E34"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1.4 – Develop a stakeholder engagement and communication plan to support whole-of-society awareness of, and participation in, implementation of the Strategy</w:t>
            </w:r>
          </w:p>
        </w:tc>
      </w:tr>
      <w:tr w:rsidR="00397E5F" w:rsidRPr="00FF5AE8" w14:paraId="53DCCA84" w14:textId="77777777" w:rsidTr="00280417">
        <w:tc>
          <w:tcPr>
            <w:tcW w:w="2977" w:type="dxa"/>
            <w:shd w:val="clear" w:color="auto" w:fill="FFFFFF"/>
          </w:tcPr>
          <w:p w14:paraId="10EAC5DC"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19B53788" w14:textId="77777777" w:rsidR="00397E5F" w:rsidRPr="00653EF4" w:rsidRDefault="00397E5F" w:rsidP="0053652E">
            <w:pPr>
              <w:spacing w:after="120" w:line="240" w:lineRule="auto"/>
              <w:rPr>
                <w:rFonts w:ascii="Calibri" w:hAnsi="Calibri"/>
              </w:rPr>
            </w:pPr>
          </w:p>
        </w:tc>
        <w:tc>
          <w:tcPr>
            <w:tcW w:w="2552" w:type="dxa"/>
            <w:shd w:val="clear" w:color="auto" w:fill="auto"/>
          </w:tcPr>
          <w:p w14:paraId="58200F22" w14:textId="77777777" w:rsidR="00397E5F" w:rsidRPr="00653EF4" w:rsidRDefault="00397E5F" w:rsidP="0053652E">
            <w:pPr>
              <w:spacing w:after="120" w:line="240" w:lineRule="auto"/>
              <w:rPr>
                <w:rFonts w:ascii="Calibri" w:hAnsi="Calibri"/>
              </w:rPr>
            </w:pPr>
          </w:p>
        </w:tc>
        <w:tc>
          <w:tcPr>
            <w:tcW w:w="2126" w:type="dxa"/>
            <w:shd w:val="clear" w:color="auto" w:fill="auto"/>
          </w:tcPr>
          <w:p w14:paraId="60F16411" w14:textId="77777777" w:rsidR="00397E5F" w:rsidRPr="00653EF4" w:rsidRDefault="00397E5F" w:rsidP="0053652E">
            <w:pPr>
              <w:spacing w:after="120" w:line="240" w:lineRule="auto"/>
              <w:rPr>
                <w:rFonts w:ascii="Calibri" w:hAnsi="Calibri"/>
              </w:rPr>
            </w:pPr>
          </w:p>
        </w:tc>
        <w:tc>
          <w:tcPr>
            <w:tcW w:w="2693" w:type="dxa"/>
            <w:shd w:val="clear" w:color="auto" w:fill="auto"/>
          </w:tcPr>
          <w:p w14:paraId="2798BC6A" w14:textId="77777777" w:rsidR="00397E5F" w:rsidRPr="00653EF4" w:rsidRDefault="00397E5F" w:rsidP="0053652E">
            <w:pPr>
              <w:spacing w:after="120" w:line="240" w:lineRule="auto"/>
              <w:rPr>
                <w:rFonts w:ascii="Calibri" w:hAnsi="Calibri"/>
              </w:rPr>
            </w:pPr>
          </w:p>
        </w:tc>
        <w:tc>
          <w:tcPr>
            <w:tcW w:w="1418" w:type="dxa"/>
            <w:shd w:val="clear" w:color="auto" w:fill="auto"/>
          </w:tcPr>
          <w:p w14:paraId="2980F8FD" w14:textId="77777777" w:rsidR="00397E5F" w:rsidRPr="00653EF4" w:rsidRDefault="00397E5F" w:rsidP="0053652E">
            <w:pPr>
              <w:spacing w:after="120" w:line="240" w:lineRule="auto"/>
              <w:rPr>
                <w:rFonts w:ascii="Calibri" w:hAnsi="Calibri"/>
              </w:rPr>
            </w:pPr>
          </w:p>
        </w:tc>
      </w:tr>
      <w:tr w:rsidR="00397E5F" w:rsidRPr="00FF5AE8" w14:paraId="12C917D8" w14:textId="77777777" w:rsidTr="00280417">
        <w:tc>
          <w:tcPr>
            <w:tcW w:w="2977" w:type="dxa"/>
            <w:shd w:val="clear" w:color="auto" w:fill="FFFFFF"/>
          </w:tcPr>
          <w:p w14:paraId="5852042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5D76B3C5" w14:textId="77777777" w:rsidR="00397E5F" w:rsidRPr="00653EF4" w:rsidRDefault="00397E5F" w:rsidP="0053652E">
            <w:pPr>
              <w:spacing w:after="120" w:line="240" w:lineRule="auto"/>
              <w:rPr>
                <w:rFonts w:ascii="Calibri" w:hAnsi="Calibri"/>
              </w:rPr>
            </w:pPr>
          </w:p>
        </w:tc>
        <w:tc>
          <w:tcPr>
            <w:tcW w:w="2552" w:type="dxa"/>
            <w:shd w:val="clear" w:color="auto" w:fill="auto"/>
          </w:tcPr>
          <w:p w14:paraId="2DDB77B7" w14:textId="77777777" w:rsidR="00397E5F" w:rsidRPr="00653EF4" w:rsidRDefault="00397E5F" w:rsidP="0053652E">
            <w:pPr>
              <w:spacing w:after="120" w:line="240" w:lineRule="auto"/>
              <w:rPr>
                <w:rFonts w:ascii="Calibri" w:hAnsi="Calibri"/>
              </w:rPr>
            </w:pPr>
          </w:p>
        </w:tc>
        <w:tc>
          <w:tcPr>
            <w:tcW w:w="2126" w:type="dxa"/>
            <w:shd w:val="clear" w:color="auto" w:fill="auto"/>
          </w:tcPr>
          <w:p w14:paraId="578C7794" w14:textId="77777777" w:rsidR="00397E5F" w:rsidRPr="00653EF4" w:rsidRDefault="00397E5F" w:rsidP="0053652E">
            <w:pPr>
              <w:spacing w:after="120" w:line="240" w:lineRule="auto"/>
              <w:rPr>
                <w:rFonts w:ascii="Calibri" w:hAnsi="Calibri"/>
              </w:rPr>
            </w:pPr>
          </w:p>
        </w:tc>
        <w:tc>
          <w:tcPr>
            <w:tcW w:w="2693" w:type="dxa"/>
            <w:shd w:val="clear" w:color="auto" w:fill="auto"/>
          </w:tcPr>
          <w:p w14:paraId="42D44946" w14:textId="77777777" w:rsidR="00397E5F" w:rsidRPr="00653EF4" w:rsidRDefault="00397E5F" w:rsidP="0053652E">
            <w:pPr>
              <w:spacing w:after="120" w:line="240" w:lineRule="auto"/>
              <w:rPr>
                <w:rFonts w:ascii="Calibri" w:hAnsi="Calibri"/>
              </w:rPr>
            </w:pPr>
          </w:p>
        </w:tc>
        <w:tc>
          <w:tcPr>
            <w:tcW w:w="1418" w:type="dxa"/>
            <w:shd w:val="clear" w:color="auto" w:fill="auto"/>
          </w:tcPr>
          <w:p w14:paraId="650BDA78" w14:textId="77777777" w:rsidR="00397E5F" w:rsidRPr="00653EF4" w:rsidRDefault="00397E5F" w:rsidP="0053652E">
            <w:pPr>
              <w:spacing w:after="120" w:line="240" w:lineRule="auto"/>
              <w:rPr>
                <w:rFonts w:ascii="Calibri" w:hAnsi="Calibri"/>
              </w:rPr>
            </w:pPr>
          </w:p>
        </w:tc>
      </w:tr>
      <w:tr w:rsidR="00397E5F" w:rsidRPr="00FF5AE8" w14:paraId="22A1F8AC" w14:textId="77777777" w:rsidTr="00280417">
        <w:tc>
          <w:tcPr>
            <w:tcW w:w="2977" w:type="dxa"/>
            <w:shd w:val="clear" w:color="auto" w:fill="FFFFFF"/>
          </w:tcPr>
          <w:p w14:paraId="47A482AC"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D35EC16" w14:textId="77777777" w:rsidR="00397E5F" w:rsidRPr="00653EF4" w:rsidRDefault="00397E5F" w:rsidP="0053652E">
            <w:pPr>
              <w:spacing w:after="120" w:line="240" w:lineRule="auto"/>
              <w:rPr>
                <w:rFonts w:ascii="Calibri" w:hAnsi="Calibri"/>
              </w:rPr>
            </w:pPr>
          </w:p>
        </w:tc>
        <w:tc>
          <w:tcPr>
            <w:tcW w:w="2552" w:type="dxa"/>
            <w:shd w:val="clear" w:color="auto" w:fill="auto"/>
          </w:tcPr>
          <w:p w14:paraId="68AEB52C" w14:textId="77777777" w:rsidR="00397E5F" w:rsidRPr="00653EF4" w:rsidRDefault="00397E5F" w:rsidP="0053652E">
            <w:pPr>
              <w:spacing w:after="120" w:line="240" w:lineRule="auto"/>
              <w:rPr>
                <w:rFonts w:ascii="Calibri" w:hAnsi="Calibri"/>
              </w:rPr>
            </w:pPr>
          </w:p>
        </w:tc>
        <w:tc>
          <w:tcPr>
            <w:tcW w:w="2126" w:type="dxa"/>
            <w:shd w:val="clear" w:color="auto" w:fill="auto"/>
          </w:tcPr>
          <w:p w14:paraId="11694722" w14:textId="77777777" w:rsidR="00397E5F" w:rsidRPr="00653EF4" w:rsidRDefault="00397E5F" w:rsidP="0053652E">
            <w:pPr>
              <w:spacing w:after="120" w:line="240" w:lineRule="auto"/>
              <w:rPr>
                <w:rFonts w:ascii="Calibri" w:hAnsi="Calibri"/>
              </w:rPr>
            </w:pPr>
          </w:p>
        </w:tc>
        <w:tc>
          <w:tcPr>
            <w:tcW w:w="2693" w:type="dxa"/>
            <w:shd w:val="clear" w:color="auto" w:fill="auto"/>
          </w:tcPr>
          <w:p w14:paraId="0EDA9748" w14:textId="77777777" w:rsidR="00397E5F" w:rsidRPr="00653EF4" w:rsidRDefault="00397E5F" w:rsidP="0053652E">
            <w:pPr>
              <w:spacing w:after="120" w:line="240" w:lineRule="auto"/>
              <w:rPr>
                <w:rFonts w:ascii="Calibri" w:hAnsi="Calibri"/>
              </w:rPr>
            </w:pPr>
          </w:p>
        </w:tc>
        <w:tc>
          <w:tcPr>
            <w:tcW w:w="1418" w:type="dxa"/>
            <w:shd w:val="clear" w:color="auto" w:fill="auto"/>
          </w:tcPr>
          <w:p w14:paraId="72EA53E9" w14:textId="77777777" w:rsidR="00397E5F" w:rsidRPr="00653EF4" w:rsidRDefault="00397E5F" w:rsidP="0053652E">
            <w:pPr>
              <w:spacing w:after="120" w:line="240" w:lineRule="auto"/>
              <w:rPr>
                <w:rFonts w:ascii="Calibri" w:hAnsi="Calibri"/>
              </w:rPr>
            </w:pPr>
          </w:p>
        </w:tc>
      </w:tr>
    </w:tbl>
    <w:p w14:paraId="00E4BC0E" w14:textId="01D20C9B" w:rsidR="00292FBF" w:rsidRDefault="00292FBF" w:rsidP="00A94D0A">
      <w:pPr>
        <w:spacing w:after="120" w:line="240" w:lineRule="auto"/>
        <w:rPr>
          <w:rFonts w:ascii="Calibri" w:hAnsi="Calibri"/>
          <w:noProof/>
        </w:rPr>
      </w:pPr>
    </w:p>
    <w:p w14:paraId="723A5266" w14:textId="77777777" w:rsidR="00292FBF" w:rsidRDefault="00292FBF">
      <w:pPr>
        <w:rPr>
          <w:rFonts w:ascii="Calibri" w:hAnsi="Calibri"/>
          <w:noProof/>
        </w:rPr>
      </w:pPr>
      <w:r>
        <w:rPr>
          <w:rFonts w:ascii="Calibri" w:hAnsi="Calibri"/>
          <w:noProof/>
        </w:rPr>
        <w:br w:type="page"/>
      </w:r>
    </w:p>
    <w:p w14:paraId="32A1BCBA" w14:textId="77777777" w:rsidR="00397E5F" w:rsidRPr="003B0A32" w:rsidRDefault="00397E5F" w:rsidP="00A94D0A">
      <w:pPr>
        <w:spacing w:after="120" w:line="240" w:lineRule="auto"/>
        <w:rPr>
          <w:rFonts w:ascii="Calibri" w:hAnsi="Calibri"/>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2: Implement effective antimicrobial stewardship practices across human health and animal care settings to ensure the appropriate and judicious prescribing, dispensing and administering of antimicrobials.&#10;Under the main heading there are six columns with the following headings:&#10;Activity&#10;Responsibility – Lead&#10;Key Partners (include role)&#10;Milestones&#10;Expected Outcome/s&#10;Links with other Strategy Objectives&#10;There are subheadings of five priority action areas.&#10;Priority Action Area 2.1 – Ensure that tailored, evidence-based antibiotic prescribing guidelines are available for all sectors.&#10;Priority Action Area 2.2 – Ensure the availability of evidence-based, best practice and nationally consistent approaches to AMS across human health and animal health sectors.&#10;Priority Action Area 2.3 – Develop tailored, evidence-based resources to support the implementation of AMS programmes.&#10;Priority Action Area 2.4 – Review existing accreditation and quality assurance programmes to ensure they appropriately support and encourage compliance with best practice AMS approaches.&#10;Priority Action Area 2.5 – Strengthen existing measures to better support appropriate and judicious use of antibiotics.&#10;"/>
      </w:tblPr>
      <w:tblGrid>
        <w:gridCol w:w="2977"/>
        <w:gridCol w:w="2410"/>
        <w:gridCol w:w="2552"/>
        <w:gridCol w:w="2126"/>
        <w:gridCol w:w="2693"/>
        <w:gridCol w:w="1418"/>
      </w:tblGrid>
      <w:tr w:rsidR="00397E5F" w:rsidRPr="00644385" w14:paraId="6BA4D427" w14:textId="77777777" w:rsidTr="00280417">
        <w:trPr>
          <w:tblHeader/>
        </w:trPr>
        <w:tc>
          <w:tcPr>
            <w:tcW w:w="14176" w:type="dxa"/>
            <w:gridSpan w:val="6"/>
            <w:tcBorders>
              <w:bottom w:val="single" w:sz="8" w:space="0" w:color="auto"/>
            </w:tcBorders>
            <w:shd w:val="clear" w:color="auto" w:fill="31849B"/>
          </w:tcPr>
          <w:p w14:paraId="1D41429A" w14:textId="77777777" w:rsidR="00397E5F" w:rsidRPr="00CC6927" w:rsidRDefault="00397E5F" w:rsidP="0053652E">
            <w:pPr>
              <w:spacing w:after="120" w:line="240" w:lineRule="auto"/>
              <w:rPr>
                <w:rFonts w:ascii="Calibri" w:hAnsi="Calibri"/>
                <w:color w:val="FFFFFF"/>
                <w:sz w:val="28"/>
                <w:szCs w:val="28"/>
              </w:rPr>
            </w:pPr>
            <w:r>
              <w:rPr>
                <w:rFonts w:ascii="Calibri" w:hAnsi="Calibri"/>
                <w:b/>
                <w:color w:val="FFFFFF"/>
                <w:sz w:val="28"/>
                <w:szCs w:val="28"/>
              </w:rPr>
              <w:t>Objective 2</w:t>
            </w:r>
            <w:r w:rsidRPr="00CC6927">
              <w:rPr>
                <w:rFonts w:ascii="Calibri" w:hAnsi="Calibri"/>
                <w:b/>
                <w:color w:val="FFFFFF"/>
                <w:sz w:val="28"/>
                <w:szCs w:val="28"/>
              </w:rPr>
              <w:t xml:space="preserve">: </w:t>
            </w:r>
            <w:r w:rsidRPr="00CC6927">
              <w:rPr>
                <w:rFonts w:ascii="Calibri" w:hAnsi="Calibri"/>
                <w:color w:val="FFFFFF"/>
                <w:sz w:val="28"/>
                <w:szCs w:val="28"/>
              </w:rPr>
              <w:t>Implement effective antimicrobial stewardship practices across human health and animal care settings to ensure the appropriate and judicious prescribing, dispensing and administering of antimicrobials</w:t>
            </w:r>
          </w:p>
        </w:tc>
      </w:tr>
      <w:tr w:rsidR="00397E5F" w:rsidRPr="00644385" w14:paraId="55733E0A" w14:textId="77777777" w:rsidTr="00280417">
        <w:trPr>
          <w:tblHeader/>
        </w:trPr>
        <w:tc>
          <w:tcPr>
            <w:tcW w:w="2977" w:type="dxa"/>
            <w:tcBorders>
              <w:bottom w:val="single" w:sz="4" w:space="0" w:color="auto"/>
            </w:tcBorders>
            <w:shd w:val="clear" w:color="auto" w:fill="92CDDC"/>
          </w:tcPr>
          <w:p w14:paraId="2D6BBD94" w14:textId="77777777" w:rsidR="00397E5F" w:rsidRPr="00653EF4" w:rsidRDefault="00397E5F" w:rsidP="0053652E">
            <w:pPr>
              <w:spacing w:after="120" w:line="240" w:lineRule="auto"/>
              <w:rPr>
                <w:rFonts w:ascii="Calibri" w:hAnsi="Calibri"/>
                <w:b/>
                <w:color w:val="215868"/>
                <w:vertAlign w:val="superscript"/>
              </w:rPr>
            </w:pPr>
            <w:r w:rsidRPr="00653EF4">
              <w:rPr>
                <w:rFonts w:ascii="Calibri" w:hAnsi="Calibri"/>
                <w:b/>
                <w:color w:val="215868"/>
              </w:rPr>
              <w:t>Activity</w:t>
            </w:r>
          </w:p>
        </w:tc>
        <w:tc>
          <w:tcPr>
            <w:tcW w:w="2410" w:type="dxa"/>
            <w:tcBorders>
              <w:bottom w:val="single" w:sz="4" w:space="0" w:color="auto"/>
            </w:tcBorders>
            <w:shd w:val="clear" w:color="auto" w:fill="92CDDC"/>
          </w:tcPr>
          <w:p w14:paraId="19548F57"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Responsibility – Lead</w:t>
            </w:r>
          </w:p>
        </w:tc>
        <w:tc>
          <w:tcPr>
            <w:tcW w:w="2552" w:type="dxa"/>
            <w:tcBorders>
              <w:bottom w:val="single" w:sz="4" w:space="0" w:color="auto"/>
            </w:tcBorders>
            <w:shd w:val="clear" w:color="auto" w:fill="92CDDC"/>
          </w:tcPr>
          <w:p w14:paraId="5C0BB566"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Key partners (include role)</w:t>
            </w:r>
          </w:p>
        </w:tc>
        <w:tc>
          <w:tcPr>
            <w:tcW w:w="2126" w:type="dxa"/>
            <w:tcBorders>
              <w:bottom w:val="single" w:sz="4" w:space="0" w:color="auto"/>
            </w:tcBorders>
            <w:shd w:val="clear" w:color="auto" w:fill="92CDDC"/>
          </w:tcPr>
          <w:p w14:paraId="483AFE1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Milestones</w:t>
            </w:r>
          </w:p>
        </w:tc>
        <w:tc>
          <w:tcPr>
            <w:tcW w:w="2693" w:type="dxa"/>
            <w:tcBorders>
              <w:bottom w:val="single" w:sz="4" w:space="0" w:color="auto"/>
            </w:tcBorders>
            <w:shd w:val="clear" w:color="auto" w:fill="92CDDC"/>
          </w:tcPr>
          <w:p w14:paraId="1A33AC9A"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Expected Outcome/s</w:t>
            </w:r>
          </w:p>
        </w:tc>
        <w:tc>
          <w:tcPr>
            <w:tcW w:w="1418" w:type="dxa"/>
            <w:tcBorders>
              <w:bottom w:val="single" w:sz="4" w:space="0" w:color="auto"/>
            </w:tcBorders>
            <w:shd w:val="clear" w:color="auto" w:fill="92CDDC"/>
          </w:tcPr>
          <w:p w14:paraId="4B715268"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Links with other Strategy Objectives</w:t>
            </w:r>
          </w:p>
        </w:tc>
      </w:tr>
      <w:tr w:rsidR="00397E5F" w:rsidRPr="00FF5AE8" w14:paraId="01B29544" w14:textId="77777777" w:rsidTr="00280417">
        <w:trPr>
          <w:trHeight w:val="456"/>
        </w:trPr>
        <w:tc>
          <w:tcPr>
            <w:tcW w:w="14176" w:type="dxa"/>
            <w:gridSpan w:val="6"/>
            <w:tcBorders>
              <w:top w:val="single" w:sz="4" w:space="0" w:color="auto"/>
            </w:tcBorders>
            <w:shd w:val="clear" w:color="auto" w:fill="DAEEF3"/>
          </w:tcPr>
          <w:p w14:paraId="411FF2CE"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t>Priority Action Area 2.1 - Ensure that tailored, evidence-based antibiotic prescribing guidelines are available for all sectors</w:t>
            </w:r>
          </w:p>
        </w:tc>
      </w:tr>
      <w:tr w:rsidR="00397E5F" w:rsidRPr="00FF5AE8" w14:paraId="203745A5" w14:textId="77777777" w:rsidTr="00280417">
        <w:tc>
          <w:tcPr>
            <w:tcW w:w="2977" w:type="dxa"/>
            <w:shd w:val="clear" w:color="auto" w:fill="FFFFFF"/>
          </w:tcPr>
          <w:p w14:paraId="3B150FAB" w14:textId="77777777" w:rsidR="00397E5F" w:rsidRPr="00653EF4" w:rsidRDefault="00397E5F" w:rsidP="0053652E">
            <w:pPr>
              <w:spacing w:after="120" w:line="240" w:lineRule="auto"/>
              <w:rPr>
                <w:rFonts w:ascii="Calibri" w:hAnsi="Calibri"/>
              </w:rPr>
            </w:pPr>
          </w:p>
        </w:tc>
        <w:tc>
          <w:tcPr>
            <w:tcW w:w="2410" w:type="dxa"/>
            <w:shd w:val="clear" w:color="auto" w:fill="auto"/>
          </w:tcPr>
          <w:p w14:paraId="3206F548"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4FFC93B0" w14:textId="77777777" w:rsidR="00397E5F" w:rsidRPr="00653EF4" w:rsidRDefault="00397E5F" w:rsidP="0053652E">
            <w:pPr>
              <w:spacing w:after="120" w:line="240" w:lineRule="auto"/>
              <w:rPr>
                <w:rFonts w:ascii="Calibri" w:hAnsi="Calibri"/>
              </w:rPr>
            </w:pPr>
          </w:p>
        </w:tc>
        <w:tc>
          <w:tcPr>
            <w:tcW w:w="2126" w:type="dxa"/>
            <w:shd w:val="clear" w:color="auto" w:fill="auto"/>
          </w:tcPr>
          <w:p w14:paraId="27BA9A2F" w14:textId="77777777" w:rsidR="00397E5F" w:rsidRPr="00653EF4" w:rsidRDefault="00397E5F" w:rsidP="0053652E">
            <w:pPr>
              <w:spacing w:after="120" w:line="240" w:lineRule="auto"/>
              <w:rPr>
                <w:rFonts w:ascii="Calibri" w:hAnsi="Calibri"/>
              </w:rPr>
            </w:pPr>
          </w:p>
        </w:tc>
        <w:tc>
          <w:tcPr>
            <w:tcW w:w="2693" w:type="dxa"/>
            <w:shd w:val="clear" w:color="auto" w:fill="auto"/>
          </w:tcPr>
          <w:p w14:paraId="3CB9CF59" w14:textId="77777777" w:rsidR="00397E5F" w:rsidRPr="00653EF4" w:rsidRDefault="00397E5F" w:rsidP="0053652E">
            <w:pPr>
              <w:spacing w:after="120" w:line="240" w:lineRule="auto"/>
              <w:rPr>
                <w:rFonts w:ascii="Calibri" w:hAnsi="Calibri"/>
              </w:rPr>
            </w:pPr>
          </w:p>
        </w:tc>
        <w:tc>
          <w:tcPr>
            <w:tcW w:w="1418" w:type="dxa"/>
            <w:shd w:val="clear" w:color="auto" w:fill="auto"/>
          </w:tcPr>
          <w:p w14:paraId="3F544DBE" w14:textId="77777777" w:rsidR="00397E5F" w:rsidRPr="00653EF4" w:rsidRDefault="00397E5F" w:rsidP="0053652E">
            <w:pPr>
              <w:spacing w:after="120" w:line="240" w:lineRule="auto"/>
              <w:rPr>
                <w:rFonts w:ascii="Calibri" w:hAnsi="Calibri"/>
              </w:rPr>
            </w:pPr>
          </w:p>
        </w:tc>
      </w:tr>
      <w:tr w:rsidR="00397E5F" w:rsidRPr="00FF5AE8" w14:paraId="0C4D88EC" w14:textId="77777777" w:rsidTr="00280417">
        <w:tc>
          <w:tcPr>
            <w:tcW w:w="2977" w:type="dxa"/>
            <w:shd w:val="clear" w:color="auto" w:fill="FFFFFF"/>
          </w:tcPr>
          <w:p w14:paraId="037799B2" w14:textId="77777777" w:rsidR="00397E5F" w:rsidRPr="00653EF4" w:rsidRDefault="00397E5F" w:rsidP="0053652E">
            <w:pPr>
              <w:spacing w:after="120" w:line="240" w:lineRule="auto"/>
              <w:rPr>
                <w:rFonts w:ascii="Calibri" w:hAnsi="Calibri"/>
              </w:rPr>
            </w:pPr>
          </w:p>
        </w:tc>
        <w:tc>
          <w:tcPr>
            <w:tcW w:w="2410" w:type="dxa"/>
            <w:shd w:val="clear" w:color="auto" w:fill="auto"/>
          </w:tcPr>
          <w:p w14:paraId="1E4FF178"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7BEF5E15" w14:textId="77777777" w:rsidR="00397E5F" w:rsidRPr="00653EF4" w:rsidRDefault="00397E5F" w:rsidP="0053652E">
            <w:pPr>
              <w:spacing w:after="120" w:line="240" w:lineRule="auto"/>
              <w:rPr>
                <w:rFonts w:ascii="Calibri" w:hAnsi="Calibri"/>
              </w:rPr>
            </w:pPr>
          </w:p>
        </w:tc>
        <w:tc>
          <w:tcPr>
            <w:tcW w:w="2126" w:type="dxa"/>
            <w:shd w:val="clear" w:color="auto" w:fill="auto"/>
          </w:tcPr>
          <w:p w14:paraId="28F95580" w14:textId="77777777" w:rsidR="00397E5F" w:rsidRPr="00653EF4" w:rsidRDefault="00397E5F" w:rsidP="0053652E">
            <w:pPr>
              <w:spacing w:after="120" w:line="240" w:lineRule="auto"/>
              <w:rPr>
                <w:rFonts w:ascii="Calibri" w:hAnsi="Calibri"/>
              </w:rPr>
            </w:pPr>
          </w:p>
        </w:tc>
        <w:tc>
          <w:tcPr>
            <w:tcW w:w="2693" w:type="dxa"/>
            <w:shd w:val="clear" w:color="auto" w:fill="auto"/>
          </w:tcPr>
          <w:p w14:paraId="0051CB5F" w14:textId="77777777" w:rsidR="00397E5F" w:rsidRPr="00653EF4" w:rsidRDefault="00397E5F" w:rsidP="0053652E">
            <w:pPr>
              <w:spacing w:after="120" w:line="240" w:lineRule="auto"/>
              <w:rPr>
                <w:rFonts w:ascii="Calibri" w:hAnsi="Calibri"/>
              </w:rPr>
            </w:pPr>
          </w:p>
        </w:tc>
        <w:tc>
          <w:tcPr>
            <w:tcW w:w="1418" w:type="dxa"/>
            <w:shd w:val="clear" w:color="auto" w:fill="auto"/>
          </w:tcPr>
          <w:p w14:paraId="5CF3B402" w14:textId="77777777" w:rsidR="00397E5F" w:rsidRPr="00653EF4" w:rsidRDefault="00397E5F" w:rsidP="0053652E">
            <w:pPr>
              <w:spacing w:after="120" w:line="240" w:lineRule="auto"/>
              <w:rPr>
                <w:rFonts w:ascii="Calibri" w:hAnsi="Calibri"/>
              </w:rPr>
            </w:pPr>
          </w:p>
        </w:tc>
      </w:tr>
      <w:tr w:rsidR="00397E5F" w:rsidRPr="00FF5AE8" w14:paraId="2E64EBDF" w14:textId="77777777" w:rsidTr="00280417">
        <w:tc>
          <w:tcPr>
            <w:tcW w:w="2977" w:type="dxa"/>
            <w:shd w:val="clear" w:color="auto" w:fill="FFFFFF"/>
          </w:tcPr>
          <w:p w14:paraId="158A7F95" w14:textId="77777777" w:rsidR="00397E5F" w:rsidRPr="00653EF4" w:rsidRDefault="00397E5F" w:rsidP="0053652E">
            <w:pPr>
              <w:spacing w:after="120" w:line="240" w:lineRule="auto"/>
              <w:rPr>
                <w:rFonts w:ascii="Calibri" w:hAnsi="Calibri"/>
              </w:rPr>
            </w:pPr>
          </w:p>
        </w:tc>
        <w:tc>
          <w:tcPr>
            <w:tcW w:w="2410" w:type="dxa"/>
            <w:shd w:val="clear" w:color="auto" w:fill="auto"/>
          </w:tcPr>
          <w:p w14:paraId="7D4D334B"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15B5BEFB" w14:textId="77777777" w:rsidR="00397E5F" w:rsidRPr="00653EF4" w:rsidRDefault="00397E5F" w:rsidP="0053652E">
            <w:pPr>
              <w:spacing w:after="120" w:line="240" w:lineRule="auto"/>
              <w:rPr>
                <w:rFonts w:ascii="Calibri" w:hAnsi="Calibri"/>
              </w:rPr>
            </w:pPr>
          </w:p>
        </w:tc>
        <w:tc>
          <w:tcPr>
            <w:tcW w:w="2126" w:type="dxa"/>
            <w:shd w:val="clear" w:color="auto" w:fill="auto"/>
          </w:tcPr>
          <w:p w14:paraId="786C6B09" w14:textId="77777777" w:rsidR="00397E5F" w:rsidRPr="00653EF4" w:rsidRDefault="00397E5F" w:rsidP="0053652E">
            <w:pPr>
              <w:spacing w:after="120" w:line="240" w:lineRule="auto"/>
              <w:rPr>
                <w:rFonts w:ascii="Calibri" w:hAnsi="Calibri"/>
              </w:rPr>
            </w:pPr>
          </w:p>
        </w:tc>
        <w:tc>
          <w:tcPr>
            <w:tcW w:w="2693" w:type="dxa"/>
            <w:shd w:val="clear" w:color="auto" w:fill="auto"/>
          </w:tcPr>
          <w:p w14:paraId="72533FE3" w14:textId="77777777" w:rsidR="00397E5F" w:rsidRPr="00653EF4" w:rsidRDefault="00397E5F" w:rsidP="0053652E">
            <w:pPr>
              <w:spacing w:after="120" w:line="240" w:lineRule="auto"/>
              <w:rPr>
                <w:rFonts w:ascii="Calibri" w:hAnsi="Calibri"/>
              </w:rPr>
            </w:pPr>
          </w:p>
        </w:tc>
        <w:tc>
          <w:tcPr>
            <w:tcW w:w="1418" w:type="dxa"/>
            <w:shd w:val="clear" w:color="auto" w:fill="auto"/>
          </w:tcPr>
          <w:p w14:paraId="7EC6DEF9" w14:textId="77777777" w:rsidR="00397E5F" w:rsidRPr="00653EF4" w:rsidRDefault="00397E5F" w:rsidP="0053652E">
            <w:pPr>
              <w:spacing w:after="120" w:line="240" w:lineRule="auto"/>
              <w:rPr>
                <w:rFonts w:ascii="Calibri" w:hAnsi="Calibri"/>
              </w:rPr>
            </w:pPr>
          </w:p>
        </w:tc>
      </w:tr>
      <w:tr w:rsidR="00397E5F" w:rsidRPr="00FF5AE8" w14:paraId="1AB34C2F" w14:textId="77777777" w:rsidTr="00280417">
        <w:tc>
          <w:tcPr>
            <w:tcW w:w="14176" w:type="dxa"/>
            <w:gridSpan w:val="6"/>
            <w:shd w:val="clear" w:color="auto" w:fill="DAEEF3"/>
          </w:tcPr>
          <w:p w14:paraId="70B995C3"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2.2 – Ensure the availability of evidence-based, best practice and nationally consistent approaches to AMS across human health and animal health sectors</w:t>
            </w:r>
          </w:p>
        </w:tc>
      </w:tr>
      <w:tr w:rsidR="00397E5F" w:rsidRPr="007E17C2" w14:paraId="71072D94" w14:textId="77777777" w:rsidTr="00280417">
        <w:tc>
          <w:tcPr>
            <w:tcW w:w="2977" w:type="dxa"/>
            <w:shd w:val="clear" w:color="auto" w:fill="FFFFFF"/>
          </w:tcPr>
          <w:p w14:paraId="6B7E61BE"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6A78987A" w14:textId="77777777" w:rsidR="00397E5F" w:rsidRPr="00653EF4" w:rsidRDefault="00397E5F" w:rsidP="0053652E">
            <w:pPr>
              <w:spacing w:after="120" w:line="240" w:lineRule="auto"/>
              <w:rPr>
                <w:rFonts w:ascii="Calibri" w:hAnsi="Calibri"/>
              </w:rPr>
            </w:pPr>
          </w:p>
        </w:tc>
        <w:tc>
          <w:tcPr>
            <w:tcW w:w="2552" w:type="dxa"/>
            <w:shd w:val="clear" w:color="auto" w:fill="auto"/>
          </w:tcPr>
          <w:p w14:paraId="2F7E743C" w14:textId="77777777" w:rsidR="00397E5F" w:rsidRPr="00653EF4" w:rsidRDefault="00397E5F" w:rsidP="0053652E">
            <w:pPr>
              <w:spacing w:after="120" w:line="240" w:lineRule="auto"/>
              <w:rPr>
                <w:rFonts w:ascii="Calibri" w:hAnsi="Calibri"/>
              </w:rPr>
            </w:pPr>
          </w:p>
        </w:tc>
        <w:tc>
          <w:tcPr>
            <w:tcW w:w="2126" w:type="dxa"/>
            <w:shd w:val="clear" w:color="auto" w:fill="auto"/>
          </w:tcPr>
          <w:p w14:paraId="213DFB90" w14:textId="77777777" w:rsidR="00397E5F" w:rsidRPr="00653EF4" w:rsidRDefault="00397E5F" w:rsidP="0053652E">
            <w:pPr>
              <w:spacing w:after="120" w:line="240" w:lineRule="auto"/>
              <w:rPr>
                <w:rFonts w:ascii="Calibri" w:hAnsi="Calibri"/>
              </w:rPr>
            </w:pPr>
          </w:p>
        </w:tc>
        <w:tc>
          <w:tcPr>
            <w:tcW w:w="2693" w:type="dxa"/>
            <w:shd w:val="clear" w:color="auto" w:fill="auto"/>
          </w:tcPr>
          <w:p w14:paraId="61E88E04" w14:textId="77777777" w:rsidR="00397E5F" w:rsidRPr="00653EF4" w:rsidRDefault="00397E5F" w:rsidP="0053652E">
            <w:pPr>
              <w:spacing w:after="120" w:line="240" w:lineRule="auto"/>
              <w:rPr>
                <w:rFonts w:ascii="Calibri" w:hAnsi="Calibri"/>
              </w:rPr>
            </w:pPr>
          </w:p>
        </w:tc>
        <w:tc>
          <w:tcPr>
            <w:tcW w:w="1418" w:type="dxa"/>
            <w:shd w:val="clear" w:color="auto" w:fill="auto"/>
          </w:tcPr>
          <w:p w14:paraId="319D0CF7" w14:textId="77777777" w:rsidR="00397E5F" w:rsidRPr="00653EF4" w:rsidRDefault="00397E5F" w:rsidP="0053652E">
            <w:pPr>
              <w:spacing w:after="120" w:line="240" w:lineRule="auto"/>
              <w:rPr>
                <w:rFonts w:ascii="Calibri" w:hAnsi="Calibri"/>
              </w:rPr>
            </w:pPr>
          </w:p>
        </w:tc>
      </w:tr>
      <w:tr w:rsidR="00397E5F" w:rsidRPr="007E17C2" w14:paraId="1A92D064" w14:textId="77777777" w:rsidTr="00280417">
        <w:tc>
          <w:tcPr>
            <w:tcW w:w="2977" w:type="dxa"/>
            <w:shd w:val="clear" w:color="auto" w:fill="FFFFFF"/>
          </w:tcPr>
          <w:p w14:paraId="3B6C7C67" w14:textId="77777777" w:rsidR="00397E5F" w:rsidRPr="00653EF4" w:rsidRDefault="00397E5F" w:rsidP="0053652E">
            <w:pPr>
              <w:spacing w:after="120" w:line="240" w:lineRule="auto"/>
              <w:rPr>
                <w:rFonts w:ascii="Calibri" w:hAnsi="Calibri"/>
              </w:rPr>
            </w:pPr>
          </w:p>
        </w:tc>
        <w:tc>
          <w:tcPr>
            <w:tcW w:w="2410" w:type="dxa"/>
            <w:shd w:val="clear" w:color="auto" w:fill="auto"/>
          </w:tcPr>
          <w:p w14:paraId="4BED5C26" w14:textId="77777777" w:rsidR="00397E5F" w:rsidRPr="00653EF4" w:rsidRDefault="00397E5F" w:rsidP="0053652E">
            <w:pPr>
              <w:spacing w:after="120" w:line="240" w:lineRule="auto"/>
              <w:rPr>
                <w:rFonts w:ascii="Calibri" w:hAnsi="Calibri"/>
              </w:rPr>
            </w:pPr>
          </w:p>
        </w:tc>
        <w:tc>
          <w:tcPr>
            <w:tcW w:w="2552" w:type="dxa"/>
            <w:shd w:val="clear" w:color="auto" w:fill="auto"/>
          </w:tcPr>
          <w:p w14:paraId="6BF50AC0" w14:textId="77777777" w:rsidR="00397E5F" w:rsidRPr="00653EF4" w:rsidRDefault="00397E5F" w:rsidP="0053652E">
            <w:pPr>
              <w:spacing w:after="120" w:line="240" w:lineRule="auto"/>
              <w:rPr>
                <w:rFonts w:ascii="Calibri" w:hAnsi="Calibri"/>
              </w:rPr>
            </w:pPr>
          </w:p>
        </w:tc>
        <w:tc>
          <w:tcPr>
            <w:tcW w:w="2126" w:type="dxa"/>
            <w:shd w:val="clear" w:color="auto" w:fill="auto"/>
          </w:tcPr>
          <w:p w14:paraId="32AA45A3" w14:textId="77777777" w:rsidR="00397E5F" w:rsidRPr="00653EF4" w:rsidRDefault="00397E5F" w:rsidP="0053652E">
            <w:pPr>
              <w:spacing w:after="120" w:line="240" w:lineRule="auto"/>
              <w:rPr>
                <w:rFonts w:ascii="Calibri" w:hAnsi="Calibri"/>
              </w:rPr>
            </w:pPr>
          </w:p>
        </w:tc>
        <w:tc>
          <w:tcPr>
            <w:tcW w:w="2693" w:type="dxa"/>
            <w:shd w:val="clear" w:color="auto" w:fill="auto"/>
          </w:tcPr>
          <w:p w14:paraId="493E489E" w14:textId="77777777" w:rsidR="00397E5F" w:rsidRPr="00653EF4" w:rsidRDefault="00397E5F" w:rsidP="0053652E">
            <w:pPr>
              <w:spacing w:after="120" w:line="240" w:lineRule="auto"/>
              <w:rPr>
                <w:rFonts w:ascii="Calibri" w:hAnsi="Calibri"/>
              </w:rPr>
            </w:pPr>
          </w:p>
        </w:tc>
        <w:tc>
          <w:tcPr>
            <w:tcW w:w="1418" w:type="dxa"/>
            <w:shd w:val="clear" w:color="auto" w:fill="auto"/>
          </w:tcPr>
          <w:p w14:paraId="7574BD65" w14:textId="77777777" w:rsidR="00397E5F" w:rsidRPr="00653EF4" w:rsidRDefault="00397E5F" w:rsidP="0053652E">
            <w:pPr>
              <w:spacing w:after="120" w:line="240" w:lineRule="auto"/>
              <w:rPr>
                <w:rFonts w:ascii="Calibri" w:hAnsi="Calibri"/>
              </w:rPr>
            </w:pPr>
          </w:p>
        </w:tc>
      </w:tr>
      <w:tr w:rsidR="00397E5F" w:rsidRPr="007E17C2" w14:paraId="0727D9E3" w14:textId="77777777" w:rsidTr="00280417">
        <w:tc>
          <w:tcPr>
            <w:tcW w:w="2977" w:type="dxa"/>
            <w:shd w:val="clear" w:color="auto" w:fill="FFFFFF"/>
          </w:tcPr>
          <w:p w14:paraId="0D515A2F"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4FD65FD" w14:textId="77777777" w:rsidR="00397E5F" w:rsidRPr="00653EF4" w:rsidRDefault="00397E5F" w:rsidP="0053652E">
            <w:pPr>
              <w:spacing w:after="120" w:line="240" w:lineRule="auto"/>
              <w:rPr>
                <w:rFonts w:ascii="Calibri" w:hAnsi="Calibri"/>
              </w:rPr>
            </w:pPr>
          </w:p>
        </w:tc>
        <w:tc>
          <w:tcPr>
            <w:tcW w:w="2552" w:type="dxa"/>
            <w:shd w:val="clear" w:color="auto" w:fill="auto"/>
          </w:tcPr>
          <w:p w14:paraId="083E5522" w14:textId="77777777" w:rsidR="00397E5F" w:rsidRPr="00653EF4" w:rsidRDefault="00397E5F" w:rsidP="0053652E">
            <w:pPr>
              <w:spacing w:after="120" w:line="240" w:lineRule="auto"/>
              <w:rPr>
                <w:rFonts w:ascii="Calibri" w:hAnsi="Calibri"/>
              </w:rPr>
            </w:pPr>
          </w:p>
        </w:tc>
        <w:tc>
          <w:tcPr>
            <w:tcW w:w="2126" w:type="dxa"/>
            <w:shd w:val="clear" w:color="auto" w:fill="auto"/>
          </w:tcPr>
          <w:p w14:paraId="5A54B1FF" w14:textId="77777777" w:rsidR="00397E5F" w:rsidRPr="00653EF4" w:rsidRDefault="00397E5F" w:rsidP="0053652E">
            <w:pPr>
              <w:spacing w:after="120" w:line="240" w:lineRule="auto"/>
              <w:rPr>
                <w:rFonts w:ascii="Calibri" w:hAnsi="Calibri"/>
              </w:rPr>
            </w:pPr>
          </w:p>
        </w:tc>
        <w:tc>
          <w:tcPr>
            <w:tcW w:w="2693" w:type="dxa"/>
            <w:shd w:val="clear" w:color="auto" w:fill="auto"/>
          </w:tcPr>
          <w:p w14:paraId="7E3D69C3" w14:textId="77777777" w:rsidR="00397E5F" w:rsidRPr="00653EF4" w:rsidRDefault="00397E5F" w:rsidP="0053652E">
            <w:pPr>
              <w:spacing w:after="120" w:line="240" w:lineRule="auto"/>
              <w:rPr>
                <w:rFonts w:ascii="Calibri" w:hAnsi="Calibri"/>
              </w:rPr>
            </w:pPr>
          </w:p>
        </w:tc>
        <w:tc>
          <w:tcPr>
            <w:tcW w:w="1418" w:type="dxa"/>
            <w:shd w:val="clear" w:color="auto" w:fill="auto"/>
          </w:tcPr>
          <w:p w14:paraId="150F4DC9" w14:textId="77777777" w:rsidR="00397E5F" w:rsidRPr="00653EF4" w:rsidRDefault="00397E5F" w:rsidP="0053652E">
            <w:pPr>
              <w:spacing w:after="120" w:line="240" w:lineRule="auto"/>
              <w:rPr>
                <w:rFonts w:ascii="Calibri" w:hAnsi="Calibri"/>
              </w:rPr>
            </w:pPr>
          </w:p>
        </w:tc>
      </w:tr>
      <w:tr w:rsidR="00397E5F" w:rsidRPr="007E17C2" w14:paraId="1A41C110" w14:textId="77777777" w:rsidTr="00280417">
        <w:tc>
          <w:tcPr>
            <w:tcW w:w="2977" w:type="dxa"/>
            <w:shd w:val="clear" w:color="auto" w:fill="FFFFFF"/>
          </w:tcPr>
          <w:p w14:paraId="1EDE7FFB"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58E08198" w14:textId="77777777" w:rsidR="00397E5F" w:rsidRPr="00653EF4" w:rsidRDefault="00397E5F" w:rsidP="0053652E">
            <w:pPr>
              <w:spacing w:after="120" w:line="240" w:lineRule="auto"/>
              <w:rPr>
                <w:rFonts w:ascii="Calibri" w:hAnsi="Calibri"/>
              </w:rPr>
            </w:pPr>
          </w:p>
        </w:tc>
        <w:tc>
          <w:tcPr>
            <w:tcW w:w="2552" w:type="dxa"/>
            <w:shd w:val="clear" w:color="auto" w:fill="auto"/>
          </w:tcPr>
          <w:p w14:paraId="37D89403" w14:textId="77777777" w:rsidR="00397E5F" w:rsidRPr="00653EF4" w:rsidRDefault="00397E5F" w:rsidP="0053652E">
            <w:pPr>
              <w:spacing w:after="120" w:line="240" w:lineRule="auto"/>
              <w:rPr>
                <w:rFonts w:ascii="Calibri" w:hAnsi="Calibri"/>
              </w:rPr>
            </w:pPr>
          </w:p>
        </w:tc>
        <w:tc>
          <w:tcPr>
            <w:tcW w:w="2126" w:type="dxa"/>
            <w:shd w:val="clear" w:color="auto" w:fill="auto"/>
          </w:tcPr>
          <w:p w14:paraId="0AB3113B" w14:textId="77777777" w:rsidR="00397E5F" w:rsidRPr="00653EF4" w:rsidRDefault="00397E5F" w:rsidP="0053652E">
            <w:pPr>
              <w:spacing w:after="120" w:line="240" w:lineRule="auto"/>
              <w:rPr>
                <w:rFonts w:ascii="Calibri" w:hAnsi="Calibri"/>
              </w:rPr>
            </w:pPr>
          </w:p>
        </w:tc>
        <w:tc>
          <w:tcPr>
            <w:tcW w:w="2693" w:type="dxa"/>
            <w:shd w:val="clear" w:color="auto" w:fill="auto"/>
          </w:tcPr>
          <w:p w14:paraId="12A8CB9E" w14:textId="77777777" w:rsidR="00397E5F" w:rsidRPr="00653EF4" w:rsidRDefault="00397E5F" w:rsidP="0053652E">
            <w:pPr>
              <w:spacing w:after="120" w:line="240" w:lineRule="auto"/>
              <w:rPr>
                <w:rFonts w:ascii="Calibri" w:hAnsi="Calibri"/>
              </w:rPr>
            </w:pPr>
          </w:p>
        </w:tc>
        <w:tc>
          <w:tcPr>
            <w:tcW w:w="1418" w:type="dxa"/>
            <w:shd w:val="clear" w:color="auto" w:fill="auto"/>
          </w:tcPr>
          <w:p w14:paraId="7098354D" w14:textId="77777777" w:rsidR="00397E5F" w:rsidRPr="00653EF4" w:rsidRDefault="00397E5F" w:rsidP="0053652E">
            <w:pPr>
              <w:spacing w:after="120" w:line="240" w:lineRule="auto"/>
              <w:rPr>
                <w:rFonts w:ascii="Calibri" w:hAnsi="Calibri"/>
              </w:rPr>
            </w:pPr>
          </w:p>
        </w:tc>
      </w:tr>
      <w:tr w:rsidR="00397E5F" w:rsidRPr="007E17C2" w14:paraId="56EE74F7" w14:textId="77777777" w:rsidTr="00280417">
        <w:tc>
          <w:tcPr>
            <w:tcW w:w="14176" w:type="dxa"/>
            <w:gridSpan w:val="6"/>
            <w:shd w:val="clear" w:color="auto" w:fill="DAEEF3"/>
          </w:tcPr>
          <w:p w14:paraId="6798407A"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t>Priority Action Area 2.3 – Develop tailored, evidence-based resources to support the implementation of AMS programmes</w:t>
            </w:r>
          </w:p>
        </w:tc>
      </w:tr>
      <w:tr w:rsidR="00397E5F" w:rsidRPr="007E17C2" w14:paraId="49A76D78" w14:textId="77777777" w:rsidTr="00280417">
        <w:tc>
          <w:tcPr>
            <w:tcW w:w="2977" w:type="dxa"/>
            <w:shd w:val="clear" w:color="auto" w:fill="FFFFFF"/>
          </w:tcPr>
          <w:p w14:paraId="150A101C"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E18B69F" w14:textId="77777777" w:rsidR="00397E5F" w:rsidRPr="00653EF4" w:rsidRDefault="00397E5F" w:rsidP="0053652E">
            <w:pPr>
              <w:spacing w:after="120" w:line="240" w:lineRule="auto"/>
              <w:rPr>
                <w:rFonts w:ascii="Calibri" w:hAnsi="Calibri"/>
              </w:rPr>
            </w:pPr>
          </w:p>
        </w:tc>
        <w:tc>
          <w:tcPr>
            <w:tcW w:w="2552" w:type="dxa"/>
            <w:shd w:val="clear" w:color="auto" w:fill="auto"/>
          </w:tcPr>
          <w:p w14:paraId="5522D14B"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33C41ACA" w14:textId="77777777" w:rsidR="00397E5F" w:rsidRPr="00653EF4" w:rsidRDefault="00397E5F" w:rsidP="0053652E">
            <w:pPr>
              <w:spacing w:after="120" w:line="240" w:lineRule="auto"/>
              <w:rPr>
                <w:rFonts w:ascii="Calibri" w:hAnsi="Calibri"/>
              </w:rPr>
            </w:pPr>
          </w:p>
        </w:tc>
        <w:tc>
          <w:tcPr>
            <w:tcW w:w="2693" w:type="dxa"/>
            <w:shd w:val="clear" w:color="auto" w:fill="auto"/>
          </w:tcPr>
          <w:p w14:paraId="05448A7B"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31815505" w14:textId="77777777" w:rsidR="00397E5F" w:rsidRPr="00653EF4" w:rsidRDefault="00397E5F" w:rsidP="0053652E">
            <w:pPr>
              <w:spacing w:after="120" w:line="240" w:lineRule="auto"/>
              <w:rPr>
                <w:rFonts w:ascii="Calibri" w:hAnsi="Calibri"/>
                <w:highlight w:val="yellow"/>
              </w:rPr>
            </w:pPr>
          </w:p>
        </w:tc>
      </w:tr>
      <w:tr w:rsidR="00397E5F" w:rsidRPr="007E17C2" w14:paraId="34C5F277" w14:textId="77777777" w:rsidTr="00280417">
        <w:tc>
          <w:tcPr>
            <w:tcW w:w="2977" w:type="dxa"/>
            <w:shd w:val="clear" w:color="auto" w:fill="FFFFFF"/>
          </w:tcPr>
          <w:p w14:paraId="371F6777"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4AD11606" w14:textId="77777777" w:rsidR="00397E5F" w:rsidRPr="00653EF4" w:rsidRDefault="00397E5F" w:rsidP="0053652E">
            <w:pPr>
              <w:spacing w:after="120" w:line="240" w:lineRule="auto"/>
              <w:rPr>
                <w:rFonts w:ascii="Calibri" w:hAnsi="Calibri"/>
              </w:rPr>
            </w:pPr>
          </w:p>
        </w:tc>
        <w:tc>
          <w:tcPr>
            <w:tcW w:w="2552" w:type="dxa"/>
            <w:shd w:val="clear" w:color="auto" w:fill="auto"/>
          </w:tcPr>
          <w:p w14:paraId="5246BD32" w14:textId="77777777" w:rsidR="00397E5F" w:rsidRPr="00653EF4" w:rsidRDefault="00397E5F" w:rsidP="0053652E">
            <w:pPr>
              <w:spacing w:after="120" w:line="240" w:lineRule="auto"/>
              <w:rPr>
                <w:rFonts w:ascii="Calibri" w:hAnsi="Calibri"/>
              </w:rPr>
            </w:pPr>
          </w:p>
        </w:tc>
        <w:tc>
          <w:tcPr>
            <w:tcW w:w="2126" w:type="dxa"/>
            <w:shd w:val="clear" w:color="auto" w:fill="auto"/>
          </w:tcPr>
          <w:p w14:paraId="7ED4F8E8" w14:textId="77777777" w:rsidR="00397E5F" w:rsidRPr="00653EF4" w:rsidRDefault="00397E5F" w:rsidP="0053652E">
            <w:pPr>
              <w:spacing w:after="120" w:line="240" w:lineRule="auto"/>
              <w:rPr>
                <w:rFonts w:ascii="Calibri" w:hAnsi="Calibri"/>
              </w:rPr>
            </w:pPr>
          </w:p>
        </w:tc>
        <w:tc>
          <w:tcPr>
            <w:tcW w:w="2693" w:type="dxa"/>
            <w:shd w:val="clear" w:color="auto" w:fill="auto"/>
          </w:tcPr>
          <w:p w14:paraId="4B5DE301" w14:textId="77777777" w:rsidR="00397E5F" w:rsidRPr="00653EF4" w:rsidRDefault="00397E5F" w:rsidP="0053652E">
            <w:pPr>
              <w:spacing w:after="120" w:line="240" w:lineRule="auto"/>
              <w:rPr>
                <w:rFonts w:ascii="Calibri" w:hAnsi="Calibri"/>
              </w:rPr>
            </w:pPr>
          </w:p>
        </w:tc>
        <w:tc>
          <w:tcPr>
            <w:tcW w:w="1418" w:type="dxa"/>
            <w:shd w:val="clear" w:color="auto" w:fill="auto"/>
          </w:tcPr>
          <w:p w14:paraId="6BDA679D" w14:textId="77777777" w:rsidR="00397E5F" w:rsidRPr="00653EF4" w:rsidRDefault="00397E5F" w:rsidP="0053652E">
            <w:pPr>
              <w:spacing w:after="120" w:line="240" w:lineRule="auto"/>
              <w:rPr>
                <w:rFonts w:ascii="Calibri" w:hAnsi="Calibri"/>
              </w:rPr>
            </w:pPr>
          </w:p>
        </w:tc>
      </w:tr>
      <w:tr w:rsidR="00397E5F" w:rsidRPr="007E17C2" w14:paraId="7EC6667C" w14:textId="77777777" w:rsidTr="00280417">
        <w:tc>
          <w:tcPr>
            <w:tcW w:w="2977" w:type="dxa"/>
            <w:shd w:val="clear" w:color="auto" w:fill="FFFFFF"/>
          </w:tcPr>
          <w:p w14:paraId="28F37F9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2072C52F" w14:textId="77777777" w:rsidR="00397E5F" w:rsidRPr="00653EF4" w:rsidRDefault="00397E5F" w:rsidP="0053652E">
            <w:pPr>
              <w:spacing w:after="120" w:line="240" w:lineRule="auto"/>
              <w:rPr>
                <w:rFonts w:ascii="Calibri" w:hAnsi="Calibri"/>
              </w:rPr>
            </w:pPr>
          </w:p>
        </w:tc>
        <w:tc>
          <w:tcPr>
            <w:tcW w:w="2552" w:type="dxa"/>
            <w:shd w:val="clear" w:color="auto" w:fill="auto"/>
          </w:tcPr>
          <w:p w14:paraId="6E03632E"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1300C404" w14:textId="77777777" w:rsidR="00397E5F" w:rsidRPr="00653EF4" w:rsidRDefault="00397E5F" w:rsidP="0053652E">
            <w:pPr>
              <w:spacing w:after="120" w:line="240" w:lineRule="auto"/>
              <w:rPr>
                <w:rFonts w:ascii="Calibri" w:hAnsi="Calibri"/>
              </w:rPr>
            </w:pPr>
          </w:p>
        </w:tc>
        <w:tc>
          <w:tcPr>
            <w:tcW w:w="2693" w:type="dxa"/>
            <w:shd w:val="clear" w:color="auto" w:fill="auto"/>
          </w:tcPr>
          <w:p w14:paraId="1F6C7AF0"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1FB5067B" w14:textId="77777777" w:rsidR="00397E5F" w:rsidRPr="00653EF4" w:rsidRDefault="00397E5F" w:rsidP="0053652E">
            <w:pPr>
              <w:spacing w:after="120" w:line="240" w:lineRule="auto"/>
              <w:rPr>
                <w:rFonts w:ascii="Calibri" w:hAnsi="Calibri"/>
                <w:highlight w:val="yellow"/>
              </w:rPr>
            </w:pPr>
          </w:p>
        </w:tc>
      </w:tr>
      <w:tr w:rsidR="00397E5F" w:rsidRPr="007E17C2" w14:paraId="78B0B2DA" w14:textId="77777777" w:rsidTr="00280417">
        <w:tc>
          <w:tcPr>
            <w:tcW w:w="2977" w:type="dxa"/>
            <w:shd w:val="clear" w:color="auto" w:fill="FFFFFF"/>
          </w:tcPr>
          <w:p w14:paraId="1C56A00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4246057C" w14:textId="77777777" w:rsidR="00397E5F" w:rsidRPr="00653EF4" w:rsidRDefault="00397E5F" w:rsidP="0053652E">
            <w:pPr>
              <w:spacing w:after="120" w:line="240" w:lineRule="auto"/>
              <w:rPr>
                <w:rFonts w:ascii="Calibri" w:hAnsi="Calibri"/>
              </w:rPr>
            </w:pPr>
          </w:p>
        </w:tc>
        <w:tc>
          <w:tcPr>
            <w:tcW w:w="2552" w:type="dxa"/>
            <w:shd w:val="clear" w:color="auto" w:fill="auto"/>
          </w:tcPr>
          <w:p w14:paraId="134D30D4" w14:textId="77777777" w:rsidR="00397E5F" w:rsidRPr="00653EF4" w:rsidRDefault="00397E5F" w:rsidP="0053652E">
            <w:pPr>
              <w:spacing w:after="120" w:line="240" w:lineRule="auto"/>
              <w:rPr>
                <w:rFonts w:ascii="Calibri" w:hAnsi="Calibri"/>
              </w:rPr>
            </w:pPr>
          </w:p>
        </w:tc>
        <w:tc>
          <w:tcPr>
            <w:tcW w:w="2126" w:type="dxa"/>
            <w:shd w:val="clear" w:color="auto" w:fill="auto"/>
          </w:tcPr>
          <w:p w14:paraId="1356F322" w14:textId="77777777" w:rsidR="00397E5F" w:rsidRPr="00653EF4" w:rsidRDefault="00397E5F" w:rsidP="0053652E">
            <w:pPr>
              <w:spacing w:after="120" w:line="240" w:lineRule="auto"/>
              <w:rPr>
                <w:rFonts w:ascii="Calibri" w:hAnsi="Calibri"/>
              </w:rPr>
            </w:pPr>
          </w:p>
        </w:tc>
        <w:tc>
          <w:tcPr>
            <w:tcW w:w="2693" w:type="dxa"/>
            <w:shd w:val="clear" w:color="auto" w:fill="auto"/>
          </w:tcPr>
          <w:p w14:paraId="09BA2916" w14:textId="77777777" w:rsidR="00397E5F" w:rsidRPr="00653EF4" w:rsidRDefault="00397E5F" w:rsidP="0053652E">
            <w:pPr>
              <w:spacing w:after="120" w:line="240" w:lineRule="auto"/>
              <w:rPr>
                <w:rFonts w:ascii="Calibri" w:hAnsi="Calibri"/>
              </w:rPr>
            </w:pPr>
          </w:p>
        </w:tc>
        <w:tc>
          <w:tcPr>
            <w:tcW w:w="1418" w:type="dxa"/>
            <w:shd w:val="clear" w:color="auto" w:fill="auto"/>
          </w:tcPr>
          <w:p w14:paraId="45C6DA47" w14:textId="77777777" w:rsidR="00397E5F" w:rsidRPr="00653EF4" w:rsidRDefault="00397E5F" w:rsidP="0053652E">
            <w:pPr>
              <w:spacing w:after="120" w:line="240" w:lineRule="auto"/>
              <w:rPr>
                <w:rFonts w:ascii="Calibri" w:hAnsi="Calibri"/>
              </w:rPr>
            </w:pPr>
          </w:p>
        </w:tc>
      </w:tr>
      <w:tr w:rsidR="00397E5F" w:rsidRPr="007E17C2" w14:paraId="43EAD671" w14:textId="77777777" w:rsidTr="00280417">
        <w:tc>
          <w:tcPr>
            <w:tcW w:w="14176" w:type="dxa"/>
            <w:gridSpan w:val="6"/>
            <w:shd w:val="clear" w:color="auto" w:fill="DAEEF3"/>
          </w:tcPr>
          <w:p w14:paraId="2DCA45F7"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2.4 – Review existing accreditation and quality assurance programmes to ensure they appropriately support and encourage compliance with best practice AMS approaches</w:t>
            </w:r>
          </w:p>
        </w:tc>
      </w:tr>
      <w:tr w:rsidR="00397E5F" w:rsidRPr="007E17C2" w14:paraId="2D1D4C38" w14:textId="77777777" w:rsidTr="00280417">
        <w:tc>
          <w:tcPr>
            <w:tcW w:w="2977" w:type="dxa"/>
            <w:shd w:val="clear" w:color="auto" w:fill="FFFFFF"/>
          </w:tcPr>
          <w:p w14:paraId="2331925B"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FC876B7" w14:textId="77777777" w:rsidR="00397E5F" w:rsidRPr="00653EF4" w:rsidRDefault="00397E5F" w:rsidP="0053652E">
            <w:pPr>
              <w:spacing w:after="120" w:line="240" w:lineRule="auto"/>
              <w:rPr>
                <w:rFonts w:ascii="Calibri" w:hAnsi="Calibri"/>
              </w:rPr>
            </w:pPr>
          </w:p>
        </w:tc>
        <w:tc>
          <w:tcPr>
            <w:tcW w:w="2552" w:type="dxa"/>
            <w:shd w:val="clear" w:color="auto" w:fill="auto"/>
          </w:tcPr>
          <w:p w14:paraId="087F132A" w14:textId="77777777" w:rsidR="00397E5F" w:rsidRPr="00653EF4" w:rsidRDefault="00397E5F" w:rsidP="0053652E">
            <w:pPr>
              <w:spacing w:after="120" w:line="240" w:lineRule="auto"/>
              <w:rPr>
                <w:rFonts w:ascii="Calibri" w:hAnsi="Calibri"/>
              </w:rPr>
            </w:pPr>
          </w:p>
        </w:tc>
        <w:tc>
          <w:tcPr>
            <w:tcW w:w="2126" w:type="dxa"/>
            <w:shd w:val="clear" w:color="auto" w:fill="auto"/>
          </w:tcPr>
          <w:p w14:paraId="0E0EED14" w14:textId="77777777" w:rsidR="00397E5F" w:rsidRPr="00653EF4" w:rsidRDefault="00397E5F" w:rsidP="0053652E">
            <w:pPr>
              <w:spacing w:after="120" w:line="240" w:lineRule="auto"/>
              <w:rPr>
                <w:rFonts w:ascii="Calibri" w:hAnsi="Calibri"/>
              </w:rPr>
            </w:pPr>
          </w:p>
        </w:tc>
        <w:tc>
          <w:tcPr>
            <w:tcW w:w="2693" w:type="dxa"/>
            <w:shd w:val="clear" w:color="auto" w:fill="auto"/>
          </w:tcPr>
          <w:p w14:paraId="6DA9E24B" w14:textId="77777777" w:rsidR="00397E5F" w:rsidRPr="00653EF4" w:rsidRDefault="00397E5F" w:rsidP="0053652E">
            <w:pPr>
              <w:spacing w:after="120" w:line="240" w:lineRule="auto"/>
              <w:rPr>
                <w:rFonts w:ascii="Calibri" w:hAnsi="Calibri"/>
              </w:rPr>
            </w:pPr>
          </w:p>
        </w:tc>
        <w:tc>
          <w:tcPr>
            <w:tcW w:w="1418" w:type="dxa"/>
            <w:shd w:val="clear" w:color="auto" w:fill="auto"/>
          </w:tcPr>
          <w:p w14:paraId="295B42C5" w14:textId="77777777" w:rsidR="00397E5F" w:rsidRPr="00653EF4" w:rsidRDefault="00397E5F" w:rsidP="0053652E">
            <w:pPr>
              <w:spacing w:after="120" w:line="240" w:lineRule="auto"/>
              <w:rPr>
                <w:rFonts w:ascii="Calibri" w:hAnsi="Calibri"/>
              </w:rPr>
            </w:pPr>
          </w:p>
        </w:tc>
      </w:tr>
      <w:tr w:rsidR="00397E5F" w:rsidRPr="007E17C2" w14:paraId="4B6F225C" w14:textId="77777777" w:rsidTr="00280417">
        <w:tc>
          <w:tcPr>
            <w:tcW w:w="2977" w:type="dxa"/>
            <w:shd w:val="clear" w:color="auto" w:fill="FFFFFF"/>
          </w:tcPr>
          <w:p w14:paraId="5801D337" w14:textId="77777777" w:rsidR="00397E5F" w:rsidRPr="00653EF4" w:rsidRDefault="00397E5F" w:rsidP="0053652E">
            <w:pPr>
              <w:spacing w:after="120" w:line="240" w:lineRule="auto"/>
              <w:rPr>
                <w:rFonts w:ascii="Calibri" w:hAnsi="Calibri"/>
              </w:rPr>
            </w:pPr>
          </w:p>
        </w:tc>
        <w:tc>
          <w:tcPr>
            <w:tcW w:w="2410" w:type="dxa"/>
            <w:shd w:val="clear" w:color="auto" w:fill="auto"/>
          </w:tcPr>
          <w:p w14:paraId="5910BAC6" w14:textId="77777777" w:rsidR="00397E5F" w:rsidRPr="00653EF4" w:rsidRDefault="00397E5F" w:rsidP="0053652E">
            <w:pPr>
              <w:spacing w:after="120" w:line="240" w:lineRule="auto"/>
              <w:rPr>
                <w:rFonts w:ascii="Calibri" w:hAnsi="Calibri"/>
              </w:rPr>
            </w:pPr>
          </w:p>
        </w:tc>
        <w:tc>
          <w:tcPr>
            <w:tcW w:w="2552" w:type="dxa"/>
            <w:shd w:val="clear" w:color="auto" w:fill="auto"/>
          </w:tcPr>
          <w:p w14:paraId="71DA16F1" w14:textId="77777777" w:rsidR="00397E5F" w:rsidRPr="00653EF4" w:rsidRDefault="00397E5F" w:rsidP="0053652E">
            <w:pPr>
              <w:spacing w:after="120" w:line="240" w:lineRule="auto"/>
              <w:rPr>
                <w:rFonts w:ascii="Calibri" w:hAnsi="Calibri"/>
              </w:rPr>
            </w:pPr>
          </w:p>
        </w:tc>
        <w:tc>
          <w:tcPr>
            <w:tcW w:w="2126" w:type="dxa"/>
            <w:shd w:val="clear" w:color="auto" w:fill="auto"/>
          </w:tcPr>
          <w:p w14:paraId="56AF13A9" w14:textId="77777777" w:rsidR="00397E5F" w:rsidRPr="00653EF4" w:rsidRDefault="00397E5F" w:rsidP="0053652E">
            <w:pPr>
              <w:spacing w:after="120" w:line="240" w:lineRule="auto"/>
              <w:rPr>
                <w:rFonts w:ascii="Calibri" w:hAnsi="Calibri"/>
              </w:rPr>
            </w:pPr>
          </w:p>
        </w:tc>
        <w:tc>
          <w:tcPr>
            <w:tcW w:w="2693" w:type="dxa"/>
            <w:shd w:val="clear" w:color="auto" w:fill="auto"/>
          </w:tcPr>
          <w:p w14:paraId="15921AD5" w14:textId="77777777" w:rsidR="00397E5F" w:rsidRPr="00653EF4" w:rsidRDefault="00397E5F" w:rsidP="0053652E">
            <w:pPr>
              <w:spacing w:after="120" w:line="240" w:lineRule="auto"/>
              <w:rPr>
                <w:rFonts w:ascii="Calibri" w:hAnsi="Calibri"/>
              </w:rPr>
            </w:pPr>
          </w:p>
        </w:tc>
        <w:tc>
          <w:tcPr>
            <w:tcW w:w="1418" w:type="dxa"/>
            <w:shd w:val="clear" w:color="auto" w:fill="auto"/>
          </w:tcPr>
          <w:p w14:paraId="211C0817" w14:textId="77777777" w:rsidR="00397E5F" w:rsidRPr="00653EF4" w:rsidRDefault="00397E5F" w:rsidP="0053652E">
            <w:pPr>
              <w:spacing w:after="120" w:line="240" w:lineRule="auto"/>
              <w:rPr>
                <w:rFonts w:ascii="Calibri" w:hAnsi="Calibri"/>
              </w:rPr>
            </w:pPr>
          </w:p>
        </w:tc>
      </w:tr>
      <w:tr w:rsidR="00397E5F" w:rsidRPr="007E17C2" w14:paraId="0D43D5C6" w14:textId="77777777" w:rsidTr="00280417">
        <w:tc>
          <w:tcPr>
            <w:tcW w:w="2977" w:type="dxa"/>
            <w:shd w:val="clear" w:color="auto" w:fill="FFFFFF"/>
          </w:tcPr>
          <w:p w14:paraId="0186129F"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F850028" w14:textId="77777777" w:rsidR="00397E5F" w:rsidRPr="00653EF4" w:rsidRDefault="00397E5F" w:rsidP="0053652E">
            <w:pPr>
              <w:spacing w:after="120" w:line="240" w:lineRule="auto"/>
              <w:rPr>
                <w:rFonts w:ascii="Calibri" w:hAnsi="Calibri"/>
              </w:rPr>
            </w:pPr>
          </w:p>
        </w:tc>
        <w:tc>
          <w:tcPr>
            <w:tcW w:w="2552" w:type="dxa"/>
            <w:shd w:val="clear" w:color="auto" w:fill="auto"/>
          </w:tcPr>
          <w:p w14:paraId="7C63C051" w14:textId="77777777" w:rsidR="00397E5F" w:rsidRPr="00653EF4" w:rsidRDefault="00397E5F" w:rsidP="0053652E">
            <w:pPr>
              <w:spacing w:after="120" w:line="240" w:lineRule="auto"/>
              <w:rPr>
                <w:rFonts w:ascii="Calibri" w:hAnsi="Calibri"/>
              </w:rPr>
            </w:pPr>
          </w:p>
        </w:tc>
        <w:tc>
          <w:tcPr>
            <w:tcW w:w="2126" w:type="dxa"/>
            <w:shd w:val="clear" w:color="auto" w:fill="auto"/>
          </w:tcPr>
          <w:p w14:paraId="19D5DB34" w14:textId="77777777" w:rsidR="00397E5F" w:rsidRPr="00653EF4" w:rsidRDefault="00397E5F" w:rsidP="0053652E">
            <w:pPr>
              <w:spacing w:after="120" w:line="240" w:lineRule="auto"/>
              <w:rPr>
                <w:rFonts w:ascii="Calibri" w:hAnsi="Calibri"/>
              </w:rPr>
            </w:pPr>
          </w:p>
        </w:tc>
        <w:tc>
          <w:tcPr>
            <w:tcW w:w="2693" w:type="dxa"/>
            <w:shd w:val="clear" w:color="auto" w:fill="auto"/>
          </w:tcPr>
          <w:p w14:paraId="3C4707D2" w14:textId="77777777" w:rsidR="00397E5F" w:rsidRPr="00653EF4" w:rsidRDefault="00397E5F" w:rsidP="0053652E">
            <w:pPr>
              <w:spacing w:after="120" w:line="240" w:lineRule="auto"/>
              <w:rPr>
                <w:rFonts w:ascii="Calibri" w:hAnsi="Calibri"/>
              </w:rPr>
            </w:pPr>
          </w:p>
        </w:tc>
        <w:tc>
          <w:tcPr>
            <w:tcW w:w="1418" w:type="dxa"/>
            <w:shd w:val="clear" w:color="auto" w:fill="auto"/>
          </w:tcPr>
          <w:p w14:paraId="0C03EA65" w14:textId="77777777" w:rsidR="00397E5F" w:rsidRPr="00653EF4" w:rsidRDefault="00397E5F" w:rsidP="0053652E">
            <w:pPr>
              <w:spacing w:after="120" w:line="240" w:lineRule="auto"/>
              <w:rPr>
                <w:rFonts w:ascii="Calibri" w:hAnsi="Calibri"/>
              </w:rPr>
            </w:pPr>
          </w:p>
        </w:tc>
      </w:tr>
      <w:tr w:rsidR="00397E5F" w:rsidRPr="007E17C2" w14:paraId="2CF8C923" w14:textId="77777777" w:rsidTr="00280417">
        <w:tc>
          <w:tcPr>
            <w:tcW w:w="14176" w:type="dxa"/>
            <w:gridSpan w:val="6"/>
            <w:shd w:val="clear" w:color="auto" w:fill="DAEEF3"/>
          </w:tcPr>
          <w:p w14:paraId="7E6CBF6E"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2.5 – Strengthen existing measures to better support appropriate and judicious use of antibiotics</w:t>
            </w:r>
          </w:p>
        </w:tc>
      </w:tr>
      <w:tr w:rsidR="00397E5F" w:rsidRPr="007E17C2" w14:paraId="6D4C9A9C" w14:textId="77777777" w:rsidTr="00280417">
        <w:tc>
          <w:tcPr>
            <w:tcW w:w="2977" w:type="dxa"/>
            <w:shd w:val="clear" w:color="auto" w:fill="FFFFFF"/>
          </w:tcPr>
          <w:p w14:paraId="5F490606"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F790ADF" w14:textId="77777777" w:rsidR="00397E5F" w:rsidRPr="00653EF4" w:rsidRDefault="00397E5F" w:rsidP="0053652E">
            <w:pPr>
              <w:spacing w:after="120" w:line="240" w:lineRule="auto"/>
              <w:rPr>
                <w:rFonts w:ascii="Calibri" w:hAnsi="Calibri"/>
              </w:rPr>
            </w:pPr>
          </w:p>
        </w:tc>
        <w:tc>
          <w:tcPr>
            <w:tcW w:w="2552" w:type="dxa"/>
            <w:shd w:val="clear" w:color="auto" w:fill="auto"/>
          </w:tcPr>
          <w:p w14:paraId="31A2B5B3" w14:textId="77777777" w:rsidR="00397E5F" w:rsidRPr="00653EF4" w:rsidRDefault="00397E5F" w:rsidP="0053652E">
            <w:pPr>
              <w:spacing w:after="120" w:line="240" w:lineRule="auto"/>
              <w:rPr>
                <w:rFonts w:ascii="Calibri" w:hAnsi="Calibri"/>
              </w:rPr>
            </w:pPr>
          </w:p>
        </w:tc>
        <w:tc>
          <w:tcPr>
            <w:tcW w:w="2126" w:type="dxa"/>
            <w:shd w:val="clear" w:color="auto" w:fill="auto"/>
          </w:tcPr>
          <w:p w14:paraId="4A215FB4" w14:textId="77777777" w:rsidR="00397E5F" w:rsidRPr="00653EF4" w:rsidRDefault="00397E5F" w:rsidP="0053652E">
            <w:pPr>
              <w:spacing w:after="120" w:line="240" w:lineRule="auto"/>
              <w:rPr>
                <w:rFonts w:ascii="Calibri" w:hAnsi="Calibri"/>
              </w:rPr>
            </w:pPr>
          </w:p>
        </w:tc>
        <w:tc>
          <w:tcPr>
            <w:tcW w:w="2693" w:type="dxa"/>
            <w:shd w:val="clear" w:color="auto" w:fill="auto"/>
          </w:tcPr>
          <w:p w14:paraId="7D6167C2" w14:textId="77777777" w:rsidR="00397E5F" w:rsidRPr="00653EF4" w:rsidRDefault="00397E5F" w:rsidP="0053652E">
            <w:pPr>
              <w:spacing w:after="120" w:line="240" w:lineRule="auto"/>
              <w:rPr>
                <w:rFonts w:ascii="Calibri" w:hAnsi="Calibri"/>
              </w:rPr>
            </w:pPr>
          </w:p>
        </w:tc>
        <w:tc>
          <w:tcPr>
            <w:tcW w:w="1418" w:type="dxa"/>
            <w:shd w:val="clear" w:color="auto" w:fill="auto"/>
          </w:tcPr>
          <w:p w14:paraId="1CD688D8" w14:textId="77777777" w:rsidR="00397E5F" w:rsidRPr="00653EF4" w:rsidRDefault="00397E5F" w:rsidP="0053652E">
            <w:pPr>
              <w:spacing w:after="120" w:line="240" w:lineRule="auto"/>
              <w:rPr>
                <w:rFonts w:ascii="Calibri" w:hAnsi="Calibri"/>
              </w:rPr>
            </w:pPr>
          </w:p>
        </w:tc>
      </w:tr>
      <w:tr w:rsidR="00397E5F" w:rsidRPr="007E17C2" w14:paraId="0D56E48C" w14:textId="77777777" w:rsidTr="00280417">
        <w:tc>
          <w:tcPr>
            <w:tcW w:w="2977" w:type="dxa"/>
            <w:shd w:val="clear" w:color="auto" w:fill="FFFFFF"/>
          </w:tcPr>
          <w:p w14:paraId="2ED45234"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22624E5D" w14:textId="77777777" w:rsidR="00397E5F" w:rsidRPr="00653EF4" w:rsidRDefault="00397E5F" w:rsidP="0053652E">
            <w:pPr>
              <w:spacing w:after="120" w:line="240" w:lineRule="auto"/>
              <w:rPr>
                <w:rFonts w:ascii="Calibri" w:hAnsi="Calibri"/>
              </w:rPr>
            </w:pPr>
          </w:p>
        </w:tc>
        <w:tc>
          <w:tcPr>
            <w:tcW w:w="2552" w:type="dxa"/>
            <w:shd w:val="clear" w:color="auto" w:fill="auto"/>
          </w:tcPr>
          <w:p w14:paraId="3065057A" w14:textId="77777777" w:rsidR="00397E5F" w:rsidRPr="00653EF4" w:rsidRDefault="00397E5F" w:rsidP="0053652E">
            <w:pPr>
              <w:spacing w:after="120" w:line="240" w:lineRule="auto"/>
              <w:rPr>
                <w:rFonts w:ascii="Calibri" w:hAnsi="Calibri"/>
              </w:rPr>
            </w:pPr>
          </w:p>
        </w:tc>
        <w:tc>
          <w:tcPr>
            <w:tcW w:w="2126" w:type="dxa"/>
            <w:shd w:val="clear" w:color="auto" w:fill="auto"/>
          </w:tcPr>
          <w:p w14:paraId="2E8FDBEF" w14:textId="77777777" w:rsidR="00397E5F" w:rsidRPr="00653EF4" w:rsidRDefault="00397E5F" w:rsidP="0053652E">
            <w:pPr>
              <w:spacing w:after="120" w:line="240" w:lineRule="auto"/>
              <w:rPr>
                <w:rFonts w:ascii="Calibri" w:hAnsi="Calibri"/>
              </w:rPr>
            </w:pPr>
          </w:p>
        </w:tc>
        <w:tc>
          <w:tcPr>
            <w:tcW w:w="2693" w:type="dxa"/>
            <w:shd w:val="clear" w:color="auto" w:fill="auto"/>
          </w:tcPr>
          <w:p w14:paraId="5FF525A8" w14:textId="77777777" w:rsidR="00397E5F" w:rsidRPr="00653EF4" w:rsidRDefault="00397E5F" w:rsidP="0053652E">
            <w:pPr>
              <w:spacing w:after="120" w:line="240" w:lineRule="auto"/>
              <w:rPr>
                <w:rFonts w:ascii="Calibri" w:hAnsi="Calibri"/>
              </w:rPr>
            </w:pPr>
          </w:p>
        </w:tc>
        <w:tc>
          <w:tcPr>
            <w:tcW w:w="1418" w:type="dxa"/>
            <w:shd w:val="clear" w:color="auto" w:fill="auto"/>
          </w:tcPr>
          <w:p w14:paraId="5AB282F5" w14:textId="77777777" w:rsidR="00397E5F" w:rsidRPr="00653EF4" w:rsidRDefault="00397E5F" w:rsidP="0053652E">
            <w:pPr>
              <w:spacing w:after="120" w:line="240" w:lineRule="auto"/>
              <w:rPr>
                <w:rFonts w:ascii="Calibri" w:hAnsi="Calibri"/>
              </w:rPr>
            </w:pPr>
          </w:p>
        </w:tc>
      </w:tr>
      <w:tr w:rsidR="00397E5F" w:rsidRPr="007E17C2" w14:paraId="50A829C0" w14:textId="77777777" w:rsidTr="00280417">
        <w:tc>
          <w:tcPr>
            <w:tcW w:w="2977" w:type="dxa"/>
            <w:shd w:val="clear" w:color="auto" w:fill="FFFFFF"/>
          </w:tcPr>
          <w:p w14:paraId="598A85C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23B28F7" w14:textId="77777777" w:rsidR="00397E5F" w:rsidRPr="00653EF4" w:rsidRDefault="00397E5F" w:rsidP="0053652E">
            <w:pPr>
              <w:spacing w:after="120" w:line="240" w:lineRule="auto"/>
              <w:rPr>
                <w:rFonts w:ascii="Calibri" w:hAnsi="Calibri"/>
              </w:rPr>
            </w:pPr>
          </w:p>
        </w:tc>
        <w:tc>
          <w:tcPr>
            <w:tcW w:w="2552" w:type="dxa"/>
            <w:shd w:val="clear" w:color="auto" w:fill="auto"/>
          </w:tcPr>
          <w:p w14:paraId="229F675F" w14:textId="77777777" w:rsidR="00397E5F" w:rsidRPr="00653EF4" w:rsidRDefault="00397E5F" w:rsidP="0053652E">
            <w:pPr>
              <w:spacing w:after="120" w:line="240" w:lineRule="auto"/>
              <w:rPr>
                <w:rFonts w:ascii="Calibri" w:hAnsi="Calibri"/>
              </w:rPr>
            </w:pPr>
          </w:p>
        </w:tc>
        <w:tc>
          <w:tcPr>
            <w:tcW w:w="2126" w:type="dxa"/>
            <w:shd w:val="clear" w:color="auto" w:fill="auto"/>
          </w:tcPr>
          <w:p w14:paraId="584D609B" w14:textId="77777777" w:rsidR="00397E5F" w:rsidRPr="00653EF4" w:rsidRDefault="00397E5F" w:rsidP="0053652E">
            <w:pPr>
              <w:spacing w:after="120" w:line="240" w:lineRule="auto"/>
              <w:rPr>
                <w:rFonts w:ascii="Calibri" w:hAnsi="Calibri"/>
              </w:rPr>
            </w:pPr>
          </w:p>
        </w:tc>
        <w:tc>
          <w:tcPr>
            <w:tcW w:w="2693" w:type="dxa"/>
            <w:shd w:val="clear" w:color="auto" w:fill="auto"/>
          </w:tcPr>
          <w:p w14:paraId="2B8003E2" w14:textId="77777777" w:rsidR="00397E5F" w:rsidRPr="00653EF4" w:rsidRDefault="00397E5F" w:rsidP="0053652E">
            <w:pPr>
              <w:spacing w:after="120" w:line="240" w:lineRule="auto"/>
              <w:rPr>
                <w:rFonts w:ascii="Calibri" w:hAnsi="Calibri"/>
              </w:rPr>
            </w:pPr>
          </w:p>
        </w:tc>
        <w:tc>
          <w:tcPr>
            <w:tcW w:w="1418" w:type="dxa"/>
            <w:shd w:val="clear" w:color="auto" w:fill="auto"/>
          </w:tcPr>
          <w:p w14:paraId="6921CC51" w14:textId="77777777" w:rsidR="00397E5F" w:rsidRPr="00653EF4" w:rsidRDefault="00397E5F" w:rsidP="0053652E">
            <w:pPr>
              <w:spacing w:after="120" w:line="240" w:lineRule="auto"/>
              <w:rPr>
                <w:rFonts w:ascii="Calibri" w:hAnsi="Calibri"/>
              </w:rPr>
            </w:pPr>
          </w:p>
        </w:tc>
      </w:tr>
    </w:tbl>
    <w:p w14:paraId="5E567AEC" w14:textId="43C32616" w:rsidR="00292FBF" w:rsidRDefault="00292FBF" w:rsidP="0053652E">
      <w:pPr>
        <w:spacing w:after="120" w:line="240" w:lineRule="auto"/>
        <w:rPr>
          <w:rFonts w:ascii="Calibri" w:hAnsi="Calibri"/>
          <w:noProof/>
        </w:rPr>
      </w:pPr>
    </w:p>
    <w:p w14:paraId="30990391" w14:textId="77777777" w:rsidR="00292FBF" w:rsidRDefault="00292FBF">
      <w:pPr>
        <w:rPr>
          <w:rFonts w:ascii="Calibri" w:hAnsi="Calibri"/>
          <w:noProof/>
        </w:rPr>
      </w:pPr>
      <w:r>
        <w:rPr>
          <w:rFonts w:ascii="Calibri" w:hAnsi="Calibri"/>
          <w:noProof/>
        </w:rPr>
        <w:br w:type="page"/>
      </w:r>
    </w:p>
    <w:p w14:paraId="74C1A425" w14:textId="77777777" w:rsidR="00397E5F" w:rsidRDefault="00397E5F" w:rsidP="0053652E">
      <w:pPr>
        <w:spacing w:after="120" w:line="240" w:lineRule="auto"/>
        <w:rPr>
          <w:rFonts w:ascii="Calibri" w:hAnsi="Calibri"/>
          <w:noProof/>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3: Develop nationally coordinated One Health surveillance of antimicrobial resistance and antimicrobial usage.&#10;Under the main heading there are six columns with the following headings:&#10;Activity&#10;Responsibility – Lead&#10;Key Partners (include role)&#10;Milestones&#10;Expected Outcome/s&#10;Links with other Strategy Objectives&#10;There are subheadings of seven priority action areas.&#10;Priority Action Area 3.1 – Establish the foundations for national One Health Surveillance.&#10;Priority Action Area 3.2 – Agree the objectives of surveillance for each sector, ensuring they align with the overarching objectives for the national One Health surveillance system.&#10;Priority Action Area 3.3 – Develop lists of priority organisms and associated antimicrobials for national reporting.&#10;Priority Action Area 3.4 – Agree and implement a uniform standard for laboratory testing methods for resistance susceptibility.&#10;Priority Action Area 3.5 – Improve human health surveillance.&#10;Priority Action Area 3.6 – Improve animal health and agriculture surveillance.&#10;Priority Action Area 3.7 – Investigate requirements for surveillance in food.&#10;"/>
      </w:tblPr>
      <w:tblGrid>
        <w:gridCol w:w="2977"/>
        <w:gridCol w:w="2410"/>
        <w:gridCol w:w="2552"/>
        <w:gridCol w:w="2126"/>
        <w:gridCol w:w="2693"/>
        <w:gridCol w:w="1418"/>
      </w:tblGrid>
      <w:tr w:rsidR="00397E5F" w:rsidRPr="00644385" w14:paraId="15D3C68A" w14:textId="77777777" w:rsidTr="00280417">
        <w:trPr>
          <w:tblHeader/>
        </w:trPr>
        <w:tc>
          <w:tcPr>
            <w:tcW w:w="14176" w:type="dxa"/>
            <w:gridSpan w:val="6"/>
            <w:tcBorders>
              <w:bottom w:val="single" w:sz="8" w:space="0" w:color="auto"/>
            </w:tcBorders>
            <w:shd w:val="clear" w:color="auto" w:fill="31849B"/>
          </w:tcPr>
          <w:p w14:paraId="36B69736" w14:textId="77777777" w:rsidR="00397E5F" w:rsidRPr="008F24BA" w:rsidRDefault="00397E5F" w:rsidP="0053652E">
            <w:pPr>
              <w:spacing w:after="120" w:line="240" w:lineRule="auto"/>
              <w:rPr>
                <w:rFonts w:ascii="Calibri" w:hAnsi="Calibri"/>
                <w:color w:val="FFFFFF"/>
                <w:sz w:val="28"/>
                <w:szCs w:val="28"/>
              </w:rPr>
            </w:pPr>
            <w:r>
              <w:rPr>
                <w:rFonts w:ascii="Calibri" w:hAnsi="Calibri"/>
                <w:b/>
                <w:color w:val="FFFFFF"/>
                <w:sz w:val="28"/>
                <w:szCs w:val="28"/>
              </w:rPr>
              <w:t>Objective 3</w:t>
            </w:r>
            <w:r w:rsidRPr="008F24BA">
              <w:rPr>
                <w:rFonts w:ascii="Calibri" w:hAnsi="Calibri"/>
                <w:b/>
                <w:color w:val="FFFFFF"/>
                <w:sz w:val="28"/>
                <w:szCs w:val="28"/>
              </w:rPr>
              <w:t xml:space="preserve">: </w:t>
            </w:r>
            <w:r w:rsidRPr="008F24BA">
              <w:rPr>
                <w:rFonts w:ascii="Calibri" w:hAnsi="Calibri"/>
                <w:color w:val="FFFFFF"/>
                <w:sz w:val="28"/>
                <w:szCs w:val="28"/>
              </w:rPr>
              <w:t>Develop nationally coordinated One Health surveillance of antimicrobial resistance and antimicrobial usage</w:t>
            </w:r>
          </w:p>
        </w:tc>
      </w:tr>
      <w:tr w:rsidR="00397E5F" w:rsidRPr="00644385" w14:paraId="5B535FD1" w14:textId="77777777" w:rsidTr="00280417">
        <w:trPr>
          <w:tblHeader/>
        </w:trPr>
        <w:tc>
          <w:tcPr>
            <w:tcW w:w="2977" w:type="dxa"/>
            <w:tcBorders>
              <w:bottom w:val="single" w:sz="8" w:space="0" w:color="auto"/>
            </w:tcBorders>
            <w:shd w:val="clear" w:color="auto" w:fill="92CDDC"/>
          </w:tcPr>
          <w:p w14:paraId="78746064" w14:textId="77777777" w:rsidR="00397E5F" w:rsidRPr="00653EF4" w:rsidRDefault="00397E5F" w:rsidP="0053652E">
            <w:pPr>
              <w:spacing w:after="120" w:line="240" w:lineRule="auto"/>
              <w:rPr>
                <w:rFonts w:ascii="Calibri" w:hAnsi="Calibri"/>
                <w:b/>
                <w:color w:val="215868"/>
                <w:vertAlign w:val="superscript"/>
              </w:rPr>
            </w:pPr>
            <w:r w:rsidRPr="00653EF4">
              <w:rPr>
                <w:rFonts w:ascii="Calibri" w:hAnsi="Calibri"/>
                <w:b/>
                <w:color w:val="215868"/>
              </w:rPr>
              <w:t>Activity</w:t>
            </w:r>
          </w:p>
        </w:tc>
        <w:tc>
          <w:tcPr>
            <w:tcW w:w="2410" w:type="dxa"/>
            <w:tcBorders>
              <w:bottom w:val="single" w:sz="8" w:space="0" w:color="auto"/>
            </w:tcBorders>
            <w:shd w:val="clear" w:color="auto" w:fill="92CDDC"/>
          </w:tcPr>
          <w:p w14:paraId="23A2C860"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Responsibility – Lead</w:t>
            </w:r>
          </w:p>
        </w:tc>
        <w:tc>
          <w:tcPr>
            <w:tcW w:w="2552" w:type="dxa"/>
            <w:tcBorders>
              <w:bottom w:val="single" w:sz="8" w:space="0" w:color="auto"/>
            </w:tcBorders>
            <w:shd w:val="clear" w:color="auto" w:fill="92CDDC"/>
          </w:tcPr>
          <w:p w14:paraId="36EDE204"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Key partners (include role)</w:t>
            </w:r>
          </w:p>
        </w:tc>
        <w:tc>
          <w:tcPr>
            <w:tcW w:w="2126" w:type="dxa"/>
            <w:tcBorders>
              <w:bottom w:val="single" w:sz="8" w:space="0" w:color="auto"/>
            </w:tcBorders>
            <w:shd w:val="clear" w:color="auto" w:fill="92CDDC"/>
          </w:tcPr>
          <w:p w14:paraId="5F0496C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Milestones</w:t>
            </w:r>
          </w:p>
        </w:tc>
        <w:tc>
          <w:tcPr>
            <w:tcW w:w="2693" w:type="dxa"/>
            <w:tcBorders>
              <w:bottom w:val="single" w:sz="8" w:space="0" w:color="auto"/>
            </w:tcBorders>
            <w:shd w:val="clear" w:color="auto" w:fill="92CDDC"/>
          </w:tcPr>
          <w:p w14:paraId="4E1A577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Expected Outcome/s</w:t>
            </w:r>
          </w:p>
        </w:tc>
        <w:tc>
          <w:tcPr>
            <w:tcW w:w="1418" w:type="dxa"/>
            <w:tcBorders>
              <w:bottom w:val="single" w:sz="8" w:space="0" w:color="auto"/>
            </w:tcBorders>
            <w:shd w:val="clear" w:color="auto" w:fill="92CDDC"/>
          </w:tcPr>
          <w:p w14:paraId="639B63DF"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Links with other Strategy Objectives</w:t>
            </w:r>
          </w:p>
        </w:tc>
      </w:tr>
      <w:tr w:rsidR="00397E5F" w:rsidRPr="00FF5AE8" w14:paraId="2B0B088F" w14:textId="77777777" w:rsidTr="00280417">
        <w:trPr>
          <w:trHeight w:val="456"/>
        </w:trPr>
        <w:tc>
          <w:tcPr>
            <w:tcW w:w="14176" w:type="dxa"/>
            <w:gridSpan w:val="6"/>
            <w:tcBorders>
              <w:top w:val="single" w:sz="8" w:space="0" w:color="auto"/>
            </w:tcBorders>
            <w:shd w:val="clear" w:color="auto" w:fill="DAEEF3"/>
          </w:tcPr>
          <w:p w14:paraId="288FADCB"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3.1 – Establish the foundations for national One Health Surveillance</w:t>
            </w:r>
          </w:p>
        </w:tc>
      </w:tr>
      <w:tr w:rsidR="00397E5F" w:rsidRPr="00FF5AE8" w14:paraId="73E202B9" w14:textId="77777777" w:rsidTr="00280417">
        <w:tc>
          <w:tcPr>
            <w:tcW w:w="2977" w:type="dxa"/>
            <w:shd w:val="clear" w:color="auto" w:fill="auto"/>
          </w:tcPr>
          <w:p w14:paraId="6154182F" w14:textId="77777777" w:rsidR="00397E5F" w:rsidRPr="00653EF4" w:rsidRDefault="00397E5F" w:rsidP="0053652E">
            <w:pPr>
              <w:spacing w:after="120" w:line="240" w:lineRule="auto"/>
              <w:rPr>
                <w:rFonts w:ascii="Calibri" w:hAnsi="Calibri"/>
              </w:rPr>
            </w:pPr>
          </w:p>
        </w:tc>
        <w:tc>
          <w:tcPr>
            <w:tcW w:w="2410" w:type="dxa"/>
            <w:shd w:val="clear" w:color="auto" w:fill="auto"/>
          </w:tcPr>
          <w:p w14:paraId="7230B2CA"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5147E8EA" w14:textId="77777777" w:rsidR="00397E5F" w:rsidRPr="00653EF4" w:rsidRDefault="00397E5F" w:rsidP="0053652E">
            <w:pPr>
              <w:spacing w:after="120" w:line="240" w:lineRule="auto"/>
              <w:rPr>
                <w:rFonts w:ascii="Calibri" w:hAnsi="Calibri"/>
              </w:rPr>
            </w:pPr>
          </w:p>
        </w:tc>
        <w:tc>
          <w:tcPr>
            <w:tcW w:w="2126" w:type="dxa"/>
            <w:shd w:val="clear" w:color="auto" w:fill="auto"/>
          </w:tcPr>
          <w:p w14:paraId="4EBF4AD3" w14:textId="77777777" w:rsidR="00397E5F" w:rsidRPr="00653EF4" w:rsidRDefault="00397E5F" w:rsidP="0053652E">
            <w:pPr>
              <w:spacing w:after="120" w:line="240" w:lineRule="auto"/>
              <w:rPr>
                <w:rFonts w:ascii="Calibri" w:hAnsi="Calibri"/>
              </w:rPr>
            </w:pPr>
          </w:p>
        </w:tc>
        <w:tc>
          <w:tcPr>
            <w:tcW w:w="2693" w:type="dxa"/>
            <w:shd w:val="clear" w:color="auto" w:fill="auto"/>
          </w:tcPr>
          <w:p w14:paraId="1BA6571F" w14:textId="77777777" w:rsidR="00397E5F" w:rsidRPr="00653EF4" w:rsidRDefault="00397E5F" w:rsidP="0053652E">
            <w:pPr>
              <w:spacing w:after="120" w:line="240" w:lineRule="auto"/>
              <w:rPr>
                <w:rFonts w:ascii="Calibri" w:hAnsi="Calibri"/>
              </w:rPr>
            </w:pPr>
          </w:p>
        </w:tc>
        <w:tc>
          <w:tcPr>
            <w:tcW w:w="1418" w:type="dxa"/>
            <w:shd w:val="clear" w:color="auto" w:fill="auto"/>
          </w:tcPr>
          <w:p w14:paraId="57690B44" w14:textId="77777777" w:rsidR="00397E5F" w:rsidRPr="00653EF4" w:rsidRDefault="00397E5F" w:rsidP="0053652E">
            <w:pPr>
              <w:spacing w:after="120" w:line="240" w:lineRule="auto"/>
              <w:rPr>
                <w:rFonts w:ascii="Calibri" w:hAnsi="Calibri"/>
              </w:rPr>
            </w:pPr>
          </w:p>
        </w:tc>
      </w:tr>
      <w:tr w:rsidR="00397E5F" w:rsidRPr="00FF5AE8" w14:paraId="3EC0A5B6" w14:textId="77777777" w:rsidTr="00280417">
        <w:tc>
          <w:tcPr>
            <w:tcW w:w="2977" w:type="dxa"/>
            <w:shd w:val="clear" w:color="auto" w:fill="auto"/>
          </w:tcPr>
          <w:p w14:paraId="408F56F0" w14:textId="77777777" w:rsidR="00397E5F" w:rsidRPr="00653EF4" w:rsidRDefault="00397E5F" w:rsidP="0053652E">
            <w:pPr>
              <w:spacing w:after="120" w:line="240" w:lineRule="auto"/>
              <w:rPr>
                <w:rFonts w:ascii="Calibri" w:hAnsi="Calibri"/>
              </w:rPr>
            </w:pPr>
          </w:p>
        </w:tc>
        <w:tc>
          <w:tcPr>
            <w:tcW w:w="2410" w:type="dxa"/>
            <w:shd w:val="clear" w:color="auto" w:fill="auto"/>
          </w:tcPr>
          <w:p w14:paraId="56070609" w14:textId="77777777" w:rsidR="00397E5F" w:rsidRPr="00653EF4" w:rsidRDefault="00397E5F" w:rsidP="0053652E">
            <w:pPr>
              <w:spacing w:after="120" w:line="240" w:lineRule="auto"/>
              <w:rPr>
                <w:rFonts w:ascii="Calibri" w:hAnsi="Calibri"/>
              </w:rPr>
            </w:pPr>
          </w:p>
        </w:tc>
        <w:tc>
          <w:tcPr>
            <w:tcW w:w="2552" w:type="dxa"/>
            <w:shd w:val="clear" w:color="auto" w:fill="auto"/>
          </w:tcPr>
          <w:p w14:paraId="667F60BB" w14:textId="77777777" w:rsidR="00397E5F" w:rsidRPr="00653EF4" w:rsidRDefault="00397E5F" w:rsidP="0053652E">
            <w:pPr>
              <w:spacing w:after="120" w:line="240" w:lineRule="auto"/>
              <w:rPr>
                <w:rFonts w:ascii="Calibri" w:hAnsi="Calibri"/>
              </w:rPr>
            </w:pPr>
          </w:p>
        </w:tc>
        <w:tc>
          <w:tcPr>
            <w:tcW w:w="2126" w:type="dxa"/>
            <w:shd w:val="clear" w:color="auto" w:fill="auto"/>
          </w:tcPr>
          <w:p w14:paraId="3FAEE17E" w14:textId="77777777" w:rsidR="00397E5F" w:rsidRPr="00653EF4" w:rsidRDefault="00397E5F" w:rsidP="0053652E">
            <w:pPr>
              <w:spacing w:after="120" w:line="240" w:lineRule="auto"/>
              <w:rPr>
                <w:rFonts w:ascii="Calibri" w:hAnsi="Calibri"/>
              </w:rPr>
            </w:pPr>
          </w:p>
        </w:tc>
        <w:tc>
          <w:tcPr>
            <w:tcW w:w="2693" w:type="dxa"/>
            <w:shd w:val="clear" w:color="auto" w:fill="auto"/>
          </w:tcPr>
          <w:p w14:paraId="330D6668" w14:textId="77777777" w:rsidR="00397E5F" w:rsidRPr="00653EF4" w:rsidRDefault="00397E5F" w:rsidP="0053652E">
            <w:pPr>
              <w:spacing w:after="120" w:line="240" w:lineRule="auto"/>
              <w:rPr>
                <w:rFonts w:ascii="Calibri" w:hAnsi="Calibri"/>
              </w:rPr>
            </w:pPr>
          </w:p>
        </w:tc>
        <w:tc>
          <w:tcPr>
            <w:tcW w:w="1418" w:type="dxa"/>
            <w:shd w:val="clear" w:color="auto" w:fill="auto"/>
          </w:tcPr>
          <w:p w14:paraId="241E7023" w14:textId="77777777" w:rsidR="00397E5F" w:rsidRPr="00653EF4" w:rsidRDefault="00397E5F" w:rsidP="0053652E">
            <w:pPr>
              <w:spacing w:after="120" w:line="240" w:lineRule="auto"/>
              <w:rPr>
                <w:rFonts w:ascii="Calibri" w:hAnsi="Calibri"/>
              </w:rPr>
            </w:pPr>
          </w:p>
        </w:tc>
      </w:tr>
      <w:tr w:rsidR="00397E5F" w:rsidRPr="00FF5AE8" w14:paraId="094E8336" w14:textId="77777777" w:rsidTr="00280417">
        <w:tc>
          <w:tcPr>
            <w:tcW w:w="14176" w:type="dxa"/>
            <w:gridSpan w:val="6"/>
            <w:shd w:val="clear" w:color="auto" w:fill="DAEEF3"/>
          </w:tcPr>
          <w:p w14:paraId="7FA21D64"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t xml:space="preserve">Priority Action Area 3.2 – Agree the objectives of surveillance for each sector, ensuring they align with the overarching objectives for the national One Health surveillance system </w:t>
            </w:r>
          </w:p>
        </w:tc>
      </w:tr>
      <w:tr w:rsidR="00397E5F" w:rsidRPr="007E17C2" w14:paraId="4DB028F2" w14:textId="77777777" w:rsidTr="00280417">
        <w:tc>
          <w:tcPr>
            <w:tcW w:w="2977" w:type="dxa"/>
            <w:shd w:val="clear" w:color="auto" w:fill="FFFFFF"/>
          </w:tcPr>
          <w:p w14:paraId="240C6817"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B01FA0C" w14:textId="77777777" w:rsidR="00397E5F" w:rsidRPr="00653EF4" w:rsidRDefault="00397E5F" w:rsidP="0053652E">
            <w:pPr>
              <w:spacing w:after="120" w:line="240" w:lineRule="auto"/>
              <w:rPr>
                <w:rFonts w:ascii="Calibri" w:hAnsi="Calibri"/>
              </w:rPr>
            </w:pPr>
          </w:p>
        </w:tc>
        <w:tc>
          <w:tcPr>
            <w:tcW w:w="2552" w:type="dxa"/>
            <w:shd w:val="clear" w:color="auto" w:fill="auto"/>
          </w:tcPr>
          <w:p w14:paraId="65E260F8" w14:textId="77777777" w:rsidR="00397E5F" w:rsidRPr="00653EF4" w:rsidRDefault="00397E5F" w:rsidP="0053652E">
            <w:pPr>
              <w:spacing w:after="120" w:line="240" w:lineRule="auto"/>
              <w:rPr>
                <w:rFonts w:ascii="Calibri" w:hAnsi="Calibri"/>
              </w:rPr>
            </w:pPr>
          </w:p>
        </w:tc>
        <w:tc>
          <w:tcPr>
            <w:tcW w:w="2126" w:type="dxa"/>
            <w:shd w:val="clear" w:color="auto" w:fill="auto"/>
          </w:tcPr>
          <w:p w14:paraId="38AEF64A" w14:textId="77777777" w:rsidR="00397E5F" w:rsidRPr="00653EF4" w:rsidRDefault="00397E5F" w:rsidP="0053652E">
            <w:pPr>
              <w:spacing w:after="120" w:line="240" w:lineRule="auto"/>
              <w:rPr>
                <w:rFonts w:ascii="Calibri" w:hAnsi="Calibri"/>
              </w:rPr>
            </w:pPr>
          </w:p>
        </w:tc>
        <w:tc>
          <w:tcPr>
            <w:tcW w:w="2693" w:type="dxa"/>
            <w:shd w:val="clear" w:color="auto" w:fill="auto"/>
          </w:tcPr>
          <w:p w14:paraId="2B2B59D0" w14:textId="77777777" w:rsidR="00397E5F" w:rsidRPr="00653EF4" w:rsidRDefault="00397E5F" w:rsidP="0053652E">
            <w:pPr>
              <w:spacing w:after="120" w:line="240" w:lineRule="auto"/>
              <w:rPr>
                <w:rFonts w:ascii="Calibri" w:hAnsi="Calibri"/>
              </w:rPr>
            </w:pPr>
          </w:p>
        </w:tc>
        <w:tc>
          <w:tcPr>
            <w:tcW w:w="1418" w:type="dxa"/>
            <w:shd w:val="clear" w:color="auto" w:fill="auto"/>
          </w:tcPr>
          <w:p w14:paraId="39214DBD" w14:textId="77777777" w:rsidR="00397E5F" w:rsidRPr="00653EF4" w:rsidRDefault="00397E5F" w:rsidP="0053652E">
            <w:pPr>
              <w:spacing w:after="120" w:line="240" w:lineRule="auto"/>
              <w:rPr>
                <w:rFonts w:ascii="Calibri" w:hAnsi="Calibri"/>
              </w:rPr>
            </w:pPr>
          </w:p>
        </w:tc>
      </w:tr>
      <w:tr w:rsidR="00397E5F" w:rsidRPr="007E17C2" w14:paraId="34F47E85" w14:textId="77777777" w:rsidTr="00280417">
        <w:tc>
          <w:tcPr>
            <w:tcW w:w="2977" w:type="dxa"/>
            <w:shd w:val="clear" w:color="auto" w:fill="FFFFFF"/>
          </w:tcPr>
          <w:p w14:paraId="7A1FAB3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2BF88559" w14:textId="77777777" w:rsidR="00397E5F" w:rsidRPr="00653EF4" w:rsidRDefault="00397E5F" w:rsidP="0053652E">
            <w:pPr>
              <w:spacing w:after="120" w:line="240" w:lineRule="auto"/>
              <w:rPr>
                <w:rFonts w:ascii="Calibri" w:hAnsi="Calibri"/>
              </w:rPr>
            </w:pPr>
          </w:p>
        </w:tc>
        <w:tc>
          <w:tcPr>
            <w:tcW w:w="2552" w:type="dxa"/>
            <w:shd w:val="clear" w:color="auto" w:fill="auto"/>
          </w:tcPr>
          <w:p w14:paraId="78206080" w14:textId="77777777" w:rsidR="00397E5F" w:rsidRPr="00653EF4" w:rsidRDefault="00397E5F" w:rsidP="0053652E">
            <w:pPr>
              <w:spacing w:after="120" w:line="240" w:lineRule="auto"/>
              <w:rPr>
                <w:rFonts w:ascii="Calibri" w:hAnsi="Calibri"/>
              </w:rPr>
            </w:pPr>
          </w:p>
        </w:tc>
        <w:tc>
          <w:tcPr>
            <w:tcW w:w="2126" w:type="dxa"/>
            <w:shd w:val="clear" w:color="auto" w:fill="auto"/>
          </w:tcPr>
          <w:p w14:paraId="0D22FF0C" w14:textId="77777777" w:rsidR="00397E5F" w:rsidRPr="00653EF4" w:rsidRDefault="00397E5F" w:rsidP="0053652E">
            <w:pPr>
              <w:spacing w:after="120" w:line="240" w:lineRule="auto"/>
              <w:rPr>
                <w:rFonts w:ascii="Calibri" w:hAnsi="Calibri"/>
              </w:rPr>
            </w:pPr>
          </w:p>
        </w:tc>
        <w:tc>
          <w:tcPr>
            <w:tcW w:w="2693" w:type="dxa"/>
            <w:shd w:val="clear" w:color="auto" w:fill="auto"/>
          </w:tcPr>
          <w:p w14:paraId="129F1C3F" w14:textId="77777777" w:rsidR="00397E5F" w:rsidRPr="00653EF4" w:rsidRDefault="00397E5F" w:rsidP="0053652E">
            <w:pPr>
              <w:spacing w:after="120" w:line="240" w:lineRule="auto"/>
              <w:rPr>
                <w:rFonts w:ascii="Calibri" w:hAnsi="Calibri"/>
              </w:rPr>
            </w:pPr>
          </w:p>
        </w:tc>
        <w:tc>
          <w:tcPr>
            <w:tcW w:w="1418" w:type="dxa"/>
            <w:shd w:val="clear" w:color="auto" w:fill="auto"/>
          </w:tcPr>
          <w:p w14:paraId="7D0B48CB" w14:textId="77777777" w:rsidR="00397E5F" w:rsidRPr="00653EF4" w:rsidRDefault="00397E5F" w:rsidP="0053652E">
            <w:pPr>
              <w:spacing w:after="120" w:line="240" w:lineRule="auto"/>
              <w:rPr>
                <w:rFonts w:ascii="Calibri" w:hAnsi="Calibri"/>
              </w:rPr>
            </w:pPr>
          </w:p>
        </w:tc>
      </w:tr>
      <w:tr w:rsidR="00397E5F" w:rsidRPr="007E17C2" w14:paraId="69BCB0CE" w14:textId="77777777" w:rsidTr="00280417">
        <w:tc>
          <w:tcPr>
            <w:tcW w:w="14176" w:type="dxa"/>
            <w:gridSpan w:val="6"/>
            <w:shd w:val="clear" w:color="auto" w:fill="DAEEF3"/>
          </w:tcPr>
          <w:p w14:paraId="22A68803"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3.3 – Develop lists of priority organisms and associated antimicrobials for national reporting</w:t>
            </w:r>
          </w:p>
        </w:tc>
      </w:tr>
      <w:tr w:rsidR="00397E5F" w:rsidRPr="007E17C2" w14:paraId="36E25029" w14:textId="77777777" w:rsidTr="00280417">
        <w:tc>
          <w:tcPr>
            <w:tcW w:w="2977" w:type="dxa"/>
            <w:shd w:val="clear" w:color="auto" w:fill="FFFFFF"/>
          </w:tcPr>
          <w:p w14:paraId="06D7C740"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1F0391C2" w14:textId="77777777" w:rsidR="00397E5F" w:rsidRPr="00653EF4" w:rsidRDefault="00397E5F" w:rsidP="0053652E">
            <w:pPr>
              <w:spacing w:after="120" w:line="240" w:lineRule="auto"/>
              <w:rPr>
                <w:rFonts w:ascii="Calibri" w:hAnsi="Calibri"/>
              </w:rPr>
            </w:pPr>
          </w:p>
        </w:tc>
        <w:tc>
          <w:tcPr>
            <w:tcW w:w="2552" w:type="dxa"/>
            <w:shd w:val="clear" w:color="auto" w:fill="auto"/>
          </w:tcPr>
          <w:p w14:paraId="66FB7918"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586181B5" w14:textId="77777777" w:rsidR="00397E5F" w:rsidRPr="00653EF4" w:rsidRDefault="00397E5F" w:rsidP="0053652E">
            <w:pPr>
              <w:spacing w:after="120" w:line="240" w:lineRule="auto"/>
              <w:rPr>
                <w:rFonts w:ascii="Calibri" w:hAnsi="Calibri"/>
              </w:rPr>
            </w:pPr>
          </w:p>
        </w:tc>
        <w:tc>
          <w:tcPr>
            <w:tcW w:w="2693" w:type="dxa"/>
            <w:shd w:val="clear" w:color="auto" w:fill="auto"/>
          </w:tcPr>
          <w:p w14:paraId="2FB9DD7D"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0872CAFF" w14:textId="77777777" w:rsidR="00397E5F" w:rsidRPr="00653EF4" w:rsidRDefault="00397E5F" w:rsidP="0053652E">
            <w:pPr>
              <w:spacing w:after="120" w:line="240" w:lineRule="auto"/>
              <w:rPr>
                <w:rFonts w:ascii="Calibri" w:hAnsi="Calibri"/>
                <w:highlight w:val="yellow"/>
              </w:rPr>
            </w:pPr>
          </w:p>
        </w:tc>
      </w:tr>
      <w:tr w:rsidR="00397E5F" w:rsidRPr="007E17C2" w14:paraId="27124286" w14:textId="77777777" w:rsidTr="00280417">
        <w:tc>
          <w:tcPr>
            <w:tcW w:w="2977" w:type="dxa"/>
            <w:shd w:val="clear" w:color="auto" w:fill="FFFFFF"/>
          </w:tcPr>
          <w:p w14:paraId="2329FF3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1D310EBE" w14:textId="77777777" w:rsidR="00397E5F" w:rsidRPr="00653EF4" w:rsidRDefault="00397E5F" w:rsidP="0053652E">
            <w:pPr>
              <w:spacing w:after="120" w:line="240" w:lineRule="auto"/>
              <w:rPr>
                <w:rFonts w:ascii="Calibri" w:hAnsi="Calibri"/>
              </w:rPr>
            </w:pPr>
          </w:p>
        </w:tc>
        <w:tc>
          <w:tcPr>
            <w:tcW w:w="2552" w:type="dxa"/>
            <w:shd w:val="clear" w:color="auto" w:fill="auto"/>
          </w:tcPr>
          <w:p w14:paraId="7E0F4B1D" w14:textId="77777777" w:rsidR="00397E5F" w:rsidRPr="00653EF4" w:rsidRDefault="00397E5F" w:rsidP="0053652E">
            <w:pPr>
              <w:spacing w:after="120" w:line="240" w:lineRule="auto"/>
              <w:rPr>
                <w:rFonts w:ascii="Calibri" w:hAnsi="Calibri"/>
              </w:rPr>
            </w:pPr>
          </w:p>
        </w:tc>
        <w:tc>
          <w:tcPr>
            <w:tcW w:w="2126" w:type="dxa"/>
            <w:shd w:val="clear" w:color="auto" w:fill="auto"/>
          </w:tcPr>
          <w:p w14:paraId="2BC18B4D" w14:textId="77777777" w:rsidR="00397E5F" w:rsidRPr="00653EF4" w:rsidRDefault="00397E5F" w:rsidP="0053652E">
            <w:pPr>
              <w:spacing w:after="120" w:line="240" w:lineRule="auto"/>
              <w:rPr>
                <w:rFonts w:ascii="Calibri" w:hAnsi="Calibri"/>
              </w:rPr>
            </w:pPr>
          </w:p>
        </w:tc>
        <w:tc>
          <w:tcPr>
            <w:tcW w:w="2693" w:type="dxa"/>
            <w:shd w:val="clear" w:color="auto" w:fill="auto"/>
          </w:tcPr>
          <w:p w14:paraId="3B09D4E0" w14:textId="77777777" w:rsidR="00397E5F" w:rsidRPr="00653EF4" w:rsidRDefault="00397E5F" w:rsidP="0053652E">
            <w:pPr>
              <w:spacing w:after="120" w:line="240" w:lineRule="auto"/>
              <w:rPr>
                <w:rFonts w:ascii="Calibri" w:hAnsi="Calibri"/>
              </w:rPr>
            </w:pPr>
          </w:p>
        </w:tc>
        <w:tc>
          <w:tcPr>
            <w:tcW w:w="1418" w:type="dxa"/>
            <w:shd w:val="clear" w:color="auto" w:fill="auto"/>
          </w:tcPr>
          <w:p w14:paraId="03386F4B" w14:textId="77777777" w:rsidR="00397E5F" w:rsidRPr="00653EF4" w:rsidRDefault="00397E5F" w:rsidP="0053652E">
            <w:pPr>
              <w:spacing w:after="120" w:line="240" w:lineRule="auto"/>
              <w:rPr>
                <w:rFonts w:ascii="Calibri" w:hAnsi="Calibri"/>
              </w:rPr>
            </w:pPr>
          </w:p>
        </w:tc>
      </w:tr>
      <w:tr w:rsidR="00397E5F" w:rsidRPr="007E17C2" w14:paraId="45016E57" w14:textId="77777777" w:rsidTr="00280417">
        <w:tc>
          <w:tcPr>
            <w:tcW w:w="2977" w:type="dxa"/>
            <w:shd w:val="clear" w:color="auto" w:fill="FFFFFF"/>
          </w:tcPr>
          <w:p w14:paraId="028EE3F4"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ECBC6E1" w14:textId="77777777" w:rsidR="00397E5F" w:rsidRPr="00653EF4" w:rsidRDefault="00397E5F" w:rsidP="0053652E">
            <w:pPr>
              <w:spacing w:after="120" w:line="240" w:lineRule="auto"/>
              <w:rPr>
                <w:rFonts w:ascii="Calibri" w:hAnsi="Calibri"/>
              </w:rPr>
            </w:pPr>
          </w:p>
        </w:tc>
        <w:tc>
          <w:tcPr>
            <w:tcW w:w="2552" w:type="dxa"/>
            <w:shd w:val="clear" w:color="auto" w:fill="auto"/>
          </w:tcPr>
          <w:p w14:paraId="2A998B45" w14:textId="77777777" w:rsidR="00397E5F" w:rsidRPr="00653EF4" w:rsidRDefault="00397E5F" w:rsidP="0053652E">
            <w:pPr>
              <w:spacing w:after="120" w:line="240" w:lineRule="auto"/>
              <w:rPr>
                <w:rFonts w:ascii="Calibri" w:hAnsi="Calibri"/>
              </w:rPr>
            </w:pPr>
          </w:p>
        </w:tc>
        <w:tc>
          <w:tcPr>
            <w:tcW w:w="2126" w:type="dxa"/>
            <w:shd w:val="clear" w:color="auto" w:fill="auto"/>
          </w:tcPr>
          <w:p w14:paraId="5F80A544" w14:textId="77777777" w:rsidR="00397E5F" w:rsidRPr="00653EF4" w:rsidRDefault="00397E5F" w:rsidP="0053652E">
            <w:pPr>
              <w:spacing w:after="120" w:line="240" w:lineRule="auto"/>
              <w:rPr>
                <w:rFonts w:ascii="Calibri" w:hAnsi="Calibri"/>
              </w:rPr>
            </w:pPr>
          </w:p>
        </w:tc>
        <w:tc>
          <w:tcPr>
            <w:tcW w:w="2693" w:type="dxa"/>
            <w:shd w:val="clear" w:color="auto" w:fill="auto"/>
          </w:tcPr>
          <w:p w14:paraId="6550FB51" w14:textId="77777777" w:rsidR="00397E5F" w:rsidRPr="00653EF4" w:rsidRDefault="00397E5F" w:rsidP="0053652E">
            <w:pPr>
              <w:spacing w:after="120" w:line="240" w:lineRule="auto"/>
              <w:rPr>
                <w:rFonts w:ascii="Calibri" w:hAnsi="Calibri"/>
              </w:rPr>
            </w:pPr>
          </w:p>
        </w:tc>
        <w:tc>
          <w:tcPr>
            <w:tcW w:w="1418" w:type="dxa"/>
            <w:shd w:val="clear" w:color="auto" w:fill="auto"/>
          </w:tcPr>
          <w:p w14:paraId="6EC6358E" w14:textId="77777777" w:rsidR="00397E5F" w:rsidRPr="00653EF4" w:rsidRDefault="00397E5F" w:rsidP="0053652E">
            <w:pPr>
              <w:spacing w:after="120" w:line="240" w:lineRule="auto"/>
              <w:rPr>
                <w:rFonts w:ascii="Calibri" w:hAnsi="Calibri"/>
              </w:rPr>
            </w:pPr>
          </w:p>
        </w:tc>
      </w:tr>
      <w:tr w:rsidR="00397E5F" w:rsidRPr="007E17C2" w14:paraId="17A9D1D1" w14:textId="77777777" w:rsidTr="00280417">
        <w:tc>
          <w:tcPr>
            <w:tcW w:w="14176" w:type="dxa"/>
            <w:gridSpan w:val="6"/>
            <w:shd w:val="clear" w:color="auto" w:fill="DAEEF3"/>
          </w:tcPr>
          <w:p w14:paraId="62F2CCDB" w14:textId="77777777" w:rsidR="00397E5F" w:rsidRPr="00653EF4" w:rsidRDefault="00397E5F" w:rsidP="0053652E">
            <w:pPr>
              <w:spacing w:after="120" w:line="240" w:lineRule="auto"/>
              <w:rPr>
                <w:rFonts w:ascii="Calibri" w:hAnsi="Calibri"/>
              </w:rPr>
            </w:pPr>
            <w:r w:rsidRPr="00653EF4">
              <w:rPr>
                <w:rFonts w:ascii="Calibri" w:hAnsi="Calibri"/>
                <w:b/>
                <w:i/>
                <w:color w:val="215868"/>
              </w:rPr>
              <w:t>Priority Action Area 3.4 – Agree and implement a uniform standard for laboratory testing methods for resistance susceptibility</w:t>
            </w:r>
          </w:p>
        </w:tc>
      </w:tr>
      <w:tr w:rsidR="00397E5F" w:rsidRPr="007E17C2" w14:paraId="79E8E715" w14:textId="77777777" w:rsidTr="00280417">
        <w:tc>
          <w:tcPr>
            <w:tcW w:w="2977" w:type="dxa"/>
            <w:shd w:val="clear" w:color="auto" w:fill="FFFFFF"/>
          </w:tcPr>
          <w:p w14:paraId="68E2F3C0"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65ADE8C3" w14:textId="77777777" w:rsidR="00397E5F" w:rsidRPr="00653EF4" w:rsidRDefault="00397E5F" w:rsidP="0053652E">
            <w:pPr>
              <w:spacing w:after="120" w:line="240" w:lineRule="auto"/>
              <w:rPr>
                <w:rFonts w:ascii="Calibri" w:hAnsi="Calibri"/>
              </w:rPr>
            </w:pPr>
          </w:p>
        </w:tc>
        <w:tc>
          <w:tcPr>
            <w:tcW w:w="2552" w:type="dxa"/>
            <w:shd w:val="clear" w:color="auto" w:fill="auto"/>
          </w:tcPr>
          <w:p w14:paraId="5BC75CC7" w14:textId="77777777" w:rsidR="00397E5F" w:rsidRPr="00653EF4" w:rsidRDefault="00397E5F" w:rsidP="0053652E">
            <w:pPr>
              <w:spacing w:after="120" w:line="240" w:lineRule="auto"/>
              <w:rPr>
                <w:rFonts w:ascii="Calibri" w:hAnsi="Calibri"/>
              </w:rPr>
            </w:pPr>
          </w:p>
        </w:tc>
        <w:tc>
          <w:tcPr>
            <w:tcW w:w="2126" w:type="dxa"/>
            <w:shd w:val="clear" w:color="auto" w:fill="auto"/>
          </w:tcPr>
          <w:p w14:paraId="0A3F1344" w14:textId="77777777" w:rsidR="00397E5F" w:rsidRPr="00653EF4" w:rsidRDefault="00397E5F" w:rsidP="0053652E">
            <w:pPr>
              <w:spacing w:after="120" w:line="240" w:lineRule="auto"/>
              <w:rPr>
                <w:rFonts w:ascii="Calibri" w:hAnsi="Calibri"/>
              </w:rPr>
            </w:pPr>
          </w:p>
        </w:tc>
        <w:tc>
          <w:tcPr>
            <w:tcW w:w="2693" w:type="dxa"/>
            <w:shd w:val="clear" w:color="auto" w:fill="auto"/>
          </w:tcPr>
          <w:p w14:paraId="30D2CA6E" w14:textId="77777777" w:rsidR="00397E5F" w:rsidRPr="00653EF4" w:rsidRDefault="00397E5F" w:rsidP="0053652E">
            <w:pPr>
              <w:spacing w:after="120" w:line="240" w:lineRule="auto"/>
              <w:rPr>
                <w:rFonts w:ascii="Calibri" w:hAnsi="Calibri"/>
              </w:rPr>
            </w:pPr>
          </w:p>
        </w:tc>
        <w:tc>
          <w:tcPr>
            <w:tcW w:w="1418" w:type="dxa"/>
            <w:shd w:val="clear" w:color="auto" w:fill="auto"/>
          </w:tcPr>
          <w:p w14:paraId="21ACB6AE" w14:textId="77777777" w:rsidR="00397E5F" w:rsidRPr="00653EF4" w:rsidRDefault="00397E5F" w:rsidP="0053652E">
            <w:pPr>
              <w:spacing w:after="120" w:line="240" w:lineRule="auto"/>
              <w:rPr>
                <w:rFonts w:ascii="Calibri" w:hAnsi="Calibri"/>
              </w:rPr>
            </w:pPr>
          </w:p>
        </w:tc>
      </w:tr>
      <w:tr w:rsidR="00397E5F" w:rsidRPr="007E17C2" w14:paraId="3A031A70" w14:textId="77777777" w:rsidTr="00280417">
        <w:tc>
          <w:tcPr>
            <w:tcW w:w="2977" w:type="dxa"/>
            <w:shd w:val="clear" w:color="auto" w:fill="FFFFFF"/>
          </w:tcPr>
          <w:p w14:paraId="76F6017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56A347B6" w14:textId="77777777" w:rsidR="00397E5F" w:rsidRPr="00653EF4" w:rsidRDefault="00397E5F" w:rsidP="0053652E">
            <w:pPr>
              <w:spacing w:after="120" w:line="240" w:lineRule="auto"/>
              <w:rPr>
                <w:rFonts w:ascii="Calibri" w:hAnsi="Calibri"/>
              </w:rPr>
            </w:pPr>
          </w:p>
        </w:tc>
        <w:tc>
          <w:tcPr>
            <w:tcW w:w="2552" w:type="dxa"/>
            <w:shd w:val="clear" w:color="auto" w:fill="auto"/>
          </w:tcPr>
          <w:p w14:paraId="5102F957" w14:textId="77777777" w:rsidR="00397E5F" w:rsidRPr="00653EF4" w:rsidRDefault="00397E5F" w:rsidP="0053652E">
            <w:pPr>
              <w:spacing w:after="120" w:line="240" w:lineRule="auto"/>
              <w:rPr>
                <w:rFonts w:ascii="Calibri" w:hAnsi="Calibri"/>
              </w:rPr>
            </w:pPr>
          </w:p>
        </w:tc>
        <w:tc>
          <w:tcPr>
            <w:tcW w:w="2126" w:type="dxa"/>
            <w:shd w:val="clear" w:color="auto" w:fill="auto"/>
          </w:tcPr>
          <w:p w14:paraId="7A2471D8" w14:textId="77777777" w:rsidR="00397E5F" w:rsidRPr="00653EF4" w:rsidRDefault="00397E5F" w:rsidP="0053652E">
            <w:pPr>
              <w:spacing w:after="120" w:line="240" w:lineRule="auto"/>
              <w:rPr>
                <w:rFonts w:ascii="Calibri" w:hAnsi="Calibri"/>
              </w:rPr>
            </w:pPr>
          </w:p>
        </w:tc>
        <w:tc>
          <w:tcPr>
            <w:tcW w:w="2693" w:type="dxa"/>
            <w:shd w:val="clear" w:color="auto" w:fill="auto"/>
          </w:tcPr>
          <w:p w14:paraId="6330533E" w14:textId="77777777" w:rsidR="00397E5F" w:rsidRPr="00653EF4" w:rsidRDefault="00397E5F" w:rsidP="0053652E">
            <w:pPr>
              <w:spacing w:after="120" w:line="240" w:lineRule="auto"/>
              <w:rPr>
                <w:rFonts w:ascii="Calibri" w:hAnsi="Calibri"/>
              </w:rPr>
            </w:pPr>
          </w:p>
        </w:tc>
        <w:tc>
          <w:tcPr>
            <w:tcW w:w="1418" w:type="dxa"/>
            <w:shd w:val="clear" w:color="auto" w:fill="auto"/>
          </w:tcPr>
          <w:p w14:paraId="4FF66164" w14:textId="77777777" w:rsidR="00397E5F" w:rsidRPr="00653EF4" w:rsidRDefault="00397E5F" w:rsidP="0053652E">
            <w:pPr>
              <w:spacing w:after="120" w:line="240" w:lineRule="auto"/>
              <w:rPr>
                <w:rFonts w:ascii="Calibri" w:hAnsi="Calibri"/>
              </w:rPr>
            </w:pPr>
          </w:p>
        </w:tc>
      </w:tr>
      <w:tr w:rsidR="00397E5F" w:rsidRPr="007E17C2" w14:paraId="14287808" w14:textId="77777777" w:rsidTr="00280417">
        <w:tc>
          <w:tcPr>
            <w:tcW w:w="14176" w:type="dxa"/>
            <w:gridSpan w:val="6"/>
            <w:shd w:val="clear" w:color="auto" w:fill="DAEEF3"/>
          </w:tcPr>
          <w:p w14:paraId="2419FDC0"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3.5 – Improve human health surveillance</w:t>
            </w:r>
          </w:p>
        </w:tc>
      </w:tr>
      <w:tr w:rsidR="00397E5F" w:rsidRPr="007E17C2" w14:paraId="3161B2CA" w14:textId="77777777" w:rsidTr="00280417">
        <w:tc>
          <w:tcPr>
            <w:tcW w:w="2977" w:type="dxa"/>
            <w:shd w:val="clear" w:color="auto" w:fill="FFFFFF"/>
          </w:tcPr>
          <w:p w14:paraId="6F91971B" w14:textId="77777777" w:rsidR="00397E5F" w:rsidRPr="00653EF4" w:rsidRDefault="00397E5F" w:rsidP="0053652E">
            <w:pPr>
              <w:spacing w:after="120" w:line="240" w:lineRule="auto"/>
              <w:rPr>
                <w:rFonts w:ascii="Calibri" w:hAnsi="Calibri"/>
              </w:rPr>
            </w:pPr>
          </w:p>
        </w:tc>
        <w:tc>
          <w:tcPr>
            <w:tcW w:w="2410" w:type="dxa"/>
            <w:shd w:val="clear" w:color="auto" w:fill="auto"/>
          </w:tcPr>
          <w:p w14:paraId="3F5EDC99" w14:textId="77777777" w:rsidR="00397E5F" w:rsidRPr="00653EF4" w:rsidRDefault="00397E5F" w:rsidP="0053652E">
            <w:pPr>
              <w:spacing w:after="120" w:line="240" w:lineRule="auto"/>
              <w:rPr>
                <w:rFonts w:ascii="Calibri" w:hAnsi="Calibri"/>
              </w:rPr>
            </w:pPr>
          </w:p>
        </w:tc>
        <w:tc>
          <w:tcPr>
            <w:tcW w:w="2552" w:type="dxa"/>
            <w:shd w:val="clear" w:color="auto" w:fill="auto"/>
          </w:tcPr>
          <w:p w14:paraId="3541A1BD" w14:textId="77777777" w:rsidR="00397E5F" w:rsidRPr="00653EF4" w:rsidRDefault="00397E5F" w:rsidP="0053652E">
            <w:pPr>
              <w:spacing w:after="120" w:line="240" w:lineRule="auto"/>
              <w:rPr>
                <w:rFonts w:ascii="Calibri" w:hAnsi="Calibri"/>
              </w:rPr>
            </w:pPr>
          </w:p>
        </w:tc>
        <w:tc>
          <w:tcPr>
            <w:tcW w:w="2126" w:type="dxa"/>
            <w:shd w:val="clear" w:color="auto" w:fill="auto"/>
          </w:tcPr>
          <w:p w14:paraId="31E6A66E" w14:textId="77777777" w:rsidR="00397E5F" w:rsidRPr="00653EF4" w:rsidRDefault="00397E5F" w:rsidP="0053652E">
            <w:pPr>
              <w:spacing w:after="120" w:line="240" w:lineRule="auto"/>
              <w:rPr>
                <w:rFonts w:ascii="Calibri" w:hAnsi="Calibri"/>
              </w:rPr>
            </w:pPr>
          </w:p>
        </w:tc>
        <w:tc>
          <w:tcPr>
            <w:tcW w:w="2693" w:type="dxa"/>
            <w:shd w:val="clear" w:color="auto" w:fill="auto"/>
          </w:tcPr>
          <w:p w14:paraId="788B8A79" w14:textId="77777777" w:rsidR="00397E5F" w:rsidRPr="00653EF4" w:rsidRDefault="00397E5F" w:rsidP="0053652E">
            <w:pPr>
              <w:spacing w:after="120" w:line="240" w:lineRule="auto"/>
              <w:rPr>
                <w:rFonts w:ascii="Calibri" w:hAnsi="Calibri"/>
              </w:rPr>
            </w:pPr>
          </w:p>
        </w:tc>
        <w:tc>
          <w:tcPr>
            <w:tcW w:w="1418" w:type="dxa"/>
            <w:shd w:val="clear" w:color="auto" w:fill="auto"/>
          </w:tcPr>
          <w:p w14:paraId="1C4C2CDC" w14:textId="77777777" w:rsidR="00397E5F" w:rsidRPr="00653EF4" w:rsidRDefault="00397E5F" w:rsidP="0053652E">
            <w:pPr>
              <w:spacing w:after="120" w:line="240" w:lineRule="auto"/>
              <w:rPr>
                <w:rFonts w:ascii="Calibri" w:hAnsi="Calibri"/>
              </w:rPr>
            </w:pPr>
          </w:p>
        </w:tc>
      </w:tr>
      <w:tr w:rsidR="00397E5F" w:rsidRPr="007E17C2" w14:paraId="23EA0F29" w14:textId="77777777" w:rsidTr="00280417">
        <w:tc>
          <w:tcPr>
            <w:tcW w:w="2977" w:type="dxa"/>
            <w:shd w:val="clear" w:color="auto" w:fill="FFFFFF"/>
          </w:tcPr>
          <w:p w14:paraId="0C14B213" w14:textId="77777777" w:rsidR="00397E5F" w:rsidRPr="00653EF4" w:rsidRDefault="00397E5F" w:rsidP="0053652E">
            <w:pPr>
              <w:spacing w:after="120" w:line="240" w:lineRule="auto"/>
              <w:rPr>
                <w:rFonts w:ascii="Calibri" w:hAnsi="Calibri"/>
              </w:rPr>
            </w:pPr>
          </w:p>
        </w:tc>
        <w:tc>
          <w:tcPr>
            <w:tcW w:w="2410" w:type="dxa"/>
            <w:shd w:val="clear" w:color="auto" w:fill="auto"/>
          </w:tcPr>
          <w:p w14:paraId="11002958" w14:textId="77777777" w:rsidR="00397E5F" w:rsidRPr="00653EF4" w:rsidRDefault="00397E5F" w:rsidP="0053652E">
            <w:pPr>
              <w:spacing w:after="120" w:line="240" w:lineRule="auto"/>
              <w:rPr>
                <w:rFonts w:ascii="Calibri" w:hAnsi="Calibri"/>
              </w:rPr>
            </w:pPr>
          </w:p>
        </w:tc>
        <w:tc>
          <w:tcPr>
            <w:tcW w:w="2552" w:type="dxa"/>
            <w:shd w:val="clear" w:color="auto" w:fill="auto"/>
          </w:tcPr>
          <w:p w14:paraId="4E3ECF6A" w14:textId="77777777" w:rsidR="00397E5F" w:rsidRPr="00653EF4" w:rsidRDefault="00397E5F" w:rsidP="0053652E">
            <w:pPr>
              <w:spacing w:after="120" w:line="240" w:lineRule="auto"/>
              <w:rPr>
                <w:rFonts w:ascii="Calibri" w:hAnsi="Calibri"/>
              </w:rPr>
            </w:pPr>
          </w:p>
        </w:tc>
        <w:tc>
          <w:tcPr>
            <w:tcW w:w="2126" w:type="dxa"/>
            <w:shd w:val="clear" w:color="auto" w:fill="auto"/>
          </w:tcPr>
          <w:p w14:paraId="5AA7E30F" w14:textId="77777777" w:rsidR="00397E5F" w:rsidRPr="00653EF4" w:rsidRDefault="00397E5F" w:rsidP="0053652E">
            <w:pPr>
              <w:spacing w:after="120" w:line="240" w:lineRule="auto"/>
              <w:rPr>
                <w:rFonts w:ascii="Calibri" w:hAnsi="Calibri"/>
              </w:rPr>
            </w:pPr>
          </w:p>
        </w:tc>
        <w:tc>
          <w:tcPr>
            <w:tcW w:w="2693" w:type="dxa"/>
            <w:shd w:val="clear" w:color="auto" w:fill="auto"/>
          </w:tcPr>
          <w:p w14:paraId="75BE9036" w14:textId="77777777" w:rsidR="00397E5F" w:rsidRPr="00653EF4" w:rsidRDefault="00397E5F" w:rsidP="0053652E">
            <w:pPr>
              <w:spacing w:after="120" w:line="240" w:lineRule="auto"/>
              <w:rPr>
                <w:rFonts w:ascii="Calibri" w:hAnsi="Calibri"/>
              </w:rPr>
            </w:pPr>
          </w:p>
        </w:tc>
        <w:tc>
          <w:tcPr>
            <w:tcW w:w="1418" w:type="dxa"/>
            <w:shd w:val="clear" w:color="auto" w:fill="auto"/>
          </w:tcPr>
          <w:p w14:paraId="2AAF58B0" w14:textId="77777777" w:rsidR="00397E5F" w:rsidRPr="00653EF4" w:rsidRDefault="00397E5F" w:rsidP="0053652E">
            <w:pPr>
              <w:spacing w:after="120" w:line="240" w:lineRule="auto"/>
              <w:rPr>
                <w:rFonts w:ascii="Calibri" w:hAnsi="Calibri"/>
              </w:rPr>
            </w:pPr>
          </w:p>
        </w:tc>
      </w:tr>
      <w:tr w:rsidR="00397E5F" w:rsidRPr="007E17C2" w14:paraId="72DB73A1" w14:textId="77777777" w:rsidTr="00280417">
        <w:tc>
          <w:tcPr>
            <w:tcW w:w="14176" w:type="dxa"/>
            <w:gridSpan w:val="6"/>
            <w:shd w:val="clear" w:color="auto" w:fill="DAEEF3"/>
          </w:tcPr>
          <w:p w14:paraId="65546CB6"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lastRenderedPageBreak/>
              <w:t>Priority Action Area 3.6 – Improve animal health and agriculture surveillance</w:t>
            </w:r>
          </w:p>
        </w:tc>
      </w:tr>
      <w:tr w:rsidR="00397E5F" w:rsidRPr="007E17C2" w14:paraId="6D8DED6C" w14:textId="77777777" w:rsidTr="00280417">
        <w:tc>
          <w:tcPr>
            <w:tcW w:w="2977" w:type="dxa"/>
            <w:shd w:val="clear" w:color="auto" w:fill="FFFFFF"/>
          </w:tcPr>
          <w:p w14:paraId="67EFEECF"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7AA956D5" w14:textId="77777777" w:rsidR="00397E5F" w:rsidRPr="00653EF4" w:rsidRDefault="00397E5F" w:rsidP="0053652E">
            <w:pPr>
              <w:spacing w:after="120" w:line="240" w:lineRule="auto"/>
              <w:rPr>
                <w:rFonts w:ascii="Calibri" w:hAnsi="Calibri"/>
              </w:rPr>
            </w:pPr>
          </w:p>
        </w:tc>
        <w:tc>
          <w:tcPr>
            <w:tcW w:w="2552" w:type="dxa"/>
            <w:shd w:val="clear" w:color="auto" w:fill="auto"/>
          </w:tcPr>
          <w:p w14:paraId="4D752F33" w14:textId="77777777" w:rsidR="00397E5F" w:rsidRPr="00653EF4" w:rsidRDefault="00397E5F" w:rsidP="0053652E">
            <w:pPr>
              <w:spacing w:after="120" w:line="240" w:lineRule="auto"/>
              <w:rPr>
                <w:rFonts w:ascii="Calibri" w:hAnsi="Calibri"/>
              </w:rPr>
            </w:pPr>
          </w:p>
        </w:tc>
        <w:tc>
          <w:tcPr>
            <w:tcW w:w="2126" w:type="dxa"/>
            <w:shd w:val="clear" w:color="auto" w:fill="auto"/>
          </w:tcPr>
          <w:p w14:paraId="23A0A141" w14:textId="77777777" w:rsidR="00397E5F" w:rsidRPr="00653EF4" w:rsidRDefault="00397E5F" w:rsidP="0053652E">
            <w:pPr>
              <w:spacing w:after="120" w:line="240" w:lineRule="auto"/>
              <w:rPr>
                <w:rFonts w:ascii="Calibri" w:hAnsi="Calibri"/>
              </w:rPr>
            </w:pPr>
          </w:p>
        </w:tc>
        <w:tc>
          <w:tcPr>
            <w:tcW w:w="2693" w:type="dxa"/>
            <w:shd w:val="clear" w:color="auto" w:fill="auto"/>
          </w:tcPr>
          <w:p w14:paraId="6456F967" w14:textId="77777777" w:rsidR="00397E5F" w:rsidRPr="00653EF4" w:rsidRDefault="00397E5F" w:rsidP="0053652E">
            <w:pPr>
              <w:spacing w:after="120" w:line="240" w:lineRule="auto"/>
              <w:rPr>
                <w:rFonts w:ascii="Calibri" w:hAnsi="Calibri"/>
              </w:rPr>
            </w:pPr>
          </w:p>
        </w:tc>
        <w:tc>
          <w:tcPr>
            <w:tcW w:w="1418" w:type="dxa"/>
            <w:shd w:val="clear" w:color="auto" w:fill="auto"/>
          </w:tcPr>
          <w:p w14:paraId="77AAC67F" w14:textId="77777777" w:rsidR="00397E5F" w:rsidRPr="00653EF4" w:rsidRDefault="00397E5F" w:rsidP="0053652E">
            <w:pPr>
              <w:spacing w:after="120" w:line="240" w:lineRule="auto"/>
              <w:rPr>
                <w:rFonts w:ascii="Calibri" w:hAnsi="Calibri"/>
              </w:rPr>
            </w:pPr>
          </w:p>
        </w:tc>
      </w:tr>
      <w:tr w:rsidR="00397E5F" w:rsidRPr="007E17C2" w14:paraId="0764C7C1" w14:textId="77777777" w:rsidTr="00280417">
        <w:tc>
          <w:tcPr>
            <w:tcW w:w="2977" w:type="dxa"/>
            <w:shd w:val="clear" w:color="auto" w:fill="FFFFFF"/>
          </w:tcPr>
          <w:p w14:paraId="78DA28A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6456F944" w14:textId="77777777" w:rsidR="00397E5F" w:rsidRPr="00653EF4" w:rsidRDefault="00397E5F" w:rsidP="0053652E">
            <w:pPr>
              <w:spacing w:after="120" w:line="240" w:lineRule="auto"/>
              <w:rPr>
                <w:rFonts w:ascii="Calibri" w:hAnsi="Calibri"/>
              </w:rPr>
            </w:pPr>
          </w:p>
        </w:tc>
        <w:tc>
          <w:tcPr>
            <w:tcW w:w="2552" w:type="dxa"/>
            <w:shd w:val="clear" w:color="auto" w:fill="auto"/>
          </w:tcPr>
          <w:p w14:paraId="77A59B1D" w14:textId="77777777" w:rsidR="00397E5F" w:rsidRPr="00653EF4" w:rsidRDefault="00397E5F" w:rsidP="0053652E">
            <w:pPr>
              <w:spacing w:after="120" w:line="240" w:lineRule="auto"/>
              <w:rPr>
                <w:rFonts w:ascii="Calibri" w:hAnsi="Calibri"/>
              </w:rPr>
            </w:pPr>
          </w:p>
        </w:tc>
        <w:tc>
          <w:tcPr>
            <w:tcW w:w="2126" w:type="dxa"/>
            <w:shd w:val="clear" w:color="auto" w:fill="auto"/>
          </w:tcPr>
          <w:p w14:paraId="273C9994" w14:textId="77777777" w:rsidR="00397E5F" w:rsidRPr="00653EF4" w:rsidRDefault="00397E5F" w:rsidP="0053652E">
            <w:pPr>
              <w:spacing w:after="120" w:line="240" w:lineRule="auto"/>
              <w:rPr>
                <w:rFonts w:ascii="Calibri" w:hAnsi="Calibri"/>
              </w:rPr>
            </w:pPr>
          </w:p>
        </w:tc>
        <w:tc>
          <w:tcPr>
            <w:tcW w:w="2693" w:type="dxa"/>
            <w:shd w:val="clear" w:color="auto" w:fill="auto"/>
          </w:tcPr>
          <w:p w14:paraId="5ADC87EC" w14:textId="77777777" w:rsidR="00397E5F" w:rsidRPr="00653EF4" w:rsidRDefault="00397E5F" w:rsidP="0053652E">
            <w:pPr>
              <w:spacing w:after="120" w:line="240" w:lineRule="auto"/>
              <w:rPr>
                <w:rFonts w:ascii="Calibri" w:hAnsi="Calibri"/>
              </w:rPr>
            </w:pPr>
          </w:p>
        </w:tc>
        <w:tc>
          <w:tcPr>
            <w:tcW w:w="1418" w:type="dxa"/>
            <w:shd w:val="clear" w:color="auto" w:fill="auto"/>
          </w:tcPr>
          <w:p w14:paraId="59575BAC" w14:textId="77777777" w:rsidR="00397E5F" w:rsidRPr="00653EF4" w:rsidRDefault="00397E5F" w:rsidP="0053652E">
            <w:pPr>
              <w:spacing w:after="120" w:line="240" w:lineRule="auto"/>
              <w:rPr>
                <w:rFonts w:ascii="Calibri" w:hAnsi="Calibri"/>
              </w:rPr>
            </w:pPr>
          </w:p>
        </w:tc>
      </w:tr>
      <w:tr w:rsidR="00397E5F" w:rsidRPr="007E17C2" w14:paraId="11C36126" w14:textId="77777777" w:rsidTr="00280417">
        <w:tc>
          <w:tcPr>
            <w:tcW w:w="2977" w:type="dxa"/>
            <w:shd w:val="clear" w:color="auto" w:fill="FFFFFF"/>
          </w:tcPr>
          <w:p w14:paraId="404FEAA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54EA5466" w14:textId="77777777" w:rsidR="00397E5F" w:rsidRPr="00653EF4" w:rsidRDefault="00397E5F" w:rsidP="0053652E">
            <w:pPr>
              <w:spacing w:after="120" w:line="240" w:lineRule="auto"/>
              <w:rPr>
                <w:rFonts w:ascii="Calibri" w:hAnsi="Calibri"/>
              </w:rPr>
            </w:pPr>
          </w:p>
        </w:tc>
        <w:tc>
          <w:tcPr>
            <w:tcW w:w="2552" w:type="dxa"/>
            <w:shd w:val="clear" w:color="auto" w:fill="auto"/>
          </w:tcPr>
          <w:p w14:paraId="3CB4A253" w14:textId="77777777" w:rsidR="00397E5F" w:rsidRPr="00653EF4" w:rsidRDefault="00397E5F" w:rsidP="0053652E">
            <w:pPr>
              <w:spacing w:after="120" w:line="240" w:lineRule="auto"/>
              <w:rPr>
                <w:rFonts w:ascii="Calibri" w:hAnsi="Calibri"/>
              </w:rPr>
            </w:pPr>
          </w:p>
        </w:tc>
        <w:tc>
          <w:tcPr>
            <w:tcW w:w="2126" w:type="dxa"/>
            <w:shd w:val="clear" w:color="auto" w:fill="auto"/>
          </w:tcPr>
          <w:p w14:paraId="78C418C0" w14:textId="77777777" w:rsidR="00397E5F" w:rsidRPr="00653EF4" w:rsidRDefault="00397E5F" w:rsidP="0053652E">
            <w:pPr>
              <w:spacing w:after="120" w:line="240" w:lineRule="auto"/>
              <w:rPr>
                <w:rFonts w:ascii="Calibri" w:hAnsi="Calibri"/>
              </w:rPr>
            </w:pPr>
          </w:p>
        </w:tc>
        <w:tc>
          <w:tcPr>
            <w:tcW w:w="2693" w:type="dxa"/>
            <w:shd w:val="clear" w:color="auto" w:fill="auto"/>
          </w:tcPr>
          <w:p w14:paraId="15F66C59" w14:textId="77777777" w:rsidR="00397E5F" w:rsidRPr="00653EF4" w:rsidRDefault="00397E5F" w:rsidP="0053652E">
            <w:pPr>
              <w:spacing w:after="120" w:line="240" w:lineRule="auto"/>
              <w:rPr>
                <w:rFonts w:ascii="Calibri" w:hAnsi="Calibri"/>
              </w:rPr>
            </w:pPr>
          </w:p>
        </w:tc>
        <w:tc>
          <w:tcPr>
            <w:tcW w:w="1418" w:type="dxa"/>
            <w:shd w:val="clear" w:color="auto" w:fill="auto"/>
          </w:tcPr>
          <w:p w14:paraId="29A749B5" w14:textId="77777777" w:rsidR="00397E5F" w:rsidRPr="00653EF4" w:rsidRDefault="00397E5F" w:rsidP="0053652E">
            <w:pPr>
              <w:spacing w:after="120" w:line="240" w:lineRule="auto"/>
              <w:rPr>
                <w:rFonts w:ascii="Calibri" w:hAnsi="Calibri"/>
              </w:rPr>
            </w:pPr>
          </w:p>
        </w:tc>
      </w:tr>
      <w:tr w:rsidR="00397E5F" w:rsidRPr="007E17C2" w14:paraId="3E189B30" w14:textId="77777777" w:rsidTr="00280417">
        <w:tc>
          <w:tcPr>
            <w:tcW w:w="14176" w:type="dxa"/>
            <w:gridSpan w:val="6"/>
            <w:shd w:val="clear" w:color="auto" w:fill="DAEEF3"/>
          </w:tcPr>
          <w:p w14:paraId="0F72B1B8"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3.7 - Investigate requirements for surveillance in food</w:t>
            </w:r>
          </w:p>
        </w:tc>
      </w:tr>
      <w:tr w:rsidR="00397E5F" w:rsidRPr="007E17C2" w14:paraId="1F24CE43" w14:textId="77777777" w:rsidTr="00280417">
        <w:tc>
          <w:tcPr>
            <w:tcW w:w="2977" w:type="dxa"/>
            <w:shd w:val="clear" w:color="auto" w:fill="FFFFFF"/>
          </w:tcPr>
          <w:p w14:paraId="510654E2"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7AF330C6" w14:textId="77777777" w:rsidR="00397E5F" w:rsidRPr="00653EF4" w:rsidRDefault="00397E5F" w:rsidP="0053652E">
            <w:pPr>
              <w:spacing w:after="120" w:line="240" w:lineRule="auto"/>
              <w:rPr>
                <w:rFonts w:ascii="Calibri" w:hAnsi="Calibri"/>
              </w:rPr>
            </w:pPr>
          </w:p>
        </w:tc>
        <w:tc>
          <w:tcPr>
            <w:tcW w:w="2552" w:type="dxa"/>
            <w:shd w:val="clear" w:color="auto" w:fill="auto"/>
          </w:tcPr>
          <w:p w14:paraId="5EA3117E" w14:textId="77777777" w:rsidR="00397E5F" w:rsidRPr="00653EF4" w:rsidRDefault="00397E5F" w:rsidP="0053652E">
            <w:pPr>
              <w:spacing w:after="120" w:line="240" w:lineRule="auto"/>
              <w:rPr>
                <w:rFonts w:ascii="Calibri" w:hAnsi="Calibri"/>
              </w:rPr>
            </w:pPr>
          </w:p>
        </w:tc>
        <w:tc>
          <w:tcPr>
            <w:tcW w:w="2126" w:type="dxa"/>
            <w:shd w:val="clear" w:color="auto" w:fill="auto"/>
          </w:tcPr>
          <w:p w14:paraId="30E2E877" w14:textId="77777777" w:rsidR="00397E5F" w:rsidRPr="00653EF4" w:rsidRDefault="00397E5F" w:rsidP="0053652E">
            <w:pPr>
              <w:spacing w:after="120" w:line="240" w:lineRule="auto"/>
              <w:rPr>
                <w:rFonts w:ascii="Calibri" w:hAnsi="Calibri"/>
              </w:rPr>
            </w:pPr>
          </w:p>
        </w:tc>
        <w:tc>
          <w:tcPr>
            <w:tcW w:w="2693" w:type="dxa"/>
            <w:shd w:val="clear" w:color="auto" w:fill="auto"/>
          </w:tcPr>
          <w:p w14:paraId="0BFCE0F8" w14:textId="77777777" w:rsidR="00397E5F" w:rsidRPr="00653EF4" w:rsidRDefault="00397E5F" w:rsidP="0053652E">
            <w:pPr>
              <w:spacing w:after="120" w:line="240" w:lineRule="auto"/>
              <w:rPr>
                <w:rFonts w:ascii="Calibri" w:hAnsi="Calibri"/>
              </w:rPr>
            </w:pPr>
          </w:p>
        </w:tc>
        <w:tc>
          <w:tcPr>
            <w:tcW w:w="1418" w:type="dxa"/>
            <w:shd w:val="clear" w:color="auto" w:fill="auto"/>
          </w:tcPr>
          <w:p w14:paraId="7F4F455C" w14:textId="77777777" w:rsidR="00397E5F" w:rsidRPr="00653EF4" w:rsidRDefault="00397E5F" w:rsidP="0053652E">
            <w:pPr>
              <w:spacing w:after="120" w:line="240" w:lineRule="auto"/>
              <w:rPr>
                <w:rFonts w:ascii="Calibri" w:hAnsi="Calibri"/>
              </w:rPr>
            </w:pPr>
          </w:p>
        </w:tc>
      </w:tr>
      <w:tr w:rsidR="00397E5F" w:rsidRPr="007E17C2" w14:paraId="4C7C8887" w14:textId="77777777" w:rsidTr="00280417">
        <w:tc>
          <w:tcPr>
            <w:tcW w:w="2977" w:type="dxa"/>
            <w:shd w:val="clear" w:color="auto" w:fill="FFFFFF"/>
          </w:tcPr>
          <w:p w14:paraId="6209B349"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292FD448" w14:textId="77777777" w:rsidR="00397E5F" w:rsidRPr="00653EF4" w:rsidRDefault="00397E5F" w:rsidP="0053652E">
            <w:pPr>
              <w:spacing w:after="120" w:line="240" w:lineRule="auto"/>
              <w:rPr>
                <w:rFonts w:ascii="Calibri" w:hAnsi="Calibri"/>
              </w:rPr>
            </w:pPr>
          </w:p>
        </w:tc>
        <w:tc>
          <w:tcPr>
            <w:tcW w:w="2552" w:type="dxa"/>
            <w:shd w:val="clear" w:color="auto" w:fill="auto"/>
          </w:tcPr>
          <w:p w14:paraId="2AEFA30D" w14:textId="77777777" w:rsidR="00397E5F" w:rsidRPr="00653EF4" w:rsidRDefault="00397E5F" w:rsidP="0053652E">
            <w:pPr>
              <w:spacing w:after="120" w:line="240" w:lineRule="auto"/>
              <w:rPr>
                <w:rFonts w:ascii="Calibri" w:hAnsi="Calibri"/>
              </w:rPr>
            </w:pPr>
          </w:p>
        </w:tc>
        <w:tc>
          <w:tcPr>
            <w:tcW w:w="2126" w:type="dxa"/>
            <w:shd w:val="clear" w:color="auto" w:fill="auto"/>
          </w:tcPr>
          <w:p w14:paraId="464EFBD8" w14:textId="77777777" w:rsidR="00397E5F" w:rsidRPr="00653EF4" w:rsidRDefault="00397E5F" w:rsidP="0053652E">
            <w:pPr>
              <w:spacing w:after="120" w:line="240" w:lineRule="auto"/>
              <w:rPr>
                <w:rFonts w:ascii="Calibri" w:hAnsi="Calibri"/>
              </w:rPr>
            </w:pPr>
          </w:p>
        </w:tc>
        <w:tc>
          <w:tcPr>
            <w:tcW w:w="2693" w:type="dxa"/>
            <w:shd w:val="clear" w:color="auto" w:fill="auto"/>
          </w:tcPr>
          <w:p w14:paraId="5F206A4E" w14:textId="77777777" w:rsidR="00397E5F" w:rsidRPr="00653EF4" w:rsidRDefault="00397E5F" w:rsidP="0053652E">
            <w:pPr>
              <w:spacing w:after="120" w:line="240" w:lineRule="auto"/>
              <w:rPr>
                <w:rFonts w:ascii="Calibri" w:hAnsi="Calibri"/>
              </w:rPr>
            </w:pPr>
          </w:p>
        </w:tc>
        <w:tc>
          <w:tcPr>
            <w:tcW w:w="1418" w:type="dxa"/>
            <w:shd w:val="clear" w:color="auto" w:fill="auto"/>
          </w:tcPr>
          <w:p w14:paraId="799B0E32" w14:textId="77777777" w:rsidR="00397E5F" w:rsidRPr="00653EF4" w:rsidRDefault="00397E5F" w:rsidP="0053652E">
            <w:pPr>
              <w:spacing w:after="120" w:line="240" w:lineRule="auto"/>
              <w:rPr>
                <w:rFonts w:ascii="Calibri" w:hAnsi="Calibri"/>
              </w:rPr>
            </w:pPr>
          </w:p>
        </w:tc>
      </w:tr>
    </w:tbl>
    <w:p w14:paraId="608E8054" w14:textId="7327A7FB" w:rsidR="00292FBF" w:rsidRDefault="00292FBF" w:rsidP="0053652E">
      <w:pPr>
        <w:spacing w:after="120" w:line="240" w:lineRule="auto"/>
        <w:rPr>
          <w:rFonts w:ascii="Calibri" w:eastAsia="Calibri" w:hAnsi="Calibri"/>
        </w:rPr>
      </w:pPr>
    </w:p>
    <w:p w14:paraId="53643B7F" w14:textId="77777777" w:rsidR="00292FBF" w:rsidRDefault="00292FBF">
      <w:pPr>
        <w:rPr>
          <w:rFonts w:ascii="Calibri" w:eastAsia="Calibri" w:hAnsi="Calibri"/>
        </w:rPr>
      </w:pPr>
      <w:r>
        <w:rPr>
          <w:rFonts w:ascii="Calibri" w:eastAsia="Calibri" w:hAnsi="Calibri"/>
        </w:rPr>
        <w:br w:type="page"/>
      </w:r>
    </w:p>
    <w:p w14:paraId="7BCFEF99" w14:textId="77777777" w:rsidR="00397E5F" w:rsidRDefault="00397E5F" w:rsidP="0053652E">
      <w:pPr>
        <w:spacing w:after="120" w:line="240" w:lineRule="auto"/>
        <w:rPr>
          <w:rFonts w:ascii="Calibri" w:eastAsia="Calibri" w:hAnsi="Calibri"/>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4: Improve infection prevention and control measures across human health and animal care settings to help prevent infections and the spread of resistance.&#10;Under the main heading there are six columns with the following headings:&#10;Activity&#10;Responsibility – Lead&#10;Key Partners (include role)&#10;Milestones&#10;Expected Outcome/s&#10;Links with other Strategy Objectives&#10;There are subheadings of six priority action areas.&#10;Priority Action Area 4.1 – Ensure availability of evidence-based, best-practice and nationally consistent standards for IPC across human health and animal care settings.&#10;Priority Action Area 4.2 – - Review existing accreditation and quality assurance programmes to ensure they appropriately support and encourage compliance with best practice IPC measures.&#10;Priority Action Area 4.3 – Develop additional initiatives and resources to strengthen IPC in all human health care settings.&#10;Priority Action Area 4.4 – Further develop initiatives and resources to strengthen IPC in the livestock industry.&#10;Priority Action Area 4.5 – Further develop resources to strengthen IPC in veterinary practice.&#10;Priority Action Area 4.6 – Encourage continued increases in vaccination rates to prevent infections.&#10;"/>
      </w:tblPr>
      <w:tblGrid>
        <w:gridCol w:w="2977"/>
        <w:gridCol w:w="2410"/>
        <w:gridCol w:w="2552"/>
        <w:gridCol w:w="2126"/>
        <w:gridCol w:w="2693"/>
        <w:gridCol w:w="1418"/>
      </w:tblGrid>
      <w:tr w:rsidR="00397E5F" w:rsidRPr="00644385" w14:paraId="3F2C7B4A" w14:textId="77777777" w:rsidTr="00280417">
        <w:trPr>
          <w:tblHeader/>
        </w:trPr>
        <w:tc>
          <w:tcPr>
            <w:tcW w:w="14176" w:type="dxa"/>
            <w:gridSpan w:val="6"/>
            <w:tcBorders>
              <w:bottom w:val="single" w:sz="8" w:space="0" w:color="auto"/>
            </w:tcBorders>
            <w:shd w:val="clear" w:color="auto" w:fill="31849B"/>
          </w:tcPr>
          <w:p w14:paraId="55DDF5D3" w14:textId="77777777" w:rsidR="00397E5F" w:rsidRPr="008F24BA" w:rsidRDefault="00397E5F" w:rsidP="0053652E">
            <w:pPr>
              <w:spacing w:after="120" w:line="240" w:lineRule="auto"/>
              <w:rPr>
                <w:rFonts w:ascii="Calibri" w:hAnsi="Calibri"/>
                <w:color w:val="FFFFFF"/>
                <w:sz w:val="28"/>
                <w:szCs w:val="28"/>
              </w:rPr>
            </w:pPr>
            <w:r w:rsidRPr="008F24BA">
              <w:rPr>
                <w:rFonts w:ascii="Calibri" w:hAnsi="Calibri"/>
                <w:b/>
                <w:color w:val="FFFFFF"/>
                <w:sz w:val="28"/>
                <w:szCs w:val="28"/>
              </w:rPr>
              <w:t xml:space="preserve">Objective </w:t>
            </w:r>
            <w:r>
              <w:rPr>
                <w:rFonts w:ascii="Calibri" w:hAnsi="Calibri"/>
                <w:b/>
                <w:color w:val="FFFFFF"/>
                <w:sz w:val="28"/>
                <w:szCs w:val="28"/>
              </w:rPr>
              <w:t>4</w:t>
            </w:r>
            <w:r w:rsidRPr="008F24BA">
              <w:rPr>
                <w:rFonts w:ascii="Calibri" w:hAnsi="Calibri"/>
                <w:b/>
                <w:color w:val="FFFFFF"/>
                <w:sz w:val="28"/>
                <w:szCs w:val="28"/>
              </w:rPr>
              <w:t xml:space="preserve">: </w:t>
            </w:r>
            <w:r w:rsidRPr="008F24BA">
              <w:rPr>
                <w:rFonts w:ascii="Calibri" w:hAnsi="Calibri"/>
                <w:color w:val="FFFFFF"/>
                <w:sz w:val="28"/>
                <w:szCs w:val="28"/>
              </w:rPr>
              <w:t>Improve infection prevention and control measures across human health and animal care settings to help prevent infections and the spread of resistance</w:t>
            </w:r>
          </w:p>
        </w:tc>
      </w:tr>
      <w:tr w:rsidR="00397E5F" w:rsidRPr="00644385" w14:paraId="3891FCA3" w14:textId="77777777" w:rsidTr="00280417">
        <w:trPr>
          <w:tblHeader/>
        </w:trPr>
        <w:tc>
          <w:tcPr>
            <w:tcW w:w="2977" w:type="dxa"/>
            <w:tcBorders>
              <w:bottom w:val="single" w:sz="8" w:space="0" w:color="auto"/>
            </w:tcBorders>
            <w:shd w:val="clear" w:color="auto" w:fill="92CDDC"/>
          </w:tcPr>
          <w:p w14:paraId="2882A558" w14:textId="77777777" w:rsidR="00397E5F" w:rsidRPr="00653EF4" w:rsidRDefault="00397E5F" w:rsidP="0053652E">
            <w:pPr>
              <w:spacing w:after="120" w:line="240" w:lineRule="auto"/>
              <w:rPr>
                <w:rFonts w:ascii="Calibri" w:hAnsi="Calibri"/>
                <w:b/>
                <w:color w:val="215868"/>
                <w:vertAlign w:val="superscript"/>
              </w:rPr>
            </w:pPr>
            <w:r w:rsidRPr="00653EF4">
              <w:rPr>
                <w:rFonts w:ascii="Calibri" w:hAnsi="Calibri"/>
                <w:b/>
                <w:color w:val="215868"/>
              </w:rPr>
              <w:t>Activity</w:t>
            </w:r>
          </w:p>
        </w:tc>
        <w:tc>
          <w:tcPr>
            <w:tcW w:w="2410" w:type="dxa"/>
            <w:tcBorders>
              <w:bottom w:val="single" w:sz="8" w:space="0" w:color="auto"/>
            </w:tcBorders>
            <w:shd w:val="clear" w:color="auto" w:fill="92CDDC"/>
          </w:tcPr>
          <w:p w14:paraId="370DE42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Responsibility – Lead</w:t>
            </w:r>
          </w:p>
        </w:tc>
        <w:tc>
          <w:tcPr>
            <w:tcW w:w="2552" w:type="dxa"/>
            <w:tcBorders>
              <w:bottom w:val="single" w:sz="8" w:space="0" w:color="auto"/>
            </w:tcBorders>
            <w:shd w:val="clear" w:color="auto" w:fill="92CDDC"/>
          </w:tcPr>
          <w:p w14:paraId="2AF78FE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Key partners (include role)</w:t>
            </w:r>
          </w:p>
        </w:tc>
        <w:tc>
          <w:tcPr>
            <w:tcW w:w="2126" w:type="dxa"/>
            <w:tcBorders>
              <w:bottom w:val="single" w:sz="8" w:space="0" w:color="auto"/>
            </w:tcBorders>
            <w:shd w:val="clear" w:color="auto" w:fill="92CDDC"/>
          </w:tcPr>
          <w:p w14:paraId="7659616B"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Milestones</w:t>
            </w:r>
          </w:p>
        </w:tc>
        <w:tc>
          <w:tcPr>
            <w:tcW w:w="2693" w:type="dxa"/>
            <w:tcBorders>
              <w:bottom w:val="single" w:sz="8" w:space="0" w:color="auto"/>
            </w:tcBorders>
            <w:shd w:val="clear" w:color="auto" w:fill="92CDDC"/>
          </w:tcPr>
          <w:p w14:paraId="5DFB3C68"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Expected Outcome/s</w:t>
            </w:r>
          </w:p>
        </w:tc>
        <w:tc>
          <w:tcPr>
            <w:tcW w:w="1418" w:type="dxa"/>
            <w:tcBorders>
              <w:bottom w:val="single" w:sz="8" w:space="0" w:color="auto"/>
            </w:tcBorders>
            <w:shd w:val="clear" w:color="auto" w:fill="92CDDC"/>
          </w:tcPr>
          <w:p w14:paraId="0A494969"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Links with other Strategy Objectives</w:t>
            </w:r>
          </w:p>
        </w:tc>
      </w:tr>
      <w:tr w:rsidR="00397E5F" w:rsidRPr="00FF5AE8" w14:paraId="37164304" w14:textId="77777777" w:rsidTr="00280417">
        <w:trPr>
          <w:trHeight w:val="456"/>
        </w:trPr>
        <w:tc>
          <w:tcPr>
            <w:tcW w:w="14176" w:type="dxa"/>
            <w:gridSpan w:val="6"/>
            <w:tcBorders>
              <w:top w:val="single" w:sz="8" w:space="0" w:color="auto"/>
            </w:tcBorders>
            <w:shd w:val="clear" w:color="auto" w:fill="DAEEF3"/>
          </w:tcPr>
          <w:p w14:paraId="5395DB98"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4.1 – Ensure availability of evidence-based, best-practice and nationally consistent standards for IPC across human health and animal care settings</w:t>
            </w:r>
          </w:p>
        </w:tc>
      </w:tr>
      <w:tr w:rsidR="00397E5F" w:rsidRPr="00FF5AE8" w14:paraId="61D653EB" w14:textId="77777777" w:rsidTr="00280417">
        <w:tc>
          <w:tcPr>
            <w:tcW w:w="2977" w:type="dxa"/>
            <w:shd w:val="clear" w:color="auto" w:fill="FFFFFF"/>
          </w:tcPr>
          <w:p w14:paraId="6C15C066" w14:textId="77777777" w:rsidR="00397E5F" w:rsidRPr="00653EF4" w:rsidRDefault="00397E5F" w:rsidP="0053652E">
            <w:pPr>
              <w:spacing w:after="120" w:line="240" w:lineRule="auto"/>
              <w:rPr>
                <w:rFonts w:ascii="Calibri" w:hAnsi="Calibri"/>
              </w:rPr>
            </w:pPr>
          </w:p>
        </w:tc>
        <w:tc>
          <w:tcPr>
            <w:tcW w:w="2410" w:type="dxa"/>
            <w:shd w:val="clear" w:color="auto" w:fill="auto"/>
          </w:tcPr>
          <w:p w14:paraId="198301FE"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51F02758" w14:textId="77777777" w:rsidR="00397E5F" w:rsidRPr="00653EF4" w:rsidRDefault="00397E5F" w:rsidP="0053652E">
            <w:pPr>
              <w:spacing w:after="120" w:line="240" w:lineRule="auto"/>
              <w:rPr>
                <w:rFonts w:ascii="Calibri" w:hAnsi="Calibri"/>
              </w:rPr>
            </w:pPr>
          </w:p>
        </w:tc>
        <w:tc>
          <w:tcPr>
            <w:tcW w:w="2126" w:type="dxa"/>
            <w:shd w:val="clear" w:color="auto" w:fill="auto"/>
          </w:tcPr>
          <w:p w14:paraId="05222C0C" w14:textId="77777777" w:rsidR="00397E5F" w:rsidRPr="00653EF4" w:rsidRDefault="00397E5F" w:rsidP="0053652E">
            <w:pPr>
              <w:spacing w:after="120" w:line="240" w:lineRule="auto"/>
              <w:rPr>
                <w:rFonts w:ascii="Calibri" w:hAnsi="Calibri"/>
              </w:rPr>
            </w:pPr>
          </w:p>
        </w:tc>
        <w:tc>
          <w:tcPr>
            <w:tcW w:w="2693" w:type="dxa"/>
            <w:shd w:val="clear" w:color="auto" w:fill="auto"/>
          </w:tcPr>
          <w:p w14:paraId="0B006A01" w14:textId="77777777" w:rsidR="00397E5F" w:rsidRPr="00653EF4" w:rsidRDefault="00397E5F" w:rsidP="0053652E">
            <w:pPr>
              <w:spacing w:after="120" w:line="240" w:lineRule="auto"/>
              <w:rPr>
                <w:rFonts w:ascii="Calibri" w:hAnsi="Calibri"/>
              </w:rPr>
            </w:pPr>
          </w:p>
        </w:tc>
        <w:tc>
          <w:tcPr>
            <w:tcW w:w="1418" w:type="dxa"/>
            <w:shd w:val="clear" w:color="auto" w:fill="auto"/>
          </w:tcPr>
          <w:p w14:paraId="29EF7132" w14:textId="77777777" w:rsidR="00397E5F" w:rsidRPr="00653EF4" w:rsidRDefault="00397E5F" w:rsidP="0053652E">
            <w:pPr>
              <w:spacing w:after="120" w:line="240" w:lineRule="auto"/>
              <w:rPr>
                <w:rFonts w:ascii="Calibri" w:hAnsi="Calibri"/>
              </w:rPr>
            </w:pPr>
          </w:p>
        </w:tc>
      </w:tr>
      <w:tr w:rsidR="00397E5F" w:rsidRPr="00FF5AE8" w14:paraId="5FDC9A63" w14:textId="77777777" w:rsidTr="00280417">
        <w:tc>
          <w:tcPr>
            <w:tcW w:w="2977" w:type="dxa"/>
            <w:shd w:val="clear" w:color="auto" w:fill="FFFFFF"/>
          </w:tcPr>
          <w:p w14:paraId="765E4685" w14:textId="77777777" w:rsidR="00397E5F" w:rsidRPr="00653EF4" w:rsidRDefault="00397E5F" w:rsidP="0053652E">
            <w:pPr>
              <w:spacing w:after="120" w:line="240" w:lineRule="auto"/>
              <w:rPr>
                <w:rFonts w:ascii="Calibri" w:hAnsi="Calibri"/>
              </w:rPr>
            </w:pPr>
          </w:p>
        </w:tc>
        <w:tc>
          <w:tcPr>
            <w:tcW w:w="2410" w:type="dxa"/>
            <w:shd w:val="clear" w:color="auto" w:fill="auto"/>
          </w:tcPr>
          <w:p w14:paraId="19C44897" w14:textId="77777777" w:rsidR="00397E5F" w:rsidRPr="00653EF4" w:rsidRDefault="00397E5F" w:rsidP="0053652E">
            <w:pPr>
              <w:spacing w:after="120" w:line="240" w:lineRule="auto"/>
              <w:rPr>
                <w:rFonts w:ascii="Calibri" w:hAnsi="Calibri"/>
              </w:rPr>
            </w:pPr>
          </w:p>
        </w:tc>
        <w:tc>
          <w:tcPr>
            <w:tcW w:w="2552" w:type="dxa"/>
            <w:shd w:val="clear" w:color="auto" w:fill="auto"/>
          </w:tcPr>
          <w:p w14:paraId="1A218E77" w14:textId="77777777" w:rsidR="00397E5F" w:rsidRPr="00653EF4" w:rsidRDefault="00397E5F" w:rsidP="0053652E">
            <w:pPr>
              <w:spacing w:after="120" w:line="240" w:lineRule="auto"/>
              <w:rPr>
                <w:rFonts w:ascii="Calibri" w:hAnsi="Calibri"/>
              </w:rPr>
            </w:pPr>
          </w:p>
        </w:tc>
        <w:tc>
          <w:tcPr>
            <w:tcW w:w="2126" w:type="dxa"/>
            <w:shd w:val="clear" w:color="auto" w:fill="auto"/>
          </w:tcPr>
          <w:p w14:paraId="14633B42" w14:textId="77777777" w:rsidR="00397E5F" w:rsidRPr="00653EF4" w:rsidRDefault="00397E5F" w:rsidP="0053652E">
            <w:pPr>
              <w:spacing w:after="120" w:line="240" w:lineRule="auto"/>
              <w:rPr>
                <w:rFonts w:ascii="Calibri" w:hAnsi="Calibri"/>
              </w:rPr>
            </w:pPr>
          </w:p>
        </w:tc>
        <w:tc>
          <w:tcPr>
            <w:tcW w:w="2693" w:type="dxa"/>
            <w:shd w:val="clear" w:color="auto" w:fill="auto"/>
          </w:tcPr>
          <w:p w14:paraId="3DE50627" w14:textId="77777777" w:rsidR="00397E5F" w:rsidRPr="00653EF4" w:rsidRDefault="00397E5F" w:rsidP="0053652E">
            <w:pPr>
              <w:spacing w:after="120" w:line="240" w:lineRule="auto"/>
              <w:rPr>
                <w:rFonts w:ascii="Calibri" w:hAnsi="Calibri"/>
              </w:rPr>
            </w:pPr>
          </w:p>
        </w:tc>
        <w:tc>
          <w:tcPr>
            <w:tcW w:w="1418" w:type="dxa"/>
            <w:shd w:val="clear" w:color="auto" w:fill="auto"/>
          </w:tcPr>
          <w:p w14:paraId="1629E255" w14:textId="77777777" w:rsidR="00397E5F" w:rsidRPr="00653EF4" w:rsidRDefault="00397E5F" w:rsidP="0053652E">
            <w:pPr>
              <w:spacing w:after="120" w:line="240" w:lineRule="auto"/>
              <w:rPr>
                <w:rFonts w:ascii="Calibri" w:hAnsi="Calibri"/>
              </w:rPr>
            </w:pPr>
          </w:p>
        </w:tc>
      </w:tr>
      <w:tr w:rsidR="00397E5F" w:rsidRPr="00FF5AE8" w14:paraId="4554296A" w14:textId="77777777" w:rsidTr="00280417">
        <w:tc>
          <w:tcPr>
            <w:tcW w:w="2977" w:type="dxa"/>
            <w:shd w:val="clear" w:color="auto" w:fill="FFFFFF"/>
          </w:tcPr>
          <w:p w14:paraId="2D1BBB0E" w14:textId="77777777" w:rsidR="00397E5F" w:rsidRPr="00653EF4" w:rsidRDefault="00397E5F" w:rsidP="0053652E">
            <w:pPr>
              <w:spacing w:after="120" w:line="240" w:lineRule="auto"/>
              <w:rPr>
                <w:rFonts w:ascii="Calibri" w:hAnsi="Calibri"/>
              </w:rPr>
            </w:pPr>
          </w:p>
        </w:tc>
        <w:tc>
          <w:tcPr>
            <w:tcW w:w="2410" w:type="dxa"/>
            <w:shd w:val="clear" w:color="auto" w:fill="auto"/>
          </w:tcPr>
          <w:p w14:paraId="1BE3E1ED" w14:textId="77777777" w:rsidR="00397E5F" w:rsidRPr="00653EF4" w:rsidRDefault="00397E5F" w:rsidP="0053652E">
            <w:pPr>
              <w:spacing w:after="120" w:line="240" w:lineRule="auto"/>
              <w:rPr>
                <w:rFonts w:ascii="Calibri" w:hAnsi="Calibri"/>
              </w:rPr>
            </w:pPr>
          </w:p>
        </w:tc>
        <w:tc>
          <w:tcPr>
            <w:tcW w:w="2552" w:type="dxa"/>
            <w:shd w:val="clear" w:color="auto" w:fill="auto"/>
          </w:tcPr>
          <w:p w14:paraId="105F12C6" w14:textId="77777777" w:rsidR="00397E5F" w:rsidRPr="00653EF4" w:rsidRDefault="00397E5F" w:rsidP="0053652E">
            <w:pPr>
              <w:spacing w:after="120" w:line="240" w:lineRule="auto"/>
              <w:rPr>
                <w:rFonts w:ascii="Calibri" w:hAnsi="Calibri"/>
              </w:rPr>
            </w:pPr>
          </w:p>
        </w:tc>
        <w:tc>
          <w:tcPr>
            <w:tcW w:w="2126" w:type="dxa"/>
            <w:shd w:val="clear" w:color="auto" w:fill="auto"/>
          </w:tcPr>
          <w:p w14:paraId="2A5FE8F5" w14:textId="77777777" w:rsidR="00397E5F" w:rsidRPr="00653EF4" w:rsidRDefault="00397E5F" w:rsidP="0053652E">
            <w:pPr>
              <w:spacing w:after="120" w:line="240" w:lineRule="auto"/>
              <w:rPr>
                <w:rFonts w:ascii="Calibri" w:hAnsi="Calibri"/>
              </w:rPr>
            </w:pPr>
          </w:p>
        </w:tc>
        <w:tc>
          <w:tcPr>
            <w:tcW w:w="2693" w:type="dxa"/>
            <w:shd w:val="clear" w:color="auto" w:fill="auto"/>
          </w:tcPr>
          <w:p w14:paraId="3C78CD3B" w14:textId="77777777" w:rsidR="00397E5F" w:rsidRPr="00653EF4" w:rsidRDefault="00397E5F" w:rsidP="0053652E">
            <w:pPr>
              <w:spacing w:after="120" w:line="240" w:lineRule="auto"/>
              <w:rPr>
                <w:rFonts w:ascii="Calibri" w:hAnsi="Calibri"/>
              </w:rPr>
            </w:pPr>
          </w:p>
        </w:tc>
        <w:tc>
          <w:tcPr>
            <w:tcW w:w="1418" w:type="dxa"/>
            <w:shd w:val="clear" w:color="auto" w:fill="auto"/>
          </w:tcPr>
          <w:p w14:paraId="01661C31" w14:textId="77777777" w:rsidR="00397E5F" w:rsidRPr="00653EF4" w:rsidRDefault="00397E5F" w:rsidP="0053652E">
            <w:pPr>
              <w:spacing w:after="120" w:line="240" w:lineRule="auto"/>
              <w:rPr>
                <w:rFonts w:ascii="Calibri" w:hAnsi="Calibri"/>
              </w:rPr>
            </w:pPr>
          </w:p>
        </w:tc>
      </w:tr>
      <w:tr w:rsidR="00397E5F" w:rsidRPr="007E17C2" w14:paraId="61D9E44F" w14:textId="77777777" w:rsidTr="00280417">
        <w:tc>
          <w:tcPr>
            <w:tcW w:w="14176" w:type="dxa"/>
            <w:gridSpan w:val="6"/>
            <w:shd w:val="clear" w:color="auto" w:fill="DAEEF3"/>
          </w:tcPr>
          <w:p w14:paraId="48C5A864" w14:textId="77777777" w:rsidR="00397E5F" w:rsidRPr="00653EF4" w:rsidRDefault="00397E5F" w:rsidP="0053652E">
            <w:pPr>
              <w:spacing w:after="120" w:line="240" w:lineRule="auto"/>
              <w:rPr>
                <w:rFonts w:ascii="Calibri" w:hAnsi="Calibri"/>
              </w:rPr>
            </w:pPr>
            <w:r w:rsidRPr="00653EF4">
              <w:rPr>
                <w:rFonts w:ascii="Calibri" w:hAnsi="Calibri"/>
                <w:b/>
                <w:i/>
                <w:color w:val="215868"/>
              </w:rPr>
              <w:t>Priority Action Area 4.2 - Review existing accreditation and quality assurance programmes to ensure they appropriately support and encourage compliance with best practice IPC measures</w:t>
            </w:r>
          </w:p>
        </w:tc>
      </w:tr>
      <w:tr w:rsidR="00397E5F" w:rsidRPr="007E17C2" w14:paraId="29D13747" w14:textId="77777777" w:rsidTr="00280417">
        <w:tc>
          <w:tcPr>
            <w:tcW w:w="2977" w:type="dxa"/>
            <w:shd w:val="clear" w:color="auto" w:fill="FFFFFF"/>
          </w:tcPr>
          <w:p w14:paraId="7F189EAF" w14:textId="77777777" w:rsidR="00397E5F" w:rsidRPr="00653EF4" w:rsidRDefault="00397E5F" w:rsidP="0053652E">
            <w:pPr>
              <w:spacing w:after="120" w:line="240" w:lineRule="auto"/>
              <w:rPr>
                <w:rFonts w:ascii="Calibri" w:hAnsi="Calibri"/>
              </w:rPr>
            </w:pPr>
          </w:p>
        </w:tc>
        <w:tc>
          <w:tcPr>
            <w:tcW w:w="2410" w:type="dxa"/>
            <w:shd w:val="clear" w:color="auto" w:fill="auto"/>
          </w:tcPr>
          <w:p w14:paraId="6E8CA6AB" w14:textId="77777777" w:rsidR="00397E5F" w:rsidRPr="00653EF4" w:rsidRDefault="00397E5F" w:rsidP="0053652E">
            <w:pPr>
              <w:spacing w:after="120" w:line="240" w:lineRule="auto"/>
              <w:rPr>
                <w:rFonts w:ascii="Calibri" w:hAnsi="Calibri"/>
              </w:rPr>
            </w:pPr>
          </w:p>
        </w:tc>
        <w:tc>
          <w:tcPr>
            <w:tcW w:w="2552" w:type="dxa"/>
            <w:shd w:val="clear" w:color="auto" w:fill="auto"/>
          </w:tcPr>
          <w:p w14:paraId="24E2DB25" w14:textId="77777777" w:rsidR="00397E5F" w:rsidRPr="00653EF4" w:rsidRDefault="00397E5F" w:rsidP="0053652E">
            <w:pPr>
              <w:spacing w:after="120" w:line="240" w:lineRule="auto"/>
              <w:rPr>
                <w:rFonts w:ascii="Calibri" w:hAnsi="Calibri"/>
              </w:rPr>
            </w:pPr>
          </w:p>
        </w:tc>
        <w:tc>
          <w:tcPr>
            <w:tcW w:w="2126" w:type="dxa"/>
            <w:shd w:val="clear" w:color="auto" w:fill="auto"/>
          </w:tcPr>
          <w:p w14:paraId="2DFDD902" w14:textId="77777777" w:rsidR="00397E5F" w:rsidRPr="00653EF4" w:rsidRDefault="00397E5F" w:rsidP="0053652E">
            <w:pPr>
              <w:spacing w:after="120" w:line="240" w:lineRule="auto"/>
              <w:rPr>
                <w:rFonts w:ascii="Calibri" w:hAnsi="Calibri"/>
              </w:rPr>
            </w:pPr>
          </w:p>
        </w:tc>
        <w:tc>
          <w:tcPr>
            <w:tcW w:w="2693" w:type="dxa"/>
            <w:shd w:val="clear" w:color="auto" w:fill="auto"/>
          </w:tcPr>
          <w:p w14:paraId="7E7AEEE6" w14:textId="77777777" w:rsidR="00397E5F" w:rsidRPr="00653EF4" w:rsidRDefault="00397E5F" w:rsidP="0053652E">
            <w:pPr>
              <w:spacing w:after="120" w:line="240" w:lineRule="auto"/>
              <w:rPr>
                <w:rFonts w:ascii="Calibri" w:hAnsi="Calibri"/>
              </w:rPr>
            </w:pPr>
          </w:p>
        </w:tc>
        <w:tc>
          <w:tcPr>
            <w:tcW w:w="1418" w:type="dxa"/>
            <w:shd w:val="clear" w:color="auto" w:fill="auto"/>
          </w:tcPr>
          <w:p w14:paraId="4D2BF134" w14:textId="77777777" w:rsidR="00397E5F" w:rsidRPr="00653EF4" w:rsidRDefault="00397E5F" w:rsidP="0053652E">
            <w:pPr>
              <w:spacing w:after="120" w:line="240" w:lineRule="auto"/>
              <w:rPr>
                <w:rFonts w:ascii="Calibri" w:hAnsi="Calibri"/>
              </w:rPr>
            </w:pPr>
          </w:p>
        </w:tc>
      </w:tr>
      <w:tr w:rsidR="00397E5F" w:rsidRPr="007E17C2" w14:paraId="5979F30E" w14:textId="77777777" w:rsidTr="00280417">
        <w:tc>
          <w:tcPr>
            <w:tcW w:w="2977" w:type="dxa"/>
            <w:shd w:val="clear" w:color="auto" w:fill="FFFFFF"/>
          </w:tcPr>
          <w:p w14:paraId="5A425B09" w14:textId="77777777" w:rsidR="00397E5F" w:rsidRPr="00653EF4" w:rsidRDefault="00397E5F" w:rsidP="0053652E">
            <w:pPr>
              <w:spacing w:after="120" w:line="240" w:lineRule="auto"/>
              <w:rPr>
                <w:rFonts w:ascii="Calibri" w:hAnsi="Calibri"/>
              </w:rPr>
            </w:pPr>
          </w:p>
        </w:tc>
        <w:tc>
          <w:tcPr>
            <w:tcW w:w="2410" w:type="dxa"/>
            <w:shd w:val="clear" w:color="auto" w:fill="auto"/>
          </w:tcPr>
          <w:p w14:paraId="3EAB439C" w14:textId="77777777" w:rsidR="00397E5F" w:rsidRPr="00653EF4" w:rsidRDefault="00397E5F" w:rsidP="0053652E">
            <w:pPr>
              <w:spacing w:after="120" w:line="240" w:lineRule="auto"/>
              <w:rPr>
                <w:rFonts w:ascii="Calibri" w:hAnsi="Calibri"/>
              </w:rPr>
            </w:pPr>
          </w:p>
        </w:tc>
        <w:tc>
          <w:tcPr>
            <w:tcW w:w="2552" w:type="dxa"/>
            <w:shd w:val="clear" w:color="auto" w:fill="auto"/>
          </w:tcPr>
          <w:p w14:paraId="4B4D7B42" w14:textId="77777777" w:rsidR="00397E5F" w:rsidRPr="00653EF4" w:rsidRDefault="00397E5F" w:rsidP="0053652E">
            <w:pPr>
              <w:spacing w:after="120" w:line="240" w:lineRule="auto"/>
              <w:rPr>
                <w:rFonts w:ascii="Calibri" w:hAnsi="Calibri"/>
              </w:rPr>
            </w:pPr>
          </w:p>
        </w:tc>
        <w:tc>
          <w:tcPr>
            <w:tcW w:w="2126" w:type="dxa"/>
            <w:shd w:val="clear" w:color="auto" w:fill="auto"/>
          </w:tcPr>
          <w:p w14:paraId="767E66AB" w14:textId="77777777" w:rsidR="00397E5F" w:rsidRPr="00653EF4" w:rsidRDefault="00397E5F" w:rsidP="0053652E">
            <w:pPr>
              <w:spacing w:after="120" w:line="240" w:lineRule="auto"/>
              <w:rPr>
                <w:rFonts w:ascii="Calibri" w:hAnsi="Calibri"/>
              </w:rPr>
            </w:pPr>
          </w:p>
        </w:tc>
        <w:tc>
          <w:tcPr>
            <w:tcW w:w="2693" w:type="dxa"/>
            <w:shd w:val="clear" w:color="auto" w:fill="auto"/>
          </w:tcPr>
          <w:p w14:paraId="6A35AA33" w14:textId="77777777" w:rsidR="00397E5F" w:rsidRPr="00653EF4" w:rsidRDefault="00397E5F" w:rsidP="0053652E">
            <w:pPr>
              <w:spacing w:after="120" w:line="240" w:lineRule="auto"/>
              <w:rPr>
                <w:rFonts w:ascii="Calibri" w:hAnsi="Calibri"/>
              </w:rPr>
            </w:pPr>
          </w:p>
        </w:tc>
        <w:tc>
          <w:tcPr>
            <w:tcW w:w="1418" w:type="dxa"/>
            <w:shd w:val="clear" w:color="auto" w:fill="auto"/>
          </w:tcPr>
          <w:p w14:paraId="27CF5EF0" w14:textId="77777777" w:rsidR="00397E5F" w:rsidRPr="00653EF4" w:rsidRDefault="00397E5F" w:rsidP="0053652E">
            <w:pPr>
              <w:spacing w:after="120" w:line="240" w:lineRule="auto"/>
              <w:rPr>
                <w:rFonts w:ascii="Calibri" w:hAnsi="Calibri"/>
              </w:rPr>
            </w:pPr>
          </w:p>
        </w:tc>
      </w:tr>
      <w:tr w:rsidR="00397E5F" w:rsidRPr="007E17C2" w14:paraId="3E9CC02A" w14:textId="77777777" w:rsidTr="00280417">
        <w:tc>
          <w:tcPr>
            <w:tcW w:w="14176" w:type="dxa"/>
            <w:gridSpan w:val="6"/>
            <w:shd w:val="clear" w:color="auto" w:fill="DAEEF3"/>
          </w:tcPr>
          <w:p w14:paraId="366E4012"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4.3 - Develop additional initiatives and resources to strengthen IPC in all human health care settings</w:t>
            </w:r>
          </w:p>
        </w:tc>
      </w:tr>
      <w:tr w:rsidR="00397E5F" w:rsidRPr="007E17C2" w14:paraId="3FF95FF0" w14:textId="77777777" w:rsidTr="00280417">
        <w:tc>
          <w:tcPr>
            <w:tcW w:w="2977" w:type="dxa"/>
            <w:shd w:val="clear" w:color="auto" w:fill="FFFFFF"/>
          </w:tcPr>
          <w:p w14:paraId="1E84EBFE" w14:textId="77777777" w:rsidR="00397E5F" w:rsidRPr="00653EF4" w:rsidRDefault="00397E5F" w:rsidP="0053652E">
            <w:pPr>
              <w:spacing w:after="120" w:line="240" w:lineRule="auto"/>
              <w:rPr>
                <w:rFonts w:ascii="Calibri" w:hAnsi="Calibri"/>
              </w:rPr>
            </w:pPr>
          </w:p>
        </w:tc>
        <w:tc>
          <w:tcPr>
            <w:tcW w:w="2410" w:type="dxa"/>
            <w:shd w:val="clear" w:color="auto" w:fill="auto"/>
          </w:tcPr>
          <w:p w14:paraId="6C5E35DA" w14:textId="77777777" w:rsidR="00397E5F" w:rsidRPr="00653EF4" w:rsidRDefault="00397E5F" w:rsidP="0053652E">
            <w:pPr>
              <w:spacing w:after="120" w:line="240" w:lineRule="auto"/>
              <w:rPr>
                <w:rFonts w:ascii="Calibri" w:hAnsi="Calibri"/>
              </w:rPr>
            </w:pPr>
          </w:p>
        </w:tc>
        <w:tc>
          <w:tcPr>
            <w:tcW w:w="2552" w:type="dxa"/>
            <w:shd w:val="clear" w:color="auto" w:fill="auto"/>
          </w:tcPr>
          <w:p w14:paraId="7544F071"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70C90FD1" w14:textId="77777777" w:rsidR="00397E5F" w:rsidRPr="00653EF4" w:rsidRDefault="00397E5F" w:rsidP="0053652E">
            <w:pPr>
              <w:spacing w:after="120" w:line="240" w:lineRule="auto"/>
              <w:rPr>
                <w:rFonts w:ascii="Calibri" w:hAnsi="Calibri"/>
              </w:rPr>
            </w:pPr>
          </w:p>
        </w:tc>
        <w:tc>
          <w:tcPr>
            <w:tcW w:w="2693" w:type="dxa"/>
            <w:shd w:val="clear" w:color="auto" w:fill="auto"/>
          </w:tcPr>
          <w:p w14:paraId="6C70AD00"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39A9BE61" w14:textId="77777777" w:rsidR="00397E5F" w:rsidRPr="00653EF4" w:rsidRDefault="00397E5F" w:rsidP="0053652E">
            <w:pPr>
              <w:spacing w:after="120" w:line="240" w:lineRule="auto"/>
              <w:rPr>
                <w:rFonts w:ascii="Calibri" w:hAnsi="Calibri"/>
                <w:highlight w:val="yellow"/>
              </w:rPr>
            </w:pPr>
          </w:p>
        </w:tc>
      </w:tr>
      <w:tr w:rsidR="00397E5F" w:rsidRPr="007E17C2" w14:paraId="0FF32FD6" w14:textId="77777777" w:rsidTr="00280417">
        <w:tc>
          <w:tcPr>
            <w:tcW w:w="2977" w:type="dxa"/>
            <w:shd w:val="clear" w:color="auto" w:fill="FFFFFF"/>
          </w:tcPr>
          <w:p w14:paraId="5CE245B7" w14:textId="77777777" w:rsidR="00397E5F" w:rsidRPr="00653EF4" w:rsidRDefault="00397E5F" w:rsidP="0053652E">
            <w:pPr>
              <w:spacing w:after="120" w:line="240" w:lineRule="auto"/>
              <w:rPr>
                <w:rFonts w:ascii="Calibri" w:hAnsi="Calibri"/>
              </w:rPr>
            </w:pPr>
          </w:p>
        </w:tc>
        <w:tc>
          <w:tcPr>
            <w:tcW w:w="2410" w:type="dxa"/>
            <w:shd w:val="clear" w:color="auto" w:fill="auto"/>
          </w:tcPr>
          <w:p w14:paraId="6F995AEA" w14:textId="77777777" w:rsidR="00397E5F" w:rsidRPr="00653EF4" w:rsidRDefault="00397E5F" w:rsidP="0053652E">
            <w:pPr>
              <w:spacing w:after="120" w:line="240" w:lineRule="auto"/>
              <w:rPr>
                <w:rFonts w:ascii="Calibri" w:hAnsi="Calibri"/>
              </w:rPr>
            </w:pPr>
          </w:p>
        </w:tc>
        <w:tc>
          <w:tcPr>
            <w:tcW w:w="2552" w:type="dxa"/>
            <w:shd w:val="clear" w:color="auto" w:fill="auto"/>
          </w:tcPr>
          <w:p w14:paraId="6941B040" w14:textId="77777777" w:rsidR="00397E5F" w:rsidRPr="00653EF4" w:rsidRDefault="00397E5F" w:rsidP="0053652E">
            <w:pPr>
              <w:spacing w:after="120" w:line="240" w:lineRule="auto"/>
              <w:rPr>
                <w:rFonts w:ascii="Calibri" w:hAnsi="Calibri"/>
              </w:rPr>
            </w:pPr>
          </w:p>
        </w:tc>
        <w:tc>
          <w:tcPr>
            <w:tcW w:w="2126" w:type="dxa"/>
            <w:shd w:val="clear" w:color="auto" w:fill="auto"/>
          </w:tcPr>
          <w:p w14:paraId="18138129" w14:textId="77777777" w:rsidR="00397E5F" w:rsidRPr="00653EF4" w:rsidRDefault="00397E5F" w:rsidP="0053652E">
            <w:pPr>
              <w:spacing w:after="120" w:line="240" w:lineRule="auto"/>
              <w:rPr>
                <w:rFonts w:ascii="Calibri" w:hAnsi="Calibri"/>
              </w:rPr>
            </w:pPr>
          </w:p>
        </w:tc>
        <w:tc>
          <w:tcPr>
            <w:tcW w:w="2693" w:type="dxa"/>
            <w:shd w:val="clear" w:color="auto" w:fill="auto"/>
          </w:tcPr>
          <w:p w14:paraId="3F4EC9AD" w14:textId="77777777" w:rsidR="00397E5F" w:rsidRPr="00653EF4" w:rsidRDefault="00397E5F" w:rsidP="0053652E">
            <w:pPr>
              <w:spacing w:after="120" w:line="240" w:lineRule="auto"/>
              <w:rPr>
                <w:rFonts w:ascii="Calibri" w:hAnsi="Calibri"/>
              </w:rPr>
            </w:pPr>
          </w:p>
        </w:tc>
        <w:tc>
          <w:tcPr>
            <w:tcW w:w="1418" w:type="dxa"/>
            <w:shd w:val="clear" w:color="auto" w:fill="auto"/>
          </w:tcPr>
          <w:p w14:paraId="4C9BCC23" w14:textId="77777777" w:rsidR="00397E5F" w:rsidRPr="00653EF4" w:rsidRDefault="00397E5F" w:rsidP="0053652E">
            <w:pPr>
              <w:spacing w:after="120" w:line="240" w:lineRule="auto"/>
              <w:rPr>
                <w:rFonts w:ascii="Calibri" w:hAnsi="Calibri"/>
              </w:rPr>
            </w:pPr>
          </w:p>
        </w:tc>
      </w:tr>
      <w:tr w:rsidR="00397E5F" w:rsidRPr="007E17C2" w14:paraId="4F816FA3" w14:textId="77777777" w:rsidTr="00280417">
        <w:tc>
          <w:tcPr>
            <w:tcW w:w="2977" w:type="dxa"/>
            <w:shd w:val="clear" w:color="auto" w:fill="FFFFFF"/>
          </w:tcPr>
          <w:p w14:paraId="7F7EE567" w14:textId="77777777" w:rsidR="00397E5F" w:rsidRPr="00653EF4" w:rsidRDefault="00397E5F" w:rsidP="0053652E">
            <w:pPr>
              <w:spacing w:after="120" w:line="240" w:lineRule="auto"/>
              <w:rPr>
                <w:rFonts w:ascii="Calibri" w:hAnsi="Calibri"/>
              </w:rPr>
            </w:pPr>
          </w:p>
        </w:tc>
        <w:tc>
          <w:tcPr>
            <w:tcW w:w="2410" w:type="dxa"/>
            <w:shd w:val="clear" w:color="auto" w:fill="auto"/>
          </w:tcPr>
          <w:p w14:paraId="42339741" w14:textId="77777777" w:rsidR="00397E5F" w:rsidRPr="00653EF4" w:rsidRDefault="00397E5F" w:rsidP="0053652E">
            <w:pPr>
              <w:spacing w:after="120" w:line="240" w:lineRule="auto"/>
              <w:rPr>
                <w:rFonts w:ascii="Calibri" w:hAnsi="Calibri"/>
              </w:rPr>
            </w:pPr>
          </w:p>
        </w:tc>
        <w:tc>
          <w:tcPr>
            <w:tcW w:w="2552" w:type="dxa"/>
            <w:shd w:val="clear" w:color="auto" w:fill="auto"/>
          </w:tcPr>
          <w:p w14:paraId="503E75C0"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07381820" w14:textId="77777777" w:rsidR="00397E5F" w:rsidRPr="00653EF4" w:rsidRDefault="00397E5F" w:rsidP="0053652E">
            <w:pPr>
              <w:spacing w:after="120" w:line="240" w:lineRule="auto"/>
              <w:rPr>
                <w:rFonts w:ascii="Calibri" w:hAnsi="Calibri"/>
              </w:rPr>
            </w:pPr>
          </w:p>
        </w:tc>
        <w:tc>
          <w:tcPr>
            <w:tcW w:w="2693" w:type="dxa"/>
            <w:shd w:val="clear" w:color="auto" w:fill="auto"/>
          </w:tcPr>
          <w:p w14:paraId="0E024125"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0789E0CB" w14:textId="77777777" w:rsidR="00397E5F" w:rsidRPr="00653EF4" w:rsidRDefault="00397E5F" w:rsidP="0053652E">
            <w:pPr>
              <w:spacing w:after="120" w:line="240" w:lineRule="auto"/>
              <w:rPr>
                <w:rFonts w:ascii="Calibri" w:hAnsi="Calibri"/>
                <w:highlight w:val="yellow"/>
              </w:rPr>
            </w:pPr>
          </w:p>
        </w:tc>
      </w:tr>
      <w:tr w:rsidR="00397E5F" w:rsidRPr="007E17C2" w14:paraId="4CBF7C5F" w14:textId="77777777" w:rsidTr="00280417">
        <w:tc>
          <w:tcPr>
            <w:tcW w:w="14176" w:type="dxa"/>
            <w:gridSpan w:val="6"/>
            <w:shd w:val="clear" w:color="auto" w:fill="DAEEF3"/>
          </w:tcPr>
          <w:p w14:paraId="33A49A48"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4.4 - Further develop initiatives and resources to strengthen IPC in the livestock industry</w:t>
            </w:r>
          </w:p>
        </w:tc>
      </w:tr>
      <w:tr w:rsidR="00397E5F" w:rsidRPr="007E17C2" w14:paraId="5480289F" w14:textId="77777777" w:rsidTr="00280417">
        <w:tc>
          <w:tcPr>
            <w:tcW w:w="2977" w:type="dxa"/>
            <w:shd w:val="clear" w:color="auto" w:fill="FFFFFF"/>
          </w:tcPr>
          <w:p w14:paraId="69131589" w14:textId="77777777" w:rsidR="00397E5F" w:rsidRPr="00653EF4" w:rsidRDefault="00397E5F" w:rsidP="0053652E">
            <w:pPr>
              <w:spacing w:after="120" w:line="240" w:lineRule="auto"/>
              <w:rPr>
                <w:rFonts w:ascii="Calibri" w:hAnsi="Calibri"/>
              </w:rPr>
            </w:pPr>
          </w:p>
        </w:tc>
        <w:tc>
          <w:tcPr>
            <w:tcW w:w="2410" w:type="dxa"/>
            <w:shd w:val="clear" w:color="auto" w:fill="auto"/>
          </w:tcPr>
          <w:p w14:paraId="1C2E1E7C" w14:textId="77777777" w:rsidR="00397E5F" w:rsidRPr="00653EF4" w:rsidRDefault="00397E5F" w:rsidP="0053652E">
            <w:pPr>
              <w:spacing w:after="120" w:line="240" w:lineRule="auto"/>
              <w:rPr>
                <w:rFonts w:ascii="Calibri" w:hAnsi="Calibri"/>
              </w:rPr>
            </w:pPr>
          </w:p>
        </w:tc>
        <w:tc>
          <w:tcPr>
            <w:tcW w:w="2552" w:type="dxa"/>
            <w:shd w:val="clear" w:color="auto" w:fill="auto"/>
          </w:tcPr>
          <w:p w14:paraId="30543C3C" w14:textId="77777777" w:rsidR="00397E5F" w:rsidRPr="00653EF4" w:rsidRDefault="00397E5F" w:rsidP="0053652E">
            <w:pPr>
              <w:spacing w:after="120" w:line="240" w:lineRule="auto"/>
              <w:rPr>
                <w:rFonts w:ascii="Calibri" w:hAnsi="Calibri"/>
              </w:rPr>
            </w:pPr>
          </w:p>
        </w:tc>
        <w:tc>
          <w:tcPr>
            <w:tcW w:w="2126" w:type="dxa"/>
            <w:shd w:val="clear" w:color="auto" w:fill="auto"/>
          </w:tcPr>
          <w:p w14:paraId="2A97A4B0" w14:textId="77777777" w:rsidR="00397E5F" w:rsidRPr="00653EF4" w:rsidRDefault="00397E5F" w:rsidP="0053652E">
            <w:pPr>
              <w:spacing w:after="120" w:line="240" w:lineRule="auto"/>
              <w:rPr>
                <w:rFonts w:ascii="Calibri" w:hAnsi="Calibri"/>
              </w:rPr>
            </w:pPr>
          </w:p>
        </w:tc>
        <w:tc>
          <w:tcPr>
            <w:tcW w:w="2693" w:type="dxa"/>
            <w:shd w:val="clear" w:color="auto" w:fill="auto"/>
          </w:tcPr>
          <w:p w14:paraId="1695B414" w14:textId="77777777" w:rsidR="00397E5F" w:rsidRPr="00653EF4" w:rsidRDefault="00397E5F" w:rsidP="0053652E">
            <w:pPr>
              <w:spacing w:after="120" w:line="240" w:lineRule="auto"/>
              <w:rPr>
                <w:rFonts w:ascii="Calibri" w:hAnsi="Calibri"/>
              </w:rPr>
            </w:pPr>
          </w:p>
        </w:tc>
        <w:tc>
          <w:tcPr>
            <w:tcW w:w="1418" w:type="dxa"/>
            <w:shd w:val="clear" w:color="auto" w:fill="auto"/>
          </w:tcPr>
          <w:p w14:paraId="082A2954" w14:textId="77777777" w:rsidR="00397E5F" w:rsidRPr="00653EF4" w:rsidRDefault="00397E5F" w:rsidP="0053652E">
            <w:pPr>
              <w:spacing w:after="120" w:line="240" w:lineRule="auto"/>
              <w:rPr>
                <w:rFonts w:ascii="Calibri" w:hAnsi="Calibri"/>
              </w:rPr>
            </w:pPr>
          </w:p>
        </w:tc>
      </w:tr>
      <w:tr w:rsidR="00397E5F" w:rsidRPr="007E17C2" w14:paraId="17BFFFC8" w14:textId="77777777" w:rsidTr="00280417">
        <w:tc>
          <w:tcPr>
            <w:tcW w:w="2977" w:type="dxa"/>
            <w:shd w:val="clear" w:color="auto" w:fill="FFFFFF"/>
          </w:tcPr>
          <w:p w14:paraId="53A342F0" w14:textId="77777777" w:rsidR="00397E5F" w:rsidRPr="00653EF4" w:rsidRDefault="00397E5F" w:rsidP="0053652E">
            <w:pPr>
              <w:spacing w:after="120" w:line="240" w:lineRule="auto"/>
              <w:rPr>
                <w:rFonts w:ascii="Calibri" w:hAnsi="Calibri"/>
              </w:rPr>
            </w:pPr>
          </w:p>
        </w:tc>
        <w:tc>
          <w:tcPr>
            <w:tcW w:w="2410" w:type="dxa"/>
            <w:shd w:val="clear" w:color="auto" w:fill="auto"/>
          </w:tcPr>
          <w:p w14:paraId="394BCF99" w14:textId="77777777" w:rsidR="00397E5F" w:rsidRPr="00653EF4" w:rsidRDefault="00397E5F" w:rsidP="0053652E">
            <w:pPr>
              <w:spacing w:after="120" w:line="240" w:lineRule="auto"/>
              <w:rPr>
                <w:rFonts w:ascii="Calibri" w:hAnsi="Calibri"/>
              </w:rPr>
            </w:pPr>
          </w:p>
        </w:tc>
        <w:tc>
          <w:tcPr>
            <w:tcW w:w="2552" w:type="dxa"/>
            <w:shd w:val="clear" w:color="auto" w:fill="auto"/>
          </w:tcPr>
          <w:p w14:paraId="2C67F554" w14:textId="77777777" w:rsidR="00397E5F" w:rsidRPr="00653EF4" w:rsidRDefault="00397E5F" w:rsidP="0053652E">
            <w:pPr>
              <w:spacing w:after="120" w:line="240" w:lineRule="auto"/>
              <w:rPr>
                <w:rFonts w:ascii="Calibri" w:hAnsi="Calibri"/>
              </w:rPr>
            </w:pPr>
          </w:p>
        </w:tc>
        <w:tc>
          <w:tcPr>
            <w:tcW w:w="2126" w:type="dxa"/>
            <w:shd w:val="clear" w:color="auto" w:fill="auto"/>
          </w:tcPr>
          <w:p w14:paraId="2B3B5BB4" w14:textId="77777777" w:rsidR="00397E5F" w:rsidRPr="00653EF4" w:rsidRDefault="00397E5F" w:rsidP="0053652E">
            <w:pPr>
              <w:spacing w:after="120" w:line="240" w:lineRule="auto"/>
              <w:rPr>
                <w:rFonts w:ascii="Calibri" w:hAnsi="Calibri"/>
              </w:rPr>
            </w:pPr>
          </w:p>
        </w:tc>
        <w:tc>
          <w:tcPr>
            <w:tcW w:w="2693" w:type="dxa"/>
            <w:shd w:val="clear" w:color="auto" w:fill="auto"/>
          </w:tcPr>
          <w:p w14:paraId="1F39C71C" w14:textId="77777777" w:rsidR="00397E5F" w:rsidRPr="00653EF4" w:rsidRDefault="00397E5F" w:rsidP="0053652E">
            <w:pPr>
              <w:spacing w:after="120" w:line="240" w:lineRule="auto"/>
              <w:rPr>
                <w:rFonts w:ascii="Calibri" w:hAnsi="Calibri"/>
              </w:rPr>
            </w:pPr>
          </w:p>
        </w:tc>
        <w:tc>
          <w:tcPr>
            <w:tcW w:w="1418" w:type="dxa"/>
            <w:shd w:val="clear" w:color="auto" w:fill="auto"/>
          </w:tcPr>
          <w:p w14:paraId="069831ED" w14:textId="77777777" w:rsidR="00397E5F" w:rsidRPr="00653EF4" w:rsidRDefault="00397E5F" w:rsidP="0053652E">
            <w:pPr>
              <w:spacing w:after="120" w:line="240" w:lineRule="auto"/>
              <w:rPr>
                <w:rFonts w:ascii="Calibri" w:hAnsi="Calibri"/>
              </w:rPr>
            </w:pPr>
          </w:p>
        </w:tc>
      </w:tr>
      <w:tr w:rsidR="00397E5F" w:rsidRPr="007E17C2" w14:paraId="1EAEAF63" w14:textId="77777777" w:rsidTr="00280417">
        <w:tc>
          <w:tcPr>
            <w:tcW w:w="2977" w:type="dxa"/>
            <w:shd w:val="clear" w:color="auto" w:fill="FFFFFF"/>
          </w:tcPr>
          <w:p w14:paraId="3BC4555A" w14:textId="77777777" w:rsidR="00397E5F" w:rsidRPr="00653EF4" w:rsidRDefault="00397E5F" w:rsidP="0053652E">
            <w:pPr>
              <w:spacing w:after="120" w:line="240" w:lineRule="auto"/>
              <w:rPr>
                <w:rFonts w:ascii="Calibri" w:hAnsi="Calibri"/>
              </w:rPr>
            </w:pPr>
          </w:p>
        </w:tc>
        <w:tc>
          <w:tcPr>
            <w:tcW w:w="2410" w:type="dxa"/>
            <w:shd w:val="clear" w:color="auto" w:fill="auto"/>
          </w:tcPr>
          <w:p w14:paraId="760B3249" w14:textId="77777777" w:rsidR="00397E5F" w:rsidRPr="00653EF4" w:rsidRDefault="00397E5F" w:rsidP="0053652E">
            <w:pPr>
              <w:spacing w:after="120" w:line="240" w:lineRule="auto"/>
              <w:rPr>
                <w:rFonts w:ascii="Calibri" w:hAnsi="Calibri"/>
              </w:rPr>
            </w:pPr>
          </w:p>
        </w:tc>
        <w:tc>
          <w:tcPr>
            <w:tcW w:w="2552" w:type="dxa"/>
            <w:shd w:val="clear" w:color="auto" w:fill="auto"/>
          </w:tcPr>
          <w:p w14:paraId="26951D7F" w14:textId="77777777" w:rsidR="00397E5F" w:rsidRPr="00653EF4" w:rsidRDefault="00397E5F" w:rsidP="0053652E">
            <w:pPr>
              <w:spacing w:after="120" w:line="240" w:lineRule="auto"/>
              <w:rPr>
                <w:rFonts w:ascii="Calibri" w:hAnsi="Calibri"/>
              </w:rPr>
            </w:pPr>
          </w:p>
        </w:tc>
        <w:tc>
          <w:tcPr>
            <w:tcW w:w="2126" w:type="dxa"/>
            <w:shd w:val="clear" w:color="auto" w:fill="auto"/>
          </w:tcPr>
          <w:p w14:paraId="41995818" w14:textId="77777777" w:rsidR="00397E5F" w:rsidRPr="00653EF4" w:rsidRDefault="00397E5F" w:rsidP="0053652E">
            <w:pPr>
              <w:spacing w:after="120" w:line="240" w:lineRule="auto"/>
              <w:rPr>
                <w:rFonts w:ascii="Calibri" w:hAnsi="Calibri"/>
              </w:rPr>
            </w:pPr>
          </w:p>
        </w:tc>
        <w:tc>
          <w:tcPr>
            <w:tcW w:w="2693" w:type="dxa"/>
            <w:shd w:val="clear" w:color="auto" w:fill="auto"/>
          </w:tcPr>
          <w:p w14:paraId="32D56B15" w14:textId="77777777" w:rsidR="00397E5F" w:rsidRPr="00653EF4" w:rsidRDefault="00397E5F" w:rsidP="0053652E">
            <w:pPr>
              <w:spacing w:after="120" w:line="240" w:lineRule="auto"/>
              <w:rPr>
                <w:rFonts w:ascii="Calibri" w:hAnsi="Calibri"/>
              </w:rPr>
            </w:pPr>
          </w:p>
        </w:tc>
        <w:tc>
          <w:tcPr>
            <w:tcW w:w="1418" w:type="dxa"/>
            <w:shd w:val="clear" w:color="auto" w:fill="auto"/>
          </w:tcPr>
          <w:p w14:paraId="4079E0B7" w14:textId="77777777" w:rsidR="00397E5F" w:rsidRPr="00653EF4" w:rsidRDefault="00397E5F" w:rsidP="0053652E">
            <w:pPr>
              <w:spacing w:after="120" w:line="240" w:lineRule="auto"/>
              <w:rPr>
                <w:rFonts w:ascii="Calibri" w:hAnsi="Calibri"/>
              </w:rPr>
            </w:pPr>
          </w:p>
        </w:tc>
      </w:tr>
      <w:tr w:rsidR="00397E5F" w:rsidRPr="007E17C2" w14:paraId="2E35BA07" w14:textId="77777777" w:rsidTr="00280417">
        <w:tc>
          <w:tcPr>
            <w:tcW w:w="14176" w:type="dxa"/>
            <w:gridSpan w:val="6"/>
            <w:shd w:val="clear" w:color="auto" w:fill="DAEEF3"/>
          </w:tcPr>
          <w:p w14:paraId="2E8B39D0"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lastRenderedPageBreak/>
              <w:t>Priority Action Area 4.5 - Further develop resources to strengthen IPC in veterinary practice</w:t>
            </w:r>
          </w:p>
        </w:tc>
      </w:tr>
      <w:tr w:rsidR="00397E5F" w:rsidRPr="007E17C2" w14:paraId="7412C01B" w14:textId="77777777" w:rsidTr="00280417">
        <w:tc>
          <w:tcPr>
            <w:tcW w:w="2977" w:type="dxa"/>
            <w:shd w:val="clear" w:color="auto" w:fill="FFFFFF"/>
          </w:tcPr>
          <w:p w14:paraId="5E2E73BC" w14:textId="77777777" w:rsidR="00397E5F" w:rsidRPr="00653EF4" w:rsidRDefault="00397E5F" w:rsidP="0053652E">
            <w:pPr>
              <w:spacing w:after="120" w:line="240" w:lineRule="auto"/>
              <w:rPr>
                <w:rFonts w:ascii="Calibri" w:hAnsi="Calibri"/>
              </w:rPr>
            </w:pPr>
          </w:p>
        </w:tc>
        <w:tc>
          <w:tcPr>
            <w:tcW w:w="2410" w:type="dxa"/>
            <w:shd w:val="clear" w:color="auto" w:fill="auto"/>
          </w:tcPr>
          <w:p w14:paraId="371AE14B" w14:textId="77777777" w:rsidR="00397E5F" w:rsidRPr="00653EF4" w:rsidRDefault="00397E5F" w:rsidP="0053652E">
            <w:pPr>
              <w:spacing w:after="120" w:line="240" w:lineRule="auto"/>
              <w:rPr>
                <w:rFonts w:ascii="Calibri" w:hAnsi="Calibri"/>
              </w:rPr>
            </w:pPr>
          </w:p>
        </w:tc>
        <w:tc>
          <w:tcPr>
            <w:tcW w:w="2552" w:type="dxa"/>
            <w:shd w:val="clear" w:color="auto" w:fill="auto"/>
          </w:tcPr>
          <w:p w14:paraId="1D41C69A" w14:textId="77777777" w:rsidR="00397E5F" w:rsidRPr="00653EF4" w:rsidRDefault="00397E5F" w:rsidP="0053652E">
            <w:pPr>
              <w:spacing w:after="120" w:line="240" w:lineRule="auto"/>
              <w:rPr>
                <w:rFonts w:ascii="Calibri" w:hAnsi="Calibri"/>
              </w:rPr>
            </w:pPr>
          </w:p>
        </w:tc>
        <w:tc>
          <w:tcPr>
            <w:tcW w:w="2126" w:type="dxa"/>
            <w:shd w:val="clear" w:color="auto" w:fill="auto"/>
          </w:tcPr>
          <w:p w14:paraId="7F6CB8F0" w14:textId="77777777" w:rsidR="00397E5F" w:rsidRPr="00653EF4" w:rsidRDefault="00397E5F" w:rsidP="0053652E">
            <w:pPr>
              <w:spacing w:after="120" w:line="240" w:lineRule="auto"/>
              <w:rPr>
                <w:rFonts w:ascii="Calibri" w:hAnsi="Calibri"/>
              </w:rPr>
            </w:pPr>
          </w:p>
        </w:tc>
        <w:tc>
          <w:tcPr>
            <w:tcW w:w="2693" w:type="dxa"/>
            <w:shd w:val="clear" w:color="auto" w:fill="auto"/>
          </w:tcPr>
          <w:p w14:paraId="08FFDBD5" w14:textId="77777777" w:rsidR="00397E5F" w:rsidRPr="00653EF4" w:rsidRDefault="00397E5F" w:rsidP="0053652E">
            <w:pPr>
              <w:spacing w:after="120" w:line="240" w:lineRule="auto"/>
              <w:rPr>
                <w:rFonts w:ascii="Calibri" w:hAnsi="Calibri"/>
              </w:rPr>
            </w:pPr>
          </w:p>
        </w:tc>
        <w:tc>
          <w:tcPr>
            <w:tcW w:w="1418" w:type="dxa"/>
            <w:shd w:val="clear" w:color="auto" w:fill="auto"/>
          </w:tcPr>
          <w:p w14:paraId="5AA12B9B" w14:textId="77777777" w:rsidR="00397E5F" w:rsidRPr="00653EF4" w:rsidRDefault="00397E5F" w:rsidP="0053652E">
            <w:pPr>
              <w:spacing w:after="120" w:line="240" w:lineRule="auto"/>
              <w:rPr>
                <w:rFonts w:ascii="Calibri" w:hAnsi="Calibri"/>
              </w:rPr>
            </w:pPr>
          </w:p>
        </w:tc>
      </w:tr>
      <w:tr w:rsidR="00397E5F" w:rsidRPr="007E17C2" w14:paraId="4FBFB820" w14:textId="77777777" w:rsidTr="00280417">
        <w:tc>
          <w:tcPr>
            <w:tcW w:w="2977" w:type="dxa"/>
            <w:shd w:val="clear" w:color="auto" w:fill="FFFFFF"/>
          </w:tcPr>
          <w:p w14:paraId="0E60D41B" w14:textId="77777777" w:rsidR="00397E5F" w:rsidRPr="00653EF4" w:rsidRDefault="00397E5F" w:rsidP="0053652E">
            <w:pPr>
              <w:spacing w:after="120" w:line="240" w:lineRule="auto"/>
              <w:rPr>
                <w:rFonts w:ascii="Calibri" w:hAnsi="Calibri"/>
              </w:rPr>
            </w:pPr>
          </w:p>
        </w:tc>
        <w:tc>
          <w:tcPr>
            <w:tcW w:w="2410" w:type="dxa"/>
            <w:shd w:val="clear" w:color="auto" w:fill="auto"/>
          </w:tcPr>
          <w:p w14:paraId="33B5D2DF" w14:textId="77777777" w:rsidR="00397E5F" w:rsidRPr="00653EF4" w:rsidRDefault="00397E5F" w:rsidP="0053652E">
            <w:pPr>
              <w:spacing w:after="120" w:line="240" w:lineRule="auto"/>
              <w:rPr>
                <w:rFonts w:ascii="Calibri" w:hAnsi="Calibri"/>
              </w:rPr>
            </w:pPr>
          </w:p>
        </w:tc>
        <w:tc>
          <w:tcPr>
            <w:tcW w:w="2552" w:type="dxa"/>
            <w:shd w:val="clear" w:color="auto" w:fill="auto"/>
          </w:tcPr>
          <w:p w14:paraId="61677E4A" w14:textId="77777777" w:rsidR="00397E5F" w:rsidRPr="00653EF4" w:rsidRDefault="00397E5F" w:rsidP="0053652E">
            <w:pPr>
              <w:spacing w:after="120" w:line="240" w:lineRule="auto"/>
              <w:rPr>
                <w:rFonts w:ascii="Calibri" w:hAnsi="Calibri"/>
              </w:rPr>
            </w:pPr>
          </w:p>
        </w:tc>
        <w:tc>
          <w:tcPr>
            <w:tcW w:w="2126" w:type="dxa"/>
            <w:shd w:val="clear" w:color="auto" w:fill="auto"/>
          </w:tcPr>
          <w:p w14:paraId="5A64CF72" w14:textId="77777777" w:rsidR="00397E5F" w:rsidRPr="00653EF4" w:rsidRDefault="00397E5F" w:rsidP="0053652E">
            <w:pPr>
              <w:spacing w:after="120" w:line="240" w:lineRule="auto"/>
              <w:rPr>
                <w:rFonts w:ascii="Calibri" w:hAnsi="Calibri"/>
              </w:rPr>
            </w:pPr>
          </w:p>
        </w:tc>
        <w:tc>
          <w:tcPr>
            <w:tcW w:w="2693" w:type="dxa"/>
            <w:shd w:val="clear" w:color="auto" w:fill="auto"/>
          </w:tcPr>
          <w:p w14:paraId="68773E33" w14:textId="77777777" w:rsidR="00397E5F" w:rsidRPr="00653EF4" w:rsidRDefault="00397E5F" w:rsidP="0053652E">
            <w:pPr>
              <w:spacing w:after="120" w:line="240" w:lineRule="auto"/>
              <w:rPr>
                <w:rFonts w:ascii="Calibri" w:hAnsi="Calibri"/>
              </w:rPr>
            </w:pPr>
          </w:p>
        </w:tc>
        <w:tc>
          <w:tcPr>
            <w:tcW w:w="1418" w:type="dxa"/>
            <w:shd w:val="clear" w:color="auto" w:fill="auto"/>
          </w:tcPr>
          <w:p w14:paraId="419A190C" w14:textId="77777777" w:rsidR="00397E5F" w:rsidRPr="00653EF4" w:rsidRDefault="00397E5F" w:rsidP="0053652E">
            <w:pPr>
              <w:spacing w:after="120" w:line="240" w:lineRule="auto"/>
              <w:rPr>
                <w:rFonts w:ascii="Calibri" w:hAnsi="Calibri"/>
              </w:rPr>
            </w:pPr>
          </w:p>
        </w:tc>
      </w:tr>
      <w:tr w:rsidR="00397E5F" w:rsidRPr="007E17C2" w14:paraId="3681DD04" w14:textId="77777777" w:rsidTr="00280417">
        <w:tc>
          <w:tcPr>
            <w:tcW w:w="2977" w:type="dxa"/>
            <w:shd w:val="clear" w:color="auto" w:fill="FFFFFF"/>
          </w:tcPr>
          <w:p w14:paraId="09078A81" w14:textId="77777777" w:rsidR="00397E5F" w:rsidRPr="00653EF4" w:rsidRDefault="00397E5F" w:rsidP="0053652E">
            <w:pPr>
              <w:spacing w:after="120" w:line="240" w:lineRule="auto"/>
              <w:rPr>
                <w:rFonts w:ascii="Calibri" w:hAnsi="Calibri"/>
              </w:rPr>
            </w:pPr>
          </w:p>
        </w:tc>
        <w:tc>
          <w:tcPr>
            <w:tcW w:w="2410" w:type="dxa"/>
            <w:shd w:val="clear" w:color="auto" w:fill="auto"/>
          </w:tcPr>
          <w:p w14:paraId="01593967" w14:textId="77777777" w:rsidR="00397E5F" w:rsidRPr="00653EF4" w:rsidRDefault="00397E5F" w:rsidP="0053652E">
            <w:pPr>
              <w:spacing w:after="120" w:line="240" w:lineRule="auto"/>
              <w:rPr>
                <w:rFonts w:ascii="Calibri" w:hAnsi="Calibri"/>
              </w:rPr>
            </w:pPr>
          </w:p>
        </w:tc>
        <w:tc>
          <w:tcPr>
            <w:tcW w:w="2552" w:type="dxa"/>
            <w:shd w:val="clear" w:color="auto" w:fill="auto"/>
          </w:tcPr>
          <w:p w14:paraId="56FBE348" w14:textId="77777777" w:rsidR="00397E5F" w:rsidRPr="00653EF4" w:rsidRDefault="00397E5F" w:rsidP="0053652E">
            <w:pPr>
              <w:spacing w:after="120" w:line="240" w:lineRule="auto"/>
              <w:rPr>
                <w:rFonts w:ascii="Calibri" w:hAnsi="Calibri"/>
              </w:rPr>
            </w:pPr>
          </w:p>
        </w:tc>
        <w:tc>
          <w:tcPr>
            <w:tcW w:w="2126" w:type="dxa"/>
            <w:shd w:val="clear" w:color="auto" w:fill="auto"/>
          </w:tcPr>
          <w:p w14:paraId="184B2A36" w14:textId="77777777" w:rsidR="00397E5F" w:rsidRPr="00653EF4" w:rsidRDefault="00397E5F" w:rsidP="0053652E">
            <w:pPr>
              <w:spacing w:after="120" w:line="240" w:lineRule="auto"/>
              <w:rPr>
                <w:rFonts w:ascii="Calibri" w:hAnsi="Calibri"/>
              </w:rPr>
            </w:pPr>
          </w:p>
        </w:tc>
        <w:tc>
          <w:tcPr>
            <w:tcW w:w="2693" w:type="dxa"/>
            <w:shd w:val="clear" w:color="auto" w:fill="auto"/>
          </w:tcPr>
          <w:p w14:paraId="169F0B86" w14:textId="77777777" w:rsidR="00397E5F" w:rsidRPr="00653EF4" w:rsidRDefault="00397E5F" w:rsidP="0053652E">
            <w:pPr>
              <w:spacing w:after="120" w:line="240" w:lineRule="auto"/>
              <w:rPr>
                <w:rFonts w:ascii="Calibri" w:hAnsi="Calibri"/>
              </w:rPr>
            </w:pPr>
          </w:p>
        </w:tc>
        <w:tc>
          <w:tcPr>
            <w:tcW w:w="1418" w:type="dxa"/>
            <w:shd w:val="clear" w:color="auto" w:fill="auto"/>
          </w:tcPr>
          <w:p w14:paraId="6E89C61B" w14:textId="77777777" w:rsidR="00397E5F" w:rsidRPr="00653EF4" w:rsidRDefault="00397E5F" w:rsidP="0053652E">
            <w:pPr>
              <w:spacing w:after="120" w:line="240" w:lineRule="auto"/>
              <w:rPr>
                <w:rFonts w:ascii="Calibri" w:hAnsi="Calibri"/>
              </w:rPr>
            </w:pPr>
          </w:p>
        </w:tc>
      </w:tr>
      <w:tr w:rsidR="00397E5F" w:rsidRPr="007E17C2" w14:paraId="7A40FC8A" w14:textId="77777777" w:rsidTr="00280417">
        <w:tc>
          <w:tcPr>
            <w:tcW w:w="14176" w:type="dxa"/>
            <w:gridSpan w:val="6"/>
            <w:shd w:val="clear" w:color="auto" w:fill="DAEEF3"/>
          </w:tcPr>
          <w:p w14:paraId="2F08A8D0"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4.6 – Encourage continued increases in vaccination rates to prevent infections</w:t>
            </w:r>
          </w:p>
        </w:tc>
      </w:tr>
      <w:tr w:rsidR="00397E5F" w:rsidRPr="007E17C2" w14:paraId="76885723" w14:textId="77777777" w:rsidTr="00280417">
        <w:tc>
          <w:tcPr>
            <w:tcW w:w="2977" w:type="dxa"/>
            <w:shd w:val="clear" w:color="auto" w:fill="FFFFFF"/>
          </w:tcPr>
          <w:p w14:paraId="2A253731" w14:textId="77777777" w:rsidR="00397E5F" w:rsidRPr="00653EF4" w:rsidRDefault="00397E5F" w:rsidP="0053652E">
            <w:pPr>
              <w:spacing w:after="120" w:line="240" w:lineRule="auto"/>
              <w:rPr>
                <w:rFonts w:ascii="Calibri" w:hAnsi="Calibri"/>
              </w:rPr>
            </w:pPr>
          </w:p>
        </w:tc>
        <w:tc>
          <w:tcPr>
            <w:tcW w:w="2410" w:type="dxa"/>
            <w:shd w:val="clear" w:color="auto" w:fill="auto"/>
          </w:tcPr>
          <w:p w14:paraId="70C30C6B" w14:textId="77777777" w:rsidR="00397E5F" w:rsidRPr="00653EF4" w:rsidRDefault="00397E5F" w:rsidP="0053652E">
            <w:pPr>
              <w:spacing w:after="120" w:line="240" w:lineRule="auto"/>
              <w:rPr>
                <w:rFonts w:ascii="Calibri" w:hAnsi="Calibri"/>
              </w:rPr>
            </w:pPr>
          </w:p>
        </w:tc>
        <w:tc>
          <w:tcPr>
            <w:tcW w:w="2552" w:type="dxa"/>
            <w:shd w:val="clear" w:color="auto" w:fill="auto"/>
          </w:tcPr>
          <w:p w14:paraId="05C058DD" w14:textId="77777777" w:rsidR="00397E5F" w:rsidRPr="00653EF4" w:rsidRDefault="00397E5F" w:rsidP="0053652E">
            <w:pPr>
              <w:spacing w:after="120" w:line="240" w:lineRule="auto"/>
              <w:rPr>
                <w:rFonts w:ascii="Calibri" w:hAnsi="Calibri"/>
              </w:rPr>
            </w:pPr>
          </w:p>
        </w:tc>
        <w:tc>
          <w:tcPr>
            <w:tcW w:w="2126" w:type="dxa"/>
            <w:shd w:val="clear" w:color="auto" w:fill="auto"/>
          </w:tcPr>
          <w:p w14:paraId="3F1DD0A8" w14:textId="77777777" w:rsidR="00397E5F" w:rsidRPr="00653EF4" w:rsidRDefault="00397E5F" w:rsidP="0053652E">
            <w:pPr>
              <w:spacing w:after="120" w:line="240" w:lineRule="auto"/>
              <w:rPr>
                <w:rFonts w:ascii="Calibri" w:hAnsi="Calibri"/>
              </w:rPr>
            </w:pPr>
          </w:p>
        </w:tc>
        <w:tc>
          <w:tcPr>
            <w:tcW w:w="2693" w:type="dxa"/>
            <w:shd w:val="clear" w:color="auto" w:fill="auto"/>
          </w:tcPr>
          <w:p w14:paraId="75DA839C" w14:textId="77777777" w:rsidR="00397E5F" w:rsidRPr="00653EF4" w:rsidRDefault="00397E5F" w:rsidP="0053652E">
            <w:pPr>
              <w:spacing w:after="120" w:line="240" w:lineRule="auto"/>
              <w:rPr>
                <w:rFonts w:ascii="Calibri" w:hAnsi="Calibri"/>
              </w:rPr>
            </w:pPr>
          </w:p>
        </w:tc>
        <w:tc>
          <w:tcPr>
            <w:tcW w:w="1418" w:type="dxa"/>
            <w:shd w:val="clear" w:color="auto" w:fill="auto"/>
          </w:tcPr>
          <w:p w14:paraId="5AF7FBEB" w14:textId="77777777" w:rsidR="00397E5F" w:rsidRPr="00653EF4" w:rsidRDefault="00397E5F" w:rsidP="0053652E">
            <w:pPr>
              <w:spacing w:after="120" w:line="240" w:lineRule="auto"/>
              <w:rPr>
                <w:rFonts w:ascii="Calibri" w:hAnsi="Calibri"/>
              </w:rPr>
            </w:pPr>
          </w:p>
        </w:tc>
      </w:tr>
      <w:tr w:rsidR="00397E5F" w:rsidRPr="007E17C2" w14:paraId="06F13833" w14:textId="77777777" w:rsidTr="00280417">
        <w:tc>
          <w:tcPr>
            <w:tcW w:w="2977" w:type="dxa"/>
            <w:shd w:val="clear" w:color="auto" w:fill="FFFFFF"/>
          </w:tcPr>
          <w:p w14:paraId="6783C1B7" w14:textId="77777777" w:rsidR="00397E5F" w:rsidRPr="00653EF4" w:rsidRDefault="00397E5F" w:rsidP="0053652E">
            <w:pPr>
              <w:spacing w:after="120" w:line="240" w:lineRule="auto"/>
              <w:rPr>
                <w:rFonts w:ascii="Calibri" w:hAnsi="Calibri"/>
              </w:rPr>
            </w:pPr>
          </w:p>
        </w:tc>
        <w:tc>
          <w:tcPr>
            <w:tcW w:w="2410" w:type="dxa"/>
            <w:shd w:val="clear" w:color="auto" w:fill="auto"/>
          </w:tcPr>
          <w:p w14:paraId="44AB67D1" w14:textId="77777777" w:rsidR="00397E5F" w:rsidRPr="00653EF4" w:rsidRDefault="00397E5F" w:rsidP="0053652E">
            <w:pPr>
              <w:spacing w:after="120" w:line="240" w:lineRule="auto"/>
              <w:rPr>
                <w:rFonts w:ascii="Calibri" w:hAnsi="Calibri"/>
              </w:rPr>
            </w:pPr>
          </w:p>
        </w:tc>
        <w:tc>
          <w:tcPr>
            <w:tcW w:w="2552" w:type="dxa"/>
            <w:shd w:val="clear" w:color="auto" w:fill="auto"/>
          </w:tcPr>
          <w:p w14:paraId="7EBA8AB3" w14:textId="77777777" w:rsidR="00397E5F" w:rsidRPr="00653EF4" w:rsidRDefault="00397E5F" w:rsidP="0053652E">
            <w:pPr>
              <w:spacing w:after="120" w:line="240" w:lineRule="auto"/>
              <w:rPr>
                <w:rFonts w:ascii="Calibri" w:hAnsi="Calibri"/>
              </w:rPr>
            </w:pPr>
          </w:p>
        </w:tc>
        <w:tc>
          <w:tcPr>
            <w:tcW w:w="2126" w:type="dxa"/>
            <w:shd w:val="clear" w:color="auto" w:fill="auto"/>
          </w:tcPr>
          <w:p w14:paraId="5567E3B2" w14:textId="77777777" w:rsidR="00397E5F" w:rsidRPr="00653EF4" w:rsidRDefault="00397E5F" w:rsidP="0053652E">
            <w:pPr>
              <w:spacing w:after="120" w:line="240" w:lineRule="auto"/>
              <w:rPr>
                <w:rFonts w:ascii="Calibri" w:hAnsi="Calibri"/>
              </w:rPr>
            </w:pPr>
          </w:p>
        </w:tc>
        <w:tc>
          <w:tcPr>
            <w:tcW w:w="2693" w:type="dxa"/>
            <w:shd w:val="clear" w:color="auto" w:fill="auto"/>
          </w:tcPr>
          <w:p w14:paraId="0D970872" w14:textId="77777777" w:rsidR="00397E5F" w:rsidRPr="00653EF4" w:rsidRDefault="00397E5F" w:rsidP="0053652E">
            <w:pPr>
              <w:spacing w:after="120" w:line="240" w:lineRule="auto"/>
              <w:rPr>
                <w:rFonts w:ascii="Calibri" w:hAnsi="Calibri"/>
              </w:rPr>
            </w:pPr>
          </w:p>
        </w:tc>
        <w:tc>
          <w:tcPr>
            <w:tcW w:w="1418" w:type="dxa"/>
            <w:shd w:val="clear" w:color="auto" w:fill="auto"/>
          </w:tcPr>
          <w:p w14:paraId="762BBCA7" w14:textId="77777777" w:rsidR="00397E5F" w:rsidRPr="00653EF4" w:rsidRDefault="00397E5F" w:rsidP="0053652E">
            <w:pPr>
              <w:spacing w:after="120" w:line="240" w:lineRule="auto"/>
              <w:rPr>
                <w:rFonts w:ascii="Calibri" w:hAnsi="Calibri"/>
              </w:rPr>
            </w:pPr>
          </w:p>
        </w:tc>
      </w:tr>
      <w:tr w:rsidR="00397E5F" w:rsidRPr="007E17C2" w14:paraId="3158C0F8" w14:textId="77777777" w:rsidTr="00280417">
        <w:tc>
          <w:tcPr>
            <w:tcW w:w="2977" w:type="dxa"/>
            <w:shd w:val="clear" w:color="auto" w:fill="FFFFFF"/>
          </w:tcPr>
          <w:p w14:paraId="6F05B4CC" w14:textId="77777777" w:rsidR="00397E5F" w:rsidRPr="00653EF4" w:rsidRDefault="00397E5F" w:rsidP="0053652E">
            <w:pPr>
              <w:spacing w:after="120" w:line="240" w:lineRule="auto"/>
              <w:rPr>
                <w:rFonts w:ascii="Calibri" w:hAnsi="Calibri"/>
              </w:rPr>
            </w:pPr>
          </w:p>
        </w:tc>
        <w:tc>
          <w:tcPr>
            <w:tcW w:w="2410" w:type="dxa"/>
            <w:shd w:val="clear" w:color="auto" w:fill="auto"/>
          </w:tcPr>
          <w:p w14:paraId="48F5DFC2" w14:textId="77777777" w:rsidR="00397E5F" w:rsidRPr="00653EF4" w:rsidRDefault="00397E5F" w:rsidP="0053652E">
            <w:pPr>
              <w:spacing w:after="120" w:line="240" w:lineRule="auto"/>
              <w:rPr>
                <w:rFonts w:ascii="Calibri" w:hAnsi="Calibri"/>
              </w:rPr>
            </w:pPr>
          </w:p>
        </w:tc>
        <w:tc>
          <w:tcPr>
            <w:tcW w:w="2552" w:type="dxa"/>
            <w:shd w:val="clear" w:color="auto" w:fill="auto"/>
          </w:tcPr>
          <w:p w14:paraId="1B95F3D0" w14:textId="77777777" w:rsidR="00397E5F" w:rsidRPr="00653EF4" w:rsidRDefault="00397E5F" w:rsidP="0053652E">
            <w:pPr>
              <w:spacing w:after="120" w:line="240" w:lineRule="auto"/>
              <w:rPr>
                <w:rFonts w:ascii="Calibri" w:hAnsi="Calibri"/>
              </w:rPr>
            </w:pPr>
          </w:p>
        </w:tc>
        <w:tc>
          <w:tcPr>
            <w:tcW w:w="2126" w:type="dxa"/>
            <w:shd w:val="clear" w:color="auto" w:fill="auto"/>
          </w:tcPr>
          <w:p w14:paraId="62B74056" w14:textId="77777777" w:rsidR="00397E5F" w:rsidRPr="00653EF4" w:rsidRDefault="00397E5F" w:rsidP="0053652E">
            <w:pPr>
              <w:spacing w:after="120" w:line="240" w:lineRule="auto"/>
              <w:rPr>
                <w:rFonts w:ascii="Calibri" w:hAnsi="Calibri"/>
              </w:rPr>
            </w:pPr>
          </w:p>
        </w:tc>
        <w:tc>
          <w:tcPr>
            <w:tcW w:w="2693" w:type="dxa"/>
            <w:shd w:val="clear" w:color="auto" w:fill="auto"/>
          </w:tcPr>
          <w:p w14:paraId="2B2C11EA" w14:textId="77777777" w:rsidR="00397E5F" w:rsidRPr="00653EF4" w:rsidRDefault="00397E5F" w:rsidP="0053652E">
            <w:pPr>
              <w:spacing w:after="120" w:line="240" w:lineRule="auto"/>
              <w:rPr>
                <w:rFonts w:ascii="Calibri" w:hAnsi="Calibri"/>
              </w:rPr>
            </w:pPr>
          </w:p>
        </w:tc>
        <w:tc>
          <w:tcPr>
            <w:tcW w:w="1418" w:type="dxa"/>
            <w:shd w:val="clear" w:color="auto" w:fill="auto"/>
          </w:tcPr>
          <w:p w14:paraId="54B7FC59" w14:textId="77777777" w:rsidR="00397E5F" w:rsidRPr="00653EF4" w:rsidRDefault="00397E5F" w:rsidP="0053652E">
            <w:pPr>
              <w:spacing w:after="120" w:line="240" w:lineRule="auto"/>
              <w:rPr>
                <w:rFonts w:ascii="Calibri" w:hAnsi="Calibri"/>
              </w:rPr>
            </w:pPr>
          </w:p>
        </w:tc>
      </w:tr>
    </w:tbl>
    <w:p w14:paraId="34EFAD61" w14:textId="65554ADB" w:rsidR="00292FBF" w:rsidRDefault="00292FBF" w:rsidP="0053652E">
      <w:pPr>
        <w:spacing w:after="120" w:line="240" w:lineRule="auto"/>
        <w:rPr>
          <w:rFonts w:ascii="Calibri" w:hAnsi="Calibri"/>
          <w:noProof/>
        </w:rPr>
      </w:pPr>
    </w:p>
    <w:p w14:paraId="1425AD05" w14:textId="77777777" w:rsidR="00292FBF" w:rsidRDefault="00292FBF">
      <w:pPr>
        <w:rPr>
          <w:rFonts w:ascii="Calibri" w:hAnsi="Calibri"/>
          <w:noProof/>
        </w:rPr>
      </w:pPr>
      <w:r>
        <w:rPr>
          <w:rFonts w:ascii="Calibri" w:hAnsi="Calibri"/>
          <w:noProof/>
        </w:rPr>
        <w:br w:type="page"/>
      </w:r>
    </w:p>
    <w:p w14:paraId="31675C86" w14:textId="77777777" w:rsidR="00397E5F" w:rsidRDefault="00397E5F" w:rsidP="0053652E">
      <w:pPr>
        <w:spacing w:after="120" w:line="240" w:lineRule="auto"/>
        <w:rPr>
          <w:rFonts w:ascii="Calibri" w:hAnsi="Calibri"/>
          <w:noProof/>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5: Agree a national research agenda and promote investment in the discovery and development of new products and approaches to prevent, detect and contain antimicrobial resistance.&#10;Under the main heading there are six columns with the following headings:&#10;Activity&#10;Responsibility – Lead&#10;Key Partners (include role)&#10;Milestones&#10;Expected Outcome/s&#10;Links with other Strategy Objectives&#10;There are subheadings of four priority action areas.&#10;Priority Action Area 5.1 – Identify current gaps and agree national research and development priorities.&#10;Priority Action Area 5.2 – Coordinate national research activities and the sharing of information.&#10;Priority Action Area 5.3 –Explore opportunities to increase support for research and development, including incentives for greater private sector engagement.&#10;Priority Action Area 5.4 – Explore opportunities to support the translation of promising research findings into new products, policies and approaches.&#10;"/>
      </w:tblPr>
      <w:tblGrid>
        <w:gridCol w:w="2977"/>
        <w:gridCol w:w="2410"/>
        <w:gridCol w:w="2552"/>
        <w:gridCol w:w="2126"/>
        <w:gridCol w:w="2693"/>
        <w:gridCol w:w="1418"/>
      </w:tblGrid>
      <w:tr w:rsidR="00397E5F" w:rsidRPr="00644385" w14:paraId="1B435570" w14:textId="77777777" w:rsidTr="00280417">
        <w:trPr>
          <w:tblHeader/>
        </w:trPr>
        <w:tc>
          <w:tcPr>
            <w:tcW w:w="14176" w:type="dxa"/>
            <w:gridSpan w:val="6"/>
            <w:tcBorders>
              <w:bottom w:val="single" w:sz="8" w:space="0" w:color="auto"/>
            </w:tcBorders>
            <w:shd w:val="clear" w:color="auto" w:fill="31849B"/>
          </w:tcPr>
          <w:p w14:paraId="69DB406C" w14:textId="77777777" w:rsidR="00397E5F" w:rsidRPr="008F24BA" w:rsidRDefault="00397E5F" w:rsidP="0053652E">
            <w:pPr>
              <w:spacing w:after="120" w:line="240" w:lineRule="auto"/>
              <w:rPr>
                <w:rFonts w:ascii="Calibri" w:hAnsi="Calibri"/>
                <w:color w:val="FFFFFF"/>
                <w:sz w:val="28"/>
                <w:szCs w:val="28"/>
              </w:rPr>
            </w:pPr>
            <w:r w:rsidRPr="00BF6E31">
              <w:rPr>
                <w:rFonts w:ascii="Calibri" w:hAnsi="Calibri"/>
                <w:b/>
                <w:color w:val="FFFFFF"/>
                <w:sz w:val="28"/>
                <w:szCs w:val="28"/>
              </w:rPr>
              <w:t xml:space="preserve">Objective </w:t>
            </w:r>
            <w:r>
              <w:rPr>
                <w:rFonts w:ascii="Calibri" w:hAnsi="Calibri"/>
                <w:b/>
                <w:color w:val="FFFFFF"/>
                <w:sz w:val="28"/>
                <w:szCs w:val="28"/>
              </w:rPr>
              <w:t>5</w:t>
            </w:r>
            <w:r w:rsidRPr="00BF6E31">
              <w:rPr>
                <w:rFonts w:ascii="Calibri" w:hAnsi="Calibri"/>
                <w:b/>
                <w:color w:val="FFFFFF"/>
                <w:sz w:val="28"/>
                <w:szCs w:val="28"/>
              </w:rPr>
              <w:t xml:space="preserve">: </w:t>
            </w:r>
            <w:r w:rsidRPr="00BF6E31">
              <w:rPr>
                <w:rFonts w:ascii="Calibri" w:hAnsi="Calibri"/>
                <w:color w:val="FFFFFF"/>
                <w:sz w:val="28"/>
                <w:szCs w:val="28"/>
              </w:rPr>
              <w:t>Agree a national research agenda and promote investment in the discovery and development of new products and approaches to prevent, detect and contain antimicrobial resistance</w:t>
            </w:r>
          </w:p>
        </w:tc>
      </w:tr>
      <w:tr w:rsidR="00397E5F" w:rsidRPr="00644385" w14:paraId="48386C4D" w14:textId="77777777" w:rsidTr="00280417">
        <w:trPr>
          <w:tblHeader/>
        </w:trPr>
        <w:tc>
          <w:tcPr>
            <w:tcW w:w="2977" w:type="dxa"/>
            <w:tcBorders>
              <w:bottom w:val="single" w:sz="8" w:space="0" w:color="auto"/>
            </w:tcBorders>
            <w:shd w:val="clear" w:color="auto" w:fill="92CDDC"/>
          </w:tcPr>
          <w:p w14:paraId="01317A3D" w14:textId="77777777" w:rsidR="00397E5F" w:rsidRPr="00653EF4" w:rsidRDefault="00397E5F" w:rsidP="0053652E">
            <w:pPr>
              <w:spacing w:after="120" w:line="240" w:lineRule="auto"/>
              <w:rPr>
                <w:rFonts w:ascii="Calibri" w:hAnsi="Calibri"/>
                <w:b/>
                <w:color w:val="215868"/>
                <w:vertAlign w:val="superscript"/>
              </w:rPr>
            </w:pPr>
            <w:r w:rsidRPr="00653EF4">
              <w:rPr>
                <w:rFonts w:ascii="Calibri" w:hAnsi="Calibri"/>
                <w:b/>
                <w:color w:val="215868"/>
              </w:rPr>
              <w:t>Activity</w:t>
            </w:r>
          </w:p>
        </w:tc>
        <w:tc>
          <w:tcPr>
            <w:tcW w:w="2410" w:type="dxa"/>
            <w:tcBorders>
              <w:bottom w:val="single" w:sz="8" w:space="0" w:color="auto"/>
            </w:tcBorders>
            <w:shd w:val="clear" w:color="auto" w:fill="92CDDC"/>
          </w:tcPr>
          <w:p w14:paraId="622B33C0"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Responsibility – Lead</w:t>
            </w:r>
          </w:p>
        </w:tc>
        <w:tc>
          <w:tcPr>
            <w:tcW w:w="2552" w:type="dxa"/>
            <w:tcBorders>
              <w:bottom w:val="single" w:sz="8" w:space="0" w:color="auto"/>
            </w:tcBorders>
            <w:shd w:val="clear" w:color="auto" w:fill="92CDDC"/>
          </w:tcPr>
          <w:p w14:paraId="2E6D326E"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Key partners (include role)</w:t>
            </w:r>
          </w:p>
        </w:tc>
        <w:tc>
          <w:tcPr>
            <w:tcW w:w="2126" w:type="dxa"/>
            <w:tcBorders>
              <w:bottom w:val="single" w:sz="8" w:space="0" w:color="auto"/>
            </w:tcBorders>
            <w:shd w:val="clear" w:color="auto" w:fill="92CDDC"/>
          </w:tcPr>
          <w:p w14:paraId="2E34778F"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Milestones</w:t>
            </w:r>
          </w:p>
        </w:tc>
        <w:tc>
          <w:tcPr>
            <w:tcW w:w="2693" w:type="dxa"/>
            <w:tcBorders>
              <w:bottom w:val="single" w:sz="8" w:space="0" w:color="auto"/>
            </w:tcBorders>
            <w:shd w:val="clear" w:color="auto" w:fill="92CDDC"/>
          </w:tcPr>
          <w:p w14:paraId="2DDB7B5F"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Expected Outcome/s</w:t>
            </w:r>
          </w:p>
        </w:tc>
        <w:tc>
          <w:tcPr>
            <w:tcW w:w="1418" w:type="dxa"/>
            <w:tcBorders>
              <w:bottom w:val="single" w:sz="8" w:space="0" w:color="auto"/>
            </w:tcBorders>
            <w:shd w:val="clear" w:color="auto" w:fill="92CDDC"/>
          </w:tcPr>
          <w:p w14:paraId="5818BDDB" w14:textId="77777777" w:rsidR="00397E5F" w:rsidRPr="00653EF4" w:rsidRDefault="00397E5F" w:rsidP="0053652E">
            <w:pPr>
              <w:spacing w:after="120" w:line="240" w:lineRule="auto"/>
              <w:rPr>
                <w:rFonts w:ascii="Calibri" w:hAnsi="Calibri"/>
                <w:b/>
                <w:color w:val="215868"/>
              </w:rPr>
            </w:pPr>
            <w:r w:rsidRPr="00653EF4">
              <w:rPr>
                <w:rFonts w:ascii="Calibri" w:hAnsi="Calibri"/>
                <w:b/>
                <w:color w:val="215868"/>
              </w:rPr>
              <w:t>Links with other Strategy objectives</w:t>
            </w:r>
          </w:p>
        </w:tc>
      </w:tr>
      <w:tr w:rsidR="00397E5F" w:rsidRPr="00FF5AE8" w14:paraId="00361216" w14:textId="77777777" w:rsidTr="00280417">
        <w:trPr>
          <w:trHeight w:val="456"/>
        </w:trPr>
        <w:tc>
          <w:tcPr>
            <w:tcW w:w="14176" w:type="dxa"/>
            <w:gridSpan w:val="6"/>
            <w:tcBorders>
              <w:top w:val="single" w:sz="8" w:space="0" w:color="auto"/>
            </w:tcBorders>
            <w:shd w:val="clear" w:color="auto" w:fill="DAEEF3"/>
          </w:tcPr>
          <w:p w14:paraId="379F9579"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t>Priority Action Area 5.1 - Identify current gaps and agree national research and development priorities</w:t>
            </w:r>
          </w:p>
        </w:tc>
      </w:tr>
      <w:tr w:rsidR="00397E5F" w:rsidRPr="00FF5AE8" w14:paraId="2E264CEE" w14:textId="77777777" w:rsidTr="00280417">
        <w:tc>
          <w:tcPr>
            <w:tcW w:w="2977" w:type="dxa"/>
            <w:shd w:val="clear" w:color="auto" w:fill="FFFFFF"/>
          </w:tcPr>
          <w:p w14:paraId="35608247"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52729EAE"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123E6CFA" w14:textId="77777777" w:rsidR="00397E5F" w:rsidRPr="00653EF4" w:rsidRDefault="00397E5F" w:rsidP="0053652E">
            <w:pPr>
              <w:spacing w:after="120" w:line="240" w:lineRule="auto"/>
              <w:rPr>
                <w:rFonts w:ascii="Calibri" w:hAnsi="Calibri"/>
              </w:rPr>
            </w:pPr>
          </w:p>
        </w:tc>
        <w:tc>
          <w:tcPr>
            <w:tcW w:w="2126" w:type="dxa"/>
            <w:shd w:val="clear" w:color="auto" w:fill="auto"/>
          </w:tcPr>
          <w:p w14:paraId="7FE77EA5" w14:textId="77777777" w:rsidR="00397E5F" w:rsidRPr="00653EF4" w:rsidRDefault="00397E5F" w:rsidP="0053652E">
            <w:pPr>
              <w:spacing w:after="120" w:line="240" w:lineRule="auto"/>
              <w:rPr>
                <w:rFonts w:ascii="Calibri" w:hAnsi="Calibri"/>
              </w:rPr>
            </w:pPr>
          </w:p>
        </w:tc>
        <w:tc>
          <w:tcPr>
            <w:tcW w:w="2693" w:type="dxa"/>
            <w:shd w:val="clear" w:color="auto" w:fill="auto"/>
          </w:tcPr>
          <w:p w14:paraId="6EF2793F" w14:textId="77777777" w:rsidR="00397E5F" w:rsidRPr="00653EF4" w:rsidRDefault="00397E5F" w:rsidP="0053652E">
            <w:pPr>
              <w:spacing w:after="120" w:line="240" w:lineRule="auto"/>
              <w:rPr>
                <w:rFonts w:ascii="Calibri" w:hAnsi="Calibri"/>
              </w:rPr>
            </w:pPr>
          </w:p>
        </w:tc>
        <w:tc>
          <w:tcPr>
            <w:tcW w:w="1418" w:type="dxa"/>
            <w:shd w:val="clear" w:color="auto" w:fill="auto"/>
          </w:tcPr>
          <w:p w14:paraId="67226916" w14:textId="77777777" w:rsidR="00397E5F" w:rsidRPr="00653EF4" w:rsidRDefault="00397E5F" w:rsidP="0053652E">
            <w:pPr>
              <w:spacing w:after="120" w:line="240" w:lineRule="auto"/>
              <w:rPr>
                <w:rFonts w:ascii="Calibri" w:hAnsi="Calibri"/>
              </w:rPr>
            </w:pPr>
          </w:p>
        </w:tc>
      </w:tr>
      <w:tr w:rsidR="00397E5F" w:rsidRPr="00FF5AE8" w14:paraId="3162F5BA" w14:textId="77777777" w:rsidTr="00280417">
        <w:tc>
          <w:tcPr>
            <w:tcW w:w="2977" w:type="dxa"/>
            <w:shd w:val="clear" w:color="auto" w:fill="FFFFFF"/>
          </w:tcPr>
          <w:p w14:paraId="0E621B6F"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64C3240C"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2D4ADF70" w14:textId="77777777" w:rsidR="00397E5F" w:rsidRPr="00653EF4" w:rsidRDefault="00397E5F" w:rsidP="0053652E">
            <w:pPr>
              <w:spacing w:after="120" w:line="240" w:lineRule="auto"/>
              <w:rPr>
                <w:rFonts w:ascii="Calibri" w:hAnsi="Calibri"/>
              </w:rPr>
            </w:pPr>
          </w:p>
        </w:tc>
        <w:tc>
          <w:tcPr>
            <w:tcW w:w="2126" w:type="dxa"/>
            <w:shd w:val="clear" w:color="auto" w:fill="auto"/>
          </w:tcPr>
          <w:p w14:paraId="2C6AA7ED" w14:textId="77777777" w:rsidR="00397E5F" w:rsidRPr="00653EF4" w:rsidRDefault="00397E5F" w:rsidP="0053652E">
            <w:pPr>
              <w:spacing w:after="120" w:line="240" w:lineRule="auto"/>
              <w:rPr>
                <w:rFonts w:ascii="Calibri" w:hAnsi="Calibri"/>
              </w:rPr>
            </w:pPr>
          </w:p>
        </w:tc>
        <w:tc>
          <w:tcPr>
            <w:tcW w:w="2693" w:type="dxa"/>
            <w:shd w:val="clear" w:color="auto" w:fill="auto"/>
          </w:tcPr>
          <w:p w14:paraId="12B8F994" w14:textId="77777777" w:rsidR="00397E5F" w:rsidRPr="00653EF4" w:rsidRDefault="00397E5F" w:rsidP="0053652E">
            <w:pPr>
              <w:spacing w:after="120" w:line="240" w:lineRule="auto"/>
              <w:rPr>
                <w:rFonts w:ascii="Calibri" w:hAnsi="Calibri"/>
              </w:rPr>
            </w:pPr>
          </w:p>
        </w:tc>
        <w:tc>
          <w:tcPr>
            <w:tcW w:w="1418" w:type="dxa"/>
            <w:shd w:val="clear" w:color="auto" w:fill="auto"/>
          </w:tcPr>
          <w:p w14:paraId="5D4B6B5F" w14:textId="77777777" w:rsidR="00397E5F" w:rsidRPr="00653EF4" w:rsidRDefault="00397E5F" w:rsidP="0053652E">
            <w:pPr>
              <w:spacing w:after="120" w:line="240" w:lineRule="auto"/>
              <w:rPr>
                <w:rFonts w:ascii="Calibri" w:hAnsi="Calibri"/>
              </w:rPr>
            </w:pPr>
          </w:p>
        </w:tc>
      </w:tr>
      <w:tr w:rsidR="00397E5F" w:rsidRPr="00FF5AE8" w14:paraId="7F137467" w14:textId="77777777" w:rsidTr="00280417">
        <w:tc>
          <w:tcPr>
            <w:tcW w:w="2977" w:type="dxa"/>
            <w:shd w:val="clear" w:color="auto" w:fill="FFFFFF"/>
          </w:tcPr>
          <w:p w14:paraId="3C79AEB9"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2330B3FE"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1E75E760" w14:textId="77777777" w:rsidR="00397E5F" w:rsidRPr="00653EF4" w:rsidRDefault="00397E5F" w:rsidP="0053652E">
            <w:pPr>
              <w:spacing w:after="120" w:line="240" w:lineRule="auto"/>
              <w:rPr>
                <w:rFonts w:ascii="Calibri" w:hAnsi="Calibri"/>
              </w:rPr>
            </w:pPr>
          </w:p>
        </w:tc>
        <w:tc>
          <w:tcPr>
            <w:tcW w:w="2126" w:type="dxa"/>
            <w:shd w:val="clear" w:color="auto" w:fill="auto"/>
          </w:tcPr>
          <w:p w14:paraId="2C3A0805" w14:textId="77777777" w:rsidR="00397E5F" w:rsidRPr="00653EF4" w:rsidRDefault="00397E5F" w:rsidP="0053652E">
            <w:pPr>
              <w:spacing w:after="120" w:line="240" w:lineRule="auto"/>
              <w:rPr>
                <w:rFonts w:ascii="Calibri" w:hAnsi="Calibri"/>
              </w:rPr>
            </w:pPr>
          </w:p>
        </w:tc>
        <w:tc>
          <w:tcPr>
            <w:tcW w:w="2693" w:type="dxa"/>
            <w:shd w:val="clear" w:color="auto" w:fill="auto"/>
          </w:tcPr>
          <w:p w14:paraId="49527FDB" w14:textId="77777777" w:rsidR="00397E5F" w:rsidRPr="00653EF4" w:rsidRDefault="00397E5F" w:rsidP="0053652E">
            <w:pPr>
              <w:spacing w:after="120" w:line="240" w:lineRule="auto"/>
              <w:rPr>
                <w:rFonts w:ascii="Calibri" w:hAnsi="Calibri"/>
              </w:rPr>
            </w:pPr>
          </w:p>
        </w:tc>
        <w:tc>
          <w:tcPr>
            <w:tcW w:w="1418" w:type="dxa"/>
            <w:shd w:val="clear" w:color="auto" w:fill="auto"/>
          </w:tcPr>
          <w:p w14:paraId="7CFFDECE" w14:textId="77777777" w:rsidR="00397E5F" w:rsidRPr="00653EF4" w:rsidRDefault="00397E5F" w:rsidP="0053652E">
            <w:pPr>
              <w:spacing w:after="120" w:line="240" w:lineRule="auto"/>
              <w:rPr>
                <w:rFonts w:ascii="Calibri" w:hAnsi="Calibri"/>
              </w:rPr>
            </w:pPr>
          </w:p>
        </w:tc>
      </w:tr>
      <w:tr w:rsidR="00397E5F" w:rsidRPr="00FF5AE8" w14:paraId="177B525D" w14:textId="77777777" w:rsidTr="00280417">
        <w:tc>
          <w:tcPr>
            <w:tcW w:w="2977" w:type="dxa"/>
            <w:shd w:val="clear" w:color="auto" w:fill="FFFFFF"/>
          </w:tcPr>
          <w:p w14:paraId="28657F17"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58C96FF1"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42D8618B" w14:textId="77777777" w:rsidR="00397E5F" w:rsidRPr="00653EF4" w:rsidRDefault="00397E5F" w:rsidP="0053652E">
            <w:pPr>
              <w:spacing w:after="120" w:line="240" w:lineRule="auto"/>
              <w:rPr>
                <w:rFonts w:ascii="Calibri" w:hAnsi="Calibri"/>
              </w:rPr>
            </w:pPr>
          </w:p>
        </w:tc>
        <w:tc>
          <w:tcPr>
            <w:tcW w:w="2126" w:type="dxa"/>
            <w:shd w:val="clear" w:color="auto" w:fill="auto"/>
          </w:tcPr>
          <w:p w14:paraId="0222E80B" w14:textId="77777777" w:rsidR="00397E5F" w:rsidRPr="00653EF4" w:rsidRDefault="00397E5F" w:rsidP="0053652E">
            <w:pPr>
              <w:spacing w:after="120" w:line="240" w:lineRule="auto"/>
              <w:rPr>
                <w:rFonts w:ascii="Calibri" w:hAnsi="Calibri"/>
              </w:rPr>
            </w:pPr>
          </w:p>
        </w:tc>
        <w:tc>
          <w:tcPr>
            <w:tcW w:w="2693" w:type="dxa"/>
            <w:shd w:val="clear" w:color="auto" w:fill="auto"/>
          </w:tcPr>
          <w:p w14:paraId="102C999C" w14:textId="77777777" w:rsidR="00397E5F" w:rsidRPr="00653EF4" w:rsidRDefault="00397E5F" w:rsidP="0053652E">
            <w:pPr>
              <w:spacing w:after="120" w:line="240" w:lineRule="auto"/>
              <w:rPr>
                <w:rFonts w:ascii="Calibri" w:hAnsi="Calibri"/>
              </w:rPr>
            </w:pPr>
          </w:p>
        </w:tc>
        <w:tc>
          <w:tcPr>
            <w:tcW w:w="1418" w:type="dxa"/>
            <w:shd w:val="clear" w:color="auto" w:fill="auto"/>
          </w:tcPr>
          <w:p w14:paraId="1A0D9E37" w14:textId="77777777" w:rsidR="00397E5F" w:rsidRPr="00653EF4" w:rsidRDefault="00397E5F" w:rsidP="0053652E">
            <w:pPr>
              <w:spacing w:after="120" w:line="240" w:lineRule="auto"/>
              <w:rPr>
                <w:rFonts w:ascii="Calibri" w:hAnsi="Calibri"/>
              </w:rPr>
            </w:pPr>
          </w:p>
        </w:tc>
      </w:tr>
      <w:tr w:rsidR="00397E5F" w:rsidRPr="00FF5AE8" w14:paraId="13D4782D" w14:textId="77777777" w:rsidTr="00280417">
        <w:tc>
          <w:tcPr>
            <w:tcW w:w="14176" w:type="dxa"/>
            <w:gridSpan w:val="6"/>
            <w:shd w:val="clear" w:color="auto" w:fill="DAEEF3"/>
          </w:tcPr>
          <w:p w14:paraId="71137DF8"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5.2 – Coordinate national research activities and the sharing of information</w:t>
            </w:r>
          </w:p>
        </w:tc>
      </w:tr>
      <w:tr w:rsidR="00397E5F" w:rsidRPr="007E17C2" w14:paraId="3CBEF0A2" w14:textId="77777777" w:rsidTr="00280417">
        <w:tc>
          <w:tcPr>
            <w:tcW w:w="2977" w:type="dxa"/>
            <w:shd w:val="clear" w:color="auto" w:fill="FFFFFF"/>
          </w:tcPr>
          <w:p w14:paraId="59130B2C"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4AA072FF" w14:textId="77777777" w:rsidR="00397E5F" w:rsidRPr="00653EF4" w:rsidRDefault="00397E5F" w:rsidP="0053652E">
            <w:pPr>
              <w:spacing w:after="120" w:line="240" w:lineRule="auto"/>
              <w:rPr>
                <w:rFonts w:ascii="Calibri" w:hAnsi="Calibri"/>
              </w:rPr>
            </w:pPr>
          </w:p>
        </w:tc>
        <w:tc>
          <w:tcPr>
            <w:tcW w:w="2552" w:type="dxa"/>
            <w:shd w:val="clear" w:color="auto" w:fill="auto"/>
          </w:tcPr>
          <w:p w14:paraId="08687C94" w14:textId="77777777" w:rsidR="00397E5F" w:rsidRPr="00653EF4" w:rsidRDefault="00397E5F" w:rsidP="0053652E">
            <w:pPr>
              <w:spacing w:after="120" w:line="240" w:lineRule="auto"/>
              <w:rPr>
                <w:rFonts w:ascii="Calibri" w:hAnsi="Calibri"/>
              </w:rPr>
            </w:pPr>
          </w:p>
        </w:tc>
        <w:tc>
          <w:tcPr>
            <w:tcW w:w="2126" w:type="dxa"/>
            <w:shd w:val="clear" w:color="auto" w:fill="auto"/>
          </w:tcPr>
          <w:p w14:paraId="2B7FE85F" w14:textId="77777777" w:rsidR="00397E5F" w:rsidRPr="00653EF4" w:rsidRDefault="00397E5F" w:rsidP="0053652E">
            <w:pPr>
              <w:spacing w:after="120" w:line="240" w:lineRule="auto"/>
              <w:rPr>
                <w:rFonts w:ascii="Calibri" w:hAnsi="Calibri"/>
              </w:rPr>
            </w:pPr>
          </w:p>
        </w:tc>
        <w:tc>
          <w:tcPr>
            <w:tcW w:w="2693" w:type="dxa"/>
            <w:shd w:val="clear" w:color="auto" w:fill="auto"/>
          </w:tcPr>
          <w:p w14:paraId="65025D99" w14:textId="77777777" w:rsidR="00397E5F" w:rsidRPr="00653EF4" w:rsidRDefault="00397E5F" w:rsidP="0053652E">
            <w:pPr>
              <w:spacing w:after="120" w:line="240" w:lineRule="auto"/>
              <w:rPr>
                <w:rFonts w:ascii="Calibri" w:hAnsi="Calibri"/>
              </w:rPr>
            </w:pPr>
          </w:p>
        </w:tc>
        <w:tc>
          <w:tcPr>
            <w:tcW w:w="1418" w:type="dxa"/>
            <w:shd w:val="clear" w:color="auto" w:fill="auto"/>
          </w:tcPr>
          <w:p w14:paraId="26CDB5AA" w14:textId="77777777" w:rsidR="00397E5F" w:rsidRPr="00653EF4" w:rsidRDefault="00397E5F" w:rsidP="0053652E">
            <w:pPr>
              <w:spacing w:after="120" w:line="240" w:lineRule="auto"/>
              <w:rPr>
                <w:rFonts w:ascii="Calibri" w:hAnsi="Calibri"/>
              </w:rPr>
            </w:pPr>
          </w:p>
        </w:tc>
      </w:tr>
      <w:tr w:rsidR="00397E5F" w:rsidRPr="007E17C2" w14:paraId="5D13D9DE" w14:textId="77777777" w:rsidTr="00280417">
        <w:tc>
          <w:tcPr>
            <w:tcW w:w="2977" w:type="dxa"/>
            <w:shd w:val="clear" w:color="auto" w:fill="FFFFFF"/>
          </w:tcPr>
          <w:p w14:paraId="04224156"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3131227C" w14:textId="77777777" w:rsidR="00397E5F" w:rsidRPr="00653EF4" w:rsidRDefault="00397E5F" w:rsidP="0053652E">
            <w:pPr>
              <w:spacing w:after="120" w:line="240" w:lineRule="auto"/>
              <w:rPr>
                <w:rFonts w:ascii="Calibri" w:hAnsi="Calibri"/>
              </w:rPr>
            </w:pPr>
          </w:p>
        </w:tc>
        <w:tc>
          <w:tcPr>
            <w:tcW w:w="2552" w:type="dxa"/>
            <w:shd w:val="clear" w:color="auto" w:fill="auto"/>
          </w:tcPr>
          <w:p w14:paraId="4504C943" w14:textId="77777777" w:rsidR="00397E5F" w:rsidRPr="00653EF4" w:rsidRDefault="00397E5F" w:rsidP="0053652E">
            <w:pPr>
              <w:spacing w:after="120" w:line="240" w:lineRule="auto"/>
              <w:rPr>
                <w:rFonts w:ascii="Calibri" w:hAnsi="Calibri"/>
              </w:rPr>
            </w:pPr>
          </w:p>
        </w:tc>
        <w:tc>
          <w:tcPr>
            <w:tcW w:w="2126" w:type="dxa"/>
            <w:shd w:val="clear" w:color="auto" w:fill="auto"/>
          </w:tcPr>
          <w:p w14:paraId="63A9DD7D" w14:textId="77777777" w:rsidR="00397E5F" w:rsidRPr="00653EF4" w:rsidRDefault="00397E5F" w:rsidP="0053652E">
            <w:pPr>
              <w:spacing w:after="120" w:line="240" w:lineRule="auto"/>
              <w:rPr>
                <w:rFonts w:ascii="Calibri" w:hAnsi="Calibri"/>
              </w:rPr>
            </w:pPr>
          </w:p>
        </w:tc>
        <w:tc>
          <w:tcPr>
            <w:tcW w:w="2693" w:type="dxa"/>
            <w:shd w:val="clear" w:color="auto" w:fill="auto"/>
          </w:tcPr>
          <w:p w14:paraId="06A2EF90" w14:textId="77777777" w:rsidR="00397E5F" w:rsidRPr="00653EF4" w:rsidRDefault="00397E5F" w:rsidP="0053652E">
            <w:pPr>
              <w:spacing w:after="120" w:line="240" w:lineRule="auto"/>
              <w:rPr>
                <w:rFonts w:ascii="Calibri" w:hAnsi="Calibri"/>
              </w:rPr>
            </w:pPr>
          </w:p>
        </w:tc>
        <w:tc>
          <w:tcPr>
            <w:tcW w:w="1418" w:type="dxa"/>
            <w:shd w:val="clear" w:color="auto" w:fill="auto"/>
          </w:tcPr>
          <w:p w14:paraId="33CD110C" w14:textId="77777777" w:rsidR="00397E5F" w:rsidRPr="00653EF4" w:rsidRDefault="00397E5F" w:rsidP="0053652E">
            <w:pPr>
              <w:spacing w:after="120" w:line="240" w:lineRule="auto"/>
              <w:rPr>
                <w:rFonts w:ascii="Calibri" w:hAnsi="Calibri"/>
              </w:rPr>
            </w:pPr>
          </w:p>
        </w:tc>
      </w:tr>
      <w:tr w:rsidR="00397E5F" w:rsidRPr="007E17C2" w14:paraId="7AFCABF2" w14:textId="77777777" w:rsidTr="00280417">
        <w:tc>
          <w:tcPr>
            <w:tcW w:w="2977" w:type="dxa"/>
            <w:shd w:val="clear" w:color="auto" w:fill="FFFFFF"/>
          </w:tcPr>
          <w:p w14:paraId="5D99F1B0"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75D9D72F" w14:textId="77777777" w:rsidR="00397E5F" w:rsidRPr="00653EF4" w:rsidRDefault="00397E5F" w:rsidP="0053652E">
            <w:pPr>
              <w:spacing w:after="120" w:line="240" w:lineRule="auto"/>
              <w:rPr>
                <w:rFonts w:ascii="Calibri" w:hAnsi="Calibri"/>
              </w:rPr>
            </w:pPr>
          </w:p>
        </w:tc>
        <w:tc>
          <w:tcPr>
            <w:tcW w:w="2552" w:type="dxa"/>
            <w:shd w:val="clear" w:color="auto" w:fill="auto"/>
          </w:tcPr>
          <w:p w14:paraId="412115A5" w14:textId="77777777" w:rsidR="00397E5F" w:rsidRPr="00653EF4" w:rsidRDefault="00397E5F" w:rsidP="0053652E">
            <w:pPr>
              <w:spacing w:after="120" w:line="240" w:lineRule="auto"/>
              <w:rPr>
                <w:rFonts w:ascii="Calibri" w:hAnsi="Calibri"/>
              </w:rPr>
            </w:pPr>
          </w:p>
        </w:tc>
        <w:tc>
          <w:tcPr>
            <w:tcW w:w="2126" w:type="dxa"/>
            <w:shd w:val="clear" w:color="auto" w:fill="auto"/>
          </w:tcPr>
          <w:p w14:paraId="2D482040" w14:textId="77777777" w:rsidR="00397E5F" w:rsidRPr="00653EF4" w:rsidRDefault="00397E5F" w:rsidP="0053652E">
            <w:pPr>
              <w:spacing w:after="120" w:line="240" w:lineRule="auto"/>
              <w:rPr>
                <w:rFonts w:ascii="Calibri" w:hAnsi="Calibri"/>
              </w:rPr>
            </w:pPr>
          </w:p>
        </w:tc>
        <w:tc>
          <w:tcPr>
            <w:tcW w:w="2693" w:type="dxa"/>
            <w:shd w:val="clear" w:color="auto" w:fill="auto"/>
          </w:tcPr>
          <w:p w14:paraId="430A11C3" w14:textId="77777777" w:rsidR="00397E5F" w:rsidRPr="00653EF4" w:rsidRDefault="00397E5F" w:rsidP="0053652E">
            <w:pPr>
              <w:spacing w:after="120" w:line="240" w:lineRule="auto"/>
              <w:rPr>
                <w:rFonts w:ascii="Calibri" w:hAnsi="Calibri"/>
              </w:rPr>
            </w:pPr>
          </w:p>
        </w:tc>
        <w:tc>
          <w:tcPr>
            <w:tcW w:w="1418" w:type="dxa"/>
            <w:shd w:val="clear" w:color="auto" w:fill="auto"/>
          </w:tcPr>
          <w:p w14:paraId="74584FDC" w14:textId="77777777" w:rsidR="00397E5F" w:rsidRPr="00653EF4" w:rsidRDefault="00397E5F" w:rsidP="0053652E">
            <w:pPr>
              <w:spacing w:after="120" w:line="240" w:lineRule="auto"/>
              <w:rPr>
                <w:rFonts w:ascii="Calibri" w:hAnsi="Calibri"/>
              </w:rPr>
            </w:pPr>
          </w:p>
        </w:tc>
      </w:tr>
      <w:tr w:rsidR="00397E5F" w:rsidRPr="007E17C2" w14:paraId="184DE8CF" w14:textId="77777777" w:rsidTr="00280417">
        <w:tc>
          <w:tcPr>
            <w:tcW w:w="2977" w:type="dxa"/>
            <w:shd w:val="clear" w:color="auto" w:fill="FFFFFF"/>
          </w:tcPr>
          <w:p w14:paraId="4A5D5B06"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7A79D59C" w14:textId="77777777" w:rsidR="00397E5F" w:rsidRPr="00653EF4" w:rsidRDefault="00397E5F" w:rsidP="0053652E">
            <w:pPr>
              <w:spacing w:after="120" w:line="240" w:lineRule="auto"/>
              <w:rPr>
                <w:rFonts w:ascii="Calibri" w:hAnsi="Calibri"/>
              </w:rPr>
            </w:pPr>
          </w:p>
        </w:tc>
        <w:tc>
          <w:tcPr>
            <w:tcW w:w="2552" w:type="dxa"/>
            <w:shd w:val="clear" w:color="auto" w:fill="auto"/>
          </w:tcPr>
          <w:p w14:paraId="2F04B91C" w14:textId="77777777" w:rsidR="00397E5F" w:rsidRPr="00653EF4" w:rsidRDefault="00397E5F" w:rsidP="0053652E">
            <w:pPr>
              <w:spacing w:after="120" w:line="240" w:lineRule="auto"/>
              <w:rPr>
                <w:rFonts w:ascii="Calibri" w:hAnsi="Calibri"/>
              </w:rPr>
            </w:pPr>
          </w:p>
        </w:tc>
        <w:tc>
          <w:tcPr>
            <w:tcW w:w="2126" w:type="dxa"/>
            <w:shd w:val="clear" w:color="auto" w:fill="auto"/>
          </w:tcPr>
          <w:p w14:paraId="633E2F53" w14:textId="77777777" w:rsidR="00397E5F" w:rsidRPr="00653EF4" w:rsidRDefault="00397E5F" w:rsidP="0053652E">
            <w:pPr>
              <w:spacing w:after="120" w:line="240" w:lineRule="auto"/>
              <w:rPr>
                <w:rFonts w:ascii="Calibri" w:hAnsi="Calibri"/>
              </w:rPr>
            </w:pPr>
          </w:p>
        </w:tc>
        <w:tc>
          <w:tcPr>
            <w:tcW w:w="2693" w:type="dxa"/>
            <w:shd w:val="clear" w:color="auto" w:fill="auto"/>
          </w:tcPr>
          <w:p w14:paraId="63AA8048" w14:textId="77777777" w:rsidR="00397E5F" w:rsidRPr="00653EF4" w:rsidRDefault="00397E5F" w:rsidP="0053652E">
            <w:pPr>
              <w:spacing w:after="120" w:line="240" w:lineRule="auto"/>
              <w:rPr>
                <w:rFonts w:ascii="Calibri" w:hAnsi="Calibri"/>
              </w:rPr>
            </w:pPr>
          </w:p>
        </w:tc>
        <w:tc>
          <w:tcPr>
            <w:tcW w:w="1418" w:type="dxa"/>
            <w:shd w:val="clear" w:color="auto" w:fill="auto"/>
          </w:tcPr>
          <w:p w14:paraId="1F083109" w14:textId="77777777" w:rsidR="00397E5F" w:rsidRPr="00653EF4" w:rsidRDefault="00397E5F" w:rsidP="0053652E">
            <w:pPr>
              <w:spacing w:after="120" w:line="240" w:lineRule="auto"/>
              <w:rPr>
                <w:rFonts w:ascii="Calibri" w:hAnsi="Calibri"/>
              </w:rPr>
            </w:pPr>
          </w:p>
        </w:tc>
      </w:tr>
      <w:tr w:rsidR="00397E5F" w:rsidRPr="007E17C2" w14:paraId="2A80AADD" w14:textId="77777777" w:rsidTr="00280417">
        <w:tc>
          <w:tcPr>
            <w:tcW w:w="14176" w:type="dxa"/>
            <w:gridSpan w:val="6"/>
            <w:shd w:val="clear" w:color="auto" w:fill="DAEEF3"/>
          </w:tcPr>
          <w:p w14:paraId="7FE90C0F"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5.3 – Explore opportunities to increase support for research and development, including incentives for greater private sector engagement</w:t>
            </w:r>
          </w:p>
        </w:tc>
      </w:tr>
      <w:tr w:rsidR="00397E5F" w:rsidRPr="007E17C2" w14:paraId="17E96B02" w14:textId="77777777" w:rsidTr="00280417">
        <w:tc>
          <w:tcPr>
            <w:tcW w:w="2977" w:type="dxa"/>
            <w:shd w:val="clear" w:color="auto" w:fill="FFFFFF"/>
          </w:tcPr>
          <w:p w14:paraId="2527AD3D"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7E2DC58A" w14:textId="77777777" w:rsidR="00397E5F" w:rsidRPr="00653EF4" w:rsidRDefault="00397E5F" w:rsidP="0053652E">
            <w:pPr>
              <w:spacing w:after="120" w:line="240" w:lineRule="auto"/>
              <w:rPr>
                <w:rFonts w:ascii="Calibri" w:hAnsi="Calibri"/>
              </w:rPr>
            </w:pPr>
          </w:p>
        </w:tc>
        <w:tc>
          <w:tcPr>
            <w:tcW w:w="2552" w:type="dxa"/>
            <w:shd w:val="clear" w:color="auto" w:fill="auto"/>
          </w:tcPr>
          <w:p w14:paraId="3D002ACE"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4A76FB6D" w14:textId="77777777" w:rsidR="00397E5F" w:rsidRPr="00653EF4" w:rsidRDefault="00397E5F" w:rsidP="0053652E">
            <w:pPr>
              <w:spacing w:after="120" w:line="240" w:lineRule="auto"/>
              <w:rPr>
                <w:rFonts w:ascii="Calibri" w:hAnsi="Calibri"/>
              </w:rPr>
            </w:pPr>
          </w:p>
        </w:tc>
        <w:tc>
          <w:tcPr>
            <w:tcW w:w="2693" w:type="dxa"/>
            <w:shd w:val="clear" w:color="auto" w:fill="auto"/>
          </w:tcPr>
          <w:p w14:paraId="51984F3A"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5B243A9C" w14:textId="77777777" w:rsidR="00397E5F" w:rsidRPr="00653EF4" w:rsidRDefault="00397E5F" w:rsidP="0053652E">
            <w:pPr>
              <w:spacing w:after="120" w:line="240" w:lineRule="auto"/>
              <w:rPr>
                <w:rFonts w:ascii="Calibri" w:hAnsi="Calibri"/>
                <w:highlight w:val="yellow"/>
              </w:rPr>
            </w:pPr>
          </w:p>
        </w:tc>
      </w:tr>
      <w:tr w:rsidR="00397E5F" w:rsidRPr="007E17C2" w14:paraId="611BCCDA" w14:textId="77777777" w:rsidTr="00280417">
        <w:tc>
          <w:tcPr>
            <w:tcW w:w="2977" w:type="dxa"/>
            <w:shd w:val="clear" w:color="auto" w:fill="FFFFFF"/>
          </w:tcPr>
          <w:p w14:paraId="70BAFAA0"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502DB03B" w14:textId="77777777" w:rsidR="00397E5F" w:rsidRPr="00653EF4" w:rsidRDefault="00397E5F" w:rsidP="0053652E">
            <w:pPr>
              <w:spacing w:after="120" w:line="240" w:lineRule="auto"/>
              <w:rPr>
                <w:rFonts w:ascii="Calibri" w:hAnsi="Calibri"/>
              </w:rPr>
            </w:pPr>
          </w:p>
        </w:tc>
        <w:tc>
          <w:tcPr>
            <w:tcW w:w="2552" w:type="dxa"/>
            <w:shd w:val="clear" w:color="auto" w:fill="auto"/>
          </w:tcPr>
          <w:p w14:paraId="03CE94B0" w14:textId="77777777" w:rsidR="00397E5F" w:rsidRPr="00653EF4" w:rsidRDefault="00397E5F" w:rsidP="0053652E">
            <w:pPr>
              <w:spacing w:after="120" w:line="240" w:lineRule="auto"/>
              <w:rPr>
                <w:rFonts w:ascii="Calibri" w:hAnsi="Calibri"/>
              </w:rPr>
            </w:pPr>
          </w:p>
        </w:tc>
        <w:tc>
          <w:tcPr>
            <w:tcW w:w="2126" w:type="dxa"/>
            <w:shd w:val="clear" w:color="auto" w:fill="auto"/>
          </w:tcPr>
          <w:p w14:paraId="272AE1D5" w14:textId="77777777" w:rsidR="00397E5F" w:rsidRPr="00653EF4" w:rsidRDefault="00397E5F" w:rsidP="0053652E">
            <w:pPr>
              <w:spacing w:after="120" w:line="240" w:lineRule="auto"/>
              <w:rPr>
                <w:rFonts w:ascii="Calibri" w:hAnsi="Calibri"/>
              </w:rPr>
            </w:pPr>
          </w:p>
        </w:tc>
        <w:tc>
          <w:tcPr>
            <w:tcW w:w="2693" w:type="dxa"/>
            <w:shd w:val="clear" w:color="auto" w:fill="auto"/>
          </w:tcPr>
          <w:p w14:paraId="33265D34" w14:textId="77777777" w:rsidR="00397E5F" w:rsidRPr="00653EF4" w:rsidRDefault="00397E5F" w:rsidP="0053652E">
            <w:pPr>
              <w:spacing w:after="120" w:line="240" w:lineRule="auto"/>
              <w:rPr>
                <w:rFonts w:ascii="Calibri" w:hAnsi="Calibri"/>
              </w:rPr>
            </w:pPr>
          </w:p>
        </w:tc>
        <w:tc>
          <w:tcPr>
            <w:tcW w:w="1418" w:type="dxa"/>
            <w:shd w:val="clear" w:color="auto" w:fill="auto"/>
          </w:tcPr>
          <w:p w14:paraId="61D26FE7" w14:textId="77777777" w:rsidR="00397E5F" w:rsidRPr="00653EF4" w:rsidRDefault="00397E5F" w:rsidP="0053652E">
            <w:pPr>
              <w:spacing w:after="120" w:line="240" w:lineRule="auto"/>
              <w:rPr>
                <w:rFonts w:ascii="Calibri" w:hAnsi="Calibri"/>
              </w:rPr>
            </w:pPr>
          </w:p>
        </w:tc>
      </w:tr>
      <w:tr w:rsidR="00397E5F" w:rsidRPr="007E17C2" w14:paraId="0204C56C" w14:textId="77777777" w:rsidTr="00280417">
        <w:tc>
          <w:tcPr>
            <w:tcW w:w="2977" w:type="dxa"/>
            <w:shd w:val="clear" w:color="auto" w:fill="FFFFFF"/>
          </w:tcPr>
          <w:p w14:paraId="028EC288"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39C98E22" w14:textId="77777777" w:rsidR="00397E5F" w:rsidRPr="00653EF4" w:rsidRDefault="00397E5F" w:rsidP="0053652E">
            <w:pPr>
              <w:spacing w:after="120" w:line="240" w:lineRule="auto"/>
              <w:rPr>
                <w:rFonts w:ascii="Calibri" w:hAnsi="Calibri"/>
              </w:rPr>
            </w:pPr>
          </w:p>
        </w:tc>
        <w:tc>
          <w:tcPr>
            <w:tcW w:w="2552" w:type="dxa"/>
            <w:shd w:val="clear" w:color="auto" w:fill="auto"/>
          </w:tcPr>
          <w:p w14:paraId="045E8713"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39708A6B" w14:textId="77777777" w:rsidR="00397E5F" w:rsidRPr="00653EF4" w:rsidRDefault="00397E5F" w:rsidP="0053652E">
            <w:pPr>
              <w:spacing w:after="120" w:line="240" w:lineRule="auto"/>
              <w:rPr>
                <w:rFonts w:ascii="Calibri" w:hAnsi="Calibri"/>
              </w:rPr>
            </w:pPr>
          </w:p>
        </w:tc>
        <w:tc>
          <w:tcPr>
            <w:tcW w:w="2693" w:type="dxa"/>
            <w:shd w:val="clear" w:color="auto" w:fill="auto"/>
          </w:tcPr>
          <w:p w14:paraId="2D7AEC49"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5FC775F3" w14:textId="77777777" w:rsidR="00397E5F" w:rsidRPr="00653EF4" w:rsidRDefault="00397E5F" w:rsidP="0053652E">
            <w:pPr>
              <w:spacing w:after="120" w:line="240" w:lineRule="auto"/>
              <w:rPr>
                <w:rFonts w:ascii="Calibri" w:hAnsi="Calibri"/>
                <w:highlight w:val="yellow"/>
              </w:rPr>
            </w:pPr>
          </w:p>
        </w:tc>
      </w:tr>
      <w:tr w:rsidR="00397E5F" w:rsidRPr="007E17C2" w14:paraId="2738DBD8" w14:textId="77777777" w:rsidTr="00280417">
        <w:tc>
          <w:tcPr>
            <w:tcW w:w="2977" w:type="dxa"/>
            <w:shd w:val="clear" w:color="auto" w:fill="FFFFFF"/>
          </w:tcPr>
          <w:p w14:paraId="0C16610E" w14:textId="77777777" w:rsidR="00397E5F" w:rsidRPr="00653EF4" w:rsidRDefault="00397E5F" w:rsidP="0053652E">
            <w:pPr>
              <w:spacing w:after="120" w:line="240" w:lineRule="auto"/>
              <w:rPr>
                <w:rFonts w:ascii="Calibri" w:hAnsi="Calibri"/>
              </w:rPr>
            </w:pPr>
          </w:p>
        </w:tc>
        <w:tc>
          <w:tcPr>
            <w:tcW w:w="2410" w:type="dxa"/>
            <w:shd w:val="clear" w:color="auto" w:fill="auto"/>
          </w:tcPr>
          <w:p w14:paraId="51961EFE" w14:textId="77777777" w:rsidR="00397E5F" w:rsidRPr="00653EF4" w:rsidRDefault="00397E5F" w:rsidP="0053652E">
            <w:pPr>
              <w:spacing w:after="120" w:line="240" w:lineRule="auto"/>
              <w:rPr>
                <w:rFonts w:ascii="Calibri" w:hAnsi="Calibri"/>
              </w:rPr>
            </w:pPr>
          </w:p>
        </w:tc>
        <w:tc>
          <w:tcPr>
            <w:tcW w:w="2552" w:type="dxa"/>
            <w:shd w:val="clear" w:color="auto" w:fill="auto"/>
          </w:tcPr>
          <w:p w14:paraId="072FDCFF" w14:textId="77777777" w:rsidR="00397E5F" w:rsidRPr="00653EF4" w:rsidRDefault="00397E5F" w:rsidP="0053652E">
            <w:pPr>
              <w:spacing w:after="120" w:line="240" w:lineRule="auto"/>
              <w:rPr>
                <w:rFonts w:ascii="Calibri" w:hAnsi="Calibri"/>
              </w:rPr>
            </w:pPr>
          </w:p>
        </w:tc>
        <w:tc>
          <w:tcPr>
            <w:tcW w:w="2126" w:type="dxa"/>
            <w:shd w:val="clear" w:color="auto" w:fill="auto"/>
          </w:tcPr>
          <w:p w14:paraId="523DC7F3" w14:textId="77777777" w:rsidR="00397E5F" w:rsidRPr="00653EF4" w:rsidRDefault="00397E5F" w:rsidP="0053652E">
            <w:pPr>
              <w:spacing w:after="120" w:line="240" w:lineRule="auto"/>
              <w:rPr>
                <w:rFonts w:ascii="Calibri" w:hAnsi="Calibri"/>
              </w:rPr>
            </w:pPr>
          </w:p>
        </w:tc>
        <w:tc>
          <w:tcPr>
            <w:tcW w:w="2693" w:type="dxa"/>
            <w:shd w:val="clear" w:color="auto" w:fill="auto"/>
          </w:tcPr>
          <w:p w14:paraId="272CA0A7" w14:textId="77777777" w:rsidR="00397E5F" w:rsidRPr="00653EF4" w:rsidRDefault="00397E5F" w:rsidP="0053652E">
            <w:pPr>
              <w:spacing w:after="120" w:line="240" w:lineRule="auto"/>
              <w:rPr>
                <w:rFonts w:ascii="Calibri" w:hAnsi="Calibri"/>
              </w:rPr>
            </w:pPr>
          </w:p>
        </w:tc>
        <w:tc>
          <w:tcPr>
            <w:tcW w:w="1418" w:type="dxa"/>
            <w:shd w:val="clear" w:color="auto" w:fill="auto"/>
          </w:tcPr>
          <w:p w14:paraId="761BE54E" w14:textId="77777777" w:rsidR="00397E5F" w:rsidRPr="00653EF4" w:rsidRDefault="00397E5F" w:rsidP="0053652E">
            <w:pPr>
              <w:spacing w:after="120" w:line="240" w:lineRule="auto"/>
              <w:rPr>
                <w:rFonts w:ascii="Calibri" w:hAnsi="Calibri"/>
              </w:rPr>
            </w:pPr>
          </w:p>
        </w:tc>
      </w:tr>
      <w:tr w:rsidR="00397E5F" w:rsidRPr="007E17C2" w14:paraId="5B11F468" w14:textId="77777777" w:rsidTr="00280417">
        <w:tc>
          <w:tcPr>
            <w:tcW w:w="14176" w:type="dxa"/>
            <w:gridSpan w:val="6"/>
            <w:shd w:val="clear" w:color="auto" w:fill="DAEEF3"/>
          </w:tcPr>
          <w:p w14:paraId="4B56C6B5"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lastRenderedPageBreak/>
              <w:t>Priority Action Area 5.4 – Explore opportunities to support the translation of promising research findings into new products, policies and approaches</w:t>
            </w:r>
          </w:p>
        </w:tc>
      </w:tr>
      <w:tr w:rsidR="00397E5F" w:rsidRPr="007E17C2" w14:paraId="23A4E6EE" w14:textId="77777777" w:rsidTr="00280417">
        <w:tc>
          <w:tcPr>
            <w:tcW w:w="2977" w:type="dxa"/>
            <w:shd w:val="clear" w:color="auto" w:fill="FFFFFF"/>
          </w:tcPr>
          <w:p w14:paraId="5ADA0DC6"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7A4F5685" w14:textId="77777777" w:rsidR="00397E5F" w:rsidRPr="00653EF4" w:rsidRDefault="00397E5F" w:rsidP="0053652E">
            <w:pPr>
              <w:spacing w:after="120" w:line="240" w:lineRule="auto"/>
              <w:rPr>
                <w:rFonts w:ascii="Calibri" w:hAnsi="Calibri"/>
              </w:rPr>
            </w:pPr>
          </w:p>
        </w:tc>
        <w:tc>
          <w:tcPr>
            <w:tcW w:w="2552" w:type="dxa"/>
            <w:shd w:val="clear" w:color="auto" w:fill="auto"/>
          </w:tcPr>
          <w:p w14:paraId="50B7143E" w14:textId="77777777" w:rsidR="00397E5F" w:rsidRPr="00653EF4" w:rsidRDefault="00397E5F" w:rsidP="0053652E">
            <w:pPr>
              <w:spacing w:after="120" w:line="240" w:lineRule="auto"/>
              <w:rPr>
                <w:rFonts w:ascii="Calibri" w:hAnsi="Calibri"/>
              </w:rPr>
            </w:pPr>
          </w:p>
        </w:tc>
        <w:tc>
          <w:tcPr>
            <w:tcW w:w="2126" w:type="dxa"/>
            <w:shd w:val="clear" w:color="auto" w:fill="auto"/>
          </w:tcPr>
          <w:p w14:paraId="1A9065F8" w14:textId="77777777" w:rsidR="00397E5F" w:rsidRPr="00653EF4" w:rsidRDefault="00397E5F" w:rsidP="0053652E">
            <w:pPr>
              <w:spacing w:after="120" w:line="240" w:lineRule="auto"/>
              <w:rPr>
                <w:rFonts w:ascii="Calibri" w:hAnsi="Calibri"/>
              </w:rPr>
            </w:pPr>
          </w:p>
        </w:tc>
        <w:tc>
          <w:tcPr>
            <w:tcW w:w="2693" w:type="dxa"/>
            <w:shd w:val="clear" w:color="auto" w:fill="auto"/>
          </w:tcPr>
          <w:p w14:paraId="30A48D99" w14:textId="77777777" w:rsidR="00397E5F" w:rsidRPr="00653EF4" w:rsidRDefault="00397E5F" w:rsidP="0053652E">
            <w:pPr>
              <w:spacing w:after="120" w:line="240" w:lineRule="auto"/>
              <w:rPr>
                <w:rFonts w:ascii="Calibri" w:hAnsi="Calibri"/>
              </w:rPr>
            </w:pPr>
          </w:p>
        </w:tc>
        <w:tc>
          <w:tcPr>
            <w:tcW w:w="1418" w:type="dxa"/>
            <w:shd w:val="clear" w:color="auto" w:fill="auto"/>
          </w:tcPr>
          <w:p w14:paraId="33D8EA65" w14:textId="77777777" w:rsidR="00397E5F" w:rsidRPr="00653EF4" w:rsidRDefault="00397E5F" w:rsidP="0053652E">
            <w:pPr>
              <w:spacing w:after="120" w:line="240" w:lineRule="auto"/>
              <w:rPr>
                <w:rFonts w:ascii="Calibri" w:hAnsi="Calibri"/>
              </w:rPr>
            </w:pPr>
          </w:p>
        </w:tc>
      </w:tr>
      <w:tr w:rsidR="00397E5F" w:rsidRPr="007E17C2" w14:paraId="7FF52E15" w14:textId="77777777" w:rsidTr="00280417">
        <w:trPr>
          <w:trHeight w:val="70"/>
        </w:trPr>
        <w:tc>
          <w:tcPr>
            <w:tcW w:w="2977" w:type="dxa"/>
            <w:shd w:val="clear" w:color="auto" w:fill="FFFFFF"/>
          </w:tcPr>
          <w:p w14:paraId="083C01D2"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011E821A" w14:textId="77777777" w:rsidR="00397E5F" w:rsidRPr="00653EF4" w:rsidRDefault="00397E5F" w:rsidP="0053652E">
            <w:pPr>
              <w:spacing w:after="120" w:line="240" w:lineRule="auto"/>
              <w:rPr>
                <w:rFonts w:ascii="Calibri" w:hAnsi="Calibri"/>
              </w:rPr>
            </w:pPr>
          </w:p>
        </w:tc>
        <w:tc>
          <w:tcPr>
            <w:tcW w:w="2552" w:type="dxa"/>
            <w:shd w:val="clear" w:color="auto" w:fill="auto"/>
          </w:tcPr>
          <w:p w14:paraId="0A71C463" w14:textId="77777777" w:rsidR="00397E5F" w:rsidRPr="00653EF4" w:rsidRDefault="00397E5F" w:rsidP="0053652E">
            <w:pPr>
              <w:spacing w:after="120" w:line="240" w:lineRule="auto"/>
              <w:rPr>
                <w:rFonts w:ascii="Calibri" w:hAnsi="Calibri"/>
              </w:rPr>
            </w:pPr>
          </w:p>
        </w:tc>
        <w:tc>
          <w:tcPr>
            <w:tcW w:w="2126" w:type="dxa"/>
            <w:shd w:val="clear" w:color="auto" w:fill="auto"/>
          </w:tcPr>
          <w:p w14:paraId="4987D27F" w14:textId="77777777" w:rsidR="00397E5F" w:rsidRPr="00653EF4" w:rsidRDefault="00397E5F" w:rsidP="0053652E">
            <w:pPr>
              <w:spacing w:after="120" w:line="240" w:lineRule="auto"/>
              <w:rPr>
                <w:rFonts w:ascii="Calibri" w:hAnsi="Calibri"/>
              </w:rPr>
            </w:pPr>
          </w:p>
        </w:tc>
        <w:tc>
          <w:tcPr>
            <w:tcW w:w="2693" w:type="dxa"/>
            <w:shd w:val="clear" w:color="auto" w:fill="auto"/>
          </w:tcPr>
          <w:p w14:paraId="7AA330E1" w14:textId="77777777" w:rsidR="00397E5F" w:rsidRPr="00653EF4" w:rsidRDefault="00397E5F" w:rsidP="0053652E">
            <w:pPr>
              <w:spacing w:after="120" w:line="240" w:lineRule="auto"/>
              <w:rPr>
                <w:rFonts w:ascii="Calibri" w:hAnsi="Calibri"/>
              </w:rPr>
            </w:pPr>
          </w:p>
        </w:tc>
        <w:tc>
          <w:tcPr>
            <w:tcW w:w="1418" w:type="dxa"/>
            <w:shd w:val="clear" w:color="auto" w:fill="auto"/>
          </w:tcPr>
          <w:p w14:paraId="61972F0F" w14:textId="77777777" w:rsidR="00397E5F" w:rsidRPr="00653EF4" w:rsidRDefault="00397E5F" w:rsidP="0053652E">
            <w:pPr>
              <w:spacing w:after="120" w:line="240" w:lineRule="auto"/>
              <w:rPr>
                <w:rFonts w:ascii="Calibri" w:hAnsi="Calibri"/>
              </w:rPr>
            </w:pPr>
          </w:p>
        </w:tc>
      </w:tr>
      <w:tr w:rsidR="00397E5F" w:rsidRPr="007E17C2" w14:paraId="219D38D1" w14:textId="77777777" w:rsidTr="00280417">
        <w:tc>
          <w:tcPr>
            <w:tcW w:w="2977" w:type="dxa"/>
            <w:shd w:val="clear" w:color="auto" w:fill="FFFFFF"/>
          </w:tcPr>
          <w:p w14:paraId="7BF5E173"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22D6E281" w14:textId="77777777" w:rsidR="00397E5F" w:rsidRPr="00653EF4" w:rsidRDefault="00397E5F" w:rsidP="0053652E">
            <w:pPr>
              <w:spacing w:after="120" w:line="240" w:lineRule="auto"/>
              <w:rPr>
                <w:rFonts w:ascii="Calibri" w:hAnsi="Calibri"/>
              </w:rPr>
            </w:pPr>
          </w:p>
        </w:tc>
        <w:tc>
          <w:tcPr>
            <w:tcW w:w="2552" w:type="dxa"/>
            <w:shd w:val="clear" w:color="auto" w:fill="auto"/>
          </w:tcPr>
          <w:p w14:paraId="28BC2DBB" w14:textId="77777777" w:rsidR="00397E5F" w:rsidRPr="00653EF4" w:rsidRDefault="00397E5F" w:rsidP="0053652E">
            <w:pPr>
              <w:spacing w:after="120" w:line="240" w:lineRule="auto"/>
              <w:rPr>
                <w:rFonts w:ascii="Calibri" w:hAnsi="Calibri"/>
              </w:rPr>
            </w:pPr>
          </w:p>
        </w:tc>
        <w:tc>
          <w:tcPr>
            <w:tcW w:w="2126" w:type="dxa"/>
            <w:shd w:val="clear" w:color="auto" w:fill="auto"/>
          </w:tcPr>
          <w:p w14:paraId="5633219E" w14:textId="77777777" w:rsidR="00397E5F" w:rsidRPr="00653EF4" w:rsidRDefault="00397E5F" w:rsidP="0053652E">
            <w:pPr>
              <w:spacing w:after="120" w:line="240" w:lineRule="auto"/>
              <w:rPr>
                <w:rFonts w:ascii="Calibri" w:hAnsi="Calibri"/>
              </w:rPr>
            </w:pPr>
          </w:p>
        </w:tc>
        <w:tc>
          <w:tcPr>
            <w:tcW w:w="2693" w:type="dxa"/>
            <w:shd w:val="clear" w:color="auto" w:fill="auto"/>
          </w:tcPr>
          <w:p w14:paraId="029D9D91" w14:textId="77777777" w:rsidR="00397E5F" w:rsidRPr="00653EF4" w:rsidRDefault="00397E5F" w:rsidP="0053652E">
            <w:pPr>
              <w:spacing w:after="120" w:line="240" w:lineRule="auto"/>
              <w:rPr>
                <w:rFonts w:ascii="Calibri" w:hAnsi="Calibri"/>
              </w:rPr>
            </w:pPr>
          </w:p>
        </w:tc>
        <w:tc>
          <w:tcPr>
            <w:tcW w:w="1418" w:type="dxa"/>
            <w:shd w:val="clear" w:color="auto" w:fill="auto"/>
          </w:tcPr>
          <w:p w14:paraId="73B27E1E" w14:textId="77777777" w:rsidR="00397E5F" w:rsidRPr="00653EF4" w:rsidRDefault="00397E5F" w:rsidP="0053652E">
            <w:pPr>
              <w:spacing w:after="120" w:line="240" w:lineRule="auto"/>
              <w:rPr>
                <w:rFonts w:ascii="Calibri" w:hAnsi="Calibri"/>
              </w:rPr>
            </w:pPr>
          </w:p>
        </w:tc>
      </w:tr>
      <w:tr w:rsidR="00397E5F" w:rsidRPr="007E17C2" w14:paraId="5F018691" w14:textId="77777777" w:rsidTr="00280417">
        <w:tc>
          <w:tcPr>
            <w:tcW w:w="2977" w:type="dxa"/>
            <w:shd w:val="clear" w:color="auto" w:fill="FFFFFF"/>
          </w:tcPr>
          <w:p w14:paraId="27997455" w14:textId="77777777" w:rsidR="00397E5F" w:rsidRPr="00653EF4" w:rsidRDefault="00397E5F" w:rsidP="0053652E">
            <w:pPr>
              <w:spacing w:after="120" w:line="240" w:lineRule="auto"/>
              <w:rPr>
                <w:rFonts w:ascii="Calibri" w:hAnsi="Calibri"/>
              </w:rPr>
            </w:pPr>
          </w:p>
        </w:tc>
        <w:tc>
          <w:tcPr>
            <w:tcW w:w="2410" w:type="dxa"/>
            <w:shd w:val="clear" w:color="auto" w:fill="auto"/>
          </w:tcPr>
          <w:p w14:paraId="4510A284" w14:textId="77777777" w:rsidR="00397E5F" w:rsidRPr="00653EF4" w:rsidRDefault="00397E5F" w:rsidP="0053652E">
            <w:pPr>
              <w:spacing w:after="120" w:line="240" w:lineRule="auto"/>
              <w:rPr>
                <w:rFonts w:ascii="Calibri" w:hAnsi="Calibri"/>
              </w:rPr>
            </w:pPr>
          </w:p>
        </w:tc>
        <w:tc>
          <w:tcPr>
            <w:tcW w:w="2552" w:type="dxa"/>
            <w:shd w:val="clear" w:color="auto" w:fill="auto"/>
          </w:tcPr>
          <w:p w14:paraId="2A37804A" w14:textId="77777777" w:rsidR="00397E5F" w:rsidRPr="00653EF4" w:rsidRDefault="00397E5F" w:rsidP="0053652E">
            <w:pPr>
              <w:spacing w:after="120" w:line="240" w:lineRule="auto"/>
              <w:rPr>
                <w:rFonts w:ascii="Calibri" w:hAnsi="Calibri"/>
              </w:rPr>
            </w:pPr>
          </w:p>
        </w:tc>
        <w:tc>
          <w:tcPr>
            <w:tcW w:w="2126" w:type="dxa"/>
            <w:shd w:val="clear" w:color="auto" w:fill="auto"/>
          </w:tcPr>
          <w:p w14:paraId="2E4164A9" w14:textId="77777777" w:rsidR="00397E5F" w:rsidRPr="00653EF4" w:rsidRDefault="00397E5F" w:rsidP="0053652E">
            <w:pPr>
              <w:spacing w:after="120" w:line="240" w:lineRule="auto"/>
              <w:rPr>
                <w:rFonts w:ascii="Calibri" w:hAnsi="Calibri"/>
              </w:rPr>
            </w:pPr>
          </w:p>
        </w:tc>
        <w:tc>
          <w:tcPr>
            <w:tcW w:w="2693" w:type="dxa"/>
            <w:shd w:val="clear" w:color="auto" w:fill="auto"/>
          </w:tcPr>
          <w:p w14:paraId="1DBF6FB4" w14:textId="77777777" w:rsidR="00397E5F" w:rsidRPr="00653EF4" w:rsidRDefault="00397E5F" w:rsidP="0053652E">
            <w:pPr>
              <w:spacing w:after="120" w:line="240" w:lineRule="auto"/>
              <w:rPr>
                <w:rFonts w:ascii="Calibri" w:hAnsi="Calibri"/>
              </w:rPr>
            </w:pPr>
          </w:p>
        </w:tc>
        <w:tc>
          <w:tcPr>
            <w:tcW w:w="1418" w:type="dxa"/>
            <w:shd w:val="clear" w:color="auto" w:fill="auto"/>
          </w:tcPr>
          <w:p w14:paraId="542D0ABB" w14:textId="77777777" w:rsidR="00397E5F" w:rsidRPr="00653EF4" w:rsidRDefault="00397E5F" w:rsidP="0053652E">
            <w:pPr>
              <w:spacing w:after="120" w:line="240" w:lineRule="auto"/>
              <w:rPr>
                <w:rFonts w:ascii="Calibri" w:hAnsi="Calibri"/>
              </w:rPr>
            </w:pPr>
          </w:p>
        </w:tc>
      </w:tr>
    </w:tbl>
    <w:p w14:paraId="58945253" w14:textId="77777777" w:rsidR="00397E5F" w:rsidRDefault="00397E5F" w:rsidP="0053652E">
      <w:pPr>
        <w:spacing w:after="120" w:line="240" w:lineRule="auto"/>
        <w:rPr>
          <w:rFonts w:ascii="Calibri" w:hAnsi="Calibri"/>
          <w:noProof/>
        </w:rPr>
      </w:pPr>
    </w:p>
    <w:p w14:paraId="4D271856" w14:textId="77777777" w:rsidR="00397E5F" w:rsidRPr="00A2662F" w:rsidRDefault="00397E5F" w:rsidP="0053652E">
      <w:pPr>
        <w:spacing w:after="120" w:line="240" w:lineRule="auto"/>
        <w:rPr>
          <w:rFonts w:ascii="Calibri" w:hAnsi="Calibri"/>
        </w:rPr>
      </w:pPr>
      <w:r>
        <w:rPr>
          <w:rFonts w:ascii="Calibri" w:hAnsi="Calibri"/>
          <w:smallCaps/>
          <w:noProof/>
          <w:sz w:val="32"/>
          <w:szCs w:val="32"/>
        </w:rPr>
        <w:br w:type="page"/>
      </w:r>
      <w:r w:rsidRPr="00A2662F">
        <w:rPr>
          <w:rFonts w:ascii="Calibri" w:hAnsi="Calibri"/>
        </w:rPr>
        <w:lastRenderedPageBreak/>
        <w:t xml:space="preserv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6: Strengthen international partnerships and collaboration on regional and global efforts to respond to antimicrobial resistance.&#10;Under the main heading there are six columns with the following headings:&#10;Activity&#10;Responsibility – Lead&#10;Key Partners (include role)&#10;Milestones&#10;Expected Outcome/s&#10;Links with other Strategy Objectives&#10;There are subheadings of five priority action areas.&#10;Priority Action Area 6.1 – Active engagement with multilateral organisations and relevant forums to contribute to global action on antimicrobial resistance.&#10;Priority Action Area 6.2 – Lead regional initiatives to increase capacity to respond to antimicrobial resistance.&#10;Priority Action Area 6.3 –Learn from international best practice.&#10;Priority Action Area 6.4 – Participate in international surveillance initiatives.&#10;Priority Action Area 6.5 – Establish closer ties with international collaborations to link Australia’s national research agenda with what is happening internationally.&#10;"/>
      </w:tblPr>
      <w:tblGrid>
        <w:gridCol w:w="2977"/>
        <w:gridCol w:w="2410"/>
        <w:gridCol w:w="2552"/>
        <w:gridCol w:w="2126"/>
        <w:gridCol w:w="2693"/>
        <w:gridCol w:w="1418"/>
      </w:tblGrid>
      <w:tr w:rsidR="00397E5F" w:rsidRPr="00644385" w14:paraId="1FBBC2F7" w14:textId="77777777" w:rsidTr="00280417">
        <w:trPr>
          <w:tblHeader/>
        </w:trPr>
        <w:tc>
          <w:tcPr>
            <w:tcW w:w="14176" w:type="dxa"/>
            <w:gridSpan w:val="6"/>
            <w:tcBorders>
              <w:bottom w:val="single" w:sz="8" w:space="0" w:color="auto"/>
            </w:tcBorders>
            <w:shd w:val="clear" w:color="auto" w:fill="31849B"/>
          </w:tcPr>
          <w:p w14:paraId="6FDD8171" w14:textId="77777777" w:rsidR="00397E5F" w:rsidRPr="008F24BA" w:rsidRDefault="00397E5F" w:rsidP="0053652E">
            <w:pPr>
              <w:spacing w:after="120" w:line="240" w:lineRule="auto"/>
              <w:rPr>
                <w:rFonts w:ascii="Calibri" w:hAnsi="Calibri"/>
                <w:color w:val="FFFFFF"/>
                <w:sz w:val="28"/>
                <w:szCs w:val="28"/>
              </w:rPr>
            </w:pPr>
            <w:r w:rsidRPr="006F6989">
              <w:rPr>
                <w:rFonts w:ascii="Calibri" w:hAnsi="Calibri"/>
                <w:b/>
                <w:color w:val="FFFFFF"/>
                <w:sz w:val="28"/>
                <w:szCs w:val="28"/>
              </w:rPr>
              <w:t xml:space="preserve">Objective </w:t>
            </w:r>
            <w:r>
              <w:rPr>
                <w:rFonts w:ascii="Calibri" w:hAnsi="Calibri"/>
                <w:b/>
                <w:color w:val="FFFFFF"/>
                <w:sz w:val="28"/>
                <w:szCs w:val="28"/>
              </w:rPr>
              <w:t>6</w:t>
            </w:r>
            <w:r w:rsidRPr="006F6989">
              <w:rPr>
                <w:rFonts w:ascii="Calibri" w:hAnsi="Calibri"/>
                <w:b/>
                <w:color w:val="FFFFFF"/>
                <w:sz w:val="28"/>
                <w:szCs w:val="28"/>
              </w:rPr>
              <w:t xml:space="preserve">: </w:t>
            </w:r>
            <w:r w:rsidRPr="006F6989">
              <w:rPr>
                <w:rFonts w:ascii="Calibri" w:hAnsi="Calibri"/>
                <w:color w:val="FFFFFF"/>
                <w:sz w:val="28"/>
                <w:szCs w:val="28"/>
              </w:rPr>
              <w:t>Strengthen international partnerships and collaboration on regional and global efforts to respond to antimicrobial resistance</w:t>
            </w:r>
          </w:p>
        </w:tc>
      </w:tr>
      <w:tr w:rsidR="00397E5F" w:rsidRPr="00644385" w14:paraId="147BDDAF" w14:textId="77777777" w:rsidTr="00280417">
        <w:trPr>
          <w:tblHeader/>
        </w:trPr>
        <w:tc>
          <w:tcPr>
            <w:tcW w:w="2977" w:type="dxa"/>
            <w:tcBorders>
              <w:bottom w:val="single" w:sz="8" w:space="0" w:color="auto"/>
            </w:tcBorders>
            <w:shd w:val="clear" w:color="auto" w:fill="92CDDC"/>
          </w:tcPr>
          <w:p w14:paraId="01333B67" w14:textId="77777777" w:rsidR="00397E5F" w:rsidRPr="00CC6927" w:rsidRDefault="00397E5F" w:rsidP="0053652E">
            <w:pPr>
              <w:spacing w:after="120" w:line="240" w:lineRule="auto"/>
              <w:rPr>
                <w:rFonts w:ascii="Calibri" w:hAnsi="Calibri"/>
                <w:b/>
                <w:color w:val="215868"/>
                <w:vertAlign w:val="superscript"/>
              </w:rPr>
            </w:pPr>
            <w:r>
              <w:rPr>
                <w:rFonts w:ascii="Calibri" w:hAnsi="Calibri"/>
                <w:b/>
                <w:color w:val="215868"/>
              </w:rPr>
              <w:t>Activity</w:t>
            </w:r>
          </w:p>
        </w:tc>
        <w:tc>
          <w:tcPr>
            <w:tcW w:w="2410" w:type="dxa"/>
            <w:tcBorders>
              <w:bottom w:val="single" w:sz="8" w:space="0" w:color="auto"/>
            </w:tcBorders>
            <w:shd w:val="clear" w:color="auto" w:fill="92CDDC"/>
          </w:tcPr>
          <w:p w14:paraId="257A7E57" w14:textId="77777777" w:rsidR="00397E5F" w:rsidRPr="00CC6927" w:rsidRDefault="00397E5F" w:rsidP="0053652E">
            <w:pPr>
              <w:spacing w:after="120" w:line="240" w:lineRule="auto"/>
              <w:rPr>
                <w:rFonts w:ascii="Calibri" w:hAnsi="Calibri"/>
                <w:b/>
                <w:color w:val="215868"/>
              </w:rPr>
            </w:pPr>
            <w:r>
              <w:rPr>
                <w:rFonts w:ascii="Calibri" w:hAnsi="Calibri"/>
                <w:b/>
                <w:color w:val="215868"/>
              </w:rPr>
              <w:t>Responsibility – Lead</w:t>
            </w:r>
          </w:p>
        </w:tc>
        <w:tc>
          <w:tcPr>
            <w:tcW w:w="2552" w:type="dxa"/>
            <w:tcBorders>
              <w:bottom w:val="single" w:sz="8" w:space="0" w:color="auto"/>
            </w:tcBorders>
            <w:shd w:val="clear" w:color="auto" w:fill="92CDDC"/>
          </w:tcPr>
          <w:p w14:paraId="674D919E" w14:textId="77777777" w:rsidR="00397E5F" w:rsidRPr="00CC6927" w:rsidRDefault="00397E5F" w:rsidP="0053652E">
            <w:pPr>
              <w:spacing w:after="120" w:line="240" w:lineRule="auto"/>
              <w:rPr>
                <w:rFonts w:ascii="Calibri" w:hAnsi="Calibri"/>
                <w:b/>
                <w:color w:val="215868"/>
              </w:rPr>
            </w:pPr>
            <w:r>
              <w:rPr>
                <w:rFonts w:ascii="Calibri" w:hAnsi="Calibri"/>
                <w:b/>
                <w:color w:val="215868"/>
              </w:rPr>
              <w:t>K</w:t>
            </w:r>
            <w:r w:rsidRPr="00CC6927">
              <w:rPr>
                <w:rFonts w:ascii="Calibri" w:hAnsi="Calibri"/>
                <w:b/>
                <w:color w:val="215868"/>
              </w:rPr>
              <w:t>ey partners (include role</w:t>
            </w:r>
            <w:r>
              <w:rPr>
                <w:rFonts w:ascii="Calibri" w:hAnsi="Calibri"/>
                <w:b/>
                <w:color w:val="215868"/>
              </w:rPr>
              <w:t>)</w:t>
            </w:r>
          </w:p>
        </w:tc>
        <w:tc>
          <w:tcPr>
            <w:tcW w:w="2126" w:type="dxa"/>
            <w:tcBorders>
              <w:bottom w:val="single" w:sz="8" w:space="0" w:color="auto"/>
            </w:tcBorders>
            <w:shd w:val="clear" w:color="auto" w:fill="92CDDC"/>
          </w:tcPr>
          <w:p w14:paraId="25D840B7" w14:textId="77777777" w:rsidR="00397E5F" w:rsidRPr="00CC6927" w:rsidRDefault="00397E5F" w:rsidP="0053652E">
            <w:pPr>
              <w:spacing w:after="120" w:line="240" w:lineRule="auto"/>
              <w:rPr>
                <w:rFonts w:ascii="Calibri" w:hAnsi="Calibri"/>
                <w:b/>
                <w:color w:val="215868"/>
              </w:rPr>
            </w:pPr>
            <w:r>
              <w:rPr>
                <w:rFonts w:ascii="Calibri" w:hAnsi="Calibri"/>
                <w:b/>
                <w:color w:val="215868"/>
              </w:rPr>
              <w:t>Milestones</w:t>
            </w:r>
          </w:p>
        </w:tc>
        <w:tc>
          <w:tcPr>
            <w:tcW w:w="2693" w:type="dxa"/>
            <w:tcBorders>
              <w:bottom w:val="single" w:sz="8" w:space="0" w:color="auto"/>
            </w:tcBorders>
            <w:shd w:val="clear" w:color="auto" w:fill="92CDDC"/>
          </w:tcPr>
          <w:p w14:paraId="74377442" w14:textId="77777777" w:rsidR="00397E5F" w:rsidRDefault="00397E5F" w:rsidP="0053652E">
            <w:pPr>
              <w:spacing w:after="120" w:line="240" w:lineRule="auto"/>
              <w:rPr>
                <w:rFonts w:ascii="Calibri" w:hAnsi="Calibri"/>
                <w:b/>
                <w:color w:val="215868"/>
              </w:rPr>
            </w:pPr>
            <w:r>
              <w:rPr>
                <w:rFonts w:ascii="Calibri" w:hAnsi="Calibri"/>
                <w:b/>
                <w:color w:val="215868"/>
              </w:rPr>
              <w:t>Expected Outcome/s</w:t>
            </w:r>
          </w:p>
        </w:tc>
        <w:tc>
          <w:tcPr>
            <w:tcW w:w="1418" w:type="dxa"/>
            <w:tcBorders>
              <w:bottom w:val="single" w:sz="8" w:space="0" w:color="auto"/>
            </w:tcBorders>
            <w:shd w:val="clear" w:color="auto" w:fill="92CDDC"/>
          </w:tcPr>
          <w:p w14:paraId="0E7408A2" w14:textId="77777777" w:rsidR="00397E5F" w:rsidRPr="00CC6927" w:rsidRDefault="00397E5F" w:rsidP="0053652E">
            <w:pPr>
              <w:spacing w:after="120" w:line="240" w:lineRule="auto"/>
              <w:rPr>
                <w:rFonts w:ascii="Calibri" w:hAnsi="Calibri"/>
                <w:b/>
                <w:color w:val="215868"/>
              </w:rPr>
            </w:pPr>
            <w:r>
              <w:rPr>
                <w:rFonts w:ascii="Calibri" w:hAnsi="Calibri"/>
                <w:b/>
                <w:color w:val="215868"/>
              </w:rPr>
              <w:t>Links with other Strategy objectives</w:t>
            </w:r>
          </w:p>
        </w:tc>
      </w:tr>
      <w:tr w:rsidR="00397E5F" w:rsidRPr="00FF5AE8" w14:paraId="342ADABF" w14:textId="77777777" w:rsidTr="00280417">
        <w:trPr>
          <w:trHeight w:val="456"/>
        </w:trPr>
        <w:tc>
          <w:tcPr>
            <w:tcW w:w="14176" w:type="dxa"/>
            <w:gridSpan w:val="6"/>
            <w:tcBorders>
              <w:top w:val="single" w:sz="8" w:space="0" w:color="auto"/>
            </w:tcBorders>
            <w:shd w:val="clear" w:color="auto" w:fill="DAEEF3"/>
          </w:tcPr>
          <w:p w14:paraId="6EF44A34"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t>Priority Action Area 6.1 – Active engagement with multilateral organisations and relevant forums to contribute to global action on antimicrobial resistance</w:t>
            </w:r>
          </w:p>
          <w:p w14:paraId="2CCF9F9B" w14:textId="77777777" w:rsidR="00397E5F" w:rsidRPr="00653EF4" w:rsidRDefault="00397E5F" w:rsidP="0053652E">
            <w:pPr>
              <w:spacing w:after="120" w:line="240" w:lineRule="auto"/>
              <w:rPr>
                <w:rFonts w:ascii="Calibri" w:hAnsi="Calibri"/>
              </w:rPr>
            </w:pPr>
          </w:p>
        </w:tc>
      </w:tr>
      <w:tr w:rsidR="00397E5F" w:rsidRPr="00FF5AE8" w14:paraId="1C69D135" w14:textId="77777777" w:rsidTr="00280417">
        <w:tc>
          <w:tcPr>
            <w:tcW w:w="2977" w:type="dxa"/>
            <w:shd w:val="clear" w:color="auto" w:fill="FFFFFF"/>
          </w:tcPr>
          <w:p w14:paraId="6B169844" w14:textId="77777777" w:rsidR="00397E5F" w:rsidRPr="00653EF4" w:rsidRDefault="00397E5F" w:rsidP="0053652E">
            <w:pPr>
              <w:spacing w:after="120" w:line="240" w:lineRule="auto"/>
              <w:rPr>
                <w:rFonts w:ascii="Calibri" w:hAnsi="Calibri"/>
              </w:rPr>
            </w:pPr>
          </w:p>
        </w:tc>
        <w:tc>
          <w:tcPr>
            <w:tcW w:w="2410" w:type="dxa"/>
            <w:shd w:val="clear" w:color="auto" w:fill="auto"/>
          </w:tcPr>
          <w:p w14:paraId="5CDC6276" w14:textId="77777777" w:rsidR="00397E5F" w:rsidRPr="00653EF4" w:rsidRDefault="00397E5F" w:rsidP="0053652E">
            <w:pPr>
              <w:spacing w:after="120" w:line="240" w:lineRule="auto"/>
              <w:rPr>
                <w:rFonts w:ascii="Calibri" w:hAnsi="Calibri"/>
                <w:lang w:bidi="en-US"/>
              </w:rPr>
            </w:pPr>
          </w:p>
        </w:tc>
        <w:tc>
          <w:tcPr>
            <w:tcW w:w="2552" w:type="dxa"/>
            <w:shd w:val="clear" w:color="auto" w:fill="auto"/>
          </w:tcPr>
          <w:p w14:paraId="0DBA2927" w14:textId="77777777" w:rsidR="00397E5F" w:rsidRPr="00653EF4" w:rsidRDefault="00397E5F" w:rsidP="0053652E">
            <w:pPr>
              <w:spacing w:after="120" w:line="240" w:lineRule="auto"/>
              <w:rPr>
                <w:rFonts w:ascii="Calibri" w:hAnsi="Calibri"/>
              </w:rPr>
            </w:pPr>
          </w:p>
        </w:tc>
        <w:tc>
          <w:tcPr>
            <w:tcW w:w="2126" w:type="dxa"/>
            <w:shd w:val="clear" w:color="auto" w:fill="auto"/>
          </w:tcPr>
          <w:p w14:paraId="39C9804E" w14:textId="77777777" w:rsidR="00397E5F" w:rsidRPr="00653EF4" w:rsidRDefault="00397E5F" w:rsidP="0053652E">
            <w:pPr>
              <w:spacing w:after="120" w:line="240" w:lineRule="auto"/>
              <w:rPr>
                <w:rFonts w:ascii="Calibri" w:hAnsi="Calibri"/>
              </w:rPr>
            </w:pPr>
          </w:p>
        </w:tc>
        <w:tc>
          <w:tcPr>
            <w:tcW w:w="2693" w:type="dxa"/>
            <w:shd w:val="clear" w:color="auto" w:fill="auto"/>
          </w:tcPr>
          <w:p w14:paraId="024C0097" w14:textId="77777777" w:rsidR="00397E5F" w:rsidRPr="00653EF4" w:rsidRDefault="00397E5F" w:rsidP="0053652E">
            <w:pPr>
              <w:spacing w:after="120" w:line="240" w:lineRule="auto"/>
              <w:rPr>
                <w:rFonts w:ascii="Calibri" w:hAnsi="Calibri"/>
              </w:rPr>
            </w:pPr>
          </w:p>
        </w:tc>
        <w:tc>
          <w:tcPr>
            <w:tcW w:w="1418" w:type="dxa"/>
            <w:shd w:val="clear" w:color="auto" w:fill="auto"/>
          </w:tcPr>
          <w:p w14:paraId="38BF4293" w14:textId="77777777" w:rsidR="00397E5F" w:rsidRPr="00653EF4" w:rsidRDefault="00397E5F" w:rsidP="0053652E">
            <w:pPr>
              <w:spacing w:after="120" w:line="240" w:lineRule="auto"/>
              <w:rPr>
                <w:rFonts w:ascii="Calibri" w:hAnsi="Calibri"/>
              </w:rPr>
            </w:pPr>
          </w:p>
        </w:tc>
      </w:tr>
      <w:tr w:rsidR="00397E5F" w:rsidRPr="00FF5AE8" w14:paraId="35F53737" w14:textId="77777777" w:rsidTr="00280417">
        <w:tc>
          <w:tcPr>
            <w:tcW w:w="2977" w:type="dxa"/>
            <w:shd w:val="clear" w:color="auto" w:fill="FFFFFF"/>
          </w:tcPr>
          <w:p w14:paraId="228B9388" w14:textId="77777777" w:rsidR="00397E5F" w:rsidRPr="00653EF4" w:rsidRDefault="00397E5F" w:rsidP="0053652E">
            <w:pPr>
              <w:spacing w:after="120" w:line="240" w:lineRule="auto"/>
              <w:rPr>
                <w:rFonts w:ascii="Calibri" w:hAnsi="Calibri"/>
              </w:rPr>
            </w:pPr>
          </w:p>
        </w:tc>
        <w:tc>
          <w:tcPr>
            <w:tcW w:w="2410" w:type="dxa"/>
            <w:shd w:val="clear" w:color="auto" w:fill="auto"/>
          </w:tcPr>
          <w:p w14:paraId="5FA78180" w14:textId="77777777" w:rsidR="00397E5F" w:rsidRPr="00653EF4" w:rsidRDefault="00397E5F" w:rsidP="0053652E">
            <w:pPr>
              <w:spacing w:after="120" w:line="240" w:lineRule="auto"/>
              <w:rPr>
                <w:rFonts w:ascii="Calibri" w:hAnsi="Calibri"/>
              </w:rPr>
            </w:pPr>
          </w:p>
        </w:tc>
        <w:tc>
          <w:tcPr>
            <w:tcW w:w="2552" w:type="dxa"/>
            <w:shd w:val="clear" w:color="auto" w:fill="auto"/>
          </w:tcPr>
          <w:p w14:paraId="381FF513" w14:textId="77777777" w:rsidR="00397E5F" w:rsidRPr="00653EF4" w:rsidRDefault="00397E5F" w:rsidP="0053652E">
            <w:pPr>
              <w:spacing w:after="120" w:line="240" w:lineRule="auto"/>
              <w:rPr>
                <w:rFonts w:ascii="Calibri" w:hAnsi="Calibri"/>
              </w:rPr>
            </w:pPr>
          </w:p>
        </w:tc>
        <w:tc>
          <w:tcPr>
            <w:tcW w:w="2126" w:type="dxa"/>
            <w:shd w:val="clear" w:color="auto" w:fill="auto"/>
          </w:tcPr>
          <w:p w14:paraId="3D09B11F" w14:textId="77777777" w:rsidR="00397E5F" w:rsidRPr="00653EF4" w:rsidRDefault="00397E5F" w:rsidP="0053652E">
            <w:pPr>
              <w:spacing w:after="120" w:line="240" w:lineRule="auto"/>
              <w:rPr>
                <w:rFonts w:ascii="Calibri" w:hAnsi="Calibri"/>
              </w:rPr>
            </w:pPr>
          </w:p>
        </w:tc>
        <w:tc>
          <w:tcPr>
            <w:tcW w:w="2693" w:type="dxa"/>
            <w:shd w:val="clear" w:color="auto" w:fill="auto"/>
          </w:tcPr>
          <w:p w14:paraId="37DCB639" w14:textId="77777777" w:rsidR="00397E5F" w:rsidRPr="00653EF4" w:rsidRDefault="00397E5F" w:rsidP="0053652E">
            <w:pPr>
              <w:spacing w:after="120" w:line="240" w:lineRule="auto"/>
              <w:rPr>
                <w:rFonts w:ascii="Calibri" w:hAnsi="Calibri"/>
              </w:rPr>
            </w:pPr>
          </w:p>
        </w:tc>
        <w:tc>
          <w:tcPr>
            <w:tcW w:w="1418" w:type="dxa"/>
            <w:shd w:val="clear" w:color="auto" w:fill="auto"/>
          </w:tcPr>
          <w:p w14:paraId="294778E2" w14:textId="77777777" w:rsidR="00397E5F" w:rsidRPr="00653EF4" w:rsidRDefault="00397E5F" w:rsidP="0053652E">
            <w:pPr>
              <w:spacing w:after="120" w:line="240" w:lineRule="auto"/>
              <w:rPr>
                <w:rFonts w:ascii="Calibri" w:hAnsi="Calibri"/>
              </w:rPr>
            </w:pPr>
          </w:p>
        </w:tc>
      </w:tr>
      <w:tr w:rsidR="00397E5F" w:rsidRPr="00FF5AE8" w14:paraId="08772EFD" w14:textId="77777777" w:rsidTr="00280417">
        <w:tc>
          <w:tcPr>
            <w:tcW w:w="2977" w:type="dxa"/>
            <w:shd w:val="clear" w:color="auto" w:fill="FFFFFF"/>
          </w:tcPr>
          <w:p w14:paraId="1B540CE7" w14:textId="77777777" w:rsidR="00397E5F" w:rsidRPr="00653EF4" w:rsidRDefault="00397E5F" w:rsidP="0053652E">
            <w:pPr>
              <w:spacing w:after="120" w:line="240" w:lineRule="auto"/>
              <w:rPr>
                <w:rFonts w:ascii="Calibri" w:hAnsi="Calibri"/>
              </w:rPr>
            </w:pPr>
          </w:p>
        </w:tc>
        <w:tc>
          <w:tcPr>
            <w:tcW w:w="2410" w:type="dxa"/>
            <w:shd w:val="clear" w:color="auto" w:fill="auto"/>
          </w:tcPr>
          <w:p w14:paraId="027FBE2F" w14:textId="77777777" w:rsidR="00397E5F" w:rsidRPr="00653EF4" w:rsidRDefault="00397E5F" w:rsidP="0053652E">
            <w:pPr>
              <w:spacing w:after="120" w:line="240" w:lineRule="auto"/>
              <w:rPr>
                <w:rFonts w:ascii="Calibri" w:hAnsi="Calibri"/>
              </w:rPr>
            </w:pPr>
          </w:p>
        </w:tc>
        <w:tc>
          <w:tcPr>
            <w:tcW w:w="2552" w:type="dxa"/>
            <w:shd w:val="clear" w:color="auto" w:fill="auto"/>
          </w:tcPr>
          <w:p w14:paraId="79AFB064" w14:textId="77777777" w:rsidR="00397E5F" w:rsidRPr="00653EF4" w:rsidRDefault="00397E5F" w:rsidP="0053652E">
            <w:pPr>
              <w:spacing w:after="120" w:line="240" w:lineRule="auto"/>
              <w:rPr>
                <w:rFonts w:ascii="Calibri" w:hAnsi="Calibri"/>
              </w:rPr>
            </w:pPr>
          </w:p>
        </w:tc>
        <w:tc>
          <w:tcPr>
            <w:tcW w:w="2126" w:type="dxa"/>
            <w:shd w:val="clear" w:color="auto" w:fill="auto"/>
          </w:tcPr>
          <w:p w14:paraId="640EE9AF" w14:textId="77777777" w:rsidR="00397E5F" w:rsidRPr="00653EF4" w:rsidRDefault="00397E5F" w:rsidP="0053652E">
            <w:pPr>
              <w:spacing w:after="120" w:line="240" w:lineRule="auto"/>
              <w:rPr>
                <w:rFonts w:ascii="Calibri" w:hAnsi="Calibri"/>
              </w:rPr>
            </w:pPr>
          </w:p>
        </w:tc>
        <w:tc>
          <w:tcPr>
            <w:tcW w:w="2693" w:type="dxa"/>
            <w:shd w:val="clear" w:color="auto" w:fill="auto"/>
          </w:tcPr>
          <w:p w14:paraId="2B27CAFF" w14:textId="77777777" w:rsidR="00397E5F" w:rsidRPr="00653EF4" w:rsidRDefault="00397E5F" w:rsidP="0053652E">
            <w:pPr>
              <w:spacing w:after="120" w:line="240" w:lineRule="auto"/>
              <w:rPr>
                <w:rFonts w:ascii="Calibri" w:hAnsi="Calibri"/>
              </w:rPr>
            </w:pPr>
          </w:p>
        </w:tc>
        <w:tc>
          <w:tcPr>
            <w:tcW w:w="1418" w:type="dxa"/>
            <w:shd w:val="clear" w:color="auto" w:fill="auto"/>
          </w:tcPr>
          <w:p w14:paraId="30A36C1C" w14:textId="77777777" w:rsidR="00397E5F" w:rsidRPr="00653EF4" w:rsidRDefault="00397E5F" w:rsidP="0053652E">
            <w:pPr>
              <w:spacing w:after="120" w:line="240" w:lineRule="auto"/>
              <w:rPr>
                <w:rFonts w:ascii="Calibri" w:hAnsi="Calibri"/>
              </w:rPr>
            </w:pPr>
          </w:p>
        </w:tc>
      </w:tr>
      <w:tr w:rsidR="00397E5F" w:rsidRPr="00FF5AE8" w14:paraId="6F9706BD" w14:textId="77777777" w:rsidTr="00280417">
        <w:tc>
          <w:tcPr>
            <w:tcW w:w="2977" w:type="dxa"/>
            <w:shd w:val="clear" w:color="auto" w:fill="FFFFFF"/>
          </w:tcPr>
          <w:p w14:paraId="5F5257F4" w14:textId="77777777" w:rsidR="00397E5F" w:rsidRPr="00653EF4" w:rsidRDefault="00397E5F" w:rsidP="0053652E">
            <w:pPr>
              <w:spacing w:after="120" w:line="240" w:lineRule="auto"/>
              <w:rPr>
                <w:rFonts w:ascii="Calibri" w:hAnsi="Calibri"/>
              </w:rPr>
            </w:pPr>
          </w:p>
        </w:tc>
        <w:tc>
          <w:tcPr>
            <w:tcW w:w="2410" w:type="dxa"/>
            <w:shd w:val="clear" w:color="auto" w:fill="auto"/>
          </w:tcPr>
          <w:p w14:paraId="750526BF" w14:textId="77777777" w:rsidR="00397E5F" w:rsidRPr="00653EF4" w:rsidRDefault="00397E5F" w:rsidP="0053652E">
            <w:pPr>
              <w:spacing w:after="120" w:line="240" w:lineRule="auto"/>
              <w:rPr>
                <w:rFonts w:ascii="Calibri" w:hAnsi="Calibri"/>
              </w:rPr>
            </w:pPr>
          </w:p>
        </w:tc>
        <w:tc>
          <w:tcPr>
            <w:tcW w:w="2552" w:type="dxa"/>
            <w:shd w:val="clear" w:color="auto" w:fill="auto"/>
          </w:tcPr>
          <w:p w14:paraId="61AC57EF" w14:textId="77777777" w:rsidR="00397E5F" w:rsidRPr="00653EF4" w:rsidRDefault="00397E5F" w:rsidP="0053652E">
            <w:pPr>
              <w:spacing w:after="120" w:line="240" w:lineRule="auto"/>
              <w:rPr>
                <w:rFonts w:ascii="Calibri" w:hAnsi="Calibri"/>
              </w:rPr>
            </w:pPr>
          </w:p>
        </w:tc>
        <w:tc>
          <w:tcPr>
            <w:tcW w:w="2126" w:type="dxa"/>
            <w:shd w:val="clear" w:color="auto" w:fill="auto"/>
          </w:tcPr>
          <w:p w14:paraId="2BB6510E" w14:textId="77777777" w:rsidR="00397E5F" w:rsidRPr="00653EF4" w:rsidRDefault="00397E5F" w:rsidP="0053652E">
            <w:pPr>
              <w:spacing w:after="120" w:line="240" w:lineRule="auto"/>
              <w:rPr>
                <w:rFonts w:ascii="Calibri" w:hAnsi="Calibri"/>
              </w:rPr>
            </w:pPr>
          </w:p>
        </w:tc>
        <w:tc>
          <w:tcPr>
            <w:tcW w:w="2693" w:type="dxa"/>
            <w:shd w:val="clear" w:color="auto" w:fill="auto"/>
          </w:tcPr>
          <w:p w14:paraId="0C5048C7" w14:textId="77777777" w:rsidR="00397E5F" w:rsidRPr="00653EF4" w:rsidRDefault="00397E5F" w:rsidP="0053652E">
            <w:pPr>
              <w:spacing w:after="120" w:line="240" w:lineRule="auto"/>
              <w:rPr>
                <w:rFonts w:ascii="Calibri" w:hAnsi="Calibri"/>
              </w:rPr>
            </w:pPr>
          </w:p>
        </w:tc>
        <w:tc>
          <w:tcPr>
            <w:tcW w:w="1418" w:type="dxa"/>
            <w:shd w:val="clear" w:color="auto" w:fill="auto"/>
          </w:tcPr>
          <w:p w14:paraId="7F04A0BA" w14:textId="77777777" w:rsidR="00397E5F" w:rsidRPr="00653EF4" w:rsidRDefault="00397E5F" w:rsidP="0053652E">
            <w:pPr>
              <w:spacing w:after="120" w:line="240" w:lineRule="auto"/>
              <w:rPr>
                <w:rFonts w:ascii="Calibri" w:hAnsi="Calibri"/>
              </w:rPr>
            </w:pPr>
          </w:p>
        </w:tc>
      </w:tr>
      <w:tr w:rsidR="00397E5F" w:rsidRPr="007E17C2" w14:paraId="3087053E" w14:textId="77777777" w:rsidTr="00280417">
        <w:tc>
          <w:tcPr>
            <w:tcW w:w="14176" w:type="dxa"/>
            <w:gridSpan w:val="6"/>
            <w:shd w:val="clear" w:color="auto" w:fill="DAEEF3"/>
          </w:tcPr>
          <w:p w14:paraId="0FEA7494"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6.2 – Lead regional initiatives to increase capacity to respond to antimicrobial resistance</w:t>
            </w:r>
          </w:p>
        </w:tc>
      </w:tr>
      <w:tr w:rsidR="00397E5F" w:rsidRPr="007E17C2" w14:paraId="7AE82761" w14:textId="77777777" w:rsidTr="00280417">
        <w:tc>
          <w:tcPr>
            <w:tcW w:w="2977" w:type="dxa"/>
            <w:shd w:val="clear" w:color="auto" w:fill="FFFFFF"/>
          </w:tcPr>
          <w:p w14:paraId="46E0ED32" w14:textId="77777777" w:rsidR="00397E5F" w:rsidRPr="00653EF4" w:rsidRDefault="00397E5F" w:rsidP="0053652E">
            <w:pPr>
              <w:spacing w:after="120" w:line="240" w:lineRule="auto"/>
              <w:rPr>
                <w:rFonts w:ascii="Calibri" w:hAnsi="Calibri"/>
              </w:rPr>
            </w:pPr>
          </w:p>
        </w:tc>
        <w:tc>
          <w:tcPr>
            <w:tcW w:w="2410" w:type="dxa"/>
            <w:shd w:val="clear" w:color="auto" w:fill="auto"/>
          </w:tcPr>
          <w:p w14:paraId="3DF8708E" w14:textId="77777777" w:rsidR="00397E5F" w:rsidRPr="00653EF4" w:rsidRDefault="00397E5F" w:rsidP="0053652E">
            <w:pPr>
              <w:spacing w:after="120" w:line="240" w:lineRule="auto"/>
              <w:rPr>
                <w:rFonts w:ascii="Calibri" w:hAnsi="Calibri"/>
              </w:rPr>
            </w:pPr>
          </w:p>
        </w:tc>
        <w:tc>
          <w:tcPr>
            <w:tcW w:w="2552" w:type="dxa"/>
            <w:shd w:val="clear" w:color="auto" w:fill="auto"/>
          </w:tcPr>
          <w:p w14:paraId="7F02C5CF" w14:textId="77777777" w:rsidR="00397E5F" w:rsidRPr="00653EF4" w:rsidRDefault="00397E5F" w:rsidP="0053652E">
            <w:pPr>
              <w:spacing w:after="120" w:line="240" w:lineRule="auto"/>
              <w:rPr>
                <w:rFonts w:ascii="Calibri" w:hAnsi="Calibri"/>
              </w:rPr>
            </w:pPr>
          </w:p>
        </w:tc>
        <w:tc>
          <w:tcPr>
            <w:tcW w:w="2126" w:type="dxa"/>
            <w:shd w:val="clear" w:color="auto" w:fill="auto"/>
          </w:tcPr>
          <w:p w14:paraId="286B8851" w14:textId="77777777" w:rsidR="00397E5F" w:rsidRPr="00653EF4" w:rsidRDefault="00397E5F" w:rsidP="0053652E">
            <w:pPr>
              <w:spacing w:after="120" w:line="240" w:lineRule="auto"/>
              <w:rPr>
                <w:rFonts w:ascii="Calibri" w:hAnsi="Calibri"/>
              </w:rPr>
            </w:pPr>
          </w:p>
        </w:tc>
        <w:tc>
          <w:tcPr>
            <w:tcW w:w="2693" w:type="dxa"/>
            <w:shd w:val="clear" w:color="auto" w:fill="auto"/>
          </w:tcPr>
          <w:p w14:paraId="4059577A" w14:textId="77777777" w:rsidR="00397E5F" w:rsidRPr="00653EF4" w:rsidRDefault="00397E5F" w:rsidP="0053652E">
            <w:pPr>
              <w:spacing w:after="120" w:line="240" w:lineRule="auto"/>
              <w:rPr>
                <w:rFonts w:ascii="Calibri" w:hAnsi="Calibri"/>
              </w:rPr>
            </w:pPr>
          </w:p>
        </w:tc>
        <w:tc>
          <w:tcPr>
            <w:tcW w:w="1418" w:type="dxa"/>
            <w:shd w:val="clear" w:color="auto" w:fill="auto"/>
          </w:tcPr>
          <w:p w14:paraId="3E7DCB2C" w14:textId="77777777" w:rsidR="00397E5F" w:rsidRPr="00653EF4" w:rsidRDefault="00397E5F" w:rsidP="0053652E">
            <w:pPr>
              <w:spacing w:after="120" w:line="240" w:lineRule="auto"/>
              <w:rPr>
                <w:rFonts w:ascii="Calibri" w:hAnsi="Calibri"/>
              </w:rPr>
            </w:pPr>
          </w:p>
        </w:tc>
      </w:tr>
      <w:tr w:rsidR="00397E5F" w:rsidRPr="007E17C2" w14:paraId="58D62F67" w14:textId="77777777" w:rsidTr="00280417">
        <w:tc>
          <w:tcPr>
            <w:tcW w:w="2977" w:type="dxa"/>
            <w:shd w:val="clear" w:color="auto" w:fill="FFFFFF"/>
          </w:tcPr>
          <w:p w14:paraId="373BB09F" w14:textId="77777777" w:rsidR="00397E5F" w:rsidRPr="00653EF4" w:rsidRDefault="00397E5F" w:rsidP="0053652E">
            <w:pPr>
              <w:spacing w:after="120" w:line="240" w:lineRule="auto"/>
              <w:rPr>
                <w:rFonts w:ascii="Calibri" w:hAnsi="Calibri"/>
              </w:rPr>
            </w:pPr>
          </w:p>
        </w:tc>
        <w:tc>
          <w:tcPr>
            <w:tcW w:w="2410" w:type="dxa"/>
            <w:shd w:val="clear" w:color="auto" w:fill="auto"/>
          </w:tcPr>
          <w:p w14:paraId="07F38B52" w14:textId="77777777" w:rsidR="00397E5F" w:rsidRPr="00653EF4" w:rsidRDefault="00397E5F" w:rsidP="0053652E">
            <w:pPr>
              <w:spacing w:after="120" w:line="240" w:lineRule="auto"/>
              <w:rPr>
                <w:rFonts w:ascii="Calibri" w:hAnsi="Calibri"/>
              </w:rPr>
            </w:pPr>
          </w:p>
        </w:tc>
        <w:tc>
          <w:tcPr>
            <w:tcW w:w="2552" w:type="dxa"/>
            <w:shd w:val="clear" w:color="auto" w:fill="auto"/>
          </w:tcPr>
          <w:p w14:paraId="25348E2D" w14:textId="77777777" w:rsidR="00397E5F" w:rsidRPr="00653EF4" w:rsidRDefault="00397E5F" w:rsidP="0053652E">
            <w:pPr>
              <w:spacing w:after="120" w:line="240" w:lineRule="auto"/>
              <w:rPr>
                <w:rFonts w:ascii="Calibri" w:hAnsi="Calibri"/>
              </w:rPr>
            </w:pPr>
          </w:p>
        </w:tc>
        <w:tc>
          <w:tcPr>
            <w:tcW w:w="2126" w:type="dxa"/>
            <w:shd w:val="clear" w:color="auto" w:fill="auto"/>
          </w:tcPr>
          <w:p w14:paraId="6C3F0F77" w14:textId="77777777" w:rsidR="00397E5F" w:rsidRPr="00653EF4" w:rsidRDefault="00397E5F" w:rsidP="0053652E">
            <w:pPr>
              <w:spacing w:after="120" w:line="240" w:lineRule="auto"/>
              <w:rPr>
                <w:rFonts w:ascii="Calibri" w:hAnsi="Calibri"/>
              </w:rPr>
            </w:pPr>
          </w:p>
        </w:tc>
        <w:tc>
          <w:tcPr>
            <w:tcW w:w="2693" w:type="dxa"/>
            <w:shd w:val="clear" w:color="auto" w:fill="auto"/>
          </w:tcPr>
          <w:p w14:paraId="4A412E22" w14:textId="77777777" w:rsidR="00397E5F" w:rsidRPr="00653EF4" w:rsidRDefault="00397E5F" w:rsidP="0053652E">
            <w:pPr>
              <w:spacing w:after="120" w:line="240" w:lineRule="auto"/>
              <w:rPr>
                <w:rFonts w:ascii="Calibri" w:hAnsi="Calibri"/>
              </w:rPr>
            </w:pPr>
          </w:p>
        </w:tc>
        <w:tc>
          <w:tcPr>
            <w:tcW w:w="1418" w:type="dxa"/>
            <w:shd w:val="clear" w:color="auto" w:fill="auto"/>
          </w:tcPr>
          <w:p w14:paraId="4193A964" w14:textId="77777777" w:rsidR="00397E5F" w:rsidRPr="00653EF4" w:rsidRDefault="00397E5F" w:rsidP="0053652E">
            <w:pPr>
              <w:spacing w:after="120" w:line="240" w:lineRule="auto"/>
              <w:rPr>
                <w:rFonts w:ascii="Calibri" w:hAnsi="Calibri"/>
              </w:rPr>
            </w:pPr>
          </w:p>
        </w:tc>
      </w:tr>
      <w:tr w:rsidR="00397E5F" w:rsidRPr="007E17C2" w14:paraId="2FA84002" w14:textId="77777777" w:rsidTr="00280417">
        <w:tc>
          <w:tcPr>
            <w:tcW w:w="2977" w:type="dxa"/>
            <w:shd w:val="clear" w:color="auto" w:fill="FFFFFF"/>
          </w:tcPr>
          <w:p w14:paraId="2BE56699" w14:textId="77777777" w:rsidR="00397E5F" w:rsidRPr="00653EF4" w:rsidRDefault="00397E5F" w:rsidP="0053652E">
            <w:pPr>
              <w:spacing w:after="120" w:line="240" w:lineRule="auto"/>
              <w:rPr>
                <w:rFonts w:ascii="Calibri" w:hAnsi="Calibri"/>
                <w:highlight w:val="yellow"/>
              </w:rPr>
            </w:pPr>
          </w:p>
        </w:tc>
        <w:tc>
          <w:tcPr>
            <w:tcW w:w="2410" w:type="dxa"/>
            <w:shd w:val="clear" w:color="auto" w:fill="auto"/>
          </w:tcPr>
          <w:p w14:paraId="1A9DCFCE" w14:textId="77777777" w:rsidR="00397E5F" w:rsidRPr="00653EF4" w:rsidRDefault="00397E5F" w:rsidP="0053652E">
            <w:pPr>
              <w:spacing w:after="120" w:line="240" w:lineRule="auto"/>
              <w:rPr>
                <w:rFonts w:ascii="Calibri" w:hAnsi="Calibri"/>
              </w:rPr>
            </w:pPr>
          </w:p>
        </w:tc>
        <w:tc>
          <w:tcPr>
            <w:tcW w:w="2552" w:type="dxa"/>
            <w:shd w:val="clear" w:color="auto" w:fill="auto"/>
          </w:tcPr>
          <w:p w14:paraId="3339CB9B" w14:textId="77777777" w:rsidR="00397E5F" w:rsidRPr="00653EF4" w:rsidRDefault="00397E5F" w:rsidP="0053652E">
            <w:pPr>
              <w:spacing w:after="120" w:line="240" w:lineRule="auto"/>
              <w:rPr>
                <w:rFonts w:ascii="Calibri" w:hAnsi="Calibri"/>
              </w:rPr>
            </w:pPr>
          </w:p>
        </w:tc>
        <w:tc>
          <w:tcPr>
            <w:tcW w:w="2126" w:type="dxa"/>
            <w:shd w:val="clear" w:color="auto" w:fill="auto"/>
          </w:tcPr>
          <w:p w14:paraId="4B44D4DF" w14:textId="77777777" w:rsidR="00397E5F" w:rsidRPr="00653EF4" w:rsidRDefault="00397E5F" w:rsidP="0053652E">
            <w:pPr>
              <w:spacing w:after="120" w:line="240" w:lineRule="auto"/>
              <w:rPr>
                <w:rFonts w:ascii="Calibri" w:hAnsi="Calibri"/>
              </w:rPr>
            </w:pPr>
          </w:p>
        </w:tc>
        <w:tc>
          <w:tcPr>
            <w:tcW w:w="2693" w:type="dxa"/>
            <w:shd w:val="clear" w:color="auto" w:fill="auto"/>
          </w:tcPr>
          <w:p w14:paraId="2AA74781" w14:textId="77777777" w:rsidR="00397E5F" w:rsidRPr="00653EF4" w:rsidRDefault="00397E5F" w:rsidP="0053652E">
            <w:pPr>
              <w:spacing w:after="120" w:line="240" w:lineRule="auto"/>
              <w:rPr>
                <w:rFonts w:ascii="Calibri" w:hAnsi="Calibri"/>
              </w:rPr>
            </w:pPr>
          </w:p>
        </w:tc>
        <w:tc>
          <w:tcPr>
            <w:tcW w:w="1418" w:type="dxa"/>
            <w:shd w:val="clear" w:color="auto" w:fill="auto"/>
          </w:tcPr>
          <w:p w14:paraId="6E6EE731" w14:textId="77777777" w:rsidR="00397E5F" w:rsidRPr="00653EF4" w:rsidRDefault="00397E5F" w:rsidP="0053652E">
            <w:pPr>
              <w:spacing w:after="120" w:line="240" w:lineRule="auto"/>
              <w:rPr>
                <w:rFonts w:ascii="Calibri" w:hAnsi="Calibri"/>
              </w:rPr>
            </w:pPr>
          </w:p>
        </w:tc>
      </w:tr>
      <w:tr w:rsidR="00397E5F" w:rsidRPr="007E17C2" w14:paraId="422A39E7" w14:textId="77777777" w:rsidTr="00280417">
        <w:tc>
          <w:tcPr>
            <w:tcW w:w="14176" w:type="dxa"/>
            <w:gridSpan w:val="6"/>
            <w:shd w:val="clear" w:color="auto" w:fill="DAEEF3"/>
          </w:tcPr>
          <w:p w14:paraId="64AC5448" w14:textId="77777777" w:rsidR="00397E5F" w:rsidRPr="00653EF4" w:rsidRDefault="00397E5F" w:rsidP="0053652E">
            <w:pPr>
              <w:spacing w:after="120" w:line="240" w:lineRule="auto"/>
              <w:rPr>
                <w:rFonts w:ascii="Calibri" w:hAnsi="Calibri"/>
                <w:b/>
                <w:i/>
                <w:highlight w:val="yellow"/>
              </w:rPr>
            </w:pPr>
            <w:r w:rsidRPr="00653EF4">
              <w:rPr>
                <w:rFonts w:ascii="Calibri" w:hAnsi="Calibri"/>
                <w:b/>
                <w:i/>
                <w:color w:val="215868"/>
              </w:rPr>
              <w:t>Priority Action Area 6.3 – Learn from international best practice</w:t>
            </w:r>
          </w:p>
        </w:tc>
      </w:tr>
      <w:tr w:rsidR="00397E5F" w:rsidRPr="007E17C2" w14:paraId="33DF96F2" w14:textId="77777777" w:rsidTr="00280417">
        <w:tc>
          <w:tcPr>
            <w:tcW w:w="2977" w:type="dxa"/>
            <w:shd w:val="clear" w:color="auto" w:fill="FFFFFF"/>
          </w:tcPr>
          <w:p w14:paraId="68FC3466" w14:textId="77777777" w:rsidR="00397E5F" w:rsidRPr="00653EF4" w:rsidRDefault="00397E5F" w:rsidP="0053652E">
            <w:pPr>
              <w:spacing w:after="120" w:line="240" w:lineRule="auto"/>
              <w:rPr>
                <w:rFonts w:ascii="Calibri" w:hAnsi="Calibri"/>
              </w:rPr>
            </w:pPr>
          </w:p>
        </w:tc>
        <w:tc>
          <w:tcPr>
            <w:tcW w:w="2410" w:type="dxa"/>
            <w:shd w:val="clear" w:color="auto" w:fill="auto"/>
          </w:tcPr>
          <w:p w14:paraId="2E7312F5" w14:textId="77777777" w:rsidR="00397E5F" w:rsidRPr="00653EF4" w:rsidRDefault="00397E5F" w:rsidP="0053652E">
            <w:pPr>
              <w:spacing w:after="120" w:line="240" w:lineRule="auto"/>
              <w:rPr>
                <w:rFonts w:ascii="Calibri" w:hAnsi="Calibri"/>
              </w:rPr>
            </w:pPr>
          </w:p>
        </w:tc>
        <w:tc>
          <w:tcPr>
            <w:tcW w:w="2552" w:type="dxa"/>
            <w:shd w:val="clear" w:color="auto" w:fill="auto"/>
          </w:tcPr>
          <w:p w14:paraId="0FAB1C0C" w14:textId="77777777" w:rsidR="00397E5F" w:rsidRPr="00653EF4" w:rsidRDefault="00397E5F" w:rsidP="0053652E">
            <w:pPr>
              <w:spacing w:after="120" w:line="240" w:lineRule="auto"/>
              <w:rPr>
                <w:rFonts w:ascii="Calibri" w:hAnsi="Calibri"/>
                <w:highlight w:val="yellow"/>
              </w:rPr>
            </w:pPr>
          </w:p>
        </w:tc>
        <w:tc>
          <w:tcPr>
            <w:tcW w:w="2126" w:type="dxa"/>
            <w:shd w:val="clear" w:color="auto" w:fill="auto"/>
          </w:tcPr>
          <w:p w14:paraId="325FA013" w14:textId="77777777" w:rsidR="00397E5F" w:rsidRPr="00653EF4" w:rsidRDefault="00397E5F" w:rsidP="0053652E">
            <w:pPr>
              <w:spacing w:after="120" w:line="240" w:lineRule="auto"/>
              <w:rPr>
                <w:rFonts w:ascii="Calibri" w:hAnsi="Calibri"/>
              </w:rPr>
            </w:pPr>
          </w:p>
        </w:tc>
        <w:tc>
          <w:tcPr>
            <w:tcW w:w="2693" w:type="dxa"/>
            <w:shd w:val="clear" w:color="auto" w:fill="auto"/>
          </w:tcPr>
          <w:p w14:paraId="198CB6B9" w14:textId="77777777" w:rsidR="00397E5F" w:rsidRPr="00653EF4" w:rsidRDefault="00397E5F" w:rsidP="0053652E">
            <w:pPr>
              <w:spacing w:after="120" w:line="240" w:lineRule="auto"/>
              <w:rPr>
                <w:rFonts w:ascii="Calibri" w:hAnsi="Calibri"/>
                <w:highlight w:val="yellow"/>
              </w:rPr>
            </w:pPr>
          </w:p>
        </w:tc>
        <w:tc>
          <w:tcPr>
            <w:tcW w:w="1418" w:type="dxa"/>
            <w:shd w:val="clear" w:color="auto" w:fill="auto"/>
          </w:tcPr>
          <w:p w14:paraId="464A8510" w14:textId="77777777" w:rsidR="00397E5F" w:rsidRPr="00653EF4" w:rsidRDefault="00397E5F" w:rsidP="0053652E">
            <w:pPr>
              <w:spacing w:after="120" w:line="240" w:lineRule="auto"/>
              <w:rPr>
                <w:rFonts w:ascii="Calibri" w:hAnsi="Calibri"/>
                <w:highlight w:val="yellow"/>
              </w:rPr>
            </w:pPr>
          </w:p>
        </w:tc>
      </w:tr>
      <w:tr w:rsidR="00397E5F" w:rsidRPr="007E17C2" w14:paraId="4C8F51A5" w14:textId="77777777" w:rsidTr="00280417">
        <w:tc>
          <w:tcPr>
            <w:tcW w:w="2977" w:type="dxa"/>
            <w:shd w:val="clear" w:color="auto" w:fill="FFFFFF"/>
          </w:tcPr>
          <w:p w14:paraId="23AE9D7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7CDC29CF" w14:textId="77777777" w:rsidR="00397E5F" w:rsidRPr="00653EF4" w:rsidRDefault="00397E5F" w:rsidP="0053652E">
            <w:pPr>
              <w:spacing w:after="120" w:line="240" w:lineRule="auto"/>
              <w:rPr>
                <w:rFonts w:ascii="Calibri" w:hAnsi="Calibri"/>
              </w:rPr>
            </w:pPr>
          </w:p>
        </w:tc>
        <w:tc>
          <w:tcPr>
            <w:tcW w:w="2552" w:type="dxa"/>
            <w:shd w:val="clear" w:color="auto" w:fill="auto"/>
          </w:tcPr>
          <w:p w14:paraId="253CD7E5" w14:textId="77777777" w:rsidR="00397E5F" w:rsidRPr="00653EF4" w:rsidRDefault="00397E5F" w:rsidP="0053652E">
            <w:pPr>
              <w:spacing w:after="120" w:line="240" w:lineRule="auto"/>
              <w:rPr>
                <w:rFonts w:ascii="Calibri" w:hAnsi="Calibri"/>
              </w:rPr>
            </w:pPr>
          </w:p>
        </w:tc>
        <w:tc>
          <w:tcPr>
            <w:tcW w:w="2126" w:type="dxa"/>
            <w:shd w:val="clear" w:color="auto" w:fill="auto"/>
          </w:tcPr>
          <w:p w14:paraId="2A334309" w14:textId="77777777" w:rsidR="00397E5F" w:rsidRPr="00653EF4" w:rsidRDefault="00397E5F" w:rsidP="0053652E">
            <w:pPr>
              <w:spacing w:after="120" w:line="240" w:lineRule="auto"/>
              <w:rPr>
                <w:rFonts w:ascii="Calibri" w:hAnsi="Calibri"/>
              </w:rPr>
            </w:pPr>
          </w:p>
        </w:tc>
        <w:tc>
          <w:tcPr>
            <w:tcW w:w="2693" w:type="dxa"/>
            <w:shd w:val="clear" w:color="auto" w:fill="auto"/>
          </w:tcPr>
          <w:p w14:paraId="0B9F77C1" w14:textId="77777777" w:rsidR="00397E5F" w:rsidRPr="00653EF4" w:rsidRDefault="00397E5F" w:rsidP="0053652E">
            <w:pPr>
              <w:spacing w:after="120" w:line="240" w:lineRule="auto"/>
              <w:rPr>
                <w:rFonts w:ascii="Calibri" w:hAnsi="Calibri"/>
              </w:rPr>
            </w:pPr>
          </w:p>
        </w:tc>
        <w:tc>
          <w:tcPr>
            <w:tcW w:w="1418" w:type="dxa"/>
            <w:shd w:val="clear" w:color="auto" w:fill="auto"/>
          </w:tcPr>
          <w:p w14:paraId="7FC1E586" w14:textId="77777777" w:rsidR="00397E5F" w:rsidRPr="00653EF4" w:rsidRDefault="00397E5F" w:rsidP="0053652E">
            <w:pPr>
              <w:spacing w:after="120" w:line="240" w:lineRule="auto"/>
              <w:rPr>
                <w:rFonts w:ascii="Calibri" w:hAnsi="Calibri"/>
              </w:rPr>
            </w:pPr>
          </w:p>
        </w:tc>
      </w:tr>
      <w:tr w:rsidR="00397E5F" w:rsidRPr="007E17C2" w14:paraId="03DEB3E0" w14:textId="77777777" w:rsidTr="00280417">
        <w:tc>
          <w:tcPr>
            <w:tcW w:w="2977" w:type="dxa"/>
            <w:shd w:val="clear" w:color="auto" w:fill="FFFFFF"/>
          </w:tcPr>
          <w:p w14:paraId="313C0C7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67B73627" w14:textId="77777777" w:rsidR="00397E5F" w:rsidRPr="00653EF4" w:rsidRDefault="00397E5F" w:rsidP="0053652E">
            <w:pPr>
              <w:spacing w:after="120" w:line="240" w:lineRule="auto"/>
              <w:rPr>
                <w:rFonts w:ascii="Calibri" w:hAnsi="Calibri"/>
              </w:rPr>
            </w:pPr>
          </w:p>
        </w:tc>
        <w:tc>
          <w:tcPr>
            <w:tcW w:w="2552" w:type="dxa"/>
            <w:shd w:val="clear" w:color="auto" w:fill="auto"/>
          </w:tcPr>
          <w:p w14:paraId="7AA558D8" w14:textId="77777777" w:rsidR="00397E5F" w:rsidRPr="00653EF4" w:rsidRDefault="00397E5F" w:rsidP="0053652E">
            <w:pPr>
              <w:spacing w:after="120" w:line="240" w:lineRule="auto"/>
              <w:rPr>
                <w:rFonts w:ascii="Calibri" w:hAnsi="Calibri"/>
              </w:rPr>
            </w:pPr>
          </w:p>
        </w:tc>
        <w:tc>
          <w:tcPr>
            <w:tcW w:w="2126" w:type="dxa"/>
            <w:shd w:val="clear" w:color="auto" w:fill="auto"/>
          </w:tcPr>
          <w:p w14:paraId="344E5F24" w14:textId="77777777" w:rsidR="00397E5F" w:rsidRPr="00653EF4" w:rsidRDefault="00397E5F" w:rsidP="0053652E">
            <w:pPr>
              <w:spacing w:after="120" w:line="240" w:lineRule="auto"/>
              <w:rPr>
                <w:rFonts w:ascii="Calibri" w:hAnsi="Calibri"/>
              </w:rPr>
            </w:pPr>
          </w:p>
        </w:tc>
        <w:tc>
          <w:tcPr>
            <w:tcW w:w="2693" w:type="dxa"/>
            <w:shd w:val="clear" w:color="auto" w:fill="auto"/>
          </w:tcPr>
          <w:p w14:paraId="3DA4A78B" w14:textId="77777777" w:rsidR="00397E5F" w:rsidRPr="00653EF4" w:rsidRDefault="00397E5F" w:rsidP="0053652E">
            <w:pPr>
              <w:spacing w:after="120" w:line="240" w:lineRule="auto"/>
              <w:rPr>
                <w:rFonts w:ascii="Calibri" w:hAnsi="Calibri"/>
              </w:rPr>
            </w:pPr>
          </w:p>
        </w:tc>
        <w:tc>
          <w:tcPr>
            <w:tcW w:w="1418" w:type="dxa"/>
            <w:shd w:val="clear" w:color="auto" w:fill="auto"/>
          </w:tcPr>
          <w:p w14:paraId="70BC5390" w14:textId="77777777" w:rsidR="00397E5F" w:rsidRPr="00653EF4" w:rsidRDefault="00397E5F" w:rsidP="0053652E">
            <w:pPr>
              <w:spacing w:after="120" w:line="240" w:lineRule="auto"/>
              <w:rPr>
                <w:rFonts w:ascii="Calibri" w:hAnsi="Calibri"/>
              </w:rPr>
            </w:pPr>
          </w:p>
        </w:tc>
      </w:tr>
      <w:tr w:rsidR="00397E5F" w:rsidRPr="007E17C2" w14:paraId="5B96EA89" w14:textId="77777777" w:rsidTr="00280417">
        <w:tc>
          <w:tcPr>
            <w:tcW w:w="14176" w:type="dxa"/>
            <w:gridSpan w:val="6"/>
            <w:shd w:val="clear" w:color="auto" w:fill="DAEEF3"/>
          </w:tcPr>
          <w:p w14:paraId="11A755E5"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6.4 – Participate in international surveillance initiatives</w:t>
            </w:r>
          </w:p>
        </w:tc>
      </w:tr>
      <w:tr w:rsidR="00397E5F" w:rsidRPr="007E17C2" w14:paraId="35ABB170" w14:textId="77777777" w:rsidTr="00280417">
        <w:tc>
          <w:tcPr>
            <w:tcW w:w="2977" w:type="dxa"/>
            <w:shd w:val="clear" w:color="auto" w:fill="FFFFFF"/>
          </w:tcPr>
          <w:p w14:paraId="47B07A63" w14:textId="77777777" w:rsidR="00397E5F" w:rsidRPr="00653EF4" w:rsidRDefault="00397E5F" w:rsidP="0053652E">
            <w:pPr>
              <w:spacing w:after="120" w:line="240" w:lineRule="auto"/>
              <w:rPr>
                <w:rFonts w:ascii="Calibri" w:hAnsi="Calibri"/>
              </w:rPr>
            </w:pPr>
          </w:p>
        </w:tc>
        <w:tc>
          <w:tcPr>
            <w:tcW w:w="2410" w:type="dxa"/>
            <w:shd w:val="clear" w:color="auto" w:fill="auto"/>
          </w:tcPr>
          <w:p w14:paraId="58540207" w14:textId="77777777" w:rsidR="00397E5F" w:rsidRPr="00653EF4" w:rsidRDefault="00397E5F" w:rsidP="0053652E">
            <w:pPr>
              <w:spacing w:after="120" w:line="240" w:lineRule="auto"/>
              <w:rPr>
                <w:rFonts w:ascii="Calibri" w:hAnsi="Calibri"/>
              </w:rPr>
            </w:pPr>
          </w:p>
        </w:tc>
        <w:tc>
          <w:tcPr>
            <w:tcW w:w="2552" w:type="dxa"/>
            <w:shd w:val="clear" w:color="auto" w:fill="auto"/>
          </w:tcPr>
          <w:p w14:paraId="29DEAD1F" w14:textId="77777777" w:rsidR="00397E5F" w:rsidRPr="00653EF4" w:rsidRDefault="00397E5F" w:rsidP="0053652E">
            <w:pPr>
              <w:spacing w:after="120" w:line="240" w:lineRule="auto"/>
              <w:rPr>
                <w:rFonts w:ascii="Calibri" w:hAnsi="Calibri"/>
              </w:rPr>
            </w:pPr>
          </w:p>
        </w:tc>
        <w:tc>
          <w:tcPr>
            <w:tcW w:w="2126" w:type="dxa"/>
            <w:shd w:val="clear" w:color="auto" w:fill="auto"/>
          </w:tcPr>
          <w:p w14:paraId="5EA44B49" w14:textId="77777777" w:rsidR="00397E5F" w:rsidRPr="00653EF4" w:rsidRDefault="00397E5F" w:rsidP="0053652E">
            <w:pPr>
              <w:spacing w:after="120" w:line="240" w:lineRule="auto"/>
              <w:rPr>
                <w:rFonts w:ascii="Calibri" w:hAnsi="Calibri"/>
              </w:rPr>
            </w:pPr>
          </w:p>
        </w:tc>
        <w:tc>
          <w:tcPr>
            <w:tcW w:w="2693" w:type="dxa"/>
            <w:shd w:val="clear" w:color="auto" w:fill="auto"/>
          </w:tcPr>
          <w:p w14:paraId="5FE9253B" w14:textId="77777777" w:rsidR="00397E5F" w:rsidRPr="00653EF4" w:rsidRDefault="00397E5F" w:rsidP="0053652E">
            <w:pPr>
              <w:spacing w:after="120" w:line="240" w:lineRule="auto"/>
              <w:rPr>
                <w:rFonts w:ascii="Calibri" w:hAnsi="Calibri"/>
              </w:rPr>
            </w:pPr>
          </w:p>
        </w:tc>
        <w:tc>
          <w:tcPr>
            <w:tcW w:w="1418" w:type="dxa"/>
            <w:shd w:val="clear" w:color="auto" w:fill="auto"/>
          </w:tcPr>
          <w:p w14:paraId="0E462FFD" w14:textId="77777777" w:rsidR="00397E5F" w:rsidRPr="00653EF4" w:rsidRDefault="00397E5F" w:rsidP="0053652E">
            <w:pPr>
              <w:spacing w:after="120" w:line="240" w:lineRule="auto"/>
              <w:rPr>
                <w:rFonts w:ascii="Calibri" w:hAnsi="Calibri"/>
              </w:rPr>
            </w:pPr>
          </w:p>
        </w:tc>
      </w:tr>
      <w:tr w:rsidR="00397E5F" w:rsidRPr="007E17C2" w14:paraId="63CFA773" w14:textId="77777777" w:rsidTr="00280417">
        <w:tc>
          <w:tcPr>
            <w:tcW w:w="2977" w:type="dxa"/>
            <w:shd w:val="clear" w:color="auto" w:fill="FFFFFF"/>
          </w:tcPr>
          <w:p w14:paraId="16C2D5D4"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4B91EC13" w14:textId="77777777" w:rsidR="00397E5F" w:rsidRPr="00653EF4" w:rsidRDefault="00397E5F" w:rsidP="0053652E">
            <w:pPr>
              <w:spacing w:after="120" w:line="240" w:lineRule="auto"/>
              <w:rPr>
                <w:rFonts w:ascii="Calibri" w:hAnsi="Calibri"/>
              </w:rPr>
            </w:pPr>
          </w:p>
        </w:tc>
        <w:tc>
          <w:tcPr>
            <w:tcW w:w="2552" w:type="dxa"/>
            <w:shd w:val="clear" w:color="auto" w:fill="auto"/>
          </w:tcPr>
          <w:p w14:paraId="381A6860" w14:textId="77777777" w:rsidR="00397E5F" w:rsidRPr="00653EF4" w:rsidRDefault="00397E5F" w:rsidP="0053652E">
            <w:pPr>
              <w:spacing w:after="120" w:line="240" w:lineRule="auto"/>
              <w:rPr>
                <w:rFonts w:ascii="Calibri" w:hAnsi="Calibri"/>
              </w:rPr>
            </w:pPr>
          </w:p>
        </w:tc>
        <w:tc>
          <w:tcPr>
            <w:tcW w:w="2126" w:type="dxa"/>
            <w:shd w:val="clear" w:color="auto" w:fill="auto"/>
          </w:tcPr>
          <w:p w14:paraId="6822EBB0" w14:textId="77777777" w:rsidR="00397E5F" w:rsidRPr="00653EF4" w:rsidRDefault="00397E5F" w:rsidP="0053652E">
            <w:pPr>
              <w:spacing w:after="120" w:line="240" w:lineRule="auto"/>
              <w:rPr>
                <w:rFonts w:ascii="Calibri" w:hAnsi="Calibri"/>
              </w:rPr>
            </w:pPr>
          </w:p>
        </w:tc>
        <w:tc>
          <w:tcPr>
            <w:tcW w:w="2693" w:type="dxa"/>
            <w:shd w:val="clear" w:color="auto" w:fill="auto"/>
          </w:tcPr>
          <w:p w14:paraId="1EB89D59" w14:textId="77777777" w:rsidR="00397E5F" w:rsidRPr="00653EF4" w:rsidRDefault="00397E5F" w:rsidP="0053652E">
            <w:pPr>
              <w:spacing w:after="120" w:line="240" w:lineRule="auto"/>
              <w:rPr>
                <w:rFonts w:ascii="Calibri" w:hAnsi="Calibri"/>
              </w:rPr>
            </w:pPr>
          </w:p>
        </w:tc>
        <w:tc>
          <w:tcPr>
            <w:tcW w:w="1418" w:type="dxa"/>
            <w:shd w:val="clear" w:color="auto" w:fill="auto"/>
          </w:tcPr>
          <w:p w14:paraId="2B793414" w14:textId="77777777" w:rsidR="00397E5F" w:rsidRPr="00653EF4" w:rsidRDefault="00397E5F" w:rsidP="0053652E">
            <w:pPr>
              <w:spacing w:after="120" w:line="240" w:lineRule="auto"/>
              <w:rPr>
                <w:rFonts w:ascii="Calibri" w:hAnsi="Calibri"/>
              </w:rPr>
            </w:pPr>
          </w:p>
        </w:tc>
      </w:tr>
      <w:tr w:rsidR="00397E5F" w:rsidRPr="007E17C2" w14:paraId="25B38293" w14:textId="77777777" w:rsidTr="00280417">
        <w:tc>
          <w:tcPr>
            <w:tcW w:w="2977" w:type="dxa"/>
            <w:shd w:val="clear" w:color="auto" w:fill="FFFFFF"/>
          </w:tcPr>
          <w:p w14:paraId="3057CBDB"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3346BAC" w14:textId="77777777" w:rsidR="00397E5F" w:rsidRPr="00653EF4" w:rsidRDefault="00397E5F" w:rsidP="0053652E">
            <w:pPr>
              <w:spacing w:after="120" w:line="240" w:lineRule="auto"/>
              <w:rPr>
                <w:rFonts w:ascii="Calibri" w:hAnsi="Calibri"/>
              </w:rPr>
            </w:pPr>
          </w:p>
        </w:tc>
        <w:tc>
          <w:tcPr>
            <w:tcW w:w="2552" w:type="dxa"/>
            <w:shd w:val="clear" w:color="auto" w:fill="auto"/>
          </w:tcPr>
          <w:p w14:paraId="7D137A86" w14:textId="77777777" w:rsidR="00397E5F" w:rsidRPr="00653EF4" w:rsidRDefault="00397E5F" w:rsidP="0053652E">
            <w:pPr>
              <w:spacing w:after="120" w:line="240" w:lineRule="auto"/>
              <w:rPr>
                <w:rFonts w:ascii="Calibri" w:hAnsi="Calibri"/>
              </w:rPr>
            </w:pPr>
          </w:p>
        </w:tc>
        <w:tc>
          <w:tcPr>
            <w:tcW w:w="2126" w:type="dxa"/>
            <w:shd w:val="clear" w:color="auto" w:fill="auto"/>
          </w:tcPr>
          <w:p w14:paraId="6F506D19" w14:textId="77777777" w:rsidR="00397E5F" w:rsidRPr="00653EF4" w:rsidRDefault="00397E5F" w:rsidP="0053652E">
            <w:pPr>
              <w:spacing w:after="120" w:line="240" w:lineRule="auto"/>
              <w:rPr>
                <w:rFonts w:ascii="Calibri" w:hAnsi="Calibri"/>
              </w:rPr>
            </w:pPr>
          </w:p>
        </w:tc>
        <w:tc>
          <w:tcPr>
            <w:tcW w:w="2693" w:type="dxa"/>
            <w:shd w:val="clear" w:color="auto" w:fill="auto"/>
          </w:tcPr>
          <w:p w14:paraId="7B765330" w14:textId="77777777" w:rsidR="00397E5F" w:rsidRPr="00653EF4" w:rsidRDefault="00397E5F" w:rsidP="0053652E">
            <w:pPr>
              <w:spacing w:after="120" w:line="240" w:lineRule="auto"/>
              <w:rPr>
                <w:rFonts w:ascii="Calibri" w:hAnsi="Calibri"/>
              </w:rPr>
            </w:pPr>
          </w:p>
        </w:tc>
        <w:tc>
          <w:tcPr>
            <w:tcW w:w="1418" w:type="dxa"/>
            <w:shd w:val="clear" w:color="auto" w:fill="auto"/>
          </w:tcPr>
          <w:p w14:paraId="05624310" w14:textId="77777777" w:rsidR="00397E5F" w:rsidRPr="00653EF4" w:rsidRDefault="00397E5F" w:rsidP="0053652E">
            <w:pPr>
              <w:spacing w:after="120" w:line="240" w:lineRule="auto"/>
              <w:rPr>
                <w:rFonts w:ascii="Calibri" w:hAnsi="Calibri"/>
              </w:rPr>
            </w:pPr>
          </w:p>
        </w:tc>
      </w:tr>
      <w:tr w:rsidR="00397E5F" w:rsidRPr="007E17C2" w14:paraId="3DF1464C" w14:textId="77777777" w:rsidTr="00280417">
        <w:tc>
          <w:tcPr>
            <w:tcW w:w="14176" w:type="dxa"/>
            <w:gridSpan w:val="6"/>
            <w:shd w:val="clear" w:color="auto" w:fill="DAEEF3"/>
          </w:tcPr>
          <w:p w14:paraId="72A4F8FF" w14:textId="77777777" w:rsidR="00397E5F" w:rsidRPr="00653EF4" w:rsidRDefault="00397E5F" w:rsidP="0053652E">
            <w:pPr>
              <w:spacing w:after="120" w:line="240" w:lineRule="auto"/>
              <w:rPr>
                <w:rFonts w:ascii="Calibri" w:hAnsi="Calibri"/>
                <w:b/>
                <w:i/>
                <w:color w:val="215868"/>
              </w:rPr>
            </w:pPr>
            <w:r w:rsidRPr="00653EF4">
              <w:rPr>
                <w:rFonts w:ascii="Calibri" w:hAnsi="Calibri"/>
                <w:b/>
                <w:i/>
                <w:color w:val="215868"/>
              </w:rPr>
              <w:t xml:space="preserve">Priority Action Area 6.5 – Establish closer ties with international collaborations to link Australia’s national research agenda with what is happening internationally </w:t>
            </w:r>
          </w:p>
        </w:tc>
      </w:tr>
      <w:tr w:rsidR="00397E5F" w:rsidRPr="007E17C2" w14:paraId="4EA9BCF6" w14:textId="77777777" w:rsidTr="00280417">
        <w:tc>
          <w:tcPr>
            <w:tcW w:w="2977" w:type="dxa"/>
            <w:shd w:val="clear" w:color="auto" w:fill="FFFFFF"/>
          </w:tcPr>
          <w:p w14:paraId="6C22AE9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990E705" w14:textId="77777777" w:rsidR="00397E5F" w:rsidRPr="00653EF4" w:rsidRDefault="00397E5F" w:rsidP="0053652E">
            <w:pPr>
              <w:spacing w:after="120" w:line="240" w:lineRule="auto"/>
              <w:rPr>
                <w:rFonts w:ascii="Calibri" w:hAnsi="Calibri"/>
              </w:rPr>
            </w:pPr>
          </w:p>
        </w:tc>
        <w:tc>
          <w:tcPr>
            <w:tcW w:w="2552" w:type="dxa"/>
            <w:shd w:val="clear" w:color="auto" w:fill="auto"/>
          </w:tcPr>
          <w:p w14:paraId="16FB7094" w14:textId="77777777" w:rsidR="00397E5F" w:rsidRPr="00653EF4" w:rsidRDefault="00397E5F" w:rsidP="0053652E">
            <w:pPr>
              <w:spacing w:after="120" w:line="240" w:lineRule="auto"/>
              <w:rPr>
                <w:rFonts w:ascii="Calibri" w:hAnsi="Calibri"/>
              </w:rPr>
            </w:pPr>
          </w:p>
        </w:tc>
        <w:tc>
          <w:tcPr>
            <w:tcW w:w="2126" w:type="dxa"/>
            <w:shd w:val="clear" w:color="auto" w:fill="auto"/>
          </w:tcPr>
          <w:p w14:paraId="471A955D" w14:textId="77777777" w:rsidR="00397E5F" w:rsidRPr="00653EF4" w:rsidRDefault="00397E5F" w:rsidP="0053652E">
            <w:pPr>
              <w:spacing w:after="120" w:line="240" w:lineRule="auto"/>
              <w:rPr>
                <w:rFonts w:ascii="Calibri" w:hAnsi="Calibri"/>
              </w:rPr>
            </w:pPr>
          </w:p>
        </w:tc>
        <w:tc>
          <w:tcPr>
            <w:tcW w:w="2693" w:type="dxa"/>
            <w:shd w:val="clear" w:color="auto" w:fill="auto"/>
          </w:tcPr>
          <w:p w14:paraId="61E0E215" w14:textId="77777777" w:rsidR="00397E5F" w:rsidRPr="00653EF4" w:rsidRDefault="00397E5F" w:rsidP="0053652E">
            <w:pPr>
              <w:spacing w:after="120" w:line="240" w:lineRule="auto"/>
              <w:rPr>
                <w:rFonts w:ascii="Calibri" w:hAnsi="Calibri"/>
              </w:rPr>
            </w:pPr>
          </w:p>
        </w:tc>
        <w:tc>
          <w:tcPr>
            <w:tcW w:w="1418" w:type="dxa"/>
            <w:shd w:val="clear" w:color="auto" w:fill="auto"/>
          </w:tcPr>
          <w:p w14:paraId="0B4E1C8B" w14:textId="77777777" w:rsidR="00397E5F" w:rsidRPr="00653EF4" w:rsidRDefault="00397E5F" w:rsidP="0053652E">
            <w:pPr>
              <w:spacing w:after="120" w:line="240" w:lineRule="auto"/>
              <w:rPr>
                <w:rFonts w:ascii="Calibri" w:hAnsi="Calibri"/>
              </w:rPr>
            </w:pPr>
          </w:p>
        </w:tc>
      </w:tr>
      <w:tr w:rsidR="00397E5F" w:rsidRPr="007E17C2" w14:paraId="3CB14EE7" w14:textId="77777777" w:rsidTr="00280417">
        <w:tc>
          <w:tcPr>
            <w:tcW w:w="2977" w:type="dxa"/>
            <w:shd w:val="clear" w:color="auto" w:fill="FFFFFF"/>
          </w:tcPr>
          <w:p w14:paraId="60C3199C" w14:textId="77777777" w:rsidR="00397E5F" w:rsidRPr="00653EF4" w:rsidRDefault="00397E5F" w:rsidP="0053652E">
            <w:pPr>
              <w:spacing w:after="120" w:line="240" w:lineRule="auto"/>
              <w:rPr>
                <w:rFonts w:ascii="Calibri" w:hAnsi="Calibri"/>
              </w:rPr>
            </w:pPr>
          </w:p>
        </w:tc>
        <w:tc>
          <w:tcPr>
            <w:tcW w:w="2410" w:type="dxa"/>
            <w:shd w:val="clear" w:color="auto" w:fill="auto"/>
          </w:tcPr>
          <w:p w14:paraId="37BA5342" w14:textId="77777777" w:rsidR="00397E5F" w:rsidRPr="00653EF4" w:rsidRDefault="00397E5F" w:rsidP="0053652E">
            <w:pPr>
              <w:spacing w:after="120" w:line="240" w:lineRule="auto"/>
              <w:rPr>
                <w:rFonts w:ascii="Calibri" w:hAnsi="Calibri"/>
              </w:rPr>
            </w:pPr>
          </w:p>
        </w:tc>
        <w:tc>
          <w:tcPr>
            <w:tcW w:w="2552" w:type="dxa"/>
            <w:shd w:val="clear" w:color="auto" w:fill="auto"/>
          </w:tcPr>
          <w:p w14:paraId="0218DFCD" w14:textId="77777777" w:rsidR="00397E5F" w:rsidRPr="00653EF4" w:rsidRDefault="00397E5F" w:rsidP="0053652E">
            <w:pPr>
              <w:spacing w:after="120" w:line="240" w:lineRule="auto"/>
              <w:rPr>
                <w:rFonts w:ascii="Calibri" w:hAnsi="Calibri"/>
              </w:rPr>
            </w:pPr>
          </w:p>
        </w:tc>
        <w:tc>
          <w:tcPr>
            <w:tcW w:w="2126" w:type="dxa"/>
            <w:shd w:val="clear" w:color="auto" w:fill="auto"/>
          </w:tcPr>
          <w:p w14:paraId="0F4E6044" w14:textId="77777777" w:rsidR="00397E5F" w:rsidRPr="00653EF4" w:rsidRDefault="00397E5F" w:rsidP="0053652E">
            <w:pPr>
              <w:spacing w:after="120" w:line="240" w:lineRule="auto"/>
              <w:rPr>
                <w:rFonts w:ascii="Calibri" w:hAnsi="Calibri"/>
              </w:rPr>
            </w:pPr>
          </w:p>
        </w:tc>
        <w:tc>
          <w:tcPr>
            <w:tcW w:w="2693" w:type="dxa"/>
            <w:shd w:val="clear" w:color="auto" w:fill="auto"/>
          </w:tcPr>
          <w:p w14:paraId="4CCFCB4D" w14:textId="77777777" w:rsidR="00397E5F" w:rsidRPr="00653EF4" w:rsidRDefault="00397E5F" w:rsidP="0053652E">
            <w:pPr>
              <w:spacing w:after="120" w:line="240" w:lineRule="auto"/>
              <w:rPr>
                <w:rFonts w:ascii="Calibri" w:hAnsi="Calibri"/>
              </w:rPr>
            </w:pPr>
          </w:p>
        </w:tc>
        <w:tc>
          <w:tcPr>
            <w:tcW w:w="1418" w:type="dxa"/>
            <w:shd w:val="clear" w:color="auto" w:fill="auto"/>
          </w:tcPr>
          <w:p w14:paraId="5AB71519" w14:textId="77777777" w:rsidR="00397E5F" w:rsidRPr="00653EF4" w:rsidRDefault="00397E5F" w:rsidP="0053652E">
            <w:pPr>
              <w:spacing w:after="120" w:line="240" w:lineRule="auto"/>
              <w:rPr>
                <w:rFonts w:ascii="Calibri" w:hAnsi="Calibri"/>
              </w:rPr>
            </w:pPr>
          </w:p>
        </w:tc>
      </w:tr>
      <w:tr w:rsidR="00397E5F" w:rsidRPr="007E17C2" w14:paraId="671FBB9A" w14:textId="77777777" w:rsidTr="00280417">
        <w:tc>
          <w:tcPr>
            <w:tcW w:w="2977" w:type="dxa"/>
            <w:shd w:val="clear" w:color="auto" w:fill="FFFFFF"/>
          </w:tcPr>
          <w:p w14:paraId="792CC031"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44D6148E" w14:textId="77777777" w:rsidR="00397E5F" w:rsidRPr="00653EF4" w:rsidRDefault="00397E5F" w:rsidP="0053652E">
            <w:pPr>
              <w:spacing w:after="120" w:line="240" w:lineRule="auto"/>
              <w:rPr>
                <w:rFonts w:ascii="Calibri" w:hAnsi="Calibri"/>
              </w:rPr>
            </w:pPr>
          </w:p>
        </w:tc>
        <w:tc>
          <w:tcPr>
            <w:tcW w:w="2552" w:type="dxa"/>
            <w:shd w:val="clear" w:color="auto" w:fill="auto"/>
          </w:tcPr>
          <w:p w14:paraId="63DF760F" w14:textId="77777777" w:rsidR="00397E5F" w:rsidRPr="00653EF4" w:rsidRDefault="00397E5F" w:rsidP="0053652E">
            <w:pPr>
              <w:spacing w:after="120" w:line="240" w:lineRule="auto"/>
              <w:rPr>
                <w:rFonts w:ascii="Calibri" w:hAnsi="Calibri"/>
              </w:rPr>
            </w:pPr>
          </w:p>
        </w:tc>
        <w:tc>
          <w:tcPr>
            <w:tcW w:w="2126" w:type="dxa"/>
            <w:shd w:val="clear" w:color="auto" w:fill="auto"/>
          </w:tcPr>
          <w:p w14:paraId="0EC0FB90" w14:textId="77777777" w:rsidR="00397E5F" w:rsidRPr="00653EF4" w:rsidRDefault="00397E5F" w:rsidP="0053652E">
            <w:pPr>
              <w:spacing w:after="120" w:line="240" w:lineRule="auto"/>
              <w:rPr>
                <w:rFonts w:ascii="Calibri" w:hAnsi="Calibri"/>
              </w:rPr>
            </w:pPr>
          </w:p>
        </w:tc>
        <w:tc>
          <w:tcPr>
            <w:tcW w:w="2693" w:type="dxa"/>
            <w:shd w:val="clear" w:color="auto" w:fill="auto"/>
          </w:tcPr>
          <w:p w14:paraId="1C7F7C30" w14:textId="77777777" w:rsidR="00397E5F" w:rsidRPr="00653EF4" w:rsidRDefault="00397E5F" w:rsidP="0053652E">
            <w:pPr>
              <w:spacing w:after="120" w:line="240" w:lineRule="auto"/>
              <w:rPr>
                <w:rFonts w:ascii="Calibri" w:hAnsi="Calibri"/>
              </w:rPr>
            </w:pPr>
          </w:p>
        </w:tc>
        <w:tc>
          <w:tcPr>
            <w:tcW w:w="1418" w:type="dxa"/>
            <w:shd w:val="clear" w:color="auto" w:fill="auto"/>
          </w:tcPr>
          <w:p w14:paraId="61CBEBBE" w14:textId="77777777" w:rsidR="00397E5F" w:rsidRPr="00653EF4" w:rsidRDefault="00397E5F" w:rsidP="0053652E">
            <w:pPr>
              <w:spacing w:after="120" w:line="240" w:lineRule="auto"/>
              <w:rPr>
                <w:rFonts w:ascii="Calibri" w:hAnsi="Calibri"/>
              </w:rPr>
            </w:pPr>
          </w:p>
        </w:tc>
      </w:tr>
    </w:tbl>
    <w:p w14:paraId="476CEC25" w14:textId="71813705" w:rsidR="00292FBF" w:rsidRDefault="00292FBF" w:rsidP="0053652E">
      <w:pPr>
        <w:spacing w:after="120" w:line="240" w:lineRule="auto"/>
        <w:rPr>
          <w:rFonts w:ascii="Calibri" w:hAnsi="Calibri"/>
          <w:smallCaps/>
          <w:noProof/>
          <w:sz w:val="32"/>
          <w:szCs w:val="32"/>
        </w:rPr>
      </w:pPr>
    </w:p>
    <w:p w14:paraId="0528B39B" w14:textId="77777777" w:rsidR="00292FBF" w:rsidRDefault="00292FBF">
      <w:pPr>
        <w:rPr>
          <w:rFonts w:ascii="Calibri" w:hAnsi="Calibri"/>
          <w:smallCaps/>
          <w:noProof/>
          <w:sz w:val="32"/>
          <w:szCs w:val="32"/>
        </w:rPr>
      </w:pPr>
      <w:r>
        <w:rPr>
          <w:rFonts w:ascii="Calibri" w:hAnsi="Calibri"/>
          <w:smallCaps/>
          <w:noProof/>
          <w:sz w:val="32"/>
          <w:szCs w:val="32"/>
        </w:rPr>
        <w:br w:type="page"/>
      </w:r>
    </w:p>
    <w:p w14:paraId="34C12A51" w14:textId="77777777" w:rsidR="00397E5F" w:rsidRDefault="00397E5F" w:rsidP="0053652E">
      <w:pPr>
        <w:spacing w:after="120" w:line="240" w:lineRule="auto"/>
        <w:rPr>
          <w:rFonts w:ascii="Calibri" w:hAnsi="Calibri"/>
          <w:smallCaps/>
          <w:noProof/>
          <w:sz w:val="32"/>
          <w:szCs w:val="3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heading in this table is Objective 7: Establish and support clear governance arrangements at the local, jurisdictional, national and international levels to ensure leadership, engagement and accountability for actions to combat antimicrobial resistance.&#10;Under the main heading there are six columns with the following headings:&#10;Activity&#10;Responsibility – Lead&#10;Key Partners (include role)&#10;Milestones&#10;Expected Outcome/s&#10;Links with other Strategy Objectives&#10;There are subheadings of four priority action areas.&#10;Priority Action Area 7.1 – Identify, establish and maintain linkages between implementation partners across all sectors.&#10;Priority Action Area 7.2 – Work with stakeholders to develop an Implementation Plan for the Strategy.&#10;Priority Action Area 7.3 – Establish baseline measures to inform monitoring and evaluation of the Strategy.&#10;Priority Action Area 7.4 – Review regulation (legislated and other) relevant to antimicrobial resistance and antibiotic usage."/>
      </w:tblPr>
      <w:tblGrid>
        <w:gridCol w:w="2977"/>
        <w:gridCol w:w="2410"/>
        <w:gridCol w:w="2552"/>
        <w:gridCol w:w="2126"/>
        <w:gridCol w:w="2693"/>
        <w:gridCol w:w="1418"/>
      </w:tblGrid>
      <w:tr w:rsidR="00397E5F" w:rsidRPr="00644385" w14:paraId="3EA81747" w14:textId="77777777" w:rsidTr="00280417">
        <w:trPr>
          <w:tblHeader/>
        </w:trPr>
        <w:tc>
          <w:tcPr>
            <w:tcW w:w="14176" w:type="dxa"/>
            <w:gridSpan w:val="6"/>
            <w:tcBorders>
              <w:bottom w:val="single" w:sz="8" w:space="0" w:color="auto"/>
            </w:tcBorders>
            <w:shd w:val="clear" w:color="auto" w:fill="31849B"/>
          </w:tcPr>
          <w:p w14:paraId="38AC222E" w14:textId="77777777" w:rsidR="00397E5F" w:rsidRPr="008F24BA" w:rsidRDefault="00397E5F" w:rsidP="0053652E">
            <w:pPr>
              <w:spacing w:after="120" w:line="240" w:lineRule="auto"/>
              <w:rPr>
                <w:rFonts w:ascii="Calibri" w:hAnsi="Calibri"/>
                <w:color w:val="FFFFFF"/>
                <w:sz w:val="28"/>
                <w:szCs w:val="28"/>
              </w:rPr>
            </w:pPr>
            <w:r w:rsidRPr="006F6989">
              <w:rPr>
                <w:rFonts w:ascii="Calibri" w:hAnsi="Calibri"/>
                <w:b/>
                <w:color w:val="FFFFFF"/>
                <w:sz w:val="28"/>
                <w:szCs w:val="28"/>
              </w:rPr>
              <w:t xml:space="preserve">Objective </w:t>
            </w:r>
            <w:r>
              <w:rPr>
                <w:rFonts w:ascii="Calibri" w:hAnsi="Calibri"/>
                <w:b/>
                <w:color w:val="FFFFFF"/>
                <w:sz w:val="28"/>
                <w:szCs w:val="28"/>
              </w:rPr>
              <w:t>7</w:t>
            </w:r>
            <w:r w:rsidRPr="006F6989">
              <w:rPr>
                <w:rFonts w:ascii="Calibri" w:hAnsi="Calibri"/>
                <w:b/>
                <w:color w:val="FFFFFF"/>
                <w:sz w:val="28"/>
                <w:szCs w:val="28"/>
              </w:rPr>
              <w:t xml:space="preserve">: </w:t>
            </w:r>
            <w:r w:rsidRPr="006F6989">
              <w:rPr>
                <w:rFonts w:ascii="Calibri" w:hAnsi="Calibri"/>
                <w:color w:val="FFFFFF"/>
                <w:sz w:val="28"/>
                <w:szCs w:val="28"/>
              </w:rPr>
              <w:t>Establish and support clear governance arrangements at the local, jurisdictional, national and international levels to ensure leadership, engagement and accountability for actions to combat antimicrobial resistance</w:t>
            </w:r>
          </w:p>
        </w:tc>
      </w:tr>
      <w:tr w:rsidR="00397E5F" w:rsidRPr="00644385" w14:paraId="403554A4" w14:textId="77777777" w:rsidTr="00280417">
        <w:trPr>
          <w:tblHeader/>
        </w:trPr>
        <w:tc>
          <w:tcPr>
            <w:tcW w:w="2977" w:type="dxa"/>
            <w:tcBorders>
              <w:bottom w:val="single" w:sz="8" w:space="0" w:color="auto"/>
            </w:tcBorders>
            <w:shd w:val="clear" w:color="auto" w:fill="92CDDC"/>
          </w:tcPr>
          <w:p w14:paraId="5191CD18" w14:textId="77777777" w:rsidR="00397E5F" w:rsidRPr="00CC6927" w:rsidRDefault="00397E5F" w:rsidP="0053652E">
            <w:pPr>
              <w:spacing w:after="120" w:line="240" w:lineRule="auto"/>
              <w:rPr>
                <w:rFonts w:ascii="Calibri" w:hAnsi="Calibri"/>
                <w:b/>
                <w:color w:val="215868"/>
                <w:vertAlign w:val="superscript"/>
              </w:rPr>
            </w:pPr>
            <w:r>
              <w:rPr>
                <w:rFonts w:ascii="Calibri" w:hAnsi="Calibri"/>
                <w:b/>
                <w:color w:val="215868"/>
              </w:rPr>
              <w:t>Activity</w:t>
            </w:r>
          </w:p>
        </w:tc>
        <w:tc>
          <w:tcPr>
            <w:tcW w:w="2410" w:type="dxa"/>
            <w:tcBorders>
              <w:bottom w:val="single" w:sz="8" w:space="0" w:color="auto"/>
            </w:tcBorders>
            <w:shd w:val="clear" w:color="auto" w:fill="92CDDC"/>
          </w:tcPr>
          <w:p w14:paraId="6175E470" w14:textId="77777777" w:rsidR="00397E5F" w:rsidRPr="00CC6927" w:rsidRDefault="00397E5F" w:rsidP="0053652E">
            <w:pPr>
              <w:spacing w:after="120" w:line="240" w:lineRule="auto"/>
              <w:rPr>
                <w:rFonts w:ascii="Calibri" w:hAnsi="Calibri"/>
                <w:b/>
                <w:color w:val="215868"/>
              </w:rPr>
            </w:pPr>
            <w:r>
              <w:rPr>
                <w:rFonts w:ascii="Calibri" w:hAnsi="Calibri"/>
                <w:b/>
                <w:color w:val="215868"/>
              </w:rPr>
              <w:t>Responsibility – Lead</w:t>
            </w:r>
          </w:p>
        </w:tc>
        <w:tc>
          <w:tcPr>
            <w:tcW w:w="2552" w:type="dxa"/>
            <w:tcBorders>
              <w:bottom w:val="single" w:sz="8" w:space="0" w:color="auto"/>
            </w:tcBorders>
            <w:shd w:val="clear" w:color="auto" w:fill="92CDDC"/>
          </w:tcPr>
          <w:p w14:paraId="02C98AE9" w14:textId="77777777" w:rsidR="00397E5F" w:rsidRPr="00CC6927" w:rsidRDefault="00397E5F" w:rsidP="0053652E">
            <w:pPr>
              <w:spacing w:after="120" w:line="240" w:lineRule="auto"/>
              <w:rPr>
                <w:rFonts w:ascii="Calibri" w:hAnsi="Calibri"/>
                <w:b/>
                <w:color w:val="215868"/>
              </w:rPr>
            </w:pPr>
            <w:r>
              <w:rPr>
                <w:rFonts w:ascii="Calibri" w:hAnsi="Calibri"/>
                <w:b/>
                <w:color w:val="215868"/>
              </w:rPr>
              <w:t>K</w:t>
            </w:r>
            <w:r w:rsidRPr="00CC6927">
              <w:rPr>
                <w:rFonts w:ascii="Calibri" w:hAnsi="Calibri"/>
                <w:b/>
                <w:color w:val="215868"/>
              </w:rPr>
              <w:t>ey partners (include role</w:t>
            </w:r>
            <w:r>
              <w:rPr>
                <w:rFonts w:ascii="Calibri" w:hAnsi="Calibri"/>
                <w:b/>
                <w:color w:val="215868"/>
              </w:rPr>
              <w:t>)</w:t>
            </w:r>
          </w:p>
        </w:tc>
        <w:tc>
          <w:tcPr>
            <w:tcW w:w="2126" w:type="dxa"/>
            <w:tcBorders>
              <w:bottom w:val="single" w:sz="8" w:space="0" w:color="auto"/>
            </w:tcBorders>
            <w:shd w:val="clear" w:color="auto" w:fill="92CDDC"/>
          </w:tcPr>
          <w:p w14:paraId="08E2C78B" w14:textId="77777777" w:rsidR="00397E5F" w:rsidRPr="00CC6927" w:rsidRDefault="00397E5F" w:rsidP="0053652E">
            <w:pPr>
              <w:spacing w:after="120" w:line="240" w:lineRule="auto"/>
              <w:rPr>
                <w:rFonts w:ascii="Calibri" w:hAnsi="Calibri"/>
                <w:b/>
                <w:color w:val="215868"/>
              </w:rPr>
            </w:pPr>
            <w:r>
              <w:rPr>
                <w:rFonts w:ascii="Calibri" w:hAnsi="Calibri"/>
                <w:b/>
                <w:color w:val="215868"/>
              </w:rPr>
              <w:t>Milestones</w:t>
            </w:r>
          </w:p>
        </w:tc>
        <w:tc>
          <w:tcPr>
            <w:tcW w:w="2693" w:type="dxa"/>
            <w:tcBorders>
              <w:bottom w:val="single" w:sz="8" w:space="0" w:color="auto"/>
            </w:tcBorders>
            <w:shd w:val="clear" w:color="auto" w:fill="92CDDC"/>
          </w:tcPr>
          <w:p w14:paraId="7F0DCA21" w14:textId="77777777" w:rsidR="00397E5F" w:rsidRDefault="00397E5F" w:rsidP="0053652E">
            <w:pPr>
              <w:spacing w:after="120" w:line="240" w:lineRule="auto"/>
              <w:rPr>
                <w:rFonts w:ascii="Calibri" w:hAnsi="Calibri"/>
                <w:b/>
                <w:color w:val="215868"/>
              </w:rPr>
            </w:pPr>
            <w:r>
              <w:rPr>
                <w:rFonts w:ascii="Calibri" w:hAnsi="Calibri"/>
                <w:b/>
                <w:color w:val="215868"/>
              </w:rPr>
              <w:t>Expected Outcome/s</w:t>
            </w:r>
          </w:p>
        </w:tc>
        <w:tc>
          <w:tcPr>
            <w:tcW w:w="1418" w:type="dxa"/>
            <w:tcBorders>
              <w:bottom w:val="single" w:sz="8" w:space="0" w:color="auto"/>
            </w:tcBorders>
            <w:shd w:val="clear" w:color="auto" w:fill="92CDDC"/>
          </w:tcPr>
          <w:p w14:paraId="4F105262" w14:textId="77777777" w:rsidR="00397E5F" w:rsidRPr="00CC6927" w:rsidRDefault="00397E5F" w:rsidP="0053652E">
            <w:pPr>
              <w:spacing w:after="120" w:line="240" w:lineRule="auto"/>
              <w:rPr>
                <w:rFonts w:ascii="Calibri" w:hAnsi="Calibri"/>
                <w:b/>
                <w:color w:val="215868"/>
              </w:rPr>
            </w:pPr>
            <w:r>
              <w:rPr>
                <w:rFonts w:ascii="Calibri" w:hAnsi="Calibri"/>
                <w:b/>
                <w:color w:val="215868"/>
              </w:rPr>
              <w:t>Links with other Strategy objectives</w:t>
            </w:r>
          </w:p>
        </w:tc>
      </w:tr>
      <w:tr w:rsidR="00397E5F" w:rsidRPr="00FF5AE8" w14:paraId="79031BD8" w14:textId="77777777" w:rsidTr="00280417">
        <w:trPr>
          <w:trHeight w:val="456"/>
        </w:trPr>
        <w:tc>
          <w:tcPr>
            <w:tcW w:w="14176" w:type="dxa"/>
            <w:gridSpan w:val="6"/>
            <w:tcBorders>
              <w:top w:val="single" w:sz="8" w:space="0" w:color="auto"/>
            </w:tcBorders>
            <w:shd w:val="clear" w:color="auto" w:fill="DAEEF3"/>
          </w:tcPr>
          <w:p w14:paraId="58FCE5A7" w14:textId="77777777" w:rsidR="00397E5F" w:rsidRPr="00F444EE" w:rsidRDefault="00397E5F" w:rsidP="0053652E">
            <w:pPr>
              <w:spacing w:after="120" w:line="240" w:lineRule="auto"/>
              <w:rPr>
                <w:rFonts w:ascii="Calibri" w:hAnsi="Calibri"/>
                <w:b/>
                <w:i/>
                <w:color w:val="215868"/>
              </w:rPr>
            </w:pPr>
            <w:r w:rsidRPr="00F444EE">
              <w:rPr>
                <w:rFonts w:ascii="Calibri" w:hAnsi="Calibri"/>
                <w:b/>
                <w:i/>
                <w:color w:val="215868"/>
              </w:rPr>
              <w:t>Priority Action Area 7.1 – Identify, establish and maintain linkages between implementation partners across all sectors</w:t>
            </w:r>
          </w:p>
        </w:tc>
      </w:tr>
      <w:tr w:rsidR="00397E5F" w:rsidRPr="00FF5AE8" w14:paraId="430AF275" w14:textId="77777777" w:rsidTr="00280417">
        <w:tc>
          <w:tcPr>
            <w:tcW w:w="2977" w:type="dxa"/>
            <w:shd w:val="clear" w:color="auto" w:fill="FFFFFF"/>
          </w:tcPr>
          <w:p w14:paraId="0750280E" w14:textId="77777777" w:rsidR="00397E5F" w:rsidRPr="00653EF4" w:rsidRDefault="00397E5F" w:rsidP="0053652E">
            <w:pPr>
              <w:spacing w:after="120" w:line="240" w:lineRule="auto"/>
              <w:rPr>
                <w:rFonts w:ascii="Calibri" w:hAnsi="Calibri"/>
              </w:rPr>
            </w:pPr>
          </w:p>
        </w:tc>
        <w:tc>
          <w:tcPr>
            <w:tcW w:w="2410" w:type="dxa"/>
            <w:shd w:val="clear" w:color="auto" w:fill="auto"/>
          </w:tcPr>
          <w:p w14:paraId="291D5ADB" w14:textId="77777777" w:rsidR="00397E5F" w:rsidRPr="00653EF4" w:rsidRDefault="00397E5F" w:rsidP="0053652E">
            <w:pPr>
              <w:spacing w:after="120" w:line="240" w:lineRule="auto"/>
              <w:rPr>
                <w:rFonts w:ascii="Calibri" w:hAnsi="Calibri"/>
              </w:rPr>
            </w:pPr>
          </w:p>
        </w:tc>
        <w:tc>
          <w:tcPr>
            <w:tcW w:w="2552" w:type="dxa"/>
            <w:shd w:val="clear" w:color="auto" w:fill="auto"/>
          </w:tcPr>
          <w:p w14:paraId="66335F1E" w14:textId="77777777" w:rsidR="00397E5F" w:rsidRPr="00653EF4" w:rsidRDefault="00397E5F" w:rsidP="0053652E">
            <w:pPr>
              <w:spacing w:after="120" w:line="240" w:lineRule="auto"/>
              <w:rPr>
                <w:rFonts w:ascii="Calibri" w:hAnsi="Calibri"/>
              </w:rPr>
            </w:pPr>
          </w:p>
        </w:tc>
        <w:tc>
          <w:tcPr>
            <w:tcW w:w="2126" w:type="dxa"/>
            <w:shd w:val="clear" w:color="auto" w:fill="auto"/>
          </w:tcPr>
          <w:p w14:paraId="5BD500C0" w14:textId="77777777" w:rsidR="00397E5F" w:rsidRPr="00653EF4" w:rsidRDefault="00397E5F" w:rsidP="0053652E">
            <w:pPr>
              <w:spacing w:after="120" w:line="240" w:lineRule="auto"/>
              <w:rPr>
                <w:rFonts w:ascii="Calibri" w:hAnsi="Calibri"/>
              </w:rPr>
            </w:pPr>
          </w:p>
        </w:tc>
        <w:tc>
          <w:tcPr>
            <w:tcW w:w="2693" w:type="dxa"/>
            <w:shd w:val="clear" w:color="auto" w:fill="auto"/>
          </w:tcPr>
          <w:p w14:paraId="158AB373" w14:textId="77777777" w:rsidR="00397E5F" w:rsidRPr="00653EF4" w:rsidRDefault="00397E5F" w:rsidP="0053652E">
            <w:pPr>
              <w:spacing w:after="120" w:line="240" w:lineRule="auto"/>
              <w:rPr>
                <w:rFonts w:ascii="Calibri" w:hAnsi="Calibri"/>
              </w:rPr>
            </w:pPr>
          </w:p>
        </w:tc>
        <w:tc>
          <w:tcPr>
            <w:tcW w:w="1418" w:type="dxa"/>
            <w:shd w:val="clear" w:color="auto" w:fill="auto"/>
          </w:tcPr>
          <w:p w14:paraId="0512F343" w14:textId="77777777" w:rsidR="00397E5F" w:rsidRPr="00653EF4" w:rsidRDefault="00397E5F" w:rsidP="0053652E">
            <w:pPr>
              <w:spacing w:after="120" w:line="240" w:lineRule="auto"/>
              <w:rPr>
                <w:rFonts w:ascii="Calibri" w:hAnsi="Calibri"/>
              </w:rPr>
            </w:pPr>
          </w:p>
        </w:tc>
      </w:tr>
      <w:tr w:rsidR="00397E5F" w:rsidRPr="00FF5AE8" w14:paraId="4BD39364" w14:textId="77777777" w:rsidTr="00280417">
        <w:tc>
          <w:tcPr>
            <w:tcW w:w="2977" w:type="dxa"/>
            <w:shd w:val="clear" w:color="auto" w:fill="FFFFFF"/>
          </w:tcPr>
          <w:p w14:paraId="16045749" w14:textId="77777777" w:rsidR="00397E5F" w:rsidRPr="00653EF4" w:rsidRDefault="00397E5F" w:rsidP="0053652E">
            <w:pPr>
              <w:spacing w:after="120" w:line="240" w:lineRule="auto"/>
              <w:rPr>
                <w:rFonts w:ascii="Calibri" w:hAnsi="Calibri"/>
              </w:rPr>
            </w:pPr>
          </w:p>
        </w:tc>
        <w:tc>
          <w:tcPr>
            <w:tcW w:w="2410" w:type="dxa"/>
            <w:shd w:val="clear" w:color="auto" w:fill="auto"/>
          </w:tcPr>
          <w:p w14:paraId="3F954AC2" w14:textId="77777777" w:rsidR="00397E5F" w:rsidRPr="00653EF4" w:rsidRDefault="00397E5F" w:rsidP="0053652E">
            <w:pPr>
              <w:spacing w:after="120" w:line="240" w:lineRule="auto"/>
              <w:rPr>
                <w:rFonts w:ascii="Calibri" w:hAnsi="Calibri"/>
              </w:rPr>
            </w:pPr>
          </w:p>
        </w:tc>
        <w:tc>
          <w:tcPr>
            <w:tcW w:w="2552" w:type="dxa"/>
            <w:shd w:val="clear" w:color="auto" w:fill="auto"/>
          </w:tcPr>
          <w:p w14:paraId="5D61DA01" w14:textId="77777777" w:rsidR="00397E5F" w:rsidRPr="00653EF4" w:rsidRDefault="00397E5F" w:rsidP="0053652E">
            <w:pPr>
              <w:spacing w:after="120" w:line="240" w:lineRule="auto"/>
              <w:rPr>
                <w:rFonts w:ascii="Calibri" w:hAnsi="Calibri"/>
              </w:rPr>
            </w:pPr>
          </w:p>
        </w:tc>
        <w:tc>
          <w:tcPr>
            <w:tcW w:w="2126" w:type="dxa"/>
            <w:shd w:val="clear" w:color="auto" w:fill="auto"/>
          </w:tcPr>
          <w:p w14:paraId="0DF536ED" w14:textId="77777777" w:rsidR="00397E5F" w:rsidRPr="00653EF4" w:rsidRDefault="00397E5F" w:rsidP="0053652E">
            <w:pPr>
              <w:spacing w:after="120" w:line="240" w:lineRule="auto"/>
              <w:rPr>
                <w:rFonts w:ascii="Calibri" w:hAnsi="Calibri"/>
              </w:rPr>
            </w:pPr>
          </w:p>
        </w:tc>
        <w:tc>
          <w:tcPr>
            <w:tcW w:w="2693" w:type="dxa"/>
            <w:shd w:val="clear" w:color="auto" w:fill="auto"/>
          </w:tcPr>
          <w:p w14:paraId="1348DE6B" w14:textId="77777777" w:rsidR="00397E5F" w:rsidRPr="00653EF4" w:rsidRDefault="00397E5F" w:rsidP="0053652E">
            <w:pPr>
              <w:spacing w:after="120" w:line="240" w:lineRule="auto"/>
              <w:rPr>
                <w:rFonts w:ascii="Calibri" w:hAnsi="Calibri"/>
              </w:rPr>
            </w:pPr>
          </w:p>
        </w:tc>
        <w:tc>
          <w:tcPr>
            <w:tcW w:w="1418" w:type="dxa"/>
            <w:shd w:val="clear" w:color="auto" w:fill="auto"/>
          </w:tcPr>
          <w:p w14:paraId="6D896AD0" w14:textId="77777777" w:rsidR="00397E5F" w:rsidRPr="00653EF4" w:rsidRDefault="00397E5F" w:rsidP="0053652E">
            <w:pPr>
              <w:spacing w:after="120" w:line="240" w:lineRule="auto"/>
              <w:rPr>
                <w:rFonts w:ascii="Calibri" w:hAnsi="Calibri"/>
              </w:rPr>
            </w:pPr>
          </w:p>
        </w:tc>
      </w:tr>
      <w:tr w:rsidR="00397E5F" w:rsidRPr="00FF5AE8" w14:paraId="62069FCC" w14:textId="77777777" w:rsidTr="00280417">
        <w:tc>
          <w:tcPr>
            <w:tcW w:w="2977" w:type="dxa"/>
            <w:shd w:val="clear" w:color="auto" w:fill="FFFFFF"/>
          </w:tcPr>
          <w:p w14:paraId="0ECA377A" w14:textId="77777777" w:rsidR="00397E5F" w:rsidRPr="00653EF4" w:rsidRDefault="00397E5F" w:rsidP="0053652E">
            <w:pPr>
              <w:spacing w:after="120" w:line="240" w:lineRule="auto"/>
              <w:rPr>
                <w:rFonts w:ascii="Calibri" w:hAnsi="Calibri"/>
              </w:rPr>
            </w:pPr>
          </w:p>
        </w:tc>
        <w:tc>
          <w:tcPr>
            <w:tcW w:w="2410" w:type="dxa"/>
            <w:shd w:val="clear" w:color="auto" w:fill="auto"/>
          </w:tcPr>
          <w:p w14:paraId="7EBEF61E" w14:textId="77777777" w:rsidR="00397E5F" w:rsidRPr="00653EF4" w:rsidRDefault="00397E5F" w:rsidP="0053652E">
            <w:pPr>
              <w:spacing w:after="120" w:line="240" w:lineRule="auto"/>
              <w:rPr>
                <w:rFonts w:ascii="Calibri" w:hAnsi="Calibri"/>
              </w:rPr>
            </w:pPr>
          </w:p>
        </w:tc>
        <w:tc>
          <w:tcPr>
            <w:tcW w:w="2552" w:type="dxa"/>
            <w:shd w:val="clear" w:color="auto" w:fill="auto"/>
          </w:tcPr>
          <w:p w14:paraId="7EF4E2F1" w14:textId="77777777" w:rsidR="00397E5F" w:rsidRPr="00653EF4" w:rsidRDefault="00397E5F" w:rsidP="0053652E">
            <w:pPr>
              <w:spacing w:after="120" w:line="240" w:lineRule="auto"/>
              <w:rPr>
                <w:rFonts w:ascii="Calibri" w:hAnsi="Calibri"/>
              </w:rPr>
            </w:pPr>
          </w:p>
        </w:tc>
        <w:tc>
          <w:tcPr>
            <w:tcW w:w="2126" w:type="dxa"/>
            <w:shd w:val="clear" w:color="auto" w:fill="auto"/>
          </w:tcPr>
          <w:p w14:paraId="13B3361C" w14:textId="77777777" w:rsidR="00397E5F" w:rsidRPr="00653EF4" w:rsidRDefault="00397E5F" w:rsidP="0053652E">
            <w:pPr>
              <w:spacing w:after="120" w:line="240" w:lineRule="auto"/>
              <w:rPr>
                <w:rFonts w:ascii="Calibri" w:hAnsi="Calibri"/>
              </w:rPr>
            </w:pPr>
          </w:p>
        </w:tc>
        <w:tc>
          <w:tcPr>
            <w:tcW w:w="2693" w:type="dxa"/>
            <w:shd w:val="clear" w:color="auto" w:fill="auto"/>
          </w:tcPr>
          <w:p w14:paraId="5D2F7BB4" w14:textId="77777777" w:rsidR="00397E5F" w:rsidRPr="00653EF4" w:rsidRDefault="00397E5F" w:rsidP="0053652E">
            <w:pPr>
              <w:spacing w:after="120" w:line="240" w:lineRule="auto"/>
              <w:rPr>
                <w:rFonts w:ascii="Calibri" w:hAnsi="Calibri"/>
              </w:rPr>
            </w:pPr>
          </w:p>
        </w:tc>
        <w:tc>
          <w:tcPr>
            <w:tcW w:w="1418" w:type="dxa"/>
            <w:shd w:val="clear" w:color="auto" w:fill="auto"/>
          </w:tcPr>
          <w:p w14:paraId="01A996B0" w14:textId="77777777" w:rsidR="00397E5F" w:rsidRPr="00653EF4" w:rsidRDefault="00397E5F" w:rsidP="0053652E">
            <w:pPr>
              <w:spacing w:after="120" w:line="240" w:lineRule="auto"/>
              <w:rPr>
                <w:rFonts w:ascii="Calibri" w:hAnsi="Calibri"/>
              </w:rPr>
            </w:pPr>
          </w:p>
        </w:tc>
      </w:tr>
      <w:tr w:rsidR="00397E5F" w:rsidRPr="00FF5AE8" w14:paraId="2E85CF4D" w14:textId="77777777" w:rsidTr="00280417">
        <w:tc>
          <w:tcPr>
            <w:tcW w:w="2977" w:type="dxa"/>
            <w:shd w:val="clear" w:color="auto" w:fill="FFFFFF"/>
          </w:tcPr>
          <w:p w14:paraId="332D485A" w14:textId="77777777" w:rsidR="00397E5F" w:rsidRPr="00653EF4" w:rsidRDefault="00397E5F" w:rsidP="0053652E">
            <w:pPr>
              <w:spacing w:after="120" w:line="240" w:lineRule="auto"/>
              <w:rPr>
                <w:rFonts w:ascii="Calibri" w:hAnsi="Calibri"/>
              </w:rPr>
            </w:pPr>
          </w:p>
        </w:tc>
        <w:tc>
          <w:tcPr>
            <w:tcW w:w="2410" w:type="dxa"/>
            <w:shd w:val="clear" w:color="auto" w:fill="auto"/>
          </w:tcPr>
          <w:p w14:paraId="6B3D7192" w14:textId="77777777" w:rsidR="00397E5F" w:rsidRPr="00653EF4" w:rsidRDefault="00397E5F" w:rsidP="0053652E">
            <w:pPr>
              <w:spacing w:after="120" w:line="240" w:lineRule="auto"/>
              <w:rPr>
                <w:rFonts w:ascii="Calibri" w:hAnsi="Calibri"/>
              </w:rPr>
            </w:pPr>
          </w:p>
        </w:tc>
        <w:tc>
          <w:tcPr>
            <w:tcW w:w="2552" w:type="dxa"/>
            <w:shd w:val="clear" w:color="auto" w:fill="auto"/>
          </w:tcPr>
          <w:p w14:paraId="2F3AD5D1" w14:textId="77777777" w:rsidR="00397E5F" w:rsidRPr="00653EF4" w:rsidRDefault="00397E5F" w:rsidP="0053652E">
            <w:pPr>
              <w:spacing w:after="120" w:line="240" w:lineRule="auto"/>
              <w:rPr>
                <w:rFonts w:ascii="Calibri" w:hAnsi="Calibri"/>
              </w:rPr>
            </w:pPr>
          </w:p>
        </w:tc>
        <w:tc>
          <w:tcPr>
            <w:tcW w:w="2126" w:type="dxa"/>
            <w:shd w:val="clear" w:color="auto" w:fill="auto"/>
          </w:tcPr>
          <w:p w14:paraId="7F297C6D" w14:textId="77777777" w:rsidR="00397E5F" w:rsidRPr="00653EF4" w:rsidRDefault="00397E5F" w:rsidP="0053652E">
            <w:pPr>
              <w:spacing w:after="120" w:line="240" w:lineRule="auto"/>
              <w:rPr>
                <w:rFonts w:ascii="Calibri" w:hAnsi="Calibri"/>
              </w:rPr>
            </w:pPr>
          </w:p>
        </w:tc>
        <w:tc>
          <w:tcPr>
            <w:tcW w:w="2693" w:type="dxa"/>
            <w:shd w:val="clear" w:color="auto" w:fill="auto"/>
          </w:tcPr>
          <w:p w14:paraId="75976911" w14:textId="77777777" w:rsidR="00397E5F" w:rsidRPr="00653EF4" w:rsidRDefault="00397E5F" w:rsidP="0053652E">
            <w:pPr>
              <w:spacing w:after="120" w:line="240" w:lineRule="auto"/>
              <w:rPr>
                <w:rFonts w:ascii="Calibri" w:hAnsi="Calibri"/>
              </w:rPr>
            </w:pPr>
          </w:p>
        </w:tc>
        <w:tc>
          <w:tcPr>
            <w:tcW w:w="1418" w:type="dxa"/>
            <w:shd w:val="clear" w:color="auto" w:fill="auto"/>
          </w:tcPr>
          <w:p w14:paraId="4CA69A99" w14:textId="77777777" w:rsidR="00397E5F" w:rsidRPr="00653EF4" w:rsidRDefault="00397E5F" w:rsidP="0053652E">
            <w:pPr>
              <w:spacing w:after="120" w:line="240" w:lineRule="auto"/>
              <w:rPr>
                <w:rFonts w:ascii="Calibri" w:hAnsi="Calibri"/>
              </w:rPr>
            </w:pPr>
          </w:p>
        </w:tc>
      </w:tr>
      <w:tr w:rsidR="00397E5F" w:rsidRPr="007E17C2" w14:paraId="529CA6BE" w14:textId="77777777" w:rsidTr="00280417">
        <w:tc>
          <w:tcPr>
            <w:tcW w:w="14176" w:type="dxa"/>
            <w:gridSpan w:val="6"/>
            <w:shd w:val="clear" w:color="auto" w:fill="DAEEF3"/>
          </w:tcPr>
          <w:p w14:paraId="5E6E9024"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7.2 – Work with stakeholders to develop an Implementation Plan for the Strategy</w:t>
            </w:r>
          </w:p>
        </w:tc>
      </w:tr>
      <w:tr w:rsidR="00397E5F" w:rsidRPr="007E17C2" w14:paraId="4D73D9A3" w14:textId="77777777" w:rsidTr="00280417">
        <w:tc>
          <w:tcPr>
            <w:tcW w:w="2977" w:type="dxa"/>
            <w:shd w:val="clear" w:color="auto" w:fill="FFFFFF"/>
          </w:tcPr>
          <w:p w14:paraId="5EB5B5E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7C10CB9D" w14:textId="77777777" w:rsidR="00397E5F" w:rsidRPr="00653EF4" w:rsidRDefault="00397E5F" w:rsidP="0053652E">
            <w:pPr>
              <w:spacing w:after="120" w:line="240" w:lineRule="auto"/>
              <w:rPr>
                <w:rFonts w:ascii="Calibri" w:hAnsi="Calibri"/>
              </w:rPr>
            </w:pPr>
          </w:p>
        </w:tc>
        <w:tc>
          <w:tcPr>
            <w:tcW w:w="2552" w:type="dxa"/>
            <w:shd w:val="clear" w:color="auto" w:fill="auto"/>
          </w:tcPr>
          <w:p w14:paraId="2B603EAC" w14:textId="77777777" w:rsidR="00397E5F" w:rsidRPr="00653EF4" w:rsidRDefault="00397E5F" w:rsidP="0053652E">
            <w:pPr>
              <w:spacing w:after="120" w:line="240" w:lineRule="auto"/>
              <w:rPr>
                <w:rFonts w:ascii="Calibri" w:hAnsi="Calibri"/>
              </w:rPr>
            </w:pPr>
          </w:p>
        </w:tc>
        <w:tc>
          <w:tcPr>
            <w:tcW w:w="2126" w:type="dxa"/>
            <w:shd w:val="clear" w:color="auto" w:fill="auto"/>
          </w:tcPr>
          <w:p w14:paraId="2651110C" w14:textId="77777777" w:rsidR="00397E5F" w:rsidRPr="00653EF4" w:rsidRDefault="00397E5F" w:rsidP="0053652E">
            <w:pPr>
              <w:spacing w:after="120" w:line="240" w:lineRule="auto"/>
              <w:rPr>
                <w:rFonts w:ascii="Calibri" w:hAnsi="Calibri"/>
              </w:rPr>
            </w:pPr>
          </w:p>
        </w:tc>
        <w:tc>
          <w:tcPr>
            <w:tcW w:w="2693" w:type="dxa"/>
            <w:shd w:val="clear" w:color="auto" w:fill="auto"/>
          </w:tcPr>
          <w:p w14:paraId="0F07B48E" w14:textId="77777777" w:rsidR="00397E5F" w:rsidRPr="00653EF4" w:rsidRDefault="00397E5F" w:rsidP="0053652E">
            <w:pPr>
              <w:spacing w:after="120" w:line="240" w:lineRule="auto"/>
              <w:rPr>
                <w:rFonts w:ascii="Calibri" w:hAnsi="Calibri"/>
              </w:rPr>
            </w:pPr>
          </w:p>
        </w:tc>
        <w:tc>
          <w:tcPr>
            <w:tcW w:w="1418" w:type="dxa"/>
            <w:shd w:val="clear" w:color="auto" w:fill="auto"/>
          </w:tcPr>
          <w:p w14:paraId="35A67218" w14:textId="77777777" w:rsidR="00397E5F" w:rsidRPr="00653EF4" w:rsidRDefault="00397E5F" w:rsidP="0053652E">
            <w:pPr>
              <w:spacing w:after="120" w:line="240" w:lineRule="auto"/>
              <w:rPr>
                <w:rFonts w:ascii="Calibri" w:hAnsi="Calibri"/>
              </w:rPr>
            </w:pPr>
          </w:p>
        </w:tc>
      </w:tr>
      <w:tr w:rsidR="00397E5F" w:rsidRPr="007E17C2" w14:paraId="41DFBCE0" w14:textId="77777777" w:rsidTr="00280417">
        <w:tc>
          <w:tcPr>
            <w:tcW w:w="2977" w:type="dxa"/>
            <w:shd w:val="clear" w:color="auto" w:fill="FFFFFF"/>
          </w:tcPr>
          <w:p w14:paraId="707110A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3C992A6A" w14:textId="77777777" w:rsidR="00397E5F" w:rsidRPr="00653EF4" w:rsidRDefault="00397E5F" w:rsidP="0053652E">
            <w:pPr>
              <w:spacing w:after="120" w:line="240" w:lineRule="auto"/>
              <w:rPr>
                <w:rFonts w:ascii="Calibri" w:hAnsi="Calibri"/>
              </w:rPr>
            </w:pPr>
          </w:p>
        </w:tc>
        <w:tc>
          <w:tcPr>
            <w:tcW w:w="2552" w:type="dxa"/>
            <w:shd w:val="clear" w:color="auto" w:fill="auto"/>
          </w:tcPr>
          <w:p w14:paraId="5AFD0AA2" w14:textId="77777777" w:rsidR="00397E5F" w:rsidRPr="00653EF4" w:rsidRDefault="00397E5F" w:rsidP="0053652E">
            <w:pPr>
              <w:spacing w:after="120" w:line="240" w:lineRule="auto"/>
              <w:rPr>
                <w:rFonts w:ascii="Calibri" w:hAnsi="Calibri"/>
              </w:rPr>
            </w:pPr>
          </w:p>
        </w:tc>
        <w:tc>
          <w:tcPr>
            <w:tcW w:w="2126" w:type="dxa"/>
            <w:shd w:val="clear" w:color="auto" w:fill="auto"/>
          </w:tcPr>
          <w:p w14:paraId="388DD8CC" w14:textId="77777777" w:rsidR="00397E5F" w:rsidRPr="00653EF4" w:rsidRDefault="00397E5F" w:rsidP="0053652E">
            <w:pPr>
              <w:spacing w:after="120" w:line="240" w:lineRule="auto"/>
              <w:rPr>
                <w:rFonts w:ascii="Calibri" w:hAnsi="Calibri"/>
              </w:rPr>
            </w:pPr>
          </w:p>
        </w:tc>
        <w:tc>
          <w:tcPr>
            <w:tcW w:w="2693" w:type="dxa"/>
            <w:shd w:val="clear" w:color="auto" w:fill="auto"/>
          </w:tcPr>
          <w:p w14:paraId="34C2CBD3" w14:textId="77777777" w:rsidR="00397E5F" w:rsidRPr="00653EF4" w:rsidRDefault="00397E5F" w:rsidP="0053652E">
            <w:pPr>
              <w:spacing w:after="120" w:line="240" w:lineRule="auto"/>
              <w:rPr>
                <w:rFonts w:ascii="Calibri" w:hAnsi="Calibri"/>
              </w:rPr>
            </w:pPr>
          </w:p>
        </w:tc>
        <w:tc>
          <w:tcPr>
            <w:tcW w:w="1418" w:type="dxa"/>
            <w:shd w:val="clear" w:color="auto" w:fill="auto"/>
          </w:tcPr>
          <w:p w14:paraId="30121C98" w14:textId="77777777" w:rsidR="00397E5F" w:rsidRPr="00653EF4" w:rsidRDefault="00397E5F" w:rsidP="0053652E">
            <w:pPr>
              <w:spacing w:after="120" w:line="240" w:lineRule="auto"/>
              <w:rPr>
                <w:rFonts w:ascii="Calibri" w:hAnsi="Calibri"/>
              </w:rPr>
            </w:pPr>
          </w:p>
        </w:tc>
      </w:tr>
      <w:tr w:rsidR="00397E5F" w:rsidRPr="007E17C2" w14:paraId="6ADF78FC" w14:textId="77777777" w:rsidTr="00280417">
        <w:tc>
          <w:tcPr>
            <w:tcW w:w="2977" w:type="dxa"/>
            <w:shd w:val="clear" w:color="auto" w:fill="FFFFFF"/>
          </w:tcPr>
          <w:p w14:paraId="3F5DA60E"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6B84846" w14:textId="77777777" w:rsidR="00397E5F" w:rsidRPr="00653EF4" w:rsidRDefault="00397E5F" w:rsidP="0053652E">
            <w:pPr>
              <w:spacing w:after="120" w:line="240" w:lineRule="auto"/>
              <w:rPr>
                <w:rFonts w:ascii="Calibri" w:hAnsi="Calibri"/>
              </w:rPr>
            </w:pPr>
          </w:p>
        </w:tc>
        <w:tc>
          <w:tcPr>
            <w:tcW w:w="2552" w:type="dxa"/>
            <w:shd w:val="clear" w:color="auto" w:fill="auto"/>
          </w:tcPr>
          <w:p w14:paraId="66B94918" w14:textId="77777777" w:rsidR="00397E5F" w:rsidRPr="00653EF4" w:rsidRDefault="00397E5F" w:rsidP="0053652E">
            <w:pPr>
              <w:spacing w:after="120" w:line="240" w:lineRule="auto"/>
              <w:rPr>
                <w:rFonts w:ascii="Calibri" w:hAnsi="Calibri"/>
              </w:rPr>
            </w:pPr>
          </w:p>
        </w:tc>
        <w:tc>
          <w:tcPr>
            <w:tcW w:w="2126" w:type="dxa"/>
            <w:shd w:val="clear" w:color="auto" w:fill="auto"/>
          </w:tcPr>
          <w:p w14:paraId="6D36093D" w14:textId="77777777" w:rsidR="00397E5F" w:rsidRPr="00653EF4" w:rsidRDefault="00397E5F" w:rsidP="0053652E">
            <w:pPr>
              <w:spacing w:after="120" w:line="240" w:lineRule="auto"/>
              <w:rPr>
                <w:rFonts w:ascii="Calibri" w:hAnsi="Calibri"/>
              </w:rPr>
            </w:pPr>
          </w:p>
        </w:tc>
        <w:tc>
          <w:tcPr>
            <w:tcW w:w="2693" w:type="dxa"/>
            <w:shd w:val="clear" w:color="auto" w:fill="auto"/>
          </w:tcPr>
          <w:p w14:paraId="4D0D5C1A" w14:textId="77777777" w:rsidR="00397E5F" w:rsidRPr="00653EF4" w:rsidRDefault="00397E5F" w:rsidP="0053652E">
            <w:pPr>
              <w:spacing w:after="120" w:line="240" w:lineRule="auto"/>
              <w:rPr>
                <w:rFonts w:ascii="Calibri" w:hAnsi="Calibri"/>
              </w:rPr>
            </w:pPr>
          </w:p>
        </w:tc>
        <w:tc>
          <w:tcPr>
            <w:tcW w:w="1418" w:type="dxa"/>
            <w:shd w:val="clear" w:color="auto" w:fill="auto"/>
          </w:tcPr>
          <w:p w14:paraId="14931D80" w14:textId="77777777" w:rsidR="00397E5F" w:rsidRPr="00653EF4" w:rsidRDefault="00397E5F" w:rsidP="0053652E">
            <w:pPr>
              <w:spacing w:after="120" w:line="240" w:lineRule="auto"/>
              <w:rPr>
                <w:rFonts w:ascii="Calibri" w:hAnsi="Calibri"/>
              </w:rPr>
            </w:pPr>
          </w:p>
        </w:tc>
      </w:tr>
      <w:tr w:rsidR="00397E5F" w:rsidRPr="007E17C2" w14:paraId="3420AD84" w14:textId="77777777" w:rsidTr="00280417">
        <w:tc>
          <w:tcPr>
            <w:tcW w:w="2977" w:type="dxa"/>
            <w:shd w:val="clear" w:color="auto" w:fill="FFFFFF"/>
          </w:tcPr>
          <w:p w14:paraId="1A315250"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712F76CA" w14:textId="77777777" w:rsidR="00397E5F" w:rsidRPr="00653EF4" w:rsidRDefault="00397E5F" w:rsidP="0053652E">
            <w:pPr>
              <w:spacing w:after="120" w:line="240" w:lineRule="auto"/>
              <w:rPr>
                <w:rFonts w:ascii="Calibri" w:hAnsi="Calibri"/>
              </w:rPr>
            </w:pPr>
          </w:p>
        </w:tc>
        <w:tc>
          <w:tcPr>
            <w:tcW w:w="2552" w:type="dxa"/>
            <w:shd w:val="clear" w:color="auto" w:fill="auto"/>
          </w:tcPr>
          <w:p w14:paraId="44ED1845" w14:textId="77777777" w:rsidR="00397E5F" w:rsidRPr="00653EF4" w:rsidRDefault="00397E5F" w:rsidP="0053652E">
            <w:pPr>
              <w:spacing w:after="120" w:line="240" w:lineRule="auto"/>
              <w:rPr>
                <w:rFonts w:ascii="Calibri" w:hAnsi="Calibri"/>
              </w:rPr>
            </w:pPr>
          </w:p>
        </w:tc>
        <w:tc>
          <w:tcPr>
            <w:tcW w:w="2126" w:type="dxa"/>
            <w:shd w:val="clear" w:color="auto" w:fill="auto"/>
          </w:tcPr>
          <w:p w14:paraId="56C8F6B1" w14:textId="77777777" w:rsidR="00397E5F" w:rsidRPr="00653EF4" w:rsidRDefault="00397E5F" w:rsidP="0053652E">
            <w:pPr>
              <w:spacing w:after="120" w:line="240" w:lineRule="auto"/>
              <w:rPr>
                <w:rFonts w:ascii="Calibri" w:hAnsi="Calibri"/>
              </w:rPr>
            </w:pPr>
          </w:p>
        </w:tc>
        <w:tc>
          <w:tcPr>
            <w:tcW w:w="2693" w:type="dxa"/>
            <w:shd w:val="clear" w:color="auto" w:fill="auto"/>
          </w:tcPr>
          <w:p w14:paraId="76ACC627" w14:textId="77777777" w:rsidR="00397E5F" w:rsidRPr="00653EF4" w:rsidRDefault="00397E5F" w:rsidP="0053652E">
            <w:pPr>
              <w:spacing w:after="120" w:line="240" w:lineRule="auto"/>
              <w:rPr>
                <w:rFonts w:ascii="Calibri" w:hAnsi="Calibri"/>
              </w:rPr>
            </w:pPr>
          </w:p>
        </w:tc>
        <w:tc>
          <w:tcPr>
            <w:tcW w:w="1418" w:type="dxa"/>
            <w:shd w:val="clear" w:color="auto" w:fill="auto"/>
          </w:tcPr>
          <w:p w14:paraId="5D3ACEE9" w14:textId="77777777" w:rsidR="00397E5F" w:rsidRPr="00653EF4" w:rsidRDefault="00397E5F" w:rsidP="0053652E">
            <w:pPr>
              <w:spacing w:after="120" w:line="240" w:lineRule="auto"/>
              <w:rPr>
                <w:rFonts w:ascii="Calibri" w:hAnsi="Calibri"/>
              </w:rPr>
            </w:pPr>
          </w:p>
        </w:tc>
      </w:tr>
      <w:tr w:rsidR="00397E5F" w:rsidRPr="007E17C2" w14:paraId="6DDC7476" w14:textId="77777777" w:rsidTr="00280417">
        <w:tc>
          <w:tcPr>
            <w:tcW w:w="14176" w:type="dxa"/>
            <w:gridSpan w:val="6"/>
            <w:shd w:val="clear" w:color="auto" w:fill="DAEEF3"/>
          </w:tcPr>
          <w:p w14:paraId="64AD77DE" w14:textId="77777777" w:rsidR="00397E5F" w:rsidRPr="00653EF4" w:rsidRDefault="00397E5F" w:rsidP="0053652E">
            <w:pPr>
              <w:spacing w:after="120" w:line="240" w:lineRule="auto"/>
              <w:rPr>
                <w:rFonts w:ascii="Calibri" w:hAnsi="Calibri"/>
                <w:b/>
                <w:i/>
                <w:highlight w:val="yellow"/>
              </w:rPr>
            </w:pPr>
            <w:r w:rsidRPr="00653EF4">
              <w:rPr>
                <w:rFonts w:ascii="Calibri" w:hAnsi="Calibri"/>
                <w:b/>
                <w:i/>
                <w:color w:val="215868"/>
              </w:rPr>
              <w:t xml:space="preserve">Priority Action Area 7.3 – Establish baseline measures to inform monitoring and evaluation of the Strategy </w:t>
            </w:r>
          </w:p>
        </w:tc>
      </w:tr>
      <w:tr w:rsidR="00397E5F" w:rsidRPr="007E17C2" w14:paraId="3EF8C9CA" w14:textId="77777777" w:rsidTr="00280417">
        <w:tc>
          <w:tcPr>
            <w:tcW w:w="2977" w:type="dxa"/>
            <w:shd w:val="clear" w:color="auto" w:fill="FFFFFF"/>
          </w:tcPr>
          <w:p w14:paraId="3D6CB386"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E3001CF" w14:textId="77777777" w:rsidR="00397E5F" w:rsidRPr="00653EF4" w:rsidRDefault="00397E5F" w:rsidP="0053652E">
            <w:pPr>
              <w:spacing w:after="120" w:line="240" w:lineRule="auto"/>
              <w:rPr>
                <w:rFonts w:ascii="Calibri" w:hAnsi="Calibri"/>
              </w:rPr>
            </w:pPr>
          </w:p>
        </w:tc>
        <w:tc>
          <w:tcPr>
            <w:tcW w:w="2552" w:type="dxa"/>
            <w:shd w:val="clear" w:color="auto" w:fill="auto"/>
          </w:tcPr>
          <w:p w14:paraId="62C22BC7" w14:textId="77777777" w:rsidR="00397E5F" w:rsidRPr="00653EF4" w:rsidRDefault="00397E5F" w:rsidP="0053652E">
            <w:pPr>
              <w:spacing w:after="120" w:line="240" w:lineRule="auto"/>
              <w:rPr>
                <w:rFonts w:ascii="Calibri" w:hAnsi="Calibri"/>
              </w:rPr>
            </w:pPr>
          </w:p>
        </w:tc>
        <w:tc>
          <w:tcPr>
            <w:tcW w:w="2126" w:type="dxa"/>
            <w:shd w:val="clear" w:color="auto" w:fill="auto"/>
          </w:tcPr>
          <w:p w14:paraId="4E16595E" w14:textId="77777777" w:rsidR="00397E5F" w:rsidRPr="00653EF4" w:rsidRDefault="00397E5F" w:rsidP="0053652E">
            <w:pPr>
              <w:spacing w:after="120" w:line="240" w:lineRule="auto"/>
              <w:rPr>
                <w:rFonts w:ascii="Calibri" w:hAnsi="Calibri"/>
              </w:rPr>
            </w:pPr>
          </w:p>
        </w:tc>
        <w:tc>
          <w:tcPr>
            <w:tcW w:w="2693" w:type="dxa"/>
            <w:shd w:val="clear" w:color="auto" w:fill="auto"/>
          </w:tcPr>
          <w:p w14:paraId="4A6F5074" w14:textId="77777777" w:rsidR="00397E5F" w:rsidRPr="00653EF4" w:rsidRDefault="00397E5F" w:rsidP="0053652E">
            <w:pPr>
              <w:spacing w:after="120" w:line="240" w:lineRule="auto"/>
              <w:rPr>
                <w:rFonts w:ascii="Calibri" w:hAnsi="Calibri"/>
              </w:rPr>
            </w:pPr>
          </w:p>
        </w:tc>
        <w:tc>
          <w:tcPr>
            <w:tcW w:w="1418" w:type="dxa"/>
            <w:shd w:val="clear" w:color="auto" w:fill="auto"/>
          </w:tcPr>
          <w:p w14:paraId="2B6E3BCC" w14:textId="77777777" w:rsidR="00397E5F" w:rsidRPr="00653EF4" w:rsidRDefault="00397E5F" w:rsidP="0053652E">
            <w:pPr>
              <w:spacing w:after="120" w:line="240" w:lineRule="auto"/>
              <w:rPr>
                <w:rFonts w:ascii="Calibri" w:hAnsi="Calibri"/>
              </w:rPr>
            </w:pPr>
          </w:p>
        </w:tc>
      </w:tr>
      <w:tr w:rsidR="00397E5F" w:rsidRPr="007E17C2" w14:paraId="12B1C128" w14:textId="77777777" w:rsidTr="00280417">
        <w:tc>
          <w:tcPr>
            <w:tcW w:w="2977" w:type="dxa"/>
            <w:shd w:val="clear" w:color="auto" w:fill="FFFFFF"/>
          </w:tcPr>
          <w:p w14:paraId="69622B90"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762E23B4" w14:textId="77777777" w:rsidR="00397E5F" w:rsidRPr="00653EF4" w:rsidRDefault="00397E5F" w:rsidP="0053652E">
            <w:pPr>
              <w:spacing w:after="120" w:line="240" w:lineRule="auto"/>
              <w:rPr>
                <w:rFonts w:ascii="Calibri" w:hAnsi="Calibri"/>
              </w:rPr>
            </w:pPr>
          </w:p>
        </w:tc>
        <w:tc>
          <w:tcPr>
            <w:tcW w:w="2552" w:type="dxa"/>
            <w:shd w:val="clear" w:color="auto" w:fill="auto"/>
          </w:tcPr>
          <w:p w14:paraId="631C9BE9" w14:textId="77777777" w:rsidR="00397E5F" w:rsidRPr="00653EF4" w:rsidRDefault="00397E5F" w:rsidP="0053652E">
            <w:pPr>
              <w:spacing w:after="120" w:line="240" w:lineRule="auto"/>
              <w:rPr>
                <w:rFonts w:ascii="Calibri" w:hAnsi="Calibri"/>
              </w:rPr>
            </w:pPr>
          </w:p>
        </w:tc>
        <w:tc>
          <w:tcPr>
            <w:tcW w:w="2126" w:type="dxa"/>
            <w:shd w:val="clear" w:color="auto" w:fill="auto"/>
          </w:tcPr>
          <w:p w14:paraId="5B962CA8" w14:textId="77777777" w:rsidR="00397E5F" w:rsidRPr="00653EF4" w:rsidRDefault="00397E5F" w:rsidP="0053652E">
            <w:pPr>
              <w:spacing w:after="120" w:line="240" w:lineRule="auto"/>
              <w:rPr>
                <w:rFonts w:ascii="Calibri" w:hAnsi="Calibri"/>
              </w:rPr>
            </w:pPr>
          </w:p>
        </w:tc>
        <w:tc>
          <w:tcPr>
            <w:tcW w:w="2693" w:type="dxa"/>
            <w:shd w:val="clear" w:color="auto" w:fill="auto"/>
          </w:tcPr>
          <w:p w14:paraId="2B3C2244" w14:textId="77777777" w:rsidR="00397E5F" w:rsidRPr="00653EF4" w:rsidRDefault="00397E5F" w:rsidP="0053652E">
            <w:pPr>
              <w:spacing w:after="120" w:line="240" w:lineRule="auto"/>
              <w:rPr>
                <w:rFonts w:ascii="Calibri" w:hAnsi="Calibri"/>
              </w:rPr>
            </w:pPr>
          </w:p>
        </w:tc>
        <w:tc>
          <w:tcPr>
            <w:tcW w:w="1418" w:type="dxa"/>
            <w:shd w:val="clear" w:color="auto" w:fill="auto"/>
          </w:tcPr>
          <w:p w14:paraId="3CFB607F" w14:textId="77777777" w:rsidR="00397E5F" w:rsidRPr="00653EF4" w:rsidRDefault="00397E5F" w:rsidP="0053652E">
            <w:pPr>
              <w:spacing w:after="120" w:line="240" w:lineRule="auto"/>
              <w:rPr>
                <w:rFonts w:ascii="Calibri" w:hAnsi="Calibri"/>
              </w:rPr>
            </w:pPr>
          </w:p>
        </w:tc>
      </w:tr>
      <w:tr w:rsidR="00397E5F" w:rsidRPr="007E17C2" w14:paraId="0AB4CEEA" w14:textId="77777777" w:rsidTr="00280417">
        <w:tc>
          <w:tcPr>
            <w:tcW w:w="2977" w:type="dxa"/>
            <w:shd w:val="clear" w:color="auto" w:fill="FFFFFF"/>
          </w:tcPr>
          <w:p w14:paraId="484BC6E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1E1ADF5E" w14:textId="77777777" w:rsidR="00397E5F" w:rsidRPr="00653EF4" w:rsidRDefault="00397E5F" w:rsidP="0053652E">
            <w:pPr>
              <w:spacing w:after="120" w:line="240" w:lineRule="auto"/>
              <w:rPr>
                <w:rFonts w:ascii="Calibri" w:hAnsi="Calibri"/>
              </w:rPr>
            </w:pPr>
          </w:p>
        </w:tc>
        <w:tc>
          <w:tcPr>
            <w:tcW w:w="2552" w:type="dxa"/>
            <w:shd w:val="clear" w:color="auto" w:fill="auto"/>
          </w:tcPr>
          <w:p w14:paraId="07F7E342" w14:textId="77777777" w:rsidR="00397E5F" w:rsidRPr="00653EF4" w:rsidRDefault="00397E5F" w:rsidP="0053652E">
            <w:pPr>
              <w:spacing w:after="120" w:line="240" w:lineRule="auto"/>
              <w:rPr>
                <w:rFonts w:ascii="Calibri" w:hAnsi="Calibri"/>
              </w:rPr>
            </w:pPr>
          </w:p>
        </w:tc>
        <w:tc>
          <w:tcPr>
            <w:tcW w:w="2126" w:type="dxa"/>
            <w:shd w:val="clear" w:color="auto" w:fill="auto"/>
          </w:tcPr>
          <w:p w14:paraId="4BD600BD" w14:textId="77777777" w:rsidR="00397E5F" w:rsidRPr="00653EF4" w:rsidRDefault="00397E5F" w:rsidP="0053652E">
            <w:pPr>
              <w:spacing w:after="120" w:line="240" w:lineRule="auto"/>
              <w:rPr>
                <w:rFonts w:ascii="Calibri" w:hAnsi="Calibri"/>
              </w:rPr>
            </w:pPr>
          </w:p>
        </w:tc>
        <w:tc>
          <w:tcPr>
            <w:tcW w:w="2693" w:type="dxa"/>
            <w:shd w:val="clear" w:color="auto" w:fill="auto"/>
          </w:tcPr>
          <w:p w14:paraId="6BE7417A" w14:textId="77777777" w:rsidR="00397E5F" w:rsidRPr="00653EF4" w:rsidRDefault="00397E5F" w:rsidP="0053652E">
            <w:pPr>
              <w:spacing w:after="120" w:line="240" w:lineRule="auto"/>
              <w:rPr>
                <w:rFonts w:ascii="Calibri" w:hAnsi="Calibri"/>
              </w:rPr>
            </w:pPr>
          </w:p>
        </w:tc>
        <w:tc>
          <w:tcPr>
            <w:tcW w:w="1418" w:type="dxa"/>
            <w:shd w:val="clear" w:color="auto" w:fill="auto"/>
          </w:tcPr>
          <w:p w14:paraId="21C7D7F6" w14:textId="77777777" w:rsidR="00397E5F" w:rsidRPr="00653EF4" w:rsidRDefault="00397E5F" w:rsidP="0053652E">
            <w:pPr>
              <w:spacing w:after="120" w:line="240" w:lineRule="auto"/>
              <w:rPr>
                <w:rFonts w:ascii="Calibri" w:hAnsi="Calibri"/>
              </w:rPr>
            </w:pPr>
          </w:p>
        </w:tc>
      </w:tr>
      <w:tr w:rsidR="00397E5F" w:rsidRPr="007E17C2" w14:paraId="26B8782E" w14:textId="77777777" w:rsidTr="00280417">
        <w:tc>
          <w:tcPr>
            <w:tcW w:w="2977" w:type="dxa"/>
            <w:shd w:val="clear" w:color="auto" w:fill="FFFFFF"/>
          </w:tcPr>
          <w:p w14:paraId="5572929D"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276F864D" w14:textId="77777777" w:rsidR="00397E5F" w:rsidRPr="00653EF4" w:rsidRDefault="00397E5F" w:rsidP="0053652E">
            <w:pPr>
              <w:spacing w:after="120" w:line="240" w:lineRule="auto"/>
              <w:rPr>
                <w:rFonts w:ascii="Calibri" w:hAnsi="Calibri"/>
              </w:rPr>
            </w:pPr>
          </w:p>
        </w:tc>
        <w:tc>
          <w:tcPr>
            <w:tcW w:w="2552" w:type="dxa"/>
            <w:shd w:val="clear" w:color="auto" w:fill="auto"/>
          </w:tcPr>
          <w:p w14:paraId="7C7FF5B6" w14:textId="77777777" w:rsidR="00397E5F" w:rsidRPr="00653EF4" w:rsidRDefault="00397E5F" w:rsidP="0053652E">
            <w:pPr>
              <w:spacing w:after="120" w:line="240" w:lineRule="auto"/>
              <w:rPr>
                <w:rFonts w:ascii="Calibri" w:hAnsi="Calibri"/>
              </w:rPr>
            </w:pPr>
          </w:p>
        </w:tc>
        <w:tc>
          <w:tcPr>
            <w:tcW w:w="2126" w:type="dxa"/>
            <w:shd w:val="clear" w:color="auto" w:fill="auto"/>
          </w:tcPr>
          <w:p w14:paraId="54023ABB" w14:textId="77777777" w:rsidR="00397E5F" w:rsidRPr="00653EF4" w:rsidRDefault="00397E5F" w:rsidP="0053652E">
            <w:pPr>
              <w:spacing w:after="120" w:line="240" w:lineRule="auto"/>
              <w:rPr>
                <w:rFonts w:ascii="Calibri" w:hAnsi="Calibri"/>
              </w:rPr>
            </w:pPr>
          </w:p>
        </w:tc>
        <w:tc>
          <w:tcPr>
            <w:tcW w:w="2693" w:type="dxa"/>
            <w:shd w:val="clear" w:color="auto" w:fill="auto"/>
          </w:tcPr>
          <w:p w14:paraId="7493FC42" w14:textId="77777777" w:rsidR="00397E5F" w:rsidRPr="00653EF4" w:rsidRDefault="00397E5F" w:rsidP="0053652E">
            <w:pPr>
              <w:spacing w:after="120" w:line="240" w:lineRule="auto"/>
              <w:rPr>
                <w:rFonts w:ascii="Calibri" w:hAnsi="Calibri"/>
              </w:rPr>
            </w:pPr>
          </w:p>
        </w:tc>
        <w:tc>
          <w:tcPr>
            <w:tcW w:w="1418" w:type="dxa"/>
            <w:shd w:val="clear" w:color="auto" w:fill="auto"/>
          </w:tcPr>
          <w:p w14:paraId="6C41787E" w14:textId="77777777" w:rsidR="00397E5F" w:rsidRPr="00653EF4" w:rsidRDefault="00397E5F" w:rsidP="0053652E">
            <w:pPr>
              <w:spacing w:after="120" w:line="240" w:lineRule="auto"/>
              <w:rPr>
                <w:rFonts w:ascii="Calibri" w:hAnsi="Calibri"/>
              </w:rPr>
            </w:pPr>
          </w:p>
        </w:tc>
      </w:tr>
      <w:tr w:rsidR="00397E5F" w:rsidRPr="007E17C2" w14:paraId="7BA8D6A8" w14:textId="77777777" w:rsidTr="00280417">
        <w:tc>
          <w:tcPr>
            <w:tcW w:w="14176" w:type="dxa"/>
            <w:gridSpan w:val="6"/>
            <w:shd w:val="clear" w:color="auto" w:fill="DAEEF3"/>
          </w:tcPr>
          <w:p w14:paraId="0DE740AD" w14:textId="77777777" w:rsidR="00397E5F" w:rsidRPr="00653EF4" w:rsidRDefault="00397E5F" w:rsidP="0053652E">
            <w:pPr>
              <w:spacing w:after="120" w:line="240" w:lineRule="auto"/>
              <w:rPr>
                <w:rFonts w:ascii="Calibri" w:hAnsi="Calibri"/>
                <w:b/>
                <w:i/>
              </w:rPr>
            </w:pPr>
            <w:r w:rsidRPr="00653EF4">
              <w:rPr>
                <w:rFonts w:ascii="Calibri" w:hAnsi="Calibri"/>
                <w:b/>
                <w:i/>
                <w:color w:val="215868"/>
              </w:rPr>
              <w:t>Priority Action Area 7.4 – Review regulation (legislated and other) relevant to antimicrobial resistance and antibiotic usage</w:t>
            </w:r>
          </w:p>
        </w:tc>
      </w:tr>
      <w:tr w:rsidR="00397E5F" w:rsidRPr="007E17C2" w14:paraId="0604511F" w14:textId="77777777" w:rsidTr="00280417">
        <w:tc>
          <w:tcPr>
            <w:tcW w:w="2977" w:type="dxa"/>
            <w:shd w:val="clear" w:color="auto" w:fill="FFFFFF"/>
          </w:tcPr>
          <w:p w14:paraId="173FD283"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67B993A" w14:textId="77777777" w:rsidR="00397E5F" w:rsidRPr="00653EF4" w:rsidRDefault="00397E5F" w:rsidP="0053652E">
            <w:pPr>
              <w:spacing w:after="120" w:line="240" w:lineRule="auto"/>
              <w:rPr>
                <w:rFonts w:ascii="Calibri" w:hAnsi="Calibri"/>
              </w:rPr>
            </w:pPr>
          </w:p>
        </w:tc>
        <w:tc>
          <w:tcPr>
            <w:tcW w:w="2552" w:type="dxa"/>
            <w:shd w:val="clear" w:color="auto" w:fill="auto"/>
          </w:tcPr>
          <w:p w14:paraId="4EB1EAEF" w14:textId="77777777" w:rsidR="00397E5F" w:rsidRPr="00653EF4" w:rsidRDefault="00397E5F" w:rsidP="0053652E">
            <w:pPr>
              <w:spacing w:after="120" w:line="240" w:lineRule="auto"/>
              <w:rPr>
                <w:rFonts w:ascii="Calibri" w:hAnsi="Calibri"/>
              </w:rPr>
            </w:pPr>
          </w:p>
        </w:tc>
        <w:tc>
          <w:tcPr>
            <w:tcW w:w="2126" w:type="dxa"/>
            <w:shd w:val="clear" w:color="auto" w:fill="auto"/>
          </w:tcPr>
          <w:p w14:paraId="1A8EBAC1" w14:textId="77777777" w:rsidR="00397E5F" w:rsidRPr="00653EF4" w:rsidRDefault="00397E5F" w:rsidP="0053652E">
            <w:pPr>
              <w:spacing w:after="120" w:line="240" w:lineRule="auto"/>
              <w:rPr>
                <w:rFonts w:ascii="Calibri" w:hAnsi="Calibri"/>
              </w:rPr>
            </w:pPr>
          </w:p>
        </w:tc>
        <w:tc>
          <w:tcPr>
            <w:tcW w:w="2693" w:type="dxa"/>
            <w:shd w:val="clear" w:color="auto" w:fill="auto"/>
          </w:tcPr>
          <w:p w14:paraId="709F2F1D" w14:textId="77777777" w:rsidR="00397E5F" w:rsidRPr="00653EF4" w:rsidRDefault="00397E5F" w:rsidP="0053652E">
            <w:pPr>
              <w:spacing w:after="120" w:line="240" w:lineRule="auto"/>
              <w:rPr>
                <w:rFonts w:ascii="Calibri" w:hAnsi="Calibri"/>
              </w:rPr>
            </w:pPr>
          </w:p>
        </w:tc>
        <w:tc>
          <w:tcPr>
            <w:tcW w:w="1418" w:type="dxa"/>
            <w:shd w:val="clear" w:color="auto" w:fill="auto"/>
          </w:tcPr>
          <w:p w14:paraId="25DF63CC" w14:textId="77777777" w:rsidR="00397E5F" w:rsidRPr="00653EF4" w:rsidRDefault="00397E5F" w:rsidP="0053652E">
            <w:pPr>
              <w:spacing w:after="120" w:line="240" w:lineRule="auto"/>
              <w:rPr>
                <w:rFonts w:ascii="Calibri" w:hAnsi="Calibri"/>
              </w:rPr>
            </w:pPr>
          </w:p>
        </w:tc>
      </w:tr>
      <w:tr w:rsidR="00397E5F" w:rsidRPr="007E17C2" w14:paraId="55635C02" w14:textId="77777777" w:rsidTr="00280417">
        <w:tc>
          <w:tcPr>
            <w:tcW w:w="2977" w:type="dxa"/>
            <w:shd w:val="clear" w:color="auto" w:fill="FFFFFF"/>
          </w:tcPr>
          <w:p w14:paraId="6EA8B4BA"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592A32B0" w14:textId="77777777" w:rsidR="00397E5F" w:rsidRPr="00653EF4" w:rsidRDefault="00397E5F" w:rsidP="0053652E">
            <w:pPr>
              <w:spacing w:after="120" w:line="240" w:lineRule="auto"/>
              <w:rPr>
                <w:rFonts w:ascii="Calibri" w:hAnsi="Calibri"/>
              </w:rPr>
            </w:pPr>
          </w:p>
        </w:tc>
        <w:tc>
          <w:tcPr>
            <w:tcW w:w="2552" w:type="dxa"/>
            <w:shd w:val="clear" w:color="auto" w:fill="auto"/>
          </w:tcPr>
          <w:p w14:paraId="42E7722A" w14:textId="77777777" w:rsidR="00397E5F" w:rsidRPr="00653EF4" w:rsidRDefault="00397E5F" w:rsidP="0053652E">
            <w:pPr>
              <w:spacing w:after="120" w:line="240" w:lineRule="auto"/>
              <w:rPr>
                <w:rFonts w:ascii="Calibri" w:hAnsi="Calibri"/>
              </w:rPr>
            </w:pPr>
          </w:p>
        </w:tc>
        <w:tc>
          <w:tcPr>
            <w:tcW w:w="2126" w:type="dxa"/>
            <w:shd w:val="clear" w:color="auto" w:fill="auto"/>
          </w:tcPr>
          <w:p w14:paraId="44138222" w14:textId="77777777" w:rsidR="00397E5F" w:rsidRPr="00653EF4" w:rsidRDefault="00397E5F" w:rsidP="0053652E">
            <w:pPr>
              <w:spacing w:after="120" w:line="240" w:lineRule="auto"/>
              <w:rPr>
                <w:rFonts w:ascii="Calibri" w:hAnsi="Calibri"/>
              </w:rPr>
            </w:pPr>
          </w:p>
        </w:tc>
        <w:tc>
          <w:tcPr>
            <w:tcW w:w="2693" w:type="dxa"/>
            <w:shd w:val="clear" w:color="auto" w:fill="auto"/>
          </w:tcPr>
          <w:p w14:paraId="3B743A21" w14:textId="77777777" w:rsidR="00397E5F" w:rsidRPr="00653EF4" w:rsidRDefault="00397E5F" w:rsidP="0053652E">
            <w:pPr>
              <w:spacing w:after="120" w:line="240" w:lineRule="auto"/>
              <w:rPr>
                <w:rFonts w:ascii="Calibri" w:hAnsi="Calibri"/>
              </w:rPr>
            </w:pPr>
          </w:p>
        </w:tc>
        <w:tc>
          <w:tcPr>
            <w:tcW w:w="1418" w:type="dxa"/>
            <w:shd w:val="clear" w:color="auto" w:fill="auto"/>
          </w:tcPr>
          <w:p w14:paraId="74E6CD6A" w14:textId="77777777" w:rsidR="00397E5F" w:rsidRPr="00653EF4" w:rsidRDefault="00397E5F" w:rsidP="0053652E">
            <w:pPr>
              <w:spacing w:after="120" w:line="240" w:lineRule="auto"/>
              <w:rPr>
                <w:rFonts w:ascii="Calibri" w:hAnsi="Calibri"/>
              </w:rPr>
            </w:pPr>
          </w:p>
        </w:tc>
      </w:tr>
      <w:tr w:rsidR="00397E5F" w:rsidRPr="007E17C2" w14:paraId="3003A163" w14:textId="77777777" w:rsidTr="00280417">
        <w:tc>
          <w:tcPr>
            <w:tcW w:w="2977" w:type="dxa"/>
            <w:shd w:val="clear" w:color="auto" w:fill="FFFFFF"/>
          </w:tcPr>
          <w:p w14:paraId="5FCDA658"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6F737434" w14:textId="77777777" w:rsidR="00397E5F" w:rsidRPr="00653EF4" w:rsidRDefault="00397E5F" w:rsidP="0053652E">
            <w:pPr>
              <w:spacing w:after="120" w:line="240" w:lineRule="auto"/>
              <w:rPr>
                <w:rFonts w:ascii="Calibri" w:hAnsi="Calibri"/>
              </w:rPr>
            </w:pPr>
          </w:p>
        </w:tc>
        <w:tc>
          <w:tcPr>
            <w:tcW w:w="2552" w:type="dxa"/>
            <w:shd w:val="clear" w:color="auto" w:fill="auto"/>
          </w:tcPr>
          <w:p w14:paraId="3B3DE0DB" w14:textId="77777777" w:rsidR="00397E5F" w:rsidRPr="00653EF4" w:rsidRDefault="00397E5F" w:rsidP="0053652E">
            <w:pPr>
              <w:spacing w:after="120" w:line="240" w:lineRule="auto"/>
              <w:rPr>
                <w:rFonts w:ascii="Calibri" w:hAnsi="Calibri"/>
              </w:rPr>
            </w:pPr>
          </w:p>
        </w:tc>
        <w:tc>
          <w:tcPr>
            <w:tcW w:w="2126" w:type="dxa"/>
            <w:shd w:val="clear" w:color="auto" w:fill="auto"/>
          </w:tcPr>
          <w:p w14:paraId="4FE81609" w14:textId="77777777" w:rsidR="00397E5F" w:rsidRPr="00653EF4" w:rsidRDefault="00397E5F" w:rsidP="0053652E">
            <w:pPr>
              <w:spacing w:after="120" w:line="240" w:lineRule="auto"/>
              <w:rPr>
                <w:rFonts w:ascii="Calibri" w:hAnsi="Calibri"/>
              </w:rPr>
            </w:pPr>
          </w:p>
        </w:tc>
        <w:tc>
          <w:tcPr>
            <w:tcW w:w="2693" w:type="dxa"/>
            <w:shd w:val="clear" w:color="auto" w:fill="auto"/>
          </w:tcPr>
          <w:p w14:paraId="15A2475D" w14:textId="77777777" w:rsidR="00397E5F" w:rsidRPr="00653EF4" w:rsidRDefault="00397E5F" w:rsidP="0053652E">
            <w:pPr>
              <w:spacing w:after="120" w:line="240" w:lineRule="auto"/>
              <w:rPr>
                <w:rFonts w:ascii="Calibri" w:hAnsi="Calibri"/>
              </w:rPr>
            </w:pPr>
          </w:p>
        </w:tc>
        <w:tc>
          <w:tcPr>
            <w:tcW w:w="1418" w:type="dxa"/>
            <w:shd w:val="clear" w:color="auto" w:fill="auto"/>
          </w:tcPr>
          <w:p w14:paraId="0D988A70" w14:textId="77777777" w:rsidR="00397E5F" w:rsidRPr="00653EF4" w:rsidRDefault="00397E5F" w:rsidP="0053652E">
            <w:pPr>
              <w:spacing w:after="120" w:line="240" w:lineRule="auto"/>
              <w:rPr>
                <w:rFonts w:ascii="Calibri" w:hAnsi="Calibri"/>
              </w:rPr>
            </w:pPr>
          </w:p>
        </w:tc>
      </w:tr>
      <w:tr w:rsidR="00397E5F" w:rsidRPr="007E17C2" w14:paraId="2F39FC54" w14:textId="77777777" w:rsidTr="00280417">
        <w:tc>
          <w:tcPr>
            <w:tcW w:w="2977" w:type="dxa"/>
            <w:shd w:val="clear" w:color="auto" w:fill="FFFFFF"/>
          </w:tcPr>
          <w:p w14:paraId="16531D5F" w14:textId="77777777" w:rsidR="00397E5F" w:rsidRPr="00653EF4" w:rsidRDefault="00397E5F" w:rsidP="0053652E">
            <w:pPr>
              <w:spacing w:after="120" w:line="240" w:lineRule="auto"/>
              <w:rPr>
                <w:rFonts w:ascii="Calibri" w:hAnsi="Calibri"/>
                <w:color w:val="215868"/>
              </w:rPr>
            </w:pPr>
          </w:p>
        </w:tc>
        <w:tc>
          <w:tcPr>
            <w:tcW w:w="2410" w:type="dxa"/>
            <w:shd w:val="clear" w:color="auto" w:fill="auto"/>
          </w:tcPr>
          <w:p w14:paraId="0D9A8727" w14:textId="77777777" w:rsidR="00397E5F" w:rsidRPr="00653EF4" w:rsidRDefault="00397E5F" w:rsidP="0053652E">
            <w:pPr>
              <w:spacing w:after="120" w:line="240" w:lineRule="auto"/>
              <w:rPr>
                <w:rFonts w:ascii="Calibri" w:hAnsi="Calibri"/>
              </w:rPr>
            </w:pPr>
          </w:p>
        </w:tc>
        <w:tc>
          <w:tcPr>
            <w:tcW w:w="2552" w:type="dxa"/>
            <w:shd w:val="clear" w:color="auto" w:fill="auto"/>
          </w:tcPr>
          <w:p w14:paraId="7C3F9B23" w14:textId="77777777" w:rsidR="00397E5F" w:rsidRPr="00653EF4" w:rsidRDefault="00397E5F" w:rsidP="0053652E">
            <w:pPr>
              <w:spacing w:after="120" w:line="240" w:lineRule="auto"/>
              <w:rPr>
                <w:rFonts w:ascii="Calibri" w:hAnsi="Calibri"/>
              </w:rPr>
            </w:pPr>
          </w:p>
        </w:tc>
        <w:tc>
          <w:tcPr>
            <w:tcW w:w="2126" w:type="dxa"/>
            <w:shd w:val="clear" w:color="auto" w:fill="auto"/>
          </w:tcPr>
          <w:p w14:paraId="2F2F81DB" w14:textId="77777777" w:rsidR="00397E5F" w:rsidRPr="00653EF4" w:rsidRDefault="00397E5F" w:rsidP="0053652E">
            <w:pPr>
              <w:spacing w:after="120" w:line="240" w:lineRule="auto"/>
              <w:rPr>
                <w:rFonts w:ascii="Calibri" w:hAnsi="Calibri"/>
              </w:rPr>
            </w:pPr>
          </w:p>
        </w:tc>
        <w:tc>
          <w:tcPr>
            <w:tcW w:w="2693" w:type="dxa"/>
            <w:shd w:val="clear" w:color="auto" w:fill="auto"/>
          </w:tcPr>
          <w:p w14:paraId="4C957704" w14:textId="77777777" w:rsidR="00397E5F" w:rsidRPr="00653EF4" w:rsidRDefault="00397E5F" w:rsidP="0053652E">
            <w:pPr>
              <w:spacing w:after="120" w:line="240" w:lineRule="auto"/>
              <w:rPr>
                <w:rFonts w:ascii="Calibri" w:hAnsi="Calibri"/>
              </w:rPr>
            </w:pPr>
          </w:p>
        </w:tc>
        <w:tc>
          <w:tcPr>
            <w:tcW w:w="1418" w:type="dxa"/>
            <w:shd w:val="clear" w:color="auto" w:fill="auto"/>
          </w:tcPr>
          <w:p w14:paraId="1D03A0BC" w14:textId="77777777" w:rsidR="00397E5F" w:rsidRPr="00653EF4" w:rsidRDefault="00397E5F" w:rsidP="0053652E">
            <w:pPr>
              <w:spacing w:after="120" w:line="240" w:lineRule="auto"/>
              <w:rPr>
                <w:rFonts w:ascii="Calibri" w:hAnsi="Calibri"/>
              </w:rPr>
            </w:pPr>
          </w:p>
        </w:tc>
      </w:tr>
    </w:tbl>
    <w:p w14:paraId="0B488567" w14:textId="77777777" w:rsidR="00397E5F" w:rsidRPr="00E27198" w:rsidRDefault="00397E5F" w:rsidP="0053652E">
      <w:pPr>
        <w:spacing w:after="120" w:line="240" w:lineRule="auto"/>
        <w:rPr>
          <w:rFonts w:eastAsiaTheme="majorEastAsia" w:cstheme="minorHAnsi"/>
        </w:rPr>
      </w:pPr>
    </w:p>
    <w:sectPr w:rsidR="00397E5F" w:rsidRPr="00E27198" w:rsidSect="003B0A3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F7C9" w14:textId="77777777" w:rsidR="0050772D" w:rsidRDefault="0050772D" w:rsidP="00F01D7A">
      <w:r>
        <w:separator/>
      </w:r>
    </w:p>
  </w:endnote>
  <w:endnote w:type="continuationSeparator" w:id="0">
    <w:p w14:paraId="639598AB" w14:textId="77777777" w:rsidR="0050772D" w:rsidRDefault="0050772D" w:rsidP="00F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CCC5" w14:textId="07265399" w:rsidR="00763905" w:rsidRPr="00BE0DD6" w:rsidRDefault="00BE0DD6" w:rsidP="00763905">
    <w:pPr>
      <w:pStyle w:val="Footer"/>
      <w:jc w:val="center"/>
      <w:rPr>
        <w:sz w:val="20"/>
        <w:szCs w:val="20"/>
      </w:rPr>
    </w:pPr>
    <w:r w:rsidRPr="00BE0DD6">
      <w:rPr>
        <w:sz w:val="20"/>
        <w:szCs w:val="20"/>
      </w:rPr>
      <w:t xml:space="preserve">Page </w:t>
    </w:r>
    <w:r w:rsidR="00763905" w:rsidRPr="00BE0DD6">
      <w:rPr>
        <w:sz w:val="20"/>
        <w:szCs w:val="20"/>
      </w:rPr>
      <w:fldChar w:fldCharType="begin"/>
    </w:r>
    <w:r w:rsidR="00763905" w:rsidRPr="00BE0DD6">
      <w:rPr>
        <w:sz w:val="20"/>
        <w:szCs w:val="20"/>
      </w:rPr>
      <w:instrText xml:space="preserve"> PAGE  \* Arabic  \* MERGEFORMAT </w:instrText>
    </w:r>
    <w:r w:rsidR="00763905" w:rsidRPr="00BE0DD6">
      <w:rPr>
        <w:sz w:val="20"/>
        <w:szCs w:val="20"/>
      </w:rPr>
      <w:fldChar w:fldCharType="separate"/>
    </w:r>
    <w:r w:rsidR="00A76CD0">
      <w:rPr>
        <w:noProof/>
        <w:sz w:val="20"/>
        <w:szCs w:val="20"/>
      </w:rPr>
      <w:t>26</w:t>
    </w:r>
    <w:r w:rsidR="00763905" w:rsidRPr="00BE0DD6">
      <w:rPr>
        <w:sz w:val="20"/>
        <w:szCs w:val="20"/>
      </w:rPr>
      <w:fldChar w:fldCharType="end"/>
    </w:r>
    <w:r w:rsidR="00763905" w:rsidRPr="00BE0DD6">
      <w:rPr>
        <w:sz w:val="20"/>
        <w:szCs w:val="20"/>
      </w:rPr>
      <w:t xml:space="preserve"> of </w:t>
    </w:r>
    <w:r w:rsidR="00763905" w:rsidRPr="00BE0DD6">
      <w:rPr>
        <w:sz w:val="20"/>
        <w:szCs w:val="20"/>
      </w:rPr>
      <w:fldChar w:fldCharType="begin"/>
    </w:r>
    <w:r w:rsidR="00763905" w:rsidRPr="00BE0DD6">
      <w:rPr>
        <w:sz w:val="20"/>
        <w:szCs w:val="20"/>
      </w:rPr>
      <w:instrText xml:space="preserve"> NUMPAGES   \* MERGEFORMAT </w:instrText>
    </w:r>
    <w:r w:rsidR="00763905" w:rsidRPr="00BE0DD6">
      <w:rPr>
        <w:sz w:val="20"/>
        <w:szCs w:val="20"/>
      </w:rPr>
      <w:fldChar w:fldCharType="separate"/>
    </w:r>
    <w:r w:rsidR="00A76CD0">
      <w:rPr>
        <w:noProof/>
        <w:sz w:val="20"/>
        <w:szCs w:val="20"/>
      </w:rPr>
      <w:t>42</w:t>
    </w:r>
    <w:r w:rsidR="00763905" w:rsidRPr="00BE0DD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CB8E2" w14:textId="77777777" w:rsidR="0050772D" w:rsidRDefault="0050772D" w:rsidP="00F01D7A">
      <w:r>
        <w:separator/>
      </w:r>
    </w:p>
  </w:footnote>
  <w:footnote w:type="continuationSeparator" w:id="0">
    <w:p w14:paraId="484A3529" w14:textId="77777777" w:rsidR="0050772D" w:rsidRDefault="0050772D" w:rsidP="00F01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303"/>
    <w:multiLevelType w:val="hybridMultilevel"/>
    <w:tmpl w:val="0010B8BE"/>
    <w:lvl w:ilvl="0" w:tplc="B038CA8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F5531"/>
    <w:multiLevelType w:val="hybridMultilevel"/>
    <w:tmpl w:val="1E9A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47381"/>
    <w:multiLevelType w:val="hybridMultilevel"/>
    <w:tmpl w:val="EDF20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C6A19"/>
    <w:multiLevelType w:val="hybridMultilevel"/>
    <w:tmpl w:val="01C4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963DE"/>
    <w:multiLevelType w:val="hybridMultilevel"/>
    <w:tmpl w:val="1B62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E7546"/>
    <w:multiLevelType w:val="hybridMultilevel"/>
    <w:tmpl w:val="7DB0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C3AA8"/>
    <w:multiLevelType w:val="hybridMultilevel"/>
    <w:tmpl w:val="98405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87F16"/>
    <w:multiLevelType w:val="hybridMultilevel"/>
    <w:tmpl w:val="1A5EE818"/>
    <w:lvl w:ilvl="0" w:tplc="891807FE">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FBD"/>
    <w:multiLevelType w:val="hybridMultilevel"/>
    <w:tmpl w:val="1098D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A55090"/>
    <w:multiLevelType w:val="hybridMultilevel"/>
    <w:tmpl w:val="ECF282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29A72041"/>
    <w:multiLevelType w:val="hybridMultilevel"/>
    <w:tmpl w:val="14182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EA3FAF"/>
    <w:multiLevelType w:val="hybridMultilevel"/>
    <w:tmpl w:val="E0E43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00059B"/>
    <w:multiLevelType w:val="hybridMultilevel"/>
    <w:tmpl w:val="893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3C2B20"/>
    <w:multiLevelType w:val="hybridMultilevel"/>
    <w:tmpl w:val="763C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E613D"/>
    <w:multiLevelType w:val="hybridMultilevel"/>
    <w:tmpl w:val="5628C7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D095F"/>
    <w:multiLevelType w:val="hybridMultilevel"/>
    <w:tmpl w:val="5658D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E2E27"/>
    <w:multiLevelType w:val="hybridMultilevel"/>
    <w:tmpl w:val="5876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5B3DB5"/>
    <w:multiLevelType w:val="hybridMultilevel"/>
    <w:tmpl w:val="0B1C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A122AA"/>
    <w:multiLevelType w:val="hybridMultilevel"/>
    <w:tmpl w:val="1E08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C52AEE"/>
    <w:multiLevelType w:val="hybridMultilevel"/>
    <w:tmpl w:val="5934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B53B0"/>
    <w:multiLevelType w:val="hybridMultilevel"/>
    <w:tmpl w:val="A9C2FDD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D43C1E"/>
    <w:multiLevelType w:val="hybridMultilevel"/>
    <w:tmpl w:val="37762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046E8"/>
    <w:multiLevelType w:val="hybridMultilevel"/>
    <w:tmpl w:val="6E762A88"/>
    <w:lvl w:ilvl="0" w:tplc="4E208EE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BE4547"/>
    <w:multiLevelType w:val="hybridMultilevel"/>
    <w:tmpl w:val="F61E7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046922"/>
    <w:multiLevelType w:val="hybridMultilevel"/>
    <w:tmpl w:val="B280782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0574E40"/>
    <w:multiLevelType w:val="hybridMultilevel"/>
    <w:tmpl w:val="74DA5398"/>
    <w:lvl w:ilvl="0" w:tplc="5A945FFA">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811E8A"/>
    <w:multiLevelType w:val="hybridMultilevel"/>
    <w:tmpl w:val="87F8C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F53D8"/>
    <w:multiLevelType w:val="hybridMultilevel"/>
    <w:tmpl w:val="8BEA3078"/>
    <w:lvl w:ilvl="0" w:tplc="182CC260">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874440"/>
    <w:multiLevelType w:val="hybridMultilevel"/>
    <w:tmpl w:val="D56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4570E7"/>
    <w:multiLevelType w:val="hybridMultilevel"/>
    <w:tmpl w:val="4D76F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6F71F4"/>
    <w:multiLevelType w:val="hybridMultilevel"/>
    <w:tmpl w:val="F204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356951"/>
    <w:multiLevelType w:val="hybridMultilevel"/>
    <w:tmpl w:val="16507C2A"/>
    <w:lvl w:ilvl="0" w:tplc="B76EAEB0">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647702A0"/>
    <w:multiLevelType w:val="hybridMultilevel"/>
    <w:tmpl w:val="F0E4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B33E4"/>
    <w:multiLevelType w:val="hybridMultilevel"/>
    <w:tmpl w:val="55762A76"/>
    <w:lvl w:ilvl="0" w:tplc="DA22F0BE">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4853D1"/>
    <w:multiLevelType w:val="hybridMultilevel"/>
    <w:tmpl w:val="889C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0A1125"/>
    <w:multiLevelType w:val="hybridMultilevel"/>
    <w:tmpl w:val="D37E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4067C"/>
    <w:multiLevelType w:val="hybridMultilevel"/>
    <w:tmpl w:val="058E9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DB0B03"/>
    <w:multiLevelType w:val="hybridMultilevel"/>
    <w:tmpl w:val="6502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435934"/>
    <w:multiLevelType w:val="hybridMultilevel"/>
    <w:tmpl w:val="BDCE1D1A"/>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580180"/>
    <w:multiLevelType w:val="hybridMultilevel"/>
    <w:tmpl w:val="2090800A"/>
    <w:lvl w:ilvl="0" w:tplc="A7DACEB4">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A846459"/>
    <w:multiLevelType w:val="hybridMultilevel"/>
    <w:tmpl w:val="FA3EB5C0"/>
    <w:lvl w:ilvl="0" w:tplc="02561FC4">
      <w:start w:val="1"/>
      <w:numFmt w:val="bullet"/>
      <w:lvlText w:val=""/>
      <w:lvlJc w:val="left"/>
      <w:pPr>
        <w:ind w:left="720" w:hanging="360"/>
      </w:pPr>
      <w:rPr>
        <w:rFonts w:ascii="Symbol" w:hAnsi="Symbol" w:hint="default"/>
      </w:rPr>
    </w:lvl>
    <w:lvl w:ilvl="1" w:tplc="F652477A">
      <w:start w:val="1"/>
      <w:numFmt w:val="bullet"/>
      <w:lvlText w:val=""/>
      <w:lvlJc w:val="left"/>
      <w:pPr>
        <w:ind w:left="1440" w:hanging="360"/>
      </w:pPr>
      <w:rPr>
        <w:rFonts w:ascii="Symbol" w:hAnsi="Symbol" w:hint="default"/>
      </w:rPr>
    </w:lvl>
    <w:lvl w:ilvl="2" w:tplc="A9F802B6">
      <w:start w:val="1"/>
      <w:numFmt w:val="bullet"/>
      <w:lvlText w:val=""/>
      <w:lvlJc w:val="left"/>
      <w:pPr>
        <w:ind w:left="2160" w:hanging="360"/>
      </w:pPr>
      <w:rPr>
        <w:rFonts w:ascii="Wingdings" w:hAnsi="Wingdings" w:hint="default"/>
      </w:rPr>
    </w:lvl>
    <w:lvl w:ilvl="3" w:tplc="79A4F6FC">
      <w:start w:val="1"/>
      <w:numFmt w:val="bullet"/>
      <w:lvlText w:val=""/>
      <w:lvlJc w:val="left"/>
      <w:pPr>
        <w:ind w:left="2880" w:hanging="360"/>
      </w:pPr>
      <w:rPr>
        <w:rFonts w:ascii="Symbol" w:hAnsi="Symbol" w:hint="default"/>
      </w:rPr>
    </w:lvl>
    <w:lvl w:ilvl="4" w:tplc="B80C3010">
      <w:start w:val="1"/>
      <w:numFmt w:val="bullet"/>
      <w:lvlText w:val="o"/>
      <w:lvlJc w:val="left"/>
      <w:pPr>
        <w:ind w:left="3600" w:hanging="360"/>
      </w:pPr>
      <w:rPr>
        <w:rFonts w:ascii="Courier New" w:hAnsi="Courier New" w:hint="default"/>
      </w:rPr>
    </w:lvl>
    <w:lvl w:ilvl="5" w:tplc="32BA8D14">
      <w:start w:val="1"/>
      <w:numFmt w:val="bullet"/>
      <w:lvlText w:val=""/>
      <w:lvlJc w:val="left"/>
      <w:pPr>
        <w:ind w:left="4320" w:hanging="360"/>
      </w:pPr>
      <w:rPr>
        <w:rFonts w:ascii="Wingdings" w:hAnsi="Wingdings" w:hint="default"/>
      </w:rPr>
    </w:lvl>
    <w:lvl w:ilvl="6" w:tplc="A80A0314">
      <w:start w:val="1"/>
      <w:numFmt w:val="bullet"/>
      <w:lvlText w:val=""/>
      <w:lvlJc w:val="left"/>
      <w:pPr>
        <w:ind w:left="5040" w:hanging="360"/>
      </w:pPr>
      <w:rPr>
        <w:rFonts w:ascii="Symbol" w:hAnsi="Symbol" w:hint="default"/>
      </w:rPr>
    </w:lvl>
    <w:lvl w:ilvl="7" w:tplc="5660201A">
      <w:start w:val="1"/>
      <w:numFmt w:val="bullet"/>
      <w:lvlText w:val="o"/>
      <w:lvlJc w:val="left"/>
      <w:pPr>
        <w:ind w:left="5760" w:hanging="360"/>
      </w:pPr>
      <w:rPr>
        <w:rFonts w:ascii="Courier New" w:hAnsi="Courier New" w:hint="default"/>
      </w:rPr>
    </w:lvl>
    <w:lvl w:ilvl="8" w:tplc="0F628ED6">
      <w:start w:val="1"/>
      <w:numFmt w:val="bullet"/>
      <w:lvlText w:val=""/>
      <w:lvlJc w:val="left"/>
      <w:pPr>
        <w:ind w:left="6480" w:hanging="360"/>
      </w:pPr>
      <w:rPr>
        <w:rFonts w:ascii="Wingdings" w:hAnsi="Wingdings" w:hint="default"/>
      </w:rPr>
    </w:lvl>
  </w:abstractNum>
  <w:abstractNum w:abstractNumId="47" w15:restartNumberingAfterBreak="0">
    <w:nsid w:val="7C2748EF"/>
    <w:multiLevelType w:val="hybridMultilevel"/>
    <w:tmpl w:val="579C8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BF6D85"/>
    <w:multiLevelType w:val="hybridMultilevel"/>
    <w:tmpl w:val="B988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852DC8"/>
    <w:multiLevelType w:val="hybridMultilevel"/>
    <w:tmpl w:val="794CD72E"/>
    <w:lvl w:ilvl="0" w:tplc="E2567F7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53CEA66">
      <w:start w:val="1"/>
      <w:numFmt w:val="bullet"/>
      <w:lvlText w:val=""/>
      <w:lvlJc w:val="left"/>
      <w:pPr>
        <w:ind w:left="2160" w:hanging="360"/>
      </w:pPr>
      <w:rPr>
        <w:rFonts w:ascii="Wingdings" w:hAnsi="Wingdings" w:hint="default"/>
      </w:rPr>
    </w:lvl>
    <w:lvl w:ilvl="3" w:tplc="E0409850">
      <w:start w:val="1"/>
      <w:numFmt w:val="bullet"/>
      <w:lvlText w:val=""/>
      <w:lvlJc w:val="left"/>
      <w:pPr>
        <w:ind w:left="2880" w:hanging="360"/>
      </w:pPr>
      <w:rPr>
        <w:rFonts w:ascii="Symbol" w:hAnsi="Symbol" w:hint="default"/>
      </w:rPr>
    </w:lvl>
    <w:lvl w:ilvl="4" w:tplc="AF96B484">
      <w:start w:val="1"/>
      <w:numFmt w:val="bullet"/>
      <w:lvlText w:val="o"/>
      <w:lvlJc w:val="left"/>
      <w:pPr>
        <w:ind w:left="3600" w:hanging="360"/>
      </w:pPr>
      <w:rPr>
        <w:rFonts w:ascii="Courier New" w:hAnsi="Courier New" w:hint="default"/>
      </w:rPr>
    </w:lvl>
    <w:lvl w:ilvl="5" w:tplc="C636847A">
      <w:start w:val="1"/>
      <w:numFmt w:val="bullet"/>
      <w:lvlText w:val=""/>
      <w:lvlJc w:val="left"/>
      <w:pPr>
        <w:ind w:left="4320" w:hanging="360"/>
      </w:pPr>
      <w:rPr>
        <w:rFonts w:ascii="Wingdings" w:hAnsi="Wingdings" w:hint="default"/>
      </w:rPr>
    </w:lvl>
    <w:lvl w:ilvl="6" w:tplc="BC886044">
      <w:start w:val="1"/>
      <w:numFmt w:val="bullet"/>
      <w:lvlText w:val=""/>
      <w:lvlJc w:val="left"/>
      <w:pPr>
        <w:ind w:left="5040" w:hanging="360"/>
      </w:pPr>
      <w:rPr>
        <w:rFonts w:ascii="Symbol" w:hAnsi="Symbol" w:hint="default"/>
      </w:rPr>
    </w:lvl>
    <w:lvl w:ilvl="7" w:tplc="94A62C4C">
      <w:start w:val="1"/>
      <w:numFmt w:val="bullet"/>
      <w:lvlText w:val="o"/>
      <w:lvlJc w:val="left"/>
      <w:pPr>
        <w:ind w:left="5760" w:hanging="360"/>
      </w:pPr>
      <w:rPr>
        <w:rFonts w:ascii="Courier New" w:hAnsi="Courier New" w:hint="default"/>
      </w:rPr>
    </w:lvl>
    <w:lvl w:ilvl="8" w:tplc="CBAAB33A">
      <w:start w:val="1"/>
      <w:numFmt w:val="bullet"/>
      <w:lvlText w:val=""/>
      <w:lvlJc w:val="left"/>
      <w:pPr>
        <w:ind w:left="6480" w:hanging="360"/>
      </w:pPr>
      <w:rPr>
        <w:rFonts w:ascii="Wingdings" w:hAnsi="Wingdings" w:hint="default"/>
      </w:rPr>
    </w:lvl>
  </w:abstractNum>
  <w:num w:numId="1">
    <w:abstractNumId w:val="46"/>
  </w:num>
  <w:num w:numId="2">
    <w:abstractNumId w:val="49"/>
  </w:num>
  <w:num w:numId="3">
    <w:abstractNumId w:val="13"/>
  </w:num>
  <w:num w:numId="4">
    <w:abstractNumId w:val="29"/>
  </w:num>
  <w:num w:numId="5">
    <w:abstractNumId w:val="27"/>
  </w:num>
  <w:num w:numId="6">
    <w:abstractNumId w:val="44"/>
  </w:num>
  <w:num w:numId="7">
    <w:abstractNumId w:val="42"/>
  </w:num>
  <w:num w:numId="8">
    <w:abstractNumId w:val="10"/>
  </w:num>
  <w:num w:numId="9">
    <w:abstractNumId w:val="15"/>
  </w:num>
  <w:num w:numId="10">
    <w:abstractNumId w:val="6"/>
  </w:num>
  <w:num w:numId="11">
    <w:abstractNumId w:val="21"/>
  </w:num>
  <w:num w:numId="12">
    <w:abstractNumId w:val="33"/>
  </w:num>
  <w:num w:numId="13">
    <w:abstractNumId w:val="2"/>
  </w:num>
  <w:num w:numId="14">
    <w:abstractNumId w:val="26"/>
  </w:num>
  <w:num w:numId="15">
    <w:abstractNumId w:val="41"/>
  </w:num>
  <w:num w:numId="16">
    <w:abstractNumId w:val="45"/>
  </w:num>
  <w:num w:numId="17">
    <w:abstractNumId w:val="25"/>
  </w:num>
  <w:num w:numId="18">
    <w:abstractNumId w:val="7"/>
  </w:num>
  <w:num w:numId="19">
    <w:abstractNumId w:val="31"/>
  </w:num>
  <w:num w:numId="20">
    <w:abstractNumId w:val="0"/>
  </w:num>
  <w:num w:numId="21">
    <w:abstractNumId w:val="38"/>
  </w:num>
  <w:num w:numId="22">
    <w:abstractNumId w:val="36"/>
  </w:num>
  <w:num w:numId="23">
    <w:abstractNumId w:val="43"/>
  </w:num>
  <w:num w:numId="24">
    <w:abstractNumId w:val="35"/>
  </w:num>
  <w:num w:numId="25">
    <w:abstractNumId w:val="19"/>
  </w:num>
  <w:num w:numId="26">
    <w:abstractNumId w:val="11"/>
  </w:num>
  <w:num w:numId="27">
    <w:abstractNumId w:val="4"/>
  </w:num>
  <w:num w:numId="28">
    <w:abstractNumId w:val="40"/>
  </w:num>
  <w:num w:numId="29">
    <w:abstractNumId w:val="32"/>
  </w:num>
  <w:num w:numId="30">
    <w:abstractNumId w:val="28"/>
  </w:num>
  <w:num w:numId="31">
    <w:abstractNumId w:val="3"/>
  </w:num>
  <w:num w:numId="32">
    <w:abstractNumId w:val="18"/>
  </w:num>
  <w:num w:numId="33">
    <w:abstractNumId w:val="24"/>
  </w:num>
  <w:num w:numId="34">
    <w:abstractNumId w:val="16"/>
  </w:num>
  <w:num w:numId="35">
    <w:abstractNumId w:val="9"/>
  </w:num>
  <w:num w:numId="36">
    <w:abstractNumId w:val="22"/>
  </w:num>
  <w:num w:numId="37">
    <w:abstractNumId w:val="23"/>
  </w:num>
  <w:num w:numId="38">
    <w:abstractNumId w:val="8"/>
  </w:num>
  <w:num w:numId="39">
    <w:abstractNumId w:val="37"/>
  </w:num>
  <w:num w:numId="40">
    <w:abstractNumId w:val="39"/>
  </w:num>
  <w:num w:numId="41">
    <w:abstractNumId w:val="12"/>
  </w:num>
  <w:num w:numId="42">
    <w:abstractNumId w:val="5"/>
  </w:num>
  <w:num w:numId="43">
    <w:abstractNumId w:val="20"/>
  </w:num>
  <w:num w:numId="44">
    <w:abstractNumId w:val="47"/>
  </w:num>
  <w:num w:numId="45">
    <w:abstractNumId w:val="48"/>
  </w:num>
  <w:num w:numId="46">
    <w:abstractNumId w:val="30"/>
  </w:num>
  <w:num w:numId="47">
    <w:abstractNumId w:val="17"/>
  </w:num>
  <w:num w:numId="48">
    <w:abstractNumId w:val="34"/>
  </w:num>
  <w:num w:numId="49">
    <w:abstractNumId w:val="1"/>
  </w:num>
  <w:num w:numId="5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linkStyle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90"/>
    <w:rsid w:val="00003CD1"/>
    <w:rsid w:val="00012F6F"/>
    <w:rsid w:val="00021ACC"/>
    <w:rsid w:val="000274F4"/>
    <w:rsid w:val="00030A0E"/>
    <w:rsid w:val="000330E5"/>
    <w:rsid w:val="00037538"/>
    <w:rsid w:val="00044208"/>
    <w:rsid w:val="00045EEC"/>
    <w:rsid w:val="00052663"/>
    <w:rsid w:val="00055166"/>
    <w:rsid w:val="00062614"/>
    <w:rsid w:val="00066756"/>
    <w:rsid w:val="0006772E"/>
    <w:rsid w:val="00071048"/>
    <w:rsid w:val="00072C5E"/>
    <w:rsid w:val="00073A82"/>
    <w:rsid w:val="00077C9B"/>
    <w:rsid w:val="000803BB"/>
    <w:rsid w:val="00082707"/>
    <w:rsid w:val="00083DA4"/>
    <w:rsid w:val="0008785E"/>
    <w:rsid w:val="00090276"/>
    <w:rsid w:val="00091210"/>
    <w:rsid w:val="000913C1"/>
    <w:rsid w:val="0009418A"/>
    <w:rsid w:val="000942A1"/>
    <w:rsid w:val="000953B6"/>
    <w:rsid w:val="000A181F"/>
    <w:rsid w:val="000A5FB8"/>
    <w:rsid w:val="000B2155"/>
    <w:rsid w:val="000B418E"/>
    <w:rsid w:val="000C3989"/>
    <w:rsid w:val="000C53B1"/>
    <w:rsid w:val="000E3D99"/>
    <w:rsid w:val="000F08E0"/>
    <w:rsid w:val="000F2F99"/>
    <w:rsid w:val="000F4C61"/>
    <w:rsid w:val="000F6017"/>
    <w:rsid w:val="00100826"/>
    <w:rsid w:val="001113BA"/>
    <w:rsid w:val="00116FE2"/>
    <w:rsid w:val="00125245"/>
    <w:rsid w:val="00125BF8"/>
    <w:rsid w:val="00133175"/>
    <w:rsid w:val="00133EE8"/>
    <w:rsid w:val="00136FA5"/>
    <w:rsid w:val="001417B9"/>
    <w:rsid w:val="00141BE8"/>
    <w:rsid w:val="001470BC"/>
    <w:rsid w:val="001552E1"/>
    <w:rsid w:val="00155F80"/>
    <w:rsid w:val="00164C1D"/>
    <w:rsid w:val="001655D1"/>
    <w:rsid w:val="00177682"/>
    <w:rsid w:val="00181F6D"/>
    <w:rsid w:val="00184BFC"/>
    <w:rsid w:val="001871AF"/>
    <w:rsid w:val="001946AA"/>
    <w:rsid w:val="001A14FF"/>
    <w:rsid w:val="001A24B2"/>
    <w:rsid w:val="001A67FE"/>
    <w:rsid w:val="001A7425"/>
    <w:rsid w:val="001B13AF"/>
    <w:rsid w:val="001B2370"/>
    <w:rsid w:val="001B311E"/>
    <w:rsid w:val="001B40A4"/>
    <w:rsid w:val="001B433D"/>
    <w:rsid w:val="001B57AD"/>
    <w:rsid w:val="001B67E9"/>
    <w:rsid w:val="001C0223"/>
    <w:rsid w:val="001C2E5C"/>
    <w:rsid w:val="001C314C"/>
    <w:rsid w:val="001C6B26"/>
    <w:rsid w:val="001C7B09"/>
    <w:rsid w:val="001C7F87"/>
    <w:rsid w:val="001C7FC9"/>
    <w:rsid w:val="001D2011"/>
    <w:rsid w:val="001D62A6"/>
    <w:rsid w:val="001E120D"/>
    <w:rsid w:val="001E12AE"/>
    <w:rsid w:val="001E69C3"/>
    <w:rsid w:val="001F0642"/>
    <w:rsid w:val="00201244"/>
    <w:rsid w:val="00206226"/>
    <w:rsid w:val="00206235"/>
    <w:rsid w:val="00207098"/>
    <w:rsid w:val="00207429"/>
    <w:rsid w:val="00210320"/>
    <w:rsid w:val="00214376"/>
    <w:rsid w:val="002246D5"/>
    <w:rsid w:val="00230DD5"/>
    <w:rsid w:val="00233209"/>
    <w:rsid w:val="00235F39"/>
    <w:rsid w:val="00237783"/>
    <w:rsid w:val="00245E5B"/>
    <w:rsid w:val="0024772B"/>
    <w:rsid w:val="002501D5"/>
    <w:rsid w:val="0025076F"/>
    <w:rsid w:val="0025101B"/>
    <w:rsid w:val="00253009"/>
    <w:rsid w:val="00255E19"/>
    <w:rsid w:val="00256124"/>
    <w:rsid w:val="0026734E"/>
    <w:rsid w:val="00272971"/>
    <w:rsid w:val="00276183"/>
    <w:rsid w:val="00280050"/>
    <w:rsid w:val="00280417"/>
    <w:rsid w:val="00280EF0"/>
    <w:rsid w:val="002810D2"/>
    <w:rsid w:val="00281710"/>
    <w:rsid w:val="00283252"/>
    <w:rsid w:val="00284069"/>
    <w:rsid w:val="00284647"/>
    <w:rsid w:val="0028604E"/>
    <w:rsid w:val="00292FBF"/>
    <w:rsid w:val="002943EE"/>
    <w:rsid w:val="00297AD8"/>
    <w:rsid w:val="002A1BC4"/>
    <w:rsid w:val="002A5058"/>
    <w:rsid w:val="002A655C"/>
    <w:rsid w:val="002B0788"/>
    <w:rsid w:val="002B45E9"/>
    <w:rsid w:val="002C0251"/>
    <w:rsid w:val="002C6FB5"/>
    <w:rsid w:val="002D1E18"/>
    <w:rsid w:val="002D442B"/>
    <w:rsid w:val="002E3A58"/>
    <w:rsid w:val="002E74FA"/>
    <w:rsid w:val="002F5FF6"/>
    <w:rsid w:val="002F61C3"/>
    <w:rsid w:val="002F7917"/>
    <w:rsid w:val="002F7FCD"/>
    <w:rsid w:val="003016D9"/>
    <w:rsid w:val="0030406E"/>
    <w:rsid w:val="003050E4"/>
    <w:rsid w:val="00307BB4"/>
    <w:rsid w:val="00314FD4"/>
    <w:rsid w:val="00320245"/>
    <w:rsid w:val="0032440B"/>
    <w:rsid w:val="0032640C"/>
    <w:rsid w:val="00330A3C"/>
    <w:rsid w:val="00331062"/>
    <w:rsid w:val="003332EF"/>
    <w:rsid w:val="0033475A"/>
    <w:rsid w:val="00335A37"/>
    <w:rsid w:val="00340B82"/>
    <w:rsid w:val="00346076"/>
    <w:rsid w:val="00350A11"/>
    <w:rsid w:val="00350B69"/>
    <w:rsid w:val="0036012E"/>
    <w:rsid w:val="00362B90"/>
    <w:rsid w:val="00363B4E"/>
    <w:rsid w:val="003649FE"/>
    <w:rsid w:val="00365057"/>
    <w:rsid w:val="003657E7"/>
    <w:rsid w:val="00366345"/>
    <w:rsid w:val="00367D1C"/>
    <w:rsid w:val="0037040B"/>
    <w:rsid w:val="00383910"/>
    <w:rsid w:val="00387562"/>
    <w:rsid w:val="00390370"/>
    <w:rsid w:val="00397004"/>
    <w:rsid w:val="00397146"/>
    <w:rsid w:val="00397E5F"/>
    <w:rsid w:val="003A1667"/>
    <w:rsid w:val="003A16AB"/>
    <w:rsid w:val="003A733F"/>
    <w:rsid w:val="003B0A32"/>
    <w:rsid w:val="003B3D8A"/>
    <w:rsid w:val="003B3FAE"/>
    <w:rsid w:val="003B52D6"/>
    <w:rsid w:val="003B7B66"/>
    <w:rsid w:val="003E0BE8"/>
    <w:rsid w:val="003E1205"/>
    <w:rsid w:val="003E7631"/>
    <w:rsid w:val="003F13F1"/>
    <w:rsid w:val="003F21BE"/>
    <w:rsid w:val="003F2999"/>
    <w:rsid w:val="003F5ECF"/>
    <w:rsid w:val="003F6947"/>
    <w:rsid w:val="003F7CDE"/>
    <w:rsid w:val="00400B6B"/>
    <w:rsid w:val="00400F8A"/>
    <w:rsid w:val="00404302"/>
    <w:rsid w:val="004052A2"/>
    <w:rsid w:val="004052D3"/>
    <w:rsid w:val="00407468"/>
    <w:rsid w:val="00411DF5"/>
    <w:rsid w:val="00414D24"/>
    <w:rsid w:val="00415432"/>
    <w:rsid w:val="004221C9"/>
    <w:rsid w:val="00426AAC"/>
    <w:rsid w:val="004326CD"/>
    <w:rsid w:val="00435FC3"/>
    <w:rsid w:val="004373F3"/>
    <w:rsid w:val="00445693"/>
    <w:rsid w:val="0044748C"/>
    <w:rsid w:val="004504A2"/>
    <w:rsid w:val="0045331E"/>
    <w:rsid w:val="00456CE2"/>
    <w:rsid w:val="00460C89"/>
    <w:rsid w:val="00467E2B"/>
    <w:rsid w:val="004711A9"/>
    <w:rsid w:val="004731A3"/>
    <w:rsid w:val="00473D92"/>
    <w:rsid w:val="0047519A"/>
    <w:rsid w:val="00476924"/>
    <w:rsid w:val="004808E0"/>
    <w:rsid w:val="0049262A"/>
    <w:rsid w:val="00496922"/>
    <w:rsid w:val="004A097C"/>
    <w:rsid w:val="004A21EA"/>
    <w:rsid w:val="004A5CBD"/>
    <w:rsid w:val="004A77D6"/>
    <w:rsid w:val="004C5516"/>
    <w:rsid w:val="004D089A"/>
    <w:rsid w:val="004D6B11"/>
    <w:rsid w:val="004E21AF"/>
    <w:rsid w:val="004E37A1"/>
    <w:rsid w:val="004E4E3B"/>
    <w:rsid w:val="004F0731"/>
    <w:rsid w:val="004F6740"/>
    <w:rsid w:val="0050772D"/>
    <w:rsid w:val="00515151"/>
    <w:rsid w:val="00521AE0"/>
    <w:rsid w:val="00523632"/>
    <w:rsid w:val="0052675C"/>
    <w:rsid w:val="00530D4B"/>
    <w:rsid w:val="00530D63"/>
    <w:rsid w:val="00535F90"/>
    <w:rsid w:val="0053652E"/>
    <w:rsid w:val="00537182"/>
    <w:rsid w:val="005373D1"/>
    <w:rsid w:val="00545705"/>
    <w:rsid w:val="00547D45"/>
    <w:rsid w:val="005625E6"/>
    <w:rsid w:val="005640E0"/>
    <w:rsid w:val="005757FA"/>
    <w:rsid w:val="00580882"/>
    <w:rsid w:val="00585FF2"/>
    <w:rsid w:val="005877A6"/>
    <w:rsid w:val="00591BF7"/>
    <w:rsid w:val="00593EE2"/>
    <w:rsid w:val="005950C4"/>
    <w:rsid w:val="00597262"/>
    <w:rsid w:val="005A3200"/>
    <w:rsid w:val="005A3681"/>
    <w:rsid w:val="005B0521"/>
    <w:rsid w:val="005B48B4"/>
    <w:rsid w:val="005C11B4"/>
    <w:rsid w:val="005C285D"/>
    <w:rsid w:val="005D33A7"/>
    <w:rsid w:val="005E6759"/>
    <w:rsid w:val="005F133E"/>
    <w:rsid w:val="005F46C4"/>
    <w:rsid w:val="005F67F2"/>
    <w:rsid w:val="005F6D81"/>
    <w:rsid w:val="00605999"/>
    <w:rsid w:val="00606F5C"/>
    <w:rsid w:val="00613B19"/>
    <w:rsid w:val="00621A0A"/>
    <w:rsid w:val="00623E9E"/>
    <w:rsid w:val="00624269"/>
    <w:rsid w:val="00630D5C"/>
    <w:rsid w:val="00631946"/>
    <w:rsid w:val="00632342"/>
    <w:rsid w:val="0063478F"/>
    <w:rsid w:val="00652170"/>
    <w:rsid w:val="0065298F"/>
    <w:rsid w:val="006546F0"/>
    <w:rsid w:val="00665A7D"/>
    <w:rsid w:val="00676794"/>
    <w:rsid w:val="006806A0"/>
    <w:rsid w:val="0068489E"/>
    <w:rsid w:val="00687ABC"/>
    <w:rsid w:val="00695D6D"/>
    <w:rsid w:val="00695E18"/>
    <w:rsid w:val="006A4A78"/>
    <w:rsid w:val="006A5D94"/>
    <w:rsid w:val="006A6790"/>
    <w:rsid w:val="006C2D53"/>
    <w:rsid w:val="006C50F3"/>
    <w:rsid w:val="006C70D4"/>
    <w:rsid w:val="006D0A00"/>
    <w:rsid w:val="006D46C8"/>
    <w:rsid w:val="006D6E85"/>
    <w:rsid w:val="006E3F4C"/>
    <w:rsid w:val="006E4FAC"/>
    <w:rsid w:val="006E5C9F"/>
    <w:rsid w:val="006F10B0"/>
    <w:rsid w:val="006F1D84"/>
    <w:rsid w:val="006F7398"/>
    <w:rsid w:val="00703059"/>
    <w:rsid w:val="00704BC8"/>
    <w:rsid w:val="0070796E"/>
    <w:rsid w:val="0071041C"/>
    <w:rsid w:val="00710708"/>
    <w:rsid w:val="0071176E"/>
    <w:rsid w:val="00713764"/>
    <w:rsid w:val="0072488B"/>
    <w:rsid w:val="007325AC"/>
    <w:rsid w:val="00732A1D"/>
    <w:rsid w:val="00733B54"/>
    <w:rsid w:val="00747D7D"/>
    <w:rsid w:val="007533DD"/>
    <w:rsid w:val="007540FD"/>
    <w:rsid w:val="007558DD"/>
    <w:rsid w:val="00763905"/>
    <w:rsid w:val="00763E54"/>
    <w:rsid w:val="00772F11"/>
    <w:rsid w:val="0077524B"/>
    <w:rsid w:val="007779E3"/>
    <w:rsid w:val="007872D8"/>
    <w:rsid w:val="007934CE"/>
    <w:rsid w:val="00795A71"/>
    <w:rsid w:val="007A01D4"/>
    <w:rsid w:val="007A0EB0"/>
    <w:rsid w:val="007A2152"/>
    <w:rsid w:val="007A2CC6"/>
    <w:rsid w:val="007B192F"/>
    <w:rsid w:val="007B4E56"/>
    <w:rsid w:val="007C01F2"/>
    <w:rsid w:val="007C1608"/>
    <w:rsid w:val="007C2BBC"/>
    <w:rsid w:val="007D1B2F"/>
    <w:rsid w:val="007D4B50"/>
    <w:rsid w:val="007E1F1F"/>
    <w:rsid w:val="007E34B5"/>
    <w:rsid w:val="007E6520"/>
    <w:rsid w:val="007E66DD"/>
    <w:rsid w:val="007E7363"/>
    <w:rsid w:val="007F30C1"/>
    <w:rsid w:val="007F437A"/>
    <w:rsid w:val="007F6BB6"/>
    <w:rsid w:val="00800EDF"/>
    <w:rsid w:val="00802171"/>
    <w:rsid w:val="00802C8C"/>
    <w:rsid w:val="00810EE2"/>
    <w:rsid w:val="00811FFB"/>
    <w:rsid w:val="00816AF3"/>
    <w:rsid w:val="00817DC9"/>
    <w:rsid w:val="0082080B"/>
    <w:rsid w:val="00823FF3"/>
    <w:rsid w:val="00831386"/>
    <w:rsid w:val="00844671"/>
    <w:rsid w:val="00846EAA"/>
    <w:rsid w:val="0086321F"/>
    <w:rsid w:val="008634A1"/>
    <w:rsid w:val="00866705"/>
    <w:rsid w:val="0087581A"/>
    <w:rsid w:val="008774E6"/>
    <w:rsid w:val="00881BB9"/>
    <w:rsid w:val="0088294C"/>
    <w:rsid w:val="00884295"/>
    <w:rsid w:val="00885F8F"/>
    <w:rsid w:val="008A2D0E"/>
    <w:rsid w:val="008A2FD2"/>
    <w:rsid w:val="008A321B"/>
    <w:rsid w:val="008B13D3"/>
    <w:rsid w:val="008B3B84"/>
    <w:rsid w:val="008B487F"/>
    <w:rsid w:val="008B499C"/>
    <w:rsid w:val="008B5BC4"/>
    <w:rsid w:val="008C17BC"/>
    <w:rsid w:val="008C4426"/>
    <w:rsid w:val="008C5EAB"/>
    <w:rsid w:val="008D05CD"/>
    <w:rsid w:val="008D089A"/>
    <w:rsid w:val="008D1215"/>
    <w:rsid w:val="008E5638"/>
    <w:rsid w:val="008E7664"/>
    <w:rsid w:val="008F0727"/>
    <w:rsid w:val="00900840"/>
    <w:rsid w:val="00920483"/>
    <w:rsid w:val="00923B98"/>
    <w:rsid w:val="0092785D"/>
    <w:rsid w:val="009354C1"/>
    <w:rsid w:val="00945EDF"/>
    <w:rsid w:val="00945FAA"/>
    <w:rsid w:val="009467AC"/>
    <w:rsid w:val="009502C1"/>
    <w:rsid w:val="009532E8"/>
    <w:rsid w:val="0095393B"/>
    <w:rsid w:val="00954F21"/>
    <w:rsid w:val="00956B82"/>
    <w:rsid w:val="00956DC4"/>
    <w:rsid w:val="00960BB0"/>
    <w:rsid w:val="009650D7"/>
    <w:rsid w:val="0096743F"/>
    <w:rsid w:val="009727DF"/>
    <w:rsid w:val="0097394A"/>
    <w:rsid w:val="00973E4A"/>
    <w:rsid w:val="00991061"/>
    <w:rsid w:val="00991DDD"/>
    <w:rsid w:val="00992786"/>
    <w:rsid w:val="0099547B"/>
    <w:rsid w:val="00995BB5"/>
    <w:rsid w:val="00996FF8"/>
    <w:rsid w:val="009A0C55"/>
    <w:rsid w:val="009A6BF5"/>
    <w:rsid w:val="009A70B7"/>
    <w:rsid w:val="009B0E9E"/>
    <w:rsid w:val="009B3121"/>
    <w:rsid w:val="009B4CA7"/>
    <w:rsid w:val="009C1408"/>
    <w:rsid w:val="009D406E"/>
    <w:rsid w:val="009E02C5"/>
    <w:rsid w:val="009E4C11"/>
    <w:rsid w:val="009F6CA8"/>
    <w:rsid w:val="009F7FE7"/>
    <w:rsid w:val="00A062A9"/>
    <w:rsid w:val="00A13950"/>
    <w:rsid w:val="00A1443A"/>
    <w:rsid w:val="00A27FA9"/>
    <w:rsid w:val="00A30827"/>
    <w:rsid w:val="00A32864"/>
    <w:rsid w:val="00A33DC8"/>
    <w:rsid w:val="00A34514"/>
    <w:rsid w:val="00A34BF0"/>
    <w:rsid w:val="00A362A0"/>
    <w:rsid w:val="00A40390"/>
    <w:rsid w:val="00A409C1"/>
    <w:rsid w:val="00A43942"/>
    <w:rsid w:val="00A43E31"/>
    <w:rsid w:val="00A441E3"/>
    <w:rsid w:val="00A5054D"/>
    <w:rsid w:val="00A505B8"/>
    <w:rsid w:val="00A552CF"/>
    <w:rsid w:val="00A66506"/>
    <w:rsid w:val="00A73070"/>
    <w:rsid w:val="00A73AE4"/>
    <w:rsid w:val="00A73E72"/>
    <w:rsid w:val="00A76CD0"/>
    <w:rsid w:val="00A9499E"/>
    <w:rsid w:val="00A94D0A"/>
    <w:rsid w:val="00A966C2"/>
    <w:rsid w:val="00AA4F48"/>
    <w:rsid w:val="00AA5992"/>
    <w:rsid w:val="00AB1FE6"/>
    <w:rsid w:val="00AB3202"/>
    <w:rsid w:val="00AC3A79"/>
    <w:rsid w:val="00AC78AB"/>
    <w:rsid w:val="00AC7C9C"/>
    <w:rsid w:val="00AC7DD9"/>
    <w:rsid w:val="00AD16FD"/>
    <w:rsid w:val="00AE194E"/>
    <w:rsid w:val="00AE1C56"/>
    <w:rsid w:val="00AE4DDD"/>
    <w:rsid w:val="00AE4EBF"/>
    <w:rsid w:val="00AE5A73"/>
    <w:rsid w:val="00AF18D7"/>
    <w:rsid w:val="00AF4446"/>
    <w:rsid w:val="00AF5961"/>
    <w:rsid w:val="00AF78BB"/>
    <w:rsid w:val="00B048AC"/>
    <w:rsid w:val="00B10DFF"/>
    <w:rsid w:val="00B1243E"/>
    <w:rsid w:val="00B15041"/>
    <w:rsid w:val="00B16082"/>
    <w:rsid w:val="00B177E6"/>
    <w:rsid w:val="00B23E58"/>
    <w:rsid w:val="00B276D8"/>
    <w:rsid w:val="00B30115"/>
    <w:rsid w:val="00B32AC4"/>
    <w:rsid w:val="00B33C6B"/>
    <w:rsid w:val="00B349FE"/>
    <w:rsid w:val="00B35179"/>
    <w:rsid w:val="00B40096"/>
    <w:rsid w:val="00B45DAE"/>
    <w:rsid w:val="00B46C14"/>
    <w:rsid w:val="00B536BB"/>
    <w:rsid w:val="00B53D27"/>
    <w:rsid w:val="00B64886"/>
    <w:rsid w:val="00B65033"/>
    <w:rsid w:val="00B65B7A"/>
    <w:rsid w:val="00B67325"/>
    <w:rsid w:val="00B71A31"/>
    <w:rsid w:val="00B74088"/>
    <w:rsid w:val="00B746EA"/>
    <w:rsid w:val="00B74B48"/>
    <w:rsid w:val="00B7594A"/>
    <w:rsid w:val="00B80478"/>
    <w:rsid w:val="00B81317"/>
    <w:rsid w:val="00BA0CC3"/>
    <w:rsid w:val="00BB1B6D"/>
    <w:rsid w:val="00BB74D6"/>
    <w:rsid w:val="00BC3C35"/>
    <w:rsid w:val="00BC4603"/>
    <w:rsid w:val="00BC6F75"/>
    <w:rsid w:val="00BD087E"/>
    <w:rsid w:val="00BD4B8B"/>
    <w:rsid w:val="00BD541E"/>
    <w:rsid w:val="00BD57B4"/>
    <w:rsid w:val="00BE0DD6"/>
    <w:rsid w:val="00BE5D61"/>
    <w:rsid w:val="00BF45C3"/>
    <w:rsid w:val="00BF4E8E"/>
    <w:rsid w:val="00C00084"/>
    <w:rsid w:val="00C000C0"/>
    <w:rsid w:val="00C00BEB"/>
    <w:rsid w:val="00C14199"/>
    <w:rsid w:val="00C16A0F"/>
    <w:rsid w:val="00C17DDB"/>
    <w:rsid w:val="00C21E2E"/>
    <w:rsid w:val="00C25458"/>
    <w:rsid w:val="00C25FF8"/>
    <w:rsid w:val="00C30CEE"/>
    <w:rsid w:val="00C313E0"/>
    <w:rsid w:val="00C355AA"/>
    <w:rsid w:val="00C36559"/>
    <w:rsid w:val="00C40089"/>
    <w:rsid w:val="00C56586"/>
    <w:rsid w:val="00C6312C"/>
    <w:rsid w:val="00C7098F"/>
    <w:rsid w:val="00C7142A"/>
    <w:rsid w:val="00C72510"/>
    <w:rsid w:val="00C75F41"/>
    <w:rsid w:val="00C837AF"/>
    <w:rsid w:val="00C840AE"/>
    <w:rsid w:val="00C859B4"/>
    <w:rsid w:val="00C87660"/>
    <w:rsid w:val="00C95208"/>
    <w:rsid w:val="00CA2D96"/>
    <w:rsid w:val="00CA6184"/>
    <w:rsid w:val="00CB172E"/>
    <w:rsid w:val="00CB7018"/>
    <w:rsid w:val="00CC158A"/>
    <w:rsid w:val="00CC2C6D"/>
    <w:rsid w:val="00CC3726"/>
    <w:rsid w:val="00CC41B4"/>
    <w:rsid w:val="00CC5DCF"/>
    <w:rsid w:val="00CD289D"/>
    <w:rsid w:val="00CD5F68"/>
    <w:rsid w:val="00CE07F0"/>
    <w:rsid w:val="00CE3EF0"/>
    <w:rsid w:val="00CE53A0"/>
    <w:rsid w:val="00CF205E"/>
    <w:rsid w:val="00CF36FB"/>
    <w:rsid w:val="00CF6DDF"/>
    <w:rsid w:val="00D01132"/>
    <w:rsid w:val="00D03ABC"/>
    <w:rsid w:val="00D03CF8"/>
    <w:rsid w:val="00D06BAB"/>
    <w:rsid w:val="00D10E72"/>
    <w:rsid w:val="00D13981"/>
    <w:rsid w:val="00D159EA"/>
    <w:rsid w:val="00D22B5E"/>
    <w:rsid w:val="00D26045"/>
    <w:rsid w:val="00D263B2"/>
    <w:rsid w:val="00D3034A"/>
    <w:rsid w:val="00D30B0C"/>
    <w:rsid w:val="00D31C9D"/>
    <w:rsid w:val="00D3502F"/>
    <w:rsid w:val="00D351AD"/>
    <w:rsid w:val="00D41F43"/>
    <w:rsid w:val="00D43AF8"/>
    <w:rsid w:val="00D46195"/>
    <w:rsid w:val="00D51DA2"/>
    <w:rsid w:val="00D52362"/>
    <w:rsid w:val="00D57671"/>
    <w:rsid w:val="00D64110"/>
    <w:rsid w:val="00D67941"/>
    <w:rsid w:val="00D7073F"/>
    <w:rsid w:val="00D76E26"/>
    <w:rsid w:val="00D8079D"/>
    <w:rsid w:val="00D85EC8"/>
    <w:rsid w:val="00D870A0"/>
    <w:rsid w:val="00D90BDA"/>
    <w:rsid w:val="00D93270"/>
    <w:rsid w:val="00D93A86"/>
    <w:rsid w:val="00D9410C"/>
    <w:rsid w:val="00D95955"/>
    <w:rsid w:val="00DA1B46"/>
    <w:rsid w:val="00DA4383"/>
    <w:rsid w:val="00DA7932"/>
    <w:rsid w:val="00DB2C84"/>
    <w:rsid w:val="00DB5500"/>
    <w:rsid w:val="00DB782E"/>
    <w:rsid w:val="00DC2034"/>
    <w:rsid w:val="00DC24D9"/>
    <w:rsid w:val="00DC51FC"/>
    <w:rsid w:val="00DD4D51"/>
    <w:rsid w:val="00DE1D63"/>
    <w:rsid w:val="00DE61AF"/>
    <w:rsid w:val="00DF10CE"/>
    <w:rsid w:val="00DF1F26"/>
    <w:rsid w:val="00DF2E41"/>
    <w:rsid w:val="00DF328B"/>
    <w:rsid w:val="00DF397F"/>
    <w:rsid w:val="00DF3CEC"/>
    <w:rsid w:val="00DF57F5"/>
    <w:rsid w:val="00DF6BA8"/>
    <w:rsid w:val="00E111BC"/>
    <w:rsid w:val="00E1187D"/>
    <w:rsid w:val="00E13238"/>
    <w:rsid w:val="00E13CC3"/>
    <w:rsid w:val="00E16B75"/>
    <w:rsid w:val="00E23392"/>
    <w:rsid w:val="00E23FF1"/>
    <w:rsid w:val="00E27198"/>
    <w:rsid w:val="00E35A8A"/>
    <w:rsid w:val="00E35E6B"/>
    <w:rsid w:val="00E40A06"/>
    <w:rsid w:val="00E41B1E"/>
    <w:rsid w:val="00E4379C"/>
    <w:rsid w:val="00E44EFE"/>
    <w:rsid w:val="00E45477"/>
    <w:rsid w:val="00E513C9"/>
    <w:rsid w:val="00E51641"/>
    <w:rsid w:val="00E51E00"/>
    <w:rsid w:val="00E553D7"/>
    <w:rsid w:val="00E6512B"/>
    <w:rsid w:val="00E658DE"/>
    <w:rsid w:val="00E71321"/>
    <w:rsid w:val="00E72601"/>
    <w:rsid w:val="00E768BD"/>
    <w:rsid w:val="00E777C1"/>
    <w:rsid w:val="00E77D29"/>
    <w:rsid w:val="00E824C6"/>
    <w:rsid w:val="00E82F4E"/>
    <w:rsid w:val="00E853A2"/>
    <w:rsid w:val="00E86C79"/>
    <w:rsid w:val="00E87D15"/>
    <w:rsid w:val="00E90A2A"/>
    <w:rsid w:val="00E93A9B"/>
    <w:rsid w:val="00E94F11"/>
    <w:rsid w:val="00E958D4"/>
    <w:rsid w:val="00EA3691"/>
    <w:rsid w:val="00EA7ABD"/>
    <w:rsid w:val="00EB1CC0"/>
    <w:rsid w:val="00EB20AF"/>
    <w:rsid w:val="00EB366D"/>
    <w:rsid w:val="00EB62D7"/>
    <w:rsid w:val="00EB6345"/>
    <w:rsid w:val="00EC45B1"/>
    <w:rsid w:val="00ED0067"/>
    <w:rsid w:val="00ED76FE"/>
    <w:rsid w:val="00ED7D22"/>
    <w:rsid w:val="00EE12F2"/>
    <w:rsid w:val="00EE19A8"/>
    <w:rsid w:val="00EE23E2"/>
    <w:rsid w:val="00EE3E6C"/>
    <w:rsid w:val="00EF0B72"/>
    <w:rsid w:val="00EF20FE"/>
    <w:rsid w:val="00EF58CE"/>
    <w:rsid w:val="00F00DD5"/>
    <w:rsid w:val="00F019B8"/>
    <w:rsid w:val="00F01D7A"/>
    <w:rsid w:val="00F034DE"/>
    <w:rsid w:val="00F03E26"/>
    <w:rsid w:val="00F075E9"/>
    <w:rsid w:val="00F12E76"/>
    <w:rsid w:val="00F14D6C"/>
    <w:rsid w:val="00F177C2"/>
    <w:rsid w:val="00F2192C"/>
    <w:rsid w:val="00F27149"/>
    <w:rsid w:val="00F41177"/>
    <w:rsid w:val="00F417F1"/>
    <w:rsid w:val="00F44A47"/>
    <w:rsid w:val="00F44A77"/>
    <w:rsid w:val="00F54D66"/>
    <w:rsid w:val="00F629D7"/>
    <w:rsid w:val="00F65EB8"/>
    <w:rsid w:val="00F778F4"/>
    <w:rsid w:val="00F8276A"/>
    <w:rsid w:val="00F975EA"/>
    <w:rsid w:val="00FA1770"/>
    <w:rsid w:val="00FA3966"/>
    <w:rsid w:val="00FA3C8D"/>
    <w:rsid w:val="00FB0374"/>
    <w:rsid w:val="00FB3D00"/>
    <w:rsid w:val="00FB4046"/>
    <w:rsid w:val="00FB48F9"/>
    <w:rsid w:val="00FC019A"/>
    <w:rsid w:val="00FC2BD0"/>
    <w:rsid w:val="00FC6274"/>
    <w:rsid w:val="00FD1228"/>
    <w:rsid w:val="00FD2A74"/>
    <w:rsid w:val="00FD7741"/>
    <w:rsid w:val="00FE20B3"/>
    <w:rsid w:val="00FF04D4"/>
    <w:rsid w:val="00FF1C12"/>
    <w:rsid w:val="00FF3D64"/>
    <w:rsid w:val="00FF5CD8"/>
    <w:rsid w:val="00FF6882"/>
    <w:rsid w:val="5D98DED8"/>
    <w:rsid w:val="7269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20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E1"/>
    <w:rPr>
      <w:lang w:eastAsia="en-AU"/>
    </w:rPr>
  </w:style>
  <w:style w:type="paragraph" w:styleId="Heading1">
    <w:name w:val="heading 1"/>
    <w:basedOn w:val="Normal"/>
    <w:next w:val="Normal"/>
    <w:link w:val="Heading1Char"/>
    <w:uiPriority w:val="9"/>
    <w:qFormat/>
    <w:rsid w:val="001552E1"/>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A6790"/>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A76CD0"/>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1552E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552E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552E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552E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552E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52E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1552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2E1"/>
  </w:style>
  <w:style w:type="character" w:customStyle="1" w:styleId="Heading1Char">
    <w:name w:val="Heading 1 Char"/>
    <w:basedOn w:val="DefaultParagraphFont"/>
    <w:link w:val="Heading1"/>
    <w:uiPriority w:val="9"/>
    <w:rsid w:val="001552E1"/>
    <w:rPr>
      <w:rFonts w:asciiTheme="majorHAnsi" w:eastAsiaTheme="majorEastAsia" w:hAnsiTheme="majorHAnsi" w:cstheme="majorBidi"/>
      <w:b/>
      <w:bCs/>
      <w:sz w:val="32"/>
      <w:szCs w:val="28"/>
      <w:lang w:eastAsia="en-AU"/>
    </w:rPr>
  </w:style>
  <w:style w:type="character" w:customStyle="1" w:styleId="Heading2Char">
    <w:name w:val="Heading 2 Char"/>
    <w:basedOn w:val="DefaultParagraphFont"/>
    <w:link w:val="Heading2"/>
    <w:uiPriority w:val="9"/>
    <w:rsid w:val="006A6790"/>
    <w:rPr>
      <w:rFonts w:ascii="Calibri" w:eastAsiaTheme="majorEastAsia" w:hAnsi="Calibri" w:cstheme="majorBidi"/>
      <w:b/>
      <w:bCs/>
      <w:sz w:val="26"/>
      <w:szCs w:val="26"/>
      <w:lang w:eastAsia="en-AU"/>
    </w:rPr>
  </w:style>
  <w:style w:type="character" w:customStyle="1" w:styleId="Heading3Char">
    <w:name w:val="Heading 3 Char"/>
    <w:basedOn w:val="DefaultParagraphFont"/>
    <w:link w:val="Heading3"/>
    <w:uiPriority w:val="9"/>
    <w:rsid w:val="00A76CD0"/>
    <w:rPr>
      <w:rFonts w:ascii="Calibri" w:eastAsiaTheme="majorEastAsia" w:hAnsi="Calibri" w:cstheme="majorBidi"/>
      <w:b/>
      <w:bCs/>
      <w:lang w:eastAsia="en-AU"/>
    </w:rPr>
  </w:style>
  <w:style w:type="character" w:customStyle="1" w:styleId="Heading4Char">
    <w:name w:val="Heading 4 Char"/>
    <w:basedOn w:val="DefaultParagraphFont"/>
    <w:link w:val="Heading4"/>
    <w:uiPriority w:val="9"/>
    <w:rsid w:val="001552E1"/>
    <w:rPr>
      <w:rFonts w:asciiTheme="majorHAnsi" w:eastAsiaTheme="majorEastAsia" w:hAnsiTheme="majorHAnsi" w:cstheme="majorBidi"/>
      <w:b/>
      <w:bCs/>
      <w:i/>
      <w:iCs/>
      <w:lang w:eastAsia="en-AU"/>
    </w:rPr>
  </w:style>
  <w:style w:type="character" w:customStyle="1" w:styleId="Heading5Char">
    <w:name w:val="Heading 5 Char"/>
    <w:basedOn w:val="DefaultParagraphFont"/>
    <w:link w:val="Heading5"/>
    <w:uiPriority w:val="9"/>
    <w:rsid w:val="001552E1"/>
    <w:rPr>
      <w:rFonts w:asciiTheme="majorHAnsi" w:eastAsiaTheme="majorEastAsia" w:hAnsiTheme="majorHAnsi" w:cstheme="majorBidi"/>
      <w:b/>
      <w:bCs/>
      <w:color w:val="7F7F7F" w:themeColor="text1" w:themeTint="80"/>
      <w:lang w:eastAsia="en-AU"/>
    </w:rPr>
  </w:style>
  <w:style w:type="character" w:customStyle="1" w:styleId="Heading6Char">
    <w:name w:val="Heading 6 Char"/>
    <w:basedOn w:val="DefaultParagraphFont"/>
    <w:link w:val="Heading6"/>
    <w:uiPriority w:val="9"/>
    <w:rsid w:val="001552E1"/>
    <w:rPr>
      <w:rFonts w:asciiTheme="majorHAnsi" w:eastAsiaTheme="majorEastAsia" w:hAnsiTheme="majorHAnsi" w:cstheme="majorBidi"/>
      <w:b/>
      <w:bCs/>
      <w:i/>
      <w:iCs/>
      <w:color w:val="7F7F7F" w:themeColor="text1" w:themeTint="80"/>
      <w:lang w:eastAsia="en-AU"/>
    </w:rPr>
  </w:style>
  <w:style w:type="character" w:customStyle="1" w:styleId="Heading7Char">
    <w:name w:val="Heading 7 Char"/>
    <w:basedOn w:val="DefaultParagraphFont"/>
    <w:link w:val="Heading7"/>
    <w:uiPriority w:val="9"/>
    <w:semiHidden/>
    <w:rsid w:val="001552E1"/>
    <w:rPr>
      <w:rFonts w:asciiTheme="majorHAnsi" w:eastAsiaTheme="majorEastAsia" w:hAnsiTheme="majorHAnsi" w:cstheme="majorBidi"/>
      <w:i/>
      <w:iCs/>
      <w:lang w:eastAsia="en-AU"/>
    </w:rPr>
  </w:style>
  <w:style w:type="character" w:customStyle="1" w:styleId="Heading8Char">
    <w:name w:val="Heading 8 Char"/>
    <w:basedOn w:val="DefaultParagraphFont"/>
    <w:link w:val="Heading8"/>
    <w:uiPriority w:val="9"/>
    <w:semiHidden/>
    <w:rsid w:val="001552E1"/>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semiHidden/>
    <w:rsid w:val="001552E1"/>
    <w:rPr>
      <w:rFonts w:asciiTheme="majorHAnsi" w:eastAsiaTheme="majorEastAsia" w:hAnsiTheme="majorHAnsi" w:cstheme="majorBidi"/>
      <w:i/>
      <w:iCs/>
      <w:spacing w:val="5"/>
      <w:sz w:val="20"/>
      <w:szCs w:val="20"/>
      <w:lang w:eastAsia="en-AU"/>
    </w:rPr>
  </w:style>
  <w:style w:type="paragraph" w:styleId="BalloonText">
    <w:name w:val="Balloon Text"/>
    <w:basedOn w:val="Normal"/>
    <w:link w:val="BalloonTextChar"/>
    <w:uiPriority w:val="99"/>
    <w:semiHidden/>
    <w:unhideWhenUsed/>
    <w:rsid w:val="0015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E1"/>
    <w:rPr>
      <w:rFonts w:ascii="Tahoma" w:hAnsi="Tahoma" w:cs="Tahoma"/>
      <w:sz w:val="16"/>
      <w:szCs w:val="16"/>
      <w:lang w:eastAsia="en-AU"/>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1552E1"/>
    <w:pPr>
      <w:ind w:left="720"/>
      <w:contextualSpacing/>
    </w:p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locked/>
    <w:rsid w:val="004221C9"/>
    <w:rPr>
      <w:lang w:eastAsia="en-AU"/>
    </w:rPr>
  </w:style>
  <w:style w:type="character" w:styleId="Hyperlink">
    <w:name w:val="Hyperlink"/>
    <w:basedOn w:val="DefaultParagraphFont"/>
    <w:uiPriority w:val="99"/>
    <w:unhideWhenUsed/>
    <w:rsid w:val="001552E1"/>
    <w:rPr>
      <w:color w:val="0563C1" w:themeColor="hyperlink"/>
      <w:u w:val="single"/>
    </w:rPr>
  </w:style>
  <w:style w:type="paragraph" w:styleId="Header">
    <w:name w:val="header"/>
    <w:basedOn w:val="Normal"/>
    <w:link w:val="HeaderChar"/>
    <w:uiPriority w:val="99"/>
    <w:unhideWhenUsed/>
    <w:rsid w:val="001552E1"/>
    <w:pPr>
      <w:tabs>
        <w:tab w:val="center" w:pos="4513"/>
        <w:tab w:val="right" w:pos="9026"/>
      </w:tabs>
    </w:pPr>
  </w:style>
  <w:style w:type="character" w:customStyle="1" w:styleId="HeaderChar">
    <w:name w:val="Header Char"/>
    <w:basedOn w:val="DefaultParagraphFont"/>
    <w:link w:val="Header"/>
    <w:uiPriority w:val="99"/>
    <w:rsid w:val="001552E1"/>
    <w:rPr>
      <w:lang w:eastAsia="en-AU"/>
    </w:rPr>
  </w:style>
  <w:style w:type="paragraph" w:styleId="Footer">
    <w:name w:val="footer"/>
    <w:basedOn w:val="Normal"/>
    <w:link w:val="FooterChar"/>
    <w:uiPriority w:val="99"/>
    <w:unhideWhenUsed/>
    <w:rsid w:val="001552E1"/>
    <w:pPr>
      <w:tabs>
        <w:tab w:val="center" w:pos="4513"/>
        <w:tab w:val="right" w:pos="9026"/>
      </w:tabs>
    </w:pPr>
  </w:style>
  <w:style w:type="character" w:customStyle="1" w:styleId="FooterChar">
    <w:name w:val="Footer Char"/>
    <w:basedOn w:val="DefaultParagraphFont"/>
    <w:link w:val="Footer"/>
    <w:uiPriority w:val="99"/>
    <w:rsid w:val="001552E1"/>
    <w:rPr>
      <w:lang w:eastAsia="en-AU"/>
    </w:rPr>
  </w:style>
  <w:style w:type="paragraph" w:styleId="NoSpacing">
    <w:name w:val="No Spacing"/>
    <w:basedOn w:val="Normal"/>
    <w:link w:val="NoSpacingChar"/>
    <w:uiPriority w:val="1"/>
    <w:qFormat/>
    <w:rsid w:val="001552E1"/>
    <w:pPr>
      <w:spacing w:after="0" w:line="240" w:lineRule="auto"/>
    </w:pPr>
  </w:style>
  <w:style w:type="character" w:customStyle="1" w:styleId="NoSpacingChar">
    <w:name w:val="No Spacing Char"/>
    <w:basedOn w:val="DefaultParagraphFont"/>
    <w:link w:val="NoSpacing"/>
    <w:uiPriority w:val="1"/>
    <w:rsid w:val="001552E1"/>
    <w:rPr>
      <w:lang w:eastAsia="en-AU"/>
    </w:rPr>
  </w:style>
  <w:style w:type="character" w:styleId="CommentReference">
    <w:name w:val="annotation reference"/>
    <w:basedOn w:val="DefaultParagraphFont"/>
    <w:uiPriority w:val="99"/>
    <w:semiHidden/>
    <w:unhideWhenUsed/>
    <w:rsid w:val="004221C9"/>
    <w:rPr>
      <w:sz w:val="16"/>
      <w:szCs w:val="16"/>
    </w:rPr>
  </w:style>
  <w:style w:type="paragraph" w:styleId="CommentText">
    <w:name w:val="annotation text"/>
    <w:basedOn w:val="Normal"/>
    <w:link w:val="CommentTextChar"/>
    <w:uiPriority w:val="99"/>
    <w:semiHidden/>
    <w:unhideWhenUsed/>
    <w:rsid w:val="004221C9"/>
    <w:pPr>
      <w:spacing w:after="160" w:line="240" w:lineRule="auto"/>
    </w:pPr>
    <w:rPr>
      <w:rFonts w:ascii="Times New Roman" w:eastAsiaTheme="minorHAnsi" w:hAnsi="Times New Roman" w:cs="Times New Roman"/>
      <w:bCs/>
      <w:sz w:val="20"/>
      <w:szCs w:val="20"/>
    </w:rPr>
  </w:style>
  <w:style w:type="character" w:customStyle="1" w:styleId="CommentTextChar">
    <w:name w:val="Comment Text Char"/>
    <w:basedOn w:val="DefaultParagraphFont"/>
    <w:link w:val="CommentText"/>
    <w:uiPriority w:val="99"/>
    <w:semiHidden/>
    <w:rsid w:val="004221C9"/>
    <w:rPr>
      <w:sz w:val="20"/>
      <w:szCs w:val="20"/>
    </w:rPr>
  </w:style>
  <w:style w:type="paragraph" w:styleId="Caption">
    <w:name w:val="caption"/>
    <w:basedOn w:val="Normal"/>
    <w:next w:val="Normal"/>
    <w:uiPriority w:val="35"/>
    <w:unhideWhenUsed/>
    <w:rsid w:val="004F6740"/>
    <w:rPr>
      <w:b/>
      <w:bCs/>
      <w:caps/>
      <w:sz w:val="16"/>
      <w:szCs w:val="18"/>
    </w:rPr>
  </w:style>
  <w:style w:type="paragraph" w:styleId="Title">
    <w:name w:val="Title"/>
    <w:basedOn w:val="Normal"/>
    <w:next w:val="Normal"/>
    <w:link w:val="TitleChar"/>
    <w:uiPriority w:val="10"/>
    <w:qFormat/>
    <w:rsid w:val="001552E1"/>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1552E1"/>
    <w:rPr>
      <w:rFonts w:ascii="Myriad Pro Cond" w:eastAsiaTheme="majorEastAsia" w:hAnsi="Myriad Pro Cond" w:cstheme="majorBidi"/>
      <w:b/>
      <w:spacing w:val="5"/>
      <w:sz w:val="52"/>
      <w:szCs w:val="52"/>
      <w:lang w:eastAsia="en-AU"/>
    </w:rPr>
  </w:style>
  <w:style w:type="paragraph" w:styleId="Subtitle">
    <w:name w:val="Subtitle"/>
    <w:basedOn w:val="Normal"/>
    <w:next w:val="Normal"/>
    <w:link w:val="SubtitleChar"/>
    <w:uiPriority w:val="11"/>
    <w:qFormat/>
    <w:rsid w:val="001552E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552E1"/>
    <w:rPr>
      <w:rFonts w:asciiTheme="majorHAnsi" w:eastAsiaTheme="majorEastAsia" w:hAnsiTheme="majorHAnsi" w:cstheme="majorBidi"/>
      <w:i/>
      <w:iCs/>
      <w:spacing w:val="13"/>
      <w:sz w:val="24"/>
      <w:szCs w:val="24"/>
      <w:lang w:eastAsia="en-AU"/>
    </w:rPr>
  </w:style>
  <w:style w:type="character" w:styleId="Strong">
    <w:name w:val="Strong"/>
    <w:uiPriority w:val="99"/>
    <w:qFormat/>
    <w:rsid w:val="001552E1"/>
    <w:rPr>
      <w:b/>
      <w:bCs/>
    </w:rPr>
  </w:style>
  <w:style w:type="character" w:styleId="Emphasis">
    <w:name w:val="Emphasis"/>
    <w:uiPriority w:val="20"/>
    <w:qFormat/>
    <w:rsid w:val="001552E1"/>
    <w:rPr>
      <w:b/>
      <w:bCs/>
      <w:i/>
      <w:iCs/>
      <w:spacing w:val="10"/>
      <w:bdr w:val="none" w:sz="0" w:space="0" w:color="auto"/>
      <w:shd w:val="clear" w:color="auto" w:fill="auto"/>
    </w:rPr>
  </w:style>
  <w:style w:type="paragraph" w:styleId="Quote">
    <w:name w:val="Quote"/>
    <w:basedOn w:val="Normal"/>
    <w:next w:val="Normal"/>
    <w:link w:val="QuoteChar"/>
    <w:uiPriority w:val="29"/>
    <w:qFormat/>
    <w:rsid w:val="001552E1"/>
    <w:pPr>
      <w:spacing w:before="200" w:after="0"/>
      <w:ind w:left="360" w:right="360"/>
    </w:pPr>
    <w:rPr>
      <w:i/>
      <w:iCs/>
    </w:rPr>
  </w:style>
  <w:style w:type="character" w:customStyle="1" w:styleId="QuoteChar">
    <w:name w:val="Quote Char"/>
    <w:basedOn w:val="DefaultParagraphFont"/>
    <w:link w:val="Quote"/>
    <w:uiPriority w:val="29"/>
    <w:rsid w:val="001552E1"/>
    <w:rPr>
      <w:i/>
      <w:iCs/>
      <w:lang w:eastAsia="en-AU"/>
    </w:rPr>
  </w:style>
  <w:style w:type="paragraph" w:styleId="IntenseQuote">
    <w:name w:val="Intense Quote"/>
    <w:basedOn w:val="Normal"/>
    <w:next w:val="Normal"/>
    <w:link w:val="IntenseQuoteChar"/>
    <w:uiPriority w:val="30"/>
    <w:qFormat/>
    <w:rsid w:val="001552E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52E1"/>
    <w:rPr>
      <w:b/>
      <w:bCs/>
      <w:i/>
      <w:iCs/>
      <w:lang w:eastAsia="en-AU"/>
    </w:rPr>
  </w:style>
  <w:style w:type="character" w:styleId="SubtleEmphasis">
    <w:name w:val="Subtle Emphasis"/>
    <w:uiPriority w:val="19"/>
    <w:qFormat/>
    <w:rsid w:val="001552E1"/>
    <w:rPr>
      <w:i/>
      <w:iCs/>
    </w:rPr>
  </w:style>
  <w:style w:type="character" w:styleId="IntenseEmphasis">
    <w:name w:val="Intense Emphasis"/>
    <w:uiPriority w:val="21"/>
    <w:qFormat/>
    <w:rsid w:val="001552E1"/>
    <w:rPr>
      <w:b/>
      <w:bCs/>
    </w:rPr>
  </w:style>
  <w:style w:type="character" w:styleId="SubtleReference">
    <w:name w:val="Subtle Reference"/>
    <w:uiPriority w:val="31"/>
    <w:qFormat/>
    <w:rsid w:val="001552E1"/>
    <w:rPr>
      <w:smallCaps/>
    </w:rPr>
  </w:style>
  <w:style w:type="character" w:styleId="IntenseReference">
    <w:name w:val="Intense Reference"/>
    <w:uiPriority w:val="32"/>
    <w:qFormat/>
    <w:rsid w:val="001552E1"/>
    <w:rPr>
      <w:smallCaps/>
      <w:spacing w:val="5"/>
      <w:u w:val="single"/>
    </w:rPr>
  </w:style>
  <w:style w:type="character" w:styleId="BookTitle">
    <w:name w:val="Book Title"/>
    <w:uiPriority w:val="33"/>
    <w:qFormat/>
    <w:rsid w:val="001552E1"/>
    <w:rPr>
      <w:i/>
      <w:iCs/>
      <w:smallCaps/>
      <w:spacing w:val="5"/>
    </w:rPr>
  </w:style>
  <w:style w:type="paragraph" w:styleId="TOCHeading">
    <w:name w:val="TOC Heading"/>
    <w:basedOn w:val="Heading1"/>
    <w:next w:val="Normal"/>
    <w:uiPriority w:val="39"/>
    <w:semiHidden/>
    <w:unhideWhenUsed/>
    <w:qFormat/>
    <w:rsid w:val="001552E1"/>
    <w:pPr>
      <w:outlineLvl w:val="9"/>
    </w:pPr>
    <w:rPr>
      <w:lang w:bidi="en-US"/>
    </w:rPr>
  </w:style>
  <w:style w:type="paragraph" w:styleId="FootnoteText">
    <w:name w:val="footnote text"/>
    <w:basedOn w:val="Normal"/>
    <w:link w:val="FootnoteTextChar"/>
    <w:uiPriority w:val="99"/>
    <w:semiHidden/>
    <w:unhideWhenUsed/>
    <w:rsid w:val="00473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1A3"/>
    <w:rPr>
      <w:sz w:val="20"/>
      <w:szCs w:val="20"/>
    </w:rPr>
  </w:style>
  <w:style w:type="character" w:styleId="FootnoteReference">
    <w:name w:val="footnote reference"/>
    <w:basedOn w:val="DefaultParagraphFont"/>
    <w:uiPriority w:val="99"/>
    <w:semiHidden/>
    <w:unhideWhenUsed/>
    <w:rsid w:val="004731A3"/>
    <w:rPr>
      <w:vertAlign w:val="superscript"/>
    </w:rPr>
  </w:style>
  <w:style w:type="paragraph" w:styleId="TOC1">
    <w:name w:val="toc 1"/>
    <w:basedOn w:val="Normal"/>
    <w:next w:val="Normal"/>
    <w:autoRedefine/>
    <w:uiPriority w:val="39"/>
    <w:unhideWhenUsed/>
    <w:rsid w:val="00C837AF"/>
    <w:pPr>
      <w:spacing w:after="100"/>
    </w:pPr>
  </w:style>
  <w:style w:type="paragraph" w:styleId="TOC2">
    <w:name w:val="toc 2"/>
    <w:basedOn w:val="Normal"/>
    <w:next w:val="Normal"/>
    <w:autoRedefine/>
    <w:uiPriority w:val="39"/>
    <w:unhideWhenUsed/>
    <w:rsid w:val="00C837AF"/>
    <w:pPr>
      <w:spacing w:after="100"/>
      <w:ind w:left="220"/>
    </w:pPr>
  </w:style>
  <w:style w:type="paragraph" w:styleId="TOC3">
    <w:name w:val="toc 3"/>
    <w:basedOn w:val="Normal"/>
    <w:next w:val="Normal"/>
    <w:autoRedefine/>
    <w:uiPriority w:val="39"/>
    <w:unhideWhenUsed/>
    <w:rsid w:val="00C837AF"/>
    <w:pPr>
      <w:spacing w:after="100"/>
      <w:ind w:left="440"/>
    </w:pPr>
  </w:style>
  <w:style w:type="paragraph" w:styleId="CommentSubject">
    <w:name w:val="annotation subject"/>
    <w:basedOn w:val="CommentText"/>
    <w:next w:val="CommentText"/>
    <w:link w:val="CommentSubjectChar"/>
    <w:uiPriority w:val="99"/>
    <w:semiHidden/>
    <w:unhideWhenUsed/>
    <w:rsid w:val="007325AC"/>
    <w:pPr>
      <w:spacing w:after="200"/>
    </w:pPr>
    <w:rPr>
      <w:rFonts w:asciiTheme="minorHAnsi" w:eastAsiaTheme="minorEastAsia" w:hAnsiTheme="minorHAnsi" w:cstheme="minorBidi"/>
      <w:b/>
    </w:rPr>
  </w:style>
  <w:style w:type="character" w:customStyle="1" w:styleId="CommentSubjectChar">
    <w:name w:val="Comment Subject Char"/>
    <w:basedOn w:val="CommentTextChar"/>
    <w:link w:val="CommentSubject"/>
    <w:uiPriority w:val="99"/>
    <w:semiHidden/>
    <w:rsid w:val="007325AC"/>
    <w:rPr>
      <w:b/>
      <w:bCs/>
      <w:sz w:val="20"/>
      <w:szCs w:val="20"/>
    </w:rPr>
  </w:style>
  <w:style w:type="paragraph" w:customStyle="1" w:styleId="paragraph">
    <w:name w:val="paragraph"/>
    <w:basedOn w:val="Normal"/>
    <w:rsid w:val="00334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75A"/>
  </w:style>
  <w:style w:type="character" w:customStyle="1" w:styleId="eop">
    <w:name w:val="eop"/>
    <w:basedOn w:val="DefaultParagraphFont"/>
    <w:rsid w:val="0033475A"/>
  </w:style>
  <w:style w:type="paragraph" w:styleId="NormalWeb">
    <w:name w:val="Normal (Web)"/>
    <w:basedOn w:val="Normal"/>
    <w:link w:val="NormalWebChar"/>
    <w:uiPriority w:val="99"/>
    <w:unhideWhenUsed/>
    <w:rsid w:val="001552E1"/>
    <w:pPr>
      <w:spacing w:before="100" w:beforeAutospacing="1" w:after="100" w:afterAutospacing="1"/>
    </w:pPr>
  </w:style>
  <w:style w:type="character" w:styleId="FollowedHyperlink">
    <w:name w:val="FollowedHyperlink"/>
    <w:basedOn w:val="DefaultParagraphFont"/>
    <w:uiPriority w:val="99"/>
    <w:semiHidden/>
    <w:unhideWhenUsed/>
    <w:rsid w:val="00214376"/>
    <w:rPr>
      <w:color w:val="954F72" w:themeColor="followedHyperlink"/>
      <w:u w:val="single"/>
    </w:rPr>
  </w:style>
  <w:style w:type="paragraph" w:customStyle="1" w:styleId="table-text">
    <w:name w:val="table-text"/>
    <w:basedOn w:val="Normal"/>
    <w:rsid w:val="001552E1"/>
    <w:rPr>
      <w:rFonts w:ascii="Myriad Pro" w:hAnsi="Myriad Pro"/>
      <w:color w:val="231F20"/>
      <w:sz w:val="14"/>
      <w:szCs w:val="14"/>
    </w:rPr>
  </w:style>
  <w:style w:type="paragraph" w:customStyle="1" w:styleId="table-h1">
    <w:name w:val="table-h1"/>
    <w:basedOn w:val="Normal"/>
    <w:rsid w:val="001552E1"/>
    <w:rPr>
      <w:rFonts w:ascii="Myriad Pro" w:hAnsi="Myriad Pro"/>
      <w:b/>
      <w:bCs/>
      <w:color w:val="FFFFFF"/>
      <w:sz w:val="14"/>
      <w:szCs w:val="14"/>
    </w:rPr>
  </w:style>
  <w:style w:type="character" w:customStyle="1" w:styleId="Strong1">
    <w:name w:val="Strong1"/>
    <w:basedOn w:val="DefaultParagraphFont"/>
    <w:rsid w:val="001552E1"/>
    <w:rPr>
      <w:b/>
      <w:bCs/>
      <w:i w:val="0"/>
      <w:iCs w:val="0"/>
    </w:rPr>
  </w:style>
  <w:style w:type="character" w:customStyle="1" w:styleId="superscript">
    <w:name w:val="superscript"/>
    <w:basedOn w:val="DefaultParagraphFont"/>
    <w:rsid w:val="001552E1"/>
    <w:rPr>
      <w:vertAlign w:val="superscript"/>
    </w:rPr>
  </w:style>
  <w:style w:type="paragraph" w:customStyle="1" w:styleId="footnote">
    <w:name w:val="footnote"/>
    <w:basedOn w:val="Normal"/>
    <w:rsid w:val="001552E1"/>
    <w:rPr>
      <w:rFonts w:ascii="Myriad Pro" w:hAnsi="Myriad Pro"/>
      <w:color w:val="231F20"/>
      <w:sz w:val="12"/>
      <w:szCs w:val="12"/>
    </w:rPr>
  </w:style>
  <w:style w:type="paragraph" w:customStyle="1" w:styleId="figure-table-title">
    <w:name w:val="figure-table-title"/>
    <w:basedOn w:val="Normal"/>
    <w:rsid w:val="001552E1"/>
    <w:pPr>
      <w:spacing w:after="180"/>
    </w:pPr>
    <w:rPr>
      <w:rFonts w:ascii="Minion Pro SmBd" w:hAnsi="Minion Pro SmBd"/>
      <w:b/>
      <w:bCs/>
      <w:color w:val="231F20"/>
      <w:sz w:val="18"/>
      <w:szCs w:val="18"/>
    </w:rPr>
  </w:style>
  <w:style w:type="character" w:styleId="PlaceholderText">
    <w:name w:val="Placeholder Text"/>
    <w:basedOn w:val="DefaultParagraphFont"/>
    <w:uiPriority w:val="99"/>
    <w:semiHidden/>
    <w:rsid w:val="001552E1"/>
    <w:rPr>
      <w:color w:val="808080"/>
    </w:rPr>
  </w:style>
  <w:style w:type="paragraph" w:customStyle="1" w:styleId="Pa1">
    <w:name w:val="Pa1"/>
    <w:basedOn w:val="Normal"/>
    <w:next w:val="Normal"/>
    <w:uiPriority w:val="99"/>
    <w:rsid w:val="001552E1"/>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1552E1"/>
    <w:rPr>
      <w:rFonts w:cs="Myriad Pro"/>
      <w:color w:val="211D1E"/>
      <w:sz w:val="22"/>
      <w:szCs w:val="22"/>
    </w:rPr>
  </w:style>
  <w:style w:type="character" w:customStyle="1" w:styleId="A11">
    <w:name w:val="A11"/>
    <w:uiPriority w:val="99"/>
    <w:rsid w:val="001552E1"/>
    <w:rPr>
      <w:rFonts w:cs="Myriad Pro"/>
      <w:color w:val="211D1E"/>
      <w:sz w:val="22"/>
      <w:szCs w:val="22"/>
      <w:u w:val="single"/>
    </w:rPr>
  </w:style>
  <w:style w:type="character" w:customStyle="1" w:styleId="A12">
    <w:name w:val="A12"/>
    <w:uiPriority w:val="99"/>
    <w:rsid w:val="001552E1"/>
    <w:rPr>
      <w:rFonts w:cs="Myriad Pro"/>
      <w:color w:val="211D1E"/>
      <w:u w:val="single"/>
    </w:rPr>
  </w:style>
  <w:style w:type="table" w:customStyle="1" w:styleId="CDI-StandardTable">
    <w:name w:val="CDI - Standard Table"/>
    <w:basedOn w:val="TableNormal"/>
    <w:uiPriority w:val="99"/>
    <w:rsid w:val="001552E1"/>
    <w:pPr>
      <w:spacing w:after="0" w:line="240" w:lineRule="auto"/>
    </w:pPr>
    <w:rPr>
      <w:rFonts w:ascii="Calibri" w:hAnsi="Calibri"/>
      <w:lang w:eastAsia="en-AU"/>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1552E1"/>
    <w:rPr>
      <w:sz w:val="18"/>
    </w:rPr>
  </w:style>
  <w:style w:type="table" w:styleId="LightList">
    <w:name w:val="Light List"/>
    <w:basedOn w:val="TableNormal"/>
    <w:uiPriority w:val="61"/>
    <w:rsid w:val="001552E1"/>
    <w:pPr>
      <w:spacing w:after="0" w:line="240" w:lineRule="auto"/>
    </w:pPr>
    <w:rPr>
      <w:lang w:eastAsia="en-AU"/>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552E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1552E1"/>
    <w:rPr>
      <w:b/>
    </w:rPr>
  </w:style>
  <w:style w:type="character" w:customStyle="1" w:styleId="NormalWebChar">
    <w:name w:val="Normal (Web) Char"/>
    <w:basedOn w:val="DefaultParagraphFont"/>
    <w:link w:val="NormalWeb"/>
    <w:uiPriority w:val="99"/>
    <w:rsid w:val="001552E1"/>
    <w:rPr>
      <w:lang w:eastAsia="en-AU"/>
    </w:rPr>
  </w:style>
  <w:style w:type="character" w:customStyle="1" w:styleId="CDIfootnotesChar">
    <w:name w:val="CDI_footnotes Char"/>
    <w:basedOn w:val="NormalWebChar"/>
    <w:link w:val="CDIfootnotes"/>
    <w:rsid w:val="001552E1"/>
    <w:rPr>
      <w:sz w:val="18"/>
      <w:lang w:eastAsia="en-AU"/>
    </w:rPr>
  </w:style>
  <w:style w:type="character" w:customStyle="1" w:styleId="CDIFiguresChar">
    <w:name w:val="CDI_Figures Char"/>
    <w:basedOn w:val="NormalWebChar"/>
    <w:link w:val="CDIFigures"/>
    <w:rsid w:val="001552E1"/>
    <w:rPr>
      <w:b/>
      <w:lang w:eastAsia="en-AU"/>
    </w:rPr>
  </w:style>
  <w:style w:type="character" w:customStyle="1" w:styleId="URI">
    <w:name w:val="URI"/>
    <w:uiPriority w:val="99"/>
    <w:rsid w:val="001552E1"/>
    <w:rPr>
      <w:color w:val="000000"/>
      <w:u w:val="thick"/>
    </w:rPr>
  </w:style>
  <w:style w:type="character" w:customStyle="1" w:styleId="nobreak">
    <w:name w:val="no break"/>
    <w:uiPriority w:val="99"/>
    <w:rsid w:val="001552E1"/>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5755">
      <w:bodyDiv w:val="1"/>
      <w:marLeft w:val="0"/>
      <w:marRight w:val="0"/>
      <w:marTop w:val="0"/>
      <w:marBottom w:val="0"/>
      <w:divBdr>
        <w:top w:val="none" w:sz="0" w:space="0" w:color="auto"/>
        <w:left w:val="none" w:sz="0" w:space="0" w:color="auto"/>
        <w:bottom w:val="none" w:sz="0" w:space="0" w:color="auto"/>
        <w:right w:val="none" w:sz="0" w:space="0" w:color="auto"/>
      </w:divBdr>
    </w:div>
    <w:div w:id="224806453">
      <w:bodyDiv w:val="1"/>
      <w:marLeft w:val="0"/>
      <w:marRight w:val="0"/>
      <w:marTop w:val="0"/>
      <w:marBottom w:val="0"/>
      <w:divBdr>
        <w:top w:val="none" w:sz="0" w:space="0" w:color="auto"/>
        <w:left w:val="none" w:sz="0" w:space="0" w:color="auto"/>
        <w:bottom w:val="none" w:sz="0" w:space="0" w:color="auto"/>
        <w:right w:val="none" w:sz="0" w:space="0" w:color="auto"/>
      </w:divBdr>
    </w:div>
    <w:div w:id="706413076">
      <w:bodyDiv w:val="1"/>
      <w:marLeft w:val="0"/>
      <w:marRight w:val="0"/>
      <w:marTop w:val="0"/>
      <w:marBottom w:val="0"/>
      <w:divBdr>
        <w:top w:val="none" w:sz="0" w:space="0" w:color="auto"/>
        <w:left w:val="none" w:sz="0" w:space="0" w:color="auto"/>
        <w:bottom w:val="none" w:sz="0" w:space="0" w:color="auto"/>
        <w:right w:val="none" w:sz="0" w:space="0" w:color="auto"/>
      </w:divBdr>
    </w:div>
    <w:div w:id="844907050">
      <w:bodyDiv w:val="1"/>
      <w:marLeft w:val="0"/>
      <w:marRight w:val="0"/>
      <w:marTop w:val="0"/>
      <w:marBottom w:val="0"/>
      <w:divBdr>
        <w:top w:val="none" w:sz="0" w:space="0" w:color="auto"/>
        <w:left w:val="none" w:sz="0" w:space="0" w:color="auto"/>
        <w:bottom w:val="none" w:sz="0" w:space="0" w:color="auto"/>
        <w:right w:val="none" w:sz="0" w:space="0" w:color="auto"/>
      </w:divBdr>
    </w:div>
    <w:div w:id="952713383">
      <w:bodyDiv w:val="1"/>
      <w:marLeft w:val="0"/>
      <w:marRight w:val="0"/>
      <w:marTop w:val="0"/>
      <w:marBottom w:val="0"/>
      <w:divBdr>
        <w:top w:val="none" w:sz="0" w:space="0" w:color="auto"/>
        <w:left w:val="none" w:sz="0" w:space="0" w:color="auto"/>
        <w:bottom w:val="none" w:sz="0" w:space="0" w:color="auto"/>
        <w:right w:val="none" w:sz="0" w:space="0" w:color="auto"/>
      </w:divBdr>
    </w:div>
    <w:div w:id="992175078">
      <w:bodyDiv w:val="1"/>
      <w:marLeft w:val="0"/>
      <w:marRight w:val="0"/>
      <w:marTop w:val="0"/>
      <w:marBottom w:val="0"/>
      <w:divBdr>
        <w:top w:val="none" w:sz="0" w:space="0" w:color="auto"/>
        <w:left w:val="none" w:sz="0" w:space="0" w:color="auto"/>
        <w:bottom w:val="none" w:sz="0" w:space="0" w:color="auto"/>
        <w:right w:val="none" w:sz="0" w:space="0" w:color="auto"/>
      </w:divBdr>
    </w:div>
    <w:div w:id="1096826311">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331785569">
      <w:bodyDiv w:val="1"/>
      <w:marLeft w:val="0"/>
      <w:marRight w:val="0"/>
      <w:marTop w:val="0"/>
      <w:marBottom w:val="0"/>
      <w:divBdr>
        <w:top w:val="none" w:sz="0" w:space="0" w:color="auto"/>
        <w:left w:val="none" w:sz="0" w:space="0" w:color="auto"/>
        <w:bottom w:val="none" w:sz="0" w:space="0" w:color="auto"/>
        <w:right w:val="none" w:sz="0" w:space="0" w:color="auto"/>
      </w:divBdr>
      <w:divsChild>
        <w:div w:id="339285286">
          <w:marLeft w:val="0"/>
          <w:marRight w:val="0"/>
          <w:marTop w:val="0"/>
          <w:marBottom w:val="0"/>
          <w:divBdr>
            <w:top w:val="none" w:sz="0" w:space="0" w:color="auto"/>
            <w:left w:val="none" w:sz="0" w:space="0" w:color="auto"/>
            <w:bottom w:val="none" w:sz="0" w:space="0" w:color="auto"/>
            <w:right w:val="none" w:sz="0" w:space="0" w:color="auto"/>
          </w:divBdr>
          <w:divsChild>
            <w:div w:id="96097737">
              <w:marLeft w:val="0"/>
              <w:marRight w:val="0"/>
              <w:marTop w:val="0"/>
              <w:marBottom w:val="0"/>
              <w:divBdr>
                <w:top w:val="none" w:sz="0" w:space="0" w:color="auto"/>
                <w:left w:val="none" w:sz="0" w:space="0" w:color="auto"/>
                <w:bottom w:val="none" w:sz="0" w:space="0" w:color="auto"/>
                <w:right w:val="none" w:sz="0" w:space="0" w:color="auto"/>
              </w:divBdr>
              <w:divsChild>
                <w:div w:id="1156995078">
                  <w:marLeft w:val="0"/>
                  <w:marRight w:val="0"/>
                  <w:marTop w:val="0"/>
                  <w:marBottom w:val="0"/>
                  <w:divBdr>
                    <w:top w:val="none" w:sz="0" w:space="0" w:color="auto"/>
                    <w:left w:val="none" w:sz="0" w:space="0" w:color="auto"/>
                    <w:bottom w:val="none" w:sz="0" w:space="0" w:color="auto"/>
                    <w:right w:val="none" w:sz="0" w:space="0" w:color="auto"/>
                  </w:divBdr>
                  <w:divsChild>
                    <w:div w:id="778259693">
                      <w:marLeft w:val="0"/>
                      <w:marRight w:val="0"/>
                      <w:marTop w:val="0"/>
                      <w:marBottom w:val="0"/>
                      <w:divBdr>
                        <w:top w:val="none" w:sz="0" w:space="0" w:color="auto"/>
                        <w:left w:val="none" w:sz="0" w:space="0" w:color="auto"/>
                        <w:bottom w:val="none" w:sz="0" w:space="0" w:color="auto"/>
                        <w:right w:val="none" w:sz="0" w:space="0" w:color="auto"/>
                      </w:divBdr>
                      <w:divsChild>
                        <w:div w:id="796676573">
                          <w:marLeft w:val="0"/>
                          <w:marRight w:val="0"/>
                          <w:marTop w:val="0"/>
                          <w:marBottom w:val="0"/>
                          <w:divBdr>
                            <w:top w:val="none" w:sz="0" w:space="0" w:color="auto"/>
                            <w:left w:val="none" w:sz="0" w:space="0" w:color="auto"/>
                            <w:bottom w:val="none" w:sz="0" w:space="0" w:color="auto"/>
                            <w:right w:val="none" w:sz="0" w:space="0" w:color="auto"/>
                          </w:divBdr>
                          <w:divsChild>
                            <w:div w:id="750353371">
                              <w:marLeft w:val="0"/>
                              <w:marRight w:val="0"/>
                              <w:marTop w:val="0"/>
                              <w:marBottom w:val="0"/>
                              <w:divBdr>
                                <w:top w:val="none" w:sz="0" w:space="0" w:color="auto"/>
                                <w:left w:val="none" w:sz="0" w:space="0" w:color="auto"/>
                                <w:bottom w:val="none" w:sz="0" w:space="0" w:color="auto"/>
                                <w:right w:val="none" w:sz="0" w:space="0" w:color="auto"/>
                              </w:divBdr>
                              <w:divsChild>
                                <w:div w:id="467279288">
                                  <w:marLeft w:val="-225"/>
                                  <w:marRight w:val="-225"/>
                                  <w:marTop w:val="0"/>
                                  <w:marBottom w:val="0"/>
                                  <w:divBdr>
                                    <w:top w:val="none" w:sz="0" w:space="0" w:color="auto"/>
                                    <w:left w:val="none" w:sz="0" w:space="0" w:color="auto"/>
                                    <w:bottom w:val="none" w:sz="0" w:space="0" w:color="auto"/>
                                    <w:right w:val="none" w:sz="0" w:space="0" w:color="auto"/>
                                  </w:divBdr>
                                  <w:divsChild>
                                    <w:div w:id="580330539">
                                      <w:marLeft w:val="0"/>
                                      <w:marRight w:val="0"/>
                                      <w:marTop w:val="0"/>
                                      <w:marBottom w:val="0"/>
                                      <w:divBdr>
                                        <w:top w:val="none" w:sz="0" w:space="0" w:color="auto"/>
                                        <w:left w:val="none" w:sz="0" w:space="0" w:color="auto"/>
                                        <w:bottom w:val="none" w:sz="0" w:space="0" w:color="auto"/>
                                        <w:right w:val="none" w:sz="0" w:space="0" w:color="auto"/>
                                      </w:divBdr>
                                      <w:divsChild>
                                        <w:div w:id="1353411379">
                                          <w:marLeft w:val="0"/>
                                          <w:marRight w:val="0"/>
                                          <w:marTop w:val="0"/>
                                          <w:marBottom w:val="0"/>
                                          <w:divBdr>
                                            <w:top w:val="none" w:sz="0" w:space="0" w:color="auto"/>
                                            <w:left w:val="none" w:sz="0" w:space="0" w:color="auto"/>
                                            <w:bottom w:val="none" w:sz="0" w:space="0" w:color="auto"/>
                                            <w:right w:val="none" w:sz="0" w:space="0" w:color="auto"/>
                                          </w:divBdr>
                                          <w:divsChild>
                                            <w:div w:id="558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097004">
      <w:bodyDiv w:val="1"/>
      <w:marLeft w:val="0"/>
      <w:marRight w:val="0"/>
      <w:marTop w:val="0"/>
      <w:marBottom w:val="0"/>
      <w:divBdr>
        <w:top w:val="none" w:sz="0" w:space="0" w:color="auto"/>
        <w:left w:val="none" w:sz="0" w:space="0" w:color="auto"/>
        <w:bottom w:val="none" w:sz="0" w:space="0" w:color="auto"/>
        <w:right w:val="none" w:sz="0" w:space="0" w:color="auto"/>
      </w:divBdr>
      <w:divsChild>
        <w:div w:id="991251793">
          <w:marLeft w:val="0"/>
          <w:marRight w:val="0"/>
          <w:marTop w:val="0"/>
          <w:marBottom w:val="0"/>
          <w:divBdr>
            <w:top w:val="none" w:sz="0" w:space="0" w:color="auto"/>
            <w:left w:val="none" w:sz="0" w:space="0" w:color="auto"/>
            <w:bottom w:val="none" w:sz="0" w:space="0" w:color="auto"/>
            <w:right w:val="none" w:sz="0" w:space="0" w:color="auto"/>
          </w:divBdr>
          <w:divsChild>
            <w:div w:id="2033410720">
              <w:marLeft w:val="0"/>
              <w:marRight w:val="0"/>
              <w:marTop w:val="0"/>
              <w:marBottom w:val="0"/>
              <w:divBdr>
                <w:top w:val="none" w:sz="0" w:space="0" w:color="auto"/>
                <w:left w:val="none" w:sz="0" w:space="0" w:color="auto"/>
                <w:bottom w:val="none" w:sz="0" w:space="0" w:color="auto"/>
                <w:right w:val="none" w:sz="0" w:space="0" w:color="auto"/>
              </w:divBdr>
            </w:div>
            <w:div w:id="2013601796">
              <w:marLeft w:val="0"/>
              <w:marRight w:val="0"/>
              <w:marTop w:val="0"/>
              <w:marBottom w:val="0"/>
              <w:divBdr>
                <w:top w:val="none" w:sz="0" w:space="0" w:color="auto"/>
                <w:left w:val="none" w:sz="0" w:space="0" w:color="auto"/>
                <w:bottom w:val="none" w:sz="0" w:space="0" w:color="auto"/>
                <w:right w:val="none" w:sz="0" w:space="0" w:color="auto"/>
              </w:divBdr>
            </w:div>
            <w:div w:id="586035675">
              <w:marLeft w:val="0"/>
              <w:marRight w:val="0"/>
              <w:marTop w:val="0"/>
              <w:marBottom w:val="0"/>
              <w:divBdr>
                <w:top w:val="none" w:sz="0" w:space="0" w:color="auto"/>
                <w:left w:val="none" w:sz="0" w:space="0" w:color="auto"/>
                <w:bottom w:val="none" w:sz="0" w:space="0" w:color="auto"/>
                <w:right w:val="none" w:sz="0" w:space="0" w:color="auto"/>
              </w:divBdr>
            </w:div>
          </w:divsChild>
        </w:div>
        <w:div w:id="1621570026">
          <w:marLeft w:val="0"/>
          <w:marRight w:val="0"/>
          <w:marTop w:val="0"/>
          <w:marBottom w:val="0"/>
          <w:divBdr>
            <w:top w:val="none" w:sz="0" w:space="0" w:color="auto"/>
            <w:left w:val="none" w:sz="0" w:space="0" w:color="auto"/>
            <w:bottom w:val="none" w:sz="0" w:space="0" w:color="auto"/>
            <w:right w:val="none" w:sz="0" w:space="0" w:color="auto"/>
          </w:divBdr>
          <w:divsChild>
            <w:div w:id="16132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ations.health.gov.au/" TargetMode="External"/><Relationship Id="rId18" Type="http://schemas.openxmlformats.org/officeDocument/2006/relationships/hyperlink" Target="amr.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mr.gov.au/" TargetMode="External"/><Relationship Id="rId17" Type="http://schemas.openxmlformats.org/officeDocument/2006/relationships/hyperlink" Target="https://www.tg.org.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r.gov.au/" TargetMode="External"/><Relationship Id="rId5" Type="http://schemas.openxmlformats.org/officeDocument/2006/relationships/settings" Target="settings.xml"/><Relationship Id="rId15" Type="http://schemas.openxmlformats.org/officeDocument/2006/relationships/hyperlink" Target="http://www.health.gov.au/internet/main/publishing.nsf/Content/privacy-policy" TargetMode="External"/><Relationship Id="rId10" Type="http://schemas.openxmlformats.org/officeDocument/2006/relationships/footer" Target="footer1.xml"/><Relationship Id="rId19" Type="http://schemas.openxmlformats.org/officeDocument/2006/relationships/hyperlink" Target="https://www.amr.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mr@health.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dfsuserenv\Users\User_16\YOUSEK\Desktop\CDMAR%20Project\word\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59BAC0-11FE-4DA8-BE59-C9CE6558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0</TotalTime>
  <Pages>42</Pages>
  <Words>11385</Words>
  <Characters>64898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Consultation Paper - Australia’s Antimicrobial Resistance Strategy – 2020 and beyond</vt:lpstr>
    </vt:vector>
  </TitlesOfParts>
  <Manager/>
  <Company/>
  <LinksUpToDate>false</LinksUpToDate>
  <CharactersWithSpaces>76131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Australia’s Antimicrobial Resistance Strategy – 2020 and beyond</dc:title>
  <dc:subject>This Consultation Paper is for distribution to key stakeholders seeking their input to inform the development of Australia’s Strategy for tackling Antimicrobial Resistance beyond 2020. Australia’s First National Antimicrobial Resistance Strategy 2015 -2019 is due to expire at the end of 2019.</dc:subject>
  <dc:creator/>
  <dc:description>© Commonwealth of Australia </dc:description>
  <cp:lastModifiedBy/>
  <cp:revision>1</cp:revision>
  <dcterms:created xsi:type="dcterms:W3CDTF">2019-06-05T06:25:00Z</dcterms:created>
  <dcterms:modified xsi:type="dcterms:W3CDTF">2019-06-07T05:16:00Z</dcterms:modified>
</cp:coreProperties>
</file>